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EB592B" w14:textId="4E63FFB9" w:rsidR="00BF4DE0" w:rsidRDefault="00D06433" w:rsidP="001E7375">
      <w:pPr>
        <w:tabs>
          <w:tab w:val="left" w:pos="709"/>
        </w:tabs>
        <w:rPr>
          <w:i/>
        </w:rPr>
      </w:pPr>
      <w:bookmarkStart w:id="0" w:name="_MacBuGuideStaticData_10602H"/>
      <w:bookmarkStart w:id="1" w:name="_MacBuGuideStaticData_3130H"/>
      <w:bookmarkStart w:id="2" w:name="_MacBuGuideStaticData_543H"/>
      <w:bookmarkStart w:id="3" w:name="_MacBuGuideStaticData_2275V"/>
      <w:bookmarkStart w:id="4" w:name="_GoBack"/>
      <w:bookmarkEnd w:id="4"/>
      <w:r>
        <w:rPr>
          <w:noProof/>
          <w:lang w:eastAsia="en-GB"/>
        </w:rPr>
        <w:drawing>
          <wp:anchor distT="0" distB="0" distL="114300" distR="114300" simplePos="0" relativeHeight="251679232" behindDoc="0" locked="0" layoutInCell="1" allowOverlap="1" wp14:anchorId="04E39F2F" wp14:editId="06E6C104">
            <wp:simplePos x="0" y="0"/>
            <wp:positionH relativeFrom="column">
              <wp:posOffset>-539750</wp:posOffset>
            </wp:positionH>
            <wp:positionV relativeFrom="paragraph">
              <wp:posOffset>861060</wp:posOffset>
            </wp:positionV>
            <wp:extent cx="6840220" cy="5035550"/>
            <wp:effectExtent l="0" t="0" r="0" b="0"/>
            <wp:wrapTopAndBottom/>
            <wp:docPr id="4" name="Picture 4" descr="A picture of a man (head and shoulders) with a beard.  He is wearing a shirt (with very small and fine checks) a plain dark coloured tie and a dark suit jacket." title="Picture of a 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40220" cy="5035550"/>
                    </a:xfrm>
                    <a:prstGeom prst="rect">
                      <a:avLst/>
                    </a:prstGeom>
                    <a:noFill/>
                  </pic:spPr>
                </pic:pic>
              </a:graphicData>
            </a:graphic>
            <wp14:sizeRelH relativeFrom="page">
              <wp14:pctWidth>0</wp14:pctWidth>
            </wp14:sizeRelH>
            <wp14:sizeRelV relativeFrom="page">
              <wp14:pctHeight>0</wp14:pctHeight>
            </wp14:sizeRelV>
          </wp:anchor>
        </w:drawing>
      </w:r>
      <w:r w:rsidR="005603EC">
        <w:rPr>
          <w:noProof/>
          <w:lang w:eastAsia="en-GB"/>
        </w:rPr>
        <mc:AlternateContent>
          <mc:Choice Requires="wps">
            <w:drawing>
              <wp:anchor distT="0" distB="0" distL="114300" distR="114300" simplePos="0" relativeHeight="251645440" behindDoc="0" locked="0" layoutInCell="1" allowOverlap="1" wp14:anchorId="59E2E503" wp14:editId="4CFC34D0">
                <wp:simplePos x="0" y="0"/>
                <wp:positionH relativeFrom="page">
                  <wp:posOffset>357505</wp:posOffset>
                </wp:positionH>
                <wp:positionV relativeFrom="page">
                  <wp:posOffset>7155815</wp:posOffset>
                </wp:positionV>
                <wp:extent cx="5694680" cy="2239010"/>
                <wp:effectExtent l="0" t="0" r="1270" b="8890"/>
                <wp:wrapThrough wrapText="bothSides">
                  <wp:wrapPolygon edited="0">
                    <wp:start x="0" y="0"/>
                    <wp:lineTo x="0" y="21502"/>
                    <wp:lineTo x="21533" y="21502"/>
                    <wp:lineTo x="21533" y="0"/>
                    <wp:lineTo x="0" y="0"/>
                  </wp:wrapPolygon>
                </wp:wrapThrough>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94680" cy="2239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D2489" w14:textId="5D65CB0C" w:rsidR="00622FF2" w:rsidRPr="00E72C89" w:rsidRDefault="00622FF2" w:rsidP="005603EC">
                            <w:pPr>
                              <w:pStyle w:val="Title"/>
                            </w:pPr>
                            <w:r>
                              <w:t>Primary Medical Care Policy and Guidance Manual (PGM)</w:t>
                            </w:r>
                          </w:p>
                          <w:p w14:paraId="642EF73D" w14:textId="7C6318D9" w:rsidR="00622FF2" w:rsidRPr="00E72C89" w:rsidRDefault="00622FF2" w:rsidP="00E72C89">
                            <w:pPr>
                              <w:pStyle w:val="Title"/>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8.15pt;margin-top:563.45pt;width:448.4pt;height:176.3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SilngIAAJ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" filled="f" stroked="f">
                <v:path arrowok="t"/>
                <v:textbox inset="0,0,0,0">
                  <w:txbxContent>
                    <w:p w14:paraId="00BD2489" w14:textId="5D65CB0C" w:rsidR="00622FF2" w:rsidRPr="00E72C89" w:rsidRDefault="00622FF2" w:rsidP="005603EC">
                      <w:pPr>
                        <w:pStyle w:val="Title"/>
                      </w:pPr>
                      <w:r>
                        <w:t>Primary Medical Care Policy and Guidance Manual (PGM)</w:t>
                      </w:r>
                    </w:p>
                    <w:p w14:paraId="642EF73D" w14:textId="7C6318D9" w:rsidR="00622FF2" w:rsidRPr="00E72C89" w:rsidRDefault="00622FF2" w:rsidP="00E72C89">
                      <w:pPr>
                        <w:pStyle w:val="Title"/>
                      </w:pPr>
                    </w:p>
                  </w:txbxContent>
                </v:textbox>
                <w10:wrap type="through" anchorx="page" anchory="page"/>
              </v:shape>
            </w:pict>
          </mc:Fallback>
        </mc:AlternateContent>
      </w:r>
      <w:r w:rsidR="00F535CA">
        <w:rPr>
          <w:noProof/>
          <w:lang w:eastAsia="en-GB"/>
        </w:rPr>
        <w:drawing>
          <wp:anchor distT="0" distB="0" distL="114300" distR="114300" simplePos="0" relativeHeight="251678208" behindDoc="0" locked="0" layoutInCell="1" allowOverlap="1" wp14:anchorId="235A3DE7" wp14:editId="3DC53FFC">
            <wp:simplePos x="0" y="0"/>
            <wp:positionH relativeFrom="page">
              <wp:posOffset>6390640</wp:posOffset>
            </wp:positionH>
            <wp:positionV relativeFrom="page">
              <wp:posOffset>360045</wp:posOffset>
            </wp:positionV>
            <wp:extent cx="810000" cy="626400"/>
            <wp:effectExtent l="0" t="0" r="9525" b="2540"/>
            <wp:wrapNone/>
            <wp:docPr id="3" name="Picture 3" descr="NHS England Logo" title="NHS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810000" cy="626400"/>
                    </a:xfrm>
                    <a:prstGeom prst="rect">
                      <a:avLst/>
                    </a:prstGeom>
                    <a:noFill/>
                  </pic:spPr>
                </pic:pic>
              </a:graphicData>
            </a:graphic>
            <wp14:sizeRelH relativeFrom="margin">
              <wp14:pctWidth>0</wp14:pctWidth>
            </wp14:sizeRelH>
            <wp14:sizeRelV relativeFrom="margin">
              <wp14:pctHeight>0</wp14:pctHeight>
            </wp14:sizeRelV>
          </wp:anchor>
        </w:drawing>
      </w:r>
      <w:r w:rsidR="006B162E">
        <w:t xml:space="preserve"> </w:t>
      </w:r>
      <w:r w:rsidR="00264735">
        <w:t xml:space="preserve"> </w:t>
      </w:r>
      <w:r w:rsidR="00102A99">
        <w:br w:type="page"/>
      </w:r>
      <w:bookmarkStart w:id="5" w:name="_MacBuGuideStaticData_10810H"/>
      <w:bookmarkStart w:id="6" w:name="_MacBuGuideStaticData_3861H"/>
      <w:bookmarkEnd w:id="0"/>
      <w:bookmarkEnd w:id="1"/>
      <w:bookmarkEnd w:id="2"/>
      <w:bookmarkEnd w:id="3"/>
      <w:r w:rsidR="00AD5E26" w:rsidRPr="00A3234D">
        <w:rPr>
          <w:noProof/>
          <w:lang w:eastAsia="en-GB"/>
        </w:rPr>
        <w:lastRenderedPageBreak/>
        <w:drawing>
          <wp:inline distT="0" distB="0" distL="0" distR="0" wp14:anchorId="0E87F197" wp14:editId="104BF185">
            <wp:extent cx="5731510" cy="7372209"/>
            <wp:effectExtent l="0" t="0" r="0" b="635"/>
            <wp:docPr id="5" name="Picture 5" descr="NHS England  INFORMATION  READER  BOX     &#10;Directorate     &#10;Medical  Operations and Information  Specialised Commissioning &#10;Nursing  Trans. &amp; Corp. Ops.  Strategy &amp; Innovation &#10;Finance     &#10;Publications Gateway Reference:    07337 &#10;Document Purpose  Policy   &#10;Document Name  Primary Medical Care - Policy and Guidance Manual (PGM)   &#10;Author  NHS England - Primary Care Commissioning (Central Team)   &#10;Publication Date  43040   &#10;Target Audience  CCG Clinical Leaders, CCG Accountable Officers, NHS England Regional Directors, NHS England Directors of Commissioning Operations, NHS England Heads of Primary Care / CCG Primary Care Leads   &#10;Additional Circulation List  Medical Directors, Communications Leads   &#10;Description  0   &#10;Cross Reference  None   &#10;&quot;Superseded Docs&#10;(if applicable)&quot;  Policy Book for Primary Medical Services   &#10;Action Required  To be adhered to by all Commissioners of Primary Medical Care   &#10;&quot;Timing / Deadlines&#10;(if applicable)&quot;  N/A   &#10;Contact Details for further information  Gary Williams   &#10;  3rd Floor, Skipton House   &#10;  80 London Road   &#10;  London   &#10;  SE1 6LH   &#10;  0113 807 0895   &#10;  https://www.england.nhs.uk/commissioning/primary-care/primary-care-comm/resource-primary/   &#10;Document Status     &#10;This is a controlled document.  Whilst this document may be printed, the electronic version posted on the intranet is the controlled copy.  Any printed copies of this document are not controlled.  As a controlled document, this document should not be saved onto local or network drives but should always be accessed from the intranet." title="Information Reader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7372209"/>
                    </a:xfrm>
                    <a:prstGeom prst="rect">
                      <a:avLst/>
                    </a:prstGeom>
                    <a:noFill/>
                    <a:ln>
                      <a:noFill/>
                    </a:ln>
                  </pic:spPr>
                </pic:pic>
              </a:graphicData>
            </a:graphic>
          </wp:inline>
        </w:drawing>
      </w:r>
    </w:p>
    <w:p w14:paraId="0C066CCE" w14:textId="29AAB6A0" w:rsidR="00280330" w:rsidRDefault="00280330" w:rsidP="00BF4DE0">
      <w:pPr>
        <w:rPr>
          <w:i/>
        </w:rPr>
      </w:pPr>
    </w:p>
    <w:p w14:paraId="1E7864A9" w14:textId="77777777" w:rsidR="00280330" w:rsidRDefault="00280330" w:rsidP="00BF4DE0">
      <w:pPr>
        <w:rPr>
          <w:i/>
        </w:rPr>
      </w:pPr>
    </w:p>
    <w:p w14:paraId="253CE905" w14:textId="1233A0C7" w:rsidR="00BF4DE0" w:rsidRDefault="00CE61BC" w:rsidP="00821E02">
      <w:pPr>
        <w:rPr>
          <w:b/>
          <w:sz w:val="32"/>
          <w:szCs w:val="32"/>
        </w:rPr>
      </w:pPr>
      <w:r>
        <w:rPr>
          <w:i/>
          <w:color w:val="003087" w:themeColor="accent1"/>
        </w:rPr>
        <w:br w:type="page"/>
      </w:r>
      <w:r w:rsidR="005603EC" w:rsidRPr="005603EC">
        <w:rPr>
          <w:b/>
          <w:sz w:val="32"/>
          <w:szCs w:val="32"/>
        </w:rPr>
        <w:lastRenderedPageBreak/>
        <w:t>Primary Medical Care Policy and Guidance Manual (PGM)</w:t>
      </w:r>
    </w:p>
    <w:p w14:paraId="6A884758" w14:textId="77777777" w:rsidR="005603EC" w:rsidRPr="00AD18FA" w:rsidRDefault="005603EC" w:rsidP="00821E02"/>
    <w:p w14:paraId="7D687E6F" w14:textId="77777777" w:rsidR="00BF4DE0" w:rsidRDefault="00BF4DE0" w:rsidP="00BF4DE0"/>
    <w:p w14:paraId="635319E6" w14:textId="77777777" w:rsidR="005603EC" w:rsidRPr="00235874" w:rsidRDefault="005603EC" w:rsidP="005603EC">
      <w:pPr>
        <w:spacing w:line="360" w:lineRule="auto"/>
        <w:rPr>
          <w:rFonts w:cs="Arial"/>
        </w:rPr>
      </w:pPr>
      <w:r w:rsidRPr="00235874">
        <w:rPr>
          <w:rFonts w:cs="Arial"/>
        </w:rPr>
        <w:t>Version number: 1.0</w:t>
      </w:r>
    </w:p>
    <w:p w14:paraId="06157130" w14:textId="77777777" w:rsidR="005603EC" w:rsidRPr="00235874" w:rsidRDefault="005603EC" w:rsidP="005603EC">
      <w:pPr>
        <w:spacing w:line="360" w:lineRule="auto"/>
        <w:rPr>
          <w:rFonts w:cs="Arial"/>
        </w:rPr>
      </w:pPr>
    </w:p>
    <w:p w14:paraId="7FA3EFBD" w14:textId="653EB4CE" w:rsidR="005603EC" w:rsidRPr="00235874" w:rsidRDefault="005603EC" w:rsidP="005603EC">
      <w:pPr>
        <w:spacing w:line="360" w:lineRule="auto"/>
        <w:rPr>
          <w:rFonts w:cs="Arial"/>
        </w:rPr>
      </w:pPr>
      <w:r w:rsidRPr="00235874">
        <w:rPr>
          <w:rFonts w:cs="Arial"/>
        </w:rPr>
        <w:t>First published: 12 January 2016 (as</w:t>
      </w:r>
      <w:r w:rsidR="004E51D3">
        <w:rPr>
          <w:rFonts w:cs="Arial"/>
        </w:rPr>
        <w:t xml:space="preserve"> Policy Book for </w:t>
      </w:r>
      <w:r w:rsidRPr="00235874">
        <w:rPr>
          <w:rFonts w:cs="Arial"/>
        </w:rPr>
        <w:t xml:space="preserve">Primary Medical </w:t>
      </w:r>
      <w:r w:rsidR="004E51D3">
        <w:rPr>
          <w:rFonts w:cs="Arial"/>
        </w:rPr>
        <w:t>Services</w:t>
      </w:r>
      <w:r w:rsidR="00D06A6B">
        <w:rPr>
          <w:rFonts w:cs="Arial"/>
        </w:rPr>
        <w:t>)</w:t>
      </w:r>
    </w:p>
    <w:p w14:paraId="4F31136E" w14:textId="77777777" w:rsidR="005603EC" w:rsidRPr="00235874" w:rsidRDefault="005603EC" w:rsidP="005603EC">
      <w:pPr>
        <w:spacing w:line="360" w:lineRule="auto"/>
        <w:rPr>
          <w:rFonts w:cs="Arial"/>
        </w:rPr>
      </w:pPr>
    </w:p>
    <w:p w14:paraId="28C340D9" w14:textId="3383A132" w:rsidR="005603EC" w:rsidRPr="00235874" w:rsidRDefault="005603EC" w:rsidP="005603EC">
      <w:pPr>
        <w:spacing w:line="360" w:lineRule="auto"/>
        <w:rPr>
          <w:rFonts w:cs="Arial"/>
        </w:rPr>
      </w:pPr>
      <w:r w:rsidRPr="00235874">
        <w:rPr>
          <w:rFonts w:cs="Arial"/>
        </w:rPr>
        <w:t xml:space="preserve">Updated: </w:t>
      </w:r>
      <w:r w:rsidR="007C3C2C">
        <w:rPr>
          <w:rFonts w:cs="Arial"/>
        </w:rPr>
        <w:t>09 November 2017</w:t>
      </w:r>
    </w:p>
    <w:p w14:paraId="659B8F29" w14:textId="77777777" w:rsidR="005603EC" w:rsidRPr="00235874" w:rsidRDefault="005603EC" w:rsidP="005603EC">
      <w:pPr>
        <w:spacing w:line="360" w:lineRule="auto"/>
        <w:rPr>
          <w:rFonts w:cs="Arial"/>
        </w:rPr>
      </w:pPr>
    </w:p>
    <w:p w14:paraId="1BCFF8EE" w14:textId="77777777" w:rsidR="005603EC" w:rsidRPr="00235874" w:rsidRDefault="005603EC" w:rsidP="005603EC">
      <w:pPr>
        <w:spacing w:line="360" w:lineRule="auto"/>
        <w:rPr>
          <w:rFonts w:cs="Arial"/>
        </w:rPr>
      </w:pPr>
      <w:r w:rsidRPr="00235874">
        <w:rPr>
          <w:rFonts w:cs="Arial"/>
        </w:rPr>
        <w:t>Prepared by: Gary Williams</w:t>
      </w:r>
    </w:p>
    <w:p w14:paraId="148D7E8E" w14:textId="77777777" w:rsidR="005603EC" w:rsidRPr="00235874" w:rsidRDefault="005603EC" w:rsidP="005603EC">
      <w:pPr>
        <w:spacing w:line="360" w:lineRule="auto"/>
        <w:rPr>
          <w:rFonts w:cs="Arial"/>
        </w:rPr>
      </w:pPr>
    </w:p>
    <w:p w14:paraId="133CDAFD" w14:textId="77777777" w:rsidR="005603EC" w:rsidRPr="00235874" w:rsidRDefault="005603EC" w:rsidP="005603EC">
      <w:pPr>
        <w:spacing w:line="360" w:lineRule="auto"/>
        <w:rPr>
          <w:rFonts w:cs="Arial"/>
        </w:rPr>
      </w:pPr>
      <w:r w:rsidRPr="00235874">
        <w:rPr>
          <w:rFonts w:cs="Arial"/>
        </w:rPr>
        <w:t>Classification: OFFICIAL</w:t>
      </w:r>
    </w:p>
    <w:p w14:paraId="3046A124" w14:textId="77777777" w:rsidR="0064323B" w:rsidRPr="00485AE8" w:rsidRDefault="0064323B" w:rsidP="0064323B">
      <w:pPr>
        <w:rPr>
          <w:b/>
          <w:szCs w:val="24"/>
        </w:rPr>
      </w:pPr>
    </w:p>
    <w:p w14:paraId="312C109B" w14:textId="77777777" w:rsidR="005603EC" w:rsidRPr="00235874" w:rsidRDefault="005603EC" w:rsidP="005603EC">
      <w:pPr>
        <w:widowControl w:val="0"/>
        <w:autoSpaceDE w:val="0"/>
        <w:autoSpaceDN w:val="0"/>
        <w:adjustRightInd w:val="0"/>
        <w:spacing w:line="360" w:lineRule="auto"/>
        <w:rPr>
          <w:rFonts w:eastAsia="HGSMinchoE" w:cs="Arial"/>
          <w:bCs w:val="0"/>
          <w:sz w:val="32"/>
          <w:szCs w:val="32"/>
          <w:lang w:eastAsia="en-GB"/>
        </w:rPr>
      </w:pPr>
      <w:r w:rsidRPr="00235874">
        <w:rPr>
          <w:rFonts w:eastAsia="HGSMinchoE" w:cs="Arial"/>
          <w:bCs w:val="0"/>
          <w:sz w:val="32"/>
          <w:szCs w:val="32"/>
          <w:lang w:eastAsia="en-GB"/>
        </w:rPr>
        <w:t xml:space="preserve">This information can be made available in alternative formats, such as easy read or large print, and may be available in alternative languages, upon request. Please contact the Primary Care Commissioning Team on </w:t>
      </w:r>
      <w:hyperlink r:id="rId16" w:history="1">
        <w:r w:rsidRPr="00235874">
          <w:rPr>
            <w:rStyle w:val="Hyperlink"/>
            <w:rFonts w:eastAsia="HGSMinchoE" w:cs="Arial"/>
            <w:bCs w:val="0"/>
            <w:sz w:val="32"/>
            <w:szCs w:val="32"/>
            <w:lang w:eastAsia="en-GB"/>
          </w:rPr>
          <w:t>england.primarycareops@nhs.net</w:t>
        </w:r>
      </w:hyperlink>
      <w:r w:rsidRPr="00235874">
        <w:rPr>
          <w:rFonts w:eastAsia="HGSMinchoE" w:cs="Arial"/>
          <w:bCs w:val="0"/>
          <w:sz w:val="32"/>
          <w:szCs w:val="32"/>
          <w:lang w:eastAsia="en-GB"/>
        </w:rPr>
        <w:t xml:space="preserve"> </w:t>
      </w:r>
    </w:p>
    <w:p w14:paraId="4D650570" w14:textId="77777777" w:rsidR="0064323B" w:rsidRPr="00485AE8" w:rsidRDefault="0064323B" w:rsidP="0064323B">
      <w:pPr>
        <w:widowControl w:val="0"/>
        <w:autoSpaceDE w:val="0"/>
        <w:autoSpaceDN w:val="0"/>
        <w:adjustRightInd w:val="0"/>
        <w:rPr>
          <w:rFonts w:ascii="Calibri" w:eastAsia="HGSMinchoE" w:hAnsi="Calibri" w:cs="Calibri"/>
          <w:bCs w:val="0"/>
          <w:szCs w:val="24"/>
          <w:lang w:eastAsia="en-GB"/>
        </w:rPr>
      </w:pPr>
      <w:r w:rsidRPr="00485AE8">
        <w:rPr>
          <w:rFonts w:eastAsia="HGSMinchoE" w:cs="Arial"/>
          <w:bCs w:val="0"/>
          <w:szCs w:val="24"/>
          <w:lang w:eastAsia="en-GB"/>
        </w:rPr>
        <w:t> </w:t>
      </w:r>
    </w:p>
    <w:p w14:paraId="7C1947A1" w14:textId="246AA1F1" w:rsidR="00CA78CE" w:rsidRPr="00F962EA" w:rsidRDefault="00BF4DE0" w:rsidP="00F962EA">
      <w:pPr>
        <w:rPr>
          <w:b/>
          <w:i/>
          <w:color w:val="003087" w:themeColor="accent1"/>
        </w:rPr>
      </w:pPr>
      <w:r>
        <w:br w:type="page"/>
      </w:r>
    </w:p>
    <w:sdt>
      <w:sdtPr>
        <w:rPr>
          <w:rFonts w:cs="Times New Roman"/>
          <w:b w:val="0"/>
          <w:color w:val="auto"/>
          <w:sz w:val="24"/>
          <w:szCs w:val="26"/>
          <w:lang w:val="en-GB" w:eastAsia="en-US"/>
        </w:rPr>
        <w:id w:val="-2042882555"/>
        <w:docPartObj>
          <w:docPartGallery w:val="Table of Contents"/>
          <w:docPartUnique/>
        </w:docPartObj>
      </w:sdtPr>
      <w:sdtEndPr>
        <w:rPr>
          <w:noProof/>
        </w:rPr>
      </w:sdtEndPr>
      <w:sdtContent>
        <w:p w14:paraId="322640D1" w14:textId="554BE566" w:rsidR="00446DA6" w:rsidRPr="00B64D47" w:rsidRDefault="00446DA6" w:rsidP="004A02AA">
          <w:pPr>
            <w:pStyle w:val="TOCHeading"/>
            <w:numPr>
              <w:ilvl w:val="0"/>
              <w:numId w:val="0"/>
            </w:numPr>
            <w:spacing w:before="120" w:after="120"/>
            <w:ind w:left="432"/>
          </w:pPr>
          <w:r>
            <w:t>Contents</w:t>
          </w:r>
          <w:r w:rsidR="00552572">
            <w:t xml:space="preserve"> </w:t>
          </w:r>
        </w:p>
        <w:p w14:paraId="6D632320" w14:textId="77777777" w:rsidR="00AA28FD" w:rsidRDefault="00846153">
          <w:pPr>
            <w:pStyle w:val="TOC1"/>
            <w:rPr>
              <w:rFonts w:asciiTheme="minorHAnsi" w:eastAsiaTheme="minorEastAsia" w:hAnsiTheme="minorHAnsi" w:cstheme="minorBidi"/>
              <w:bCs w:val="0"/>
              <w:color w:val="auto"/>
              <w:sz w:val="22"/>
              <w:szCs w:val="22"/>
              <w:lang w:eastAsia="en-GB"/>
            </w:rPr>
          </w:pPr>
          <w:r>
            <w:fldChar w:fldCharType="begin"/>
          </w:r>
          <w:r>
            <w:instrText xml:space="preserve"> TOC \o "1-2" \h \z \u </w:instrText>
          </w:r>
          <w:r>
            <w:fldChar w:fldCharType="separate"/>
          </w:r>
          <w:hyperlink w:anchor="_Toc498495299" w:history="1">
            <w:r w:rsidR="00AA28FD" w:rsidRPr="00D94A73">
              <w:rPr>
                <w:rStyle w:val="Hyperlink"/>
              </w:rPr>
              <w:t>Part A – Excellent Commissioning and Partnership Working</w:t>
            </w:r>
            <w:r w:rsidR="00AA28FD">
              <w:rPr>
                <w:webHidden/>
              </w:rPr>
              <w:tab/>
            </w:r>
            <w:r w:rsidR="00AA28FD">
              <w:rPr>
                <w:webHidden/>
              </w:rPr>
              <w:fldChar w:fldCharType="begin"/>
            </w:r>
            <w:r w:rsidR="00AA28FD">
              <w:rPr>
                <w:webHidden/>
              </w:rPr>
              <w:instrText xml:space="preserve"> PAGEREF _Toc498495299 \h </w:instrText>
            </w:r>
            <w:r w:rsidR="00AA28FD">
              <w:rPr>
                <w:webHidden/>
              </w:rPr>
            </w:r>
            <w:r w:rsidR="00AA28FD">
              <w:rPr>
                <w:webHidden/>
              </w:rPr>
              <w:fldChar w:fldCharType="separate"/>
            </w:r>
            <w:r w:rsidR="00622FF2">
              <w:rPr>
                <w:webHidden/>
              </w:rPr>
              <w:t>14</w:t>
            </w:r>
            <w:r w:rsidR="00AA28FD">
              <w:rPr>
                <w:webHidden/>
              </w:rPr>
              <w:fldChar w:fldCharType="end"/>
            </w:r>
          </w:hyperlink>
        </w:p>
        <w:p w14:paraId="0F477605" w14:textId="77777777" w:rsidR="00AA28FD" w:rsidRDefault="000E7846">
          <w:pPr>
            <w:pStyle w:val="TOC1"/>
            <w:rPr>
              <w:rFonts w:asciiTheme="minorHAnsi" w:eastAsiaTheme="minorEastAsia" w:hAnsiTheme="minorHAnsi" w:cstheme="minorBidi"/>
              <w:bCs w:val="0"/>
              <w:color w:val="auto"/>
              <w:sz w:val="22"/>
              <w:szCs w:val="22"/>
              <w:lang w:eastAsia="en-GB"/>
            </w:rPr>
          </w:pPr>
          <w:hyperlink w:anchor="_Toc498495300" w:history="1">
            <w:r w:rsidR="00AA28FD" w:rsidRPr="00D94A73">
              <w:rPr>
                <w:rStyle w:val="Hyperlink"/>
              </w:rPr>
              <w:t>1</w:t>
            </w:r>
            <w:r w:rsidR="00AA28FD">
              <w:rPr>
                <w:rFonts w:asciiTheme="minorHAnsi" w:eastAsiaTheme="minorEastAsia" w:hAnsiTheme="minorHAnsi" w:cstheme="minorBidi"/>
                <w:bCs w:val="0"/>
                <w:color w:val="auto"/>
                <w:sz w:val="22"/>
                <w:szCs w:val="22"/>
                <w:lang w:eastAsia="en-GB"/>
              </w:rPr>
              <w:tab/>
            </w:r>
            <w:r w:rsidR="00AA28FD" w:rsidRPr="00D94A73">
              <w:rPr>
                <w:rStyle w:val="Hyperlink"/>
              </w:rPr>
              <w:t>Introduction</w:t>
            </w:r>
            <w:r w:rsidR="00AA28FD">
              <w:rPr>
                <w:webHidden/>
              </w:rPr>
              <w:tab/>
            </w:r>
            <w:r w:rsidR="00AA28FD">
              <w:rPr>
                <w:webHidden/>
              </w:rPr>
              <w:fldChar w:fldCharType="begin"/>
            </w:r>
            <w:r w:rsidR="00AA28FD">
              <w:rPr>
                <w:webHidden/>
              </w:rPr>
              <w:instrText xml:space="preserve"> PAGEREF _Toc498495300 \h </w:instrText>
            </w:r>
            <w:r w:rsidR="00AA28FD">
              <w:rPr>
                <w:webHidden/>
              </w:rPr>
            </w:r>
            <w:r w:rsidR="00AA28FD">
              <w:rPr>
                <w:webHidden/>
              </w:rPr>
              <w:fldChar w:fldCharType="separate"/>
            </w:r>
            <w:r w:rsidR="00622FF2">
              <w:rPr>
                <w:webHidden/>
              </w:rPr>
              <w:t>15</w:t>
            </w:r>
            <w:r w:rsidR="00AA28FD">
              <w:rPr>
                <w:webHidden/>
              </w:rPr>
              <w:fldChar w:fldCharType="end"/>
            </w:r>
          </w:hyperlink>
        </w:p>
        <w:p w14:paraId="438746CD"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01" w:history="1">
            <w:r w:rsidR="00AA28FD" w:rsidRPr="00D94A73">
              <w:rPr>
                <w:rStyle w:val="Hyperlink"/>
                <w:noProof/>
                <w:lang w:eastAsia="en-GB"/>
              </w:rPr>
              <w:t>1.1</w:t>
            </w:r>
            <w:r w:rsidR="00AA28FD">
              <w:rPr>
                <w:rFonts w:asciiTheme="minorHAnsi" w:eastAsiaTheme="minorEastAsia" w:hAnsiTheme="minorHAnsi" w:cstheme="minorBidi"/>
                <w:bCs w:val="0"/>
                <w:noProof/>
                <w:sz w:val="22"/>
                <w:szCs w:val="22"/>
                <w:lang w:eastAsia="en-GB"/>
              </w:rPr>
              <w:tab/>
            </w:r>
            <w:r w:rsidR="00AA28FD" w:rsidRPr="00D94A73">
              <w:rPr>
                <w:rStyle w:val="Hyperlink"/>
                <w:noProof/>
                <w:lang w:eastAsia="en-GB"/>
              </w:rPr>
              <w:t>Introduction</w:t>
            </w:r>
            <w:r w:rsidR="00AA28FD">
              <w:rPr>
                <w:noProof/>
                <w:webHidden/>
              </w:rPr>
              <w:tab/>
            </w:r>
            <w:r w:rsidR="00AA28FD">
              <w:rPr>
                <w:noProof/>
                <w:webHidden/>
              </w:rPr>
              <w:fldChar w:fldCharType="begin"/>
            </w:r>
            <w:r w:rsidR="00AA28FD">
              <w:rPr>
                <w:noProof/>
                <w:webHidden/>
              </w:rPr>
              <w:instrText xml:space="preserve"> PAGEREF _Toc498495301 \h </w:instrText>
            </w:r>
            <w:r w:rsidR="00AA28FD">
              <w:rPr>
                <w:noProof/>
                <w:webHidden/>
              </w:rPr>
            </w:r>
            <w:r w:rsidR="00AA28FD">
              <w:rPr>
                <w:noProof/>
                <w:webHidden/>
              </w:rPr>
              <w:fldChar w:fldCharType="separate"/>
            </w:r>
            <w:r w:rsidR="00622FF2">
              <w:rPr>
                <w:noProof/>
                <w:webHidden/>
              </w:rPr>
              <w:t>15</w:t>
            </w:r>
            <w:r w:rsidR="00AA28FD">
              <w:rPr>
                <w:noProof/>
                <w:webHidden/>
              </w:rPr>
              <w:fldChar w:fldCharType="end"/>
            </w:r>
          </w:hyperlink>
        </w:p>
        <w:p w14:paraId="37B40E06"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02" w:history="1">
            <w:r w:rsidR="00AA28FD" w:rsidRPr="00D94A73">
              <w:rPr>
                <w:rStyle w:val="Hyperlink"/>
                <w:noProof/>
                <w:lang w:eastAsia="en-GB"/>
              </w:rPr>
              <w:t>1.2</w:t>
            </w:r>
            <w:r w:rsidR="00AA28FD">
              <w:rPr>
                <w:rFonts w:asciiTheme="minorHAnsi" w:eastAsiaTheme="minorEastAsia" w:hAnsiTheme="minorHAnsi" w:cstheme="minorBidi"/>
                <w:bCs w:val="0"/>
                <w:noProof/>
                <w:sz w:val="22"/>
                <w:szCs w:val="22"/>
                <w:lang w:eastAsia="en-GB"/>
              </w:rPr>
              <w:tab/>
            </w:r>
            <w:r w:rsidR="00AA28FD" w:rsidRPr="00D94A73">
              <w:rPr>
                <w:rStyle w:val="Hyperlink"/>
                <w:noProof/>
                <w:lang w:eastAsia="en-GB"/>
              </w:rPr>
              <w:t>Structure</w:t>
            </w:r>
            <w:r w:rsidR="00AA28FD">
              <w:rPr>
                <w:noProof/>
                <w:webHidden/>
              </w:rPr>
              <w:tab/>
            </w:r>
            <w:r w:rsidR="00AA28FD">
              <w:rPr>
                <w:noProof/>
                <w:webHidden/>
              </w:rPr>
              <w:fldChar w:fldCharType="begin"/>
            </w:r>
            <w:r w:rsidR="00AA28FD">
              <w:rPr>
                <w:noProof/>
                <w:webHidden/>
              </w:rPr>
              <w:instrText xml:space="preserve"> PAGEREF _Toc498495302 \h </w:instrText>
            </w:r>
            <w:r w:rsidR="00AA28FD">
              <w:rPr>
                <w:noProof/>
                <w:webHidden/>
              </w:rPr>
            </w:r>
            <w:r w:rsidR="00AA28FD">
              <w:rPr>
                <w:noProof/>
                <w:webHidden/>
              </w:rPr>
              <w:fldChar w:fldCharType="separate"/>
            </w:r>
            <w:r w:rsidR="00622FF2">
              <w:rPr>
                <w:noProof/>
                <w:webHidden/>
              </w:rPr>
              <w:t>15</w:t>
            </w:r>
            <w:r w:rsidR="00AA28FD">
              <w:rPr>
                <w:noProof/>
                <w:webHidden/>
              </w:rPr>
              <w:fldChar w:fldCharType="end"/>
            </w:r>
          </w:hyperlink>
        </w:p>
        <w:p w14:paraId="118AD712"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03" w:history="1">
            <w:r w:rsidR="00AA28FD" w:rsidRPr="00D94A73">
              <w:rPr>
                <w:rStyle w:val="Hyperlink"/>
                <w:noProof/>
                <w:lang w:eastAsia="en-GB"/>
              </w:rPr>
              <w:t>1.3</w:t>
            </w:r>
            <w:r w:rsidR="00AA28FD">
              <w:rPr>
                <w:rFonts w:asciiTheme="minorHAnsi" w:eastAsiaTheme="minorEastAsia" w:hAnsiTheme="minorHAnsi" w:cstheme="minorBidi"/>
                <w:bCs w:val="0"/>
                <w:noProof/>
                <w:sz w:val="22"/>
                <w:szCs w:val="22"/>
                <w:lang w:eastAsia="en-GB"/>
              </w:rPr>
              <w:tab/>
            </w:r>
            <w:r w:rsidR="00AA28FD" w:rsidRPr="00D94A73">
              <w:rPr>
                <w:rStyle w:val="Hyperlink"/>
                <w:noProof/>
                <w:lang w:eastAsia="en-GB"/>
              </w:rPr>
              <w:t>Transitional arrangements</w:t>
            </w:r>
            <w:r w:rsidR="00AA28FD">
              <w:rPr>
                <w:noProof/>
                <w:webHidden/>
              </w:rPr>
              <w:tab/>
            </w:r>
            <w:r w:rsidR="00AA28FD">
              <w:rPr>
                <w:noProof/>
                <w:webHidden/>
              </w:rPr>
              <w:fldChar w:fldCharType="begin"/>
            </w:r>
            <w:r w:rsidR="00AA28FD">
              <w:rPr>
                <w:noProof/>
                <w:webHidden/>
              </w:rPr>
              <w:instrText xml:space="preserve"> PAGEREF _Toc498495303 \h </w:instrText>
            </w:r>
            <w:r w:rsidR="00AA28FD">
              <w:rPr>
                <w:noProof/>
                <w:webHidden/>
              </w:rPr>
            </w:r>
            <w:r w:rsidR="00AA28FD">
              <w:rPr>
                <w:noProof/>
                <w:webHidden/>
              </w:rPr>
              <w:fldChar w:fldCharType="separate"/>
            </w:r>
            <w:r w:rsidR="00622FF2">
              <w:rPr>
                <w:noProof/>
                <w:webHidden/>
              </w:rPr>
              <w:t>16</w:t>
            </w:r>
            <w:r w:rsidR="00AA28FD">
              <w:rPr>
                <w:noProof/>
                <w:webHidden/>
              </w:rPr>
              <w:fldChar w:fldCharType="end"/>
            </w:r>
          </w:hyperlink>
        </w:p>
        <w:p w14:paraId="16698DAE" w14:textId="77777777" w:rsidR="00AA28FD" w:rsidRDefault="000E7846">
          <w:pPr>
            <w:pStyle w:val="TOC1"/>
            <w:rPr>
              <w:rFonts w:asciiTheme="minorHAnsi" w:eastAsiaTheme="minorEastAsia" w:hAnsiTheme="minorHAnsi" w:cstheme="minorBidi"/>
              <w:bCs w:val="0"/>
              <w:color w:val="auto"/>
              <w:sz w:val="22"/>
              <w:szCs w:val="22"/>
              <w:lang w:eastAsia="en-GB"/>
            </w:rPr>
          </w:pPr>
          <w:hyperlink w:anchor="_Toc498495304" w:history="1">
            <w:r w:rsidR="00AA28FD" w:rsidRPr="00D94A73">
              <w:rPr>
                <w:rStyle w:val="Hyperlink"/>
              </w:rPr>
              <w:t>2</w:t>
            </w:r>
            <w:r w:rsidR="00AA28FD">
              <w:rPr>
                <w:rFonts w:asciiTheme="minorHAnsi" w:eastAsiaTheme="minorEastAsia" w:hAnsiTheme="minorHAnsi" w:cstheme="minorBidi"/>
                <w:bCs w:val="0"/>
                <w:color w:val="auto"/>
                <w:sz w:val="22"/>
                <w:szCs w:val="22"/>
                <w:lang w:eastAsia="en-GB"/>
              </w:rPr>
              <w:tab/>
            </w:r>
            <w:r w:rsidR="00AA28FD" w:rsidRPr="00D94A73">
              <w:rPr>
                <w:rStyle w:val="Hyperlink"/>
              </w:rPr>
              <w:t>Abbreviations and Acronyms</w:t>
            </w:r>
            <w:r w:rsidR="00AA28FD">
              <w:rPr>
                <w:webHidden/>
              </w:rPr>
              <w:tab/>
            </w:r>
            <w:r w:rsidR="00AA28FD">
              <w:rPr>
                <w:webHidden/>
              </w:rPr>
              <w:fldChar w:fldCharType="begin"/>
            </w:r>
            <w:r w:rsidR="00AA28FD">
              <w:rPr>
                <w:webHidden/>
              </w:rPr>
              <w:instrText xml:space="preserve"> PAGEREF _Toc498495304 \h </w:instrText>
            </w:r>
            <w:r w:rsidR="00AA28FD">
              <w:rPr>
                <w:webHidden/>
              </w:rPr>
            </w:r>
            <w:r w:rsidR="00AA28FD">
              <w:rPr>
                <w:webHidden/>
              </w:rPr>
              <w:fldChar w:fldCharType="separate"/>
            </w:r>
            <w:r w:rsidR="00622FF2">
              <w:rPr>
                <w:webHidden/>
              </w:rPr>
              <w:t>17</w:t>
            </w:r>
            <w:r w:rsidR="00AA28FD">
              <w:rPr>
                <w:webHidden/>
              </w:rPr>
              <w:fldChar w:fldCharType="end"/>
            </w:r>
          </w:hyperlink>
        </w:p>
        <w:p w14:paraId="6A6D1244"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05" w:history="1">
            <w:r w:rsidR="00AA28FD" w:rsidRPr="00D94A73">
              <w:rPr>
                <w:rStyle w:val="Hyperlink"/>
                <w:noProof/>
              </w:rPr>
              <w:t>2.1</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Abbreviations and Acronyms</w:t>
            </w:r>
            <w:r w:rsidR="00AA28FD">
              <w:rPr>
                <w:noProof/>
                <w:webHidden/>
              </w:rPr>
              <w:tab/>
            </w:r>
            <w:r w:rsidR="00AA28FD">
              <w:rPr>
                <w:noProof/>
                <w:webHidden/>
              </w:rPr>
              <w:fldChar w:fldCharType="begin"/>
            </w:r>
            <w:r w:rsidR="00AA28FD">
              <w:rPr>
                <w:noProof/>
                <w:webHidden/>
              </w:rPr>
              <w:instrText xml:space="preserve"> PAGEREF _Toc498495305 \h </w:instrText>
            </w:r>
            <w:r w:rsidR="00AA28FD">
              <w:rPr>
                <w:noProof/>
                <w:webHidden/>
              </w:rPr>
            </w:r>
            <w:r w:rsidR="00AA28FD">
              <w:rPr>
                <w:noProof/>
                <w:webHidden/>
              </w:rPr>
              <w:fldChar w:fldCharType="separate"/>
            </w:r>
            <w:r w:rsidR="00622FF2">
              <w:rPr>
                <w:noProof/>
                <w:webHidden/>
              </w:rPr>
              <w:t>17</w:t>
            </w:r>
            <w:r w:rsidR="00AA28FD">
              <w:rPr>
                <w:noProof/>
                <w:webHidden/>
              </w:rPr>
              <w:fldChar w:fldCharType="end"/>
            </w:r>
          </w:hyperlink>
        </w:p>
        <w:p w14:paraId="7562B489" w14:textId="77777777" w:rsidR="00AA28FD" w:rsidRDefault="000E7846">
          <w:pPr>
            <w:pStyle w:val="TOC1"/>
            <w:rPr>
              <w:rFonts w:asciiTheme="minorHAnsi" w:eastAsiaTheme="minorEastAsia" w:hAnsiTheme="minorHAnsi" w:cstheme="minorBidi"/>
              <w:bCs w:val="0"/>
              <w:color w:val="auto"/>
              <w:sz w:val="22"/>
              <w:szCs w:val="22"/>
              <w:lang w:eastAsia="en-GB"/>
            </w:rPr>
          </w:pPr>
          <w:hyperlink w:anchor="_Toc498495306" w:history="1">
            <w:r w:rsidR="00AA28FD" w:rsidRPr="00D94A73">
              <w:rPr>
                <w:rStyle w:val="Hyperlink"/>
              </w:rPr>
              <w:t>3</w:t>
            </w:r>
            <w:r w:rsidR="00AA28FD">
              <w:rPr>
                <w:rFonts w:asciiTheme="minorHAnsi" w:eastAsiaTheme="minorEastAsia" w:hAnsiTheme="minorHAnsi" w:cstheme="minorBidi"/>
                <w:bCs w:val="0"/>
                <w:color w:val="auto"/>
                <w:sz w:val="22"/>
                <w:szCs w:val="22"/>
                <w:lang w:eastAsia="en-GB"/>
              </w:rPr>
              <w:tab/>
            </w:r>
            <w:r w:rsidR="00AA28FD" w:rsidRPr="00D94A73">
              <w:rPr>
                <w:rStyle w:val="Hyperlink"/>
              </w:rPr>
              <w:t>Commissioning Described</w:t>
            </w:r>
            <w:r w:rsidR="00AA28FD">
              <w:rPr>
                <w:webHidden/>
              </w:rPr>
              <w:tab/>
            </w:r>
            <w:r w:rsidR="00AA28FD">
              <w:rPr>
                <w:webHidden/>
              </w:rPr>
              <w:fldChar w:fldCharType="begin"/>
            </w:r>
            <w:r w:rsidR="00AA28FD">
              <w:rPr>
                <w:webHidden/>
              </w:rPr>
              <w:instrText xml:space="preserve"> PAGEREF _Toc498495306 \h </w:instrText>
            </w:r>
            <w:r w:rsidR="00AA28FD">
              <w:rPr>
                <w:webHidden/>
              </w:rPr>
            </w:r>
            <w:r w:rsidR="00AA28FD">
              <w:rPr>
                <w:webHidden/>
              </w:rPr>
              <w:fldChar w:fldCharType="separate"/>
            </w:r>
            <w:r w:rsidR="00622FF2">
              <w:rPr>
                <w:webHidden/>
              </w:rPr>
              <w:t>19</w:t>
            </w:r>
            <w:r w:rsidR="00AA28FD">
              <w:rPr>
                <w:webHidden/>
              </w:rPr>
              <w:fldChar w:fldCharType="end"/>
            </w:r>
          </w:hyperlink>
        </w:p>
        <w:p w14:paraId="66B4D2F2"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07" w:history="1">
            <w:r w:rsidR="00AA28FD" w:rsidRPr="00D94A73">
              <w:rPr>
                <w:rStyle w:val="Hyperlink"/>
                <w:noProof/>
              </w:rPr>
              <w:t>3.1</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Commissioning Arrangements</w:t>
            </w:r>
            <w:r w:rsidR="00AA28FD">
              <w:rPr>
                <w:noProof/>
                <w:webHidden/>
              </w:rPr>
              <w:tab/>
            </w:r>
            <w:r w:rsidR="00AA28FD">
              <w:rPr>
                <w:noProof/>
                <w:webHidden/>
              </w:rPr>
              <w:fldChar w:fldCharType="begin"/>
            </w:r>
            <w:r w:rsidR="00AA28FD">
              <w:rPr>
                <w:noProof/>
                <w:webHidden/>
              </w:rPr>
              <w:instrText xml:space="preserve"> PAGEREF _Toc498495307 \h </w:instrText>
            </w:r>
            <w:r w:rsidR="00AA28FD">
              <w:rPr>
                <w:noProof/>
                <w:webHidden/>
              </w:rPr>
            </w:r>
            <w:r w:rsidR="00AA28FD">
              <w:rPr>
                <w:noProof/>
                <w:webHidden/>
              </w:rPr>
              <w:fldChar w:fldCharType="separate"/>
            </w:r>
            <w:r w:rsidR="00622FF2">
              <w:rPr>
                <w:noProof/>
                <w:webHidden/>
              </w:rPr>
              <w:t>19</w:t>
            </w:r>
            <w:r w:rsidR="00AA28FD">
              <w:rPr>
                <w:noProof/>
                <w:webHidden/>
              </w:rPr>
              <w:fldChar w:fldCharType="end"/>
            </w:r>
          </w:hyperlink>
        </w:p>
        <w:p w14:paraId="420D6C66"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08" w:history="1">
            <w:r w:rsidR="00AA28FD" w:rsidRPr="00D94A73">
              <w:rPr>
                <w:rStyle w:val="Hyperlink"/>
                <w:noProof/>
                <w:lang w:eastAsia="en-GB"/>
              </w:rPr>
              <w:t>3.2</w:t>
            </w:r>
            <w:r w:rsidR="00AA28FD">
              <w:rPr>
                <w:rFonts w:asciiTheme="minorHAnsi" w:eastAsiaTheme="minorEastAsia" w:hAnsiTheme="minorHAnsi" w:cstheme="minorBidi"/>
                <w:bCs w:val="0"/>
                <w:noProof/>
                <w:sz w:val="22"/>
                <w:szCs w:val="22"/>
                <w:lang w:eastAsia="en-GB"/>
              </w:rPr>
              <w:tab/>
            </w:r>
            <w:r w:rsidR="00AA28FD" w:rsidRPr="00D94A73">
              <w:rPr>
                <w:rStyle w:val="Hyperlink"/>
                <w:noProof/>
                <w:lang w:eastAsia="en-GB"/>
              </w:rPr>
              <w:t>Introduction</w:t>
            </w:r>
            <w:r w:rsidR="00AA28FD">
              <w:rPr>
                <w:noProof/>
                <w:webHidden/>
              </w:rPr>
              <w:tab/>
            </w:r>
            <w:r w:rsidR="00AA28FD">
              <w:rPr>
                <w:noProof/>
                <w:webHidden/>
              </w:rPr>
              <w:fldChar w:fldCharType="begin"/>
            </w:r>
            <w:r w:rsidR="00AA28FD">
              <w:rPr>
                <w:noProof/>
                <w:webHidden/>
              </w:rPr>
              <w:instrText xml:space="preserve"> PAGEREF _Toc498495308 \h </w:instrText>
            </w:r>
            <w:r w:rsidR="00AA28FD">
              <w:rPr>
                <w:noProof/>
                <w:webHidden/>
              </w:rPr>
            </w:r>
            <w:r w:rsidR="00AA28FD">
              <w:rPr>
                <w:noProof/>
                <w:webHidden/>
              </w:rPr>
              <w:fldChar w:fldCharType="separate"/>
            </w:r>
            <w:r w:rsidR="00622FF2">
              <w:rPr>
                <w:noProof/>
                <w:webHidden/>
              </w:rPr>
              <w:t>19</w:t>
            </w:r>
            <w:r w:rsidR="00AA28FD">
              <w:rPr>
                <w:noProof/>
                <w:webHidden/>
              </w:rPr>
              <w:fldChar w:fldCharType="end"/>
            </w:r>
          </w:hyperlink>
        </w:p>
        <w:p w14:paraId="180460C5"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09" w:history="1">
            <w:r w:rsidR="00AA28FD" w:rsidRPr="00D94A73">
              <w:rPr>
                <w:rStyle w:val="Hyperlink"/>
                <w:noProof/>
                <w:lang w:eastAsia="en-GB"/>
              </w:rPr>
              <w:t>3.3</w:t>
            </w:r>
            <w:r w:rsidR="00AA28FD">
              <w:rPr>
                <w:rFonts w:asciiTheme="minorHAnsi" w:eastAsiaTheme="minorEastAsia" w:hAnsiTheme="minorHAnsi" w:cstheme="minorBidi"/>
                <w:bCs w:val="0"/>
                <w:noProof/>
                <w:sz w:val="22"/>
                <w:szCs w:val="22"/>
                <w:lang w:eastAsia="en-GB"/>
              </w:rPr>
              <w:tab/>
            </w:r>
            <w:r w:rsidR="00AA28FD" w:rsidRPr="00D94A73">
              <w:rPr>
                <w:rStyle w:val="Hyperlink"/>
                <w:noProof/>
                <w:lang w:eastAsia="en-GB"/>
              </w:rPr>
              <w:t>Background</w:t>
            </w:r>
            <w:r w:rsidR="00AA28FD">
              <w:rPr>
                <w:noProof/>
                <w:webHidden/>
              </w:rPr>
              <w:tab/>
            </w:r>
            <w:r w:rsidR="00AA28FD">
              <w:rPr>
                <w:noProof/>
                <w:webHidden/>
              </w:rPr>
              <w:fldChar w:fldCharType="begin"/>
            </w:r>
            <w:r w:rsidR="00AA28FD">
              <w:rPr>
                <w:noProof/>
                <w:webHidden/>
              </w:rPr>
              <w:instrText xml:space="preserve"> PAGEREF _Toc498495309 \h </w:instrText>
            </w:r>
            <w:r w:rsidR="00AA28FD">
              <w:rPr>
                <w:noProof/>
                <w:webHidden/>
              </w:rPr>
            </w:r>
            <w:r w:rsidR="00AA28FD">
              <w:rPr>
                <w:noProof/>
                <w:webHidden/>
              </w:rPr>
              <w:fldChar w:fldCharType="separate"/>
            </w:r>
            <w:r w:rsidR="00622FF2">
              <w:rPr>
                <w:noProof/>
                <w:webHidden/>
              </w:rPr>
              <w:t>19</w:t>
            </w:r>
            <w:r w:rsidR="00AA28FD">
              <w:rPr>
                <w:noProof/>
                <w:webHidden/>
              </w:rPr>
              <w:fldChar w:fldCharType="end"/>
            </w:r>
          </w:hyperlink>
        </w:p>
        <w:p w14:paraId="7B0125A0"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10" w:history="1">
            <w:r w:rsidR="00AA28FD" w:rsidRPr="00D94A73">
              <w:rPr>
                <w:rStyle w:val="Hyperlink"/>
                <w:noProof/>
                <w:lang w:eastAsia="en-GB"/>
              </w:rPr>
              <w:t>3.4</w:t>
            </w:r>
            <w:r w:rsidR="00AA28FD">
              <w:rPr>
                <w:rFonts w:asciiTheme="minorHAnsi" w:eastAsiaTheme="minorEastAsia" w:hAnsiTheme="minorHAnsi" w:cstheme="minorBidi"/>
                <w:bCs w:val="0"/>
                <w:noProof/>
                <w:sz w:val="22"/>
                <w:szCs w:val="22"/>
                <w:lang w:eastAsia="en-GB"/>
              </w:rPr>
              <w:tab/>
            </w:r>
            <w:r w:rsidR="00AA28FD" w:rsidRPr="00D94A73">
              <w:rPr>
                <w:rStyle w:val="Hyperlink"/>
                <w:noProof/>
                <w:lang w:eastAsia="en-GB"/>
              </w:rPr>
              <w:t>Co-commissioning Models:</w:t>
            </w:r>
            <w:r w:rsidR="00AA28FD">
              <w:rPr>
                <w:noProof/>
                <w:webHidden/>
              </w:rPr>
              <w:tab/>
            </w:r>
            <w:r w:rsidR="00AA28FD">
              <w:rPr>
                <w:noProof/>
                <w:webHidden/>
              </w:rPr>
              <w:fldChar w:fldCharType="begin"/>
            </w:r>
            <w:r w:rsidR="00AA28FD">
              <w:rPr>
                <w:noProof/>
                <w:webHidden/>
              </w:rPr>
              <w:instrText xml:space="preserve"> PAGEREF _Toc498495310 \h </w:instrText>
            </w:r>
            <w:r w:rsidR="00AA28FD">
              <w:rPr>
                <w:noProof/>
                <w:webHidden/>
              </w:rPr>
            </w:r>
            <w:r w:rsidR="00AA28FD">
              <w:rPr>
                <w:noProof/>
                <w:webHidden/>
              </w:rPr>
              <w:fldChar w:fldCharType="separate"/>
            </w:r>
            <w:r w:rsidR="00622FF2">
              <w:rPr>
                <w:noProof/>
                <w:webHidden/>
              </w:rPr>
              <w:t>19</w:t>
            </w:r>
            <w:r w:rsidR="00AA28FD">
              <w:rPr>
                <w:noProof/>
                <w:webHidden/>
              </w:rPr>
              <w:fldChar w:fldCharType="end"/>
            </w:r>
          </w:hyperlink>
        </w:p>
        <w:p w14:paraId="760D76F0"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11" w:history="1">
            <w:r w:rsidR="00AA28FD" w:rsidRPr="00D94A73">
              <w:rPr>
                <w:rStyle w:val="Hyperlink"/>
                <w:noProof/>
              </w:rPr>
              <w:t>3.5</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Greater involvement in primary care co-commissioning:</w:t>
            </w:r>
            <w:r w:rsidR="00AA28FD">
              <w:rPr>
                <w:noProof/>
                <w:webHidden/>
              </w:rPr>
              <w:tab/>
            </w:r>
            <w:r w:rsidR="00AA28FD">
              <w:rPr>
                <w:noProof/>
                <w:webHidden/>
              </w:rPr>
              <w:fldChar w:fldCharType="begin"/>
            </w:r>
            <w:r w:rsidR="00AA28FD">
              <w:rPr>
                <w:noProof/>
                <w:webHidden/>
              </w:rPr>
              <w:instrText xml:space="preserve"> PAGEREF _Toc498495311 \h </w:instrText>
            </w:r>
            <w:r w:rsidR="00AA28FD">
              <w:rPr>
                <w:noProof/>
                <w:webHidden/>
              </w:rPr>
            </w:r>
            <w:r w:rsidR="00AA28FD">
              <w:rPr>
                <w:noProof/>
                <w:webHidden/>
              </w:rPr>
              <w:fldChar w:fldCharType="separate"/>
            </w:r>
            <w:r w:rsidR="00622FF2">
              <w:rPr>
                <w:noProof/>
                <w:webHidden/>
              </w:rPr>
              <w:t>19</w:t>
            </w:r>
            <w:r w:rsidR="00AA28FD">
              <w:rPr>
                <w:noProof/>
                <w:webHidden/>
              </w:rPr>
              <w:fldChar w:fldCharType="end"/>
            </w:r>
          </w:hyperlink>
        </w:p>
        <w:p w14:paraId="7D98D34A"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12" w:history="1">
            <w:r w:rsidR="00AA28FD" w:rsidRPr="00D94A73">
              <w:rPr>
                <w:rStyle w:val="Hyperlink"/>
                <w:noProof/>
              </w:rPr>
              <w:t>3.6</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Joint commissioning arrangements:</w:t>
            </w:r>
            <w:r w:rsidR="00AA28FD">
              <w:rPr>
                <w:noProof/>
                <w:webHidden/>
              </w:rPr>
              <w:tab/>
            </w:r>
            <w:r w:rsidR="00AA28FD">
              <w:rPr>
                <w:noProof/>
                <w:webHidden/>
              </w:rPr>
              <w:fldChar w:fldCharType="begin"/>
            </w:r>
            <w:r w:rsidR="00AA28FD">
              <w:rPr>
                <w:noProof/>
                <w:webHidden/>
              </w:rPr>
              <w:instrText xml:space="preserve"> PAGEREF _Toc498495312 \h </w:instrText>
            </w:r>
            <w:r w:rsidR="00AA28FD">
              <w:rPr>
                <w:noProof/>
                <w:webHidden/>
              </w:rPr>
            </w:r>
            <w:r w:rsidR="00AA28FD">
              <w:rPr>
                <w:noProof/>
                <w:webHidden/>
              </w:rPr>
              <w:fldChar w:fldCharType="separate"/>
            </w:r>
            <w:r w:rsidR="00622FF2">
              <w:rPr>
                <w:noProof/>
                <w:webHidden/>
              </w:rPr>
              <w:t>20</w:t>
            </w:r>
            <w:r w:rsidR="00AA28FD">
              <w:rPr>
                <w:noProof/>
                <w:webHidden/>
              </w:rPr>
              <w:fldChar w:fldCharType="end"/>
            </w:r>
          </w:hyperlink>
        </w:p>
        <w:p w14:paraId="6AEEB2B2"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13" w:history="1">
            <w:r w:rsidR="00AA28FD" w:rsidRPr="00D94A73">
              <w:rPr>
                <w:rStyle w:val="Hyperlink"/>
                <w:noProof/>
              </w:rPr>
              <w:t>3.7</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Delegated commissioning arrangements:</w:t>
            </w:r>
            <w:r w:rsidR="00AA28FD">
              <w:rPr>
                <w:noProof/>
                <w:webHidden/>
              </w:rPr>
              <w:tab/>
            </w:r>
            <w:r w:rsidR="00AA28FD">
              <w:rPr>
                <w:noProof/>
                <w:webHidden/>
              </w:rPr>
              <w:fldChar w:fldCharType="begin"/>
            </w:r>
            <w:r w:rsidR="00AA28FD">
              <w:rPr>
                <w:noProof/>
                <w:webHidden/>
              </w:rPr>
              <w:instrText xml:space="preserve"> PAGEREF _Toc498495313 \h </w:instrText>
            </w:r>
            <w:r w:rsidR="00AA28FD">
              <w:rPr>
                <w:noProof/>
                <w:webHidden/>
              </w:rPr>
            </w:r>
            <w:r w:rsidR="00AA28FD">
              <w:rPr>
                <w:noProof/>
                <w:webHidden/>
              </w:rPr>
              <w:fldChar w:fldCharType="separate"/>
            </w:r>
            <w:r w:rsidR="00622FF2">
              <w:rPr>
                <w:noProof/>
                <w:webHidden/>
              </w:rPr>
              <w:t>21</w:t>
            </w:r>
            <w:r w:rsidR="00AA28FD">
              <w:rPr>
                <w:noProof/>
                <w:webHidden/>
              </w:rPr>
              <w:fldChar w:fldCharType="end"/>
            </w:r>
          </w:hyperlink>
        </w:p>
        <w:p w14:paraId="624A3765"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14" w:history="1">
            <w:r w:rsidR="00AA28FD" w:rsidRPr="00D94A73">
              <w:rPr>
                <w:rStyle w:val="Hyperlink"/>
                <w:noProof/>
                <w:lang w:eastAsia="en-GB"/>
              </w:rPr>
              <w:t>3.8</w:t>
            </w:r>
            <w:r w:rsidR="00AA28FD">
              <w:rPr>
                <w:rFonts w:asciiTheme="minorHAnsi" w:eastAsiaTheme="minorEastAsia" w:hAnsiTheme="minorHAnsi" w:cstheme="minorBidi"/>
                <w:bCs w:val="0"/>
                <w:noProof/>
                <w:sz w:val="22"/>
                <w:szCs w:val="22"/>
                <w:lang w:eastAsia="en-GB"/>
              </w:rPr>
              <w:tab/>
            </w:r>
            <w:r w:rsidR="00AA28FD" w:rsidRPr="00D94A73">
              <w:rPr>
                <w:rStyle w:val="Hyperlink"/>
                <w:noProof/>
                <w:lang w:eastAsia="en-GB"/>
              </w:rPr>
              <w:t>Co-Commissioning and Primary Care Policies:</w:t>
            </w:r>
            <w:r w:rsidR="00AA28FD">
              <w:rPr>
                <w:noProof/>
                <w:webHidden/>
              </w:rPr>
              <w:tab/>
            </w:r>
            <w:r w:rsidR="00AA28FD">
              <w:rPr>
                <w:noProof/>
                <w:webHidden/>
              </w:rPr>
              <w:fldChar w:fldCharType="begin"/>
            </w:r>
            <w:r w:rsidR="00AA28FD">
              <w:rPr>
                <w:noProof/>
                <w:webHidden/>
              </w:rPr>
              <w:instrText xml:space="preserve"> PAGEREF _Toc498495314 \h </w:instrText>
            </w:r>
            <w:r w:rsidR="00AA28FD">
              <w:rPr>
                <w:noProof/>
                <w:webHidden/>
              </w:rPr>
            </w:r>
            <w:r w:rsidR="00AA28FD">
              <w:rPr>
                <w:noProof/>
                <w:webHidden/>
              </w:rPr>
              <w:fldChar w:fldCharType="separate"/>
            </w:r>
            <w:r w:rsidR="00622FF2">
              <w:rPr>
                <w:noProof/>
                <w:webHidden/>
              </w:rPr>
              <w:t>22</w:t>
            </w:r>
            <w:r w:rsidR="00AA28FD">
              <w:rPr>
                <w:noProof/>
                <w:webHidden/>
              </w:rPr>
              <w:fldChar w:fldCharType="end"/>
            </w:r>
          </w:hyperlink>
        </w:p>
        <w:p w14:paraId="543C0AB6" w14:textId="77777777" w:rsidR="00AA28FD" w:rsidRDefault="000E7846">
          <w:pPr>
            <w:pStyle w:val="TOC1"/>
            <w:rPr>
              <w:rFonts w:asciiTheme="minorHAnsi" w:eastAsiaTheme="minorEastAsia" w:hAnsiTheme="minorHAnsi" w:cstheme="minorBidi"/>
              <w:bCs w:val="0"/>
              <w:color w:val="auto"/>
              <w:sz w:val="22"/>
              <w:szCs w:val="22"/>
              <w:lang w:eastAsia="en-GB"/>
            </w:rPr>
          </w:pPr>
          <w:hyperlink w:anchor="_Toc498495315" w:history="1">
            <w:r w:rsidR="00AA28FD" w:rsidRPr="00D94A73">
              <w:rPr>
                <w:rStyle w:val="Hyperlink"/>
              </w:rPr>
              <w:t>4</w:t>
            </w:r>
            <w:r w:rsidR="00AA28FD">
              <w:rPr>
                <w:rFonts w:asciiTheme="minorHAnsi" w:eastAsiaTheme="minorEastAsia" w:hAnsiTheme="minorHAnsi" w:cstheme="minorBidi"/>
                <w:bCs w:val="0"/>
                <w:color w:val="auto"/>
                <w:sz w:val="22"/>
                <w:szCs w:val="22"/>
                <w:lang w:eastAsia="en-GB"/>
              </w:rPr>
              <w:tab/>
            </w:r>
            <w:r w:rsidR="00AA28FD" w:rsidRPr="00D94A73">
              <w:rPr>
                <w:rStyle w:val="Hyperlink"/>
              </w:rPr>
              <w:t>General Duties of NHS England (including addressing health inequalities)</w:t>
            </w:r>
            <w:r w:rsidR="00AA28FD">
              <w:rPr>
                <w:webHidden/>
              </w:rPr>
              <w:tab/>
            </w:r>
            <w:r w:rsidR="00AA28FD">
              <w:rPr>
                <w:webHidden/>
              </w:rPr>
              <w:fldChar w:fldCharType="begin"/>
            </w:r>
            <w:r w:rsidR="00AA28FD">
              <w:rPr>
                <w:webHidden/>
              </w:rPr>
              <w:instrText xml:space="preserve"> PAGEREF _Toc498495315 \h </w:instrText>
            </w:r>
            <w:r w:rsidR="00AA28FD">
              <w:rPr>
                <w:webHidden/>
              </w:rPr>
            </w:r>
            <w:r w:rsidR="00AA28FD">
              <w:rPr>
                <w:webHidden/>
              </w:rPr>
              <w:fldChar w:fldCharType="separate"/>
            </w:r>
            <w:r w:rsidR="00622FF2">
              <w:rPr>
                <w:webHidden/>
              </w:rPr>
              <w:t>24</w:t>
            </w:r>
            <w:r w:rsidR="00AA28FD">
              <w:rPr>
                <w:webHidden/>
              </w:rPr>
              <w:fldChar w:fldCharType="end"/>
            </w:r>
          </w:hyperlink>
        </w:p>
        <w:p w14:paraId="1E73CCF9"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16" w:history="1">
            <w:r w:rsidR="00AA28FD" w:rsidRPr="00D94A73">
              <w:rPr>
                <w:rStyle w:val="Hyperlink"/>
                <w:noProof/>
                <w:lang w:eastAsia="en-GB"/>
              </w:rPr>
              <w:t>4.1</w:t>
            </w:r>
            <w:r w:rsidR="00AA28FD">
              <w:rPr>
                <w:rFonts w:asciiTheme="minorHAnsi" w:eastAsiaTheme="minorEastAsia" w:hAnsiTheme="minorHAnsi" w:cstheme="minorBidi"/>
                <w:bCs w:val="0"/>
                <w:noProof/>
                <w:sz w:val="22"/>
                <w:szCs w:val="22"/>
                <w:lang w:eastAsia="en-GB"/>
              </w:rPr>
              <w:tab/>
            </w:r>
            <w:r w:rsidR="00AA28FD" w:rsidRPr="00D94A73">
              <w:rPr>
                <w:rStyle w:val="Hyperlink"/>
                <w:noProof/>
                <w:lang w:eastAsia="en-GB"/>
              </w:rPr>
              <w:t>Introduction</w:t>
            </w:r>
            <w:r w:rsidR="00AA28FD">
              <w:rPr>
                <w:noProof/>
                <w:webHidden/>
              </w:rPr>
              <w:tab/>
            </w:r>
            <w:r w:rsidR="00AA28FD">
              <w:rPr>
                <w:noProof/>
                <w:webHidden/>
              </w:rPr>
              <w:fldChar w:fldCharType="begin"/>
            </w:r>
            <w:r w:rsidR="00AA28FD">
              <w:rPr>
                <w:noProof/>
                <w:webHidden/>
              </w:rPr>
              <w:instrText xml:space="preserve"> PAGEREF _Toc498495316 \h </w:instrText>
            </w:r>
            <w:r w:rsidR="00AA28FD">
              <w:rPr>
                <w:noProof/>
                <w:webHidden/>
              </w:rPr>
            </w:r>
            <w:r w:rsidR="00AA28FD">
              <w:rPr>
                <w:noProof/>
                <w:webHidden/>
              </w:rPr>
              <w:fldChar w:fldCharType="separate"/>
            </w:r>
            <w:r w:rsidR="00622FF2">
              <w:rPr>
                <w:noProof/>
                <w:webHidden/>
              </w:rPr>
              <w:t>24</w:t>
            </w:r>
            <w:r w:rsidR="00AA28FD">
              <w:rPr>
                <w:noProof/>
                <w:webHidden/>
              </w:rPr>
              <w:fldChar w:fldCharType="end"/>
            </w:r>
          </w:hyperlink>
        </w:p>
        <w:p w14:paraId="5B8B32AA"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17" w:history="1">
            <w:r w:rsidR="00AA28FD" w:rsidRPr="00D94A73">
              <w:rPr>
                <w:rStyle w:val="Hyperlink"/>
                <w:rFonts w:eastAsiaTheme="majorEastAsia"/>
                <w:noProof/>
              </w:rPr>
              <w:t>4.2</w:t>
            </w:r>
            <w:r w:rsidR="00AA28FD">
              <w:rPr>
                <w:rFonts w:asciiTheme="minorHAnsi" w:eastAsiaTheme="minorEastAsia" w:hAnsiTheme="minorHAnsi" w:cstheme="minorBidi"/>
                <w:bCs w:val="0"/>
                <w:noProof/>
                <w:sz w:val="22"/>
                <w:szCs w:val="22"/>
                <w:lang w:eastAsia="en-GB"/>
              </w:rPr>
              <w:tab/>
            </w:r>
            <w:r w:rsidR="00AA28FD" w:rsidRPr="00D94A73">
              <w:rPr>
                <w:rStyle w:val="Hyperlink"/>
                <w:rFonts w:eastAsiaTheme="majorEastAsia"/>
                <w:noProof/>
              </w:rPr>
              <w:t xml:space="preserve">Equality and Health Inequalities </w:t>
            </w:r>
            <w:r w:rsidR="00AA28FD" w:rsidRPr="00D94A73">
              <w:rPr>
                <w:rStyle w:val="Hyperlink"/>
                <w:rFonts w:eastAsiaTheme="majorEastAsia"/>
                <w:noProof/>
                <w:spacing w:val="-2"/>
              </w:rPr>
              <w:t xml:space="preserve"> </w:t>
            </w:r>
            <w:r w:rsidR="00AA28FD" w:rsidRPr="00D94A73">
              <w:rPr>
                <w:rStyle w:val="Hyperlink"/>
                <w:rFonts w:eastAsiaTheme="majorEastAsia"/>
                <w:noProof/>
              </w:rPr>
              <w:t>Duties</w:t>
            </w:r>
            <w:r w:rsidR="00AA28FD">
              <w:rPr>
                <w:noProof/>
                <w:webHidden/>
              </w:rPr>
              <w:tab/>
            </w:r>
            <w:r w:rsidR="00AA28FD">
              <w:rPr>
                <w:noProof/>
                <w:webHidden/>
              </w:rPr>
              <w:fldChar w:fldCharType="begin"/>
            </w:r>
            <w:r w:rsidR="00AA28FD">
              <w:rPr>
                <w:noProof/>
                <w:webHidden/>
              </w:rPr>
              <w:instrText xml:space="preserve"> PAGEREF _Toc498495317 \h </w:instrText>
            </w:r>
            <w:r w:rsidR="00AA28FD">
              <w:rPr>
                <w:noProof/>
                <w:webHidden/>
              </w:rPr>
            </w:r>
            <w:r w:rsidR="00AA28FD">
              <w:rPr>
                <w:noProof/>
                <w:webHidden/>
              </w:rPr>
              <w:fldChar w:fldCharType="separate"/>
            </w:r>
            <w:r w:rsidR="00622FF2">
              <w:rPr>
                <w:noProof/>
                <w:webHidden/>
              </w:rPr>
              <w:t>28</w:t>
            </w:r>
            <w:r w:rsidR="00AA28FD">
              <w:rPr>
                <w:noProof/>
                <w:webHidden/>
              </w:rPr>
              <w:fldChar w:fldCharType="end"/>
            </w:r>
          </w:hyperlink>
        </w:p>
        <w:p w14:paraId="0623852B"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18" w:history="1">
            <w:r w:rsidR="00AA28FD" w:rsidRPr="00D94A73">
              <w:rPr>
                <w:rStyle w:val="Hyperlink"/>
                <w:rFonts w:eastAsiaTheme="majorEastAsia"/>
                <w:noProof/>
              </w:rPr>
              <w:t>4.3</w:t>
            </w:r>
            <w:r w:rsidR="00AA28FD">
              <w:rPr>
                <w:rFonts w:asciiTheme="minorHAnsi" w:eastAsiaTheme="minorEastAsia" w:hAnsiTheme="minorHAnsi" w:cstheme="minorBidi"/>
                <w:bCs w:val="0"/>
                <w:noProof/>
                <w:sz w:val="22"/>
                <w:szCs w:val="22"/>
                <w:lang w:eastAsia="en-GB"/>
              </w:rPr>
              <w:tab/>
            </w:r>
            <w:r w:rsidR="00AA28FD" w:rsidRPr="00D94A73">
              <w:rPr>
                <w:rStyle w:val="Hyperlink"/>
                <w:rFonts w:eastAsiaTheme="majorEastAsia"/>
                <w:noProof/>
              </w:rPr>
              <w:t>The Regard Duties</w:t>
            </w:r>
            <w:r w:rsidR="00AA28FD">
              <w:rPr>
                <w:noProof/>
                <w:webHidden/>
              </w:rPr>
              <w:tab/>
            </w:r>
            <w:r w:rsidR="00AA28FD">
              <w:rPr>
                <w:noProof/>
                <w:webHidden/>
              </w:rPr>
              <w:fldChar w:fldCharType="begin"/>
            </w:r>
            <w:r w:rsidR="00AA28FD">
              <w:rPr>
                <w:noProof/>
                <w:webHidden/>
              </w:rPr>
              <w:instrText xml:space="preserve"> PAGEREF _Toc498495318 \h </w:instrText>
            </w:r>
            <w:r w:rsidR="00AA28FD">
              <w:rPr>
                <w:noProof/>
                <w:webHidden/>
              </w:rPr>
            </w:r>
            <w:r w:rsidR="00AA28FD">
              <w:rPr>
                <w:noProof/>
                <w:webHidden/>
              </w:rPr>
              <w:fldChar w:fldCharType="separate"/>
            </w:r>
            <w:r w:rsidR="00622FF2">
              <w:rPr>
                <w:noProof/>
                <w:webHidden/>
              </w:rPr>
              <w:t>37</w:t>
            </w:r>
            <w:r w:rsidR="00AA28FD">
              <w:rPr>
                <w:noProof/>
                <w:webHidden/>
              </w:rPr>
              <w:fldChar w:fldCharType="end"/>
            </w:r>
          </w:hyperlink>
        </w:p>
        <w:p w14:paraId="1BB87B32"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19" w:history="1">
            <w:r w:rsidR="00AA28FD" w:rsidRPr="00D94A73">
              <w:rPr>
                <w:rStyle w:val="Hyperlink"/>
                <w:rFonts w:eastAsiaTheme="majorEastAsia"/>
                <w:noProof/>
              </w:rPr>
              <w:t>4.4</w:t>
            </w:r>
            <w:r w:rsidR="00AA28FD">
              <w:rPr>
                <w:rFonts w:asciiTheme="minorHAnsi" w:eastAsiaTheme="minorEastAsia" w:hAnsiTheme="minorHAnsi" w:cstheme="minorBidi"/>
                <w:bCs w:val="0"/>
                <w:noProof/>
                <w:sz w:val="22"/>
                <w:szCs w:val="22"/>
                <w:lang w:eastAsia="en-GB"/>
              </w:rPr>
              <w:tab/>
            </w:r>
            <w:r w:rsidR="00AA28FD" w:rsidRPr="00D94A73">
              <w:rPr>
                <w:rStyle w:val="Hyperlink"/>
                <w:rFonts w:eastAsiaTheme="majorEastAsia"/>
                <w:noProof/>
              </w:rPr>
              <w:t>The Promote</w:t>
            </w:r>
            <w:r w:rsidR="00AA28FD" w:rsidRPr="00D94A73">
              <w:rPr>
                <w:rStyle w:val="Hyperlink"/>
                <w:rFonts w:eastAsiaTheme="majorEastAsia"/>
                <w:noProof/>
                <w:spacing w:val="1"/>
              </w:rPr>
              <w:t xml:space="preserve"> </w:t>
            </w:r>
            <w:r w:rsidR="00AA28FD" w:rsidRPr="00D94A73">
              <w:rPr>
                <w:rStyle w:val="Hyperlink"/>
                <w:rFonts w:eastAsiaTheme="majorEastAsia"/>
                <w:noProof/>
              </w:rPr>
              <w:t>Duties</w:t>
            </w:r>
            <w:r w:rsidR="00AA28FD">
              <w:rPr>
                <w:noProof/>
                <w:webHidden/>
              </w:rPr>
              <w:tab/>
            </w:r>
            <w:r w:rsidR="00AA28FD">
              <w:rPr>
                <w:noProof/>
                <w:webHidden/>
              </w:rPr>
              <w:fldChar w:fldCharType="begin"/>
            </w:r>
            <w:r w:rsidR="00AA28FD">
              <w:rPr>
                <w:noProof/>
                <w:webHidden/>
              </w:rPr>
              <w:instrText xml:space="preserve"> PAGEREF _Toc498495319 \h </w:instrText>
            </w:r>
            <w:r w:rsidR="00AA28FD">
              <w:rPr>
                <w:noProof/>
                <w:webHidden/>
              </w:rPr>
            </w:r>
            <w:r w:rsidR="00AA28FD">
              <w:rPr>
                <w:noProof/>
                <w:webHidden/>
              </w:rPr>
              <w:fldChar w:fldCharType="separate"/>
            </w:r>
            <w:r w:rsidR="00622FF2">
              <w:rPr>
                <w:noProof/>
                <w:webHidden/>
              </w:rPr>
              <w:t>39</w:t>
            </w:r>
            <w:r w:rsidR="00AA28FD">
              <w:rPr>
                <w:noProof/>
                <w:webHidden/>
              </w:rPr>
              <w:fldChar w:fldCharType="end"/>
            </w:r>
          </w:hyperlink>
        </w:p>
        <w:p w14:paraId="0F5AE5F7"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20" w:history="1">
            <w:r w:rsidR="00AA28FD" w:rsidRPr="00D94A73">
              <w:rPr>
                <w:rStyle w:val="Hyperlink"/>
                <w:rFonts w:eastAsiaTheme="majorEastAsia"/>
                <w:noProof/>
              </w:rPr>
              <w:t>4.5</w:t>
            </w:r>
            <w:r w:rsidR="00AA28FD">
              <w:rPr>
                <w:rFonts w:asciiTheme="minorHAnsi" w:eastAsiaTheme="minorEastAsia" w:hAnsiTheme="minorHAnsi" w:cstheme="minorBidi"/>
                <w:bCs w:val="0"/>
                <w:noProof/>
                <w:sz w:val="22"/>
                <w:szCs w:val="22"/>
                <w:lang w:eastAsia="en-GB"/>
              </w:rPr>
              <w:tab/>
            </w:r>
            <w:r w:rsidR="00AA28FD" w:rsidRPr="00D94A73">
              <w:rPr>
                <w:rStyle w:val="Hyperlink"/>
                <w:rFonts w:eastAsiaTheme="majorEastAsia"/>
                <w:noProof/>
              </w:rPr>
              <w:t>The</w:t>
            </w:r>
            <w:r w:rsidR="00AA28FD" w:rsidRPr="00D94A73">
              <w:rPr>
                <w:rStyle w:val="Hyperlink"/>
                <w:rFonts w:eastAsiaTheme="majorEastAsia"/>
                <w:noProof/>
                <w:spacing w:val="1"/>
              </w:rPr>
              <w:t xml:space="preserve"> </w:t>
            </w:r>
            <w:r w:rsidR="00AA28FD" w:rsidRPr="00D94A73">
              <w:rPr>
                <w:rStyle w:val="Hyperlink"/>
                <w:rFonts w:eastAsiaTheme="majorEastAsia"/>
                <w:noProof/>
              </w:rPr>
              <w:t>View to</w:t>
            </w:r>
            <w:r w:rsidR="00AA28FD" w:rsidRPr="00D94A73">
              <w:rPr>
                <w:rStyle w:val="Hyperlink"/>
                <w:rFonts w:eastAsiaTheme="majorEastAsia"/>
                <w:noProof/>
                <w:spacing w:val="-2"/>
              </w:rPr>
              <w:t xml:space="preserve"> </w:t>
            </w:r>
            <w:r w:rsidR="00AA28FD" w:rsidRPr="00D94A73">
              <w:rPr>
                <w:rStyle w:val="Hyperlink"/>
                <w:rFonts w:eastAsiaTheme="majorEastAsia"/>
                <w:noProof/>
              </w:rPr>
              <w:t>Duties</w:t>
            </w:r>
            <w:r w:rsidR="00AA28FD">
              <w:rPr>
                <w:noProof/>
                <w:webHidden/>
              </w:rPr>
              <w:tab/>
            </w:r>
            <w:r w:rsidR="00AA28FD">
              <w:rPr>
                <w:noProof/>
                <w:webHidden/>
              </w:rPr>
              <w:fldChar w:fldCharType="begin"/>
            </w:r>
            <w:r w:rsidR="00AA28FD">
              <w:rPr>
                <w:noProof/>
                <w:webHidden/>
              </w:rPr>
              <w:instrText xml:space="preserve"> PAGEREF _Toc498495320 \h </w:instrText>
            </w:r>
            <w:r w:rsidR="00AA28FD">
              <w:rPr>
                <w:noProof/>
                <w:webHidden/>
              </w:rPr>
            </w:r>
            <w:r w:rsidR="00AA28FD">
              <w:rPr>
                <w:noProof/>
                <w:webHidden/>
              </w:rPr>
              <w:fldChar w:fldCharType="separate"/>
            </w:r>
            <w:r w:rsidR="00622FF2">
              <w:rPr>
                <w:noProof/>
                <w:webHidden/>
              </w:rPr>
              <w:t>40</w:t>
            </w:r>
            <w:r w:rsidR="00AA28FD">
              <w:rPr>
                <w:noProof/>
                <w:webHidden/>
              </w:rPr>
              <w:fldChar w:fldCharType="end"/>
            </w:r>
          </w:hyperlink>
        </w:p>
        <w:p w14:paraId="2D34DC12"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21" w:history="1">
            <w:r w:rsidR="00AA28FD" w:rsidRPr="00D94A73">
              <w:rPr>
                <w:rStyle w:val="Hyperlink"/>
                <w:rFonts w:eastAsiaTheme="majorEastAsia"/>
                <w:noProof/>
              </w:rPr>
              <w:t>4.6</w:t>
            </w:r>
            <w:r w:rsidR="00AA28FD">
              <w:rPr>
                <w:rFonts w:asciiTheme="minorHAnsi" w:eastAsiaTheme="minorEastAsia" w:hAnsiTheme="minorHAnsi" w:cstheme="minorBidi"/>
                <w:bCs w:val="0"/>
                <w:noProof/>
                <w:sz w:val="22"/>
                <w:szCs w:val="22"/>
                <w:lang w:eastAsia="en-GB"/>
              </w:rPr>
              <w:tab/>
            </w:r>
            <w:r w:rsidR="00AA28FD" w:rsidRPr="00D94A73">
              <w:rPr>
                <w:rStyle w:val="Hyperlink"/>
                <w:rFonts w:eastAsiaTheme="majorEastAsia"/>
                <w:noProof/>
              </w:rPr>
              <w:t>The Involvement Duty</w:t>
            </w:r>
            <w:r w:rsidR="00AA28FD">
              <w:rPr>
                <w:noProof/>
                <w:webHidden/>
              </w:rPr>
              <w:tab/>
            </w:r>
            <w:r w:rsidR="00AA28FD">
              <w:rPr>
                <w:noProof/>
                <w:webHidden/>
              </w:rPr>
              <w:fldChar w:fldCharType="begin"/>
            </w:r>
            <w:r w:rsidR="00AA28FD">
              <w:rPr>
                <w:noProof/>
                <w:webHidden/>
              </w:rPr>
              <w:instrText xml:space="preserve"> PAGEREF _Toc498495321 \h </w:instrText>
            </w:r>
            <w:r w:rsidR="00AA28FD">
              <w:rPr>
                <w:noProof/>
                <w:webHidden/>
              </w:rPr>
            </w:r>
            <w:r w:rsidR="00AA28FD">
              <w:rPr>
                <w:noProof/>
                <w:webHidden/>
              </w:rPr>
              <w:fldChar w:fldCharType="separate"/>
            </w:r>
            <w:r w:rsidR="00622FF2">
              <w:rPr>
                <w:noProof/>
                <w:webHidden/>
              </w:rPr>
              <w:t>42</w:t>
            </w:r>
            <w:r w:rsidR="00AA28FD">
              <w:rPr>
                <w:noProof/>
                <w:webHidden/>
              </w:rPr>
              <w:fldChar w:fldCharType="end"/>
            </w:r>
          </w:hyperlink>
        </w:p>
        <w:p w14:paraId="5FEB5FE0"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22" w:history="1">
            <w:r w:rsidR="00AA28FD" w:rsidRPr="00D94A73">
              <w:rPr>
                <w:rStyle w:val="Hyperlink"/>
                <w:rFonts w:eastAsiaTheme="majorEastAsia"/>
                <w:noProof/>
              </w:rPr>
              <w:t>4.7</w:t>
            </w:r>
            <w:r w:rsidR="00AA28FD">
              <w:rPr>
                <w:rFonts w:asciiTheme="minorHAnsi" w:eastAsiaTheme="minorEastAsia" w:hAnsiTheme="minorHAnsi" w:cstheme="minorBidi"/>
                <w:bCs w:val="0"/>
                <w:noProof/>
                <w:sz w:val="22"/>
                <w:szCs w:val="22"/>
                <w:lang w:eastAsia="en-GB"/>
              </w:rPr>
              <w:tab/>
            </w:r>
            <w:r w:rsidR="00AA28FD" w:rsidRPr="00D94A73">
              <w:rPr>
                <w:rStyle w:val="Hyperlink"/>
                <w:rFonts w:eastAsiaTheme="majorEastAsia"/>
                <w:noProof/>
              </w:rPr>
              <w:t>Duty</w:t>
            </w:r>
            <w:r w:rsidR="00AA28FD" w:rsidRPr="00D94A73">
              <w:rPr>
                <w:rStyle w:val="Hyperlink"/>
                <w:rFonts w:eastAsiaTheme="majorEastAsia"/>
                <w:noProof/>
                <w:spacing w:val="-4"/>
              </w:rPr>
              <w:t xml:space="preserve"> </w:t>
            </w:r>
            <w:r w:rsidR="00AA28FD" w:rsidRPr="00D94A73">
              <w:rPr>
                <w:rStyle w:val="Hyperlink"/>
                <w:rFonts w:eastAsiaTheme="majorEastAsia"/>
                <w:noProof/>
              </w:rPr>
              <w:t>to</w:t>
            </w:r>
            <w:r w:rsidR="00AA28FD" w:rsidRPr="00D94A73">
              <w:rPr>
                <w:rStyle w:val="Hyperlink"/>
                <w:rFonts w:eastAsiaTheme="majorEastAsia"/>
                <w:noProof/>
                <w:spacing w:val="-2"/>
              </w:rPr>
              <w:t xml:space="preserve"> </w:t>
            </w:r>
            <w:r w:rsidR="00AA28FD" w:rsidRPr="00D94A73">
              <w:rPr>
                <w:rStyle w:val="Hyperlink"/>
                <w:rFonts w:eastAsiaTheme="majorEastAsia"/>
                <w:noProof/>
              </w:rPr>
              <w:t>Act</w:t>
            </w:r>
            <w:r w:rsidR="00AA28FD" w:rsidRPr="00D94A73">
              <w:rPr>
                <w:rStyle w:val="Hyperlink"/>
                <w:rFonts w:eastAsiaTheme="majorEastAsia"/>
                <w:noProof/>
                <w:spacing w:val="-2"/>
              </w:rPr>
              <w:t xml:space="preserve"> </w:t>
            </w:r>
            <w:r w:rsidR="00AA28FD" w:rsidRPr="00D94A73">
              <w:rPr>
                <w:rStyle w:val="Hyperlink"/>
                <w:rFonts w:eastAsiaTheme="majorEastAsia"/>
                <w:noProof/>
              </w:rPr>
              <w:t>Fairly &amp; Reasonably</w:t>
            </w:r>
            <w:r w:rsidR="00AA28FD">
              <w:rPr>
                <w:noProof/>
                <w:webHidden/>
              </w:rPr>
              <w:tab/>
            </w:r>
            <w:r w:rsidR="00AA28FD">
              <w:rPr>
                <w:noProof/>
                <w:webHidden/>
              </w:rPr>
              <w:fldChar w:fldCharType="begin"/>
            </w:r>
            <w:r w:rsidR="00AA28FD">
              <w:rPr>
                <w:noProof/>
                <w:webHidden/>
              </w:rPr>
              <w:instrText xml:space="preserve"> PAGEREF _Toc498495322 \h </w:instrText>
            </w:r>
            <w:r w:rsidR="00AA28FD">
              <w:rPr>
                <w:noProof/>
                <w:webHidden/>
              </w:rPr>
            </w:r>
            <w:r w:rsidR="00AA28FD">
              <w:rPr>
                <w:noProof/>
                <w:webHidden/>
              </w:rPr>
              <w:fldChar w:fldCharType="separate"/>
            </w:r>
            <w:r w:rsidR="00622FF2">
              <w:rPr>
                <w:noProof/>
                <w:webHidden/>
              </w:rPr>
              <w:t>44</w:t>
            </w:r>
            <w:r w:rsidR="00AA28FD">
              <w:rPr>
                <w:noProof/>
                <w:webHidden/>
              </w:rPr>
              <w:fldChar w:fldCharType="end"/>
            </w:r>
          </w:hyperlink>
        </w:p>
        <w:p w14:paraId="63C9FD33"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23" w:history="1">
            <w:r w:rsidR="00AA28FD" w:rsidRPr="00D94A73">
              <w:rPr>
                <w:rStyle w:val="Hyperlink"/>
                <w:rFonts w:eastAsiaTheme="majorEastAsia"/>
                <w:noProof/>
              </w:rPr>
              <w:t>4.8</w:t>
            </w:r>
            <w:r w:rsidR="00AA28FD">
              <w:rPr>
                <w:rFonts w:asciiTheme="minorHAnsi" w:eastAsiaTheme="minorEastAsia" w:hAnsiTheme="minorHAnsi" w:cstheme="minorBidi"/>
                <w:bCs w:val="0"/>
                <w:noProof/>
                <w:sz w:val="22"/>
                <w:szCs w:val="22"/>
                <w:lang w:eastAsia="en-GB"/>
              </w:rPr>
              <w:tab/>
            </w:r>
            <w:r w:rsidR="00AA28FD" w:rsidRPr="00D94A73">
              <w:rPr>
                <w:rStyle w:val="Hyperlink"/>
                <w:rFonts w:eastAsiaTheme="majorEastAsia"/>
                <w:noProof/>
              </w:rPr>
              <w:t>The Duty</w:t>
            </w:r>
            <w:r w:rsidR="00AA28FD" w:rsidRPr="00D94A73">
              <w:rPr>
                <w:rStyle w:val="Hyperlink"/>
                <w:rFonts w:eastAsiaTheme="majorEastAsia"/>
                <w:noProof/>
                <w:spacing w:val="-4"/>
              </w:rPr>
              <w:t xml:space="preserve"> </w:t>
            </w:r>
            <w:r w:rsidR="00AA28FD" w:rsidRPr="00D94A73">
              <w:rPr>
                <w:rStyle w:val="Hyperlink"/>
                <w:rFonts w:eastAsiaTheme="majorEastAsia"/>
                <w:noProof/>
              </w:rPr>
              <w:t>to</w:t>
            </w:r>
            <w:r w:rsidR="00AA28FD" w:rsidRPr="00D94A73">
              <w:rPr>
                <w:rStyle w:val="Hyperlink"/>
                <w:rFonts w:eastAsiaTheme="majorEastAsia"/>
                <w:noProof/>
                <w:spacing w:val="1"/>
              </w:rPr>
              <w:t xml:space="preserve"> </w:t>
            </w:r>
            <w:r w:rsidR="00AA28FD" w:rsidRPr="00D94A73">
              <w:rPr>
                <w:rStyle w:val="Hyperlink"/>
                <w:rFonts w:eastAsiaTheme="majorEastAsia"/>
                <w:noProof/>
              </w:rPr>
              <w:t>Obtain Advice</w:t>
            </w:r>
            <w:r w:rsidR="00AA28FD">
              <w:rPr>
                <w:noProof/>
                <w:webHidden/>
              </w:rPr>
              <w:tab/>
            </w:r>
            <w:r w:rsidR="00AA28FD">
              <w:rPr>
                <w:noProof/>
                <w:webHidden/>
              </w:rPr>
              <w:fldChar w:fldCharType="begin"/>
            </w:r>
            <w:r w:rsidR="00AA28FD">
              <w:rPr>
                <w:noProof/>
                <w:webHidden/>
              </w:rPr>
              <w:instrText xml:space="preserve"> PAGEREF _Toc498495323 \h </w:instrText>
            </w:r>
            <w:r w:rsidR="00AA28FD">
              <w:rPr>
                <w:noProof/>
                <w:webHidden/>
              </w:rPr>
            </w:r>
            <w:r w:rsidR="00AA28FD">
              <w:rPr>
                <w:noProof/>
                <w:webHidden/>
              </w:rPr>
              <w:fldChar w:fldCharType="separate"/>
            </w:r>
            <w:r w:rsidR="00622FF2">
              <w:rPr>
                <w:noProof/>
                <w:webHidden/>
              </w:rPr>
              <w:t>46</w:t>
            </w:r>
            <w:r w:rsidR="00AA28FD">
              <w:rPr>
                <w:noProof/>
                <w:webHidden/>
              </w:rPr>
              <w:fldChar w:fldCharType="end"/>
            </w:r>
          </w:hyperlink>
        </w:p>
        <w:p w14:paraId="57036BC9"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24" w:history="1">
            <w:r w:rsidR="00AA28FD" w:rsidRPr="00D94A73">
              <w:rPr>
                <w:rStyle w:val="Hyperlink"/>
                <w:rFonts w:eastAsiaTheme="majorEastAsia"/>
                <w:noProof/>
              </w:rPr>
              <w:t>4.9</w:t>
            </w:r>
            <w:r w:rsidR="00AA28FD">
              <w:rPr>
                <w:rFonts w:asciiTheme="minorHAnsi" w:eastAsiaTheme="minorEastAsia" w:hAnsiTheme="minorHAnsi" w:cstheme="minorBidi"/>
                <w:bCs w:val="0"/>
                <w:noProof/>
                <w:sz w:val="22"/>
                <w:szCs w:val="22"/>
                <w:lang w:eastAsia="en-GB"/>
              </w:rPr>
              <w:tab/>
            </w:r>
            <w:r w:rsidR="00AA28FD" w:rsidRPr="00D94A73">
              <w:rPr>
                <w:rStyle w:val="Hyperlink"/>
                <w:rFonts w:eastAsiaTheme="majorEastAsia"/>
                <w:noProof/>
              </w:rPr>
              <w:t>The Duty</w:t>
            </w:r>
            <w:r w:rsidR="00AA28FD" w:rsidRPr="00D94A73">
              <w:rPr>
                <w:rStyle w:val="Hyperlink"/>
                <w:rFonts w:eastAsiaTheme="majorEastAsia"/>
                <w:noProof/>
                <w:spacing w:val="-4"/>
              </w:rPr>
              <w:t xml:space="preserve"> </w:t>
            </w:r>
            <w:r w:rsidR="00AA28FD" w:rsidRPr="00D94A73">
              <w:rPr>
                <w:rStyle w:val="Hyperlink"/>
                <w:rFonts w:eastAsiaTheme="majorEastAsia"/>
                <w:noProof/>
              </w:rPr>
              <w:t>to</w:t>
            </w:r>
            <w:r w:rsidR="00AA28FD" w:rsidRPr="00D94A73">
              <w:rPr>
                <w:rStyle w:val="Hyperlink"/>
                <w:rFonts w:eastAsiaTheme="majorEastAsia"/>
                <w:noProof/>
                <w:spacing w:val="1"/>
              </w:rPr>
              <w:t xml:space="preserve"> </w:t>
            </w:r>
            <w:r w:rsidR="00AA28FD" w:rsidRPr="00D94A73">
              <w:rPr>
                <w:rStyle w:val="Hyperlink"/>
                <w:rFonts w:eastAsiaTheme="majorEastAsia"/>
                <w:noProof/>
              </w:rPr>
              <w:t>Exercise</w:t>
            </w:r>
            <w:r w:rsidR="00AA28FD" w:rsidRPr="00D94A73">
              <w:rPr>
                <w:rStyle w:val="Hyperlink"/>
                <w:rFonts w:eastAsiaTheme="majorEastAsia"/>
                <w:noProof/>
                <w:spacing w:val="-3"/>
              </w:rPr>
              <w:t xml:space="preserve"> </w:t>
            </w:r>
            <w:r w:rsidR="00AA28FD" w:rsidRPr="00D94A73">
              <w:rPr>
                <w:rStyle w:val="Hyperlink"/>
                <w:rFonts w:eastAsiaTheme="majorEastAsia"/>
                <w:noProof/>
              </w:rPr>
              <w:t>Functions Effectively</w:t>
            </w:r>
            <w:r w:rsidR="00AA28FD">
              <w:rPr>
                <w:noProof/>
                <w:webHidden/>
              </w:rPr>
              <w:tab/>
            </w:r>
            <w:r w:rsidR="00AA28FD">
              <w:rPr>
                <w:noProof/>
                <w:webHidden/>
              </w:rPr>
              <w:fldChar w:fldCharType="begin"/>
            </w:r>
            <w:r w:rsidR="00AA28FD">
              <w:rPr>
                <w:noProof/>
                <w:webHidden/>
              </w:rPr>
              <w:instrText xml:space="preserve"> PAGEREF _Toc498495324 \h </w:instrText>
            </w:r>
            <w:r w:rsidR="00AA28FD">
              <w:rPr>
                <w:noProof/>
                <w:webHidden/>
              </w:rPr>
            </w:r>
            <w:r w:rsidR="00AA28FD">
              <w:rPr>
                <w:noProof/>
                <w:webHidden/>
              </w:rPr>
              <w:fldChar w:fldCharType="separate"/>
            </w:r>
            <w:r w:rsidR="00622FF2">
              <w:rPr>
                <w:noProof/>
                <w:webHidden/>
              </w:rPr>
              <w:t>47</w:t>
            </w:r>
            <w:r w:rsidR="00AA28FD">
              <w:rPr>
                <w:noProof/>
                <w:webHidden/>
              </w:rPr>
              <w:fldChar w:fldCharType="end"/>
            </w:r>
          </w:hyperlink>
        </w:p>
        <w:p w14:paraId="394AEB31"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25" w:history="1">
            <w:r w:rsidR="00AA28FD" w:rsidRPr="00D94A73">
              <w:rPr>
                <w:rStyle w:val="Hyperlink"/>
                <w:rFonts w:eastAsiaTheme="majorEastAsia"/>
                <w:noProof/>
              </w:rPr>
              <w:t>4.10</w:t>
            </w:r>
            <w:r w:rsidR="00AA28FD">
              <w:rPr>
                <w:rFonts w:asciiTheme="minorHAnsi" w:eastAsiaTheme="minorEastAsia" w:hAnsiTheme="minorHAnsi" w:cstheme="minorBidi"/>
                <w:bCs w:val="0"/>
                <w:noProof/>
                <w:sz w:val="22"/>
                <w:szCs w:val="22"/>
                <w:lang w:eastAsia="en-GB"/>
              </w:rPr>
              <w:tab/>
            </w:r>
            <w:r w:rsidR="00AA28FD" w:rsidRPr="00D94A73">
              <w:rPr>
                <w:rStyle w:val="Hyperlink"/>
                <w:rFonts w:eastAsiaTheme="majorEastAsia"/>
                <w:noProof/>
              </w:rPr>
              <w:t>The Duty</w:t>
            </w:r>
            <w:r w:rsidR="00AA28FD" w:rsidRPr="00D94A73">
              <w:rPr>
                <w:rStyle w:val="Hyperlink"/>
                <w:rFonts w:eastAsiaTheme="majorEastAsia"/>
                <w:noProof/>
                <w:spacing w:val="-3"/>
              </w:rPr>
              <w:t xml:space="preserve"> </w:t>
            </w:r>
            <w:r w:rsidR="00AA28FD" w:rsidRPr="00D94A73">
              <w:rPr>
                <w:rStyle w:val="Hyperlink"/>
                <w:rFonts w:eastAsiaTheme="majorEastAsia"/>
                <w:noProof/>
              </w:rPr>
              <w:t>Not to</w:t>
            </w:r>
            <w:r w:rsidR="00AA28FD" w:rsidRPr="00D94A73">
              <w:rPr>
                <w:rStyle w:val="Hyperlink"/>
                <w:rFonts w:eastAsiaTheme="majorEastAsia"/>
                <w:noProof/>
                <w:spacing w:val="-2"/>
              </w:rPr>
              <w:t xml:space="preserve"> </w:t>
            </w:r>
            <w:r w:rsidR="00AA28FD" w:rsidRPr="00D94A73">
              <w:rPr>
                <w:rStyle w:val="Hyperlink"/>
                <w:rFonts w:eastAsiaTheme="majorEastAsia"/>
                <w:noProof/>
              </w:rPr>
              <w:t>Prefer</w:t>
            </w:r>
            <w:r w:rsidR="00AA28FD" w:rsidRPr="00D94A73">
              <w:rPr>
                <w:rStyle w:val="Hyperlink"/>
                <w:rFonts w:eastAsiaTheme="majorEastAsia"/>
                <w:noProof/>
                <w:spacing w:val="-5"/>
              </w:rPr>
              <w:t xml:space="preserve"> </w:t>
            </w:r>
            <w:r w:rsidR="00AA28FD" w:rsidRPr="00D94A73">
              <w:rPr>
                <w:rStyle w:val="Hyperlink"/>
                <w:rFonts w:eastAsiaTheme="majorEastAsia"/>
                <w:noProof/>
              </w:rPr>
              <w:t>One Type</w:t>
            </w:r>
            <w:r w:rsidR="00AA28FD" w:rsidRPr="00D94A73">
              <w:rPr>
                <w:rStyle w:val="Hyperlink"/>
                <w:rFonts w:eastAsiaTheme="majorEastAsia"/>
                <w:noProof/>
                <w:spacing w:val="-2"/>
              </w:rPr>
              <w:t xml:space="preserve"> o</w:t>
            </w:r>
            <w:r w:rsidR="00AA28FD" w:rsidRPr="00D94A73">
              <w:rPr>
                <w:rStyle w:val="Hyperlink"/>
                <w:rFonts w:eastAsiaTheme="majorEastAsia"/>
                <w:noProof/>
              </w:rPr>
              <w:t>f</w:t>
            </w:r>
            <w:r w:rsidR="00AA28FD" w:rsidRPr="00D94A73">
              <w:rPr>
                <w:rStyle w:val="Hyperlink"/>
                <w:rFonts w:eastAsiaTheme="majorEastAsia"/>
                <w:noProof/>
                <w:spacing w:val="-3"/>
              </w:rPr>
              <w:t xml:space="preserve"> </w:t>
            </w:r>
            <w:r w:rsidR="00AA28FD" w:rsidRPr="00D94A73">
              <w:rPr>
                <w:rStyle w:val="Hyperlink"/>
                <w:rFonts w:eastAsiaTheme="majorEastAsia"/>
                <w:noProof/>
              </w:rPr>
              <w:t>Provider</w:t>
            </w:r>
            <w:r w:rsidR="00AA28FD">
              <w:rPr>
                <w:noProof/>
                <w:webHidden/>
              </w:rPr>
              <w:tab/>
            </w:r>
            <w:r w:rsidR="00AA28FD">
              <w:rPr>
                <w:noProof/>
                <w:webHidden/>
              </w:rPr>
              <w:fldChar w:fldCharType="begin"/>
            </w:r>
            <w:r w:rsidR="00AA28FD">
              <w:rPr>
                <w:noProof/>
                <w:webHidden/>
              </w:rPr>
              <w:instrText xml:space="preserve"> PAGEREF _Toc498495325 \h </w:instrText>
            </w:r>
            <w:r w:rsidR="00AA28FD">
              <w:rPr>
                <w:noProof/>
                <w:webHidden/>
              </w:rPr>
            </w:r>
            <w:r w:rsidR="00AA28FD">
              <w:rPr>
                <w:noProof/>
                <w:webHidden/>
              </w:rPr>
              <w:fldChar w:fldCharType="separate"/>
            </w:r>
            <w:r w:rsidR="00622FF2">
              <w:rPr>
                <w:noProof/>
                <w:webHidden/>
              </w:rPr>
              <w:t>47</w:t>
            </w:r>
            <w:r w:rsidR="00AA28FD">
              <w:rPr>
                <w:noProof/>
                <w:webHidden/>
              </w:rPr>
              <w:fldChar w:fldCharType="end"/>
            </w:r>
          </w:hyperlink>
        </w:p>
        <w:p w14:paraId="0A2D833B" w14:textId="77777777" w:rsidR="00AA28FD" w:rsidRDefault="000E7846">
          <w:pPr>
            <w:pStyle w:val="TOC1"/>
            <w:rPr>
              <w:rFonts w:asciiTheme="minorHAnsi" w:eastAsiaTheme="minorEastAsia" w:hAnsiTheme="minorHAnsi" w:cstheme="minorBidi"/>
              <w:bCs w:val="0"/>
              <w:color w:val="auto"/>
              <w:sz w:val="22"/>
              <w:szCs w:val="22"/>
              <w:lang w:eastAsia="en-GB"/>
            </w:rPr>
          </w:pPr>
          <w:hyperlink w:anchor="_Toc498495326" w:history="1">
            <w:r w:rsidR="00AA28FD" w:rsidRPr="00D94A73">
              <w:rPr>
                <w:rStyle w:val="Hyperlink"/>
              </w:rPr>
              <w:t>5</w:t>
            </w:r>
            <w:r w:rsidR="00AA28FD">
              <w:rPr>
                <w:rFonts w:asciiTheme="minorHAnsi" w:eastAsiaTheme="minorEastAsia" w:hAnsiTheme="minorHAnsi" w:cstheme="minorBidi"/>
                <w:bCs w:val="0"/>
                <w:color w:val="auto"/>
                <w:sz w:val="22"/>
                <w:szCs w:val="22"/>
                <w:lang w:eastAsia="en-GB"/>
              </w:rPr>
              <w:tab/>
            </w:r>
            <w:r w:rsidR="00AA28FD" w:rsidRPr="00D94A73">
              <w:rPr>
                <w:rStyle w:val="Hyperlink"/>
              </w:rPr>
              <w:t>Working Together – Commissioning and Regulating</w:t>
            </w:r>
            <w:r w:rsidR="00AA28FD">
              <w:rPr>
                <w:webHidden/>
              </w:rPr>
              <w:tab/>
            </w:r>
            <w:r w:rsidR="00AA28FD">
              <w:rPr>
                <w:webHidden/>
              </w:rPr>
              <w:fldChar w:fldCharType="begin"/>
            </w:r>
            <w:r w:rsidR="00AA28FD">
              <w:rPr>
                <w:webHidden/>
              </w:rPr>
              <w:instrText xml:space="preserve"> PAGEREF _Toc498495326 \h </w:instrText>
            </w:r>
            <w:r w:rsidR="00AA28FD">
              <w:rPr>
                <w:webHidden/>
              </w:rPr>
            </w:r>
            <w:r w:rsidR="00AA28FD">
              <w:rPr>
                <w:webHidden/>
              </w:rPr>
              <w:fldChar w:fldCharType="separate"/>
            </w:r>
            <w:r w:rsidR="00622FF2">
              <w:rPr>
                <w:webHidden/>
              </w:rPr>
              <w:t>56</w:t>
            </w:r>
            <w:r w:rsidR="00AA28FD">
              <w:rPr>
                <w:webHidden/>
              </w:rPr>
              <w:fldChar w:fldCharType="end"/>
            </w:r>
          </w:hyperlink>
        </w:p>
        <w:p w14:paraId="0F102C67"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27" w:history="1">
            <w:r w:rsidR="00AA28FD" w:rsidRPr="00D94A73">
              <w:rPr>
                <w:rStyle w:val="Hyperlink"/>
                <w:noProof/>
              </w:rPr>
              <w:t>5.1</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Introduction</w:t>
            </w:r>
            <w:r w:rsidR="00AA28FD">
              <w:rPr>
                <w:noProof/>
                <w:webHidden/>
              </w:rPr>
              <w:tab/>
            </w:r>
            <w:r w:rsidR="00AA28FD">
              <w:rPr>
                <w:noProof/>
                <w:webHidden/>
              </w:rPr>
              <w:fldChar w:fldCharType="begin"/>
            </w:r>
            <w:r w:rsidR="00AA28FD">
              <w:rPr>
                <w:noProof/>
                <w:webHidden/>
              </w:rPr>
              <w:instrText xml:space="preserve"> PAGEREF _Toc498495327 \h </w:instrText>
            </w:r>
            <w:r w:rsidR="00AA28FD">
              <w:rPr>
                <w:noProof/>
                <w:webHidden/>
              </w:rPr>
            </w:r>
            <w:r w:rsidR="00AA28FD">
              <w:rPr>
                <w:noProof/>
                <w:webHidden/>
              </w:rPr>
              <w:fldChar w:fldCharType="separate"/>
            </w:r>
            <w:r w:rsidR="00622FF2">
              <w:rPr>
                <w:noProof/>
                <w:webHidden/>
              </w:rPr>
              <w:t>56</w:t>
            </w:r>
            <w:r w:rsidR="00AA28FD">
              <w:rPr>
                <w:noProof/>
                <w:webHidden/>
              </w:rPr>
              <w:fldChar w:fldCharType="end"/>
            </w:r>
          </w:hyperlink>
        </w:p>
        <w:p w14:paraId="7A842735"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28" w:history="1">
            <w:r w:rsidR="00AA28FD" w:rsidRPr="00D94A73">
              <w:rPr>
                <w:rStyle w:val="Hyperlink"/>
                <w:noProof/>
              </w:rPr>
              <w:t>5.2</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Background</w:t>
            </w:r>
            <w:r w:rsidR="00AA28FD">
              <w:rPr>
                <w:noProof/>
                <w:webHidden/>
              </w:rPr>
              <w:tab/>
            </w:r>
            <w:r w:rsidR="00AA28FD">
              <w:rPr>
                <w:noProof/>
                <w:webHidden/>
              </w:rPr>
              <w:fldChar w:fldCharType="begin"/>
            </w:r>
            <w:r w:rsidR="00AA28FD">
              <w:rPr>
                <w:noProof/>
                <w:webHidden/>
              </w:rPr>
              <w:instrText xml:space="preserve"> PAGEREF _Toc498495328 \h </w:instrText>
            </w:r>
            <w:r w:rsidR="00AA28FD">
              <w:rPr>
                <w:noProof/>
                <w:webHidden/>
              </w:rPr>
            </w:r>
            <w:r w:rsidR="00AA28FD">
              <w:rPr>
                <w:noProof/>
                <w:webHidden/>
              </w:rPr>
              <w:fldChar w:fldCharType="separate"/>
            </w:r>
            <w:r w:rsidR="00622FF2">
              <w:rPr>
                <w:noProof/>
                <w:webHidden/>
              </w:rPr>
              <w:t>56</w:t>
            </w:r>
            <w:r w:rsidR="00AA28FD">
              <w:rPr>
                <w:noProof/>
                <w:webHidden/>
              </w:rPr>
              <w:fldChar w:fldCharType="end"/>
            </w:r>
          </w:hyperlink>
        </w:p>
        <w:p w14:paraId="3AE11A82"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29" w:history="1">
            <w:r w:rsidR="00AA28FD" w:rsidRPr="00D94A73">
              <w:rPr>
                <w:rStyle w:val="Hyperlink"/>
                <w:noProof/>
              </w:rPr>
              <w:t>5.3</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Implementation</w:t>
            </w:r>
            <w:r w:rsidR="00AA28FD">
              <w:rPr>
                <w:noProof/>
                <w:webHidden/>
              </w:rPr>
              <w:tab/>
            </w:r>
            <w:r w:rsidR="00AA28FD">
              <w:rPr>
                <w:noProof/>
                <w:webHidden/>
              </w:rPr>
              <w:fldChar w:fldCharType="begin"/>
            </w:r>
            <w:r w:rsidR="00AA28FD">
              <w:rPr>
                <w:noProof/>
                <w:webHidden/>
              </w:rPr>
              <w:instrText xml:space="preserve"> PAGEREF _Toc498495329 \h </w:instrText>
            </w:r>
            <w:r w:rsidR="00AA28FD">
              <w:rPr>
                <w:noProof/>
                <w:webHidden/>
              </w:rPr>
            </w:r>
            <w:r w:rsidR="00AA28FD">
              <w:rPr>
                <w:noProof/>
                <w:webHidden/>
              </w:rPr>
              <w:fldChar w:fldCharType="separate"/>
            </w:r>
            <w:r w:rsidR="00622FF2">
              <w:rPr>
                <w:noProof/>
                <w:webHidden/>
              </w:rPr>
              <w:t>57</w:t>
            </w:r>
            <w:r w:rsidR="00AA28FD">
              <w:rPr>
                <w:noProof/>
                <w:webHidden/>
              </w:rPr>
              <w:fldChar w:fldCharType="end"/>
            </w:r>
          </w:hyperlink>
        </w:p>
        <w:p w14:paraId="68C2C99C"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30" w:history="1">
            <w:r w:rsidR="00AA28FD" w:rsidRPr="00D94A73">
              <w:rPr>
                <w:rStyle w:val="Hyperlink"/>
                <w:noProof/>
              </w:rPr>
              <w:t>5.4</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Existing Good Practice and Interim principles</w:t>
            </w:r>
            <w:r w:rsidR="00AA28FD">
              <w:rPr>
                <w:noProof/>
                <w:webHidden/>
              </w:rPr>
              <w:tab/>
            </w:r>
            <w:r w:rsidR="00AA28FD">
              <w:rPr>
                <w:noProof/>
                <w:webHidden/>
              </w:rPr>
              <w:fldChar w:fldCharType="begin"/>
            </w:r>
            <w:r w:rsidR="00AA28FD">
              <w:rPr>
                <w:noProof/>
                <w:webHidden/>
              </w:rPr>
              <w:instrText xml:space="preserve"> PAGEREF _Toc498495330 \h </w:instrText>
            </w:r>
            <w:r w:rsidR="00AA28FD">
              <w:rPr>
                <w:noProof/>
                <w:webHidden/>
              </w:rPr>
            </w:r>
            <w:r w:rsidR="00AA28FD">
              <w:rPr>
                <w:noProof/>
                <w:webHidden/>
              </w:rPr>
              <w:fldChar w:fldCharType="separate"/>
            </w:r>
            <w:r w:rsidR="00622FF2">
              <w:rPr>
                <w:noProof/>
                <w:webHidden/>
              </w:rPr>
              <w:t>57</w:t>
            </w:r>
            <w:r w:rsidR="00AA28FD">
              <w:rPr>
                <w:noProof/>
                <w:webHidden/>
              </w:rPr>
              <w:fldChar w:fldCharType="end"/>
            </w:r>
          </w:hyperlink>
        </w:p>
        <w:p w14:paraId="13BD6474"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31" w:history="1">
            <w:r w:rsidR="00AA28FD" w:rsidRPr="00D94A73">
              <w:rPr>
                <w:rStyle w:val="Hyperlink"/>
                <w:noProof/>
              </w:rPr>
              <w:t>5.5</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Why:</w:t>
            </w:r>
            <w:r w:rsidR="00AA28FD">
              <w:rPr>
                <w:noProof/>
                <w:webHidden/>
              </w:rPr>
              <w:tab/>
            </w:r>
            <w:r w:rsidR="00AA28FD">
              <w:rPr>
                <w:noProof/>
                <w:webHidden/>
              </w:rPr>
              <w:fldChar w:fldCharType="begin"/>
            </w:r>
            <w:r w:rsidR="00AA28FD">
              <w:rPr>
                <w:noProof/>
                <w:webHidden/>
              </w:rPr>
              <w:instrText xml:space="preserve"> PAGEREF _Toc498495331 \h </w:instrText>
            </w:r>
            <w:r w:rsidR="00AA28FD">
              <w:rPr>
                <w:noProof/>
                <w:webHidden/>
              </w:rPr>
            </w:r>
            <w:r w:rsidR="00AA28FD">
              <w:rPr>
                <w:noProof/>
                <w:webHidden/>
              </w:rPr>
              <w:fldChar w:fldCharType="separate"/>
            </w:r>
            <w:r w:rsidR="00622FF2">
              <w:rPr>
                <w:noProof/>
                <w:webHidden/>
              </w:rPr>
              <w:t>59</w:t>
            </w:r>
            <w:r w:rsidR="00AA28FD">
              <w:rPr>
                <w:noProof/>
                <w:webHidden/>
              </w:rPr>
              <w:fldChar w:fldCharType="end"/>
            </w:r>
          </w:hyperlink>
        </w:p>
        <w:p w14:paraId="63C37681"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32" w:history="1">
            <w:r w:rsidR="00AA28FD" w:rsidRPr="00D94A73">
              <w:rPr>
                <w:rStyle w:val="Hyperlink"/>
                <w:noProof/>
              </w:rPr>
              <w:t>5.6</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The ambition being delivered:</w:t>
            </w:r>
            <w:r w:rsidR="00AA28FD">
              <w:rPr>
                <w:noProof/>
                <w:webHidden/>
              </w:rPr>
              <w:tab/>
            </w:r>
            <w:r w:rsidR="00AA28FD">
              <w:rPr>
                <w:noProof/>
                <w:webHidden/>
              </w:rPr>
              <w:fldChar w:fldCharType="begin"/>
            </w:r>
            <w:r w:rsidR="00AA28FD">
              <w:rPr>
                <w:noProof/>
                <w:webHidden/>
              </w:rPr>
              <w:instrText xml:space="preserve"> PAGEREF _Toc498495332 \h </w:instrText>
            </w:r>
            <w:r w:rsidR="00AA28FD">
              <w:rPr>
                <w:noProof/>
                <w:webHidden/>
              </w:rPr>
            </w:r>
            <w:r w:rsidR="00AA28FD">
              <w:rPr>
                <w:noProof/>
                <w:webHidden/>
              </w:rPr>
              <w:fldChar w:fldCharType="separate"/>
            </w:r>
            <w:r w:rsidR="00622FF2">
              <w:rPr>
                <w:noProof/>
                <w:webHidden/>
              </w:rPr>
              <w:t>59</w:t>
            </w:r>
            <w:r w:rsidR="00AA28FD">
              <w:rPr>
                <w:noProof/>
                <w:webHidden/>
              </w:rPr>
              <w:fldChar w:fldCharType="end"/>
            </w:r>
          </w:hyperlink>
        </w:p>
        <w:p w14:paraId="5CA60DD3" w14:textId="77777777" w:rsidR="00AA28FD" w:rsidRDefault="000E7846">
          <w:pPr>
            <w:pStyle w:val="TOC1"/>
            <w:rPr>
              <w:rFonts w:asciiTheme="minorHAnsi" w:eastAsiaTheme="minorEastAsia" w:hAnsiTheme="minorHAnsi" w:cstheme="minorBidi"/>
              <w:bCs w:val="0"/>
              <w:color w:val="auto"/>
              <w:sz w:val="22"/>
              <w:szCs w:val="22"/>
              <w:lang w:eastAsia="en-GB"/>
            </w:rPr>
          </w:pPr>
          <w:hyperlink w:anchor="_Toc498495333" w:history="1">
            <w:r w:rsidR="00AA28FD" w:rsidRPr="00D94A73">
              <w:rPr>
                <w:rStyle w:val="Hyperlink"/>
                <w:lang w:eastAsia="en-GB"/>
              </w:rPr>
              <w:t>Part B – General Contract Management</w:t>
            </w:r>
            <w:r w:rsidR="00AA28FD">
              <w:rPr>
                <w:webHidden/>
              </w:rPr>
              <w:tab/>
            </w:r>
            <w:r w:rsidR="00AA28FD">
              <w:rPr>
                <w:webHidden/>
              </w:rPr>
              <w:fldChar w:fldCharType="begin"/>
            </w:r>
            <w:r w:rsidR="00AA28FD">
              <w:rPr>
                <w:webHidden/>
              </w:rPr>
              <w:instrText xml:space="preserve"> PAGEREF _Toc498495333 \h </w:instrText>
            </w:r>
            <w:r w:rsidR="00AA28FD">
              <w:rPr>
                <w:webHidden/>
              </w:rPr>
            </w:r>
            <w:r w:rsidR="00AA28FD">
              <w:rPr>
                <w:webHidden/>
              </w:rPr>
              <w:fldChar w:fldCharType="separate"/>
            </w:r>
            <w:r w:rsidR="00622FF2">
              <w:rPr>
                <w:webHidden/>
              </w:rPr>
              <w:t>60</w:t>
            </w:r>
            <w:r w:rsidR="00AA28FD">
              <w:rPr>
                <w:webHidden/>
              </w:rPr>
              <w:fldChar w:fldCharType="end"/>
            </w:r>
          </w:hyperlink>
        </w:p>
        <w:p w14:paraId="696D451F" w14:textId="77777777" w:rsidR="00AA28FD" w:rsidRDefault="000E7846">
          <w:pPr>
            <w:pStyle w:val="TOC1"/>
            <w:rPr>
              <w:rFonts w:asciiTheme="minorHAnsi" w:eastAsiaTheme="minorEastAsia" w:hAnsiTheme="minorHAnsi" w:cstheme="minorBidi"/>
              <w:bCs w:val="0"/>
              <w:color w:val="auto"/>
              <w:sz w:val="22"/>
              <w:szCs w:val="22"/>
              <w:lang w:eastAsia="en-GB"/>
            </w:rPr>
          </w:pPr>
          <w:hyperlink w:anchor="_Toc498495334" w:history="1">
            <w:r w:rsidR="00AA28FD" w:rsidRPr="00D94A73">
              <w:rPr>
                <w:rStyle w:val="Hyperlink"/>
                <w:lang w:eastAsia="en-GB"/>
              </w:rPr>
              <w:t>1</w:t>
            </w:r>
            <w:r w:rsidR="00AA28FD">
              <w:rPr>
                <w:rFonts w:asciiTheme="minorHAnsi" w:eastAsiaTheme="minorEastAsia" w:hAnsiTheme="minorHAnsi" w:cstheme="minorBidi"/>
                <w:bCs w:val="0"/>
                <w:color w:val="auto"/>
                <w:sz w:val="22"/>
                <w:szCs w:val="22"/>
                <w:lang w:eastAsia="en-GB"/>
              </w:rPr>
              <w:tab/>
            </w:r>
            <w:r w:rsidR="00AA28FD" w:rsidRPr="00D94A73">
              <w:rPr>
                <w:rStyle w:val="Hyperlink"/>
                <w:lang w:eastAsia="en-GB"/>
              </w:rPr>
              <w:t>Contracts Described</w:t>
            </w:r>
            <w:r w:rsidR="00AA28FD">
              <w:rPr>
                <w:webHidden/>
              </w:rPr>
              <w:tab/>
            </w:r>
            <w:r w:rsidR="00AA28FD">
              <w:rPr>
                <w:webHidden/>
              </w:rPr>
              <w:fldChar w:fldCharType="begin"/>
            </w:r>
            <w:r w:rsidR="00AA28FD">
              <w:rPr>
                <w:webHidden/>
              </w:rPr>
              <w:instrText xml:space="preserve"> PAGEREF _Toc498495334 \h </w:instrText>
            </w:r>
            <w:r w:rsidR="00AA28FD">
              <w:rPr>
                <w:webHidden/>
              </w:rPr>
            </w:r>
            <w:r w:rsidR="00AA28FD">
              <w:rPr>
                <w:webHidden/>
              </w:rPr>
              <w:fldChar w:fldCharType="separate"/>
            </w:r>
            <w:r w:rsidR="00622FF2">
              <w:rPr>
                <w:webHidden/>
              </w:rPr>
              <w:t>61</w:t>
            </w:r>
            <w:r w:rsidR="00AA28FD">
              <w:rPr>
                <w:webHidden/>
              </w:rPr>
              <w:fldChar w:fldCharType="end"/>
            </w:r>
          </w:hyperlink>
        </w:p>
        <w:p w14:paraId="20019E90"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35" w:history="1">
            <w:r w:rsidR="00AA28FD" w:rsidRPr="00D94A73">
              <w:rPr>
                <w:rStyle w:val="Hyperlink"/>
                <w:noProof/>
              </w:rPr>
              <w:t>1.1</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Comparison of Contract Types (Standard Medical and as part of models i.e. MCPs / PACS)</w:t>
            </w:r>
            <w:r w:rsidR="00AA28FD">
              <w:rPr>
                <w:noProof/>
                <w:webHidden/>
              </w:rPr>
              <w:tab/>
            </w:r>
            <w:r w:rsidR="00AA28FD">
              <w:rPr>
                <w:noProof/>
                <w:webHidden/>
              </w:rPr>
              <w:fldChar w:fldCharType="begin"/>
            </w:r>
            <w:r w:rsidR="00AA28FD">
              <w:rPr>
                <w:noProof/>
                <w:webHidden/>
              </w:rPr>
              <w:instrText xml:space="preserve"> PAGEREF _Toc498495335 \h </w:instrText>
            </w:r>
            <w:r w:rsidR="00AA28FD">
              <w:rPr>
                <w:noProof/>
                <w:webHidden/>
              </w:rPr>
            </w:r>
            <w:r w:rsidR="00AA28FD">
              <w:rPr>
                <w:noProof/>
                <w:webHidden/>
              </w:rPr>
              <w:fldChar w:fldCharType="separate"/>
            </w:r>
            <w:r w:rsidR="00622FF2">
              <w:rPr>
                <w:noProof/>
                <w:webHidden/>
              </w:rPr>
              <w:t>61</w:t>
            </w:r>
            <w:r w:rsidR="00AA28FD">
              <w:rPr>
                <w:noProof/>
                <w:webHidden/>
              </w:rPr>
              <w:fldChar w:fldCharType="end"/>
            </w:r>
          </w:hyperlink>
        </w:p>
        <w:p w14:paraId="792CCE27"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36" w:history="1">
            <w:r w:rsidR="00AA28FD" w:rsidRPr="00D94A73">
              <w:rPr>
                <w:rStyle w:val="Hyperlink"/>
                <w:noProof/>
              </w:rPr>
              <w:t>1.2</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Urgent Contracts</w:t>
            </w:r>
            <w:r w:rsidR="00AA28FD">
              <w:rPr>
                <w:noProof/>
                <w:webHidden/>
              </w:rPr>
              <w:tab/>
            </w:r>
            <w:r w:rsidR="00AA28FD">
              <w:rPr>
                <w:noProof/>
                <w:webHidden/>
              </w:rPr>
              <w:fldChar w:fldCharType="begin"/>
            </w:r>
            <w:r w:rsidR="00AA28FD">
              <w:rPr>
                <w:noProof/>
                <w:webHidden/>
              </w:rPr>
              <w:instrText xml:space="preserve"> PAGEREF _Toc498495336 \h </w:instrText>
            </w:r>
            <w:r w:rsidR="00AA28FD">
              <w:rPr>
                <w:noProof/>
                <w:webHidden/>
              </w:rPr>
            </w:r>
            <w:r w:rsidR="00AA28FD">
              <w:rPr>
                <w:noProof/>
                <w:webHidden/>
              </w:rPr>
              <w:fldChar w:fldCharType="separate"/>
            </w:r>
            <w:r w:rsidR="00622FF2">
              <w:rPr>
                <w:noProof/>
                <w:webHidden/>
              </w:rPr>
              <w:t>66</w:t>
            </w:r>
            <w:r w:rsidR="00AA28FD">
              <w:rPr>
                <w:noProof/>
                <w:webHidden/>
              </w:rPr>
              <w:fldChar w:fldCharType="end"/>
            </w:r>
          </w:hyperlink>
        </w:p>
        <w:p w14:paraId="46EDB830"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37" w:history="1">
            <w:r w:rsidR="00AA28FD" w:rsidRPr="00D94A73">
              <w:rPr>
                <w:rStyle w:val="Hyperlink"/>
                <w:noProof/>
                <w14:scene3d>
                  <w14:camera w14:prst="orthographicFront"/>
                  <w14:lightRig w14:rig="threePt" w14:dir="t">
                    <w14:rot w14:lat="0" w14:lon="0" w14:rev="0"/>
                  </w14:lightRig>
                </w14:scene3d>
              </w:rPr>
              <w:t>1.1</w:t>
            </w:r>
            <w:r w:rsidR="00AA28FD">
              <w:rPr>
                <w:rFonts w:asciiTheme="minorHAnsi" w:eastAsiaTheme="minorEastAsia" w:hAnsiTheme="minorHAnsi" w:cstheme="minorBidi"/>
                <w:bCs w:val="0"/>
                <w:noProof/>
                <w:sz w:val="22"/>
                <w:szCs w:val="22"/>
                <w:lang w:eastAsia="en-GB"/>
              </w:rPr>
              <w:tab/>
            </w:r>
            <w:r w:rsidR="00AA28FD" w:rsidRPr="00D94A73">
              <w:rPr>
                <w:rStyle w:val="Hyperlink"/>
                <w:rFonts w:cs="Arial"/>
                <w:noProof/>
              </w:rPr>
              <w:t>Public Involvement</w:t>
            </w:r>
            <w:r w:rsidR="00AA28FD">
              <w:rPr>
                <w:noProof/>
                <w:webHidden/>
              </w:rPr>
              <w:tab/>
            </w:r>
            <w:r w:rsidR="00AA28FD">
              <w:rPr>
                <w:noProof/>
                <w:webHidden/>
              </w:rPr>
              <w:fldChar w:fldCharType="begin"/>
            </w:r>
            <w:r w:rsidR="00AA28FD">
              <w:rPr>
                <w:noProof/>
                <w:webHidden/>
              </w:rPr>
              <w:instrText xml:space="preserve"> PAGEREF _Toc498495337 \h </w:instrText>
            </w:r>
            <w:r w:rsidR="00AA28FD">
              <w:rPr>
                <w:noProof/>
                <w:webHidden/>
              </w:rPr>
            </w:r>
            <w:r w:rsidR="00AA28FD">
              <w:rPr>
                <w:noProof/>
                <w:webHidden/>
              </w:rPr>
              <w:fldChar w:fldCharType="separate"/>
            </w:r>
            <w:r w:rsidR="00622FF2">
              <w:rPr>
                <w:noProof/>
                <w:webHidden/>
              </w:rPr>
              <w:t>67</w:t>
            </w:r>
            <w:r w:rsidR="00AA28FD">
              <w:rPr>
                <w:noProof/>
                <w:webHidden/>
              </w:rPr>
              <w:fldChar w:fldCharType="end"/>
            </w:r>
          </w:hyperlink>
        </w:p>
        <w:p w14:paraId="28BFD365"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38" w:history="1">
            <w:r w:rsidR="00AA28FD" w:rsidRPr="00D94A73">
              <w:rPr>
                <w:rStyle w:val="Hyperlink"/>
                <w:noProof/>
              </w:rPr>
              <w:t>1.3</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Annex 1 Persons Eligible to Enter into a GMS Contract</w:t>
            </w:r>
            <w:r w:rsidR="00AA28FD">
              <w:rPr>
                <w:noProof/>
                <w:webHidden/>
              </w:rPr>
              <w:tab/>
            </w:r>
            <w:r w:rsidR="00AA28FD">
              <w:rPr>
                <w:noProof/>
                <w:webHidden/>
              </w:rPr>
              <w:fldChar w:fldCharType="begin"/>
            </w:r>
            <w:r w:rsidR="00AA28FD">
              <w:rPr>
                <w:noProof/>
                <w:webHidden/>
              </w:rPr>
              <w:instrText xml:space="preserve"> PAGEREF _Toc498495338 \h </w:instrText>
            </w:r>
            <w:r w:rsidR="00AA28FD">
              <w:rPr>
                <w:noProof/>
                <w:webHidden/>
              </w:rPr>
            </w:r>
            <w:r w:rsidR="00AA28FD">
              <w:rPr>
                <w:noProof/>
                <w:webHidden/>
              </w:rPr>
              <w:fldChar w:fldCharType="separate"/>
            </w:r>
            <w:r w:rsidR="00622FF2">
              <w:rPr>
                <w:noProof/>
                <w:webHidden/>
              </w:rPr>
              <w:t>70</w:t>
            </w:r>
            <w:r w:rsidR="00AA28FD">
              <w:rPr>
                <w:noProof/>
                <w:webHidden/>
              </w:rPr>
              <w:fldChar w:fldCharType="end"/>
            </w:r>
          </w:hyperlink>
        </w:p>
        <w:p w14:paraId="621D87E1"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39" w:history="1">
            <w:r w:rsidR="00AA28FD" w:rsidRPr="00D94A73">
              <w:rPr>
                <w:rStyle w:val="Hyperlink"/>
                <w:noProof/>
              </w:rPr>
              <w:t>1.4</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Annex 2 Persons eligible to enter into a PMS Agreement</w:t>
            </w:r>
            <w:r w:rsidR="00AA28FD">
              <w:rPr>
                <w:noProof/>
                <w:webHidden/>
              </w:rPr>
              <w:tab/>
            </w:r>
            <w:r w:rsidR="00AA28FD">
              <w:rPr>
                <w:noProof/>
                <w:webHidden/>
              </w:rPr>
              <w:fldChar w:fldCharType="begin"/>
            </w:r>
            <w:r w:rsidR="00AA28FD">
              <w:rPr>
                <w:noProof/>
                <w:webHidden/>
              </w:rPr>
              <w:instrText xml:space="preserve"> PAGEREF _Toc498495339 \h </w:instrText>
            </w:r>
            <w:r w:rsidR="00AA28FD">
              <w:rPr>
                <w:noProof/>
                <w:webHidden/>
              </w:rPr>
            </w:r>
            <w:r w:rsidR="00AA28FD">
              <w:rPr>
                <w:noProof/>
                <w:webHidden/>
              </w:rPr>
              <w:fldChar w:fldCharType="separate"/>
            </w:r>
            <w:r w:rsidR="00622FF2">
              <w:rPr>
                <w:noProof/>
                <w:webHidden/>
              </w:rPr>
              <w:t>79</w:t>
            </w:r>
            <w:r w:rsidR="00AA28FD">
              <w:rPr>
                <w:noProof/>
                <w:webHidden/>
              </w:rPr>
              <w:fldChar w:fldCharType="end"/>
            </w:r>
          </w:hyperlink>
        </w:p>
        <w:p w14:paraId="21F2B9CD"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40" w:history="1">
            <w:r w:rsidR="00AA28FD" w:rsidRPr="00D94A73">
              <w:rPr>
                <w:rStyle w:val="Hyperlink"/>
                <w:noProof/>
              </w:rPr>
              <w:t>1.5</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Annex 3 Persons Eligible to Enter into an APMS Contract</w:t>
            </w:r>
            <w:r w:rsidR="00AA28FD">
              <w:rPr>
                <w:noProof/>
                <w:webHidden/>
              </w:rPr>
              <w:tab/>
            </w:r>
            <w:r w:rsidR="00AA28FD">
              <w:rPr>
                <w:noProof/>
                <w:webHidden/>
              </w:rPr>
              <w:fldChar w:fldCharType="begin"/>
            </w:r>
            <w:r w:rsidR="00AA28FD">
              <w:rPr>
                <w:noProof/>
                <w:webHidden/>
              </w:rPr>
              <w:instrText xml:space="preserve"> PAGEREF _Toc498495340 \h </w:instrText>
            </w:r>
            <w:r w:rsidR="00AA28FD">
              <w:rPr>
                <w:noProof/>
                <w:webHidden/>
              </w:rPr>
            </w:r>
            <w:r w:rsidR="00AA28FD">
              <w:rPr>
                <w:noProof/>
                <w:webHidden/>
              </w:rPr>
              <w:fldChar w:fldCharType="separate"/>
            </w:r>
            <w:r w:rsidR="00622FF2">
              <w:rPr>
                <w:noProof/>
                <w:webHidden/>
              </w:rPr>
              <w:t>87</w:t>
            </w:r>
            <w:r w:rsidR="00AA28FD">
              <w:rPr>
                <w:noProof/>
                <w:webHidden/>
              </w:rPr>
              <w:fldChar w:fldCharType="end"/>
            </w:r>
          </w:hyperlink>
        </w:p>
        <w:p w14:paraId="77CEB8FF" w14:textId="77777777" w:rsidR="00AA28FD" w:rsidRDefault="000E7846">
          <w:pPr>
            <w:pStyle w:val="TOC1"/>
            <w:rPr>
              <w:rFonts w:asciiTheme="minorHAnsi" w:eastAsiaTheme="minorEastAsia" w:hAnsiTheme="minorHAnsi" w:cstheme="minorBidi"/>
              <w:bCs w:val="0"/>
              <w:color w:val="auto"/>
              <w:sz w:val="22"/>
              <w:szCs w:val="22"/>
              <w:lang w:eastAsia="en-GB"/>
            </w:rPr>
          </w:pPr>
          <w:hyperlink w:anchor="_Toc498495341" w:history="1">
            <w:r w:rsidR="00AA28FD" w:rsidRPr="00D94A73">
              <w:rPr>
                <w:rStyle w:val="Hyperlink"/>
              </w:rPr>
              <w:t>2</w:t>
            </w:r>
            <w:r w:rsidR="00AA28FD">
              <w:rPr>
                <w:rFonts w:asciiTheme="minorHAnsi" w:eastAsiaTheme="minorEastAsia" w:hAnsiTheme="minorHAnsi" w:cstheme="minorBidi"/>
                <w:bCs w:val="0"/>
                <w:color w:val="auto"/>
                <w:sz w:val="22"/>
                <w:szCs w:val="22"/>
                <w:lang w:eastAsia="en-GB"/>
              </w:rPr>
              <w:tab/>
            </w:r>
            <w:r w:rsidR="00AA28FD" w:rsidRPr="00D94A73">
              <w:rPr>
                <w:rStyle w:val="Hyperlink"/>
              </w:rPr>
              <w:t>Assurance Framework Contract Review</w:t>
            </w:r>
            <w:r w:rsidR="00AA28FD">
              <w:rPr>
                <w:webHidden/>
              </w:rPr>
              <w:tab/>
            </w:r>
            <w:r w:rsidR="00AA28FD">
              <w:rPr>
                <w:webHidden/>
              </w:rPr>
              <w:fldChar w:fldCharType="begin"/>
            </w:r>
            <w:r w:rsidR="00AA28FD">
              <w:rPr>
                <w:webHidden/>
              </w:rPr>
              <w:instrText xml:space="preserve"> PAGEREF _Toc498495341 \h </w:instrText>
            </w:r>
            <w:r w:rsidR="00AA28FD">
              <w:rPr>
                <w:webHidden/>
              </w:rPr>
            </w:r>
            <w:r w:rsidR="00AA28FD">
              <w:rPr>
                <w:webHidden/>
              </w:rPr>
              <w:fldChar w:fldCharType="separate"/>
            </w:r>
            <w:r w:rsidR="00622FF2">
              <w:rPr>
                <w:webHidden/>
              </w:rPr>
              <w:t>93</w:t>
            </w:r>
            <w:r w:rsidR="00AA28FD">
              <w:rPr>
                <w:webHidden/>
              </w:rPr>
              <w:fldChar w:fldCharType="end"/>
            </w:r>
          </w:hyperlink>
        </w:p>
        <w:p w14:paraId="509C126F"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42" w:history="1">
            <w:r w:rsidR="00AA28FD" w:rsidRPr="00D94A73">
              <w:rPr>
                <w:rStyle w:val="Hyperlink"/>
                <w:rFonts w:eastAsia="Calibri"/>
                <w:noProof/>
              </w:rPr>
              <w:t>2.1</w:t>
            </w:r>
            <w:r w:rsidR="00AA28FD">
              <w:rPr>
                <w:rFonts w:asciiTheme="minorHAnsi" w:eastAsiaTheme="minorEastAsia" w:hAnsiTheme="minorHAnsi" w:cstheme="minorBidi"/>
                <w:bCs w:val="0"/>
                <w:noProof/>
                <w:sz w:val="22"/>
                <w:szCs w:val="22"/>
                <w:lang w:eastAsia="en-GB"/>
              </w:rPr>
              <w:tab/>
            </w:r>
            <w:r w:rsidR="00AA28FD" w:rsidRPr="00D94A73">
              <w:rPr>
                <w:rStyle w:val="Hyperlink"/>
                <w:rFonts w:eastAsia="Calibri"/>
                <w:noProof/>
              </w:rPr>
              <w:t>Introduction</w:t>
            </w:r>
            <w:r w:rsidR="00AA28FD">
              <w:rPr>
                <w:noProof/>
                <w:webHidden/>
              </w:rPr>
              <w:tab/>
            </w:r>
            <w:r w:rsidR="00AA28FD">
              <w:rPr>
                <w:noProof/>
                <w:webHidden/>
              </w:rPr>
              <w:fldChar w:fldCharType="begin"/>
            </w:r>
            <w:r w:rsidR="00AA28FD">
              <w:rPr>
                <w:noProof/>
                <w:webHidden/>
              </w:rPr>
              <w:instrText xml:space="preserve"> PAGEREF _Toc498495342 \h </w:instrText>
            </w:r>
            <w:r w:rsidR="00AA28FD">
              <w:rPr>
                <w:noProof/>
                <w:webHidden/>
              </w:rPr>
            </w:r>
            <w:r w:rsidR="00AA28FD">
              <w:rPr>
                <w:noProof/>
                <w:webHidden/>
              </w:rPr>
              <w:fldChar w:fldCharType="separate"/>
            </w:r>
            <w:r w:rsidR="00622FF2">
              <w:rPr>
                <w:noProof/>
                <w:webHidden/>
              </w:rPr>
              <w:t>93</w:t>
            </w:r>
            <w:r w:rsidR="00AA28FD">
              <w:rPr>
                <w:noProof/>
                <w:webHidden/>
              </w:rPr>
              <w:fldChar w:fldCharType="end"/>
            </w:r>
          </w:hyperlink>
        </w:p>
        <w:p w14:paraId="0E7C19A6"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43" w:history="1">
            <w:r w:rsidR="00AA28FD" w:rsidRPr="00D94A73">
              <w:rPr>
                <w:rStyle w:val="Hyperlink"/>
                <w:rFonts w:eastAsia="Calibri"/>
                <w:noProof/>
              </w:rPr>
              <w:t>2.2</w:t>
            </w:r>
            <w:r w:rsidR="00AA28FD">
              <w:rPr>
                <w:rFonts w:asciiTheme="minorHAnsi" w:eastAsiaTheme="minorEastAsia" w:hAnsiTheme="minorHAnsi" w:cstheme="minorBidi"/>
                <w:bCs w:val="0"/>
                <w:noProof/>
                <w:sz w:val="22"/>
                <w:szCs w:val="22"/>
                <w:lang w:eastAsia="en-GB"/>
              </w:rPr>
              <w:tab/>
            </w:r>
            <w:r w:rsidR="00AA28FD" w:rsidRPr="00D94A73">
              <w:rPr>
                <w:rStyle w:val="Hyperlink"/>
                <w:rFonts w:eastAsia="Calibri"/>
                <w:noProof/>
              </w:rPr>
              <w:t>Background</w:t>
            </w:r>
            <w:r w:rsidR="00AA28FD">
              <w:rPr>
                <w:noProof/>
                <w:webHidden/>
              </w:rPr>
              <w:tab/>
            </w:r>
            <w:r w:rsidR="00AA28FD">
              <w:rPr>
                <w:noProof/>
                <w:webHidden/>
              </w:rPr>
              <w:fldChar w:fldCharType="begin"/>
            </w:r>
            <w:r w:rsidR="00AA28FD">
              <w:rPr>
                <w:noProof/>
                <w:webHidden/>
              </w:rPr>
              <w:instrText xml:space="preserve"> PAGEREF _Toc498495343 \h </w:instrText>
            </w:r>
            <w:r w:rsidR="00AA28FD">
              <w:rPr>
                <w:noProof/>
                <w:webHidden/>
              </w:rPr>
            </w:r>
            <w:r w:rsidR="00AA28FD">
              <w:rPr>
                <w:noProof/>
                <w:webHidden/>
              </w:rPr>
              <w:fldChar w:fldCharType="separate"/>
            </w:r>
            <w:r w:rsidR="00622FF2">
              <w:rPr>
                <w:noProof/>
                <w:webHidden/>
              </w:rPr>
              <w:t>94</w:t>
            </w:r>
            <w:r w:rsidR="00AA28FD">
              <w:rPr>
                <w:noProof/>
                <w:webHidden/>
              </w:rPr>
              <w:fldChar w:fldCharType="end"/>
            </w:r>
          </w:hyperlink>
        </w:p>
        <w:p w14:paraId="49F0A94E"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44" w:history="1">
            <w:r w:rsidR="00AA28FD" w:rsidRPr="00D94A73">
              <w:rPr>
                <w:rStyle w:val="Hyperlink"/>
                <w:rFonts w:eastAsia="Calibri"/>
                <w:noProof/>
              </w:rPr>
              <w:t>2.3</w:t>
            </w:r>
            <w:r w:rsidR="00AA28FD">
              <w:rPr>
                <w:rFonts w:asciiTheme="minorHAnsi" w:eastAsiaTheme="minorEastAsia" w:hAnsiTheme="minorHAnsi" w:cstheme="minorBidi"/>
                <w:bCs w:val="0"/>
                <w:noProof/>
                <w:sz w:val="22"/>
                <w:szCs w:val="22"/>
                <w:lang w:eastAsia="en-GB"/>
              </w:rPr>
              <w:tab/>
            </w:r>
            <w:r w:rsidR="00AA28FD" w:rsidRPr="00D94A73">
              <w:rPr>
                <w:rStyle w:val="Hyperlink"/>
                <w:rFonts w:eastAsia="Calibri"/>
                <w:noProof/>
              </w:rPr>
              <w:t>Contract Review</w:t>
            </w:r>
            <w:r w:rsidR="00AA28FD">
              <w:rPr>
                <w:noProof/>
                <w:webHidden/>
              </w:rPr>
              <w:tab/>
            </w:r>
            <w:r w:rsidR="00AA28FD">
              <w:rPr>
                <w:noProof/>
                <w:webHidden/>
              </w:rPr>
              <w:fldChar w:fldCharType="begin"/>
            </w:r>
            <w:r w:rsidR="00AA28FD">
              <w:rPr>
                <w:noProof/>
                <w:webHidden/>
              </w:rPr>
              <w:instrText xml:space="preserve"> PAGEREF _Toc498495344 \h </w:instrText>
            </w:r>
            <w:r w:rsidR="00AA28FD">
              <w:rPr>
                <w:noProof/>
                <w:webHidden/>
              </w:rPr>
            </w:r>
            <w:r w:rsidR="00AA28FD">
              <w:rPr>
                <w:noProof/>
                <w:webHidden/>
              </w:rPr>
              <w:fldChar w:fldCharType="separate"/>
            </w:r>
            <w:r w:rsidR="00622FF2">
              <w:rPr>
                <w:noProof/>
                <w:webHidden/>
              </w:rPr>
              <w:t>94</w:t>
            </w:r>
            <w:r w:rsidR="00AA28FD">
              <w:rPr>
                <w:noProof/>
                <w:webHidden/>
              </w:rPr>
              <w:fldChar w:fldCharType="end"/>
            </w:r>
          </w:hyperlink>
        </w:p>
        <w:p w14:paraId="309BF16D"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45" w:history="1">
            <w:r w:rsidR="00AA28FD" w:rsidRPr="00D94A73">
              <w:rPr>
                <w:rStyle w:val="Hyperlink"/>
                <w:rFonts w:eastAsia="Calibri"/>
                <w:noProof/>
              </w:rPr>
              <w:t>2.4</w:t>
            </w:r>
            <w:r w:rsidR="00AA28FD">
              <w:rPr>
                <w:rFonts w:asciiTheme="minorHAnsi" w:eastAsiaTheme="minorEastAsia" w:hAnsiTheme="minorHAnsi" w:cstheme="minorBidi"/>
                <w:bCs w:val="0"/>
                <w:noProof/>
                <w:sz w:val="22"/>
                <w:szCs w:val="22"/>
                <w:lang w:eastAsia="en-GB"/>
              </w:rPr>
              <w:tab/>
            </w:r>
            <w:r w:rsidR="00AA28FD" w:rsidRPr="00D94A73">
              <w:rPr>
                <w:rStyle w:val="Hyperlink"/>
                <w:rFonts w:eastAsia="Calibri"/>
                <w:noProof/>
              </w:rPr>
              <w:t>Setting and Monitoring Key Performance Indicators</w:t>
            </w:r>
            <w:r w:rsidR="00AA28FD">
              <w:rPr>
                <w:noProof/>
                <w:webHidden/>
              </w:rPr>
              <w:tab/>
            </w:r>
            <w:r w:rsidR="00AA28FD">
              <w:rPr>
                <w:noProof/>
                <w:webHidden/>
              </w:rPr>
              <w:fldChar w:fldCharType="begin"/>
            </w:r>
            <w:r w:rsidR="00AA28FD">
              <w:rPr>
                <w:noProof/>
                <w:webHidden/>
              </w:rPr>
              <w:instrText xml:space="preserve"> PAGEREF _Toc498495345 \h </w:instrText>
            </w:r>
            <w:r w:rsidR="00AA28FD">
              <w:rPr>
                <w:noProof/>
                <w:webHidden/>
              </w:rPr>
            </w:r>
            <w:r w:rsidR="00AA28FD">
              <w:rPr>
                <w:noProof/>
                <w:webHidden/>
              </w:rPr>
              <w:fldChar w:fldCharType="separate"/>
            </w:r>
            <w:r w:rsidR="00622FF2">
              <w:rPr>
                <w:noProof/>
                <w:webHidden/>
              </w:rPr>
              <w:t>95</w:t>
            </w:r>
            <w:r w:rsidR="00AA28FD">
              <w:rPr>
                <w:noProof/>
                <w:webHidden/>
              </w:rPr>
              <w:fldChar w:fldCharType="end"/>
            </w:r>
          </w:hyperlink>
        </w:p>
        <w:p w14:paraId="69899F23"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46" w:history="1">
            <w:r w:rsidR="00AA28FD" w:rsidRPr="00D94A73">
              <w:rPr>
                <w:rStyle w:val="Hyperlink"/>
                <w:rFonts w:eastAsia="Calibri"/>
                <w:noProof/>
              </w:rPr>
              <w:t>2.5</w:t>
            </w:r>
            <w:r w:rsidR="00AA28FD">
              <w:rPr>
                <w:rFonts w:asciiTheme="minorHAnsi" w:eastAsiaTheme="minorEastAsia" w:hAnsiTheme="minorHAnsi" w:cstheme="minorBidi"/>
                <w:bCs w:val="0"/>
                <w:noProof/>
                <w:sz w:val="22"/>
                <w:szCs w:val="22"/>
                <w:lang w:eastAsia="en-GB"/>
              </w:rPr>
              <w:tab/>
            </w:r>
            <w:r w:rsidR="00AA28FD" w:rsidRPr="00D94A73">
              <w:rPr>
                <w:rStyle w:val="Hyperlink"/>
                <w:rFonts w:eastAsia="Calibri"/>
                <w:noProof/>
              </w:rPr>
              <w:t>Using data and information effectively</w:t>
            </w:r>
            <w:r w:rsidR="00AA28FD">
              <w:rPr>
                <w:noProof/>
                <w:webHidden/>
              </w:rPr>
              <w:tab/>
            </w:r>
            <w:r w:rsidR="00AA28FD">
              <w:rPr>
                <w:noProof/>
                <w:webHidden/>
              </w:rPr>
              <w:fldChar w:fldCharType="begin"/>
            </w:r>
            <w:r w:rsidR="00AA28FD">
              <w:rPr>
                <w:noProof/>
                <w:webHidden/>
              </w:rPr>
              <w:instrText xml:space="preserve"> PAGEREF _Toc498495346 \h </w:instrText>
            </w:r>
            <w:r w:rsidR="00AA28FD">
              <w:rPr>
                <w:noProof/>
                <w:webHidden/>
              </w:rPr>
            </w:r>
            <w:r w:rsidR="00AA28FD">
              <w:rPr>
                <w:noProof/>
                <w:webHidden/>
              </w:rPr>
              <w:fldChar w:fldCharType="separate"/>
            </w:r>
            <w:r w:rsidR="00622FF2">
              <w:rPr>
                <w:noProof/>
                <w:webHidden/>
              </w:rPr>
              <w:t>96</w:t>
            </w:r>
            <w:r w:rsidR="00AA28FD">
              <w:rPr>
                <w:noProof/>
                <w:webHidden/>
              </w:rPr>
              <w:fldChar w:fldCharType="end"/>
            </w:r>
          </w:hyperlink>
        </w:p>
        <w:p w14:paraId="5FAAF8ED"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47" w:history="1">
            <w:r w:rsidR="00AA28FD" w:rsidRPr="00D94A73">
              <w:rPr>
                <w:rStyle w:val="Hyperlink"/>
                <w:noProof/>
              </w:rPr>
              <w:t>2.6</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Practice Visit – Best Practice</w:t>
            </w:r>
            <w:r w:rsidR="00AA28FD">
              <w:rPr>
                <w:noProof/>
                <w:webHidden/>
              </w:rPr>
              <w:tab/>
            </w:r>
            <w:r w:rsidR="00AA28FD">
              <w:rPr>
                <w:noProof/>
                <w:webHidden/>
              </w:rPr>
              <w:fldChar w:fldCharType="begin"/>
            </w:r>
            <w:r w:rsidR="00AA28FD">
              <w:rPr>
                <w:noProof/>
                <w:webHidden/>
              </w:rPr>
              <w:instrText xml:space="preserve"> PAGEREF _Toc498495347 \h </w:instrText>
            </w:r>
            <w:r w:rsidR="00AA28FD">
              <w:rPr>
                <w:noProof/>
                <w:webHidden/>
              </w:rPr>
            </w:r>
            <w:r w:rsidR="00AA28FD">
              <w:rPr>
                <w:noProof/>
                <w:webHidden/>
              </w:rPr>
              <w:fldChar w:fldCharType="separate"/>
            </w:r>
            <w:r w:rsidR="00622FF2">
              <w:rPr>
                <w:noProof/>
                <w:webHidden/>
              </w:rPr>
              <w:t>101</w:t>
            </w:r>
            <w:r w:rsidR="00AA28FD">
              <w:rPr>
                <w:noProof/>
                <w:webHidden/>
              </w:rPr>
              <w:fldChar w:fldCharType="end"/>
            </w:r>
          </w:hyperlink>
        </w:p>
        <w:p w14:paraId="3D1C7590" w14:textId="77777777" w:rsidR="00AA28FD" w:rsidRDefault="000E7846">
          <w:pPr>
            <w:pStyle w:val="TOC1"/>
            <w:rPr>
              <w:rFonts w:asciiTheme="minorHAnsi" w:eastAsiaTheme="minorEastAsia" w:hAnsiTheme="minorHAnsi" w:cstheme="minorBidi"/>
              <w:bCs w:val="0"/>
              <w:color w:val="auto"/>
              <w:sz w:val="22"/>
              <w:szCs w:val="22"/>
              <w:lang w:eastAsia="en-GB"/>
            </w:rPr>
          </w:pPr>
          <w:hyperlink w:anchor="_Toc498495348" w:history="1">
            <w:r w:rsidR="00AA28FD" w:rsidRPr="00D94A73">
              <w:rPr>
                <w:rStyle w:val="Hyperlink"/>
                <w:lang w:eastAsia="en-GB"/>
              </w:rPr>
              <w:t>3</w:t>
            </w:r>
            <w:r w:rsidR="00AA28FD">
              <w:rPr>
                <w:rFonts w:asciiTheme="minorHAnsi" w:eastAsiaTheme="minorEastAsia" w:hAnsiTheme="minorHAnsi" w:cstheme="minorBidi"/>
                <w:bCs w:val="0"/>
                <w:color w:val="auto"/>
                <w:sz w:val="22"/>
                <w:szCs w:val="22"/>
                <w:lang w:eastAsia="en-GB"/>
              </w:rPr>
              <w:tab/>
            </w:r>
            <w:r w:rsidR="00AA28FD" w:rsidRPr="00D94A73">
              <w:rPr>
                <w:rStyle w:val="Hyperlink"/>
                <w:lang w:eastAsia="en-GB"/>
              </w:rPr>
              <w:t>Managing Patient Lists</w:t>
            </w:r>
            <w:r w:rsidR="00AA28FD">
              <w:rPr>
                <w:webHidden/>
              </w:rPr>
              <w:tab/>
            </w:r>
            <w:r w:rsidR="00AA28FD">
              <w:rPr>
                <w:webHidden/>
              </w:rPr>
              <w:fldChar w:fldCharType="begin"/>
            </w:r>
            <w:r w:rsidR="00AA28FD">
              <w:rPr>
                <w:webHidden/>
              </w:rPr>
              <w:instrText xml:space="preserve"> PAGEREF _Toc498495348 \h </w:instrText>
            </w:r>
            <w:r w:rsidR="00AA28FD">
              <w:rPr>
                <w:webHidden/>
              </w:rPr>
            </w:r>
            <w:r w:rsidR="00AA28FD">
              <w:rPr>
                <w:webHidden/>
              </w:rPr>
              <w:fldChar w:fldCharType="separate"/>
            </w:r>
            <w:r w:rsidR="00622FF2">
              <w:rPr>
                <w:webHidden/>
              </w:rPr>
              <w:t>107</w:t>
            </w:r>
            <w:r w:rsidR="00AA28FD">
              <w:rPr>
                <w:webHidden/>
              </w:rPr>
              <w:fldChar w:fldCharType="end"/>
            </w:r>
          </w:hyperlink>
        </w:p>
        <w:p w14:paraId="07D6EA82"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49" w:history="1">
            <w:r w:rsidR="00AA28FD" w:rsidRPr="00D94A73">
              <w:rPr>
                <w:rStyle w:val="Hyperlink"/>
                <w:noProof/>
                <w:lang w:eastAsia="en-GB"/>
              </w:rPr>
              <w:t>3.1</w:t>
            </w:r>
            <w:r w:rsidR="00AA28FD">
              <w:rPr>
                <w:rFonts w:asciiTheme="minorHAnsi" w:eastAsiaTheme="minorEastAsia" w:hAnsiTheme="minorHAnsi" w:cstheme="minorBidi"/>
                <w:bCs w:val="0"/>
                <w:noProof/>
                <w:sz w:val="22"/>
                <w:szCs w:val="22"/>
                <w:lang w:eastAsia="en-GB"/>
              </w:rPr>
              <w:tab/>
            </w:r>
            <w:r w:rsidR="00AA28FD" w:rsidRPr="00D94A73">
              <w:rPr>
                <w:rStyle w:val="Hyperlink"/>
                <w:noProof/>
                <w:lang w:eastAsia="en-GB"/>
              </w:rPr>
              <w:t>Introduction</w:t>
            </w:r>
            <w:r w:rsidR="00AA28FD">
              <w:rPr>
                <w:noProof/>
                <w:webHidden/>
              </w:rPr>
              <w:tab/>
            </w:r>
            <w:r w:rsidR="00AA28FD">
              <w:rPr>
                <w:noProof/>
                <w:webHidden/>
              </w:rPr>
              <w:fldChar w:fldCharType="begin"/>
            </w:r>
            <w:r w:rsidR="00AA28FD">
              <w:rPr>
                <w:noProof/>
                <w:webHidden/>
              </w:rPr>
              <w:instrText xml:space="preserve"> PAGEREF _Toc498495349 \h </w:instrText>
            </w:r>
            <w:r w:rsidR="00AA28FD">
              <w:rPr>
                <w:noProof/>
                <w:webHidden/>
              </w:rPr>
            </w:r>
            <w:r w:rsidR="00AA28FD">
              <w:rPr>
                <w:noProof/>
                <w:webHidden/>
              </w:rPr>
              <w:fldChar w:fldCharType="separate"/>
            </w:r>
            <w:r w:rsidR="00622FF2">
              <w:rPr>
                <w:noProof/>
                <w:webHidden/>
              </w:rPr>
              <w:t>107</w:t>
            </w:r>
            <w:r w:rsidR="00AA28FD">
              <w:rPr>
                <w:noProof/>
                <w:webHidden/>
              </w:rPr>
              <w:fldChar w:fldCharType="end"/>
            </w:r>
          </w:hyperlink>
        </w:p>
        <w:p w14:paraId="5AEF44DB"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50" w:history="1">
            <w:r w:rsidR="00AA28FD" w:rsidRPr="00D94A73">
              <w:rPr>
                <w:rStyle w:val="Hyperlink"/>
                <w:noProof/>
                <w:lang w:eastAsia="en-GB"/>
              </w:rPr>
              <w:t>3.2</w:t>
            </w:r>
            <w:r w:rsidR="00AA28FD">
              <w:rPr>
                <w:rFonts w:asciiTheme="minorHAnsi" w:eastAsiaTheme="minorEastAsia" w:hAnsiTheme="minorHAnsi" w:cstheme="minorBidi"/>
                <w:bCs w:val="0"/>
                <w:noProof/>
                <w:sz w:val="22"/>
                <w:szCs w:val="22"/>
                <w:lang w:eastAsia="en-GB"/>
              </w:rPr>
              <w:tab/>
            </w:r>
            <w:r w:rsidR="00AA28FD" w:rsidRPr="00D94A73">
              <w:rPr>
                <w:rStyle w:val="Hyperlink"/>
                <w:noProof/>
                <w:lang w:eastAsia="en-GB"/>
              </w:rPr>
              <w:t>PART A: Managing Patient Assignments</w:t>
            </w:r>
            <w:r w:rsidR="00AA28FD">
              <w:rPr>
                <w:noProof/>
                <w:webHidden/>
              </w:rPr>
              <w:tab/>
            </w:r>
            <w:r w:rsidR="00AA28FD">
              <w:rPr>
                <w:noProof/>
                <w:webHidden/>
              </w:rPr>
              <w:fldChar w:fldCharType="begin"/>
            </w:r>
            <w:r w:rsidR="00AA28FD">
              <w:rPr>
                <w:noProof/>
                <w:webHidden/>
              </w:rPr>
              <w:instrText xml:space="preserve"> PAGEREF _Toc498495350 \h </w:instrText>
            </w:r>
            <w:r w:rsidR="00AA28FD">
              <w:rPr>
                <w:noProof/>
                <w:webHidden/>
              </w:rPr>
            </w:r>
            <w:r w:rsidR="00AA28FD">
              <w:rPr>
                <w:noProof/>
                <w:webHidden/>
              </w:rPr>
              <w:fldChar w:fldCharType="separate"/>
            </w:r>
            <w:r w:rsidR="00622FF2">
              <w:rPr>
                <w:noProof/>
                <w:webHidden/>
              </w:rPr>
              <w:t>107</w:t>
            </w:r>
            <w:r w:rsidR="00AA28FD">
              <w:rPr>
                <w:noProof/>
                <w:webHidden/>
              </w:rPr>
              <w:fldChar w:fldCharType="end"/>
            </w:r>
          </w:hyperlink>
        </w:p>
        <w:p w14:paraId="28317847"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51" w:history="1">
            <w:r w:rsidR="00AA28FD" w:rsidRPr="00D94A73">
              <w:rPr>
                <w:rStyle w:val="Hyperlink"/>
                <w:noProof/>
                <w:lang w:eastAsia="en-GB"/>
              </w:rPr>
              <w:t>3.3</w:t>
            </w:r>
            <w:r w:rsidR="00AA28FD">
              <w:rPr>
                <w:rFonts w:asciiTheme="minorHAnsi" w:eastAsiaTheme="minorEastAsia" w:hAnsiTheme="minorHAnsi" w:cstheme="minorBidi"/>
                <w:bCs w:val="0"/>
                <w:noProof/>
                <w:sz w:val="22"/>
                <w:szCs w:val="22"/>
                <w:lang w:eastAsia="en-GB"/>
              </w:rPr>
              <w:tab/>
            </w:r>
            <w:r w:rsidR="00AA28FD" w:rsidRPr="00D94A73">
              <w:rPr>
                <w:rStyle w:val="Hyperlink"/>
                <w:noProof/>
                <w:lang w:eastAsia="en-GB"/>
              </w:rPr>
              <w:t>Part B1: General List Maintenance for Primary Medical Services</w:t>
            </w:r>
            <w:r w:rsidR="00AA28FD">
              <w:rPr>
                <w:noProof/>
                <w:webHidden/>
              </w:rPr>
              <w:tab/>
            </w:r>
            <w:r w:rsidR="00AA28FD">
              <w:rPr>
                <w:noProof/>
                <w:webHidden/>
              </w:rPr>
              <w:fldChar w:fldCharType="begin"/>
            </w:r>
            <w:r w:rsidR="00AA28FD">
              <w:rPr>
                <w:noProof/>
                <w:webHidden/>
              </w:rPr>
              <w:instrText xml:space="preserve"> PAGEREF _Toc498495351 \h </w:instrText>
            </w:r>
            <w:r w:rsidR="00AA28FD">
              <w:rPr>
                <w:noProof/>
                <w:webHidden/>
              </w:rPr>
            </w:r>
            <w:r w:rsidR="00AA28FD">
              <w:rPr>
                <w:noProof/>
                <w:webHidden/>
              </w:rPr>
              <w:fldChar w:fldCharType="separate"/>
            </w:r>
            <w:r w:rsidR="00622FF2">
              <w:rPr>
                <w:noProof/>
                <w:webHidden/>
              </w:rPr>
              <w:t>116</w:t>
            </w:r>
            <w:r w:rsidR="00AA28FD">
              <w:rPr>
                <w:noProof/>
                <w:webHidden/>
              </w:rPr>
              <w:fldChar w:fldCharType="end"/>
            </w:r>
          </w:hyperlink>
        </w:p>
        <w:p w14:paraId="0CDFF2CB"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52" w:history="1">
            <w:r w:rsidR="00AA28FD" w:rsidRPr="00D94A73">
              <w:rPr>
                <w:rStyle w:val="Hyperlink"/>
                <w:noProof/>
                <w:lang w:eastAsia="en-GB"/>
              </w:rPr>
              <w:t>3.4</w:t>
            </w:r>
            <w:r w:rsidR="00AA28FD">
              <w:rPr>
                <w:rFonts w:asciiTheme="minorHAnsi" w:eastAsiaTheme="minorEastAsia" w:hAnsiTheme="minorHAnsi" w:cstheme="minorBidi"/>
                <w:bCs w:val="0"/>
                <w:noProof/>
                <w:sz w:val="22"/>
                <w:szCs w:val="22"/>
                <w:lang w:eastAsia="en-GB"/>
              </w:rPr>
              <w:tab/>
            </w:r>
            <w:r w:rsidR="00AA28FD" w:rsidRPr="00D94A73">
              <w:rPr>
                <w:rStyle w:val="Hyperlink"/>
                <w:noProof/>
                <w:lang w:eastAsia="en-GB"/>
              </w:rPr>
              <w:t>Part B2: Targeted List Maintenance for Primary Medical Services</w:t>
            </w:r>
            <w:r w:rsidR="00AA28FD">
              <w:rPr>
                <w:noProof/>
                <w:webHidden/>
              </w:rPr>
              <w:tab/>
            </w:r>
            <w:r w:rsidR="00AA28FD">
              <w:rPr>
                <w:noProof/>
                <w:webHidden/>
              </w:rPr>
              <w:fldChar w:fldCharType="begin"/>
            </w:r>
            <w:r w:rsidR="00AA28FD">
              <w:rPr>
                <w:noProof/>
                <w:webHidden/>
              </w:rPr>
              <w:instrText xml:space="preserve"> PAGEREF _Toc498495352 \h </w:instrText>
            </w:r>
            <w:r w:rsidR="00AA28FD">
              <w:rPr>
                <w:noProof/>
                <w:webHidden/>
              </w:rPr>
            </w:r>
            <w:r w:rsidR="00AA28FD">
              <w:rPr>
                <w:noProof/>
                <w:webHidden/>
              </w:rPr>
              <w:fldChar w:fldCharType="separate"/>
            </w:r>
            <w:r w:rsidR="00622FF2">
              <w:rPr>
                <w:noProof/>
                <w:webHidden/>
              </w:rPr>
              <w:t>130</w:t>
            </w:r>
            <w:r w:rsidR="00AA28FD">
              <w:rPr>
                <w:noProof/>
                <w:webHidden/>
              </w:rPr>
              <w:fldChar w:fldCharType="end"/>
            </w:r>
          </w:hyperlink>
        </w:p>
        <w:p w14:paraId="067215AA"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53" w:history="1">
            <w:r w:rsidR="00AA28FD" w:rsidRPr="00D94A73">
              <w:rPr>
                <w:rStyle w:val="Hyperlink"/>
                <w:noProof/>
                <w:lang w:eastAsia="en-GB"/>
              </w:rPr>
              <w:t>3.5</w:t>
            </w:r>
            <w:r w:rsidR="00AA28FD">
              <w:rPr>
                <w:rFonts w:asciiTheme="minorHAnsi" w:eastAsiaTheme="minorEastAsia" w:hAnsiTheme="minorHAnsi" w:cstheme="minorBidi"/>
                <w:bCs w:val="0"/>
                <w:noProof/>
                <w:sz w:val="22"/>
                <w:szCs w:val="22"/>
                <w:lang w:eastAsia="en-GB"/>
              </w:rPr>
              <w:tab/>
            </w:r>
            <w:r w:rsidR="00AA28FD" w:rsidRPr="00D94A73">
              <w:rPr>
                <w:rStyle w:val="Hyperlink"/>
                <w:noProof/>
                <w:lang w:eastAsia="en-GB"/>
              </w:rPr>
              <w:t>PART C: MANAGING CLOSED LISTS</w:t>
            </w:r>
            <w:r w:rsidR="00AA28FD">
              <w:rPr>
                <w:noProof/>
                <w:webHidden/>
              </w:rPr>
              <w:tab/>
            </w:r>
            <w:r w:rsidR="00AA28FD">
              <w:rPr>
                <w:noProof/>
                <w:webHidden/>
              </w:rPr>
              <w:fldChar w:fldCharType="begin"/>
            </w:r>
            <w:r w:rsidR="00AA28FD">
              <w:rPr>
                <w:noProof/>
                <w:webHidden/>
              </w:rPr>
              <w:instrText xml:space="preserve"> PAGEREF _Toc498495353 \h </w:instrText>
            </w:r>
            <w:r w:rsidR="00AA28FD">
              <w:rPr>
                <w:noProof/>
                <w:webHidden/>
              </w:rPr>
            </w:r>
            <w:r w:rsidR="00AA28FD">
              <w:rPr>
                <w:noProof/>
                <w:webHidden/>
              </w:rPr>
              <w:fldChar w:fldCharType="separate"/>
            </w:r>
            <w:r w:rsidR="00622FF2">
              <w:rPr>
                <w:noProof/>
                <w:webHidden/>
              </w:rPr>
              <w:t>138</w:t>
            </w:r>
            <w:r w:rsidR="00AA28FD">
              <w:rPr>
                <w:noProof/>
                <w:webHidden/>
              </w:rPr>
              <w:fldChar w:fldCharType="end"/>
            </w:r>
          </w:hyperlink>
        </w:p>
        <w:p w14:paraId="61B5CBE9" w14:textId="77777777" w:rsidR="00AA28FD" w:rsidRDefault="000E7846">
          <w:pPr>
            <w:pStyle w:val="TOC1"/>
            <w:rPr>
              <w:rFonts w:asciiTheme="minorHAnsi" w:eastAsiaTheme="minorEastAsia" w:hAnsiTheme="minorHAnsi" w:cstheme="minorBidi"/>
              <w:bCs w:val="0"/>
              <w:color w:val="auto"/>
              <w:sz w:val="22"/>
              <w:szCs w:val="22"/>
              <w:lang w:eastAsia="en-GB"/>
            </w:rPr>
          </w:pPr>
          <w:hyperlink w:anchor="_Toc498495354" w:history="1">
            <w:r w:rsidR="00AA28FD" w:rsidRPr="00D94A73">
              <w:rPr>
                <w:rStyle w:val="Hyperlink"/>
                <w:lang w:eastAsia="en-GB"/>
              </w:rPr>
              <w:t>4</w:t>
            </w:r>
            <w:r w:rsidR="00AA28FD">
              <w:rPr>
                <w:rFonts w:asciiTheme="minorHAnsi" w:eastAsiaTheme="minorEastAsia" w:hAnsiTheme="minorHAnsi" w:cstheme="minorBidi"/>
                <w:bCs w:val="0"/>
                <w:color w:val="auto"/>
                <w:sz w:val="22"/>
                <w:szCs w:val="22"/>
                <w:lang w:eastAsia="en-GB"/>
              </w:rPr>
              <w:tab/>
            </w:r>
            <w:r w:rsidR="00AA28FD" w:rsidRPr="00D94A73">
              <w:rPr>
                <w:rStyle w:val="Hyperlink"/>
                <w:lang w:eastAsia="en-GB"/>
              </w:rPr>
              <w:t>GP Patient Registration Standard Operating Principles for Primary Medical Care</w:t>
            </w:r>
            <w:r w:rsidR="00AA28FD">
              <w:rPr>
                <w:webHidden/>
              </w:rPr>
              <w:tab/>
            </w:r>
            <w:r w:rsidR="00AA28FD">
              <w:rPr>
                <w:webHidden/>
              </w:rPr>
              <w:fldChar w:fldCharType="begin"/>
            </w:r>
            <w:r w:rsidR="00AA28FD">
              <w:rPr>
                <w:webHidden/>
              </w:rPr>
              <w:instrText xml:space="preserve"> PAGEREF _Toc498495354 \h </w:instrText>
            </w:r>
            <w:r w:rsidR="00AA28FD">
              <w:rPr>
                <w:webHidden/>
              </w:rPr>
            </w:r>
            <w:r w:rsidR="00AA28FD">
              <w:rPr>
                <w:webHidden/>
              </w:rPr>
              <w:fldChar w:fldCharType="separate"/>
            </w:r>
            <w:r w:rsidR="00622FF2">
              <w:rPr>
                <w:webHidden/>
              </w:rPr>
              <w:t>144</w:t>
            </w:r>
            <w:r w:rsidR="00AA28FD">
              <w:rPr>
                <w:webHidden/>
              </w:rPr>
              <w:fldChar w:fldCharType="end"/>
            </w:r>
          </w:hyperlink>
        </w:p>
        <w:p w14:paraId="165C897B"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55" w:history="1">
            <w:r w:rsidR="00AA28FD" w:rsidRPr="00D94A73">
              <w:rPr>
                <w:rStyle w:val="Hyperlink"/>
                <w:noProof/>
              </w:rPr>
              <w:t>4.1</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Policy statement</w:t>
            </w:r>
            <w:r w:rsidR="00AA28FD">
              <w:rPr>
                <w:noProof/>
                <w:webHidden/>
              </w:rPr>
              <w:tab/>
            </w:r>
            <w:r w:rsidR="00AA28FD">
              <w:rPr>
                <w:noProof/>
                <w:webHidden/>
              </w:rPr>
              <w:fldChar w:fldCharType="begin"/>
            </w:r>
            <w:r w:rsidR="00AA28FD">
              <w:rPr>
                <w:noProof/>
                <w:webHidden/>
              </w:rPr>
              <w:instrText xml:space="preserve"> PAGEREF _Toc498495355 \h </w:instrText>
            </w:r>
            <w:r w:rsidR="00AA28FD">
              <w:rPr>
                <w:noProof/>
                <w:webHidden/>
              </w:rPr>
            </w:r>
            <w:r w:rsidR="00AA28FD">
              <w:rPr>
                <w:noProof/>
                <w:webHidden/>
              </w:rPr>
              <w:fldChar w:fldCharType="separate"/>
            </w:r>
            <w:r w:rsidR="00622FF2">
              <w:rPr>
                <w:noProof/>
                <w:webHidden/>
              </w:rPr>
              <w:t>144</w:t>
            </w:r>
            <w:r w:rsidR="00AA28FD">
              <w:rPr>
                <w:noProof/>
                <w:webHidden/>
              </w:rPr>
              <w:fldChar w:fldCharType="end"/>
            </w:r>
          </w:hyperlink>
        </w:p>
        <w:p w14:paraId="7712F35F"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56" w:history="1">
            <w:r w:rsidR="00AA28FD" w:rsidRPr="00D94A73">
              <w:rPr>
                <w:rStyle w:val="Hyperlink"/>
                <w:noProof/>
              </w:rPr>
              <w:t>4.2</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Aims</w:t>
            </w:r>
            <w:r w:rsidR="00AA28FD">
              <w:rPr>
                <w:noProof/>
                <w:webHidden/>
              </w:rPr>
              <w:tab/>
            </w:r>
            <w:r w:rsidR="00AA28FD">
              <w:rPr>
                <w:noProof/>
                <w:webHidden/>
              </w:rPr>
              <w:fldChar w:fldCharType="begin"/>
            </w:r>
            <w:r w:rsidR="00AA28FD">
              <w:rPr>
                <w:noProof/>
                <w:webHidden/>
              </w:rPr>
              <w:instrText xml:space="preserve"> PAGEREF _Toc498495356 \h </w:instrText>
            </w:r>
            <w:r w:rsidR="00AA28FD">
              <w:rPr>
                <w:noProof/>
                <w:webHidden/>
              </w:rPr>
            </w:r>
            <w:r w:rsidR="00AA28FD">
              <w:rPr>
                <w:noProof/>
                <w:webHidden/>
              </w:rPr>
              <w:fldChar w:fldCharType="separate"/>
            </w:r>
            <w:r w:rsidR="00622FF2">
              <w:rPr>
                <w:noProof/>
                <w:webHidden/>
              </w:rPr>
              <w:t>144</w:t>
            </w:r>
            <w:r w:rsidR="00AA28FD">
              <w:rPr>
                <w:noProof/>
                <w:webHidden/>
              </w:rPr>
              <w:fldChar w:fldCharType="end"/>
            </w:r>
          </w:hyperlink>
        </w:p>
        <w:p w14:paraId="2D0F6C7D"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57" w:history="1">
            <w:r w:rsidR="00AA28FD" w:rsidRPr="00D94A73">
              <w:rPr>
                <w:rStyle w:val="Hyperlink"/>
                <w:noProof/>
              </w:rPr>
              <w:t>4.3</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Context</w:t>
            </w:r>
            <w:r w:rsidR="00AA28FD">
              <w:rPr>
                <w:noProof/>
                <w:webHidden/>
              </w:rPr>
              <w:tab/>
            </w:r>
            <w:r w:rsidR="00AA28FD">
              <w:rPr>
                <w:noProof/>
                <w:webHidden/>
              </w:rPr>
              <w:fldChar w:fldCharType="begin"/>
            </w:r>
            <w:r w:rsidR="00AA28FD">
              <w:rPr>
                <w:noProof/>
                <w:webHidden/>
              </w:rPr>
              <w:instrText xml:space="preserve"> PAGEREF _Toc498495357 \h </w:instrText>
            </w:r>
            <w:r w:rsidR="00AA28FD">
              <w:rPr>
                <w:noProof/>
                <w:webHidden/>
              </w:rPr>
            </w:r>
            <w:r w:rsidR="00AA28FD">
              <w:rPr>
                <w:noProof/>
                <w:webHidden/>
              </w:rPr>
              <w:fldChar w:fldCharType="separate"/>
            </w:r>
            <w:r w:rsidR="00622FF2">
              <w:rPr>
                <w:noProof/>
                <w:webHidden/>
              </w:rPr>
              <w:t>144</w:t>
            </w:r>
            <w:r w:rsidR="00AA28FD">
              <w:rPr>
                <w:noProof/>
                <w:webHidden/>
              </w:rPr>
              <w:fldChar w:fldCharType="end"/>
            </w:r>
          </w:hyperlink>
        </w:p>
        <w:p w14:paraId="43C1BD51"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58" w:history="1">
            <w:r w:rsidR="00AA28FD" w:rsidRPr="00D94A73">
              <w:rPr>
                <w:rStyle w:val="Hyperlink"/>
                <w:noProof/>
              </w:rPr>
              <w:t>4.4</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Who can register for free primary care services?</w:t>
            </w:r>
            <w:r w:rsidR="00AA28FD">
              <w:rPr>
                <w:noProof/>
                <w:webHidden/>
              </w:rPr>
              <w:tab/>
            </w:r>
            <w:r w:rsidR="00AA28FD">
              <w:rPr>
                <w:noProof/>
                <w:webHidden/>
              </w:rPr>
              <w:fldChar w:fldCharType="begin"/>
            </w:r>
            <w:r w:rsidR="00AA28FD">
              <w:rPr>
                <w:noProof/>
                <w:webHidden/>
              </w:rPr>
              <w:instrText xml:space="preserve"> PAGEREF _Toc498495358 \h </w:instrText>
            </w:r>
            <w:r w:rsidR="00AA28FD">
              <w:rPr>
                <w:noProof/>
                <w:webHidden/>
              </w:rPr>
            </w:r>
            <w:r w:rsidR="00AA28FD">
              <w:rPr>
                <w:noProof/>
                <w:webHidden/>
              </w:rPr>
              <w:fldChar w:fldCharType="separate"/>
            </w:r>
            <w:r w:rsidR="00622FF2">
              <w:rPr>
                <w:noProof/>
                <w:webHidden/>
              </w:rPr>
              <w:t>145</w:t>
            </w:r>
            <w:r w:rsidR="00AA28FD">
              <w:rPr>
                <w:noProof/>
                <w:webHidden/>
              </w:rPr>
              <w:fldChar w:fldCharType="end"/>
            </w:r>
          </w:hyperlink>
        </w:p>
        <w:p w14:paraId="7A88B852"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59" w:history="1">
            <w:r w:rsidR="00AA28FD" w:rsidRPr="00D94A73">
              <w:rPr>
                <w:rStyle w:val="Hyperlink"/>
                <w:noProof/>
              </w:rPr>
              <w:t>4.5</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Immediately necessary treatment</w:t>
            </w:r>
            <w:r w:rsidR="00AA28FD">
              <w:rPr>
                <w:noProof/>
                <w:webHidden/>
              </w:rPr>
              <w:tab/>
            </w:r>
            <w:r w:rsidR="00AA28FD">
              <w:rPr>
                <w:noProof/>
                <w:webHidden/>
              </w:rPr>
              <w:fldChar w:fldCharType="begin"/>
            </w:r>
            <w:r w:rsidR="00AA28FD">
              <w:rPr>
                <w:noProof/>
                <w:webHidden/>
              </w:rPr>
              <w:instrText xml:space="preserve"> PAGEREF _Toc498495359 \h </w:instrText>
            </w:r>
            <w:r w:rsidR="00AA28FD">
              <w:rPr>
                <w:noProof/>
                <w:webHidden/>
              </w:rPr>
            </w:r>
            <w:r w:rsidR="00AA28FD">
              <w:rPr>
                <w:noProof/>
                <w:webHidden/>
              </w:rPr>
              <w:fldChar w:fldCharType="separate"/>
            </w:r>
            <w:r w:rsidR="00622FF2">
              <w:rPr>
                <w:noProof/>
                <w:webHidden/>
              </w:rPr>
              <w:t>147</w:t>
            </w:r>
            <w:r w:rsidR="00AA28FD">
              <w:rPr>
                <w:noProof/>
                <w:webHidden/>
              </w:rPr>
              <w:fldChar w:fldCharType="end"/>
            </w:r>
          </w:hyperlink>
        </w:p>
        <w:p w14:paraId="6A141135"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60" w:history="1">
            <w:r w:rsidR="00AA28FD" w:rsidRPr="00D94A73">
              <w:rPr>
                <w:rStyle w:val="Hyperlink"/>
                <w:noProof/>
              </w:rPr>
              <w:t>4.6</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Determining if the patient lives in the practice area</w:t>
            </w:r>
            <w:r w:rsidR="00AA28FD">
              <w:rPr>
                <w:noProof/>
                <w:webHidden/>
              </w:rPr>
              <w:tab/>
            </w:r>
            <w:r w:rsidR="00AA28FD">
              <w:rPr>
                <w:noProof/>
                <w:webHidden/>
              </w:rPr>
              <w:fldChar w:fldCharType="begin"/>
            </w:r>
            <w:r w:rsidR="00AA28FD">
              <w:rPr>
                <w:noProof/>
                <w:webHidden/>
              </w:rPr>
              <w:instrText xml:space="preserve"> PAGEREF _Toc498495360 \h </w:instrText>
            </w:r>
            <w:r w:rsidR="00AA28FD">
              <w:rPr>
                <w:noProof/>
                <w:webHidden/>
              </w:rPr>
            </w:r>
            <w:r w:rsidR="00AA28FD">
              <w:rPr>
                <w:noProof/>
                <w:webHidden/>
              </w:rPr>
              <w:fldChar w:fldCharType="separate"/>
            </w:r>
            <w:r w:rsidR="00622FF2">
              <w:rPr>
                <w:noProof/>
                <w:webHidden/>
              </w:rPr>
              <w:t>147</w:t>
            </w:r>
            <w:r w:rsidR="00AA28FD">
              <w:rPr>
                <w:noProof/>
                <w:webHidden/>
              </w:rPr>
              <w:fldChar w:fldCharType="end"/>
            </w:r>
          </w:hyperlink>
        </w:p>
        <w:p w14:paraId="1EE4FBFE"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61" w:history="1">
            <w:r w:rsidR="00AA28FD" w:rsidRPr="00D94A73">
              <w:rPr>
                <w:rStyle w:val="Hyperlink"/>
                <w:noProof/>
              </w:rPr>
              <w:t>4.7</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Access to registration</w:t>
            </w:r>
            <w:r w:rsidR="00AA28FD">
              <w:rPr>
                <w:noProof/>
                <w:webHidden/>
              </w:rPr>
              <w:tab/>
            </w:r>
            <w:r w:rsidR="00AA28FD">
              <w:rPr>
                <w:noProof/>
                <w:webHidden/>
              </w:rPr>
              <w:fldChar w:fldCharType="begin"/>
            </w:r>
            <w:r w:rsidR="00AA28FD">
              <w:rPr>
                <w:noProof/>
                <w:webHidden/>
              </w:rPr>
              <w:instrText xml:space="preserve"> PAGEREF _Toc498495361 \h </w:instrText>
            </w:r>
            <w:r w:rsidR="00AA28FD">
              <w:rPr>
                <w:noProof/>
                <w:webHidden/>
              </w:rPr>
            </w:r>
            <w:r w:rsidR="00AA28FD">
              <w:rPr>
                <w:noProof/>
                <w:webHidden/>
              </w:rPr>
              <w:fldChar w:fldCharType="separate"/>
            </w:r>
            <w:r w:rsidR="00622FF2">
              <w:rPr>
                <w:noProof/>
                <w:webHidden/>
              </w:rPr>
              <w:t>148</w:t>
            </w:r>
            <w:r w:rsidR="00AA28FD">
              <w:rPr>
                <w:noProof/>
                <w:webHidden/>
              </w:rPr>
              <w:fldChar w:fldCharType="end"/>
            </w:r>
          </w:hyperlink>
        </w:p>
        <w:p w14:paraId="51A3FBAA"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62" w:history="1">
            <w:r w:rsidR="00AA28FD" w:rsidRPr="00D94A73">
              <w:rPr>
                <w:rStyle w:val="Hyperlink"/>
                <w:noProof/>
              </w:rPr>
              <w:t>4.8</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New patient health checks</w:t>
            </w:r>
            <w:r w:rsidR="00AA28FD">
              <w:rPr>
                <w:noProof/>
                <w:webHidden/>
              </w:rPr>
              <w:tab/>
            </w:r>
            <w:r w:rsidR="00AA28FD">
              <w:rPr>
                <w:noProof/>
                <w:webHidden/>
              </w:rPr>
              <w:fldChar w:fldCharType="begin"/>
            </w:r>
            <w:r w:rsidR="00AA28FD">
              <w:rPr>
                <w:noProof/>
                <w:webHidden/>
              </w:rPr>
              <w:instrText xml:space="preserve"> PAGEREF _Toc498495362 \h </w:instrText>
            </w:r>
            <w:r w:rsidR="00AA28FD">
              <w:rPr>
                <w:noProof/>
                <w:webHidden/>
              </w:rPr>
            </w:r>
            <w:r w:rsidR="00AA28FD">
              <w:rPr>
                <w:noProof/>
                <w:webHidden/>
              </w:rPr>
              <w:fldChar w:fldCharType="separate"/>
            </w:r>
            <w:r w:rsidR="00622FF2">
              <w:rPr>
                <w:noProof/>
                <w:webHidden/>
              </w:rPr>
              <w:t>148</w:t>
            </w:r>
            <w:r w:rsidR="00AA28FD">
              <w:rPr>
                <w:noProof/>
                <w:webHidden/>
              </w:rPr>
              <w:fldChar w:fldCharType="end"/>
            </w:r>
          </w:hyperlink>
        </w:p>
        <w:p w14:paraId="1AFA9209"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63" w:history="1">
            <w:r w:rsidR="00AA28FD" w:rsidRPr="00D94A73">
              <w:rPr>
                <w:rStyle w:val="Hyperlink"/>
                <w:noProof/>
              </w:rPr>
              <w:t>4.9</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Requesting documentary information from patients</w:t>
            </w:r>
            <w:r w:rsidR="00AA28FD">
              <w:rPr>
                <w:noProof/>
                <w:webHidden/>
              </w:rPr>
              <w:tab/>
            </w:r>
            <w:r w:rsidR="00AA28FD">
              <w:rPr>
                <w:noProof/>
                <w:webHidden/>
              </w:rPr>
              <w:fldChar w:fldCharType="begin"/>
            </w:r>
            <w:r w:rsidR="00AA28FD">
              <w:rPr>
                <w:noProof/>
                <w:webHidden/>
              </w:rPr>
              <w:instrText xml:space="preserve"> PAGEREF _Toc498495363 \h </w:instrText>
            </w:r>
            <w:r w:rsidR="00AA28FD">
              <w:rPr>
                <w:noProof/>
                <w:webHidden/>
              </w:rPr>
            </w:r>
            <w:r w:rsidR="00AA28FD">
              <w:rPr>
                <w:noProof/>
                <w:webHidden/>
              </w:rPr>
              <w:fldChar w:fldCharType="separate"/>
            </w:r>
            <w:r w:rsidR="00622FF2">
              <w:rPr>
                <w:noProof/>
                <w:webHidden/>
              </w:rPr>
              <w:t>148</w:t>
            </w:r>
            <w:r w:rsidR="00AA28FD">
              <w:rPr>
                <w:noProof/>
                <w:webHidden/>
              </w:rPr>
              <w:fldChar w:fldCharType="end"/>
            </w:r>
          </w:hyperlink>
        </w:p>
        <w:p w14:paraId="19C11E9E"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64" w:history="1">
            <w:r w:rsidR="00AA28FD" w:rsidRPr="00D94A73">
              <w:rPr>
                <w:rStyle w:val="Hyperlink"/>
                <w:noProof/>
              </w:rPr>
              <w:t>4.10</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Refusing Registration</w:t>
            </w:r>
            <w:r w:rsidR="00AA28FD">
              <w:rPr>
                <w:noProof/>
                <w:webHidden/>
              </w:rPr>
              <w:tab/>
            </w:r>
            <w:r w:rsidR="00AA28FD">
              <w:rPr>
                <w:noProof/>
                <w:webHidden/>
              </w:rPr>
              <w:fldChar w:fldCharType="begin"/>
            </w:r>
            <w:r w:rsidR="00AA28FD">
              <w:rPr>
                <w:noProof/>
                <w:webHidden/>
              </w:rPr>
              <w:instrText xml:space="preserve"> PAGEREF _Toc498495364 \h </w:instrText>
            </w:r>
            <w:r w:rsidR="00AA28FD">
              <w:rPr>
                <w:noProof/>
                <w:webHidden/>
              </w:rPr>
            </w:r>
            <w:r w:rsidR="00AA28FD">
              <w:rPr>
                <w:noProof/>
                <w:webHidden/>
              </w:rPr>
              <w:fldChar w:fldCharType="separate"/>
            </w:r>
            <w:r w:rsidR="00622FF2">
              <w:rPr>
                <w:noProof/>
                <w:webHidden/>
              </w:rPr>
              <w:t>150</w:t>
            </w:r>
            <w:r w:rsidR="00AA28FD">
              <w:rPr>
                <w:noProof/>
                <w:webHidden/>
              </w:rPr>
              <w:fldChar w:fldCharType="end"/>
            </w:r>
          </w:hyperlink>
        </w:p>
        <w:p w14:paraId="20C0417B"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65" w:history="1">
            <w:r w:rsidR="00AA28FD" w:rsidRPr="00D94A73">
              <w:rPr>
                <w:rStyle w:val="Hyperlink"/>
                <w:noProof/>
              </w:rPr>
              <w:t>4.11</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Patients who are temporarily resident in a specialist hospital away from home</w:t>
            </w:r>
            <w:r w:rsidR="00AA28FD">
              <w:rPr>
                <w:noProof/>
                <w:webHidden/>
              </w:rPr>
              <w:tab/>
            </w:r>
            <w:r w:rsidR="00AA28FD">
              <w:rPr>
                <w:noProof/>
                <w:webHidden/>
              </w:rPr>
              <w:fldChar w:fldCharType="begin"/>
            </w:r>
            <w:r w:rsidR="00AA28FD">
              <w:rPr>
                <w:noProof/>
                <w:webHidden/>
              </w:rPr>
              <w:instrText xml:space="preserve"> PAGEREF _Toc498495365 \h </w:instrText>
            </w:r>
            <w:r w:rsidR="00AA28FD">
              <w:rPr>
                <w:noProof/>
                <w:webHidden/>
              </w:rPr>
            </w:r>
            <w:r w:rsidR="00AA28FD">
              <w:rPr>
                <w:noProof/>
                <w:webHidden/>
              </w:rPr>
              <w:fldChar w:fldCharType="separate"/>
            </w:r>
            <w:r w:rsidR="00622FF2">
              <w:rPr>
                <w:noProof/>
                <w:webHidden/>
              </w:rPr>
              <w:t>151</w:t>
            </w:r>
            <w:r w:rsidR="00AA28FD">
              <w:rPr>
                <w:noProof/>
                <w:webHidden/>
              </w:rPr>
              <w:fldChar w:fldCharType="end"/>
            </w:r>
          </w:hyperlink>
        </w:p>
        <w:p w14:paraId="0A9CDA5D"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66" w:history="1">
            <w:r w:rsidR="00AA28FD" w:rsidRPr="00D94A73">
              <w:rPr>
                <w:rStyle w:val="Hyperlink"/>
                <w:noProof/>
              </w:rPr>
              <w:t>4.12</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Registering children</w:t>
            </w:r>
            <w:r w:rsidR="00AA28FD">
              <w:rPr>
                <w:noProof/>
                <w:webHidden/>
              </w:rPr>
              <w:tab/>
            </w:r>
            <w:r w:rsidR="00AA28FD">
              <w:rPr>
                <w:noProof/>
                <w:webHidden/>
              </w:rPr>
              <w:fldChar w:fldCharType="begin"/>
            </w:r>
            <w:r w:rsidR="00AA28FD">
              <w:rPr>
                <w:noProof/>
                <w:webHidden/>
              </w:rPr>
              <w:instrText xml:space="preserve"> PAGEREF _Toc498495366 \h </w:instrText>
            </w:r>
            <w:r w:rsidR="00AA28FD">
              <w:rPr>
                <w:noProof/>
                <w:webHidden/>
              </w:rPr>
            </w:r>
            <w:r w:rsidR="00AA28FD">
              <w:rPr>
                <w:noProof/>
                <w:webHidden/>
              </w:rPr>
              <w:fldChar w:fldCharType="separate"/>
            </w:r>
            <w:r w:rsidR="00622FF2">
              <w:rPr>
                <w:noProof/>
                <w:webHidden/>
              </w:rPr>
              <w:t>151</w:t>
            </w:r>
            <w:r w:rsidR="00AA28FD">
              <w:rPr>
                <w:noProof/>
                <w:webHidden/>
              </w:rPr>
              <w:fldChar w:fldCharType="end"/>
            </w:r>
          </w:hyperlink>
        </w:p>
        <w:p w14:paraId="3E71CA9F"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67" w:history="1">
            <w:r w:rsidR="00AA28FD" w:rsidRPr="00D94A73">
              <w:rPr>
                <w:rStyle w:val="Hyperlink"/>
                <w:noProof/>
              </w:rPr>
              <w:t>4.13</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Registration of those previously registered with Defence Medical Services (DMS) and Priority NHS care for Veterans</w:t>
            </w:r>
            <w:r w:rsidR="00AA28FD">
              <w:rPr>
                <w:noProof/>
                <w:webHidden/>
              </w:rPr>
              <w:tab/>
            </w:r>
            <w:r w:rsidR="00AA28FD">
              <w:rPr>
                <w:noProof/>
                <w:webHidden/>
              </w:rPr>
              <w:fldChar w:fldCharType="begin"/>
            </w:r>
            <w:r w:rsidR="00AA28FD">
              <w:rPr>
                <w:noProof/>
                <w:webHidden/>
              </w:rPr>
              <w:instrText xml:space="preserve"> PAGEREF _Toc498495367 \h </w:instrText>
            </w:r>
            <w:r w:rsidR="00AA28FD">
              <w:rPr>
                <w:noProof/>
                <w:webHidden/>
              </w:rPr>
            </w:r>
            <w:r w:rsidR="00AA28FD">
              <w:rPr>
                <w:noProof/>
                <w:webHidden/>
              </w:rPr>
              <w:fldChar w:fldCharType="separate"/>
            </w:r>
            <w:r w:rsidR="00622FF2">
              <w:rPr>
                <w:noProof/>
                <w:webHidden/>
              </w:rPr>
              <w:t>154</w:t>
            </w:r>
            <w:r w:rsidR="00AA28FD">
              <w:rPr>
                <w:noProof/>
                <w:webHidden/>
              </w:rPr>
              <w:fldChar w:fldCharType="end"/>
            </w:r>
          </w:hyperlink>
        </w:p>
        <w:p w14:paraId="2E770F61"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68" w:history="1">
            <w:r w:rsidR="00AA28FD" w:rsidRPr="00D94A73">
              <w:rPr>
                <w:rStyle w:val="Hyperlink"/>
                <w:noProof/>
              </w:rPr>
              <w:t>4.14</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Persons released from prisons, immigration centres or children’s secure facilities</w:t>
            </w:r>
            <w:r w:rsidR="00AA28FD">
              <w:rPr>
                <w:noProof/>
                <w:webHidden/>
              </w:rPr>
              <w:tab/>
            </w:r>
            <w:r w:rsidR="00AA28FD">
              <w:rPr>
                <w:noProof/>
                <w:webHidden/>
              </w:rPr>
              <w:fldChar w:fldCharType="begin"/>
            </w:r>
            <w:r w:rsidR="00AA28FD">
              <w:rPr>
                <w:noProof/>
                <w:webHidden/>
              </w:rPr>
              <w:instrText xml:space="preserve"> PAGEREF _Toc498495368 \h </w:instrText>
            </w:r>
            <w:r w:rsidR="00AA28FD">
              <w:rPr>
                <w:noProof/>
                <w:webHidden/>
              </w:rPr>
            </w:r>
            <w:r w:rsidR="00AA28FD">
              <w:rPr>
                <w:noProof/>
                <w:webHidden/>
              </w:rPr>
              <w:fldChar w:fldCharType="separate"/>
            </w:r>
            <w:r w:rsidR="00622FF2">
              <w:rPr>
                <w:noProof/>
                <w:webHidden/>
              </w:rPr>
              <w:t>155</w:t>
            </w:r>
            <w:r w:rsidR="00AA28FD">
              <w:rPr>
                <w:noProof/>
                <w:webHidden/>
              </w:rPr>
              <w:fldChar w:fldCharType="end"/>
            </w:r>
          </w:hyperlink>
        </w:p>
        <w:p w14:paraId="2895B902"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69" w:history="1">
            <w:r w:rsidR="00AA28FD" w:rsidRPr="00D94A73">
              <w:rPr>
                <w:rStyle w:val="Hyperlink"/>
                <w:noProof/>
              </w:rPr>
              <w:t>4.15</w:t>
            </w:r>
            <w:r w:rsidR="00AA28FD">
              <w:rPr>
                <w:rFonts w:asciiTheme="minorHAnsi" w:eastAsiaTheme="minorEastAsia" w:hAnsiTheme="minorHAnsi" w:cstheme="minorBidi"/>
                <w:bCs w:val="0"/>
                <w:noProof/>
                <w:sz w:val="22"/>
                <w:szCs w:val="22"/>
                <w:lang w:eastAsia="en-GB"/>
              </w:rPr>
              <w:tab/>
            </w:r>
            <w:r w:rsidR="00AA28FD" w:rsidRPr="00D94A73">
              <w:rPr>
                <w:rStyle w:val="Hyperlink"/>
                <w:noProof/>
                <w:lang w:val="en-US"/>
              </w:rPr>
              <w:t>Appendix A;</w:t>
            </w:r>
            <w:r w:rsidR="00AA28FD" w:rsidRPr="00D94A73">
              <w:rPr>
                <w:rStyle w:val="Hyperlink"/>
                <w:rFonts w:eastAsiaTheme="minorHAnsi"/>
                <w:noProof/>
              </w:rPr>
              <w:t xml:space="preserve"> </w:t>
            </w:r>
            <w:r w:rsidR="00AA28FD" w:rsidRPr="00D94A73">
              <w:rPr>
                <w:rStyle w:val="Hyperlink"/>
                <w:noProof/>
              </w:rPr>
              <w:t>Draft Framework for a Memorandum of Understanding between GP Practice and Private provider (MH facility)</w:t>
            </w:r>
            <w:r w:rsidR="00AA28FD">
              <w:rPr>
                <w:noProof/>
                <w:webHidden/>
              </w:rPr>
              <w:tab/>
            </w:r>
            <w:r w:rsidR="00AA28FD">
              <w:rPr>
                <w:noProof/>
                <w:webHidden/>
              </w:rPr>
              <w:fldChar w:fldCharType="begin"/>
            </w:r>
            <w:r w:rsidR="00AA28FD">
              <w:rPr>
                <w:noProof/>
                <w:webHidden/>
              </w:rPr>
              <w:instrText xml:space="preserve"> PAGEREF _Toc498495369 \h </w:instrText>
            </w:r>
            <w:r w:rsidR="00AA28FD">
              <w:rPr>
                <w:noProof/>
                <w:webHidden/>
              </w:rPr>
            </w:r>
            <w:r w:rsidR="00AA28FD">
              <w:rPr>
                <w:noProof/>
                <w:webHidden/>
              </w:rPr>
              <w:fldChar w:fldCharType="separate"/>
            </w:r>
            <w:r w:rsidR="00622FF2">
              <w:rPr>
                <w:noProof/>
                <w:webHidden/>
              </w:rPr>
              <w:t>156</w:t>
            </w:r>
            <w:r w:rsidR="00AA28FD">
              <w:rPr>
                <w:noProof/>
                <w:webHidden/>
              </w:rPr>
              <w:fldChar w:fldCharType="end"/>
            </w:r>
          </w:hyperlink>
        </w:p>
        <w:p w14:paraId="12E7411E" w14:textId="77777777" w:rsidR="00AA28FD" w:rsidRDefault="000E7846">
          <w:pPr>
            <w:pStyle w:val="TOC1"/>
            <w:rPr>
              <w:rFonts w:asciiTheme="minorHAnsi" w:eastAsiaTheme="minorEastAsia" w:hAnsiTheme="minorHAnsi" w:cstheme="minorBidi"/>
              <w:bCs w:val="0"/>
              <w:color w:val="auto"/>
              <w:sz w:val="22"/>
              <w:szCs w:val="22"/>
              <w:lang w:eastAsia="en-GB"/>
            </w:rPr>
          </w:pPr>
          <w:hyperlink w:anchor="_Toc498495370" w:history="1">
            <w:r w:rsidR="00AA28FD" w:rsidRPr="00D94A73">
              <w:rPr>
                <w:rStyle w:val="Hyperlink"/>
                <w:lang w:eastAsia="en-GB"/>
              </w:rPr>
              <w:t>5</w:t>
            </w:r>
            <w:r w:rsidR="00AA28FD">
              <w:rPr>
                <w:rFonts w:asciiTheme="minorHAnsi" w:eastAsiaTheme="minorEastAsia" w:hAnsiTheme="minorHAnsi" w:cstheme="minorBidi"/>
                <w:bCs w:val="0"/>
                <w:color w:val="auto"/>
                <w:sz w:val="22"/>
                <w:szCs w:val="22"/>
                <w:lang w:eastAsia="en-GB"/>
              </w:rPr>
              <w:tab/>
            </w:r>
            <w:r w:rsidR="00AA28FD" w:rsidRPr="00D94A73">
              <w:rPr>
                <w:rStyle w:val="Hyperlink"/>
                <w:lang w:eastAsia="en-GB"/>
              </w:rPr>
              <w:t>Temporary suspension to patient registration</w:t>
            </w:r>
            <w:r w:rsidR="00AA28FD">
              <w:rPr>
                <w:webHidden/>
              </w:rPr>
              <w:tab/>
            </w:r>
            <w:r w:rsidR="00AA28FD">
              <w:rPr>
                <w:webHidden/>
              </w:rPr>
              <w:fldChar w:fldCharType="begin"/>
            </w:r>
            <w:r w:rsidR="00AA28FD">
              <w:rPr>
                <w:webHidden/>
              </w:rPr>
              <w:instrText xml:space="preserve"> PAGEREF _Toc498495370 \h </w:instrText>
            </w:r>
            <w:r w:rsidR="00AA28FD">
              <w:rPr>
                <w:webHidden/>
              </w:rPr>
            </w:r>
            <w:r w:rsidR="00AA28FD">
              <w:rPr>
                <w:webHidden/>
              </w:rPr>
              <w:fldChar w:fldCharType="separate"/>
            </w:r>
            <w:r w:rsidR="00622FF2">
              <w:rPr>
                <w:webHidden/>
              </w:rPr>
              <w:t>159</w:t>
            </w:r>
            <w:r w:rsidR="00AA28FD">
              <w:rPr>
                <w:webHidden/>
              </w:rPr>
              <w:fldChar w:fldCharType="end"/>
            </w:r>
          </w:hyperlink>
        </w:p>
        <w:p w14:paraId="4CB9E900"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71" w:history="1">
            <w:r w:rsidR="00AA28FD" w:rsidRPr="00D94A73">
              <w:rPr>
                <w:rStyle w:val="Hyperlink"/>
                <w:rFonts w:cs="Arial"/>
                <w:noProof/>
              </w:rPr>
              <w:t>5.1</w:t>
            </w:r>
            <w:r w:rsidR="00AA28FD">
              <w:rPr>
                <w:rFonts w:asciiTheme="minorHAnsi" w:eastAsiaTheme="minorEastAsia" w:hAnsiTheme="minorHAnsi" w:cstheme="minorBidi"/>
                <w:bCs w:val="0"/>
                <w:noProof/>
                <w:sz w:val="22"/>
                <w:szCs w:val="22"/>
                <w:lang w:eastAsia="en-GB"/>
              </w:rPr>
              <w:tab/>
            </w:r>
            <w:r w:rsidR="00AA28FD" w:rsidRPr="00D94A73">
              <w:rPr>
                <w:rStyle w:val="Hyperlink"/>
                <w:rFonts w:eastAsia="Arial"/>
                <w:noProof/>
              </w:rPr>
              <w:t>Formal List Closure</w:t>
            </w:r>
            <w:r w:rsidR="00AA28FD">
              <w:rPr>
                <w:noProof/>
                <w:webHidden/>
              </w:rPr>
              <w:tab/>
            </w:r>
            <w:r w:rsidR="00AA28FD">
              <w:rPr>
                <w:noProof/>
                <w:webHidden/>
              </w:rPr>
              <w:fldChar w:fldCharType="begin"/>
            </w:r>
            <w:r w:rsidR="00AA28FD">
              <w:rPr>
                <w:noProof/>
                <w:webHidden/>
              </w:rPr>
              <w:instrText xml:space="preserve"> PAGEREF _Toc498495371 \h </w:instrText>
            </w:r>
            <w:r w:rsidR="00AA28FD">
              <w:rPr>
                <w:noProof/>
                <w:webHidden/>
              </w:rPr>
            </w:r>
            <w:r w:rsidR="00AA28FD">
              <w:rPr>
                <w:noProof/>
                <w:webHidden/>
              </w:rPr>
              <w:fldChar w:fldCharType="separate"/>
            </w:r>
            <w:r w:rsidR="00622FF2">
              <w:rPr>
                <w:noProof/>
                <w:webHidden/>
              </w:rPr>
              <w:t>159</w:t>
            </w:r>
            <w:r w:rsidR="00AA28FD">
              <w:rPr>
                <w:noProof/>
                <w:webHidden/>
              </w:rPr>
              <w:fldChar w:fldCharType="end"/>
            </w:r>
          </w:hyperlink>
        </w:p>
        <w:p w14:paraId="132C7B52"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72" w:history="1">
            <w:r w:rsidR="00AA28FD" w:rsidRPr="00D94A73">
              <w:rPr>
                <w:rStyle w:val="Hyperlink"/>
                <w:rFonts w:eastAsia="Arial"/>
                <w:noProof/>
              </w:rPr>
              <w:t>5.2</w:t>
            </w:r>
            <w:r w:rsidR="00AA28FD">
              <w:rPr>
                <w:rFonts w:asciiTheme="minorHAnsi" w:eastAsiaTheme="minorEastAsia" w:hAnsiTheme="minorHAnsi" w:cstheme="minorBidi"/>
                <w:bCs w:val="0"/>
                <w:noProof/>
                <w:sz w:val="22"/>
                <w:szCs w:val="22"/>
                <w:lang w:eastAsia="en-GB"/>
              </w:rPr>
              <w:tab/>
            </w:r>
            <w:r w:rsidR="00AA28FD" w:rsidRPr="00D94A73">
              <w:rPr>
                <w:rStyle w:val="Hyperlink"/>
                <w:rFonts w:eastAsia="Arial"/>
                <w:noProof/>
              </w:rPr>
              <w:t>‘Informal’ or ‘Temporary’ List closure</w:t>
            </w:r>
            <w:r w:rsidR="00AA28FD">
              <w:rPr>
                <w:noProof/>
                <w:webHidden/>
              </w:rPr>
              <w:tab/>
            </w:r>
            <w:r w:rsidR="00AA28FD">
              <w:rPr>
                <w:noProof/>
                <w:webHidden/>
              </w:rPr>
              <w:fldChar w:fldCharType="begin"/>
            </w:r>
            <w:r w:rsidR="00AA28FD">
              <w:rPr>
                <w:noProof/>
                <w:webHidden/>
              </w:rPr>
              <w:instrText xml:space="preserve"> PAGEREF _Toc498495372 \h </w:instrText>
            </w:r>
            <w:r w:rsidR="00AA28FD">
              <w:rPr>
                <w:noProof/>
                <w:webHidden/>
              </w:rPr>
            </w:r>
            <w:r w:rsidR="00AA28FD">
              <w:rPr>
                <w:noProof/>
                <w:webHidden/>
              </w:rPr>
              <w:fldChar w:fldCharType="separate"/>
            </w:r>
            <w:r w:rsidR="00622FF2">
              <w:rPr>
                <w:noProof/>
                <w:webHidden/>
              </w:rPr>
              <w:t>159</w:t>
            </w:r>
            <w:r w:rsidR="00AA28FD">
              <w:rPr>
                <w:noProof/>
                <w:webHidden/>
              </w:rPr>
              <w:fldChar w:fldCharType="end"/>
            </w:r>
          </w:hyperlink>
        </w:p>
        <w:p w14:paraId="2C83B5DB"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73" w:history="1">
            <w:r w:rsidR="00AA28FD" w:rsidRPr="00D94A73">
              <w:rPr>
                <w:rStyle w:val="Hyperlink"/>
                <w:rFonts w:eastAsia="Arial"/>
                <w:noProof/>
              </w:rPr>
              <w:t>5.3</w:t>
            </w:r>
            <w:r w:rsidR="00AA28FD">
              <w:rPr>
                <w:rFonts w:asciiTheme="minorHAnsi" w:eastAsiaTheme="minorEastAsia" w:hAnsiTheme="minorHAnsi" w:cstheme="minorBidi"/>
                <w:bCs w:val="0"/>
                <w:noProof/>
                <w:sz w:val="22"/>
                <w:szCs w:val="22"/>
                <w:lang w:eastAsia="en-GB"/>
              </w:rPr>
              <w:tab/>
            </w:r>
            <w:r w:rsidR="00AA28FD" w:rsidRPr="00D94A73">
              <w:rPr>
                <w:rStyle w:val="Hyperlink"/>
                <w:rFonts w:eastAsia="Arial"/>
                <w:noProof/>
              </w:rPr>
              <w:t>Overview of current activity</w:t>
            </w:r>
            <w:r w:rsidR="00AA28FD">
              <w:rPr>
                <w:noProof/>
                <w:webHidden/>
              </w:rPr>
              <w:tab/>
            </w:r>
            <w:r w:rsidR="00AA28FD">
              <w:rPr>
                <w:noProof/>
                <w:webHidden/>
              </w:rPr>
              <w:fldChar w:fldCharType="begin"/>
            </w:r>
            <w:r w:rsidR="00AA28FD">
              <w:rPr>
                <w:noProof/>
                <w:webHidden/>
              </w:rPr>
              <w:instrText xml:space="preserve"> PAGEREF _Toc498495373 \h </w:instrText>
            </w:r>
            <w:r w:rsidR="00AA28FD">
              <w:rPr>
                <w:noProof/>
                <w:webHidden/>
              </w:rPr>
            </w:r>
            <w:r w:rsidR="00AA28FD">
              <w:rPr>
                <w:noProof/>
                <w:webHidden/>
              </w:rPr>
              <w:fldChar w:fldCharType="separate"/>
            </w:r>
            <w:r w:rsidR="00622FF2">
              <w:rPr>
                <w:noProof/>
                <w:webHidden/>
              </w:rPr>
              <w:t>160</w:t>
            </w:r>
            <w:r w:rsidR="00AA28FD">
              <w:rPr>
                <w:noProof/>
                <w:webHidden/>
              </w:rPr>
              <w:fldChar w:fldCharType="end"/>
            </w:r>
          </w:hyperlink>
        </w:p>
        <w:p w14:paraId="53E46DD2"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74" w:history="1">
            <w:r w:rsidR="00AA28FD" w:rsidRPr="00D94A73">
              <w:rPr>
                <w:rStyle w:val="Hyperlink"/>
                <w:rFonts w:eastAsia="Arial"/>
                <w:noProof/>
              </w:rPr>
              <w:t>5.4</w:t>
            </w:r>
            <w:r w:rsidR="00AA28FD">
              <w:rPr>
                <w:rFonts w:asciiTheme="minorHAnsi" w:eastAsiaTheme="minorEastAsia" w:hAnsiTheme="minorHAnsi" w:cstheme="minorBidi"/>
                <w:bCs w:val="0"/>
                <w:noProof/>
                <w:sz w:val="22"/>
                <w:szCs w:val="22"/>
                <w:lang w:eastAsia="en-GB"/>
              </w:rPr>
              <w:tab/>
            </w:r>
            <w:r w:rsidR="00AA28FD" w:rsidRPr="00D94A73">
              <w:rPr>
                <w:rStyle w:val="Hyperlink"/>
                <w:rFonts w:eastAsia="Arial"/>
                <w:noProof/>
              </w:rPr>
              <w:t>Facts/Principles</w:t>
            </w:r>
            <w:r w:rsidR="00AA28FD">
              <w:rPr>
                <w:noProof/>
                <w:webHidden/>
              </w:rPr>
              <w:tab/>
            </w:r>
            <w:r w:rsidR="00AA28FD">
              <w:rPr>
                <w:noProof/>
                <w:webHidden/>
              </w:rPr>
              <w:fldChar w:fldCharType="begin"/>
            </w:r>
            <w:r w:rsidR="00AA28FD">
              <w:rPr>
                <w:noProof/>
                <w:webHidden/>
              </w:rPr>
              <w:instrText xml:space="preserve"> PAGEREF _Toc498495374 \h </w:instrText>
            </w:r>
            <w:r w:rsidR="00AA28FD">
              <w:rPr>
                <w:noProof/>
                <w:webHidden/>
              </w:rPr>
            </w:r>
            <w:r w:rsidR="00AA28FD">
              <w:rPr>
                <w:noProof/>
                <w:webHidden/>
              </w:rPr>
              <w:fldChar w:fldCharType="separate"/>
            </w:r>
            <w:r w:rsidR="00622FF2">
              <w:rPr>
                <w:noProof/>
                <w:webHidden/>
              </w:rPr>
              <w:t>161</w:t>
            </w:r>
            <w:r w:rsidR="00AA28FD">
              <w:rPr>
                <w:noProof/>
                <w:webHidden/>
              </w:rPr>
              <w:fldChar w:fldCharType="end"/>
            </w:r>
          </w:hyperlink>
        </w:p>
        <w:p w14:paraId="7D55F444"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75" w:history="1">
            <w:r w:rsidR="00AA28FD" w:rsidRPr="00D94A73">
              <w:rPr>
                <w:rStyle w:val="Hyperlink"/>
                <w:rFonts w:eastAsia="Arial"/>
                <w:noProof/>
              </w:rPr>
              <w:t>5.5</w:t>
            </w:r>
            <w:r w:rsidR="00AA28FD">
              <w:rPr>
                <w:rFonts w:asciiTheme="minorHAnsi" w:eastAsiaTheme="minorEastAsia" w:hAnsiTheme="minorHAnsi" w:cstheme="minorBidi"/>
                <w:bCs w:val="0"/>
                <w:noProof/>
                <w:sz w:val="22"/>
                <w:szCs w:val="22"/>
                <w:lang w:eastAsia="en-GB"/>
              </w:rPr>
              <w:tab/>
            </w:r>
            <w:r w:rsidR="00AA28FD" w:rsidRPr="00D94A73">
              <w:rPr>
                <w:rStyle w:val="Hyperlink"/>
                <w:rFonts w:eastAsia="Arial"/>
                <w:noProof/>
              </w:rPr>
              <w:t>Issues to be taken into consideration</w:t>
            </w:r>
            <w:r w:rsidR="00AA28FD">
              <w:rPr>
                <w:noProof/>
                <w:webHidden/>
              </w:rPr>
              <w:tab/>
            </w:r>
            <w:r w:rsidR="00AA28FD">
              <w:rPr>
                <w:noProof/>
                <w:webHidden/>
              </w:rPr>
              <w:fldChar w:fldCharType="begin"/>
            </w:r>
            <w:r w:rsidR="00AA28FD">
              <w:rPr>
                <w:noProof/>
                <w:webHidden/>
              </w:rPr>
              <w:instrText xml:space="preserve"> PAGEREF _Toc498495375 \h </w:instrText>
            </w:r>
            <w:r w:rsidR="00AA28FD">
              <w:rPr>
                <w:noProof/>
                <w:webHidden/>
              </w:rPr>
            </w:r>
            <w:r w:rsidR="00AA28FD">
              <w:rPr>
                <w:noProof/>
                <w:webHidden/>
              </w:rPr>
              <w:fldChar w:fldCharType="separate"/>
            </w:r>
            <w:r w:rsidR="00622FF2">
              <w:rPr>
                <w:noProof/>
                <w:webHidden/>
              </w:rPr>
              <w:t>161</w:t>
            </w:r>
            <w:r w:rsidR="00AA28FD">
              <w:rPr>
                <w:noProof/>
                <w:webHidden/>
              </w:rPr>
              <w:fldChar w:fldCharType="end"/>
            </w:r>
          </w:hyperlink>
        </w:p>
        <w:p w14:paraId="6588D2E1"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76" w:history="1">
            <w:r w:rsidR="00AA28FD" w:rsidRPr="00D94A73">
              <w:rPr>
                <w:rStyle w:val="Hyperlink"/>
                <w:rFonts w:eastAsia="Arial"/>
                <w:noProof/>
              </w:rPr>
              <w:t>5.6</w:t>
            </w:r>
            <w:r w:rsidR="00AA28FD">
              <w:rPr>
                <w:rFonts w:asciiTheme="minorHAnsi" w:eastAsiaTheme="minorEastAsia" w:hAnsiTheme="minorHAnsi" w:cstheme="minorBidi"/>
                <w:bCs w:val="0"/>
                <w:noProof/>
                <w:sz w:val="22"/>
                <w:szCs w:val="22"/>
                <w:lang w:eastAsia="en-GB"/>
              </w:rPr>
              <w:tab/>
            </w:r>
            <w:r w:rsidR="00AA28FD" w:rsidRPr="00D94A73">
              <w:rPr>
                <w:rStyle w:val="Hyperlink"/>
                <w:rFonts w:eastAsia="Arial"/>
                <w:noProof/>
              </w:rPr>
              <w:t>Process to be adopted</w:t>
            </w:r>
            <w:r w:rsidR="00AA28FD">
              <w:rPr>
                <w:noProof/>
                <w:webHidden/>
              </w:rPr>
              <w:tab/>
            </w:r>
            <w:r w:rsidR="00AA28FD">
              <w:rPr>
                <w:noProof/>
                <w:webHidden/>
              </w:rPr>
              <w:fldChar w:fldCharType="begin"/>
            </w:r>
            <w:r w:rsidR="00AA28FD">
              <w:rPr>
                <w:noProof/>
                <w:webHidden/>
              </w:rPr>
              <w:instrText xml:space="preserve"> PAGEREF _Toc498495376 \h </w:instrText>
            </w:r>
            <w:r w:rsidR="00AA28FD">
              <w:rPr>
                <w:noProof/>
                <w:webHidden/>
              </w:rPr>
            </w:r>
            <w:r w:rsidR="00AA28FD">
              <w:rPr>
                <w:noProof/>
                <w:webHidden/>
              </w:rPr>
              <w:fldChar w:fldCharType="separate"/>
            </w:r>
            <w:r w:rsidR="00622FF2">
              <w:rPr>
                <w:noProof/>
                <w:webHidden/>
              </w:rPr>
              <w:t>163</w:t>
            </w:r>
            <w:r w:rsidR="00AA28FD">
              <w:rPr>
                <w:noProof/>
                <w:webHidden/>
              </w:rPr>
              <w:fldChar w:fldCharType="end"/>
            </w:r>
          </w:hyperlink>
        </w:p>
        <w:p w14:paraId="4D0EFD72"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77" w:history="1">
            <w:r w:rsidR="00AA28FD" w:rsidRPr="00D94A73">
              <w:rPr>
                <w:rStyle w:val="Hyperlink"/>
                <w:rFonts w:eastAsia="Arial"/>
                <w:noProof/>
              </w:rPr>
              <w:t>5.7</w:t>
            </w:r>
            <w:r w:rsidR="00AA28FD">
              <w:rPr>
                <w:rFonts w:asciiTheme="minorHAnsi" w:eastAsiaTheme="minorEastAsia" w:hAnsiTheme="minorHAnsi" w:cstheme="minorBidi"/>
                <w:bCs w:val="0"/>
                <w:noProof/>
                <w:sz w:val="22"/>
                <w:szCs w:val="22"/>
                <w:lang w:eastAsia="en-GB"/>
              </w:rPr>
              <w:tab/>
            </w:r>
            <w:r w:rsidR="00AA28FD" w:rsidRPr="00D94A73">
              <w:rPr>
                <w:rStyle w:val="Hyperlink"/>
                <w:rFonts w:eastAsia="Arial"/>
                <w:noProof/>
              </w:rPr>
              <w:t>Appendix A; paragraph 17 of Part 2 of Schedule 6</w:t>
            </w:r>
            <w:r w:rsidR="00AA28FD">
              <w:rPr>
                <w:noProof/>
                <w:webHidden/>
              </w:rPr>
              <w:tab/>
            </w:r>
            <w:r w:rsidR="00AA28FD">
              <w:rPr>
                <w:noProof/>
                <w:webHidden/>
              </w:rPr>
              <w:fldChar w:fldCharType="begin"/>
            </w:r>
            <w:r w:rsidR="00AA28FD">
              <w:rPr>
                <w:noProof/>
                <w:webHidden/>
              </w:rPr>
              <w:instrText xml:space="preserve"> PAGEREF _Toc498495377 \h </w:instrText>
            </w:r>
            <w:r w:rsidR="00AA28FD">
              <w:rPr>
                <w:noProof/>
                <w:webHidden/>
              </w:rPr>
            </w:r>
            <w:r w:rsidR="00AA28FD">
              <w:rPr>
                <w:noProof/>
                <w:webHidden/>
              </w:rPr>
              <w:fldChar w:fldCharType="separate"/>
            </w:r>
            <w:r w:rsidR="00622FF2">
              <w:rPr>
                <w:noProof/>
                <w:webHidden/>
              </w:rPr>
              <w:t>165</w:t>
            </w:r>
            <w:r w:rsidR="00AA28FD">
              <w:rPr>
                <w:noProof/>
                <w:webHidden/>
              </w:rPr>
              <w:fldChar w:fldCharType="end"/>
            </w:r>
          </w:hyperlink>
        </w:p>
        <w:p w14:paraId="531DD3FB" w14:textId="77777777" w:rsidR="00AA28FD" w:rsidRDefault="000E7846">
          <w:pPr>
            <w:pStyle w:val="TOC1"/>
            <w:rPr>
              <w:rFonts w:asciiTheme="minorHAnsi" w:eastAsiaTheme="minorEastAsia" w:hAnsiTheme="minorHAnsi" w:cstheme="minorBidi"/>
              <w:bCs w:val="0"/>
              <w:color w:val="auto"/>
              <w:sz w:val="22"/>
              <w:szCs w:val="22"/>
              <w:lang w:eastAsia="en-GB"/>
            </w:rPr>
          </w:pPr>
          <w:hyperlink w:anchor="_Toc498495378" w:history="1">
            <w:r w:rsidR="00AA28FD" w:rsidRPr="00D94A73">
              <w:rPr>
                <w:rStyle w:val="Hyperlink"/>
              </w:rPr>
              <w:t>6</w:t>
            </w:r>
            <w:r w:rsidR="00AA28FD">
              <w:rPr>
                <w:rFonts w:asciiTheme="minorHAnsi" w:eastAsiaTheme="minorEastAsia" w:hAnsiTheme="minorHAnsi" w:cstheme="minorBidi"/>
                <w:bCs w:val="0"/>
                <w:color w:val="auto"/>
                <w:sz w:val="22"/>
                <w:szCs w:val="22"/>
                <w:lang w:eastAsia="en-GB"/>
              </w:rPr>
              <w:tab/>
            </w:r>
            <w:r w:rsidR="00AA28FD" w:rsidRPr="00D94A73">
              <w:rPr>
                <w:rStyle w:val="Hyperlink"/>
              </w:rPr>
              <w:t>Special Allocation Scheme (SAS)</w:t>
            </w:r>
            <w:r w:rsidR="00AA28FD">
              <w:rPr>
                <w:webHidden/>
              </w:rPr>
              <w:tab/>
            </w:r>
            <w:r w:rsidR="00AA28FD">
              <w:rPr>
                <w:webHidden/>
              </w:rPr>
              <w:fldChar w:fldCharType="begin"/>
            </w:r>
            <w:r w:rsidR="00AA28FD">
              <w:rPr>
                <w:webHidden/>
              </w:rPr>
              <w:instrText xml:space="preserve"> PAGEREF _Toc498495378 \h </w:instrText>
            </w:r>
            <w:r w:rsidR="00AA28FD">
              <w:rPr>
                <w:webHidden/>
              </w:rPr>
            </w:r>
            <w:r w:rsidR="00AA28FD">
              <w:rPr>
                <w:webHidden/>
              </w:rPr>
              <w:fldChar w:fldCharType="separate"/>
            </w:r>
            <w:r w:rsidR="00622FF2">
              <w:rPr>
                <w:webHidden/>
              </w:rPr>
              <w:t>166</w:t>
            </w:r>
            <w:r w:rsidR="00AA28FD">
              <w:rPr>
                <w:webHidden/>
              </w:rPr>
              <w:fldChar w:fldCharType="end"/>
            </w:r>
          </w:hyperlink>
        </w:p>
        <w:p w14:paraId="3A5A2EA8"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79" w:history="1">
            <w:r w:rsidR="00AA28FD" w:rsidRPr="00D94A73">
              <w:rPr>
                <w:rStyle w:val="Hyperlink"/>
                <w:noProof/>
              </w:rPr>
              <w:t>6.1</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Executive Summary and Key Messages</w:t>
            </w:r>
            <w:r w:rsidR="00AA28FD">
              <w:rPr>
                <w:noProof/>
                <w:webHidden/>
              </w:rPr>
              <w:tab/>
            </w:r>
            <w:r w:rsidR="00AA28FD">
              <w:rPr>
                <w:noProof/>
                <w:webHidden/>
              </w:rPr>
              <w:fldChar w:fldCharType="begin"/>
            </w:r>
            <w:r w:rsidR="00AA28FD">
              <w:rPr>
                <w:noProof/>
                <w:webHidden/>
              </w:rPr>
              <w:instrText xml:space="preserve"> PAGEREF _Toc498495379 \h </w:instrText>
            </w:r>
            <w:r w:rsidR="00AA28FD">
              <w:rPr>
                <w:noProof/>
                <w:webHidden/>
              </w:rPr>
            </w:r>
            <w:r w:rsidR="00AA28FD">
              <w:rPr>
                <w:noProof/>
                <w:webHidden/>
              </w:rPr>
              <w:fldChar w:fldCharType="separate"/>
            </w:r>
            <w:r w:rsidR="00622FF2">
              <w:rPr>
                <w:noProof/>
                <w:webHidden/>
              </w:rPr>
              <w:t>166</w:t>
            </w:r>
            <w:r w:rsidR="00AA28FD">
              <w:rPr>
                <w:noProof/>
                <w:webHidden/>
              </w:rPr>
              <w:fldChar w:fldCharType="end"/>
            </w:r>
          </w:hyperlink>
        </w:p>
        <w:p w14:paraId="30BCC124"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80" w:history="1">
            <w:r w:rsidR="00AA28FD" w:rsidRPr="00D94A73">
              <w:rPr>
                <w:rStyle w:val="Hyperlink"/>
                <w:noProof/>
              </w:rPr>
              <w:t>6.2</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Introduction</w:t>
            </w:r>
            <w:r w:rsidR="00AA28FD">
              <w:rPr>
                <w:noProof/>
                <w:webHidden/>
              </w:rPr>
              <w:tab/>
            </w:r>
            <w:r w:rsidR="00AA28FD">
              <w:rPr>
                <w:noProof/>
                <w:webHidden/>
              </w:rPr>
              <w:fldChar w:fldCharType="begin"/>
            </w:r>
            <w:r w:rsidR="00AA28FD">
              <w:rPr>
                <w:noProof/>
                <w:webHidden/>
              </w:rPr>
              <w:instrText xml:space="preserve"> PAGEREF _Toc498495380 \h </w:instrText>
            </w:r>
            <w:r w:rsidR="00AA28FD">
              <w:rPr>
                <w:noProof/>
                <w:webHidden/>
              </w:rPr>
            </w:r>
            <w:r w:rsidR="00AA28FD">
              <w:rPr>
                <w:noProof/>
                <w:webHidden/>
              </w:rPr>
              <w:fldChar w:fldCharType="separate"/>
            </w:r>
            <w:r w:rsidR="00622FF2">
              <w:rPr>
                <w:noProof/>
                <w:webHidden/>
              </w:rPr>
              <w:t>169</w:t>
            </w:r>
            <w:r w:rsidR="00AA28FD">
              <w:rPr>
                <w:noProof/>
                <w:webHidden/>
              </w:rPr>
              <w:fldChar w:fldCharType="end"/>
            </w:r>
          </w:hyperlink>
        </w:p>
        <w:p w14:paraId="544A6150"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81" w:history="1">
            <w:r w:rsidR="00AA28FD" w:rsidRPr="00D94A73">
              <w:rPr>
                <w:rStyle w:val="Hyperlink"/>
                <w:rFonts w:cs="Arial"/>
                <w:noProof/>
              </w:rPr>
              <w:t>6.3</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Commissioning a robust SAS</w:t>
            </w:r>
            <w:r w:rsidR="00AA28FD">
              <w:rPr>
                <w:noProof/>
                <w:webHidden/>
              </w:rPr>
              <w:tab/>
            </w:r>
            <w:r w:rsidR="00AA28FD">
              <w:rPr>
                <w:noProof/>
                <w:webHidden/>
              </w:rPr>
              <w:fldChar w:fldCharType="begin"/>
            </w:r>
            <w:r w:rsidR="00AA28FD">
              <w:rPr>
                <w:noProof/>
                <w:webHidden/>
              </w:rPr>
              <w:instrText xml:space="preserve"> PAGEREF _Toc498495381 \h </w:instrText>
            </w:r>
            <w:r w:rsidR="00AA28FD">
              <w:rPr>
                <w:noProof/>
                <w:webHidden/>
              </w:rPr>
            </w:r>
            <w:r w:rsidR="00AA28FD">
              <w:rPr>
                <w:noProof/>
                <w:webHidden/>
              </w:rPr>
              <w:fldChar w:fldCharType="separate"/>
            </w:r>
            <w:r w:rsidR="00622FF2">
              <w:rPr>
                <w:noProof/>
                <w:webHidden/>
              </w:rPr>
              <w:t>172</w:t>
            </w:r>
            <w:r w:rsidR="00AA28FD">
              <w:rPr>
                <w:noProof/>
                <w:webHidden/>
              </w:rPr>
              <w:fldChar w:fldCharType="end"/>
            </w:r>
          </w:hyperlink>
        </w:p>
        <w:p w14:paraId="44840EBB"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82" w:history="1">
            <w:r w:rsidR="00AA28FD" w:rsidRPr="00D94A73">
              <w:rPr>
                <w:rStyle w:val="Hyperlink"/>
                <w:noProof/>
              </w:rPr>
              <w:t>6.4</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When to request a removal of this type under the Regulations  (Information on eligibility for Commissioners and Providers)</w:t>
            </w:r>
            <w:r w:rsidR="00AA28FD">
              <w:rPr>
                <w:noProof/>
                <w:webHidden/>
              </w:rPr>
              <w:tab/>
            </w:r>
            <w:r w:rsidR="00AA28FD">
              <w:rPr>
                <w:noProof/>
                <w:webHidden/>
              </w:rPr>
              <w:fldChar w:fldCharType="begin"/>
            </w:r>
            <w:r w:rsidR="00AA28FD">
              <w:rPr>
                <w:noProof/>
                <w:webHidden/>
              </w:rPr>
              <w:instrText xml:space="preserve"> PAGEREF _Toc498495382 \h </w:instrText>
            </w:r>
            <w:r w:rsidR="00AA28FD">
              <w:rPr>
                <w:noProof/>
                <w:webHidden/>
              </w:rPr>
            </w:r>
            <w:r w:rsidR="00AA28FD">
              <w:rPr>
                <w:noProof/>
                <w:webHidden/>
              </w:rPr>
              <w:fldChar w:fldCharType="separate"/>
            </w:r>
            <w:r w:rsidR="00622FF2">
              <w:rPr>
                <w:noProof/>
                <w:webHidden/>
              </w:rPr>
              <w:t>172</w:t>
            </w:r>
            <w:r w:rsidR="00AA28FD">
              <w:rPr>
                <w:noProof/>
                <w:webHidden/>
              </w:rPr>
              <w:fldChar w:fldCharType="end"/>
            </w:r>
          </w:hyperlink>
        </w:p>
        <w:p w14:paraId="1935FF84"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83" w:history="1">
            <w:r w:rsidR="00AA28FD" w:rsidRPr="00D94A73">
              <w:rPr>
                <w:rStyle w:val="Hyperlink"/>
                <w:noProof/>
              </w:rPr>
              <w:t>6.5</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Working with Primary Care Support England (PCSE) (delivered on behalf of NHS England by Capita)</w:t>
            </w:r>
            <w:r w:rsidR="00AA28FD">
              <w:rPr>
                <w:noProof/>
                <w:webHidden/>
              </w:rPr>
              <w:tab/>
            </w:r>
            <w:r w:rsidR="00AA28FD">
              <w:rPr>
                <w:noProof/>
                <w:webHidden/>
              </w:rPr>
              <w:fldChar w:fldCharType="begin"/>
            </w:r>
            <w:r w:rsidR="00AA28FD">
              <w:rPr>
                <w:noProof/>
                <w:webHidden/>
              </w:rPr>
              <w:instrText xml:space="preserve"> PAGEREF _Toc498495383 \h </w:instrText>
            </w:r>
            <w:r w:rsidR="00AA28FD">
              <w:rPr>
                <w:noProof/>
                <w:webHidden/>
              </w:rPr>
            </w:r>
            <w:r w:rsidR="00AA28FD">
              <w:rPr>
                <w:noProof/>
                <w:webHidden/>
              </w:rPr>
              <w:fldChar w:fldCharType="separate"/>
            </w:r>
            <w:r w:rsidR="00622FF2">
              <w:rPr>
                <w:noProof/>
                <w:webHidden/>
              </w:rPr>
              <w:t>181</w:t>
            </w:r>
            <w:r w:rsidR="00AA28FD">
              <w:rPr>
                <w:noProof/>
                <w:webHidden/>
              </w:rPr>
              <w:fldChar w:fldCharType="end"/>
            </w:r>
          </w:hyperlink>
        </w:p>
        <w:p w14:paraId="47982DCA"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84" w:history="1">
            <w:r w:rsidR="00AA28FD" w:rsidRPr="00D94A73">
              <w:rPr>
                <w:rStyle w:val="Hyperlink"/>
                <w:noProof/>
              </w:rPr>
              <w:t>6.6</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Appendices</w:t>
            </w:r>
            <w:r w:rsidR="00AA28FD">
              <w:rPr>
                <w:noProof/>
                <w:webHidden/>
              </w:rPr>
              <w:tab/>
            </w:r>
            <w:r w:rsidR="00AA28FD">
              <w:rPr>
                <w:noProof/>
                <w:webHidden/>
              </w:rPr>
              <w:fldChar w:fldCharType="begin"/>
            </w:r>
            <w:r w:rsidR="00AA28FD">
              <w:rPr>
                <w:noProof/>
                <w:webHidden/>
              </w:rPr>
              <w:instrText xml:space="preserve"> PAGEREF _Toc498495384 \h </w:instrText>
            </w:r>
            <w:r w:rsidR="00AA28FD">
              <w:rPr>
                <w:noProof/>
                <w:webHidden/>
              </w:rPr>
            </w:r>
            <w:r w:rsidR="00AA28FD">
              <w:rPr>
                <w:noProof/>
                <w:webHidden/>
              </w:rPr>
              <w:fldChar w:fldCharType="separate"/>
            </w:r>
            <w:r w:rsidR="00622FF2">
              <w:rPr>
                <w:noProof/>
                <w:webHidden/>
              </w:rPr>
              <w:t>182</w:t>
            </w:r>
            <w:r w:rsidR="00AA28FD">
              <w:rPr>
                <w:noProof/>
                <w:webHidden/>
              </w:rPr>
              <w:fldChar w:fldCharType="end"/>
            </w:r>
          </w:hyperlink>
        </w:p>
        <w:p w14:paraId="3421791F" w14:textId="77777777" w:rsidR="00AA28FD" w:rsidRDefault="000E7846">
          <w:pPr>
            <w:pStyle w:val="TOC1"/>
            <w:rPr>
              <w:rFonts w:asciiTheme="minorHAnsi" w:eastAsiaTheme="minorEastAsia" w:hAnsiTheme="minorHAnsi" w:cstheme="minorBidi"/>
              <w:bCs w:val="0"/>
              <w:color w:val="auto"/>
              <w:sz w:val="22"/>
              <w:szCs w:val="22"/>
              <w:lang w:eastAsia="en-GB"/>
            </w:rPr>
          </w:pPr>
          <w:hyperlink w:anchor="_Toc498495385" w:history="1">
            <w:r w:rsidR="00AA28FD" w:rsidRPr="00D94A73">
              <w:rPr>
                <w:rStyle w:val="Hyperlink"/>
              </w:rPr>
              <w:t>7</w:t>
            </w:r>
            <w:r w:rsidR="00AA28FD">
              <w:rPr>
                <w:rFonts w:asciiTheme="minorHAnsi" w:eastAsiaTheme="minorEastAsia" w:hAnsiTheme="minorHAnsi" w:cstheme="minorBidi"/>
                <w:bCs w:val="0"/>
                <w:color w:val="auto"/>
                <w:sz w:val="22"/>
                <w:szCs w:val="22"/>
                <w:lang w:eastAsia="en-GB"/>
              </w:rPr>
              <w:tab/>
            </w:r>
            <w:r w:rsidR="00AA28FD" w:rsidRPr="00D94A73">
              <w:rPr>
                <w:rStyle w:val="Hyperlink"/>
              </w:rPr>
              <w:t>Contract Variations (templates available)</w:t>
            </w:r>
            <w:r w:rsidR="00AA28FD">
              <w:rPr>
                <w:webHidden/>
              </w:rPr>
              <w:tab/>
            </w:r>
            <w:r w:rsidR="00AA28FD">
              <w:rPr>
                <w:webHidden/>
              </w:rPr>
              <w:fldChar w:fldCharType="begin"/>
            </w:r>
            <w:r w:rsidR="00AA28FD">
              <w:rPr>
                <w:webHidden/>
              </w:rPr>
              <w:instrText xml:space="preserve"> PAGEREF _Toc498495385 \h </w:instrText>
            </w:r>
            <w:r w:rsidR="00AA28FD">
              <w:rPr>
                <w:webHidden/>
              </w:rPr>
            </w:r>
            <w:r w:rsidR="00AA28FD">
              <w:rPr>
                <w:webHidden/>
              </w:rPr>
              <w:fldChar w:fldCharType="separate"/>
            </w:r>
            <w:r w:rsidR="00622FF2">
              <w:rPr>
                <w:webHidden/>
              </w:rPr>
              <w:t>197</w:t>
            </w:r>
            <w:r w:rsidR="00AA28FD">
              <w:rPr>
                <w:webHidden/>
              </w:rPr>
              <w:fldChar w:fldCharType="end"/>
            </w:r>
          </w:hyperlink>
        </w:p>
        <w:p w14:paraId="033072D5"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86" w:history="1">
            <w:r w:rsidR="00AA28FD" w:rsidRPr="00D94A73">
              <w:rPr>
                <w:rStyle w:val="Hyperlink"/>
                <w:noProof/>
                <w:lang w:eastAsia="en-GB"/>
              </w:rPr>
              <w:t>7.1</w:t>
            </w:r>
            <w:r w:rsidR="00AA28FD">
              <w:rPr>
                <w:rFonts w:asciiTheme="minorHAnsi" w:eastAsiaTheme="minorEastAsia" w:hAnsiTheme="minorHAnsi" w:cstheme="minorBidi"/>
                <w:bCs w:val="0"/>
                <w:noProof/>
                <w:sz w:val="22"/>
                <w:szCs w:val="22"/>
                <w:lang w:eastAsia="en-GB"/>
              </w:rPr>
              <w:tab/>
            </w:r>
            <w:r w:rsidR="00AA28FD" w:rsidRPr="00D94A73">
              <w:rPr>
                <w:rStyle w:val="Hyperlink"/>
                <w:noProof/>
                <w:lang w:eastAsia="en-GB"/>
              </w:rPr>
              <w:t>Introduction</w:t>
            </w:r>
            <w:r w:rsidR="00AA28FD">
              <w:rPr>
                <w:noProof/>
                <w:webHidden/>
              </w:rPr>
              <w:tab/>
            </w:r>
            <w:r w:rsidR="00AA28FD">
              <w:rPr>
                <w:noProof/>
                <w:webHidden/>
              </w:rPr>
              <w:fldChar w:fldCharType="begin"/>
            </w:r>
            <w:r w:rsidR="00AA28FD">
              <w:rPr>
                <w:noProof/>
                <w:webHidden/>
              </w:rPr>
              <w:instrText xml:space="preserve"> PAGEREF _Toc498495386 \h </w:instrText>
            </w:r>
            <w:r w:rsidR="00AA28FD">
              <w:rPr>
                <w:noProof/>
                <w:webHidden/>
              </w:rPr>
            </w:r>
            <w:r w:rsidR="00AA28FD">
              <w:rPr>
                <w:noProof/>
                <w:webHidden/>
              </w:rPr>
              <w:fldChar w:fldCharType="separate"/>
            </w:r>
            <w:r w:rsidR="00622FF2">
              <w:rPr>
                <w:noProof/>
                <w:webHidden/>
              </w:rPr>
              <w:t>197</w:t>
            </w:r>
            <w:r w:rsidR="00AA28FD">
              <w:rPr>
                <w:noProof/>
                <w:webHidden/>
              </w:rPr>
              <w:fldChar w:fldCharType="end"/>
            </w:r>
          </w:hyperlink>
        </w:p>
        <w:p w14:paraId="74B1FD50"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87" w:history="1">
            <w:r w:rsidR="00AA28FD" w:rsidRPr="00D94A73">
              <w:rPr>
                <w:rStyle w:val="Hyperlink"/>
                <w:noProof/>
                <w:lang w:eastAsia="en-GB"/>
              </w:rPr>
              <w:t>7.2</w:t>
            </w:r>
            <w:r w:rsidR="00AA28FD">
              <w:rPr>
                <w:rFonts w:asciiTheme="minorHAnsi" w:eastAsiaTheme="minorEastAsia" w:hAnsiTheme="minorHAnsi" w:cstheme="minorBidi"/>
                <w:bCs w:val="0"/>
                <w:noProof/>
                <w:sz w:val="22"/>
                <w:szCs w:val="22"/>
                <w:lang w:eastAsia="en-GB"/>
              </w:rPr>
              <w:tab/>
            </w:r>
            <w:r w:rsidR="00AA28FD" w:rsidRPr="00D94A73">
              <w:rPr>
                <w:rStyle w:val="Hyperlink"/>
                <w:noProof/>
                <w:lang w:eastAsia="en-GB"/>
              </w:rPr>
              <w:t>Types of Contract Variation</w:t>
            </w:r>
            <w:r w:rsidR="00AA28FD">
              <w:rPr>
                <w:noProof/>
                <w:webHidden/>
              </w:rPr>
              <w:tab/>
            </w:r>
            <w:r w:rsidR="00AA28FD">
              <w:rPr>
                <w:noProof/>
                <w:webHidden/>
              </w:rPr>
              <w:fldChar w:fldCharType="begin"/>
            </w:r>
            <w:r w:rsidR="00AA28FD">
              <w:rPr>
                <w:noProof/>
                <w:webHidden/>
              </w:rPr>
              <w:instrText xml:space="preserve"> PAGEREF _Toc498495387 \h </w:instrText>
            </w:r>
            <w:r w:rsidR="00AA28FD">
              <w:rPr>
                <w:noProof/>
                <w:webHidden/>
              </w:rPr>
            </w:r>
            <w:r w:rsidR="00AA28FD">
              <w:rPr>
                <w:noProof/>
                <w:webHidden/>
              </w:rPr>
              <w:fldChar w:fldCharType="separate"/>
            </w:r>
            <w:r w:rsidR="00622FF2">
              <w:rPr>
                <w:noProof/>
                <w:webHidden/>
              </w:rPr>
              <w:t>197</w:t>
            </w:r>
            <w:r w:rsidR="00AA28FD">
              <w:rPr>
                <w:noProof/>
                <w:webHidden/>
              </w:rPr>
              <w:fldChar w:fldCharType="end"/>
            </w:r>
          </w:hyperlink>
        </w:p>
        <w:p w14:paraId="6B4FDF26"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88" w:history="1">
            <w:r w:rsidR="00AA28FD" w:rsidRPr="00D94A73">
              <w:rPr>
                <w:rStyle w:val="Hyperlink"/>
                <w:noProof/>
                <w:lang w:eastAsia="en-GB"/>
              </w:rPr>
              <w:t>7.3</w:t>
            </w:r>
            <w:r w:rsidR="00AA28FD">
              <w:rPr>
                <w:rFonts w:asciiTheme="minorHAnsi" w:eastAsiaTheme="minorEastAsia" w:hAnsiTheme="minorHAnsi" w:cstheme="minorBidi"/>
                <w:bCs w:val="0"/>
                <w:noProof/>
                <w:sz w:val="22"/>
                <w:szCs w:val="22"/>
                <w:lang w:eastAsia="en-GB"/>
              </w:rPr>
              <w:tab/>
            </w:r>
            <w:r w:rsidR="00AA28FD" w:rsidRPr="00D94A73">
              <w:rPr>
                <w:rStyle w:val="Hyperlink"/>
                <w:noProof/>
                <w:lang w:eastAsia="en-GB"/>
              </w:rPr>
              <w:t>Legislation / Regulatory Changes</w:t>
            </w:r>
            <w:r w:rsidR="00AA28FD">
              <w:rPr>
                <w:noProof/>
                <w:webHidden/>
              </w:rPr>
              <w:tab/>
            </w:r>
            <w:r w:rsidR="00AA28FD">
              <w:rPr>
                <w:noProof/>
                <w:webHidden/>
              </w:rPr>
              <w:fldChar w:fldCharType="begin"/>
            </w:r>
            <w:r w:rsidR="00AA28FD">
              <w:rPr>
                <w:noProof/>
                <w:webHidden/>
              </w:rPr>
              <w:instrText xml:space="preserve"> PAGEREF _Toc498495388 \h </w:instrText>
            </w:r>
            <w:r w:rsidR="00AA28FD">
              <w:rPr>
                <w:noProof/>
                <w:webHidden/>
              </w:rPr>
            </w:r>
            <w:r w:rsidR="00AA28FD">
              <w:rPr>
                <w:noProof/>
                <w:webHidden/>
              </w:rPr>
              <w:fldChar w:fldCharType="separate"/>
            </w:r>
            <w:r w:rsidR="00622FF2">
              <w:rPr>
                <w:noProof/>
                <w:webHidden/>
              </w:rPr>
              <w:t>197</w:t>
            </w:r>
            <w:r w:rsidR="00AA28FD">
              <w:rPr>
                <w:noProof/>
                <w:webHidden/>
              </w:rPr>
              <w:fldChar w:fldCharType="end"/>
            </w:r>
          </w:hyperlink>
        </w:p>
        <w:p w14:paraId="723093BC"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89" w:history="1">
            <w:r w:rsidR="00AA28FD" w:rsidRPr="00D94A73">
              <w:rPr>
                <w:rStyle w:val="Hyperlink"/>
                <w:noProof/>
                <w:lang w:eastAsia="en-GB"/>
              </w:rPr>
              <w:t>7.4</w:t>
            </w:r>
            <w:r w:rsidR="00AA28FD">
              <w:rPr>
                <w:rFonts w:asciiTheme="minorHAnsi" w:eastAsiaTheme="minorEastAsia" w:hAnsiTheme="minorHAnsi" w:cstheme="minorBidi"/>
                <w:bCs w:val="0"/>
                <w:noProof/>
                <w:sz w:val="22"/>
                <w:szCs w:val="22"/>
                <w:lang w:eastAsia="en-GB"/>
              </w:rPr>
              <w:tab/>
            </w:r>
            <w:r w:rsidR="00AA28FD" w:rsidRPr="00D94A73">
              <w:rPr>
                <w:rStyle w:val="Hyperlink"/>
                <w:noProof/>
                <w:lang w:eastAsia="en-GB"/>
              </w:rPr>
              <w:t>Changes to the Contracting Party</w:t>
            </w:r>
            <w:r w:rsidR="00AA28FD">
              <w:rPr>
                <w:noProof/>
                <w:webHidden/>
              </w:rPr>
              <w:tab/>
            </w:r>
            <w:r w:rsidR="00AA28FD">
              <w:rPr>
                <w:noProof/>
                <w:webHidden/>
              </w:rPr>
              <w:fldChar w:fldCharType="begin"/>
            </w:r>
            <w:r w:rsidR="00AA28FD">
              <w:rPr>
                <w:noProof/>
                <w:webHidden/>
              </w:rPr>
              <w:instrText xml:space="preserve"> PAGEREF _Toc498495389 \h </w:instrText>
            </w:r>
            <w:r w:rsidR="00AA28FD">
              <w:rPr>
                <w:noProof/>
                <w:webHidden/>
              </w:rPr>
            </w:r>
            <w:r w:rsidR="00AA28FD">
              <w:rPr>
                <w:noProof/>
                <w:webHidden/>
              </w:rPr>
              <w:fldChar w:fldCharType="separate"/>
            </w:r>
            <w:r w:rsidR="00622FF2">
              <w:rPr>
                <w:noProof/>
                <w:webHidden/>
              </w:rPr>
              <w:t>199</w:t>
            </w:r>
            <w:r w:rsidR="00AA28FD">
              <w:rPr>
                <w:noProof/>
                <w:webHidden/>
              </w:rPr>
              <w:fldChar w:fldCharType="end"/>
            </w:r>
          </w:hyperlink>
        </w:p>
        <w:p w14:paraId="4CA098E5"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90" w:history="1">
            <w:r w:rsidR="00AA28FD" w:rsidRPr="00D94A73">
              <w:rPr>
                <w:rStyle w:val="Hyperlink"/>
                <w:noProof/>
              </w:rPr>
              <w:t>7.5</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Partnership Changes</w:t>
            </w:r>
            <w:r w:rsidR="00AA28FD">
              <w:rPr>
                <w:noProof/>
                <w:webHidden/>
              </w:rPr>
              <w:tab/>
            </w:r>
            <w:r w:rsidR="00AA28FD">
              <w:rPr>
                <w:noProof/>
                <w:webHidden/>
              </w:rPr>
              <w:fldChar w:fldCharType="begin"/>
            </w:r>
            <w:r w:rsidR="00AA28FD">
              <w:rPr>
                <w:noProof/>
                <w:webHidden/>
              </w:rPr>
              <w:instrText xml:space="preserve"> PAGEREF _Toc498495390 \h </w:instrText>
            </w:r>
            <w:r w:rsidR="00AA28FD">
              <w:rPr>
                <w:noProof/>
                <w:webHidden/>
              </w:rPr>
            </w:r>
            <w:r w:rsidR="00AA28FD">
              <w:rPr>
                <w:noProof/>
                <w:webHidden/>
              </w:rPr>
              <w:fldChar w:fldCharType="separate"/>
            </w:r>
            <w:r w:rsidR="00622FF2">
              <w:rPr>
                <w:noProof/>
                <w:webHidden/>
              </w:rPr>
              <w:t>200</w:t>
            </w:r>
            <w:r w:rsidR="00AA28FD">
              <w:rPr>
                <w:noProof/>
                <w:webHidden/>
              </w:rPr>
              <w:fldChar w:fldCharType="end"/>
            </w:r>
          </w:hyperlink>
        </w:p>
        <w:p w14:paraId="48165DEF"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91" w:history="1">
            <w:r w:rsidR="00AA28FD" w:rsidRPr="00D94A73">
              <w:rPr>
                <w:rStyle w:val="Hyperlink"/>
                <w:noProof/>
                <w:lang w:eastAsia="en-GB"/>
              </w:rPr>
              <w:t>7.6</w:t>
            </w:r>
            <w:r w:rsidR="00AA28FD">
              <w:rPr>
                <w:rFonts w:asciiTheme="minorHAnsi" w:eastAsiaTheme="minorEastAsia" w:hAnsiTheme="minorHAnsi" w:cstheme="minorBidi"/>
                <w:bCs w:val="0"/>
                <w:noProof/>
                <w:sz w:val="22"/>
                <w:szCs w:val="22"/>
                <w:lang w:eastAsia="en-GB"/>
              </w:rPr>
              <w:tab/>
            </w:r>
            <w:r w:rsidR="00AA28FD" w:rsidRPr="00D94A73">
              <w:rPr>
                <w:rStyle w:val="Hyperlink"/>
                <w:noProof/>
                <w:lang w:eastAsia="en-GB"/>
              </w:rPr>
              <w:t>Retirement of a Contractor – Single Handed</w:t>
            </w:r>
            <w:r w:rsidR="00AA28FD">
              <w:rPr>
                <w:noProof/>
                <w:webHidden/>
              </w:rPr>
              <w:tab/>
            </w:r>
            <w:r w:rsidR="00AA28FD">
              <w:rPr>
                <w:noProof/>
                <w:webHidden/>
              </w:rPr>
              <w:fldChar w:fldCharType="begin"/>
            </w:r>
            <w:r w:rsidR="00AA28FD">
              <w:rPr>
                <w:noProof/>
                <w:webHidden/>
              </w:rPr>
              <w:instrText xml:space="preserve"> PAGEREF _Toc498495391 \h </w:instrText>
            </w:r>
            <w:r w:rsidR="00AA28FD">
              <w:rPr>
                <w:noProof/>
                <w:webHidden/>
              </w:rPr>
            </w:r>
            <w:r w:rsidR="00AA28FD">
              <w:rPr>
                <w:noProof/>
                <w:webHidden/>
              </w:rPr>
              <w:fldChar w:fldCharType="separate"/>
            </w:r>
            <w:r w:rsidR="00622FF2">
              <w:rPr>
                <w:noProof/>
                <w:webHidden/>
              </w:rPr>
              <w:t>208</w:t>
            </w:r>
            <w:r w:rsidR="00AA28FD">
              <w:rPr>
                <w:noProof/>
                <w:webHidden/>
              </w:rPr>
              <w:fldChar w:fldCharType="end"/>
            </w:r>
          </w:hyperlink>
        </w:p>
        <w:p w14:paraId="1D1E8460"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92" w:history="1">
            <w:r w:rsidR="00AA28FD" w:rsidRPr="00D94A73">
              <w:rPr>
                <w:rStyle w:val="Hyperlink"/>
                <w:noProof/>
                <w:lang w:eastAsia="en-GB"/>
              </w:rPr>
              <w:t>7.7</w:t>
            </w:r>
            <w:r w:rsidR="00AA28FD">
              <w:rPr>
                <w:rFonts w:asciiTheme="minorHAnsi" w:eastAsiaTheme="minorEastAsia" w:hAnsiTheme="minorHAnsi" w:cstheme="minorBidi"/>
                <w:bCs w:val="0"/>
                <w:noProof/>
                <w:sz w:val="22"/>
                <w:szCs w:val="22"/>
                <w:lang w:eastAsia="en-GB"/>
              </w:rPr>
              <w:tab/>
            </w:r>
            <w:r w:rsidR="00AA28FD" w:rsidRPr="00D94A73">
              <w:rPr>
                <w:rStyle w:val="Hyperlink"/>
                <w:noProof/>
                <w:lang w:eastAsia="en-GB"/>
              </w:rPr>
              <w:t>Retirement of a Contractor – Two or More Partners/Individuals</w:t>
            </w:r>
            <w:r w:rsidR="00AA28FD">
              <w:rPr>
                <w:noProof/>
                <w:webHidden/>
              </w:rPr>
              <w:tab/>
            </w:r>
            <w:r w:rsidR="00AA28FD">
              <w:rPr>
                <w:noProof/>
                <w:webHidden/>
              </w:rPr>
              <w:fldChar w:fldCharType="begin"/>
            </w:r>
            <w:r w:rsidR="00AA28FD">
              <w:rPr>
                <w:noProof/>
                <w:webHidden/>
              </w:rPr>
              <w:instrText xml:space="preserve"> PAGEREF _Toc498495392 \h </w:instrText>
            </w:r>
            <w:r w:rsidR="00AA28FD">
              <w:rPr>
                <w:noProof/>
                <w:webHidden/>
              </w:rPr>
            </w:r>
            <w:r w:rsidR="00AA28FD">
              <w:rPr>
                <w:noProof/>
                <w:webHidden/>
              </w:rPr>
              <w:fldChar w:fldCharType="separate"/>
            </w:r>
            <w:r w:rsidR="00622FF2">
              <w:rPr>
                <w:noProof/>
                <w:webHidden/>
              </w:rPr>
              <w:t>210</w:t>
            </w:r>
            <w:r w:rsidR="00AA28FD">
              <w:rPr>
                <w:noProof/>
                <w:webHidden/>
              </w:rPr>
              <w:fldChar w:fldCharType="end"/>
            </w:r>
          </w:hyperlink>
        </w:p>
        <w:p w14:paraId="36C91597"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93" w:history="1">
            <w:r w:rsidR="00AA28FD" w:rsidRPr="00D94A73">
              <w:rPr>
                <w:rStyle w:val="Hyperlink"/>
                <w:noProof/>
                <w:lang w:eastAsia="en-GB"/>
              </w:rPr>
              <w:t>7.8</w:t>
            </w:r>
            <w:r w:rsidR="00AA28FD">
              <w:rPr>
                <w:rFonts w:asciiTheme="minorHAnsi" w:eastAsiaTheme="minorEastAsia" w:hAnsiTheme="minorHAnsi" w:cstheme="minorBidi"/>
                <w:bCs w:val="0"/>
                <w:noProof/>
                <w:sz w:val="22"/>
                <w:szCs w:val="22"/>
                <w:lang w:eastAsia="en-GB"/>
              </w:rPr>
              <w:tab/>
            </w:r>
            <w:r w:rsidR="00AA28FD" w:rsidRPr="00D94A73">
              <w:rPr>
                <w:rStyle w:val="Hyperlink"/>
                <w:noProof/>
                <w:lang w:eastAsia="en-GB"/>
              </w:rPr>
              <w:t>Twenty-Four Hour Retirement</w:t>
            </w:r>
            <w:r w:rsidR="00AA28FD">
              <w:rPr>
                <w:noProof/>
                <w:webHidden/>
              </w:rPr>
              <w:tab/>
            </w:r>
            <w:r w:rsidR="00AA28FD">
              <w:rPr>
                <w:noProof/>
                <w:webHidden/>
              </w:rPr>
              <w:fldChar w:fldCharType="begin"/>
            </w:r>
            <w:r w:rsidR="00AA28FD">
              <w:rPr>
                <w:noProof/>
                <w:webHidden/>
              </w:rPr>
              <w:instrText xml:space="preserve"> PAGEREF _Toc498495393 \h </w:instrText>
            </w:r>
            <w:r w:rsidR="00AA28FD">
              <w:rPr>
                <w:noProof/>
                <w:webHidden/>
              </w:rPr>
            </w:r>
            <w:r w:rsidR="00AA28FD">
              <w:rPr>
                <w:noProof/>
                <w:webHidden/>
              </w:rPr>
              <w:fldChar w:fldCharType="separate"/>
            </w:r>
            <w:r w:rsidR="00622FF2">
              <w:rPr>
                <w:noProof/>
                <w:webHidden/>
              </w:rPr>
              <w:t>211</w:t>
            </w:r>
            <w:r w:rsidR="00AA28FD">
              <w:rPr>
                <w:noProof/>
                <w:webHidden/>
              </w:rPr>
              <w:fldChar w:fldCharType="end"/>
            </w:r>
          </w:hyperlink>
        </w:p>
        <w:p w14:paraId="5B4E1CF8"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94" w:history="1">
            <w:r w:rsidR="00AA28FD" w:rsidRPr="00D94A73">
              <w:rPr>
                <w:rStyle w:val="Hyperlink"/>
                <w:rFonts w:cs="Arial"/>
                <w:noProof/>
                <w:lang w:eastAsia="en-GB"/>
              </w:rPr>
              <w:t>7.9</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Variation Provisions Specific to a Contract with a Company Limited</w:t>
            </w:r>
            <w:r w:rsidR="00AA28FD" w:rsidRPr="00D94A73">
              <w:rPr>
                <w:rStyle w:val="Hyperlink"/>
                <w:rFonts w:cs="Arial"/>
                <w:noProof/>
                <w:lang w:eastAsia="en-GB"/>
              </w:rPr>
              <w:t xml:space="preserve"> by Shares (GMS) or a Qualifying Body (PMS)</w:t>
            </w:r>
            <w:r w:rsidR="00AA28FD">
              <w:rPr>
                <w:noProof/>
                <w:webHidden/>
              </w:rPr>
              <w:tab/>
            </w:r>
            <w:r w:rsidR="00AA28FD">
              <w:rPr>
                <w:noProof/>
                <w:webHidden/>
              </w:rPr>
              <w:fldChar w:fldCharType="begin"/>
            </w:r>
            <w:r w:rsidR="00AA28FD">
              <w:rPr>
                <w:noProof/>
                <w:webHidden/>
              </w:rPr>
              <w:instrText xml:space="preserve"> PAGEREF _Toc498495394 \h </w:instrText>
            </w:r>
            <w:r w:rsidR="00AA28FD">
              <w:rPr>
                <w:noProof/>
                <w:webHidden/>
              </w:rPr>
            </w:r>
            <w:r w:rsidR="00AA28FD">
              <w:rPr>
                <w:noProof/>
                <w:webHidden/>
              </w:rPr>
              <w:fldChar w:fldCharType="separate"/>
            </w:r>
            <w:r w:rsidR="00622FF2">
              <w:rPr>
                <w:noProof/>
                <w:webHidden/>
              </w:rPr>
              <w:t>212</w:t>
            </w:r>
            <w:r w:rsidR="00AA28FD">
              <w:rPr>
                <w:noProof/>
                <w:webHidden/>
              </w:rPr>
              <w:fldChar w:fldCharType="end"/>
            </w:r>
          </w:hyperlink>
        </w:p>
        <w:p w14:paraId="5EBA2B23"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95" w:history="1">
            <w:r w:rsidR="00AA28FD" w:rsidRPr="00D94A73">
              <w:rPr>
                <w:rStyle w:val="Hyperlink"/>
                <w:noProof/>
                <w:lang w:eastAsia="en-GB"/>
              </w:rPr>
              <w:t>7.10</w:t>
            </w:r>
            <w:r w:rsidR="00AA28FD">
              <w:rPr>
                <w:rFonts w:asciiTheme="minorHAnsi" w:eastAsiaTheme="minorEastAsia" w:hAnsiTheme="minorHAnsi" w:cstheme="minorBidi"/>
                <w:bCs w:val="0"/>
                <w:noProof/>
                <w:sz w:val="22"/>
                <w:szCs w:val="22"/>
                <w:lang w:eastAsia="en-GB"/>
              </w:rPr>
              <w:tab/>
            </w:r>
            <w:r w:rsidR="00AA28FD" w:rsidRPr="00D94A73">
              <w:rPr>
                <w:rStyle w:val="Hyperlink"/>
                <w:noProof/>
                <w:lang w:eastAsia="en-GB"/>
              </w:rPr>
              <w:t>Contracts and Incorporation/Dis-incorporation</w:t>
            </w:r>
            <w:r w:rsidR="00AA28FD">
              <w:rPr>
                <w:noProof/>
                <w:webHidden/>
              </w:rPr>
              <w:tab/>
            </w:r>
            <w:r w:rsidR="00AA28FD">
              <w:rPr>
                <w:noProof/>
                <w:webHidden/>
              </w:rPr>
              <w:fldChar w:fldCharType="begin"/>
            </w:r>
            <w:r w:rsidR="00AA28FD">
              <w:rPr>
                <w:noProof/>
                <w:webHidden/>
              </w:rPr>
              <w:instrText xml:space="preserve"> PAGEREF _Toc498495395 \h </w:instrText>
            </w:r>
            <w:r w:rsidR="00AA28FD">
              <w:rPr>
                <w:noProof/>
                <w:webHidden/>
              </w:rPr>
            </w:r>
            <w:r w:rsidR="00AA28FD">
              <w:rPr>
                <w:noProof/>
                <w:webHidden/>
              </w:rPr>
              <w:fldChar w:fldCharType="separate"/>
            </w:r>
            <w:r w:rsidR="00622FF2">
              <w:rPr>
                <w:noProof/>
                <w:webHidden/>
              </w:rPr>
              <w:t>212</w:t>
            </w:r>
            <w:r w:rsidR="00AA28FD">
              <w:rPr>
                <w:noProof/>
                <w:webHidden/>
              </w:rPr>
              <w:fldChar w:fldCharType="end"/>
            </w:r>
          </w:hyperlink>
        </w:p>
        <w:p w14:paraId="2715BDC6"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96" w:history="1">
            <w:r w:rsidR="00AA28FD" w:rsidRPr="00D94A73">
              <w:rPr>
                <w:rStyle w:val="Hyperlink"/>
                <w:noProof/>
                <w:lang w:eastAsia="en-GB"/>
              </w:rPr>
              <w:t>7.11</w:t>
            </w:r>
            <w:r w:rsidR="00AA28FD">
              <w:rPr>
                <w:rFonts w:asciiTheme="minorHAnsi" w:eastAsiaTheme="minorEastAsia" w:hAnsiTheme="minorHAnsi" w:cstheme="minorBidi"/>
                <w:bCs w:val="0"/>
                <w:noProof/>
                <w:sz w:val="22"/>
                <w:szCs w:val="22"/>
                <w:lang w:eastAsia="en-GB"/>
              </w:rPr>
              <w:tab/>
            </w:r>
            <w:r w:rsidR="00AA28FD" w:rsidRPr="00D94A73">
              <w:rPr>
                <w:rStyle w:val="Hyperlink"/>
                <w:noProof/>
                <w:lang w:eastAsia="en-GB"/>
              </w:rPr>
              <w:t>Practice Mergers and/or Contractual Mergers</w:t>
            </w:r>
            <w:r w:rsidR="00AA28FD">
              <w:rPr>
                <w:noProof/>
                <w:webHidden/>
              </w:rPr>
              <w:tab/>
            </w:r>
            <w:r w:rsidR="00AA28FD">
              <w:rPr>
                <w:noProof/>
                <w:webHidden/>
              </w:rPr>
              <w:fldChar w:fldCharType="begin"/>
            </w:r>
            <w:r w:rsidR="00AA28FD">
              <w:rPr>
                <w:noProof/>
                <w:webHidden/>
              </w:rPr>
              <w:instrText xml:space="preserve"> PAGEREF _Toc498495396 \h </w:instrText>
            </w:r>
            <w:r w:rsidR="00AA28FD">
              <w:rPr>
                <w:noProof/>
                <w:webHidden/>
              </w:rPr>
            </w:r>
            <w:r w:rsidR="00AA28FD">
              <w:rPr>
                <w:noProof/>
                <w:webHidden/>
              </w:rPr>
              <w:fldChar w:fldCharType="separate"/>
            </w:r>
            <w:r w:rsidR="00622FF2">
              <w:rPr>
                <w:noProof/>
                <w:webHidden/>
              </w:rPr>
              <w:t>217</w:t>
            </w:r>
            <w:r w:rsidR="00AA28FD">
              <w:rPr>
                <w:noProof/>
                <w:webHidden/>
              </w:rPr>
              <w:fldChar w:fldCharType="end"/>
            </w:r>
          </w:hyperlink>
        </w:p>
        <w:p w14:paraId="081E2987"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97" w:history="1">
            <w:r w:rsidR="00AA28FD" w:rsidRPr="00D94A73">
              <w:rPr>
                <w:rStyle w:val="Hyperlink"/>
                <w:noProof/>
                <w:lang w:eastAsia="en-GB"/>
              </w:rPr>
              <w:t>7.12</w:t>
            </w:r>
            <w:r w:rsidR="00AA28FD">
              <w:rPr>
                <w:rFonts w:asciiTheme="minorHAnsi" w:eastAsiaTheme="minorEastAsia" w:hAnsiTheme="minorHAnsi" w:cstheme="minorBidi"/>
                <w:bCs w:val="0"/>
                <w:noProof/>
                <w:sz w:val="22"/>
                <w:szCs w:val="22"/>
                <w:lang w:eastAsia="en-GB"/>
              </w:rPr>
              <w:tab/>
            </w:r>
            <w:r w:rsidR="00AA28FD" w:rsidRPr="00D94A73">
              <w:rPr>
                <w:rStyle w:val="Hyperlink"/>
                <w:noProof/>
                <w:lang w:eastAsia="en-GB"/>
              </w:rPr>
              <w:t>Changes to Services</w:t>
            </w:r>
            <w:r w:rsidR="00AA28FD">
              <w:rPr>
                <w:noProof/>
                <w:webHidden/>
              </w:rPr>
              <w:tab/>
            </w:r>
            <w:r w:rsidR="00AA28FD">
              <w:rPr>
                <w:noProof/>
                <w:webHidden/>
              </w:rPr>
              <w:fldChar w:fldCharType="begin"/>
            </w:r>
            <w:r w:rsidR="00AA28FD">
              <w:rPr>
                <w:noProof/>
                <w:webHidden/>
              </w:rPr>
              <w:instrText xml:space="preserve"> PAGEREF _Toc498495397 \h </w:instrText>
            </w:r>
            <w:r w:rsidR="00AA28FD">
              <w:rPr>
                <w:noProof/>
                <w:webHidden/>
              </w:rPr>
            </w:r>
            <w:r w:rsidR="00AA28FD">
              <w:rPr>
                <w:noProof/>
                <w:webHidden/>
              </w:rPr>
              <w:fldChar w:fldCharType="separate"/>
            </w:r>
            <w:r w:rsidR="00622FF2">
              <w:rPr>
                <w:noProof/>
                <w:webHidden/>
              </w:rPr>
              <w:t>236</w:t>
            </w:r>
            <w:r w:rsidR="00AA28FD">
              <w:rPr>
                <w:noProof/>
                <w:webHidden/>
              </w:rPr>
              <w:fldChar w:fldCharType="end"/>
            </w:r>
          </w:hyperlink>
        </w:p>
        <w:p w14:paraId="082BD64B"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98" w:history="1">
            <w:r w:rsidR="00AA28FD" w:rsidRPr="00D94A73">
              <w:rPr>
                <w:rStyle w:val="Hyperlink"/>
                <w:noProof/>
                <w:lang w:eastAsia="en-GB"/>
              </w:rPr>
              <w:t>7.13</w:t>
            </w:r>
            <w:r w:rsidR="00AA28FD">
              <w:rPr>
                <w:rFonts w:asciiTheme="minorHAnsi" w:eastAsiaTheme="minorEastAsia" w:hAnsiTheme="minorHAnsi" w:cstheme="minorBidi"/>
                <w:bCs w:val="0"/>
                <w:noProof/>
                <w:sz w:val="22"/>
                <w:szCs w:val="22"/>
                <w:lang w:eastAsia="en-GB"/>
              </w:rPr>
              <w:tab/>
            </w:r>
            <w:r w:rsidR="00AA28FD" w:rsidRPr="00D94A73">
              <w:rPr>
                <w:rStyle w:val="Hyperlink"/>
                <w:noProof/>
                <w:lang w:eastAsia="en-GB"/>
              </w:rPr>
              <w:t>Open and Closed Lists</w:t>
            </w:r>
            <w:r w:rsidR="00AA28FD">
              <w:rPr>
                <w:noProof/>
                <w:webHidden/>
              </w:rPr>
              <w:tab/>
            </w:r>
            <w:r w:rsidR="00AA28FD">
              <w:rPr>
                <w:noProof/>
                <w:webHidden/>
              </w:rPr>
              <w:fldChar w:fldCharType="begin"/>
            </w:r>
            <w:r w:rsidR="00AA28FD">
              <w:rPr>
                <w:noProof/>
                <w:webHidden/>
              </w:rPr>
              <w:instrText xml:space="preserve"> PAGEREF _Toc498495398 \h </w:instrText>
            </w:r>
            <w:r w:rsidR="00AA28FD">
              <w:rPr>
                <w:noProof/>
                <w:webHidden/>
              </w:rPr>
            </w:r>
            <w:r w:rsidR="00AA28FD">
              <w:rPr>
                <w:noProof/>
                <w:webHidden/>
              </w:rPr>
              <w:fldChar w:fldCharType="separate"/>
            </w:r>
            <w:r w:rsidR="00622FF2">
              <w:rPr>
                <w:noProof/>
                <w:webHidden/>
              </w:rPr>
              <w:t>236</w:t>
            </w:r>
            <w:r w:rsidR="00AA28FD">
              <w:rPr>
                <w:noProof/>
                <w:webHidden/>
              </w:rPr>
              <w:fldChar w:fldCharType="end"/>
            </w:r>
          </w:hyperlink>
        </w:p>
        <w:p w14:paraId="14C8C235"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399" w:history="1">
            <w:r w:rsidR="00AA28FD" w:rsidRPr="00D94A73">
              <w:rPr>
                <w:rStyle w:val="Hyperlink"/>
                <w:noProof/>
                <w:lang w:eastAsia="en-GB"/>
              </w:rPr>
              <w:t>7.14</w:t>
            </w:r>
            <w:r w:rsidR="00AA28FD">
              <w:rPr>
                <w:rFonts w:asciiTheme="minorHAnsi" w:eastAsiaTheme="minorEastAsia" w:hAnsiTheme="minorHAnsi" w:cstheme="minorBidi"/>
                <w:bCs w:val="0"/>
                <w:noProof/>
                <w:sz w:val="22"/>
                <w:szCs w:val="22"/>
                <w:lang w:eastAsia="en-GB"/>
              </w:rPr>
              <w:tab/>
            </w:r>
            <w:r w:rsidR="00AA28FD" w:rsidRPr="00D94A73">
              <w:rPr>
                <w:rStyle w:val="Hyperlink"/>
                <w:noProof/>
                <w:lang w:eastAsia="en-GB"/>
              </w:rPr>
              <w:t>Boundary Changes</w:t>
            </w:r>
            <w:r w:rsidR="00AA28FD">
              <w:rPr>
                <w:noProof/>
                <w:webHidden/>
              </w:rPr>
              <w:tab/>
            </w:r>
            <w:r w:rsidR="00AA28FD">
              <w:rPr>
                <w:noProof/>
                <w:webHidden/>
              </w:rPr>
              <w:fldChar w:fldCharType="begin"/>
            </w:r>
            <w:r w:rsidR="00AA28FD">
              <w:rPr>
                <w:noProof/>
                <w:webHidden/>
              </w:rPr>
              <w:instrText xml:space="preserve"> PAGEREF _Toc498495399 \h </w:instrText>
            </w:r>
            <w:r w:rsidR="00AA28FD">
              <w:rPr>
                <w:noProof/>
                <w:webHidden/>
              </w:rPr>
            </w:r>
            <w:r w:rsidR="00AA28FD">
              <w:rPr>
                <w:noProof/>
                <w:webHidden/>
              </w:rPr>
              <w:fldChar w:fldCharType="separate"/>
            </w:r>
            <w:r w:rsidR="00622FF2">
              <w:rPr>
                <w:noProof/>
                <w:webHidden/>
              </w:rPr>
              <w:t>236</w:t>
            </w:r>
            <w:r w:rsidR="00AA28FD">
              <w:rPr>
                <w:noProof/>
                <w:webHidden/>
              </w:rPr>
              <w:fldChar w:fldCharType="end"/>
            </w:r>
          </w:hyperlink>
        </w:p>
        <w:p w14:paraId="74CF1F40"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00" w:history="1">
            <w:r w:rsidR="00AA28FD" w:rsidRPr="00D94A73">
              <w:rPr>
                <w:rStyle w:val="Hyperlink"/>
                <w:noProof/>
                <w:lang w:eastAsia="en-GB"/>
              </w:rPr>
              <w:t>7.15</w:t>
            </w:r>
            <w:r w:rsidR="00AA28FD">
              <w:rPr>
                <w:rFonts w:asciiTheme="minorHAnsi" w:eastAsiaTheme="minorEastAsia" w:hAnsiTheme="minorHAnsi" w:cstheme="minorBidi"/>
                <w:bCs w:val="0"/>
                <w:noProof/>
                <w:sz w:val="22"/>
                <w:szCs w:val="22"/>
                <w:lang w:eastAsia="en-GB"/>
              </w:rPr>
              <w:tab/>
            </w:r>
            <w:r w:rsidR="00AA28FD" w:rsidRPr="00D94A73">
              <w:rPr>
                <w:rStyle w:val="Hyperlink"/>
                <w:noProof/>
                <w:lang w:eastAsia="en-GB"/>
              </w:rPr>
              <w:t>Premises</w:t>
            </w:r>
            <w:r w:rsidR="00AA28FD">
              <w:rPr>
                <w:noProof/>
                <w:webHidden/>
              </w:rPr>
              <w:tab/>
            </w:r>
            <w:r w:rsidR="00AA28FD">
              <w:rPr>
                <w:noProof/>
                <w:webHidden/>
              </w:rPr>
              <w:fldChar w:fldCharType="begin"/>
            </w:r>
            <w:r w:rsidR="00AA28FD">
              <w:rPr>
                <w:noProof/>
                <w:webHidden/>
              </w:rPr>
              <w:instrText xml:space="preserve"> PAGEREF _Toc498495400 \h </w:instrText>
            </w:r>
            <w:r w:rsidR="00AA28FD">
              <w:rPr>
                <w:noProof/>
                <w:webHidden/>
              </w:rPr>
            </w:r>
            <w:r w:rsidR="00AA28FD">
              <w:rPr>
                <w:noProof/>
                <w:webHidden/>
              </w:rPr>
              <w:fldChar w:fldCharType="separate"/>
            </w:r>
            <w:r w:rsidR="00622FF2">
              <w:rPr>
                <w:noProof/>
                <w:webHidden/>
              </w:rPr>
              <w:t>238</w:t>
            </w:r>
            <w:r w:rsidR="00AA28FD">
              <w:rPr>
                <w:noProof/>
                <w:webHidden/>
              </w:rPr>
              <w:fldChar w:fldCharType="end"/>
            </w:r>
          </w:hyperlink>
        </w:p>
        <w:p w14:paraId="48EEDCB3"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01" w:history="1">
            <w:r w:rsidR="00AA28FD" w:rsidRPr="00D94A73">
              <w:rPr>
                <w:rStyle w:val="Hyperlink"/>
                <w:noProof/>
                <w:lang w:eastAsia="en-GB"/>
              </w:rPr>
              <w:t>7.16</w:t>
            </w:r>
            <w:r w:rsidR="00AA28FD">
              <w:rPr>
                <w:rFonts w:asciiTheme="minorHAnsi" w:eastAsiaTheme="minorEastAsia" w:hAnsiTheme="minorHAnsi" w:cstheme="minorBidi"/>
                <w:bCs w:val="0"/>
                <w:noProof/>
                <w:sz w:val="22"/>
                <w:szCs w:val="22"/>
                <w:lang w:eastAsia="en-GB"/>
              </w:rPr>
              <w:tab/>
            </w:r>
            <w:r w:rsidR="00AA28FD" w:rsidRPr="00D94A73">
              <w:rPr>
                <w:rStyle w:val="Hyperlink"/>
                <w:noProof/>
                <w:lang w:eastAsia="en-GB"/>
              </w:rPr>
              <w:t>Opt Outs</w:t>
            </w:r>
            <w:r w:rsidR="00AA28FD">
              <w:rPr>
                <w:noProof/>
                <w:webHidden/>
              </w:rPr>
              <w:tab/>
            </w:r>
            <w:r w:rsidR="00AA28FD">
              <w:rPr>
                <w:noProof/>
                <w:webHidden/>
              </w:rPr>
              <w:fldChar w:fldCharType="begin"/>
            </w:r>
            <w:r w:rsidR="00AA28FD">
              <w:rPr>
                <w:noProof/>
                <w:webHidden/>
              </w:rPr>
              <w:instrText xml:space="preserve"> PAGEREF _Toc498495401 \h </w:instrText>
            </w:r>
            <w:r w:rsidR="00AA28FD">
              <w:rPr>
                <w:noProof/>
                <w:webHidden/>
              </w:rPr>
            </w:r>
            <w:r w:rsidR="00AA28FD">
              <w:rPr>
                <w:noProof/>
                <w:webHidden/>
              </w:rPr>
              <w:fldChar w:fldCharType="separate"/>
            </w:r>
            <w:r w:rsidR="00622FF2">
              <w:rPr>
                <w:noProof/>
                <w:webHidden/>
              </w:rPr>
              <w:t>243</w:t>
            </w:r>
            <w:r w:rsidR="00AA28FD">
              <w:rPr>
                <w:noProof/>
                <w:webHidden/>
              </w:rPr>
              <w:fldChar w:fldCharType="end"/>
            </w:r>
          </w:hyperlink>
        </w:p>
        <w:p w14:paraId="0E95A203"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02" w:history="1">
            <w:r w:rsidR="00AA28FD" w:rsidRPr="00D94A73">
              <w:rPr>
                <w:rStyle w:val="Hyperlink"/>
                <w:noProof/>
                <w:lang w:eastAsia="en-GB"/>
              </w:rPr>
              <w:t>7.17</w:t>
            </w:r>
            <w:r w:rsidR="00AA28FD">
              <w:rPr>
                <w:rFonts w:asciiTheme="minorHAnsi" w:eastAsiaTheme="minorEastAsia" w:hAnsiTheme="minorHAnsi" w:cstheme="minorBidi"/>
                <w:bCs w:val="0"/>
                <w:noProof/>
                <w:sz w:val="22"/>
                <w:szCs w:val="22"/>
                <w:lang w:eastAsia="en-GB"/>
              </w:rPr>
              <w:tab/>
            </w:r>
            <w:r w:rsidR="00AA28FD" w:rsidRPr="00D94A73">
              <w:rPr>
                <w:rStyle w:val="Hyperlink"/>
                <w:noProof/>
                <w:lang w:eastAsia="en-GB"/>
              </w:rPr>
              <w:t>Financial Changes – Statement of Financial Entitlements</w:t>
            </w:r>
            <w:r w:rsidR="00AA28FD">
              <w:rPr>
                <w:noProof/>
                <w:webHidden/>
              </w:rPr>
              <w:tab/>
            </w:r>
            <w:r w:rsidR="00AA28FD">
              <w:rPr>
                <w:noProof/>
                <w:webHidden/>
              </w:rPr>
              <w:fldChar w:fldCharType="begin"/>
            </w:r>
            <w:r w:rsidR="00AA28FD">
              <w:rPr>
                <w:noProof/>
                <w:webHidden/>
              </w:rPr>
              <w:instrText xml:space="preserve"> PAGEREF _Toc498495402 \h </w:instrText>
            </w:r>
            <w:r w:rsidR="00AA28FD">
              <w:rPr>
                <w:noProof/>
                <w:webHidden/>
              </w:rPr>
            </w:r>
            <w:r w:rsidR="00AA28FD">
              <w:rPr>
                <w:noProof/>
                <w:webHidden/>
              </w:rPr>
              <w:fldChar w:fldCharType="separate"/>
            </w:r>
            <w:r w:rsidR="00622FF2">
              <w:rPr>
                <w:noProof/>
                <w:webHidden/>
              </w:rPr>
              <w:t>248</w:t>
            </w:r>
            <w:r w:rsidR="00AA28FD">
              <w:rPr>
                <w:noProof/>
                <w:webHidden/>
              </w:rPr>
              <w:fldChar w:fldCharType="end"/>
            </w:r>
          </w:hyperlink>
        </w:p>
        <w:p w14:paraId="1D74FE8C" w14:textId="77777777" w:rsidR="00AA28FD" w:rsidRDefault="000E7846">
          <w:pPr>
            <w:pStyle w:val="TOC1"/>
            <w:rPr>
              <w:rFonts w:asciiTheme="minorHAnsi" w:eastAsiaTheme="minorEastAsia" w:hAnsiTheme="minorHAnsi" w:cstheme="minorBidi"/>
              <w:bCs w:val="0"/>
              <w:color w:val="auto"/>
              <w:sz w:val="22"/>
              <w:szCs w:val="22"/>
              <w:lang w:eastAsia="en-GB"/>
            </w:rPr>
          </w:pPr>
          <w:hyperlink w:anchor="_Toc498495403" w:history="1">
            <w:r w:rsidR="00AA28FD" w:rsidRPr="00D94A73">
              <w:rPr>
                <w:rStyle w:val="Hyperlink"/>
              </w:rPr>
              <w:t>8</w:t>
            </w:r>
            <w:r w:rsidR="00AA28FD">
              <w:rPr>
                <w:rFonts w:asciiTheme="minorHAnsi" w:eastAsiaTheme="minorEastAsia" w:hAnsiTheme="minorHAnsi" w:cstheme="minorBidi"/>
                <w:bCs w:val="0"/>
                <w:color w:val="auto"/>
                <w:sz w:val="22"/>
                <w:szCs w:val="22"/>
                <w:lang w:eastAsia="en-GB"/>
              </w:rPr>
              <w:tab/>
            </w:r>
            <w:r w:rsidR="00AA28FD" w:rsidRPr="00D94A73">
              <w:rPr>
                <w:rStyle w:val="Hyperlink"/>
              </w:rPr>
              <w:t>Managing a PMS Contractor’s Right to a GMS Contract</w:t>
            </w:r>
            <w:r w:rsidR="00AA28FD">
              <w:rPr>
                <w:webHidden/>
              </w:rPr>
              <w:tab/>
            </w:r>
            <w:r w:rsidR="00AA28FD">
              <w:rPr>
                <w:webHidden/>
              </w:rPr>
              <w:fldChar w:fldCharType="begin"/>
            </w:r>
            <w:r w:rsidR="00AA28FD">
              <w:rPr>
                <w:webHidden/>
              </w:rPr>
              <w:instrText xml:space="preserve"> PAGEREF _Toc498495403 \h </w:instrText>
            </w:r>
            <w:r w:rsidR="00AA28FD">
              <w:rPr>
                <w:webHidden/>
              </w:rPr>
            </w:r>
            <w:r w:rsidR="00AA28FD">
              <w:rPr>
                <w:webHidden/>
              </w:rPr>
              <w:fldChar w:fldCharType="separate"/>
            </w:r>
            <w:r w:rsidR="00622FF2">
              <w:rPr>
                <w:webHidden/>
              </w:rPr>
              <w:t>252</w:t>
            </w:r>
            <w:r w:rsidR="00AA28FD">
              <w:rPr>
                <w:webHidden/>
              </w:rPr>
              <w:fldChar w:fldCharType="end"/>
            </w:r>
          </w:hyperlink>
        </w:p>
        <w:p w14:paraId="2C55EFD7"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04" w:history="1">
            <w:r w:rsidR="00AA28FD" w:rsidRPr="00D94A73">
              <w:rPr>
                <w:rStyle w:val="Hyperlink"/>
                <w:noProof/>
                <w:lang w:eastAsia="en-GB"/>
              </w:rPr>
              <w:t>8.1</w:t>
            </w:r>
            <w:r w:rsidR="00AA28FD">
              <w:rPr>
                <w:rFonts w:asciiTheme="minorHAnsi" w:eastAsiaTheme="minorEastAsia" w:hAnsiTheme="minorHAnsi" w:cstheme="minorBidi"/>
                <w:bCs w:val="0"/>
                <w:noProof/>
                <w:sz w:val="22"/>
                <w:szCs w:val="22"/>
                <w:lang w:eastAsia="en-GB"/>
              </w:rPr>
              <w:tab/>
            </w:r>
            <w:r w:rsidR="00AA28FD" w:rsidRPr="00D94A73">
              <w:rPr>
                <w:rStyle w:val="Hyperlink"/>
                <w:noProof/>
                <w:lang w:eastAsia="en-GB"/>
              </w:rPr>
              <w:t>Introduction</w:t>
            </w:r>
            <w:r w:rsidR="00AA28FD">
              <w:rPr>
                <w:noProof/>
                <w:webHidden/>
              </w:rPr>
              <w:tab/>
            </w:r>
            <w:r w:rsidR="00AA28FD">
              <w:rPr>
                <w:noProof/>
                <w:webHidden/>
              </w:rPr>
              <w:fldChar w:fldCharType="begin"/>
            </w:r>
            <w:r w:rsidR="00AA28FD">
              <w:rPr>
                <w:noProof/>
                <w:webHidden/>
              </w:rPr>
              <w:instrText xml:space="preserve"> PAGEREF _Toc498495404 \h </w:instrText>
            </w:r>
            <w:r w:rsidR="00AA28FD">
              <w:rPr>
                <w:noProof/>
                <w:webHidden/>
              </w:rPr>
            </w:r>
            <w:r w:rsidR="00AA28FD">
              <w:rPr>
                <w:noProof/>
                <w:webHidden/>
              </w:rPr>
              <w:fldChar w:fldCharType="separate"/>
            </w:r>
            <w:r w:rsidR="00622FF2">
              <w:rPr>
                <w:noProof/>
                <w:webHidden/>
              </w:rPr>
              <w:t>252</w:t>
            </w:r>
            <w:r w:rsidR="00AA28FD">
              <w:rPr>
                <w:noProof/>
                <w:webHidden/>
              </w:rPr>
              <w:fldChar w:fldCharType="end"/>
            </w:r>
          </w:hyperlink>
        </w:p>
        <w:p w14:paraId="77DEE0AC"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05" w:history="1">
            <w:r w:rsidR="00AA28FD" w:rsidRPr="00D94A73">
              <w:rPr>
                <w:rStyle w:val="Hyperlink"/>
                <w:noProof/>
              </w:rPr>
              <w:t>8.2</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Roles and Responsibilities</w:t>
            </w:r>
            <w:r w:rsidR="00AA28FD">
              <w:rPr>
                <w:noProof/>
                <w:webHidden/>
              </w:rPr>
              <w:tab/>
            </w:r>
            <w:r w:rsidR="00AA28FD">
              <w:rPr>
                <w:noProof/>
                <w:webHidden/>
              </w:rPr>
              <w:fldChar w:fldCharType="begin"/>
            </w:r>
            <w:r w:rsidR="00AA28FD">
              <w:rPr>
                <w:noProof/>
                <w:webHidden/>
              </w:rPr>
              <w:instrText xml:space="preserve"> PAGEREF _Toc498495405 \h </w:instrText>
            </w:r>
            <w:r w:rsidR="00AA28FD">
              <w:rPr>
                <w:noProof/>
                <w:webHidden/>
              </w:rPr>
            </w:r>
            <w:r w:rsidR="00AA28FD">
              <w:rPr>
                <w:noProof/>
                <w:webHidden/>
              </w:rPr>
              <w:fldChar w:fldCharType="separate"/>
            </w:r>
            <w:r w:rsidR="00622FF2">
              <w:rPr>
                <w:noProof/>
                <w:webHidden/>
              </w:rPr>
              <w:t>252</w:t>
            </w:r>
            <w:r w:rsidR="00AA28FD">
              <w:rPr>
                <w:noProof/>
                <w:webHidden/>
              </w:rPr>
              <w:fldChar w:fldCharType="end"/>
            </w:r>
          </w:hyperlink>
        </w:p>
        <w:p w14:paraId="3C5E10F5"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06" w:history="1">
            <w:r w:rsidR="00AA28FD" w:rsidRPr="00D94A73">
              <w:rPr>
                <w:rStyle w:val="Hyperlink"/>
                <w:noProof/>
                <w:lang w:eastAsia="en-GB"/>
              </w:rPr>
              <w:t>8.3</w:t>
            </w:r>
            <w:r w:rsidR="00AA28FD">
              <w:rPr>
                <w:rFonts w:asciiTheme="minorHAnsi" w:eastAsiaTheme="minorEastAsia" w:hAnsiTheme="minorHAnsi" w:cstheme="minorBidi"/>
                <w:bCs w:val="0"/>
                <w:noProof/>
                <w:sz w:val="22"/>
                <w:szCs w:val="22"/>
                <w:lang w:eastAsia="en-GB"/>
              </w:rPr>
              <w:tab/>
            </w:r>
            <w:r w:rsidR="00AA28FD" w:rsidRPr="00D94A73">
              <w:rPr>
                <w:rStyle w:val="Hyperlink"/>
                <w:noProof/>
                <w:lang w:eastAsia="en-GB"/>
              </w:rPr>
              <w:t>Background</w:t>
            </w:r>
            <w:r w:rsidR="00AA28FD">
              <w:rPr>
                <w:noProof/>
                <w:webHidden/>
              </w:rPr>
              <w:tab/>
            </w:r>
            <w:r w:rsidR="00AA28FD">
              <w:rPr>
                <w:noProof/>
                <w:webHidden/>
              </w:rPr>
              <w:fldChar w:fldCharType="begin"/>
            </w:r>
            <w:r w:rsidR="00AA28FD">
              <w:rPr>
                <w:noProof/>
                <w:webHidden/>
              </w:rPr>
              <w:instrText xml:space="preserve"> PAGEREF _Toc498495406 \h </w:instrText>
            </w:r>
            <w:r w:rsidR="00AA28FD">
              <w:rPr>
                <w:noProof/>
                <w:webHidden/>
              </w:rPr>
            </w:r>
            <w:r w:rsidR="00AA28FD">
              <w:rPr>
                <w:noProof/>
                <w:webHidden/>
              </w:rPr>
              <w:fldChar w:fldCharType="separate"/>
            </w:r>
            <w:r w:rsidR="00622FF2">
              <w:rPr>
                <w:noProof/>
                <w:webHidden/>
              </w:rPr>
              <w:t>252</w:t>
            </w:r>
            <w:r w:rsidR="00AA28FD">
              <w:rPr>
                <w:noProof/>
                <w:webHidden/>
              </w:rPr>
              <w:fldChar w:fldCharType="end"/>
            </w:r>
          </w:hyperlink>
        </w:p>
        <w:p w14:paraId="7FBD652F"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07" w:history="1">
            <w:r w:rsidR="00AA28FD" w:rsidRPr="00D94A73">
              <w:rPr>
                <w:rStyle w:val="Hyperlink"/>
                <w:noProof/>
                <w:lang w:eastAsia="en-GB"/>
              </w:rPr>
              <w:t>8.4</w:t>
            </w:r>
            <w:r w:rsidR="00AA28FD">
              <w:rPr>
                <w:rFonts w:asciiTheme="minorHAnsi" w:eastAsiaTheme="minorEastAsia" w:hAnsiTheme="minorHAnsi" w:cstheme="minorBidi"/>
                <w:bCs w:val="0"/>
                <w:noProof/>
                <w:sz w:val="22"/>
                <w:szCs w:val="22"/>
                <w:lang w:eastAsia="en-GB"/>
              </w:rPr>
              <w:tab/>
            </w:r>
            <w:r w:rsidR="00AA28FD" w:rsidRPr="00D94A73">
              <w:rPr>
                <w:rStyle w:val="Hyperlink"/>
                <w:noProof/>
                <w:lang w:eastAsia="en-GB"/>
              </w:rPr>
              <w:t>Notification from a Contractor</w:t>
            </w:r>
            <w:r w:rsidR="00AA28FD">
              <w:rPr>
                <w:noProof/>
                <w:webHidden/>
              </w:rPr>
              <w:tab/>
            </w:r>
            <w:r w:rsidR="00AA28FD">
              <w:rPr>
                <w:noProof/>
                <w:webHidden/>
              </w:rPr>
              <w:fldChar w:fldCharType="begin"/>
            </w:r>
            <w:r w:rsidR="00AA28FD">
              <w:rPr>
                <w:noProof/>
                <w:webHidden/>
              </w:rPr>
              <w:instrText xml:space="preserve"> PAGEREF _Toc498495407 \h </w:instrText>
            </w:r>
            <w:r w:rsidR="00AA28FD">
              <w:rPr>
                <w:noProof/>
                <w:webHidden/>
              </w:rPr>
            </w:r>
            <w:r w:rsidR="00AA28FD">
              <w:rPr>
                <w:noProof/>
                <w:webHidden/>
              </w:rPr>
              <w:fldChar w:fldCharType="separate"/>
            </w:r>
            <w:r w:rsidR="00622FF2">
              <w:rPr>
                <w:noProof/>
                <w:webHidden/>
              </w:rPr>
              <w:t>252</w:t>
            </w:r>
            <w:r w:rsidR="00AA28FD">
              <w:rPr>
                <w:noProof/>
                <w:webHidden/>
              </w:rPr>
              <w:fldChar w:fldCharType="end"/>
            </w:r>
          </w:hyperlink>
        </w:p>
        <w:p w14:paraId="1FDFC8A4"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08" w:history="1">
            <w:r w:rsidR="00AA28FD" w:rsidRPr="00D94A73">
              <w:rPr>
                <w:rStyle w:val="Hyperlink"/>
                <w:noProof/>
                <w:lang w:eastAsia="en-GB"/>
              </w:rPr>
              <w:t>8.5</w:t>
            </w:r>
            <w:r w:rsidR="00AA28FD">
              <w:rPr>
                <w:rFonts w:asciiTheme="minorHAnsi" w:eastAsiaTheme="minorEastAsia" w:hAnsiTheme="minorHAnsi" w:cstheme="minorBidi"/>
                <w:bCs w:val="0"/>
                <w:noProof/>
                <w:sz w:val="22"/>
                <w:szCs w:val="22"/>
                <w:lang w:eastAsia="en-GB"/>
              </w:rPr>
              <w:tab/>
            </w:r>
            <w:r w:rsidR="00AA28FD" w:rsidRPr="00D94A73">
              <w:rPr>
                <w:rStyle w:val="Hyperlink"/>
                <w:noProof/>
                <w:lang w:eastAsia="en-GB"/>
              </w:rPr>
              <w:t>Process for PMS Agreements</w:t>
            </w:r>
            <w:r w:rsidR="00AA28FD">
              <w:rPr>
                <w:noProof/>
                <w:webHidden/>
              </w:rPr>
              <w:tab/>
            </w:r>
            <w:r w:rsidR="00AA28FD">
              <w:rPr>
                <w:noProof/>
                <w:webHidden/>
              </w:rPr>
              <w:fldChar w:fldCharType="begin"/>
            </w:r>
            <w:r w:rsidR="00AA28FD">
              <w:rPr>
                <w:noProof/>
                <w:webHidden/>
              </w:rPr>
              <w:instrText xml:space="preserve"> PAGEREF _Toc498495408 \h </w:instrText>
            </w:r>
            <w:r w:rsidR="00AA28FD">
              <w:rPr>
                <w:noProof/>
                <w:webHidden/>
              </w:rPr>
            </w:r>
            <w:r w:rsidR="00AA28FD">
              <w:rPr>
                <w:noProof/>
                <w:webHidden/>
              </w:rPr>
              <w:fldChar w:fldCharType="separate"/>
            </w:r>
            <w:r w:rsidR="00622FF2">
              <w:rPr>
                <w:noProof/>
                <w:webHidden/>
              </w:rPr>
              <w:t>253</w:t>
            </w:r>
            <w:r w:rsidR="00AA28FD">
              <w:rPr>
                <w:noProof/>
                <w:webHidden/>
              </w:rPr>
              <w:fldChar w:fldCharType="end"/>
            </w:r>
          </w:hyperlink>
        </w:p>
        <w:p w14:paraId="67210C20"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09" w:history="1">
            <w:r w:rsidR="00AA28FD" w:rsidRPr="00D94A73">
              <w:rPr>
                <w:rStyle w:val="Hyperlink"/>
                <w:noProof/>
                <w:lang w:eastAsia="en-GB"/>
              </w:rPr>
              <w:t>8.6</w:t>
            </w:r>
            <w:r w:rsidR="00AA28FD">
              <w:rPr>
                <w:rFonts w:asciiTheme="minorHAnsi" w:eastAsiaTheme="minorEastAsia" w:hAnsiTheme="minorHAnsi" w:cstheme="minorBidi"/>
                <w:bCs w:val="0"/>
                <w:noProof/>
                <w:sz w:val="22"/>
                <w:szCs w:val="22"/>
                <w:lang w:eastAsia="en-GB"/>
              </w:rPr>
              <w:tab/>
            </w:r>
            <w:r w:rsidR="00AA28FD" w:rsidRPr="00D94A73">
              <w:rPr>
                <w:rStyle w:val="Hyperlink"/>
                <w:noProof/>
                <w:lang w:eastAsia="en-GB"/>
              </w:rPr>
              <w:t>Disputes</w:t>
            </w:r>
            <w:r w:rsidR="00AA28FD">
              <w:rPr>
                <w:noProof/>
                <w:webHidden/>
              </w:rPr>
              <w:tab/>
            </w:r>
            <w:r w:rsidR="00AA28FD">
              <w:rPr>
                <w:noProof/>
                <w:webHidden/>
              </w:rPr>
              <w:fldChar w:fldCharType="begin"/>
            </w:r>
            <w:r w:rsidR="00AA28FD">
              <w:rPr>
                <w:noProof/>
                <w:webHidden/>
              </w:rPr>
              <w:instrText xml:space="preserve"> PAGEREF _Toc498495409 \h </w:instrText>
            </w:r>
            <w:r w:rsidR="00AA28FD">
              <w:rPr>
                <w:noProof/>
                <w:webHidden/>
              </w:rPr>
            </w:r>
            <w:r w:rsidR="00AA28FD">
              <w:rPr>
                <w:noProof/>
                <w:webHidden/>
              </w:rPr>
              <w:fldChar w:fldCharType="separate"/>
            </w:r>
            <w:r w:rsidR="00622FF2">
              <w:rPr>
                <w:noProof/>
                <w:webHidden/>
              </w:rPr>
              <w:t>255</w:t>
            </w:r>
            <w:r w:rsidR="00AA28FD">
              <w:rPr>
                <w:noProof/>
                <w:webHidden/>
              </w:rPr>
              <w:fldChar w:fldCharType="end"/>
            </w:r>
          </w:hyperlink>
        </w:p>
        <w:p w14:paraId="79DB0B93" w14:textId="77777777" w:rsidR="00AA28FD" w:rsidRDefault="000E7846">
          <w:pPr>
            <w:pStyle w:val="TOC1"/>
            <w:rPr>
              <w:rFonts w:asciiTheme="minorHAnsi" w:eastAsiaTheme="minorEastAsia" w:hAnsiTheme="minorHAnsi" w:cstheme="minorBidi"/>
              <w:bCs w:val="0"/>
              <w:color w:val="auto"/>
              <w:sz w:val="22"/>
              <w:szCs w:val="22"/>
              <w:lang w:eastAsia="en-GB"/>
            </w:rPr>
          </w:pPr>
          <w:hyperlink w:anchor="_Toc498495410" w:history="1">
            <w:r w:rsidR="00AA28FD" w:rsidRPr="00D94A73">
              <w:rPr>
                <w:rStyle w:val="Hyperlink"/>
                <w:lang w:eastAsia="en-GB"/>
              </w:rPr>
              <w:t>9</w:t>
            </w:r>
            <w:r w:rsidR="00AA28FD">
              <w:rPr>
                <w:rFonts w:asciiTheme="minorHAnsi" w:eastAsiaTheme="minorEastAsia" w:hAnsiTheme="minorHAnsi" w:cstheme="minorBidi"/>
                <w:bCs w:val="0"/>
                <w:color w:val="auto"/>
                <w:sz w:val="22"/>
                <w:szCs w:val="22"/>
                <w:lang w:eastAsia="en-GB"/>
              </w:rPr>
              <w:tab/>
            </w:r>
            <w:r w:rsidR="00AA28FD" w:rsidRPr="00D94A73">
              <w:rPr>
                <w:rStyle w:val="Hyperlink"/>
              </w:rPr>
              <w:t>Practice Closedown (Planned / Scheduled)</w:t>
            </w:r>
            <w:r w:rsidR="00AA28FD">
              <w:rPr>
                <w:webHidden/>
              </w:rPr>
              <w:tab/>
            </w:r>
            <w:r w:rsidR="00AA28FD">
              <w:rPr>
                <w:webHidden/>
              </w:rPr>
              <w:fldChar w:fldCharType="begin"/>
            </w:r>
            <w:r w:rsidR="00AA28FD">
              <w:rPr>
                <w:webHidden/>
              </w:rPr>
              <w:instrText xml:space="preserve"> PAGEREF _Toc498495410 \h </w:instrText>
            </w:r>
            <w:r w:rsidR="00AA28FD">
              <w:rPr>
                <w:webHidden/>
              </w:rPr>
            </w:r>
            <w:r w:rsidR="00AA28FD">
              <w:rPr>
                <w:webHidden/>
              </w:rPr>
              <w:fldChar w:fldCharType="separate"/>
            </w:r>
            <w:r w:rsidR="00622FF2">
              <w:rPr>
                <w:webHidden/>
              </w:rPr>
              <w:t>257</w:t>
            </w:r>
            <w:r w:rsidR="00AA28FD">
              <w:rPr>
                <w:webHidden/>
              </w:rPr>
              <w:fldChar w:fldCharType="end"/>
            </w:r>
          </w:hyperlink>
        </w:p>
        <w:p w14:paraId="63581271"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11" w:history="1">
            <w:r w:rsidR="00AA28FD" w:rsidRPr="00D94A73">
              <w:rPr>
                <w:rStyle w:val="Hyperlink"/>
                <w:noProof/>
                <w:lang w:eastAsia="en-GB"/>
              </w:rPr>
              <w:t>9.1</w:t>
            </w:r>
            <w:r w:rsidR="00AA28FD">
              <w:rPr>
                <w:rFonts w:asciiTheme="minorHAnsi" w:eastAsiaTheme="minorEastAsia" w:hAnsiTheme="minorHAnsi" w:cstheme="minorBidi"/>
                <w:bCs w:val="0"/>
                <w:noProof/>
                <w:sz w:val="22"/>
                <w:szCs w:val="22"/>
                <w:lang w:eastAsia="en-GB"/>
              </w:rPr>
              <w:tab/>
            </w:r>
            <w:r w:rsidR="00AA28FD" w:rsidRPr="00D94A73">
              <w:rPr>
                <w:rStyle w:val="Hyperlink"/>
                <w:noProof/>
                <w:lang w:eastAsia="en-GB"/>
              </w:rPr>
              <w:t>Introduction</w:t>
            </w:r>
            <w:r w:rsidR="00AA28FD">
              <w:rPr>
                <w:noProof/>
                <w:webHidden/>
              </w:rPr>
              <w:tab/>
            </w:r>
            <w:r w:rsidR="00AA28FD">
              <w:rPr>
                <w:noProof/>
                <w:webHidden/>
              </w:rPr>
              <w:fldChar w:fldCharType="begin"/>
            </w:r>
            <w:r w:rsidR="00AA28FD">
              <w:rPr>
                <w:noProof/>
                <w:webHidden/>
              </w:rPr>
              <w:instrText xml:space="preserve"> PAGEREF _Toc498495411 \h </w:instrText>
            </w:r>
            <w:r w:rsidR="00AA28FD">
              <w:rPr>
                <w:noProof/>
                <w:webHidden/>
              </w:rPr>
            </w:r>
            <w:r w:rsidR="00AA28FD">
              <w:rPr>
                <w:noProof/>
                <w:webHidden/>
              </w:rPr>
              <w:fldChar w:fldCharType="separate"/>
            </w:r>
            <w:r w:rsidR="00622FF2">
              <w:rPr>
                <w:noProof/>
                <w:webHidden/>
              </w:rPr>
              <w:t>257</w:t>
            </w:r>
            <w:r w:rsidR="00AA28FD">
              <w:rPr>
                <w:noProof/>
                <w:webHidden/>
              </w:rPr>
              <w:fldChar w:fldCharType="end"/>
            </w:r>
          </w:hyperlink>
        </w:p>
        <w:p w14:paraId="44C8659F"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12" w:history="1">
            <w:r w:rsidR="00AA28FD" w:rsidRPr="00D94A73">
              <w:rPr>
                <w:rStyle w:val="Hyperlink"/>
                <w:noProof/>
                <w:lang w:eastAsia="en-GB"/>
              </w:rPr>
              <w:t>9.2</w:t>
            </w:r>
            <w:r w:rsidR="00AA28FD">
              <w:rPr>
                <w:rFonts w:asciiTheme="minorHAnsi" w:eastAsiaTheme="minorEastAsia" w:hAnsiTheme="minorHAnsi" w:cstheme="minorBidi"/>
                <w:bCs w:val="0"/>
                <w:noProof/>
                <w:sz w:val="22"/>
                <w:szCs w:val="22"/>
                <w:lang w:eastAsia="en-GB"/>
              </w:rPr>
              <w:tab/>
            </w:r>
            <w:r w:rsidR="00AA28FD" w:rsidRPr="00D94A73">
              <w:rPr>
                <w:rStyle w:val="Hyperlink"/>
                <w:noProof/>
                <w:lang w:eastAsia="en-GB"/>
              </w:rPr>
              <w:t>Scope</w:t>
            </w:r>
            <w:r w:rsidR="00AA28FD">
              <w:rPr>
                <w:noProof/>
                <w:webHidden/>
              </w:rPr>
              <w:tab/>
            </w:r>
            <w:r w:rsidR="00AA28FD">
              <w:rPr>
                <w:noProof/>
                <w:webHidden/>
              </w:rPr>
              <w:fldChar w:fldCharType="begin"/>
            </w:r>
            <w:r w:rsidR="00AA28FD">
              <w:rPr>
                <w:noProof/>
                <w:webHidden/>
              </w:rPr>
              <w:instrText xml:space="preserve"> PAGEREF _Toc498495412 \h </w:instrText>
            </w:r>
            <w:r w:rsidR="00AA28FD">
              <w:rPr>
                <w:noProof/>
                <w:webHidden/>
              </w:rPr>
            </w:r>
            <w:r w:rsidR="00AA28FD">
              <w:rPr>
                <w:noProof/>
                <w:webHidden/>
              </w:rPr>
              <w:fldChar w:fldCharType="separate"/>
            </w:r>
            <w:r w:rsidR="00622FF2">
              <w:rPr>
                <w:noProof/>
                <w:webHidden/>
              </w:rPr>
              <w:t>257</w:t>
            </w:r>
            <w:r w:rsidR="00AA28FD">
              <w:rPr>
                <w:noProof/>
                <w:webHidden/>
              </w:rPr>
              <w:fldChar w:fldCharType="end"/>
            </w:r>
          </w:hyperlink>
        </w:p>
        <w:p w14:paraId="56EF662B"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13" w:history="1">
            <w:r w:rsidR="00AA28FD" w:rsidRPr="00D94A73">
              <w:rPr>
                <w:rStyle w:val="Hyperlink"/>
                <w:noProof/>
                <w:lang w:eastAsia="en-GB"/>
              </w:rPr>
              <w:t>9.3</w:t>
            </w:r>
            <w:r w:rsidR="00AA28FD">
              <w:rPr>
                <w:rFonts w:asciiTheme="minorHAnsi" w:eastAsiaTheme="minorEastAsia" w:hAnsiTheme="minorHAnsi" w:cstheme="minorBidi"/>
                <w:bCs w:val="0"/>
                <w:noProof/>
                <w:sz w:val="22"/>
                <w:szCs w:val="22"/>
                <w:lang w:eastAsia="en-GB"/>
              </w:rPr>
              <w:tab/>
            </w:r>
            <w:r w:rsidR="00AA28FD" w:rsidRPr="00D94A73">
              <w:rPr>
                <w:rStyle w:val="Hyperlink"/>
                <w:noProof/>
                <w:lang w:eastAsia="en-GB"/>
              </w:rPr>
              <w:t>Timetable for Managing Contracts Coming to an End</w:t>
            </w:r>
            <w:r w:rsidR="00AA28FD">
              <w:rPr>
                <w:noProof/>
                <w:webHidden/>
              </w:rPr>
              <w:tab/>
            </w:r>
            <w:r w:rsidR="00AA28FD">
              <w:rPr>
                <w:noProof/>
                <w:webHidden/>
              </w:rPr>
              <w:fldChar w:fldCharType="begin"/>
            </w:r>
            <w:r w:rsidR="00AA28FD">
              <w:rPr>
                <w:noProof/>
                <w:webHidden/>
              </w:rPr>
              <w:instrText xml:space="preserve"> PAGEREF _Toc498495413 \h </w:instrText>
            </w:r>
            <w:r w:rsidR="00AA28FD">
              <w:rPr>
                <w:noProof/>
                <w:webHidden/>
              </w:rPr>
            </w:r>
            <w:r w:rsidR="00AA28FD">
              <w:rPr>
                <w:noProof/>
                <w:webHidden/>
              </w:rPr>
              <w:fldChar w:fldCharType="separate"/>
            </w:r>
            <w:r w:rsidR="00622FF2">
              <w:rPr>
                <w:noProof/>
                <w:webHidden/>
              </w:rPr>
              <w:t>258</w:t>
            </w:r>
            <w:r w:rsidR="00AA28FD">
              <w:rPr>
                <w:noProof/>
                <w:webHidden/>
              </w:rPr>
              <w:fldChar w:fldCharType="end"/>
            </w:r>
          </w:hyperlink>
        </w:p>
        <w:p w14:paraId="392F5E8E"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14" w:history="1">
            <w:r w:rsidR="00AA28FD" w:rsidRPr="00D94A73">
              <w:rPr>
                <w:rStyle w:val="Hyperlink"/>
                <w:noProof/>
                <w:lang w:eastAsia="en-GB"/>
              </w:rPr>
              <w:t>9.4</w:t>
            </w:r>
            <w:r w:rsidR="00AA28FD">
              <w:rPr>
                <w:rFonts w:asciiTheme="minorHAnsi" w:eastAsiaTheme="minorEastAsia" w:hAnsiTheme="minorHAnsi" w:cstheme="minorBidi"/>
                <w:bCs w:val="0"/>
                <w:noProof/>
                <w:sz w:val="22"/>
                <w:szCs w:val="22"/>
                <w:lang w:eastAsia="en-GB"/>
              </w:rPr>
              <w:tab/>
            </w:r>
            <w:r w:rsidR="00AA28FD" w:rsidRPr="00D94A73">
              <w:rPr>
                <w:rStyle w:val="Hyperlink"/>
                <w:noProof/>
                <w:lang w:eastAsia="en-GB"/>
              </w:rPr>
              <w:t>Summary of Key Stages</w:t>
            </w:r>
            <w:r w:rsidR="00AA28FD">
              <w:rPr>
                <w:noProof/>
                <w:webHidden/>
              </w:rPr>
              <w:tab/>
            </w:r>
            <w:r w:rsidR="00AA28FD">
              <w:rPr>
                <w:noProof/>
                <w:webHidden/>
              </w:rPr>
              <w:fldChar w:fldCharType="begin"/>
            </w:r>
            <w:r w:rsidR="00AA28FD">
              <w:rPr>
                <w:noProof/>
                <w:webHidden/>
              </w:rPr>
              <w:instrText xml:space="preserve"> PAGEREF _Toc498495414 \h </w:instrText>
            </w:r>
            <w:r w:rsidR="00AA28FD">
              <w:rPr>
                <w:noProof/>
                <w:webHidden/>
              </w:rPr>
            </w:r>
            <w:r w:rsidR="00AA28FD">
              <w:rPr>
                <w:noProof/>
                <w:webHidden/>
              </w:rPr>
              <w:fldChar w:fldCharType="separate"/>
            </w:r>
            <w:r w:rsidR="00622FF2">
              <w:rPr>
                <w:noProof/>
                <w:webHidden/>
              </w:rPr>
              <w:t>258</w:t>
            </w:r>
            <w:r w:rsidR="00AA28FD">
              <w:rPr>
                <w:noProof/>
                <w:webHidden/>
              </w:rPr>
              <w:fldChar w:fldCharType="end"/>
            </w:r>
          </w:hyperlink>
        </w:p>
        <w:p w14:paraId="694B4CBE"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15" w:history="1">
            <w:r w:rsidR="00AA28FD" w:rsidRPr="00D94A73">
              <w:rPr>
                <w:rStyle w:val="Hyperlink"/>
                <w:noProof/>
                <w:lang w:eastAsia="en-GB"/>
              </w:rPr>
              <w:t>9.5</w:t>
            </w:r>
            <w:r w:rsidR="00AA28FD">
              <w:rPr>
                <w:rFonts w:asciiTheme="minorHAnsi" w:eastAsiaTheme="minorEastAsia" w:hAnsiTheme="minorHAnsi" w:cstheme="minorBidi"/>
                <w:bCs w:val="0"/>
                <w:noProof/>
                <w:sz w:val="22"/>
                <w:szCs w:val="22"/>
                <w:lang w:eastAsia="en-GB"/>
              </w:rPr>
              <w:tab/>
            </w:r>
            <w:r w:rsidR="00AA28FD" w:rsidRPr="00D94A73">
              <w:rPr>
                <w:rStyle w:val="Hyperlink"/>
                <w:noProof/>
                <w:lang w:eastAsia="en-GB"/>
              </w:rPr>
              <w:t>Stage 1 – 9 – 15 Months before Contract End</w:t>
            </w:r>
            <w:r w:rsidR="00AA28FD">
              <w:rPr>
                <w:noProof/>
                <w:webHidden/>
              </w:rPr>
              <w:tab/>
            </w:r>
            <w:r w:rsidR="00AA28FD">
              <w:rPr>
                <w:noProof/>
                <w:webHidden/>
              </w:rPr>
              <w:fldChar w:fldCharType="begin"/>
            </w:r>
            <w:r w:rsidR="00AA28FD">
              <w:rPr>
                <w:noProof/>
                <w:webHidden/>
              </w:rPr>
              <w:instrText xml:space="preserve"> PAGEREF _Toc498495415 \h </w:instrText>
            </w:r>
            <w:r w:rsidR="00AA28FD">
              <w:rPr>
                <w:noProof/>
                <w:webHidden/>
              </w:rPr>
            </w:r>
            <w:r w:rsidR="00AA28FD">
              <w:rPr>
                <w:noProof/>
                <w:webHidden/>
              </w:rPr>
              <w:fldChar w:fldCharType="separate"/>
            </w:r>
            <w:r w:rsidR="00622FF2">
              <w:rPr>
                <w:noProof/>
                <w:webHidden/>
              </w:rPr>
              <w:t>259</w:t>
            </w:r>
            <w:r w:rsidR="00AA28FD">
              <w:rPr>
                <w:noProof/>
                <w:webHidden/>
              </w:rPr>
              <w:fldChar w:fldCharType="end"/>
            </w:r>
          </w:hyperlink>
        </w:p>
        <w:p w14:paraId="08CC0917"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16" w:history="1">
            <w:r w:rsidR="00AA28FD" w:rsidRPr="00D94A73">
              <w:rPr>
                <w:rStyle w:val="Hyperlink"/>
                <w:noProof/>
                <w:lang w:eastAsia="en-GB"/>
              </w:rPr>
              <w:t>9.6</w:t>
            </w:r>
            <w:r w:rsidR="00AA28FD">
              <w:rPr>
                <w:rFonts w:asciiTheme="minorHAnsi" w:eastAsiaTheme="minorEastAsia" w:hAnsiTheme="minorHAnsi" w:cstheme="minorBidi"/>
                <w:bCs w:val="0"/>
                <w:noProof/>
                <w:sz w:val="22"/>
                <w:szCs w:val="22"/>
                <w:lang w:eastAsia="en-GB"/>
              </w:rPr>
              <w:tab/>
            </w:r>
            <w:r w:rsidR="00AA28FD" w:rsidRPr="00D94A73">
              <w:rPr>
                <w:rStyle w:val="Hyperlink"/>
                <w:noProof/>
                <w:lang w:eastAsia="en-GB"/>
              </w:rPr>
              <w:t>Stage 2 - 12 Months before Contract End</w:t>
            </w:r>
            <w:r w:rsidR="00AA28FD">
              <w:rPr>
                <w:noProof/>
                <w:webHidden/>
              </w:rPr>
              <w:tab/>
            </w:r>
            <w:r w:rsidR="00AA28FD">
              <w:rPr>
                <w:noProof/>
                <w:webHidden/>
              </w:rPr>
              <w:fldChar w:fldCharType="begin"/>
            </w:r>
            <w:r w:rsidR="00AA28FD">
              <w:rPr>
                <w:noProof/>
                <w:webHidden/>
              </w:rPr>
              <w:instrText xml:space="preserve"> PAGEREF _Toc498495416 \h </w:instrText>
            </w:r>
            <w:r w:rsidR="00AA28FD">
              <w:rPr>
                <w:noProof/>
                <w:webHidden/>
              </w:rPr>
            </w:r>
            <w:r w:rsidR="00AA28FD">
              <w:rPr>
                <w:noProof/>
                <w:webHidden/>
              </w:rPr>
              <w:fldChar w:fldCharType="separate"/>
            </w:r>
            <w:r w:rsidR="00622FF2">
              <w:rPr>
                <w:noProof/>
                <w:webHidden/>
              </w:rPr>
              <w:t>261</w:t>
            </w:r>
            <w:r w:rsidR="00AA28FD">
              <w:rPr>
                <w:noProof/>
                <w:webHidden/>
              </w:rPr>
              <w:fldChar w:fldCharType="end"/>
            </w:r>
          </w:hyperlink>
        </w:p>
        <w:p w14:paraId="168578B2"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17" w:history="1">
            <w:r w:rsidR="00AA28FD" w:rsidRPr="00D94A73">
              <w:rPr>
                <w:rStyle w:val="Hyperlink"/>
                <w:noProof/>
                <w:lang w:eastAsia="en-GB"/>
              </w:rPr>
              <w:t>9.7</w:t>
            </w:r>
            <w:r w:rsidR="00AA28FD">
              <w:rPr>
                <w:rFonts w:asciiTheme="minorHAnsi" w:eastAsiaTheme="minorEastAsia" w:hAnsiTheme="minorHAnsi" w:cstheme="minorBidi"/>
                <w:bCs w:val="0"/>
                <w:noProof/>
                <w:sz w:val="22"/>
                <w:szCs w:val="22"/>
                <w:lang w:eastAsia="en-GB"/>
              </w:rPr>
              <w:tab/>
            </w:r>
            <w:r w:rsidR="00AA28FD" w:rsidRPr="00D94A73">
              <w:rPr>
                <w:rStyle w:val="Hyperlink"/>
                <w:noProof/>
                <w:lang w:eastAsia="en-GB"/>
              </w:rPr>
              <w:t>Stage 3 – At Contract End</w:t>
            </w:r>
            <w:r w:rsidR="00AA28FD">
              <w:rPr>
                <w:noProof/>
                <w:webHidden/>
              </w:rPr>
              <w:tab/>
            </w:r>
            <w:r w:rsidR="00AA28FD">
              <w:rPr>
                <w:noProof/>
                <w:webHidden/>
              </w:rPr>
              <w:fldChar w:fldCharType="begin"/>
            </w:r>
            <w:r w:rsidR="00AA28FD">
              <w:rPr>
                <w:noProof/>
                <w:webHidden/>
              </w:rPr>
              <w:instrText xml:space="preserve"> PAGEREF _Toc498495417 \h </w:instrText>
            </w:r>
            <w:r w:rsidR="00AA28FD">
              <w:rPr>
                <w:noProof/>
                <w:webHidden/>
              </w:rPr>
            </w:r>
            <w:r w:rsidR="00AA28FD">
              <w:rPr>
                <w:noProof/>
                <w:webHidden/>
              </w:rPr>
              <w:fldChar w:fldCharType="separate"/>
            </w:r>
            <w:r w:rsidR="00622FF2">
              <w:rPr>
                <w:noProof/>
                <w:webHidden/>
              </w:rPr>
              <w:t>262</w:t>
            </w:r>
            <w:r w:rsidR="00AA28FD">
              <w:rPr>
                <w:noProof/>
                <w:webHidden/>
              </w:rPr>
              <w:fldChar w:fldCharType="end"/>
            </w:r>
          </w:hyperlink>
        </w:p>
        <w:p w14:paraId="19740721" w14:textId="77777777" w:rsidR="00AA28FD" w:rsidRDefault="000E7846">
          <w:pPr>
            <w:pStyle w:val="TOC1"/>
            <w:rPr>
              <w:rFonts w:asciiTheme="minorHAnsi" w:eastAsiaTheme="minorEastAsia" w:hAnsiTheme="minorHAnsi" w:cstheme="minorBidi"/>
              <w:bCs w:val="0"/>
              <w:color w:val="auto"/>
              <w:sz w:val="22"/>
              <w:szCs w:val="22"/>
              <w:lang w:eastAsia="en-GB"/>
            </w:rPr>
          </w:pPr>
          <w:hyperlink w:anchor="_Toc498495418" w:history="1">
            <w:r w:rsidR="00AA28FD" w:rsidRPr="00D94A73">
              <w:rPr>
                <w:rStyle w:val="Hyperlink"/>
              </w:rPr>
              <w:t>10</w:t>
            </w:r>
            <w:r w:rsidR="00AA28FD">
              <w:rPr>
                <w:rFonts w:asciiTheme="minorHAnsi" w:eastAsiaTheme="minorEastAsia" w:hAnsiTheme="minorHAnsi" w:cstheme="minorBidi"/>
                <w:bCs w:val="0"/>
                <w:color w:val="auto"/>
                <w:sz w:val="22"/>
                <w:szCs w:val="22"/>
                <w:lang w:eastAsia="en-GB"/>
              </w:rPr>
              <w:tab/>
            </w:r>
            <w:r w:rsidR="00AA28FD" w:rsidRPr="00D94A73">
              <w:rPr>
                <w:rStyle w:val="Hyperlink"/>
              </w:rPr>
              <w:t>Discretionary Payments (made under Section 96</w:t>
            </w:r>
            <w:r w:rsidR="00AA28FD">
              <w:rPr>
                <w:webHidden/>
              </w:rPr>
              <w:tab/>
            </w:r>
            <w:r w:rsidR="00AA28FD">
              <w:rPr>
                <w:webHidden/>
              </w:rPr>
              <w:fldChar w:fldCharType="begin"/>
            </w:r>
            <w:r w:rsidR="00AA28FD">
              <w:rPr>
                <w:webHidden/>
              </w:rPr>
              <w:instrText xml:space="preserve"> PAGEREF _Toc498495418 \h </w:instrText>
            </w:r>
            <w:r w:rsidR="00AA28FD">
              <w:rPr>
                <w:webHidden/>
              </w:rPr>
            </w:r>
            <w:r w:rsidR="00AA28FD">
              <w:rPr>
                <w:webHidden/>
              </w:rPr>
              <w:fldChar w:fldCharType="separate"/>
            </w:r>
            <w:r w:rsidR="00622FF2">
              <w:rPr>
                <w:webHidden/>
              </w:rPr>
              <w:t>265</w:t>
            </w:r>
            <w:r w:rsidR="00AA28FD">
              <w:rPr>
                <w:webHidden/>
              </w:rPr>
              <w:fldChar w:fldCharType="end"/>
            </w:r>
          </w:hyperlink>
        </w:p>
        <w:p w14:paraId="134234E3"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19" w:history="1">
            <w:r w:rsidR="00AA28FD" w:rsidRPr="00D94A73">
              <w:rPr>
                <w:rStyle w:val="Hyperlink"/>
                <w:noProof/>
              </w:rPr>
              <w:t>10.1</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Introduction</w:t>
            </w:r>
            <w:r w:rsidR="00AA28FD">
              <w:rPr>
                <w:noProof/>
                <w:webHidden/>
              </w:rPr>
              <w:tab/>
            </w:r>
            <w:r w:rsidR="00AA28FD">
              <w:rPr>
                <w:noProof/>
                <w:webHidden/>
              </w:rPr>
              <w:fldChar w:fldCharType="begin"/>
            </w:r>
            <w:r w:rsidR="00AA28FD">
              <w:rPr>
                <w:noProof/>
                <w:webHidden/>
              </w:rPr>
              <w:instrText xml:space="preserve"> PAGEREF _Toc498495419 \h </w:instrText>
            </w:r>
            <w:r w:rsidR="00AA28FD">
              <w:rPr>
                <w:noProof/>
                <w:webHidden/>
              </w:rPr>
            </w:r>
            <w:r w:rsidR="00AA28FD">
              <w:rPr>
                <w:noProof/>
                <w:webHidden/>
              </w:rPr>
              <w:fldChar w:fldCharType="separate"/>
            </w:r>
            <w:r w:rsidR="00622FF2">
              <w:rPr>
                <w:noProof/>
                <w:webHidden/>
              </w:rPr>
              <w:t>265</w:t>
            </w:r>
            <w:r w:rsidR="00AA28FD">
              <w:rPr>
                <w:noProof/>
                <w:webHidden/>
              </w:rPr>
              <w:fldChar w:fldCharType="end"/>
            </w:r>
          </w:hyperlink>
        </w:p>
        <w:p w14:paraId="6DF3AF45"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20" w:history="1">
            <w:r w:rsidR="00AA28FD" w:rsidRPr="00D94A73">
              <w:rPr>
                <w:rStyle w:val="Hyperlink"/>
                <w:noProof/>
              </w:rPr>
              <w:t>10.2</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Key Principles</w:t>
            </w:r>
            <w:r w:rsidR="00AA28FD">
              <w:rPr>
                <w:noProof/>
                <w:webHidden/>
              </w:rPr>
              <w:tab/>
            </w:r>
            <w:r w:rsidR="00AA28FD">
              <w:rPr>
                <w:noProof/>
                <w:webHidden/>
              </w:rPr>
              <w:fldChar w:fldCharType="begin"/>
            </w:r>
            <w:r w:rsidR="00AA28FD">
              <w:rPr>
                <w:noProof/>
                <w:webHidden/>
              </w:rPr>
              <w:instrText xml:space="preserve"> PAGEREF _Toc498495420 \h </w:instrText>
            </w:r>
            <w:r w:rsidR="00AA28FD">
              <w:rPr>
                <w:noProof/>
                <w:webHidden/>
              </w:rPr>
            </w:r>
            <w:r w:rsidR="00AA28FD">
              <w:rPr>
                <w:noProof/>
                <w:webHidden/>
              </w:rPr>
              <w:fldChar w:fldCharType="separate"/>
            </w:r>
            <w:r w:rsidR="00622FF2">
              <w:rPr>
                <w:noProof/>
                <w:webHidden/>
              </w:rPr>
              <w:t>267</w:t>
            </w:r>
            <w:r w:rsidR="00AA28FD">
              <w:rPr>
                <w:noProof/>
                <w:webHidden/>
              </w:rPr>
              <w:fldChar w:fldCharType="end"/>
            </w:r>
          </w:hyperlink>
        </w:p>
        <w:p w14:paraId="3897DCDB"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21" w:history="1">
            <w:r w:rsidR="00AA28FD" w:rsidRPr="00D94A73">
              <w:rPr>
                <w:rStyle w:val="Hyperlink"/>
                <w:noProof/>
              </w:rPr>
              <w:t>10.3</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Programme and Non Programme Financial Assistance</w:t>
            </w:r>
            <w:r w:rsidR="00AA28FD">
              <w:rPr>
                <w:noProof/>
                <w:webHidden/>
              </w:rPr>
              <w:tab/>
            </w:r>
            <w:r w:rsidR="00AA28FD">
              <w:rPr>
                <w:noProof/>
                <w:webHidden/>
              </w:rPr>
              <w:fldChar w:fldCharType="begin"/>
            </w:r>
            <w:r w:rsidR="00AA28FD">
              <w:rPr>
                <w:noProof/>
                <w:webHidden/>
              </w:rPr>
              <w:instrText xml:space="preserve"> PAGEREF _Toc498495421 \h </w:instrText>
            </w:r>
            <w:r w:rsidR="00AA28FD">
              <w:rPr>
                <w:noProof/>
                <w:webHidden/>
              </w:rPr>
            </w:r>
            <w:r w:rsidR="00AA28FD">
              <w:rPr>
                <w:noProof/>
                <w:webHidden/>
              </w:rPr>
              <w:fldChar w:fldCharType="separate"/>
            </w:r>
            <w:r w:rsidR="00622FF2">
              <w:rPr>
                <w:noProof/>
                <w:webHidden/>
              </w:rPr>
              <w:t>267</w:t>
            </w:r>
            <w:r w:rsidR="00AA28FD">
              <w:rPr>
                <w:noProof/>
                <w:webHidden/>
              </w:rPr>
              <w:fldChar w:fldCharType="end"/>
            </w:r>
          </w:hyperlink>
        </w:p>
        <w:p w14:paraId="3500A1E3"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22" w:history="1">
            <w:r w:rsidR="00AA28FD" w:rsidRPr="00D94A73">
              <w:rPr>
                <w:rStyle w:val="Hyperlink"/>
                <w:noProof/>
              </w:rPr>
              <w:t>10.4</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Process for Financial Assistance for individual Provider Financial Assistance</w:t>
            </w:r>
            <w:r w:rsidR="00AA28FD">
              <w:rPr>
                <w:noProof/>
                <w:webHidden/>
              </w:rPr>
              <w:tab/>
            </w:r>
            <w:r w:rsidR="00AA28FD">
              <w:rPr>
                <w:noProof/>
                <w:webHidden/>
              </w:rPr>
              <w:fldChar w:fldCharType="begin"/>
            </w:r>
            <w:r w:rsidR="00AA28FD">
              <w:rPr>
                <w:noProof/>
                <w:webHidden/>
              </w:rPr>
              <w:instrText xml:space="preserve"> PAGEREF _Toc498495422 \h </w:instrText>
            </w:r>
            <w:r w:rsidR="00AA28FD">
              <w:rPr>
                <w:noProof/>
                <w:webHidden/>
              </w:rPr>
            </w:r>
            <w:r w:rsidR="00AA28FD">
              <w:rPr>
                <w:noProof/>
                <w:webHidden/>
              </w:rPr>
              <w:fldChar w:fldCharType="separate"/>
            </w:r>
            <w:r w:rsidR="00622FF2">
              <w:rPr>
                <w:noProof/>
                <w:webHidden/>
              </w:rPr>
              <w:t>269</w:t>
            </w:r>
            <w:r w:rsidR="00AA28FD">
              <w:rPr>
                <w:noProof/>
                <w:webHidden/>
              </w:rPr>
              <w:fldChar w:fldCharType="end"/>
            </w:r>
          </w:hyperlink>
        </w:p>
        <w:p w14:paraId="744F639E"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23" w:history="1">
            <w:r w:rsidR="00AA28FD" w:rsidRPr="00D94A73">
              <w:rPr>
                <w:rStyle w:val="Hyperlink"/>
                <w:noProof/>
              </w:rPr>
              <w:t>10.5</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Process for CCG and NHS England Proposed Financial Assistance Programmes</w:t>
            </w:r>
            <w:r w:rsidR="00AA28FD">
              <w:rPr>
                <w:noProof/>
                <w:webHidden/>
              </w:rPr>
              <w:tab/>
            </w:r>
            <w:r w:rsidR="00AA28FD">
              <w:rPr>
                <w:noProof/>
                <w:webHidden/>
              </w:rPr>
              <w:fldChar w:fldCharType="begin"/>
            </w:r>
            <w:r w:rsidR="00AA28FD">
              <w:rPr>
                <w:noProof/>
                <w:webHidden/>
              </w:rPr>
              <w:instrText xml:space="preserve"> PAGEREF _Toc498495423 \h </w:instrText>
            </w:r>
            <w:r w:rsidR="00AA28FD">
              <w:rPr>
                <w:noProof/>
                <w:webHidden/>
              </w:rPr>
            </w:r>
            <w:r w:rsidR="00AA28FD">
              <w:rPr>
                <w:noProof/>
                <w:webHidden/>
              </w:rPr>
              <w:fldChar w:fldCharType="separate"/>
            </w:r>
            <w:r w:rsidR="00622FF2">
              <w:rPr>
                <w:noProof/>
                <w:webHidden/>
              </w:rPr>
              <w:t>272</w:t>
            </w:r>
            <w:r w:rsidR="00AA28FD">
              <w:rPr>
                <w:noProof/>
                <w:webHidden/>
              </w:rPr>
              <w:fldChar w:fldCharType="end"/>
            </w:r>
          </w:hyperlink>
        </w:p>
        <w:p w14:paraId="24ADA2A8"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24" w:history="1">
            <w:r w:rsidR="00AA28FD" w:rsidRPr="00D94A73">
              <w:rPr>
                <w:rStyle w:val="Hyperlink"/>
                <w:noProof/>
              </w:rPr>
              <w:t>10.6</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Authorisations and Sign Off</w:t>
            </w:r>
            <w:r w:rsidR="00AA28FD">
              <w:rPr>
                <w:noProof/>
                <w:webHidden/>
              </w:rPr>
              <w:tab/>
            </w:r>
            <w:r w:rsidR="00AA28FD">
              <w:rPr>
                <w:noProof/>
                <w:webHidden/>
              </w:rPr>
              <w:fldChar w:fldCharType="begin"/>
            </w:r>
            <w:r w:rsidR="00AA28FD">
              <w:rPr>
                <w:noProof/>
                <w:webHidden/>
              </w:rPr>
              <w:instrText xml:space="preserve"> PAGEREF _Toc498495424 \h </w:instrText>
            </w:r>
            <w:r w:rsidR="00AA28FD">
              <w:rPr>
                <w:noProof/>
                <w:webHidden/>
              </w:rPr>
            </w:r>
            <w:r w:rsidR="00AA28FD">
              <w:rPr>
                <w:noProof/>
                <w:webHidden/>
              </w:rPr>
              <w:fldChar w:fldCharType="separate"/>
            </w:r>
            <w:r w:rsidR="00622FF2">
              <w:rPr>
                <w:noProof/>
                <w:webHidden/>
              </w:rPr>
              <w:t>273</w:t>
            </w:r>
            <w:r w:rsidR="00AA28FD">
              <w:rPr>
                <w:noProof/>
                <w:webHidden/>
              </w:rPr>
              <w:fldChar w:fldCharType="end"/>
            </w:r>
          </w:hyperlink>
        </w:p>
        <w:p w14:paraId="3445BD0E"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25" w:history="1">
            <w:r w:rsidR="00AA28FD" w:rsidRPr="00D94A73">
              <w:rPr>
                <w:rStyle w:val="Hyperlink"/>
                <w:noProof/>
              </w:rPr>
              <w:t>10.7</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Reporting</w:t>
            </w:r>
            <w:r w:rsidR="00AA28FD">
              <w:rPr>
                <w:noProof/>
                <w:webHidden/>
              </w:rPr>
              <w:tab/>
            </w:r>
            <w:r w:rsidR="00AA28FD">
              <w:rPr>
                <w:noProof/>
                <w:webHidden/>
              </w:rPr>
              <w:fldChar w:fldCharType="begin"/>
            </w:r>
            <w:r w:rsidR="00AA28FD">
              <w:rPr>
                <w:noProof/>
                <w:webHidden/>
              </w:rPr>
              <w:instrText xml:space="preserve"> PAGEREF _Toc498495425 \h </w:instrText>
            </w:r>
            <w:r w:rsidR="00AA28FD">
              <w:rPr>
                <w:noProof/>
                <w:webHidden/>
              </w:rPr>
            </w:r>
            <w:r w:rsidR="00AA28FD">
              <w:rPr>
                <w:noProof/>
                <w:webHidden/>
              </w:rPr>
              <w:fldChar w:fldCharType="separate"/>
            </w:r>
            <w:r w:rsidR="00622FF2">
              <w:rPr>
                <w:noProof/>
                <w:webHidden/>
              </w:rPr>
              <w:t>274</w:t>
            </w:r>
            <w:r w:rsidR="00AA28FD">
              <w:rPr>
                <w:noProof/>
                <w:webHidden/>
              </w:rPr>
              <w:fldChar w:fldCharType="end"/>
            </w:r>
          </w:hyperlink>
        </w:p>
        <w:p w14:paraId="72729A80"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26" w:history="1">
            <w:r w:rsidR="00AA28FD" w:rsidRPr="00D94A73">
              <w:rPr>
                <w:rStyle w:val="Hyperlink"/>
                <w:noProof/>
              </w:rPr>
              <w:t>10.8</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Maintaining Records</w:t>
            </w:r>
            <w:r w:rsidR="00AA28FD">
              <w:rPr>
                <w:noProof/>
                <w:webHidden/>
              </w:rPr>
              <w:tab/>
            </w:r>
            <w:r w:rsidR="00AA28FD">
              <w:rPr>
                <w:noProof/>
                <w:webHidden/>
              </w:rPr>
              <w:fldChar w:fldCharType="begin"/>
            </w:r>
            <w:r w:rsidR="00AA28FD">
              <w:rPr>
                <w:noProof/>
                <w:webHidden/>
              </w:rPr>
              <w:instrText xml:space="preserve"> PAGEREF _Toc498495426 \h </w:instrText>
            </w:r>
            <w:r w:rsidR="00AA28FD">
              <w:rPr>
                <w:noProof/>
                <w:webHidden/>
              </w:rPr>
            </w:r>
            <w:r w:rsidR="00AA28FD">
              <w:rPr>
                <w:noProof/>
                <w:webHidden/>
              </w:rPr>
              <w:fldChar w:fldCharType="separate"/>
            </w:r>
            <w:r w:rsidR="00622FF2">
              <w:rPr>
                <w:noProof/>
                <w:webHidden/>
              </w:rPr>
              <w:t>275</w:t>
            </w:r>
            <w:r w:rsidR="00AA28FD">
              <w:rPr>
                <w:noProof/>
                <w:webHidden/>
              </w:rPr>
              <w:fldChar w:fldCharType="end"/>
            </w:r>
          </w:hyperlink>
        </w:p>
        <w:p w14:paraId="319E073A"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27" w:history="1">
            <w:r w:rsidR="00AA28FD" w:rsidRPr="00D94A73">
              <w:rPr>
                <w:rStyle w:val="Hyperlink"/>
                <w:noProof/>
              </w:rPr>
              <w:t>10.9</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Addendums</w:t>
            </w:r>
            <w:r w:rsidR="00AA28FD">
              <w:rPr>
                <w:noProof/>
                <w:webHidden/>
              </w:rPr>
              <w:tab/>
            </w:r>
            <w:r w:rsidR="00AA28FD">
              <w:rPr>
                <w:noProof/>
                <w:webHidden/>
              </w:rPr>
              <w:fldChar w:fldCharType="begin"/>
            </w:r>
            <w:r w:rsidR="00AA28FD">
              <w:rPr>
                <w:noProof/>
                <w:webHidden/>
              </w:rPr>
              <w:instrText xml:space="preserve"> PAGEREF _Toc498495427 \h </w:instrText>
            </w:r>
            <w:r w:rsidR="00AA28FD">
              <w:rPr>
                <w:noProof/>
                <w:webHidden/>
              </w:rPr>
            </w:r>
            <w:r w:rsidR="00AA28FD">
              <w:rPr>
                <w:noProof/>
                <w:webHidden/>
              </w:rPr>
              <w:fldChar w:fldCharType="separate"/>
            </w:r>
            <w:r w:rsidR="00622FF2">
              <w:rPr>
                <w:noProof/>
                <w:webHidden/>
              </w:rPr>
              <w:t>276</w:t>
            </w:r>
            <w:r w:rsidR="00AA28FD">
              <w:rPr>
                <w:noProof/>
                <w:webHidden/>
              </w:rPr>
              <w:fldChar w:fldCharType="end"/>
            </w:r>
          </w:hyperlink>
        </w:p>
        <w:p w14:paraId="1688171C" w14:textId="77777777" w:rsidR="00AA28FD" w:rsidRDefault="000E7846">
          <w:pPr>
            <w:pStyle w:val="TOC1"/>
            <w:rPr>
              <w:rFonts w:asciiTheme="minorHAnsi" w:eastAsiaTheme="minorEastAsia" w:hAnsiTheme="minorHAnsi" w:cstheme="minorBidi"/>
              <w:bCs w:val="0"/>
              <w:color w:val="auto"/>
              <w:sz w:val="22"/>
              <w:szCs w:val="22"/>
              <w:lang w:eastAsia="en-GB"/>
            </w:rPr>
          </w:pPr>
          <w:hyperlink w:anchor="_Toc498495428" w:history="1">
            <w:r w:rsidR="00AA28FD" w:rsidRPr="00D94A73">
              <w:rPr>
                <w:rStyle w:val="Hyperlink"/>
                <w:lang w:eastAsia="en-GB"/>
              </w:rPr>
              <w:t>Part C – When things go wrong</w:t>
            </w:r>
            <w:r w:rsidR="00AA28FD">
              <w:rPr>
                <w:webHidden/>
              </w:rPr>
              <w:tab/>
            </w:r>
            <w:r w:rsidR="00AA28FD">
              <w:rPr>
                <w:webHidden/>
              </w:rPr>
              <w:fldChar w:fldCharType="begin"/>
            </w:r>
            <w:r w:rsidR="00AA28FD">
              <w:rPr>
                <w:webHidden/>
              </w:rPr>
              <w:instrText xml:space="preserve"> PAGEREF _Toc498495428 \h </w:instrText>
            </w:r>
            <w:r w:rsidR="00AA28FD">
              <w:rPr>
                <w:webHidden/>
              </w:rPr>
            </w:r>
            <w:r w:rsidR="00AA28FD">
              <w:rPr>
                <w:webHidden/>
              </w:rPr>
              <w:fldChar w:fldCharType="separate"/>
            </w:r>
            <w:r w:rsidR="00622FF2">
              <w:rPr>
                <w:webHidden/>
              </w:rPr>
              <w:t>285</w:t>
            </w:r>
            <w:r w:rsidR="00AA28FD">
              <w:rPr>
                <w:webHidden/>
              </w:rPr>
              <w:fldChar w:fldCharType="end"/>
            </w:r>
          </w:hyperlink>
        </w:p>
        <w:p w14:paraId="7DEB5B3E" w14:textId="77777777" w:rsidR="00AA28FD" w:rsidRDefault="000E7846">
          <w:pPr>
            <w:pStyle w:val="TOC1"/>
            <w:rPr>
              <w:rFonts w:asciiTheme="minorHAnsi" w:eastAsiaTheme="minorEastAsia" w:hAnsiTheme="minorHAnsi" w:cstheme="minorBidi"/>
              <w:bCs w:val="0"/>
              <w:color w:val="auto"/>
              <w:sz w:val="22"/>
              <w:szCs w:val="22"/>
              <w:lang w:eastAsia="en-GB"/>
            </w:rPr>
          </w:pPr>
          <w:hyperlink w:anchor="_Toc498495429" w:history="1">
            <w:r w:rsidR="00AA28FD" w:rsidRPr="00D94A73">
              <w:rPr>
                <w:rStyle w:val="Hyperlink"/>
                <w:lang w:eastAsia="en-GB"/>
              </w:rPr>
              <w:t>1</w:t>
            </w:r>
            <w:r w:rsidR="00AA28FD">
              <w:rPr>
                <w:rFonts w:asciiTheme="minorHAnsi" w:eastAsiaTheme="minorEastAsia" w:hAnsiTheme="minorHAnsi" w:cstheme="minorBidi"/>
                <w:bCs w:val="0"/>
                <w:color w:val="auto"/>
                <w:sz w:val="22"/>
                <w:szCs w:val="22"/>
                <w:lang w:eastAsia="en-GB"/>
              </w:rPr>
              <w:tab/>
            </w:r>
            <w:r w:rsidR="00AA28FD" w:rsidRPr="00D94A73">
              <w:rPr>
                <w:rStyle w:val="Hyperlink"/>
                <w:lang w:eastAsia="en-GB"/>
              </w:rPr>
              <w:t>Contract Breaches, Sanctions and Terminations</w:t>
            </w:r>
            <w:r w:rsidR="00AA28FD">
              <w:rPr>
                <w:webHidden/>
              </w:rPr>
              <w:tab/>
            </w:r>
            <w:r w:rsidR="00AA28FD">
              <w:rPr>
                <w:webHidden/>
              </w:rPr>
              <w:fldChar w:fldCharType="begin"/>
            </w:r>
            <w:r w:rsidR="00AA28FD">
              <w:rPr>
                <w:webHidden/>
              </w:rPr>
              <w:instrText xml:space="preserve"> PAGEREF _Toc498495429 \h </w:instrText>
            </w:r>
            <w:r w:rsidR="00AA28FD">
              <w:rPr>
                <w:webHidden/>
              </w:rPr>
            </w:r>
            <w:r w:rsidR="00AA28FD">
              <w:rPr>
                <w:webHidden/>
              </w:rPr>
              <w:fldChar w:fldCharType="separate"/>
            </w:r>
            <w:r w:rsidR="00622FF2">
              <w:rPr>
                <w:webHidden/>
              </w:rPr>
              <w:t>286</w:t>
            </w:r>
            <w:r w:rsidR="00AA28FD">
              <w:rPr>
                <w:webHidden/>
              </w:rPr>
              <w:fldChar w:fldCharType="end"/>
            </w:r>
          </w:hyperlink>
        </w:p>
        <w:p w14:paraId="49186411"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30" w:history="1">
            <w:r w:rsidR="00AA28FD" w:rsidRPr="00D94A73">
              <w:rPr>
                <w:rStyle w:val="Hyperlink"/>
                <w:noProof/>
              </w:rPr>
              <w:t>1.1</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Introduction</w:t>
            </w:r>
            <w:r w:rsidR="00AA28FD">
              <w:rPr>
                <w:noProof/>
                <w:webHidden/>
              </w:rPr>
              <w:tab/>
            </w:r>
            <w:r w:rsidR="00AA28FD">
              <w:rPr>
                <w:noProof/>
                <w:webHidden/>
              </w:rPr>
              <w:fldChar w:fldCharType="begin"/>
            </w:r>
            <w:r w:rsidR="00AA28FD">
              <w:rPr>
                <w:noProof/>
                <w:webHidden/>
              </w:rPr>
              <w:instrText xml:space="preserve"> PAGEREF _Toc498495430 \h </w:instrText>
            </w:r>
            <w:r w:rsidR="00AA28FD">
              <w:rPr>
                <w:noProof/>
                <w:webHidden/>
              </w:rPr>
            </w:r>
            <w:r w:rsidR="00AA28FD">
              <w:rPr>
                <w:noProof/>
                <w:webHidden/>
              </w:rPr>
              <w:fldChar w:fldCharType="separate"/>
            </w:r>
            <w:r w:rsidR="00622FF2">
              <w:rPr>
                <w:noProof/>
                <w:webHidden/>
              </w:rPr>
              <w:t>286</w:t>
            </w:r>
            <w:r w:rsidR="00AA28FD">
              <w:rPr>
                <w:noProof/>
                <w:webHidden/>
              </w:rPr>
              <w:fldChar w:fldCharType="end"/>
            </w:r>
          </w:hyperlink>
        </w:p>
        <w:p w14:paraId="47C3B478"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31" w:history="1">
            <w:r w:rsidR="00AA28FD" w:rsidRPr="00D94A73">
              <w:rPr>
                <w:rStyle w:val="Hyperlink"/>
                <w:noProof/>
              </w:rPr>
              <w:t>1.2</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Contract Breaches</w:t>
            </w:r>
            <w:r w:rsidR="00AA28FD">
              <w:rPr>
                <w:noProof/>
                <w:webHidden/>
              </w:rPr>
              <w:tab/>
            </w:r>
            <w:r w:rsidR="00AA28FD">
              <w:rPr>
                <w:noProof/>
                <w:webHidden/>
              </w:rPr>
              <w:fldChar w:fldCharType="begin"/>
            </w:r>
            <w:r w:rsidR="00AA28FD">
              <w:rPr>
                <w:noProof/>
                <w:webHidden/>
              </w:rPr>
              <w:instrText xml:space="preserve"> PAGEREF _Toc498495431 \h </w:instrText>
            </w:r>
            <w:r w:rsidR="00AA28FD">
              <w:rPr>
                <w:noProof/>
                <w:webHidden/>
              </w:rPr>
            </w:r>
            <w:r w:rsidR="00AA28FD">
              <w:rPr>
                <w:noProof/>
                <w:webHidden/>
              </w:rPr>
              <w:fldChar w:fldCharType="separate"/>
            </w:r>
            <w:r w:rsidR="00622FF2">
              <w:rPr>
                <w:noProof/>
                <w:webHidden/>
              </w:rPr>
              <w:t>286</w:t>
            </w:r>
            <w:r w:rsidR="00AA28FD">
              <w:rPr>
                <w:noProof/>
                <w:webHidden/>
              </w:rPr>
              <w:fldChar w:fldCharType="end"/>
            </w:r>
          </w:hyperlink>
        </w:p>
        <w:p w14:paraId="39EF46B2"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32" w:history="1">
            <w:r w:rsidR="00AA28FD" w:rsidRPr="00D94A73">
              <w:rPr>
                <w:rStyle w:val="Hyperlink"/>
                <w:noProof/>
              </w:rPr>
              <w:t>1.3</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Remedial Notices and Breach Notices</w:t>
            </w:r>
            <w:r w:rsidR="00AA28FD">
              <w:rPr>
                <w:noProof/>
                <w:webHidden/>
              </w:rPr>
              <w:tab/>
            </w:r>
            <w:r w:rsidR="00AA28FD">
              <w:rPr>
                <w:noProof/>
                <w:webHidden/>
              </w:rPr>
              <w:fldChar w:fldCharType="begin"/>
            </w:r>
            <w:r w:rsidR="00AA28FD">
              <w:rPr>
                <w:noProof/>
                <w:webHidden/>
              </w:rPr>
              <w:instrText xml:space="preserve"> PAGEREF _Toc498495432 \h </w:instrText>
            </w:r>
            <w:r w:rsidR="00AA28FD">
              <w:rPr>
                <w:noProof/>
                <w:webHidden/>
              </w:rPr>
            </w:r>
            <w:r w:rsidR="00AA28FD">
              <w:rPr>
                <w:noProof/>
                <w:webHidden/>
              </w:rPr>
              <w:fldChar w:fldCharType="separate"/>
            </w:r>
            <w:r w:rsidR="00622FF2">
              <w:rPr>
                <w:noProof/>
                <w:webHidden/>
              </w:rPr>
              <w:t>287</w:t>
            </w:r>
            <w:r w:rsidR="00AA28FD">
              <w:rPr>
                <w:noProof/>
                <w:webHidden/>
              </w:rPr>
              <w:fldChar w:fldCharType="end"/>
            </w:r>
          </w:hyperlink>
        </w:p>
        <w:p w14:paraId="2B77F21B"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33" w:history="1">
            <w:r w:rsidR="00AA28FD" w:rsidRPr="00D94A73">
              <w:rPr>
                <w:rStyle w:val="Hyperlink"/>
                <w:noProof/>
              </w:rPr>
              <w:t>1.4</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Contract sanctions</w:t>
            </w:r>
            <w:r w:rsidR="00AA28FD">
              <w:rPr>
                <w:noProof/>
                <w:webHidden/>
              </w:rPr>
              <w:tab/>
            </w:r>
            <w:r w:rsidR="00AA28FD">
              <w:rPr>
                <w:noProof/>
                <w:webHidden/>
              </w:rPr>
              <w:fldChar w:fldCharType="begin"/>
            </w:r>
            <w:r w:rsidR="00AA28FD">
              <w:rPr>
                <w:noProof/>
                <w:webHidden/>
              </w:rPr>
              <w:instrText xml:space="preserve"> PAGEREF _Toc498495433 \h </w:instrText>
            </w:r>
            <w:r w:rsidR="00AA28FD">
              <w:rPr>
                <w:noProof/>
                <w:webHidden/>
              </w:rPr>
            </w:r>
            <w:r w:rsidR="00AA28FD">
              <w:rPr>
                <w:noProof/>
                <w:webHidden/>
              </w:rPr>
              <w:fldChar w:fldCharType="separate"/>
            </w:r>
            <w:r w:rsidR="00622FF2">
              <w:rPr>
                <w:noProof/>
                <w:webHidden/>
              </w:rPr>
              <w:t>293</w:t>
            </w:r>
            <w:r w:rsidR="00AA28FD">
              <w:rPr>
                <w:noProof/>
                <w:webHidden/>
              </w:rPr>
              <w:fldChar w:fldCharType="end"/>
            </w:r>
          </w:hyperlink>
        </w:p>
        <w:p w14:paraId="338FCEAD"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34" w:history="1">
            <w:r w:rsidR="00AA28FD" w:rsidRPr="00D94A73">
              <w:rPr>
                <w:rStyle w:val="Hyperlink"/>
                <w:noProof/>
              </w:rPr>
              <w:t>1.5</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Termination</w:t>
            </w:r>
            <w:r w:rsidR="00AA28FD">
              <w:rPr>
                <w:noProof/>
                <w:webHidden/>
              </w:rPr>
              <w:tab/>
            </w:r>
            <w:r w:rsidR="00AA28FD">
              <w:rPr>
                <w:noProof/>
                <w:webHidden/>
              </w:rPr>
              <w:fldChar w:fldCharType="begin"/>
            </w:r>
            <w:r w:rsidR="00AA28FD">
              <w:rPr>
                <w:noProof/>
                <w:webHidden/>
              </w:rPr>
              <w:instrText xml:space="preserve"> PAGEREF _Toc498495434 \h </w:instrText>
            </w:r>
            <w:r w:rsidR="00AA28FD">
              <w:rPr>
                <w:noProof/>
                <w:webHidden/>
              </w:rPr>
            </w:r>
            <w:r w:rsidR="00AA28FD">
              <w:rPr>
                <w:noProof/>
                <w:webHidden/>
              </w:rPr>
              <w:fldChar w:fldCharType="separate"/>
            </w:r>
            <w:r w:rsidR="00622FF2">
              <w:rPr>
                <w:noProof/>
                <w:webHidden/>
              </w:rPr>
              <w:t>296</w:t>
            </w:r>
            <w:r w:rsidR="00AA28FD">
              <w:rPr>
                <w:noProof/>
                <w:webHidden/>
              </w:rPr>
              <w:fldChar w:fldCharType="end"/>
            </w:r>
          </w:hyperlink>
        </w:p>
        <w:p w14:paraId="2EF886A9"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35" w:history="1">
            <w:r w:rsidR="00AA28FD" w:rsidRPr="00D94A73">
              <w:rPr>
                <w:rStyle w:val="Hyperlink"/>
                <w:noProof/>
              </w:rPr>
              <w:t>1.6</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Key Considerations on Termination</w:t>
            </w:r>
            <w:r w:rsidR="00AA28FD">
              <w:rPr>
                <w:noProof/>
                <w:webHidden/>
              </w:rPr>
              <w:tab/>
            </w:r>
            <w:r w:rsidR="00AA28FD">
              <w:rPr>
                <w:noProof/>
                <w:webHidden/>
              </w:rPr>
              <w:fldChar w:fldCharType="begin"/>
            </w:r>
            <w:r w:rsidR="00AA28FD">
              <w:rPr>
                <w:noProof/>
                <w:webHidden/>
              </w:rPr>
              <w:instrText xml:space="preserve"> PAGEREF _Toc498495435 \h </w:instrText>
            </w:r>
            <w:r w:rsidR="00AA28FD">
              <w:rPr>
                <w:noProof/>
                <w:webHidden/>
              </w:rPr>
            </w:r>
            <w:r w:rsidR="00AA28FD">
              <w:rPr>
                <w:noProof/>
                <w:webHidden/>
              </w:rPr>
              <w:fldChar w:fldCharType="separate"/>
            </w:r>
            <w:r w:rsidR="00622FF2">
              <w:rPr>
                <w:noProof/>
                <w:webHidden/>
              </w:rPr>
              <w:t>300</w:t>
            </w:r>
            <w:r w:rsidR="00AA28FD">
              <w:rPr>
                <w:noProof/>
                <w:webHidden/>
              </w:rPr>
              <w:fldChar w:fldCharType="end"/>
            </w:r>
          </w:hyperlink>
        </w:p>
        <w:p w14:paraId="0F52C3A2"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36" w:history="1">
            <w:r w:rsidR="00AA28FD" w:rsidRPr="00D94A73">
              <w:rPr>
                <w:rStyle w:val="Hyperlink"/>
                <w:noProof/>
              </w:rPr>
              <w:t>1.7</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Rights of Termination</w:t>
            </w:r>
            <w:r w:rsidR="00AA28FD">
              <w:rPr>
                <w:noProof/>
                <w:webHidden/>
              </w:rPr>
              <w:tab/>
            </w:r>
            <w:r w:rsidR="00AA28FD">
              <w:rPr>
                <w:noProof/>
                <w:webHidden/>
              </w:rPr>
              <w:fldChar w:fldCharType="begin"/>
            </w:r>
            <w:r w:rsidR="00AA28FD">
              <w:rPr>
                <w:noProof/>
                <w:webHidden/>
              </w:rPr>
              <w:instrText xml:space="preserve"> PAGEREF _Toc498495436 \h </w:instrText>
            </w:r>
            <w:r w:rsidR="00AA28FD">
              <w:rPr>
                <w:noProof/>
                <w:webHidden/>
              </w:rPr>
            </w:r>
            <w:r w:rsidR="00AA28FD">
              <w:rPr>
                <w:noProof/>
                <w:webHidden/>
              </w:rPr>
              <w:fldChar w:fldCharType="separate"/>
            </w:r>
            <w:r w:rsidR="00622FF2">
              <w:rPr>
                <w:noProof/>
                <w:webHidden/>
              </w:rPr>
              <w:t>304</w:t>
            </w:r>
            <w:r w:rsidR="00AA28FD">
              <w:rPr>
                <w:noProof/>
                <w:webHidden/>
              </w:rPr>
              <w:fldChar w:fldCharType="end"/>
            </w:r>
          </w:hyperlink>
        </w:p>
        <w:p w14:paraId="7527E734"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37" w:history="1">
            <w:r w:rsidR="00AA28FD" w:rsidRPr="00D94A73">
              <w:rPr>
                <w:rStyle w:val="Hyperlink"/>
                <w:noProof/>
              </w:rPr>
              <w:t>1.8</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Consequences of Termination</w:t>
            </w:r>
            <w:r w:rsidR="00AA28FD">
              <w:rPr>
                <w:noProof/>
                <w:webHidden/>
              </w:rPr>
              <w:tab/>
            </w:r>
            <w:r w:rsidR="00AA28FD">
              <w:rPr>
                <w:noProof/>
                <w:webHidden/>
              </w:rPr>
              <w:fldChar w:fldCharType="begin"/>
            </w:r>
            <w:r w:rsidR="00AA28FD">
              <w:rPr>
                <w:noProof/>
                <w:webHidden/>
              </w:rPr>
              <w:instrText xml:space="preserve"> PAGEREF _Toc498495437 \h </w:instrText>
            </w:r>
            <w:r w:rsidR="00AA28FD">
              <w:rPr>
                <w:noProof/>
                <w:webHidden/>
              </w:rPr>
            </w:r>
            <w:r w:rsidR="00AA28FD">
              <w:rPr>
                <w:noProof/>
                <w:webHidden/>
              </w:rPr>
              <w:fldChar w:fldCharType="separate"/>
            </w:r>
            <w:r w:rsidR="00622FF2">
              <w:rPr>
                <w:noProof/>
                <w:webHidden/>
              </w:rPr>
              <w:t>310</w:t>
            </w:r>
            <w:r w:rsidR="00AA28FD">
              <w:rPr>
                <w:noProof/>
                <w:webHidden/>
              </w:rPr>
              <w:fldChar w:fldCharType="end"/>
            </w:r>
          </w:hyperlink>
        </w:p>
        <w:p w14:paraId="16DDAF6D"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38" w:history="1">
            <w:r w:rsidR="00AA28FD" w:rsidRPr="00D94A73">
              <w:rPr>
                <w:rStyle w:val="Hyperlink"/>
                <w:noProof/>
              </w:rPr>
              <w:t>1.9</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Annex 1 Remedial Notice Flowchart</w:t>
            </w:r>
            <w:r w:rsidR="00AA28FD">
              <w:rPr>
                <w:noProof/>
                <w:webHidden/>
              </w:rPr>
              <w:tab/>
            </w:r>
            <w:r w:rsidR="00AA28FD">
              <w:rPr>
                <w:noProof/>
                <w:webHidden/>
              </w:rPr>
              <w:fldChar w:fldCharType="begin"/>
            </w:r>
            <w:r w:rsidR="00AA28FD">
              <w:rPr>
                <w:noProof/>
                <w:webHidden/>
              </w:rPr>
              <w:instrText xml:space="preserve"> PAGEREF _Toc498495438 \h </w:instrText>
            </w:r>
            <w:r w:rsidR="00AA28FD">
              <w:rPr>
                <w:noProof/>
                <w:webHidden/>
              </w:rPr>
            </w:r>
            <w:r w:rsidR="00AA28FD">
              <w:rPr>
                <w:noProof/>
                <w:webHidden/>
              </w:rPr>
              <w:fldChar w:fldCharType="separate"/>
            </w:r>
            <w:r w:rsidR="00622FF2">
              <w:rPr>
                <w:noProof/>
                <w:webHidden/>
              </w:rPr>
              <w:t>312</w:t>
            </w:r>
            <w:r w:rsidR="00AA28FD">
              <w:rPr>
                <w:noProof/>
                <w:webHidden/>
              </w:rPr>
              <w:fldChar w:fldCharType="end"/>
            </w:r>
          </w:hyperlink>
        </w:p>
        <w:p w14:paraId="519FB40D"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39" w:history="1">
            <w:r w:rsidR="00AA28FD" w:rsidRPr="00D94A73">
              <w:rPr>
                <w:rStyle w:val="Hyperlink"/>
                <w:noProof/>
              </w:rPr>
              <w:t>1.10</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Annex 2 Template Remedial Notice</w:t>
            </w:r>
            <w:r w:rsidR="00AA28FD">
              <w:rPr>
                <w:noProof/>
                <w:webHidden/>
              </w:rPr>
              <w:tab/>
            </w:r>
            <w:r w:rsidR="00AA28FD">
              <w:rPr>
                <w:noProof/>
                <w:webHidden/>
              </w:rPr>
              <w:fldChar w:fldCharType="begin"/>
            </w:r>
            <w:r w:rsidR="00AA28FD">
              <w:rPr>
                <w:noProof/>
                <w:webHidden/>
              </w:rPr>
              <w:instrText xml:space="preserve"> PAGEREF _Toc498495439 \h </w:instrText>
            </w:r>
            <w:r w:rsidR="00AA28FD">
              <w:rPr>
                <w:noProof/>
                <w:webHidden/>
              </w:rPr>
            </w:r>
            <w:r w:rsidR="00AA28FD">
              <w:rPr>
                <w:noProof/>
                <w:webHidden/>
              </w:rPr>
              <w:fldChar w:fldCharType="separate"/>
            </w:r>
            <w:r w:rsidR="00622FF2">
              <w:rPr>
                <w:noProof/>
                <w:webHidden/>
              </w:rPr>
              <w:t>312</w:t>
            </w:r>
            <w:r w:rsidR="00AA28FD">
              <w:rPr>
                <w:noProof/>
                <w:webHidden/>
              </w:rPr>
              <w:fldChar w:fldCharType="end"/>
            </w:r>
          </w:hyperlink>
        </w:p>
        <w:p w14:paraId="76CB2D30"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40" w:history="1">
            <w:r w:rsidR="00AA28FD" w:rsidRPr="00D94A73">
              <w:rPr>
                <w:rStyle w:val="Hyperlink"/>
                <w:noProof/>
              </w:rPr>
              <w:t>1.11</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Annex 3 Template Notice Receipt</w:t>
            </w:r>
            <w:r w:rsidR="00AA28FD">
              <w:rPr>
                <w:noProof/>
                <w:webHidden/>
              </w:rPr>
              <w:tab/>
            </w:r>
            <w:r w:rsidR="00AA28FD">
              <w:rPr>
                <w:noProof/>
                <w:webHidden/>
              </w:rPr>
              <w:fldChar w:fldCharType="begin"/>
            </w:r>
            <w:r w:rsidR="00AA28FD">
              <w:rPr>
                <w:noProof/>
                <w:webHidden/>
              </w:rPr>
              <w:instrText xml:space="preserve"> PAGEREF _Toc498495440 \h </w:instrText>
            </w:r>
            <w:r w:rsidR="00AA28FD">
              <w:rPr>
                <w:noProof/>
                <w:webHidden/>
              </w:rPr>
            </w:r>
            <w:r w:rsidR="00AA28FD">
              <w:rPr>
                <w:noProof/>
                <w:webHidden/>
              </w:rPr>
              <w:fldChar w:fldCharType="separate"/>
            </w:r>
            <w:r w:rsidR="00622FF2">
              <w:rPr>
                <w:noProof/>
                <w:webHidden/>
              </w:rPr>
              <w:t>312</w:t>
            </w:r>
            <w:r w:rsidR="00AA28FD">
              <w:rPr>
                <w:noProof/>
                <w:webHidden/>
              </w:rPr>
              <w:fldChar w:fldCharType="end"/>
            </w:r>
          </w:hyperlink>
        </w:p>
        <w:p w14:paraId="6B917BCD"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41" w:history="1">
            <w:r w:rsidR="00AA28FD" w:rsidRPr="00D94A73">
              <w:rPr>
                <w:rStyle w:val="Hyperlink"/>
                <w:noProof/>
              </w:rPr>
              <w:t>1.12</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Annex 4 Template Remedial Notice Satisfaction Letter</w:t>
            </w:r>
            <w:r w:rsidR="00AA28FD">
              <w:rPr>
                <w:noProof/>
                <w:webHidden/>
              </w:rPr>
              <w:tab/>
            </w:r>
            <w:r w:rsidR="00AA28FD">
              <w:rPr>
                <w:noProof/>
                <w:webHidden/>
              </w:rPr>
              <w:fldChar w:fldCharType="begin"/>
            </w:r>
            <w:r w:rsidR="00AA28FD">
              <w:rPr>
                <w:noProof/>
                <w:webHidden/>
              </w:rPr>
              <w:instrText xml:space="preserve"> PAGEREF _Toc498495441 \h </w:instrText>
            </w:r>
            <w:r w:rsidR="00AA28FD">
              <w:rPr>
                <w:noProof/>
                <w:webHidden/>
              </w:rPr>
            </w:r>
            <w:r w:rsidR="00AA28FD">
              <w:rPr>
                <w:noProof/>
                <w:webHidden/>
              </w:rPr>
              <w:fldChar w:fldCharType="separate"/>
            </w:r>
            <w:r w:rsidR="00622FF2">
              <w:rPr>
                <w:noProof/>
                <w:webHidden/>
              </w:rPr>
              <w:t>312</w:t>
            </w:r>
            <w:r w:rsidR="00AA28FD">
              <w:rPr>
                <w:noProof/>
                <w:webHidden/>
              </w:rPr>
              <w:fldChar w:fldCharType="end"/>
            </w:r>
          </w:hyperlink>
        </w:p>
        <w:p w14:paraId="474760EE"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42" w:history="1">
            <w:r w:rsidR="00AA28FD" w:rsidRPr="00D94A73">
              <w:rPr>
                <w:rStyle w:val="Hyperlink"/>
                <w:noProof/>
              </w:rPr>
              <w:t>1.13</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Annex 5 Breach Notice Flowchart</w:t>
            </w:r>
            <w:r w:rsidR="00AA28FD">
              <w:rPr>
                <w:noProof/>
                <w:webHidden/>
              </w:rPr>
              <w:tab/>
            </w:r>
            <w:r w:rsidR="00AA28FD">
              <w:rPr>
                <w:noProof/>
                <w:webHidden/>
              </w:rPr>
              <w:fldChar w:fldCharType="begin"/>
            </w:r>
            <w:r w:rsidR="00AA28FD">
              <w:rPr>
                <w:noProof/>
                <w:webHidden/>
              </w:rPr>
              <w:instrText xml:space="preserve"> PAGEREF _Toc498495442 \h </w:instrText>
            </w:r>
            <w:r w:rsidR="00AA28FD">
              <w:rPr>
                <w:noProof/>
                <w:webHidden/>
              </w:rPr>
            </w:r>
            <w:r w:rsidR="00AA28FD">
              <w:rPr>
                <w:noProof/>
                <w:webHidden/>
              </w:rPr>
              <w:fldChar w:fldCharType="separate"/>
            </w:r>
            <w:r w:rsidR="00622FF2">
              <w:rPr>
                <w:noProof/>
                <w:webHidden/>
              </w:rPr>
              <w:t>312</w:t>
            </w:r>
            <w:r w:rsidR="00AA28FD">
              <w:rPr>
                <w:noProof/>
                <w:webHidden/>
              </w:rPr>
              <w:fldChar w:fldCharType="end"/>
            </w:r>
          </w:hyperlink>
        </w:p>
        <w:p w14:paraId="185E753D"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43" w:history="1">
            <w:r w:rsidR="00AA28FD" w:rsidRPr="00D94A73">
              <w:rPr>
                <w:rStyle w:val="Hyperlink"/>
                <w:noProof/>
              </w:rPr>
              <w:t>1.14</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Annex 6 Template Breach Notice</w:t>
            </w:r>
            <w:r w:rsidR="00AA28FD">
              <w:rPr>
                <w:noProof/>
                <w:webHidden/>
              </w:rPr>
              <w:tab/>
            </w:r>
            <w:r w:rsidR="00AA28FD">
              <w:rPr>
                <w:noProof/>
                <w:webHidden/>
              </w:rPr>
              <w:fldChar w:fldCharType="begin"/>
            </w:r>
            <w:r w:rsidR="00AA28FD">
              <w:rPr>
                <w:noProof/>
                <w:webHidden/>
              </w:rPr>
              <w:instrText xml:space="preserve"> PAGEREF _Toc498495443 \h </w:instrText>
            </w:r>
            <w:r w:rsidR="00AA28FD">
              <w:rPr>
                <w:noProof/>
                <w:webHidden/>
              </w:rPr>
            </w:r>
            <w:r w:rsidR="00AA28FD">
              <w:rPr>
                <w:noProof/>
                <w:webHidden/>
              </w:rPr>
              <w:fldChar w:fldCharType="separate"/>
            </w:r>
            <w:r w:rsidR="00622FF2">
              <w:rPr>
                <w:noProof/>
                <w:webHidden/>
              </w:rPr>
              <w:t>312</w:t>
            </w:r>
            <w:r w:rsidR="00AA28FD">
              <w:rPr>
                <w:noProof/>
                <w:webHidden/>
              </w:rPr>
              <w:fldChar w:fldCharType="end"/>
            </w:r>
          </w:hyperlink>
        </w:p>
        <w:p w14:paraId="7AC4526A"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44" w:history="1">
            <w:r w:rsidR="00AA28FD" w:rsidRPr="00D94A73">
              <w:rPr>
                <w:rStyle w:val="Hyperlink"/>
                <w:noProof/>
              </w:rPr>
              <w:t>1.15</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Annex 7 Calculating a Financial Contract Sanction</w:t>
            </w:r>
            <w:r w:rsidR="00AA28FD">
              <w:rPr>
                <w:noProof/>
                <w:webHidden/>
              </w:rPr>
              <w:tab/>
            </w:r>
            <w:r w:rsidR="00AA28FD">
              <w:rPr>
                <w:noProof/>
                <w:webHidden/>
              </w:rPr>
              <w:fldChar w:fldCharType="begin"/>
            </w:r>
            <w:r w:rsidR="00AA28FD">
              <w:rPr>
                <w:noProof/>
                <w:webHidden/>
              </w:rPr>
              <w:instrText xml:space="preserve"> PAGEREF _Toc498495444 \h </w:instrText>
            </w:r>
            <w:r w:rsidR="00AA28FD">
              <w:rPr>
                <w:noProof/>
                <w:webHidden/>
              </w:rPr>
            </w:r>
            <w:r w:rsidR="00AA28FD">
              <w:rPr>
                <w:noProof/>
                <w:webHidden/>
              </w:rPr>
              <w:fldChar w:fldCharType="separate"/>
            </w:r>
            <w:r w:rsidR="00622FF2">
              <w:rPr>
                <w:noProof/>
                <w:webHidden/>
              </w:rPr>
              <w:t>312</w:t>
            </w:r>
            <w:r w:rsidR="00AA28FD">
              <w:rPr>
                <w:noProof/>
                <w:webHidden/>
              </w:rPr>
              <w:fldChar w:fldCharType="end"/>
            </w:r>
          </w:hyperlink>
        </w:p>
        <w:p w14:paraId="589AA19F"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45" w:history="1">
            <w:r w:rsidR="00AA28FD" w:rsidRPr="00D94A73">
              <w:rPr>
                <w:rStyle w:val="Hyperlink"/>
                <w:noProof/>
              </w:rPr>
              <w:t>1.16</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Annex 8 Template Contract Sanction Notice</w:t>
            </w:r>
            <w:r w:rsidR="00AA28FD">
              <w:rPr>
                <w:noProof/>
                <w:webHidden/>
              </w:rPr>
              <w:tab/>
            </w:r>
            <w:r w:rsidR="00AA28FD">
              <w:rPr>
                <w:noProof/>
                <w:webHidden/>
              </w:rPr>
              <w:fldChar w:fldCharType="begin"/>
            </w:r>
            <w:r w:rsidR="00AA28FD">
              <w:rPr>
                <w:noProof/>
                <w:webHidden/>
              </w:rPr>
              <w:instrText xml:space="preserve"> PAGEREF _Toc498495445 \h </w:instrText>
            </w:r>
            <w:r w:rsidR="00AA28FD">
              <w:rPr>
                <w:noProof/>
                <w:webHidden/>
              </w:rPr>
            </w:r>
            <w:r w:rsidR="00AA28FD">
              <w:rPr>
                <w:noProof/>
                <w:webHidden/>
              </w:rPr>
              <w:fldChar w:fldCharType="separate"/>
            </w:r>
            <w:r w:rsidR="00622FF2">
              <w:rPr>
                <w:noProof/>
                <w:webHidden/>
              </w:rPr>
              <w:t>312</w:t>
            </w:r>
            <w:r w:rsidR="00AA28FD">
              <w:rPr>
                <w:noProof/>
                <w:webHidden/>
              </w:rPr>
              <w:fldChar w:fldCharType="end"/>
            </w:r>
          </w:hyperlink>
        </w:p>
        <w:p w14:paraId="3F372701"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46" w:history="1">
            <w:r w:rsidR="00AA28FD" w:rsidRPr="00D94A73">
              <w:rPr>
                <w:rStyle w:val="Hyperlink"/>
                <w:noProof/>
              </w:rPr>
              <w:t>1.17</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Annex 9 Template Termination Notice</w:t>
            </w:r>
            <w:r w:rsidR="00AA28FD">
              <w:rPr>
                <w:noProof/>
                <w:webHidden/>
              </w:rPr>
              <w:tab/>
            </w:r>
            <w:r w:rsidR="00AA28FD">
              <w:rPr>
                <w:noProof/>
                <w:webHidden/>
              </w:rPr>
              <w:fldChar w:fldCharType="begin"/>
            </w:r>
            <w:r w:rsidR="00AA28FD">
              <w:rPr>
                <w:noProof/>
                <w:webHidden/>
              </w:rPr>
              <w:instrText xml:space="preserve"> PAGEREF _Toc498495446 \h </w:instrText>
            </w:r>
            <w:r w:rsidR="00AA28FD">
              <w:rPr>
                <w:noProof/>
                <w:webHidden/>
              </w:rPr>
            </w:r>
            <w:r w:rsidR="00AA28FD">
              <w:rPr>
                <w:noProof/>
                <w:webHidden/>
              </w:rPr>
              <w:fldChar w:fldCharType="separate"/>
            </w:r>
            <w:r w:rsidR="00622FF2">
              <w:rPr>
                <w:noProof/>
                <w:webHidden/>
              </w:rPr>
              <w:t>313</w:t>
            </w:r>
            <w:r w:rsidR="00AA28FD">
              <w:rPr>
                <w:noProof/>
                <w:webHidden/>
              </w:rPr>
              <w:fldChar w:fldCharType="end"/>
            </w:r>
          </w:hyperlink>
        </w:p>
        <w:p w14:paraId="41E02DD3"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47" w:history="1">
            <w:r w:rsidR="00AA28FD" w:rsidRPr="00D94A73">
              <w:rPr>
                <w:rStyle w:val="Hyperlink"/>
                <w:noProof/>
              </w:rPr>
              <w:t>1.18</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Annex 10 Termination Flowchart</w:t>
            </w:r>
            <w:r w:rsidR="00AA28FD">
              <w:rPr>
                <w:noProof/>
                <w:webHidden/>
              </w:rPr>
              <w:tab/>
            </w:r>
            <w:r w:rsidR="00AA28FD">
              <w:rPr>
                <w:noProof/>
                <w:webHidden/>
              </w:rPr>
              <w:fldChar w:fldCharType="begin"/>
            </w:r>
            <w:r w:rsidR="00AA28FD">
              <w:rPr>
                <w:noProof/>
                <w:webHidden/>
              </w:rPr>
              <w:instrText xml:space="preserve"> PAGEREF _Toc498495447 \h </w:instrText>
            </w:r>
            <w:r w:rsidR="00AA28FD">
              <w:rPr>
                <w:noProof/>
                <w:webHidden/>
              </w:rPr>
            </w:r>
            <w:r w:rsidR="00AA28FD">
              <w:rPr>
                <w:noProof/>
                <w:webHidden/>
              </w:rPr>
              <w:fldChar w:fldCharType="separate"/>
            </w:r>
            <w:r w:rsidR="00622FF2">
              <w:rPr>
                <w:noProof/>
                <w:webHidden/>
              </w:rPr>
              <w:t>313</w:t>
            </w:r>
            <w:r w:rsidR="00AA28FD">
              <w:rPr>
                <w:noProof/>
                <w:webHidden/>
              </w:rPr>
              <w:fldChar w:fldCharType="end"/>
            </w:r>
          </w:hyperlink>
        </w:p>
        <w:p w14:paraId="504AD709"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48" w:history="1">
            <w:r w:rsidR="00AA28FD" w:rsidRPr="00D94A73">
              <w:rPr>
                <w:rStyle w:val="Hyperlink"/>
                <w:noProof/>
              </w:rPr>
              <w:t>1.19</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Annex 11 Fitness to Practice Matters (Part A GMS Contracts)</w:t>
            </w:r>
            <w:r w:rsidR="00AA28FD">
              <w:rPr>
                <w:noProof/>
                <w:webHidden/>
              </w:rPr>
              <w:tab/>
            </w:r>
            <w:r w:rsidR="00AA28FD">
              <w:rPr>
                <w:noProof/>
                <w:webHidden/>
              </w:rPr>
              <w:fldChar w:fldCharType="begin"/>
            </w:r>
            <w:r w:rsidR="00AA28FD">
              <w:rPr>
                <w:noProof/>
                <w:webHidden/>
              </w:rPr>
              <w:instrText xml:space="preserve"> PAGEREF _Toc498495448 \h </w:instrText>
            </w:r>
            <w:r w:rsidR="00AA28FD">
              <w:rPr>
                <w:noProof/>
                <w:webHidden/>
              </w:rPr>
            </w:r>
            <w:r w:rsidR="00AA28FD">
              <w:rPr>
                <w:noProof/>
                <w:webHidden/>
              </w:rPr>
              <w:fldChar w:fldCharType="separate"/>
            </w:r>
            <w:r w:rsidR="00622FF2">
              <w:rPr>
                <w:noProof/>
                <w:webHidden/>
              </w:rPr>
              <w:t>313</w:t>
            </w:r>
            <w:r w:rsidR="00AA28FD">
              <w:rPr>
                <w:noProof/>
                <w:webHidden/>
              </w:rPr>
              <w:fldChar w:fldCharType="end"/>
            </w:r>
          </w:hyperlink>
        </w:p>
        <w:p w14:paraId="622856E0"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49" w:history="1">
            <w:r w:rsidR="00AA28FD" w:rsidRPr="00D94A73">
              <w:rPr>
                <w:rStyle w:val="Hyperlink"/>
                <w:noProof/>
              </w:rPr>
              <w:t>1.20</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Annex 11 Fitness to Practice Matters (Part B PMS Agreement)</w:t>
            </w:r>
            <w:r w:rsidR="00AA28FD">
              <w:rPr>
                <w:noProof/>
                <w:webHidden/>
              </w:rPr>
              <w:tab/>
            </w:r>
            <w:r w:rsidR="00AA28FD">
              <w:rPr>
                <w:noProof/>
                <w:webHidden/>
              </w:rPr>
              <w:fldChar w:fldCharType="begin"/>
            </w:r>
            <w:r w:rsidR="00AA28FD">
              <w:rPr>
                <w:noProof/>
                <w:webHidden/>
              </w:rPr>
              <w:instrText xml:space="preserve"> PAGEREF _Toc498495449 \h </w:instrText>
            </w:r>
            <w:r w:rsidR="00AA28FD">
              <w:rPr>
                <w:noProof/>
                <w:webHidden/>
              </w:rPr>
            </w:r>
            <w:r w:rsidR="00AA28FD">
              <w:rPr>
                <w:noProof/>
                <w:webHidden/>
              </w:rPr>
              <w:fldChar w:fldCharType="separate"/>
            </w:r>
            <w:r w:rsidR="00622FF2">
              <w:rPr>
                <w:noProof/>
                <w:webHidden/>
              </w:rPr>
              <w:t>313</w:t>
            </w:r>
            <w:r w:rsidR="00AA28FD">
              <w:rPr>
                <w:noProof/>
                <w:webHidden/>
              </w:rPr>
              <w:fldChar w:fldCharType="end"/>
            </w:r>
          </w:hyperlink>
        </w:p>
        <w:p w14:paraId="4099AAB6"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50" w:history="1">
            <w:r w:rsidR="00AA28FD" w:rsidRPr="00D94A73">
              <w:rPr>
                <w:rStyle w:val="Hyperlink"/>
                <w:noProof/>
              </w:rPr>
              <w:t>1.21</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Annex 11 Fitness to Practice Matters (Part C APMS Contracts)</w:t>
            </w:r>
            <w:r w:rsidR="00AA28FD">
              <w:rPr>
                <w:noProof/>
                <w:webHidden/>
              </w:rPr>
              <w:tab/>
            </w:r>
            <w:r w:rsidR="00AA28FD">
              <w:rPr>
                <w:noProof/>
                <w:webHidden/>
              </w:rPr>
              <w:fldChar w:fldCharType="begin"/>
            </w:r>
            <w:r w:rsidR="00AA28FD">
              <w:rPr>
                <w:noProof/>
                <w:webHidden/>
              </w:rPr>
              <w:instrText xml:space="preserve"> PAGEREF _Toc498495450 \h </w:instrText>
            </w:r>
            <w:r w:rsidR="00AA28FD">
              <w:rPr>
                <w:noProof/>
                <w:webHidden/>
              </w:rPr>
            </w:r>
            <w:r w:rsidR="00AA28FD">
              <w:rPr>
                <w:noProof/>
                <w:webHidden/>
              </w:rPr>
              <w:fldChar w:fldCharType="separate"/>
            </w:r>
            <w:r w:rsidR="00622FF2">
              <w:rPr>
                <w:noProof/>
                <w:webHidden/>
              </w:rPr>
              <w:t>313</w:t>
            </w:r>
            <w:r w:rsidR="00AA28FD">
              <w:rPr>
                <w:noProof/>
                <w:webHidden/>
              </w:rPr>
              <w:fldChar w:fldCharType="end"/>
            </w:r>
          </w:hyperlink>
        </w:p>
        <w:p w14:paraId="6236F210"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51" w:history="1">
            <w:r w:rsidR="00AA28FD" w:rsidRPr="00D94A73">
              <w:rPr>
                <w:rStyle w:val="Hyperlink"/>
                <w:noProof/>
              </w:rPr>
              <w:t>1.22</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Annex 12 Termination due to breach of Regulation 4</w:t>
            </w:r>
            <w:r w:rsidR="00AA28FD">
              <w:rPr>
                <w:noProof/>
                <w:webHidden/>
              </w:rPr>
              <w:tab/>
            </w:r>
            <w:r w:rsidR="00AA28FD">
              <w:rPr>
                <w:noProof/>
                <w:webHidden/>
              </w:rPr>
              <w:fldChar w:fldCharType="begin"/>
            </w:r>
            <w:r w:rsidR="00AA28FD">
              <w:rPr>
                <w:noProof/>
                <w:webHidden/>
              </w:rPr>
              <w:instrText xml:space="preserve"> PAGEREF _Toc498495451 \h </w:instrText>
            </w:r>
            <w:r w:rsidR="00AA28FD">
              <w:rPr>
                <w:noProof/>
                <w:webHidden/>
              </w:rPr>
            </w:r>
            <w:r w:rsidR="00AA28FD">
              <w:rPr>
                <w:noProof/>
                <w:webHidden/>
              </w:rPr>
              <w:fldChar w:fldCharType="separate"/>
            </w:r>
            <w:r w:rsidR="00622FF2">
              <w:rPr>
                <w:noProof/>
                <w:webHidden/>
              </w:rPr>
              <w:t>313</w:t>
            </w:r>
            <w:r w:rsidR="00AA28FD">
              <w:rPr>
                <w:noProof/>
                <w:webHidden/>
              </w:rPr>
              <w:fldChar w:fldCharType="end"/>
            </w:r>
          </w:hyperlink>
        </w:p>
        <w:p w14:paraId="70F149DE"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52" w:history="1">
            <w:r w:rsidR="00AA28FD" w:rsidRPr="00D94A73">
              <w:rPr>
                <w:rStyle w:val="Hyperlink"/>
                <w:noProof/>
              </w:rPr>
              <w:t>1.23</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Annex 13 Template Notice Return</w:t>
            </w:r>
            <w:r w:rsidR="00AA28FD">
              <w:rPr>
                <w:noProof/>
                <w:webHidden/>
              </w:rPr>
              <w:tab/>
            </w:r>
            <w:r w:rsidR="00AA28FD">
              <w:rPr>
                <w:noProof/>
                <w:webHidden/>
              </w:rPr>
              <w:fldChar w:fldCharType="begin"/>
            </w:r>
            <w:r w:rsidR="00AA28FD">
              <w:rPr>
                <w:noProof/>
                <w:webHidden/>
              </w:rPr>
              <w:instrText xml:space="preserve"> PAGEREF _Toc498495452 \h </w:instrText>
            </w:r>
            <w:r w:rsidR="00AA28FD">
              <w:rPr>
                <w:noProof/>
                <w:webHidden/>
              </w:rPr>
            </w:r>
            <w:r w:rsidR="00AA28FD">
              <w:rPr>
                <w:noProof/>
                <w:webHidden/>
              </w:rPr>
              <w:fldChar w:fldCharType="separate"/>
            </w:r>
            <w:r w:rsidR="00622FF2">
              <w:rPr>
                <w:noProof/>
                <w:webHidden/>
              </w:rPr>
              <w:t>313</w:t>
            </w:r>
            <w:r w:rsidR="00AA28FD">
              <w:rPr>
                <w:noProof/>
                <w:webHidden/>
              </w:rPr>
              <w:fldChar w:fldCharType="end"/>
            </w:r>
          </w:hyperlink>
        </w:p>
        <w:p w14:paraId="73ABC5BA" w14:textId="77777777" w:rsidR="00AA28FD" w:rsidRDefault="000E7846">
          <w:pPr>
            <w:pStyle w:val="TOC1"/>
            <w:rPr>
              <w:rFonts w:asciiTheme="minorHAnsi" w:eastAsiaTheme="minorEastAsia" w:hAnsiTheme="minorHAnsi" w:cstheme="minorBidi"/>
              <w:bCs w:val="0"/>
              <w:color w:val="auto"/>
              <w:sz w:val="22"/>
              <w:szCs w:val="22"/>
              <w:lang w:eastAsia="en-GB"/>
            </w:rPr>
          </w:pPr>
          <w:hyperlink w:anchor="_Toc498495453" w:history="1">
            <w:r w:rsidR="00AA28FD" w:rsidRPr="00D94A73">
              <w:rPr>
                <w:rStyle w:val="Hyperlink"/>
              </w:rPr>
              <w:t>2</w:t>
            </w:r>
            <w:r w:rsidR="00AA28FD">
              <w:rPr>
                <w:rFonts w:asciiTheme="minorHAnsi" w:eastAsiaTheme="minorEastAsia" w:hAnsiTheme="minorHAnsi" w:cstheme="minorBidi"/>
                <w:bCs w:val="0"/>
                <w:color w:val="auto"/>
                <w:sz w:val="22"/>
                <w:szCs w:val="22"/>
                <w:lang w:eastAsia="en-GB"/>
              </w:rPr>
              <w:tab/>
            </w:r>
            <w:r w:rsidR="00AA28FD" w:rsidRPr="00D94A73">
              <w:rPr>
                <w:rStyle w:val="Hyperlink"/>
                <w:lang w:eastAsia="en-GB"/>
              </w:rPr>
              <w:t xml:space="preserve">Unplanned / </w:t>
            </w:r>
            <w:r w:rsidR="00AA28FD" w:rsidRPr="00D94A73">
              <w:rPr>
                <w:rStyle w:val="Hyperlink"/>
              </w:rPr>
              <w:t>Unscheduled and Unavoidable Practice Closedown</w:t>
            </w:r>
            <w:r w:rsidR="00AA28FD">
              <w:rPr>
                <w:webHidden/>
              </w:rPr>
              <w:tab/>
            </w:r>
            <w:r w:rsidR="00AA28FD">
              <w:rPr>
                <w:webHidden/>
              </w:rPr>
              <w:fldChar w:fldCharType="begin"/>
            </w:r>
            <w:r w:rsidR="00AA28FD">
              <w:rPr>
                <w:webHidden/>
              </w:rPr>
              <w:instrText xml:space="preserve"> PAGEREF _Toc498495453 \h </w:instrText>
            </w:r>
            <w:r w:rsidR="00AA28FD">
              <w:rPr>
                <w:webHidden/>
              </w:rPr>
            </w:r>
            <w:r w:rsidR="00AA28FD">
              <w:rPr>
                <w:webHidden/>
              </w:rPr>
              <w:fldChar w:fldCharType="separate"/>
            </w:r>
            <w:r w:rsidR="00622FF2">
              <w:rPr>
                <w:webHidden/>
              </w:rPr>
              <w:t>314</w:t>
            </w:r>
            <w:r w:rsidR="00AA28FD">
              <w:rPr>
                <w:webHidden/>
              </w:rPr>
              <w:fldChar w:fldCharType="end"/>
            </w:r>
          </w:hyperlink>
        </w:p>
        <w:p w14:paraId="1FCD68FB"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54" w:history="1">
            <w:r w:rsidR="00AA28FD" w:rsidRPr="00D94A73">
              <w:rPr>
                <w:rStyle w:val="Hyperlink"/>
                <w:noProof/>
              </w:rPr>
              <w:t>2.1</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Introduction</w:t>
            </w:r>
            <w:r w:rsidR="00AA28FD">
              <w:rPr>
                <w:noProof/>
                <w:webHidden/>
              </w:rPr>
              <w:tab/>
            </w:r>
            <w:r w:rsidR="00AA28FD">
              <w:rPr>
                <w:noProof/>
                <w:webHidden/>
              </w:rPr>
              <w:fldChar w:fldCharType="begin"/>
            </w:r>
            <w:r w:rsidR="00AA28FD">
              <w:rPr>
                <w:noProof/>
                <w:webHidden/>
              </w:rPr>
              <w:instrText xml:space="preserve"> PAGEREF _Toc498495454 \h </w:instrText>
            </w:r>
            <w:r w:rsidR="00AA28FD">
              <w:rPr>
                <w:noProof/>
                <w:webHidden/>
              </w:rPr>
            </w:r>
            <w:r w:rsidR="00AA28FD">
              <w:rPr>
                <w:noProof/>
                <w:webHidden/>
              </w:rPr>
              <w:fldChar w:fldCharType="separate"/>
            </w:r>
            <w:r w:rsidR="00622FF2">
              <w:rPr>
                <w:noProof/>
                <w:webHidden/>
              </w:rPr>
              <w:t>314</w:t>
            </w:r>
            <w:r w:rsidR="00AA28FD">
              <w:rPr>
                <w:noProof/>
                <w:webHidden/>
              </w:rPr>
              <w:fldChar w:fldCharType="end"/>
            </w:r>
          </w:hyperlink>
        </w:p>
        <w:p w14:paraId="26413B21"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55" w:history="1">
            <w:r w:rsidR="00AA28FD" w:rsidRPr="00D94A73">
              <w:rPr>
                <w:rStyle w:val="Hyperlink"/>
                <w:noProof/>
              </w:rPr>
              <w:t>2.2</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Scope</w:t>
            </w:r>
            <w:r w:rsidR="00AA28FD">
              <w:rPr>
                <w:noProof/>
                <w:webHidden/>
              </w:rPr>
              <w:tab/>
            </w:r>
            <w:r w:rsidR="00AA28FD">
              <w:rPr>
                <w:noProof/>
                <w:webHidden/>
              </w:rPr>
              <w:fldChar w:fldCharType="begin"/>
            </w:r>
            <w:r w:rsidR="00AA28FD">
              <w:rPr>
                <w:noProof/>
                <w:webHidden/>
              </w:rPr>
              <w:instrText xml:space="preserve"> PAGEREF _Toc498495455 \h </w:instrText>
            </w:r>
            <w:r w:rsidR="00AA28FD">
              <w:rPr>
                <w:noProof/>
                <w:webHidden/>
              </w:rPr>
            </w:r>
            <w:r w:rsidR="00AA28FD">
              <w:rPr>
                <w:noProof/>
                <w:webHidden/>
              </w:rPr>
              <w:fldChar w:fldCharType="separate"/>
            </w:r>
            <w:r w:rsidR="00622FF2">
              <w:rPr>
                <w:noProof/>
                <w:webHidden/>
              </w:rPr>
              <w:t>314</w:t>
            </w:r>
            <w:r w:rsidR="00AA28FD">
              <w:rPr>
                <w:noProof/>
                <w:webHidden/>
              </w:rPr>
              <w:fldChar w:fldCharType="end"/>
            </w:r>
          </w:hyperlink>
        </w:p>
        <w:p w14:paraId="2F862194"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56" w:history="1">
            <w:r w:rsidR="00AA28FD" w:rsidRPr="00D94A73">
              <w:rPr>
                <w:rStyle w:val="Hyperlink"/>
                <w:noProof/>
              </w:rPr>
              <w:t>2.3</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Roles and Responsibilities</w:t>
            </w:r>
            <w:r w:rsidR="00AA28FD">
              <w:rPr>
                <w:noProof/>
                <w:webHidden/>
              </w:rPr>
              <w:tab/>
            </w:r>
            <w:r w:rsidR="00AA28FD">
              <w:rPr>
                <w:noProof/>
                <w:webHidden/>
              </w:rPr>
              <w:fldChar w:fldCharType="begin"/>
            </w:r>
            <w:r w:rsidR="00AA28FD">
              <w:rPr>
                <w:noProof/>
                <w:webHidden/>
              </w:rPr>
              <w:instrText xml:space="preserve"> PAGEREF _Toc498495456 \h </w:instrText>
            </w:r>
            <w:r w:rsidR="00AA28FD">
              <w:rPr>
                <w:noProof/>
                <w:webHidden/>
              </w:rPr>
            </w:r>
            <w:r w:rsidR="00AA28FD">
              <w:rPr>
                <w:noProof/>
                <w:webHidden/>
              </w:rPr>
              <w:fldChar w:fldCharType="separate"/>
            </w:r>
            <w:r w:rsidR="00622FF2">
              <w:rPr>
                <w:noProof/>
                <w:webHidden/>
              </w:rPr>
              <w:t>315</w:t>
            </w:r>
            <w:r w:rsidR="00AA28FD">
              <w:rPr>
                <w:noProof/>
                <w:webHidden/>
              </w:rPr>
              <w:fldChar w:fldCharType="end"/>
            </w:r>
          </w:hyperlink>
        </w:p>
        <w:p w14:paraId="47C2F445"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57" w:history="1">
            <w:r w:rsidR="00AA28FD" w:rsidRPr="00D94A73">
              <w:rPr>
                <w:rStyle w:val="Hyperlink"/>
                <w:noProof/>
              </w:rPr>
              <w:t>2.4</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The Process</w:t>
            </w:r>
            <w:r w:rsidR="00AA28FD">
              <w:rPr>
                <w:noProof/>
                <w:webHidden/>
              </w:rPr>
              <w:tab/>
            </w:r>
            <w:r w:rsidR="00AA28FD">
              <w:rPr>
                <w:noProof/>
                <w:webHidden/>
              </w:rPr>
              <w:fldChar w:fldCharType="begin"/>
            </w:r>
            <w:r w:rsidR="00AA28FD">
              <w:rPr>
                <w:noProof/>
                <w:webHidden/>
              </w:rPr>
              <w:instrText xml:space="preserve"> PAGEREF _Toc498495457 \h </w:instrText>
            </w:r>
            <w:r w:rsidR="00AA28FD">
              <w:rPr>
                <w:noProof/>
                <w:webHidden/>
              </w:rPr>
            </w:r>
            <w:r w:rsidR="00AA28FD">
              <w:rPr>
                <w:noProof/>
                <w:webHidden/>
              </w:rPr>
              <w:fldChar w:fldCharType="separate"/>
            </w:r>
            <w:r w:rsidR="00622FF2">
              <w:rPr>
                <w:noProof/>
                <w:webHidden/>
              </w:rPr>
              <w:t>318</w:t>
            </w:r>
            <w:r w:rsidR="00AA28FD">
              <w:rPr>
                <w:noProof/>
                <w:webHidden/>
              </w:rPr>
              <w:fldChar w:fldCharType="end"/>
            </w:r>
          </w:hyperlink>
        </w:p>
        <w:p w14:paraId="1D21DC2D"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58" w:history="1">
            <w:r w:rsidR="00AA28FD" w:rsidRPr="00D94A73">
              <w:rPr>
                <w:rStyle w:val="Hyperlink"/>
                <w:noProof/>
              </w:rPr>
              <w:t>2.5</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Key Steps (in the case of a list dispersal)</w:t>
            </w:r>
            <w:r w:rsidR="00AA28FD">
              <w:rPr>
                <w:noProof/>
                <w:webHidden/>
              </w:rPr>
              <w:tab/>
            </w:r>
            <w:r w:rsidR="00AA28FD">
              <w:rPr>
                <w:noProof/>
                <w:webHidden/>
              </w:rPr>
              <w:fldChar w:fldCharType="begin"/>
            </w:r>
            <w:r w:rsidR="00AA28FD">
              <w:rPr>
                <w:noProof/>
                <w:webHidden/>
              </w:rPr>
              <w:instrText xml:space="preserve"> PAGEREF _Toc498495458 \h </w:instrText>
            </w:r>
            <w:r w:rsidR="00AA28FD">
              <w:rPr>
                <w:noProof/>
                <w:webHidden/>
              </w:rPr>
            </w:r>
            <w:r w:rsidR="00AA28FD">
              <w:rPr>
                <w:noProof/>
                <w:webHidden/>
              </w:rPr>
              <w:fldChar w:fldCharType="separate"/>
            </w:r>
            <w:r w:rsidR="00622FF2">
              <w:rPr>
                <w:noProof/>
                <w:webHidden/>
              </w:rPr>
              <w:t>319</w:t>
            </w:r>
            <w:r w:rsidR="00AA28FD">
              <w:rPr>
                <w:noProof/>
                <w:webHidden/>
              </w:rPr>
              <w:fldChar w:fldCharType="end"/>
            </w:r>
          </w:hyperlink>
        </w:p>
        <w:p w14:paraId="37086D69"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59" w:history="1">
            <w:r w:rsidR="00AA28FD" w:rsidRPr="00D94A73">
              <w:rPr>
                <w:rStyle w:val="Hyperlink"/>
                <w:noProof/>
              </w:rPr>
              <w:t>2.6</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Engagement and re-procurement</w:t>
            </w:r>
            <w:r w:rsidR="00AA28FD">
              <w:rPr>
                <w:noProof/>
                <w:webHidden/>
              </w:rPr>
              <w:tab/>
            </w:r>
            <w:r w:rsidR="00AA28FD">
              <w:rPr>
                <w:noProof/>
                <w:webHidden/>
              </w:rPr>
              <w:fldChar w:fldCharType="begin"/>
            </w:r>
            <w:r w:rsidR="00AA28FD">
              <w:rPr>
                <w:noProof/>
                <w:webHidden/>
              </w:rPr>
              <w:instrText xml:space="preserve"> PAGEREF _Toc498495459 \h </w:instrText>
            </w:r>
            <w:r w:rsidR="00AA28FD">
              <w:rPr>
                <w:noProof/>
                <w:webHidden/>
              </w:rPr>
            </w:r>
            <w:r w:rsidR="00AA28FD">
              <w:rPr>
                <w:noProof/>
                <w:webHidden/>
              </w:rPr>
              <w:fldChar w:fldCharType="separate"/>
            </w:r>
            <w:r w:rsidR="00622FF2">
              <w:rPr>
                <w:noProof/>
                <w:webHidden/>
              </w:rPr>
              <w:t>321</w:t>
            </w:r>
            <w:r w:rsidR="00AA28FD">
              <w:rPr>
                <w:noProof/>
                <w:webHidden/>
              </w:rPr>
              <w:fldChar w:fldCharType="end"/>
            </w:r>
          </w:hyperlink>
        </w:p>
        <w:p w14:paraId="595A1E6C"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60" w:history="1">
            <w:r w:rsidR="00AA28FD" w:rsidRPr="00D94A73">
              <w:rPr>
                <w:rStyle w:val="Hyperlink"/>
                <w:noProof/>
              </w:rPr>
              <w:t>2.7</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Annex 1 – Contract Extracts</w:t>
            </w:r>
            <w:r w:rsidR="00AA28FD">
              <w:rPr>
                <w:noProof/>
                <w:webHidden/>
              </w:rPr>
              <w:tab/>
            </w:r>
            <w:r w:rsidR="00AA28FD">
              <w:rPr>
                <w:noProof/>
                <w:webHidden/>
              </w:rPr>
              <w:fldChar w:fldCharType="begin"/>
            </w:r>
            <w:r w:rsidR="00AA28FD">
              <w:rPr>
                <w:noProof/>
                <w:webHidden/>
              </w:rPr>
              <w:instrText xml:space="preserve"> PAGEREF _Toc498495460 \h </w:instrText>
            </w:r>
            <w:r w:rsidR="00AA28FD">
              <w:rPr>
                <w:noProof/>
                <w:webHidden/>
              </w:rPr>
            </w:r>
            <w:r w:rsidR="00AA28FD">
              <w:rPr>
                <w:noProof/>
                <w:webHidden/>
              </w:rPr>
              <w:fldChar w:fldCharType="separate"/>
            </w:r>
            <w:r w:rsidR="00622FF2">
              <w:rPr>
                <w:noProof/>
                <w:webHidden/>
              </w:rPr>
              <w:t>323</w:t>
            </w:r>
            <w:r w:rsidR="00AA28FD">
              <w:rPr>
                <w:noProof/>
                <w:webHidden/>
              </w:rPr>
              <w:fldChar w:fldCharType="end"/>
            </w:r>
          </w:hyperlink>
        </w:p>
        <w:p w14:paraId="714E07CC" w14:textId="77777777" w:rsidR="00AA28FD" w:rsidRDefault="000E7846">
          <w:pPr>
            <w:pStyle w:val="TOC1"/>
            <w:rPr>
              <w:rFonts w:asciiTheme="minorHAnsi" w:eastAsiaTheme="minorEastAsia" w:hAnsiTheme="minorHAnsi" w:cstheme="minorBidi"/>
              <w:bCs w:val="0"/>
              <w:color w:val="auto"/>
              <w:sz w:val="22"/>
              <w:szCs w:val="22"/>
              <w:lang w:eastAsia="en-GB"/>
            </w:rPr>
          </w:pPr>
          <w:hyperlink w:anchor="_Toc498495461" w:history="1">
            <w:r w:rsidR="00AA28FD" w:rsidRPr="00D94A73">
              <w:rPr>
                <w:rStyle w:val="Hyperlink"/>
                <w:lang w:eastAsia="en-GB"/>
              </w:rPr>
              <w:t>3</w:t>
            </w:r>
            <w:r w:rsidR="00AA28FD">
              <w:rPr>
                <w:rFonts w:asciiTheme="minorHAnsi" w:eastAsiaTheme="minorEastAsia" w:hAnsiTheme="minorHAnsi" w:cstheme="minorBidi"/>
                <w:bCs w:val="0"/>
                <w:color w:val="auto"/>
                <w:sz w:val="22"/>
                <w:szCs w:val="22"/>
                <w:lang w:eastAsia="en-GB"/>
              </w:rPr>
              <w:tab/>
            </w:r>
            <w:r w:rsidR="00AA28FD" w:rsidRPr="00D94A73">
              <w:rPr>
                <w:rStyle w:val="Hyperlink"/>
                <w:lang w:eastAsia="en-GB"/>
              </w:rPr>
              <w:t>Death of a Contractor (excluding single handers – see adverse events)</w:t>
            </w:r>
            <w:r w:rsidR="00AA28FD">
              <w:rPr>
                <w:webHidden/>
              </w:rPr>
              <w:tab/>
            </w:r>
            <w:r w:rsidR="00AA28FD">
              <w:rPr>
                <w:webHidden/>
              </w:rPr>
              <w:fldChar w:fldCharType="begin"/>
            </w:r>
            <w:r w:rsidR="00AA28FD">
              <w:rPr>
                <w:webHidden/>
              </w:rPr>
              <w:instrText xml:space="preserve"> PAGEREF _Toc498495461 \h </w:instrText>
            </w:r>
            <w:r w:rsidR="00AA28FD">
              <w:rPr>
                <w:webHidden/>
              </w:rPr>
            </w:r>
            <w:r w:rsidR="00AA28FD">
              <w:rPr>
                <w:webHidden/>
              </w:rPr>
              <w:fldChar w:fldCharType="separate"/>
            </w:r>
            <w:r w:rsidR="00622FF2">
              <w:rPr>
                <w:webHidden/>
              </w:rPr>
              <w:t>324</w:t>
            </w:r>
            <w:r w:rsidR="00AA28FD">
              <w:rPr>
                <w:webHidden/>
              </w:rPr>
              <w:fldChar w:fldCharType="end"/>
            </w:r>
          </w:hyperlink>
        </w:p>
        <w:p w14:paraId="598E12E5"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62" w:history="1">
            <w:r w:rsidR="00AA28FD" w:rsidRPr="00D94A73">
              <w:rPr>
                <w:rStyle w:val="Hyperlink"/>
                <w:noProof/>
                <w:lang w:eastAsia="en-GB"/>
              </w:rPr>
              <w:t>3.1</w:t>
            </w:r>
            <w:r w:rsidR="00AA28FD">
              <w:rPr>
                <w:rFonts w:asciiTheme="minorHAnsi" w:eastAsiaTheme="minorEastAsia" w:hAnsiTheme="minorHAnsi" w:cstheme="minorBidi"/>
                <w:bCs w:val="0"/>
                <w:noProof/>
                <w:sz w:val="22"/>
                <w:szCs w:val="22"/>
                <w:lang w:eastAsia="en-GB"/>
              </w:rPr>
              <w:tab/>
            </w:r>
            <w:r w:rsidR="00AA28FD" w:rsidRPr="00D94A73">
              <w:rPr>
                <w:rStyle w:val="Hyperlink"/>
                <w:noProof/>
                <w:lang w:eastAsia="en-GB"/>
              </w:rPr>
              <w:t>Introduction</w:t>
            </w:r>
            <w:r w:rsidR="00AA28FD">
              <w:rPr>
                <w:noProof/>
                <w:webHidden/>
              </w:rPr>
              <w:tab/>
            </w:r>
            <w:r w:rsidR="00AA28FD">
              <w:rPr>
                <w:noProof/>
                <w:webHidden/>
              </w:rPr>
              <w:fldChar w:fldCharType="begin"/>
            </w:r>
            <w:r w:rsidR="00AA28FD">
              <w:rPr>
                <w:noProof/>
                <w:webHidden/>
              </w:rPr>
              <w:instrText xml:space="preserve"> PAGEREF _Toc498495462 \h </w:instrText>
            </w:r>
            <w:r w:rsidR="00AA28FD">
              <w:rPr>
                <w:noProof/>
                <w:webHidden/>
              </w:rPr>
            </w:r>
            <w:r w:rsidR="00AA28FD">
              <w:rPr>
                <w:noProof/>
                <w:webHidden/>
              </w:rPr>
              <w:fldChar w:fldCharType="separate"/>
            </w:r>
            <w:r w:rsidR="00622FF2">
              <w:rPr>
                <w:noProof/>
                <w:webHidden/>
              </w:rPr>
              <w:t>324</w:t>
            </w:r>
            <w:r w:rsidR="00AA28FD">
              <w:rPr>
                <w:noProof/>
                <w:webHidden/>
              </w:rPr>
              <w:fldChar w:fldCharType="end"/>
            </w:r>
          </w:hyperlink>
        </w:p>
        <w:p w14:paraId="3A77C9B6"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63" w:history="1">
            <w:r w:rsidR="00AA28FD" w:rsidRPr="00D94A73">
              <w:rPr>
                <w:rStyle w:val="Hyperlink"/>
                <w:noProof/>
                <w:lang w:eastAsia="en-GB"/>
              </w:rPr>
              <w:t>3.2</w:t>
            </w:r>
            <w:r w:rsidR="00AA28FD">
              <w:rPr>
                <w:rFonts w:asciiTheme="minorHAnsi" w:eastAsiaTheme="minorEastAsia" w:hAnsiTheme="minorHAnsi" w:cstheme="minorBidi"/>
                <w:bCs w:val="0"/>
                <w:noProof/>
                <w:sz w:val="22"/>
                <w:szCs w:val="22"/>
                <w:lang w:eastAsia="en-GB"/>
              </w:rPr>
              <w:tab/>
            </w:r>
            <w:r w:rsidR="00AA28FD" w:rsidRPr="00D94A73">
              <w:rPr>
                <w:rStyle w:val="Hyperlink"/>
                <w:noProof/>
                <w:lang w:eastAsia="en-GB"/>
              </w:rPr>
              <w:t>Individual - GMS Contract</w:t>
            </w:r>
            <w:r w:rsidR="00AA28FD">
              <w:rPr>
                <w:noProof/>
                <w:webHidden/>
              </w:rPr>
              <w:tab/>
            </w:r>
            <w:r w:rsidR="00AA28FD">
              <w:rPr>
                <w:noProof/>
                <w:webHidden/>
              </w:rPr>
              <w:fldChar w:fldCharType="begin"/>
            </w:r>
            <w:r w:rsidR="00AA28FD">
              <w:rPr>
                <w:noProof/>
                <w:webHidden/>
              </w:rPr>
              <w:instrText xml:space="preserve"> PAGEREF _Toc498495463 \h </w:instrText>
            </w:r>
            <w:r w:rsidR="00AA28FD">
              <w:rPr>
                <w:noProof/>
                <w:webHidden/>
              </w:rPr>
            </w:r>
            <w:r w:rsidR="00AA28FD">
              <w:rPr>
                <w:noProof/>
                <w:webHidden/>
              </w:rPr>
              <w:fldChar w:fldCharType="separate"/>
            </w:r>
            <w:r w:rsidR="00622FF2">
              <w:rPr>
                <w:noProof/>
                <w:webHidden/>
              </w:rPr>
              <w:t>324</w:t>
            </w:r>
            <w:r w:rsidR="00AA28FD">
              <w:rPr>
                <w:noProof/>
                <w:webHidden/>
              </w:rPr>
              <w:fldChar w:fldCharType="end"/>
            </w:r>
          </w:hyperlink>
        </w:p>
        <w:p w14:paraId="208221E3"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64" w:history="1">
            <w:r w:rsidR="00AA28FD" w:rsidRPr="00D94A73">
              <w:rPr>
                <w:rStyle w:val="Hyperlink"/>
                <w:noProof/>
                <w:lang w:eastAsia="en-GB"/>
              </w:rPr>
              <w:t>3.3</w:t>
            </w:r>
            <w:r w:rsidR="00AA28FD">
              <w:rPr>
                <w:rFonts w:asciiTheme="minorHAnsi" w:eastAsiaTheme="minorEastAsia" w:hAnsiTheme="minorHAnsi" w:cstheme="minorBidi"/>
                <w:bCs w:val="0"/>
                <w:noProof/>
                <w:sz w:val="22"/>
                <w:szCs w:val="22"/>
                <w:lang w:eastAsia="en-GB"/>
              </w:rPr>
              <w:tab/>
            </w:r>
            <w:r w:rsidR="00AA28FD" w:rsidRPr="00D94A73">
              <w:rPr>
                <w:rStyle w:val="Hyperlink"/>
                <w:noProof/>
                <w:lang w:eastAsia="en-GB"/>
              </w:rPr>
              <w:t>Individual - PMS or APMS Contract</w:t>
            </w:r>
            <w:r w:rsidR="00AA28FD">
              <w:rPr>
                <w:noProof/>
                <w:webHidden/>
              </w:rPr>
              <w:tab/>
            </w:r>
            <w:r w:rsidR="00AA28FD">
              <w:rPr>
                <w:noProof/>
                <w:webHidden/>
              </w:rPr>
              <w:fldChar w:fldCharType="begin"/>
            </w:r>
            <w:r w:rsidR="00AA28FD">
              <w:rPr>
                <w:noProof/>
                <w:webHidden/>
              </w:rPr>
              <w:instrText xml:space="preserve"> PAGEREF _Toc498495464 \h </w:instrText>
            </w:r>
            <w:r w:rsidR="00AA28FD">
              <w:rPr>
                <w:noProof/>
                <w:webHidden/>
              </w:rPr>
            </w:r>
            <w:r w:rsidR="00AA28FD">
              <w:rPr>
                <w:noProof/>
                <w:webHidden/>
              </w:rPr>
              <w:fldChar w:fldCharType="separate"/>
            </w:r>
            <w:r w:rsidR="00622FF2">
              <w:rPr>
                <w:noProof/>
                <w:webHidden/>
              </w:rPr>
              <w:t>324</w:t>
            </w:r>
            <w:r w:rsidR="00AA28FD">
              <w:rPr>
                <w:noProof/>
                <w:webHidden/>
              </w:rPr>
              <w:fldChar w:fldCharType="end"/>
            </w:r>
          </w:hyperlink>
        </w:p>
        <w:p w14:paraId="3B5AC1FB"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65" w:history="1">
            <w:r w:rsidR="00AA28FD" w:rsidRPr="00D94A73">
              <w:rPr>
                <w:rStyle w:val="Hyperlink"/>
                <w:noProof/>
                <w:lang w:eastAsia="en-GB"/>
              </w:rPr>
              <w:t>3.4</w:t>
            </w:r>
            <w:r w:rsidR="00AA28FD">
              <w:rPr>
                <w:rFonts w:asciiTheme="minorHAnsi" w:eastAsiaTheme="minorEastAsia" w:hAnsiTheme="minorHAnsi" w:cstheme="minorBidi"/>
                <w:bCs w:val="0"/>
                <w:noProof/>
                <w:sz w:val="22"/>
                <w:szCs w:val="22"/>
                <w:lang w:eastAsia="en-GB"/>
              </w:rPr>
              <w:tab/>
            </w:r>
            <w:r w:rsidR="00AA28FD" w:rsidRPr="00D94A73">
              <w:rPr>
                <w:rStyle w:val="Hyperlink"/>
                <w:noProof/>
                <w:lang w:eastAsia="en-GB"/>
              </w:rPr>
              <w:t>Partnership - GMS Contract</w:t>
            </w:r>
            <w:r w:rsidR="00AA28FD">
              <w:rPr>
                <w:noProof/>
                <w:webHidden/>
              </w:rPr>
              <w:tab/>
            </w:r>
            <w:r w:rsidR="00AA28FD">
              <w:rPr>
                <w:noProof/>
                <w:webHidden/>
              </w:rPr>
              <w:fldChar w:fldCharType="begin"/>
            </w:r>
            <w:r w:rsidR="00AA28FD">
              <w:rPr>
                <w:noProof/>
                <w:webHidden/>
              </w:rPr>
              <w:instrText xml:space="preserve"> PAGEREF _Toc498495465 \h </w:instrText>
            </w:r>
            <w:r w:rsidR="00AA28FD">
              <w:rPr>
                <w:noProof/>
                <w:webHidden/>
              </w:rPr>
            </w:r>
            <w:r w:rsidR="00AA28FD">
              <w:rPr>
                <w:noProof/>
                <w:webHidden/>
              </w:rPr>
              <w:fldChar w:fldCharType="separate"/>
            </w:r>
            <w:r w:rsidR="00622FF2">
              <w:rPr>
                <w:noProof/>
                <w:webHidden/>
              </w:rPr>
              <w:t>325</w:t>
            </w:r>
            <w:r w:rsidR="00AA28FD">
              <w:rPr>
                <w:noProof/>
                <w:webHidden/>
              </w:rPr>
              <w:fldChar w:fldCharType="end"/>
            </w:r>
          </w:hyperlink>
        </w:p>
        <w:p w14:paraId="23D07CB9"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66" w:history="1">
            <w:r w:rsidR="00AA28FD" w:rsidRPr="00D94A73">
              <w:rPr>
                <w:rStyle w:val="Hyperlink"/>
                <w:noProof/>
                <w:lang w:eastAsia="en-GB"/>
              </w:rPr>
              <w:t>3.5</w:t>
            </w:r>
            <w:r w:rsidR="00AA28FD">
              <w:rPr>
                <w:rFonts w:asciiTheme="minorHAnsi" w:eastAsiaTheme="minorEastAsia" w:hAnsiTheme="minorHAnsi" w:cstheme="minorBidi"/>
                <w:bCs w:val="0"/>
                <w:noProof/>
                <w:sz w:val="22"/>
                <w:szCs w:val="22"/>
                <w:lang w:eastAsia="en-GB"/>
              </w:rPr>
              <w:tab/>
            </w:r>
            <w:r w:rsidR="00AA28FD" w:rsidRPr="00D94A73">
              <w:rPr>
                <w:rStyle w:val="Hyperlink"/>
                <w:noProof/>
                <w:lang w:eastAsia="en-GB"/>
              </w:rPr>
              <w:t>Two or More Signatories - PMS Agreement</w:t>
            </w:r>
            <w:r w:rsidR="00AA28FD">
              <w:rPr>
                <w:noProof/>
                <w:webHidden/>
              </w:rPr>
              <w:tab/>
            </w:r>
            <w:r w:rsidR="00AA28FD">
              <w:rPr>
                <w:noProof/>
                <w:webHidden/>
              </w:rPr>
              <w:fldChar w:fldCharType="begin"/>
            </w:r>
            <w:r w:rsidR="00AA28FD">
              <w:rPr>
                <w:noProof/>
                <w:webHidden/>
              </w:rPr>
              <w:instrText xml:space="preserve"> PAGEREF _Toc498495466 \h </w:instrText>
            </w:r>
            <w:r w:rsidR="00AA28FD">
              <w:rPr>
                <w:noProof/>
                <w:webHidden/>
              </w:rPr>
            </w:r>
            <w:r w:rsidR="00AA28FD">
              <w:rPr>
                <w:noProof/>
                <w:webHidden/>
              </w:rPr>
              <w:fldChar w:fldCharType="separate"/>
            </w:r>
            <w:r w:rsidR="00622FF2">
              <w:rPr>
                <w:noProof/>
                <w:webHidden/>
              </w:rPr>
              <w:t>328</w:t>
            </w:r>
            <w:r w:rsidR="00AA28FD">
              <w:rPr>
                <w:noProof/>
                <w:webHidden/>
              </w:rPr>
              <w:fldChar w:fldCharType="end"/>
            </w:r>
          </w:hyperlink>
        </w:p>
        <w:p w14:paraId="104D8413"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67" w:history="1">
            <w:r w:rsidR="00AA28FD" w:rsidRPr="00D94A73">
              <w:rPr>
                <w:rStyle w:val="Hyperlink"/>
                <w:noProof/>
                <w:lang w:eastAsia="en-GB"/>
              </w:rPr>
              <w:t>3.6</w:t>
            </w:r>
            <w:r w:rsidR="00AA28FD">
              <w:rPr>
                <w:rFonts w:asciiTheme="minorHAnsi" w:eastAsiaTheme="minorEastAsia" w:hAnsiTheme="minorHAnsi" w:cstheme="minorBidi"/>
                <w:bCs w:val="0"/>
                <w:noProof/>
                <w:sz w:val="22"/>
                <w:szCs w:val="22"/>
                <w:lang w:eastAsia="en-GB"/>
              </w:rPr>
              <w:tab/>
            </w:r>
            <w:r w:rsidR="00AA28FD" w:rsidRPr="00D94A73">
              <w:rPr>
                <w:rStyle w:val="Hyperlink"/>
                <w:noProof/>
                <w:lang w:eastAsia="en-GB"/>
              </w:rPr>
              <w:t>Two or More Signatories - APMS Contract</w:t>
            </w:r>
            <w:r w:rsidR="00AA28FD">
              <w:rPr>
                <w:noProof/>
                <w:webHidden/>
              </w:rPr>
              <w:tab/>
            </w:r>
            <w:r w:rsidR="00AA28FD">
              <w:rPr>
                <w:noProof/>
                <w:webHidden/>
              </w:rPr>
              <w:fldChar w:fldCharType="begin"/>
            </w:r>
            <w:r w:rsidR="00AA28FD">
              <w:rPr>
                <w:noProof/>
                <w:webHidden/>
              </w:rPr>
              <w:instrText xml:space="preserve"> PAGEREF _Toc498495467 \h </w:instrText>
            </w:r>
            <w:r w:rsidR="00AA28FD">
              <w:rPr>
                <w:noProof/>
                <w:webHidden/>
              </w:rPr>
            </w:r>
            <w:r w:rsidR="00AA28FD">
              <w:rPr>
                <w:noProof/>
                <w:webHidden/>
              </w:rPr>
              <w:fldChar w:fldCharType="separate"/>
            </w:r>
            <w:r w:rsidR="00622FF2">
              <w:rPr>
                <w:noProof/>
                <w:webHidden/>
              </w:rPr>
              <w:t>329</w:t>
            </w:r>
            <w:r w:rsidR="00AA28FD">
              <w:rPr>
                <w:noProof/>
                <w:webHidden/>
              </w:rPr>
              <w:fldChar w:fldCharType="end"/>
            </w:r>
          </w:hyperlink>
        </w:p>
        <w:p w14:paraId="08D08F98"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68" w:history="1">
            <w:r w:rsidR="00AA28FD" w:rsidRPr="00D94A73">
              <w:rPr>
                <w:rStyle w:val="Hyperlink"/>
                <w:noProof/>
              </w:rPr>
              <w:t>3.7</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Practical Issues Arising from Death of a Contractor</w:t>
            </w:r>
            <w:r w:rsidR="00AA28FD">
              <w:rPr>
                <w:noProof/>
                <w:webHidden/>
              </w:rPr>
              <w:tab/>
            </w:r>
            <w:r w:rsidR="00AA28FD">
              <w:rPr>
                <w:noProof/>
                <w:webHidden/>
              </w:rPr>
              <w:fldChar w:fldCharType="begin"/>
            </w:r>
            <w:r w:rsidR="00AA28FD">
              <w:rPr>
                <w:noProof/>
                <w:webHidden/>
              </w:rPr>
              <w:instrText xml:space="preserve"> PAGEREF _Toc498495468 \h </w:instrText>
            </w:r>
            <w:r w:rsidR="00AA28FD">
              <w:rPr>
                <w:noProof/>
                <w:webHidden/>
              </w:rPr>
            </w:r>
            <w:r w:rsidR="00AA28FD">
              <w:rPr>
                <w:noProof/>
                <w:webHidden/>
              </w:rPr>
              <w:fldChar w:fldCharType="separate"/>
            </w:r>
            <w:r w:rsidR="00622FF2">
              <w:rPr>
                <w:noProof/>
                <w:webHidden/>
              </w:rPr>
              <w:t>329</w:t>
            </w:r>
            <w:r w:rsidR="00AA28FD">
              <w:rPr>
                <w:noProof/>
                <w:webHidden/>
              </w:rPr>
              <w:fldChar w:fldCharType="end"/>
            </w:r>
          </w:hyperlink>
        </w:p>
        <w:p w14:paraId="442160A8" w14:textId="77777777" w:rsidR="00AA28FD" w:rsidRDefault="000E7846">
          <w:pPr>
            <w:pStyle w:val="TOC1"/>
            <w:rPr>
              <w:rFonts w:asciiTheme="minorHAnsi" w:eastAsiaTheme="minorEastAsia" w:hAnsiTheme="minorHAnsi" w:cstheme="minorBidi"/>
              <w:bCs w:val="0"/>
              <w:color w:val="auto"/>
              <w:sz w:val="22"/>
              <w:szCs w:val="22"/>
              <w:lang w:eastAsia="en-GB"/>
            </w:rPr>
          </w:pPr>
          <w:hyperlink w:anchor="_Toc498495469" w:history="1">
            <w:r w:rsidR="00AA28FD" w:rsidRPr="00D94A73">
              <w:rPr>
                <w:rStyle w:val="Hyperlink"/>
                <w:lang w:eastAsia="en-GB"/>
              </w:rPr>
              <w:t>4</w:t>
            </w:r>
            <w:r w:rsidR="00AA28FD">
              <w:rPr>
                <w:rFonts w:asciiTheme="minorHAnsi" w:eastAsiaTheme="minorEastAsia" w:hAnsiTheme="minorHAnsi" w:cstheme="minorBidi"/>
                <w:bCs w:val="0"/>
                <w:color w:val="auto"/>
                <w:sz w:val="22"/>
                <w:szCs w:val="22"/>
                <w:lang w:eastAsia="en-GB"/>
              </w:rPr>
              <w:tab/>
            </w:r>
            <w:r w:rsidR="00AA28FD" w:rsidRPr="00D94A73">
              <w:rPr>
                <w:rStyle w:val="Hyperlink"/>
                <w:lang w:eastAsia="en-GB"/>
              </w:rPr>
              <w:t>Managing Disputes</w:t>
            </w:r>
            <w:r w:rsidR="00AA28FD">
              <w:rPr>
                <w:webHidden/>
              </w:rPr>
              <w:tab/>
            </w:r>
            <w:r w:rsidR="00AA28FD">
              <w:rPr>
                <w:webHidden/>
              </w:rPr>
              <w:fldChar w:fldCharType="begin"/>
            </w:r>
            <w:r w:rsidR="00AA28FD">
              <w:rPr>
                <w:webHidden/>
              </w:rPr>
              <w:instrText xml:space="preserve"> PAGEREF _Toc498495469 \h </w:instrText>
            </w:r>
            <w:r w:rsidR="00AA28FD">
              <w:rPr>
                <w:webHidden/>
              </w:rPr>
            </w:r>
            <w:r w:rsidR="00AA28FD">
              <w:rPr>
                <w:webHidden/>
              </w:rPr>
              <w:fldChar w:fldCharType="separate"/>
            </w:r>
            <w:r w:rsidR="00622FF2">
              <w:rPr>
                <w:webHidden/>
              </w:rPr>
              <w:t>332</w:t>
            </w:r>
            <w:r w:rsidR="00AA28FD">
              <w:rPr>
                <w:webHidden/>
              </w:rPr>
              <w:fldChar w:fldCharType="end"/>
            </w:r>
          </w:hyperlink>
        </w:p>
        <w:p w14:paraId="4F85EDD7"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70" w:history="1">
            <w:r w:rsidR="00AA28FD" w:rsidRPr="00D94A73">
              <w:rPr>
                <w:rStyle w:val="Hyperlink"/>
                <w:noProof/>
                <w:lang w:eastAsia="en-GB"/>
              </w:rPr>
              <w:t>4.1</w:t>
            </w:r>
            <w:r w:rsidR="00AA28FD">
              <w:rPr>
                <w:rFonts w:asciiTheme="minorHAnsi" w:eastAsiaTheme="minorEastAsia" w:hAnsiTheme="minorHAnsi" w:cstheme="minorBidi"/>
                <w:bCs w:val="0"/>
                <w:noProof/>
                <w:sz w:val="22"/>
                <w:szCs w:val="22"/>
                <w:lang w:eastAsia="en-GB"/>
              </w:rPr>
              <w:tab/>
            </w:r>
            <w:r w:rsidR="00AA28FD" w:rsidRPr="00D94A73">
              <w:rPr>
                <w:rStyle w:val="Hyperlink"/>
                <w:noProof/>
                <w:lang w:eastAsia="en-GB"/>
              </w:rPr>
              <w:t>Introduction</w:t>
            </w:r>
            <w:r w:rsidR="00AA28FD">
              <w:rPr>
                <w:noProof/>
                <w:webHidden/>
              </w:rPr>
              <w:tab/>
            </w:r>
            <w:r w:rsidR="00AA28FD">
              <w:rPr>
                <w:noProof/>
                <w:webHidden/>
              </w:rPr>
              <w:fldChar w:fldCharType="begin"/>
            </w:r>
            <w:r w:rsidR="00AA28FD">
              <w:rPr>
                <w:noProof/>
                <w:webHidden/>
              </w:rPr>
              <w:instrText xml:space="preserve"> PAGEREF _Toc498495470 \h </w:instrText>
            </w:r>
            <w:r w:rsidR="00AA28FD">
              <w:rPr>
                <w:noProof/>
                <w:webHidden/>
              </w:rPr>
            </w:r>
            <w:r w:rsidR="00AA28FD">
              <w:rPr>
                <w:noProof/>
                <w:webHidden/>
              </w:rPr>
              <w:fldChar w:fldCharType="separate"/>
            </w:r>
            <w:r w:rsidR="00622FF2">
              <w:rPr>
                <w:noProof/>
                <w:webHidden/>
              </w:rPr>
              <w:t>332</w:t>
            </w:r>
            <w:r w:rsidR="00AA28FD">
              <w:rPr>
                <w:noProof/>
                <w:webHidden/>
              </w:rPr>
              <w:fldChar w:fldCharType="end"/>
            </w:r>
          </w:hyperlink>
        </w:p>
        <w:p w14:paraId="60021EA8"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71" w:history="1">
            <w:r w:rsidR="00AA28FD" w:rsidRPr="00D94A73">
              <w:rPr>
                <w:rStyle w:val="Hyperlink"/>
                <w:noProof/>
                <w:lang w:eastAsia="en-GB"/>
              </w:rPr>
              <w:t>4.2</w:t>
            </w:r>
            <w:r w:rsidR="00AA28FD">
              <w:rPr>
                <w:rFonts w:asciiTheme="minorHAnsi" w:eastAsiaTheme="minorEastAsia" w:hAnsiTheme="minorHAnsi" w:cstheme="minorBidi"/>
                <w:bCs w:val="0"/>
                <w:noProof/>
                <w:sz w:val="22"/>
                <w:szCs w:val="22"/>
                <w:lang w:eastAsia="en-GB"/>
              </w:rPr>
              <w:tab/>
            </w:r>
            <w:r w:rsidR="00AA28FD" w:rsidRPr="00D94A73">
              <w:rPr>
                <w:rStyle w:val="Hyperlink"/>
                <w:noProof/>
                <w:lang w:eastAsia="en-GB"/>
              </w:rPr>
              <w:t>Background</w:t>
            </w:r>
            <w:r w:rsidR="00AA28FD">
              <w:rPr>
                <w:noProof/>
                <w:webHidden/>
              </w:rPr>
              <w:tab/>
            </w:r>
            <w:r w:rsidR="00AA28FD">
              <w:rPr>
                <w:noProof/>
                <w:webHidden/>
              </w:rPr>
              <w:fldChar w:fldCharType="begin"/>
            </w:r>
            <w:r w:rsidR="00AA28FD">
              <w:rPr>
                <w:noProof/>
                <w:webHidden/>
              </w:rPr>
              <w:instrText xml:space="preserve"> PAGEREF _Toc498495471 \h </w:instrText>
            </w:r>
            <w:r w:rsidR="00AA28FD">
              <w:rPr>
                <w:noProof/>
                <w:webHidden/>
              </w:rPr>
            </w:r>
            <w:r w:rsidR="00AA28FD">
              <w:rPr>
                <w:noProof/>
                <w:webHidden/>
              </w:rPr>
              <w:fldChar w:fldCharType="separate"/>
            </w:r>
            <w:r w:rsidR="00622FF2">
              <w:rPr>
                <w:noProof/>
                <w:webHidden/>
              </w:rPr>
              <w:t>332</w:t>
            </w:r>
            <w:r w:rsidR="00AA28FD">
              <w:rPr>
                <w:noProof/>
                <w:webHidden/>
              </w:rPr>
              <w:fldChar w:fldCharType="end"/>
            </w:r>
          </w:hyperlink>
        </w:p>
        <w:p w14:paraId="4C5EECCB"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72" w:history="1">
            <w:r w:rsidR="00AA28FD" w:rsidRPr="00D94A73">
              <w:rPr>
                <w:rStyle w:val="Hyperlink"/>
                <w:noProof/>
                <w:lang w:eastAsia="en-GB"/>
              </w:rPr>
              <w:t>4.3</w:t>
            </w:r>
            <w:r w:rsidR="00AA28FD">
              <w:rPr>
                <w:rFonts w:asciiTheme="minorHAnsi" w:eastAsiaTheme="minorEastAsia" w:hAnsiTheme="minorHAnsi" w:cstheme="minorBidi"/>
                <w:bCs w:val="0"/>
                <w:noProof/>
                <w:sz w:val="22"/>
                <w:szCs w:val="22"/>
                <w:lang w:eastAsia="en-GB"/>
              </w:rPr>
              <w:tab/>
            </w:r>
            <w:r w:rsidR="00AA28FD" w:rsidRPr="00D94A73">
              <w:rPr>
                <w:rStyle w:val="Hyperlink"/>
                <w:noProof/>
                <w:lang w:eastAsia="en-GB"/>
              </w:rPr>
              <w:t>Managing Disputes – Informal Process</w:t>
            </w:r>
            <w:r w:rsidR="00AA28FD">
              <w:rPr>
                <w:noProof/>
                <w:webHidden/>
              </w:rPr>
              <w:tab/>
            </w:r>
            <w:r w:rsidR="00AA28FD">
              <w:rPr>
                <w:noProof/>
                <w:webHidden/>
              </w:rPr>
              <w:fldChar w:fldCharType="begin"/>
            </w:r>
            <w:r w:rsidR="00AA28FD">
              <w:rPr>
                <w:noProof/>
                <w:webHidden/>
              </w:rPr>
              <w:instrText xml:space="preserve"> PAGEREF _Toc498495472 \h </w:instrText>
            </w:r>
            <w:r w:rsidR="00AA28FD">
              <w:rPr>
                <w:noProof/>
                <w:webHidden/>
              </w:rPr>
            </w:r>
            <w:r w:rsidR="00AA28FD">
              <w:rPr>
                <w:noProof/>
                <w:webHidden/>
              </w:rPr>
              <w:fldChar w:fldCharType="separate"/>
            </w:r>
            <w:r w:rsidR="00622FF2">
              <w:rPr>
                <w:noProof/>
                <w:webHidden/>
              </w:rPr>
              <w:t>333</w:t>
            </w:r>
            <w:r w:rsidR="00AA28FD">
              <w:rPr>
                <w:noProof/>
                <w:webHidden/>
              </w:rPr>
              <w:fldChar w:fldCharType="end"/>
            </w:r>
          </w:hyperlink>
        </w:p>
        <w:p w14:paraId="70AF18CF"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73" w:history="1">
            <w:r w:rsidR="00AA28FD" w:rsidRPr="00D94A73">
              <w:rPr>
                <w:rStyle w:val="Hyperlink"/>
                <w:noProof/>
                <w:lang w:eastAsia="en-GB"/>
              </w:rPr>
              <w:t>4.4</w:t>
            </w:r>
            <w:r w:rsidR="00AA28FD">
              <w:rPr>
                <w:rFonts w:asciiTheme="minorHAnsi" w:eastAsiaTheme="minorEastAsia" w:hAnsiTheme="minorHAnsi" w:cstheme="minorBidi"/>
                <w:bCs w:val="0"/>
                <w:noProof/>
                <w:sz w:val="22"/>
                <w:szCs w:val="22"/>
                <w:lang w:eastAsia="en-GB"/>
              </w:rPr>
              <w:tab/>
            </w:r>
            <w:r w:rsidR="00AA28FD" w:rsidRPr="00D94A73">
              <w:rPr>
                <w:rStyle w:val="Hyperlink"/>
                <w:noProof/>
                <w:lang w:eastAsia="en-GB"/>
              </w:rPr>
              <w:t>Managing Disputes – Stage 1 (Local Dispute Resolution)</w:t>
            </w:r>
            <w:r w:rsidR="00AA28FD">
              <w:rPr>
                <w:noProof/>
                <w:webHidden/>
              </w:rPr>
              <w:tab/>
            </w:r>
            <w:r w:rsidR="00AA28FD">
              <w:rPr>
                <w:noProof/>
                <w:webHidden/>
              </w:rPr>
              <w:fldChar w:fldCharType="begin"/>
            </w:r>
            <w:r w:rsidR="00AA28FD">
              <w:rPr>
                <w:noProof/>
                <w:webHidden/>
              </w:rPr>
              <w:instrText xml:space="preserve"> PAGEREF _Toc498495473 \h </w:instrText>
            </w:r>
            <w:r w:rsidR="00AA28FD">
              <w:rPr>
                <w:noProof/>
                <w:webHidden/>
              </w:rPr>
            </w:r>
            <w:r w:rsidR="00AA28FD">
              <w:rPr>
                <w:noProof/>
                <w:webHidden/>
              </w:rPr>
              <w:fldChar w:fldCharType="separate"/>
            </w:r>
            <w:r w:rsidR="00622FF2">
              <w:rPr>
                <w:noProof/>
                <w:webHidden/>
              </w:rPr>
              <w:t>334</w:t>
            </w:r>
            <w:r w:rsidR="00AA28FD">
              <w:rPr>
                <w:noProof/>
                <w:webHidden/>
              </w:rPr>
              <w:fldChar w:fldCharType="end"/>
            </w:r>
          </w:hyperlink>
        </w:p>
        <w:p w14:paraId="0857C114"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74" w:history="1">
            <w:r w:rsidR="00AA28FD" w:rsidRPr="00D94A73">
              <w:rPr>
                <w:rStyle w:val="Hyperlink"/>
                <w:noProof/>
                <w:lang w:eastAsia="en-GB"/>
              </w:rPr>
              <w:t>4.5</w:t>
            </w:r>
            <w:r w:rsidR="00AA28FD">
              <w:rPr>
                <w:rFonts w:asciiTheme="minorHAnsi" w:eastAsiaTheme="minorEastAsia" w:hAnsiTheme="minorHAnsi" w:cstheme="minorBidi"/>
                <w:bCs w:val="0"/>
                <w:noProof/>
                <w:sz w:val="22"/>
                <w:szCs w:val="22"/>
                <w:lang w:eastAsia="en-GB"/>
              </w:rPr>
              <w:tab/>
            </w:r>
            <w:r w:rsidR="00AA28FD" w:rsidRPr="00D94A73">
              <w:rPr>
                <w:rStyle w:val="Hyperlink"/>
                <w:noProof/>
                <w:lang w:eastAsia="en-GB"/>
              </w:rPr>
              <w:t>Managing Disputes – Stage 2 (NHS Dispute Resolution Procedure)</w:t>
            </w:r>
            <w:r w:rsidR="00AA28FD">
              <w:rPr>
                <w:noProof/>
                <w:webHidden/>
              </w:rPr>
              <w:tab/>
            </w:r>
            <w:r w:rsidR="00AA28FD">
              <w:rPr>
                <w:noProof/>
                <w:webHidden/>
              </w:rPr>
              <w:fldChar w:fldCharType="begin"/>
            </w:r>
            <w:r w:rsidR="00AA28FD">
              <w:rPr>
                <w:noProof/>
                <w:webHidden/>
              </w:rPr>
              <w:instrText xml:space="preserve"> PAGEREF _Toc498495474 \h </w:instrText>
            </w:r>
            <w:r w:rsidR="00AA28FD">
              <w:rPr>
                <w:noProof/>
                <w:webHidden/>
              </w:rPr>
            </w:r>
            <w:r w:rsidR="00AA28FD">
              <w:rPr>
                <w:noProof/>
                <w:webHidden/>
              </w:rPr>
              <w:fldChar w:fldCharType="separate"/>
            </w:r>
            <w:r w:rsidR="00622FF2">
              <w:rPr>
                <w:noProof/>
                <w:webHidden/>
              </w:rPr>
              <w:t>336</w:t>
            </w:r>
            <w:r w:rsidR="00AA28FD">
              <w:rPr>
                <w:noProof/>
                <w:webHidden/>
              </w:rPr>
              <w:fldChar w:fldCharType="end"/>
            </w:r>
          </w:hyperlink>
        </w:p>
        <w:p w14:paraId="2996C3C1"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75" w:history="1">
            <w:r w:rsidR="00AA28FD" w:rsidRPr="00D94A73">
              <w:rPr>
                <w:rStyle w:val="Hyperlink"/>
                <w:rFonts w:cs="Arial"/>
                <w:noProof/>
                <w:lang w:eastAsia="en-GB"/>
              </w:rPr>
              <w:t>Co-commissioning - delegated commissioning arrangements</w:t>
            </w:r>
            <w:r w:rsidR="00AA28FD">
              <w:rPr>
                <w:noProof/>
                <w:webHidden/>
              </w:rPr>
              <w:tab/>
            </w:r>
            <w:r w:rsidR="00AA28FD">
              <w:rPr>
                <w:noProof/>
                <w:webHidden/>
              </w:rPr>
              <w:fldChar w:fldCharType="begin"/>
            </w:r>
            <w:r w:rsidR="00AA28FD">
              <w:rPr>
                <w:noProof/>
                <w:webHidden/>
              </w:rPr>
              <w:instrText xml:space="preserve"> PAGEREF _Toc498495475 \h </w:instrText>
            </w:r>
            <w:r w:rsidR="00AA28FD">
              <w:rPr>
                <w:noProof/>
                <w:webHidden/>
              </w:rPr>
            </w:r>
            <w:r w:rsidR="00AA28FD">
              <w:rPr>
                <w:noProof/>
                <w:webHidden/>
              </w:rPr>
              <w:fldChar w:fldCharType="separate"/>
            </w:r>
            <w:r w:rsidR="00622FF2">
              <w:rPr>
                <w:noProof/>
                <w:webHidden/>
              </w:rPr>
              <w:t>337</w:t>
            </w:r>
            <w:r w:rsidR="00AA28FD">
              <w:rPr>
                <w:noProof/>
                <w:webHidden/>
              </w:rPr>
              <w:fldChar w:fldCharType="end"/>
            </w:r>
          </w:hyperlink>
        </w:p>
        <w:p w14:paraId="17E09264"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76" w:history="1">
            <w:r w:rsidR="00AA28FD" w:rsidRPr="00D94A73">
              <w:rPr>
                <w:rStyle w:val="Hyperlink"/>
                <w:noProof/>
                <w:lang w:eastAsia="en-GB"/>
              </w:rPr>
              <w:t>4.6</w:t>
            </w:r>
            <w:r w:rsidR="00AA28FD">
              <w:rPr>
                <w:rFonts w:asciiTheme="minorHAnsi" w:eastAsiaTheme="minorEastAsia" w:hAnsiTheme="minorHAnsi" w:cstheme="minorBidi"/>
                <w:bCs w:val="0"/>
                <w:noProof/>
                <w:sz w:val="22"/>
                <w:szCs w:val="22"/>
                <w:lang w:eastAsia="en-GB"/>
              </w:rPr>
              <w:tab/>
            </w:r>
            <w:r w:rsidR="00AA28FD" w:rsidRPr="00D94A73">
              <w:rPr>
                <w:rStyle w:val="Hyperlink"/>
                <w:noProof/>
                <w:lang w:eastAsia="en-GB"/>
              </w:rPr>
              <w:t>Other Dispute Resolution Procedures</w:t>
            </w:r>
            <w:r w:rsidR="00AA28FD">
              <w:rPr>
                <w:noProof/>
                <w:webHidden/>
              </w:rPr>
              <w:tab/>
            </w:r>
            <w:r w:rsidR="00AA28FD">
              <w:rPr>
                <w:noProof/>
                <w:webHidden/>
              </w:rPr>
              <w:fldChar w:fldCharType="begin"/>
            </w:r>
            <w:r w:rsidR="00AA28FD">
              <w:rPr>
                <w:noProof/>
                <w:webHidden/>
              </w:rPr>
              <w:instrText xml:space="preserve"> PAGEREF _Toc498495476 \h </w:instrText>
            </w:r>
            <w:r w:rsidR="00AA28FD">
              <w:rPr>
                <w:noProof/>
                <w:webHidden/>
              </w:rPr>
            </w:r>
            <w:r w:rsidR="00AA28FD">
              <w:rPr>
                <w:noProof/>
                <w:webHidden/>
              </w:rPr>
              <w:fldChar w:fldCharType="separate"/>
            </w:r>
            <w:r w:rsidR="00622FF2">
              <w:rPr>
                <w:noProof/>
                <w:webHidden/>
              </w:rPr>
              <w:t>337</w:t>
            </w:r>
            <w:r w:rsidR="00AA28FD">
              <w:rPr>
                <w:noProof/>
                <w:webHidden/>
              </w:rPr>
              <w:fldChar w:fldCharType="end"/>
            </w:r>
          </w:hyperlink>
        </w:p>
        <w:p w14:paraId="1D5CC08D"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77" w:history="1">
            <w:r w:rsidR="00AA28FD" w:rsidRPr="00D94A73">
              <w:rPr>
                <w:rStyle w:val="Hyperlink"/>
                <w:noProof/>
                <w:lang w:eastAsia="en-GB"/>
              </w:rPr>
              <w:t>4.7</w:t>
            </w:r>
            <w:r w:rsidR="00AA28FD">
              <w:rPr>
                <w:rFonts w:asciiTheme="minorHAnsi" w:eastAsiaTheme="minorEastAsia" w:hAnsiTheme="minorHAnsi" w:cstheme="minorBidi"/>
                <w:bCs w:val="0"/>
                <w:noProof/>
                <w:sz w:val="22"/>
                <w:szCs w:val="22"/>
                <w:lang w:eastAsia="en-GB"/>
              </w:rPr>
              <w:tab/>
            </w:r>
            <w:r w:rsidR="00AA28FD" w:rsidRPr="00D94A73">
              <w:rPr>
                <w:rStyle w:val="Hyperlink"/>
                <w:noProof/>
                <w:lang w:eastAsia="en-GB"/>
              </w:rPr>
              <w:t>Assignment of Patients to Lists: Procedure Relating to Determinations of the Assessment Panel</w:t>
            </w:r>
            <w:r w:rsidR="00AA28FD">
              <w:rPr>
                <w:noProof/>
                <w:webHidden/>
              </w:rPr>
              <w:tab/>
            </w:r>
            <w:r w:rsidR="00AA28FD">
              <w:rPr>
                <w:noProof/>
                <w:webHidden/>
              </w:rPr>
              <w:fldChar w:fldCharType="begin"/>
            </w:r>
            <w:r w:rsidR="00AA28FD">
              <w:rPr>
                <w:noProof/>
                <w:webHidden/>
              </w:rPr>
              <w:instrText xml:space="preserve"> PAGEREF _Toc498495477 \h </w:instrText>
            </w:r>
            <w:r w:rsidR="00AA28FD">
              <w:rPr>
                <w:noProof/>
                <w:webHidden/>
              </w:rPr>
            </w:r>
            <w:r w:rsidR="00AA28FD">
              <w:rPr>
                <w:noProof/>
                <w:webHidden/>
              </w:rPr>
              <w:fldChar w:fldCharType="separate"/>
            </w:r>
            <w:r w:rsidR="00622FF2">
              <w:rPr>
                <w:noProof/>
                <w:webHidden/>
              </w:rPr>
              <w:t>338</w:t>
            </w:r>
            <w:r w:rsidR="00AA28FD">
              <w:rPr>
                <w:noProof/>
                <w:webHidden/>
              </w:rPr>
              <w:fldChar w:fldCharType="end"/>
            </w:r>
          </w:hyperlink>
        </w:p>
        <w:p w14:paraId="0A5399DF" w14:textId="77777777" w:rsidR="00AA28FD" w:rsidRDefault="000E7846">
          <w:pPr>
            <w:pStyle w:val="TOC1"/>
            <w:rPr>
              <w:rFonts w:asciiTheme="minorHAnsi" w:eastAsiaTheme="minorEastAsia" w:hAnsiTheme="minorHAnsi" w:cstheme="minorBidi"/>
              <w:bCs w:val="0"/>
              <w:color w:val="auto"/>
              <w:sz w:val="22"/>
              <w:szCs w:val="22"/>
              <w:lang w:eastAsia="en-GB"/>
            </w:rPr>
          </w:pPr>
          <w:hyperlink w:anchor="_Toc498495478" w:history="1">
            <w:r w:rsidR="00AA28FD" w:rsidRPr="00D94A73">
              <w:rPr>
                <w:rStyle w:val="Hyperlink"/>
              </w:rPr>
              <w:t>5</w:t>
            </w:r>
            <w:r w:rsidR="00AA28FD">
              <w:rPr>
                <w:rFonts w:asciiTheme="minorHAnsi" w:eastAsiaTheme="minorEastAsia" w:hAnsiTheme="minorHAnsi" w:cstheme="minorBidi"/>
                <w:bCs w:val="0"/>
                <w:color w:val="auto"/>
                <w:sz w:val="22"/>
                <w:szCs w:val="22"/>
                <w:lang w:eastAsia="en-GB"/>
              </w:rPr>
              <w:tab/>
            </w:r>
            <w:r w:rsidR="00AA28FD" w:rsidRPr="00D94A73">
              <w:rPr>
                <w:rStyle w:val="Hyperlink"/>
              </w:rPr>
              <w:t>Adverse Events (e.g. flood fire)</w:t>
            </w:r>
            <w:r w:rsidR="00AA28FD">
              <w:rPr>
                <w:webHidden/>
              </w:rPr>
              <w:tab/>
            </w:r>
            <w:r w:rsidR="00AA28FD">
              <w:rPr>
                <w:webHidden/>
              </w:rPr>
              <w:fldChar w:fldCharType="begin"/>
            </w:r>
            <w:r w:rsidR="00AA28FD">
              <w:rPr>
                <w:webHidden/>
              </w:rPr>
              <w:instrText xml:space="preserve"> PAGEREF _Toc498495478 \h </w:instrText>
            </w:r>
            <w:r w:rsidR="00AA28FD">
              <w:rPr>
                <w:webHidden/>
              </w:rPr>
            </w:r>
            <w:r w:rsidR="00AA28FD">
              <w:rPr>
                <w:webHidden/>
              </w:rPr>
              <w:fldChar w:fldCharType="separate"/>
            </w:r>
            <w:r w:rsidR="00622FF2">
              <w:rPr>
                <w:webHidden/>
              </w:rPr>
              <w:t>342</w:t>
            </w:r>
            <w:r w:rsidR="00AA28FD">
              <w:rPr>
                <w:webHidden/>
              </w:rPr>
              <w:fldChar w:fldCharType="end"/>
            </w:r>
          </w:hyperlink>
        </w:p>
        <w:p w14:paraId="4442BFC7"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79" w:history="1">
            <w:r w:rsidR="00AA28FD" w:rsidRPr="00D94A73">
              <w:rPr>
                <w:rStyle w:val="Hyperlink"/>
                <w:noProof/>
                <w:lang w:eastAsia="en-GB"/>
              </w:rPr>
              <w:t>5.1</w:t>
            </w:r>
            <w:r w:rsidR="00AA28FD">
              <w:rPr>
                <w:rFonts w:asciiTheme="minorHAnsi" w:eastAsiaTheme="minorEastAsia" w:hAnsiTheme="minorHAnsi" w:cstheme="minorBidi"/>
                <w:bCs w:val="0"/>
                <w:noProof/>
                <w:sz w:val="22"/>
                <w:szCs w:val="22"/>
                <w:lang w:eastAsia="en-GB"/>
              </w:rPr>
              <w:tab/>
            </w:r>
            <w:r w:rsidR="00AA28FD" w:rsidRPr="00D94A73">
              <w:rPr>
                <w:rStyle w:val="Hyperlink"/>
                <w:noProof/>
                <w:lang w:eastAsia="en-GB"/>
              </w:rPr>
              <w:t>Background</w:t>
            </w:r>
            <w:r w:rsidR="00AA28FD">
              <w:rPr>
                <w:noProof/>
                <w:webHidden/>
              </w:rPr>
              <w:tab/>
            </w:r>
            <w:r w:rsidR="00AA28FD">
              <w:rPr>
                <w:noProof/>
                <w:webHidden/>
              </w:rPr>
              <w:fldChar w:fldCharType="begin"/>
            </w:r>
            <w:r w:rsidR="00AA28FD">
              <w:rPr>
                <w:noProof/>
                <w:webHidden/>
              </w:rPr>
              <w:instrText xml:space="preserve"> PAGEREF _Toc498495479 \h </w:instrText>
            </w:r>
            <w:r w:rsidR="00AA28FD">
              <w:rPr>
                <w:noProof/>
                <w:webHidden/>
              </w:rPr>
            </w:r>
            <w:r w:rsidR="00AA28FD">
              <w:rPr>
                <w:noProof/>
                <w:webHidden/>
              </w:rPr>
              <w:fldChar w:fldCharType="separate"/>
            </w:r>
            <w:r w:rsidR="00622FF2">
              <w:rPr>
                <w:noProof/>
                <w:webHidden/>
              </w:rPr>
              <w:t>342</w:t>
            </w:r>
            <w:r w:rsidR="00AA28FD">
              <w:rPr>
                <w:noProof/>
                <w:webHidden/>
              </w:rPr>
              <w:fldChar w:fldCharType="end"/>
            </w:r>
          </w:hyperlink>
        </w:p>
        <w:p w14:paraId="4FC3FEDF"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80" w:history="1">
            <w:r w:rsidR="00AA28FD" w:rsidRPr="00D94A73">
              <w:rPr>
                <w:rStyle w:val="Hyperlink"/>
                <w:rFonts w:eastAsia="MS Mincho"/>
                <w:noProof/>
              </w:rPr>
              <w:t>5.2</w:t>
            </w:r>
            <w:r w:rsidR="00AA28FD">
              <w:rPr>
                <w:rFonts w:asciiTheme="minorHAnsi" w:eastAsiaTheme="minorEastAsia" w:hAnsiTheme="minorHAnsi" w:cstheme="minorBidi"/>
                <w:bCs w:val="0"/>
                <w:noProof/>
                <w:sz w:val="22"/>
                <w:szCs w:val="22"/>
                <w:lang w:eastAsia="en-GB"/>
              </w:rPr>
              <w:tab/>
            </w:r>
            <w:r w:rsidR="00AA28FD" w:rsidRPr="00D94A73">
              <w:rPr>
                <w:rStyle w:val="Hyperlink"/>
                <w:rFonts w:eastAsia="MS Mincho"/>
                <w:noProof/>
              </w:rPr>
              <w:t>Contract Wording</w:t>
            </w:r>
            <w:r w:rsidR="00AA28FD">
              <w:rPr>
                <w:noProof/>
                <w:webHidden/>
              </w:rPr>
              <w:tab/>
            </w:r>
            <w:r w:rsidR="00AA28FD">
              <w:rPr>
                <w:noProof/>
                <w:webHidden/>
              </w:rPr>
              <w:fldChar w:fldCharType="begin"/>
            </w:r>
            <w:r w:rsidR="00AA28FD">
              <w:rPr>
                <w:noProof/>
                <w:webHidden/>
              </w:rPr>
              <w:instrText xml:space="preserve"> PAGEREF _Toc498495480 \h </w:instrText>
            </w:r>
            <w:r w:rsidR="00AA28FD">
              <w:rPr>
                <w:noProof/>
                <w:webHidden/>
              </w:rPr>
            </w:r>
            <w:r w:rsidR="00AA28FD">
              <w:rPr>
                <w:noProof/>
                <w:webHidden/>
              </w:rPr>
              <w:fldChar w:fldCharType="separate"/>
            </w:r>
            <w:r w:rsidR="00622FF2">
              <w:rPr>
                <w:noProof/>
                <w:webHidden/>
              </w:rPr>
              <w:t>342</w:t>
            </w:r>
            <w:r w:rsidR="00AA28FD">
              <w:rPr>
                <w:noProof/>
                <w:webHidden/>
              </w:rPr>
              <w:fldChar w:fldCharType="end"/>
            </w:r>
          </w:hyperlink>
        </w:p>
        <w:p w14:paraId="2D159917"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81" w:history="1">
            <w:r w:rsidR="00AA28FD" w:rsidRPr="00D94A73">
              <w:rPr>
                <w:rStyle w:val="Hyperlink"/>
                <w:rFonts w:eastAsia="MS Mincho"/>
                <w:noProof/>
                <w:lang w:eastAsia="en-GB"/>
              </w:rPr>
              <w:t>5.3</w:t>
            </w:r>
            <w:r w:rsidR="00AA28FD">
              <w:rPr>
                <w:rFonts w:asciiTheme="minorHAnsi" w:eastAsiaTheme="minorEastAsia" w:hAnsiTheme="minorHAnsi" w:cstheme="minorBidi"/>
                <w:bCs w:val="0"/>
                <w:noProof/>
                <w:sz w:val="22"/>
                <w:szCs w:val="22"/>
                <w:lang w:eastAsia="en-GB"/>
              </w:rPr>
              <w:tab/>
            </w:r>
            <w:r w:rsidR="00AA28FD" w:rsidRPr="00D94A73">
              <w:rPr>
                <w:rStyle w:val="Hyperlink"/>
                <w:rFonts w:eastAsia="MS Mincho"/>
                <w:noProof/>
                <w:lang w:eastAsia="en-GB"/>
              </w:rPr>
              <w:t>Contract Compliance</w:t>
            </w:r>
            <w:r w:rsidR="00AA28FD">
              <w:rPr>
                <w:noProof/>
                <w:webHidden/>
              </w:rPr>
              <w:tab/>
            </w:r>
            <w:r w:rsidR="00AA28FD">
              <w:rPr>
                <w:noProof/>
                <w:webHidden/>
              </w:rPr>
              <w:fldChar w:fldCharType="begin"/>
            </w:r>
            <w:r w:rsidR="00AA28FD">
              <w:rPr>
                <w:noProof/>
                <w:webHidden/>
              </w:rPr>
              <w:instrText xml:space="preserve"> PAGEREF _Toc498495481 \h </w:instrText>
            </w:r>
            <w:r w:rsidR="00AA28FD">
              <w:rPr>
                <w:noProof/>
                <w:webHidden/>
              </w:rPr>
            </w:r>
            <w:r w:rsidR="00AA28FD">
              <w:rPr>
                <w:noProof/>
                <w:webHidden/>
              </w:rPr>
              <w:fldChar w:fldCharType="separate"/>
            </w:r>
            <w:r w:rsidR="00622FF2">
              <w:rPr>
                <w:noProof/>
                <w:webHidden/>
              </w:rPr>
              <w:t>344</w:t>
            </w:r>
            <w:r w:rsidR="00AA28FD">
              <w:rPr>
                <w:noProof/>
                <w:webHidden/>
              </w:rPr>
              <w:fldChar w:fldCharType="end"/>
            </w:r>
          </w:hyperlink>
        </w:p>
        <w:p w14:paraId="309EC64C"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82" w:history="1">
            <w:r w:rsidR="00AA28FD" w:rsidRPr="00D94A73">
              <w:rPr>
                <w:rStyle w:val="Hyperlink"/>
                <w:rFonts w:eastAsia="MS Mincho"/>
                <w:noProof/>
                <w:lang w:eastAsia="en-GB"/>
              </w:rPr>
              <w:t>5.4</w:t>
            </w:r>
            <w:r w:rsidR="00AA28FD">
              <w:rPr>
                <w:rFonts w:asciiTheme="minorHAnsi" w:eastAsiaTheme="minorEastAsia" w:hAnsiTheme="minorHAnsi" w:cstheme="minorBidi"/>
                <w:bCs w:val="0"/>
                <w:noProof/>
                <w:sz w:val="22"/>
                <w:szCs w:val="22"/>
                <w:lang w:eastAsia="en-GB"/>
              </w:rPr>
              <w:tab/>
            </w:r>
            <w:r w:rsidR="00AA28FD" w:rsidRPr="00D94A73">
              <w:rPr>
                <w:rStyle w:val="Hyperlink"/>
                <w:rFonts w:eastAsia="MS Mincho"/>
                <w:noProof/>
                <w:lang w:eastAsia="en-GB"/>
              </w:rPr>
              <w:t>Clinical Governance &amp; Risk Management/Termination</w:t>
            </w:r>
            <w:r w:rsidR="00AA28FD">
              <w:rPr>
                <w:noProof/>
                <w:webHidden/>
              </w:rPr>
              <w:tab/>
            </w:r>
            <w:r w:rsidR="00AA28FD">
              <w:rPr>
                <w:noProof/>
                <w:webHidden/>
              </w:rPr>
              <w:fldChar w:fldCharType="begin"/>
            </w:r>
            <w:r w:rsidR="00AA28FD">
              <w:rPr>
                <w:noProof/>
                <w:webHidden/>
              </w:rPr>
              <w:instrText xml:space="preserve"> PAGEREF _Toc498495482 \h </w:instrText>
            </w:r>
            <w:r w:rsidR="00AA28FD">
              <w:rPr>
                <w:noProof/>
                <w:webHidden/>
              </w:rPr>
            </w:r>
            <w:r w:rsidR="00AA28FD">
              <w:rPr>
                <w:noProof/>
                <w:webHidden/>
              </w:rPr>
              <w:fldChar w:fldCharType="separate"/>
            </w:r>
            <w:r w:rsidR="00622FF2">
              <w:rPr>
                <w:noProof/>
                <w:webHidden/>
              </w:rPr>
              <w:t>345</w:t>
            </w:r>
            <w:r w:rsidR="00AA28FD">
              <w:rPr>
                <w:noProof/>
                <w:webHidden/>
              </w:rPr>
              <w:fldChar w:fldCharType="end"/>
            </w:r>
          </w:hyperlink>
        </w:p>
        <w:p w14:paraId="562A1B43"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83" w:history="1">
            <w:r w:rsidR="00AA28FD" w:rsidRPr="00D94A73">
              <w:rPr>
                <w:rStyle w:val="Hyperlink"/>
                <w:noProof/>
                <w:lang w:eastAsia="en-GB"/>
              </w:rPr>
              <w:t>5.5</w:t>
            </w:r>
            <w:r w:rsidR="00AA28FD">
              <w:rPr>
                <w:rFonts w:asciiTheme="minorHAnsi" w:eastAsiaTheme="minorEastAsia" w:hAnsiTheme="minorHAnsi" w:cstheme="minorBidi"/>
                <w:bCs w:val="0"/>
                <w:noProof/>
                <w:sz w:val="22"/>
                <w:szCs w:val="22"/>
                <w:lang w:eastAsia="en-GB"/>
              </w:rPr>
              <w:tab/>
            </w:r>
            <w:r w:rsidR="00AA28FD" w:rsidRPr="00D94A73">
              <w:rPr>
                <w:rStyle w:val="Hyperlink"/>
                <w:noProof/>
                <w:lang w:eastAsia="en-GB"/>
              </w:rPr>
              <w:t>Appeals</w:t>
            </w:r>
            <w:r w:rsidR="00AA28FD">
              <w:rPr>
                <w:noProof/>
                <w:webHidden/>
              </w:rPr>
              <w:tab/>
            </w:r>
            <w:r w:rsidR="00AA28FD">
              <w:rPr>
                <w:noProof/>
                <w:webHidden/>
              </w:rPr>
              <w:fldChar w:fldCharType="begin"/>
            </w:r>
            <w:r w:rsidR="00AA28FD">
              <w:rPr>
                <w:noProof/>
                <w:webHidden/>
              </w:rPr>
              <w:instrText xml:space="preserve"> PAGEREF _Toc498495483 \h </w:instrText>
            </w:r>
            <w:r w:rsidR="00AA28FD">
              <w:rPr>
                <w:noProof/>
                <w:webHidden/>
              </w:rPr>
            </w:r>
            <w:r w:rsidR="00AA28FD">
              <w:rPr>
                <w:noProof/>
                <w:webHidden/>
              </w:rPr>
              <w:fldChar w:fldCharType="separate"/>
            </w:r>
            <w:r w:rsidR="00622FF2">
              <w:rPr>
                <w:noProof/>
                <w:webHidden/>
              </w:rPr>
              <w:t>345</w:t>
            </w:r>
            <w:r w:rsidR="00AA28FD">
              <w:rPr>
                <w:noProof/>
                <w:webHidden/>
              </w:rPr>
              <w:fldChar w:fldCharType="end"/>
            </w:r>
          </w:hyperlink>
        </w:p>
        <w:p w14:paraId="2864C863"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84" w:history="1">
            <w:r w:rsidR="00AA28FD" w:rsidRPr="00D94A73">
              <w:rPr>
                <w:rStyle w:val="Hyperlink"/>
                <w:noProof/>
                <w:lang w:eastAsia="en-GB"/>
              </w:rPr>
              <w:t>5.6</w:t>
            </w:r>
            <w:r w:rsidR="00AA28FD">
              <w:rPr>
                <w:rFonts w:asciiTheme="minorHAnsi" w:eastAsiaTheme="minorEastAsia" w:hAnsiTheme="minorHAnsi" w:cstheme="minorBidi"/>
                <w:bCs w:val="0"/>
                <w:noProof/>
                <w:sz w:val="22"/>
                <w:szCs w:val="22"/>
                <w:lang w:eastAsia="en-GB"/>
              </w:rPr>
              <w:tab/>
            </w:r>
            <w:r w:rsidR="00AA28FD" w:rsidRPr="00D94A73">
              <w:rPr>
                <w:rStyle w:val="Hyperlink"/>
                <w:noProof/>
                <w:lang w:eastAsia="en-GB"/>
              </w:rPr>
              <w:t>Payment and Contract System</w:t>
            </w:r>
            <w:r w:rsidR="00AA28FD">
              <w:rPr>
                <w:noProof/>
                <w:webHidden/>
              </w:rPr>
              <w:tab/>
            </w:r>
            <w:r w:rsidR="00AA28FD">
              <w:rPr>
                <w:noProof/>
                <w:webHidden/>
              </w:rPr>
              <w:fldChar w:fldCharType="begin"/>
            </w:r>
            <w:r w:rsidR="00AA28FD">
              <w:rPr>
                <w:noProof/>
                <w:webHidden/>
              </w:rPr>
              <w:instrText xml:space="preserve"> PAGEREF _Toc498495484 \h </w:instrText>
            </w:r>
            <w:r w:rsidR="00AA28FD">
              <w:rPr>
                <w:noProof/>
                <w:webHidden/>
              </w:rPr>
            </w:r>
            <w:r w:rsidR="00AA28FD">
              <w:rPr>
                <w:noProof/>
                <w:webHidden/>
              </w:rPr>
              <w:fldChar w:fldCharType="separate"/>
            </w:r>
            <w:r w:rsidR="00622FF2">
              <w:rPr>
                <w:noProof/>
                <w:webHidden/>
              </w:rPr>
              <w:t>345</w:t>
            </w:r>
            <w:r w:rsidR="00AA28FD">
              <w:rPr>
                <w:noProof/>
                <w:webHidden/>
              </w:rPr>
              <w:fldChar w:fldCharType="end"/>
            </w:r>
          </w:hyperlink>
        </w:p>
        <w:p w14:paraId="3D6838C9" w14:textId="77777777" w:rsidR="00AA28FD" w:rsidRDefault="000E7846">
          <w:pPr>
            <w:pStyle w:val="TOC1"/>
            <w:rPr>
              <w:rFonts w:asciiTheme="minorHAnsi" w:eastAsiaTheme="minorEastAsia" w:hAnsiTheme="minorHAnsi" w:cstheme="minorBidi"/>
              <w:bCs w:val="0"/>
              <w:color w:val="auto"/>
              <w:sz w:val="22"/>
              <w:szCs w:val="22"/>
              <w:lang w:eastAsia="en-GB"/>
            </w:rPr>
          </w:pPr>
          <w:hyperlink w:anchor="_Toc498495485" w:history="1">
            <w:r w:rsidR="00AA28FD" w:rsidRPr="00D94A73">
              <w:rPr>
                <w:rStyle w:val="Hyperlink"/>
                <w:lang w:eastAsia="en-GB"/>
              </w:rPr>
              <w:t>Part D – General</w:t>
            </w:r>
            <w:r w:rsidR="00AA28FD">
              <w:rPr>
                <w:webHidden/>
              </w:rPr>
              <w:tab/>
            </w:r>
            <w:r w:rsidR="00AA28FD">
              <w:rPr>
                <w:webHidden/>
              </w:rPr>
              <w:fldChar w:fldCharType="begin"/>
            </w:r>
            <w:r w:rsidR="00AA28FD">
              <w:rPr>
                <w:webHidden/>
              </w:rPr>
              <w:instrText xml:space="preserve"> PAGEREF _Toc498495485 \h </w:instrText>
            </w:r>
            <w:r w:rsidR="00AA28FD">
              <w:rPr>
                <w:webHidden/>
              </w:rPr>
            </w:r>
            <w:r w:rsidR="00AA28FD">
              <w:rPr>
                <w:webHidden/>
              </w:rPr>
              <w:fldChar w:fldCharType="separate"/>
            </w:r>
            <w:r w:rsidR="00622FF2">
              <w:rPr>
                <w:webHidden/>
              </w:rPr>
              <w:t>347</w:t>
            </w:r>
            <w:r w:rsidR="00AA28FD">
              <w:rPr>
                <w:webHidden/>
              </w:rPr>
              <w:fldChar w:fldCharType="end"/>
            </w:r>
          </w:hyperlink>
        </w:p>
        <w:p w14:paraId="6257410C" w14:textId="77777777" w:rsidR="00AA28FD" w:rsidRDefault="000E7846">
          <w:pPr>
            <w:pStyle w:val="TOC1"/>
            <w:rPr>
              <w:rFonts w:asciiTheme="minorHAnsi" w:eastAsiaTheme="minorEastAsia" w:hAnsiTheme="minorHAnsi" w:cstheme="minorBidi"/>
              <w:bCs w:val="0"/>
              <w:color w:val="auto"/>
              <w:sz w:val="22"/>
              <w:szCs w:val="22"/>
              <w:lang w:eastAsia="en-GB"/>
            </w:rPr>
          </w:pPr>
          <w:hyperlink w:anchor="_Toc498495486" w:history="1">
            <w:r w:rsidR="00AA28FD" w:rsidRPr="00D94A73">
              <w:rPr>
                <w:rStyle w:val="Hyperlink"/>
              </w:rPr>
              <w:t>1</w:t>
            </w:r>
            <w:r w:rsidR="00AA28FD">
              <w:rPr>
                <w:rFonts w:asciiTheme="minorHAnsi" w:eastAsiaTheme="minorEastAsia" w:hAnsiTheme="minorHAnsi" w:cstheme="minorBidi"/>
                <w:bCs w:val="0"/>
                <w:color w:val="auto"/>
                <w:sz w:val="22"/>
                <w:szCs w:val="22"/>
                <w:lang w:eastAsia="en-GB"/>
              </w:rPr>
              <w:tab/>
            </w:r>
            <w:r w:rsidR="00AA28FD" w:rsidRPr="00D94A73">
              <w:rPr>
                <w:rStyle w:val="Hyperlink"/>
              </w:rPr>
              <w:t>GP IT Operating Model:  Data and Cyber Security Arrangements</w:t>
            </w:r>
            <w:r w:rsidR="00AA28FD">
              <w:rPr>
                <w:webHidden/>
              </w:rPr>
              <w:tab/>
            </w:r>
            <w:r w:rsidR="00AA28FD">
              <w:rPr>
                <w:webHidden/>
              </w:rPr>
              <w:fldChar w:fldCharType="begin"/>
            </w:r>
            <w:r w:rsidR="00AA28FD">
              <w:rPr>
                <w:webHidden/>
              </w:rPr>
              <w:instrText xml:space="preserve"> PAGEREF _Toc498495486 \h </w:instrText>
            </w:r>
            <w:r w:rsidR="00AA28FD">
              <w:rPr>
                <w:webHidden/>
              </w:rPr>
            </w:r>
            <w:r w:rsidR="00AA28FD">
              <w:rPr>
                <w:webHidden/>
              </w:rPr>
              <w:fldChar w:fldCharType="separate"/>
            </w:r>
            <w:r w:rsidR="00622FF2">
              <w:rPr>
                <w:webHidden/>
              </w:rPr>
              <w:t>348</w:t>
            </w:r>
            <w:r w:rsidR="00AA28FD">
              <w:rPr>
                <w:webHidden/>
              </w:rPr>
              <w:fldChar w:fldCharType="end"/>
            </w:r>
          </w:hyperlink>
        </w:p>
        <w:p w14:paraId="486754E2"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87" w:history="1">
            <w:r w:rsidR="00AA28FD" w:rsidRPr="00D94A73">
              <w:rPr>
                <w:rStyle w:val="Hyperlink"/>
                <w:noProof/>
              </w:rPr>
              <w:t>1.1</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Introduction:</w:t>
            </w:r>
            <w:r w:rsidR="00AA28FD">
              <w:rPr>
                <w:noProof/>
                <w:webHidden/>
              </w:rPr>
              <w:tab/>
            </w:r>
            <w:r w:rsidR="00AA28FD">
              <w:rPr>
                <w:noProof/>
                <w:webHidden/>
              </w:rPr>
              <w:fldChar w:fldCharType="begin"/>
            </w:r>
            <w:r w:rsidR="00AA28FD">
              <w:rPr>
                <w:noProof/>
                <w:webHidden/>
              </w:rPr>
              <w:instrText xml:space="preserve"> PAGEREF _Toc498495487 \h </w:instrText>
            </w:r>
            <w:r w:rsidR="00AA28FD">
              <w:rPr>
                <w:noProof/>
                <w:webHidden/>
              </w:rPr>
            </w:r>
            <w:r w:rsidR="00AA28FD">
              <w:rPr>
                <w:noProof/>
                <w:webHidden/>
              </w:rPr>
              <w:fldChar w:fldCharType="separate"/>
            </w:r>
            <w:r w:rsidR="00622FF2">
              <w:rPr>
                <w:noProof/>
                <w:webHidden/>
              </w:rPr>
              <w:t>348</w:t>
            </w:r>
            <w:r w:rsidR="00AA28FD">
              <w:rPr>
                <w:noProof/>
                <w:webHidden/>
              </w:rPr>
              <w:fldChar w:fldCharType="end"/>
            </w:r>
          </w:hyperlink>
        </w:p>
        <w:p w14:paraId="3F302EAE"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88" w:history="1">
            <w:r w:rsidR="00AA28FD" w:rsidRPr="00D94A73">
              <w:rPr>
                <w:rStyle w:val="Hyperlink"/>
                <w:noProof/>
              </w:rPr>
              <w:t>1.2</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Background:</w:t>
            </w:r>
            <w:r w:rsidR="00AA28FD">
              <w:rPr>
                <w:noProof/>
                <w:webHidden/>
              </w:rPr>
              <w:tab/>
            </w:r>
            <w:r w:rsidR="00AA28FD">
              <w:rPr>
                <w:noProof/>
                <w:webHidden/>
              </w:rPr>
              <w:fldChar w:fldCharType="begin"/>
            </w:r>
            <w:r w:rsidR="00AA28FD">
              <w:rPr>
                <w:noProof/>
                <w:webHidden/>
              </w:rPr>
              <w:instrText xml:space="preserve"> PAGEREF _Toc498495488 \h </w:instrText>
            </w:r>
            <w:r w:rsidR="00AA28FD">
              <w:rPr>
                <w:noProof/>
                <w:webHidden/>
              </w:rPr>
            </w:r>
            <w:r w:rsidR="00AA28FD">
              <w:rPr>
                <w:noProof/>
                <w:webHidden/>
              </w:rPr>
              <w:fldChar w:fldCharType="separate"/>
            </w:r>
            <w:r w:rsidR="00622FF2">
              <w:rPr>
                <w:noProof/>
                <w:webHidden/>
              </w:rPr>
              <w:t>348</w:t>
            </w:r>
            <w:r w:rsidR="00AA28FD">
              <w:rPr>
                <w:noProof/>
                <w:webHidden/>
              </w:rPr>
              <w:fldChar w:fldCharType="end"/>
            </w:r>
          </w:hyperlink>
        </w:p>
        <w:p w14:paraId="367B951D"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89" w:history="1">
            <w:r w:rsidR="00AA28FD" w:rsidRPr="00D94A73">
              <w:rPr>
                <w:rStyle w:val="Hyperlink"/>
                <w:noProof/>
              </w:rPr>
              <w:t>1.3</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Review of Data Security, Consent and Opt-Outs (National Data Guardian, July 2016):</w:t>
            </w:r>
            <w:r w:rsidR="00AA28FD">
              <w:rPr>
                <w:noProof/>
                <w:webHidden/>
              </w:rPr>
              <w:tab/>
            </w:r>
            <w:r w:rsidR="00AA28FD">
              <w:rPr>
                <w:noProof/>
                <w:webHidden/>
              </w:rPr>
              <w:fldChar w:fldCharType="begin"/>
            </w:r>
            <w:r w:rsidR="00AA28FD">
              <w:rPr>
                <w:noProof/>
                <w:webHidden/>
              </w:rPr>
              <w:instrText xml:space="preserve"> PAGEREF _Toc498495489 \h </w:instrText>
            </w:r>
            <w:r w:rsidR="00AA28FD">
              <w:rPr>
                <w:noProof/>
                <w:webHidden/>
              </w:rPr>
            </w:r>
            <w:r w:rsidR="00AA28FD">
              <w:rPr>
                <w:noProof/>
                <w:webHidden/>
              </w:rPr>
              <w:fldChar w:fldCharType="separate"/>
            </w:r>
            <w:r w:rsidR="00622FF2">
              <w:rPr>
                <w:noProof/>
                <w:webHidden/>
              </w:rPr>
              <w:t>349</w:t>
            </w:r>
            <w:r w:rsidR="00AA28FD">
              <w:rPr>
                <w:noProof/>
                <w:webHidden/>
              </w:rPr>
              <w:fldChar w:fldCharType="end"/>
            </w:r>
          </w:hyperlink>
        </w:p>
        <w:p w14:paraId="3E145373"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90" w:history="1">
            <w:r w:rsidR="00AA28FD" w:rsidRPr="00D94A73">
              <w:rPr>
                <w:rStyle w:val="Hyperlink"/>
                <w:noProof/>
              </w:rPr>
              <w:t>1.4</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Ten Data Security Standards:</w:t>
            </w:r>
            <w:r w:rsidR="00AA28FD">
              <w:rPr>
                <w:noProof/>
                <w:webHidden/>
              </w:rPr>
              <w:tab/>
            </w:r>
            <w:r w:rsidR="00AA28FD">
              <w:rPr>
                <w:noProof/>
                <w:webHidden/>
              </w:rPr>
              <w:fldChar w:fldCharType="begin"/>
            </w:r>
            <w:r w:rsidR="00AA28FD">
              <w:rPr>
                <w:noProof/>
                <w:webHidden/>
              </w:rPr>
              <w:instrText xml:space="preserve"> PAGEREF _Toc498495490 \h </w:instrText>
            </w:r>
            <w:r w:rsidR="00AA28FD">
              <w:rPr>
                <w:noProof/>
                <w:webHidden/>
              </w:rPr>
            </w:r>
            <w:r w:rsidR="00AA28FD">
              <w:rPr>
                <w:noProof/>
                <w:webHidden/>
              </w:rPr>
              <w:fldChar w:fldCharType="separate"/>
            </w:r>
            <w:r w:rsidR="00622FF2">
              <w:rPr>
                <w:noProof/>
                <w:webHidden/>
              </w:rPr>
              <w:t>350</w:t>
            </w:r>
            <w:r w:rsidR="00AA28FD">
              <w:rPr>
                <w:noProof/>
                <w:webHidden/>
              </w:rPr>
              <w:fldChar w:fldCharType="end"/>
            </w:r>
          </w:hyperlink>
        </w:p>
        <w:p w14:paraId="2CD23B6B"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91" w:history="1">
            <w:r w:rsidR="00AA28FD" w:rsidRPr="00D94A73">
              <w:rPr>
                <w:rStyle w:val="Hyperlink"/>
                <w:noProof/>
              </w:rPr>
              <w:t>1.5</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Cyber Incident Lessons Learned:</w:t>
            </w:r>
            <w:r w:rsidR="00AA28FD">
              <w:rPr>
                <w:noProof/>
                <w:webHidden/>
              </w:rPr>
              <w:tab/>
            </w:r>
            <w:r w:rsidR="00AA28FD">
              <w:rPr>
                <w:noProof/>
                <w:webHidden/>
              </w:rPr>
              <w:fldChar w:fldCharType="begin"/>
            </w:r>
            <w:r w:rsidR="00AA28FD">
              <w:rPr>
                <w:noProof/>
                <w:webHidden/>
              </w:rPr>
              <w:instrText xml:space="preserve"> PAGEREF _Toc498495491 \h </w:instrText>
            </w:r>
            <w:r w:rsidR="00AA28FD">
              <w:rPr>
                <w:noProof/>
                <w:webHidden/>
              </w:rPr>
            </w:r>
            <w:r w:rsidR="00AA28FD">
              <w:rPr>
                <w:noProof/>
                <w:webHidden/>
              </w:rPr>
              <w:fldChar w:fldCharType="separate"/>
            </w:r>
            <w:r w:rsidR="00622FF2">
              <w:rPr>
                <w:noProof/>
                <w:webHidden/>
              </w:rPr>
              <w:t>352</w:t>
            </w:r>
            <w:r w:rsidR="00AA28FD">
              <w:rPr>
                <w:noProof/>
                <w:webHidden/>
              </w:rPr>
              <w:fldChar w:fldCharType="end"/>
            </w:r>
          </w:hyperlink>
        </w:p>
        <w:p w14:paraId="183E4D24"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92" w:history="1">
            <w:r w:rsidR="00AA28FD" w:rsidRPr="00D94A73">
              <w:rPr>
                <w:rStyle w:val="Hyperlink"/>
                <w:noProof/>
              </w:rPr>
              <w:t>1.6</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GP IT Operating Model:  Cyber and Data Security Updates:</w:t>
            </w:r>
            <w:r w:rsidR="00AA28FD">
              <w:rPr>
                <w:noProof/>
                <w:webHidden/>
              </w:rPr>
              <w:tab/>
            </w:r>
            <w:r w:rsidR="00AA28FD">
              <w:rPr>
                <w:noProof/>
                <w:webHidden/>
              </w:rPr>
              <w:fldChar w:fldCharType="begin"/>
            </w:r>
            <w:r w:rsidR="00AA28FD">
              <w:rPr>
                <w:noProof/>
                <w:webHidden/>
              </w:rPr>
              <w:instrText xml:space="preserve"> PAGEREF _Toc498495492 \h </w:instrText>
            </w:r>
            <w:r w:rsidR="00AA28FD">
              <w:rPr>
                <w:noProof/>
                <w:webHidden/>
              </w:rPr>
            </w:r>
            <w:r w:rsidR="00AA28FD">
              <w:rPr>
                <w:noProof/>
                <w:webHidden/>
              </w:rPr>
              <w:fldChar w:fldCharType="separate"/>
            </w:r>
            <w:r w:rsidR="00622FF2">
              <w:rPr>
                <w:noProof/>
                <w:webHidden/>
              </w:rPr>
              <w:t>352</w:t>
            </w:r>
            <w:r w:rsidR="00AA28FD">
              <w:rPr>
                <w:noProof/>
                <w:webHidden/>
              </w:rPr>
              <w:fldChar w:fldCharType="end"/>
            </w:r>
          </w:hyperlink>
        </w:p>
        <w:p w14:paraId="29222CAE"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93" w:history="1">
            <w:r w:rsidR="00AA28FD" w:rsidRPr="00D94A73">
              <w:rPr>
                <w:rStyle w:val="Hyperlink"/>
                <w:noProof/>
              </w:rPr>
              <w:t>1.7</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Locally Procured 3</w:t>
            </w:r>
            <w:r w:rsidR="00AA28FD" w:rsidRPr="00D94A73">
              <w:rPr>
                <w:rStyle w:val="Hyperlink"/>
                <w:noProof/>
                <w:vertAlign w:val="superscript"/>
              </w:rPr>
              <w:t>rd</w:t>
            </w:r>
            <w:r w:rsidR="00AA28FD" w:rsidRPr="00D94A73">
              <w:rPr>
                <w:rStyle w:val="Hyperlink"/>
                <w:noProof/>
              </w:rPr>
              <w:t xml:space="preserve"> Party Digital Systems, Services and Architecture:</w:t>
            </w:r>
            <w:r w:rsidR="00AA28FD">
              <w:rPr>
                <w:noProof/>
                <w:webHidden/>
              </w:rPr>
              <w:tab/>
            </w:r>
            <w:r w:rsidR="00AA28FD">
              <w:rPr>
                <w:noProof/>
                <w:webHidden/>
              </w:rPr>
              <w:fldChar w:fldCharType="begin"/>
            </w:r>
            <w:r w:rsidR="00AA28FD">
              <w:rPr>
                <w:noProof/>
                <w:webHidden/>
              </w:rPr>
              <w:instrText xml:space="preserve"> PAGEREF _Toc498495493 \h </w:instrText>
            </w:r>
            <w:r w:rsidR="00AA28FD">
              <w:rPr>
                <w:noProof/>
                <w:webHidden/>
              </w:rPr>
            </w:r>
            <w:r w:rsidR="00AA28FD">
              <w:rPr>
                <w:noProof/>
                <w:webHidden/>
              </w:rPr>
              <w:fldChar w:fldCharType="separate"/>
            </w:r>
            <w:r w:rsidR="00622FF2">
              <w:rPr>
                <w:noProof/>
                <w:webHidden/>
              </w:rPr>
              <w:t>353</w:t>
            </w:r>
            <w:r w:rsidR="00AA28FD">
              <w:rPr>
                <w:noProof/>
                <w:webHidden/>
              </w:rPr>
              <w:fldChar w:fldCharType="end"/>
            </w:r>
          </w:hyperlink>
        </w:p>
        <w:p w14:paraId="1F18D772"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94" w:history="1">
            <w:r w:rsidR="00AA28FD" w:rsidRPr="00D94A73">
              <w:rPr>
                <w:rStyle w:val="Hyperlink"/>
                <w:noProof/>
              </w:rPr>
              <w:t>1.8</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Disaster Recovery and Business Continuity (DR/BC)</w:t>
            </w:r>
            <w:r w:rsidR="00AA28FD">
              <w:rPr>
                <w:noProof/>
                <w:webHidden/>
              </w:rPr>
              <w:tab/>
            </w:r>
            <w:r w:rsidR="00AA28FD">
              <w:rPr>
                <w:noProof/>
                <w:webHidden/>
              </w:rPr>
              <w:fldChar w:fldCharType="begin"/>
            </w:r>
            <w:r w:rsidR="00AA28FD">
              <w:rPr>
                <w:noProof/>
                <w:webHidden/>
              </w:rPr>
              <w:instrText xml:space="preserve"> PAGEREF _Toc498495494 \h </w:instrText>
            </w:r>
            <w:r w:rsidR="00AA28FD">
              <w:rPr>
                <w:noProof/>
                <w:webHidden/>
              </w:rPr>
            </w:r>
            <w:r w:rsidR="00AA28FD">
              <w:rPr>
                <w:noProof/>
                <w:webHidden/>
              </w:rPr>
              <w:fldChar w:fldCharType="separate"/>
            </w:r>
            <w:r w:rsidR="00622FF2">
              <w:rPr>
                <w:noProof/>
                <w:webHidden/>
              </w:rPr>
              <w:t>353</w:t>
            </w:r>
            <w:r w:rsidR="00AA28FD">
              <w:rPr>
                <w:noProof/>
                <w:webHidden/>
              </w:rPr>
              <w:fldChar w:fldCharType="end"/>
            </w:r>
          </w:hyperlink>
        </w:p>
        <w:p w14:paraId="170DE7CA"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95" w:history="1">
            <w:r w:rsidR="00AA28FD" w:rsidRPr="00D94A73">
              <w:rPr>
                <w:rStyle w:val="Hyperlink"/>
                <w:noProof/>
              </w:rPr>
              <w:t>1.9</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Further Information:</w:t>
            </w:r>
            <w:r w:rsidR="00AA28FD">
              <w:rPr>
                <w:noProof/>
                <w:webHidden/>
              </w:rPr>
              <w:tab/>
            </w:r>
            <w:r w:rsidR="00AA28FD">
              <w:rPr>
                <w:noProof/>
                <w:webHidden/>
              </w:rPr>
              <w:fldChar w:fldCharType="begin"/>
            </w:r>
            <w:r w:rsidR="00AA28FD">
              <w:rPr>
                <w:noProof/>
                <w:webHidden/>
              </w:rPr>
              <w:instrText xml:space="preserve"> PAGEREF _Toc498495495 \h </w:instrText>
            </w:r>
            <w:r w:rsidR="00AA28FD">
              <w:rPr>
                <w:noProof/>
                <w:webHidden/>
              </w:rPr>
            </w:r>
            <w:r w:rsidR="00AA28FD">
              <w:rPr>
                <w:noProof/>
                <w:webHidden/>
              </w:rPr>
              <w:fldChar w:fldCharType="separate"/>
            </w:r>
            <w:r w:rsidR="00622FF2">
              <w:rPr>
                <w:noProof/>
                <w:webHidden/>
              </w:rPr>
              <w:t>354</w:t>
            </w:r>
            <w:r w:rsidR="00AA28FD">
              <w:rPr>
                <w:noProof/>
                <w:webHidden/>
              </w:rPr>
              <w:fldChar w:fldCharType="end"/>
            </w:r>
          </w:hyperlink>
        </w:p>
        <w:p w14:paraId="0B81ECC7" w14:textId="77777777" w:rsidR="00AA28FD" w:rsidRDefault="000E7846">
          <w:pPr>
            <w:pStyle w:val="TOC1"/>
            <w:rPr>
              <w:rFonts w:asciiTheme="minorHAnsi" w:eastAsiaTheme="minorEastAsia" w:hAnsiTheme="minorHAnsi" w:cstheme="minorBidi"/>
              <w:bCs w:val="0"/>
              <w:color w:val="auto"/>
              <w:sz w:val="22"/>
              <w:szCs w:val="22"/>
              <w:lang w:eastAsia="en-GB"/>
            </w:rPr>
          </w:pPr>
          <w:hyperlink w:anchor="_Toc498495496" w:history="1">
            <w:r w:rsidR="00AA28FD" w:rsidRPr="00D94A73">
              <w:rPr>
                <w:rStyle w:val="Hyperlink"/>
              </w:rPr>
              <w:t>2</w:t>
            </w:r>
            <w:r w:rsidR="00AA28FD">
              <w:rPr>
                <w:rFonts w:asciiTheme="minorHAnsi" w:eastAsiaTheme="minorEastAsia" w:hAnsiTheme="minorHAnsi" w:cstheme="minorBidi"/>
                <w:bCs w:val="0"/>
                <w:color w:val="auto"/>
                <w:sz w:val="22"/>
                <w:szCs w:val="22"/>
                <w:lang w:eastAsia="en-GB"/>
              </w:rPr>
              <w:tab/>
            </w:r>
            <w:r w:rsidR="00AA28FD" w:rsidRPr="00D94A73">
              <w:rPr>
                <w:rStyle w:val="Hyperlink"/>
              </w:rPr>
              <w:t>Protocol in respect of locum cover or GP performer payments for parental and sickness leave</w:t>
            </w:r>
            <w:r w:rsidR="00AA28FD">
              <w:rPr>
                <w:webHidden/>
              </w:rPr>
              <w:tab/>
            </w:r>
            <w:r w:rsidR="00AA28FD">
              <w:rPr>
                <w:webHidden/>
              </w:rPr>
              <w:fldChar w:fldCharType="begin"/>
            </w:r>
            <w:r w:rsidR="00AA28FD">
              <w:rPr>
                <w:webHidden/>
              </w:rPr>
              <w:instrText xml:space="preserve"> PAGEREF _Toc498495496 \h </w:instrText>
            </w:r>
            <w:r w:rsidR="00AA28FD">
              <w:rPr>
                <w:webHidden/>
              </w:rPr>
            </w:r>
            <w:r w:rsidR="00AA28FD">
              <w:rPr>
                <w:webHidden/>
              </w:rPr>
              <w:fldChar w:fldCharType="separate"/>
            </w:r>
            <w:r w:rsidR="00622FF2">
              <w:rPr>
                <w:webHidden/>
              </w:rPr>
              <w:t>356</w:t>
            </w:r>
            <w:r w:rsidR="00AA28FD">
              <w:rPr>
                <w:webHidden/>
              </w:rPr>
              <w:fldChar w:fldCharType="end"/>
            </w:r>
          </w:hyperlink>
        </w:p>
        <w:p w14:paraId="12655135"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97" w:history="1">
            <w:r w:rsidR="00AA28FD" w:rsidRPr="00D94A73">
              <w:rPr>
                <w:rStyle w:val="Hyperlink"/>
                <w:noProof/>
              </w:rPr>
              <w:t>2.1</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Background</w:t>
            </w:r>
            <w:r w:rsidR="00AA28FD">
              <w:rPr>
                <w:noProof/>
                <w:webHidden/>
              </w:rPr>
              <w:tab/>
            </w:r>
            <w:r w:rsidR="00AA28FD">
              <w:rPr>
                <w:noProof/>
                <w:webHidden/>
              </w:rPr>
              <w:fldChar w:fldCharType="begin"/>
            </w:r>
            <w:r w:rsidR="00AA28FD">
              <w:rPr>
                <w:noProof/>
                <w:webHidden/>
              </w:rPr>
              <w:instrText xml:space="preserve"> PAGEREF _Toc498495497 \h </w:instrText>
            </w:r>
            <w:r w:rsidR="00AA28FD">
              <w:rPr>
                <w:noProof/>
                <w:webHidden/>
              </w:rPr>
            </w:r>
            <w:r w:rsidR="00AA28FD">
              <w:rPr>
                <w:noProof/>
                <w:webHidden/>
              </w:rPr>
              <w:fldChar w:fldCharType="separate"/>
            </w:r>
            <w:r w:rsidR="00622FF2">
              <w:rPr>
                <w:noProof/>
                <w:webHidden/>
              </w:rPr>
              <w:t>356</w:t>
            </w:r>
            <w:r w:rsidR="00AA28FD">
              <w:rPr>
                <w:noProof/>
                <w:webHidden/>
              </w:rPr>
              <w:fldChar w:fldCharType="end"/>
            </w:r>
          </w:hyperlink>
        </w:p>
        <w:p w14:paraId="53E91999"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98" w:history="1">
            <w:r w:rsidR="00AA28FD" w:rsidRPr="00D94A73">
              <w:rPr>
                <w:rStyle w:val="Hyperlink"/>
                <w:noProof/>
              </w:rPr>
              <w:t>2.2</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Parental and sickness leave payments</w:t>
            </w:r>
            <w:r w:rsidR="00AA28FD">
              <w:rPr>
                <w:noProof/>
                <w:webHidden/>
              </w:rPr>
              <w:tab/>
            </w:r>
            <w:r w:rsidR="00AA28FD">
              <w:rPr>
                <w:noProof/>
                <w:webHidden/>
              </w:rPr>
              <w:fldChar w:fldCharType="begin"/>
            </w:r>
            <w:r w:rsidR="00AA28FD">
              <w:rPr>
                <w:noProof/>
                <w:webHidden/>
              </w:rPr>
              <w:instrText xml:space="preserve"> PAGEREF _Toc498495498 \h </w:instrText>
            </w:r>
            <w:r w:rsidR="00AA28FD">
              <w:rPr>
                <w:noProof/>
                <w:webHidden/>
              </w:rPr>
            </w:r>
            <w:r w:rsidR="00AA28FD">
              <w:rPr>
                <w:noProof/>
                <w:webHidden/>
              </w:rPr>
              <w:fldChar w:fldCharType="separate"/>
            </w:r>
            <w:r w:rsidR="00622FF2">
              <w:rPr>
                <w:noProof/>
                <w:webHidden/>
              </w:rPr>
              <w:t>356</w:t>
            </w:r>
            <w:r w:rsidR="00AA28FD">
              <w:rPr>
                <w:noProof/>
                <w:webHidden/>
              </w:rPr>
              <w:fldChar w:fldCharType="end"/>
            </w:r>
          </w:hyperlink>
        </w:p>
        <w:p w14:paraId="3087D707"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499" w:history="1">
            <w:r w:rsidR="00AA28FD" w:rsidRPr="00D94A73">
              <w:rPr>
                <w:rStyle w:val="Hyperlink"/>
                <w:noProof/>
              </w:rPr>
              <w:t>2.3</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Parental leave</w:t>
            </w:r>
            <w:r w:rsidR="00AA28FD">
              <w:rPr>
                <w:noProof/>
                <w:webHidden/>
              </w:rPr>
              <w:tab/>
            </w:r>
            <w:r w:rsidR="00AA28FD">
              <w:rPr>
                <w:noProof/>
                <w:webHidden/>
              </w:rPr>
              <w:fldChar w:fldCharType="begin"/>
            </w:r>
            <w:r w:rsidR="00AA28FD">
              <w:rPr>
                <w:noProof/>
                <w:webHidden/>
              </w:rPr>
              <w:instrText xml:space="preserve"> PAGEREF _Toc498495499 \h </w:instrText>
            </w:r>
            <w:r w:rsidR="00AA28FD">
              <w:rPr>
                <w:noProof/>
                <w:webHidden/>
              </w:rPr>
            </w:r>
            <w:r w:rsidR="00AA28FD">
              <w:rPr>
                <w:noProof/>
                <w:webHidden/>
              </w:rPr>
              <w:fldChar w:fldCharType="separate"/>
            </w:r>
            <w:r w:rsidR="00622FF2">
              <w:rPr>
                <w:noProof/>
                <w:webHidden/>
              </w:rPr>
              <w:t>357</w:t>
            </w:r>
            <w:r w:rsidR="00AA28FD">
              <w:rPr>
                <w:noProof/>
                <w:webHidden/>
              </w:rPr>
              <w:fldChar w:fldCharType="end"/>
            </w:r>
          </w:hyperlink>
        </w:p>
        <w:p w14:paraId="6650F637"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500" w:history="1">
            <w:r w:rsidR="00AA28FD" w:rsidRPr="00D94A73">
              <w:rPr>
                <w:rStyle w:val="Hyperlink"/>
                <w:noProof/>
              </w:rPr>
              <w:t>2.4</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Sickness leave</w:t>
            </w:r>
            <w:r w:rsidR="00AA28FD">
              <w:rPr>
                <w:noProof/>
                <w:webHidden/>
              </w:rPr>
              <w:tab/>
            </w:r>
            <w:r w:rsidR="00AA28FD">
              <w:rPr>
                <w:noProof/>
                <w:webHidden/>
              </w:rPr>
              <w:fldChar w:fldCharType="begin"/>
            </w:r>
            <w:r w:rsidR="00AA28FD">
              <w:rPr>
                <w:noProof/>
                <w:webHidden/>
              </w:rPr>
              <w:instrText xml:space="preserve"> PAGEREF _Toc498495500 \h </w:instrText>
            </w:r>
            <w:r w:rsidR="00AA28FD">
              <w:rPr>
                <w:noProof/>
                <w:webHidden/>
              </w:rPr>
            </w:r>
            <w:r w:rsidR="00AA28FD">
              <w:rPr>
                <w:noProof/>
                <w:webHidden/>
              </w:rPr>
              <w:fldChar w:fldCharType="separate"/>
            </w:r>
            <w:r w:rsidR="00622FF2">
              <w:rPr>
                <w:noProof/>
                <w:webHidden/>
              </w:rPr>
              <w:t>357</w:t>
            </w:r>
            <w:r w:rsidR="00AA28FD">
              <w:rPr>
                <w:noProof/>
                <w:webHidden/>
              </w:rPr>
              <w:fldChar w:fldCharType="end"/>
            </w:r>
          </w:hyperlink>
        </w:p>
        <w:p w14:paraId="4B02918B"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501" w:history="1">
            <w:r w:rsidR="00AA28FD" w:rsidRPr="00D94A73">
              <w:rPr>
                <w:rStyle w:val="Hyperlink"/>
                <w:noProof/>
              </w:rPr>
              <w:t>2.5</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Further discretionary payments</w:t>
            </w:r>
            <w:r w:rsidR="00AA28FD">
              <w:rPr>
                <w:noProof/>
                <w:webHidden/>
              </w:rPr>
              <w:tab/>
            </w:r>
            <w:r w:rsidR="00AA28FD">
              <w:rPr>
                <w:noProof/>
                <w:webHidden/>
              </w:rPr>
              <w:fldChar w:fldCharType="begin"/>
            </w:r>
            <w:r w:rsidR="00AA28FD">
              <w:rPr>
                <w:noProof/>
                <w:webHidden/>
              </w:rPr>
              <w:instrText xml:space="preserve"> PAGEREF _Toc498495501 \h </w:instrText>
            </w:r>
            <w:r w:rsidR="00AA28FD">
              <w:rPr>
                <w:noProof/>
                <w:webHidden/>
              </w:rPr>
            </w:r>
            <w:r w:rsidR="00AA28FD">
              <w:rPr>
                <w:noProof/>
                <w:webHidden/>
              </w:rPr>
              <w:fldChar w:fldCharType="separate"/>
            </w:r>
            <w:r w:rsidR="00622FF2">
              <w:rPr>
                <w:noProof/>
                <w:webHidden/>
              </w:rPr>
              <w:t>357</w:t>
            </w:r>
            <w:r w:rsidR="00AA28FD">
              <w:rPr>
                <w:noProof/>
                <w:webHidden/>
              </w:rPr>
              <w:fldChar w:fldCharType="end"/>
            </w:r>
          </w:hyperlink>
        </w:p>
        <w:p w14:paraId="3C965B1C"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502" w:history="1">
            <w:r w:rsidR="00AA28FD" w:rsidRPr="00D94A73">
              <w:rPr>
                <w:rStyle w:val="Hyperlink"/>
                <w:noProof/>
              </w:rPr>
              <w:t>2.6</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Discretionary powers in respect of cover for parental and sickness leave</w:t>
            </w:r>
            <w:r w:rsidR="00AA28FD">
              <w:rPr>
                <w:noProof/>
                <w:webHidden/>
              </w:rPr>
              <w:tab/>
            </w:r>
            <w:r w:rsidR="00AA28FD">
              <w:rPr>
                <w:noProof/>
                <w:webHidden/>
              </w:rPr>
              <w:fldChar w:fldCharType="begin"/>
            </w:r>
            <w:r w:rsidR="00AA28FD">
              <w:rPr>
                <w:noProof/>
                <w:webHidden/>
              </w:rPr>
              <w:instrText xml:space="preserve"> PAGEREF _Toc498495502 \h </w:instrText>
            </w:r>
            <w:r w:rsidR="00AA28FD">
              <w:rPr>
                <w:noProof/>
                <w:webHidden/>
              </w:rPr>
            </w:r>
            <w:r w:rsidR="00AA28FD">
              <w:rPr>
                <w:noProof/>
                <w:webHidden/>
              </w:rPr>
              <w:fldChar w:fldCharType="separate"/>
            </w:r>
            <w:r w:rsidR="00622FF2">
              <w:rPr>
                <w:noProof/>
                <w:webHidden/>
              </w:rPr>
              <w:t>358</w:t>
            </w:r>
            <w:r w:rsidR="00AA28FD">
              <w:rPr>
                <w:noProof/>
                <w:webHidden/>
              </w:rPr>
              <w:fldChar w:fldCharType="end"/>
            </w:r>
          </w:hyperlink>
        </w:p>
        <w:p w14:paraId="6F32244D"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503" w:history="1">
            <w:r w:rsidR="00AA28FD" w:rsidRPr="00D94A73">
              <w:rPr>
                <w:rStyle w:val="Hyperlink"/>
                <w:noProof/>
              </w:rPr>
              <w:t>2.7</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Circumstances where it is likely payments will be less than the maximum amount payable</w:t>
            </w:r>
            <w:r w:rsidR="00AA28FD">
              <w:rPr>
                <w:noProof/>
                <w:webHidden/>
              </w:rPr>
              <w:tab/>
            </w:r>
            <w:r w:rsidR="00AA28FD">
              <w:rPr>
                <w:noProof/>
                <w:webHidden/>
              </w:rPr>
              <w:fldChar w:fldCharType="begin"/>
            </w:r>
            <w:r w:rsidR="00AA28FD">
              <w:rPr>
                <w:noProof/>
                <w:webHidden/>
              </w:rPr>
              <w:instrText xml:space="preserve"> PAGEREF _Toc498495503 \h </w:instrText>
            </w:r>
            <w:r w:rsidR="00AA28FD">
              <w:rPr>
                <w:noProof/>
                <w:webHidden/>
              </w:rPr>
            </w:r>
            <w:r w:rsidR="00AA28FD">
              <w:rPr>
                <w:noProof/>
                <w:webHidden/>
              </w:rPr>
              <w:fldChar w:fldCharType="separate"/>
            </w:r>
            <w:r w:rsidR="00622FF2">
              <w:rPr>
                <w:noProof/>
                <w:webHidden/>
              </w:rPr>
              <w:t>359</w:t>
            </w:r>
            <w:r w:rsidR="00AA28FD">
              <w:rPr>
                <w:noProof/>
                <w:webHidden/>
              </w:rPr>
              <w:fldChar w:fldCharType="end"/>
            </w:r>
          </w:hyperlink>
        </w:p>
        <w:p w14:paraId="71A783B9"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504" w:history="1">
            <w:r w:rsidR="00AA28FD" w:rsidRPr="00D94A73">
              <w:rPr>
                <w:rStyle w:val="Hyperlink"/>
                <w:noProof/>
              </w:rPr>
              <w:t>2.8</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Payments for locum cover provided by nurses or other healthcare professionals</w:t>
            </w:r>
            <w:r w:rsidR="00AA28FD">
              <w:rPr>
                <w:noProof/>
                <w:webHidden/>
              </w:rPr>
              <w:tab/>
            </w:r>
            <w:r w:rsidR="00AA28FD">
              <w:rPr>
                <w:noProof/>
                <w:webHidden/>
              </w:rPr>
              <w:fldChar w:fldCharType="begin"/>
            </w:r>
            <w:r w:rsidR="00AA28FD">
              <w:rPr>
                <w:noProof/>
                <w:webHidden/>
              </w:rPr>
              <w:instrText xml:space="preserve"> PAGEREF _Toc498495504 \h </w:instrText>
            </w:r>
            <w:r w:rsidR="00AA28FD">
              <w:rPr>
                <w:noProof/>
                <w:webHidden/>
              </w:rPr>
            </w:r>
            <w:r w:rsidR="00AA28FD">
              <w:rPr>
                <w:noProof/>
                <w:webHidden/>
              </w:rPr>
              <w:fldChar w:fldCharType="separate"/>
            </w:r>
            <w:r w:rsidR="00622FF2">
              <w:rPr>
                <w:noProof/>
                <w:webHidden/>
              </w:rPr>
              <w:t>359</w:t>
            </w:r>
            <w:r w:rsidR="00AA28FD">
              <w:rPr>
                <w:noProof/>
                <w:webHidden/>
              </w:rPr>
              <w:fldChar w:fldCharType="end"/>
            </w:r>
          </w:hyperlink>
        </w:p>
        <w:p w14:paraId="427543D2"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505" w:history="1">
            <w:r w:rsidR="00AA28FD" w:rsidRPr="00D94A73">
              <w:rPr>
                <w:rStyle w:val="Hyperlink"/>
                <w:noProof/>
              </w:rPr>
              <w:t>2.9</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Payments to a partner or employee who is providing cover</w:t>
            </w:r>
            <w:r w:rsidR="00AA28FD">
              <w:rPr>
                <w:noProof/>
                <w:webHidden/>
              </w:rPr>
              <w:tab/>
            </w:r>
            <w:r w:rsidR="00AA28FD">
              <w:rPr>
                <w:noProof/>
                <w:webHidden/>
              </w:rPr>
              <w:fldChar w:fldCharType="begin"/>
            </w:r>
            <w:r w:rsidR="00AA28FD">
              <w:rPr>
                <w:noProof/>
                <w:webHidden/>
              </w:rPr>
              <w:instrText xml:space="preserve"> PAGEREF _Toc498495505 \h </w:instrText>
            </w:r>
            <w:r w:rsidR="00AA28FD">
              <w:rPr>
                <w:noProof/>
                <w:webHidden/>
              </w:rPr>
            </w:r>
            <w:r w:rsidR="00AA28FD">
              <w:rPr>
                <w:noProof/>
                <w:webHidden/>
              </w:rPr>
              <w:fldChar w:fldCharType="separate"/>
            </w:r>
            <w:r w:rsidR="00622FF2">
              <w:rPr>
                <w:noProof/>
                <w:webHidden/>
              </w:rPr>
              <w:t>359</w:t>
            </w:r>
            <w:r w:rsidR="00AA28FD">
              <w:rPr>
                <w:noProof/>
                <w:webHidden/>
              </w:rPr>
              <w:fldChar w:fldCharType="end"/>
            </w:r>
          </w:hyperlink>
        </w:p>
        <w:p w14:paraId="27B7B39F"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506" w:history="1">
            <w:r w:rsidR="00AA28FD" w:rsidRPr="00D94A73">
              <w:rPr>
                <w:rStyle w:val="Hyperlink"/>
                <w:noProof/>
              </w:rPr>
              <w:t>2.10</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Discretionary payments in respect of long term sickness absence exceeding 52 weeks</w:t>
            </w:r>
            <w:r w:rsidR="00AA28FD">
              <w:rPr>
                <w:noProof/>
                <w:webHidden/>
              </w:rPr>
              <w:tab/>
            </w:r>
            <w:r w:rsidR="00AA28FD">
              <w:rPr>
                <w:noProof/>
                <w:webHidden/>
              </w:rPr>
              <w:fldChar w:fldCharType="begin"/>
            </w:r>
            <w:r w:rsidR="00AA28FD">
              <w:rPr>
                <w:noProof/>
                <w:webHidden/>
              </w:rPr>
              <w:instrText xml:space="preserve"> PAGEREF _Toc498495506 \h </w:instrText>
            </w:r>
            <w:r w:rsidR="00AA28FD">
              <w:rPr>
                <w:noProof/>
                <w:webHidden/>
              </w:rPr>
            </w:r>
            <w:r w:rsidR="00AA28FD">
              <w:rPr>
                <w:noProof/>
                <w:webHidden/>
              </w:rPr>
              <w:fldChar w:fldCharType="separate"/>
            </w:r>
            <w:r w:rsidR="00622FF2">
              <w:rPr>
                <w:noProof/>
                <w:webHidden/>
              </w:rPr>
              <w:t>359</w:t>
            </w:r>
            <w:r w:rsidR="00AA28FD">
              <w:rPr>
                <w:noProof/>
                <w:webHidden/>
              </w:rPr>
              <w:fldChar w:fldCharType="end"/>
            </w:r>
          </w:hyperlink>
        </w:p>
        <w:p w14:paraId="4D72968E"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507" w:history="1">
            <w:r w:rsidR="00AA28FD" w:rsidRPr="00D94A73">
              <w:rPr>
                <w:rStyle w:val="Hyperlink"/>
                <w:noProof/>
              </w:rPr>
              <w:t>2.11</w:t>
            </w:r>
            <w:r w:rsidR="00AA28FD">
              <w:rPr>
                <w:rFonts w:asciiTheme="minorHAnsi" w:eastAsiaTheme="minorEastAsia" w:hAnsiTheme="minorHAnsi" w:cstheme="minorBidi"/>
                <w:bCs w:val="0"/>
                <w:noProof/>
                <w:sz w:val="22"/>
                <w:szCs w:val="22"/>
                <w:lang w:eastAsia="en-GB"/>
              </w:rPr>
              <w:tab/>
            </w:r>
            <w:r w:rsidR="00AA28FD" w:rsidRPr="00D94A73">
              <w:rPr>
                <w:rStyle w:val="Hyperlink"/>
                <w:noProof/>
              </w:rPr>
              <w:t>Claims and payments</w:t>
            </w:r>
            <w:r w:rsidR="00AA28FD">
              <w:rPr>
                <w:noProof/>
                <w:webHidden/>
              </w:rPr>
              <w:tab/>
            </w:r>
            <w:r w:rsidR="00AA28FD">
              <w:rPr>
                <w:noProof/>
                <w:webHidden/>
              </w:rPr>
              <w:fldChar w:fldCharType="begin"/>
            </w:r>
            <w:r w:rsidR="00AA28FD">
              <w:rPr>
                <w:noProof/>
                <w:webHidden/>
              </w:rPr>
              <w:instrText xml:space="preserve"> PAGEREF _Toc498495507 \h </w:instrText>
            </w:r>
            <w:r w:rsidR="00AA28FD">
              <w:rPr>
                <w:noProof/>
                <w:webHidden/>
              </w:rPr>
            </w:r>
            <w:r w:rsidR="00AA28FD">
              <w:rPr>
                <w:noProof/>
                <w:webHidden/>
              </w:rPr>
              <w:fldChar w:fldCharType="separate"/>
            </w:r>
            <w:r w:rsidR="00622FF2">
              <w:rPr>
                <w:noProof/>
                <w:webHidden/>
              </w:rPr>
              <w:t>360</w:t>
            </w:r>
            <w:r w:rsidR="00AA28FD">
              <w:rPr>
                <w:noProof/>
                <w:webHidden/>
              </w:rPr>
              <w:fldChar w:fldCharType="end"/>
            </w:r>
          </w:hyperlink>
        </w:p>
        <w:p w14:paraId="40069D7A" w14:textId="77777777" w:rsidR="00AA28FD" w:rsidRDefault="000E7846">
          <w:pPr>
            <w:pStyle w:val="TOC1"/>
            <w:rPr>
              <w:rFonts w:asciiTheme="minorHAnsi" w:eastAsiaTheme="minorEastAsia" w:hAnsiTheme="minorHAnsi" w:cstheme="minorBidi"/>
              <w:bCs w:val="0"/>
              <w:color w:val="auto"/>
              <w:sz w:val="22"/>
              <w:szCs w:val="22"/>
              <w:lang w:eastAsia="en-GB"/>
            </w:rPr>
          </w:pPr>
          <w:hyperlink w:anchor="_Toc498495508" w:history="1">
            <w:r w:rsidR="00AA28FD" w:rsidRPr="00D94A73">
              <w:rPr>
                <w:rStyle w:val="Hyperlink"/>
                <w:lang w:eastAsia="en-GB"/>
              </w:rPr>
              <w:t>3</w:t>
            </w:r>
            <w:r w:rsidR="00AA28FD">
              <w:rPr>
                <w:rFonts w:asciiTheme="minorHAnsi" w:eastAsiaTheme="minorEastAsia" w:hAnsiTheme="minorHAnsi" w:cstheme="minorBidi"/>
                <w:bCs w:val="0"/>
                <w:color w:val="auto"/>
                <w:sz w:val="22"/>
                <w:szCs w:val="22"/>
                <w:lang w:eastAsia="en-GB"/>
              </w:rPr>
              <w:tab/>
            </w:r>
            <w:r w:rsidR="00AA28FD" w:rsidRPr="00D94A73">
              <w:rPr>
                <w:rStyle w:val="Hyperlink"/>
                <w:lang w:eastAsia="en-GB"/>
              </w:rPr>
              <w:t>Guidance Note: GP Practices serving Atypical Populations</w:t>
            </w:r>
            <w:r w:rsidR="00AA28FD">
              <w:rPr>
                <w:webHidden/>
              </w:rPr>
              <w:tab/>
            </w:r>
            <w:r w:rsidR="00AA28FD">
              <w:rPr>
                <w:webHidden/>
              </w:rPr>
              <w:fldChar w:fldCharType="begin"/>
            </w:r>
            <w:r w:rsidR="00AA28FD">
              <w:rPr>
                <w:webHidden/>
              </w:rPr>
              <w:instrText xml:space="preserve"> PAGEREF _Toc498495508 \h </w:instrText>
            </w:r>
            <w:r w:rsidR="00AA28FD">
              <w:rPr>
                <w:webHidden/>
              </w:rPr>
            </w:r>
            <w:r w:rsidR="00AA28FD">
              <w:rPr>
                <w:webHidden/>
              </w:rPr>
              <w:fldChar w:fldCharType="separate"/>
            </w:r>
            <w:r w:rsidR="00622FF2">
              <w:rPr>
                <w:webHidden/>
              </w:rPr>
              <w:t>366</w:t>
            </w:r>
            <w:r w:rsidR="00AA28FD">
              <w:rPr>
                <w:webHidden/>
              </w:rPr>
              <w:fldChar w:fldCharType="end"/>
            </w:r>
          </w:hyperlink>
        </w:p>
        <w:p w14:paraId="58D42DA1"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509" w:history="1">
            <w:r w:rsidR="00AA28FD" w:rsidRPr="00D94A73">
              <w:rPr>
                <w:rStyle w:val="Hyperlink"/>
                <w:rFonts w:eastAsia="Arial"/>
                <w:noProof/>
              </w:rPr>
              <w:t>3.1</w:t>
            </w:r>
            <w:r w:rsidR="00AA28FD">
              <w:rPr>
                <w:rFonts w:asciiTheme="minorHAnsi" w:eastAsiaTheme="minorEastAsia" w:hAnsiTheme="minorHAnsi" w:cstheme="minorBidi"/>
                <w:bCs w:val="0"/>
                <w:noProof/>
                <w:sz w:val="22"/>
                <w:szCs w:val="22"/>
                <w:lang w:eastAsia="en-GB"/>
              </w:rPr>
              <w:tab/>
            </w:r>
            <w:r w:rsidR="00AA28FD" w:rsidRPr="00D94A73">
              <w:rPr>
                <w:rStyle w:val="Hyperlink"/>
                <w:rFonts w:eastAsia="Arial"/>
                <w:noProof/>
              </w:rPr>
              <w:t>Introduction</w:t>
            </w:r>
            <w:r w:rsidR="00AA28FD">
              <w:rPr>
                <w:noProof/>
                <w:webHidden/>
              </w:rPr>
              <w:tab/>
            </w:r>
            <w:r w:rsidR="00AA28FD">
              <w:rPr>
                <w:noProof/>
                <w:webHidden/>
              </w:rPr>
              <w:fldChar w:fldCharType="begin"/>
            </w:r>
            <w:r w:rsidR="00AA28FD">
              <w:rPr>
                <w:noProof/>
                <w:webHidden/>
              </w:rPr>
              <w:instrText xml:space="preserve"> PAGEREF _Toc498495509 \h </w:instrText>
            </w:r>
            <w:r w:rsidR="00AA28FD">
              <w:rPr>
                <w:noProof/>
                <w:webHidden/>
              </w:rPr>
            </w:r>
            <w:r w:rsidR="00AA28FD">
              <w:rPr>
                <w:noProof/>
                <w:webHidden/>
              </w:rPr>
              <w:fldChar w:fldCharType="separate"/>
            </w:r>
            <w:r w:rsidR="00622FF2">
              <w:rPr>
                <w:noProof/>
                <w:webHidden/>
              </w:rPr>
              <w:t>366</w:t>
            </w:r>
            <w:r w:rsidR="00AA28FD">
              <w:rPr>
                <w:noProof/>
                <w:webHidden/>
              </w:rPr>
              <w:fldChar w:fldCharType="end"/>
            </w:r>
          </w:hyperlink>
        </w:p>
        <w:p w14:paraId="5EE7714C"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510" w:history="1">
            <w:r w:rsidR="00AA28FD" w:rsidRPr="00D94A73">
              <w:rPr>
                <w:rStyle w:val="Hyperlink"/>
                <w:rFonts w:eastAsia="Arial"/>
                <w:noProof/>
              </w:rPr>
              <w:t>3.2</w:t>
            </w:r>
            <w:r w:rsidR="00AA28FD">
              <w:rPr>
                <w:rFonts w:asciiTheme="minorHAnsi" w:eastAsiaTheme="minorEastAsia" w:hAnsiTheme="minorHAnsi" w:cstheme="minorBidi"/>
                <w:bCs w:val="0"/>
                <w:noProof/>
                <w:sz w:val="22"/>
                <w:szCs w:val="22"/>
                <w:lang w:eastAsia="en-GB"/>
              </w:rPr>
              <w:tab/>
            </w:r>
            <w:r w:rsidR="00AA28FD" w:rsidRPr="00D94A73">
              <w:rPr>
                <w:rStyle w:val="Hyperlink"/>
                <w:rFonts w:eastAsia="Arial"/>
                <w:noProof/>
              </w:rPr>
              <w:t>Context: General Medical Services (GMS) Funding Formula Review</w:t>
            </w:r>
            <w:r w:rsidR="00AA28FD">
              <w:rPr>
                <w:noProof/>
                <w:webHidden/>
              </w:rPr>
              <w:tab/>
            </w:r>
            <w:r w:rsidR="00AA28FD">
              <w:rPr>
                <w:noProof/>
                <w:webHidden/>
              </w:rPr>
              <w:fldChar w:fldCharType="begin"/>
            </w:r>
            <w:r w:rsidR="00AA28FD">
              <w:rPr>
                <w:noProof/>
                <w:webHidden/>
              </w:rPr>
              <w:instrText xml:space="preserve"> PAGEREF _Toc498495510 \h </w:instrText>
            </w:r>
            <w:r w:rsidR="00AA28FD">
              <w:rPr>
                <w:noProof/>
                <w:webHidden/>
              </w:rPr>
            </w:r>
            <w:r w:rsidR="00AA28FD">
              <w:rPr>
                <w:noProof/>
                <w:webHidden/>
              </w:rPr>
              <w:fldChar w:fldCharType="separate"/>
            </w:r>
            <w:r w:rsidR="00622FF2">
              <w:rPr>
                <w:noProof/>
                <w:webHidden/>
              </w:rPr>
              <w:t>369</w:t>
            </w:r>
            <w:r w:rsidR="00AA28FD">
              <w:rPr>
                <w:noProof/>
                <w:webHidden/>
              </w:rPr>
              <w:fldChar w:fldCharType="end"/>
            </w:r>
          </w:hyperlink>
        </w:p>
        <w:p w14:paraId="6FF25B74"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511" w:history="1">
            <w:r w:rsidR="00AA28FD" w:rsidRPr="00D94A73">
              <w:rPr>
                <w:rStyle w:val="Hyperlink"/>
                <w:rFonts w:eastAsia="Arial"/>
                <w:noProof/>
              </w:rPr>
              <w:t>3.3</w:t>
            </w:r>
            <w:r w:rsidR="00AA28FD">
              <w:rPr>
                <w:rFonts w:asciiTheme="minorHAnsi" w:eastAsiaTheme="minorEastAsia" w:hAnsiTheme="minorHAnsi" w:cstheme="minorBidi"/>
                <w:bCs w:val="0"/>
                <w:noProof/>
                <w:sz w:val="22"/>
                <w:szCs w:val="22"/>
                <w:lang w:eastAsia="en-GB"/>
              </w:rPr>
              <w:tab/>
            </w:r>
            <w:r w:rsidR="00AA28FD" w:rsidRPr="00D94A73">
              <w:rPr>
                <w:rStyle w:val="Hyperlink"/>
                <w:rFonts w:eastAsia="Arial"/>
                <w:noProof/>
              </w:rPr>
              <w:t>Background to developing this document</w:t>
            </w:r>
            <w:r w:rsidR="00AA28FD">
              <w:rPr>
                <w:noProof/>
                <w:webHidden/>
              </w:rPr>
              <w:tab/>
            </w:r>
            <w:r w:rsidR="00AA28FD">
              <w:rPr>
                <w:noProof/>
                <w:webHidden/>
              </w:rPr>
              <w:fldChar w:fldCharType="begin"/>
            </w:r>
            <w:r w:rsidR="00AA28FD">
              <w:rPr>
                <w:noProof/>
                <w:webHidden/>
              </w:rPr>
              <w:instrText xml:space="preserve"> PAGEREF _Toc498495511 \h </w:instrText>
            </w:r>
            <w:r w:rsidR="00AA28FD">
              <w:rPr>
                <w:noProof/>
                <w:webHidden/>
              </w:rPr>
            </w:r>
            <w:r w:rsidR="00AA28FD">
              <w:rPr>
                <w:noProof/>
                <w:webHidden/>
              </w:rPr>
              <w:fldChar w:fldCharType="separate"/>
            </w:r>
            <w:r w:rsidR="00622FF2">
              <w:rPr>
                <w:noProof/>
                <w:webHidden/>
              </w:rPr>
              <w:t>370</w:t>
            </w:r>
            <w:r w:rsidR="00AA28FD">
              <w:rPr>
                <w:noProof/>
                <w:webHidden/>
              </w:rPr>
              <w:fldChar w:fldCharType="end"/>
            </w:r>
          </w:hyperlink>
        </w:p>
        <w:p w14:paraId="3FAB7218"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512" w:history="1">
            <w:r w:rsidR="00AA28FD" w:rsidRPr="00D94A73">
              <w:rPr>
                <w:rStyle w:val="Hyperlink"/>
                <w:rFonts w:eastAsia="Arial"/>
                <w:noProof/>
              </w:rPr>
              <w:t>3.4</w:t>
            </w:r>
            <w:r w:rsidR="00AA28FD">
              <w:rPr>
                <w:rFonts w:asciiTheme="minorHAnsi" w:eastAsiaTheme="minorEastAsia" w:hAnsiTheme="minorHAnsi" w:cstheme="minorBidi"/>
                <w:bCs w:val="0"/>
                <w:noProof/>
                <w:sz w:val="22"/>
                <w:szCs w:val="22"/>
                <w:lang w:eastAsia="en-GB"/>
              </w:rPr>
              <w:tab/>
            </w:r>
            <w:r w:rsidR="00AA28FD" w:rsidRPr="00D94A73">
              <w:rPr>
                <w:rStyle w:val="Hyperlink"/>
                <w:rFonts w:eastAsia="Arial"/>
                <w:noProof/>
              </w:rPr>
              <w:t>Identifying ‘Atypical’ populations locally</w:t>
            </w:r>
            <w:r w:rsidR="00AA28FD">
              <w:rPr>
                <w:noProof/>
                <w:webHidden/>
              </w:rPr>
              <w:tab/>
            </w:r>
            <w:r w:rsidR="00AA28FD">
              <w:rPr>
                <w:noProof/>
                <w:webHidden/>
              </w:rPr>
              <w:fldChar w:fldCharType="begin"/>
            </w:r>
            <w:r w:rsidR="00AA28FD">
              <w:rPr>
                <w:noProof/>
                <w:webHidden/>
              </w:rPr>
              <w:instrText xml:space="preserve"> PAGEREF _Toc498495512 \h </w:instrText>
            </w:r>
            <w:r w:rsidR="00AA28FD">
              <w:rPr>
                <w:noProof/>
                <w:webHidden/>
              </w:rPr>
            </w:r>
            <w:r w:rsidR="00AA28FD">
              <w:rPr>
                <w:noProof/>
                <w:webHidden/>
              </w:rPr>
              <w:fldChar w:fldCharType="separate"/>
            </w:r>
            <w:r w:rsidR="00622FF2">
              <w:rPr>
                <w:noProof/>
                <w:webHidden/>
              </w:rPr>
              <w:t>371</w:t>
            </w:r>
            <w:r w:rsidR="00AA28FD">
              <w:rPr>
                <w:noProof/>
                <w:webHidden/>
              </w:rPr>
              <w:fldChar w:fldCharType="end"/>
            </w:r>
          </w:hyperlink>
        </w:p>
        <w:p w14:paraId="2F44CD6C"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513" w:history="1">
            <w:r w:rsidR="00AA28FD" w:rsidRPr="00D94A73">
              <w:rPr>
                <w:rStyle w:val="Hyperlink"/>
                <w:rFonts w:eastAsia="Arial"/>
                <w:noProof/>
              </w:rPr>
              <w:t>3.5</w:t>
            </w:r>
            <w:r w:rsidR="00AA28FD">
              <w:rPr>
                <w:rFonts w:asciiTheme="minorHAnsi" w:eastAsiaTheme="minorEastAsia" w:hAnsiTheme="minorHAnsi" w:cstheme="minorBidi"/>
                <w:bCs w:val="0"/>
                <w:noProof/>
                <w:sz w:val="22"/>
                <w:szCs w:val="22"/>
                <w:lang w:eastAsia="en-GB"/>
              </w:rPr>
              <w:tab/>
            </w:r>
            <w:r w:rsidR="00AA28FD" w:rsidRPr="00D94A73">
              <w:rPr>
                <w:rStyle w:val="Hyperlink"/>
                <w:rFonts w:eastAsia="Arial"/>
                <w:noProof/>
              </w:rPr>
              <w:t>Unavoidably small and isolated</w:t>
            </w:r>
            <w:r w:rsidR="00AA28FD">
              <w:rPr>
                <w:noProof/>
                <w:webHidden/>
              </w:rPr>
              <w:tab/>
            </w:r>
            <w:r w:rsidR="00AA28FD">
              <w:rPr>
                <w:noProof/>
                <w:webHidden/>
              </w:rPr>
              <w:fldChar w:fldCharType="begin"/>
            </w:r>
            <w:r w:rsidR="00AA28FD">
              <w:rPr>
                <w:noProof/>
                <w:webHidden/>
              </w:rPr>
              <w:instrText xml:space="preserve"> PAGEREF _Toc498495513 \h </w:instrText>
            </w:r>
            <w:r w:rsidR="00AA28FD">
              <w:rPr>
                <w:noProof/>
                <w:webHidden/>
              </w:rPr>
            </w:r>
            <w:r w:rsidR="00AA28FD">
              <w:rPr>
                <w:noProof/>
                <w:webHidden/>
              </w:rPr>
              <w:fldChar w:fldCharType="separate"/>
            </w:r>
            <w:r w:rsidR="00622FF2">
              <w:rPr>
                <w:noProof/>
                <w:webHidden/>
              </w:rPr>
              <w:t>371</w:t>
            </w:r>
            <w:r w:rsidR="00AA28FD">
              <w:rPr>
                <w:noProof/>
                <w:webHidden/>
              </w:rPr>
              <w:fldChar w:fldCharType="end"/>
            </w:r>
          </w:hyperlink>
        </w:p>
        <w:p w14:paraId="7D8985BE"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514" w:history="1">
            <w:r w:rsidR="00AA28FD" w:rsidRPr="00D94A73">
              <w:rPr>
                <w:rStyle w:val="Hyperlink"/>
                <w:rFonts w:eastAsia="Arial"/>
                <w:noProof/>
              </w:rPr>
              <w:t>3.6</w:t>
            </w:r>
            <w:r w:rsidR="00AA28FD">
              <w:rPr>
                <w:rFonts w:asciiTheme="minorHAnsi" w:eastAsiaTheme="minorEastAsia" w:hAnsiTheme="minorHAnsi" w:cstheme="minorBidi"/>
                <w:bCs w:val="0"/>
                <w:noProof/>
                <w:sz w:val="22"/>
                <w:szCs w:val="22"/>
                <w:lang w:eastAsia="en-GB"/>
              </w:rPr>
              <w:tab/>
            </w:r>
            <w:r w:rsidR="00AA28FD" w:rsidRPr="00D94A73">
              <w:rPr>
                <w:rStyle w:val="Hyperlink"/>
                <w:rFonts w:eastAsia="Arial"/>
                <w:noProof/>
              </w:rPr>
              <w:t>University populations</w:t>
            </w:r>
            <w:r w:rsidR="00AA28FD">
              <w:rPr>
                <w:noProof/>
                <w:webHidden/>
              </w:rPr>
              <w:tab/>
            </w:r>
            <w:r w:rsidR="00AA28FD">
              <w:rPr>
                <w:noProof/>
                <w:webHidden/>
              </w:rPr>
              <w:fldChar w:fldCharType="begin"/>
            </w:r>
            <w:r w:rsidR="00AA28FD">
              <w:rPr>
                <w:noProof/>
                <w:webHidden/>
              </w:rPr>
              <w:instrText xml:space="preserve"> PAGEREF _Toc498495514 \h </w:instrText>
            </w:r>
            <w:r w:rsidR="00AA28FD">
              <w:rPr>
                <w:noProof/>
                <w:webHidden/>
              </w:rPr>
            </w:r>
            <w:r w:rsidR="00AA28FD">
              <w:rPr>
                <w:noProof/>
                <w:webHidden/>
              </w:rPr>
              <w:fldChar w:fldCharType="separate"/>
            </w:r>
            <w:r w:rsidR="00622FF2">
              <w:rPr>
                <w:noProof/>
                <w:webHidden/>
              </w:rPr>
              <w:t>374</w:t>
            </w:r>
            <w:r w:rsidR="00AA28FD">
              <w:rPr>
                <w:noProof/>
                <w:webHidden/>
              </w:rPr>
              <w:fldChar w:fldCharType="end"/>
            </w:r>
          </w:hyperlink>
        </w:p>
        <w:p w14:paraId="1FDCBE3D"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515" w:history="1">
            <w:r w:rsidR="00AA28FD" w:rsidRPr="00D94A73">
              <w:rPr>
                <w:rStyle w:val="Hyperlink"/>
                <w:rFonts w:eastAsia="Arial"/>
                <w:noProof/>
              </w:rPr>
              <w:t>3.7</w:t>
            </w:r>
            <w:r w:rsidR="00AA28FD">
              <w:rPr>
                <w:rFonts w:asciiTheme="minorHAnsi" w:eastAsiaTheme="minorEastAsia" w:hAnsiTheme="minorHAnsi" w:cstheme="minorBidi"/>
                <w:bCs w:val="0"/>
                <w:noProof/>
                <w:sz w:val="22"/>
                <w:szCs w:val="22"/>
                <w:lang w:eastAsia="en-GB"/>
              </w:rPr>
              <w:tab/>
            </w:r>
            <w:r w:rsidR="00AA28FD" w:rsidRPr="00D94A73">
              <w:rPr>
                <w:rStyle w:val="Hyperlink"/>
                <w:rFonts w:eastAsia="Arial"/>
                <w:noProof/>
              </w:rPr>
              <w:t>Practices with a high number of patients who do not speak English</w:t>
            </w:r>
            <w:r w:rsidR="00AA28FD">
              <w:rPr>
                <w:noProof/>
                <w:webHidden/>
              </w:rPr>
              <w:tab/>
            </w:r>
            <w:r w:rsidR="00AA28FD">
              <w:rPr>
                <w:noProof/>
                <w:webHidden/>
              </w:rPr>
              <w:fldChar w:fldCharType="begin"/>
            </w:r>
            <w:r w:rsidR="00AA28FD">
              <w:rPr>
                <w:noProof/>
                <w:webHidden/>
              </w:rPr>
              <w:instrText xml:space="preserve"> PAGEREF _Toc498495515 \h </w:instrText>
            </w:r>
            <w:r w:rsidR="00AA28FD">
              <w:rPr>
                <w:noProof/>
                <w:webHidden/>
              </w:rPr>
            </w:r>
            <w:r w:rsidR="00AA28FD">
              <w:rPr>
                <w:noProof/>
                <w:webHidden/>
              </w:rPr>
              <w:fldChar w:fldCharType="separate"/>
            </w:r>
            <w:r w:rsidR="00622FF2">
              <w:rPr>
                <w:noProof/>
                <w:webHidden/>
              </w:rPr>
              <w:t>376</w:t>
            </w:r>
            <w:r w:rsidR="00AA28FD">
              <w:rPr>
                <w:noProof/>
                <w:webHidden/>
              </w:rPr>
              <w:fldChar w:fldCharType="end"/>
            </w:r>
          </w:hyperlink>
        </w:p>
        <w:p w14:paraId="727AF982"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516" w:history="1">
            <w:r w:rsidR="00AA28FD" w:rsidRPr="00D94A73">
              <w:rPr>
                <w:rStyle w:val="Hyperlink"/>
                <w:rFonts w:eastAsia="Arial"/>
                <w:noProof/>
              </w:rPr>
              <w:t>3.8</w:t>
            </w:r>
            <w:r w:rsidR="00AA28FD">
              <w:rPr>
                <w:rFonts w:asciiTheme="minorHAnsi" w:eastAsiaTheme="minorEastAsia" w:hAnsiTheme="minorHAnsi" w:cstheme="minorBidi"/>
                <w:bCs w:val="0"/>
                <w:noProof/>
                <w:sz w:val="22"/>
                <w:szCs w:val="22"/>
                <w:lang w:eastAsia="en-GB"/>
              </w:rPr>
              <w:tab/>
            </w:r>
            <w:r w:rsidR="00AA28FD" w:rsidRPr="00D94A73">
              <w:rPr>
                <w:rStyle w:val="Hyperlink"/>
                <w:rFonts w:eastAsia="Arial"/>
                <w:noProof/>
              </w:rPr>
              <w:t>Conclusion</w:t>
            </w:r>
            <w:r w:rsidR="00AA28FD">
              <w:rPr>
                <w:noProof/>
                <w:webHidden/>
              </w:rPr>
              <w:tab/>
            </w:r>
            <w:r w:rsidR="00AA28FD">
              <w:rPr>
                <w:noProof/>
                <w:webHidden/>
              </w:rPr>
              <w:fldChar w:fldCharType="begin"/>
            </w:r>
            <w:r w:rsidR="00AA28FD">
              <w:rPr>
                <w:noProof/>
                <w:webHidden/>
              </w:rPr>
              <w:instrText xml:space="preserve"> PAGEREF _Toc498495516 \h </w:instrText>
            </w:r>
            <w:r w:rsidR="00AA28FD">
              <w:rPr>
                <w:noProof/>
                <w:webHidden/>
              </w:rPr>
            </w:r>
            <w:r w:rsidR="00AA28FD">
              <w:rPr>
                <w:noProof/>
                <w:webHidden/>
              </w:rPr>
              <w:fldChar w:fldCharType="separate"/>
            </w:r>
            <w:r w:rsidR="00622FF2">
              <w:rPr>
                <w:noProof/>
                <w:webHidden/>
              </w:rPr>
              <w:t>378</w:t>
            </w:r>
            <w:r w:rsidR="00AA28FD">
              <w:rPr>
                <w:noProof/>
                <w:webHidden/>
              </w:rPr>
              <w:fldChar w:fldCharType="end"/>
            </w:r>
          </w:hyperlink>
        </w:p>
        <w:p w14:paraId="72C2D7C6"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517" w:history="1">
            <w:r w:rsidR="00AA28FD" w:rsidRPr="00D94A73">
              <w:rPr>
                <w:rStyle w:val="Hyperlink"/>
                <w:rFonts w:eastAsia="Arial"/>
                <w:noProof/>
              </w:rPr>
              <w:t>3.9</w:t>
            </w:r>
            <w:r w:rsidR="00AA28FD">
              <w:rPr>
                <w:rFonts w:asciiTheme="minorHAnsi" w:eastAsiaTheme="minorEastAsia" w:hAnsiTheme="minorHAnsi" w:cstheme="minorBidi"/>
                <w:bCs w:val="0"/>
                <w:noProof/>
                <w:sz w:val="22"/>
                <w:szCs w:val="22"/>
                <w:lang w:eastAsia="en-GB"/>
              </w:rPr>
              <w:tab/>
            </w:r>
            <w:r w:rsidR="00AA28FD" w:rsidRPr="00D94A73">
              <w:rPr>
                <w:rStyle w:val="Hyperlink"/>
                <w:rFonts w:eastAsia="Arial"/>
                <w:noProof/>
              </w:rPr>
              <w:t>Notes for NHS England commissioners</w:t>
            </w:r>
            <w:r w:rsidR="00AA28FD">
              <w:rPr>
                <w:noProof/>
                <w:webHidden/>
              </w:rPr>
              <w:tab/>
            </w:r>
            <w:r w:rsidR="00AA28FD">
              <w:rPr>
                <w:noProof/>
                <w:webHidden/>
              </w:rPr>
              <w:fldChar w:fldCharType="begin"/>
            </w:r>
            <w:r w:rsidR="00AA28FD">
              <w:rPr>
                <w:noProof/>
                <w:webHidden/>
              </w:rPr>
              <w:instrText xml:space="preserve"> PAGEREF _Toc498495517 \h </w:instrText>
            </w:r>
            <w:r w:rsidR="00AA28FD">
              <w:rPr>
                <w:noProof/>
                <w:webHidden/>
              </w:rPr>
            </w:r>
            <w:r w:rsidR="00AA28FD">
              <w:rPr>
                <w:noProof/>
                <w:webHidden/>
              </w:rPr>
              <w:fldChar w:fldCharType="separate"/>
            </w:r>
            <w:r w:rsidR="00622FF2">
              <w:rPr>
                <w:noProof/>
                <w:webHidden/>
              </w:rPr>
              <w:t>378</w:t>
            </w:r>
            <w:r w:rsidR="00AA28FD">
              <w:rPr>
                <w:noProof/>
                <w:webHidden/>
              </w:rPr>
              <w:fldChar w:fldCharType="end"/>
            </w:r>
          </w:hyperlink>
        </w:p>
        <w:p w14:paraId="37DCC855" w14:textId="77777777" w:rsidR="00AA28FD" w:rsidRDefault="000E7846">
          <w:pPr>
            <w:pStyle w:val="TOC2"/>
            <w:rPr>
              <w:rFonts w:asciiTheme="minorHAnsi" w:eastAsiaTheme="minorEastAsia" w:hAnsiTheme="minorHAnsi" w:cstheme="minorBidi"/>
              <w:bCs w:val="0"/>
              <w:noProof/>
              <w:sz w:val="22"/>
              <w:szCs w:val="22"/>
              <w:lang w:eastAsia="en-GB"/>
            </w:rPr>
          </w:pPr>
          <w:hyperlink w:anchor="_Toc498495518" w:history="1">
            <w:r w:rsidR="00AA28FD" w:rsidRPr="00D94A73">
              <w:rPr>
                <w:rStyle w:val="Hyperlink"/>
                <w:rFonts w:eastAsia="Arial"/>
                <w:noProof/>
              </w:rPr>
              <w:t>3.10</w:t>
            </w:r>
            <w:r w:rsidR="00AA28FD">
              <w:rPr>
                <w:rFonts w:asciiTheme="minorHAnsi" w:eastAsiaTheme="minorEastAsia" w:hAnsiTheme="minorHAnsi" w:cstheme="minorBidi"/>
                <w:bCs w:val="0"/>
                <w:noProof/>
                <w:sz w:val="22"/>
                <w:szCs w:val="22"/>
                <w:lang w:eastAsia="en-GB"/>
              </w:rPr>
              <w:tab/>
            </w:r>
            <w:r w:rsidR="00AA28FD" w:rsidRPr="00D94A73">
              <w:rPr>
                <w:rStyle w:val="Hyperlink"/>
                <w:rFonts w:eastAsia="Arial"/>
                <w:noProof/>
              </w:rPr>
              <w:t>10 Scheduled update</w:t>
            </w:r>
            <w:r w:rsidR="00AA28FD">
              <w:rPr>
                <w:noProof/>
                <w:webHidden/>
              </w:rPr>
              <w:tab/>
            </w:r>
            <w:r w:rsidR="00AA28FD">
              <w:rPr>
                <w:noProof/>
                <w:webHidden/>
              </w:rPr>
              <w:fldChar w:fldCharType="begin"/>
            </w:r>
            <w:r w:rsidR="00AA28FD">
              <w:rPr>
                <w:noProof/>
                <w:webHidden/>
              </w:rPr>
              <w:instrText xml:space="preserve"> PAGEREF _Toc498495518 \h </w:instrText>
            </w:r>
            <w:r w:rsidR="00AA28FD">
              <w:rPr>
                <w:noProof/>
                <w:webHidden/>
              </w:rPr>
            </w:r>
            <w:r w:rsidR="00AA28FD">
              <w:rPr>
                <w:noProof/>
                <w:webHidden/>
              </w:rPr>
              <w:fldChar w:fldCharType="separate"/>
            </w:r>
            <w:r w:rsidR="00622FF2">
              <w:rPr>
                <w:noProof/>
                <w:webHidden/>
              </w:rPr>
              <w:t>379</w:t>
            </w:r>
            <w:r w:rsidR="00AA28FD">
              <w:rPr>
                <w:noProof/>
                <w:webHidden/>
              </w:rPr>
              <w:fldChar w:fldCharType="end"/>
            </w:r>
          </w:hyperlink>
        </w:p>
        <w:p w14:paraId="28D9B155" w14:textId="2A66E989" w:rsidR="00446DA6" w:rsidRDefault="00846153" w:rsidP="00CF69A3">
          <w:pPr>
            <w:spacing w:before="120" w:after="120" w:line="276" w:lineRule="auto"/>
          </w:pPr>
          <w:r>
            <w:fldChar w:fldCharType="end"/>
          </w:r>
        </w:p>
      </w:sdtContent>
    </w:sdt>
    <w:p w14:paraId="57752763" w14:textId="77777777" w:rsidR="00AB549D" w:rsidRDefault="00AB549D" w:rsidP="00A716D1"/>
    <w:p w14:paraId="1666C102" w14:textId="77777777" w:rsidR="005D7818" w:rsidRDefault="005D7818" w:rsidP="00A716D1"/>
    <w:p w14:paraId="53F1EBE0" w14:textId="443AB954" w:rsidR="00BD0523" w:rsidRDefault="00BD0523" w:rsidP="00A716D1">
      <w:pPr>
        <w:rPr>
          <w:rFonts w:cs="Arial"/>
          <w:color w:val="0072C6"/>
          <w:kern w:val="32"/>
          <w:sz w:val="32"/>
          <w:szCs w:val="32"/>
        </w:rPr>
      </w:pPr>
    </w:p>
    <w:p w14:paraId="052569C0" w14:textId="77777777" w:rsidR="00975B2C" w:rsidRDefault="00975B2C" w:rsidP="00F466C6">
      <w:pPr>
        <w:pStyle w:val="BodyText"/>
        <w:rPr>
          <w:b/>
          <w:color w:val="005EB8" w:themeColor="text2"/>
          <w:sz w:val="32"/>
          <w:szCs w:val="32"/>
        </w:rPr>
        <w:sectPr w:rsidR="00975B2C" w:rsidSect="00DD7D4A">
          <w:footerReference w:type="default" r:id="rId17"/>
          <w:footerReference w:type="first" r:id="rId18"/>
          <w:pgSz w:w="11910" w:h="16840"/>
          <w:pgMar w:top="980" w:right="1300" w:bottom="880" w:left="1300" w:header="490" w:footer="420" w:gutter="0"/>
          <w:cols w:space="720"/>
          <w:titlePg/>
          <w:docGrid w:linePitch="326"/>
        </w:sectPr>
      </w:pPr>
    </w:p>
    <w:p w14:paraId="02F2D17C" w14:textId="073E8949" w:rsidR="00BD0523" w:rsidRPr="00F466C6" w:rsidRDefault="00BD0523" w:rsidP="00F466C6">
      <w:pPr>
        <w:pStyle w:val="BodyText"/>
        <w:rPr>
          <w:b/>
          <w:color w:val="005EB8" w:themeColor="text2"/>
          <w:sz w:val="32"/>
          <w:szCs w:val="32"/>
        </w:rPr>
      </w:pPr>
      <w:r w:rsidRPr="00F466C6">
        <w:rPr>
          <w:b/>
          <w:color w:val="005EB8" w:themeColor="text2"/>
          <w:sz w:val="32"/>
          <w:szCs w:val="32"/>
        </w:rPr>
        <w:lastRenderedPageBreak/>
        <w:t>Executive summary</w:t>
      </w:r>
      <w:r w:rsidR="00AD18FA" w:rsidRPr="00F466C6">
        <w:rPr>
          <w:b/>
          <w:color w:val="005EB8" w:themeColor="text2"/>
          <w:sz w:val="32"/>
          <w:szCs w:val="32"/>
        </w:rPr>
        <w:t xml:space="preserve"> </w:t>
      </w:r>
    </w:p>
    <w:p w14:paraId="33C974D9" w14:textId="5225664B" w:rsidR="00BD0523" w:rsidRDefault="00ED39AE" w:rsidP="00782D1D">
      <w:pPr>
        <w:spacing w:before="240" w:after="240" w:line="276" w:lineRule="auto"/>
      </w:pPr>
      <w:r w:rsidRPr="00ED39AE">
        <w:t xml:space="preserve">This policy and guidance manual </w:t>
      </w:r>
      <w:r>
        <w:t>has been updated to reflect the changing landscape in primary care co-commissioning.</w:t>
      </w:r>
    </w:p>
    <w:p w14:paraId="38420811" w14:textId="09748721" w:rsidR="00ED39AE" w:rsidRDefault="00ED39AE" w:rsidP="00782D1D">
      <w:pPr>
        <w:spacing w:before="240" w:after="240" w:line="276" w:lineRule="auto"/>
      </w:pPr>
      <w:r w:rsidRPr="00ED39AE">
        <w:t xml:space="preserve">In 2016, the </w:t>
      </w:r>
      <w:r w:rsidR="004A02AA">
        <w:t>‘</w:t>
      </w:r>
      <w:r w:rsidRPr="00ED39AE">
        <w:t>Policy Book</w:t>
      </w:r>
      <w:r w:rsidR="004A02AA">
        <w:t>’</w:t>
      </w:r>
      <w:r w:rsidRPr="00ED39AE">
        <w:t xml:space="preserve"> for Primary Medical Services </w:t>
      </w:r>
      <w:r>
        <w:t>was published</w:t>
      </w:r>
      <w:r w:rsidR="00836ECF">
        <w:t xml:space="preserve"> (Gateway Ref </w:t>
      </w:r>
      <w:r w:rsidR="00836ECF" w:rsidRPr="00836ECF">
        <w:t>04171</w:t>
      </w:r>
      <w:r w:rsidR="00836ECF">
        <w:t>)</w:t>
      </w:r>
      <w:r>
        <w:t>, which provided</w:t>
      </w:r>
      <w:r w:rsidRPr="00ED39AE">
        <w:t xml:space="preserve"> commissioners of GP services with the context, information and tools to commission and manage GP contracts.</w:t>
      </w:r>
      <w:r>
        <w:t xml:space="preserve">  </w:t>
      </w:r>
    </w:p>
    <w:p w14:paraId="3B0B2F7F" w14:textId="6A4CBA68" w:rsidR="00ED39AE" w:rsidRDefault="00ED39AE" w:rsidP="00782D1D">
      <w:pPr>
        <w:spacing w:before="240" w:after="240" w:line="276" w:lineRule="auto"/>
      </w:pPr>
      <w:r w:rsidRPr="00ED39AE">
        <w:t xml:space="preserve">As part of the co-commissioning strategy, as at 1 April 2017, 176 Clinical Commissioning Groups (CCGs) have responsibility for commissioning and contract monitoring GP services in their locality, with NHS England maintaining overall accountability. Local Offices </w:t>
      </w:r>
      <w:r>
        <w:t xml:space="preserve">of NHS England retain responsibility </w:t>
      </w:r>
      <w:r w:rsidRPr="00ED39AE">
        <w:t>for commissioning and monitoring the performance of GP services for the remaining CCGs.</w:t>
      </w:r>
    </w:p>
    <w:p w14:paraId="0653027A" w14:textId="260FCB9D" w:rsidR="00ED39AE" w:rsidRDefault="00ED39AE" w:rsidP="00782D1D">
      <w:pPr>
        <w:spacing w:before="240" w:after="240" w:line="276" w:lineRule="auto"/>
      </w:pPr>
      <w:r>
        <w:t>Recognising the need to strengthen guidance for CCG commissioners</w:t>
      </w:r>
      <w:r w:rsidR="004A02AA">
        <w:t>,</w:t>
      </w:r>
      <w:r>
        <w:t xml:space="preserve"> </w:t>
      </w:r>
      <w:r w:rsidR="004A02AA">
        <w:t xml:space="preserve">NHS England reviewed its Policy Book and the </w:t>
      </w:r>
      <w:r w:rsidR="00A37E23">
        <w:t>feedback received since its first publication and has</w:t>
      </w:r>
      <w:r w:rsidR="004A02AA">
        <w:t xml:space="preserve"> made the following additions and amendments</w:t>
      </w:r>
      <w:r w:rsidR="00A37E23">
        <w:t xml:space="preserve"> and published herewith in this ‘Primary Medical Care Policy and Guidance Manual (PGM).</w:t>
      </w:r>
    </w:p>
    <w:p w14:paraId="47030F04" w14:textId="1C4B0E6D" w:rsidR="00A37E23" w:rsidRDefault="00A37E23" w:rsidP="00782D1D">
      <w:pPr>
        <w:spacing w:before="240" w:after="240" w:line="276" w:lineRule="auto"/>
      </w:pPr>
      <w:r>
        <w:t>The PGM has been divided into 4 parts (A-D).  The language throughout has been amended to cover all commissioners, recognising 85% of CCGs are now operating under fully delegated authority</w:t>
      </w:r>
      <w:r w:rsidR="00836ECF">
        <w:t xml:space="preserve"> or joint arrangements</w:t>
      </w:r>
      <w:r>
        <w:t xml:space="preserve">. </w:t>
      </w:r>
      <w:r w:rsidR="00AA3B04">
        <w:t xml:space="preserve">Reflecting feedback, templates have been embedded as </w:t>
      </w:r>
      <w:r w:rsidR="00836ECF">
        <w:t>extractable</w:t>
      </w:r>
      <w:r w:rsidR="00AA3B04">
        <w:t xml:space="preserve"> documents for easier onward use</w:t>
      </w:r>
      <w:r w:rsidR="00836ECF">
        <w:t>.</w:t>
      </w:r>
    </w:p>
    <w:p w14:paraId="148F3803" w14:textId="77777777" w:rsidR="00A37E23" w:rsidRDefault="00A37E23" w:rsidP="00782D1D">
      <w:pPr>
        <w:spacing w:before="240" w:after="240" w:line="276" w:lineRule="auto"/>
      </w:pPr>
      <w:r>
        <w:t>Part A – Excellent Commissioning and Partnership Working</w:t>
      </w:r>
    </w:p>
    <w:p w14:paraId="556478DF" w14:textId="113CCFB5" w:rsidR="00A37E23" w:rsidRDefault="00A37E23" w:rsidP="005A7DDA">
      <w:pPr>
        <w:pStyle w:val="ListParagraph"/>
        <w:numPr>
          <w:ilvl w:val="0"/>
          <w:numId w:val="144"/>
        </w:numPr>
        <w:spacing w:before="240" w:after="240" w:line="276" w:lineRule="auto"/>
      </w:pPr>
      <w:r>
        <w:t xml:space="preserve">Introduction – </w:t>
      </w:r>
      <w:r w:rsidRPr="00A37E23">
        <w:rPr>
          <w:b/>
        </w:rPr>
        <w:t>An existing chapter with minor amendments</w:t>
      </w:r>
      <w:r>
        <w:t xml:space="preserve"> </w:t>
      </w:r>
    </w:p>
    <w:p w14:paraId="0A7DDC2E" w14:textId="0273D66D" w:rsidR="00A37E23" w:rsidRPr="00A37E23" w:rsidRDefault="00A37E23" w:rsidP="005A7DDA">
      <w:pPr>
        <w:pStyle w:val="ListParagraph"/>
        <w:numPr>
          <w:ilvl w:val="0"/>
          <w:numId w:val="144"/>
        </w:numPr>
        <w:spacing w:before="240" w:after="240" w:line="276" w:lineRule="auto"/>
        <w:rPr>
          <w:b/>
        </w:rPr>
      </w:pPr>
      <w:r>
        <w:t xml:space="preserve">Abbreviations and Acronyms – </w:t>
      </w:r>
      <w:r w:rsidRPr="00A37E23">
        <w:rPr>
          <w:b/>
        </w:rPr>
        <w:t>An existing chapter with minor amendments</w:t>
      </w:r>
    </w:p>
    <w:p w14:paraId="19748A09" w14:textId="30F5BCA9" w:rsidR="00A37E23" w:rsidRPr="00A37E23" w:rsidRDefault="00A37E23" w:rsidP="005A7DDA">
      <w:pPr>
        <w:pStyle w:val="ListParagraph"/>
        <w:numPr>
          <w:ilvl w:val="0"/>
          <w:numId w:val="144"/>
        </w:numPr>
        <w:spacing w:before="240" w:after="240" w:line="276" w:lineRule="auto"/>
        <w:rPr>
          <w:b/>
        </w:rPr>
      </w:pPr>
      <w:r>
        <w:t xml:space="preserve">Commissioning Described – </w:t>
      </w:r>
      <w:r w:rsidRPr="00A37E23">
        <w:rPr>
          <w:b/>
        </w:rPr>
        <w:t>An existing chapter with minor amendments</w:t>
      </w:r>
    </w:p>
    <w:p w14:paraId="26E02D06" w14:textId="2F23ECED" w:rsidR="00A37E23" w:rsidRPr="00A37E23" w:rsidRDefault="00A37E23" w:rsidP="005A7DDA">
      <w:pPr>
        <w:pStyle w:val="ListParagraph"/>
        <w:numPr>
          <w:ilvl w:val="0"/>
          <w:numId w:val="144"/>
        </w:numPr>
        <w:spacing w:before="240" w:after="240" w:line="276" w:lineRule="auto"/>
        <w:rPr>
          <w:b/>
        </w:rPr>
      </w:pPr>
      <w:r>
        <w:t xml:space="preserve">General Duties of NHS England (including addressing health inequalities) – </w:t>
      </w:r>
      <w:r w:rsidRPr="00A37E23">
        <w:rPr>
          <w:b/>
        </w:rPr>
        <w:t>An existing chapter which has been redrafted jointly by the Legal and Equalities and Health Inequalities Team</w:t>
      </w:r>
      <w:r>
        <w:rPr>
          <w:b/>
        </w:rPr>
        <w:t>s</w:t>
      </w:r>
    </w:p>
    <w:p w14:paraId="012C0A0A" w14:textId="0E542FCC" w:rsidR="00A37E23" w:rsidRPr="00A37E23" w:rsidRDefault="00A37E23" w:rsidP="005A7DDA">
      <w:pPr>
        <w:pStyle w:val="ListParagraph"/>
        <w:numPr>
          <w:ilvl w:val="0"/>
          <w:numId w:val="144"/>
        </w:numPr>
        <w:spacing w:before="240" w:after="240" w:line="276" w:lineRule="auto"/>
        <w:rPr>
          <w:b/>
        </w:rPr>
      </w:pPr>
      <w:r>
        <w:t xml:space="preserve">Working Together – Commissioning and Regulating – </w:t>
      </w:r>
      <w:r w:rsidRPr="00A37E23">
        <w:rPr>
          <w:b/>
        </w:rPr>
        <w:t xml:space="preserve">A new chapter drafted collaboratively with </w:t>
      </w:r>
      <w:r w:rsidR="00BC5F9C">
        <w:rPr>
          <w:b/>
        </w:rPr>
        <w:t>the Care Quality Commission (</w:t>
      </w:r>
      <w:r w:rsidRPr="00A37E23">
        <w:rPr>
          <w:b/>
        </w:rPr>
        <w:t>CQC</w:t>
      </w:r>
      <w:r w:rsidR="00BC5F9C">
        <w:rPr>
          <w:b/>
        </w:rPr>
        <w:t>)</w:t>
      </w:r>
    </w:p>
    <w:p w14:paraId="1189C05B" w14:textId="77777777" w:rsidR="00A37E23" w:rsidRDefault="00A37E23" w:rsidP="00782D1D">
      <w:pPr>
        <w:spacing w:before="240" w:after="240" w:line="276" w:lineRule="auto"/>
      </w:pPr>
      <w:r>
        <w:t>Part B – General Contract Management</w:t>
      </w:r>
    </w:p>
    <w:p w14:paraId="6CA528AA" w14:textId="1045131F" w:rsidR="00A37E23" w:rsidRDefault="00A37E23" w:rsidP="005A7DDA">
      <w:pPr>
        <w:pStyle w:val="ListParagraph"/>
        <w:numPr>
          <w:ilvl w:val="0"/>
          <w:numId w:val="143"/>
        </w:numPr>
        <w:spacing w:before="240" w:after="240" w:line="276" w:lineRule="auto"/>
      </w:pPr>
      <w:r>
        <w:t xml:space="preserve">Contracts Described – </w:t>
      </w:r>
      <w:r>
        <w:rPr>
          <w:b/>
        </w:rPr>
        <w:t>An existing chapter with minor amendments</w:t>
      </w:r>
    </w:p>
    <w:p w14:paraId="171603A6" w14:textId="088348B3" w:rsidR="00A37E23" w:rsidRPr="00A37E23" w:rsidRDefault="00A37E23" w:rsidP="005A7DDA">
      <w:pPr>
        <w:pStyle w:val="ListParagraph"/>
        <w:numPr>
          <w:ilvl w:val="0"/>
          <w:numId w:val="143"/>
        </w:numPr>
        <w:spacing w:before="240" w:after="240" w:line="276" w:lineRule="auto"/>
        <w:rPr>
          <w:b/>
        </w:rPr>
      </w:pPr>
      <w:r>
        <w:t xml:space="preserve">Assurance Framework Contract Review – </w:t>
      </w:r>
      <w:r w:rsidRPr="00A37E23">
        <w:rPr>
          <w:b/>
        </w:rPr>
        <w:t>A new chapter</w:t>
      </w:r>
    </w:p>
    <w:p w14:paraId="4296B92B" w14:textId="48770499" w:rsidR="00A37E23" w:rsidRDefault="00A37E23" w:rsidP="005A7DDA">
      <w:pPr>
        <w:pStyle w:val="ListParagraph"/>
        <w:numPr>
          <w:ilvl w:val="0"/>
          <w:numId w:val="143"/>
        </w:numPr>
        <w:spacing w:before="240" w:after="240" w:line="276" w:lineRule="auto"/>
      </w:pPr>
      <w:r>
        <w:t xml:space="preserve">Managing Patient Lists – </w:t>
      </w:r>
      <w:r w:rsidRPr="00A818C8">
        <w:rPr>
          <w:b/>
        </w:rPr>
        <w:t>An existing chapter that has been strengthen</w:t>
      </w:r>
      <w:r w:rsidR="00A818C8" w:rsidRPr="00A818C8">
        <w:rPr>
          <w:b/>
        </w:rPr>
        <w:t>ed and refined</w:t>
      </w:r>
      <w:r w:rsidR="00A818C8">
        <w:rPr>
          <w:b/>
        </w:rPr>
        <w:t xml:space="preserve">. It </w:t>
      </w:r>
      <w:r w:rsidR="00A818C8" w:rsidRPr="00A818C8">
        <w:rPr>
          <w:b/>
        </w:rPr>
        <w:t xml:space="preserve">also </w:t>
      </w:r>
      <w:r w:rsidR="00A818C8">
        <w:rPr>
          <w:b/>
        </w:rPr>
        <w:t xml:space="preserve">describes </w:t>
      </w:r>
      <w:r w:rsidR="00A818C8" w:rsidRPr="00A818C8">
        <w:rPr>
          <w:b/>
        </w:rPr>
        <w:t xml:space="preserve">the Primary Care Support </w:t>
      </w:r>
      <w:r w:rsidR="00A818C8">
        <w:rPr>
          <w:b/>
        </w:rPr>
        <w:t xml:space="preserve">(PCS) </w:t>
      </w:r>
      <w:r w:rsidR="00A818C8" w:rsidRPr="00A818C8">
        <w:rPr>
          <w:b/>
        </w:rPr>
        <w:t>Services delivered nationally through Primary Care Support England</w:t>
      </w:r>
      <w:r w:rsidR="00A818C8">
        <w:rPr>
          <w:b/>
        </w:rPr>
        <w:t xml:space="preserve"> (PCSE)</w:t>
      </w:r>
    </w:p>
    <w:p w14:paraId="2B4A7380" w14:textId="260FE100" w:rsidR="00A37E23" w:rsidRDefault="00A37E23" w:rsidP="005A7DDA">
      <w:pPr>
        <w:pStyle w:val="ListParagraph"/>
        <w:numPr>
          <w:ilvl w:val="0"/>
          <w:numId w:val="143"/>
        </w:numPr>
        <w:spacing w:before="240" w:after="240" w:line="276" w:lineRule="auto"/>
      </w:pPr>
      <w:r>
        <w:t>GP Patient Registration Standard Operating Principles for Primary Medical Care</w:t>
      </w:r>
      <w:r w:rsidR="00A818C8">
        <w:t xml:space="preserve"> – </w:t>
      </w:r>
      <w:r w:rsidR="00A818C8" w:rsidRPr="00A818C8">
        <w:rPr>
          <w:b/>
        </w:rPr>
        <w:t>A new chapter in the PGM, but which updates existing registration guidance published by NHS England in November 2015</w:t>
      </w:r>
      <w:r w:rsidR="00A818C8">
        <w:rPr>
          <w:b/>
        </w:rPr>
        <w:t xml:space="preserve"> (Gateway Ref 04448)</w:t>
      </w:r>
    </w:p>
    <w:p w14:paraId="623DB6E9" w14:textId="4A02863B" w:rsidR="00A37E23" w:rsidRPr="00A818C8" w:rsidRDefault="00A37E23" w:rsidP="005A7DDA">
      <w:pPr>
        <w:pStyle w:val="ListParagraph"/>
        <w:numPr>
          <w:ilvl w:val="0"/>
          <w:numId w:val="143"/>
        </w:numPr>
        <w:spacing w:before="240" w:after="240" w:line="276" w:lineRule="auto"/>
        <w:rPr>
          <w:b/>
        </w:rPr>
      </w:pPr>
      <w:r>
        <w:lastRenderedPageBreak/>
        <w:t>Temporary suspension to patient registration</w:t>
      </w:r>
      <w:r w:rsidR="00A818C8">
        <w:t xml:space="preserve"> – </w:t>
      </w:r>
      <w:r w:rsidR="00A818C8" w:rsidRPr="00A818C8">
        <w:rPr>
          <w:b/>
        </w:rPr>
        <w:t>A new chapter</w:t>
      </w:r>
      <w:r w:rsidR="001610E6">
        <w:rPr>
          <w:b/>
        </w:rPr>
        <w:t xml:space="preserve"> in the PGM</w:t>
      </w:r>
    </w:p>
    <w:p w14:paraId="749EF86F" w14:textId="5BDFDB71" w:rsidR="00A37E23" w:rsidRDefault="00A37E23" w:rsidP="005A7DDA">
      <w:pPr>
        <w:pStyle w:val="ListParagraph"/>
        <w:numPr>
          <w:ilvl w:val="0"/>
          <w:numId w:val="143"/>
        </w:numPr>
        <w:spacing w:before="240" w:after="240" w:line="276" w:lineRule="auto"/>
      </w:pPr>
      <w:r>
        <w:t>Special Allocation Scheme (SAS)</w:t>
      </w:r>
      <w:r w:rsidR="00A818C8">
        <w:t xml:space="preserve"> – </w:t>
      </w:r>
      <w:r w:rsidR="00A818C8" w:rsidRPr="00A818C8">
        <w:rPr>
          <w:b/>
        </w:rPr>
        <w:t>A new chapter drafted</w:t>
      </w:r>
      <w:r w:rsidR="00A818C8">
        <w:rPr>
          <w:b/>
        </w:rPr>
        <w:t xml:space="preserve"> jointly with NHS England’s PCS Services, Legal and Information Governance Teams and the </w:t>
      </w:r>
      <w:r w:rsidR="00A818C8" w:rsidRPr="00A818C8">
        <w:rPr>
          <w:b/>
        </w:rPr>
        <w:t>National Security Management Coordinator</w:t>
      </w:r>
      <w:r w:rsidR="00BC5F9C">
        <w:rPr>
          <w:b/>
        </w:rPr>
        <w:t xml:space="preserve">. </w:t>
      </w:r>
    </w:p>
    <w:p w14:paraId="11ADBAD4" w14:textId="1CE2D535" w:rsidR="00A37E23" w:rsidRDefault="00A37E23" w:rsidP="005A7DDA">
      <w:pPr>
        <w:pStyle w:val="ListParagraph"/>
        <w:numPr>
          <w:ilvl w:val="0"/>
          <w:numId w:val="143"/>
        </w:numPr>
        <w:spacing w:before="240" w:after="240" w:line="276" w:lineRule="auto"/>
      </w:pPr>
      <w:r>
        <w:t>Contract Variations (templates available)</w:t>
      </w:r>
      <w:r w:rsidR="00A818C8">
        <w:t xml:space="preserve"> - </w:t>
      </w:r>
      <w:r w:rsidR="00A818C8" w:rsidRPr="00A818C8">
        <w:rPr>
          <w:b/>
        </w:rPr>
        <w:t>An existing chapter that has been strengthened and refined</w:t>
      </w:r>
      <w:r w:rsidR="00A818C8">
        <w:rPr>
          <w:b/>
        </w:rPr>
        <w:t xml:space="preserve"> by the Legal team and provides increased </w:t>
      </w:r>
      <w:r w:rsidR="00AA3B04">
        <w:rPr>
          <w:b/>
        </w:rPr>
        <w:t>g</w:t>
      </w:r>
      <w:r w:rsidR="001610E6">
        <w:rPr>
          <w:b/>
        </w:rPr>
        <w:t>uidance in relation to Practice</w:t>
      </w:r>
      <w:r w:rsidR="00AA3B04">
        <w:rPr>
          <w:b/>
        </w:rPr>
        <w:t xml:space="preserve"> Mergers</w:t>
      </w:r>
    </w:p>
    <w:p w14:paraId="63268696" w14:textId="1708382E" w:rsidR="00AA3B04" w:rsidRPr="00AA3B04" w:rsidRDefault="00A37E23" w:rsidP="005A7DDA">
      <w:pPr>
        <w:pStyle w:val="ListParagraph"/>
        <w:numPr>
          <w:ilvl w:val="0"/>
          <w:numId w:val="143"/>
        </w:numPr>
        <w:spacing w:before="240" w:after="240" w:line="276" w:lineRule="auto"/>
        <w:rPr>
          <w:b/>
        </w:rPr>
      </w:pPr>
      <w:r>
        <w:t>Managing a PMS Contractor’s Right to a GMS Contract</w:t>
      </w:r>
      <w:r w:rsidR="00AA3B04" w:rsidRPr="00AA3B04">
        <w:t xml:space="preserve"> – </w:t>
      </w:r>
      <w:r w:rsidR="00AA3B04" w:rsidRPr="00AA3B04">
        <w:rPr>
          <w:b/>
        </w:rPr>
        <w:t xml:space="preserve">An existing chapter with minor amendments </w:t>
      </w:r>
    </w:p>
    <w:p w14:paraId="6C2716A6" w14:textId="77777777" w:rsidR="00AA3B04" w:rsidRPr="00AA3B04" w:rsidRDefault="00A37E23" w:rsidP="005A7DDA">
      <w:pPr>
        <w:pStyle w:val="ListParagraph"/>
        <w:numPr>
          <w:ilvl w:val="0"/>
          <w:numId w:val="143"/>
        </w:numPr>
        <w:spacing w:before="240" w:after="240" w:line="276" w:lineRule="auto"/>
        <w:rPr>
          <w:b/>
        </w:rPr>
      </w:pPr>
      <w:r>
        <w:t>Practice Closedown (Planned / Scheduled)</w:t>
      </w:r>
      <w:r w:rsidR="00AA3B04">
        <w:t xml:space="preserve"> </w:t>
      </w:r>
      <w:r w:rsidR="00AA3B04" w:rsidRPr="00AA3B04">
        <w:rPr>
          <w:b/>
        </w:rPr>
        <w:t xml:space="preserve">An existing chapter with minor amendments </w:t>
      </w:r>
    </w:p>
    <w:p w14:paraId="750802F0" w14:textId="46DA555B" w:rsidR="00A37E23" w:rsidRPr="006B3D27" w:rsidRDefault="00A37E23" w:rsidP="005A7DDA">
      <w:pPr>
        <w:pStyle w:val="ListParagraph"/>
        <w:numPr>
          <w:ilvl w:val="0"/>
          <w:numId w:val="143"/>
        </w:numPr>
        <w:spacing w:before="240" w:after="240" w:line="276" w:lineRule="auto"/>
      </w:pPr>
      <w:r>
        <w:t>Discretionary Payments (made under Sectio</w:t>
      </w:r>
      <w:r w:rsidR="00AA3B04">
        <w:t>n 96</w:t>
      </w:r>
      <w:r>
        <w:t>)</w:t>
      </w:r>
      <w:r w:rsidR="00AA3B04">
        <w:t xml:space="preserve"> </w:t>
      </w:r>
      <w:r w:rsidR="00AA3B04" w:rsidRPr="00AA3B04">
        <w:rPr>
          <w:b/>
        </w:rPr>
        <w:t>A new chapter drafted jointly with NHS England’s Legal and Finance Teams</w:t>
      </w:r>
    </w:p>
    <w:p w14:paraId="4F659598" w14:textId="77777777" w:rsidR="00A37E23" w:rsidRDefault="00A37E23" w:rsidP="00782D1D">
      <w:pPr>
        <w:spacing w:before="240" w:after="240" w:line="276" w:lineRule="auto"/>
      </w:pPr>
      <w:r>
        <w:t>Part C – When things go wrong</w:t>
      </w:r>
    </w:p>
    <w:p w14:paraId="2412A8C2" w14:textId="300305AA" w:rsidR="00AA3B04" w:rsidRPr="00AA3B04" w:rsidRDefault="00A37E23" w:rsidP="005A7DDA">
      <w:pPr>
        <w:pStyle w:val="ListParagraph"/>
        <w:numPr>
          <w:ilvl w:val="0"/>
          <w:numId w:val="142"/>
        </w:numPr>
        <w:spacing w:before="240" w:after="240" w:line="276" w:lineRule="auto"/>
        <w:rPr>
          <w:b/>
        </w:rPr>
      </w:pPr>
      <w:r>
        <w:t>Contract Breaches, Sanctions and Terminations</w:t>
      </w:r>
      <w:r w:rsidR="00AA3B04">
        <w:t xml:space="preserve"> – </w:t>
      </w:r>
      <w:r w:rsidR="00AA3B04" w:rsidRPr="00AA3B04">
        <w:rPr>
          <w:b/>
        </w:rPr>
        <w:t xml:space="preserve">An existing chapter with minor amendments </w:t>
      </w:r>
    </w:p>
    <w:p w14:paraId="3FEEDF0A" w14:textId="708C3FBE" w:rsidR="00A37E23" w:rsidRDefault="00A37E23" w:rsidP="005A7DDA">
      <w:pPr>
        <w:pStyle w:val="ListParagraph"/>
        <w:numPr>
          <w:ilvl w:val="0"/>
          <w:numId w:val="142"/>
        </w:numPr>
        <w:spacing w:before="240" w:after="240" w:line="276" w:lineRule="auto"/>
      </w:pPr>
      <w:r>
        <w:t>Unplanned / Unscheduled and Unavoidable Practice Closedown</w:t>
      </w:r>
      <w:r w:rsidR="00AA3B04">
        <w:t xml:space="preserve"> – </w:t>
      </w:r>
      <w:r w:rsidR="00AA3B04" w:rsidRPr="00AA3B04">
        <w:rPr>
          <w:b/>
        </w:rPr>
        <w:t>A new chapter drafted jointly with PCS Services, Information Governance and GPIT teams, to address issue</w:t>
      </w:r>
      <w:r w:rsidR="00AA3B04">
        <w:rPr>
          <w:b/>
        </w:rPr>
        <w:t>s</w:t>
      </w:r>
      <w:r w:rsidR="00AA3B04" w:rsidRPr="00AA3B04">
        <w:rPr>
          <w:b/>
        </w:rPr>
        <w:t xml:space="preserve"> such as Orphan Records</w:t>
      </w:r>
    </w:p>
    <w:p w14:paraId="49EF4A7D" w14:textId="4BD39565" w:rsidR="00A37E23" w:rsidRPr="00AA3B04" w:rsidRDefault="00A37E23" w:rsidP="005A7DDA">
      <w:pPr>
        <w:pStyle w:val="ListParagraph"/>
        <w:numPr>
          <w:ilvl w:val="0"/>
          <w:numId w:val="142"/>
        </w:numPr>
        <w:spacing w:before="240" w:after="240" w:line="276" w:lineRule="auto"/>
        <w:rPr>
          <w:b/>
        </w:rPr>
      </w:pPr>
      <w:r>
        <w:t>Death of a Contractor (excluding single handers – see adverse events)</w:t>
      </w:r>
      <w:r w:rsidR="00AA3B04">
        <w:t xml:space="preserve"> – </w:t>
      </w:r>
      <w:r w:rsidR="00AA3B04" w:rsidRPr="00AA3B04">
        <w:rPr>
          <w:b/>
        </w:rPr>
        <w:t>An existing chapter with minor amendments</w:t>
      </w:r>
    </w:p>
    <w:p w14:paraId="06E89B29" w14:textId="77777777" w:rsidR="00AA3B04" w:rsidRPr="00AA3B04" w:rsidRDefault="00A37E23" w:rsidP="005A7DDA">
      <w:pPr>
        <w:pStyle w:val="ListParagraph"/>
        <w:numPr>
          <w:ilvl w:val="0"/>
          <w:numId w:val="142"/>
        </w:numPr>
        <w:spacing w:before="240" w:after="240" w:line="276" w:lineRule="auto"/>
        <w:rPr>
          <w:b/>
        </w:rPr>
      </w:pPr>
      <w:r>
        <w:t>Managing Disputes</w:t>
      </w:r>
      <w:r w:rsidR="00AA3B04">
        <w:t xml:space="preserve"> – </w:t>
      </w:r>
      <w:r w:rsidR="00AA3B04" w:rsidRPr="00AA3B04">
        <w:rPr>
          <w:b/>
        </w:rPr>
        <w:t>An existing chapter with minor amendments</w:t>
      </w:r>
    </w:p>
    <w:p w14:paraId="249522BA" w14:textId="77777777" w:rsidR="00AA3B04" w:rsidRDefault="00A37E23" w:rsidP="005A7DDA">
      <w:pPr>
        <w:pStyle w:val="ListParagraph"/>
        <w:numPr>
          <w:ilvl w:val="0"/>
          <w:numId w:val="142"/>
        </w:numPr>
        <w:spacing w:before="240" w:after="240" w:line="276" w:lineRule="auto"/>
        <w:rPr>
          <w:b/>
        </w:rPr>
      </w:pPr>
      <w:r>
        <w:t>Adverse Events (e.g. flood fire)</w:t>
      </w:r>
      <w:r w:rsidR="00AA3B04">
        <w:t xml:space="preserve"> – </w:t>
      </w:r>
      <w:r w:rsidR="00AA3B04" w:rsidRPr="00AA3B04">
        <w:rPr>
          <w:b/>
        </w:rPr>
        <w:t>An existing chapter with minor amendments</w:t>
      </w:r>
    </w:p>
    <w:p w14:paraId="14486161" w14:textId="77777777" w:rsidR="00A37E23" w:rsidRDefault="00A37E23" w:rsidP="00782D1D">
      <w:pPr>
        <w:spacing w:before="240" w:after="240" w:line="276" w:lineRule="auto"/>
      </w:pPr>
      <w:r>
        <w:t>Part D – General</w:t>
      </w:r>
    </w:p>
    <w:p w14:paraId="37CC73CC" w14:textId="139807B5" w:rsidR="00A37E23" w:rsidRPr="00AA3B04" w:rsidRDefault="00A37E23" w:rsidP="005A7DDA">
      <w:pPr>
        <w:pStyle w:val="ListParagraph"/>
        <w:numPr>
          <w:ilvl w:val="0"/>
          <w:numId w:val="141"/>
        </w:numPr>
        <w:spacing w:before="240" w:after="240" w:line="276" w:lineRule="auto"/>
        <w:rPr>
          <w:b/>
        </w:rPr>
      </w:pPr>
      <w:r>
        <w:t>GP IT Operating Model:  Data and Cyber Security Arrangements</w:t>
      </w:r>
      <w:r w:rsidR="00AA3B04">
        <w:t xml:space="preserve"> – </w:t>
      </w:r>
      <w:r w:rsidR="00AA3B04" w:rsidRPr="00AA3B04">
        <w:rPr>
          <w:b/>
        </w:rPr>
        <w:t>A new chapter drafted by the GPIT team</w:t>
      </w:r>
    </w:p>
    <w:p w14:paraId="39831D5F" w14:textId="7DF80136" w:rsidR="00A37E23" w:rsidRDefault="00A37E23" w:rsidP="005A7DDA">
      <w:pPr>
        <w:pStyle w:val="ListParagraph"/>
        <w:numPr>
          <w:ilvl w:val="0"/>
          <w:numId w:val="141"/>
        </w:numPr>
        <w:spacing w:before="240" w:after="240" w:line="276" w:lineRule="auto"/>
      </w:pPr>
      <w:r>
        <w:t>Protocol in respect of locum cover or GP performer payments for parental and sickness leave</w:t>
      </w:r>
      <w:r w:rsidR="006B3D27">
        <w:t xml:space="preserve"> – </w:t>
      </w:r>
      <w:r w:rsidR="006B3D27" w:rsidRPr="006B3D27">
        <w:rPr>
          <w:b/>
        </w:rPr>
        <w:t xml:space="preserve">A new chapter in the PGM but previously published </w:t>
      </w:r>
      <w:r w:rsidR="006B3D27">
        <w:rPr>
          <w:b/>
        </w:rPr>
        <w:t xml:space="preserve">in April 2017 </w:t>
      </w:r>
      <w:r w:rsidR="006B3D27" w:rsidRPr="006B3D27">
        <w:rPr>
          <w:b/>
        </w:rPr>
        <w:t>with Gateway Ref 06791</w:t>
      </w:r>
    </w:p>
    <w:p w14:paraId="760A8B31" w14:textId="662C9BB0" w:rsidR="00A37E23" w:rsidRDefault="00A37E23" w:rsidP="005A7DDA">
      <w:pPr>
        <w:pStyle w:val="ListParagraph"/>
        <w:numPr>
          <w:ilvl w:val="0"/>
          <w:numId w:val="141"/>
        </w:numPr>
        <w:spacing w:before="240" w:after="240" w:line="276" w:lineRule="auto"/>
      </w:pPr>
      <w:r>
        <w:t>Guidance Note: GP Practices serving Atypical Populations</w:t>
      </w:r>
      <w:r w:rsidR="006B3D27">
        <w:t xml:space="preserve"> – </w:t>
      </w:r>
      <w:r w:rsidR="006B3D27" w:rsidRPr="006B3D27">
        <w:rPr>
          <w:b/>
        </w:rPr>
        <w:t xml:space="preserve">A new chapter in the PGM but previously published </w:t>
      </w:r>
      <w:r w:rsidR="006B3D27">
        <w:rPr>
          <w:b/>
        </w:rPr>
        <w:t xml:space="preserve">in December 2016 </w:t>
      </w:r>
      <w:r w:rsidR="006B3D27" w:rsidRPr="006B3D27">
        <w:rPr>
          <w:b/>
        </w:rPr>
        <w:t>with Gateway Ref 06</w:t>
      </w:r>
      <w:r w:rsidR="006B3D27">
        <w:rPr>
          <w:b/>
        </w:rPr>
        <w:t>265)</w:t>
      </w:r>
    </w:p>
    <w:p w14:paraId="21F9D807" w14:textId="159C431B" w:rsidR="00A37E23" w:rsidRDefault="006B3D27" w:rsidP="00782D1D">
      <w:pPr>
        <w:spacing w:before="240" w:after="240" w:line="276" w:lineRule="auto"/>
      </w:pPr>
      <w:r>
        <w:t xml:space="preserve">NHS England recognises the </w:t>
      </w:r>
      <w:r w:rsidR="001610E6">
        <w:t xml:space="preserve">scale and </w:t>
      </w:r>
      <w:r>
        <w:t>pace of change in Primary Medical Care commissioning, service delivery and redesign.  As such it is committed to reviewing this policy and guidance regularly, to ensure it supports the commitments set out in the General Practice Forward View, the Five Year Forward View and with changes in legislation and regulation.</w:t>
      </w:r>
    </w:p>
    <w:p w14:paraId="1BD3B5F9" w14:textId="77777777" w:rsidR="00A37E23" w:rsidRDefault="00A37E23" w:rsidP="00A716D1"/>
    <w:p w14:paraId="23FF3E11" w14:textId="77777777" w:rsidR="00F466C6" w:rsidRDefault="00F466C6" w:rsidP="00F466C6">
      <w:pPr>
        <w:pStyle w:val="Title"/>
        <w:rPr>
          <w:sz w:val="40"/>
          <w:szCs w:val="40"/>
          <w:lang w:eastAsia="en-GB"/>
        </w:rPr>
      </w:pPr>
      <w:bookmarkStart w:id="7" w:name="_Toc388457430"/>
      <w:bookmarkEnd w:id="5"/>
      <w:bookmarkEnd w:id="6"/>
    </w:p>
    <w:p w14:paraId="11FCD863" w14:textId="77777777" w:rsidR="00F466C6" w:rsidRDefault="00F466C6" w:rsidP="00F466C6">
      <w:pPr>
        <w:pStyle w:val="Title"/>
        <w:rPr>
          <w:sz w:val="40"/>
          <w:szCs w:val="40"/>
          <w:lang w:eastAsia="en-GB"/>
        </w:rPr>
      </w:pPr>
    </w:p>
    <w:p w14:paraId="2C060903" w14:textId="77777777" w:rsidR="00F466C6" w:rsidRDefault="00F466C6" w:rsidP="00F466C6">
      <w:pPr>
        <w:pStyle w:val="Title"/>
        <w:rPr>
          <w:sz w:val="40"/>
          <w:szCs w:val="40"/>
          <w:lang w:eastAsia="en-GB"/>
        </w:rPr>
      </w:pPr>
    </w:p>
    <w:p w14:paraId="7E9470A8" w14:textId="77777777" w:rsidR="00F466C6" w:rsidRDefault="00F466C6" w:rsidP="00F466C6">
      <w:pPr>
        <w:pStyle w:val="Title"/>
        <w:rPr>
          <w:sz w:val="40"/>
          <w:szCs w:val="40"/>
          <w:lang w:eastAsia="en-GB"/>
        </w:rPr>
      </w:pPr>
    </w:p>
    <w:p w14:paraId="1FB2E28E" w14:textId="77777777" w:rsidR="00F466C6" w:rsidRDefault="00F466C6" w:rsidP="00F466C6">
      <w:pPr>
        <w:pStyle w:val="Title"/>
        <w:rPr>
          <w:sz w:val="40"/>
          <w:szCs w:val="40"/>
          <w:lang w:eastAsia="en-GB"/>
        </w:rPr>
      </w:pPr>
    </w:p>
    <w:p w14:paraId="2CAA2F70" w14:textId="77777777" w:rsidR="00F466C6" w:rsidRDefault="00F466C6" w:rsidP="00F466C6">
      <w:pPr>
        <w:pStyle w:val="Title"/>
        <w:rPr>
          <w:sz w:val="40"/>
          <w:szCs w:val="40"/>
          <w:lang w:eastAsia="en-GB"/>
        </w:rPr>
      </w:pPr>
    </w:p>
    <w:p w14:paraId="17EAAAF7" w14:textId="77777777" w:rsidR="00F466C6" w:rsidRDefault="00F466C6" w:rsidP="00F466C6">
      <w:pPr>
        <w:pStyle w:val="Title"/>
        <w:rPr>
          <w:sz w:val="40"/>
          <w:szCs w:val="40"/>
          <w:lang w:eastAsia="en-GB"/>
        </w:rPr>
      </w:pPr>
    </w:p>
    <w:p w14:paraId="20AD7FF4" w14:textId="77777777" w:rsidR="00F466C6" w:rsidRDefault="00F466C6" w:rsidP="00F466C6">
      <w:pPr>
        <w:pStyle w:val="Title"/>
        <w:rPr>
          <w:sz w:val="40"/>
          <w:szCs w:val="40"/>
          <w:lang w:eastAsia="en-GB"/>
        </w:rPr>
      </w:pPr>
    </w:p>
    <w:p w14:paraId="3B126C49" w14:textId="77777777" w:rsidR="00F466C6" w:rsidRDefault="00F466C6" w:rsidP="00F466C6">
      <w:pPr>
        <w:pStyle w:val="Title"/>
        <w:rPr>
          <w:sz w:val="40"/>
          <w:szCs w:val="40"/>
          <w:lang w:eastAsia="en-GB"/>
        </w:rPr>
      </w:pPr>
    </w:p>
    <w:p w14:paraId="4CD112A5" w14:textId="77777777" w:rsidR="00F466C6" w:rsidRDefault="00F466C6" w:rsidP="00F466C6">
      <w:pPr>
        <w:pStyle w:val="Title"/>
        <w:rPr>
          <w:sz w:val="40"/>
          <w:szCs w:val="40"/>
          <w:lang w:eastAsia="en-GB"/>
        </w:rPr>
      </w:pPr>
    </w:p>
    <w:p w14:paraId="144F1FCF" w14:textId="7546A2E9" w:rsidR="00F466C6" w:rsidRPr="0025709E" w:rsidRDefault="00F466C6" w:rsidP="0025709E">
      <w:pPr>
        <w:pStyle w:val="Heading1"/>
        <w:numPr>
          <w:ilvl w:val="0"/>
          <w:numId w:val="0"/>
        </w:numPr>
        <w:rPr>
          <w:sz w:val="96"/>
          <w:szCs w:val="96"/>
        </w:rPr>
      </w:pPr>
      <w:bookmarkStart w:id="8" w:name="_Toc498495299"/>
      <w:r w:rsidRPr="0025709E">
        <w:rPr>
          <w:sz w:val="96"/>
          <w:szCs w:val="96"/>
        </w:rPr>
        <w:t>Part A – Excellent Commissioning and Partnership Working</w:t>
      </w:r>
      <w:bookmarkEnd w:id="8"/>
    </w:p>
    <w:p w14:paraId="7DC0C7A0" w14:textId="6EED3F93" w:rsidR="00D06433" w:rsidRDefault="00F466C6" w:rsidP="005A7DDA">
      <w:pPr>
        <w:pStyle w:val="Heading1"/>
        <w:numPr>
          <w:ilvl w:val="0"/>
          <w:numId w:val="136"/>
        </w:numPr>
      </w:pPr>
      <w:r w:rsidRPr="00F466C6">
        <w:rPr>
          <w:sz w:val="40"/>
          <w:szCs w:val="40"/>
          <w:lang w:eastAsia="en-GB"/>
        </w:rPr>
        <w:br w:type="page"/>
      </w:r>
      <w:bookmarkStart w:id="9" w:name="_Toc498495300"/>
      <w:r w:rsidR="00D06433" w:rsidRPr="00D06433">
        <w:lastRenderedPageBreak/>
        <w:t>Introduction</w:t>
      </w:r>
      <w:bookmarkEnd w:id="9"/>
    </w:p>
    <w:p w14:paraId="05E5A447" w14:textId="77777777" w:rsidR="00D06433" w:rsidRPr="00D06433" w:rsidRDefault="00D06433" w:rsidP="00D06433"/>
    <w:p w14:paraId="67B73DFB" w14:textId="77777777" w:rsidR="00D06433" w:rsidRPr="00D06433" w:rsidRDefault="00D06433" w:rsidP="00D06433">
      <w:pPr>
        <w:pStyle w:val="Heading2"/>
        <w:rPr>
          <w:lang w:eastAsia="en-GB"/>
        </w:rPr>
      </w:pPr>
      <w:bookmarkStart w:id="10" w:name="_Toc498495301"/>
      <w:r w:rsidRPr="00D06433">
        <w:rPr>
          <w:lang w:eastAsia="en-GB"/>
        </w:rPr>
        <w:t>Introduction</w:t>
      </w:r>
      <w:bookmarkEnd w:id="10"/>
    </w:p>
    <w:p w14:paraId="7BD1C5EF" w14:textId="77777777" w:rsidR="00D06433" w:rsidRPr="00D06433" w:rsidRDefault="00D06433" w:rsidP="001C7059">
      <w:pPr>
        <w:pStyle w:val="Heading3"/>
      </w:pPr>
      <w:bookmarkStart w:id="11" w:name="_Toc440981386"/>
      <w:r w:rsidRPr="00D06433">
        <w:t>NHS England became responsible for direct commissioning of primary care services on 1 April 2013 and since then, the emergence of co-commissioning has seen upwards of 85% of CCGs taking on delegated authority.  This revised policy book will make reference to ‘The Commissioner’ which includes those local teams within in NHS England that still commission Primary Medical Care and CCGs with delegated authority.</w:t>
      </w:r>
      <w:bookmarkEnd w:id="11"/>
    </w:p>
    <w:p w14:paraId="39A3566A" w14:textId="77777777" w:rsidR="00D06433" w:rsidRPr="00D06433" w:rsidRDefault="00D06433" w:rsidP="003331F2">
      <w:pPr>
        <w:pStyle w:val="BodyText"/>
      </w:pPr>
    </w:p>
    <w:p w14:paraId="4A36EC43" w14:textId="77777777" w:rsidR="00D06433" w:rsidRPr="00DB7F92" w:rsidRDefault="00D06433" w:rsidP="00DB7F92">
      <w:pPr>
        <w:widowControl w:val="0"/>
        <w:spacing w:line="360" w:lineRule="auto"/>
        <w:ind w:left="720"/>
        <w:contextualSpacing/>
        <w:jc w:val="both"/>
        <w:outlineLvl w:val="2"/>
        <w:rPr>
          <w:rFonts w:cs="Arial"/>
          <w:bCs w:val="0"/>
          <w:szCs w:val="24"/>
          <w:lang w:eastAsia="en-GB"/>
        </w:rPr>
      </w:pPr>
      <w:bookmarkStart w:id="12" w:name="_Toc440981387"/>
      <w:r w:rsidRPr="00DB7F92">
        <w:rPr>
          <w:rFonts w:cs="Arial"/>
          <w:bCs w:val="0"/>
          <w:szCs w:val="24"/>
          <w:lang w:eastAsia="en-GB"/>
        </w:rPr>
        <w:t>This policy has been reviewed and refined in light of:</w:t>
      </w:r>
      <w:bookmarkEnd w:id="12"/>
    </w:p>
    <w:p w14:paraId="38129251" w14:textId="77777777" w:rsidR="00D06433" w:rsidRPr="00D06433" w:rsidRDefault="00D06433" w:rsidP="003331F2">
      <w:pPr>
        <w:pStyle w:val="BodyText"/>
      </w:pPr>
    </w:p>
    <w:p w14:paraId="3B840E4F" w14:textId="77777777" w:rsidR="00D06433" w:rsidRPr="00D06433" w:rsidRDefault="00D06433" w:rsidP="00836ECF">
      <w:pPr>
        <w:widowControl w:val="0"/>
        <w:numPr>
          <w:ilvl w:val="0"/>
          <w:numId w:val="35"/>
        </w:numPr>
        <w:tabs>
          <w:tab w:val="num" w:pos="2393"/>
        </w:tabs>
        <w:spacing w:line="360" w:lineRule="auto"/>
        <w:contextualSpacing/>
        <w:jc w:val="both"/>
        <w:outlineLvl w:val="2"/>
        <w:rPr>
          <w:rFonts w:cs="Arial"/>
          <w:bCs w:val="0"/>
          <w:szCs w:val="24"/>
          <w:lang w:eastAsia="en-GB"/>
        </w:rPr>
      </w:pPr>
      <w:bookmarkStart w:id="13" w:name="_Toc440981388"/>
      <w:r w:rsidRPr="00D06433">
        <w:rPr>
          <w:rFonts w:cs="Arial"/>
          <w:bCs w:val="0"/>
          <w:szCs w:val="24"/>
          <w:lang w:eastAsia="en-GB"/>
        </w:rPr>
        <w:t>Increased CCG delegation;</w:t>
      </w:r>
    </w:p>
    <w:p w14:paraId="5425C138" w14:textId="77777777" w:rsidR="00D06433" w:rsidRPr="00D06433" w:rsidRDefault="00D06433" w:rsidP="00836ECF">
      <w:pPr>
        <w:widowControl w:val="0"/>
        <w:numPr>
          <w:ilvl w:val="0"/>
          <w:numId w:val="35"/>
        </w:numPr>
        <w:tabs>
          <w:tab w:val="num" w:pos="2393"/>
        </w:tabs>
        <w:spacing w:line="360" w:lineRule="auto"/>
        <w:contextualSpacing/>
        <w:jc w:val="both"/>
        <w:outlineLvl w:val="2"/>
        <w:rPr>
          <w:rFonts w:cs="Arial"/>
          <w:bCs w:val="0"/>
          <w:szCs w:val="24"/>
          <w:lang w:eastAsia="en-GB"/>
        </w:rPr>
      </w:pPr>
      <w:r w:rsidRPr="00D06433">
        <w:rPr>
          <w:rFonts w:cs="Arial"/>
          <w:bCs w:val="0"/>
          <w:szCs w:val="24"/>
          <w:lang w:eastAsia="en-GB"/>
        </w:rPr>
        <w:t>feedback from users;</w:t>
      </w:r>
      <w:bookmarkEnd w:id="13"/>
      <w:r w:rsidRPr="00D06433">
        <w:rPr>
          <w:rFonts w:cs="Arial"/>
          <w:bCs w:val="0"/>
          <w:szCs w:val="24"/>
          <w:lang w:eastAsia="en-GB"/>
        </w:rPr>
        <w:t xml:space="preserve"> </w:t>
      </w:r>
    </w:p>
    <w:p w14:paraId="477256FD" w14:textId="77777777" w:rsidR="00D06433" w:rsidRPr="00D06433" w:rsidRDefault="00D06433" w:rsidP="00836ECF">
      <w:pPr>
        <w:widowControl w:val="0"/>
        <w:numPr>
          <w:ilvl w:val="0"/>
          <w:numId w:val="35"/>
        </w:numPr>
        <w:tabs>
          <w:tab w:val="num" w:pos="2393"/>
        </w:tabs>
        <w:spacing w:line="360" w:lineRule="auto"/>
        <w:contextualSpacing/>
        <w:jc w:val="both"/>
        <w:outlineLvl w:val="2"/>
        <w:rPr>
          <w:rFonts w:cs="Arial"/>
          <w:bCs w:val="0"/>
          <w:szCs w:val="24"/>
          <w:lang w:eastAsia="en-GB"/>
        </w:rPr>
      </w:pPr>
      <w:bookmarkStart w:id="14" w:name="_Toc440981389"/>
      <w:r w:rsidRPr="00D06433">
        <w:rPr>
          <w:rFonts w:cs="Arial"/>
          <w:bCs w:val="0"/>
          <w:szCs w:val="24"/>
          <w:lang w:eastAsia="en-GB"/>
        </w:rPr>
        <w:t>engagement with stakeholders;</w:t>
      </w:r>
      <w:bookmarkEnd w:id="14"/>
    </w:p>
    <w:p w14:paraId="087FF2FE" w14:textId="2C868A99" w:rsidR="00D06433" w:rsidRPr="00D06433" w:rsidRDefault="00D06433" w:rsidP="00836ECF">
      <w:pPr>
        <w:widowControl w:val="0"/>
        <w:numPr>
          <w:ilvl w:val="0"/>
          <w:numId w:val="35"/>
        </w:numPr>
        <w:tabs>
          <w:tab w:val="num" w:pos="2393"/>
        </w:tabs>
        <w:spacing w:line="360" w:lineRule="auto"/>
        <w:contextualSpacing/>
        <w:jc w:val="both"/>
        <w:outlineLvl w:val="2"/>
        <w:rPr>
          <w:rFonts w:cs="Arial"/>
          <w:bCs w:val="0"/>
          <w:szCs w:val="24"/>
          <w:lang w:eastAsia="en-GB"/>
        </w:rPr>
      </w:pPr>
      <w:bookmarkStart w:id="15" w:name="_Toc440981390"/>
      <w:r w:rsidRPr="00D06433">
        <w:rPr>
          <w:rFonts w:cs="Arial"/>
          <w:bCs w:val="0"/>
          <w:szCs w:val="24"/>
          <w:lang w:eastAsia="en-GB"/>
        </w:rPr>
        <w:t xml:space="preserve">the introduction </w:t>
      </w:r>
      <w:r w:rsidR="001610E6">
        <w:rPr>
          <w:rFonts w:cs="Arial"/>
          <w:bCs w:val="0"/>
          <w:szCs w:val="24"/>
          <w:lang w:eastAsia="en-GB"/>
        </w:rPr>
        <w:t xml:space="preserve">of </w:t>
      </w:r>
      <w:r w:rsidRPr="00D06433">
        <w:rPr>
          <w:rFonts w:cs="Arial"/>
          <w:bCs w:val="0"/>
          <w:szCs w:val="24"/>
          <w:lang w:eastAsia="en-GB"/>
        </w:rPr>
        <w:t>new models of care and new business models (e.g. MCPs);</w:t>
      </w:r>
      <w:bookmarkEnd w:id="15"/>
      <w:r w:rsidRPr="00D06433">
        <w:rPr>
          <w:rFonts w:cs="Arial"/>
          <w:bCs w:val="0"/>
          <w:szCs w:val="24"/>
          <w:lang w:eastAsia="en-GB"/>
        </w:rPr>
        <w:t xml:space="preserve"> and</w:t>
      </w:r>
    </w:p>
    <w:p w14:paraId="2F99ADE6" w14:textId="77777777" w:rsidR="00D06433" w:rsidRPr="00D06433" w:rsidRDefault="00D06433" w:rsidP="00836ECF">
      <w:pPr>
        <w:widowControl w:val="0"/>
        <w:numPr>
          <w:ilvl w:val="0"/>
          <w:numId w:val="35"/>
        </w:numPr>
        <w:tabs>
          <w:tab w:val="num" w:pos="2393"/>
        </w:tabs>
        <w:spacing w:line="360" w:lineRule="auto"/>
        <w:contextualSpacing/>
        <w:jc w:val="both"/>
        <w:outlineLvl w:val="2"/>
        <w:rPr>
          <w:rFonts w:cs="Arial"/>
          <w:bCs w:val="0"/>
          <w:szCs w:val="24"/>
          <w:lang w:eastAsia="en-GB"/>
        </w:rPr>
      </w:pPr>
      <w:bookmarkStart w:id="16" w:name="_Toc440981392"/>
      <w:r w:rsidRPr="00D06433">
        <w:rPr>
          <w:rFonts w:cs="Arial"/>
          <w:bCs w:val="0"/>
          <w:szCs w:val="24"/>
          <w:lang w:eastAsia="en-GB"/>
        </w:rPr>
        <w:t>contractual and regulatory changes.</w:t>
      </w:r>
      <w:bookmarkEnd w:id="16"/>
    </w:p>
    <w:p w14:paraId="35B1302A" w14:textId="77777777" w:rsidR="00D06433" w:rsidRPr="00D06433" w:rsidRDefault="00D06433" w:rsidP="003331F2">
      <w:pPr>
        <w:pStyle w:val="BodyText"/>
      </w:pPr>
    </w:p>
    <w:p w14:paraId="69918C67" w14:textId="01EC16CC" w:rsidR="00D06433" w:rsidRPr="00D06433" w:rsidRDefault="00D06433" w:rsidP="001C7059">
      <w:pPr>
        <w:pStyle w:val="Heading3"/>
      </w:pPr>
      <w:bookmarkStart w:id="17" w:name="_Toc440981393"/>
      <w:r w:rsidRPr="00D06433">
        <w:t xml:space="preserve">This policy </w:t>
      </w:r>
      <w:r w:rsidR="001610E6">
        <w:t>and guidance manual</w:t>
      </w:r>
      <w:r w:rsidRPr="00D06433">
        <w:t xml:space="preserve"> provides new and revised policies to support a consistent and compliant approach to primary care commissioning across England.</w:t>
      </w:r>
      <w:bookmarkEnd w:id="17"/>
    </w:p>
    <w:p w14:paraId="0FC440C2" w14:textId="1C5EBE12" w:rsidR="00D06433" w:rsidRPr="00D06433" w:rsidRDefault="00D06433" w:rsidP="001C7059">
      <w:pPr>
        <w:pStyle w:val="Heading3"/>
      </w:pPr>
      <w:r w:rsidRPr="00D06433">
        <w:t xml:space="preserve">The </w:t>
      </w:r>
      <w:r w:rsidR="001610E6">
        <w:t>manual</w:t>
      </w:r>
      <w:r w:rsidRPr="00D06433">
        <w:t xml:space="preserve"> will aim to identify sections which describe mandatory functions (i.e. those absolutely defined in legislation and law) versus those which are provided as guidance or best practice</w:t>
      </w:r>
    </w:p>
    <w:p w14:paraId="76F5172F" w14:textId="77777777" w:rsidR="00D06433" w:rsidRPr="00D06433" w:rsidRDefault="00D06433" w:rsidP="00D06433">
      <w:pPr>
        <w:pStyle w:val="Heading2"/>
        <w:rPr>
          <w:lang w:eastAsia="en-GB"/>
        </w:rPr>
      </w:pPr>
      <w:bookmarkStart w:id="18" w:name="_Toc440981394"/>
      <w:bookmarkStart w:id="19" w:name="_Toc498495302"/>
      <w:r w:rsidRPr="00D06433">
        <w:rPr>
          <w:lang w:eastAsia="en-GB"/>
        </w:rPr>
        <w:t>Structure</w:t>
      </w:r>
      <w:bookmarkEnd w:id="18"/>
      <w:bookmarkEnd w:id="19"/>
      <w:r w:rsidRPr="00D06433">
        <w:rPr>
          <w:lang w:eastAsia="en-GB"/>
        </w:rPr>
        <w:t xml:space="preserve"> </w:t>
      </w:r>
    </w:p>
    <w:p w14:paraId="33875592" w14:textId="4FA5682B" w:rsidR="00D06433" w:rsidRPr="001C7059" w:rsidRDefault="00D06433" w:rsidP="001C7059">
      <w:pPr>
        <w:pStyle w:val="Heading3"/>
      </w:pPr>
      <w:bookmarkStart w:id="20" w:name="_Toc440981395"/>
      <w:r w:rsidRPr="001C7059">
        <w:t xml:space="preserve">A number of new policies have emerged since </w:t>
      </w:r>
      <w:r w:rsidR="001610E6">
        <w:t>the</w:t>
      </w:r>
      <w:r w:rsidRPr="001C7059">
        <w:t xml:space="preserve"> policy book was first published and these have been incorporated in to this </w:t>
      </w:r>
      <w:r w:rsidR="001610E6">
        <w:t>manual</w:t>
      </w:r>
      <w:r w:rsidRPr="001C7059">
        <w:t xml:space="preserve">. </w:t>
      </w:r>
      <w:bookmarkEnd w:id="20"/>
      <w:r w:rsidRPr="001C7059">
        <w:t xml:space="preserve">The </w:t>
      </w:r>
      <w:r w:rsidR="001610E6">
        <w:t>PGM</w:t>
      </w:r>
      <w:r w:rsidRPr="001C7059">
        <w:t xml:space="preserve"> has been restructured into three main sections that </w:t>
      </w:r>
      <w:r w:rsidR="00BC5F9C" w:rsidRPr="001C7059">
        <w:t>allow</w:t>
      </w:r>
      <w:r w:rsidRPr="001C7059">
        <w:t xml:space="preserve"> the user to more easily navigate to relevant sections.  These are:</w:t>
      </w:r>
    </w:p>
    <w:p w14:paraId="69EA804D" w14:textId="77777777" w:rsidR="00D06433" w:rsidRPr="00846153" w:rsidRDefault="00D06433" w:rsidP="005A7DDA">
      <w:pPr>
        <w:pStyle w:val="BodyText"/>
        <w:numPr>
          <w:ilvl w:val="0"/>
          <w:numId w:val="129"/>
        </w:numPr>
        <w:rPr>
          <w:b/>
          <w:sz w:val="24"/>
          <w:szCs w:val="24"/>
        </w:rPr>
      </w:pPr>
      <w:bookmarkStart w:id="21" w:name="_Toc494103047"/>
      <w:r w:rsidRPr="00846153">
        <w:rPr>
          <w:b/>
          <w:sz w:val="24"/>
          <w:szCs w:val="24"/>
        </w:rPr>
        <w:t>Part A – Excellent Commissioning and Partnership Working</w:t>
      </w:r>
      <w:bookmarkEnd w:id="21"/>
    </w:p>
    <w:p w14:paraId="64490800" w14:textId="77777777" w:rsidR="00D06433" w:rsidRPr="00846153" w:rsidRDefault="00D06433" w:rsidP="005A7DDA">
      <w:pPr>
        <w:pStyle w:val="BodyText"/>
        <w:numPr>
          <w:ilvl w:val="0"/>
          <w:numId w:val="129"/>
        </w:numPr>
        <w:rPr>
          <w:b/>
          <w:sz w:val="24"/>
          <w:szCs w:val="24"/>
        </w:rPr>
      </w:pPr>
      <w:bookmarkStart w:id="22" w:name="_Toc494103048"/>
      <w:r w:rsidRPr="00846153">
        <w:rPr>
          <w:b/>
          <w:sz w:val="24"/>
          <w:szCs w:val="24"/>
        </w:rPr>
        <w:t>Part B – General Contract Management</w:t>
      </w:r>
      <w:bookmarkEnd w:id="22"/>
    </w:p>
    <w:p w14:paraId="60C4D5C5" w14:textId="77777777" w:rsidR="00D06433" w:rsidRPr="00846153" w:rsidRDefault="00D06433" w:rsidP="005A7DDA">
      <w:pPr>
        <w:pStyle w:val="BodyText"/>
        <w:numPr>
          <w:ilvl w:val="0"/>
          <w:numId w:val="129"/>
        </w:numPr>
        <w:rPr>
          <w:b/>
          <w:sz w:val="24"/>
          <w:szCs w:val="24"/>
        </w:rPr>
      </w:pPr>
      <w:bookmarkStart w:id="23" w:name="_Toc494103049"/>
      <w:r w:rsidRPr="00846153">
        <w:rPr>
          <w:b/>
          <w:sz w:val="24"/>
          <w:szCs w:val="24"/>
        </w:rPr>
        <w:t>Part C – When things go wrong</w:t>
      </w:r>
      <w:bookmarkEnd w:id="23"/>
    </w:p>
    <w:p w14:paraId="7A49C460" w14:textId="77777777" w:rsidR="00D06433" w:rsidRPr="00846153" w:rsidRDefault="00D06433" w:rsidP="005A7DDA">
      <w:pPr>
        <w:pStyle w:val="BodyText"/>
        <w:numPr>
          <w:ilvl w:val="0"/>
          <w:numId w:val="129"/>
        </w:numPr>
        <w:rPr>
          <w:b/>
          <w:sz w:val="24"/>
          <w:szCs w:val="24"/>
        </w:rPr>
      </w:pPr>
      <w:bookmarkStart w:id="24" w:name="_Toc494103050"/>
      <w:r w:rsidRPr="00846153">
        <w:rPr>
          <w:b/>
          <w:sz w:val="24"/>
          <w:szCs w:val="24"/>
        </w:rPr>
        <w:t>Part D – General</w:t>
      </w:r>
      <w:bookmarkEnd w:id="24"/>
      <w:r w:rsidRPr="00846153">
        <w:rPr>
          <w:b/>
          <w:sz w:val="24"/>
          <w:szCs w:val="24"/>
        </w:rPr>
        <w:t xml:space="preserve"> </w:t>
      </w:r>
    </w:p>
    <w:p w14:paraId="7AFF8098" w14:textId="3CBF9D04" w:rsidR="00D06433" w:rsidRPr="001C7059" w:rsidRDefault="00D06433" w:rsidP="001C7059">
      <w:pPr>
        <w:pStyle w:val="Heading3"/>
      </w:pPr>
      <w:bookmarkStart w:id="25" w:name="_Toc440981396"/>
      <w:r w:rsidRPr="001C7059">
        <w:t xml:space="preserve">NHS England will update and refine policies periodically and following changes in legislation, contracts or </w:t>
      </w:r>
      <w:r w:rsidR="001610E6">
        <w:t>ce</w:t>
      </w:r>
      <w:r w:rsidRPr="001C7059">
        <w:t xml:space="preserve">ntral </w:t>
      </w:r>
      <w:r w:rsidR="001610E6">
        <w:t>p</w:t>
      </w:r>
      <w:r w:rsidRPr="001C7059">
        <w:t xml:space="preserve">olicy and guidance. Users of this </w:t>
      </w:r>
      <w:r w:rsidR="001610E6">
        <w:t>manual</w:t>
      </w:r>
      <w:r w:rsidRPr="001C7059">
        <w:t xml:space="preserve"> are </w:t>
      </w:r>
      <w:r w:rsidRPr="001C7059">
        <w:lastRenderedPageBreak/>
        <w:t xml:space="preserve">advised this is a controlled document and the most up to date version should always be used. That is, the version which is published on NHS England’s website </w:t>
      </w:r>
      <w:hyperlink r:id="rId19" w:history="1">
        <w:r w:rsidRPr="00137449">
          <w:rPr>
            <w:color w:val="0000FF"/>
            <w:u w:val="single"/>
          </w:rPr>
          <w:t>www.england.nhs.uk</w:t>
        </w:r>
      </w:hyperlink>
      <w:r w:rsidRPr="00137449">
        <w:rPr>
          <w:color w:val="0000FF"/>
          <w:u w:val="single"/>
        </w:rPr>
        <w:t xml:space="preserve"> </w:t>
      </w:r>
      <w:bookmarkEnd w:id="25"/>
      <w:r w:rsidRPr="00137449">
        <w:rPr>
          <w:color w:val="0000FF"/>
          <w:u w:val="single"/>
        </w:rPr>
        <w:t xml:space="preserve"> </w:t>
      </w:r>
    </w:p>
    <w:p w14:paraId="36F552D0" w14:textId="77777777" w:rsidR="00D06433" w:rsidRPr="00D06433" w:rsidRDefault="00D06433" w:rsidP="00D06433">
      <w:pPr>
        <w:widowControl w:val="0"/>
        <w:spacing w:line="360" w:lineRule="auto"/>
        <w:jc w:val="both"/>
        <w:rPr>
          <w:rFonts w:cs="Arial"/>
          <w:bCs w:val="0"/>
          <w:sz w:val="20"/>
          <w:szCs w:val="20"/>
          <w:lang w:eastAsia="en-GB"/>
        </w:rPr>
      </w:pPr>
    </w:p>
    <w:p w14:paraId="7C76B852" w14:textId="77777777" w:rsidR="00D06433" w:rsidRPr="00D06433" w:rsidRDefault="00D06433" w:rsidP="00D06433">
      <w:pPr>
        <w:pStyle w:val="Heading2"/>
        <w:rPr>
          <w:lang w:eastAsia="en-GB"/>
        </w:rPr>
      </w:pPr>
      <w:bookmarkStart w:id="26" w:name="_Toc440981397"/>
      <w:bookmarkStart w:id="27" w:name="_Toc498495303"/>
      <w:r w:rsidRPr="00D06433">
        <w:rPr>
          <w:lang w:eastAsia="en-GB"/>
        </w:rPr>
        <w:t>Transitional arrangements</w:t>
      </w:r>
      <w:bookmarkEnd w:id="26"/>
      <w:bookmarkEnd w:id="27"/>
    </w:p>
    <w:p w14:paraId="718A1BEB" w14:textId="72020A4B" w:rsidR="00D06433" w:rsidRPr="001C7059" w:rsidRDefault="00D06433" w:rsidP="001C7059">
      <w:pPr>
        <w:pStyle w:val="Heading3"/>
      </w:pPr>
      <w:bookmarkStart w:id="28" w:name="_Toc440981398"/>
      <w:r w:rsidRPr="001C7059">
        <w:t>This policy book replaces all previous versions</w:t>
      </w:r>
      <w:r w:rsidR="005E1134">
        <w:t xml:space="preserve">.  In addition, we have embedded as chapters some other </w:t>
      </w:r>
      <w:r w:rsidRPr="001C7059">
        <w:t>r</w:t>
      </w:r>
      <w:r w:rsidR="005E1134">
        <w:t xml:space="preserve">elated policy / guidance </w:t>
      </w:r>
      <w:r w:rsidRPr="001C7059">
        <w:t xml:space="preserve">that have been published </w:t>
      </w:r>
      <w:r w:rsidR="005E1134">
        <w:t xml:space="preserve">by </w:t>
      </w:r>
      <w:r w:rsidR="00B00DFD">
        <w:t xml:space="preserve">NHS England </w:t>
      </w:r>
      <w:r w:rsidR="005E1134">
        <w:t>as standalone documents</w:t>
      </w:r>
      <w:r w:rsidRPr="001C7059">
        <w:t xml:space="preserve"> since </w:t>
      </w:r>
      <w:r w:rsidR="005E1134">
        <w:t xml:space="preserve">the original ‘Policy Book’ was published in </w:t>
      </w:r>
      <w:r w:rsidRPr="001C7059">
        <w:t xml:space="preserve">July 2016. The processes and procedures set out in this </w:t>
      </w:r>
      <w:r w:rsidR="00B00DFD">
        <w:t>PGM</w:t>
      </w:r>
      <w:r w:rsidRPr="001C7059">
        <w:t xml:space="preserve"> must be followed where a matter arises after the date of publication of this </w:t>
      </w:r>
      <w:r w:rsidR="00B00DFD">
        <w:t>PGM</w:t>
      </w:r>
      <w:r w:rsidRPr="001C7059">
        <w:t>.</w:t>
      </w:r>
      <w:bookmarkEnd w:id="28"/>
    </w:p>
    <w:p w14:paraId="5A5E0992" w14:textId="77777777" w:rsidR="00D06433" w:rsidRPr="001C7059" w:rsidRDefault="00D06433" w:rsidP="001C7059">
      <w:pPr>
        <w:pStyle w:val="Heading3"/>
      </w:pPr>
      <w:bookmarkStart w:id="29" w:name="_Toc440981399"/>
      <w:r w:rsidRPr="001C7059">
        <w:t>Where a matter arose prior to the publication of this policy book (and the parties are therefore following a previous policy) the parties should continue to follow that previous policy as this would have been the expectation of the parties.</w:t>
      </w:r>
      <w:bookmarkEnd w:id="29"/>
      <w:r w:rsidRPr="001C7059">
        <w:t xml:space="preserve"> </w:t>
      </w:r>
    </w:p>
    <w:p w14:paraId="64A201F9" w14:textId="77777777" w:rsidR="00D06433" w:rsidRPr="001C7059" w:rsidRDefault="00D06433" w:rsidP="001C7059">
      <w:pPr>
        <w:pStyle w:val="Heading3"/>
      </w:pPr>
      <w:bookmarkStart w:id="30" w:name="_Toc440981400"/>
      <w:r w:rsidRPr="001C7059">
        <w:t>Parties following a previous policy should consider switching to the relevant policy set out in this policy book if there is a natural transitional point in the matter and provided all parties agree.</w:t>
      </w:r>
      <w:bookmarkEnd w:id="30"/>
    </w:p>
    <w:p w14:paraId="0277FD49" w14:textId="4D6272DB" w:rsidR="0015247B" w:rsidRDefault="00D06433" w:rsidP="00D06433">
      <w:pPr>
        <w:pStyle w:val="Heading1"/>
      </w:pPr>
      <w:r w:rsidRPr="00D06433">
        <w:rPr>
          <w:b w:val="0"/>
          <w:color w:val="auto"/>
          <w:kern w:val="0"/>
          <w:sz w:val="24"/>
          <w:szCs w:val="26"/>
        </w:rPr>
        <w:br w:type="page"/>
      </w:r>
      <w:bookmarkStart w:id="31" w:name="_Toc498495304"/>
      <w:r w:rsidR="0015247B" w:rsidRPr="0015247B">
        <w:lastRenderedPageBreak/>
        <w:t>Abbreviations and Acronyms</w:t>
      </w:r>
      <w:bookmarkEnd w:id="31"/>
    </w:p>
    <w:p w14:paraId="4D9BD756" w14:textId="77777777" w:rsidR="0015247B" w:rsidRDefault="0015247B" w:rsidP="0015247B"/>
    <w:p w14:paraId="584C7056" w14:textId="77777777" w:rsidR="001C7059" w:rsidRPr="001C7059" w:rsidRDefault="001C7059" w:rsidP="001C7059">
      <w:pPr>
        <w:pStyle w:val="Heading2"/>
      </w:pPr>
      <w:bookmarkStart w:id="32" w:name="_Toc498495305"/>
      <w:r w:rsidRPr="001C7059">
        <w:t>Abbreviations and Acronyms</w:t>
      </w:r>
      <w:bookmarkEnd w:id="32"/>
    </w:p>
    <w:p w14:paraId="1A98745E" w14:textId="77777777" w:rsidR="001C7059" w:rsidRPr="00CE0885" w:rsidRDefault="001C7059" w:rsidP="001C7059">
      <w:pPr>
        <w:pStyle w:val="Heading3"/>
        <w:rPr>
          <w:b/>
          <w:lang w:eastAsia="en-GB"/>
        </w:rPr>
      </w:pPr>
      <w:bookmarkStart w:id="33" w:name="_Toc440981402"/>
      <w:r w:rsidRPr="00CE0885">
        <w:rPr>
          <w:lang w:eastAsia="en-GB"/>
        </w:rPr>
        <w:t>The following abbreviations and acronyms are used in the medical policies:</w:t>
      </w:r>
      <w:bookmarkEnd w:id="33"/>
      <w:r w:rsidRPr="00CE0885">
        <w:rPr>
          <w:lang w:eastAsia="en-GB"/>
        </w:rPr>
        <w:br/>
      </w:r>
    </w:p>
    <w:tbl>
      <w:tblPr>
        <w:tblStyle w:val="TableGrid"/>
        <w:tblW w:w="7882" w:type="dxa"/>
        <w:tblInd w:w="1440" w:type="dxa"/>
        <w:tblBorders>
          <w:top w:val="single" w:sz="4" w:space="0" w:color="1C6CB4"/>
          <w:left w:val="none" w:sz="0" w:space="0" w:color="auto"/>
          <w:bottom w:val="single" w:sz="4" w:space="0" w:color="1C6CB4"/>
          <w:right w:val="none" w:sz="0" w:space="0" w:color="auto"/>
          <w:insideH w:val="single" w:sz="4" w:space="0" w:color="1C6CB4"/>
          <w:insideV w:val="none" w:sz="0" w:space="0" w:color="auto"/>
        </w:tblBorders>
        <w:tblCellMar>
          <w:top w:w="113" w:type="dxa"/>
          <w:left w:w="142" w:type="dxa"/>
          <w:bottom w:w="113" w:type="dxa"/>
          <w:right w:w="142" w:type="dxa"/>
        </w:tblCellMar>
        <w:tblLook w:val="04A0" w:firstRow="1" w:lastRow="0" w:firstColumn="1" w:lastColumn="0" w:noHBand="0" w:noVBand="1"/>
        <w:tblCaption w:val="List of accronyms"/>
        <w:tblDescription w:val="List of accronyms"/>
      </w:tblPr>
      <w:tblGrid>
        <w:gridCol w:w="2212"/>
        <w:gridCol w:w="5670"/>
      </w:tblGrid>
      <w:tr w:rsidR="001610E6" w:rsidRPr="00CE0885" w14:paraId="5923B54D" w14:textId="77777777" w:rsidTr="00BD5B3E">
        <w:trPr>
          <w:tblHeader/>
        </w:trPr>
        <w:tc>
          <w:tcPr>
            <w:tcW w:w="2212" w:type="dxa"/>
          </w:tcPr>
          <w:p w14:paraId="0ECD2BEE" w14:textId="49EF42C8" w:rsidR="001610E6" w:rsidRDefault="001610E6" w:rsidP="00DB7F92">
            <w:pPr>
              <w:pStyle w:val="Body2"/>
              <w:spacing w:before="0" w:after="0" w:line="360" w:lineRule="auto"/>
              <w:ind w:left="0"/>
              <w:jc w:val="left"/>
              <w:rPr>
                <w:rFonts w:cs="Arial"/>
                <w:sz w:val="24"/>
                <w:szCs w:val="24"/>
              </w:rPr>
            </w:pPr>
            <w:r>
              <w:rPr>
                <w:rFonts w:cs="Arial"/>
                <w:sz w:val="24"/>
                <w:szCs w:val="24"/>
              </w:rPr>
              <w:t>5YFV</w:t>
            </w:r>
          </w:p>
        </w:tc>
        <w:tc>
          <w:tcPr>
            <w:tcW w:w="5670" w:type="dxa"/>
          </w:tcPr>
          <w:p w14:paraId="701B0F37" w14:textId="7AE1DD80" w:rsidR="001610E6" w:rsidRDefault="001610E6" w:rsidP="00DB7F92">
            <w:pPr>
              <w:pStyle w:val="Body2"/>
              <w:spacing w:before="0" w:after="0" w:line="360" w:lineRule="auto"/>
              <w:ind w:left="0"/>
              <w:jc w:val="left"/>
              <w:rPr>
                <w:rFonts w:cs="Arial"/>
                <w:sz w:val="24"/>
                <w:szCs w:val="24"/>
              </w:rPr>
            </w:pPr>
            <w:r>
              <w:rPr>
                <w:rFonts w:cs="Arial"/>
                <w:sz w:val="24"/>
                <w:szCs w:val="24"/>
              </w:rPr>
              <w:t>5 Year Forward View</w:t>
            </w:r>
          </w:p>
        </w:tc>
      </w:tr>
      <w:tr w:rsidR="001610E6" w:rsidRPr="00CE0885" w14:paraId="0C6A6757" w14:textId="77777777" w:rsidTr="00BD5B3E">
        <w:trPr>
          <w:tblHeader/>
        </w:trPr>
        <w:tc>
          <w:tcPr>
            <w:tcW w:w="2212" w:type="dxa"/>
          </w:tcPr>
          <w:p w14:paraId="21261B29" w14:textId="690B2E5F" w:rsidR="001610E6" w:rsidRPr="009055A7" w:rsidRDefault="001610E6" w:rsidP="00DB7F92">
            <w:pPr>
              <w:pStyle w:val="Body2"/>
              <w:spacing w:before="0" w:after="0" w:line="360" w:lineRule="auto"/>
              <w:ind w:left="0"/>
              <w:jc w:val="left"/>
              <w:rPr>
                <w:rFonts w:cs="Arial"/>
                <w:sz w:val="24"/>
                <w:szCs w:val="24"/>
              </w:rPr>
            </w:pPr>
            <w:r>
              <w:rPr>
                <w:rFonts w:cs="Arial"/>
                <w:sz w:val="24"/>
                <w:szCs w:val="24"/>
              </w:rPr>
              <w:t>ACO</w:t>
            </w:r>
          </w:p>
        </w:tc>
        <w:tc>
          <w:tcPr>
            <w:tcW w:w="5670" w:type="dxa"/>
          </w:tcPr>
          <w:p w14:paraId="4DECB1B6" w14:textId="6CFEF46F" w:rsidR="001610E6" w:rsidRPr="009055A7" w:rsidRDefault="001610E6" w:rsidP="00DB7F92">
            <w:pPr>
              <w:pStyle w:val="Body2"/>
              <w:spacing w:before="0" w:after="0" w:line="360" w:lineRule="auto"/>
              <w:ind w:left="0"/>
              <w:jc w:val="left"/>
              <w:rPr>
                <w:rFonts w:cs="Arial"/>
                <w:sz w:val="24"/>
                <w:szCs w:val="24"/>
              </w:rPr>
            </w:pPr>
            <w:r>
              <w:rPr>
                <w:rFonts w:cs="Arial"/>
                <w:sz w:val="24"/>
                <w:szCs w:val="24"/>
              </w:rPr>
              <w:t>Accountable Care Organisation</w:t>
            </w:r>
          </w:p>
        </w:tc>
      </w:tr>
      <w:tr w:rsidR="001C7059" w:rsidRPr="00CE0885" w14:paraId="5944878B" w14:textId="77777777" w:rsidTr="00BD5B3E">
        <w:trPr>
          <w:tblHeader/>
        </w:trPr>
        <w:tc>
          <w:tcPr>
            <w:tcW w:w="2212" w:type="dxa"/>
          </w:tcPr>
          <w:p w14:paraId="65B50BBE" w14:textId="77777777" w:rsidR="001C7059" w:rsidRPr="009055A7" w:rsidRDefault="001C7059" w:rsidP="00DB7F92">
            <w:pPr>
              <w:pStyle w:val="Body2"/>
              <w:spacing w:before="0" w:after="0" w:line="360" w:lineRule="auto"/>
              <w:ind w:left="0"/>
              <w:jc w:val="left"/>
              <w:rPr>
                <w:rFonts w:cs="Arial"/>
                <w:sz w:val="24"/>
                <w:szCs w:val="24"/>
              </w:rPr>
            </w:pPr>
            <w:r w:rsidRPr="009055A7">
              <w:rPr>
                <w:rFonts w:cs="Arial"/>
                <w:sz w:val="24"/>
                <w:szCs w:val="24"/>
              </w:rPr>
              <w:t>APMS</w:t>
            </w:r>
          </w:p>
        </w:tc>
        <w:tc>
          <w:tcPr>
            <w:tcW w:w="5670" w:type="dxa"/>
          </w:tcPr>
          <w:p w14:paraId="6D9070CE" w14:textId="77777777" w:rsidR="001C7059" w:rsidRPr="009055A7" w:rsidRDefault="001C7059" w:rsidP="00DB7F92">
            <w:pPr>
              <w:pStyle w:val="Body2"/>
              <w:spacing w:before="0" w:after="0" w:line="360" w:lineRule="auto"/>
              <w:ind w:left="0"/>
              <w:jc w:val="left"/>
              <w:rPr>
                <w:rFonts w:cs="Arial"/>
                <w:sz w:val="24"/>
                <w:szCs w:val="24"/>
              </w:rPr>
            </w:pPr>
            <w:r w:rsidRPr="009055A7">
              <w:rPr>
                <w:rFonts w:cs="Arial"/>
                <w:sz w:val="24"/>
                <w:szCs w:val="24"/>
              </w:rPr>
              <w:t>Alternative Provider Medical Services</w:t>
            </w:r>
          </w:p>
        </w:tc>
      </w:tr>
      <w:tr w:rsidR="001C7059" w:rsidRPr="00CE0885" w14:paraId="25F8EC69" w14:textId="77777777" w:rsidTr="00BD5B3E">
        <w:trPr>
          <w:tblHeader/>
        </w:trPr>
        <w:tc>
          <w:tcPr>
            <w:tcW w:w="2212" w:type="dxa"/>
          </w:tcPr>
          <w:p w14:paraId="3510D150"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APMS Directions</w:t>
            </w:r>
          </w:p>
        </w:tc>
        <w:tc>
          <w:tcPr>
            <w:tcW w:w="5670" w:type="dxa"/>
          </w:tcPr>
          <w:p w14:paraId="613AC087" w14:textId="0A5DBD47" w:rsidR="001C7059" w:rsidRPr="00CE0885" w:rsidRDefault="001C7059" w:rsidP="00FA5B48">
            <w:pPr>
              <w:pStyle w:val="Body2"/>
              <w:spacing w:before="0" w:after="0" w:line="360" w:lineRule="auto"/>
              <w:ind w:left="0"/>
              <w:jc w:val="left"/>
              <w:rPr>
                <w:rFonts w:cs="Arial"/>
                <w:sz w:val="24"/>
                <w:szCs w:val="24"/>
              </w:rPr>
            </w:pPr>
            <w:r w:rsidRPr="00CE0885">
              <w:rPr>
                <w:rFonts w:cs="Arial"/>
                <w:sz w:val="24"/>
                <w:szCs w:val="24"/>
              </w:rPr>
              <w:t>Alternative Provider Medical Services Directions</w:t>
            </w:r>
          </w:p>
        </w:tc>
      </w:tr>
      <w:tr w:rsidR="001C7059" w:rsidRPr="00CE0885" w14:paraId="143A53B0" w14:textId="77777777" w:rsidTr="00BD5B3E">
        <w:trPr>
          <w:tblHeader/>
        </w:trPr>
        <w:tc>
          <w:tcPr>
            <w:tcW w:w="2212" w:type="dxa"/>
          </w:tcPr>
          <w:p w14:paraId="59924B2A"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CCG</w:t>
            </w:r>
          </w:p>
        </w:tc>
        <w:tc>
          <w:tcPr>
            <w:tcW w:w="5670" w:type="dxa"/>
          </w:tcPr>
          <w:p w14:paraId="5C5A6DFC"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Clinical Commissioning Group</w:t>
            </w:r>
          </w:p>
        </w:tc>
      </w:tr>
      <w:tr w:rsidR="001C7059" w:rsidRPr="00CE0885" w14:paraId="36F522D1" w14:textId="77777777" w:rsidTr="00BD5B3E">
        <w:trPr>
          <w:tblHeader/>
        </w:trPr>
        <w:tc>
          <w:tcPr>
            <w:tcW w:w="2212" w:type="dxa"/>
          </w:tcPr>
          <w:p w14:paraId="1CA93313"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 xml:space="preserve">CQC </w:t>
            </w:r>
          </w:p>
        </w:tc>
        <w:tc>
          <w:tcPr>
            <w:tcW w:w="5670" w:type="dxa"/>
          </w:tcPr>
          <w:p w14:paraId="221912DB"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Care Quality Commission</w:t>
            </w:r>
          </w:p>
        </w:tc>
      </w:tr>
      <w:tr w:rsidR="001C7059" w:rsidRPr="00CE0885" w14:paraId="13D34462" w14:textId="77777777" w:rsidTr="00BD5B3E">
        <w:trPr>
          <w:tblHeader/>
        </w:trPr>
        <w:tc>
          <w:tcPr>
            <w:tcW w:w="2212" w:type="dxa"/>
          </w:tcPr>
          <w:p w14:paraId="75457BCC"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FHSAU</w:t>
            </w:r>
          </w:p>
        </w:tc>
        <w:tc>
          <w:tcPr>
            <w:tcW w:w="5670" w:type="dxa"/>
          </w:tcPr>
          <w:p w14:paraId="05AB3314"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Family Health Services Appeal Unit</w:t>
            </w:r>
          </w:p>
        </w:tc>
      </w:tr>
      <w:tr w:rsidR="001C7059" w:rsidRPr="00CE0885" w14:paraId="1258491B" w14:textId="77777777" w:rsidTr="00BD5B3E">
        <w:trPr>
          <w:tblHeader/>
        </w:trPr>
        <w:tc>
          <w:tcPr>
            <w:tcW w:w="2212" w:type="dxa"/>
          </w:tcPr>
          <w:p w14:paraId="2AF32D55"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GMS</w:t>
            </w:r>
          </w:p>
        </w:tc>
        <w:tc>
          <w:tcPr>
            <w:tcW w:w="5670" w:type="dxa"/>
          </w:tcPr>
          <w:p w14:paraId="4E1EE587"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General Medical Services</w:t>
            </w:r>
          </w:p>
        </w:tc>
      </w:tr>
      <w:tr w:rsidR="001C7059" w:rsidRPr="00CE0885" w14:paraId="6796A1BB" w14:textId="77777777" w:rsidTr="00BD5B3E">
        <w:trPr>
          <w:tblHeader/>
        </w:trPr>
        <w:tc>
          <w:tcPr>
            <w:tcW w:w="2212" w:type="dxa"/>
          </w:tcPr>
          <w:p w14:paraId="5FF95B36"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GMS Regulations</w:t>
            </w:r>
          </w:p>
        </w:tc>
        <w:tc>
          <w:tcPr>
            <w:tcW w:w="5670" w:type="dxa"/>
          </w:tcPr>
          <w:p w14:paraId="7C2D0E9D"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The National Health Service (General Medical Services Contracts) Regulations 2015</w:t>
            </w:r>
          </w:p>
        </w:tc>
      </w:tr>
      <w:tr w:rsidR="001C7059" w:rsidRPr="00CE0885" w14:paraId="30662BD9" w14:textId="77777777" w:rsidTr="00BD5B3E">
        <w:trPr>
          <w:tblHeader/>
        </w:trPr>
        <w:tc>
          <w:tcPr>
            <w:tcW w:w="2212" w:type="dxa"/>
          </w:tcPr>
          <w:p w14:paraId="18C77726"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GMS SFE</w:t>
            </w:r>
          </w:p>
        </w:tc>
        <w:tc>
          <w:tcPr>
            <w:tcW w:w="5670" w:type="dxa"/>
          </w:tcPr>
          <w:p w14:paraId="3732BC14"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General Medical Services Statement of Financial Entitlements Directions 2013</w:t>
            </w:r>
          </w:p>
        </w:tc>
      </w:tr>
      <w:tr w:rsidR="001C7059" w:rsidRPr="00CE0885" w14:paraId="173E3F61" w14:textId="77777777" w:rsidTr="00BD5B3E">
        <w:trPr>
          <w:tblHeader/>
        </w:trPr>
        <w:tc>
          <w:tcPr>
            <w:tcW w:w="2212" w:type="dxa"/>
          </w:tcPr>
          <w:p w14:paraId="5AAD02D7"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GP</w:t>
            </w:r>
          </w:p>
        </w:tc>
        <w:tc>
          <w:tcPr>
            <w:tcW w:w="5670" w:type="dxa"/>
          </w:tcPr>
          <w:p w14:paraId="3A52D83C"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General Practitioner</w:t>
            </w:r>
          </w:p>
        </w:tc>
      </w:tr>
      <w:tr w:rsidR="001610E6" w:rsidRPr="00CE0885" w14:paraId="737F5F78" w14:textId="77777777" w:rsidTr="00BD5B3E">
        <w:trPr>
          <w:tblHeader/>
        </w:trPr>
        <w:tc>
          <w:tcPr>
            <w:tcW w:w="2212" w:type="dxa"/>
          </w:tcPr>
          <w:p w14:paraId="117A05B6" w14:textId="787E8709" w:rsidR="001610E6" w:rsidRPr="00CE0885" w:rsidRDefault="001610E6" w:rsidP="00DB7F92">
            <w:pPr>
              <w:pStyle w:val="Body2"/>
              <w:spacing w:before="0" w:after="0" w:line="360" w:lineRule="auto"/>
              <w:ind w:left="0"/>
              <w:jc w:val="left"/>
              <w:rPr>
                <w:rFonts w:cs="Arial"/>
                <w:sz w:val="24"/>
                <w:szCs w:val="24"/>
              </w:rPr>
            </w:pPr>
            <w:r>
              <w:rPr>
                <w:rFonts w:cs="Arial"/>
                <w:sz w:val="24"/>
                <w:szCs w:val="24"/>
              </w:rPr>
              <w:t>GPVF</w:t>
            </w:r>
          </w:p>
        </w:tc>
        <w:tc>
          <w:tcPr>
            <w:tcW w:w="5670" w:type="dxa"/>
          </w:tcPr>
          <w:p w14:paraId="1139DA7B" w14:textId="290F5BA2" w:rsidR="001610E6" w:rsidRPr="00CE0885" w:rsidRDefault="001610E6" w:rsidP="00DB7F92">
            <w:pPr>
              <w:pStyle w:val="Body2"/>
              <w:spacing w:before="0" w:after="0" w:line="360" w:lineRule="auto"/>
              <w:ind w:left="0"/>
              <w:jc w:val="left"/>
              <w:rPr>
                <w:rFonts w:cs="Arial"/>
                <w:sz w:val="24"/>
                <w:szCs w:val="24"/>
              </w:rPr>
            </w:pPr>
            <w:r>
              <w:rPr>
                <w:rFonts w:cs="Arial"/>
                <w:sz w:val="24"/>
                <w:szCs w:val="24"/>
              </w:rPr>
              <w:t>General Practice Forward View</w:t>
            </w:r>
          </w:p>
        </w:tc>
      </w:tr>
      <w:tr w:rsidR="001C7059" w:rsidRPr="00CE0885" w14:paraId="744525C8" w14:textId="77777777" w:rsidTr="00BD5B3E">
        <w:trPr>
          <w:tblHeader/>
        </w:trPr>
        <w:tc>
          <w:tcPr>
            <w:tcW w:w="2212" w:type="dxa"/>
          </w:tcPr>
          <w:p w14:paraId="4A122DF3"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HWB</w:t>
            </w:r>
          </w:p>
        </w:tc>
        <w:tc>
          <w:tcPr>
            <w:tcW w:w="5670" w:type="dxa"/>
          </w:tcPr>
          <w:p w14:paraId="3679A895"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Health and Wellbeing Board</w:t>
            </w:r>
          </w:p>
        </w:tc>
      </w:tr>
      <w:tr w:rsidR="001C7059" w:rsidRPr="00CE0885" w14:paraId="00BB1D64" w14:textId="77777777" w:rsidTr="00BD5B3E">
        <w:trPr>
          <w:tblHeader/>
        </w:trPr>
        <w:tc>
          <w:tcPr>
            <w:tcW w:w="2212" w:type="dxa"/>
          </w:tcPr>
          <w:p w14:paraId="1BC758B4"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LMC</w:t>
            </w:r>
          </w:p>
        </w:tc>
        <w:tc>
          <w:tcPr>
            <w:tcW w:w="5670" w:type="dxa"/>
          </w:tcPr>
          <w:p w14:paraId="49A2AC5C"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Local Medical Committee</w:t>
            </w:r>
          </w:p>
        </w:tc>
      </w:tr>
      <w:tr w:rsidR="001C7059" w:rsidRPr="00CE0885" w14:paraId="20066658" w14:textId="77777777" w:rsidTr="00BD5B3E">
        <w:trPr>
          <w:tblHeader/>
        </w:trPr>
        <w:tc>
          <w:tcPr>
            <w:tcW w:w="2212" w:type="dxa"/>
          </w:tcPr>
          <w:p w14:paraId="2563423F"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MCP</w:t>
            </w:r>
          </w:p>
        </w:tc>
        <w:tc>
          <w:tcPr>
            <w:tcW w:w="5670" w:type="dxa"/>
          </w:tcPr>
          <w:p w14:paraId="6BF13836"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Multispecialty Community Provider</w:t>
            </w:r>
          </w:p>
        </w:tc>
      </w:tr>
      <w:tr w:rsidR="001C7059" w:rsidRPr="00CE0885" w14:paraId="43F377E3" w14:textId="77777777" w:rsidTr="00BD5B3E">
        <w:trPr>
          <w:tblHeader/>
        </w:trPr>
        <w:tc>
          <w:tcPr>
            <w:tcW w:w="2212" w:type="dxa"/>
          </w:tcPr>
          <w:p w14:paraId="3090FD6F"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NBM</w:t>
            </w:r>
          </w:p>
        </w:tc>
        <w:tc>
          <w:tcPr>
            <w:tcW w:w="5670" w:type="dxa"/>
          </w:tcPr>
          <w:p w14:paraId="45575F65"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New Business Models</w:t>
            </w:r>
          </w:p>
        </w:tc>
      </w:tr>
      <w:tr w:rsidR="001C7059" w:rsidRPr="00CE0885" w14:paraId="124104A7" w14:textId="77777777" w:rsidTr="00BD5B3E">
        <w:trPr>
          <w:tblHeader/>
        </w:trPr>
        <w:tc>
          <w:tcPr>
            <w:tcW w:w="2212" w:type="dxa"/>
          </w:tcPr>
          <w:p w14:paraId="6E4B2344"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NCM</w:t>
            </w:r>
          </w:p>
        </w:tc>
        <w:tc>
          <w:tcPr>
            <w:tcW w:w="5670" w:type="dxa"/>
          </w:tcPr>
          <w:p w14:paraId="5394E5CE"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New Care Models</w:t>
            </w:r>
          </w:p>
        </w:tc>
      </w:tr>
      <w:tr w:rsidR="001C7059" w:rsidRPr="00CE0885" w14:paraId="40E8BCFA" w14:textId="77777777" w:rsidTr="00BD5B3E">
        <w:trPr>
          <w:tblHeader/>
        </w:trPr>
        <w:tc>
          <w:tcPr>
            <w:tcW w:w="2212" w:type="dxa"/>
          </w:tcPr>
          <w:p w14:paraId="635C34F6"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 xml:space="preserve">NHS Act </w:t>
            </w:r>
          </w:p>
        </w:tc>
        <w:tc>
          <w:tcPr>
            <w:tcW w:w="5670" w:type="dxa"/>
          </w:tcPr>
          <w:p w14:paraId="6368A758"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National Health Service Act 2006</w:t>
            </w:r>
          </w:p>
        </w:tc>
      </w:tr>
      <w:tr w:rsidR="001C7059" w:rsidRPr="00CE0885" w14:paraId="0A15A1C0" w14:textId="77777777" w:rsidTr="00BD5B3E">
        <w:trPr>
          <w:tblHeader/>
        </w:trPr>
        <w:tc>
          <w:tcPr>
            <w:tcW w:w="2212" w:type="dxa"/>
          </w:tcPr>
          <w:p w14:paraId="3BA68CC6"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lastRenderedPageBreak/>
              <w:t>NHS BSA</w:t>
            </w:r>
          </w:p>
        </w:tc>
        <w:tc>
          <w:tcPr>
            <w:tcW w:w="5670" w:type="dxa"/>
          </w:tcPr>
          <w:p w14:paraId="7F736C7B"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NHS Business Services Authority</w:t>
            </w:r>
          </w:p>
        </w:tc>
      </w:tr>
      <w:tr w:rsidR="001C7059" w:rsidRPr="00CE0885" w14:paraId="4F1C1B30" w14:textId="77777777" w:rsidTr="00BD5B3E">
        <w:trPr>
          <w:tblHeader/>
        </w:trPr>
        <w:tc>
          <w:tcPr>
            <w:tcW w:w="2212" w:type="dxa"/>
          </w:tcPr>
          <w:p w14:paraId="7AEAE7FC"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PACS</w:t>
            </w:r>
          </w:p>
        </w:tc>
        <w:tc>
          <w:tcPr>
            <w:tcW w:w="5670" w:type="dxa"/>
          </w:tcPr>
          <w:p w14:paraId="20D2B951"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Primary and Acute Care Systems</w:t>
            </w:r>
          </w:p>
        </w:tc>
      </w:tr>
      <w:tr w:rsidR="001C7059" w:rsidRPr="00CE0885" w14:paraId="0F3AD87B" w14:textId="77777777" w:rsidTr="00BD5B3E">
        <w:trPr>
          <w:tblHeader/>
        </w:trPr>
        <w:tc>
          <w:tcPr>
            <w:tcW w:w="2212" w:type="dxa"/>
          </w:tcPr>
          <w:p w14:paraId="044BD436"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PCSE</w:t>
            </w:r>
          </w:p>
        </w:tc>
        <w:tc>
          <w:tcPr>
            <w:tcW w:w="5670" w:type="dxa"/>
          </w:tcPr>
          <w:p w14:paraId="6C18D1F0"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Primary Care Support England (delivered by Capita on behalf of NHS England)</w:t>
            </w:r>
          </w:p>
        </w:tc>
      </w:tr>
      <w:tr w:rsidR="001C7059" w:rsidRPr="00CE0885" w14:paraId="06C80151" w14:textId="77777777" w:rsidTr="00BD5B3E">
        <w:trPr>
          <w:tblHeader/>
        </w:trPr>
        <w:tc>
          <w:tcPr>
            <w:tcW w:w="2212" w:type="dxa"/>
          </w:tcPr>
          <w:p w14:paraId="5F8F9690"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PMS</w:t>
            </w:r>
          </w:p>
        </w:tc>
        <w:tc>
          <w:tcPr>
            <w:tcW w:w="5670" w:type="dxa"/>
          </w:tcPr>
          <w:p w14:paraId="228FEEC7"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Personal Medical Services</w:t>
            </w:r>
          </w:p>
        </w:tc>
      </w:tr>
      <w:tr w:rsidR="001C7059" w:rsidRPr="00CE0885" w14:paraId="68353D73" w14:textId="77777777" w:rsidTr="00BD5B3E">
        <w:trPr>
          <w:tblHeader/>
        </w:trPr>
        <w:tc>
          <w:tcPr>
            <w:tcW w:w="2212" w:type="dxa"/>
          </w:tcPr>
          <w:p w14:paraId="41E73CAB"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PMS Regulations</w:t>
            </w:r>
          </w:p>
        </w:tc>
        <w:tc>
          <w:tcPr>
            <w:tcW w:w="5670" w:type="dxa"/>
          </w:tcPr>
          <w:p w14:paraId="5F0F4775"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The National Health Service (Personal Medical Services Agreements) Regulations 2015</w:t>
            </w:r>
          </w:p>
        </w:tc>
      </w:tr>
      <w:tr w:rsidR="001C7059" w:rsidRPr="00CE0885" w14:paraId="2F4339EA" w14:textId="77777777" w:rsidTr="00BD5B3E">
        <w:trPr>
          <w:tblHeader/>
        </w:trPr>
        <w:tc>
          <w:tcPr>
            <w:tcW w:w="2212" w:type="dxa"/>
          </w:tcPr>
          <w:p w14:paraId="5D835ED6"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TUPE</w:t>
            </w:r>
          </w:p>
        </w:tc>
        <w:tc>
          <w:tcPr>
            <w:tcW w:w="5670" w:type="dxa"/>
          </w:tcPr>
          <w:p w14:paraId="13DA0D77" w14:textId="77777777" w:rsidR="001C7059" w:rsidRPr="00CE0885" w:rsidRDefault="001C7059" w:rsidP="00DB7F92">
            <w:pPr>
              <w:pStyle w:val="Body2"/>
              <w:spacing w:before="0" w:after="0" w:line="360" w:lineRule="auto"/>
              <w:ind w:left="0"/>
              <w:jc w:val="left"/>
              <w:rPr>
                <w:rFonts w:cs="Arial"/>
                <w:sz w:val="24"/>
                <w:szCs w:val="24"/>
              </w:rPr>
            </w:pPr>
            <w:r w:rsidRPr="00CE0885">
              <w:rPr>
                <w:rFonts w:cs="Arial"/>
                <w:sz w:val="24"/>
                <w:szCs w:val="24"/>
              </w:rPr>
              <w:t>Transfer of Undertakings (Protection of Employment) Regulations 2006</w:t>
            </w:r>
          </w:p>
        </w:tc>
      </w:tr>
    </w:tbl>
    <w:p w14:paraId="19A489F0" w14:textId="41119BE0" w:rsidR="001C7059" w:rsidRPr="0015247B" w:rsidRDefault="001C7059" w:rsidP="0015247B">
      <w:r w:rsidRPr="00CE0885">
        <w:rPr>
          <w:rFonts w:cs="Arial"/>
        </w:rPr>
        <w:br w:type="page"/>
      </w:r>
    </w:p>
    <w:p w14:paraId="503C8F8B" w14:textId="54DD2C40" w:rsidR="0015247B" w:rsidRDefault="0015247B" w:rsidP="0015247B">
      <w:pPr>
        <w:pStyle w:val="Heading1"/>
      </w:pPr>
      <w:bookmarkStart w:id="34" w:name="_Commissioning_Described"/>
      <w:bookmarkStart w:id="35" w:name="_Toc498495306"/>
      <w:bookmarkEnd w:id="34"/>
      <w:r w:rsidRPr="0015247B">
        <w:t>Commissioning Described</w:t>
      </w:r>
      <w:bookmarkEnd w:id="35"/>
      <w:r w:rsidRPr="0015247B">
        <w:t xml:space="preserve"> </w:t>
      </w:r>
    </w:p>
    <w:p w14:paraId="0C39169C" w14:textId="77777777" w:rsidR="0015247B" w:rsidRDefault="0015247B" w:rsidP="0015247B"/>
    <w:p w14:paraId="0525057D" w14:textId="77777777" w:rsidR="0015247B" w:rsidRDefault="0015247B" w:rsidP="0015247B"/>
    <w:p w14:paraId="7B16FE13" w14:textId="77777777" w:rsidR="001C7059" w:rsidRPr="001C7059" w:rsidRDefault="001C7059" w:rsidP="001C7059">
      <w:pPr>
        <w:pStyle w:val="Heading2"/>
      </w:pPr>
      <w:bookmarkStart w:id="36" w:name="_Toc498495307"/>
      <w:r w:rsidRPr="001C7059">
        <w:t>Commissioning Arrangements</w:t>
      </w:r>
      <w:bookmarkEnd w:id="36"/>
    </w:p>
    <w:p w14:paraId="3C1E0F72" w14:textId="77777777" w:rsidR="001C7059" w:rsidRPr="009055A7" w:rsidRDefault="001C7059" w:rsidP="001C7059">
      <w:pPr>
        <w:spacing w:line="360" w:lineRule="auto"/>
        <w:rPr>
          <w:rFonts w:cs="Arial"/>
        </w:rPr>
      </w:pPr>
    </w:p>
    <w:p w14:paraId="68435BA8" w14:textId="77777777" w:rsidR="001C7059" w:rsidRPr="00CE0885" w:rsidRDefault="001C7059" w:rsidP="001C7059">
      <w:pPr>
        <w:pStyle w:val="Heading2"/>
        <w:rPr>
          <w:lang w:eastAsia="en-GB"/>
        </w:rPr>
      </w:pPr>
      <w:bookmarkStart w:id="37" w:name="_Toc440981403"/>
      <w:bookmarkStart w:id="38" w:name="_Toc498495308"/>
      <w:r w:rsidRPr="00CE0885">
        <w:rPr>
          <w:lang w:eastAsia="en-GB"/>
        </w:rPr>
        <w:t>Introduction</w:t>
      </w:r>
      <w:bookmarkEnd w:id="37"/>
      <w:bookmarkEnd w:id="38"/>
    </w:p>
    <w:p w14:paraId="7B2034AA" w14:textId="77777777" w:rsidR="001C7059" w:rsidRPr="009055A7" w:rsidRDefault="001C7059" w:rsidP="001C7059">
      <w:pPr>
        <w:spacing w:line="360" w:lineRule="auto"/>
        <w:ind w:left="720"/>
        <w:rPr>
          <w:rFonts w:cs="Arial"/>
        </w:rPr>
      </w:pPr>
    </w:p>
    <w:p w14:paraId="1D914888" w14:textId="00D25707" w:rsidR="001C7059" w:rsidRPr="00CE0885" w:rsidRDefault="001C7059" w:rsidP="001C7059">
      <w:pPr>
        <w:pStyle w:val="Heading3"/>
      </w:pPr>
      <w:bookmarkStart w:id="39" w:name="_Toc440981404"/>
      <w:r w:rsidRPr="009055A7">
        <w:t xml:space="preserve">85% of CCGs assumed delegate responsibility form 01 April 2017. </w:t>
      </w:r>
      <w:r w:rsidRPr="00CE0885">
        <w:t xml:space="preserve">This chapter provides an overview of the models of co-commissioning and how the policies reflect the involvement of CCGs under different co-commissioning models. This will become less relevant as the remaining CCGs take on </w:t>
      </w:r>
      <w:bookmarkEnd w:id="39"/>
      <w:r w:rsidR="00BC5F9C" w:rsidRPr="00CE0885">
        <w:t xml:space="preserve">delegation. </w:t>
      </w:r>
    </w:p>
    <w:p w14:paraId="69985D19" w14:textId="77777777" w:rsidR="001C7059" w:rsidRPr="00CE0885" w:rsidRDefault="001C7059" w:rsidP="001C7059">
      <w:pPr>
        <w:spacing w:line="360" w:lineRule="auto"/>
        <w:rPr>
          <w:rFonts w:cs="Arial"/>
        </w:rPr>
      </w:pPr>
    </w:p>
    <w:p w14:paraId="1538842B" w14:textId="77777777" w:rsidR="001C7059" w:rsidRPr="00CE0885" w:rsidRDefault="001C7059" w:rsidP="001C7059">
      <w:pPr>
        <w:pStyle w:val="Heading2"/>
        <w:rPr>
          <w:lang w:eastAsia="en-GB"/>
        </w:rPr>
      </w:pPr>
      <w:bookmarkStart w:id="40" w:name="_Toc440981405"/>
      <w:bookmarkStart w:id="41" w:name="_Toc498495309"/>
      <w:r w:rsidRPr="00CE0885">
        <w:rPr>
          <w:lang w:eastAsia="en-GB"/>
        </w:rPr>
        <w:t>Background</w:t>
      </w:r>
      <w:bookmarkEnd w:id="40"/>
      <w:bookmarkEnd w:id="41"/>
    </w:p>
    <w:p w14:paraId="3433114E" w14:textId="77777777" w:rsidR="001C7059" w:rsidRPr="009055A7" w:rsidRDefault="001C7059" w:rsidP="001C7059">
      <w:pPr>
        <w:spacing w:line="360" w:lineRule="auto"/>
        <w:ind w:left="720"/>
        <w:rPr>
          <w:rFonts w:cs="Arial"/>
        </w:rPr>
      </w:pPr>
    </w:p>
    <w:p w14:paraId="262BB335" w14:textId="77777777" w:rsidR="001C7059" w:rsidRPr="00CE0885" w:rsidRDefault="001C7059" w:rsidP="001C7059">
      <w:pPr>
        <w:pStyle w:val="Heading3"/>
      </w:pPr>
      <w:bookmarkStart w:id="42" w:name="_Toc440981406"/>
      <w:r w:rsidRPr="009055A7">
        <w:t>In May 2014, NHS England invited CCGs to come forward with expressions of interest to take on an increased role in the commissioning of primary care services. The intention was to empower and enable CCGs to improve primary care services local</w:t>
      </w:r>
      <w:r w:rsidRPr="00CE0885">
        <w:t>ly for the benefit of patients and local communities.</w:t>
      </w:r>
      <w:bookmarkEnd w:id="42"/>
    </w:p>
    <w:p w14:paraId="4B62AC00" w14:textId="79C6CAC4" w:rsidR="001C7059" w:rsidRPr="00CE0885" w:rsidRDefault="001C7059" w:rsidP="001C7059">
      <w:pPr>
        <w:pStyle w:val="Heading3"/>
      </w:pPr>
      <w:bookmarkStart w:id="43" w:name="_Toc440981407"/>
      <w:r w:rsidRPr="00CE0885">
        <w:t>The scope of primary care co-commissioning for 2015/16 was primary medical services only.</w:t>
      </w:r>
      <w:bookmarkEnd w:id="43"/>
    </w:p>
    <w:p w14:paraId="236D5CBC" w14:textId="77777777" w:rsidR="001C7059" w:rsidRPr="00CE0885" w:rsidRDefault="001C7059" w:rsidP="001C7059">
      <w:pPr>
        <w:pStyle w:val="Heading3"/>
      </w:pPr>
      <w:bookmarkStart w:id="44" w:name="_Toc440981408"/>
      <w:r w:rsidRPr="00CE0885">
        <w:t>CCGs could choose which form of co-commissioning they would like to adopt:</w:t>
      </w:r>
      <w:bookmarkEnd w:id="44"/>
    </w:p>
    <w:p w14:paraId="358B5EE1" w14:textId="77777777" w:rsidR="001C7059" w:rsidRPr="00CE0885" w:rsidRDefault="001C7059" w:rsidP="001C7059">
      <w:pPr>
        <w:spacing w:line="360" w:lineRule="auto"/>
        <w:ind w:left="720"/>
        <w:rPr>
          <w:rFonts w:cs="Arial"/>
        </w:rPr>
      </w:pPr>
    </w:p>
    <w:p w14:paraId="3EC3BBA0" w14:textId="77777777" w:rsidR="001C7059" w:rsidRPr="0088364D" w:rsidRDefault="001C7059" w:rsidP="005A7DDA">
      <w:pPr>
        <w:pStyle w:val="ListParagraph"/>
        <w:numPr>
          <w:ilvl w:val="0"/>
          <w:numId w:val="95"/>
        </w:numPr>
        <w:spacing w:line="360" w:lineRule="auto"/>
        <w:rPr>
          <w:rFonts w:cs="Arial"/>
        </w:rPr>
      </w:pPr>
      <w:bookmarkStart w:id="45" w:name="_Toc440981409"/>
      <w:r w:rsidRPr="0088364D">
        <w:rPr>
          <w:rFonts w:cs="Arial"/>
        </w:rPr>
        <w:t>greater involvement in primary care decision-making;</w:t>
      </w:r>
      <w:bookmarkEnd w:id="45"/>
    </w:p>
    <w:p w14:paraId="7601B373" w14:textId="77777777" w:rsidR="001C7059" w:rsidRPr="0088364D" w:rsidRDefault="001C7059" w:rsidP="005A7DDA">
      <w:pPr>
        <w:pStyle w:val="ListParagraph"/>
        <w:numPr>
          <w:ilvl w:val="0"/>
          <w:numId w:val="95"/>
        </w:numPr>
        <w:spacing w:line="360" w:lineRule="auto"/>
        <w:rPr>
          <w:rFonts w:cs="Arial"/>
        </w:rPr>
      </w:pPr>
      <w:bookmarkStart w:id="46" w:name="_Toc440981410"/>
      <w:r w:rsidRPr="0088364D">
        <w:rPr>
          <w:rFonts w:cs="Arial"/>
        </w:rPr>
        <w:t>joint commissioning arrangements; or</w:t>
      </w:r>
      <w:bookmarkEnd w:id="46"/>
    </w:p>
    <w:p w14:paraId="3A4E4A2C" w14:textId="77777777" w:rsidR="001C7059" w:rsidRPr="0088364D" w:rsidRDefault="001C7059" w:rsidP="005A7DDA">
      <w:pPr>
        <w:pStyle w:val="ListParagraph"/>
        <w:numPr>
          <w:ilvl w:val="0"/>
          <w:numId w:val="95"/>
        </w:numPr>
        <w:spacing w:line="360" w:lineRule="auto"/>
        <w:rPr>
          <w:rFonts w:cs="Arial"/>
        </w:rPr>
      </w:pPr>
      <w:bookmarkStart w:id="47" w:name="_Toc440981411"/>
      <w:r w:rsidRPr="0088364D">
        <w:rPr>
          <w:rFonts w:cs="Arial"/>
        </w:rPr>
        <w:t>delegated commissioning arrangements.</w:t>
      </w:r>
      <w:bookmarkEnd w:id="47"/>
    </w:p>
    <w:p w14:paraId="68805C83" w14:textId="77777777" w:rsidR="001C7059" w:rsidRPr="00CE0885" w:rsidRDefault="001C7059" w:rsidP="001C7059">
      <w:pPr>
        <w:spacing w:line="360" w:lineRule="auto"/>
        <w:ind w:left="1684"/>
        <w:rPr>
          <w:rFonts w:cs="Arial"/>
        </w:rPr>
      </w:pPr>
    </w:p>
    <w:p w14:paraId="1F6A0853" w14:textId="77777777" w:rsidR="001C7059" w:rsidRPr="00CE0885" w:rsidRDefault="001C7059" w:rsidP="001C7059">
      <w:pPr>
        <w:pStyle w:val="Heading3"/>
      </w:pPr>
      <w:r w:rsidRPr="00CE0885">
        <w:t>From 1 April 2017 176 CCGs (out of 209) have delegated arrangements and approximately one third of CCGs have a joint arrangement</w:t>
      </w:r>
    </w:p>
    <w:p w14:paraId="41CE1FDC" w14:textId="77777777" w:rsidR="001C7059" w:rsidRPr="00CE0885" w:rsidRDefault="001C7059" w:rsidP="001C7059">
      <w:pPr>
        <w:spacing w:line="360" w:lineRule="auto"/>
        <w:ind w:left="720"/>
        <w:rPr>
          <w:rFonts w:cs="Arial"/>
        </w:rPr>
      </w:pPr>
    </w:p>
    <w:p w14:paraId="1BA90E3F" w14:textId="77777777" w:rsidR="001C7059" w:rsidRPr="00CE0885" w:rsidRDefault="001C7059" w:rsidP="001C7059">
      <w:pPr>
        <w:pStyle w:val="Heading2"/>
        <w:rPr>
          <w:lang w:eastAsia="en-GB"/>
        </w:rPr>
      </w:pPr>
      <w:bookmarkStart w:id="48" w:name="_Toc440981412"/>
      <w:bookmarkStart w:id="49" w:name="_Toc498495310"/>
      <w:r w:rsidRPr="00CE0885">
        <w:rPr>
          <w:lang w:eastAsia="en-GB"/>
        </w:rPr>
        <w:t>Co-commissioning Models</w:t>
      </w:r>
      <w:bookmarkEnd w:id="48"/>
      <w:r w:rsidRPr="00CE0885">
        <w:rPr>
          <w:lang w:eastAsia="en-GB"/>
        </w:rPr>
        <w:t>:</w:t>
      </w:r>
      <w:bookmarkEnd w:id="49"/>
    </w:p>
    <w:p w14:paraId="3F9439C3" w14:textId="77777777" w:rsidR="001C7059" w:rsidRPr="009055A7" w:rsidRDefault="001C7059" w:rsidP="001C7059">
      <w:pPr>
        <w:spacing w:line="360" w:lineRule="auto"/>
        <w:ind w:left="720"/>
        <w:rPr>
          <w:rFonts w:cs="Arial"/>
        </w:rPr>
      </w:pPr>
    </w:p>
    <w:p w14:paraId="3478D47E" w14:textId="77777777" w:rsidR="001C7059" w:rsidRPr="00CE0885" w:rsidRDefault="001C7059" w:rsidP="001C7059">
      <w:pPr>
        <w:pStyle w:val="Heading2"/>
      </w:pPr>
      <w:bookmarkStart w:id="50" w:name="_Toc440981413"/>
      <w:bookmarkStart w:id="51" w:name="_Toc498495311"/>
      <w:r w:rsidRPr="009055A7">
        <w:t>Greater involvement in primary care co-commissioning</w:t>
      </w:r>
      <w:bookmarkEnd w:id="50"/>
      <w:r w:rsidRPr="00CE0885">
        <w:t>:</w:t>
      </w:r>
      <w:bookmarkEnd w:id="51"/>
    </w:p>
    <w:p w14:paraId="1A7CB9C5" w14:textId="77777777" w:rsidR="001C7059" w:rsidRPr="00CE0885" w:rsidRDefault="001C7059" w:rsidP="001C7059">
      <w:pPr>
        <w:spacing w:line="360" w:lineRule="auto"/>
        <w:rPr>
          <w:rFonts w:cs="Arial"/>
        </w:rPr>
      </w:pPr>
    </w:p>
    <w:p w14:paraId="28ECA4AC" w14:textId="0D3AA2D3" w:rsidR="001C7059" w:rsidRPr="00CE0885" w:rsidRDefault="001C7059" w:rsidP="001C7059">
      <w:pPr>
        <w:pStyle w:val="Heading3"/>
      </w:pPr>
      <w:bookmarkStart w:id="52" w:name="_Toc440981414"/>
      <w:r w:rsidRPr="00CE0885">
        <w:t xml:space="preserve">Greater involvement in primary care co-commissioning is an invitation to CCGs to collaborate more closely with NHS England to ensure that decisions taken </w:t>
      </w:r>
      <w:r w:rsidRPr="00CE0885">
        <w:lastRenderedPageBreak/>
        <w:t>about healthcare services are strategically aligned across the local health economy.</w:t>
      </w:r>
      <w:bookmarkEnd w:id="52"/>
    </w:p>
    <w:p w14:paraId="197631DA" w14:textId="77777777" w:rsidR="001C7059" w:rsidRPr="00CE0885" w:rsidRDefault="001C7059" w:rsidP="001C7059">
      <w:pPr>
        <w:pStyle w:val="Heading3"/>
      </w:pPr>
      <w:bookmarkStart w:id="53" w:name="_Toc440981415"/>
      <w:r w:rsidRPr="00CE0885">
        <w:t>CCGs who wish to have greater involvement in primary care decision making could participate in discussions about all areas of primary care including primary medical care, eye health, dental and community pharmacy services, provided that NHS England retains its statutory decision-making responsibilities and there is appropriate involvement of local professional networks.</w:t>
      </w:r>
      <w:bookmarkEnd w:id="53"/>
    </w:p>
    <w:p w14:paraId="66634A17" w14:textId="77777777" w:rsidR="001C7059" w:rsidRPr="00CE0885" w:rsidRDefault="001C7059" w:rsidP="001C7059">
      <w:pPr>
        <w:spacing w:line="360" w:lineRule="auto"/>
        <w:rPr>
          <w:rFonts w:cs="Arial"/>
        </w:rPr>
      </w:pPr>
      <w:r w:rsidRPr="00CE0885">
        <w:rPr>
          <w:rFonts w:cs="Arial"/>
        </w:rPr>
        <w:br/>
      </w:r>
    </w:p>
    <w:p w14:paraId="0A1E42A7" w14:textId="77777777" w:rsidR="001C7059" w:rsidRPr="00CE0885" w:rsidRDefault="001C7059" w:rsidP="001C7059">
      <w:pPr>
        <w:pStyle w:val="Heading2"/>
      </w:pPr>
      <w:bookmarkStart w:id="54" w:name="_Toc440981416"/>
      <w:bookmarkStart w:id="55" w:name="_Toc498495312"/>
      <w:r w:rsidRPr="00CE0885">
        <w:t>Joint commissioning arrangements</w:t>
      </w:r>
      <w:bookmarkEnd w:id="54"/>
      <w:r w:rsidRPr="00CE0885">
        <w:t>:</w:t>
      </w:r>
      <w:bookmarkEnd w:id="55"/>
    </w:p>
    <w:p w14:paraId="45EFC288" w14:textId="77777777" w:rsidR="001C7059" w:rsidRPr="00CE0885" w:rsidRDefault="001C7059" w:rsidP="001C7059">
      <w:pPr>
        <w:spacing w:line="360" w:lineRule="auto"/>
        <w:ind w:firstLine="720"/>
        <w:rPr>
          <w:rFonts w:cs="Arial"/>
        </w:rPr>
      </w:pPr>
    </w:p>
    <w:p w14:paraId="1A06A849" w14:textId="4F69BD75" w:rsidR="001C7059" w:rsidRPr="00CE0885" w:rsidRDefault="001C7059" w:rsidP="001C7059">
      <w:pPr>
        <w:pStyle w:val="Heading3"/>
      </w:pPr>
      <w:bookmarkStart w:id="56" w:name="_Toc440981417"/>
      <w:r w:rsidRPr="00CE0885">
        <w:t xml:space="preserve">A joint commissioning model enables one or more CCGs to assume responsibility for jointly commissioning primary medical services with NHS England, either through a joint committee or “committees in common”. Joint commissioning arrangements give CCGs and NHS England an opportunity to more effectively plan and improve the provision of </w:t>
      </w:r>
      <w:r w:rsidR="00BC5F9C" w:rsidRPr="00CE0885">
        <w:t>out of</w:t>
      </w:r>
      <w:r w:rsidRPr="00CE0885">
        <w:t xml:space="preserve"> hospital services for the benefit of patients and local populations.</w:t>
      </w:r>
      <w:bookmarkEnd w:id="56"/>
    </w:p>
    <w:p w14:paraId="0C72B9EF" w14:textId="77777777" w:rsidR="001C7059" w:rsidRPr="00CE0885" w:rsidRDefault="001C7059" w:rsidP="003331F2">
      <w:pPr>
        <w:pStyle w:val="BodyText"/>
      </w:pPr>
    </w:p>
    <w:p w14:paraId="2853CF41" w14:textId="77777777" w:rsidR="001C7059" w:rsidRPr="00CE0885" w:rsidRDefault="001C7059" w:rsidP="001C7059">
      <w:pPr>
        <w:pStyle w:val="Heading3"/>
      </w:pPr>
      <w:bookmarkStart w:id="57" w:name="_Toc440981418"/>
      <w:r w:rsidRPr="00CE0885">
        <w:t>The functions that joint committees cover include:</w:t>
      </w:r>
      <w:bookmarkEnd w:id="57"/>
    </w:p>
    <w:p w14:paraId="3242CAC1" w14:textId="77777777" w:rsidR="001C7059" w:rsidRPr="00CE0885" w:rsidRDefault="001C7059" w:rsidP="001C7059">
      <w:pPr>
        <w:spacing w:line="360" w:lineRule="auto"/>
        <w:ind w:left="720"/>
        <w:rPr>
          <w:rFonts w:cs="Arial"/>
        </w:rPr>
      </w:pPr>
    </w:p>
    <w:p w14:paraId="4769154C" w14:textId="77777777" w:rsidR="001C7059" w:rsidRPr="0088364D" w:rsidRDefault="001C7059" w:rsidP="005A7DDA">
      <w:pPr>
        <w:pStyle w:val="ListParagraph"/>
        <w:numPr>
          <w:ilvl w:val="0"/>
          <w:numId w:val="96"/>
        </w:numPr>
        <w:spacing w:line="360" w:lineRule="auto"/>
        <w:rPr>
          <w:rFonts w:cs="Arial"/>
        </w:rPr>
      </w:pPr>
      <w:bookmarkStart w:id="58" w:name="_Toc440981419"/>
      <w:r w:rsidRPr="0088364D">
        <w:rPr>
          <w:rFonts w:cs="Arial"/>
        </w:rPr>
        <w:t>GMS, PMS, APMS  contracts, (including the design of PMS and APMS contracts, monitoring of contracts, taking contractual action such as issuing branch/remedial notices, and terminating a contract;</w:t>
      </w:r>
      <w:bookmarkEnd w:id="58"/>
    </w:p>
    <w:p w14:paraId="2562CD84" w14:textId="77777777" w:rsidR="001C7059" w:rsidRPr="0088364D" w:rsidRDefault="001C7059" w:rsidP="005A7DDA">
      <w:pPr>
        <w:pStyle w:val="ListParagraph"/>
        <w:numPr>
          <w:ilvl w:val="0"/>
          <w:numId w:val="96"/>
        </w:numPr>
        <w:spacing w:line="360" w:lineRule="auto"/>
        <w:rPr>
          <w:rFonts w:cs="Arial"/>
        </w:rPr>
      </w:pPr>
      <w:bookmarkStart w:id="59" w:name="_Toc440981420"/>
      <w:r w:rsidRPr="0088364D">
        <w:rPr>
          <w:rFonts w:cs="Arial"/>
        </w:rPr>
        <w:t>newly designed enhanced services (“Local Enhanced Services (LES)” and “Directed Enhanced Services (DES)”);</w:t>
      </w:r>
      <w:bookmarkEnd w:id="59"/>
    </w:p>
    <w:p w14:paraId="5A7310AD" w14:textId="77777777" w:rsidR="001C7059" w:rsidRPr="0088364D" w:rsidRDefault="001C7059" w:rsidP="005A7DDA">
      <w:pPr>
        <w:pStyle w:val="ListParagraph"/>
        <w:numPr>
          <w:ilvl w:val="0"/>
          <w:numId w:val="96"/>
        </w:numPr>
        <w:spacing w:line="360" w:lineRule="auto"/>
        <w:rPr>
          <w:rFonts w:cs="Arial"/>
        </w:rPr>
      </w:pPr>
      <w:bookmarkStart w:id="60" w:name="_Toc440981421"/>
      <w:r w:rsidRPr="0088364D">
        <w:rPr>
          <w:rFonts w:cs="Arial"/>
        </w:rPr>
        <w:t>design of local incentive schemes ;</w:t>
      </w:r>
      <w:bookmarkEnd w:id="60"/>
    </w:p>
    <w:p w14:paraId="0B53A0E1" w14:textId="77777777" w:rsidR="001C7059" w:rsidRPr="0088364D" w:rsidRDefault="001C7059" w:rsidP="005A7DDA">
      <w:pPr>
        <w:pStyle w:val="ListParagraph"/>
        <w:numPr>
          <w:ilvl w:val="0"/>
          <w:numId w:val="96"/>
        </w:numPr>
        <w:spacing w:line="360" w:lineRule="auto"/>
        <w:rPr>
          <w:rFonts w:cs="Arial"/>
        </w:rPr>
      </w:pPr>
      <w:bookmarkStart w:id="61" w:name="_Toc440981422"/>
      <w:r w:rsidRPr="0088364D">
        <w:rPr>
          <w:rFonts w:cs="Arial"/>
        </w:rPr>
        <w:t>the ability to establish new GP practices in an area;</w:t>
      </w:r>
      <w:bookmarkEnd w:id="61"/>
    </w:p>
    <w:p w14:paraId="224F9E06" w14:textId="77777777" w:rsidR="001C7059" w:rsidRPr="0088364D" w:rsidRDefault="001C7059" w:rsidP="005A7DDA">
      <w:pPr>
        <w:pStyle w:val="ListParagraph"/>
        <w:numPr>
          <w:ilvl w:val="0"/>
          <w:numId w:val="96"/>
        </w:numPr>
        <w:spacing w:line="360" w:lineRule="auto"/>
        <w:rPr>
          <w:rFonts w:cs="Arial"/>
        </w:rPr>
      </w:pPr>
      <w:bookmarkStart w:id="62" w:name="_Toc440981423"/>
      <w:r w:rsidRPr="0088364D">
        <w:rPr>
          <w:rFonts w:cs="Arial"/>
        </w:rPr>
        <w:t>approving practice mergers; and</w:t>
      </w:r>
      <w:bookmarkEnd w:id="62"/>
    </w:p>
    <w:p w14:paraId="636E0E31" w14:textId="77777777" w:rsidR="001C7059" w:rsidRPr="0088364D" w:rsidRDefault="001C7059" w:rsidP="005A7DDA">
      <w:pPr>
        <w:pStyle w:val="ListParagraph"/>
        <w:numPr>
          <w:ilvl w:val="0"/>
          <w:numId w:val="96"/>
        </w:numPr>
        <w:spacing w:line="360" w:lineRule="auto"/>
        <w:rPr>
          <w:rFonts w:cs="Arial"/>
        </w:rPr>
      </w:pPr>
      <w:bookmarkStart w:id="63" w:name="_Toc440981424"/>
      <w:r w:rsidRPr="0088364D">
        <w:rPr>
          <w:rFonts w:cs="Arial"/>
        </w:rPr>
        <w:t xml:space="preserve">making decisions on ‘discretionary’ payments (e.g., returner/retainer schemes); and </w:t>
      </w:r>
    </w:p>
    <w:p w14:paraId="1023489E" w14:textId="77777777" w:rsidR="001C7059" w:rsidRPr="0088364D" w:rsidRDefault="001C7059" w:rsidP="005A7DDA">
      <w:pPr>
        <w:pStyle w:val="ListParagraph"/>
        <w:numPr>
          <w:ilvl w:val="0"/>
          <w:numId w:val="96"/>
        </w:numPr>
        <w:spacing w:line="360" w:lineRule="auto"/>
        <w:rPr>
          <w:rFonts w:cs="Arial"/>
        </w:rPr>
      </w:pPr>
      <w:r w:rsidRPr="0088364D">
        <w:rPr>
          <w:rFonts w:cs="Arial"/>
        </w:rPr>
        <w:t>where appropriate considerations in relation to primary care and the development of MCP/PACS arrangements.</w:t>
      </w:r>
      <w:bookmarkEnd w:id="63"/>
    </w:p>
    <w:p w14:paraId="34A58E92" w14:textId="77777777" w:rsidR="001C7059" w:rsidRPr="00CE0885" w:rsidRDefault="001C7059" w:rsidP="001C7059">
      <w:pPr>
        <w:pStyle w:val="ListParagraph"/>
        <w:spacing w:line="360" w:lineRule="auto"/>
        <w:ind w:left="1800"/>
        <w:rPr>
          <w:rFonts w:cs="Arial"/>
        </w:rPr>
      </w:pPr>
    </w:p>
    <w:p w14:paraId="1DE1D471" w14:textId="0F8DC30A" w:rsidR="001C7059" w:rsidRPr="00CE0885" w:rsidRDefault="001C7059" w:rsidP="001C7059">
      <w:pPr>
        <w:pStyle w:val="Heading3"/>
      </w:pPr>
      <w:bookmarkStart w:id="64" w:name="_Toc440981425"/>
      <w:r w:rsidRPr="00CE0885">
        <w:t xml:space="preserve">Joint commissioning arrangements exclude individual GP performance management (medical performers’ list for GPs, appraisal and revalidation). NHS </w:t>
      </w:r>
      <w:r w:rsidRPr="00CE0885">
        <w:lastRenderedPageBreak/>
        <w:t>England is also responsible for the administration of payments and list management.</w:t>
      </w:r>
      <w:bookmarkEnd w:id="64"/>
    </w:p>
    <w:p w14:paraId="1380DC96" w14:textId="293F3C7D" w:rsidR="00272DF9" w:rsidRPr="00272DF9" w:rsidRDefault="001C7059" w:rsidP="00272DF9">
      <w:pPr>
        <w:pStyle w:val="Heading3"/>
      </w:pPr>
      <w:bookmarkStart w:id="65" w:name="_Toc440981426"/>
      <w:r w:rsidRPr="00CE0885">
        <w:t xml:space="preserve">CCGs have the opportunity to discuss dental, </w:t>
      </w:r>
      <w:r w:rsidR="00A119FB">
        <w:t xml:space="preserve">community </w:t>
      </w:r>
      <w:r w:rsidR="00C96FE9">
        <w:t xml:space="preserve">optometry </w:t>
      </w:r>
      <w:r w:rsidRPr="00CE0885">
        <w:t xml:space="preserve"> and community pharmacy commissioning with NHS England and local professional networks but have no decision making </w:t>
      </w:r>
      <w:r w:rsidR="00272DF9">
        <w:t>powers over g</w:t>
      </w:r>
      <w:r w:rsidR="00272DF9" w:rsidRPr="00272DF9">
        <w:t xml:space="preserve">eneral </w:t>
      </w:r>
      <w:r w:rsidR="00272DF9">
        <w:t>o</w:t>
      </w:r>
      <w:r w:rsidR="00272DF9" w:rsidRPr="00272DF9">
        <w:t>ptometry or community pharmacy services commissioned under the regulations</w:t>
      </w:r>
      <w:r w:rsidR="00272DF9">
        <w:t xml:space="preserve">. </w:t>
      </w:r>
      <w:bookmarkEnd w:id="65"/>
      <w:r w:rsidR="00272DF9">
        <w:t xml:space="preserve">  However, CCGs do have the opportunity to commission local enhanced services </w:t>
      </w:r>
      <w:r w:rsidR="00272DF9" w:rsidRPr="00272DF9">
        <w:t>from community pharmacy and optometry</w:t>
      </w:r>
      <w:r w:rsidR="00272DF9">
        <w:t xml:space="preserve"> providers.</w:t>
      </w:r>
    </w:p>
    <w:p w14:paraId="394B1D9E" w14:textId="77777777" w:rsidR="001C7059" w:rsidRPr="00CE0885" w:rsidRDefault="001C7059" w:rsidP="001C7059">
      <w:pPr>
        <w:spacing w:line="360" w:lineRule="auto"/>
        <w:ind w:left="1440"/>
        <w:rPr>
          <w:rFonts w:cs="Arial"/>
        </w:rPr>
      </w:pPr>
    </w:p>
    <w:p w14:paraId="11BC0959" w14:textId="77777777" w:rsidR="001C7059" w:rsidRPr="00CE0885" w:rsidRDefault="001C7059" w:rsidP="001C7059">
      <w:pPr>
        <w:pStyle w:val="Heading2"/>
      </w:pPr>
      <w:bookmarkStart w:id="66" w:name="_Toc440981427"/>
      <w:bookmarkStart w:id="67" w:name="_Toc498495313"/>
      <w:r w:rsidRPr="00CE0885">
        <w:t>Delegated commissioning arrangements</w:t>
      </w:r>
      <w:bookmarkEnd w:id="66"/>
      <w:r w:rsidRPr="00CE0885">
        <w:t>:</w:t>
      </w:r>
      <w:bookmarkEnd w:id="67"/>
    </w:p>
    <w:p w14:paraId="75BF51BA" w14:textId="77777777" w:rsidR="001C7059" w:rsidRPr="00CE0885" w:rsidRDefault="001C7059" w:rsidP="001C7059">
      <w:pPr>
        <w:spacing w:line="360" w:lineRule="auto"/>
        <w:rPr>
          <w:rFonts w:cs="Arial"/>
        </w:rPr>
      </w:pPr>
    </w:p>
    <w:p w14:paraId="47AF47D4" w14:textId="77777777" w:rsidR="001C7059" w:rsidRPr="00CE0885" w:rsidRDefault="001C7059" w:rsidP="0088364D">
      <w:pPr>
        <w:pStyle w:val="Heading3"/>
      </w:pPr>
      <w:bookmarkStart w:id="68" w:name="_Toc440981428"/>
      <w:r w:rsidRPr="00CE0885">
        <w:t>Delegated commissioning is an opportunity for CCGs to assume full responsibility for commissioning general practice services. Legally, NHS England retains the residual liability for the performance of primary medical care commissioning. Therefore, NHS England will require robust assurance that its statutory functions are being discharged effectively. CCGs continue to remain responsible for discharging their own statutory duties, for instance, in relation to quality, financial resources and public participation.</w:t>
      </w:r>
      <w:bookmarkEnd w:id="68"/>
    </w:p>
    <w:p w14:paraId="2A636237" w14:textId="77777777" w:rsidR="001C7059" w:rsidRPr="00CE0885" w:rsidRDefault="001C7059" w:rsidP="001C7059">
      <w:pPr>
        <w:spacing w:line="360" w:lineRule="auto"/>
        <w:ind w:left="720"/>
        <w:rPr>
          <w:rFonts w:cs="Arial"/>
        </w:rPr>
      </w:pPr>
    </w:p>
    <w:p w14:paraId="41BB956C" w14:textId="77777777" w:rsidR="001C7059" w:rsidRPr="00CE0885" w:rsidRDefault="001C7059" w:rsidP="0088364D">
      <w:pPr>
        <w:pStyle w:val="Heading3"/>
      </w:pPr>
      <w:bookmarkStart w:id="69" w:name="_Toc440981429"/>
      <w:r w:rsidRPr="00CE0885">
        <w:t>The following primary care functions are included in delegated arrangements:</w:t>
      </w:r>
      <w:bookmarkEnd w:id="69"/>
    </w:p>
    <w:p w14:paraId="546027F9" w14:textId="77777777" w:rsidR="001C7059" w:rsidRPr="00CE0885" w:rsidRDefault="001C7059" w:rsidP="001C7059">
      <w:pPr>
        <w:spacing w:line="360" w:lineRule="auto"/>
        <w:ind w:left="720"/>
        <w:rPr>
          <w:rFonts w:cs="Arial"/>
        </w:rPr>
      </w:pPr>
    </w:p>
    <w:p w14:paraId="07EA7033" w14:textId="77777777" w:rsidR="001C7059" w:rsidRPr="0088364D" w:rsidRDefault="001C7059" w:rsidP="005A7DDA">
      <w:pPr>
        <w:pStyle w:val="ListParagraph"/>
        <w:numPr>
          <w:ilvl w:val="0"/>
          <w:numId w:val="97"/>
        </w:numPr>
        <w:spacing w:before="120" w:after="120" w:line="360" w:lineRule="auto"/>
        <w:ind w:left="714" w:hanging="357"/>
        <w:rPr>
          <w:rFonts w:cs="Arial"/>
        </w:rPr>
      </w:pPr>
      <w:bookmarkStart w:id="70" w:name="_Toc440981430"/>
      <w:r w:rsidRPr="0088364D">
        <w:rPr>
          <w:rFonts w:cs="Arial"/>
        </w:rPr>
        <w:t>GMS, PMS, APMS (including the design of PMS and APMS contracts, monitoring of contracts, taking contractual action, such as issuing branch/remedial notices, and removing a contract);</w:t>
      </w:r>
      <w:bookmarkEnd w:id="70"/>
    </w:p>
    <w:p w14:paraId="47DF07DA" w14:textId="77777777" w:rsidR="001C7059" w:rsidRPr="0088364D" w:rsidRDefault="001C7059" w:rsidP="005A7DDA">
      <w:pPr>
        <w:pStyle w:val="ListParagraph"/>
        <w:numPr>
          <w:ilvl w:val="0"/>
          <w:numId w:val="97"/>
        </w:numPr>
        <w:spacing w:before="120" w:after="120" w:line="360" w:lineRule="auto"/>
        <w:ind w:left="714" w:hanging="357"/>
        <w:rPr>
          <w:rFonts w:cs="Arial"/>
        </w:rPr>
      </w:pPr>
      <w:bookmarkStart w:id="71" w:name="_Toc440981431"/>
      <w:r w:rsidRPr="0088364D">
        <w:rPr>
          <w:rFonts w:cs="Arial"/>
        </w:rPr>
        <w:t>newly designed enhanced services (“Local Enhanced Services (LES)” and “Directed Enhanced Services (DES)”);</w:t>
      </w:r>
      <w:bookmarkEnd w:id="71"/>
    </w:p>
    <w:p w14:paraId="523D204B" w14:textId="77777777" w:rsidR="001C7059" w:rsidRPr="0088364D" w:rsidRDefault="001C7059" w:rsidP="005A7DDA">
      <w:pPr>
        <w:pStyle w:val="ListParagraph"/>
        <w:numPr>
          <w:ilvl w:val="0"/>
          <w:numId w:val="97"/>
        </w:numPr>
        <w:spacing w:before="120" w:after="120" w:line="360" w:lineRule="auto"/>
        <w:ind w:left="714" w:hanging="357"/>
        <w:rPr>
          <w:rFonts w:cs="Arial"/>
        </w:rPr>
      </w:pPr>
      <w:bookmarkStart w:id="72" w:name="_Toc440981432"/>
      <w:r w:rsidRPr="0088364D">
        <w:rPr>
          <w:rFonts w:cs="Arial"/>
        </w:rPr>
        <w:t>design of local incentive schemes as an alternative to the Quality and Outcomes Framework (QOF);</w:t>
      </w:r>
      <w:bookmarkEnd w:id="72"/>
    </w:p>
    <w:p w14:paraId="0E0CBEE2" w14:textId="77777777" w:rsidR="001C7059" w:rsidRPr="0088364D" w:rsidRDefault="001C7059" w:rsidP="005A7DDA">
      <w:pPr>
        <w:pStyle w:val="ListParagraph"/>
        <w:numPr>
          <w:ilvl w:val="0"/>
          <w:numId w:val="97"/>
        </w:numPr>
        <w:spacing w:before="120" w:after="120" w:line="360" w:lineRule="auto"/>
        <w:ind w:left="714" w:hanging="357"/>
        <w:rPr>
          <w:rFonts w:cs="Arial"/>
        </w:rPr>
      </w:pPr>
      <w:bookmarkStart w:id="73" w:name="_Toc440981433"/>
      <w:r w:rsidRPr="0088364D">
        <w:rPr>
          <w:rFonts w:cs="Arial"/>
        </w:rPr>
        <w:t>the ability to establish new GP practices in an area;</w:t>
      </w:r>
      <w:bookmarkEnd w:id="73"/>
    </w:p>
    <w:p w14:paraId="1A038B37" w14:textId="77777777" w:rsidR="001C7059" w:rsidRPr="0088364D" w:rsidRDefault="001C7059" w:rsidP="005A7DDA">
      <w:pPr>
        <w:pStyle w:val="ListParagraph"/>
        <w:numPr>
          <w:ilvl w:val="0"/>
          <w:numId w:val="97"/>
        </w:numPr>
        <w:spacing w:before="120" w:after="120" w:line="360" w:lineRule="auto"/>
        <w:ind w:left="714" w:hanging="357"/>
        <w:rPr>
          <w:rFonts w:cs="Arial"/>
        </w:rPr>
      </w:pPr>
      <w:bookmarkStart w:id="74" w:name="_Toc440981434"/>
      <w:r w:rsidRPr="0088364D">
        <w:rPr>
          <w:rFonts w:cs="Arial"/>
        </w:rPr>
        <w:t>approving practice mergers; and</w:t>
      </w:r>
      <w:bookmarkEnd w:id="74"/>
    </w:p>
    <w:p w14:paraId="15008FC7" w14:textId="77777777" w:rsidR="001C7059" w:rsidRPr="0088364D" w:rsidRDefault="001C7059" w:rsidP="005A7DDA">
      <w:pPr>
        <w:pStyle w:val="ListParagraph"/>
        <w:numPr>
          <w:ilvl w:val="0"/>
          <w:numId w:val="97"/>
        </w:numPr>
        <w:spacing w:before="120" w:after="120" w:line="360" w:lineRule="auto"/>
        <w:ind w:left="714" w:hanging="357"/>
        <w:rPr>
          <w:rFonts w:cs="Arial"/>
        </w:rPr>
      </w:pPr>
      <w:bookmarkStart w:id="75" w:name="_Toc440981435"/>
      <w:r w:rsidRPr="0088364D">
        <w:rPr>
          <w:rFonts w:cs="Arial"/>
        </w:rPr>
        <w:t>making decisions on ‘discretionary’ payments (e.g., returner/retainer schemes).</w:t>
      </w:r>
      <w:bookmarkEnd w:id="75"/>
    </w:p>
    <w:p w14:paraId="5198941E" w14:textId="77777777" w:rsidR="001C7059" w:rsidRPr="00CE0885" w:rsidRDefault="001C7059" w:rsidP="0088364D">
      <w:pPr>
        <w:pStyle w:val="Heading3"/>
      </w:pPr>
      <w:r w:rsidRPr="00CE0885">
        <w:t xml:space="preserve">Where a CCG is considering developing an MCP / PACS arrangement, it should discuss this with NHS England to consider the implications in relation to delegated co-commissioning and the involvement of NHS England. </w:t>
      </w:r>
    </w:p>
    <w:p w14:paraId="65772008" w14:textId="77777777" w:rsidR="001C7059" w:rsidRPr="00CE0885" w:rsidRDefault="001C7059" w:rsidP="0088364D">
      <w:pPr>
        <w:pStyle w:val="Heading3"/>
      </w:pPr>
      <w:bookmarkStart w:id="76" w:name="_Toc440981436"/>
      <w:r w:rsidRPr="00CE0885">
        <w:lastRenderedPageBreak/>
        <w:t>Delegated commissioning arrangements exclude individual GP performance management (medical performers’ list for GPs, appraisal and revalidation). NHS England is also responsible for the administration of payments and list management.</w:t>
      </w:r>
      <w:bookmarkEnd w:id="76"/>
    </w:p>
    <w:p w14:paraId="2614CAA5" w14:textId="77777777" w:rsidR="001C7059" w:rsidRPr="00CE0885" w:rsidRDefault="001C7059" w:rsidP="001C7059">
      <w:pPr>
        <w:spacing w:line="360" w:lineRule="auto"/>
        <w:ind w:left="1440"/>
        <w:rPr>
          <w:rFonts w:cs="Arial"/>
        </w:rPr>
      </w:pPr>
    </w:p>
    <w:p w14:paraId="06AED976" w14:textId="0D854FB8" w:rsidR="001C7059" w:rsidRPr="00CE0885" w:rsidRDefault="00272DF9" w:rsidP="0088364D">
      <w:pPr>
        <w:pStyle w:val="Heading3"/>
      </w:pPr>
      <w:r>
        <w:t>Paragraph 3.6.4 also applies to delegated commissioning arrangements</w:t>
      </w:r>
    </w:p>
    <w:p w14:paraId="7CD93C36" w14:textId="77777777" w:rsidR="001C7059" w:rsidRPr="00CE0885" w:rsidRDefault="001C7059" w:rsidP="001C7059">
      <w:pPr>
        <w:spacing w:line="360" w:lineRule="auto"/>
        <w:rPr>
          <w:rFonts w:cs="Arial"/>
        </w:rPr>
      </w:pPr>
    </w:p>
    <w:p w14:paraId="34E7D43C" w14:textId="77777777" w:rsidR="001C7059" w:rsidRPr="00CE0885" w:rsidRDefault="001C7059" w:rsidP="001C7059">
      <w:pPr>
        <w:pStyle w:val="Heading2"/>
        <w:rPr>
          <w:lang w:eastAsia="en-GB"/>
        </w:rPr>
      </w:pPr>
      <w:bookmarkStart w:id="77" w:name="_Toc440981438"/>
      <w:bookmarkStart w:id="78" w:name="_Toc498495314"/>
      <w:r w:rsidRPr="00CE0885">
        <w:rPr>
          <w:lang w:eastAsia="en-GB"/>
        </w:rPr>
        <w:t>Co-Commissioning and Primary Care Policies</w:t>
      </w:r>
      <w:bookmarkEnd w:id="77"/>
      <w:r w:rsidRPr="00CE0885">
        <w:rPr>
          <w:lang w:eastAsia="en-GB"/>
        </w:rPr>
        <w:t>:</w:t>
      </w:r>
      <w:bookmarkEnd w:id="78"/>
    </w:p>
    <w:p w14:paraId="3CC5DBF0" w14:textId="77777777" w:rsidR="001C7059" w:rsidRPr="009055A7" w:rsidRDefault="001C7059" w:rsidP="001C7059">
      <w:pPr>
        <w:spacing w:line="360" w:lineRule="auto"/>
        <w:ind w:left="720"/>
        <w:rPr>
          <w:rFonts w:cs="Arial"/>
        </w:rPr>
      </w:pPr>
    </w:p>
    <w:p w14:paraId="0D934D5F" w14:textId="77777777" w:rsidR="001C7059" w:rsidRPr="00CE0885" w:rsidRDefault="001C7059" w:rsidP="001C7059">
      <w:pPr>
        <w:pStyle w:val="Heading3"/>
      </w:pPr>
      <w:bookmarkStart w:id="79" w:name="_Toc440981439"/>
      <w:r w:rsidRPr="009055A7">
        <w:t>For the purposes of the primary care policies, the Commissioner of the primary care service is not referred to by name but simply as the "Commissioner". This i</w:t>
      </w:r>
      <w:r w:rsidRPr="00CE0885">
        <w:t>s to reflect the fact that for primary medical services, the identity of the Commissioner in an area will depend on the model of co-commissioning that the CCG has adopted:</w:t>
      </w:r>
      <w:bookmarkEnd w:id="79"/>
    </w:p>
    <w:p w14:paraId="670BFE6A" w14:textId="77777777" w:rsidR="001C7059" w:rsidRPr="00CE0885" w:rsidRDefault="001C7059" w:rsidP="001C7059">
      <w:pPr>
        <w:spacing w:line="360" w:lineRule="auto"/>
        <w:ind w:left="720"/>
        <w:rPr>
          <w:rFonts w:cs="Arial"/>
        </w:rPr>
      </w:pPr>
    </w:p>
    <w:p w14:paraId="522C1E98" w14:textId="77777777" w:rsidR="001C7059" w:rsidRPr="0088364D" w:rsidRDefault="001C7059" w:rsidP="0088364D">
      <w:pPr>
        <w:pStyle w:val="Heading3"/>
      </w:pPr>
      <w:bookmarkStart w:id="80" w:name="_Toc440981440"/>
      <w:r w:rsidRPr="0088364D">
        <w:t>where a CCG has adopted greater involvement in primary care co-commissioning, the Commissioner will usually be NHS England;</w:t>
      </w:r>
      <w:bookmarkEnd w:id="80"/>
    </w:p>
    <w:p w14:paraId="019E9141" w14:textId="77777777" w:rsidR="001C7059" w:rsidRPr="0088364D" w:rsidRDefault="001C7059" w:rsidP="0088364D">
      <w:pPr>
        <w:pStyle w:val="Heading3"/>
      </w:pPr>
      <w:bookmarkStart w:id="81" w:name="_Toc440981441"/>
      <w:r w:rsidRPr="0088364D">
        <w:t>where a CCG has adopted joint commissioning arrangements, the Commissioner will usually be NHS England and the CCG acting under the governance of the joint committee; and</w:t>
      </w:r>
      <w:bookmarkEnd w:id="81"/>
    </w:p>
    <w:p w14:paraId="3B370A89" w14:textId="77777777" w:rsidR="001C7059" w:rsidRPr="0088364D" w:rsidRDefault="001C7059" w:rsidP="0088364D">
      <w:pPr>
        <w:pStyle w:val="Heading3"/>
      </w:pPr>
      <w:bookmarkStart w:id="82" w:name="_Toc440981442"/>
      <w:r w:rsidRPr="0088364D">
        <w:t>where a CCG has adopted delegated commissioning arrangements, the Commissioner will usually be the CCG.</w:t>
      </w:r>
      <w:bookmarkEnd w:id="82"/>
    </w:p>
    <w:p w14:paraId="499BEBC8" w14:textId="77777777" w:rsidR="001C7059" w:rsidRPr="00CE0885" w:rsidRDefault="001C7059" w:rsidP="001C7059">
      <w:pPr>
        <w:spacing w:line="360" w:lineRule="auto"/>
        <w:ind w:left="1684"/>
        <w:rPr>
          <w:rFonts w:cs="Arial"/>
        </w:rPr>
      </w:pPr>
    </w:p>
    <w:p w14:paraId="7DB13DEE" w14:textId="77777777" w:rsidR="001C7059" w:rsidRPr="00CE0885" w:rsidRDefault="001C7059" w:rsidP="001C7059">
      <w:pPr>
        <w:pStyle w:val="Heading3"/>
      </w:pPr>
      <w:bookmarkStart w:id="83" w:name="_Toc440981443"/>
      <w:r w:rsidRPr="00CE0885">
        <w:t>Although CCGs may assume the role of the Commissioner for the purposes of the policies, legally NHS England retains the residual liability for the performance of primary medical care commissioning. There will be matters which have not been delegated to CCGs or are not able to be carried out by a CCG in which case the Commissioner will be NHS England.</w:t>
      </w:r>
      <w:bookmarkEnd w:id="83"/>
      <w:r w:rsidRPr="00CE0885">
        <w:t xml:space="preserve"> </w:t>
      </w:r>
    </w:p>
    <w:p w14:paraId="13A1D158" w14:textId="26DFD63E" w:rsidR="001C7059" w:rsidRPr="00CE0885" w:rsidRDefault="001C7059" w:rsidP="001C7059">
      <w:pPr>
        <w:pStyle w:val="Heading3"/>
      </w:pPr>
      <w:bookmarkStart w:id="84" w:name="_Toc440981444"/>
      <w:r w:rsidRPr="00CE0885">
        <w:t xml:space="preserve">The primary care policies that cover dental, </w:t>
      </w:r>
      <w:r w:rsidR="00C96FE9">
        <w:t xml:space="preserve">community </w:t>
      </w:r>
      <w:r w:rsidRPr="00CE0885">
        <w:t>eye health and pharmacy services retain the reference to Commissioner but for 2015/16 this is NHS England.</w:t>
      </w:r>
      <w:bookmarkEnd w:id="84"/>
      <w:r w:rsidRPr="00CE0885">
        <w:t xml:space="preserve"> </w:t>
      </w:r>
    </w:p>
    <w:p w14:paraId="41E8D670" w14:textId="77777777" w:rsidR="001C7059" w:rsidRPr="00CE0885" w:rsidRDefault="001C7059" w:rsidP="001C7059">
      <w:pPr>
        <w:pStyle w:val="Heading3"/>
      </w:pPr>
      <w:bookmarkStart w:id="85" w:name="_Toc440981445"/>
      <w:r w:rsidRPr="00CE0885">
        <w:t>Where a CCG is operating under the joint commissioning arrangements, the CCG and NHS England should review the governance arrangements to ensure each is aware of its responsibilities as Commissioner.</w:t>
      </w:r>
      <w:bookmarkEnd w:id="85"/>
    </w:p>
    <w:p w14:paraId="1C776CBE" w14:textId="77777777" w:rsidR="001C7059" w:rsidRPr="00CE0885" w:rsidRDefault="001C7059" w:rsidP="001C7059">
      <w:pPr>
        <w:spacing w:line="360" w:lineRule="auto"/>
        <w:ind w:left="720"/>
        <w:rPr>
          <w:rFonts w:cs="Arial"/>
        </w:rPr>
      </w:pPr>
    </w:p>
    <w:p w14:paraId="2C9377A3" w14:textId="77777777" w:rsidR="001C7059" w:rsidRPr="00CE0885" w:rsidRDefault="001C7059" w:rsidP="001C7059">
      <w:pPr>
        <w:pStyle w:val="Heading3"/>
      </w:pPr>
      <w:bookmarkStart w:id="86" w:name="_Toc440981446"/>
      <w:r w:rsidRPr="00CE0885">
        <w:lastRenderedPageBreak/>
        <w:t>Under delegated commissioning arrangements, a CCG will have agreed a delegation agreement with NHS England. This document will set out for what matters the CCG has decision-making responsibilities. Where the delegation agreement sets out obligations on the CCG, e.g. liaising with NHS England in relation to managing disputes, the relevant primary medical policy refers to the delegation agreement and highlights relevant points.</w:t>
      </w:r>
      <w:bookmarkEnd w:id="86"/>
      <w:r w:rsidRPr="00CE0885">
        <w:t xml:space="preserve"> </w:t>
      </w:r>
    </w:p>
    <w:p w14:paraId="30616E0D" w14:textId="77777777" w:rsidR="001C7059" w:rsidRPr="00CE0885" w:rsidRDefault="001C7059" w:rsidP="001C7059">
      <w:pPr>
        <w:spacing w:line="360" w:lineRule="auto"/>
        <w:rPr>
          <w:rFonts w:cs="Arial"/>
        </w:rPr>
      </w:pPr>
    </w:p>
    <w:p w14:paraId="24C7A74A" w14:textId="77777777" w:rsidR="001C7059" w:rsidRPr="00CE0885" w:rsidRDefault="001C7059" w:rsidP="001C7059">
      <w:pPr>
        <w:pStyle w:val="Heading3"/>
        <w:rPr>
          <w:b/>
          <w:lang w:eastAsia="en-GB"/>
        </w:rPr>
      </w:pPr>
      <w:bookmarkStart w:id="87" w:name="_Toc440981447"/>
      <w:r w:rsidRPr="00CE0885">
        <w:rPr>
          <w:lang w:eastAsia="en-GB"/>
        </w:rPr>
        <w:t>Equality and Health Inequalities</w:t>
      </w:r>
      <w:bookmarkEnd w:id="87"/>
      <w:r w:rsidRPr="00CE0885">
        <w:rPr>
          <w:lang w:eastAsia="en-GB"/>
        </w:rPr>
        <w:t>:</w:t>
      </w:r>
    </w:p>
    <w:p w14:paraId="1A698F10" w14:textId="77777777" w:rsidR="001C7059" w:rsidRPr="009055A7" w:rsidRDefault="001C7059" w:rsidP="001C7059">
      <w:pPr>
        <w:spacing w:line="360" w:lineRule="auto"/>
        <w:ind w:left="720"/>
        <w:rPr>
          <w:rFonts w:cs="Arial"/>
        </w:rPr>
      </w:pPr>
    </w:p>
    <w:p w14:paraId="5EA20FBC" w14:textId="77777777" w:rsidR="001C7059" w:rsidRPr="00CE0885" w:rsidRDefault="001C7059" w:rsidP="001C7059">
      <w:pPr>
        <w:pStyle w:val="Heading3"/>
      </w:pPr>
      <w:bookmarkStart w:id="88" w:name="_Toc440981448"/>
      <w:r w:rsidRPr="009055A7">
        <w:t xml:space="preserve">Clinical Commissioning Groups (CCGs) and NHS England have legal duties in respect of equality and health inequalities.  Supporting guidance has been issued within the </w:t>
      </w:r>
      <w:hyperlink r:id="rId20" w:history="1">
        <w:r w:rsidRPr="00CE0885">
          <w:rPr>
            <w:rStyle w:val="Hyperlink"/>
            <w:rFonts w:cs="Arial"/>
            <w:color w:val="auto"/>
            <w:szCs w:val="24"/>
          </w:rPr>
          <w:t>2017-2019 Planning and Contracting Guidance</w:t>
        </w:r>
      </w:hyperlink>
      <w:r w:rsidRPr="009055A7">
        <w:t xml:space="preserve">, </w:t>
      </w:r>
      <w:hyperlink r:id="rId21" w:history="1">
        <w:r w:rsidRPr="00CE0885">
          <w:rPr>
            <w:rStyle w:val="Hyperlink"/>
            <w:rFonts w:cs="Arial"/>
            <w:color w:val="auto"/>
          </w:rPr>
          <w:t>Guidance for NHS Commissioners on equality and health inequalities legal duties</w:t>
        </w:r>
      </w:hyperlink>
      <w:r w:rsidRPr="009055A7">
        <w:t xml:space="preserve">.  A number of data and analysis tools are published by </w:t>
      </w:r>
      <w:hyperlink r:id="rId22" w:anchor="health-inequalities" w:history="1">
        <w:r w:rsidRPr="00CE0885">
          <w:rPr>
            <w:rStyle w:val="Hyperlink"/>
            <w:rFonts w:cs="Arial"/>
            <w:color w:val="auto"/>
            <w:szCs w:val="24"/>
          </w:rPr>
          <w:t>Public Health England</w:t>
        </w:r>
      </w:hyperlink>
      <w:r w:rsidRPr="009055A7">
        <w:t xml:space="preserve"> (e.g. the Inequalities Calculation Tool). In the commissioning and operational implementation of primary medical services due regard should be given to these duties.  Further detail is also provided in the nex</w:t>
      </w:r>
      <w:r w:rsidRPr="00CE0885">
        <w:t>t section.</w:t>
      </w:r>
      <w:bookmarkEnd w:id="88"/>
    </w:p>
    <w:p w14:paraId="0F383A08" w14:textId="0A427E9C" w:rsidR="001C7059" w:rsidRPr="0015247B" w:rsidRDefault="001C7059" w:rsidP="0015247B">
      <w:r>
        <w:br w:type="page"/>
      </w:r>
    </w:p>
    <w:p w14:paraId="3E5B9FEA" w14:textId="7FE1A9B3" w:rsidR="0015247B" w:rsidRDefault="0015247B" w:rsidP="0015247B">
      <w:pPr>
        <w:pStyle w:val="Heading1"/>
      </w:pPr>
      <w:bookmarkStart w:id="89" w:name="_Toc498495315"/>
      <w:r w:rsidRPr="0015247B">
        <w:t>General Duties of NHS England (including addressing health inequalities)</w:t>
      </w:r>
      <w:bookmarkEnd w:id="89"/>
    </w:p>
    <w:p w14:paraId="0A537F26" w14:textId="77777777" w:rsidR="0015247B" w:rsidRDefault="0015247B" w:rsidP="0015247B"/>
    <w:p w14:paraId="7FACDDDF" w14:textId="77777777" w:rsidR="00DB7F92" w:rsidRPr="00DB7F92" w:rsidRDefault="00DB7F92" w:rsidP="00DB7F92">
      <w:pPr>
        <w:pStyle w:val="Heading2"/>
        <w:rPr>
          <w:lang w:eastAsia="en-GB"/>
        </w:rPr>
      </w:pPr>
      <w:bookmarkStart w:id="90" w:name="_Toc440981449"/>
      <w:bookmarkStart w:id="91" w:name="_Toc498495316"/>
      <w:r w:rsidRPr="00DB7F92">
        <w:rPr>
          <w:lang w:eastAsia="en-GB"/>
        </w:rPr>
        <w:t>Introduction</w:t>
      </w:r>
      <w:bookmarkEnd w:id="90"/>
      <w:bookmarkEnd w:id="91"/>
    </w:p>
    <w:p w14:paraId="1FE471A9" w14:textId="77777777" w:rsidR="00DB7F92" w:rsidRPr="00DB7F92" w:rsidRDefault="00DB7F92" w:rsidP="00C07707">
      <w:pPr>
        <w:pStyle w:val="Heading3"/>
        <w:rPr>
          <w:lang w:eastAsia="en-GB"/>
        </w:rPr>
      </w:pPr>
      <w:bookmarkStart w:id="92" w:name="_Toc440981450"/>
      <w:r w:rsidRPr="00DB7F92">
        <w:rPr>
          <w:lang w:eastAsia="en-GB"/>
        </w:rPr>
        <w:t>This</w:t>
      </w:r>
      <w:r w:rsidRPr="00DB7F92">
        <w:rPr>
          <w:spacing w:val="27"/>
          <w:lang w:eastAsia="en-GB"/>
        </w:rPr>
        <w:t xml:space="preserve"> </w:t>
      </w:r>
      <w:r w:rsidRPr="00DB7F92">
        <w:rPr>
          <w:lang w:eastAsia="en-GB"/>
        </w:rPr>
        <w:t>chapter</w:t>
      </w:r>
      <w:r w:rsidRPr="00DB7F92">
        <w:rPr>
          <w:spacing w:val="26"/>
          <w:lang w:eastAsia="en-GB"/>
        </w:rPr>
        <w:t xml:space="preserve"> </w:t>
      </w:r>
      <w:r w:rsidRPr="00DB7F92">
        <w:rPr>
          <w:lang w:eastAsia="en-GB"/>
        </w:rPr>
        <w:t>outlines</w:t>
      </w:r>
      <w:r w:rsidRPr="00DB7F92">
        <w:rPr>
          <w:spacing w:val="27"/>
          <w:lang w:eastAsia="en-GB"/>
        </w:rPr>
        <w:t xml:space="preserve"> </w:t>
      </w:r>
      <w:r w:rsidRPr="00DB7F92">
        <w:rPr>
          <w:lang w:eastAsia="en-GB"/>
        </w:rPr>
        <w:t>the general</w:t>
      </w:r>
      <w:r w:rsidRPr="00DB7F92">
        <w:rPr>
          <w:spacing w:val="26"/>
          <w:lang w:eastAsia="en-GB"/>
        </w:rPr>
        <w:t xml:space="preserve"> </w:t>
      </w:r>
      <w:r w:rsidRPr="00DB7F92">
        <w:rPr>
          <w:lang w:eastAsia="en-GB"/>
        </w:rPr>
        <w:t>duties</w:t>
      </w:r>
      <w:r w:rsidRPr="00DB7F92">
        <w:rPr>
          <w:spacing w:val="27"/>
          <w:lang w:eastAsia="en-GB"/>
        </w:rPr>
        <w:t xml:space="preserve"> </w:t>
      </w:r>
      <w:r w:rsidRPr="00DB7F92">
        <w:rPr>
          <w:lang w:eastAsia="en-GB"/>
        </w:rPr>
        <w:t>that</w:t>
      </w:r>
      <w:r w:rsidRPr="00DB7F92">
        <w:rPr>
          <w:spacing w:val="27"/>
          <w:lang w:eastAsia="en-GB"/>
        </w:rPr>
        <w:t xml:space="preserve"> NHS England </w:t>
      </w:r>
      <w:r w:rsidRPr="00DB7F92">
        <w:rPr>
          <w:lang w:eastAsia="en-GB"/>
        </w:rPr>
        <w:t>must</w:t>
      </w:r>
      <w:r w:rsidRPr="00DB7F92">
        <w:rPr>
          <w:spacing w:val="27"/>
          <w:lang w:eastAsia="en-GB"/>
        </w:rPr>
        <w:t xml:space="preserve"> </w:t>
      </w:r>
      <w:r w:rsidRPr="00DB7F92">
        <w:rPr>
          <w:lang w:eastAsia="en-GB"/>
        </w:rPr>
        <w:t>comply</w:t>
      </w:r>
      <w:r w:rsidRPr="00DB7F92">
        <w:rPr>
          <w:spacing w:val="52"/>
          <w:w w:val="99"/>
          <w:lang w:eastAsia="en-GB"/>
        </w:rPr>
        <w:t xml:space="preserve"> </w:t>
      </w:r>
      <w:r w:rsidRPr="00DB7F92">
        <w:rPr>
          <w:lang w:eastAsia="en-GB"/>
        </w:rPr>
        <w:t>with</w:t>
      </w:r>
      <w:r w:rsidRPr="00DB7F92">
        <w:rPr>
          <w:spacing w:val="9"/>
          <w:lang w:eastAsia="en-GB"/>
        </w:rPr>
        <w:t xml:space="preserve"> </w:t>
      </w:r>
      <w:r w:rsidRPr="00DB7F92">
        <w:rPr>
          <w:lang w:eastAsia="en-GB"/>
        </w:rPr>
        <w:t>that</w:t>
      </w:r>
      <w:r w:rsidRPr="00DB7F92">
        <w:rPr>
          <w:spacing w:val="10"/>
          <w:lang w:eastAsia="en-GB"/>
        </w:rPr>
        <w:t xml:space="preserve"> </w:t>
      </w:r>
      <w:r w:rsidRPr="00DB7F92">
        <w:rPr>
          <w:lang w:eastAsia="en-GB"/>
        </w:rPr>
        <w:t>are</w:t>
      </w:r>
      <w:r w:rsidRPr="00DB7F92">
        <w:rPr>
          <w:spacing w:val="10"/>
          <w:lang w:eastAsia="en-GB"/>
        </w:rPr>
        <w:t xml:space="preserve"> </w:t>
      </w:r>
      <w:r w:rsidRPr="00DB7F92">
        <w:rPr>
          <w:lang w:eastAsia="en-GB"/>
        </w:rPr>
        <w:t>likely</w:t>
      </w:r>
      <w:r w:rsidRPr="00DB7F92">
        <w:rPr>
          <w:spacing w:val="10"/>
          <w:lang w:eastAsia="en-GB"/>
        </w:rPr>
        <w:t xml:space="preserve"> </w:t>
      </w:r>
      <w:r w:rsidRPr="00DB7F92">
        <w:rPr>
          <w:spacing w:val="1"/>
          <w:lang w:eastAsia="en-GB"/>
        </w:rPr>
        <w:t>to</w:t>
      </w:r>
      <w:r w:rsidRPr="00DB7F92">
        <w:rPr>
          <w:spacing w:val="9"/>
          <w:lang w:eastAsia="en-GB"/>
        </w:rPr>
        <w:t xml:space="preserve"> </w:t>
      </w:r>
      <w:r w:rsidRPr="00DB7F92">
        <w:rPr>
          <w:lang w:eastAsia="en-GB"/>
        </w:rPr>
        <w:t>affect</w:t>
      </w:r>
      <w:r w:rsidRPr="00DB7F92">
        <w:rPr>
          <w:spacing w:val="9"/>
          <w:lang w:eastAsia="en-GB"/>
        </w:rPr>
        <w:t xml:space="preserve"> </w:t>
      </w:r>
      <w:r w:rsidRPr="00DB7F92">
        <w:rPr>
          <w:lang w:eastAsia="en-GB"/>
        </w:rPr>
        <w:t>the</w:t>
      </w:r>
      <w:r w:rsidRPr="00DB7F92">
        <w:rPr>
          <w:spacing w:val="11"/>
          <w:lang w:eastAsia="en-GB"/>
        </w:rPr>
        <w:t xml:space="preserve"> </w:t>
      </w:r>
      <w:r w:rsidRPr="00DB7F92">
        <w:rPr>
          <w:lang w:eastAsia="en-GB"/>
        </w:rPr>
        <w:t>decisions</w:t>
      </w:r>
      <w:r w:rsidRPr="00DB7F92">
        <w:rPr>
          <w:spacing w:val="12"/>
          <w:lang w:eastAsia="en-GB"/>
        </w:rPr>
        <w:t xml:space="preserve"> it </w:t>
      </w:r>
      <w:r w:rsidRPr="00DB7F92">
        <w:rPr>
          <w:lang w:eastAsia="en-GB"/>
        </w:rPr>
        <w:t>takes</w:t>
      </w:r>
      <w:r w:rsidRPr="00DB7F92">
        <w:rPr>
          <w:spacing w:val="11"/>
          <w:lang w:eastAsia="en-GB"/>
        </w:rPr>
        <w:t xml:space="preserve"> </w:t>
      </w:r>
      <w:r w:rsidRPr="00DB7F92">
        <w:rPr>
          <w:lang w:eastAsia="en-GB"/>
        </w:rPr>
        <w:t>regarding</w:t>
      </w:r>
      <w:r w:rsidRPr="00DB7F92">
        <w:rPr>
          <w:spacing w:val="10"/>
          <w:lang w:eastAsia="en-GB"/>
        </w:rPr>
        <w:t xml:space="preserve"> </w:t>
      </w:r>
      <w:r w:rsidRPr="00DB7F92">
        <w:rPr>
          <w:lang w:eastAsia="en-GB"/>
        </w:rPr>
        <w:t>the</w:t>
      </w:r>
      <w:r w:rsidRPr="00DB7F92">
        <w:rPr>
          <w:spacing w:val="11"/>
          <w:lang w:eastAsia="en-GB"/>
        </w:rPr>
        <w:t xml:space="preserve"> </w:t>
      </w:r>
      <w:r w:rsidRPr="00DB7F92">
        <w:rPr>
          <w:lang w:eastAsia="en-GB"/>
        </w:rPr>
        <w:t>provision</w:t>
      </w:r>
      <w:r w:rsidRPr="00DB7F92">
        <w:rPr>
          <w:spacing w:val="75"/>
          <w:lang w:eastAsia="en-GB"/>
        </w:rPr>
        <w:t xml:space="preserve"> </w:t>
      </w:r>
      <w:r w:rsidRPr="00DB7F92">
        <w:rPr>
          <w:lang w:eastAsia="en-GB"/>
        </w:rPr>
        <w:t>of</w:t>
      </w:r>
      <w:r w:rsidRPr="00DB7F92">
        <w:rPr>
          <w:spacing w:val="-6"/>
          <w:lang w:eastAsia="en-GB"/>
        </w:rPr>
        <w:t xml:space="preserve"> </w:t>
      </w:r>
      <w:r w:rsidRPr="00DB7F92">
        <w:rPr>
          <w:lang w:eastAsia="en-GB"/>
        </w:rPr>
        <w:t>primary</w:t>
      </w:r>
      <w:r w:rsidRPr="00DB7F92">
        <w:rPr>
          <w:spacing w:val="-7"/>
          <w:lang w:eastAsia="en-GB"/>
        </w:rPr>
        <w:t xml:space="preserve"> </w:t>
      </w:r>
      <w:r w:rsidRPr="00DB7F92">
        <w:rPr>
          <w:lang w:eastAsia="en-GB"/>
        </w:rPr>
        <w:t>care.</w:t>
      </w:r>
    </w:p>
    <w:p w14:paraId="19E9252E" w14:textId="6741F976" w:rsidR="00DB7F92" w:rsidRPr="00DB7F92" w:rsidRDefault="00DB7F92" w:rsidP="00C07707">
      <w:pPr>
        <w:pStyle w:val="Heading3"/>
        <w:rPr>
          <w:lang w:eastAsia="en-GB"/>
        </w:rPr>
      </w:pPr>
      <w:r w:rsidRPr="00DB7F92">
        <w:rPr>
          <w:lang w:eastAsia="en-GB"/>
        </w:rPr>
        <w:t xml:space="preserve">CCGs carrying out co-commissioning under delegated authority do so on behalf of NHS England.  Such CCGs need to comply with NHS England's legal duties when doing this – this is set out in the co-commissioning Delegation Agreement.  </w:t>
      </w:r>
      <w:r w:rsidR="00BC5F9C" w:rsidRPr="00DB7F92">
        <w:rPr>
          <w:lang w:eastAsia="en-GB"/>
        </w:rPr>
        <w:t>Therefore,</w:t>
      </w:r>
      <w:r w:rsidRPr="00DB7F92">
        <w:rPr>
          <w:lang w:eastAsia="en-GB"/>
        </w:rPr>
        <w:t xml:space="preserve"> this chapter is also relevant to co-commissioning CCGs.</w:t>
      </w:r>
    </w:p>
    <w:p w14:paraId="204425D0" w14:textId="77777777" w:rsidR="00DB7F92" w:rsidRPr="00DB7F92" w:rsidRDefault="00DB7F92" w:rsidP="00C07707">
      <w:pPr>
        <w:pStyle w:val="Heading3"/>
        <w:rPr>
          <w:lang w:eastAsia="en-GB"/>
        </w:rPr>
      </w:pPr>
      <w:r w:rsidRPr="00DB7F92">
        <w:rPr>
          <w:lang w:eastAsia="en-GB"/>
        </w:rPr>
        <w:t>In many instances the duties placed on NHS England are mirrored by similar duties placed on CCGs.  Where this is the case we have highlighted the equivalent CCG duty.  However, this note does not cover any further CCG duties that apply only to CCGs and not to NHS England.  In this chapter "commissioners" refers to NHS England and any CCGs carrying out co-commissioning.</w:t>
      </w:r>
    </w:p>
    <w:p w14:paraId="716B56B4" w14:textId="77777777" w:rsidR="00DB7F92" w:rsidRPr="00DB7F92" w:rsidRDefault="00DB7F92" w:rsidP="00C07707">
      <w:pPr>
        <w:pStyle w:val="Heading3"/>
        <w:rPr>
          <w:lang w:eastAsia="en-GB"/>
        </w:rPr>
      </w:pPr>
      <w:r w:rsidRPr="00DB7F92">
        <w:rPr>
          <w:lang w:eastAsia="en-GB"/>
        </w:rPr>
        <w:t>There</w:t>
      </w:r>
      <w:r w:rsidRPr="00DB7F92">
        <w:rPr>
          <w:spacing w:val="59"/>
          <w:lang w:eastAsia="en-GB"/>
        </w:rPr>
        <w:t xml:space="preserve"> </w:t>
      </w:r>
      <w:r w:rsidRPr="00DB7F92">
        <w:rPr>
          <w:lang w:eastAsia="en-GB"/>
        </w:rPr>
        <w:t>are</w:t>
      </w:r>
      <w:r w:rsidRPr="00DB7F92">
        <w:rPr>
          <w:spacing w:val="60"/>
          <w:lang w:eastAsia="en-GB"/>
        </w:rPr>
        <w:t xml:space="preserve"> </w:t>
      </w:r>
      <w:r w:rsidRPr="00DB7F92">
        <w:rPr>
          <w:lang w:eastAsia="en-GB"/>
        </w:rPr>
        <w:t>many general</w:t>
      </w:r>
      <w:r w:rsidRPr="00DB7F92">
        <w:rPr>
          <w:spacing w:val="61"/>
          <w:lang w:eastAsia="en-GB"/>
        </w:rPr>
        <w:t xml:space="preserve"> </w:t>
      </w:r>
      <w:r w:rsidRPr="00DB7F92">
        <w:rPr>
          <w:lang w:eastAsia="en-GB"/>
        </w:rPr>
        <w:t>duties</w:t>
      </w:r>
      <w:r w:rsidRPr="00DB7F92">
        <w:rPr>
          <w:spacing w:val="60"/>
          <w:lang w:eastAsia="en-GB"/>
        </w:rPr>
        <w:t xml:space="preserve"> </w:t>
      </w:r>
      <w:r w:rsidRPr="00DB7F92">
        <w:rPr>
          <w:lang w:eastAsia="en-GB"/>
        </w:rPr>
        <w:t>on</w:t>
      </w:r>
      <w:r w:rsidRPr="00DB7F92">
        <w:rPr>
          <w:spacing w:val="61"/>
          <w:lang w:eastAsia="en-GB"/>
        </w:rPr>
        <w:t xml:space="preserve"> </w:t>
      </w:r>
      <w:r w:rsidRPr="00DB7F92">
        <w:rPr>
          <w:lang w:eastAsia="en-GB"/>
        </w:rPr>
        <w:t>commissioners. It</w:t>
      </w:r>
      <w:r w:rsidRPr="00DB7F92">
        <w:rPr>
          <w:spacing w:val="60"/>
          <w:lang w:eastAsia="en-GB"/>
        </w:rPr>
        <w:t xml:space="preserve"> </w:t>
      </w:r>
      <w:r w:rsidRPr="00DB7F92">
        <w:rPr>
          <w:lang w:eastAsia="en-GB"/>
        </w:rPr>
        <w:t>is</w:t>
      </w:r>
      <w:r w:rsidRPr="00DB7F92">
        <w:rPr>
          <w:spacing w:val="61"/>
          <w:lang w:eastAsia="en-GB"/>
        </w:rPr>
        <w:t xml:space="preserve"> </w:t>
      </w:r>
      <w:r w:rsidRPr="00DB7F92">
        <w:rPr>
          <w:lang w:eastAsia="en-GB"/>
        </w:rPr>
        <w:t>important</w:t>
      </w:r>
      <w:r w:rsidRPr="00DB7F92">
        <w:rPr>
          <w:spacing w:val="61"/>
          <w:lang w:eastAsia="en-GB"/>
        </w:rPr>
        <w:t xml:space="preserve"> </w:t>
      </w:r>
      <w:r w:rsidRPr="00DB7F92">
        <w:rPr>
          <w:lang w:eastAsia="en-GB"/>
        </w:rPr>
        <w:t>that</w:t>
      </w:r>
      <w:r w:rsidRPr="00DB7F92">
        <w:rPr>
          <w:spacing w:val="47"/>
          <w:w w:val="99"/>
          <w:lang w:eastAsia="en-GB"/>
        </w:rPr>
        <w:t xml:space="preserve"> </w:t>
      </w:r>
      <w:r w:rsidRPr="00DB7F92">
        <w:rPr>
          <w:lang w:eastAsia="en-GB"/>
        </w:rPr>
        <w:t>decision makers</w:t>
      </w:r>
      <w:r w:rsidRPr="00DB7F92">
        <w:rPr>
          <w:spacing w:val="32"/>
          <w:lang w:eastAsia="en-GB"/>
        </w:rPr>
        <w:t xml:space="preserve"> </w:t>
      </w:r>
      <w:r w:rsidRPr="00DB7F92">
        <w:rPr>
          <w:lang w:eastAsia="en-GB"/>
        </w:rPr>
        <w:t>are</w:t>
      </w:r>
      <w:r w:rsidRPr="00DB7F92">
        <w:rPr>
          <w:spacing w:val="33"/>
          <w:lang w:eastAsia="en-GB"/>
        </w:rPr>
        <w:t xml:space="preserve"> </w:t>
      </w:r>
      <w:r w:rsidRPr="00DB7F92">
        <w:rPr>
          <w:lang w:eastAsia="en-GB"/>
        </w:rPr>
        <w:t>familiar</w:t>
      </w:r>
      <w:r w:rsidRPr="00DB7F92">
        <w:rPr>
          <w:spacing w:val="32"/>
          <w:lang w:eastAsia="en-GB"/>
        </w:rPr>
        <w:t xml:space="preserve"> </w:t>
      </w:r>
      <w:r w:rsidRPr="00DB7F92">
        <w:rPr>
          <w:lang w:eastAsia="en-GB"/>
        </w:rPr>
        <w:t>with</w:t>
      </w:r>
      <w:r w:rsidRPr="00DB7F92">
        <w:rPr>
          <w:spacing w:val="32"/>
          <w:lang w:eastAsia="en-GB"/>
        </w:rPr>
        <w:t xml:space="preserve"> </w:t>
      </w:r>
      <w:r w:rsidRPr="00DB7F92">
        <w:rPr>
          <w:spacing w:val="32"/>
          <w:u w:val="single"/>
          <w:lang w:eastAsia="en-GB"/>
        </w:rPr>
        <w:t>all</w:t>
      </w:r>
      <w:r w:rsidRPr="00DB7F92">
        <w:rPr>
          <w:spacing w:val="32"/>
          <w:lang w:eastAsia="en-GB"/>
        </w:rPr>
        <w:t xml:space="preserve"> </w:t>
      </w:r>
      <w:r w:rsidRPr="00DB7F92">
        <w:rPr>
          <w:lang w:eastAsia="en-GB"/>
        </w:rPr>
        <w:t>these duties</w:t>
      </w:r>
      <w:r w:rsidRPr="00DB7F92">
        <w:rPr>
          <w:spacing w:val="32"/>
          <w:lang w:eastAsia="en-GB"/>
        </w:rPr>
        <w:t xml:space="preserve"> </w:t>
      </w:r>
      <w:r w:rsidRPr="00DB7F92">
        <w:rPr>
          <w:lang w:eastAsia="en-GB"/>
        </w:rPr>
        <w:t>because</w:t>
      </w:r>
      <w:r w:rsidRPr="00DB7F92">
        <w:rPr>
          <w:spacing w:val="33"/>
          <w:lang w:eastAsia="en-GB"/>
        </w:rPr>
        <w:t xml:space="preserve"> </w:t>
      </w:r>
      <w:r w:rsidRPr="00DB7F92">
        <w:rPr>
          <w:lang w:eastAsia="en-GB"/>
        </w:rPr>
        <w:t>if</w:t>
      </w:r>
      <w:r w:rsidRPr="00DB7F92">
        <w:rPr>
          <w:spacing w:val="31"/>
          <w:lang w:eastAsia="en-GB"/>
        </w:rPr>
        <w:t xml:space="preserve"> </w:t>
      </w:r>
      <w:r w:rsidRPr="00DB7F92">
        <w:rPr>
          <w:lang w:eastAsia="en-GB"/>
        </w:rPr>
        <w:t>a</w:t>
      </w:r>
      <w:r w:rsidRPr="00DB7F92">
        <w:rPr>
          <w:spacing w:val="34"/>
          <w:lang w:eastAsia="en-GB"/>
        </w:rPr>
        <w:t xml:space="preserve"> </w:t>
      </w:r>
      <w:r w:rsidRPr="00DB7F92">
        <w:rPr>
          <w:lang w:eastAsia="en-GB"/>
        </w:rPr>
        <w:t>duty</w:t>
      </w:r>
      <w:r w:rsidRPr="00DB7F92">
        <w:rPr>
          <w:spacing w:val="32"/>
          <w:lang w:eastAsia="en-GB"/>
        </w:rPr>
        <w:t xml:space="preserve"> </w:t>
      </w:r>
      <w:r w:rsidRPr="00DB7F92">
        <w:rPr>
          <w:lang w:eastAsia="en-GB"/>
        </w:rPr>
        <w:t>has</w:t>
      </w:r>
      <w:r w:rsidRPr="00DB7F92">
        <w:rPr>
          <w:spacing w:val="34"/>
          <w:lang w:eastAsia="en-GB"/>
        </w:rPr>
        <w:t xml:space="preserve"> </w:t>
      </w:r>
      <w:r w:rsidRPr="00DB7F92">
        <w:rPr>
          <w:lang w:eastAsia="en-GB"/>
        </w:rPr>
        <w:t>not</w:t>
      </w:r>
      <w:r w:rsidRPr="00DB7F92">
        <w:rPr>
          <w:spacing w:val="45"/>
          <w:w w:val="99"/>
          <w:lang w:eastAsia="en-GB"/>
        </w:rPr>
        <w:t xml:space="preserve"> </w:t>
      </w:r>
      <w:r w:rsidRPr="00DB7F92">
        <w:rPr>
          <w:lang w:eastAsia="en-GB"/>
        </w:rPr>
        <w:t>been</w:t>
      </w:r>
      <w:r w:rsidRPr="00DB7F92">
        <w:rPr>
          <w:spacing w:val="8"/>
          <w:lang w:eastAsia="en-GB"/>
        </w:rPr>
        <w:t xml:space="preserve"> </w:t>
      </w:r>
      <w:r w:rsidRPr="00DB7F92">
        <w:rPr>
          <w:lang w:eastAsia="en-GB"/>
        </w:rPr>
        <w:t>complied</w:t>
      </w:r>
      <w:r w:rsidRPr="00DB7F92">
        <w:rPr>
          <w:spacing w:val="7"/>
          <w:lang w:eastAsia="en-GB"/>
        </w:rPr>
        <w:t xml:space="preserve"> </w:t>
      </w:r>
      <w:r w:rsidRPr="00DB7F92">
        <w:rPr>
          <w:lang w:eastAsia="en-GB"/>
        </w:rPr>
        <w:t>with</w:t>
      </w:r>
      <w:r w:rsidRPr="00DB7F92">
        <w:rPr>
          <w:spacing w:val="8"/>
          <w:lang w:eastAsia="en-GB"/>
        </w:rPr>
        <w:t xml:space="preserve"> </w:t>
      </w:r>
      <w:r w:rsidRPr="00DB7F92">
        <w:rPr>
          <w:lang w:eastAsia="en-GB"/>
        </w:rPr>
        <w:t>when</w:t>
      </w:r>
      <w:r w:rsidRPr="00DB7F92">
        <w:rPr>
          <w:spacing w:val="6"/>
          <w:lang w:eastAsia="en-GB"/>
        </w:rPr>
        <w:t xml:space="preserve"> </w:t>
      </w:r>
      <w:r w:rsidRPr="00DB7F92">
        <w:rPr>
          <w:lang w:eastAsia="en-GB"/>
        </w:rPr>
        <w:t>a</w:t>
      </w:r>
      <w:r w:rsidRPr="00DB7F92">
        <w:rPr>
          <w:spacing w:val="8"/>
          <w:lang w:eastAsia="en-GB"/>
        </w:rPr>
        <w:t xml:space="preserve"> </w:t>
      </w:r>
      <w:r w:rsidRPr="00DB7F92">
        <w:rPr>
          <w:lang w:eastAsia="en-GB"/>
        </w:rPr>
        <w:t>decision</w:t>
      </w:r>
      <w:r w:rsidRPr="00DB7F92">
        <w:rPr>
          <w:spacing w:val="8"/>
          <w:lang w:eastAsia="en-GB"/>
        </w:rPr>
        <w:t xml:space="preserve"> </w:t>
      </w:r>
      <w:r w:rsidRPr="00DB7F92">
        <w:rPr>
          <w:lang w:eastAsia="en-GB"/>
        </w:rPr>
        <w:t>is</w:t>
      </w:r>
      <w:r w:rsidRPr="00DB7F92">
        <w:rPr>
          <w:spacing w:val="7"/>
          <w:lang w:eastAsia="en-GB"/>
        </w:rPr>
        <w:t xml:space="preserve"> </w:t>
      </w:r>
      <w:r w:rsidRPr="00DB7F92">
        <w:rPr>
          <w:lang w:eastAsia="en-GB"/>
        </w:rPr>
        <w:t>taken,</w:t>
      </w:r>
      <w:r w:rsidRPr="00DB7F92">
        <w:rPr>
          <w:spacing w:val="6"/>
          <w:lang w:eastAsia="en-GB"/>
        </w:rPr>
        <w:t xml:space="preserve"> </w:t>
      </w:r>
      <w:r w:rsidRPr="00DB7F92">
        <w:rPr>
          <w:lang w:eastAsia="en-GB"/>
        </w:rPr>
        <w:t>that</w:t>
      </w:r>
      <w:r w:rsidRPr="00DB7F92">
        <w:rPr>
          <w:spacing w:val="6"/>
          <w:lang w:eastAsia="en-GB"/>
        </w:rPr>
        <w:t xml:space="preserve"> </w:t>
      </w:r>
      <w:r w:rsidRPr="00DB7F92">
        <w:rPr>
          <w:lang w:eastAsia="en-GB"/>
        </w:rPr>
        <w:t>decision</w:t>
      </w:r>
      <w:r w:rsidRPr="00DB7F92">
        <w:rPr>
          <w:spacing w:val="8"/>
          <w:lang w:eastAsia="en-GB"/>
        </w:rPr>
        <w:t xml:space="preserve"> </w:t>
      </w:r>
      <w:r w:rsidRPr="00DB7F92">
        <w:rPr>
          <w:lang w:eastAsia="en-GB"/>
        </w:rPr>
        <w:t>can</w:t>
      </w:r>
      <w:r w:rsidRPr="00DB7F92">
        <w:rPr>
          <w:spacing w:val="6"/>
          <w:lang w:eastAsia="en-GB"/>
        </w:rPr>
        <w:t xml:space="preserve"> </w:t>
      </w:r>
      <w:r w:rsidRPr="00DB7F92">
        <w:rPr>
          <w:lang w:eastAsia="en-GB"/>
        </w:rPr>
        <w:t>be</w:t>
      </w:r>
      <w:r w:rsidRPr="00DB7F92">
        <w:rPr>
          <w:spacing w:val="62"/>
          <w:w w:val="99"/>
          <w:lang w:eastAsia="en-GB"/>
        </w:rPr>
        <w:t xml:space="preserve"> </w:t>
      </w:r>
      <w:r w:rsidRPr="00DB7F92">
        <w:rPr>
          <w:lang w:eastAsia="en-GB"/>
        </w:rPr>
        <w:t>challenged</w:t>
      </w:r>
      <w:r w:rsidRPr="00DB7F92">
        <w:rPr>
          <w:spacing w:val="-4"/>
          <w:lang w:eastAsia="en-GB"/>
        </w:rPr>
        <w:t xml:space="preserve"> </w:t>
      </w:r>
      <w:r w:rsidRPr="00DB7F92">
        <w:rPr>
          <w:lang w:eastAsia="en-GB"/>
        </w:rPr>
        <w:t>in</w:t>
      </w:r>
      <w:r w:rsidRPr="00DB7F92">
        <w:rPr>
          <w:spacing w:val="-5"/>
          <w:lang w:eastAsia="en-GB"/>
        </w:rPr>
        <w:t xml:space="preserve"> </w:t>
      </w:r>
      <w:r w:rsidRPr="00DB7F92">
        <w:rPr>
          <w:lang w:eastAsia="en-GB"/>
        </w:rPr>
        <w:t>the</w:t>
      </w:r>
      <w:r w:rsidRPr="00DB7F92">
        <w:rPr>
          <w:spacing w:val="-3"/>
          <w:lang w:eastAsia="en-GB"/>
        </w:rPr>
        <w:t xml:space="preserve"> </w:t>
      </w:r>
      <w:r w:rsidRPr="00DB7F92">
        <w:rPr>
          <w:lang w:eastAsia="en-GB"/>
        </w:rPr>
        <w:t>courts</w:t>
      </w:r>
      <w:r w:rsidRPr="00DB7F92">
        <w:rPr>
          <w:spacing w:val="-4"/>
          <w:lang w:eastAsia="en-GB"/>
        </w:rPr>
        <w:t xml:space="preserve"> </w:t>
      </w:r>
      <w:r w:rsidRPr="00DB7F92">
        <w:rPr>
          <w:lang w:eastAsia="en-GB"/>
        </w:rPr>
        <w:t>on</w:t>
      </w:r>
      <w:r w:rsidRPr="00DB7F92">
        <w:rPr>
          <w:spacing w:val="-5"/>
          <w:lang w:eastAsia="en-GB"/>
        </w:rPr>
        <w:t xml:space="preserve"> </w:t>
      </w:r>
      <w:r w:rsidRPr="00DB7F92">
        <w:rPr>
          <w:lang w:eastAsia="en-GB"/>
        </w:rPr>
        <w:t>the</w:t>
      </w:r>
      <w:r w:rsidRPr="00DB7F92">
        <w:rPr>
          <w:spacing w:val="-3"/>
          <w:lang w:eastAsia="en-GB"/>
        </w:rPr>
        <w:t xml:space="preserve"> </w:t>
      </w:r>
      <w:r w:rsidRPr="00DB7F92">
        <w:rPr>
          <w:lang w:eastAsia="en-GB"/>
        </w:rPr>
        <w:t>grounds</w:t>
      </w:r>
      <w:r w:rsidRPr="00DB7F92">
        <w:rPr>
          <w:spacing w:val="-4"/>
          <w:lang w:eastAsia="en-GB"/>
        </w:rPr>
        <w:t xml:space="preserve"> </w:t>
      </w:r>
      <w:r w:rsidRPr="00DB7F92">
        <w:rPr>
          <w:lang w:eastAsia="en-GB"/>
        </w:rPr>
        <w:t>that</w:t>
      </w:r>
      <w:r w:rsidRPr="00DB7F92">
        <w:rPr>
          <w:spacing w:val="-4"/>
          <w:lang w:eastAsia="en-GB"/>
        </w:rPr>
        <w:t xml:space="preserve"> </w:t>
      </w:r>
      <w:r w:rsidRPr="00DB7F92">
        <w:rPr>
          <w:lang w:eastAsia="en-GB"/>
        </w:rPr>
        <w:t>it</w:t>
      </w:r>
      <w:r w:rsidRPr="00DB7F92">
        <w:rPr>
          <w:spacing w:val="-2"/>
          <w:lang w:eastAsia="en-GB"/>
        </w:rPr>
        <w:t xml:space="preserve"> </w:t>
      </w:r>
      <w:r w:rsidRPr="00DB7F92">
        <w:rPr>
          <w:lang w:eastAsia="en-GB"/>
        </w:rPr>
        <w:t>is</w:t>
      </w:r>
      <w:r w:rsidRPr="00DB7F92">
        <w:rPr>
          <w:spacing w:val="-5"/>
          <w:lang w:eastAsia="en-GB"/>
        </w:rPr>
        <w:t xml:space="preserve"> </w:t>
      </w:r>
      <w:r w:rsidRPr="00DB7F92">
        <w:rPr>
          <w:lang w:eastAsia="en-GB"/>
        </w:rPr>
        <w:t>unlawful.</w:t>
      </w:r>
    </w:p>
    <w:p w14:paraId="3DEA35CC" w14:textId="77777777" w:rsidR="00DB7F92" w:rsidRPr="00DB7F92" w:rsidRDefault="00DB7F92" w:rsidP="00C07707">
      <w:pPr>
        <w:pStyle w:val="Heading3"/>
        <w:rPr>
          <w:lang w:eastAsia="en-GB"/>
        </w:rPr>
      </w:pPr>
      <w:r w:rsidRPr="00DB7F92">
        <w:rPr>
          <w:lang w:eastAsia="en-GB"/>
        </w:rPr>
        <w:t>This</w:t>
      </w:r>
      <w:r w:rsidRPr="00DB7F92">
        <w:rPr>
          <w:spacing w:val="4"/>
          <w:lang w:eastAsia="en-GB"/>
        </w:rPr>
        <w:t xml:space="preserve"> </w:t>
      </w:r>
      <w:r w:rsidRPr="00DB7F92">
        <w:rPr>
          <w:lang w:eastAsia="en-GB"/>
        </w:rPr>
        <w:t>guidance</w:t>
      </w:r>
      <w:r w:rsidRPr="00DB7F92">
        <w:rPr>
          <w:spacing w:val="4"/>
          <w:lang w:eastAsia="en-GB"/>
        </w:rPr>
        <w:t xml:space="preserve"> </w:t>
      </w:r>
      <w:r w:rsidRPr="00DB7F92">
        <w:rPr>
          <w:lang w:eastAsia="en-GB"/>
        </w:rPr>
        <w:t>looks</w:t>
      </w:r>
      <w:r w:rsidRPr="00DB7F92">
        <w:rPr>
          <w:spacing w:val="4"/>
          <w:lang w:eastAsia="en-GB"/>
        </w:rPr>
        <w:t xml:space="preserve"> </w:t>
      </w:r>
      <w:r w:rsidRPr="00DB7F92">
        <w:rPr>
          <w:lang w:eastAsia="en-GB"/>
        </w:rPr>
        <w:t>at</w:t>
      </w:r>
      <w:r w:rsidRPr="00DB7F92">
        <w:rPr>
          <w:spacing w:val="6"/>
          <w:lang w:eastAsia="en-GB"/>
        </w:rPr>
        <w:t xml:space="preserve"> </w:t>
      </w:r>
      <w:r w:rsidRPr="00DB7F92">
        <w:rPr>
          <w:lang w:eastAsia="en-GB"/>
        </w:rPr>
        <w:t>the</w:t>
      </w:r>
      <w:r w:rsidRPr="00DB7F92">
        <w:rPr>
          <w:spacing w:val="2"/>
          <w:lang w:eastAsia="en-GB"/>
        </w:rPr>
        <w:t xml:space="preserve"> general </w:t>
      </w:r>
      <w:r w:rsidRPr="00DB7F92">
        <w:rPr>
          <w:lang w:eastAsia="en-GB"/>
        </w:rPr>
        <w:t>duties</w:t>
      </w:r>
      <w:r w:rsidRPr="00DB7F92">
        <w:rPr>
          <w:spacing w:val="4"/>
          <w:lang w:eastAsia="en-GB"/>
        </w:rPr>
        <w:t xml:space="preserve"> </w:t>
      </w:r>
      <w:r w:rsidRPr="00DB7F92">
        <w:rPr>
          <w:lang w:eastAsia="en-GB"/>
        </w:rPr>
        <w:t>that</w:t>
      </w:r>
      <w:r w:rsidRPr="00DB7F92">
        <w:rPr>
          <w:spacing w:val="6"/>
          <w:lang w:eastAsia="en-GB"/>
        </w:rPr>
        <w:t xml:space="preserve"> </w:t>
      </w:r>
      <w:r w:rsidRPr="00DB7F92">
        <w:rPr>
          <w:lang w:eastAsia="en-GB"/>
        </w:rPr>
        <w:t>commissioners</w:t>
      </w:r>
      <w:r w:rsidRPr="00DB7F92">
        <w:rPr>
          <w:spacing w:val="4"/>
          <w:lang w:eastAsia="en-GB"/>
        </w:rPr>
        <w:t xml:space="preserve"> </w:t>
      </w:r>
      <w:r w:rsidRPr="00DB7F92">
        <w:rPr>
          <w:lang w:eastAsia="en-GB"/>
        </w:rPr>
        <w:t>are</w:t>
      </w:r>
      <w:r w:rsidRPr="00DB7F92">
        <w:rPr>
          <w:spacing w:val="4"/>
          <w:lang w:eastAsia="en-GB"/>
        </w:rPr>
        <w:t xml:space="preserve"> </w:t>
      </w:r>
      <w:r w:rsidRPr="00DB7F92">
        <w:rPr>
          <w:lang w:eastAsia="en-GB"/>
        </w:rPr>
        <w:t>required</w:t>
      </w:r>
      <w:r w:rsidRPr="00DB7F92">
        <w:rPr>
          <w:spacing w:val="3"/>
          <w:lang w:eastAsia="en-GB"/>
        </w:rPr>
        <w:t xml:space="preserve"> </w:t>
      </w:r>
      <w:r w:rsidRPr="00DB7F92">
        <w:rPr>
          <w:lang w:eastAsia="en-GB"/>
        </w:rPr>
        <w:t>to</w:t>
      </w:r>
      <w:r w:rsidRPr="00DB7F92">
        <w:rPr>
          <w:spacing w:val="51"/>
          <w:lang w:eastAsia="en-GB"/>
        </w:rPr>
        <w:t xml:space="preserve"> </w:t>
      </w:r>
      <w:r w:rsidRPr="00DB7F92">
        <w:rPr>
          <w:lang w:eastAsia="en-GB"/>
        </w:rPr>
        <w:t>comply with that are most applicable to primary care,</w:t>
      </w:r>
      <w:r w:rsidRPr="00DB7F92">
        <w:rPr>
          <w:spacing w:val="2"/>
          <w:lang w:eastAsia="en-GB"/>
        </w:rPr>
        <w:t xml:space="preserve"> </w:t>
      </w:r>
      <w:r w:rsidRPr="00DB7F92">
        <w:rPr>
          <w:lang w:eastAsia="en-GB"/>
        </w:rPr>
        <w:t>providing</w:t>
      </w:r>
      <w:r w:rsidRPr="00DB7F92">
        <w:rPr>
          <w:spacing w:val="3"/>
          <w:lang w:eastAsia="en-GB"/>
        </w:rPr>
        <w:t xml:space="preserve"> </w:t>
      </w:r>
      <w:r w:rsidRPr="00DB7F92">
        <w:rPr>
          <w:lang w:eastAsia="en-GB"/>
        </w:rPr>
        <w:t>examples</w:t>
      </w:r>
      <w:r w:rsidRPr="00DB7F92">
        <w:rPr>
          <w:spacing w:val="60"/>
          <w:w w:val="99"/>
          <w:lang w:eastAsia="en-GB"/>
        </w:rPr>
        <w:t xml:space="preserve"> </w:t>
      </w:r>
      <w:r w:rsidRPr="00DB7F92">
        <w:rPr>
          <w:lang w:eastAsia="en-GB"/>
        </w:rPr>
        <w:t>to</w:t>
      </w:r>
      <w:r w:rsidRPr="00DB7F92">
        <w:rPr>
          <w:spacing w:val="-6"/>
          <w:lang w:eastAsia="en-GB"/>
        </w:rPr>
        <w:t xml:space="preserve"> </w:t>
      </w:r>
      <w:r w:rsidRPr="00DB7F92">
        <w:rPr>
          <w:lang w:eastAsia="en-GB"/>
        </w:rPr>
        <w:t>illustrate</w:t>
      </w:r>
      <w:r w:rsidRPr="00DB7F92">
        <w:rPr>
          <w:spacing w:val="-5"/>
          <w:lang w:eastAsia="en-GB"/>
        </w:rPr>
        <w:t xml:space="preserve"> </w:t>
      </w:r>
      <w:r w:rsidRPr="00DB7F92">
        <w:rPr>
          <w:lang w:eastAsia="en-GB"/>
        </w:rPr>
        <w:t>how</w:t>
      </w:r>
      <w:r w:rsidRPr="00DB7F92">
        <w:rPr>
          <w:spacing w:val="-5"/>
          <w:lang w:eastAsia="en-GB"/>
        </w:rPr>
        <w:t xml:space="preserve"> </w:t>
      </w:r>
      <w:r w:rsidRPr="00DB7F92">
        <w:rPr>
          <w:lang w:eastAsia="en-GB"/>
        </w:rPr>
        <w:t>they</w:t>
      </w:r>
      <w:r w:rsidRPr="00DB7F92">
        <w:rPr>
          <w:spacing w:val="-4"/>
          <w:lang w:eastAsia="en-GB"/>
        </w:rPr>
        <w:t xml:space="preserve"> </w:t>
      </w:r>
      <w:r w:rsidRPr="00DB7F92">
        <w:rPr>
          <w:lang w:eastAsia="en-GB"/>
        </w:rPr>
        <w:t>might</w:t>
      </w:r>
      <w:r w:rsidRPr="00DB7F92">
        <w:rPr>
          <w:spacing w:val="-5"/>
          <w:lang w:eastAsia="en-GB"/>
        </w:rPr>
        <w:t xml:space="preserve"> </w:t>
      </w:r>
      <w:r w:rsidRPr="00DB7F92">
        <w:rPr>
          <w:lang w:eastAsia="en-GB"/>
        </w:rPr>
        <w:t>affect</w:t>
      </w:r>
      <w:r w:rsidRPr="00DB7F92">
        <w:rPr>
          <w:spacing w:val="-5"/>
          <w:lang w:eastAsia="en-GB"/>
        </w:rPr>
        <w:t xml:space="preserve"> </w:t>
      </w:r>
      <w:r w:rsidRPr="00DB7F92">
        <w:rPr>
          <w:lang w:eastAsia="en-GB"/>
        </w:rPr>
        <w:t>decision</w:t>
      </w:r>
      <w:r w:rsidRPr="00DB7F92">
        <w:rPr>
          <w:spacing w:val="-5"/>
          <w:lang w:eastAsia="en-GB"/>
        </w:rPr>
        <w:t xml:space="preserve"> </w:t>
      </w:r>
      <w:r w:rsidRPr="00DB7F92">
        <w:rPr>
          <w:lang w:eastAsia="en-GB"/>
        </w:rPr>
        <w:t xml:space="preserve">making. </w:t>
      </w:r>
    </w:p>
    <w:p w14:paraId="5D1E9711" w14:textId="77777777" w:rsidR="00DB7F92" w:rsidRPr="00DB7F92" w:rsidRDefault="00DB7F92" w:rsidP="00C07707">
      <w:pPr>
        <w:pStyle w:val="Heading3"/>
        <w:rPr>
          <w:lang w:eastAsia="en-GB"/>
        </w:rPr>
      </w:pPr>
      <w:r w:rsidRPr="00DB7F92">
        <w:rPr>
          <w:lang w:eastAsia="en-GB"/>
        </w:rPr>
        <w:t xml:space="preserve">Reference should be made to the previous chapter on delegated commissioning arrangements for primary care. As has been noted, under such arrangements NHS England retains the legal responsibility for compliance with the duties in respect of primary medical care commissioning. Accordingly, NHS England will require assurance that its statutory functions are being discharged effectively by a CCG. This underlines the importance of compliance with the duties outlined in this chapter. </w:t>
      </w:r>
    </w:p>
    <w:p w14:paraId="79965DB6" w14:textId="77777777" w:rsidR="00DB7F92" w:rsidRPr="00DB7F92" w:rsidRDefault="00DB7F92" w:rsidP="00C07707">
      <w:pPr>
        <w:pStyle w:val="Heading3"/>
        <w:rPr>
          <w:lang w:eastAsia="en-GB"/>
        </w:rPr>
      </w:pPr>
      <w:r w:rsidRPr="00DB7F92">
        <w:rPr>
          <w:spacing w:val="10"/>
          <w:lang w:eastAsia="en-GB"/>
        </w:rPr>
        <w:t xml:space="preserve">In the text box below </w:t>
      </w:r>
      <w:r w:rsidRPr="00DB7F92">
        <w:rPr>
          <w:lang w:eastAsia="en-GB"/>
        </w:rPr>
        <w:t>is</w:t>
      </w:r>
      <w:r w:rsidRPr="00DB7F92">
        <w:rPr>
          <w:spacing w:val="11"/>
          <w:lang w:eastAsia="en-GB"/>
        </w:rPr>
        <w:t xml:space="preserve"> </w:t>
      </w:r>
      <w:r w:rsidRPr="00DB7F92">
        <w:rPr>
          <w:lang w:eastAsia="en-GB"/>
        </w:rPr>
        <w:t>a</w:t>
      </w:r>
      <w:r w:rsidRPr="00DB7F92">
        <w:rPr>
          <w:spacing w:val="10"/>
          <w:lang w:eastAsia="en-GB"/>
        </w:rPr>
        <w:t xml:space="preserve"> </w:t>
      </w:r>
      <w:r w:rsidRPr="00DB7F92">
        <w:rPr>
          <w:lang w:eastAsia="en-GB"/>
        </w:rPr>
        <w:t>summary</w:t>
      </w:r>
      <w:r w:rsidRPr="00DB7F92">
        <w:rPr>
          <w:spacing w:val="10"/>
          <w:lang w:eastAsia="en-GB"/>
        </w:rPr>
        <w:t xml:space="preserve"> </w:t>
      </w:r>
      <w:r w:rsidRPr="00DB7F92">
        <w:rPr>
          <w:lang w:eastAsia="en-GB"/>
        </w:rPr>
        <w:t>of</w:t>
      </w:r>
      <w:r w:rsidRPr="00DB7F92">
        <w:rPr>
          <w:spacing w:val="6"/>
          <w:lang w:eastAsia="en-GB"/>
        </w:rPr>
        <w:t xml:space="preserve"> </w:t>
      </w:r>
      <w:r w:rsidRPr="00DB7F92">
        <w:rPr>
          <w:lang w:eastAsia="en-GB"/>
        </w:rPr>
        <w:t>the</w:t>
      </w:r>
      <w:r w:rsidRPr="00DB7F92">
        <w:rPr>
          <w:spacing w:val="9"/>
          <w:lang w:eastAsia="en-GB"/>
        </w:rPr>
        <w:t xml:space="preserve"> </w:t>
      </w:r>
      <w:r w:rsidRPr="00DB7F92">
        <w:rPr>
          <w:lang w:eastAsia="en-GB"/>
        </w:rPr>
        <w:t>duties</w:t>
      </w:r>
      <w:r w:rsidRPr="00DB7F92">
        <w:rPr>
          <w:spacing w:val="11"/>
          <w:lang w:eastAsia="en-GB"/>
        </w:rPr>
        <w:t xml:space="preserve"> </w:t>
      </w:r>
      <w:r w:rsidRPr="00DB7F92">
        <w:rPr>
          <w:lang w:eastAsia="en-GB"/>
        </w:rPr>
        <w:t>that</w:t>
      </w:r>
      <w:r w:rsidRPr="00DB7F92">
        <w:rPr>
          <w:spacing w:val="11"/>
          <w:lang w:eastAsia="en-GB"/>
        </w:rPr>
        <w:t xml:space="preserve"> </w:t>
      </w:r>
      <w:r w:rsidRPr="00DB7F92">
        <w:rPr>
          <w:lang w:eastAsia="en-GB"/>
        </w:rPr>
        <w:t>are</w:t>
      </w:r>
      <w:r w:rsidRPr="00DB7F92">
        <w:rPr>
          <w:spacing w:val="9"/>
          <w:lang w:eastAsia="en-GB"/>
        </w:rPr>
        <w:t xml:space="preserve"> </w:t>
      </w:r>
      <w:r w:rsidRPr="00DB7F92">
        <w:rPr>
          <w:lang w:eastAsia="en-GB"/>
        </w:rPr>
        <w:t>covered</w:t>
      </w:r>
      <w:r w:rsidRPr="00DB7F92">
        <w:rPr>
          <w:spacing w:val="9"/>
          <w:lang w:eastAsia="en-GB"/>
        </w:rPr>
        <w:t xml:space="preserve"> </w:t>
      </w:r>
      <w:r w:rsidRPr="00DB7F92">
        <w:rPr>
          <w:lang w:eastAsia="en-GB"/>
        </w:rPr>
        <w:t>by</w:t>
      </w:r>
      <w:r w:rsidRPr="00DB7F92">
        <w:rPr>
          <w:spacing w:val="10"/>
          <w:lang w:eastAsia="en-GB"/>
        </w:rPr>
        <w:t xml:space="preserve"> </w:t>
      </w:r>
      <w:r w:rsidRPr="00DB7F92">
        <w:rPr>
          <w:lang w:eastAsia="en-GB"/>
        </w:rPr>
        <w:t>this</w:t>
      </w:r>
      <w:r w:rsidRPr="00DB7F92">
        <w:rPr>
          <w:spacing w:val="11"/>
          <w:lang w:eastAsia="en-GB"/>
        </w:rPr>
        <w:t xml:space="preserve"> </w:t>
      </w:r>
      <w:r w:rsidRPr="00DB7F92">
        <w:rPr>
          <w:lang w:eastAsia="en-GB"/>
        </w:rPr>
        <w:t>chapter.</w:t>
      </w:r>
      <w:r w:rsidRPr="00DB7F92">
        <w:rPr>
          <w:spacing w:val="21"/>
          <w:lang w:eastAsia="en-GB"/>
        </w:rPr>
        <w:t xml:space="preserve"> </w:t>
      </w:r>
      <w:r w:rsidRPr="00DB7F92">
        <w:rPr>
          <w:lang w:eastAsia="en-GB"/>
        </w:rPr>
        <w:t>The</w:t>
      </w:r>
      <w:r w:rsidRPr="00DB7F92">
        <w:rPr>
          <w:spacing w:val="33"/>
          <w:lang w:eastAsia="en-GB"/>
        </w:rPr>
        <w:t xml:space="preserve"> </w:t>
      </w:r>
      <w:r w:rsidRPr="00DB7F92">
        <w:rPr>
          <w:lang w:eastAsia="en-GB"/>
        </w:rPr>
        <w:t>chapter (from 2 onwards)</w:t>
      </w:r>
      <w:r w:rsidRPr="00DB7F92">
        <w:rPr>
          <w:spacing w:val="59"/>
          <w:w w:val="99"/>
          <w:lang w:eastAsia="en-GB"/>
        </w:rPr>
        <w:t xml:space="preserve"> </w:t>
      </w:r>
      <w:r w:rsidRPr="00DB7F92">
        <w:rPr>
          <w:lang w:eastAsia="en-GB"/>
        </w:rPr>
        <w:t>goes</w:t>
      </w:r>
      <w:r w:rsidRPr="00DB7F92">
        <w:rPr>
          <w:spacing w:val="-4"/>
          <w:lang w:eastAsia="en-GB"/>
        </w:rPr>
        <w:t xml:space="preserve"> </w:t>
      </w:r>
      <w:r w:rsidRPr="00DB7F92">
        <w:rPr>
          <w:lang w:eastAsia="en-GB"/>
        </w:rPr>
        <w:t>on</w:t>
      </w:r>
      <w:r w:rsidRPr="00DB7F92">
        <w:rPr>
          <w:spacing w:val="-4"/>
          <w:lang w:eastAsia="en-GB"/>
        </w:rPr>
        <w:t xml:space="preserve"> </w:t>
      </w:r>
      <w:r w:rsidRPr="00DB7F92">
        <w:rPr>
          <w:lang w:eastAsia="en-GB"/>
        </w:rPr>
        <w:t>to</w:t>
      </w:r>
      <w:r w:rsidRPr="00DB7F92">
        <w:rPr>
          <w:spacing w:val="-2"/>
          <w:lang w:eastAsia="en-GB"/>
        </w:rPr>
        <w:t xml:space="preserve"> </w:t>
      </w:r>
      <w:r w:rsidRPr="00DB7F92">
        <w:rPr>
          <w:lang w:eastAsia="en-GB"/>
        </w:rPr>
        <w:t>look at each</w:t>
      </w:r>
      <w:r w:rsidRPr="00DB7F92">
        <w:rPr>
          <w:spacing w:val="-2"/>
          <w:lang w:eastAsia="en-GB"/>
        </w:rPr>
        <w:t xml:space="preserve"> </w:t>
      </w:r>
      <w:r w:rsidRPr="00DB7F92">
        <w:rPr>
          <w:lang w:eastAsia="en-GB"/>
        </w:rPr>
        <w:t>of</w:t>
      </w:r>
      <w:r w:rsidRPr="00DB7F92">
        <w:rPr>
          <w:spacing w:val="-2"/>
          <w:lang w:eastAsia="en-GB"/>
        </w:rPr>
        <w:t xml:space="preserve"> </w:t>
      </w:r>
      <w:r w:rsidRPr="00DB7F92">
        <w:rPr>
          <w:lang w:eastAsia="en-GB"/>
        </w:rPr>
        <w:t>the</w:t>
      </w:r>
      <w:r w:rsidRPr="00DB7F92">
        <w:rPr>
          <w:spacing w:val="-2"/>
          <w:lang w:eastAsia="en-GB"/>
        </w:rPr>
        <w:t xml:space="preserve"> </w:t>
      </w:r>
      <w:r w:rsidRPr="00DB7F92">
        <w:rPr>
          <w:lang w:eastAsia="en-GB"/>
        </w:rPr>
        <w:t>duties in</w:t>
      </w:r>
      <w:r w:rsidRPr="00DB7F92">
        <w:rPr>
          <w:spacing w:val="-4"/>
          <w:lang w:eastAsia="en-GB"/>
        </w:rPr>
        <w:t xml:space="preserve"> </w:t>
      </w:r>
      <w:r w:rsidRPr="00DB7F92">
        <w:rPr>
          <w:lang w:eastAsia="en-GB"/>
        </w:rPr>
        <w:t>more</w:t>
      </w:r>
      <w:r w:rsidRPr="00DB7F92">
        <w:rPr>
          <w:spacing w:val="-3"/>
          <w:lang w:eastAsia="en-GB"/>
        </w:rPr>
        <w:t xml:space="preserve"> </w:t>
      </w:r>
      <w:r w:rsidRPr="00DB7F92">
        <w:rPr>
          <w:lang w:eastAsia="en-GB"/>
        </w:rPr>
        <w:t xml:space="preserve">detail. A table of contents is also provided for clarity. </w:t>
      </w:r>
    </w:p>
    <w:p w14:paraId="1895F699" w14:textId="77777777" w:rsidR="00DB7F92" w:rsidRPr="00DB7F92" w:rsidRDefault="00DB7F92" w:rsidP="00DB7F92">
      <w:pPr>
        <w:widowControl w:val="0"/>
        <w:tabs>
          <w:tab w:val="left" w:pos="1559"/>
        </w:tabs>
        <w:spacing w:before="198" w:after="120"/>
        <w:ind w:left="838" w:right="115"/>
        <w:jc w:val="both"/>
        <w:rPr>
          <w:rFonts w:cs="Arial"/>
          <w:bCs w:val="0"/>
          <w:spacing w:val="-1"/>
          <w:sz w:val="20"/>
          <w:szCs w:val="20"/>
          <w:lang w:eastAsia="en-GB"/>
        </w:rPr>
      </w:pPr>
    </w:p>
    <w:tbl>
      <w:tblPr>
        <w:tblStyle w:val="TableGrid1"/>
        <w:tblW w:w="0" w:type="auto"/>
        <w:tblInd w:w="838" w:type="dxa"/>
        <w:tblLook w:val="04A0" w:firstRow="1" w:lastRow="0" w:firstColumn="1" w:lastColumn="0" w:noHBand="0" w:noVBand="1"/>
        <w:tblCaption w:val="Contents"/>
        <w:tblDescription w:val="Contents"/>
      </w:tblPr>
      <w:tblGrid>
        <w:gridCol w:w="2105"/>
        <w:gridCol w:w="6583"/>
      </w:tblGrid>
      <w:tr w:rsidR="00DB7F92" w:rsidRPr="00DB7F92" w14:paraId="4E627E35" w14:textId="77777777" w:rsidTr="00BD5B3E">
        <w:trPr>
          <w:tblHeader/>
        </w:trPr>
        <w:tc>
          <w:tcPr>
            <w:tcW w:w="8688" w:type="dxa"/>
            <w:gridSpan w:val="2"/>
          </w:tcPr>
          <w:p w14:paraId="4C21F937" w14:textId="77777777" w:rsidR="00DB7F92" w:rsidRPr="00DB7F92" w:rsidRDefault="00DB7F92" w:rsidP="00DB7F92">
            <w:pPr>
              <w:widowControl w:val="0"/>
              <w:tabs>
                <w:tab w:val="left" w:pos="1559"/>
              </w:tabs>
              <w:spacing w:before="198" w:after="120"/>
              <w:ind w:right="115"/>
              <w:jc w:val="both"/>
              <w:rPr>
                <w:rFonts w:cs="Arial"/>
                <w:b/>
                <w:bCs w:val="0"/>
                <w:spacing w:val="-1"/>
                <w:sz w:val="20"/>
                <w:szCs w:val="20"/>
                <w:lang w:eastAsia="en-GB"/>
              </w:rPr>
            </w:pPr>
            <w:r w:rsidRPr="00DB7F92">
              <w:rPr>
                <w:rFonts w:cs="Arial"/>
                <w:b/>
                <w:bCs w:val="0"/>
                <w:spacing w:val="-1"/>
                <w:sz w:val="20"/>
                <w:szCs w:val="20"/>
                <w:lang w:eastAsia="en-GB"/>
              </w:rPr>
              <w:lastRenderedPageBreak/>
              <w:t xml:space="preserve">Table of contents </w:t>
            </w:r>
          </w:p>
        </w:tc>
      </w:tr>
      <w:tr w:rsidR="00DB7F92" w:rsidRPr="00DB7F92" w14:paraId="6C2DB730" w14:textId="77777777" w:rsidTr="00DB7F92">
        <w:tc>
          <w:tcPr>
            <w:tcW w:w="2105" w:type="dxa"/>
          </w:tcPr>
          <w:p w14:paraId="33909F2E" w14:textId="49830AAD" w:rsidR="00DB7F92" w:rsidRPr="00272DF9" w:rsidRDefault="00DB7F92" w:rsidP="00782D1D">
            <w:pPr>
              <w:widowControl w:val="0"/>
              <w:tabs>
                <w:tab w:val="left" w:pos="1559"/>
              </w:tabs>
              <w:spacing w:before="198" w:after="120"/>
              <w:ind w:right="115"/>
              <w:jc w:val="both"/>
              <w:rPr>
                <w:rFonts w:cs="Arial"/>
                <w:bCs w:val="0"/>
                <w:spacing w:val="-1"/>
                <w:sz w:val="20"/>
                <w:szCs w:val="20"/>
                <w:lang w:eastAsia="en-GB"/>
              </w:rPr>
            </w:pPr>
            <w:r w:rsidRPr="0000534D">
              <w:rPr>
                <w:rFonts w:cs="Arial"/>
                <w:bCs w:val="0"/>
                <w:spacing w:val="-1"/>
                <w:sz w:val="20"/>
                <w:szCs w:val="20"/>
                <w:lang w:eastAsia="en-GB"/>
              </w:rPr>
              <w:t>Page [</w:t>
            </w:r>
            <w:r w:rsidR="0088364D" w:rsidRPr="0000534D">
              <w:rPr>
                <w:rFonts w:cs="Arial"/>
                <w:bCs w:val="0"/>
                <w:spacing w:val="-1"/>
                <w:sz w:val="20"/>
                <w:szCs w:val="20"/>
                <w:lang w:eastAsia="en-GB"/>
              </w:rPr>
              <w:t>2</w:t>
            </w:r>
            <w:r w:rsidR="00782D1D" w:rsidRPr="0000534D">
              <w:rPr>
                <w:rFonts w:cs="Arial"/>
                <w:bCs w:val="0"/>
                <w:spacing w:val="-1"/>
                <w:sz w:val="20"/>
                <w:szCs w:val="20"/>
                <w:lang w:eastAsia="en-GB"/>
              </w:rPr>
              <w:t>6</w:t>
            </w:r>
            <w:r w:rsidRPr="0000534D">
              <w:rPr>
                <w:rFonts w:cs="Arial"/>
                <w:bCs w:val="0"/>
                <w:spacing w:val="-1"/>
                <w:sz w:val="20"/>
                <w:szCs w:val="20"/>
                <w:lang w:eastAsia="en-GB"/>
              </w:rPr>
              <w:t>] – [</w:t>
            </w:r>
            <w:r w:rsidR="0088364D" w:rsidRPr="0000534D">
              <w:rPr>
                <w:rFonts w:cs="Arial"/>
                <w:bCs w:val="0"/>
                <w:spacing w:val="-1"/>
                <w:sz w:val="20"/>
                <w:szCs w:val="20"/>
                <w:lang w:eastAsia="en-GB"/>
              </w:rPr>
              <w:t>2</w:t>
            </w:r>
            <w:r w:rsidR="00782D1D" w:rsidRPr="0000534D">
              <w:rPr>
                <w:rFonts w:cs="Arial"/>
                <w:bCs w:val="0"/>
                <w:spacing w:val="-1"/>
                <w:sz w:val="20"/>
                <w:szCs w:val="20"/>
                <w:lang w:eastAsia="en-GB"/>
              </w:rPr>
              <w:t>9</w:t>
            </w:r>
            <w:r w:rsidRPr="0000534D">
              <w:rPr>
                <w:rFonts w:cs="Arial"/>
                <w:bCs w:val="0"/>
                <w:spacing w:val="-1"/>
                <w:sz w:val="20"/>
                <w:szCs w:val="20"/>
                <w:lang w:eastAsia="en-GB"/>
              </w:rPr>
              <w:t>]</w:t>
            </w:r>
            <w:r w:rsidRPr="00272DF9">
              <w:rPr>
                <w:rFonts w:cs="Arial"/>
                <w:bCs w:val="0"/>
                <w:spacing w:val="-1"/>
                <w:sz w:val="20"/>
                <w:szCs w:val="20"/>
                <w:lang w:eastAsia="en-GB"/>
              </w:rPr>
              <w:t xml:space="preserve"> </w:t>
            </w:r>
          </w:p>
        </w:tc>
        <w:tc>
          <w:tcPr>
            <w:tcW w:w="6583" w:type="dxa"/>
          </w:tcPr>
          <w:p w14:paraId="4E377F14" w14:textId="77777777" w:rsidR="00DB7F92" w:rsidRPr="00DB7F92" w:rsidRDefault="00DB7F92" w:rsidP="00DB7F92">
            <w:pPr>
              <w:widowControl w:val="0"/>
              <w:tabs>
                <w:tab w:val="left" w:pos="1559"/>
              </w:tabs>
              <w:spacing w:before="198" w:after="120"/>
              <w:ind w:right="115"/>
              <w:jc w:val="both"/>
              <w:rPr>
                <w:rFonts w:cs="Arial"/>
                <w:b/>
                <w:bCs w:val="0"/>
                <w:spacing w:val="-1"/>
                <w:sz w:val="20"/>
                <w:szCs w:val="20"/>
                <w:lang w:eastAsia="en-GB"/>
              </w:rPr>
            </w:pPr>
            <w:r w:rsidRPr="00DB7F92">
              <w:rPr>
                <w:rFonts w:cs="Arial"/>
                <w:b/>
                <w:bCs w:val="0"/>
                <w:spacing w:val="-1"/>
                <w:sz w:val="20"/>
                <w:szCs w:val="20"/>
                <w:lang w:eastAsia="en-GB"/>
              </w:rPr>
              <w:t xml:space="preserve">Summary of duties covered by this chapter </w:t>
            </w:r>
          </w:p>
          <w:p w14:paraId="4212F42A" w14:textId="77777777" w:rsidR="00DB7F92" w:rsidRPr="00DB7F92" w:rsidRDefault="00DB7F92" w:rsidP="00DB7F92">
            <w:pPr>
              <w:widowControl w:val="0"/>
              <w:tabs>
                <w:tab w:val="left" w:pos="1559"/>
              </w:tabs>
              <w:spacing w:before="198" w:after="120"/>
              <w:ind w:right="115"/>
              <w:jc w:val="both"/>
              <w:rPr>
                <w:rFonts w:cs="Arial"/>
                <w:b/>
                <w:bCs w:val="0"/>
                <w:spacing w:val="-1"/>
                <w:sz w:val="20"/>
                <w:szCs w:val="20"/>
                <w:lang w:eastAsia="en-GB"/>
              </w:rPr>
            </w:pPr>
          </w:p>
        </w:tc>
      </w:tr>
      <w:tr w:rsidR="00DB7F92" w:rsidRPr="00DB7F92" w14:paraId="1D0435BE" w14:textId="77777777" w:rsidTr="00DB7F92">
        <w:tc>
          <w:tcPr>
            <w:tcW w:w="2105" w:type="dxa"/>
          </w:tcPr>
          <w:p w14:paraId="30D994AA" w14:textId="77777777" w:rsidR="00DB7F92" w:rsidRPr="00272DF9" w:rsidRDefault="00DB7F92" w:rsidP="00DB7F92">
            <w:pPr>
              <w:widowControl w:val="0"/>
              <w:tabs>
                <w:tab w:val="left" w:pos="1559"/>
              </w:tabs>
              <w:spacing w:before="198" w:after="120"/>
              <w:ind w:right="115"/>
              <w:jc w:val="both"/>
              <w:rPr>
                <w:rFonts w:cs="Arial"/>
                <w:bCs w:val="0"/>
                <w:spacing w:val="-1"/>
                <w:sz w:val="20"/>
                <w:szCs w:val="20"/>
                <w:lang w:eastAsia="en-GB"/>
              </w:rPr>
            </w:pPr>
          </w:p>
          <w:p w14:paraId="26290AB6" w14:textId="6B2E26B4" w:rsidR="00DB7F92" w:rsidRPr="0000534D" w:rsidRDefault="00DB7F92" w:rsidP="00DB7F92">
            <w:pPr>
              <w:widowControl w:val="0"/>
              <w:tabs>
                <w:tab w:val="left" w:pos="1559"/>
              </w:tabs>
              <w:spacing w:before="198" w:after="120"/>
              <w:ind w:right="115"/>
              <w:jc w:val="both"/>
              <w:rPr>
                <w:rFonts w:cs="Arial"/>
                <w:bCs w:val="0"/>
                <w:spacing w:val="-1"/>
                <w:sz w:val="20"/>
                <w:szCs w:val="20"/>
                <w:lang w:eastAsia="en-GB"/>
              </w:rPr>
            </w:pPr>
            <w:r w:rsidRPr="0000534D">
              <w:rPr>
                <w:rFonts w:cs="Arial"/>
                <w:bCs w:val="0"/>
                <w:spacing w:val="-1"/>
                <w:sz w:val="20"/>
                <w:szCs w:val="20"/>
                <w:lang w:eastAsia="en-GB"/>
              </w:rPr>
              <w:t>Page [</w:t>
            </w:r>
            <w:r w:rsidR="00272DF9" w:rsidRPr="0000534D">
              <w:rPr>
                <w:rFonts w:cs="Arial"/>
                <w:bCs w:val="0"/>
                <w:spacing w:val="-1"/>
                <w:sz w:val="20"/>
                <w:szCs w:val="20"/>
                <w:lang w:eastAsia="en-GB"/>
              </w:rPr>
              <w:t>30</w:t>
            </w:r>
            <w:r w:rsidRPr="0000534D">
              <w:rPr>
                <w:rFonts w:cs="Arial"/>
                <w:bCs w:val="0"/>
                <w:spacing w:val="-1"/>
                <w:sz w:val="20"/>
                <w:szCs w:val="20"/>
                <w:lang w:eastAsia="en-GB"/>
              </w:rPr>
              <w:t>] – [</w:t>
            </w:r>
            <w:r w:rsidR="00272DF9" w:rsidRPr="0000534D">
              <w:rPr>
                <w:rFonts w:cs="Arial"/>
                <w:bCs w:val="0"/>
                <w:spacing w:val="-1"/>
                <w:sz w:val="20"/>
                <w:szCs w:val="20"/>
                <w:lang w:eastAsia="en-GB"/>
              </w:rPr>
              <w:t>37</w:t>
            </w:r>
            <w:r w:rsidRPr="0000534D">
              <w:rPr>
                <w:rFonts w:cs="Arial"/>
                <w:bCs w:val="0"/>
                <w:spacing w:val="-1"/>
                <w:sz w:val="20"/>
                <w:szCs w:val="20"/>
                <w:lang w:eastAsia="en-GB"/>
              </w:rPr>
              <w:t>]</w:t>
            </w:r>
          </w:p>
          <w:p w14:paraId="0F8CB080" w14:textId="648FB310" w:rsidR="00DB7F92" w:rsidRPr="00272DF9" w:rsidRDefault="00DB7F92" w:rsidP="00272DF9">
            <w:pPr>
              <w:widowControl w:val="0"/>
              <w:tabs>
                <w:tab w:val="left" w:pos="1559"/>
              </w:tabs>
              <w:spacing w:before="198" w:after="120"/>
              <w:ind w:right="115"/>
              <w:jc w:val="both"/>
              <w:rPr>
                <w:rFonts w:cs="Arial"/>
                <w:bCs w:val="0"/>
                <w:spacing w:val="-1"/>
                <w:sz w:val="20"/>
                <w:szCs w:val="20"/>
                <w:lang w:eastAsia="en-GB"/>
              </w:rPr>
            </w:pPr>
            <w:r w:rsidRPr="0000534D">
              <w:rPr>
                <w:rFonts w:cs="Arial"/>
                <w:bCs w:val="0"/>
                <w:spacing w:val="-1"/>
                <w:sz w:val="20"/>
                <w:szCs w:val="20"/>
                <w:lang w:eastAsia="en-GB"/>
              </w:rPr>
              <w:t>Page [</w:t>
            </w:r>
            <w:r w:rsidR="00272DF9" w:rsidRPr="0000534D">
              <w:rPr>
                <w:rFonts w:cs="Arial"/>
                <w:bCs w:val="0"/>
                <w:spacing w:val="-1"/>
                <w:sz w:val="20"/>
                <w:szCs w:val="20"/>
                <w:lang w:eastAsia="en-GB"/>
              </w:rPr>
              <w:t>38</w:t>
            </w:r>
            <w:r w:rsidRPr="0000534D">
              <w:rPr>
                <w:rFonts w:cs="Arial"/>
                <w:bCs w:val="0"/>
                <w:spacing w:val="-1"/>
                <w:sz w:val="20"/>
                <w:szCs w:val="20"/>
                <w:lang w:eastAsia="en-GB"/>
              </w:rPr>
              <w:t>]</w:t>
            </w:r>
          </w:p>
        </w:tc>
        <w:tc>
          <w:tcPr>
            <w:tcW w:w="6583" w:type="dxa"/>
          </w:tcPr>
          <w:p w14:paraId="235BE3D0" w14:textId="77777777" w:rsidR="00DB7F92" w:rsidRPr="00DB7F92" w:rsidRDefault="00DB7F92" w:rsidP="00DB7F92">
            <w:pPr>
              <w:widowControl w:val="0"/>
              <w:tabs>
                <w:tab w:val="left" w:pos="1559"/>
              </w:tabs>
              <w:spacing w:before="198" w:after="120"/>
              <w:ind w:right="115"/>
              <w:jc w:val="both"/>
              <w:rPr>
                <w:rFonts w:cs="Arial"/>
                <w:b/>
                <w:bCs w:val="0"/>
                <w:spacing w:val="-1"/>
                <w:sz w:val="20"/>
                <w:szCs w:val="20"/>
                <w:lang w:eastAsia="en-GB"/>
              </w:rPr>
            </w:pPr>
            <w:r w:rsidRPr="00DB7F92">
              <w:rPr>
                <w:rFonts w:cs="Arial"/>
                <w:b/>
                <w:bCs w:val="0"/>
                <w:spacing w:val="-1"/>
                <w:sz w:val="20"/>
                <w:szCs w:val="20"/>
                <w:lang w:eastAsia="en-GB"/>
              </w:rPr>
              <w:t xml:space="preserve">Equality and Health Inequalities duties  </w:t>
            </w:r>
          </w:p>
          <w:p w14:paraId="173F56B7" w14:textId="77777777" w:rsidR="00DB7F92" w:rsidRPr="00DB7F92" w:rsidRDefault="00DB7F92" w:rsidP="00DB7F92">
            <w:pPr>
              <w:widowControl w:val="0"/>
              <w:tabs>
                <w:tab w:val="left" w:pos="1559"/>
              </w:tabs>
              <w:spacing w:before="198" w:after="120"/>
              <w:ind w:right="115"/>
              <w:jc w:val="both"/>
              <w:rPr>
                <w:rFonts w:cs="Arial"/>
                <w:bCs w:val="0"/>
                <w:spacing w:val="-1"/>
                <w:sz w:val="20"/>
                <w:szCs w:val="20"/>
                <w:lang w:eastAsia="en-GB"/>
              </w:rPr>
            </w:pPr>
            <w:r w:rsidRPr="00DB7F92">
              <w:rPr>
                <w:rFonts w:cs="Arial"/>
                <w:bCs w:val="0"/>
                <w:spacing w:val="-1"/>
                <w:sz w:val="20"/>
                <w:szCs w:val="20"/>
                <w:lang w:eastAsia="en-GB"/>
              </w:rPr>
              <w:t xml:space="preserve">a) Equality Act 2010 </w:t>
            </w:r>
          </w:p>
          <w:p w14:paraId="73EE6E23" w14:textId="77777777" w:rsidR="00DB7F92" w:rsidRPr="00DB7F92" w:rsidRDefault="00DB7F92" w:rsidP="00DB7F92">
            <w:pPr>
              <w:widowControl w:val="0"/>
              <w:tabs>
                <w:tab w:val="left" w:pos="1559"/>
              </w:tabs>
              <w:spacing w:before="198" w:after="120"/>
              <w:ind w:right="115"/>
              <w:jc w:val="both"/>
              <w:rPr>
                <w:rFonts w:cs="Arial"/>
                <w:bCs w:val="0"/>
                <w:spacing w:val="-1"/>
                <w:sz w:val="20"/>
                <w:szCs w:val="20"/>
                <w:lang w:eastAsia="en-GB"/>
              </w:rPr>
            </w:pPr>
            <w:r w:rsidRPr="00DB7F92">
              <w:rPr>
                <w:rFonts w:cs="Arial"/>
                <w:bCs w:val="0"/>
                <w:spacing w:val="-1"/>
                <w:sz w:val="20"/>
                <w:szCs w:val="20"/>
                <w:lang w:eastAsia="en-GB"/>
              </w:rPr>
              <w:t xml:space="preserve">b) NHS Act 2006 </w:t>
            </w:r>
          </w:p>
        </w:tc>
      </w:tr>
      <w:tr w:rsidR="00DB7F92" w:rsidRPr="00DB7F92" w14:paraId="6A463FE8" w14:textId="77777777" w:rsidTr="00DB7F92">
        <w:tc>
          <w:tcPr>
            <w:tcW w:w="2105" w:type="dxa"/>
          </w:tcPr>
          <w:p w14:paraId="458E8BC5" w14:textId="4C21050C" w:rsidR="00DB7F92" w:rsidRPr="0000534D" w:rsidRDefault="00DB7F92" w:rsidP="00272DF9">
            <w:pPr>
              <w:widowControl w:val="0"/>
              <w:tabs>
                <w:tab w:val="left" w:pos="1559"/>
              </w:tabs>
              <w:spacing w:before="198" w:after="120"/>
              <w:ind w:right="115"/>
              <w:jc w:val="both"/>
              <w:rPr>
                <w:rFonts w:cs="Arial"/>
                <w:bCs w:val="0"/>
                <w:spacing w:val="-1"/>
                <w:sz w:val="20"/>
                <w:szCs w:val="20"/>
                <w:lang w:eastAsia="en-GB"/>
              </w:rPr>
            </w:pPr>
            <w:r w:rsidRPr="0000534D">
              <w:rPr>
                <w:rFonts w:cs="Arial"/>
                <w:bCs w:val="0"/>
                <w:spacing w:val="-1"/>
                <w:sz w:val="20"/>
                <w:szCs w:val="20"/>
                <w:lang w:eastAsia="en-GB"/>
              </w:rPr>
              <w:t>Page [</w:t>
            </w:r>
            <w:r w:rsidR="00272DF9" w:rsidRPr="0000534D">
              <w:rPr>
                <w:rFonts w:cs="Arial"/>
                <w:bCs w:val="0"/>
                <w:spacing w:val="-1"/>
                <w:sz w:val="20"/>
                <w:szCs w:val="20"/>
                <w:lang w:eastAsia="en-GB"/>
              </w:rPr>
              <w:t>39</w:t>
            </w:r>
            <w:r w:rsidRPr="0000534D">
              <w:rPr>
                <w:rFonts w:cs="Arial"/>
                <w:bCs w:val="0"/>
                <w:spacing w:val="-1"/>
                <w:sz w:val="20"/>
                <w:szCs w:val="20"/>
                <w:lang w:eastAsia="en-GB"/>
              </w:rPr>
              <w:t>] – [</w:t>
            </w:r>
            <w:r w:rsidR="00272DF9" w:rsidRPr="0000534D">
              <w:rPr>
                <w:rFonts w:cs="Arial"/>
                <w:bCs w:val="0"/>
                <w:spacing w:val="-1"/>
                <w:sz w:val="20"/>
                <w:szCs w:val="20"/>
                <w:lang w:eastAsia="en-GB"/>
              </w:rPr>
              <w:t>57</w:t>
            </w:r>
            <w:r w:rsidRPr="0000534D">
              <w:rPr>
                <w:rFonts w:cs="Arial"/>
                <w:bCs w:val="0"/>
                <w:spacing w:val="-1"/>
                <w:sz w:val="20"/>
                <w:szCs w:val="20"/>
                <w:lang w:eastAsia="en-GB"/>
              </w:rPr>
              <w:t>]</w:t>
            </w:r>
          </w:p>
        </w:tc>
        <w:tc>
          <w:tcPr>
            <w:tcW w:w="6583" w:type="dxa"/>
          </w:tcPr>
          <w:p w14:paraId="0894E4EE" w14:textId="77777777" w:rsidR="00DB7F92" w:rsidRPr="00DB7F92" w:rsidRDefault="00DB7F92" w:rsidP="00DB7F92">
            <w:pPr>
              <w:widowControl w:val="0"/>
              <w:tabs>
                <w:tab w:val="left" w:pos="1559"/>
              </w:tabs>
              <w:spacing w:before="198" w:after="120"/>
              <w:ind w:right="115"/>
              <w:jc w:val="both"/>
              <w:rPr>
                <w:rFonts w:cs="Arial"/>
                <w:b/>
                <w:bCs w:val="0"/>
                <w:spacing w:val="-1"/>
                <w:sz w:val="20"/>
                <w:szCs w:val="20"/>
                <w:lang w:eastAsia="en-GB"/>
              </w:rPr>
            </w:pPr>
            <w:r w:rsidRPr="00DB7F92">
              <w:rPr>
                <w:rFonts w:cs="Arial"/>
                <w:b/>
                <w:bCs w:val="0"/>
                <w:spacing w:val="-1"/>
                <w:sz w:val="20"/>
                <w:szCs w:val="20"/>
                <w:lang w:eastAsia="en-GB"/>
              </w:rPr>
              <w:t>Other non-equality and health inequalities related duties</w:t>
            </w:r>
          </w:p>
          <w:p w14:paraId="531F2233" w14:textId="77777777" w:rsidR="00DB7F92" w:rsidRPr="00DB7F92" w:rsidRDefault="00DB7F92" w:rsidP="00DB7F92">
            <w:pPr>
              <w:widowControl w:val="0"/>
              <w:tabs>
                <w:tab w:val="left" w:pos="1559"/>
              </w:tabs>
              <w:spacing w:before="198" w:after="120"/>
              <w:ind w:right="115"/>
              <w:jc w:val="both"/>
              <w:rPr>
                <w:rFonts w:cs="Arial"/>
                <w:bCs w:val="0"/>
                <w:spacing w:val="-1"/>
                <w:sz w:val="20"/>
                <w:szCs w:val="20"/>
                <w:lang w:eastAsia="en-GB"/>
              </w:rPr>
            </w:pPr>
          </w:p>
          <w:p w14:paraId="6C6FF104" w14:textId="77777777" w:rsidR="00DB7F92" w:rsidRPr="00DB7F92" w:rsidRDefault="00DB7F92" w:rsidP="00DB7F92">
            <w:pPr>
              <w:rPr>
                <w:rFonts w:cs="Arial"/>
                <w:sz w:val="20"/>
                <w:szCs w:val="20"/>
              </w:rPr>
            </w:pPr>
            <w:r w:rsidRPr="00DB7F92">
              <w:rPr>
                <w:rFonts w:cs="Arial"/>
                <w:sz w:val="20"/>
                <w:szCs w:val="20"/>
              </w:rPr>
              <w:t>The "Regard Duties"</w:t>
            </w:r>
          </w:p>
          <w:p w14:paraId="1D7E1546" w14:textId="77777777" w:rsidR="00DB7F92" w:rsidRPr="00DB7F92" w:rsidRDefault="00DB7F92" w:rsidP="00DB7F92">
            <w:pPr>
              <w:widowControl w:val="0"/>
              <w:tabs>
                <w:tab w:val="left" w:pos="1559"/>
              </w:tabs>
              <w:spacing w:before="198" w:after="120"/>
              <w:ind w:left="720" w:right="115"/>
              <w:jc w:val="both"/>
              <w:rPr>
                <w:rFonts w:cs="Arial"/>
                <w:bCs w:val="0"/>
                <w:spacing w:val="-1"/>
                <w:sz w:val="20"/>
                <w:szCs w:val="20"/>
                <w:lang w:eastAsia="en-GB"/>
              </w:rPr>
            </w:pPr>
            <w:r w:rsidRPr="00DB7F92">
              <w:rPr>
                <w:rFonts w:cs="Arial"/>
                <w:bCs w:val="0"/>
                <w:spacing w:val="-1"/>
                <w:sz w:val="20"/>
                <w:szCs w:val="20"/>
                <w:lang w:eastAsia="en-GB"/>
              </w:rPr>
              <w:t>The "View To Duties"</w:t>
            </w:r>
          </w:p>
          <w:p w14:paraId="0902EAC9" w14:textId="77777777" w:rsidR="00DB7F92" w:rsidRPr="00DB7F92" w:rsidRDefault="00DB7F92" w:rsidP="00DB7F92">
            <w:pPr>
              <w:widowControl w:val="0"/>
              <w:tabs>
                <w:tab w:val="left" w:pos="1559"/>
              </w:tabs>
              <w:spacing w:before="198" w:after="120"/>
              <w:ind w:left="720" w:right="115"/>
              <w:jc w:val="both"/>
              <w:rPr>
                <w:rFonts w:cs="Arial"/>
                <w:bCs w:val="0"/>
                <w:spacing w:val="-1"/>
                <w:sz w:val="20"/>
                <w:szCs w:val="20"/>
                <w:lang w:eastAsia="en-GB"/>
              </w:rPr>
            </w:pPr>
            <w:r w:rsidRPr="00DB7F92">
              <w:rPr>
                <w:rFonts w:cs="Arial"/>
                <w:bCs w:val="0"/>
                <w:spacing w:val="-1"/>
                <w:sz w:val="20"/>
                <w:szCs w:val="20"/>
                <w:lang w:eastAsia="en-GB"/>
              </w:rPr>
              <w:t>The "Promote Duties"</w:t>
            </w:r>
          </w:p>
          <w:p w14:paraId="4FF5D804" w14:textId="77777777" w:rsidR="00DB7F92" w:rsidRPr="00DB7F92" w:rsidRDefault="00DB7F92" w:rsidP="00DB7F92">
            <w:pPr>
              <w:widowControl w:val="0"/>
              <w:tabs>
                <w:tab w:val="left" w:pos="1559"/>
              </w:tabs>
              <w:spacing w:before="198" w:after="120"/>
              <w:ind w:left="720" w:right="115"/>
              <w:jc w:val="both"/>
              <w:rPr>
                <w:rFonts w:cs="Arial"/>
                <w:bCs w:val="0"/>
                <w:spacing w:val="-1"/>
                <w:sz w:val="20"/>
                <w:szCs w:val="20"/>
                <w:lang w:eastAsia="en-GB"/>
              </w:rPr>
            </w:pPr>
            <w:r w:rsidRPr="00DB7F92">
              <w:rPr>
                <w:rFonts w:cs="Arial"/>
                <w:bCs w:val="0"/>
                <w:spacing w:val="-1"/>
                <w:sz w:val="20"/>
                <w:szCs w:val="20"/>
                <w:lang w:eastAsia="en-GB"/>
              </w:rPr>
              <w:t xml:space="preserve">The "Involvement Duty" </w:t>
            </w:r>
          </w:p>
          <w:p w14:paraId="256CF7BB" w14:textId="77777777" w:rsidR="00DB7F92" w:rsidRPr="00DB7F92" w:rsidRDefault="00DB7F92" w:rsidP="00DB7F92">
            <w:pPr>
              <w:widowControl w:val="0"/>
              <w:tabs>
                <w:tab w:val="left" w:pos="1559"/>
              </w:tabs>
              <w:spacing w:before="198" w:after="120"/>
              <w:ind w:left="720" w:right="115"/>
              <w:jc w:val="both"/>
              <w:rPr>
                <w:rFonts w:cs="Arial"/>
                <w:bCs w:val="0"/>
                <w:spacing w:val="-1"/>
                <w:sz w:val="20"/>
                <w:szCs w:val="20"/>
                <w:lang w:eastAsia="en-GB"/>
              </w:rPr>
            </w:pPr>
            <w:r w:rsidRPr="00DB7F92">
              <w:rPr>
                <w:rFonts w:cs="Arial"/>
                <w:bCs w:val="0"/>
                <w:spacing w:val="-1"/>
                <w:sz w:val="20"/>
                <w:szCs w:val="20"/>
                <w:lang w:eastAsia="en-GB"/>
              </w:rPr>
              <w:t>Duty to act fairly &amp; reasonably</w:t>
            </w:r>
          </w:p>
          <w:p w14:paraId="60689873" w14:textId="77777777" w:rsidR="00DB7F92" w:rsidRPr="00DB7F92" w:rsidRDefault="00DB7F92" w:rsidP="00DB7F92">
            <w:pPr>
              <w:widowControl w:val="0"/>
              <w:tabs>
                <w:tab w:val="left" w:pos="1559"/>
              </w:tabs>
              <w:spacing w:before="198" w:after="120"/>
              <w:ind w:left="720" w:right="115"/>
              <w:jc w:val="both"/>
              <w:rPr>
                <w:rFonts w:cs="Arial"/>
                <w:bCs w:val="0"/>
                <w:spacing w:val="-1"/>
                <w:sz w:val="20"/>
                <w:szCs w:val="20"/>
                <w:lang w:eastAsia="en-GB"/>
              </w:rPr>
            </w:pPr>
            <w:r w:rsidRPr="00DB7F92">
              <w:rPr>
                <w:rFonts w:cs="Arial"/>
                <w:bCs w:val="0"/>
                <w:spacing w:val="-1"/>
                <w:sz w:val="20"/>
                <w:szCs w:val="20"/>
                <w:lang w:eastAsia="en-GB"/>
              </w:rPr>
              <w:t>Duty to "obtain appropriate advice"</w:t>
            </w:r>
          </w:p>
          <w:p w14:paraId="27AD539D" w14:textId="77777777" w:rsidR="00DB7F92" w:rsidRPr="00DB7F92" w:rsidRDefault="00DB7F92" w:rsidP="00DB7F92">
            <w:pPr>
              <w:widowControl w:val="0"/>
              <w:tabs>
                <w:tab w:val="left" w:pos="1559"/>
              </w:tabs>
              <w:spacing w:before="198" w:after="120"/>
              <w:ind w:left="720" w:right="115"/>
              <w:jc w:val="both"/>
              <w:rPr>
                <w:rFonts w:cs="Arial"/>
                <w:bCs w:val="0"/>
                <w:spacing w:val="-1"/>
                <w:sz w:val="20"/>
                <w:szCs w:val="20"/>
                <w:lang w:eastAsia="en-GB"/>
              </w:rPr>
            </w:pPr>
            <w:r w:rsidRPr="00DB7F92">
              <w:rPr>
                <w:rFonts w:cs="Arial"/>
                <w:bCs w:val="0"/>
                <w:spacing w:val="-1"/>
                <w:sz w:val="20"/>
                <w:szCs w:val="20"/>
                <w:lang w:eastAsia="en-GB"/>
              </w:rPr>
              <w:t>Duty to exercise functions effectively</w:t>
            </w:r>
          </w:p>
          <w:p w14:paraId="3F6D6DB9" w14:textId="77777777" w:rsidR="00DB7F92" w:rsidRPr="00DB7F92" w:rsidRDefault="00DB7F92" w:rsidP="00DB7F92">
            <w:pPr>
              <w:widowControl w:val="0"/>
              <w:tabs>
                <w:tab w:val="left" w:pos="1559"/>
              </w:tabs>
              <w:spacing w:before="198" w:after="120"/>
              <w:ind w:right="115"/>
              <w:jc w:val="both"/>
              <w:rPr>
                <w:rFonts w:cs="Arial"/>
                <w:bCs w:val="0"/>
                <w:spacing w:val="-1"/>
                <w:sz w:val="20"/>
                <w:szCs w:val="20"/>
                <w:lang w:eastAsia="en-GB"/>
              </w:rPr>
            </w:pPr>
            <w:r w:rsidRPr="00DB7F92">
              <w:rPr>
                <w:rFonts w:cs="Arial"/>
                <w:bCs w:val="0"/>
                <w:spacing w:val="-1"/>
                <w:sz w:val="20"/>
                <w:szCs w:val="20"/>
                <w:lang w:eastAsia="en-GB"/>
              </w:rPr>
              <w:t>Duty not to prefer one type of provider</w:t>
            </w:r>
          </w:p>
          <w:p w14:paraId="64173B2E" w14:textId="77777777" w:rsidR="00DB7F92" w:rsidRPr="00DB7F92" w:rsidRDefault="00DB7F92" w:rsidP="00DB7F92">
            <w:pPr>
              <w:widowControl w:val="0"/>
              <w:tabs>
                <w:tab w:val="left" w:pos="1559"/>
              </w:tabs>
              <w:spacing w:before="198" w:after="120"/>
              <w:ind w:right="115"/>
              <w:jc w:val="both"/>
              <w:rPr>
                <w:rFonts w:cs="Arial"/>
                <w:bCs w:val="0"/>
                <w:spacing w:val="-1"/>
                <w:sz w:val="20"/>
                <w:szCs w:val="20"/>
                <w:lang w:eastAsia="en-GB"/>
              </w:rPr>
            </w:pPr>
          </w:p>
        </w:tc>
      </w:tr>
    </w:tbl>
    <w:p w14:paraId="240E8C36" w14:textId="77777777" w:rsidR="00DB7F92" w:rsidRPr="00DB7F92" w:rsidRDefault="00DB7F92" w:rsidP="00DB7F92">
      <w:pPr>
        <w:widowControl w:val="0"/>
        <w:tabs>
          <w:tab w:val="left" w:pos="1559"/>
        </w:tabs>
        <w:spacing w:before="198" w:after="120"/>
        <w:ind w:left="838" w:right="115"/>
        <w:jc w:val="both"/>
        <w:rPr>
          <w:rFonts w:cs="Arial"/>
          <w:bCs w:val="0"/>
          <w:spacing w:val="-1"/>
          <w:sz w:val="20"/>
          <w:szCs w:val="20"/>
          <w:lang w:eastAsia="en-GB"/>
        </w:rPr>
      </w:pPr>
    </w:p>
    <w:p w14:paraId="5D25C0CB" w14:textId="3113C643" w:rsidR="00DB7F92" w:rsidRPr="00DB7F92" w:rsidRDefault="0088364D" w:rsidP="00DB7F92">
      <w:pPr>
        <w:keepNext/>
        <w:keepLines/>
        <w:spacing w:before="186"/>
        <w:jc w:val="both"/>
        <w:outlineLvl w:val="6"/>
        <w:rPr>
          <w:rFonts w:eastAsiaTheme="majorEastAsia" w:cs="Arial"/>
          <w:i/>
          <w:iCs/>
          <w:color w:val="404040" w:themeColor="text1" w:themeTint="BF"/>
          <w:spacing w:val="-1"/>
          <w:sz w:val="20"/>
          <w:szCs w:val="20"/>
        </w:rPr>
      </w:pPr>
      <w:r>
        <w:rPr>
          <w:rFonts w:eastAsiaTheme="majorEastAsia" w:cs="Arial"/>
          <w:i/>
          <w:iCs/>
          <w:color w:val="404040" w:themeColor="text1" w:themeTint="BF"/>
          <w:spacing w:val="-1"/>
          <w:sz w:val="20"/>
          <w:szCs w:val="20"/>
        </w:rPr>
        <w:br w:type="page"/>
      </w:r>
    </w:p>
    <w:tbl>
      <w:tblPr>
        <w:tblStyle w:val="TableGrid1"/>
        <w:tblW w:w="0" w:type="auto"/>
        <w:tblInd w:w="838" w:type="dxa"/>
        <w:tblLook w:val="04A0" w:firstRow="1" w:lastRow="0" w:firstColumn="1" w:lastColumn="0" w:noHBand="0" w:noVBand="1"/>
        <w:tblCaption w:val="Summary"/>
        <w:tblDescription w:val="Summary"/>
      </w:tblPr>
      <w:tblGrid>
        <w:gridCol w:w="8688"/>
      </w:tblGrid>
      <w:tr w:rsidR="00DB7F92" w:rsidRPr="0088364D" w14:paraId="58F53EF1" w14:textId="77777777" w:rsidTr="00BD5B3E">
        <w:trPr>
          <w:tblHeader/>
        </w:trPr>
        <w:tc>
          <w:tcPr>
            <w:tcW w:w="9526" w:type="dxa"/>
          </w:tcPr>
          <w:p w14:paraId="1BFB5F14" w14:textId="77777777" w:rsidR="00970B92" w:rsidRPr="0088364D" w:rsidRDefault="00970B92" w:rsidP="00490AED">
            <w:pPr>
              <w:pStyle w:val="BodyText"/>
              <w:ind w:left="720"/>
              <w:rPr>
                <w:rFonts w:eastAsiaTheme="majorEastAsia" w:cs="Arial"/>
                <w:b/>
                <w:i/>
              </w:rPr>
            </w:pPr>
          </w:p>
          <w:p w14:paraId="0C620909" w14:textId="77777777" w:rsidR="00DB7F92" w:rsidRPr="0088364D" w:rsidRDefault="00DB7F92" w:rsidP="00490AED">
            <w:pPr>
              <w:pStyle w:val="BodyText"/>
              <w:ind w:left="720"/>
              <w:rPr>
                <w:rFonts w:eastAsiaTheme="majorEastAsia" w:cs="Arial"/>
                <w:b/>
                <w:i/>
              </w:rPr>
            </w:pPr>
            <w:r w:rsidRPr="0088364D">
              <w:rPr>
                <w:rFonts w:eastAsiaTheme="majorEastAsia" w:cs="Arial"/>
                <w:b/>
                <w:i/>
              </w:rPr>
              <w:t xml:space="preserve">Summary of duties covered by this chapter: </w:t>
            </w:r>
          </w:p>
          <w:p w14:paraId="60B2EE44" w14:textId="77777777" w:rsidR="00DD5D2D" w:rsidRPr="0088364D" w:rsidRDefault="00DD5D2D" w:rsidP="00490AED">
            <w:pPr>
              <w:pStyle w:val="BodyText"/>
              <w:ind w:left="720"/>
              <w:rPr>
                <w:rFonts w:eastAsiaTheme="majorEastAsia" w:cs="Arial"/>
                <w:b/>
                <w:i/>
              </w:rPr>
            </w:pPr>
          </w:p>
          <w:p w14:paraId="28015738" w14:textId="77777777" w:rsidR="00DB7F92" w:rsidRPr="0088364D" w:rsidRDefault="00DB7F92" w:rsidP="00490AED">
            <w:pPr>
              <w:pStyle w:val="BodyText"/>
              <w:ind w:left="720"/>
              <w:rPr>
                <w:rFonts w:eastAsiaTheme="majorEastAsia" w:cs="Arial"/>
                <w:b/>
                <w:i/>
              </w:rPr>
            </w:pPr>
            <w:r w:rsidRPr="0088364D">
              <w:rPr>
                <w:rFonts w:eastAsiaTheme="majorEastAsia" w:cs="Arial"/>
                <w:b/>
                <w:i/>
              </w:rPr>
              <w:t xml:space="preserve">Equality and Health Inequalities duties </w:t>
            </w:r>
          </w:p>
          <w:p w14:paraId="567BB49E" w14:textId="77777777" w:rsidR="00DB7F92" w:rsidRPr="0088364D" w:rsidRDefault="00DB7F92" w:rsidP="00DB7F92">
            <w:pPr>
              <w:keepNext/>
              <w:keepLines/>
              <w:spacing w:before="186"/>
              <w:ind w:left="720"/>
              <w:jc w:val="both"/>
              <w:outlineLvl w:val="6"/>
              <w:rPr>
                <w:rFonts w:eastAsiaTheme="majorEastAsia" w:cs="Arial"/>
                <w:b/>
                <w:bCs w:val="0"/>
                <w:i/>
                <w:iCs/>
                <w:color w:val="404040" w:themeColor="text1" w:themeTint="BF"/>
                <w:sz w:val="20"/>
                <w:szCs w:val="20"/>
              </w:rPr>
            </w:pPr>
            <w:r w:rsidRPr="0088364D">
              <w:rPr>
                <w:rFonts w:eastAsiaTheme="majorEastAsia" w:cs="Arial"/>
                <w:b/>
                <w:bCs w:val="0"/>
                <w:i/>
                <w:iCs/>
                <w:color w:val="404040" w:themeColor="text1" w:themeTint="BF"/>
                <w:sz w:val="20"/>
                <w:szCs w:val="20"/>
              </w:rPr>
              <w:t xml:space="preserve">a) Equality Act 2010 </w:t>
            </w:r>
          </w:p>
          <w:p w14:paraId="62CCF0DB" w14:textId="77777777" w:rsidR="00DB7F92" w:rsidRPr="0088364D" w:rsidRDefault="00DB7F92" w:rsidP="00DB7F92">
            <w:pPr>
              <w:spacing w:before="9"/>
              <w:jc w:val="both"/>
              <w:rPr>
                <w:rFonts w:eastAsia="Tw Cen MT Condensed Extra Bold" w:cs="Arial"/>
                <w:b/>
                <w:bCs w:val="0"/>
                <w:sz w:val="20"/>
                <w:szCs w:val="20"/>
              </w:rPr>
            </w:pPr>
          </w:p>
          <w:p w14:paraId="6B40EB21" w14:textId="336EFC42" w:rsidR="00DB7F92" w:rsidRPr="0088364D" w:rsidRDefault="00DB7F92" w:rsidP="00970B92">
            <w:pPr>
              <w:pStyle w:val="Heading3"/>
              <w:rPr>
                <w:rFonts w:cs="Arial"/>
                <w:sz w:val="20"/>
                <w:szCs w:val="20"/>
                <w:lang w:eastAsia="en-GB"/>
              </w:rPr>
            </w:pPr>
            <w:r w:rsidRPr="0088364D">
              <w:rPr>
                <w:rFonts w:cs="Arial"/>
                <w:sz w:val="20"/>
                <w:szCs w:val="20"/>
                <w:lang w:eastAsia="en-GB"/>
              </w:rPr>
              <w:t>The</w:t>
            </w:r>
            <w:r w:rsidRPr="0088364D">
              <w:rPr>
                <w:rFonts w:cs="Arial"/>
                <w:spacing w:val="3"/>
                <w:sz w:val="20"/>
                <w:szCs w:val="20"/>
                <w:lang w:eastAsia="en-GB"/>
              </w:rPr>
              <w:t xml:space="preserve"> </w:t>
            </w:r>
            <w:r w:rsidRPr="0088364D">
              <w:rPr>
                <w:rFonts w:cs="Arial"/>
                <w:sz w:val="20"/>
                <w:szCs w:val="20"/>
                <w:lang w:eastAsia="en-GB"/>
              </w:rPr>
              <w:t>Equality</w:t>
            </w:r>
            <w:r w:rsidRPr="0088364D">
              <w:rPr>
                <w:rFonts w:cs="Arial"/>
                <w:spacing w:val="5"/>
                <w:sz w:val="20"/>
                <w:szCs w:val="20"/>
                <w:lang w:eastAsia="en-GB"/>
              </w:rPr>
              <w:t xml:space="preserve"> </w:t>
            </w:r>
            <w:r w:rsidRPr="0088364D">
              <w:rPr>
                <w:rFonts w:cs="Arial"/>
                <w:sz w:val="20"/>
                <w:szCs w:val="20"/>
                <w:lang w:eastAsia="en-GB"/>
              </w:rPr>
              <w:t>Act</w:t>
            </w:r>
            <w:r w:rsidRPr="0088364D">
              <w:rPr>
                <w:rFonts w:cs="Arial"/>
                <w:spacing w:val="5"/>
                <w:sz w:val="20"/>
                <w:szCs w:val="20"/>
                <w:lang w:eastAsia="en-GB"/>
              </w:rPr>
              <w:t xml:space="preserve"> </w:t>
            </w:r>
            <w:r w:rsidRPr="0088364D">
              <w:rPr>
                <w:rFonts w:cs="Arial"/>
                <w:sz w:val="20"/>
                <w:szCs w:val="20"/>
                <w:lang w:eastAsia="en-GB"/>
              </w:rPr>
              <w:t>2010</w:t>
            </w:r>
            <w:r w:rsidRPr="0088364D">
              <w:rPr>
                <w:rFonts w:cs="Arial"/>
                <w:spacing w:val="6"/>
                <w:sz w:val="20"/>
                <w:szCs w:val="20"/>
                <w:lang w:eastAsia="en-GB"/>
              </w:rPr>
              <w:t xml:space="preserve"> </w:t>
            </w:r>
            <w:r w:rsidRPr="0088364D">
              <w:rPr>
                <w:rFonts w:cs="Arial"/>
                <w:sz w:val="20"/>
                <w:szCs w:val="20"/>
                <w:lang w:eastAsia="en-GB"/>
              </w:rPr>
              <w:t>prohibits</w:t>
            </w:r>
            <w:r w:rsidRPr="0088364D">
              <w:rPr>
                <w:rFonts w:cs="Arial"/>
                <w:spacing w:val="5"/>
                <w:sz w:val="20"/>
                <w:szCs w:val="20"/>
                <w:lang w:eastAsia="en-GB"/>
              </w:rPr>
              <w:t xml:space="preserve"> </w:t>
            </w:r>
            <w:r w:rsidRPr="0088364D">
              <w:rPr>
                <w:rFonts w:cs="Arial"/>
                <w:sz w:val="20"/>
                <w:szCs w:val="20"/>
                <w:lang w:eastAsia="en-GB"/>
              </w:rPr>
              <w:t>unlawful</w:t>
            </w:r>
            <w:r w:rsidRPr="0088364D">
              <w:rPr>
                <w:rFonts w:cs="Arial"/>
                <w:spacing w:val="6"/>
                <w:sz w:val="20"/>
                <w:szCs w:val="20"/>
                <w:lang w:eastAsia="en-GB"/>
              </w:rPr>
              <w:t xml:space="preserve"> </w:t>
            </w:r>
            <w:r w:rsidRPr="0088364D">
              <w:rPr>
                <w:rFonts w:cs="Arial"/>
                <w:sz w:val="20"/>
                <w:szCs w:val="20"/>
                <w:lang w:eastAsia="en-GB"/>
              </w:rPr>
              <w:t>discrimination</w:t>
            </w:r>
            <w:r w:rsidRPr="0088364D">
              <w:rPr>
                <w:rFonts w:cs="Arial"/>
                <w:spacing w:val="6"/>
                <w:sz w:val="20"/>
                <w:szCs w:val="20"/>
                <w:lang w:eastAsia="en-GB"/>
              </w:rPr>
              <w:t xml:space="preserve"> </w:t>
            </w:r>
            <w:r w:rsidRPr="0088364D">
              <w:rPr>
                <w:rFonts w:cs="Arial"/>
                <w:sz w:val="20"/>
                <w:szCs w:val="20"/>
                <w:lang w:eastAsia="en-GB"/>
              </w:rPr>
              <w:t>in</w:t>
            </w:r>
            <w:r w:rsidRPr="0088364D">
              <w:rPr>
                <w:rFonts w:cs="Arial"/>
                <w:spacing w:val="5"/>
                <w:sz w:val="20"/>
                <w:szCs w:val="20"/>
                <w:lang w:eastAsia="en-GB"/>
              </w:rPr>
              <w:t xml:space="preserve"> </w:t>
            </w:r>
            <w:r w:rsidRPr="0088364D">
              <w:rPr>
                <w:rFonts w:cs="Arial"/>
                <w:sz w:val="20"/>
                <w:szCs w:val="20"/>
                <w:lang w:eastAsia="en-GB"/>
              </w:rPr>
              <w:t>the</w:t>
            </w:r>
            <w:r w:rsidRPr="0088364D">
              <w:rPr>
                <w:rFonts w:cs="Arial"/>
                <w:spacing w:val="3"/>
                <w:sz w:val="20"/>
                <w:szCs w:val="20"/>
                <w:lang w:eastAsia="en-GB"/>
              </w:rPr>
              <w:t xml:space="preserve"> </w:t>
            </w:r>
            <w:r w:rsidRPr="0088364D">
              <w:rPr>
                <w:rFonts w:cs="Arial"/>
                <w:sz w:val="20"/>
                <w:szCs w:val="20"/>
                <w:lang w:eastAsia="en-GB"/>
              </w:rPr>
              <w:t>provision</w:t>
            </w:r>
            <w:r w:rsidRPr="0088364D">
              <w:rPr>
                <w:rFonts w:cs="Arial"/>
                <w:spacing w:val="4"/>
                <w:sz w:val="20"/>
                <w:szCs w:val="20"/>
                <w:lang w:eastAsia="en-GB"/>
              </w:rPr>
              <w:t xml:space="preserve"> </w:t>
            </w:r>
            <w:r w:rsidRPr="0088364D">
              <w:rPr>
                <w:rFonts w:cs="Arial"/>
                <w:sz w:val="20"/>
                <w:szCs w:val="20"/>
                <w:lang w:eastAsia="en-GB"/>
              </w:rPr>
              <w:t>of</w:t>
            </w:r>
            <w:r w:rsidRPr="0088364D">
              <w:rPr>
                <w:rFonts w:cs="Arial"/>
                <w:spacing w:val="79"/>
                <w:sz w:val="20"/>
                <w:szCs w:val="20"/>
                <w:lang w:eastAsia="en-GB"/>
              </w:rPr>
              <w:t xml:space="preserve"> </w:t>
            </w:r>
            <w:r w:rsidRPr="0088364D">
              <w:rPr>
                <w:rFonts w:cs="Arial"/>
                <w:sz w:val="20"/>
                <w:szCs w:val="20"/>
                <w:lang w:eastAsia="en-GB"/>
              </w:rPr>
              <w:t>services</w:t>
            </w:r>
            <w:r w:rsidRPr="0088364D">
              <w:rPr>
                <w:rFonts w:cs="Arial"/>
                <w:spacing w:val="39"/>
                <w:sz w:val="20"/>
                <w:szCs w:val="20"/>
                <w:lang w:eastAsia="en-GB"/>
              </w:rPr>
              <w:t xml:space="preserve"> </w:t>
            </w:r>
            <w:r w:rsidRPr="0088364D">
              <w:rPr>
                <w:rFonts w:cs="Arial"/>
                <w:sz w:val="20"/>
                <w:szCs w:val="20"/>
                <w:lang w:eastAsia="en-GB"/>
              </w:rPr>
              <w:t>on</w:t>
            </w:r>
            <w:r w:rsidRPr="0088364D">
              <w:rPr>
                <w:rFonts w:cs="Arial"/>
                <w:spacing w:val="38"/>
                <w:sz w:val="20"/>
                <w:szCs w:val="20"/>
                <w:lang w:eastAsia="en-GB"/>
              </w:rPr>
              <w:t xml:space="preserve"> </w:t>
            </w:r>
            <w:r w:rsidRPr="0088364D">
              <w:rPr>
                <w:rFonts w:cs="Arial"/>
                <w:sz w:val="20"/>
                <w:szCs w:val="20"/>
                <w:lang w:eastAsia="en-GB"/>
              </w:rPr>
              <w:t>the</w:t>
            </w:r>
            <w:r w:rsidRPr="0088364D">
              <w:rPr>
                <w:rFonts w:cs="Arial"/>
                <w:spacing w:val="38"/>
                <w:sz w:val="20"/>
                <w:szCs w:val="20"/>
                <w:lang w:eastAsia="en-GB"/>
              </w:rPr>
              <w:t xml:space="preserve"> </w:t>
            </w:r>
            <w:r w:rsidRPr="0088364D">
              <w:rPr>
                <w:rFonts w:cs="Arial"/>
                <w:sz w:val="20"/>
                <w:szCs w:val="20"/>
                <w:lang w:eastAsia="en-GB"/>
              </w:rPr>
              <w:t>grounds</w:t>
            </w:r>
            <w:r w:rsidRPr="0088364D">
              <w:rPr>
                <w:rFonts w:cs="Arial"/>
                <w:spacing w:val="39"/>
                <w:sz w:val="20"/>
                <w:szCs w:val="20"/>
                <w:lang w:eastAsia="en-GB"/>
              </w:rPr>
              <w:t xml:space="preserve"> </w:t>
            </w:r>
            <w:r w:rsidRPr="0088364D">
              <w:rPr>
                <w:rFonts w:cs="Arial"/>
                <w:sz w:val="20"/>
                <w:szCs w:val="20"/>
                <w:lang w:eastAsia="en-GB"/>
              </w:rPr>
              <w:t>of</w:t>
            </w:r>
            <w:r w:rsidRPr="0088364D">
              <w:rPr>
                <w:rFonts w:cs="Arial"/>
                <w:spacing w:val="38"/>
                <w:sz w:val="20"/>
                <w:szCs w:val="20"/>
                <w:lang w:eastAsia="en-GB"/>
              </w:rPr>
              <w:t xml:space="preserve"> </w:t>
            </w:r>
            <w:r w:rsidRPr="0088364D">
              <w:rPr>
                <w:rFonts w:cs="Arial"/>
                <w:sz w:val="20"/>
                <w:szCs w:val="20"/>
                <w:lang w:eastAsia="en-GB"/>
              </w:rPr>
              <w:t>age,</w:t>
            </w:r>
            <w:r w:rsidRPr="0088364D">
              <w:rPr>
                <w:rFonts w:cs="Arial"/>
                <w:spacing w:val="20"/>
                <w:sz w:val="20"/>
                <w:szCs w:val="20"/>
                <w:lang w:eastAsia="en-GB"/>
              </w:rPr>
              <w:t xml:space="preserve"> </w:t>
            </w:r>
            <w:r w:rsidRPr="0088364D">
              <w:rPr>
                <w:rFonts w:cs="Arial"/>
                <w:sz w:val="20"/>
                <w:szCs w:val="20"/>
                <w:lang w:eastAsia="en-GB"/>
              </w:rPr>
              <w:t>disability,</w:t>
            </w:r>
            <w:r w:rsidRPr="0088364D">
              <w:rPr>
                <w:rFonts w:cs="Arial"/>
                <w:spacing w:val="21"/>
                <w:sz w:val="20"/>
                <w:szCs w:val="20"/>
                <w:lang w:eastAsia="en-GB"/>
              </w:rPr>
              <w:t xml:space="preserve"> </w:t>
            </w:r>
            <w:r w:rsidRPr="0088364D">
              <w:rPr>
                <w:rFonts w:cs="Arial"/>
                <w:sz w:val="20"/>
                <w:szCs w:val="20"/>
                <w:lang w:eastAsia="en-GB"/>
              </w:rPr>
              <w:t>gender</w:t>
            </w:r>
            <w:r w:rsidRPr="0088364D">
              <w:rPr>
                <w:rFonts w:cs="Arial"/>
                <w:spacing w:val="19"/>
                <w:sz w:val="20"/>
                <w:szCs w:val="20"/>
                <w:lang w:eastAsia="en-GB"/>
              </w:rPr>
              <w:t xml:space="preserve"> </w:t>
            </w:r>
            <w:r w:rsidRPr="0088364D">
              <w:rPr>
                <w:rFonts w:cs="Arial"/>
                <w:sz w:val="20"/>
                <w:szCs w:val="20"/>
                <w:lang w:eastAsia="en-GB"/>
              </w:rPr>
              <w:t>reassignment,</w:t>
            </w:r>
            <w:r w:rsidRPr="0088364D">
              <w:rPr>
                <w:rFonts w:cs="Arial"/>
                <w:spacing w:val="51"/>
                <w:w w:val="99"/>
                <w:sz w:val="20"/>
                <w:szCs w:val="20"/>
                <w:lang w:eastAsia="en-GB"/>
              </w:rPr>
              <w:t xml:space="preserve"> </w:t>
            </w:r>
            <w:r w:rsidR="00BC5F9C" w:rsidRPr="0088364D">
              <w:rPr>
                <w:rFonts w:cs="Arial"/>
                <w:sz w:val="20"/>
                <w:szCs w:val="20"/>
                <w:lang w:eastAsia="en-GB"/>
              </w:rPr>
              <w:t xml:space="preserve">marriage </w:t>
            </w:r>
            <w:r w:rsidR="00BC5F9C" w:rsidRPr="0088364D">
              <w:rPr>
                <w:rFonts w:cs="Arial"/>
                <w:spacing w:val="31"/>
                <w:sz w:val="20"/>
                <w:szCs w:val="20"/>
                <w:lang w:eastAsia="en-GB"/>
              </w:rPr>
              <w:t>and</w:t>
            </w:r>
            <w:r w:rsidR="00BC5F9C" w:rsidRPr="0088364D">
              <w:rPr>
                <w:rFonts w:cs="Arial"/>
                <w:sz w:val="20"/>
                <w:szCs w:val="20"/>
                <w:lang w:eastAsia="en-GB"/>
              </w:rPr>
              <w:t xml:space="preserve"> </w:t>
            </w:r>
            <w:r w:rsidR="00BC5F9C" w:rsidRPr="0088364D">
              <w:rPr>
                <w:rFonts w:cs="Arial"/>
                <w:spacing w:val="30"/>
                <w:sz w:val="20"/>
                <w:szCs w:val="20"/>
                <w:lang w:eastAsia="en-GB"/>
              </w:rPr>
              <w:t>civil</w:t>
            </w:r>
            <w:r w:rsidR="00BC5F9C" w:rsidRPr="0088364D">
              <w:rPr>
                <w:rFonts w:cs="Arial"/>
                <w:sz w:val="20"/>
                <w:szCs w:val="20"/>
                <w:lang w:eastAsia="en-GB"/>
              </w:rPr>
              <w:t xml:space="preserve"> </w:t>
            </w:r>
            <w:r w:rsidR="00BC5F9C" w:rsidRPr="0088364D">
              <w:rPr>
                <w:rFonts w:cs="Arial"/>
                <w:spacing w:val="31"/>
                <w:sz w:val="20"/>
                <w:szCs w:val="20"/>
                <w:lang w:eastAsia="en-GB"/>
              </w:rPr>
              <w:t>partnership</w:t>
            </w:r>
            <w:r w:rsidR="00BC5F9C" w:rsidRPr="0088364D">
              <w:rPr>
                <w:rFonts w:cs="Arial"/>
                <w:sz w:val="20"/>
                <w:szCs w:val="20"/>
                <w:lang w:eastAsia="en-GB"/>
              </w:rPr>
              <w:t xml:space="preserve">, </w:t>
            </w:r>
            <w:r w:rsidR="00BC5F9C" w:rsidRPr="0088364D">
              <w:rPr>
                <w:rFonts w:cs="Arial"/>
                <w:spacing w:val="31"/>
                <w:sz w:val="20"/>
                <w:szCs w:val="20"/>
                <w:lang w:eastAsia="en-GB"/>
              </w:rPr>
              <w:t>pregnancy</w:t>
            </w:r>
            <w:r w:rsidR="00BC5F9C" w:rsidRPr="0088364D">
              <w:rPr>
                <w:rFonts w:cs="Arial"/>
                <w:sz w:val="20"/>
                <w:szCs w:val="20"/>
                <w:lang w:eastAsia="en-GB"/>
              </w:rPr>
              <w:t xml:space="preserve"> </w:t>
            </w:r>
            <w:r w:rsidR="00BC5F9C" w:rsidRPr="0088364D">
              <w:rPr>
                <w:rFonts w:cs="Arial"/>
                <w:spacing w:val="30"/>
                <w:sz w:val="20"/>
                <w:szCs w:val="20"/>
                <w:lang w:eastAsia="en-GB"/>
              </w:rPr>
              <w:t>and</w:t>
            </w:r>
            <w:r w:rsidR="00BC5F9C" w:rsidRPr="0088364D">
              <w:rPr>
                <w:rFonts w:cs="Arial"/>
                <w:sz w:val="20"/>
                <w:szCs w:val="20"/>
                <w:lang w:eastAsia="en-GB"/>
              </w:rPr>
              <w:t xml:space="preserve"> </w:t>
            </w:r>
            <w:r w:rsidR="00BC5F9C" w:rsidRPr="0088364D">
              <w:rPr>
                <w:rFonts w:cs="Arial"/>
                <w:spacing w:val="30"/>
                <w:sz w:val="20"/>
                <w:szCs w:val="20"/>
                <w:lang w:eastAsia="en-GB"/>
              </w:rPr>
              <w:t>maternity</w:t>
            </w:r>
            <w:r w:rsidR="00BC5F9C" w:rsidRPr="0088364D">
              <w:rPr>
                <w:rFonts w:cs="Arial"/>
                <w:sz w:val="20"/>
                <w:szCs w:val="20"/>
                <w:lang w:eastAsia="en-GB"/>
              </w:rPr>
              <w:t xml:space="preserve">, </w:t>
            </w:r>
            <w:r w:rsidR="00BC5F9C" w:rsidRPr="0088364D">
              <w:rPr>
                <w:rFonts w:cs="Arial"/>
                <w:spacing w:val="31"/>
                <w:sz w:val="20"/>
                <w:szCs w:val="20"/>
                <w:lang w:eastAsia="en-GB"/>
              </w:rPr>
              <w:t>race</w:t>
            </w:r>
            <w:r w:rsidRPr="0088364D">
              <w:rPr>
                <w:rFonts w:cs="Arial"/>
                <w:sz w:val="20"/>
                <w:szCs w:val="20"/>
                <w:lang w:eastAsia="en-GB"/>
              </w:rPr>
              <w:t>, religion</w:t>
            </w:r>
            <w:r w:rsidRPr="0088364D">
              <w:rPr>
                <w:rFonts w:cs="Arial"/>
                <w:spacing w:val="4"/>
                <w:sz w:val="20"/>
                <w:szCs w:val="20"/>
                <w:lang w:eastAsia="en-GB"/>
              </w:rPr>
              <w:t xml:space="preserve"> </w:t>
            </w:r>
            <w:r w:rsidRPr="0088364D">
              <w:rPr>
                <w:rFonts w:cs="Arial"/>
                <w:sz w:val="20"/>
                <w:szCs w:val="20"/>
                <w:lang w:eastAsia="en-GB"/>
              </w:rPr>
              <w:t>or</w:t>
            </w:r>
            <w:r w:rsidRPr="0088364D">
              <w:rPr>
                <w:rFonts w:cs="Arial"/>
                <w:spacing w:val="5"/>
                <w:sz w:val="20"/>
                <w:szCs w:val="20"/>
                <w:lang w:eastAsia="en-GB"/>
              </w:rPr>
              <w:t xml:space="preserve"> </w:t>
            </w:r>
            <w:r w:rsidRPr="0088364D">
              <w:rPr>
                <w:rFonts w:cs="Arial"/>
                <w:sz w:val="20"/>
                <w:szCs w:val="20"/>
                <w:lang w:eastAsia="en-GB"/>
              </w:rPr>
              <w:t>belief,</w:t>
            </w:r>
            <w:r w:rsidRPr="0088364D">
              <w:rPr>
                <w:rFonts w:cs="Arial"/>
                <w:spacing w:val="6"/>
                <w:sz w:val="20"/>
                <w:szCs w:val="20"/>
                <w:lang w:eastAsia="en-GB"/>
              </w:rPr>
              <w:t xml:space="preserve"> </w:t>
            </w:r>
            <w:r w:rsidRPr="0088364D">
              <w:rPr>
                <w:rFonts w:cs="Arial"/>
                <w:sz w:val="20"/>
                <w:szCs w:val="20"/>
                <w:lang w:eastAsia="en-GB"/>
              </w:rPr>
              <w:t>sex</w:t>
            </w:r>
            <w:r w:rsidRPr="0088364D">
              <w:rPr>
                <w:rFonts w:cs="Arial"/>
                <w:spacing w:val="3"/>
                <w:sz w:val="20"/>
                <w:szCs w:val="20"/>
                <w:lang w:eastAsia="en-GB"/>
              </w:rPr>
              <w:t xml:space="preserve"> </w:t>
            </w:r>
            <w:r w:rsidRPr="0088364D">
              <w:rPr>
                <w:rFonts w:cs="Arial"/>
                <w:sz w:val="20"/>
                <w:szCs w:val="20"/>
                <w:lang w:eastAsia="en-GB"/>
              </w:rPr>
              <w:t>and</w:t>
            </w:r>
            <w:r w:rsidRPr="0088364D">
              <w:rPr>
                <w:rFonts w:cs="Arial"/>
                <w:spacing w:val="5"/>
                <w:sz w:val="20"/>
                <w:szCs w:val="20"/>
                <w:lang w:eastAsia="en-GB"/>
              </w:rPr>
              <w:t xml:space="preserve"> </w:t>
            </w:r>
            <w:r w:rsidRPr="0088364D">
              <w:rPr>
                <w:rFonts w:cs="Arial"/>
                <w:sz w:val="20"/>
                <w:szCs w:val="20"/>
                <w:lang w:eastAsia="en-GB"/>
              </w:rPr>
              <w:t>sexual</w:t>
            </w:r>
            <w:r w:rsidRPr="0088364D">
              <w:rPr>
                <w:rFonts w:cs="Arial"/>
                <w:spacing w:val="7"/>
                <w:sz w:val="20"/>
                <w:szCs w:val="20"/>
                <w:lang w:eastAsia="en-GB"/>
              </w:rPr>
              <w:t xml:space="preserve"> </w:t>
            </w:r>
            <w:r w:rsidRPr="0088364D">
              <w:rPr>
                <w:rFonts w:cs="Arial"/>
                <w:sz w:val="20"/>
                <w:szCs w:val="20"/>
                <w:lang w:eastAsia="en-GB"/>
              </w:rPr>
              <w:t>orientation.</w:t>
            </w:r>
            <w:r w:rsidRPr="0088364D">
              <w:rPr>
                <w:rFonts w:cs="Arial"/>
                <w:spacing w:val="60"/>
                <w:sz w:val="20"/>
                <w:szCs w:val="20"/>
                <w:lang w:eastAsia="en-GB"/>
              </w:rPr>
              <w:t xml:space="preserve"> </w:t>
            </w:r>
            <w:r w:rsidRPr="0088364D">
              <w:rPr>
                <w:rFonts w:cs="Arial"/>
                <w:sz w:val="20"/>
                <w:szCs w:val="20"/>
                <w:lang w:eastAsia="en-GB"/>
              </w:rPr>
              <w:t>These</w:t>
            </w:r>
            <w:r w:rsidRPr="0088364D">
              <w:rPr>
                <w:rFonts w:cs="Arial"/>
                <w:spacing w:val="5"/>
                <w:sz w:val="20"/>
                <w:szCs w:val="20"/>
                <w:lang w:eastAsia="en-GB"/>
              </w:rPr>
              <w:t xml:space="preserve"> </w:t>
            </w:r>
            <w:r w:rsidRPr="0088364D">
              <w:rPr>
                <w:rFonts w:cs="Arial"/>
                <w:sz w:val="20"/>
                <w:szCs w:val="20"/>
                <w:lang w:eastAsia="en-GB"/>
              </w:rPr>
              <w:t>are</w:t>
            </w:r>
            <w:r w:rsidRPr="0088364D">
              <w:rPr>
                <w:rFonts w:cs="Arial"/>
                <w:spacing w:val="5"/>
                <w:sz w:val="20"/>
                <w:szCs w:val="20"/>
                <w:lang w:eastAsia="en-GB"/>
              </w:rPr>
              <w:t xml:space="preserve"> </w:t>
            </w:r>
            <w:r w:rsidRPr="0088364D">
              <w:rPr>
                <w:rFonts w:cs="Arial"/>
                <w:sz w:val="20"/>
                <w:szCs w:val="20"/>
                <w:lang w:eastAsia="en-GB"/>
              </w:rPr>
              <w:t>the</w:t>
            </w:r>
            <w:r w:rsidRPr="0088364D">
              <w:rPr>
                <w:rFonts w:cs="Arial"/>
                <w:spacing w:val="4"/>
                <w:sz w:val="20"/>
                <w:szCs w:val="20"/>
                <w:lang w:eastAsia="en-GB"/>
              </w:rPr>
              <w:t xml:space="preserve"> </w:t>
            </w:r>
            <w:r w:rsidRPr="0088364D">
              <w:rPr>
                <w:rFonts w:cs="Arial"/>
                <w:sz w:val="20"/>
                <w:szCs w:val="20"/>
                <w:lang w:eastAsia="en-GB"/>
              </w:rPr>
              <w:t>"protected</w:t>
            </w:r>
            <w:r w:rsidRPr="0088364D">
              <w:rPr>
                <w:rFonts w:cs="Arial"/>
                <w:spacing w:val="70"/>
                <w:w w:val="99"/>
                <w:sz w:val="20"/>
                <w:szCs w:val="20"/>
                <w:lang w:eastAsia="en-GB"/>
              </w:rPr>
              <w:t xml:space="preserve"> </w:t>
            </w:r>
            <w:r w:rsidRPr="0088364D">
              <w:rPr>
                <w:rFonts w:cs="Arial"/>
                <w:sz w:val="20"/>
                <w:szCs w:val="20"/>
                <w:lang w:eastAsia="en-GB"/>
              </w:rPr>
              <w:t>characteristics".</w:t>
            </w:r>
          </w:p>
          <w:p w14:paraId="34894E92" w14:textId="77777777" w:rsidR="00DB7F92" w:rsidRPr="0088364D" w:rsidRDefault="00DB7F92" w:rsidP="00970B92">
            <w:pPr>
              <w:pStyle w:val="Heading3"/>
              <w:rPr>
                <w:rFonts w:cs="Arial"/>
                <w:sz w:val="20"/>
                <w:szCs w:val="20"/>
                <w:lang w:eastAsia="en-GB"/>
              </w:rPr>
            </w:pPr>
            <w:r w:rsidRPr="0088364D">
              <w:rPr>
                <w:rFonts w:cs="Arial"/>
                <w:sz w:val="20"/>
                <w:szCs w:val="20"/>
                <w:lang w:eastAsia="en-GB"/>
              </w:rPr>
              <w:t>As</w:t>
            </w:r>
            <w:r w:rsidRPr="0088364D">
              <w:rPr>
                <w:rFonts w:cs="Arial"/>
                <w:spacing w:val="18"/>
                <w:sz w:val="20"/>
                <w:szCs w:val="20"/>
                <w:lang w:eastAsia="en-GB"/>
              </w:rPr>
              <w:t xml:space="preserve"> </w:t>
            </w:r>
            <w:r w:rsidRPr="0088364D">
              <w:rPr>
                <w:rFonts w:cs="Arial"/>
                <w:sz w:val="20"/>
                <w:szCs w:val="20"/>
                <w:lang w:eastAsia="en-GB"/>
              </w:rPr>
              <w:t>well</w:t>
            </w:r>
            <w:r w:rsidRPr="0088364D">
              <w:rPr>
                <w:rFonts w:cs="Arial"/>
                <w:spacing w:val="18"/>
                <w:sz w:val="20"/>
                <w:szCs w:val="20"/>
                <w:lang w:eastAsia="en-GB"/>
              </w:rPr>
              <w:t xml:space="preserve"> </w:t>
            </w:r>
            <w:r w:rsidRPr="0088364D">
              <w:rPr>
                <w:rFonts w:cs="Arial"/>
                <w:sz w:val="20"/>
                <w:szCs w:val="20"/>
                <w:lang w:eastAsia="en-GB"/>
              </w:rPr>
              <w:t>as</w:t>
            </w:r>
            <w:r w:rsidRPr="0088364D">
              <w:rPr>
                <w:rFonts w:cs="Arial"/>
                <w:spacing w:val="19"/>
                <w:sz w:val="20"/>
                <w:szCs w:val="20"/>
                <w:lang w:eastAsia="en-GB"/>
              </w:rPr>
              <w:t xml:space="preserve"> </w:t>
            </w:r>
            <w:r w:rsidRPr="0088364D">
              <w:rPr>
                <w:rFonts w:cs="Arial"/>
                <w:sz w:val="20"/>
                <w:szCs w:val="20"/>
                <w:lang w:eastAsia="en-GB"/>
              </w:rPr>
              <w:t>these</w:t>
            </w:r>
            <w:r w:rsidRPr="0088364D">
              <w:rPr>
                <w:rFonts w:cs="Arial"/>
                <w:spacing w:val="18"/>
                <w:sz w:val="20"/>
                <w:szCs w:val="20"/>
                <w:lang w:eastAsia="en-GB"/>
              </w:rPr>
              <w:t xml:space="preserve"> </w:t>
            </w:r>
            <w:r w:rsidRPr="0088364D">
              <w:rPr>
                <w:rFonts w:cs="Arial"/>
                <w:sz w:val="20"/>
                <w:szCs w:val="20"/>
                <w:lang w:eastAsia="en-GB"/>
              </w:rPr>
              <w:t>prohibitions</w:t>
            </w:r>
            <w:r w:rsidRPr="0088364D">
              <w:rPr>
                <w:rFonts w:cs="Arial"/>
                <w:spacing w:val="19"/>
                <w:sz w:val="20"/>
                <w:szCs w:val="20"/>
                <w:lang w:eastAsia="en-GB"/>
              </w:rPr>
              <w:t xml:space="preserve"> </w:t>
            </w:r>
            <w:r w:rsidRPr="0088364D">
              <w:rPr>
                <w:rFonts w:cs="Arial"/>
                <w:sz w:val="20"/>
                <w:szCs w:val="20"/>
                <w:lang w:eastAsia="en-GB"/>
              </w:rPr>
              <w:t>against</w:t>
            </w:r>
            <w:r w:rsidRPr="0088364D">
              <w:rPr>
                <w:rFonts w:cs="Arial"/>
                <w:spacing w:val="19"/>
                <w:sz w:val="20"/>
                <w:szCs w:val="20"/>
                <w:lang w:eastAsia="en-GB"/>
              </w:rPr>
              <w:t xml:space="preserve"> </w:t>
            </w:r>
            <w:r w:rsidRPr="0088364D">
              <w:rPr>
                <w:rFonts w:cs="Arial"/>
                <w:sz w:val="20"/>
                <w:szCs w:val="20"/>
                <w:lang w:eastAsia="en-GB"/>
              </w:rPr>
              <w:t>unlawful</w:t>
            </w:r>
            <w:r w:rsidRPr="0088364D">
              <w:rPr>
                <w:rFonts w:cs="Arial"/>
                <w:spacing w:val="20"/>
                <w:sz w:val="20"/>
                <w:szCs w:val="20"/>
                <w:lang w:eastAsia="en-GB"/>
              </w:rPr>
              <w:t xml:space="preserve"> </w:t>
            </w:r>
            <w:r w:rsidRPr="0088364D">
              <w:rPr>
                <w:rFonts w:cs="Arial"/>
                <w:sz w:val="20"/>
                <w:szCs w:val="20"/>
                <w:lang w:eastAsia="en-GB"/>
              </w:rPr>
              <w:t>discrimination,</w:t>
            </w:r>
            <w:r w:rsidRPr="0088364D">
              <w:rPr>
                <w:rFonts w:cs="Arial"/>
                <w:spacing w:val="17"/>
                <w:sz w:val="20"/>
                <w:szCs w:val="20"/>
                <w:lang w:eastAsia="en-GB"/>
              </w:rPr>
              <w:t xml:space="preserve"> </w:t>
            </w:r>
            <w:r w:rsidRPr="0088364D">
              <w:rPr>
                <w:rFonts w:cs="Arial"/>
                <w:sz w:val="20"/>
                <w:szCs w:val="20"/>
                <w:lang w:eastAsia="en-GB"/>
              </w:rPr>
              <w:t>the</w:t>
            </w:r>
            <w:r w:rsidRPr="0088364D">
              <w:rPr>
                <w:rFonts w:cs="Arial"/>
                <w:spacing w:val="20"/>
                <w:sz w:val="20"/>
                <w:szCs w:val="20"/>
                <w:lang w:eastAsia="en-GB"/>
              </w:rPr>
              <w:t xml:space="preserve"> </w:t>
            </w:r>
            <w:r w:rsidRPr="0088364D">
              <w:rPr>
                <w:rFonts w:cs="Arial"/>
                <w:sz w:val="20"/>
                <w:szCs w:val="20"/>
                <w:lang w:eastAsia="en-GB"/>
              </w:rPr>
              <w:t>Equality</w:t>
            </w:r>
            <w:r w:rsidRPr="0088364D">
              <w:rPr>
                <w:rFonts w:cs="Arial"/>
                <w:spacing w:val="77"/>
                <w:sz w:val="20"/>
                <w:szCs w:val="20"/>
                <w:lang w:eastAsia="en-GB"/>
              </w:rPr>
              <w:t xml:space="preserve"> </w:t>
            </w:r>
            <w:r w:rsidRPr="0088364D">
              <w:rPr>
                <w:rFonts w:cs="Arial"/>
                <w:sz w:val="20"/>
                <w:szCs w:val="20"/>
                <w:lang w:eastAsia="en-GB"/>
              </w:rPr>
              <w:t>Act</w:t>
            </w:r>
            <w:r w:rsidRPr="0088364D">
              <w:rPr>
                <w:rFonts w:cs="Arial"/>
                <w:spacing w:val="-5"/>
                <w:sz w:val="20"/>
                <w:szCs w:val="20"/>
                <w:lang w:eastAsia="en-GB"/>
              </w:rPr>
              <w:t xml:space="preserve"> </w:t>
            </w:r>
            <w:r w:rsidRPr="0088364D">
              <w:rPr>
                <w:rFonts w:cs="Arial"/>
                <w:sz w:val="20"/>
                <w:szCs w:val="20"/>
                <w:lang w:eastAsia="en-GB"/>
              </w:rPr>
              <w:t>2010</w:t>
            </w:r>
            <w:r w:rsidRPr="0088364D">
              <w:rPr>
                <w:rFonts w:cs="Arial"/>
                <w:spacing w:val="-4"/>
                <w:sz w:val="20"/>
                <w:szCs w:val="20"/>
                <w:lang w:eastAsia="en-GB"/>
              </w:rPr>
              <w:t xml:space="preserve"> </w:t>
            </w:r>
            <w:r w:rsidRPr="0088364D">
              <w:rPr>
                <w:rFonts w:cs="Arial"/>
                <w:sz w:val="20"/>
                <w:szCs w:val="20"/>
                <w:lang w:eastAsia="en-GB"/>
              </w:rPr>
              <w:t>requires</w:t>
            </w:r>
            <w:r w:rsidRPr="0088364D">
              <w:rPr>
                <w:rFonts w:cs="Arial"/>
                <w:spacing w:val="-4"/>
                <w:sz w:val="20"/>
                <w:szCs w:val="20"/>
                <w:lang w:eastAsia="en-GB"/>
              </w:rPr>
              <w:t xml:space="preserve"> </w:t>
            </w:r>
            <w:r w:rsidRPr="0088364D">
              <w:rPr>
                <w:rFonts w:cs="Arial"/>
                <w:sz w:val="20"/>
                <w:szCs w:val="20"/>
                <w:lang w:eastAsia="en-GB"/>
              </w:rPr>
              <w:t>commissioners</w:t>
            </w:r>
            <w:r w:rsidRPr="0088364D">
              <w:rPr>
                <w:rFonts w:cs="Arial"/>
                <w:spacing w:val="-5"/>
                <w:sz w:val="20"/>
                <w:szCs w:val="20"/>
                <w:lang w:eastAsia="en-GB"/>
              </w:rPr>
              <w:t xml:space="preserve"> </w:t>
            </w:r>
            <w:r w:rsidRPr="0088364D">
              <w:rPr>
                <w:rFonts w:cs="Arial"/>
                <w:sz w:val="20"/>
                <w:szCs w:val="20"/>
                <w:lang w:eastAsia="en-GB"/>
              </w:rPr>
              <w:t>to</w:t>
            </w:r>
            <w:r w:rsidRPr="0088364D">
              <w:rPr>
                <w:rFonts w:cs="Arial"/>
                <w:spacing w:val="-4"/>
                <w:sz w:val="20"/>
                <w:szCs w:val="20"/>
                <w:lang w:eastAsia="en-GB"/>
              </w:rPr>
              <w:t xml:space="preserve"> </w:t>
            </w:r>
            <w:r w:rsidRPr="0088364D">
              <w:rPr>
                <w:rFonts w:cs="Arial"/>
                <w:sz w:val="20"/>
                <w:szCs w:val="20"/>
                <w:lang w:eastAsia="en-GB"/>
              </w:rPr>
              <w:t>have</w:t>
            </w:r>
            <w:r w:rsidRPr="0088364D">
              <w:rPr>
                <w:rFonts w:cs="Arial"/>
                <w:spacing w:val="-5"/>
                <w:sz w:val="20"/>
                <w:szCs w:val="20"/>
                <w:lang w:eastAsia="en-GB"/>
              </w:rPr>
              <w:t xml:space="preserve"> </w:t>
            </w:r>
            <w:r w:rsidRPr="0088364D">
              <w:rPr>
                <w:rFonts w:cs="Arial"/>
                <w:sz w:val="20"/>
                <w:szCs w:val="20"/>
                <w:lang w:eastAsia="en-GB"/>
              </w:rPr>
              <w:t>"due</w:t>
            </w:r>
            <w:r w:rsidRPr="0088364D">
              <w:rPr>
                <w:rFonts w:cs="Arial"/>
                <w:spacing w:val="-3"/>
                <w:sz w:val="20"/>
                <w:szCs w:val="20"/>
                <w:lang w:eastAsia="en-GB"/>
              </w:rPr>
              <w:t xml:space="preserve"> </w:t>
            </w:r>
            <w:r w:rsidRPr="0088364D">
              <w:rPr>
                <w:rFonts w:cs="Arial"/>
                <w:sz w:val="20"/>
                <w:szCs w:val="20"/>
                <w:lang w:eastAsia="en-GB"/>
              </w:rPr>
              <w:t>regard"</w:t>
            </w:r>
            <w:r w:rsidRPr="0088364D">
              <w:rPr>
                <w:rFonts w:cs="Arial"/>
                <w:spacing w:val="-5"/>
                <w:sz w:val="20"/>
                <w:szCs w:val="20"/>
                <w:lang w:eastAsia="en-GB"/>
              </w:rPr>
              <w:t xml:space="preserve"> </w:t>
            </w:r>
            <w:r w:rsidRPr="0088364D">
              <w:rPr>
                <w:rFonts w:cs="Arial"/>
                <w:sz w:val="20"/>
                <w:szCs w:val="20"/>
                <w:lang w:eastAsia="en-GB"/>
              </w:rPr>
              <w:t>to</w:t>
            </w:r>
            <w:r w:rsidRPr="0088364D">
              <w:rPr>
                <w:rFonts w:cs="Arial"/>
                <w:spacing w:val="-5"/>
                <w:sz w:val="20"/>
                <w:szCs w:val="20"/>
                <w:lang w:eastAsia="en-GB"/>
              </w:rPr>
              <w:t xml:space="preserve"> </w:t>
            </w:r>
            <w:r w:rsidRPr="0088364D">
              <w:rPr>
                <w:rFonts w:cs="Arial"/>
                <w:sz w:val="20"/>
                <w:szCs w:val="20"/>
                <w:lang w:eastAsia="en-GB"/>
              </w:rPr>
              <w:t>the</w:t>
            </w:r>
            <w:r w:rsidRPr="0088364D">
              <w:rPr>
                <w:rFonts w:cs="Arial"/>
                <w:spacing w:val="-6"/>
                <w:sz w:val="20"/>
                <w:szCs w:val="20"/>
                <w:lang w:eastAsia="en-GB"/>
              </w:rPr>
              <w:t xml:space="preserve"> </w:t>
            </w:r>
            <w:r w:rsidRPr="0088364D">
              <w:rPr>
                <w:rFonts w:cs="Arial"/>
                <w:sz w:val="20"/>
                <w:szCs w:val="20"/>
                <w:lang w:eastAsia="en-GB"/>
              </w:rPr>
              <w:t>need</w:t>
            </w:r>
            <w:r w:rsidRPr="0088364D">
              <w:rPr>
                <w:rFonts w:cs="Arial"/>
                <w:spacing w:val="-3"/>
                <w:sz w:val="20"/>
                <w:szCs w:val="20"/>
                <w:lang w:eastAsia="en-GB"/>
              </w:rPr>
              <w:t xml:space="preserve"> </w:t>
            </w:r>
            <w:r w:rsidRPr="0088364D">
              <w:rPr>
                <w:rFonts w:cs="Arial"/>
                <w:sz w:val="20"/>
                <w:szCs w:val="20"/>
                <w:lang w:eastAsia="en-GB"/>
              </w:rPr>
              <w:t>to:</w:t>
            </w:r>
          </w:p>
          <w:p w14:paraId="1297FB01" w14:textId="77777777" w:rsidR="00DB7F92" w:rsidRPr="0088364D" w:rsidRDefault="00DB7F92" w:rsidP="00970B92">
            <w:pPr>
              <w:pStyle w:val="Heading4"/>
              <w:rPr>
                <w:sz w:val="20"/>
                <w:szCs w:val="20"/>
              </w:rPr>
            </w:pPr>
            <w:r w:rsidRPr="0088364D">
              <w:rPr>
                <w:sz w:val="20"/>
                <w:szCs w:val="20"/>
              </w:rPr>
              <w:t>eliminate</w:t>
            </w:r>
            <w:r w:rsidRPr="0088364D">
              <w:rPr>
                <w:spacing w:val="-6"/>
                <w:sz w:val="20"/>
                <w:szCs w:val="20"/>
              </w:rPr>
              <w:t xml:space="preserve"> </w:t>
            </w:r>
            <w:r w:rsidRPr="0088364D">
              <w:rPr>
                <w:sz w:val="20"/>
                <w:szCs w:val="20"/>
              </w:rPr>
              <w:t>discrimination</w:t>
            </w:r>
            <w:r w:rsidRPr="0088364D">
              <w:rPr>
                <w:spacing w:val="-4"/>
                <w:sz w:val="20"/>
                <w:szCs w:val="20"/>
              </w:rPr>
              <w:t xml:space="preserve"> </w:t>
            </w:r>
            <w:r w:rsidRPr="0088364D">
              <w:rPr>
                <w:sz w:val="20"/>
                <w:szCs w:val="20"/>
              </w:rPr>
              <w:t>that</w:t>
            </w:r>
            <w:r w:rsidRPr="0088364D">
              <w:rPr>
                <w:spacing w:val="-6"/>
                <w:sz w:val="20"/>
                <w:szCs w:val="20"/>
              </w:rPr>
              <w:t xml:space="preserve"> </w:t>
            </w:r>
            <w:r w:rsidRPr="0088364D">
              <w:rPr>
                <w:sz w:val="20"/>
                <w:szCs w:val="20"/>
              </w:rPr>
              <w:t>is</w:t>
            </w:r>
            <w:r w:rsidRPr="0088364D">
              <w:rPr>
                <w:spacing w:val="-6"/>
                <w:sz w:val="20"/>
                <w:szCs w:val="20"/>
              </w:rPr>
              <w:t xml:space="preserve"> </w:t>
            </w:r>
            <w:r w:rsidRPr="0088364D">
              <w:rPr>
                <w:sz w:val="20"/>
                <w:szCs w:val="20"/>
              </w:rPr>
              <w:t>unlawful</w:t>
            </w:r>
            <w:r w:rsidRPr="0088364D">
              <w:rPr>
                <w:spacing w:val="-5"/>
                <w:sz w:val="20"/>
                <w:szCs w:val="20"/>
              </w:rPr>
              <w:t xml:space="preserve"> </w:t>
            </w:r>
            <w:r w:rsidRPr="0088364D">
              <w:rPr>
                <w:sz w:val="20"/>
                <w:szCs w:val="20"/>
              </w:rPr>
              <w:t>under</w:t>
            </w:r>
            <w:r w:rsidRPr="0088364D">
              <w:rPr>
                <w:spacing w:val="-6"/>
                <w:sz w:val="20"/>
                <w:szCs w:val="20"/>
              </w:rPr>
              <w:t xml:space="preserve"> </w:t>
            </w:r>
            <w:r w:rsidRPr="0088364D">
              <w:rPr>
                <w:sz w:val="20"/>
                <w:szCs w:val="20"/>
              </w:rPr>
              <w:t>the</w:t>
            </w:r>
            <w:r w:rsidRPr="0088364D">
              <w:rPr>
                <w:spacing w:val="-7"/>
                <w:sz w:val="20"/>
                <w:szCs w:val="20"/>
              </w:rPr>
              <w:t xml:space="preserve"> </w:t>
            </w:r>
            <w:r w:rsidRPr="0088364D">
              <w:rPr>
                <w:sz w:val="20"/>
                <w:szCs w:val="20"/>
              </w:rPr>
              <w:t>Equality</w:t>
            </w:r>
            <w:r w:rsidRPr="0088364D">
              <w:rPr>
                <w:spacing w:val="-6"/>
                <w:sz w:val="20"/>
                <w:szCs w:val="20"/>
              </w:rPr>
              <w:t xml:space="preserve"> </w:t>
            </w:r>
            <w:r w:rsidRPr="0088364D">
              <w:rPr>
                <w:sz w:val="20"/>
                <w:szCs w:val="20"/>
              </w:rPr>
              <w:t>Act;</w:t>
            </w:r>
          </w:p>
          <w:p w14:paraId="6B84FF2C" w14:textId="77777777" w:rsidR="00DB7F92" w:rsidRPr="0088364D" w:rsidRDefault="00DB7F92" w:rsidP="00970B92">
            <w:pPr>
              <w:pStyle w:val="Heading4"/>
              <w:rPr>
                <w:sz w:val="20"/>
                <w:szCs w:val="20"/>
              </w:rPr>
            </w:pPr>
            <w:r w:rsidRPr="0088364D">
              <w:rPr>
                <w:sz w:val="20"/>
                <w:szCs w:val="20"/>
              </w:rPr>
              <w:t>advance</w:t>
            </w:r>
            <w:r w:rsidRPr="0088364D">
              <w:rPr>
                <w:spacing w:val="36"/>
                <w:sz w:val="20"/>
                <w:szCs w:val="20"/>
              </w:rPr>
              <w:t xml:space="preserve"> </w:t>
            </w:r>
            <w:r w:rsidRPr="0088364D">
              <w:rPr>
                <w:sz w:val="20"/>
                <w:szCs w:val="20"/>
              </w:rPr>
              <w:t>equality</w:t>
            </w:r>
            <w:r w:rsidRPr="0088364D">
              <w:rPr>
                <w:spacing w:val="37"/>
                <w:sz w:val="20"/>
                <w:szCs w:val="20"/>
              </w:rPr>
              <w:t xml:space="preserve"> </w:t>
            </w:r>
            <w:r w:rsidRPr="0088364D">
              <w:rPr>
                <w:sz w:val="20"/>
                <w:szCs w:val="20"/>
              </w:rPr>
              <w:t>of</w:t>
            </w:r>
            <w:r w:rsidRPr="0088364D">
              <w:rPr>
                <w:spacing w:val="37"/>
                <w:sz w:val="20"/>
                <w:szCs w:val="20"/>
              </w:rPr>
              <w:t xml:space="preserve"> </w:t>
            </w:r>
            <w:r w:rsidRPr="0088364D">
              <w:rPr>
                <w:sz w:val="20"/>
                <w:szCs w:val="20"/>
              </w:rPr>
              <w:t>opportunity</w:t>
            </w:r>
            <w:r w:rsidRPr="0088364D">
              <w:rPr>
                <w:spacing w:val="37"/>
                <w:sz w:val="20"/>
                <w:szCs w:val="20"/>
              </w:rPr>
              <w:t xml:space="preserve"> </w:t>
            </w:r>
            <w:r w:rsidRPr="0088364D">
              <w:rPr>
                <w:sz w:val="20"/>
                <w:szCs w:val="20"/>
              </w:rPr>
              <w:t>between</w:t>
            </w:r>
            <w:r w:rsidRPr="0088364D">
              <w:rPr>
                <w:spacing w:val="40"/>
                <w:sz w:val="20"/>
                <w:szCs w:val="20"/>
              </w:rPr>
              <w:t xml:space="preserve"> </w:t>
            </w:r>
            <w:r w:rsidRPr="0088364D">
              <w:rPr>
                <w:sz w:val="20"/>
                <w:szCs w:val="20"/>
              </w:rPr>
              <w:t>people</w:t>
            </w:r>
            <w:r w:rsidRPr="0088364D">
              <w:rPr>
                <w:spacing w:val="36"/>
                <w:sz w:val="20"/>
                <w:szCs w:val="20"/>
              </w:rPr>
              <w:t xml:space="preserve"> </w:t>
            </w:r>
            <w:r w:rsidRPr="0088364D">
              <w:rPr>
                <w:sz w:val="20"/>
                <w:szCs w:val="20"/>
              </w:rPr>
              <w:t>who</w:t>
            </w:r>
            <w:r w:rsidRPr="0088364D">
              <w:rPr>
                <w:spacing w:val="37"/>
                <w:sz w:val="20"/>
                <w:szCs w:val="20"/>
              </w:rPr>
              <w:t xml:space="preserve"> </w:t>
            </w:r>
            <w:r w:rsidRPr="0088364D">
              <w:rPr>
                <w:sz w:val="20"/>
                <w:szCs w:val="20"/>
              </w:rPr>
              <w:t>share</w:t>
            </w:r>
            <w:r w:rsidRPr="0088364D">
              <w:rPr>
                <w:spacing w:val="36"/>
                <w:sz w:val="20"/>
                <w:szCs w:val="20"/>
              </w:rPr>
              <w:t xml:space="preserve"> </w:t>
            </w:r>
            <w:r w:rsidRPr="0088364D">
              <w:rPr>
                <w:sz w:val="20"/>
                <w:szCs w:val="20"/>
              </w:rPr>
              <w:t>a</w:t>
            </w:r>
            <w:r w:rsidRPr="0088364D">
              <w:rPr>
                <w:spacing w:val="59"/>
                <w:w w:val="99"/>
                <w:sz w:val="20"/>
                <w:szCs w:val="20"/>
              </w:rPr>
              <w:t xml:space="preserve"> </w:t>
            </w:r>
            <w:r w:rsidRPr="0088364D">
              <w:rPr>
                <w:sz w:val="20"/>
                <w:szCs w:val="20"/>
              </w:rPr>
              <w:t>relevant</w:t>
            </w:r>
            <w:r w:rsidRPr="0088364D">
              <w:rPr>
                <w:spacing w:val="-3"/>
                <w:sz w:val="20"/>
                <w:szCs w:val="20"/>
              </w:rPr>
              <w:t xml:space="preserve"> </w:t>
            </w:r>
            <w:r w:rsidRPr="0088364D">
              <w:rPr>
                <w:sz w:val="20"/>
                <w:szCs w:val="20"/>
              </w:rPr>
              <w:t>protected</w:t>
            </w:r>
            <w:r w:rsidRPr="0088364D">
              <w:rPr>
                <w:spacing w:val="-4"/>
                <w:sz w:val="20"/>
                <w:szCs w:val="20"/>
              </w:rPr>
              <w:t xml:space="preserve"> </w:t>
            </w:r>
            <w:r w:rsidRPr="0088364D">
              <w:rPr>
                <w:sz w:val="20"/>
                <w:szCs w:val="20"/>
              </w:rPr>
              <w:t>characteristic</w:t>
            </w:r>
            <w:r w:rsidRPr="0088364D">
              <w:rPr>
                <w:spacing w:val="-4"/>
                <w:sz w:val="20"/>
                <w:szCs w:val="20"/>
              </w:rPr>
              <w:t xml:space="preserve"> </w:t>
            </w:r>
            <w:r w:rsidRPr="0088364D">
              <w:rPr>
                <w:sz w:val="20"/>
                <w:szCs w:val="20"/>
              </w:rPr>
              <w:t>and</w:t>
            </w:r>
            <w:r w:rsidRPr="0088364D">
              <w:rPr>
                <w:spacing w:val="-4"/>
                <w:sz w:val="20"/>
                <w:szCs w:val="20"/>
              </w:rPr>
              <w:t xml:space="preserve"> </w:t>
            </w:r>
            <w:r w:rsidRPr="0088364D">
              <w:rPr>
                <w:sz w:val="20"/>
                <w:szCs w:val="20"/>
              </w:rPr>
              <w:t>people</w:t>
            </w:r>
            <w:r w:rsidRPr="0088364D">
              <w:rPr>
                <w:spacing w:val="-4"/>
                <w:sz w:val="20"/>
                <w:szCs w:val="20"/>
              </w:rPr>
              <w:t xml:space="preserve"> </w:t>
            </w:r>
            <w:r w:rsidRPr="0088364D">
              <w:rPr>
                <w:sz w:val="20"/>
                <w:szCs w:val="20"/>
              </w:rPr>
              <w:t>who</w:t>
            </w:r>
            <w:r w:rsidRPr="0088364D">
              <w:rPr>
                <w:spacing w:val="-4"/>
                <w:sz w:val="20"/>
                <w:szCs w:val="20"/>
              </w:rPr>
              <w:t xml:space="preserve"> </w:t>
            </w:r>
            <w:r w:rsidRPr="0088364D">
              <w:rPr>
                <w:sz w:val="20"/>
                <w:szCs w:val="20"/>
              </w:rPr>
              <w:t>do</w:t>
            </w:r>
            <w:r w:rsidRPr="0088364D">
              <w:rPr>
                <w:spacing w:val="-3"/>
                <w:sz w:val="20"/>
                <w:szCs w:val="20"/>
              </w:rPr>
              <w:t xml:space="preserve"> </w:t>
            </w:r>
            <w:r w:rsidRPr="0088364D">
              <w:rPr>
                <w:sz w:val="20"/>
                <w:szCs w:val="20"/>
              </w:rPr>
              <w:t>not</w:t>
            </w:r>
            <w:r w:rsidRPr="0088364D">
              <w:rPr>
                <w:spacing w:val="-3"/>
                <w:sz w:val="20"/>
                <w:szCs w:val="20"/>
              </w:rPr>
              <w:t xml:space="preserve"> </w:t>
            </w:r>
            <w:r w:rsidRPr="0088364D">
              <w:rPr>
                <w:sz w:val="20"/>
                <w:szCs w:val="20"/>
              </w:rPr>
              <w:t>share</w:t>
            </w:r>
            <w:r w:rsidRPr="0088364D">
              <w:rPr>
                <w:spacing w:val="-4"/>
                <w:sz w:val="20"/>
                <w:szCs w:val="20"/>
              </w:rPr>
              <w:t xml:space="preserve"> </w:t>
            </w:r>
            <w:r w:rsidRPr="0088364D">
              <w:rPr>
                <w:sz w:val="20"/>
                <w:szCs w:val="20"/>
              </w:rPr>
              <w:t>it;</w:t>
            </w:r>
            <w:r w:rsidRPr="0088364D">
              <w:rPr>
                <w:spacing w:val="63"/>
                <w:sz w:val="20"/>
                <w:szCs w:val="20"/>
              </w:rPr>
              <w:t xml:space="preserve"> </w:t>
            </w:r>
            <w:r w:rsidRPr="0088364D">
              <w:rPr>
                <w:sz w:val="20"/>
                <w:szCs w:val="20"/>
              </w:rPr>
              <w:t>and</w:t>
            </w:r>
          </w:p>
          <w:p w14:paraId="683E2275" w14:textId="77777777" w:rsidR="00DB7F92" w:rsidRPr="0088364D" w:rsidRDefault="00DB7F92" w:rsidP="00970B92">
            <w:pPr>
              <w:pStyle w:val="Heading4"/>
              <w:rPr>
                <w:sz w:val="20"/>
                <w:szCs w:val="20"/>
              </w:rPr>
            </w:pPr>
            <w:r w:rsidRPr="0088364D">
              <w:rPr>
                <w:sz w:val="20"/>
                <w:szCs w:val="20"/>
              </w:rPr>
              <w:t>foster</w:t>
            </w:r>
            <w:r w:rsidRPr="0088364D">
              <w:rPr>
                <w:spacing w:val="56"/>
                <w:sz w:val="20"/>
                <w:szCs w:val="20"/>
              </w:rPr>
              <w:t xml:space="preserve"> </w:t>
            </w:r>
            <w:r w:rsidRPr="0088364D">
              <w:rPr>
                <w:sz w:val="20"/>
                <w:szCs w:val="20"/>
              </w:rPr>
              <w:t>good</w:t>
            </w:r>
            <w:r w:rsidRPr="0088364D">
              <w:rPr>
                <w:spacing w:val="56"/>
                <w:sz w:val="20"/>
                <w:szCs w:val="20"/>
              </w:rPr>
              <w:t xml:space="preserve"> </w:t>
            </w:r>
            <w:r w:rsidRPr="0088364D">
              <w:rPr>
                <w:sz w:val="20"/>
                <w:szCs w:val="20"/>
              </w:rPr>
              <w:t>relations</w:t>
            </w:r>
            <w:r w:rsidRPr="0088364D">
              <w:rPr>
                <w:spacing w:val="60"/>
                <w:sz w:val="20"/>
                <w:szCs w:val="20"/>
              </w:rPr>
              <w:t xml:space="preserve"> </w:t>
            </w:r>
            <w:r w:rsidRPr="0088364D">
              <w:rPr>
                <w:sz w:val="20"/>
                <w:szCs w:val="20"/>
              </w:rPr>
              <w:t>between</w:t>
            </w:r>
            <w:r w:rsidRPr="0088364D">
              <w:rPr>
                <w:spacing w:val="60"/>
                <w:sz w:val="20"/>
                <w:szCs w:val="20"/>
              </w:rPr>
              <w:t xml:space="preserve"> </w:t>
            </w:r>
            <w:r w:rsidRPr="0088364D">
              <w:rPr>
                <w:sz w:val="20"/>
                <w:szCs w:val="20"/>
              </w:rPr>
              <w:t>persons</w:t>
            </w:r>
            <w:r w:rsidRPr="0088364D">
              <w:rPr>
                <w:spacing w:val="58"/>
                <w:sz w:val="20"/>
                <w:szCs w:val="20"/>
              </w:rPr>
              <w:t xml:space="preserve"> </w:t>
            </w:r>
            <w:r w:rsidRPr="0088364D">
              <w:rPr>
                <w:sz w:val="20"/>
                <w:szCs w:val="20"/>
              </w:rPr>
              <w:t>who</w:t>
            </w:r>
            <w:r w:rsidRPr="0088364D">
              <w:rPr>
                <w:spacing w:val="59"/>
                <w:sz w:val="20"/>
                <w:szCs w:val="20"/>
              </w:rPr>
              <w:t xml:space="preserve"> </w:t>
            </w:r>
            <w:r w:rsidRPr="0088364D">
              <w:rPr>
                <w:sz w:val="20"/>
                <w:szCs w:val="20"/>
              </w:rPr>
              <w:t>share</w:t>
            </w:r>
            <w:r w:rsidRPr="0088364D">
              <w:rPr>
                <w:spacing w:val="56"/>
                <w:sz w:val="20"/>
                <w:szCs w:val="20"/>
              </w:rPr>
              <w:t xml:space="preserve"> </w:t>
            </w:r>
            <w:r w:rsidRPr="0088364D">
              <w:rPr>
                <w:sz w:val="20"/>
                <w:szCs w:val="20"/>
              </w:rPr>
              <w:t>a</w:t>
            </w:r>
            <w:r w:rsidRPr="0088364D">
              <w:rPr>
                <w:spacing w:val="57"/>
                <w:sz w:val="20"/>
                <w:szCs w:val="20"/>
              </w:rPr>
              <w:t xml:space="preserve"> </w:t>
            </w:r>
            <w:r w:rsidRPr="0088364D">
              <w:rPr>
                <w:sz w:val="20"/>
                <w:szCs w:val="20"/>
              </w:rPr>
              <w:t>relevant</w:t>
            </w:r>
            <w:r w:rsidRPr="0088364D">
              <w:rPr>
                <w:spacing w:val="59"/>
                <w:w w:val="99"/>
                <w:sz w:val="20"/>
                <w:szCs w:val="20"/>
              </w:rPr>
              <w:t xml:space="preserve"> </w:t>
            </w:r>
            <w:r w:rsidRPr="0088364D">
              <w:rPr>
                <w:sz w:val="20"/>
                <w:szCs w:val="20"/>
              </w:rPr>
              <w:t>protected</w:t>
            </w:r>
            <w:r w:rsidRPr="0088364D">
              <w:rPr>
                <w:spacing w:val="-6"/>
                <w:sz w:val="20"/>
                <w:szCs w:val="20"/>
              </w:rPr>
              <w:t xml:space="preserve"> </w:t>
            </w:r>
            <w:r w:rsidRPr="0088364D">
              <w:rPr>
                <w:sz w:val="20"/>
                <w:szCs w:val="20"/>
              </w:rPr>
              <w:t>characteristic</w:t>
            </w:r>
            <w:r w:rsidRPr="0088364D">
              <w:rPr>
                <w:spacing w:val="-4"/>
                <w:sz w:val="20"/>
                <w:szCs w:val="20"/>
              </w:rPr>
              <w:t xml:space="preserve"> </w:t>
            </w:r>
            <w:r w:rsidRPr="0088364D">
              <w:rPr>
                <w:sz w:val="20"/>
                <w:szCs w:val="20"/>
              </w:rPr>
              <w:t>and</w:t>
            </w:r>
            <w:r w:rsidRPr="0088364D">
              <w:rPr>
                <w:spacing w:val="-4"/>
                <w:sz w:val="20"/>
                <w:szCs w:val="20"/>
              </w:rPr>
              <w:t xml:space="preserve"> </w:t>
            </w:r>
            <w:r w:rsidRPr="0088364D">
              <w:rPr>
                <w:sz w:val="20"/>
                <w:szCs w:val="20"/>
              </w:rPr>
              <w:t>persons</w:t>
            </w:r>
            <w:r w:rsidRPr="0088364D">
              <w:rPr>
                <w:spacing w:val="-5"/>
                <w:sz w:val="20"/>
                <w:szCs w:val="20"/>
              </w:rPr>
              <w:t xml:space="preserve"> </w:t>
            </w:r>
            <w:r w:rsidRPr="0088364D">
              <w:rPr>
                <w:sz w:val="20"/>
                <w:szCs w:val="20"/>
              </w:rPr>
              <w:t>who</w:t>
            </w:r>
            <w:r w:rsidRPr="0088364D">
              <w:rPr>
                <w:spacing w:val="-4"/>
                <w:sz w:val="20"/>
                <w:szCs w:val="20"/>
              </w:rPr>
              <w:t xml:space="preserve"> </w:t>
            </w:r>
            <w:r w:rsidRPr="0088364D">
              <w:rPr>
                <w:sz w:val="20"/>
                <w:szCs w:val="20"/>
              </w:rPr>
              <w:t>do</w:t>
            </w:r>
            <w:r w:rsidRPr="0088364D">
              <w:rPr>
                <w:spacing w:val="-4"/>
                <w:sz w:val="20"/>
                <w:szCs w:val="20"/>
              </w:rPr>
              <w:t xml:space="preserve"> </w:t>
            </w:r>
            <w:r w:rsidRPr="0088364D">
              <w:rPr>
                <w:sz w:val="20"/>
                <w:szCs w:val="20"/>
              </w:rPr>
              <w:t>not</w:t>
            </w:r>
            <w:r w:rsidRPr="0088364D">
              <w:rPr>
                <w:spacing w:val="-5"/>
                <w:sz w:val="20"/>
                <w:szCs w:val="20"/>
              </w:rPr>
              <w:t xml:space="preserve"> </w:t>
            </w:r>
            <w:r w:rsidRPr="0088364D">
              <w:rPr>
                <w:sz w:val="20"/>
                <w:szCs w:val="20"/>
              </w:rPr>
              <w:t>share</w:t>
            </w:r>
            <w:r w:rsidRPr="0088364D">
              <w:rPr>
                <w:spacing w:val="-5"/>
                <w:sz w:val="20"/>
                <w:szCs w:val="20"/>
              </w:rPr>
              <w:t xml:space="preserve"> </w:t>
            </w:r>
            <w:r w:rsidRPr="0088364D">
              <w:rPr>
                <w:sz w:val="20"/>
                <w:szCs w:val="20"/>
              </w:rPr>
              <w:t>it.</w:t>
            </w:r>
          </w:p>
          <w:p w14:paraId="32BCDCDD" w14:textId="77777777" w:rsidR="00DB7F92" w:rsidRPr="0088364D" w:rsidRDefault="00DB7F92" w:rsidP="00970B92">
            <w:pPr>
              <w:pStyle w:val="Heading3"/>
              <w:numPr>
                <w:ilvl w:val="0"/>
                <w:numId w:val="0"/>
              </w:numPr>
              <w:ind w:left="720"/>
              <w:rPr>
                <w:sz w:val="20"/>
                <w:szCs w:val="20"/>
                <w:lang w:eastAsia="en-GB"/>
              </w:rPr>
            </w:pPr>
            <w:r w:rsidRPr="0088364D">
              <w:rPr>
                <w:sz w:val="20"/>
                <w:szCs w:val="20"/>
                <w:lang w:eastAsia="en-GB"/>
              </w:rPr>
              <w:t>This can require NHS England to take positive steps to reduce inequalities</w:t>
            </w:r>
          </w:p>
          <w:p w14:paraId="1271D584" w14:textId="77777777" w:rsidR="00DB7F92" w:rsidRPr="0088364D" w:rsidRDefault="00DB7F92" w:rsidP="00970B92">
            <w:pPr>
              <w:pStyle w:val="Heading3"/>
              <w:rPr>
                <w:rFonts w:cs="Arial"/>
                <w:sz w:val="20"/>
                <w:szCs w:val="20"/>
                <w:lang w:eastAsia="en-GB"/>
              </w:rPr>
            </w:pPr>
            <w:r w:rsidRPr="0088364D">
              <w:rPr>
                <w:rFonts w:cs="Arial"/>
                <w:sz w:val="20"/>
                <w:szCs w:val="20"/>
                <w:lang w:eastAsia="en-GB"/>
              </w:rPr>
              <w:t>The duty is known as the public sector equality duty or PSED (see section 149 of the Equality Act 2010).  The Equality Act 2010 also imposes (through Regulations made under the Act) particular inequality related duties on commissioners. Failure to comply with these specific duties will be unlawful.</w:t>
            </w:r>
          </w:p>
          <w:p w14:paraId="3418EA84" w14:textId="77777777" w:rsidR="00DB7F92" w:rsidRPr="0088364D" w:rsidRDefault="00DB7F92" w:rsidP="00DB7F92">
            <w:pPr>
              <w:widowControl w:val="0"/>
              <w:spacing w:before="162" w:after="120"/>
              <w:ind w:left="838" w:right="116"/>
              <w:jc w:val="both"/>
              <w:rPr>
                <w:rFonts w:cs="Arial"/>
                <w:bCs w:val="0"/>
                <w:sz w:val="20"/>
                <w:szCs w:val="20"/>
                <w:lang w:eastAsia="en-GB"/>
              </w:rPr>
            </w:pPr>
            <w:r w:rsidRPr="0088364D">
              <w:rPr>
                <w:rFonts w:cs="Arial"/>
                <w:b/>
                <w:bCs w:val="0"/>
                <w:sz w:val="20"/>
                <w:szCs w:val="20"/>
                <w:lang w:eastAsia="en-GB"/>
              </w:rPr>
              <w:t>b) NHS Act 2006 (as amended by the Health and Social Care Act 2012</w:t>
            </w:r>
            <w:r w:rsidRPr="0088364D">
              <w:rPr>
                <w:rFonts w:cs="Arial"/>
                <w:bCs w:val="0"/>
                <w:sz w:val="20"/>
                <w:szCs w:val="20"/>
                <w:lang w:eastAsia="en-GB"/>
              </w:rPr>
              <w:t xml:space="preserve">) </w:t>
            </w:r>
          </w:p>
          <w:p w14:paraId="6B3B6587" w14:textId="77777777" w:rsidR="00DD5D2D" w:rsidRPr="0088364D" w:rsidRDefault="00DD5D2D" w:rsidP="00DD5D2D">
            <w:pPr>
              <w:pStyle w:val="Heading3"/>
              <w:numPr>
                <w:ilvl w:val="0"/>
                <w:numId w:val="0"/>
              </w:numPr>
              <w:ind w:left="720"/>
              <w:rPr>
                <w:sz w:val="20"/>
                <w:szCs w:val="20"/>
                <w:lang w:eastAsia="en-GB"/>
              </w:rPr>
            </w:pPr>
          </w:p>
          <w:p w14:paraId="3AE9A152" w14:textId="77777777" w:rsidR="00DB7F92" w:rsidRPr="0088364D" w:rsidRDefault="00DB7F92" w:rsidP="00970B92">
            <w:pPr>
              <w:pStyle w:val="Heading3"/>
              <w:rPr>
                <w:sz w:val="20"/>
                <w:szCs w:val="20"/>
                <w:lang w:eastAsia="en-GB"/>
              </w:rPr>
            </w:pPr>
            <w:r w:rsidRPr="0088364D">
              <w:rPr>
                <w:sz w:val="20"/>
                <w:szCs w:val="20"/>
                <w:lang w:eastAsia="en-GB"/>
              </w:rPr>
              <w:t>Under the NHS Act 2006 (as amended by the Health and Social Care Act 2012) commissioners also have a duty to have regard to</w:t>
            </w:r>
            <w:r w:rsidRPr="0088364D">
              <w:rPr>
                <w:spacing w:val="16"/>
                <w:sz w:val="20"/>
                <w:szCs w:val="20"/>
                <w:lang w:eastAsia="en-GB"/>
              </w:rPr>
              <w:t xml:space="preserve"> </w:t>
            </w:r>
            <w:r w:rsidRPr="0088364D">
              <w:rPr>
                <w:spacing w:val="-1"/>
                <w:sz w:val="20"/>
                <w:szCs w:val="20"/>
                <w:lang w:eastAsia="en-GB"/>
              </w:rPr>
              <w:t>the</w:t>
            </w:r>
            <w:r w:rsidRPr="0088364D">
              <w:rPr>
                <w:spacing w:val="15"/>
                <w:sz w:val="20"/>
                <w:szCs w:val="20"/>
                <w:lang w:eastAsia="en-GB"/>
              </w:rPr>
              <w:t xml:space="preserve"> </w:t>
            </w:r>
            <w:r w:rsidRPr="0088364D">
              <w:rPr>
                <w:spacing w:val="-1"/>
                <w:sz w:val="20"/>
                <w:szCs w:val="20"/>
                <w:lang w:eastAsia="en-GB"/>
              </w:rPr>
              <w:t>need</w:t>
            </w:r>
            <w:r w:rsidRPr="0088364D">
              <w:rPr>
                <w:spacing w:val="80"/>
                <w:w w:val="99"/>
                <w:sz w:val="20"/>
                <w:szCs w:val="20"/>
                <w:lang w:eastAsia="en-GB"/>
              </w:rPr>
              <w:t xml:space="preserve"> </w:t>
            </w:r>
            <w:r w:rsidRPr="0088364D">
              <w:rPr>
                <w:spacing w:val="-1"/>
                <w:sz w:val="20"/>
                <w:szCs w:val="20"/>
                <w:lang w:eastAsia="en-GB"/>
              </w:rPr>
              <w:t>to:-</w:t>
            </w:r>
          </w:p>
          <w:p w14:paraId="2FDE98B0" w14:textId="77777777" w:rsidR="00DB7F92" w:rsidRPr="0088364D" w:rsidRDefault="00DB7F92" w:rsidP="00970B92">
            <w:pPr>
              <w:pStyle w:val="Heading4"/>
              <w:rPr>
                <w:sz w:val="20"/>
                <w:szCs w:val="20"/>
              </w:rPr>
            </w:pPr>
            <w:r w:rsidRPr="0088364D">
              <w:rPr>
                <w:sz w:val="20"/>
                <w:szCs w:val="20"/>
              </w:rPr>
              <w:t>reduce</w:t>
            </w:r>
            <w:r w:rsidRPr="0088364D">
              <w:rPr>
                <w:spacing w:val="24"/>
                <w:sz w:val="20"/>
                <w:szCs w:val="20"/>
              </w:rPr>
              <w:t xml:space="preserve"> </w:t>
            </w:r>
            <w:r w:rsidRPr="0088364D">
              <w:rPr>
                <w:sz w:val="20"/>
                <w:szCs w:val="20"/>
              </w:rPr>
              <w:t>inequalities</w:t>
            </w:r>
            <w:r w:rsidRPr="0088364D">
              <w:rPr>
                <w:spacing w:val="25"/>
                <w:sz w:val="20"/>
                <w:szCs w:val="20"/>
              </w:rPr>
              <w:t xml:space="preserve"> </w:t>
            </w:r>
            <w:r w:rsidRPr="0088364D">
              <w:rPr>
                <w:sz w:val="20"/>
                <w:szCs w:val="20"/>
              </w:rPr>
              <w:t>between</w:t>
            </w:r>
            <w:r w:rsidRPr="0088364D">
              <w:rPr>
                <w:spacing w:val="23"/>
                <w:sz w:val="20"/>
                <w:szCs w:val="20"/>
              </w:rPr>
              <w:t xml:space="preserve"> </w:t>
            </w:r>
            <w:r w:rsidRPr="0088364D">
              <w:rPr>
                <w:sz w:val="20"/>
                <w:szCs w:val="20"/>
              </w:rPr>
              <w:t>patients</w:t>
            </w:r>
            <w:r w:rsidRPr="0088364D">
              <w:rPr>
                <w:spacing w:val="25"/>
                <w:sz w:val="20"/>
                <w:szCs w:val="20"/>
              </w:rPr>
              <w:t xml:space="preserve"> </w:t>
            </w:r>
            <w:r w:rsidRPr="0088364D">
              <w:rPr>
                <w:sz w:val="20"/>
                <w:szCs w:val="20"/>
              </w:rPr>
              <w:t>with</w:t>
            </w:r>
            <w:r w:rsidRPr="0088364D">
              <w:rPr>
                <w:spacing w:val="23"/>
                <w:sz w:val="20"/>
                <w:szCs w:val="20"/>
              </w:rPr>
              <w:t xml:space="preserve"> </w:t>
            </w:r>
            <w:r w:rsidRPr="0088364D">
              <w:rPr>
                <w:sz w:val="20"/>
                <w:szCs w:val="20"/>
              </w:rPr>
              <w:t>respect</w:t>
            </w:r>
            <w:r w:rsidRPr="0088364D">
              <w:rPr>
                <w:spacing w:val="24"/>
                <w:sz w:val="20"/>
                <w:szCs w:val="20"/>
              </w:rPr>
              <w:t xml:space="preserve"> </w:t>
            </w:r>
            <w:r w:rsidRPr="0088364D">
              <w:rPr>
                <w:sz w:val="20"/>
                <w:szCs w:val="20"/>
              </w:rPr>
              <w:t>to</w:t>
            </w:r>
            <w:r w:rsidRPr="0088364D">
              <w:rPr>
                <w:spacing w:val="22"/>
                <w:sz w:val="20"/>
                <w:szCs w:val="20"/>
              </w:rPr>
              <w:t xml:space="preserve"> </w:t>
            </w:r>
            <w:r w:rsidRPr="0088364D">
              <w:rPr>
                <w:sz w:val="20"/>
                <w:szCs w:val="20"/>
              </w:rPr>
              <w:t>their</w:t>
            </w:r>
            <w:r w:rsidRPr="0088364D">
              <w:rPr>
                <w:spacing w:val="24"/>
                <w:sz w:val="20"/>
                <w:szCs w:val="20"/>
              </w:rPr>
              <w:t xml:space="preserve"> </w:t>
            </w:r>
            <w:r w:rsidRPr="0088364D">
              <w:rPr>
                <w:sz w:val="20"/>
                <w:szCs w:val="20"/>
              </w:rPr>
              <w:t>ability</w:t>
            </w:r>
            <w:r w:rsidRPr="0088364D">
              <w:rPr>
                <w:spacing w:val="61"/>
                <w:sz w:val="20"/>
                <w:szCs w:val="20"/>
              </w:rPr>
              <w:t xml:space="preserve"> </w:t>
            </w:r>
            <w:r w:rsidRPr="0088364D">
              <w:rPr>
                <w:sz w:val="20"/>
                <w:szCs w:val="20"/>
              </w:rPr>
              <w:t>to</w:t>
            </w:r>
            <w:r w:rsidRPr="0088364D">
              <w:rPr>
                <w:spacing w:val="-7"/>
                <w:sz w:val="20"/>
                <w:szCs w:val="20"/>
              </w:rPr>
              <w:t xml:space="preserve"> </w:t>
            </w:r>
            <w:r w:rsidRPr="0088364D">
              <w:rPr>
                <w:sz w:val="20"/>
                <w:szCs w:val="20"/>
              </w:rPr>
              <w:t>access</w:t>
            </w:r>
            <w:r w:rsidRPr="0088364D">
              <w:rPr>
                <w:spacing w:val="-5"/>
                <w:sz w:val="20"/>
                <w:szCs w:val="20"/>
              </w:rPr>
              <w:t xml:space="preserve"> </w:t>
            </w:r>
            <w:r w:rsidRPr="0088364D">
              <w:rPr>
                <w:sz w:val="20"/>
                <w:szCs w:val="20"/>
              </w:rPr>
              <w:t>health</w:t>
            </w:r>
            <w:r w:rsidRPr="0088364D">
              <w:rPr>
                <w:spacing w:val="-6"/>
                <w:sz w:val="20"/>
                <w:szCs w:val="20"/>
              </w:rPr>
              <w:t xml:space="preserve"> </w:t>
            </w:r>
            <w:r w:rsidRPr="0088364D">
              <w:rPr>
                <w:sz w:val="20"/>
                <w:szCs w:val="20"/>
              </w:rPr>
              <w:t>services;</w:t>
            </w:r>
            <w:r w:rsidRPr="0088364D">
              <w:rPr>
                <w:spacing w:val="-6"/>
                <w:sz w:val="20"/>
                <w:szCs w:val="20"/>
              </w:rPr>
              <w:t xml:space="preserve"> </w:t>
            </w:r>
            <w:r w:rsidRPr="0088364D">
              <w:rPr>
                <w:sz w:val="20"/>
                <w:szCs w:val="20"/>
              </w:rPr>
              <w:t>and</w:t>
            </w:r>
          </w:p>
          <w:p w14:paraId="09945FDF" w14:textId="77777777" w:rsidR="00DB7F92" w:rsidRPr="0088364D" w:rsidRDefault="00DB7F92" w:rsidP="00DD5D2D">
            <w:pPr>
              <w:pStyle w:val="Heading4"/>
              <w:rPr>
                <w:sz w:val="20"/>
                <w:szCs w:val="20"/>
              </w:rPr>
            </w:pPr>
            <w:r w:rsidRPr="0088364D">
              <w:rPr>
                <w:sz w:val="20"/>
                <w:szCs w:val="20"/>
              </w:rPr>
              <w:t>reduce</w:t>
            </w:r>
            <w:r w:rsidRPr="0088364D">
              <w:rPr>
                <w:sz w:val="20"/>
                <w:szCs w:val="20"/>
              </w:rPr>
              <w:tab/>
              <w:t>inequalities</w:t>
            </w:r>
            <w:r w:rsidRPr="0088364D">
              <w:rPr>
                <w:sz w:val="20"/>
                <w:szCs w:val="20"/>
              </w:rPr>
              <w:tab/>
              <w:t>between</w:t>
            </w:r>
            <w:r w:rsidRPr="0088364D">
              <w:rPr>
                <w:sz w:val="20"/>
                <w:szCs w:val="20"/>
              </w:rPr>
              <w:tab/>
              <w:t>patients</w:t>
            </w:r>
            <w:r w:rsidRPr="0088364D">
              <w:rPr>
                <w:sz w:val="20"/>
                <w:szCs w:val="20"/>
              </w:rPr>
              <w:tab/>
              <w:t>with</w:t>
            </w:r>
            <w:r w:rsidRPr="0088364D">
              <w:rPr>
                <w:sz w:val="20"/>
                <w:szCs w:val="20"/>
              </w:rPr>
              <w:tab/>
              <w:t>respect</w:t>
            </w:r>
            <w:r w:rsidRPr="0088364D">
              <w:rPr>
                <w:sz w:val="20"/>
                <w:szCs w:val="20"/>
              </w:rPr>
              <w:tab/>
              <w:t>to</w:t>
            </w:r>
            <w:r w:rsidRPr="0088364D">
              <w:rPr>
                <w:sz w:val="20"/>
                <w:szCs w:val="20"/>
              </w:rPr>
              <w:tab/>
              <w:t>the outcomes achieved for them by the provision of health services</w:t>
            </w:r>
          </w:p>
          <w:p w14:paraId="1C2EAFE0" w14:textId="77777777" w:rsidR="00DB7F92" w:rsidRPr="0088364D" w:rsidRDefault="00DB7F92" w:rsidP="00970B92">
            <w:pPr>
              <w:pStyle w:val="Heading4"/>
              <w:rPr>
                <w:sz w:val="20"/>
                <w:szCs w:val="20"/>
              </w:rPr>
            </w:pPr>
            <w:r w:rsidRPr="0088364D">
              <w:rPr>
                <w:sz w:val="20"/>
                <w:szCs w:val="20"/>
              </w:rPr>
              <w:t xml:space="preserve">(in respect of NHS England, see section 13G of the NHS Act 2006; and, in respect of CCGs, see section 14T of the NHS Act 2006) </w:t>
            </w:r>
          </w:p>
          <w:p w14:paraId="461DF140" w14:textId="77777777" w:rsidR="00DB7F92" w:rsidRPr="0088364D" w:rsidRDefault="00DB7F92" w:rsidP="00DB7F92">
            <w:pPr>
              <w:widowControl w:val="0"/>
              <w:tabs>
                <w:tab w:val="left" w:pos="2387"/>
                <w:tab w:val="left" w:pos="3307"/>
                <w:tab w:val="left" w:pos="4680"/>
                <w:tab w:val="left" w:pos="5779"/>
                <w:tab w:val="left" w:pos="6814"/>
                <w:tab w:val="left" w:pos="7462"/>
                <w:tab w:val="left" w:pos="8424"/>
                <w:tab w:val="left" w:pos="8854"/>
              </w:tabs>
              <w:spacing w:after="120"/>
              <w:ind w:left="1536" w:right="117"/>
              <w:jc w:val="both"/>
              <w:rPr>
                <w:rFonts w:cs="Arial"/>
                <w:bCs w:val="0"/>
                <w:sz w:val="20"/>
                <w:szCs w:val="20"/>
                <w:lang w:eastAsia="en-GB"/>
              </w:rPr>
            </w:pPr>
          </w:p>
          <w:p w14:paraId="05BD0C08" w14:textId="77777777" w:rsidR="00DB7F92" w:rsidRPr="0088364D" w:rsidRDefault="00DB7F92" w:rsidP="00DD5D2D">
            <w:pPr>
              <w:pStyle w:val="BodyText"/>
              <w:ind w:left="720"/>
              <w:rPr>
                <w:rFonts w:eastAsiaTheme="majorEastAsia" w:cs="Arial"/>
                <w:b/>
                <w:i/>
              </w:rPr>
            </w:pPr>
            <w:r w:rsidRPr="0088364D">
              <w:rPr>
                <w:rFonts w:eastAsiaTheme="majorEastAsia" w:cs="Arial"/>
                <w:b/>
                <w:i/>
              </w:rPr>
              <w:t>Other non-equality and health inequalities related duties</w:t>
            </w:r>
          </w:p>
          <w:p w14:paraId="6B500021" w14:textId="77777777" w:rsidR="00DD5D2D" w:rsidRPr="0088364D" w:rsidRDefault="00DD5D2D" w:rsidP="00836ECF">
            <w:pPr>
              <w:keepNext/>
              <w:keepLines/>
              <w:numPr>
                <w:ilvl w:val="6"/>
                <w:numId w:val="33"/>
              </w:numPr>
              <w:tabs>
                <w:tab w:val="num" w:pos="5761"/>
              </w:tabs>
              <w:spacing w:before="173"/>
              <w:ind w:left="439" w:hanging="720"/>
              <w:jc w:val="both"/>
              <w:outlineLvl w:val="6"/>
              <w:rPr>
                <w:rFonts w:eastAsiaTheme="majorEastAsia" w:cs="Arial"/>
                <w:b/>
                <w:i/>
                <w:iCs/>
                <w:color w:val="404040" w:themeColor="text1" w:themeTint="BF"/>
                <w:sz w:val="20"/>
                <w:szCs w:val="20"/>
              </w:rPr>
            </w:pPr>
          </w:p>
          <w:p w14:paraId="408331F9" w14:textId="77777777" w:rsidR="00DB7F92" w:rsidRPr="0088364D" w:rsidRDefault="00DB7F92" w:rsidP="00884224">
            <w:pPr>
              <w:keepNext/>
              <w:keepLines/>
              <w:spacing w:before="173"/>
              <w:ind w:left="13"/>
              <w:jc w:val="both"/>
              <w:outlineLvl w:val="6"/>
              <w:rPr>
                <w:rFonts w:eastAsiaTheme="majorEastAsia" w:cs="Arial"/>
                <w:b/>
                <w:i/>
                <w:iCs/>
                <w:color w:val="404040" w:themeColor="text1" w:themeTint="BF"/>
                <w:sz w:val="20"/>
                <w:szCs w:val="20"/>
              </w:rPr>
            </w:pPr>
            <w:r w:rsidRPr="0088364D">
              <w:rPr>
                <w:rFonts w:eastAsiaTheme="majorEastAsia" w:cs="Arial"/>
                <w:b/>
                <w:i/>
                <w:iCs/>
                <w:color w:val="404040" w:themeColor="text1" w:themeTint="BF"/>
                <w:spacing w:val="-1"/>
                <w:sz w:val="20"/>
                <w:szCs w:val="20"/>
              </w:rPr>
              <w:t>The "Regard</w:t>
            </w:r>
            <w:r w:rsidRPr="0088364D">
              <w:rPr>
                <w:rFonts w:eastAsiaTheme="majorEastAsia" w:cs="Arial"/>
                <w:b/>
                <w:i/>
                <w:iCs/>
                <w:color w:val="404040" w:themeColor="text1" w:themeTint="BF"/>
                <w:spacing w:val="-9"/>
                <w:sz w:val="20"/>
                <w:szCs w:val="20"/>
              </w:rPr>
              <w:t xml:space="preserve"> </w:t>
            </w:r>
            <w:r w:rsidRPr="0088364D">
              <w:rPr>
                <w:rFonts w:eastAsiaTheme="majorEastAsia" w:cs="Arial"/>
                <w:b/>
                <w:i/>
                <w:iCs/>
                <w:color w:val="404040" w:themeColor="text1" w:themeTint="BF"/>
                <w:sz w:val="20"/>
                <w:szCs w:val="20"/>
              </w:rPr>
              <w:t>Duties"</w:t>
            </w:r>
          </w:p>
          <w:p w14:paraId="1663013D" w14:textId="77777777" w:rsidR="00DD5D2D" w:rsidRPr="0088364D" w:rsidRDefault="00DD5D2D" w:rsidP="00836ECF">
            <w:pPr>
              <w:keepNext/>
              <w:keepLines/>
              <w:numPr>
                <w:ilvl w:val="6"/>
                <w:numId w:val="33"/>
              </w:numPr>
              <w:tabs>
                <w:tab w:val="num" w:pos="5761"/>
              </w:tabs>
              <w:spacing w:before="173"/>
              <w:ind w:left="439" w:hanging="720"/>
              <w:jc w:val="both"/>
              <w:outlineLvl w:val="6"/>
              <w:rPr>
                <w:rFonts w:eastAsiaTheme="majorEastAsia" w:cs="Arial"/>
                <w:b/>
                <w:i/>
                <w:iCs/>
                <w:color w:val="404040" w:themeColor="text1" w:themeTint="BF"/>
                <w:sz w:val="20"/>
                <w:szCs w:val="20"/>
              </w:rPr>
            </w:pPr>
          </w:p>
          <w:p w14:paraId="0420F79A" w14:textId="77777777" w:rsidR="00DB7F92" w:rsidRPr="0088364D" w:rsidRDefault="00DB7F92" w:rsidP="00970B92">
            <w:pPr>
              <w:pStyle w:val="Heading3"/>
              <w:rPr>
                <w:sz w:val="20"/>
                <w:szCs w:val="20"/>
                <w:lang w:eastAsia="en-GB"/>
              </w:rPr>
            </w:pPr>
            <w:r w:rsidRPr="0088364D">
              <w:rPr>
                <w:sz w:val="20"/>
                <w:szCs w:val="20"/>
                <w:lang w:eastAsia="en-GB"/>
              </w:rPr>
              <w:t>In addition to the above, there are other obligations on commissioners to "have regard" to particular factors.  These are set out in the NHS Act 2006 (as amended by the Health and Social Care Act 2012).  The other "Regard Duties" are:</w:t>
            </w:r>
          </w:p>
          <w:p w14:paraId="7FC76FC3" w14:textId="77777777" w:rsidR="00DB7F92" w:rsidRPr="0088364D" w:rsidRDefault="00DB7F92" w:rsidP="00970B92">
            <w:pPr>
              <w:pStyle w:val="Heading4"/>
              <w:rPr>
                <w:sz w:val="20"/>
                <w:szCs w:val="20"/>
              </w:rPr>
            </w:pPr>
            <w:r w:rsidRPr="0088364D">
              <w:rPr>
                <w:sz w:val="20"/>
                <w:szCs w:val="20"/>
              </w:rPr>
              <w:t>the duty</w:t>
            </w:r>
            <w:r w:rsidRPr="0088364D">
              <w:rPr>
                <w:spacing w:val="18"/>
                <w:sz w:val="20"/>
                <w:szCs w:val="20"/>
              </w:rPr>
              <w:t xml:space="preserve"> </w:t>
            </w:r>
            <w:r w:rsidRPr="0088364D">
              <w:rPr>
                <w:sz w:val="20"/>
                <w:szCs w:val="20"/>
              </w:rPr>
              <w:t>to</w:t>
            </w:r>
            <w:r w:rsidRPr="0088364D">
              <w:rPr>
                <w:spacing w:val="16"/>
                <w:sz w:val="20"/>
                <w:szCs w:val="20"/>
              </w:rPr>
              <w:t xml:space="preserve"> </w:t>
            </w:r>
            <w:r w:rsidRPr="0088364D">
              <w:rPr>
                <w:sz w:val="20"/>
                <w:szCs w:val="20"/>
              </w:rPr>
              <w:t>have</w:t>
            </w:r>
            <w:r w:rsidRPr="0088364D">
              <w:rPr>
                <w:spacing w:val="16"/>
                <w:sz w:val="20"/>
                <w:szCs w:val="20"/>
              </w:rPr>
              <w:t xml:space="preserve"> </w:t>
            </w:r>
            <w:r w:rsidRPr="0088364D">
              <w:rPr>
                <w:sz w:val="20"/>
                <w:szCs w:val="20"/>
              </w:rPr>
              <w:t>regard</w:t>
            </w:r>
            <w:r w:rsidRPr="0088364D">
              <w:rPr>
                <w:spacing w:val="17"/>
                <w:sz w:val="20"/>
                <w:szCs w:val="20"/>
              </w:rPr>
              <w:t xml:space="preserve"> </w:t>
            </w:r>
            <w:r w:rsidRPr="0088364D">
              <w:rPr>
                <w:sz w:val="20"/>
                <w:szCs w:val="20"/>
              </w:rPr>
              <w:t>to</w:t>
            </w:r>
            <w:r w:rsidRPr="0088364D">
              <w:rPr>
                <w:spacing w:val="16"/>
                <w:sz w:val="20"/>
                <w:szCs w:val="20"/>
              </w:rPr>
              <w:t xml:space="preserve"> </w:t>
            </w:r>
            <w:r w:rsidRPr="0088364D">
              <w:rPr>
                <w:sz w:val="20"/>
                <w:szCs w:val="20"/>
              </w:rPr>
              <w:t>the</w:t>
            </w:r>
            <w:r w:rsidRPr="0088364D">
              <w:rPr>
                <w:spacing w:val="16"/>
                <w:sz w:val="20"/>
                <w:szCs w:val="20"/>
              </w:rPr>
              <w:t xml:space="preserve"> </w:t>
            </w:r>
            <w:r w:rsidRPr="0088364D">
              <w:rPr>
                <w:sz w:val="20"/>
                <w:szCs w:val="20"/>
              </w:rPr>
              <w:t>desirability</w:t>
            </w:r>
            <w:r w:rsidRPr="0088364D">
              <w:rPr>
                <w:spacing w:val="18"/>
                <w:sz w:val="20"/>
                <w:szCs w:val="20"/>
              </w:rPr>
              <w:t xml:space="preserve"> </w:t>
            </w:r>
            <w:r w:rsidRPr="0088364D">
              <w:rPr>
                <w:sz w:val="20"/>
                <w:szCs w:val="20"/>
              </w:rPr>
              <w:t>of</w:t>
            </w:r>
            <w:r w:rsidRPr="0088364D">
              <w:rPr>
                <w:spacing w:val="18"/>
                <w:sz w:val="20"/>
                <w:szCs w:val="20"/>
              </w:rPr>
              <w:t xml:space="preserve"> </w:t>
            </w:r>
            <w:r w:rsidRPr="0088364D">
              <w:rPr>
                <w:sz w:val="20"/>
                <w:szCs w:val="20"/>
              </w:rPr>
              <w:t>allowing</w:t>
            </w:r>
            <w:r w:rsidRPr="0088364D">
              <w:rPr>
                <w:spacing w:val="17"/>
                <w:sz w:val="20"/>
                <w:szCs w:val="20"/>
              </w:rPr>
              <w:t xml:space="preserve"> </w:t>
            </w:r>
            <w:r w:rsidRPr="0088364D">
              <w:rPr>
                <w:sz w:val="20"/>
                <w:szCs w:val="20"/>
              </w:rPr>
              <w:t>others</w:t>
            </w:r>
            <w:r w:rsidRPr="0088364D">
              <w:rPr>
                <w:spacing w:val="18"/>
                <w:sz w:val="20"/>
                <w:szCs w:val="20"/>
              </w:rPr>
              <w:t xml:space="preserve"> </w:t>
            </w:r>
            <w:r w:rsidRPr="0088364D">
              <w:rPr>
                <w:sz w:val="20"/>
                <w:szCs w:val="20"/>
              </w:rPr>
              <w:t>in</w:t>
            </w:r>
            <w:r w:rsidRPr="0088364D">
              <w:rPr>
                <w:spacing w:val="54"/>
                <w:w w:val="99"/>
                <w:sz w:val="20"/>
                <w:szCs w:val="20"/>
              </w:rPr>
              <w:t xml:space="preserve"> </w:t>
            </w:r>
            <w:r w:rsidRPr="0088364D">
              <w:rPr>
                <w:sz w:val="20"/>
                <w:szCs w:val="20"/>
              </w:rPr>
              <w:t xml:space="preserve">the </w:t>
            </w:r>
            <w:r w:rsidRPr="0088364D">
              <w:rPr>
                <w:spacing w:val="36"/>
                <w:sz w:val="20"/>
                <w:szCs w:val="20"/>
              </w:rPr>
              <w:t xml:space="preserve"> </w:t>
            </w:r>
            <w:r w:rsidRPr="0088364D">
              <w:rPr>
                <w:sz w:val="20"/>
                <w:szCs w:val="20"/>
              </w:rPr>
              <w:t xml:space="preserve">healthcare </w:t>
            </w:r>
            <w:r w:rsidRPr="0088364D">
              <w:rPr>
                <w:spacing w:val="37"/>
                <w:sz w:val="20"/>
                <w:szCs w:val="20"/>
              </w:rPr>
              <w:t xml:space="preserve"> </w:t>
            </w:r>
            <w:r w:rsidRPr="0088364D">
              <w:rPr>
                <w:sz w:val="20"/>
                <w:szCs w:val="20"/>
              </w:rPr>
              <w:t xml:space="preserve">system </w:t>
            </w:r>
            <w:r w:rsidRPr="0088364D">
              <w:rPr>
                <w:spacing w:val="38"/>
                <w:sz w:val="20"/>
                <w:szCs w:val="20"/>
              </w:rPr>
              <w:t xml:space="preserve"> </w:t>
            </w:r>
            <w:r w:rsidRPr="0088364D">
              <w:rPr>
                <w:sz w:val="20"/>
                <w:szCs w:val="20"/>
              </w:rPr>
              <w:t xml:space="preserve">to </w:t>
            </w:r>
            <w:r w:rsidRPr="0088364D">
              <w:rPr>
                <w:spacing w:val="37"/>
                <w:sz w:val="20"/>
                <w:szCs w:val="20"/>
              </w:rPr>
              <w:t xml:space="preserve"> </w:t>
            </w:r>
            <w:r w:rsidRPr="0088364D">
              <w:rPr>
                <w:sz w:val="20"/>
                <w:szCs w:val="20"/>
              </w:rPr>
              <w:t xml:space="preserve">act </w:t>
            </w:r>
            <w:r w:rsidRPr="0088364D">
              <w:rPr>
                <w:spacing w:val="18"/>
                <w:sz w:val="20"/>
                <w:szCs w:val="20"/>
              </w:rPr>
              <w:t xml:space="preserve"> </w:t>
            </w:r>
            <w:r w:rsidRPr="0088364D">
              <w:rPr>
                <w:sz w:val="20"/>
                <w:szCs w:val="20"/>
              </w:rPr>
              <w:t xml:space="preserve">with </w:t>
            </w:r>
            <w:r w:rsidRPr="0088364D">
              <w:rPr>
                <w:spacing w:val="20"/>
                <w:sz w:val="20"/>
                <w:szCs w:val="20"/>
              </w:rPr>
              <w:t xml:space="preserve"> </w:t>
            </w:r>
            <w:r w:rsidRPr="0088364D">
              <w:rPr>
                <w:sz w:val="20"/>
                <w:szCs w:val="20"/>
              </w:rPr>
              <w:t xml:space="preserve">autonomy </w:t>
            </w:r>
            <w:r w:rsidRPr="0088364D">
              <w:rPr>
                <w:spacing w:val="18"/>
                <w:sz w:val="20"/>
                <w:szCs w:val="20"/>
              </w:rPr>
              <w:t xml:space="preserve"> </w:t>
            </w:r>
            <w:r w:rsidRPr="0088364D">
              <w:rPr>
                <w:sz w:val="20"/>
                <w:szCs w:val="20"/>
              </w:rPr>
              <w:t xml:space="preserve">and </w:t>
            </w:r>
            <w:r w:rsidRPr="0088364D">
              <w:rPr>
                <w:spacing w:val="19"/>
                <w:sz w:val="20"/>
                <w:szCs w:val="20"/>
              </w:rPr>
              <w:t xml:space="preserve"> </w:t>
            </w:r>
            <w:r w:rsidRPr="0088364D">
              <w:rPr>
                <w:sz w:val="20"/>
                <w:szCs w:val="20"/>
              </w:rPr>
              <w:t>avoid imposing</w:t>
            </w:r>
            <w:r w:rsidRPr="0088364D">
              <w:rPr>
                <w:spacing w:val="45"/>
                <w:sz w:val="20"/>
                <w:szCs w:val="20"/>
              </w:rPr>
              <w:t xml:space="preserve"> </w:t>
            </w:r>
            <w:r w:rsidRPr="0088364D">
              <w:rPr>
                <w:sz w:val="20"/>
                <w:szCs w:val="20"/>
              </w:rPr>
              <w:t>unnecessary</w:t>
            </w:r>
            <w:r w:rsidRPr="0088364D">
              <w:rPr>
                <w:spacing w:val="46"/>
                <w:sz w:val="20"/>
                <w:szCs w:val="20"/>
              </w:rPr>
              <w:t xml:space="preserve"> </w:t>
            </w:r>
            <w:r w:rsidRPr="0088364D">
              <w:rPr>
                <w:sz w:val="20"/>
                <w:szCs w:val="20"/>
              </w:rPr>
              <w:t>burdens</w:t>
            </w:r>
            <w:r w:rsidRPr="0088364D">
              <w:rPr>
                <w:spacing w:val="29"/>
                <w:sz w:val="20"/>
                <w:szCs w:val="20"/>
              </w:rPr>
              <w:t xml:space="preserve"> </w:t>
            </w:r>
            <w:r w:rsidRPr="0088364D">
              <w:rPr>
                <w:sz w:val="20"/>
                <w:szCs w:val="20"/>
              </w:rPr>
              <w:t>upon</w:t>
            </w:r>
            <w:r w:rsidRPr="0088364D">
              <w:rPr>
                <w:spacing w:val="49"/>
                <w:sz w:val="20"/>
                <w:szCs w:val="20"/>
              </w:rPr>
              <w:t xml:space="preserve"> </w:t>
            </w:r>
            <w:r w:rsidRPr="0088364D">
              <w:rPr>
                <w:sz w:val="20"/>
                <w:szCs w:val="20"/>
              </w:rPr>
              <w:t>them,</w:t>
            </w:r>
            <w:r w:rsidRPr="0088364D">
              <w:rPr>
                <w:spacing w:val="49"/>
                <w:sz w:val="20"/>
                <w:szCs w:val="20"/>
              </w:rPr>
              <w:t xml:space="preserve"> </w:t>
            </w:r>
            <w:r w:rsidRPr="0088364D">
              <w:rPr>
                <w:sz w:val="20"/>
                <w:szCs w:val="20"/>
              </w:rPr>
              <w:t>so</w:t>
            </w:r>
            <w:r w:rsidRPr="0088364D">
              <w:rPr>
                <w:spacing w:val="48"/>
                <w:sz w:val="20"/>
                <w:szCs w:val="20"/>
              </w:rPr>
              <w:t xml:space="preserve"> </w:t>
            </w:r>
            <w:r w:rsidRPr="0088364D">
              <w:rPr>
                <w:sz w:val="20"/>
                <w:szCs w:val="20"/>
              </w:rPr>
              <w:t>far</w:t>
            </w:r>
            <w:r w:rsidRPr="0088364D">
              <w:rPr>
                <w:spacing w:val="50"/>
                <w:sz w:val="20"/>
                <w:szCs w:val="20"/>
              </w:rPr>
              <w:t xml:space="preserve"> </w:t>
            </w:r>
            <w:r w:rsidRPr="0088364D">
              <w:rPr>
                <w:sz w:val="20"/>
                <w:szCs w:val="20"/>
              </w:rPr>
              <w:t>as</w:t>
            </w:r>
            <w:r w:rsidRPr="0088364D">
              <w:rPr>
                <w:spacing w:val="49"/>
                <w:sz w:val="20"/>
                <w:szCs w:val="20"/>
              </w:rPr>
              <w:t xml:space="preserve"> </w:t>
            </w:r>
            <w:r w:rsidRPr="0088364D">
              <w:rPr>
                <w:sz w:val="20"/>
                <w:szCs w:val="20"/>
              </w:rPr>
              <w:t>this</w:t>
            </w:r>
            <w:r w:rsidRPr="0088364D">
              <w:rPr>
                <w:spacing w:val="47"/>
                <w:sz w:val="20"/>
                <w:szCs w:val="20"/>
              </w:rPr>
              <w:t xml:space="preserve"> </w:t>
            </w:r>
            <w:r w:rsidRPr="0088364D">
              <w:rPr>
                <w:sz w:val="20"/>
                <w:szCs w:val="20"/>
              </w:rPr>
              <w:t>is consistent</w:t>
            </w:r>
            <w:r w:rsidRPr="0088364D">
              <w:rPr>
                <w:spacing w:val="38"/>
                <w:sz w:val="20"/>
                <w:szCs w:val="20"/>
              </w:rPr>
              <w:t xml:space="preserve"> </w:t>
            </w:r>
            <w:r w:rsidRPr="0088364D">
              <w:rPr>
                <w:sz w:val="20"/>
                <w:szCs w:val="20"/>
              </w:rPr>
              <w:t>with</w:t>
            </w:r>
            <w:r w:rsidRPr="0088364D">
              <w:rPr>
                <w:spacing w:val="38"/>
                <w:sz w:val="20"/>
                <w:szCs w:val="20"/>
              </w:rPr>
              <w:t xml:space="preserve"> </w:t>
            </w:r>
            <w:r w:rsidRPr="0088364D">
              <w:rPr>
                <w:sz w:val="20"/>
                <w:szCs w:val="20"/>
              </w:rPr>
              <w:t>the</w:t>
            </w:r>
            <w:r w:rsidRPr="0088364D">
              <w:rPr>
                <w:spacing w:val="36"/>
                <w:sz w:val="20"/>
                <w:szCs w:val="20"/>
              </w:rPr>
              <w:t xml:space="preserve"> </w:t>
            </w:r>
            <w:r w:rsidRPr="0088364D">
              <w:rPr>
                <w:sz w:val="20"/>
                <w:szCs w:val="20"/>
              </w:rPr>
              <w:t>interests</w:t>
            </w:r>
            <w:r w:rsidRPr="0088364D">
              <w:rPr>
                <w:spacing w:val="39"/>
                <w:sz w:val="20"/>
                <w:szCs w:val="20"/>
              </w:rPr>
              <w:t xml:space="preserve"> </w:t>
            </w:r>
            <w:r w:rsidRPr="0088364D">
              <w:rPr>
                <w:sz w:val="20"/>
                <w:szCs w:val="20"/>
              </w:rPr>
              <w:t>of</w:t>
            </w:r>
            <w:r w:rsidRPr="0088364D">
              <w:rPr>
                <w:spacing w:val="36"/>
                <w:sz w:val="20"/>
                <w:szCs w:val="20"/>
              </w:rPr>
              <w:t xml:space="preserve"> </w:t>
            </w:r>
            <w:r w:rsidRPr="0088364D">
              <w:rPr>
                <w:sz w:val="20"/>
                <w:szCs w:val="20"/>
              </w:rPr>
              <w:t>the</w:t>
            </w:r>
            <w:r w:rsidRPr="0088364D">
              <w:rPr>
                <w:spacing w:val="37"/>
                <w:sz w:val="20"/>
                <w:szCs w:val="20"/>
              </w:rPr>
              <w:t xml:space="preserve"> </w:t>
            </w:r>
            <w:r w:rsidRPr="0088364D">
              <w:rPr>
                <w:sz w:val="20"/>
                <w:szCs w:val="20"/>
              </w:rPr>
              <w:t>health</w:t>
            </w:r>
            <w:r w:rsidRPr="0088364D">
              <w:rPr>
                <w:spacing w:val="37"/>
                <w:sz w:val="20"/>
                <w:szCs w:val="20"/>
              </w:rPr>
              <w:t xml:space="preserve"> </w:t>
            </w:r>
            <w:r w:rsidRPr="0088364D">
              <w:rPr>
                <w:sz w:val="20"/>
                <w:szCs w:val="20"/>
              </w:rPr>
              <w:t>service</w:t>
            </w:r>
            <w:r w:rsidRPr="0088364D">
              <w:rPr>
                <w:spacing w:val="37"/>
                <w:sz w:val="20"/>
                <w:szCs w:val="20"/>
              </w:rPr>
              <w:t xml:space="preserve"> </w:t>
            </w:r>
            <w:r w:rsidRPr="0088364D">
              <w:rPr>
                <w:sz w:val="20"/>
                <w:szCs w:val="20"/>
              </w:rPr>
              <w:t>(in respect of NHS England, see</w:t>
            </w:r>
            <w:r w:rsidRPr="0088364D">
              <w:rPr>
                <w:spacing w:val="37"/>
                <w:sz w:val="20"/>
                <w:szCs w:val="20"/>
              </w:rPr>
              <w:t xml:space="preserve"> </w:t>
            </w:r>
            <w:r w:rsidRPr="0088364D">
              <w:rPr>
                <w:sz w:val="20"/>
                <w:szCs w:val="20"/>
              </w:rPr>
              <w:t>section</w:t>
            </w:r>
            <w:r w:rsidRPr="0088364D">
              <w:rPr>
                <w:spacing w:val="57"/>
                <w:sz w:val="20"/>
                <w:szCs w:val="20"/>
              </w:rPr>
              <w:t xml:space="preserve"> </w:t>
            </w:r>
            <w:r w:rsidRPr="0088364D">
              <w:rPr>
                <w:sz w:val="20"/>
                <w:szCs w:val="20"/>
              </w:rPr>
              <w:t>13F</w:t>
            </w:r>
            <w:r w:rsidRPr="0088364D">
              <w:rPr>
                <w:spacing w:val="-4"/>
                <w:sz w:val="20"/>
                <w:szCs w:val="20"/>
              </w:rPr>
              <w:t xml:space="preserve"> </w:t>
            </w:r>
            <w:r w:rsidRPr="0088364D">
              <w:rPr>
                <w:sz w:val="20"/>
                <w:szCs w:val="20"/>
              </w:rPr>
              <w:t>of</w:t>
            </w:r>
            <w:r w:rsidRPr="0088364D">
              <w:rPr>
                <w:spacing w:val="-6"/>
                <w:sz w:val="20"/>
                <w:szCs w:val="20"/>
              </w:rPr>
              <w:t xml:space="preserve"> </w:t>
            </w:r>
            <w:r w:rsidRPr="0088364D">
              <w:rPr>
                <w:sz w:val="20"/>
                <w:szCs w:val="20"/>
              </w:rPr>
              <w:t>the</w:t>
            </w:r>
            <w:r w:rsidRPr="0088364D">
              <w:rPr>
                <w:spacing w:val="-5"/>
                <w:sz w:val="20"/>
                <w:szCs w:val="20"/>
              </w:rPr>
              <w:t xml:space="preserve"> </w:t>
            </w:r>
            <w:r w:rsidRPr="0088364D">
              <w:rPr>
                <w:sz w:val="20"/>
                <w:szCs w:val="20"/>
              </w:rPr>
              <w:t>NHS</w:t>
            </w:r>
            <w:r w:rsidRPr="0088364D">
              <w:rPr>
                <w:spacing w:val="-4"/>
                <w:sz w:val="20"/>
                <w:szCs w:val="20"/>
              </w:rPr>
              <w:t xml:space="preserve"> </w:t>
            </w:r>
            <w:r w:rsidRPr="0088364D">
              <w:rPr>
                <w:sz w:val="20"/>
                <w:szCs w:val="20"/>
              </w:rPr>
              <w:t>Act</w:t>
            </w:r>
            <w:r w:rsidRPr="0088364D">
              <w:rPr>
                <w:spacing w:val="-4"/>
                <w:sz w:val="20"/>
                <w:szCs w:val="20"/>
              </w:rPr>
              <w:t xml:space="preserve"> </w:t>
            </w:r>
            <w:r w:rsidRPr="0088364D">
              <w:rPr>
                <w:sz w:val="20"/>
                <w:szCs w:val="20"/>
              </w:rPr>
              <w:t>2006)</w:t>
            </w:r>
          </w:p>
          <w:p w14:paraId="21177B1C" w14:textId="77777777" w:rsidR="00DB7F92" w:rsidRPr="0088364D" w:rsidRDefault="00DB7F92" w:rsidP="00970B92">
            <w:pPr>
              <w:pStyle w:val="Heading4"/>
              <w:rPr>
                <w:sz w:val="20"/>
                <w:szCs w:val="20"/>
              </w:rPr>
            </w:pPr>
            <w:r w:rsidRPr="0088364D">
              <w:rPr>
                <w:sz w:val="20"/>
                <w:szCs w:val="20"/>
              </w:rPr>
              <w:t>the duty</w:t>
            </w:r>
            <w:r w:rsidRPr="0088364D">
              <w:rPr>
                <w:spacing w:val="14"/>
                <w:sz w:val="20"/>
                <w:szCs w:val="20"/>
              </w:rPr>
              <w:t xml:space="preserve"> </w:t>
            </w:r>
            <w:r w:rsidRPr="0088364D">
              <w:rPr>
                <w:sz w:val="20"/>
                <w:szCs w:val="20"/>
              </w:rPr>
              <w:t>to</w:t>
            </w:r>
            <w:r w:rsidRPr="0088364D">
              <w:rPr>
                <w:spacing w:val="13"/>
                <w:sz w:val="20"/>
                <w:szCs w:val="20"/>
              </w:rPr>
              <w:t xml:space="preserve"> </w:t>
            </w:r>
            <w:r w:rsidRPr="0088364D">
              <w:rPr>
                <w:sz w:val="20"/>
                <w:szCs w:val="20"/>
              </w:rPr>
              <w:t>have</w:t>
            </w:r>
            <w:r w:rsidRPr="0088364D">
              <w:rPr>
                <w:spacing w:val="11"/>
                <w:sz w:val="20"/>
                <w:szCs w:val="20"/>
              </w:rPr>
              <w:t xml:space="preserve"> </w:t>
            </w:r>
            <w:r w:rsidRPr="0088364D">
              <w:rPr>
                <w:sz w:val="20"/>
                <w:szCs w:val="20"/>
              </w:rPr>
              <w:t>regard</w:t>
            </w:r>
            <w:r w:rsidRPr="0088364D">
              <w:rPr>
                <w:spacing w:val="12"/>
                <w:sz w:val="20"/>
                <w:szCs w:val="20"/>
              </w:rPr>
              <w:t xml:space="preserve"> </w:t>
            </w:r>
            <w:r w:rsidRPr="0088364D">
              <w:rPr>
                <w:sz w:val="20"/>
                <w:szCs w:val="20"/>
              </w:rPr>
              <w:t>to</w:t>
            </w:r>
            <w:r w:rsidRPr="0088364D">
              <w:rPr>
                <w:spacing w:val="13"/>
                <w:sz w:val="20"/>
                <w:szCs w:val="20"/>
              </w:rPr>
              <w:t xml:space="preserve"> </w:t>
            </w:r>
            <w:r w:rsidRPr="0088364D">
              <w:rPr>
                <w:sz w:val="20"/>
                <w:szCs w:val="20"/>
              </w:rPr>
              <w:t>the</w:t>
            </w:r>
            <w:r w:rsidRPr="0088364D">
              <w:rPr>
                <w:spacing w:val="11"/>
                <w:sz w:val="20"/>
                <w:szCs w:val="20"/>
              </w:rPr>
              <w:t xml:space="preserve"> </w:t>
            </w:r>
            <w:r w:rsidRPr="0088364D">
              <w:rPr>
                <w:sz w:val="20"/>
                <w:szCs w:val="20"/>
              </w:rPr>
              <w:t>need</w:t>
            </w:r>
            <w:r w:rsidRPr="0088364D">
              <w:rPr>
                <w:spacing w:val="12"/>
                <w:sz w:val="20"/>
                <w:szCs w:val="20"/>
              </w:rPr>
              <w:t xml:space="preserve"> </w:t>
            </w:r>
            <w:r w:rsidRPr="0088364D">
              <w:rPr>
                <w:spacing w:val="1"/>
                <w:sz w:val="20"/>
                <w:szCs w:val="20"/>
              </w:rPr>
              <w:t>to</w:t>
            </w:r>
            <w:r w:rsidRPr="0088364D">
              <w:rPr>
                <w:spacing w:val="13"/>
                <w:sz w:val="20"/>
                <w:szCs w:val="20"/>
              </w:rPr>
              <w:t xml:space="preserve"> </w:t>
            </w:r>
            <w:r w:rsidRPr="0088364D">
              <w:rPr>
                <w:sz w:val="20"/>
                <w:szCs w:val="20"/>
              </w:rPr>
              <w:t>promote</w:t>
            </w:r>
            <w:r w:rsidRPr="0088364D">
              <w:rPr>
                <w:spacing w:val="11"/>
                <w:sz w:val="20"/>
                <w:szCs w:val="20"/>
              </w:rPr>
              <w:t xml:space="preserve"> </w:t>
            </w:r>
            <w:r w:rsidRPr="0088364D">
              <w:rPr>
                <w:sz w:val="20"/>
                <w:szCs w:val="20"/>
              </w:rPr>
              <w:t>education</w:t>
            </w:r>
            <w:r w:rsidRPr="0088364D">
              <w:rPr>
                <w:spacing w:val="13"/>
                <w:sz w:val="20"/>
                <w:szCs w:val="20"/>
              </w:rPr>
              <w:t xml:space="preserve"> </w:t>
            </w:r>
            <w:r w:rsidRPr="0088364D">
              <w:rPr>
                <w:sz w:val="20"/>
                <w:szCs w:val="20"/>
              </w:rPr>
              <w:t>and</w:t>
            </w:r>
            <w:r w:rsidRPr="0088364D">
              <w:rPr>
                <w:spacing w:val="39"/>
                <w:sz w:val="20"/>
                <w:szCs w:val="20"/>
              </w:rPr>
              <w:t xml:space="preserve"> </w:t>
            </w:r>
            <w:r w:rsidRPr="0088364D">
              <w:rPr>
                <w:sz w:val="20"/>
                <w:szCs w:val="20"/>
              </w:rPr>
              <w:t>training</w:t>
            </w:r>
            <w:r w:rsidRPr="0088364D">
              <w:rPr>
                <w:spacing w:val="-4"/>
                <w:sz w:val="20"/>
                <w:szCs w:val="20"/>
              </w:rPr>
              <w:t xml:space="preserve"> </w:t>
            </w:r>
            <w:r w:rsidRPr="0088364D">
              <w:rPr>
                <w:sz w:val="20"/>
                <w:szCs w:val="20"/>
              </w:rPr>
              <w:t>of</w:t>
            </w:r>
            <w:r w:rsidRPr="0088364D">
              <w:rPr>
                <w:spacing w:val="-6"/>
                <w:sz w:val="20"/>
                <w:szCs w:val="20"/>
              </w:rPr>
              <w:t xml:space="preserve"> </w:t>
            </w:r>
            <w:r w:rsidRPr="0088364D">
              <w:rPr>
                <w:sz w:val="20"/>
                <w:szCs w:val="20"/>
              </w:rPr>
              <w:t>those</w:t>
            </w:r>
            <w:r w:rsidRPr="0088364D">
              <w:rPr>
                <w:spacing w:val="-3"/>
                <w:sz w:val="20"/>
                <w:szCs w:val="20"/>
              </w:rPr>
              <w:t xml:space="preserve"> </w:t>
            </w:r>
            <w:r w:rsidRPr="0088364D">
              <w:rPr>
                <w:sz w:val="20"/>
                <w:szCs w:val="20"/>
              </w:rPr>
              <w:t>working</w:t>
            </w:r>
            <w:r w:rsidRPr="0088364D">
              <w:rPr>
                <w:spacing w:val="-5"/>
                <w:sz w:val="20"/>
                <w:szCs w:val="20"/>
              </w:rPr>
              <w:t xml:space="preserve"> </w:t>
            </w:r>
            <w:r w:rsidRPr="0088364D">
              <w:rPr>
                <w:sz w:val="20"/>
                <w:szCs w:val="20"/>
              </w:rPr>
              <w:t>within</w:t>
            </w:r>
            <w:r w:rsidRPr="0088364D">
              <w:rPr>
                <w:spacing w:val="-2"/>
                <w:sz w:val="20"/>
                <w:szCs w:val="20"/>
              </w:rPr>
              <w:t xml:space="preserve"> </w:t>
            </w:r>
            <w:r w:rsidRPr="0088364D">
              <w:rPr>
                <w:sz w:val="20"/>
                <w:szCs w:val="20"/>
              </w:rPr>
              <w:t>(or</w:t>
            </w:r>
            <w:r w:rsidRPr="0088364D">
              <w:rPr>
                <w:spacing w:val="-2"/>
                <w:sz w:val="20"/>
                <w:szCs w:val="20"/>
              </w:rPr>
              <w:t xml:space="preserve"> </w:t>
            </w:r>
            <w:r w:rsidRPr="0088364D">
              <w:rPr>
                <w:sz w:val="20"/>
                <w:szCs w:val="20"/>
              </w:rPr>
              <w:t>intending</w:t>
            </w:r>
            <w:r w:rsidRPr="0088364D">
              <w:rPr>
                <w:spacing w:val="-5"/>
                <w:sz w:val="20"/>
                <w:szCs w:val="20"/>
              </w:rPr>
              <w:t xml:space="preserve"> </w:t>
            </w:r>
            <w:r w:rsidRPr="0088364D">
              <w:rPr>
                <w:spacing w:val="1"/>
                <w:sz w:val="20"/>
                <w:szCs w:val="20"/>
              </w:rPr>
              <w:t>to</w:t>
            </w:r>
            <w:r w:rsidRPr="0088364D">
              <w:rPr>
                <w:spacing w:val="-5"/>
                <w:sz w:val="20"/>
                <w:szCs w:val="20"/>
              </w:rPr>
              <w:t xml:space="preserve"> </w:t>
            </w:r>
            <w:r w:rsidRPr="0088364D">
              <w:rPr>
                <w:sz w:val="20"/>
                <w:szCs w:val="20"/>
              </w:rPr>
              <w:t>work</w:t>
            </w:r>
            <w:r w:rsidRPr="0088364D">
              <w:rPr>
                <w:spacing w:val="-4"/>
                <w:sz w:val="20"/>
                <w:szCs w:val="20"/>
              </w:rPr>
              <w:t xml:space="preserve"> </w:t>
            </w:r>
            <w:r w:rsidRPr="0088364D">
              <w:rPr>
                <w:sz w:val="20"/>
                <w:szCs w:val="20"/>
              </w:rPr>
              <w:t>within)</w:t>
            </w:r>
            <w:r w:rsidRPr="0088364D">
              <w:rPr>
                <w:spacing w:val="-3"/>
                <w:sz w:val="20"/>
                <w:szCs w:val="20"/>
              </w:rPr>
              <w:t xml:space="preserve"> </w:t>
            </w:r>
            <w:r w:rsidRPr="0088364D">
              <w:rPr>
                <w:sz w:val="20"/>
                <w:szCs w:val="20"/>
              </w:rPr>
              <w:t>the</w:t>
            </w:r>
            <w:r w:rsidRPr="0088364D">
              <w:rPr>
                <w:spacing w:val="77"/>
                <w:w w:val="99"/>
                <w:sz w:val="20"/>
                <w:szCs w:val="20"/>
              </w:rPr>
              <w:t xml:space="preserve"> </w:t>
            </w:r>
            <w:r w:rsidRPr="0088364D">
              <w:rPr>
                <w:sz w:val="20"/>
                <w:szCs w:val="20"/>
              </w:rPr>
              <w:t>health</w:t>
            </w:r>
            <w:r w:rsidRPr="0088364D">
              <w:rPr>
                <w:spacing w:val="-6"/>
                <w:sz w:val="20"/>
                <w:szCs w:val="20"/>
              </w:rPr>
              <w:t xml:space="preserve"> </w:t>
            </w:r>
            <w:r w:rsidRPr="0088364D">
              <w:rPr>
                <w:sz w:val="20"/>
                <w:szCs w:val="20"/>
              </w:rPr>
              <w:t>service</w:t>
            </w:r>
            <w:r w:rsidRPr="0088364D">
              <w:rPr>
                <w:spacing w:val="-5"/>
                <w:sz w:val="20"/>
                <w:szCs w:val="20"/>
              </w:rPr>
              <w:t xml:space="preserve"> </w:t>
            </w:r>
            <w:r w:rsidRPr="0088364D">
              <w:rPr>
                <w:sz w:val="20"/>
                <w:szCs w:val="20"/>
              </w:rPr>
              <w:t>(in respect of NHS England, see</w:t>
            </w:r>
            <w:r w:rsidRPr="0088364D">
              <w:rPr>
                <w:spacing w:val="-5"/>
                <w:sz w:val="20"/>
                <w:szCs w:val="20"/>
              </w:rPr>
              <w:t xml:space="preserve"> </w:t>
            </w:r>
            <w:r w:rsidRPr="0088364D">
              <w:rPr>
                <w:sz w:val="20"/>
                <w:szCs w:val="20"/>
              </w:rPr>
              <w:t>section</w:t>
            </w:r>
            <w:r w:rsidRPr="0088364D">
              <w:rPr>
                <w:spacing w:val="-5"/>
                <w:sz w:val="20"/>
                <w:szCs w:val="20"/>
              </w:rPr>
              <w:t xml:space="preserve"> </w:t>
            </w:r>
            <w:r w:rsidRPr="0088364D">
              <w:rPr>
                <w:sz w:val="20"/>
                <w:szCs w:val="20"/>
              </w:rPr>
              <w:t>13M</w:t>
            </w:r>
            <w:r w:rsidRPr="0088364D">
              <w:rPr>
                <w:spacing w:val="-4"/>
                <w:sz w:val="20"/>
                <w:szCs w:val="20"/>
              </w:rPr>
              <w:t xml:space="preserve"> </w:t>
            </w:r>
            <w:r w:rsidRPr="0088364D">
              <w:rPr>
                <w:sz w:val="20"/>
                <w:szCs w:val="20"/>
              </w:rPr>
              <w:t>of</w:t>
            </w:r>
            <w:r w:rsidRPr="0088364D">
              <w:rPr>
                <w:spacing w:val="-6"/>
                <w:sz w:val="20"/>
                <w:szCs w:val="20"/>
              </w:rPr>
              <w:t xml:space="preserve"> </w:t>
            </w:r>
            <w:r w:rsidRPr="0088364D">
              <w:rPr>
                <w:sz w:val="20"/>
                <w:szCs w:val="20"/>
              </w:rPr>
              <w:t>the</w:t>
            </w:r>
            <w:r w:rsidRPr="0088364D">
              <w:rPr>
                <w:spacing w:val="-3"/>
                <w:sz w:val="20"/>
                <w:szCs w:val="20"/>
              </w:rPr>
              <w:t xml:space="preserve"> </w:t>
            </w:r>
            <w:r w:rsidRPr="0088364D">
              <w:rPr>
                <w:sz w:val="20"/>
                <w:szCs w:val="20"/>
              </w:rPr>
              <w:t>NHS</w:t>
            </w:r>
            <w:r w:rsidRPr="0088364D">
              <w:rPr>
                <w:spacing w:val="-3"/>
                <w:sz w:val="20"/>
                <w:szCs w:val="20"/>
              </w:rPr>
              <w:t xml:space="preserve"> </w:t>
            </w:r>
            <w:r w:rsidRPr="0088364D">
              <w:rPr>
                <w:sz w:val="20"/>
                <w:szCs w:val="20"/>
              </w:rPr>
              <w:t>Act</w:t>
            </w:r>
            <w:r w:rsidRPr="0088364D">
              <w:rPr>
                <w:spacing w:val="-3"/>
                <w:sz w:val="20"/>
                <w:szCs w:val="20"/>
              </w:rPr>
              <w:t xml:space="preserve"> </w:t>
            </w:r>
            <w:r w:rsidRPr="0088364D">
              <w:rPr>
                <w:sz w:val="20"/>
                <w:szCs w:val="20"/>
              </w:rPr>
              <w:t>2006; and, in respect of CCGs, see section 14Z of the NHS Act 2006)</w:t>
            </w:r>
          </w:p>
          <w:p w14:paraId="1CDAB0F9" w14:textId="77777777" w:rsidR="00DB7F92" w:rsidRPr="0088364D" w:rsidRDefault="00DB7F92" w:rsidP="00970B92">
            <w:pPr>
              <w:pStyle w:val="Heading4"/>
              <w:rPr>
                <w:sz w:val="20"/>
                <w:szCs w:val="20"/>
              </w:rPr>
            </w:pPr>
            <w:r w:rsidRPr="0088364D">
              <w:rPr>
                <w:sz w:val="20"/>
                <w:szCs w:val="20"/>
              </w:rPr>
              <w:t>the duty</w:t>
            </w:r>
            <w:r w:rsidRPr="0088364D">
              <w:rPr>
                <w:spacing w:val="13"/>
                <w:sz w:val="20"/>
                <w:szCs w:val="20"/>
              </w:rPr>
              <w:t xml:space="preserve"> </w:t>
            </w:r>
            <w:r w:rsidRPr="0088364D">
              <w:rPr>
                <w:sz w:val="20"/>
                <w:szCs w:val="20"/>
              </w:rPr>
              <w:t>to</w:t>
            </w:r>
            <w:r w:rsidRPr="0088364D">
              <w:rPr>
                <w:spacing w:val="12"/>
                <w:sz w:val="20"/>
                <w:szCs w:val="20"/>
              </w:rPr>
              <w:t xml:space="preserve"> </w:t>
            </w:r>
            <w:r w:rsidRPr="0088364D">
              <w:rPr>
                <w:sz w:val="20"/>
                <w:szCs w:val="20"/>
              </w:rPr>
              <w:t>have</w:t>
            </w:r>
            <w:r w:rsidRPr="0088364D">
              <w:rPr>
                <w:spacing w:val="11"/>
                <w:sz w:val="20"/>
                <w:szCs w:val="20"/>
              </w:rPr>
              <w:t xml:space="preserve"> </w:t>
            </w:r>
            <w:r w:rsidRPr="0088364D">
              <w:rPr>
                <w:sz w:val="20"/>
                <w:szCs w:val="20"/>
              </w:rPr>
              <w:t>regard</w:t>
            </w:r>
            <w:r w:rsidRPr="0088364D">
              <w:rPr>
                <w:spacing w:val="12"/>
                <w:sz w:val="20"/>
                <w:szCs w:val="20"/>
              </w:rPr>
              <w:t xml:space="preserve"> </w:t>
            </w:r>
            <w:r w:rsidRPr="0088364D">
              <w:rPr>
                <w:sz w:val="20"/>
                <w:szCs w:val="20"/>
              </w:rPr>
              <w:t>to</w:t>
            </w:r>
            <w:r w:rsidRPr="0088364D">
              <w:rPr>
                <w:spacing w:val="12"/>
                <w:sz w:val="20"/>
                <w:szCs w:val="20"/>
              </w:rPr>
              <w:t xml:space="preserve"> </w:t>
            </w:r>
            <w:r w:rsidRPr="0088364D">
              <w:rPr>
                <w:sz w:val="20"/>
                <w:szCs w:val="20"/>
              </w:rPr>
              <w:t>the</w:t>
            </w:r>
            <w:r w:rsidRPr="0088364D">
              <w:rPr>
                <w:spacing w:val="11"/>
                <w:sz w:val="20"/>
                <w:szCs w:val="20"/>
              </w:rPr>
              <w:t xml:space="preserve"> </w:t>
            </w:r>
            <w:r w:rsidRPr="0088364D">
              <w:rPr>
                <w:sz w:val="20"/>
                <w:szCs w:val="20"/>
              </w:rPr>
              <w:t>likely</w:t>
            </w:r>
            <w:r w:rsidRPr="0088364D">
              <w:rPr>
                <w:spacing w:val="13"/>
                <w:sz w:val="20"/>
                <w:szCs w:val="20"/>
              </w:rPr>
              <w:t xml:space="preserve"> </w:t>
            </w:r>
            <w:r w:rsidRPr="0088364D">
              <w:rPr>
                <w:sz w:val="20"/>
                <w:szCs w:val="20"/>
              </w:rPr>
              <w:t>impact</w:t>
            </w:r>
            <w:r w:rsidRPr="0088364D">
              <w:rPr>
                <w:spacing w:val="14"/>
                <w:sz w:val="20"/>
                <w:szCs w:val="20"/>
              </w:rPr>
              <w:t xml:space="preserve"> </w:t>
            </w:r>
            <w:r w:rsidRPr="0088364D">
              <w:rPr>
                <w:sz w:val="20"/>
                <w:szCs w:val="20"/>
              </w:rPr>
              <w:t>of</w:t>
            </w:r>
            <w:r w:rsidRPr="0088364D">
              <w:rPr>
                <w:spacing w:val="10"/>
                <w:sz w:val="20"/>
                <w:szCs w:val="20"/>
              </w:rPr>
              <w:t xml:space="preserve"> </w:t>
            </w:r>
            <w:r w:rsidRPr="0088364D">
              <w:rPr>
                <w:sz w:val="20"/>
                <w:szCs w:val="20"/>
              </w:rPr>
              <w:t>commissioning</w:t>
            </w:r>
            <w:r w:rsidRPr="0088364D">
              <w:rPr>
                <w:spacing w:val="55"/>
                <w:sz w:val="20"/>
                <w:szCs w:val="20"/>
              </w:rPr>
              <w:t xml:space="preserve"> </w:t>
            </w:r>
            <w:r w:rsidRPr="0088364D">
              <w:rPr>
                <w:sz w:val="20"/>
                <w:szCs w:val="20"/>
              </w:rPr>
              <w:t>decisions</w:t>
            </w:r>
            <w:r w:rsidRPr="0088364D">
              <w:rPr>
                <w:spacing w:val="3"/>
                <w:sz w:val="20"/>
                <w:szCs w:val="20"/>
              </w:rPr>
              <w:t xml:space="preserve"> </w:t>
            </w:r>
            <w:r w:rsidRPr="0088364D">
              <w:rPr>
                <w:sz w:val="20"/>
                <w:szCs w:val="20"/>
              </w:rPr>
              <w:t>on</w:t>
            </w:r>
            <w:r w:rsidRPr="0088364D">
              <w:rPr>
                <w:spacing w:val="5"/>
                <w:sz w:val="20"/>
                <w:szCs w:val="20"/>
              </w:rPr>
              <w:t xml:space="preserve"> </w:t>
            </w:r>
            <w:r w:rsidRPr="0088364D">
              <w:rPr>
                <w:sz w:val="20"/>
                <w:szCs w:val="20"/>
              </w:rPr>
              <w:t>healthcare</w:t>
            </w:r>
            <w:r w:rsidRPr="0088364D">
              <w:rPr>
                <w:spacing w:val="5"/>
                <w:sz w:val="20"/>
                <w:szCs w:val="20"/>
              </w:rPr>
              <w:t xml:space="preserve"> </w:t>
            </w:r>
            <w:r w:rsidRPr="0088364D">
              <w:rPr>
                <w:sz w:val="20"/>
                <w:szCs w:val="20"/>
              </w:rPr>
              <w:t>delivered</w:t>
            </w:r>
            <w:r w:rsidRPr="0088364D">
              <w:rPr>
                <w:spacing w:val="4"/>
                <w:sz w:val="20"/>
                <w:szCs w:val="20"/>
              </w:rPr>
              <w:t xml:space="preserve"> </w:t>
            </w:r>
            <w:r w:rsidRPr="0088364D">
              <w:rPr>
                <w:sz w:val="20"/>
                <w:szCs w:val="20"/>
              </w:rPr>
              <w:t>in</w:t>
            </w:r>
            <w:r w:rsidRPr="0088364D">
              <w:rPr>
                <w:spacing w:val="4"/>
                <w:sz w:val="20"/>
                <w:szCs w:val="20"/>
              </w:rPr>
              <w:t xml:space="preserve"> </w:t>
            </w:r>
            <w:r w:rsidRPr="0088364D">
              <w:rPr>
                <w:sz w:val="20"/>
                <w:szCs w:val="20"/>
              </w:rPr>
              <w:t>areas</w:t>
            </w:r>
            <w:r w:rsidRPr="0088364D">
              <w:rPr>
                <w:spacing w:val="4"/>
                <w:sz w:val="20"/>
                <w:szCs w:val="20"/>
              </w:rPr>
              <w:t xml:space="preserve"> </w:t>
            </w:r>
            <w:r w:rsidRPr="0088364D">
              <w:rPr>
                <w:sz w:val="20"/>
                <w:szCs w:val="20"/>
              </w:rPr>
              <w:t>of</w:t>
            </w:r>
            <w:r w:rsidRPr="0088364D">
              <w:rPr>
                <w:spacing w:val="5"/>
                <w:sz w:val="20"/>
                <w:szCs w:val="20"/>
              </w:rPr>
              <w:t xml:space="preserve"> </w:t>
            </w:r>
            <w:r w:rsidRPr="0088364D">
              <w:rPr>
                <w:sz w:val="20"/>
                <w:szCs w:val="20"/>
              </w:rPr>
              <w:t>Wales</w:t>
            </w:r>
            <w:r w:rsidRPr="0088364D">
              <w:rPr>
                <w:spacing w:val="4"/>
                <w:sz w:val="20"/>
                <w:szCs w:val="20"/>
              </w:rPr>
              <w:t xml:space="preserve"> </w:t>
            </w:r>
            <w:r w:rsidRPr="0088364D">
              <w:rPr>
                <w:sz w:val="20"/>
                <w:szCs w:val="20"/>
              </w:rPr>
              <w:t>or</w:t>
            </w:r>
            <w:r w:rsidRPr="0088364D">
              <w:rPr>
                <w:spacing w:val="43"/>
                <w:w w:val="99"/>
                <w:sz w:val="20"/>
                <w:szCs w:val="20"/>
              </w:rPr>
              <w:t xml:space="preserve"> </w:t>
            </w:r>
            <w:r w:rsidRPr="0088364D">
              <w:rPr>
                <w:sz w:val="20"/>
                <w:szCs w:val="20"/>
              </w:rPr>
              <w:t>Scotland</w:t>
            </w:r>
            <w:r w:rsidRPr="0088364D">
              <w:rPr>
                <w:spacing w:val="-2"/>
                <w:sz w:val="20"/>
                <w:szCs w:val="20"/>
              </w:rPr>
              <w:t xml:space="preserve"> </w:t>
            </w:r>
            <w:r w:rsidRPr="0088364D">
              <w:rPr>
                <w:sz w:val="20"/>
                <w:szCs w:val="20"/>
              </w:rPr>
              <w:t>close</w:t>
            </w:r>
            <w:r w:rsidRPr="0088364D">
              <w:rPr>
                <w:spacing w:val="1"/>
                <w:sz w:val="20"/>
                <w:szCs w:val="20"/>
              </w:rPr>
              <w:t xml:space="preserve"> </w:t>
            </w:r>
            <w:r w:rsidRPr="0088364D">
              <w:rPr>
                <w:sz w:val="20"/>
                <w:szCs w:val="20"/>
              </w:rPr>
              <w:t>to the</w:t>
            </w:r>
            <w:r w:rsidRPr="0088364D">
              <w:rPr>
                <w:spacing w:val="1"/>
                <w:sz w:val="20"/>
                <w:szCs w:val="20"/>
              </w:rPr>
              <w:t xml:space="preserve"> </w:t>
            </w:r>
            <w:r w:rsidRPr="0088364D">
              <w:rPr>
                <w:sz w:val="20"/>
                <w:szCs w:val="20"/>
              </w:rPr>
              <w:t>border</w:t>
            </w:r>
            <w:r w:rsidRPr="0088364D">
              <w:rPr>
                <w:spacing w:val="-2"/>
                <w:sz w:val="20"/>
                <w:szCs w:val="20"/>
              </w:rPr>
              <w:t xml:space="preserve"> </w:t>
            </w:r>
            <w:r w:rsidRPr="0088364D">
              <w:rPr>
                <w:sz w:val="20"/>
                <w:szCs w:val="20"/>
              </w:rPr>
              <w:t>with England</w:t>
            </w:r>
            <w:r w:rsidRPr="0088364D">
              <w:rPr>
                <w:spacing w:val="-20"/>
                <w:sz w:val="20"/>
                <w:szCs w:val="20"/>
              </w:rPr>
              <w:t xml:space="preserve"> </w:t>
            </w:r>
            <w:r w:rsidRPr="0088364D">
              <w:rPr>
                <w:sz w:val="20"/>
                <w:szCs w:val="20"/>
              </w:rPr>
              <w:t>(in respect of NHS England, see</w:t>
            </w:r>
            <w:r w:rsidRPr="0088364D">
              <w:rPr>
                <w:spacing w:val="-2"/>
                <w:sz w:val="20"/>
                <w:szCs w:val="20"/>
              </w:rPr>
              <w:t xml:space="preserve"> </w:t>
            </w:r>
            <w:r w:rsidRPr="0088364D">
              <w:rPr>
                <w:sz w:val="20"/>
                <w:szCs w:val="20"/>
              </w:rPr>
              <w:t>section 13O of</w:t>
            </w:r>
            <w:r w:rsidRPr="0088364D">
              <w:rPr>
                <w:spacing w:val="51"/>
                <w:sz w:val="20"/>
                <w:szCs w:val="20"/>
              </w:rPr>
              <w:t xml:space="preserve"> </w:t>
            </w:r>
            <w:r w:rsidRPr="0088364D">
              <w:rPr>
                <w:sz w:val="20"/>
                <w:szCs w:val="20"/>
              </w:rPr>
              <w:t>the</w:t>
            </w:r>
            <w:r w:rsidRPr="0088364D">
              <w:rPr>
                <w:spacing w:val="-6"/>
                <w:sz w:val="20"/>
                <w:szCs w:val="20"/>
              </w:rPr>
              <w:t xml:space="preserve"> </w:t>
            </w:r>
            <w:r w:rsidRPr="0088364D">
              <w:rPr>
                <w:sz w:val="20"/>
                <w:szCs w:val="20"/>
              </w:rPr>
              <w:t>NHS</w:t>
            </w:r>
            <w:r w:rsidRPr="0088364D">
              <w:rPr>
                <w:spacing w:val="-4"/>
                <w:sz w:val="20"/>
                <w:szCs w:val="20"/>
              </w:rPr>
              <w:t xml:space="preserve"> </w:t>
            </w:r>
            <w:r w:rsidRPr="0088364D">
              <w:rPr>
                <w:sz w:val="20"/>
                <w:szCs w:val="20"/>
              </w:rPr>
              <w:t>Act</w:t>
            </w:r>
            <w:r w:rsidRPr="0088364D">
              <w:rPr>
                <w:spacing w:val="-5"/>
                <w:sz w:val="20"/>
                <w:szCs w:val="20"/>
              </w:rPr>
              <w:t xml:space="preserve"> </w:t>
            </w:r>
            <w:r w:rsidRPr="0088364D">
              <w:rPr>
                <w:sz w:val="20"/>
                <w:szCs w:val="20"/>
              </w:rPr>
              <w:t>2006)</w:t>
            </w:r>
          </w:p>
          <w:p w14:paraId="0CC40518" w14:textId="77777777" w:rsidR="00DB7F92" w:rsidRPr="0088364D" w:rsidRDefault="00DB7F92" w:rsidP="00DB7F92">
            <w:pPr>
              <w:widowControl w:val="0"/>
              <w:tabs>
                <w:tab w:val="left" w:pos="2148"/>
              </w:tabs>
              <w:spacing w:after="120"/>
              <w:ind w:right="115"/>
              <w:jc w:val="both"/>
              <w:rPr>
                <w:rFonts w:cs="Arial"/>
                <w:bCs w:val="0"/>
                <w:sz w:val="20"/>
                <w:szCs w:val="20"/>
                <w:lang w:eastAsia="en-GB"/>
              </w:rPr>
            </w:pPr>
          </w:p>
          <w:p w14:paraId="57042BE1" w14:textId="77777777" w:rsidR="00DB7F92" w:rsidRPr="0088364D" w:rsidRDefault="00DB7F92" w:rsidP="00884224">
            <w:pPr>
              <w:keepNext/>
              <w:keepLines/>
              <w:spacing w:before="173"/>
              <w:ind w:left="13"/>
              <w:jc w:val="both"/>
              <w:outlineLvl w:val="6"/>
              <w:rPr>
                <w:rFonts w:eastAsiaTheme="majorEastAsia" w:cs="Arial"/>
                <w:b/>
                <w:i/>
                <w:iCs/>
                <w:color w:val="404040" w:themeColor="text1" w:themeTint="BF"/>
                <w:spacing w:val="-1"/>
                <w:sz w:val="20"/>
                <w:szCs w:val="20"/>
              </w:rPr>
            </w:pPr>
            <w:r w:rsidRPr="0088364D">
              <w:rPr>
                <w:rFonts w:eastAsiaTheme="majorEastAsia" w:cs="Arial"/>
                <w:b/>
                <w:i/>
                <w:iCs/>
                <w:color w:val="404040" w:themeColor="text1" w:themeTint="BF"/>
                <w:spacing w:val="-1"/>
                <w:sz w:val="20"/>
                <w:szCs w:val="20"/>
              </w:rPr>
              <w:t>The "View To Duties"</w:t>
            </w:r>
          </w:p>
          <w:p w14:paraId="4B6B9B37" w14:textId="77777777" w:rsidR="00DD5D2D" w:rsidRPr="0088364D" w:rsidRDefault="00DD5D2D" w:rsidP="00836ECF">
            <w:pPr>
              <w:keepNext/>
              <w:keepLines/>
              <w:numPr>
                <w:ilvl w:val="6"/>
                <w:numId w:val="33"/>
              </w:numPr>
              <w:tabs>
                <w:tab w:val="num" w:pos="5761"/>
              </w:tabs>
              <w:spacing w:before="176"/>
              <w:ind w:left="458" w:hanging="720"/>
              <w:jc w:val="both"/>
              <w:outlineLvl w:val="6"/>
              <w:rPr>
                <w:rFonts w:eastAsiaTheme="majorEastAsia" w:cs="Arial"/>
                <w:b/>
                <w:bCs w:val="0"/>
                <w:i/>
                <w:iCs/>
                <w:color w:val="404040" w:themeColor="text1" w:themeTint="BF"/>
                <w:sz w:val="20"/>
                <w:szCs w:val="20"/>
              </w:rPr>
            </w:pPr>
          </w:p>
          <w:p w14:paraId="56143F7D" w14:textId="77777777" w:rsidR="00DB7F92" w:rsidRPr="0088364D" w:rsidRDefault="00DB7F92" w:rsidP="00970B92">
            <w:pPr>
              <w:pStyle w:val="Heading3"/>
              <w:rPr>
                <w:sz w:val="20"/>
                <w:szCs w:val="20"/>
                <w:lang w:eastAsia="en-GB"/>
              </w:rPr>
            </w:pPr>
            <w:r w:rsidRPr="0088364D">
              <w:rPr>
                <w:sz w:val="20"/>
                <w:szCs w:val="20"/>
                <w:lang w:eastAsia="en-GB"/>
              </w:rPr>
              <w:t>The</w:t>
            </w:r>
            <w:r w:rsidRPr="0088364D">
              <w:rPr>
                <w:spacing w:val="-4"/>
                <w:sz w:val="20"/>
                <w:szCs w:val="20"/>
                <w:lang w:eastAsia="en-GB"/>
              </w:rPr>
              <w:t xml:space="preserve"> </w:t>
            </w:r>
            <w:r w:rsidRPr="0088364D">
              <w:rPr>
                <w:sz w:val="20"/>
                <w:szCs w:val="20"/>
                <w:lang w:eastAsia="en-GB"/>
              </w:rPr>
              <w:t>"View</w:t>
            </w:r>
            <w:r w:rsidRPr="0088364D">
              <w:rPr>
                <w:spacing w:val="-3"/>
                <w:sz w:val="20"/>
                <w:szCs w:val="20"/>
                <w:lang w:eastAsia="en-GB"/>
              </w:rPr>
              <w:t xml:space="preserve"> </w:t>
            </w:r>
            <w:r w:rsidRPr="0088364D">
              <w:rPr>
                <w:sz w:val="20"/>
                <w:szCs w:val="20"/>
                <w:lang w:eastAsia="en-GB"/>
              </w:rPr>
              <w:t>To</w:t>
            </w:r>
            <w:r w:rsidRPr="0088364D">
              <w:rPr>
                <w:spacing w:val="-3"/>
                <w:sz w:val="20"/>
                <w:szCs w:val="20"/>
                <w:lang w:eastAsia="en-GB"/>
              </w:rPr>
              <w:t xml:space="preserve"> </w:t>
            </w:r>
            <w:r w:rsidRPr="0088364D">
              <w:rPr>
                <w:sz w:val="20"/>
                <w:szCs w:val="20"/>
                <w:lang w:eastAsia="en-GB"/>
              </w:rPr>
              <w:t>Duties"</w:t>
            </w:r>
            <w:r w:rsidRPr="0088364D">
              <w:rPr>
                <w:spacing w:val="-23"/>
                <w:sz w:val="20"/>
                <w:szCs w:val="20"/>
                <w:lang w:eastAsia="en-GB"/>
              </w:rPr>
              <w:t xml:space="preserve"> </w:t>
            </w:r>
            <w:r w:rsidRPr="0088364D">
              <w:rPr>
                <w:sz w:val="20"/>
                <w:szCs w:val="20"/>
                <w:lang w:eastAsia="en-GB"/>
              </w:rPr>
              <w:t>are:</w:t>
            </w:r>
          </w:p>
          <w:p w14:paraId="61D475B3" w14:textId="77777777" w:rsidR="00DB7F92" w:rsidRPr="0088364D" w:rsidRDefault="00DB7F92" w:rsidP="00970B92">
            <w:pPr>
              <w:pStyle w:val="Heading4"/>
              <w:rPr>
                <w:sz w:val="20"/>
                <w:szCs w:val="20"/>
              </w:rPr>
            </w:pPr>
            <w:r w:rsidRPr="0088364D">
              <w:rPr>
                <w:sz w:val="20"/>
                <w:szCs w:val="20"/>
              </w:rPr>
              <w:t>the</w:t>
            </w:r>
            <w:r w:rsidRPr="0088364D">
              <w:rPr>
                <w:spacing w:val="23"/>
                <w:sz w:val="20"/>
                <w:szCs w:val="20"/>
              </w:rPr>
              <w:t xml:space="preserve"> </w:t>
            </w:r>
            <w:r w:rsidRPr="0088364D">
              <w:rPr>
                <w:sz w:val="20"/>
                <w:szCs w:val="20"/>
              </w:rPr>
              <w:t>duty</w:t>
            </w:r>
            <w:r w:rsidRPr="0088364D">
              <w:rPr>
                <w:spacing w:val="25"/>
                <w:sz w:val="20"/>
                <w:szCs w:val="20"/>
              </w:rPr>
              <w:t xml:space="preserve"> </w:t>
            </w:r>
            <w:r w:rsidRPr="0088364D">
              <w:rPr>
                <w:sz w:val="20"/>
                <w:szCs w:val="20"/>
              </w:rPr>
              <w:t>to</w:t>
            </w:r>
            <w:r w:rsidRPr="0088364D">
              <w:rPr>
                <w:spacing w:val="24"/>
                <w:sz w:val="20"/>
                <w:szCs w:val="20"/>
              </w:rPr>
              <w:t xml:space="preserve"> </w:t>
            </w:r>
            <w:r w:rsidRPr="0088364D">
              <w:rPr>
                <w:sz w:val="20"/>
                <w:szCs w:val="20"/>
              </w:rPr>
              <w:t>act</w:t>
            </w:r>
            <w:r w:rsidRPr="0088364D">
              <w:rPr>
                <w:spacing w:val="25"/>
                <w:sz w:val="20"/>
                <w:szCs w:val="20"/>
              </w:rPr>
              <w:t xml:space="preserve"> </w:t>
            </w:r>
            <w:r w:rsidRPr="0088364D">
              <w:rPr>
                <w:sz w:val="20"/>
                <w:szCs w:val="20"/>
              </w:rPr>
              <w:t>with</w:t>
            </w:r>
            <w:r w:rsidRPr="0088364D">
              <w:rPr>
                <w:spacing w:val="24"/>
                <w:sz w:val="20"/>
                <w:szCs w:val="20"/>
              </w:rPr>
              <w:t xml:space="preserve"> </w:t>
            </w:r>
            <w:r w:rsidRPr="0088364D">
              <w:rPr>
                <w:sz w:val="20"/>
                <w:szCs w:val="20"/>
              </w:rPr>
              <w:t>a</w:t>
            </w:r>
            <w:r w:rsidRPr="0088364D">
              <w:rPr>
                <w:spacing w:val="24"/>
                <w:sz w:val="20"/>
                <w:szCs w:val="20"/>
              </w:rPr>
              <w:t xml:space="preserve"> </w:t>
            </w:r>
            <w:r w:rsidRPr="0088364D">
              <w:rPr>
                <w:sz w:val="20"/>
                <w:szCs w:val="20"/>
              </w:rPr>
              <w:t>view</w:t>
            </w:r>
            <w:r w:rsidRPr="0088364D">
              <w:rPr>
                <w:spacing w:val="24"/>
                <w:sz w:val="20"/>
                <w:szCs w:val="20"/>
              </w:rPr>
              <w:t xml:space="preserve"> </w:t>
            </w:r>
            <w:r w:rsidRPr="0088364D">
              <w:rPr>
                <w:sz w:val="20"/>
                <w:szCs w:val="20"/>
              </w:rPr>
              <w:t>to</w:t>
            </w:r>
            <w:r w:rsidRPr="0088364D">
              <w:rPr>
                <w:spacing w:val="24"/>
                <w:sz w:val="20"/>
                <w:szCs w:val="20"/>
              </w:rPr>
              <w:t xml:space="preserve"> </w:t>
            </w:r>
            <w:r w:rsidRPr="0088364D">
              <w:rPr>
                <w:sz w:val="20"/>
                <w:szCs w:val="20"/>
              </w:rPr>
              <w:t>delivering</w:t>
            </w:r>
            <w:r w:rsidRPr="0088364D">
              <w:rPr>
                <w:spacing w:val="23"/>
                <w:sz w:val="20"/>
                <w:szCs w:val="20"/>
              </w:rPr>
              <w:t xml:space="preserve"> </w:t>
            </w:r>
            <w:r w:rsidRPr="0088364D">
              <w:rPr>
                <w:sz w:val="20"/>
                <w:szCs w:val="20"/>
              </w:rPr>
              <w:t>services</w:t>
            </w:r>
            <w:r w:rsidRPr="0088364D">
              <w:rPr>
                <w:spacing w:val="26"/>
                <w:sz w:val="20"/>
                <w:szCs w:val="20"/>
              </w:rPr>
              <w:t xml:space="preserve"> </w:t>
            </w:r>
            <w:r w:rsidRPr="0088364D">
              <w:rPr>
                <w:sz w:val="20"/>
                <w:szCs w:val="20"/>
              </w:rPr>
              <w:t>in</w:t>
            </w:r>
            <w:r w:rsidRPr="0088364D">
              <w:rPr>
                <w:spacing w:val="24"/>
                <w:sz w:val="20"/>
                <w:szCs w:val="20"/>
              </w:rPr>
              <w:t xml:space="preserve"> </w:t>
            </w:r>
            <w:r w:rsidRPr="0088364D">
              <w:rPr>
                <w:sz w:val="20"/>
                <w:szCs w:val="20"/>
              </w:rPr>
              <w:t>a</w:t>
            </w:r>
            <w:r w:rsidRPr="0088364D">
              <w:rPr>
                <w:spacing w:val="24"/>
                <w:sz w:val="20"/>
                <w:szCs w:val="20"/>
              </w:rPr>
              <w:t xml:space="preserve"> </w:t>
            </w:r>
            <w:r w:rsidRPr="0088364D">
              <w:rPr>
                <w:sz w:val="20"/>
                <w:szCs w:val="20"/>
              </w:rPr>
              <w:t>way</w:t>
            </w:r>
            <w:r w:rsidRPr="0088364D">
              <w:rPr>
                <w:spacing w:val="25"/>
                <w:sz w:val="20"/>
                <w:szCs w:val="20"/>
              </w:rPr>
              <w:t xml:space="preserve"> </w:t>
            </w:r>
            <w:r w:rsidRPr="0088364D">
              <w:rPr>
                <w:sz w:val="20"/>
                <w:szCs w:val="20"/>
              </w:rPr>
              <w:t>that</w:t>
            </w:r>
            <w:r w:rsidRPr="0088364D">
              <w:rPr>
                <w:spacing w:val="59"/>
                <w:w w:val="99"/>
                <w:sz w:val="20"/>
                <w:szCs w:val="20"/>
              </w:rPr>
              <w:t xml:space="preserve"> </w:t>
            </w:r>
            <w:r w:rsidRPr="0088364D">
              <w:rPr>
                <w:sz w:val="20"/>
                <w:szCs w:val="20"/>
              </w:rPr>
              <w:t>promotes</w:t>
            </w:r>
            <w:r w:rsidRPr="0088364D">
              <w:rPr>
                <w:spacing w:val="56"/>
                <w:sz w:val="20"/>
                <w:szCs w:val="20"/>
              </w:rPr>
              <w:t xml:space="preserve"> </w:t>
            </w:r>
            <w:r w:rsidRPr="0088364D">
              <w:rPr>
                <w:sz w:val="20"/>
                <w:szCs w:val="20"/>
              </w:rPr>
              <w:t>the</w:t>
            </w:r>
            <w:r w:rsidRPr="0088364D">
              <w:rPr>
                <w:spacing w:val="54"/>
                <w:sz w:val="20"/>
                <w:szCs w:val="20"/>
              </w:rPr>
              <w:t xml:space="preserve"> </w:t>
            </w:r>
            <w:r w:rsidRPr="0088364D">
              <w:rPr>
                <w:sz w:val="20"/>
                <w:szCs w:val="20"/>
              </w:rPr>
              <w:t>NHS</w:t>
            </w:r>
            <w:r w:rsidRPr="0088364D">
              <w:rPr>
                <w:spacing w:val="55"/>
                <w:sz w:val="20"/>
                <w:szCs w:val="20"/>
              </w:rPr>
              <w:t xml:space="preserve"> </w:t>
            </w:r>
            <w:r w:rsidRPr="0088364D">
              <w:rPr>
                <w:sz w:val="20"/>
                <w:szCs w:val="20"/>
              </w:rPr>
              <w:t>constitution</w:t>
            </w:r>
            <w:r w:rsidRPr="0088364D">
              <w:rPr>
                <w:spacing w:val="36"/>
                <w:sz w:val="20"/>
                <w:szCs w:val="20"/>
              </w:rPr>
              <w:t xml:space="preserve"> </w:t>
            </w:r>
            <w:r w:rsidRPr="0088364D">
              <w:rPr>
                <w:sz w:val="20"/>
                <w:szCs w:val="20"/>
              </w:rPr>
              <w:t>(in respect of NHS England, see</w:t>
            </w:r>
            <w:r w:rsidRPr="0088364D">
              <w:rPr>
                <w:spacing w:val="54"/>
                <w:sz w:val="20"/>
                <w:szCs w:val="20"/>
              </w:rPr>
              <w:t xml:space="preserve"> </w:t>
            </w:r>
            <w:r w:rsidRPr="0088364D">
              <w:rPr>
                <w:sz w:val="20"/>
                <w:szCs w:val="20"/>
              </w:rPr>
              <w:t>section</w:t>
            </w:r>
            <w:r w:rsidRPr="0088364D">
              <w:rPr>
                <w:spacing w:val="56"/>
                <w:sz w:val="20"/>
                <w:szCs w:val="20"/>
              </w:rPr>
              <w:t xml:space="preserve"> </w:t>
            </w:r>
            <w:r w:rsidRPr="0088364D">
              <w:rPr>
                <w:sz w:val="20"/>
                <w:szCs w:val="20"/>
              </w:rPr>
              <w:t>13C(1)(a)</w:t>
            </w:r>
            <w:r w:rsidRPr="0088364D">
              <w:rPr>
                <w:spacing w:val="54"/>
                <w:sz w:val="20"/>
                <w:szCs w:val="20"/>
              </w:rPr>
              <w:t xml:space="preserve"> </w:t>
            </w:r>
            <w:r w:rsidRPr="0088364D">
              <w:rPr>
                <w:sz w:val="20"/>
                <w:szCs w:val="20"/>
              </w:rPr>
              <w:t>of</w:t>
            </w:r>
            <w:r w:rsidRPr="0088364D">
              <w:rPr>
                <w:spacing w:val="54"/>
                <w:sz w:val="20"/>
                <w:szCs w:val="20"/>
              </w:rPr>
              <w:t xml:space="preserve"> </w:t>
            </w:r>
            <w:r w:rsidRPr="0088364D">
              <w:rPr>
                <w:sz w:val="20"/>
                <w:szCs w:val="20"/>
              </w:rPr>
              <w:t>the</w:t>
            </w:r>
            <w:r w:rsidRPr="0088364D">
              <w:rPr>
                <w:spacing w:val="49"/>
                <w:w w:val="99"/>
                <w:sz w:val="20"/>
                <w:szCs w:val="20"/>
              </w:rPr>
              <w:t xml:space="preserve"> </w:t>
            </w:r>
            <w:r w:rsidRPr="0088364D">
              <w:rPr>
                <w:sz w:val="20"/>
                <w:szCs w:val="20"/>
              </w:rPr>
              <w:t>NHS</w:t>
            </w:r>
            <w:r w:rsidRPr="0088364D">
              <w:rPr>
                <w:spacing w:val="-7"/>
                <w:sz w:val="20"/>
                <w:szCs w:val="20"/>
              </w:rPr>
              <w:t xml:space="preserve"> </w:t>
            </w:r>
            <w:r w:rsidRPr="0088364D">
              <w:rPr>
                <w:sz w:val="20"/>
                <w:szCs w:val="20"/>
              </w:rPr>
              <w:t>Act</w:t>
            </w:r>
            <w:r w:rsidRPr="0088364D">
              <w:rPr>
                <w:spacing w:val="-6"/>
                <w:sz w:val="20"/>
                <w:szCs w:val="20"/>
              </w:rPr>
              <w:t xml:space="preserve"> </w:t>
            </w:r>
            <w:r w:rsidRPr="0088364D">
              <w:rPr>
                <w:sz w:val="20"/>
                <w:szCs w:val="20"/>
              </w:rPr>
              <w:t>2006; and, in respect of CCGs, see section 14P of the NHS Act 2006)</w:t>
            </w:r>
          </w:p>
          <w:p w14:paraId="2EB44552" w14:textId="77777777" w:rsidR="00DB7F92" w:rsidRPr="0088364D" w:rsidRDefault="00DB7F92" w:rsidP="00970B92">
            <w:pPr>
              <w:pStyle w:val="Heading4"/>
              <w:rPr>
                <w:sz w:val="20"/>
                <w:szCs w:val="20"/>
              </w:rPr>
            </w:pPr>
            <w:r w:rsidRPr="0088364D">
              <w:rPr>
                <w:sz w:val="20"/>
                <w:szCs w:val="20"/>
              </w:rPr>
              <w:t>the</w:t>
            </w:r>
            <w:r w:rsidRPr="0088364D">
              <w:rPr>
                <w:spacing w:val="4"/>
                <w:sz w:val="20"/>
                <w:szCs w:val="20"/>
              </w:rPr>
              <w:t xml:space="preserve"> </w:t>
            </w:r>
            <w:r w:rsidRPr="0088364D">
              <w:rPr>
                <w:sz w:val="20"/>
                <w:szCs w:val="20"/>
              </w:rPr>
              <w:t>duty</w:t>
            </w:r>
            <w:r w:rsidRPr="0088364D">
              <w:rPr>
                <w:spacing w:val="6"/>
                <w:sz w:val="20"/>
                <w:szCs w:val="20"/>
              </w:rPr>
              <w:t xml:space="preserve"> </w:t>
            </w:r>
            <w:r w:rsidRPr="0088364D">
              <w:rPr>
                <w:sz w:val="20"/>
                <w:szCs w:val="20"/>
              </w:rPr>
              <w:t>to</w:t>
            </w:r>
            <w:r w:rsidRPr="0088364D">
              <w:rPr>
                <w:spacing w:val="4"/>
                <w:sz w:val="20"/>
                <w:szCs w:val="20"/>
              </w:rPr>
              <w:t xml:space="preserve"> </w:t>
            </w:r>
            <w:r w:rsidRPr="0088364D">
              <w:rPr>
                <w:sz w:val="20"/>
                <w:szCs w:val="20"/>
              </w:rPr>
              <w:t>act</w:t>
            </w:r>
            <w:r w:rsidRPr="0088364D">
              <w:rPr>
                <w:spacing w:val="6"/>
                <w:sz w:val="20"/>
                <w:szCs w:val="20"/>
              </w:rPr>
              <w:t xml:space="preserve"> </w:t>
            </w:r>
            <w:r w:rsidRPr="0088364D">
              <w:rPr>
                <w:sz w:val="20"/>
                <w:szCs w:val="20"/>
              </w:rPr>
              <w:t>with</w:t>
            </w:r>
            <w:r w:rsidRPr="0088364D">
              <w:rPr>
                <w:spacing w:val="5"/>
                <w:sz w:val="20"/>
                <w:szCs w:val="20"/>
              </w:rPr>
              <w:t xml:space="preserve"> </w:t>
            </w:r>
            <w:r w:rsidRPr="0088364D">
              <w:rPr>
                <w:sz w:val="20"/>
                <w:szCs w:val="20"/>
              </w:rPr>
              <w:t>a</w:t>
            </w:r>
            <w:r w:rsidRPr="0088364D">
              <w:rPr>
                <w:spacing w:val="5"/>
                <w:sz w:val="20"/>
                <w:szCs w:val="20"/>
              </w:rPr>
              <w:t xml:space="preserve"> </w:t>
            </w:r>
            <w:r w:rsidRPr="0088364D">
              <w:rPr>
                <w:sz w:val="20"/>
                <w:szCs w:val="20"/>
              </w:rPr>
              <w:t>view</w:t>
            </w:r>
            <w:r w:rsidRPr="0088364D">
              <w:rPr>
                <w:spacing w:val="5"/>
                <w:sz w:val="20"/>
                <w:szCs w:val="20"/>
              </w:rPr>
              <w:t xml:space="preserve"> </w:t>
            </w:r>
            <w:r w:rsidRPr="0088364D">
              <w:rPr>
                <w:sz w:val="20"/>
                <w:szCs w:val="20"/>
              </w:rPr>
              <w:t>to</w:t>
            </w:r>
            <w:r w:rsidRPr="0088364D">
              <w:rPr>
                <w:spacing w:val="4"/>
                <w:sz w:val="20"/>
                <w:szCs w:val="20"/>
              </w:rPr>
              <w:t xml:space="preserve"> </w:t>
            </w:r>
            <w:r w:rsidRPr="0088364D">
              <w:rPr>
                <w:sz w:val="20"/>
                <w:szCs w:val="20"/>
              </w:rPr>
              <w:t>securing</w:t>
            </w:r>
            <w:r w:rsidRPr="0088364D">
              <w:rPr>
                <w:spacing w:val="4"/>
                <w:sz w:val="20"/>
                <w:szCs w:val="20"/>
              </w:rPr>
              <w:t xml:space="preserve"> </w:t>
            </w:r>
            <w:r w:rsidRPr="0088364D">
              <w:rPr>
                <w:sz w:val="20"/>
                <w:szCs w:val="20"/>
              </w:rPr>
              <w:t>continuous</w:t>
            </w:r>
            <w:r w:rsidRPr="0088364D">
              <w:rPr>
                <w:spacing w:val="4"/>
                <w:sz w:val="20"/>
                <w:szCs w:val="20"/>
              </w:rPr>
              <w:t xml:space="preserve"> </w:t>
            </w:r>
            <w:r w:rsidRPr="0088364D">
              <w:rPr>
                <w:sz w:val="20"/>
                <w:szCs w:val="20"/>
              </w:rPr>
              <w:t>improvement</w:t>
            </w:r>
            <w:r w:rsidRPr="0088364D">
              <w:rPr>
                <w:spacing w:val="63"/>
                <w:w w:val="99"/>
                <w:sz w:val="20"/>
                <w:szCs w:val="20"/>
              </w:rPr>
              <w:t xml:space="preserve"> </w:t>
            </w:r>
            <w:r w:rsidRPr="0088364D">
              <w:rPr>
                <w:sz w:val="20"/>
                <w:szCs w:val="20"/>
              </w:rPr>
              <w:t>in the quality</w:t>
            </w:r>
            <w:r w:rsidRPr="0088364D">
              <w:rPr>
                <w:spacing w:val="1"/>
                <w:sz w:val="20"/>
                <w:szCs w:val="20"/>
              </w:rPr>
              <w:t xml:space="preserve"> </w:t>
            </w:r>
            <w:r w:rsidRPr="0088364D">
              <w:rPr>
                <w:sz w:val="20"/>
                <w:szCs w:val="20"/>
              </w:rPr>
              <w:t>of services in health and</w:t>
            </w:r>
            <w:r w:rsidRPr="0088364D">
              <w:rPr>
                <w:spacing w:val="2"/>
                <w:sz w:val="20"/>
                <w:szCs w:val="20"/>
              </w:rPr>
              <w:t xml:space="preserve"> </w:t>
            </w:r>
            <w:r w:rsidRPr="0088364D">
              <w:rPr>
                <w:sz w:val="20"/>
                <w:szCs w:val="20"/>
              </w:rPr>
              <w:t>public health services</w:t>
            </w:r>
            <w:r w:rsidRPr="0088364D">
              <w:rPr>
                <w:spacing w:val="1"/>
                <w:sz w:val="20"/>
                <w:szCs w:val="20"/>
              </w:rPr>
              <w:t xml:space="preserve"> </w:t>
            </w:r>
            <w:r w:rsidRPr="0088364D">
              <w:rPr>
                <w:sz w:val="20"/>
                <w:szCs w:val="20"/>
              </w:rPr>
              <w:t>(in respect of NHS England, see</w:t>
            </w:r>
            <w:r w:rsidRPr="0088364D">
              <w:rPr>
                <w:spacing w:val="56"/>
                <w:w w:val="99"/>
                <w:sz w:val="20"/>
                <w:szCs w:val="20"/>
              </w:rPr>
              <w:t xml:space="preserve"> </w:t>
            </w:r>
            <w:r w:rsidRPr="0088364D">
              <w:rPr>
                <w:sz w:val="20"/>
                <w:szCs w:val="20"/>
              </w:rPr>
              <w:t>section</w:t>
            </w:r>
            <w:r w:rsidRPr="0088364D">
              <w:rPr>
                <w:spacing w:val="-5"/>
                <w:sz w:val="20"/>
                <w:szCs w:val="20"/>
              </w:rPr>
              <w:t xml:space="preserve"> </w:t>
            </w:r>
            <w:r w:rsidRPr="0088364D">
              <w:rPr>
                <w:sz w:val="20"/>
                <w:szCs w:val="20"/>
              </w:rPr>
              <w:t>13E</w:t>
            </w:r>
            <w:r w:rsidRPr="0088364D">
              <w:rPr>
                <w:spacing w:val="-5"/>
                <w:sz w:val="20"/>
                <w:szCs w:val="20"/>
              </w:rPr>
              <w:t xml:space="preserve"> </w:t>
            </w:r>
            <w:r w:rsidRPr="0088364D">
              <w:rPr>
                <w:sz w:val="20"/>
                <w:szCs w:val="20"/>
              </w:rPr>
              <w:t>of</w:t>
            </w:r>
            <w:r w:rsidRPr="0088364D">
              <w:rPr>
                <w:spacing w:val="-6"/>
                <w:sz w:val="20"/>
                <w:szCs w:val="20"/>
              </w:rPr>
              <w:t xml:space="preserve"> </w:t>
            </w:r>
            <w:r w:rsidRPr="0088364D">
              <w:rPr>
                <w:sz w:val="20"/>
                <w:szCs w:val="20"/>
              </w:rPr>
              <w:t>the</w:t>
            </w:r>
            <w:r w:rsidRPr="0088364D">
              <w:rPr>
                <w:spacing w:val="-3"/>
                <w:sz w:val="20"/>
                <w:szCs w:val="20"/>
              </w:rPr>
              <w:t xml:space="preserve"> </w:t>
            </w:r>
            <w:r w:rsidRPr="0088364D">
              <w:rPr>
                <w:sz w:val="20"/>
                <w:szCs w:val="20"/>
              </w:rPr>
              <w:t>NHS Act</w:t>
            </w:r>
            <w:r w:rsidRPr="0088364D">
              <w:rPr>
                <w:spacing w:val="-4"/>
                <w:sz w:val="20"/>
                <w:szCs w:val="20"/>
              </w:rPr>
              <w:t xml:space="preserve"> </w:t>
            </w:r>
            <w:r w:rsidRPr="0088364D">
              <w:rPr>
                <w:sz w:val="20"/>
                <w:szCs w:val="20"/>
              </w:rPr>
              <w:t>2006; and, in respect of CCGs, see section 14R of the NHS Act 2006)</w:t>
            </w:r>
          </w:p>
          <w:p w14:paraId="54D426D7" w14:textId="77777777" w:rsidR="00DB7F92" w:rsidRPr="0088364D" w:rsidRDefault="00DB7F92" w:rsidP="00970B92">
            <w:pPr>
              <w:pStyle w:val="Heading4"/>
              <w:rPr>
                <w:sz w:val="20"/>
                <w:szCs w:val="20"/>
              </w:rPr>
            </w:pPr>
            <w:r w:rsidRPr="0088364D">
              <w:rPr>
                <w:sz w:val="20"/>
                <w:szCs w:val="20"/>
              </w:rPr>
              <w:t>the</w:t>
            </w:r>
            <w:r w:rsidRPr="0088364D">
              <w:rPr>
                <w:spacing w:val="62"/>
                <w:sz w:val="20"/>
                <w:szCs w:val="20"/>
              </w:rPr>
              <w:t xml:space="preserve"> </w:t>
            </w:r>
            <w:r w:rsidRPr="0088364D">
              <w:rPr>
                <w:sz w:val="20"/>
                <w:szCs w:val="20"/>
              </w:rPr>
              <w:t>duty</w:t>
            </w:r>
            <w:r w:rsidRPr="0088364D">
              <w:rPr>
                <w:spacing w:val="64"/>
                <w:sz w:val="20"/>
                <w:szCs w:val="20"/>
              </w:rPr>
              <w:t xml:space="preserve"> </w:t>
            </w:r>
            <w:r w:rsidRPr="0088364D">
              <w:rPr>
                <w:sz w:val="20"/>
                <w:szCs w:val="20"/>
              </w:rPr>
              <w:t>to</w:t>
            </w:r>
            <w:r w:rsidRPr="0088364D">
              <w:rPr>
                <w:spacing w:val="62"/>
                <w:sz w:val="20"/>
                <w:szCs w:val="20"/>
              </w:rPr>
              <w:t xml:space="preserve"> </w:t>
            </w:r>
            <w:r w:rsidRPr="0088364D">
              <w:rPr>
                <w:sz w:val="20"/>
                <w:szCs w:val="20"/>
              </w:rPr>
              <w:t>act</w:t>
            </w:r>
            <w:r w:rsidRPr="0088364D">
              <w:rPr>
                <w:spacing w:val="65"/>
                <w:sz w:val="20"/>
                <w:szCs w:val="20"/>
              </w:rPr>
              <w:t xml:space="preserve"> </w:t>
            </w:r>
            <w:r w:rsidRPr="0088364D">
              <w:rPr>
                <w:sz w:val="20"/>
                <w:szCs w:val="20"/>
              </w:rPr>
              <w:t>with</w:t>
            </w:r>
            <w:r w:rsidRPr="0088364D">
              <w:rPr>
                <w:spacing w:val="65"/>
                <w:sz w:val="20"/>
                <w:szCs w:val="20"/>
              </w:rPr>
              <w:t xml:space="preserve"> </w:t>
            </w:r>
            <w:r w:rsidRPr="0088364D">
              <w:rPr>
                <w:sz w:val="20"/>
                <w:szCs w:val="20"/>
              </w:rPr>
              <w:t>a</w:t>
            </w:r>
            <w:r w:rsidRPr="0088364D">
              <w:rPr>
                <w:spacing w:val="64"/>
                <w:sz w:val="20"/>
                <w:szCs w:val="20"/>
              </w:rPr>
              <w:t xml:space="preserve"> </w:t>
            </w:r>
            <w:r w:rsidRPr="0088364D">
              <w:rPr>
                <w:sz w:val="20"/>
                <w:szCs w:val="20"/>
              </w:rPr>
              <w:t>view</w:t>
            </w:r>
            <w:r w:rsidRPr="0088364D">
              <w:rPr>
                <w:spacing w:val="63"/>
                <w:sz w:val="20"/>
                <w:szCs w:val="20"/>
              </w:rPr>
              <w:t xml:space="preserve"> </w:t>
            </w:r>
            <w:r w:rsidRPr="0088364D">
              <w:rPr>
                <w:sz w:val="20"/>
                <w:szCs w:val="20"/>
              </w:rPr>
              <w:t>to</w:t>
            </w:r>
            <w:r w:rsidRPr="0088364D">
              <w:rPr>
                <w:spacing w:val="63"/>
                <w:sz w:val="20"/>
                <w:szCs w:val="20"/>
              </w:rPr>
              <w:t xml:space="preserve"> </w:t>
            </w:r>
            <w:r w:rsidRPr="0088364D">
              <w:rPr>
                <w:sz w:val="20"/>
                <w:szCs w:val="20"/>
              </w:rPr>
              <w:t>enabling</w:t>
            </w:r>
            <w:r w:rsidRPr="0088364D">
              <w:rPr>
                <w:spacing w:val="63"/>
                <w:sz w:val="20"/>
                <w:szCs w:val="20"/>
              </w:rPr>
              <w:t xml:space="preserve"> </w:t>
            </w:r>
            <w:r w:rsidRPr="0088364D">
              <w:rPr>
                <w:sz w:val="20"/>
                <w:szCs w:val="20"/>
              </w:rPr>
              <w:t>patients</w:t>
            </w:r>
            <w:r w:rsidRPr="0088364D">
              <w:rPr>
                <w:spacing w:val="62"/>
                <w:sz w:val="20"/>
                <w:szCs w:val="20"/>
              </w:rPr>
              <w:t xml:space="preserve"> </w:t>
            </w:r>
            <w:r w:rsidRPr="0088364D">
              <w:rPr>
                <w:sz w:val="20"/>
                <w:szCs w:val="20"/>
              </w:rPr>
              <w:t>to</w:t>
            </w:r>
            <w:r w:rsidRPr="0088364D">
              <w:rPr>
                <w:spacing w:val="64"/>
                <w:sz w:val="20"/>
                <w:szCs w:val="20"/>
              </w:rPr>
              <w:t xml:space="preserve"> </w:t>
            </w:r>
            <w:r w:rsidRPr="0088364D">
              <w:rPr>
                <w:sz w:val="20"/>
                <w:szCs w:val="20"/>
              </w:rPr>
              <w:t>make</w:t>
            </w:r>
            <w:r w:rsidRPr="0088364D">
              <w:rPr>
                <w:spacing w:val="31"/>
                <w:sz w:val="20"/>
                <w:szCs w:val="20"/>
              </w:rPr>
              <w:t xml:space="preserve"> </w:t>
            </w:r>
            <w:r w:rsidRPr="0088364D">
              <w:rPr>
                <w:sz w:val="20"/>
                <w:szCs w:val="20"/>
              </w:rPr>
              <w:t>choices</w:t>
            </w:r>
            <w:r w:rsidRPr="0088364D">
              <w:rPr>
                <w:spacing w:val="-6"/>
                <w:sz w:val="20"/>
                <w:szCs w:val="20"/>
              </w:rPr>
              <w:t xml:space="preserve"> </w:t>
            </w:r>
            <w:r w:rsidRPr="0088364D">
              <w:rPr>
                <w:sz w:val="20"/>
                <w:szCs w:val="20"/>
              </w:rPr>
              <w:t>about</w:t>
            </w:r>
            <w:r w:rsidRPr="0088364D">
              <w:rPr>
                <w:spacing w:val="-6"/>
                <w:sz w:val="20"/>
                <w:szCs w:val="20"/>
              </w:rPr>
              <w:t xml:space="preserve"> </w:t>
            </w:r>
            <w:r w:rsidRPr="0088364D">
              <w:rPr>
                <w:sz w:val="20"/>
                <w:szCs w:val="20"/>
              </w:rPr>
              <w:t>their</w:t>
            </w:r>
            <w:r w:rsidRPr="0088364D">
              <w:rPr>
                <w:spacing w:val="-5"/>
                <w:sz w:val="20"/>
                <w:szCs w:val="20"/>
              </w:rPr>
              <w:t xml:space="preserve"> </w:t>
            </w:r>
            <w:r w:rsidRPr="0088364D">
              <w:rPr>
                <w:sz w:val="20"/>
                <w:szCs w:val="20"/>
              </w:rPr>
              <w:t>care</w:t>
            </w:r>
            <w:r w:rsidRPr="0088364D">
              <w:rPr>
                <w:spacing w:val="-22"/>
                <w:sz w:val="20"/>
                <w:szCs w:val="20"/>
              </w:rPr>
              <w:t xml:space="preserve"> </w:t>
            </w:r>
            <w:r w:rsidRPr="0088364D">
              <w:rPr>
                <w:sz w:val="20"/>
                <w:szCs w:val="20"/>
              </w:rPr>
              <w:t>(in respect of NHS England, see</w:t>
            </w:r>
            <w:r w:rsidRPr="0088364D">
              <w:rPr>
                <w:spacing w:val="-5"/>
                <w:sz w:val="20"/>
                <w:szCs w:val="20"/>
              </w:rPr>
              <w:t xml:space="preserve"> </w:t>
            </w:r>
            <w:r w:rsidRPr="0088364D">
              <w:rPr>
                <w:sz w:val="20"/>
                <w:szCs w:val="20"/>
              </w:rPr>
              <w:t>section</w:t>
            </w:r>
            <w:r w:rsidRPr="0088364D">
              <w:rPr>
                <w:spacing w:val="-5"/>
                <w:sz w:val="20"/>
                <w:szCs w:val="20"/>
              </w:rPr>
              <w:t xml:space="preserve"> </w:t>
            </w:r>
            <w:r w:rsidRPr="0088364D">
              <w:rPr>
                <w:sz w:val="20"/>
                <w:szCs w:val="20"/>
              </w:rPr>
              <w:t>13I</w:t>
            </w:r>
            <w:r w:rsidRPr="0088364D">
              <w:rPr>
                <w:spacing w:val="-4"/>
                <w:sz w:val="20"/>
                <w:szCs w:val="20"/>
              </w:rPr>
              <w:t xml:space="preserve"> </w:t>
            </w:r>
            <w:r w:rsidRPr="0088364D">
              <w:rPr>
                <w:sz w:val="20"/>
                <w:szCs w:val="20"/>
              </w:rPr>
              <w:t>of</w:t>
            </w:r>
            <w:r w:rsidRPr="0088364D">
              <w:rPr>
                <w:spacing w:val="-2"/>
                <w:sz w:val="20"/>
                <w:szCs w:val="20"/>
              </w:rPr>
              <w:t xml:space="preserve"> </w:t>
            </w:r>
            <w:r w:rsidRPr="0088364D">
              <w:rPr>
                <w:sz w:val="20"/>
                <w:szCs w:val="20"/>
              </w:rPr>
              <w:t>the</w:t>
            </w:r>
            <w:r w:rsidRPr="0088364D">
              <w:rPr>
                <w:spacing w:val="-5"/>
                <w:sz w:val="20"/>
                <w:szCs w:val="20"/>
              </w:rPr>
              <w:t xml:space="preserve"> </w:t>
            </w:r>
            <w:r w:rsidRPr="0088364D">
              <w:rPr>
                <w:sz w:val="20"/>
                <w:szCs w:val="20"/>
              </w:rPr>
              <w:t>NHS</w:t>
            </w:r>
            <w:r w:rsidRPr="0088364D">
              <w:rPr>
                <w:spacing w:val="-3"/>
                <w:sz w:val="20"/>
                <w:szCs w:val="20"/>
              </w:rPr>
              <w:t xml:space="preserve"> </w:t>
            </w:r>
            <w:r w:rsidRPr="0088364D">
              <w:rPr>
                <w:sz w:val="20"/>
                <w:szCs w:val="20"/>
              </w:rPr>
              <w:t>Act</w:t>
            </w:r>
            <w:r w:rsidRPr="0088364D">
              <w:rPr>
                <w:spacing w:val="-4"/>
                <w:sz w:val="20"/>
                <w:szCs w:val="20"/>
              </w:rPr>
              <w:t xml:space="preserve"> </w:t>
            </w:r>
            <w:r w:rsidRPr="0088364D">
              <w:rPr>
                <w:sz w:val="20"/>
                <w:szCs w:val="20"/>
              </w:rPr>
              <w:t>2006; and, in respect of CCGs, see section 14R of the NHS Act 2006)</w:t>
            </w:r>
          </w:p>
          <w:p w14:paraId="69E2EDF4" w14:textId="77777777" w:rsidR="00DB7F92" w:rsidRPr="0088364D" w:rsidRDefault="00DB7F92" w:rsidP="00970B92">
            <w:pPr>
              <w:pStyle w:val="Heading4"/>
              <w:rPr>
                <w:sz w:val="20"/>
                <w:szCs w:val="20"/>
              </w:rPr>
            </w:pPr>
            <w:r w:rsidRPr="0088364D">
              <w:rPr>
                <w:sz w:val="20"/>
                <w:szCs w:val="20"/>
              </w:rPr>
              <w:t>the</w:t>
            </w:r>
            <w:r w:rsidRPr="0088364D">
              <w:rPr>
                <w:spacing w:val="37"/>
                <w:sz w:val="20"/>
                <w:szCs w:val="20"/>
              </w:rPr>
              <w:t xml:space="preserve"> </w:t>
            </w:r>
            <w:r w:rsidRPr="0088364D">
              <w:rPr>
                <w:sz w:val="20"/>
                <w:szCs w:val="20"/>
              </w:rPr>
              <w:t>duty</w:t>
            </w:r>
            <w:r w:rsidRPr="0088364D">
              <w:rPr>
                <w:spacing w:val="39"/>
                <w:sz w:val="20"/>
                <w:szCs w:val="20"/>
              </w:rPr>
              <w:t xml:space="preserve"> </w:t>
            </w:r>
            <w:r w:rsidRPr="0088364D">
              <w:rPr>
                <w:sz w:val="20"/>
                <w:szCs w:val="20"/>
              </w:rPr>
              <w:t>to</w:t>
            </w:r>
            <w:r w:rsidRPr="0088364D">
              <w:rPr>
                <w:spacing w:val="38"/>
                <w:sz w:val="20"/>
                <w:szCs w:val="20"/>
              </w:rPr>
              <w:t xml:space="preserve"> </w:t>
            </w:r>
            <w:r w:rsidRPr="0088364D">
              <w:rPr>
                <w:sz w:val="20"/>
                <w:szCs w:val="20"/>
              </w:rPr>
              <w:t>act</w:t>
            </w:r>
            <w:r w:rsidRPr="0088364D">
              <w:rPr>
                <w:spacing w:val="40"/>
                <w:sz w:val="20"/>
                <w:szCs w:val="20"/>
              </w:rPr>
              <w:t xml:space="preserve"> </w:t>
            </w:r>
            <w:r w:rsidRPr="0088364D">
              <w:rPr>
                <w:sz w:val="20"/>
                <w:szCs w:val="20"/>
              </w:rPr>
              <w:t>with</w:t>
            </w:r>
            <w:r w:rsidRPr="0088364D">
              <w:rPr>
                <w:spacing w:val="38"/>
                <w:sz w:val="20"/>
                <w:szCs w:val="20"/>
              </w:rPr>
              <w:t xml:space="preserve"> </w:t>
            </w:r>
            <w:r w:rsidRPr="0088364D">
              <w:rPr>
                <w:sz w:val="20"/>
                <w:szCs w:val="20"/>
              </w:rPr>
              <w:t>a</w:t>
            </w:r>
            <w:r w:rsidRPr="0088364D">
              <w:rPr>
                <w:spacing w:val="41"/>
                <w:sz w:val="20"/>
                <w:szCs w:val="20"/>
              </w:rPr>
              <w:t xml:space="preserve"> </w:t>
            </w:r>
            <w:r w:rsidRPr="0088364D">
              <w:rPr>
                <w:sz w:val="20"/>
                <w:szCs w:val="20"/>
              </w:rPr>
              <w:t>view</w:t>
            </w:r>
            <w:r w:rsidRPr="0088364D">
              <w:rPr>
                <w:spacing w:val="39"/>
                <w:sz w:val="20"/>
                <w:szCs w:val="20"/>
              </w:rPr>
              <w:t xml:space="preserve"> </w:t>
            </w:r>
            <w:r w:rsidRPr="0088364D">
              <w:rPr>
                <w:sz w:val="20"/>
                <w:szCs w:val="20"/>
              </w:rPr>
              <w:t>to</w:t>
            </w:r>
            <w:r w:rsidRPr="0088364D">
              <w:rPr>
                <w:spacing w:val="38"/>
                <w:sz w:val="20"/>
                <w:szCs w:val="20"/>
              </w:rPr>
              <w:t xml:space="preserve"> </w:t>
            </w:r>
            <w:r w:rsidRPr="0088364D">
              <w:rPr>
                <w:sz w:val="20"/>
                <w:szCs w:val="20"/>
              </w:rPr>
              <w:t>securing</w:t>
            </w:r>
            <w:r w:rsidRPr="0088364D">
              <w:rPr>
                <w:spacing w:val="38"/>
                <w:sz w:val="20"/>
                <w:szCs w:val="20"/>
              </w:rPr>
              <w:t xml:space="preserve"> </w:t>
            </w:r>
            <w:r w:rsidRPr="0088364D">
              <w:rPr>
                <w:sz w:val="20"/>
                <w:szCs w:val="20"/>
              </w:rPr>
              <w:t>integration,</w:t>
            </w:r>
            <w:r w:rsidRPr="0088364D">
              <w:rPr>
                <w:spacing w:val="20"/>
                <w:sz w:val="20"/>
                <w:szCs w:val="20"/>
              </w:rPr>
              <w:t xml:space="preserve"> </w:t>
            </w:r>
            <w:r w:rsidRPr="0088364D">
              <w:rPr>
                <w:sz w:val="20"/>
                <w:szCs w:val="20"/>
              </w:rPr>
              <w:t>including</w:t>
            </w:r>
            <w:r w:rsidRPr="0088364D">
              <w:rPr>
                <w:spacing w:val="63"/>
                <w:sz w:val="20"/>
                <w:szCs w:val="20"/>
              </w:rPr>
              <w:t xml:space="preserve"> </w:t>
            </w:r>
            <w:r w:rsidRPr="0088364D">
              <w:rPr>
                <w:sz w:val="20"/>
                <w:szCs w:val="20"/>
              </w:rPr>
              <w:t>between</w:t>
            </w:r>
            <w:r w:rsidRPr="0088364D">
              <w:rPr>
                <w:spacing w:val="8"/>
                <w:sz w:val="20"/>
                <w:szCs w:val="20"/>
              </w:rPr>
              <w:t xml:space="preserve"> </w:t>
            </w:r>
            <w:r w:rsidRPr="0088364D">
              <w:rPr>
                <w:sz w:val="20"/>
                <w:szCs w:val="20"/>
              </w:rPr>
              <w:t>health</w:t>
            </w:r>
            <w:r w:rsidRPr="0088364D">
              <w:rPr>
                <w:spacing w:val="8"/>
                <w:sz w:val="20"/>
                <w:szCs w:val="20"/>
              </w:rPr>
              <w:t xml:space="preserve"> </w:t>
            </w:r>
            <w:r w:rsidRPr="0088364D">
              <w:rPr>
                <w:sz w:val="20"/>
                <w:szCs w:val="20"/>
              </w:rPr>
              <w:t>and</w:t>
            </w:r>
            <w:r w:rsidRPr="0088364D">
              <w:rPr>
                <w:spacing w:val="7"/>
                <w:sz w:val="20"/>
                <w:szCs w:val="20"/>
              </w:rPr>
              <w:t xml:space="preserve"> </w:t>
            </w:r>
            <w:r w:rsidRPr="0088364D">
              <w:rPr>
                <w:sz w:val="20"/>
                <w:szCs w:val="20"/>
              </w:rPr>
              <w:t>other</w:t>
            </w:r>
            <w:r w:rsidRPr="0088364D">
              <w:rPr>
                <w:spacing w:val="8"/>
                <w:sz w:val="20"/>
                <w:szCs w:val="20"/>
              </w:rPr>
              <w:t xml:space="preserve"> </w:t>
            </w:r>
            <w:r w:rsidRPr="0088364D">
              <w:rPr>
                <w:sz w:val="20"/>
                <w:szCs w:val="20"/>
              </w:rPr>
              <w:t>public</w:t>
            </w:r>
            <w:r w:rsidRPr="0088364D">
              <w:rPr>
                <w:spacing w:val="8"/>
                <w:sz w:val="20"/>
                <w:szCs w:val="20"/>
              </w:rPr>
              <w:t xml:space="preserve"> </w:t>
            </w:r>
            <w:r w:rsidRPr="0088364D">
              <w:rPr>
                <w:sz w:val="20"/>
                <w:szCs w:val="20"/>
              </w:rPr>
              <w:t>services</w:t>
            </w:r>
            <w:r w:rsidRPr="0088364D">
              <w:rPr>
                <w:spacing w:val="9"/>
                <w:sz w:val="20"/>
                <w:szCs w:val="20"/>
              </w:rPr>
              <w:t xml:space="preserve"> </w:t>
            </w:r>
            <w:r w:rsidRPr="0088364D">
              <w:rPr>
                <w:sz w:val="20"/>
                <w:szCs w:val="20"/>
              </w:rPr>
              <w:t>that</w:t>
            </w:r>
            <w:r w:rsidRPr="0088364D">
              <w:rPr>
                <w:spacing w:val="8"/>
                <w:sz w:val="20"/>
                <w:szCs w:val="20"/>
              </w:rPr>
              <w:t xml:space="preserve"> </w:t>
            </w:r>
            <w:r w:rsidRPr="0088364D">
              <w:rPr>
                <w:sz w:val="20"/>
                <w:szCs w:val="20"/>
              </w:rPr>
              <w:t>impact</w:t>
            </w:r>
            <w:r w:rsidRPr="0088364D">
              <w:rPr>
                <w:spacing w:val="8"/>
                <w:sz w:val="20"/>
                <w:szCs w:val="20"/>
              </w:rPr>
              <w:t xml:space="preserve"> </w:t>
            </w:r>
            <w:r w:rsidRPr="0088364D">
              <w:rPr>
                <w:sz w:val="20"/>
                <w:szCs w:val="20"/>
              </w:rPr>
              <w:t>on</w:t>
            </w:r>
            <w:r w:rsidRPr="0088364D">
              <w:rPr>
                <w:spacing w:val="8"/>
                <w:sz w:val="20"/>
                <w:szCs w:val="20"/>
              </w:rPr>
              <w:t xml:space="preserve"> </w:t>
            </w:r>
            <w:r w:rsidRPr="0088364D">
              <w:rPr>
                <w:sz w:val="20"/>
                <w:szCs w:val="20"/>
              </w:rPr>
              <w:t>health, where this would improve health services (in respect of NHS England, see section 13N of the NHS Act 2006; and, in respect of CCGs, see section 14Z1 of the NHS Act 2006)</w:t>
            </w:r>
          </w:p>
          <w:p w14:paraId="5549656F" w14:textId="77777777" w:rsidR="00DB7F92" w:rsidRPr="0088364D" w:rsidRDefault="00DB7F92" w:rsidP="00884224">
            <w:pPr>
              <w:keepNext/>
              <w:keepLines/>
              <w:tabs>
                <w:tab w:val="num" w:pos="5761"/>
              </w:tabs>
              <w:spacing w:before="173"/>
              <w:ind w:left="13"/>
              <w:jc w:val="both"/>
              <w:outlineLvl w:val="6"/>
              <w:rPr>
                <w:rFonts w:eastAsiaTheme="majorEastAsia" w:cs="Arial"/>
                <w:b/>
                <w:i/>
                <w:iCs/>
                <w:color w:val="404040" w:themeColor="text1" w:themeTint="BF"/>
                <w:spacing w:val="-1"/>
                <w:sz w:val="20"/>
                <w:szCs w:val="20"/>
              </w:rPr>
            </w:pPr>
            <w:r w:rsidRPr="0088364D">
              <w:rPr>
                <w:rFonts w:eastAsiaTheme="majorEastAsia" w:cs="Arial"/>
                <w:b/>
                <w:i/>
                <w:iCs/>
                <w:color w:val="404040" w:themeColor="text1" w:themeTint="BF"/>
                <w:spacing w:val="-1"/>
                <w:sz w:val="20"/>
                <w:szCs w:val="20"/>
              </w:rPr>
              <w:t>The "Promote Duties"</w:t>
            </w:r>
          </w:p>
          <w:p w14:paraId="055BCA1B" w14:textId="77777777" w:rsidR="00970B92" w:rsidRPr="0088364D" w:rsidRDefault="00970B92" w:rsidP="00970B92">
            <w:pPr>
              <w:keepNext/>
              <w:keepLines/>
              <w:spacing w:before="186"/>
              <w:jc w:val="both"/>
              <w:outlineLvl w:val="6"/>
              <w:rPr>
                <w:rFonts w:eastAsiaTheme="majorEastAsia" w:cs="Arial"/>
                <w:b/>
                <w:bCs w:val="0"/>
                <w:i/>
                <w:iCs/>
                <w:color w:val="404040" w:themeColor="text1" w:themeTint="BF"/>
                <w:sz w:val="20"/>
                <w:szCs w:val="20"/>
              </w:rPr>
            </w:pPr>
          </w:p>
          <w:p w14:paraId="7BC5413E" w14:textId="77777777" w:rsidR="00DB7F92" w:rsidRPr="0088364D" w:rsidRDefault="00DB7F92" w:rsidP="00970B92">
            <w:pPr>
              <w:pStyle w:val="Heading3"/>
              <w:rPr>
                <w:sz w:val="20"/>
                <w:szCs w:val="20"/>
                <w:lang w:eastAsia="en-GB"/>
              </w:rPr>
            </w:pPr>
            <w:r w:rsidRPr="0088364D">
              <w:rPr>
                <w:sz w:val="20"/>
                <w:szCs w:val="20"/>
                <w:lang w:eastAsia="en-GB"/>
              </w:rPr>
              <w:t>The</w:t>
            </w:r>
            <w:r w:rsidRPr="0088364D">
              <w:rPr>
                <w:spacing w:val="-6"/>
                <w:sz w:val="20"/>
                <w:szCs w:val="20"/>
                <w:lang w:eastAsia="en-GB"/>
              </w:rPr>
              <w:t xml:space="preserve"> </w:t>
            </w:r>
            <w:r w:rsidRPr="0088364D">
              <w:rPr>
                <w:sz w:val="20"/>
                <w:szCs w:val="20"/>
                <w:lang w:eastAsia="en-GB"/>
              </w:rPr>
              <w:t>"Promote</w:t>
            </w:r>
            <w:r w:rsidRPr="0088364D">
              <w:rPr>
                <w:spacing w:val="-6"/>
                <w:sz w:val="20"/>
                <w:szCs w:val="20"/>
                <w:lang w:eastAsia="en-GB"/>
              </w:rPr>
              <w:t xml:space="preserve"> </w:t>
            </w:r>
            <w:r w:rsidRPr="0088364D">
              <w:rPr>
                <w:sz w:val="20"/>
                <w:szCs w:val="20"/>
                <w:lang w:eastAsia="en-GB"/>
              </w:rPr>
              <w:t>Duties"</w:t>
            </w:r>
            <w:r w:rsidRPr="0088364D">
              <w:rPr>
                <w:spacing w:val="-23"/>
                <w:sz w:val="20"/>
                <w:szCs w:val="20"/>
                <w:lang w:eastAsia="en-GB"/>
              </w:rPr>
              <w:t xml:space="preserve"> </w:t>
            </w:r>
            <w:r w:rsidRPr="0088364D">
              <w:rPr>
                <w:sz w:val="20"/>
                <w:szCs w:val="20"/>
                <w:lang w:eastAsia="en-GB"/>
              </w:rPr>
              <w:t>are:</w:t>
            </w:r>
          </w:p>
          <w:p w14:paraId="5964D345" w14:textId="77777777" w:rsidR="00DB7F92" w:rsidRPr="0088364D" w:rsidRDefault="00DB7F92" w:rsidP="00970B92">
            <w:pPr>
              <w:pStyle w:val="Heading4"/>
              <w:rPr>
                <w:sz w:val="20"/>
                <w:szCs w:val="20"/>
              </w:rPr>
            </w:pPr>
            <w:r w:rsidRPr="0088364D">
              <w:rPr>
                <w:sz w:val="20"/>
                <w:szCs w:val="20"/>
              </w:rPr>
              <w:t>the</w:t>
            </w:r>
            <w:r w:rsidRPr="0088364D">
              <w:rPr>
                <w:spacing w:val="13"/>
                <w:sz w:val="20"/>
                <w:szCs w:val="20"/>
              </w:rPr>
              <w:t xml:space="preserve"> </w:t>
            </w:r>
            <w:r w:rsidRPr="0088364D">
              <w:rPr>
                <w:sz w:val="20"/>
                <w:szCs w:val="20"/>
              </w:rPr>
              <w:t>duty</w:t>
            </w:r>
            <w:r w:rsidRPr="0088364D">
              <w:rPr>
                <w:spacing w:val="15"/>
                <w:sz w:val="20"/>
                <w:szCs w:val="20"/>
              </w:rPr>
              <w:t xml:space="preserve"> </w:t>
            </w:r>
            <w:r w:rsidRPr="0088364D">
              <w:rPr>
                <w:sz w:val="20"/>
                <w:szCs w:val="20"/>
              </w:rPr>
              <w:t>to</w:t>
            </w:r>
            <w:r w:rsidRPr="0088364D">
              <w:rPr>
                <w:spacing w:val="13"/>
                <w:sz w:val="20"/>
                <w:szCs w:val="20"/>
              </w:rPr>
              <w:t xml:space="preserve"> </w:t>
            </w:r>
            <w:r w:rsidRPr="0088364D">
              <w:rPr>
                <w:sz w:val="20"/>
                <w:szCs w:val="20"/>
              </w:rPr>
              <w:t>promote</w:t>
            </w:r>
            <w:r w:rsidRPr="0088364D">
              <w:rPr>
                <w:spacing w:val="16"/>
                <w:sz w:val="20"/>
                <w:szCs w:val="20"/>
              </w:rPr>
              <w:t xml:space="preserve"> </w:t>
            </w:r>
            <w:r w:rsidRPr="0088364D">
              <w:rPr>
                <w:sz w:val="20"/>
                <w:szCs w:val="20"/>
              </w:rPr>
              <w:t>awareness</w:t>
            </w:r>
            <w:r w:rsidRPr="0088364D">
              <w:rPr>
                <w:spacing w:val="80"/>
                <w:sz w:val="20"/>
                <w:szCs w:val="20"/>
              </w:rPr>
              <w:t xml:space="preserve"> </w:t>
            </w:r>
            <w:r w:rsidRPr="0088364D">
              <w:rPr>
                <w:spacing w:val="-2"/>
                <w:sz w:val="20"/>
                <w:szCs w:val="20"/>
              </w:rPr>
              <w:t>of</w:t>
            </w:r>
            <w:r w:rsidRPr="0088364D">
              <w:rPr>
                <w:spacing w:val="81"/>
                <w:sz w:val="20"/>
                <w:szCs w:val="20"/>
              </w:rPr>
              <w:t xml:space="preserve"> </w:t>
            </w:r>
            <w:r w:rsidRPr="0088364D">
              <w:rPr>
                <w:sz w:val="20"/>
                <w:szCs w:val="20"/>
              </w:rPr>
              <w:t>the</w:t>
            </w:r>
            <w:r w:rsidRPr="0088364D">
              <w:rPr>
                <w:spacing w:val="79"/>
                <w:sz w:val="20"/>
                <w:szCs w:val="20"/>
              </w:rPr>
              <w:t xml:space="preserve"> </w:t>
            </w:r>
            <w:r w:rsidRPr="0088364D">
              <w:rPr>
                <w:sz w:val="20"/>
                <w:szCs w:val="20"/>
              </w:rPr>
              <w:t>NHS</w:t>
            </w:r>
            <w:r w:rsidRPr="0088364D">
              <w:rPr>
                <w:spacing w:val="79"/>
                <w:sz w:val="20"/>
                <w:szCs w:val="20"/>
              </w:rPr>
              <w:t xml:space="preserve"> </w:t>
            </w:r>
            <w:r w:rsidRPr="0088364D">
              <w:rPr>
                <w:sz w:val="20"/>
                <w:szCs w:val="20"/>
              </w:rPr>
              <w:t>Constitution</w:t>
            </w:r>
            <w:r w:rsidRPr="0088364D">
              <w:rPr>
                <w:spacing w:val="29"/>
                <w:sz w:val="20"/>
                <w:szCs w:val="20"/>
              </w:rPr>
              <w:t xml:space="preserve"> </w:t>
            </w:r>
            <w:r w:rsidRPr="0088364D">
              <w:rPr>
                <w:sz w:val="20"/>
                <w:szCs w:val="20"/>
              </w:rPr>
              <w:t>among</w:t>
            </w:r>
            <w:r w:rsidRPr="0088364D">
              <w:rPr>
                <w:spacing w:val="37"/>
                <w:sz w:val="20"/>
                <w:szCs w:val="20"/>
              </w:rPr>
              <w:t xml:space="preserve"> </w:t>
            </w:r>
            <w:r w:rsidRPr="0088364D">
              <w:rPr>
                <w:sz w:val="20"/>
                <w:szCs w:val="20"/>
              </w:rPr>
              <w:t>patients,</w:t>
            </w:r>
            <w:r w:rsidRPr="0088364D">
              <w:rPr>
                <w:spacing w:val="38"/>
                <w:sz w:val="20"/>
                <w:szCs w:val="20"/>
              </w:rPr>
              <w:t xml:space="preserve"> </w:t>
            </w:r>
            <w:r w:rsidRPr="0088364D">
              <w:rPr>
                <w:sz w:val="20"/>
                <w:szCs w:val="20"/>
              </w:rPr>
              <w:t>staff</w:t>
            </w:r>
            <w:r w:rsidRPr="0088364D">
              <w:rPr>
                <w:spacing w:val="35"/>
                <w:sz w:val="20"/>
                <w:szCs w:val="20"/>
              </w:rPr>
              <w:t xml:space="preserve"> </w:t>
            </w:r>
            <w:r w:rsidRPr="0088364D">
              <w:rPr>
                <w:sz w:val="20"/>
                <w:szCs w:val="20"/>
              </w:rPr>
              <w:t>and</w:t>
            </w:r>
            <w:r w:rsidRPr="0088364D">
              <w:rPr>
                <w:spacing w:val="37"/>
                <w:sz w:val="20"/>
                <w:szCs w:val="20"/>
              </w:rPr>
              <w:t xml:space="preserve"> </w:t>
            </w:r>
            <w:r w:rsidRPr="0088364D">
              <w:rPr>
                <w:sz w:val="20"/>
                <w:szCs w:val="20"/>
              </w:rPr>
              <w:t>members</w:t>
            </w:r>
            <w:r w:rsidRPr="0088364D">
              <w:rPr>
                <w:spacing w:val="40"/>
                <w:sz w:val="20"/>
                <w:szCs w:val="20"/>
              </w:rPr>
              <w:t xml:space="preserve"> </w:t>
            </w:r>
            <w:r w:rsidRPr="0088364D">
              <w:rPr>
                <w:sz w:val="20"/>
                <w:szCs w:val="20"/>
              </w:rPr>
              <w:t>of</w:t>
            </w:r>
            <w:r w:rsidRPr="0088364D">
              <w:rPr>
                <w:spacing w:val="37"/>
                <w:sz w:val="20"/>
                <w:szCs w:val="20"/>
              </w:rPr>
              <w:t xml:space="preserve"> </w:t>
            </w:r>
            <w:r w:rsidRPr="0088364D">
              <w:rPr>
                <w:sz w:val="20"/>
                <w:szCs w:val="20"/>
              </w:rPr>
              <w:t>the</w:t>
            </w:r>
            <w:r w:rsidRPr="0088364D">
              <w:rPr>
                <w:spacing w:val="40"/>
                <w:sz w:val="20"/>
                <w:szCs w:val="20"/>
              </w:rPr>
              <w:t xml:space="preserve"> </w:t>
            </w:r>
            <w:r w:rsidRPr="0088364D">
              <w:rPr>
                <w:sz w:val="20"/>
                <w:szCs w:val="20"/>
              </w:rPr>
              <w:t>public</w:t>
            </w:r>
            <w:r w:rsidRPr="0088364D">
              <w:rPr>
                <w:spacing w:val="37"/>
                <w:sz w:val="20"/>
                <w:szCs w:val="20"/>
              </w:rPr>
              <w:t xml:space="preserve"> </w:t>
            </w:r>
            <w:r w:rsidRPr="0088364D">
              <w:rPr>
                <w:sz w:val="20"/>
                <w:szCs w:val="20"/>
              </w:rPr>
              <w:t>(in respect of NHS England, see</w:t>
            </w:r>
            <w:r w:rsidRPr="0088364D">
              <w:rPr>
                <w:spacing w:val="38"/>
                <w:sz w:val="20"/>
                <w:szCs w:val="20"/>
              </w:rPr>
              <w:t xml:space="preserve"> </w:t>
            </w:r>
            <w:r w:rsidRPr="0088364D">
              <w:rPr>
                <w:sz w:val="20"/>
                <w:szCs w:val="20"/>
              </w:rPr>
              <w:t>section</w:t>
            </w:r>
            <w:r w:rsidRPr="0088364D">
              <w:rPr>
                <w:spacing w:val="47"/>
                <w:sz w:val="20"/>
                <w:szCs w:val="20"/>
              </w:rPr>
              <w:t xml:space="preserve"> </w:t>
            </w:r>
            <w:r w:rsidRPr="0088364D">
              <w:rPr>
                <w:sz w:val="20"/>
                <w:szCs w:val="20"/>
              </w:rPr>
              <w:t>13C(1)(b)</w:t>
            </w:r>
            <w:r w:rsidRPr="0088364D">
              <w:rPr>
                <w:spacing w:val="-6"/>
                <w:sz w:val="20"/>
                <w:szCs w:val="20"/>
              </w:rPr>
              <w:t xml:space="preserve"> </w:t>
            </w:r>
            <w:r w:rsidRPr="0088364D">
              <w:rPr>
                <w:sz w:val="20"/>
                <w:szCs w:val="20"/>
              </w:rPr>
              <w:t>of</w:t>
            </w:r>
            <w:r w:rsidRPr="0088364D">
              <w:rPr>
                <w:spacing w:val="-7"/>
                <w:sz w:val="20"/>
                <w:szCs w:val="20"/>
              </w:rPr>
              <w:t xml:space="preserve"> </w:t>
            </w:r>
            <w:r w:rsidRPr="0088364D">
              <w:rPr>
                <w:sz w:val="20"/>
                <w:szCs w:val="20"/>
              </w:rPr>
              <w:t>the</w:t>
            </w:r>
            <w:r w:rsidRPr="0088364D">
              <w:rPr>
                <w:spacing w:val="-5"/>
                <w:sz w:val="20"/>
                <w:szCs w:val="20"/>
              </w:rPr>
              <w:t xml:space="preserve"> </w:t>
            </w:r>
            <w:r w:rsidRPr="0088364D">
              <w:rPr>
                <w:sz w:val="20"/>
                <w:szCs w:val="20"/>
              </w:rPr>
              <w:t>NHS</w:t>
            </w:r>
            <w:r w:rsidRPr="0088364D">
              <w:rPr>
                <w:spacing w:val="-6"/>
                <w:sz w:val="20"/>
                <w:szCs w:val="20"/>
              </w:rPr>
              <w:t xml:space="preserve"> </w:t>
            </w:r>
            <w:r w:rsidRPr="0088364D">
              <w:rPr>
                <w:sz w:val="20"/>
                <w:szCs w:val="20"/>
              </w:rPr>
              <w:t>Act</w:t>
            </w:r>
            <w:r w:rsidRPr="0088364D">
              <w:rPr>
                <w:spacing w:val="-5"/>
                <w:sz w:val="20"/>
                <w:szCs w:val="20"/>
              </w:rPr>
              <w:t xml:space="preserve"> </w:t>
            </w:r>
            <w:r w:rsidRPr="0088364D">
              <w:rPr>
                <w:sz w:val="20"/>
                <w:szCs w:val="20"/>
              </w:rPr>
              <w:t>2006; and, in respect of CCGs, see section 14P(1)(b) of the NHS Act 2006)</w:t>
            </w:r>
          </w:p>
          <w:p w14:paraId="0C09DFB4" w14:textId="77777777" w:rsidR="00DB7F92" w:rsidRPr="0088364D" w:rsidRDefault="00DB7F92" w:rsidP="00970B92">
            <w:pPr>
              <w:pStyle w:val="Heading4"/>
              <w:rPr>
                <w:sz w:val="20"/>
                <w:szCs w:val="20"/>
              </w:rPr>
            </w:pPr>
            <w:r w:rsidRPr="0088364D">
              <w:rPr>
                <w:sz w:val="20"/>
                <w:szCs w:val="20"/>
              </w:rPr>
              <w:t>the</w:t>
            </w:r>
            <w:r w:rsidRPr="0088364D">
              <w:rPr>
                <w:spacing w:val="-2"/>
                <w:sz w:val="20"/>
                <w:szCs w:val="20"/>
              </w:rPr>
              <w:t xml:space="preserve"> </w:t>
            </w:r>
            <w:r w:rsidRPr="0088364D">
              <w:rPr>
                <w:sz w:val="20"/>
                <w:szCs w:val="20"/>
              </w:rPr>
              <w:t>duty to</w:t>
            </w:r>
            <w:r w:rsidRPr="0088364D">
              <w:rPr>
                <w:spacing w:val="2"/>
                <w:sz w:val="20"/>
                <w:szCs w:val="20"/>
              </w:rPr>
              <w:t xml:space="preserve"> </w:t>
            </w:r>
            <w:r w:rsidRPr="0088364D">
              <w:rPr>
                <w:sz w:val="20"/>
                <w:szCs w:val="20"/>
              </w:rPr>
              <w:t>promote</w:t>
            </w:r>
            <w:r w:rsidRPr="0088364D">
              <w:rPr>
                <w:spacing w:val="-2"/>
                <w:sz w:val="20"/>
                <w:szCs w:val="20"/>
              </w:rPr>
              <w:t xml:space="preserve"> </w:t>
            </w:r>
            <w:r w:rsidRPr="0088364D">
              <w:rPr>
                <w:sz w:val="20"/>
                <w:szCs w:val="20"/>
              </w:rPr>
              <w:t>the involvement</w:t>
            </w:r>
            <w:r w:rsidRPr="0088364D">
              <w:rPr>
                <w:spacing w:val="-2"/>
                <w:sz w:val="20"/>
                <w:szCs w:val="20"/>
              </w:rPr>
              <w:t xml:space="preserve"> </w:t>
            </w:r>
            <w:r w:rsidRPr="0088364D">
              <w:rPr>
                <w:sz w:val="20"/>
                <w:szCs w:val="20"/>
              </w:rPr>
              <w:t>of patients and carers in</w:t>
            </w:r>
            <w:r w:rsidRPr="0088364D">
              <w:rPr>
                <w:spacing w:val="47"/>
                <w:sz w:val="20"/>
                <w:szCs w:val="20"/>
              </w:rPr>
              <w:t xml:space="preserve"> </w:t>
            </w:r>
            <w:r w:rsidRPr="0088364D">
              <w:rPr>
                <w:sz w:val="20"/>
                <w:szCs w:val="20"/>
              </w:rPr>
              <w:t>decisions</w:t>
            </w:r>
            <w:r w:rsidRPr="0088364D">
              <w:rPr>
                <w:spacing w:val="31"/>
                <w:sz w:val="20"/>
                <w:szCs w:val="20"/>
              </w:rPr>
              <w:t xml:space="preserve"> </w:t>
            </w:r>
            <w:r w:rsidRPr="0088364D">
              <w:rPr>
                <w:sz w:val="20"/>
                <w:szCs w:val="20"/>
              </w:rPr>
              <w:t>about</w:t>
            </w:r>
            <w:r w:rsidRPr="0088364D">
              <w:rPr>
                <w:spacing w:val="32"/>
                <w:sz w:val="20"/>
                <w:szCs w:val="20"/>
              </w:rPr>
              <w:t xml:space="preserve"> </w:t>
            </w:r>
            <w:r w:rsidRPr="0088364D">
              <w:rPr>
                <w:sz w:val="20"/>
                <w:szCs w:val="20"/>
              </w:rPr>
              <w:t>their</w:t>
            </w:r>
            <w:r w:rsidRPr="0088364D">
              <w:rPr>
                <w:spacing w:val="31"/>
                <w:sz w:val="20"/>
                <w:szCs w:val="20"/>
              </w:rPr>
              <w:t xml:space="preserve"> </w:t>
            </w:r>
            <w:r w:rsidRPr="0088364D">
              <w:rPr>
                <w:sz w:val="20"/>
                <w:szCs w:val="20"/>
              </w:rPr>
              <w:t>own</w:t>
            </w:r>
            <w:r w:rsidRPr="0088364D">
              <w:rPr>
                <w:spacing w:val="33"/>
                <w:sz w:val="20"/>
                <w:szCs w:val="20"/>
              </w:rPr>
              <w:t xml:space="preserve"> </w:t>
            </w:r>
            <w:r w:rsidRPr="0088364D">
              <w:rPr>
                <w:sz w:val="20"/>
                <w:szCs w:val="20"/>
              </w:rPr>
              <w:t>care</w:t>
            </w:r>
            <w:r w:rsidRPr="0088364D">
              <w:rPr>
                <w:spacing w:val="17"/>
                <w:sz w:val="20"/>
                <w:szCs w:val="20"/>
              </w:rPr>
              <w:t xml:space="preserve"> </w:t>
            </w:r>
            <w:r w:rsidRPr="0088364D">
              <w:rPr>
                <w:sz w:val="20"/>
                <w:szCs w:val="20"/>
              </w:rPr>
              <w:t>(in respect of NHS England, see</w:t>
            </w:r>
            <w:r w:rsidRPr="0088364D">
              <w:rPr>
                <w:spacing w:val="34"/>
                <w:sz w:val="20"/>
                <w:szCs w:val="20"/>
              </w:rPr>
              <w:t xml:space="preserve"> </w:t>
            </w:r>
            <w:r w:rsidRPr="0088364D">
              <w:rPr>
                <w:sz w:val="20"/>
                <w:szCs w:val="20"/>
              </w:rPr>
              <w:t>section</w:t>
            </w:r>
            <w:r w:rsidRPr="0088364D">
              <w:rPr>
                <w:spacing w:val="34"/>
                <w:sz w:val="20"/>
                <w:szCs w:val="20"/>
              </w:rPr>
              <w:t xml:space="preserve"> </w:t>
            </w:r>
            <w:r w:rsidRPr="0088364D">
              <w:rPr>
                <w:sz w:val="20"/>
                <w:szCs w:val="20"/>
              </w:rPr>
              <w:t>13H</w:t>
            </w:r>
            <w:r w:rsidRPr="0088364D">
              <w:rPr>
                <w:spacing w:val="34"/>
                <w:sz w:val="20"/>
                <w:szCs w:val="20"/>
              </w:rPr>
              <w:t xml:space="preserve"> </w:t>
            </w:r>
            <w:r w:rsidRPr="0088364D">
              <w:rPr>
                <w:sz w:val="20"/>
                <w:szCs w:val="20"/>
              </w:rPr>
              <w:t>of</w:t>
            </w:r>
            <w:r w:rsidRPr="0088364D">
              <w:rPr>
                <w:spacing w:val="34"/>
                <w:sz w:val="20"/>
                <w:szCs w:val="20"/>
              </w:rPr>
              <w:t xml:space="preserve"> </w:t>
            </w:r>
            <w:r w:rsidRPr="0088364D">
              <w:rPr>
                <w:sz w:val="20"/>
                <w:szCs w:val="20"/>
              </w:rPr>
              <w:t>the</w:t>
            </w:r>
            <w:r w:rsidRPr="0088364D">
              <w:rPr>
                <w:spacing w:val="33"/>
                <w:sz w:val="20"/>
                <w:szCs w:val="20"/>
              </w:rPr>
              <w:t xml:space="preserve"> </w:t>
            </w:r>
            <w:r w:rsidRPr="0088364D">
              <w:rPr>
                <w:sz w:val="20"/>
                <w:szCs w:val="20"/>
              </w:rPr>
              <w:t>NHS</w:t>
            </w:r>
            <w:r w:rsidRPr="0088364D">
              <w:rPr>
                <w:spacing w:val="61"/>
                <w:sz w:val="20"/>
                <w:szCs w:val="20"/>
              </w:rPr>
              <w:t xml:space="preserve"> </w:t>
            </w:r>
            <w:r w:rsidRPr="0088364D">
              <w:rPr>
                <w:sz w:val="20"/>
                <w:szCs w:val="20"/>
              </w:rPr>
              <w:t>Act</w:t>
            </w:r>
            <w:r w:rsidRPr="0088364D">
              <w:rPr>
                <w:spacing w:val="-9"/>
                <w:sz w:val="20"/>
                <w:szCs w:val="20"/>
              </w:rPr>
              <w:t xml:space="preserve"> </w:t>
            </w:r>
            <w:r w:rsidRPr="0088364D">
              <w:rPr>
                <w:sz w:val="20"/>
                <w:szCs w:val="20"/>
              </w:rPr>
              <w:t>2006; and, in respect of CCGs, see section 14U of the NHS Act 2006)</w:t>
            </w:r>
          </w:p>
          <w:p w14:paraId="71D7A380" w14:textId="77777777" w:rsidR="00DB7F92" w:rsidRPr="0088364D" w:rsidRDefault="00DB7F92" w:rsidP="00970B92">
            <w:pPr>
              <w:pStyle w:val="Heading4"/>
              <w:rPr>
                <w:sz w:val="20"/>
                <w:szCs w:val="20"/>
              </w:rPr>
            </w:pPr>
            <w:r w:rsidRPr="0088364D">
              <w:rPr>
                <w:sz w:val="20"/>
                <w:szCs w:val="20"/>
              </w:rPr>
              <w:t>the</w:t>
            </w:r>
            <w:r w:rsidRPr="0088364D">
              <w:rPr>
                <w:spacing w:val="13"/>
                <w:sz w:val="20"/>
                <w:szCs w:val="20"/>
              </w:rPr>
              <w:t xml:space="preserve"> </w:t>
            </w:r>
            <w:r w:rsidRPr="0088364D">
              <w:rPr>
                <w:sz w:val="20"/>
                <w:szCs w:val="20"/>
              </w:rPr>
              <w:t>duty</w:t>
            </w:r>
            <w:r w:rsidRPr="0088364D">
              <w:rPr>
                <w:spacing w:val="14"/>
                <w:sz w:val="20"/>
                <w:szCs w:val="20"/>
              </w:rPr>
              <w:t xml:space="preserve"> </w:t>
            </w:r>
            <w:r w:rsidRPr="0088364D">
              <w:rPr>
                <w:sz w:val="20"/>
                <w:szCs w:val="20"/>
              </w:rPr>
              <w:t>to</w:t>
            </w:r>
            <w:r w:rsidRPr="0088364D">
              <w:rPr>
                <w:spacing w:val="16"/>
                <w:sz w:val="20"/>
                <w:szCs w:val="20"/>
              </w:rPr>
              <w:t xml:space="preserve"> </w:t>
            </w:r>
            <w:r w:rsidRPr="0088364D">
              <w:rPr>
                <w:sz w:val="20"/>
                <w:szCs w:val="20"/>
              </w:rPr>
              <w:t>promote</w:t>
            </w:r>
            <w:r w:rsidRPr="0088364D">
              <w:rPr>
                <w:spacing w:val="15"/>
                <w:sz w:val="20"/>
                <w:szCs w:val="20"/>
              </w:rPr>
              <w:t xml:space="preserve"> </w:t>
            </w:r>
            <w:r w:rsidRPr="0088364D">
              <w:rPr>
                <w:sz w:val="20"/>
                <w:szCs w:val="20"/>
              </w:rPr>
              <w:t>innovation</w:t>
            </w:r>
            <w:r w:rsidRPr="0088364D">
              <w:rPr>
                <w:spacing w:val="62"/>
                <w:sz w:val="20"/>
                <w:szCs w:val="20"/>
              </w:rPr>
              <w:t xml:space="preserve"> </w:t>
            </w:r>
            <w:r w:rsidRPr="0088364D">
              <w:rPr>
                <w:sz w:val="20"/>
                <w:szCs w:val="20"/>
              </w:rPr>
              <w:t>in</w:t>
            </w:r>
            <w:r w:rsidRPr="0088364D">
              <w:rPr>
                <w:spacing w:val="15"/>
                <w:sz w:val="20"/>
                <w:szCs w:val="20"/>
              </w:rPr>
              <w:t xml:space="preserve"> </w:t>
            </w:r>
            <w:r w:rsidRPr="0088364D">
              <w:rPr>
                <w:sz w:val="20"/>
                <w:szCs w:val="20"/>
              </w:rPr>
              <w:t>the</w:t>
            </w:r>
            <w:r w:rsidRPr="0088364D">
              <w:rPr>
                <w:spacing w:val="13"/>
                <w:sz w:val="20"/>
                <w:szCs w:val="20"/>
              </w:rPr>
              <w:t xml:space="preserve"> </w:t>
            </w:r>
            <w:r w:rsidRPr="0088364D">
              <w:rPr>
                <w:sz w:val="20"/>
                <w:szCs w:val="20"/>
              </w:rPr>
              <w:t>health</w:t>
            </w:r>
            <w:r w:rsidRPr="0088364D">
              <w:rPr>
                <w:spacing w:val="15"/>
                <w:sz w:val="20"/>
                <w:szCs w:val="20"/>
              </w:rPr>
              <w:t xml:space="preserve"> </w:t>
            </w:r>
            <w:r w:rsidRPr="0088364D">
              <w:rPr>
                <w:sz w:val="20"/>
                <w:szCs w:val="20"/>
              </w:rPr>
              <w:t>service</w:t>
            </w:r>
            <w:r w:rsidRPr="0088364D">
              <w:rPr>
                <w:spacing w:val="15"/>
                <w:sz w:val="20"/>
                <w:szCs w:val="20"/>
              </w:rPr>
              <w:t xml:space="preserve"> </w:t>
            </w:r>
            <w:r w:rsidRPr="0088364D">
              <w:rPr>
                <w:sz w:val="20"/>
                <w:szCs w:val="20"/>
              </w:rPr>
              <w:t>(in respect of NHS England, see</w:t>
            </w:r>
            <w:r w:rsidRPr="0088364D">
              <w:rPr>
                <w:spacing w:val="58"/>
                <w:w w:val="99"/>
                <w:sz w:val="20"/>
                <w:szCs w:val="20"/>
              </w:rPr>
              <w:t xml:space="preserve"> </w:t>
            </w:r>
            <w:r w:rsidRPr="0088364D">
              <w:rPr>
                <w:sz w:val="20"/>
                <w:szCs w:val="20"/>
              </w:rPr>
              <w:t>section</w:t>
            </w:r>
            <w:r w:rsidRPr="0088364D">
              <w:rPr>
                <w:spacing w:val="-5"/>
                <w:sz w:val="20"/>
                <w:szCs w:val="20"/>
              </w:rPr>
              <w:t xml:space="preserve"> </w:t>
            </w:r>
            <w:r w:rsidRPr="0088364D">
              <w:rPr>
                <w:sz w:val="20"/>
                <w:szCs w:val="20"/>
              </w:rPr>
              <w:t>13K</w:t>
            </w:r>
            <w:r w:rsidRPr="0088364D">
              <w:rPr>
                <w:spacing w:val="-5"/>
                <w:sz w:val="20"/>
                <w:szCs w:val="20"/>
              </w:rPr>
              <w:t xml:space="preserve"> </w:t>
            </w:r>
            <w:r w:rsidRPr="0088364D">
              <w:rPr>
                <w:sz w:val="20"/>
                <w:szCs w:val="20"/>
              </w:rPr>
              <w:t>of</w:t>
            </w:r>
            <w:r w:rsidRPr="0088364D">
              <w:rPr>
                <w:spacing w:val="-5"/>
                <w:sz w:val="20"/>
                <w:szCs w:val="20"/>
              </w:rPr>
              <w:t xml:space="preserve"> </w:t>
            </w:r>
            <w:r w:rsidRPr="0088364D">
              <w:rPr>
                <w:sz w:val="20"/>
                <w:szCs w:val="20"/>
              </w:rPr>
              <w:t>the</w:t>
            </w:r>
            <w:r w:rsidRPr="0088364D">
              <w:rPr>
                <w:spacing w:val="-3"/>
                <w:sz w:val="20"/>
                <w:szCs w:val="20"/>
              </w:rPr>
              <w:t xml:space="preserve"> </w:t>
            </w:r>
            <w:r w:rsidRPr="0088364D">
              <w:rPr>
                <w:sz w:val="20"/>
                <w:szCs w:val="20"/>
              </w:rPr>
              <w:t>NHS Act</w:t>
            </w:r>
            <w:r w:rsidRPr="0088364D">
              <w:rPr>
                <w:spacing w:val="-4"/>
                <w:sz w:val="20"/>
                <w:szCs w:val="20"/>
              </w:rPr>
              <w:t xml:space="preserve"> </w:t>
            </w:r>
            <w:r w:rsidRPr="0088364D">
              <w:rPr>
                <w:sz w:val="20"/>
                <w:szCs w:val="20"/>
              </w:rPr>
              <w:t>2006; and, in respect of CCGs, see section 14X of the NHS Act 2006)</w:t>
            </w:r>
          </w:p>
          <w:p w14:paraId="78A85EA8" w14:textId="77777777" w:rsidR="00DB7F92" w:rsidRPr="0088364D" w:rsidRDefault="00DB7F92" w:rsidP="00970B92">
            <w:pPr>
              <w:pStyle w:val="Heading4"/>
              <w:rPr>
                <w:sz w:val="20"/>
                <w:szCs w:val="20"/>
              </w:rPr>
            </w:pPr>
            <w:r w:rsidRPr="0088364D">
              <w:rPr>
                <w:sz w:val="20"/>
                <w:szCs w:val="20"/>
              </w:rPr>
              <w:t>the</w:t>
            </w:r>
            <w:r w:rsidRPr="0088364D">
              <w:rPr>
                <w:spacing w:val="54"/>
                <w:sz w:val="20"/>
                <w:szCs w:val="20"/>
              </w:rPr>
              <w:t xml:space="preserve"> </w:t>
            </w:r>
            <w:r w:rsidRPr="0088364D">
              <w:rPr>
                <w:sz w:val="20"/>
                <w:szCs w:val="20"/>
              </w:rPr>
              <w:t>duty</w:t>
            </w:r>
            <w:r w:rsidRPr="0088364D">
              <w:rPr>
                <w:spacing w:val="55"/>
                <w:sz w:val="20"/>
                <w:szCs w:val="20"/>
              </w:rPr>
              <w:t xml:space="preserve"> </w:t>
            </w:r>
            <w:r w:rsidRPr="0088364D">
              <w:rPr>
                <w:sz w:val="20"/>
                <w:szCs w:val="20"/>
              </w:rPr>
              <w:t>to</w:t>
            </w:r>
            <w:r w:rsidRPr="0088364D">
              <w:rPr>
                <w:spacing w:val="56"/>
                <w:sz w:val="20"/>
                <w:szCs w:val="20"/>
              </w:rPr>
              <w:t xml:space="preserve"> </w:t>
            </w:r>
            <w:r w:rsidRPr="0088364D">
              <w:rPr>
                <w:sz w:val="20"/>
                <w:szCs w:val="20"/>
              </w:rPr>
              <w:t>promote</w:t>
            </w:r>
            <w:r w:rsidRPr="0088364D">
              <w:rPr>
                <w:spacing w:val="56"/>
                <w:sz w:val="20"/>
                <w:szCs w:val="20"/>
              </w:rPr>
              <w:t xml:space="preserve"> </w:t>
            </w:r>
            <w:r w:rsidRPr="0088364D">
              <w:rPr>
                <w:sz w:val="20"/>
                <w:szCs w:val="20"/>
              </w:rPr>
              <w:t>research</w:t>
            </w:r>
            <w:r w:rsidRPr="0088364D">
              <w:rPr>
                <w:spacing w:val="55"/>
                <w:sz w:val="20"/>
                <w:szCs w:val="20"/>
              </w:rPr>
              <w:t xml:space="preserve"> </w:t>
            </w:r>
            <w:r w:rsidRPr="0088364D">
              <w:rPr>
                <w:sz w:val="20"/>
                <w:szCs w:val="20"/>
              </w:rPr>
              <w:t>and</w:t>
            </w:r>
            <w:r w:rsidRPr="0088364D">
              <w:rPr>
                <w:spacing w:val="55"/>
                <w:sz w:val="20"/>
                <w:szCs w:val="20"/>
              </w:rPr>
              <w:t xml:space="preserve"> </w:t>
            </w:r>
            <w:r w:rsidRPr="0088364D">
              <w:rPr>
                <w:sz w:val="20"/>
                <w:szCs w:val="20"/>
              </w:rPr>
              <w:t>the</w:t>
            </w:r>
            <w:r w:rsidRPr="0088364D">
              <w:rPr>
                <w:spacing w:val="55"/>
                <w:sz w:val="20"/>
                <w:szCs w:val="20"/>
              </w:rPr>
              <w:t xml:space="preserve"> </w:t>
            </w:r>
            <w:r w:rsidRPr="0088364D">
              <w:rPr>
                <w:sz w:val="20"/>
                <w:szCs w:val="20"/>
              </w:rPr>
              <w:t>use</w:t>
            </w:r>
            <w:r w:rsidRPr="0088364D">
              <w:rPr>
                <w:spacing w:val="56"/>
                <w:sz w:val="20"/>
                <w:szCs w:val="20"/>
              </w:rPr>
              <w:t xml:space="preserve"> </w:t>
            </w:r>
            <w:r w:rsidRPr="0088364D">
              <w:rPr>
                <w:sz w:val="20"/>
                <w:szCs w:val="20"/>
              </w:rPr>
              <w:t>of</w:t>
            </w:r>
            <w:r w:rsidRPr="0088364D">
              <w:rPr>
                <w:spacing w:val="56"/>
                <w:sz w:val="20"/>
                <w:szCs w:val="20"/>
              </w:rPr>
              <w:t xml:space="preserve"> </w:t>
            </w:r>
            <w:r w:rsidRPr="0088364D">
              <w:rPr>
                <w:sz w:val="20"/>
                <w:szCs w:val="20"/>
              </w:rPr>
              <w:t>research</w:t>
            </w:r>
            <w:r w:rsidRPr="0088364D">
              <w:rPr>
                <w:spacing w:val="36"/>
                <w:sz w:val="20"/>
                <w:szCs w:val="20"/>
              </w:rPr>
              <w:t xml:space="preserve"> </w:t>
            </w:r>
            <w:r w:rsidRPr="0088364D">
              <w:rPr>
                <w:sz w:val="20"/>
                <w:szCs w:val="20"/>
              </w:rPr>
              <w:t>on</w:t>
            </w:r>
            <w:r w:rsidRPr="0088364D">
              <w:rPr>
                <w:spacing w:val="48"/>
                <w:sz w:val="20"/>
                <w:szCs w:val="20"/>
              </w:rPr>
              <w:t xml:space="preserve"> </w:t>
            </w:r>
            <w:r w:rsidRPr="0088364D">
              <w:rPr>
                <w:sz w:val="20"/>
                <w:szCs w:val="20"/>
              </w:rPr>
              <w:t>matters</w:t>
            </w:r>
            <w:r w:rsidRPr="0088364D">
              <w:rPr>
                <w:spacing w:val="48"/>
                <w:sz w:val="20"/>
                <w:szCs w:val="20"/>
              </w:rPr>
              <w:t xml:space="preserve"> </w:t>
            </w:r>
            <w:r w:rsidRPr="0088364D">
              <w:rPr>
                <w:sz w:val="20"/>
                <w:szCs w:val="20"/>
              </w:rPr>
              <w:t>relevant</w:t>
            </w:r>
            <w:r w:rsidRPr="0088364D">
              <w:rPr>
                <w:spacing w:val="48"/>
                <w:sz w:val="20"/>
                <w:szCs w:val="20"/>
              </w:rPr>
              <w:t xml:space="preserve"> </w:t>
            </w:r>
            <w:r w:rsidRPr="0088364D">
              <w:rPr>
                <w:sz w:val="20"/>
                <w:szCs w:val="20"/>
              </w:rPr>
              <w:t>to</w:t>
            </w:r>
            <w:r w:rsidRPr="0088364D">
              <w:rPr>
                <w:spacing w:val="48"/>
                <w:sz w:val="20"/>
                <w:szCs w:val="20"/>
              </w:rPr>
              <w:t xml:space="preserve"> </w:t>
            </w:r>
            <w:r w:rsidRPr="0088364D">
              <w:rPr>
                <w:sz w:val="20"/>
                <w:szCs w:val="20"/>
              </w:rPr>
              <w:t>the</w:t>
            </w:r>
            <w:r w:rsidRPr="0088364D">
              <w:rPr>
                <w:spacing w:val="47"/>
                <w:sz w:val="20"/>
                <w:szCs w:val="20"/>
              </w:rPr>
              <w:t xml:space="preserve"> </w:t>
            </w:r>
            <w:r w:rsidRPr="0088364D">
              <w:rPr>
                <w:sz w:val="20"/>
                <w:szCs w:val="20"/>
              </w:rPr>
              <w:t>health</w:t>
            </w:r>
            <w:r w:rsidRPr="0088364D">
              <w:rPr>
                <w:spacing w:val="49"/>
                <w:sz w:val="20"/>
                <w:szCs w:val="20"/>
              </w:rPr>
              <w:t xml:space="preserve"> </w:t>
            </w:r>
            <w:r w:rsidRPr="0088364D">
              <w:rPr>
                <w:sz w:val="20"/>
                <w:szCs w:val="20"/>
              </w:rPr>
              <w:t>service</w:t>
            </w:r>
            <w:r w:rsidRPr="0088364D">
              <w:rPr>
                <w:spacing w:val="47"/>
                <w:sz w:val="20"/>
                <w:szCs w:val="20"/>
              </w:rPr>
              <w:t xml:space="preserve"> </w:t>
            </w:r>
            <w:r w:rsidRPr="0088364D">
              <w:rPr>
                <w:sz w:val="20"/>
                <w:szCs w:val="20"/>
              </w:rPr>
              <w:t>(in respect of NHS England, see</w:t>
            </w:r>
            <w:r w:rsidRPr="0088364D">
              <w:rPr>
                <w:spacing w:val="47"/>
                <w:sz w:val="20"/>
                <w:szCs w:val="20"/>
              </w:rPr>
              <w:t xml:space="preserve"> </w:t>
            </w:r>
            <w:r w:rsidRPr="0088364D">
              <w:rPr>
                <w:sz w:val="20"/>
                <w:szCs w:val="20"/>
              </w:rPr>
              <w:t>section</w:t>
            </w:r>
            <w:r w:rsidRPr="0088364D">
              <w:rPr>
                <w:spacing w:val="49"/>
                <w:sz w:val="20"/>
                <w:szCs w:val="20"/>
              </w:rPr>
              <w:t xml:space="preserve"> </w:t>
            </w:r>
            <w:r w:rsidRPr="0088364D">
              <w:rPr>
                <w:sz w:val="20"/>
                <w:szCs w:val="20"/>
              </w:rPr>
              <w:t>13L</w:t>
            </w:r>
            <w:r w:rsidRPr="0088364D">
              <w:rPr>
                <w:spacing w:val="47"/>
                <w:sz w:val="20"/>
                <w:szCs w:val="20"/>
              </w:rPr>
              <w:t xml:space="preserve"> </w:t>
            </w:r>
            <w:r w:rsidRPr="0088364D">
              <w:rPr>
                <w:sz w:val="20"/>
                <w:szCs w:val="20"/>
              </w:rPr>
              <w:t>of</w:t>
            </w:r>
            <w:r w:rsidRPr="0088364D">
              <w:rPr>
                <w:spacing w:val="48"/>
                <w:sz w:val="20"/>
                <w:szCs w:val="20"/>
              </w:rPr>
              <w:t xml:space="preserve"> </w:t>
            </w:r>
            <w:r w:rsidRPr="0088364D">
              <w:rPr>
                <w:sz w:val="20"/>
                <w:szCs w:val="20"/>
              </w:rPr>
              <w:t>the</w:t>
            </w:r>
            <w:r w:rsidRPr="0088364D">
              <w:rPr>
                <w:spacing w:val="49"/>
                <w:w w:val="99"/>
                <w:sz w:val="20"/>
                <w:szCs w:val="20"/>
              </w:rPr>
              <w:t xml:space="preserve"> </w:t>
            </w:r>
            <w:r w:rsidRPr="0088364D">
              <w:rPr>
                <w:sz w:val="20"/>
                <w:szCs w:val="20"/>
              </w:rPr>
              <w:t>NHS</w:t>
            </w:r>
            <w:r w:rsidRPr="0088364D">
              <w:rPr>
                <w:spacing w:val="-7"/>
                <w:sz w:val="20"/>
                <w:szCs w:val="20"/>
              </w:rPr>
              <w:t xml:space="preserve"> </w:t>
            </w:r>
            <w:r w:rsidRPr="0088364D">
              <w:rPr>
                <w:sz w:val="20"/>
                <w:szCs w:val="20"/>
              </w:rPr>
              <w:t>Act</w:t>
            </w:r>
            <w:r w:rsidRPr="0088364D">
              <w:rPr>
                <w:spacing w:val="-6"/>
                <w:sz w:val="20"/>
                <w:szCs w:val="20"/>
              </w:rPr>
              <w:t xml:space="preserve"> </w:t>
            </w:r>
            <w:r w:rsidRPr="0088364D">
              <w:rPr>
                <w:sz w:val="20"/>
                <w:szCs w:val="20"/>
              </w:rPr>
              <w:t>2006; and, in respect of CCGs, see section 14Y of the NHS Act 2006)</w:t>
            </w:r>
          </w:p>
          <w:p w14:paraId="6E44484B" w14:textId="77777777" w:rsidR="00DB7F92" w:rsidRPr="0088364D" w:rsidRDefault="00DB7F92" w:rsidP="00884224">
            <w:pPr>
              <w:keepNext/>
              <w:keepLines/>
              <w:tabs>
                <w:tab w:val="num" w:pos="5761"/>
              </w:tabs>
              <w:spacing w:before="173"/>
              <w:ind w:left="13"/>
              <w:jc w:val="both"/>
              <w:outlineLvl w:val="6"/>
              <w:rPr>
                <w:rFonts w:eastAsiaTheme="majorEastAsia" w:cs="Arial"/>
                <w:b/>
                <w:i/>
                <w:iCs/>
                <w:color w:val="404040" w:themeColor="text1" w:themeTint="BF"/>
                <w:spacing w:val="-1"/>
                <w:sz w:val="20"/>
                <w:szCs w:val="20"/>
              </w:rPr>
            </w:pPr>
            <w:r w:rsidRPr="0088364D">
              <w:rPr>
                <w:rFonts w:eastAsiaTheme="majorEastAsia" w:cs="Arial"/>
                <w:b/>
                <w:i/>
                <w:iCs/>
                <w:color w:val="404040" w:themeColor="text1" w:themeTint="BF"/>
                <w:spacing w:val="-1"/>
                <w:sz w:val="20"/>
                <w:szCs w:val="20"/>
              </w:rPr>
              <w:t>The "Involvement Duty"</w:t>
            </w:r>
          </w:p>
          <w:p w14:paraId="064E8C95" w14:textId="77777777" w:rsidR="00970B92" w:rsidRPr="0088364D" w:rsidRDefault="00970B92" w:rsidP="00836ECF">
            <w:pPr>
              <w:keepNext/>
              <w:keepLines/>
              <w:numPr>
                <w:ilvl w:val="6"/>
                <w:numId w:val="33"/>
              </w:numPr>
              <w:tabs>
                <w:tab w:val="num" w:pos="5761"/>
              </w:tabs>
              <w:spacing w:before="169"/>
              <w:ind w:left="458" w:hanging="720"/>
              <w:jc w:val="both"/>
              <w:outlineLvl w:val="6"/>
              <w:rPr>
                <w:rFonts w:eastAsiaTheme="majorEastAsia" w:cs="Arial"/>
                <w:b/>
                <w:bCs w:val="0"/>
                <w:i/>
                <w:iCs/>
                <w:color w:val="404040" w:themeColor="text1" w:themeTint="BF"/>
                <w:sz w:val="20"/>
                <w:szCs w:val="20"/>
              </w:rPr>
            </w:pPr>
          </w:p>
          <w:p w14:paraId="3C8BAEE4" w14:textId="3A925CB5" w:rsidR="00DB7F92" w:rsidRPr="0088364D" w:rsidRDefault="00DB7F92" w:rsidP="00DB7F92">
            <w:pPr>
              <w:pStyle w:val="Heading3"/>
              <w:spacing w:before="16"/>
              <w:jc w:val="both"/>
              <w:rPr>
                <w:rFonts w:eastAsia="Malgun Gothic" w:cs="Arial"/>
                <w:sz w:val="20"/>
                <w:szCs w:val="20"/>
              </w:rPr>
            </w:pPr>
            <w:r w:rsidRPr="0088364D">
              <w:rPr>
                <w:sz w:val="20"/>
                <w:szCs w:val="20"/>
                <w:lang w:eastAsia="en-GB"/>
              </w:rPr>
              <w:t>Commissioners</w:t>
            </w:r>
            <w:r w:rsidRPr="0088364D">
              <w:rPr>
                <w:spacing w:val="38"/>
                <w:sz w:val="20"/>
                <w:szCs w:val="20"/>
                <w:lang w:eastAsia="en-GB"/>
              </w:rPr>
              <w:t xml:space="preserve"> </w:t>
            </w:r>
            <w:r w:rsidRPr="0088364D">
              <w:rPr>
                <w:sz w:val="20"/>
                <w:szCs w:val="20"/>
                <w:lang w:eastAsia="en-GB"/>
              </w:rPr>
              <w:t>have</w:t>
            </w:r>
            <w:r w:rsidRPr="0088364D">
              <w:rPr>
                <w:spacing w:val="40"/>
                <w:sz w:val="20"/>
                <w:szCs w:val="20"/>
                <w:lang w:eastAsia="en-GB"/>
              </w:rPr>
              <w:t xml:space="preserve"> </w:t>
            </w:r>
            <w:r w:rsidRPr="0088364D">
              <w:rPr>
                <w:sz w:val="20"/>
                <w:szCs w:val="20"/>
                <w:lang w:eastAsia="en-GB"/>
              </w:rPr>
              <w:t>a</w:t>
            </w:r>
            <w:r w:rsidRPr="0088364D">
              <w:rPr>
                <w:spacing w:val="40"/>
                <w:sz w:val="20"/>
                <w:szCs w:val="20"/>
                <w:lang w:eastAsia="en-GB"/>
              </w:rPr>
              <w:t xml:space="preserve"> </w:t>
            </w:r>
            <w:r w:rsidRPr="0088364D">
              <w:rPr>
                <w:sz w:val="20"/>
                <w:szCs w:val="20"/>
                <w:lang w:eastAsia="en-GB"/>
              </w:rPr>
              <w:t>duty</w:t>
            </w:r>
            <w:r w:rsidRPr="0088364D">
              <w:rPr>
                <w:spacing w:val="39"/>
                <w:sz w:val="20"/>
                <w:szCs w:val="20"/>
                <w:lang w:eastAsia="en-GB"/>
              </w:rPr>
              <w:t xml:space="preserve"> </w:t>
            </w:r>
            <w:r w:rsidRPr="0088364D">
              <w:rPr>
                <w:sz w:val="20"/>
                <w:szCs w:val="20"/>
                <w:lang w:eastAsia="en-GB"/>
              </w:rPr>
              <w:t>to</w:t>
            </w:r>
            <w:r w:rsidRPr="0088364D">
              <w:rPr>
                <w:spacing w:val="38"/>
                <w:sz w:val="20"/>
                <w:szCs w:val="20"/>
                <w:lang w:eastAsia="en-GB"/>
              </w:rPr>
              <w:t xml:space="preserve"> </w:t>
            </w:r>
            <w:r w:rsidRPr="0088364D">
              <w:rPr>
                <w:sz w:val="20"/>
                <w:szCs w:val="20"/>
                <w:lang w:eastAsia="en-GB"/>
              </w:rPr>
              <w:t>make</w:t>
            </w:r>
            <w:r w:rsidRPr="0088364D">
              <w:rPr>
                <w:spacing w:val="38"/>
                <w:sz w:val="20"/>
                <w:szCs w:val="20"/>
                <w:lang w:eastAsia="en-GB"/>
              </w:rPr>
              <w:t xml:space="preserve"> </w:t>
            </w:r>
            <w:r w:rsidRPr="0088364D">
              <w:rPr>
                <w:sz w:val="20"/>
                <w:szCs w:val="20"/>
                <w:lang w:eastAsia="en-GB"/>
              </w:rPr>
              <w:t>arrangements</w:t>
            </w:r>
            <w:r w:rsidRPr="0088364D">
              <w:rPr>
                <w:spacing w:val="41"/>
                <w:sz w:val="20"/>
                <w:szCs w:val="20"/>
                <w:lang w:eastAsia="en-GB"/>
              </w:rPr>
              <w:t xml:space="preserve"> </w:t>
            </w:r>
            <w:r w:rsidRPr="0088364D">
              <w:rPr>
                <w:sz w:val="20"/>
                <w:szCs w:val="20"/>
                <w:lang w:eastAsia="en-GB"/>
              </w:rPr>
              <w:t>to</w:t>
            </w:r>
            <w:r w:rsidRPr="0088364D">
              <w:rPr>
                <w:spacing w:val="38"/>
                <w:sz w:val="20"/>
                <w:szCs w:val="20"/>
                <w:lang w:eastAsia="en-GB"/>
              </w:rPr>
              <w:t xml:space="preserve"> </w:t>
            </w:r>
            <w:r w:rsidRPr="0088364D">
              <w:rPr>
                <w:sz w:val="20"/>
                <w:szCs w:val="20"/>
                <w:lang w:eastAsia="en-GB"/>
              </w:rPr>
              <w:t>secure</w:t>
            </w:r>
            <w:r w:rsidRPr="0088364D">
              <w:rPr>
                <w:spacing w:val="38"/>
                <w:sz w:val="20"/>
                <w:szCs w:val="20"/>
                <w:lang w:eastAsia="en-GB"/>
              </w:rPr>
              <w:t xml:space="preserve"> </w:t>
            </w:r>
            <w:r w:rsidRPr="0088364D">
              <w:rPr>
                <w:sz w:val="20"/>
                <w:szCs w:val="20"/>
                <w:lang w:eastAsia="en-GB"/>
              </w:rPr>
              <w:t>that</w:t>
            </w:r>
            <w:r w:rsidRPr="0088364D">
              <w:rPr>
                <w:spacing w:val="41"/>
                <w:sz w:val="20"/>
                <w:szCs w:val="20"/>
                <w:lang w:eastAsia="en-GB"/>
              </w:rPr>
              <w:t xml:space="preserve"> </w:t>
            </w:r>
            <w:r w:rsidRPr="0088364D">
              <w:rPr>
                <w:sz w:val="20"/>
                <w:szCs w:val="20"/>
                <w:lang w:eastAsia="en-GB"/>
              </w:rPr>
              <w:t>service</w:t>
            </w:r>
            <w:r w:rsidRPr="0088364D">
              <w:rPr>
                <w:spacing w:val="42"/>
                <w:w w:val="99"/>
                <w:sz w:val="20"/>
                <w:szCs w:val="20"/>
                <w:lang w:eastAsia="en-GB"/>
              </w:rPr>
              <w:t xml:space="preserve"> </w:t>
            </w:r>
            <w:r w:rsidRPr="0088364D">
              <w:rPr>
                <w:sz w:val="20"/>
                <w:szCs w:val="20"/>
                <w:lang w:eastAsia="en-GB"/>
              </w:rPr>
              <w:t>users</w:t>
            </w:r>
            <w:r w:rsidRPr="0088364D">
              <w:rPr>
                <w:spacing w:val="-4"/>
                <w:sz w:val="20"/>
                <w:szCs w:val="20"/>
                <w:lang w:eastAsia="en-GB"/>
              </w:rPr>
              <w:t xml:space="preserve"> </w:t>
            </w:r>
            <w:r w:rsidRPr="0088364D">
              <w:rPr>
                <w:sz w:val="20"/>
                <w:szCs w:val="20"/>
                <w:lang w:eastAsia="en-GB"/>
              </w:rPr>
              <w:t>and</w:t>
            </w:r>
            <w:r w:rsidRPr="0088364D">
              <w:rPr>
                <w:spacing w:val="-2"/>
                <w:sz w:val="20"/>
                <w:szCs w:val="20"/>
                <w:lang w:eastAsia="en-GB"/>
              </w:rPr>
              <w:t xml:space="preserve"> </w:t>
            </w:r>
            <w:r w:rsidRPr="0088364D">
              <w:rPr>
                <w:sz w:val="20"/>
                <w:szCs w:val="20"/>
                <w:lang w:eastAsia="en-GB"/>
              </w:rPr>
              <w:t>potential</w:t>
            </w:r>
            <w:r w:rsidRPr="0088364D">
              <w:rPr>
                <w:spacing w:val="-2"/>
                <w:sz w:val="20"/>
                <w:szCs w:val="20"/>
                <w:lang w:eastAsia="en-GB"/>
              </w:rPr>
              <w:t xml:space="preserve"> </w:t>
            </w:r>
            <w:r w:rsidRPr="0088364D">
              <w:rPr>
                <w:sz w:val="20"/>
                <w:szCs w:val="20"/>
                <w:lang w:eastAsia="en-GB"/>
              </w:rPr>
              <w:t>service users</w:t>
            </w:r>
            <w:r w:rsidRPr="0088364D">
              <w:rPr>
                <w:spacing w:val="-3"/>
                <w:sz w:val="20"/>
                <w:szCs w:val="20"/>
                <w:lang w:eastAsia="en-GB"/>
              </w:rPr>
              <w:t xml:space="preserve"> </w:t>
            </w:r>
            <w:r w:rsidRPr="0088364D">
              <w:rPr>
                <w:sz w:val="20"/>
                <w:szCs w:val="20"/>
                <w:lang w:eastAsia="en-GB"/>
              </w:rPr>
              <w:t>are</w:t>
            </w:r>
            <w:r w:rsidRPr="0088364D">
              <w:rPr>
                <w:spacing w:val="-2"/>
                <w:sz w:val="20"/>
                <w:szCs w:val="20"/>
                <w:lang w:eastAsia="en-GB"/>
              </w:rPr>
              <w:t xml:space="preserve"> </w:t>
            </w:r>
            <w:r w:rsidRPr="0088364D">
              <w:rPr>
                <w:sz w:val="20"/>
                <w:szCs w:val="20"/>
                <w:lang w:eastAsia="en-GB"/>
              </w:rPr>
              <w:t>involved</w:t>
            </w:r>
            <w:r w:rsidRPr="0088364D">
              <w:rPr>
                <w:spacing w:val="-2"/>
                <w:sz w:val="20"/>
                <w:szCs w:val="20"/>
                <w:lang w:eastAsia="en-GB"/>
              </w:rPr>
              <w:t xml:space="preserve"> </w:t>
            </w:r>
            <w:r w:rsidRPr="0088364D">
              <w:rPr>
                <w:sz w:val="20"/>
                <w:szCs w:val="20"/>
                <w:lang w:eastAsia="en-GB"/>
              </w:rPr>
              <w:t>in:</w:t>
            </w:r>
          </w:p>
          <w:p w14:paraId="55C147EE" w14:textId="77777777" w:rsidR="00DB7F92" w:rsidRPr="0088364D" w:rsidRDefault="00DB7F92" w:rsidP="00970B92">
            <w:pPr>
              <w:pStyle w:val="Heading4"/>
              <w:rPr>
                <w:sz w:val="20"/>
                <w:szCs w:val="20"/>
              </w:rPr>
            </w:pPr>
            <w:r w:rsidRPr="0088364D">
              <w:rPr>
                <w:sz w:val="20"/>
                <w:szCs w:val="20"/>
              </w:rPr>
              <w:t>the</w:t>
            </w:r>
            <w:r w:rsidRPr="0088364D">
              <w:rPr>
                <w:spacing w:val="-7"/>
                <w:sz w:val="20"/>
                <w:szCs w:val="20"/>
              </w:rPr>
              <w:t xml:space="preserve"> </w:t>
            </w:r>
            <w:r w:rsidRPr="0088364D">
              <w:rPr>
                <w:sz w:val="20"/>
                <w:szCs w:val="20"/>
              </w:rPr>
              <w:t>planning</w:t>
            </w:r>
            <w:r w:rsidRPr="0088364D">
              <w:rPr>
                <w:spacing w:val="-4"/>
                <w:sz w:val="20"/>
                <w:szCs w:val="20"/>
              </w:rPr>
              <w:t xml:space="preserve"> </w:t>
            </w:r>
            <w:r w:rsidRPr="0088364D">
              <w:rPr>
                <w:sz w:val="20"/>
                <w:szCs w:val="20"/>
              </w:rPr>
              <w:t>of</w:t>
            </w:r>
            <w:r w:rsidRPr="0088364D">
              <w:rPr>
                <w:spacing w:val="-5"/>
                <w:sz w:val="20"/>
                <w:szCs w:val="20"/>
              </w:rPr>
              <w:t xml:space="preserve"> </w:t>
            </w:r>
            <w:r w:rsidRPr="0088364D">
              <w:rPr>
                <w:sz w:val="20"/>
                <w:szCs w:val="20"/>
              </w:rPr>
              <w:t>commissioning</w:t>
            </w:r>
            <w:r w:rsidRPr="0088364D">
              <w:rPr>
                <w:spacing w:val="-4"/>
                <w:sz w:val="20"/>
                <w:szCs w:val="20"/>
              </w:rPr>
              <w:t xml:space="preserve"> </w:t>
            </w:r>
            <w:r w:rsidRPr="0088364D">
              <w:rPr>
                <w:sz w:val="20"/>
                <w:szCs w:val="20"/>
              </w:rPr>
              <w:t>arrangements</w:t>
            </w:r>
            <w:r w:rsidRPr="0088364D">
              <w:rPr>
                <w:spacing w:val="-5"/>
                <w:sz w:val="20"/>
                <w:szCs w:val="20"/>
              </w:rPr>
              <w:t xml:space="preserve"> </w:t>
            </w:r>
            <w:r w:rsidRPr="0088364D">
              <w:rPr>
                <w:sz w:val="20"/>
                <w:szCs w:val="20"/>
              </w:rPr>
              <w:t>by</w:t>
            </w:r>
            <w:r w:rsidRPr="0088364D">
              <w:rPr>
                <w:spacing w:val="-6"/>
                <w:sz w:val="20"/>
                <w:szCs w:val="20"/>
              </w:rPr>
              <w:t xml:space="preserve"> </w:t>
            </w:r>
            <w:r w:rsidRPr="0088364D">
              <w:rPr>
                <w:sz w:val="20"/>
                <w:szCs w:val="20"/>
              </w:rPr>
              <w:t>commissioners;</w:t>
            </w:r>
          </w:p>
          <w:p w14:paraId="72F14CE6" w14:textId="77777777" w:rsidR="00DB7F92" w:rsidRPr="0088364D" w:rsidRDefault="00DB7F92" w:rsidP="00970B92">
            <w:pPr>
              <w:pStyle w:val="Heading4"/>
              <w:rPr>
                <w:sz w:val="20"/>
                <w:szCs w:val="20"/>
              </w:rPr>
            </w:pPr>
            <w:r w:rsidRPr="0088364D">
              <w:rPr>
                <w:sz w:val="20"/>
                <w:szCs w:val="20"/>
              </w:rPr>
              <w:t>the commissioners'</w:t>
            </w:r>
            <w:r w:rsidRPr="0088364D">
              <w:rPr>
                <w:spacing w:val="15"/>
                <w:sz w:val="20"/>
                <w:szCs w:val="20"/>
              </w:rPr>
              <w:t xml:space="preserve"> </w:t>
            </w:r>
            <w:r w:rsidRPr="0088364D">
              <w:rPr>
                <w:sz w:val="20"/>
                <w:szCs w:val="20"/>
              </w:rPr>
              <w:t>development</w:t>
            </w:r>
            <w:r w:rsidRPr="0088364D">
              <w:rPr>
                <w:spacing w:val="12"/>
                <w:sz w:val="20"/>
                <w:szCs w:val="20"/>
              </w:rPr>
              <w:t xml:space="preserve"> </w:t>
            </w:r>
            <w:r w:rsidRPr="0088364D">
              <w:rPr>
                <w:sz w:val="20"/>
                <w:szCs w:val="20"/>
              </w:rPr>
              <w:t>and</w:t>
            </w:r>
            <w:r w:rsidRPr="0088364D">
              <w:rPr>
                <w:spacing w:val="10"/>
                <w:sz w:val="20"/>
                <w:szCs w:val="20"/>
              </w:rPr>
              <w:t xml:space="preserve"> </w:t>
            </w:r>
            <w:r w:rsidRPr="0088364D">
              <w:rPr>
                <w:sz w:val="20"/>
                <w:szCs w:val="20"/>
              </w:rPr>
              <w:t>consideration</w:t>
            </w:r>
            <w:r w:rsidRPr="0088364D">
              <w:rPr>
                <w:spacing w:val="10"/>
                <w:sz w:val="20"/>
                <w:szCs w:val="20"/>
              </w:rPr>
              <w:t xml:space="preserve"> </w:t>
            </w:r>
            <w:r w:rsidRPr="0088364D">
              <w:rPr>
                <w:sz w:val="20"/>
                <w:szCs w:val="20"/>
              </w:rPr>
              <w:t>of</w:t>
            </w:r>
            <w:r w:rsidRPr="0088364D">
              <w:rPr>
                <w:spacing w:val="10"/>
                <w:sz w:val="20"/>
                <w:szCs w:val="20"/>
              </w:rPr>
              <w:t xml:space="preserve"> </w:t>
            </w:r>
            <w:r w:rsidRPr="0088364D">
              <w:rPr>
                <w:sz w:val="20"/>
                <w:szCs w:val="20"/>
              </w:rPr>
              <w:t>proposals</w:t>
            </w:r>
            <w:r w:rsidRPr="0088364D">
              <w:rPr>
                <w:spacing w:val="12"/>
                <w:sz w:val="20"/>
                <w:szCs w:val="20"/>
              </w:rPr>
              <w:t xml:space="preserve"> </w:t>
            </w:r>
            <w:r w:rsidRPr="0088364D">
              <w:rPr>
                <w:sz w:val="20"/>
                <w:szCs w:val="20"/>
              </w:rPr>
              <w:t>for</w:t>
            </w:r>
            <w:r w:rsidRPr="0088364D">
              <w:rPr>
                <w:spacing w:val="59"/>
                <w:w w:val="99"/>
                <w:sz w:val="20"/>
                <w:szCs w:val="20"/>
              </w:rPr>
              <w:t xml:space="preserve"> </w:t>
            </w:r>
            <w:r w:rsidRPr="0088364D">
              <w:rPr>
                <w:sz w:val="20"/>
                <w:szCs w:val="20"/>
              </w:rPr>
              <w:t>changes</w:t>
            </w:r>
            <w:r w:rsidRPr="0088364D">
              <w:rPr>
                <w:spacing w:val="10"/>
                <w:sz w:val="20"/>
                <w:szCs w:val="20"/>
              </w:rPr>
              <w:t xml:space="preserve"> </w:t>
            </w:r>
            <w:r w:rsidRPr="0088364D">
              <w:rPr>
                <w:sz w:val="20"/>
                <w:szCs w:val="20"/>
              </w:rPr>
              <w:t>to</w:t>
            </w:r>
            <w:r w:rsidRPr="0088364D">
              <w:rPr>
                <w:spacing w:val="10"/>
                <w:sz w:val="20"/>
                <w:szCs w:val="20"/>
              </w:rPr>
              <w:t xml:space="preserve"> </w:t>
            </w:r>
            <w:r w:rsidRPr="0088364D">
              <w:rPr>
                <w:sz w:val="20"/>
                <w:szCs w:val="20"/>
              </w:rPr>
              <w:t>commissioning</w:t>
            </w:r>
            <w:r w:rsidRPr="0088364D">
              <w:rPr>
                <w:spacing w:val="10"/>
                <w:sz w:val="20"/>
                <w:szCs w:val="20"/>
              </w:rPr>
              <w:t xml:space="preserve"> </w:t>
            </w:r>
            <w:r w:rsidRPr="0088364D">
              <w:rPr>
                <w:sz w:val="20"/>
                <w:szCs w:val="20"/>
              </w:rPr>
              <w:t>arrangements,</w:t>
            </w:r>
            <w:r w:rsidRPr="0088364D">
              <w:rPr>
                <w:spacing w:val="10"/>
                <w:sz w:val="20"/>
                <w:szCs w:val="20"/>
              </w:rPr>
              <w:t xml:space="preserve"> </w:t>
            </w:r>
            <w:r w:rsidRPr="0088364D">
              <w:rPr>
                <w:sz w:val="20"/>
                <w:szCs w:val="20"/>
              </w:rPr>
              <w:t>if</w:t>
            </w:r>
            <w:r w:rsidRPr="0088364D">
              <w:rPr>
                <w:spacing w:val="10"/>
                <w:sz w:val="20"/>
                <w:szCs w:val="20"/>
              </w:rPr>
              <w:t xml:space="preserve"> </w:t>
            </w:r>
            <w:r w:rsidRPr="0088364D">
              <w:rPr>
                <w:sz w:val="20"/>
                <w:szCs w:val="20"/>
              </w:rPr>
              <w:t>the</w:t>
            </w:r>
            <w:r w:rsidRPr="0088364D">
              <w:rPr>
                <w:spacing w:val="9"/>
                <w:sz w:val="20"/>
                <w:szCs w:val="20"/>
              </w:rPr>
              <w:t xml:space="preserve"> </w:t>
            </w:r>
            <w:r w:rsidRPr="0088364D">
              <w:rPr>
                <w:sz w:val="20"/>
                <w:szCs w:val="20"/>
              </w:rPr>
              <w:t>implementation</w:t>
            </w:r>
            <w:r w:rsidRPr="0088364D">
              <w:rPr>
                <w:spacing w:val="53"/>
                <w:sz w:val="20"/>
                <w:szCs w:val="20"/>
              </w:rPr>
              <w:t xml:space="preserve"> </w:t>
            </w:r>
            <w:r w:rsidRPr="0088364D">
              <w:rPr>
                <w:sz w:val="20"/>
                <w:szCs w:val="20"/>
              </w:rPr>
              <w:t>of</w:t>
            </w:r>
            <w:r w:rsidRPr="0088364D">
              <w:rPr>
                <w:spacing w:val="25"/>
                <w:sz w:val="20"/>
                <w:szCs w:val="20"/>
              </w:rPr>
              <w:t xml:space="preserve"> </w:t>
            </w:r>
            <w:r w:rsidRPr="0088364D">
              <w:rPr>
                <w:sz w:val="20"/>
                <w:szCs w:val="20"/>
              </w:rPr>
              <w:t>the</w:t>
            </w:r>
            <w:r w:rsidRPr="0088364D">
              <w:rPr>
                <w:spacing w:val="26"/>
                <w:sz w:val="20"/>
                <w:szCs w:val="20"/>
              </w:rPr>
              <w:t xml:space="preserve"> </w:t>
            </w:r>
            <w:r w:rsidRPr="0088364D">
              <w:rPr>
                <w:sz w:val="20"/>
                <w:szCs w:val="20"/>
              </w:rPr>
              <w:t>proposals</w:t>
            </w:r>
            <w:r w:rsidRPr="0088364D">
              <w:rPr>
                <w:spacing w:val="27"/>
                <w:sz w:val="20"/>
                <w:szCs w:val="20"/>
              </w:rPr>
              <w:t xml:space="preserve"> </w:t>
            </w:r>
            <w:r w:rsidRPr="0088364D">
              <w:rPr>
                <w:sz w:val="20"/>
                <w:szCs w:val="20"/>
              </w:rPr>
              <w:t>would</w:t>
            </w:r>
            <w:r w:rsidRPr="0088364D">
              <w:rPr>
                <w:spacing w:val="28"/>
                <w:sz w:val="20"/>
                <w:szCs w:val="20"/>
              </w:rPr>
              <w:t xml:space="preserve"> </w:t>
            </w:r>
            <w:r w:rsidRPr="0088364D">
              <w:rPr>
                <w:sz w:val="20"/>
                <w:szCs w:val="20"/>
              </w:rPr>
              <w:t>impact</w:t>
            </w:r>
            <w:r w:rsidRPr="0088364D">
              <w:rPr>
                <w:spacing w:val="26"/>
                <w:sz w:val="20"/>
                <w:szCs w:val="20"/>
              </w:rPr>
              <w:t xml:space="preserve"> </w:t>
            </w:r>
            <w:r w:rsidRPr="0088364D">
              <w:rPr>
                <w:sz w:val="20"/>
                <w:szCs w:val="20"/>
              </w:rPr>
              <w:t>on</w:t>
            </w:r>
            <w:r w:rsidRPr="0088364D">
              <w:rPr>
                <w:spacing w:val="27"/>
                <w:sz w:val="20"/>
                <w:szCs w:val="20"/>
              </w:rPr>
              <w:t xml:space="preserve"> </w:t>
            </w:r>
            <w:r w:rsidRPr="0088364D">
              <w:rPr>
                <w:sz w:val="20"/>
                <w:szCs w:val="20"/>
              </w:rPr>
              <w:t>the</w:t>
            </w:r>
            <w:r w:rsidRPr="0088364D">
              <w:rPr>
                <w:spacing w:val="25"/>
                <w:sz w:val="20"/>
                <w:szCs w:val="20"/>
              </w:rPr>
              <w:t xml:space="preserve"> </w:t>
            </w:r>
            <w:r w:rsidRPr="0088364D">
              <w:rPr>
                <w:sz w:val="20"/>
                <w:szCs w:val="20"/>
              </w:rPr>
              <w:t>range</w:t>
            </w:r>
            <w:r w:rsidRPr="0088364D">
              <w:rPr>
                <w:spacing w:val="28"/>
                <w:sz w:val="20"/>
                <w:szCs w:val="20"/>
              </w:rPr>
              <w:t xml:space="preserve"> </w:t>
            </w:r>
            <w:r w:rsidRPr="0088364D">
              <w:rPr>
                <w:sz w:val="20"/>
                <w:szCs w:val="20"/>
              </w:rPr>
              <w:t>of</w:t>
            </w:r>
            <w:r w:rsidRPr="0088364D">
              <w:rPr>
                <w:spacing w:val="26"/>
                <w:sz w:val="20"/>
                <w:szCs w:val="20"/>
              </w:rPr>
              <w:t xml:space="preserve"> </w:t>
            </w:r>
            <w:r w:rsidRPr="0088364D">
              <w:rPr>
                <w:sz w:val="20"/>
                <w:szCs w:val="20"/>
              </w:rPr>
              <w:t>health</w:t>
            </w:r>
            <w:r w:rsidRPr="0088364D">
              <w:rPr>
                <w:spacing w:val="26"/>
                <w:sz w:val="20"/>
                <w:szCs w:val="20"/>
              </w:rPr>
              <w:t xml:space="preserve"> </w:t>
            </w:r>
            <w:r w:rsidRPr="0088364D">
              <w:rPr>
                <w:sz w:val="20"/>
                <w:szCs w:val="20"/>
              </w:rPr>
              <w:t>services</w:t>
            </w:r>
            <w:r w:rsidRPr="0088364D">
              <w:rPr>
                <w:spacing w:val="44"/>
                <w:w w:val="99"/>
                <w:sz w:val="20"/>
                <w:szCs w:val="20"/>
              </w:rPr>
              <w:t xml:space="preserve"> </w:t>
            </w:r>
            <w:r w:rsidRPr="0088364D">
              <w:rPr>
                <w:sz w:val="20"/>
                <w:szCs w:val="20"/>
              </w:rPr>
              <w:t>available</w:t>
            </w:r>
            <w:r w:rsidRPr="0088364D">
              <w:rPr>
                <w:spacing w:val="7"/>
                <w:sz w:val="20"/>
                <w:szCs w:val="20"/>
              </w:rPr>
              <w:t xml:space="preserve"> </w:t>
            </w:r>
            <w:r w:rsidRPr="0088364D">
              <w:rPr>
                <w:sz w:val="20"/>
                <w:szCs w:val="20"/>
              </w:rPr>
              <w:t>to</w:t>
            </w:r>
            <w:r w:rsidRPr="0088364D">
              <w:rPr>
                <w:spacing w:val="8"/>
                <w:sz w:val="20"/>
                <w:szCs w:val="20"/>
              </w:rPr>
              <w:t xml:space="preserve"> </w:t>
            </w:r>
            <w:r w:rsidRPr="0088364D">
              <w:rPr>
                <w:sz w:val="20"/>
                <w:szCs w:val="20"/>
              </w:rPr>
              <w:t>service</w:t>
            </w:r>
            <w:r w:rsidRPr="0088364D">
              <w:rPr>
                <w:spacing w:val="7"/>
                <w:sz w:val="20"/>
                <w:szCs w:val="20"/>
              </w:rPr>
              <w:t xml:space="preserve"> </w:t>
            </w:r>
            <w:r w:rsidRPr="0088364D">
              <w:rPr>
                <w:sz w:val="20"/>
                <w:szCs w:val="20"/>
              </w:rPr>
              <w:t>users</w:t>
            </w:r>
            <w:r w:rsidRPr="0088364D">
              <w:rPr>
                <w:spacing w:val="10"/>
                <w:sz w:val="20"/>
                <w:szCs w:val="20"/>
              </w:rPr>
              <w:t xml:space="preserve"> </w:t>
            </w:r>
            <w:r w:rsidRPr="0088364D">
              <w:rPr>
                <w:sz w:val="20"/>
                <w:szCs w:val="20"/>
              </w:rPr>
              <w:t>or</w:t>
            </w:r>
            <w:r w:rsidRPr="0088364D">
              <w:rPr>
                <w:spacing w:val="9"/>
                <w:sz w:val="20"/>
                <w:szCs w:val="20"/>
              </w:rPr>
              <w:t xml:space="preserve"> </w:t>
            </w:r>
            <w:r w:rsidRPr="0088364D">
              <w:rPr>
                <w:sz w:val="20"/>
                <w:szCs w:val="20"/>
              </w:rPr>
              <w:t>the</w:t>
            </w:r>
            <w:r w:rsidRPr="0088364D">
              <w:rPr>
                <w:spacing w:val="7"/>
                <w:sz w:val="20"/>
                <w:szCs w:val="20"/>
              </w:rPr>
              <w:t xml:space="preserve"> </w:t>
            </w:r>
            <w:r w:rsidRPr="0088364D">
              <w:rPr>
                <w:sz w:val="20"/>
                <w:szCs w:val="20"/>
              </w:rPr>
              <w:t>manner</w:t>
            </w:r>
            <w:r w:rsidRPr="0088364D">
              <w:rPr>
                <w:spacing w:val="9"/>
                <w:sz w:val="20"/>
                <w:szCs w:val="20"/>
              </w:rPr>
              <w:t xml:space="preserve"> </w:t>
            </w:r>
            <w:r w:rsidRPr="0088364D">
              <w:rPr>
                <w:spacing w:val="-2"/>
                <w:sz w:val="20"/>
                <w:szCs w:val="20"/>
              </w:rPr>
              <w:t>in</w:t>
            </w:r>
            <w:r w:rsidRPr="0088364D">
              <w:rPr>
                <w:spacing w:val="9"/>
                <w:sz w:val="20"/>
                <w:szCs w:val="20"/>
              </w:rPr>
              <w:t xml:space="preserve"> </w:t>
            </w:r>
            <w:r w:rsidRPr="0088364D">
              <w:rPr>
                <w:sz w:val="20"/>
                <w:szCs w:val="20"/>
              </w:rPr>
              <w:t>which</w:t>
            </w:r>
            <w:r w:rsidRPr="0088364D">
              <w:rPr>
                <w:spacing w:val="8"/>
                <w:sz w:val="20"/>
                <w:szCs w:val="20"/>
              </w:rPr>
              <w:t xml:space="preserve"> </w:t>
            </w:r>
            <w:r w:rsidRPr="0088364D">
              <w:rPr>
                <w:sz w:val="20"/>
                <w:szCs w:val="20"/>
              </w:rPr>
              <w:t>they</w:t>
            </w:r>
            <w:r w:rsidRPr="0088364D">
              <w:rPr>
                <w:spacing w:val="9"/>
                <w:sz w:val="20"/>
                <w:szCs w:val="20"/>
              </w:rPr>
              <w:t xml:space="preserve"> </w:t>
            </w:r>
            <w:r w:rsidRPr="0088364D">
              <w:rPr>
                <w:sz w:val="20"/>
                <w:szCs w:val="20"/>
              </w:rPr>
              <w:t>are</w:t>
            </w:r>
            <w:r w:rsidRPr="0088364D">
              <w:rPr>
                <w:spacing w:val="49"/>
                <w:w w:val="99"/>
                <w:sz w:val="20"/>
                <w:szCs w:val="20"/>
              </w:rPr>
              <w:t xml:space="preserve"> </w:t>
            </w:r>
            <w:r w:rsidRPr="0088364D">
              <w:rPr>
                <w:sz w:val="20"/>
                <w:szCs w:val="20"/>
              </w:rPr>
              <w:t>delivered;</w:t>
            </w:r>
            <w:r w:rsidRPr="0088364D">
              <w:rPr>
                <w:spacing w:val="-8"/>
                <w:sz w:val="20"/>
                <w:szCs w:val="20"/>
              </w:rPr>
              <w:t xml:space="preserve"> </w:t>
            </w:r>
            <w:r w:rsidRPr="0088364D">
              <w:rPr>
                <w:sz w:val="20"/>
                <w:szCs w:val="20"/>
              </w:rPr>
              <w:t>and</w:t>
            </w:r>
          </w:p>
          <w:p w14:paraId="2E2012C9" w14:textId="77777777" w:rsidR="00DB7F92" w:rsidRPr="0088364D" w:rsidRDefault="00DB7F92" w:rsidP="00970B92">
            <w:pPr>
              <w:pStyle w:val="Heading4"/>
              <w:rPr>
                <w:sz w:val="20"/>
                <w:szCs w:val="20"/>
              </w:rPr>
            </w:pPr>
            <w:r w:rsidRPr="0088364D">
              <w:rPr>
                <w:sz w:val="20"/>
                <w:szCs w:val="20"/>
              </w:rPr>
              <w:t>the commissioners'</w:t>
            </w:r>
            <w:r w:rsidRPr="0088364D">
              <w:rPr>
                <w:spacing w:val="44"/>
                <w:sz w:val="20"/>
                <w:szCs w:val="20"/>
              </w:rPr>
              <w:t xml:space="preserve"> </w:t>
            </w:r>
            <w:r w:rsidRPr="0088364D">
              <w:rPr>
                <w:sz w:val="20"/>
                <w:szCs w:val="20"/>
              </w:rPr>
              <w:t>decisions</w:t>
            </w:r>
            <w:r w:rsidRPr="0088364D">
              <w:rPr>
                <w:spacing w:val="46"/>
                <w:sz w:val="20"/>
                <w:szCs w:val="20"/>
              </w:rPr>
              <w:t xml:space="preserve"> </w:t>
            </w:r>
            <w:r w:rsidRPr="0088364D">
              <w:rPr>
                <w:sz w:val="20"/>
                <w:szCs w:val="20"/>
              </w:rPr>
              <w:t>affecting</w:t>
            </w:r>
            <w:r w:rsidRPr="0088364D">
              <w:rPr>
                <w:spacing w:val="44"/>
                <w:sz w:val="20"/>
                <w:szCs w:val="20"/>
              </w:rPr>
              <w:t xml:space="preserve"> </w:t>
            </w:r>
            <w:r w:rsidRPr="0088364D">
              <w:rPr>
                <w:sz w:val="20"/>
                <w:szCs w:val="20"/>
              </w:rPr>
              <w:t>the</w:t>
            </w:r>
            <w:r w:rsidRPr="0088364D">
              <w:rPr>
                <w:spacing w:val="45"/>
                <w:sz w:val="20"/>
                <w:szCs w:val="20"/>
              </w:rPr>
              <w:t xml:space="preserve"> </w:t>
            </w:r>
            <w:r w:rsidRPr="0088364D">
              <w:rPr>
                <w:sz w:val="20"/>
                <w:szCs w:val="20"/>
              </w:rPr>
              <w:t>operation</w:t>
            </w:r>
            <w:r w:rsidRPr="0088364D">
              <w:rPr>
                <w:spacing w:val="45"/>
                <w:sz w:val="20"/>
                <w:szCs w:val="20"/>
              </w:rPr>
              <w:t xml:space="preserve"> </w:t>
            </w:r>
            <w:r w:rsidRPr="0088364D">
              <w:rPr>
                <w:sz w:val="20"/>
                <w:szCs w:val="20"/>
              </w:rPr>
              <w:t>of</w:t>
            </w:r>
            <w:r w:rsidRPr="0088364D">
              <w:rPr>
                <w:spacing w:val="39"/>
                <w:sz w:val="20"/>
                <w:szCs w:val="20"/>
              </w:rPr>
              <w:t xml:space="preserve"> </w:t>
            </w:r>
            <w:r w:rsidRPr="0088364D">
              <w:rPr>
                <w:sz w:val="20"/>
                <w:szCs w:val="20"/>
              </w:rPr>
              <w:t>commissioning</w:t>
            </w:r>
            <w:r w:rsidRPr="0088364D">
              <w:rPr>
                <w:spacing w:val="11"/>
                <w:sz w:val="20"/>
                <w:szCs w:val="20"/>
              </w:rPr>
              <w:t xml:space="preserve"> </w:t>
            </w:r>
            <w:r w:rsidRPr="0088364D">
              <w:rPr>
                <w:sz w:val="20"/>
                <w:szCs w:val="20"/>
              </w:rPr>
              <w:t>arrangements,</w:t>
            </w:r>
            <w:r w:rsidRPr="0088364D">
              <w:rPr>
                <w:spacing w:val="10"/>
                <w:sz w:val="20"/>
                <w:szCs w:val="20"/>
              </w:rPr>
              <w:t xml:space="preserve"> </w:t>
            </w:r>
            <w:r w:rsidRPr="0088364D">
              <w:rPr>
                <w:sz w:val="20"/>
                <w:szCs w:val="20"/>
              </w:rPr>
              <w:t>if</w:t>
            </w:r>
            <w:r w:rsidRPr="0088364D">
              <w:rPr>
                <w:spacing w:val="8"/>
                <w:sz w:val="20"/>
                <w:szCs w:val="20"/>
              </w:rPr>
              <w:t xml:space="preserve"> </w:t>
            </w:r>
            <w:r w:rsidRPr="0088364D">
              <w:rPr>
                <w:sz w:val="20"/>
                <w:szCs w:val="20"/>
              </w:rPr>
              <w:t>those</w:t>
            </w:r>
            <w:r w:rsidRPr="0088364D">
              <w:rPr>
                <w:spacing w:val="11"/>
                <w:sz w:val="20"/>
                <w:szCs w:val="20"/>
              </w:rPr>
              <w:t xml:space="preserve"> </w:t>
            </w:r>
            <w:r w:rsidRPr="0088364D">
              <w:rPr>
                <w:sz w:val="20"/>
                <w:szCs w:val="20"/>
              </w:rPr>
              <w:t>decisions</w:t>
            </w:r>
            <w:r w:rsidRPr="0088364D">
              <w:rPr>
                <w:spacing w:val="10"/>
                <w:sz w:val="20"/>
                <w:szCs w:val="20"/>
              </w:rPr>
              <w:t xml:space="preserve"> </w:t>
            </w:r>
            <w:r w:rsidRPr="0088364D">
              <w:rPr>
                <w:sz w:val="20"/>
                <w:szCs w:val="20"/>
              </w:rPr>
              <w:t xml:space="preserve">would </w:t>
            </w:r>
            <w:r w:rsidRPr="0088364D">
              <w:rPr>
                <w:spacing w:val="8"/>
                <w:sz w:val="20"/>
                <w:szCs w:val="20"/>
              </w:rPr>
              <w:t xml:space="preserve"> </w:t>
            </w:r>
            <w:r w:rsidRPr="0088364D">
              <w:rPr>
                <w:sz w:val="20"/>
                <w:szCs w:val="20"/>
              </w:rPr>
              <w:t>have</w:t>
            </w:r>
            <w:r w:rsidRPr="0088364D">
              <w:rPr>
                <w:spacing w:val="61"/>
                <w:w w:val="99"/>
                <w:sz w:val="20"/>
                <w:szCs w:val="20"/>
              </w:rPr>
              <w:t xml:space="preserve"> </w:t>
            </w:r>
            <w:r w:rsidRPr="0088364D">
              <w:rPr>
                <w:sz w:val="20"/>
                <w:szCs w:val="20"/>
              </w:rPr>
              <w:t>such</w:t>
            </w:r>
            <w:r w:rsidRPr="0088364D">
              <w:rPr>
                <w:spacing w:val="-6"/>
                <w:sz w:val="20"/>
                <w:szCs w:val="20"/>
              </w:rPr>
              <w:t xml:space="preserve"> </w:t>
            </w:r>
            <w:r w:rsidRPr="0088364D">
              <w:rPr>
                <w:sz w:val="20"/>
                <w:szCs w:val="20"/>
              </w:rPr>
              <w:t>an</w:t>
            </w:r>
            <w:r w:rsidRPr="0088364D">
              <w:rPr>
                <w:spacing w:val="-6"/>
                <w:sz w:val="20"/>
                <w:szCs w:val="20"/>
              </w:rPr>
              <w:t xml:space="preserve"> </w:t>
            </w:r>
            <w:r w:rsidRPr="0088364D">
              <w:rPr>
                <w:sz w:val="20"/>
                <w:szCs w:val="20"/>
              </w:rPr>
              <w:t>impact.</w:t>
            </w:r>
          </w:p>
          <w:p w14:paraId="608CFA6A" w14:textId="77777777" w:rsidR="00970B92" w:rsidRPr="0088364D" w:rsidRDefault="00970B92" w:rsidP="00970B92">
            <w:pPr>
              <w:widowControl w:val="0"/>
              <w:tabs>
                <w:tab w:val="left" w:pos="2148"/>
              </w:tabs>
              <w:spacing w:after="120"/>
              <w:ind w:right="117"/>
              <w:jc w:val="both"/>
              <w:rPr>
                <w:rFonts w:cs="Arial"/>
                <w:bCs w:val="0"/>
                <w:spacing w:val="-1"/>
                <w:sz w:val="20"/>
                <w:szCs w:val="20"/>
                <w:lang w:eastAsia="en-GB"/>
              </w:rPr>
            </w:pPr>
          </w:p>
          <w:p w14:paraId="1F7D6CFB" w14:textId="77777777" w:rsidR="00DB7F92" w:rsidRPr="0088364D" w:rsidRDefault="00DB7F92" w:rsidP="00970B92">
            <w:pPr>
              <w:widowControl w:val="0"/>
              <w:tabs>
                <w:tab w:val="left" w:pos="2148"/>
              </w:tabs>
              <w:spacing w:after="120"/>
              <w:ind w:left="720" w:right="117"/>
              <w:jc w:val="both"/>
              <w:rPr>
                <w:rFonts w:cs="Arial"/>
                <w:bCs w:val="0"/>
                <w:spacing w:val="-1"/>
                <w:sz w:val="20"/>
                <w:szCs w:val="20"/>
                <w:lang w:eastAsia="en-GB"/>
              </w:rPr>
            </w:pPr>
            <w:r w:rsidRPr="0088364D">
              <w:rPr>
                <w:rFonts w:cs="Arial"/>
                <w:bCs w:val="0"/>
                <w:spacing w:val="-1"/>
                <w:sz w:val="20"/>
                <w:szCs w:val="20"/>
                <w:lang w:eastAsia="en-GB"/>
              </w:rPr>
              <w:t xml:space="preserve">(in respect of NHS England, see section 13Q of the NHS Act 2006; in respect of CCGs, see section 14Z2 of the NHS Act 2006) </w:t>
            </w:r>
          </w:p>
          <w:p w14:paraId="30E3A609" w14:textId="77777777" w:rsidR="002D119A" w:rsidRPr="0088364D" w:rsidRDefault="002D119A" w:rsidP="00970B92">
            <w:pPr>
              <w:widowControl w:val="0"/>
              <w:tabs>
                <w:tab w:val="left" w:pos="2148"/>
              </w:tabs>
              <w:spacing w:after="120"/>
              <w:ind w:left="720" w:right="117"/>
              <w:jc w:val="both"/>
              <w:rPr>
                <w:rFonts w:cs="Arial"/>
                <w:bCs w:val="0"/>
                <w:sz w:val="20"/>
                <w:szCs w:val="20"/>
                <w:lang w:eastAsia="en-GB"/>
              </w:rPr>
            </w:pPr>
          </w:p>
          <w:p w14:paraId="29CAA95C" w14:textId="77777777" w:rsidR="00DB7F92" w:rsidRPr="0088364D" w:rsidRDefault="00DB7F92" w:rsidP="00884224">
            <w:pPr>
              <w:keepNext/>
              <w:keepLines/>
              <w:tabs>
                <w:tab w:val="num" w:pos="5761"/>
              </w:tabs>
              <w:spacing w:before="173"/>
              <w:ind w:left="13"/>
              <w:jc w:val="both"/>
              <w:outlineLvl w:val="6"/>
              <w:rPr>
                <w:rFonts w:eastAsiaTheme="majorEastAsia" w:cs="Arial"/>
                <w:b/>
                <w:i/>
                <w:iCs/>
                <w:color w:val="404040" w:themeColor="text1" w:themeTint="BF"/>
                <w:spacing w:val="-1"/>
                <w:sz w:val="20"/>
                <w:szCs w:val="20"/>
              </w:rPr>
            </w:pPr>
            <w:r w:rsidRPr="0088364D">
              <w:rPr>
                <w:rFonts w:eastAsiaTheme="majorEastAsia" w:cs="Arial"/>
                <w:b/>
                <w:i/>
                <w:iCs/>
                <w:color w:val="404040" w:themeColor="text1" w:themeTint="BF"/>
                <w:spacing w:val="-1"/>
                <w:sz w:val="20"/>
                <w:szCs w:val="20"/>
              </w:rPr>
              <w:t>Duty to act fairly &amp; reasonably</w:t>
            </w:r>
          </w:p>
          <w:p w14:paraId="7241C770" w14:textId="77777777" w:rsidR="00970B92" w:rsidRPr="0088364D" w:rsidRDefault="00970B92" w:rsidP="00970B92">
            <w:pPr>
              <w:pStyle w:val="Heading3"/>
              <w:numPr>
                <w:ilvl w:val="0"/>
                <w:numId w:val="0"/>
              </w:numPr>
              <w:ind w:left="720"/>
              <w:rPr>
                <w:sz w:val="20"/>
                <w:szCs w:val="20"/>
                <w:lang w:eastAsia="en-GB"/>
              </w:rPr>
            </w:pPr>
          </w:p>
          <w:p w14:paraId="5ECFEF88" w14:textId="77777777" w:rsidR="00DB7F92" w:rsidRPr="0088364D" w:rsidRDefault="00DB7F92" w:rsidP="00970B92">
            <w:pPr>
              <w:pStyle w:val="Heading3"/>
              <w:rPr>
                <w:sz w:val="20"/>
                <w:szCs w:val="20"/>
                <w:lang w:eastAsia="en-GB"/>
              </w:rPr>
            </w:pPr>
            <w:r w:rsidRPr="0088364D">
              <w:rPr>
                <w:sz w:val="20"/>
                <w:szCs w:val="20"/>
                <w:lang w:eastAsia="en-GB"/>
              </w:rPr>
              <w:t>Commissioners</w:t>
            </w:r>
            <w:r w:rsidRPr="0088364D">
              <w:rPr>
                <w:spacing w:val="43"/>
                <w:sz w:val="20"/>
                <w:szCs w:val="20"/>
                <w:lang w:eastAsia="en-GB"/>
              </w:rPr>
              <w:t xml:space="preserve"> </w:t>
            </w:r>
            <w:r w:rsidRPr="0088364D">
              <w:rPr>
                <w:sz w:val="20"/>
                <w:szCs w:val="20"/>
                <w:lang w:eastAsia="en-GB"/>
              </w:rPr>
              <w:t>have</w:t>
            </w:r>
            <w:r w:rsidRPr="0088364D">
              <w:rPr>
                <w:spacing w:val="45"/>
                <w:sz w:val="20"/>
                <w:szCs w:val="20"/>
                <w:lang w:eastAsia="en-GB"/>
              </w:rPr>
              <w:t xml:space="preserve"> </w:t>
            </w:r>
            <w:r w:rsidRPr="0088364D">
              <w:rPr>
                <w:sz w:val="20"/>
                <w:szCs w:val="20"/>
                <w:lang w:eastAsia="en-GB"/>
              </w:rPr>
              <w:t>a duty</w:t>
            </w:r>
            <w:r w:rsidRPr="0088364D">
              <w:rPr>
                <w:spacing w:val="45"/>
                <w:sz w:val="20"/>
                <w:szCs w:val="20"/>
                <w:lang w:eastAsia="en-GB"/>
              </w:rPr>
              <w:t xml:space="preserve"> </w:t>
            </w:r>
            <w:r w:rsidRPr="0088364D">
              <w:rPr>
                <w:sz w:val="20"/>
                <w:szCs w:val="20"/>
                <w:lang w:eastAsia="en-GB"/>
              </w:rPr>
              <w:t>to</w:t>
            </w:r>
            <w:r w:rsidRPr="0088364D">
              <w:rPr>
                <w:spacing w:val="43"/>
                <w:sz w:val="20"/>
                <w:szCs w:val="20"/>
                <w:lang w:eastAsia="en-GB"/>
              </w:rPr>
              <w:t xml:space="preserve"> </w:t>
            </w:r>
            <w:r w:rsidRPr="0088364D">
              <w:rPr>
                <w:sz w:val="20"/>
                <w:szCs w:val="20"/>
                <w:lang w:eastAsia="en-GB"/>
              </w:rPr>
              <w:t>act</w:t>
            </w:r>
            <w:r w:rsidRPr="0088364D">
              <w:rPr>
                <w:spacing w:val="44"/>
                <w:sz w:val="20"/>
                <w:szCs w:val="20"/>
                <w:lang w:eastAsia="en-GB"/>
              </w:rPr>
              <w:t xml:space="preserve"> </w:t>
            </w:r>
            <w:r w:rsidRPr="0088364D">
              <w:rPr>
                <w:sz w:val="20"/>
                <w:szCs w:val="20"/>
                <w:lang w:eastAsia="en-GB"/>
              </w:rPr>
              <w:t>fairly</w:t>
            </w:r>
            <w:r w:rsidRPr="0088364D">
              <w:rPr>
                <w:spacing w:val="44"/>
                <w:sz w:val="20"/>
                <w:szCs w:val="20"/>
                <w:lang w:eastAsia="en-GB"/>
              </w:rPr>
              <w:t xml:space="preserve"> </w:t>
            </w:r>
            <w:r w:rsidRPr="0088364D">
              <w:rPr>
                <w:sz w:val="20"/>
                <w:szCs w:val="20"/>
                <w:lang w:eastAsia="en-GB"/>
              </w:rPr>
              <w:t>and</w:t>
            </w:r>
            <w:r w:rsidRPr="0088364D">
              <w:rPr>
                <w:spacing w:val="44"/>
                <w:sz w:val="20"/>
                <w:szCs w:val="20"/>
                <w:lang w:eastAsia="en-GB"/>
              </w:rPr>
              <w:t xml:space="preserve"> </w:t>
            </w:r>
            <w:r w:rsidRPr="0088364D">
              <w:rPr>
                <w:sz w:val="20"/>
                <w:szCs w:val="20"/>
                <w:lang w:eastAsia="en-GB"/>
              </w:rPr>
              <w:t>reasonably</w:t>
            </w:r>
            <w:r w:rsidRPr="0088364D">
              <w:rPr>
                <w:spacing w:val="44"/>
                <w:sz w:val="20"/>
                <w:szCs w:val="20"/>
                <w:lang w:eastAsia="en-GB"/>
              </w:rPr>
              <w:t xml:space="preserve"> </w:t>
            </w:r>
            <w:r w:rsidRPr="0088364D">
              <w:rPr>
                <w:sz w:val="20"/>
                <w:szCs w:val="20"/>
                <w:lang w:eastAsia="en-GB"/>
              </w:rPr>
              <w:t>when</w:t>
            </w:r>
            <w:r w:rsidRPr="0088364D">
              <w:rPr>
                <w:spacing w:val="44"/>
                <w:sz w:val="20"/>
                <w:szCs w:val="20"/>
                <w:lang w:eastAsia="en-GB"/>
              </w:rPr>
              <w:t xml:space="preserve"> </w:t>
            </w:r>
            <w:r w:rsidRPr="0088364D">
              <w:rPr>
                <w:sz w:val="20"/>
                <w:szCs w:val="20"/>
                <w:lang w:eastAsia="en-GB"/>
              </w:rPr>
              <w:t>making</w:t>
            </w:r>
            <w:r w:rsidRPr="0088364D">
              <w:rPr>
                <w:spacing w:val="43"/>
                <w:sz w:val="20"/>
                <w:szCs w:val="20"/>
                <w:lang w:eastAsia="en-GB"/>
              </w:rPr>
              <w:t xml:space="preserve"> </w:t>
            </w:r>
            <w:r w:rsidRPr="0088364D">
              <w:rPr>
                <w:sz w:val="20"/>
                <w:szCs w:val="20"/>
                <w:lang w:eastAsia="en-GB"/>
              </w:rPr>
              <w:t>its</w:t>
            </w:r>
            <w:r w:rsidRPr="0088364D">
              <w:rPr>
                <w:spacing w:val="39"/>
                <w:sz w:val="20"/>
                <w:szCs w:val="20"/>
                <w:lang w:eastAsia="en-GB"/>
              </w:rPr>
              <w:t xml:space="preserve"> </w:t>
            </w:r>
            <w:r w:rsidRPr="0088364D">
              <w:rPr>
                <w:sz w:val="20"/>
                <w:szCs w:val="20"/>
                <w:lang w:eastAsia="en-GB"/>
              </w:rPr>
              <w:t>decisions.</w:t>
            </w:r>
            <w:r w:rsidRPr="0088364D">
              <w:rPr>
                <w:spacing w:val="21"/>
                <w:sz w:val="20"/>
                <w:szCs w:val="20"/>
                <w:lang w:eastAsia="en-GB"/>
              </w:rPr>
              <w:t xml:space="preserve"> </w:t>
            </w:r>
            <w:r w:rsidRPr="0088364D">
              <w:rPr>
                <w:sz w:val="20"/>
                <w:szCs w:val="20"/>
                <w:lang w:eastAsia="en-GB"/>
              </w:rPr>
              <w:t>These</w:t>
            </w:r>
            <w:r w:rsidRPr="0088364D">
              <w:rPr>
                <w:spacing w:val="44"/>
                <w:sz w:val="20"/>
                <w:szCs w:val="20"/>
                <w:lang w:eastAsia="en-GB"/>
              </w:rPr>
              <w:t xml:space="preserve"> </w:t>
            </w:r>
            <w:r w:rsidRPr="0088364D">
              <w:rPr>
                <w:sz w:val="20"/>
                <w:szCs w:val="20"/>
                <w:lang w:eastAsia="en-GB"/>
              </w:rPr>
              <w:t>duties</w:t>
            </w:r>
            <w:r w:rsidRPr="0088364D">
              <w:rPr>
                <w:spacing w:val="45"/>
                <w:sz w:val="20"/>
                <w:szCs w:val="20"/>
                <w:lang w:eastAsia="en-GB"/>
              </w:rPr>
              <w:t xml:space="preserve"> </w:t>
            </w:r>
            <w:r w:rsidRPr="0088364D">
              <w:rPr>
                <w:sz w:val="20"/>
                <w:szCs w:val="20"/>
                <w:lang w:eastAsia="en-GB"/>
              </w:rPr>
              <w:t>come</w:t>
            </w:r>
            <w:r w:rsidRPr="0088364D">
              <w:rPr>
                <w:spacing w:val="42"/>
                <w:sz w:val="20"/>
                <w:szCs w:val="20"/>
                <w:lang w:eastAsia="en-GB"/>
              </w:rPr>
              <w:t xml:space="preserve"> </w:t>
            </w:r>
            <w:r w:rsidRPr="0088364D">
              <w:rPr>
                <w:sz w:val="20"/>
                <w:szCs w:val="20"/>
                <w:lang w:eastAsia="en-GB"/>
              </w:rPr>
              <w:t>from</w:t>
            </w:r>
            <w:r w:rsidRPr="0088364D">
              <w:rPr>
                <w:spacing w:val="46"/>
                <w:sz w:val="20"/>
                <w:szCs w:val="20"/>
                <w:lang w:eastAsia="en-GB"/>
              </w:rPr>
              <w:t xml:space="preserve"> </w:t>
            </w:r>
            <w:r w:rsidRPr="0088364D">
              <w:rPr>
                <w:sz w:val="20"/>
                <w:szCs w:val="20"/>
                <w:lang w:eastAsia="en-GB"/>
              </w:rPr>
              <w:t>case</w:t>
            </w:r>
            <w:r w:rsidRPr="0088364D">
              <w:rPr>
                <w:spacing w:val="42"/>
                <w:sz w:val="20"/>
                <w:szCs w:val="20"/>
                <w:lang w:eastAsia="en-GB"/>
              </w:rPr>
              <w:t xml:space="preserve"> </w:t>
            </w:r>
            <w:r w:rsidRPr="0088364D">
              <w:rPr>
                <w:spacing w:val="1"/>
                <w:sz w:val="20"/>
                <w:szCs w:val="20"/>
                <w:lang w:eastAsia="en-GB"/>
              </w:rPr>
              <w:t>law</w:t>
            </w:r>
            <w:r w:rsidRPr="0088364D">
              <w:rPr>
                <w:spacing w:val="44"/>
                <w:sz w:val="20"/>
                <w:szCs w:val="20"/>
                <w:lang w:eastAsia="en-GB"/>
              </w:rPr>
              <w:t xml:space="preserve"> </w:t>
            </w:r>
            <w:r w:rsidRPr="0088364D">
              <w:rPr>
                <w:sz w:val="20"/>
                <w:szCs w:val="20"/>
                <w:lang w:eastAsia="en-GB"/>
              </w:rPr>
              <w:t>that</w:t>
            </w:r>
            <w:r w:rsidRPr="0088364D">
              <w:rPr>
                <w:spacing w:val="43"/>
                <w:sz w:val="20"/>
                <w:szCs w:val="20"/>
                <w:lang w:eastAsia="en-GB"/>
              </w:rPr>
              <w:t xml:space="preserve"> </w:t>
            </w:r>
            <w:r w:rsidRPr="0088364D">
              <w:rPr>
                <w:sz w:val="20"/>
                <w:szCs w:val="20"/>
                <w:lang w:eastAsia="en-GB"/>
              </w:rPr>
              <w:t>applies</w:t>
            </w:r>
            <w:r w:rsidRPr="0088364D">
              <w:rPr>
                <w:spacing w:val="44"/>
                <w:sz w:val="20"/>
                <w:szCs w:val="20"/>
                <w:lang w:eastAsia="en-GB"/>
              </w:rPr>
              <w:t xml:space="preserve"> </w:t>
            </w:r>
            <w:r w:rsidRPr="0088364D">
              <w:rPr>
                <w:sz w:val="20"/>
                <w:szCs w:val="20"/>
                <w:lang w:eastAsia="en-GB"/>
              </w:rPr>
              <w:t>to</w:t>
            </w:r>
            <w:r w:rsidRPr="0088364D">
              <w:rPr>
                <w:spacing w:val="43"/>
                <w:sz w:val="20"/>
                <w:szCs w:val="20"/>
                <w:lang w:eastAsia="en-GB"/>
              </w:rPr>
              <w:t xml:space="preserve"> </w:t>
            </w:r>
            <w:r w:rsidRPr="0088364D">
              <w:rPr>
                <w:sz w:val="20"/>
                <w:szCs w:val="20"/>
                <w:lang w:eastAsia="en-GB"/>
              </w:rPr>
              <w:t>all</w:t>
            </w:r>
            <w:r w:rsidRPr="0088364D">
              <w:rPr>
                <w:spacing w:val="44"/>
                <w:sz w:val="20"/>
                <w:szCs w:val="20"/>
                <w:lang w:eastAsia="en-GB"/>
              </w:rPr>
              <w:t xml:space="preserve"> </w:t>
            </w:r>
            <w:r w:rsidRPr="0088364D">
              <w:rPr>
                <w:sz w:val="20"/>
                <w:szCs w:val="20"/>
                <w:lang w:eastAsia="en-GB"/>
              </w:rPr>
              <w:t>public</w:t>
            </w:r>
            <w:r w:rsidRPr="0088364D">
              <w:rPr>
                <w:spacing w:val="46"/>
                <w:w w:val="99"/>
                <w:sz w:val="20"/>
                <w:szCs w:val="20"/>
                <w:lang w:eastAsia="en-GB"/>
              </w:rPr>
              <w:t xml:space="preserve"> </w:t>
            </w:r>
            <w:r w:rsidRPr="0088364D">
              <w:rPr>
                <w:sz w:val="20"/>
                <w:szCs w:val="20"/>
                <w:lang w:eastAsia="en-GB"/>
              </w:rPr>
              <w:t>bodies.</w:t>
            </w:r>
          </w:p>
          <w:p w14:paraId="6A252EB0" w14:textId="77777777" w:rsidR="00DB7F92" w:rsidRPr="0088364D" w:rsidRDefault="00DB7F92" w:rsidP="00884224">
            <w:pPr>
              <w:keepNext/>
              <w:keepLines/>
              <w:tabs>
                <w:tab w:val="num" w:pos="5761"/>
              </w:tabs>
              <w:spacing w:before="173"/>
              <w:ind w:left="13"/>
              <w:jc w:val="both"/>
              <w:outlineLvl w:val="6"/>
              <w:rPr>
                <w:rFonts w:eastAsiaTheme="majorEastAsia" w:cs="Arial"/>
                <w:b/>
                <w:i/>
                <w:iCs/>
                <w:color w:val="404040" w:themeColor="text1" w:themeTint="BF"/>
                <w:spacing w:val="-1"/>
                <w:sz w:val="20"/>
                <w:szCs w:val="20"/>
              </w:rPr>
            </w:pPr>
            <w:r w:rsidRPr="0088364D">
              <w:rPr>
                <w:rFonts w:eastAsiaTheme="majorEastAsia" w:cs="Arial"/>
                <w:b/>
                <w:i/>
                <w:iCs/>
                <w:color w:val="404040" w:themeColor="text1" w:themeTint="BF"/>
                <w:spacing w:val="-1"/>
                <w:sz w:val="20"/>
                <w:szCs w:val="20"/>
              </w:rPr>
              <w:t>Duty to obtain advice</w:t>
            </w:r>
          </w:p>
          <w:p w14:paraId="2F7D0090" w14:textId="77777777" w:rsidR="00DB7F92" w:rsidRPr="0088364D" w:rsidRDefault="00DB7F92" w:rsidP="00DB7F92">
            <w:pPr>
              <w:spacing w:before="2"/>
              <w:jc w:val="both"/>
              <w:rPr>
                <w:rFonts w:eastAsia="Tw Cen MT Condensed Extra Bold" w:cs="Arial"/>
                <w:b/>
                <w:bCs w:val="0"/>
                <w:sz w:val="20"/>
                <w:szCs w:val="20"/>
              </w:rPr>
            </w:pPr>
          </w:p>
          <w:p w14:paraId="698B59FE" w14:textId="77777777" w:rsidR="00DB7F92" w:rsidRPr="0088364D" w:rsidRDefault="00DB7F92" w:rsidP="00970B92">
            <w:pPr>
              <w:pStyle w:val="Heading3"/>
              <w:rPr>
                <w:sz w:val="20"/>
                <w:szCs w:val="20"/>
                <w:lang w:eastAsia="en-GB"/>
              </w:rPr>
            </w:pPr>
            <w:r w:rsidRPr="0088364D">
              <w:rPr>
                <w:sz w:val="20"/>
                <w:szCs w:val="20"/>
                <w:lang w:eastAsia="en-GB"/>
              </w:rPr>
              <w:t>Commissioners have</w:t>
            </w:r>
            <w:r w:rsidRPr="0088364D">
              <w:rPr>
                <w:spacing w:val="32"/>
                <w:sz w:val="20"/>
                <w:szCs w:val="20"/>
                <w:lang w:eastAsia="en-GB"/>
              </w:rPr>
              <w:t xml:space="preserve"> </w:t>
            </w:r>
            <w:r w:rsidRPr="0088364D">
              <w:rPr>
                <w:sz w:val="20"/>
                <w:szCs w:val="20"/>
                <w:lang w:eastAsia="en-GB"/>
              </w:rPr>
              <w:t>a</w:t>
            </w:r>
            <w:r w:rsidRPr="0088364D">
              <w:rPr>
                <w:spacing w:val="34"/>
                <w:sz w:val="20"/>
                <w:szCs w:val="20"/>
                <w:lang w:eastAsia="en-GB"/>
              </w:rPr>
              <w:t xml:space="preserve"> </w:t>
            </w:r>
            <w:r w:rsidRPr="0088364D">
              <w:rPr>
                <w:sz w:val="20"/>
                <w:szCs w:val="20"/>
                <w:lang w:eastAsia="en-GB"/>
              </w:rPr>
              <w:t>duty</w:t>
            </w:r>
            <w:r w:rsidRPr="0088364D">
              <w:rPr>
                <w:spacing w:val="33"/>
                <w:sz w:val="20"/>
                <w:szCs w:val="20"/>
                <w:lang w:eastAsia="en-GB"/>
              </w:rPr>
              <w:t xml:space="preserve"> </w:t>
            </w:r>
            <w:r w:rsidRPr="0088364D">
              <w:rPr>
                <w:sz w:val="20"/>
                <w:szCs w:val="20"/>
                <w:lang w:eastAsia="en-GB"/>
              </w:rPr>
              <w:t>to</w:t>
            </w:r>
            <w:r w:rsidRPr="0088364D">
              <w:rPr>
                <w:spacing w:val="31"/>
                <w:sz w:val="20"/>
                <w:szCs w:val="20"/>
                <w:lang w:eastAsia="en-GB"/>
              </w:rPr>
              <w:t xml:space="preserve"> </w:t>
            </w:r>
            <w:r w:rsidRPr="0088364D">
              <w:rPr>
                <w:sz w:val="20"/>
                <w:szCs w:val="20"/>
                <w:lang w:eastAsia="en-GB"/>
              </w:rPr>
              <w:t>"obtain</w:t>
            </w:r>
            <w:r w:rsidRPr="0088364D">
              <w:rPr>
                <w:spacing w:val="33"/>
                <w:sz w:val="20"/>
                <w:szCs w:val="20"/>
                <w:lang w:eastAsia="en-GB"/>
              </w:rPr>
              <w:t xml:space="preserve"> </w:t>
            </w:r>
            <w:r w:rsidRPr="0088364D">
              <w:rPr>
                <w:sz w:val="20"/>
                <w:szCs w:val="20"/>
                <w:lang w:eastAsia="en-GB"/>
              </w:rPr>
              <w:t>appropriate</w:t>
            </w:r>
            <w:r w:rsidRPr="0088364D">
              <w:rPr>
                <w:spacing w:val="33"/>
                <w:sz w:val="20"/>
                <w:szCs w:val="20"/>
                <w:lang w:eastAsia="en-GB"/>
              </w:rPr>
              <w:t xml:space="preserve"> </w:t>
            </w:r>
            <w:r w:rsidRPr="0088364D">
              <w:rPr>
                <w:sz w:val="20"/>
                <w:szCs w:val="20"/>
                <w:lang w:eastAsia="en-GB"/>
              </w:rPr>
              <w:t>advice"</w:t>
            </w:r>
            <w:r w:rsidRPr="0088364D">
              <w:rPr>
                <w:spacing w:val="15"/>
                <w:sz w:val="20"/>
                <w:szCs w:val="20"/>
                <w:lang w:eastAsia="en-GB"/>
              </w:rPr>
              <w:t xml:space="preserve"> </w:t>
            </w:r>
            <w:r w:rsidRPr="0088364D">
              <w:rPr>
                <w:sz w:val="20"/>
                <w:szCs w:val="20"/>
                <w:lang w:eastAsia="en-GB"/>
              </w:rPr>
              <w:t>from</w:t>
            </w:r>
            <w:r w:rsidRPr="0088364D">
              <w:rPr>
                <w:spacing w:val="31"/>
                <w:sz w:val="20"/>
                <w:szCs w:val="20"/>
                <w:lang w:eastAsia="en-GB"/>
              </w:rPr>
              <w:t xml:space="preserve"> </w:t>
            </w:r>
            <w:r w:rsidRPr="0088364D">
              <w:rPr>
                <w:sz w:val="20"/>
                <w:szCs w:val="20"/>
                <w:lang w:eastAsia="en-GB"/>
              </w:rPr>
              <w:t>persons with a broad range of professional expertise (in respect of NHS England, see section 13J of the NHS Act 2006; and, in respect of CCGs, see section 14W of the NHS Act 2006)</w:t>
            </w:r>
          </w:p>
          <w:p w14:paraId="220862A1" w14:textId="77777777" w:rsidR="00DB7F92" w:rsidRPr="0088364D" w:rsidRDefault="00DB7F92" w:rsidP="00DB7F92">
            <w:pPr>
              <w:widowControl w:val="0"/>
              <w:tabs>
                <w:tab w:val="left" w:pos="1559"/>
              </w:tabs>
              <w:spacing w:after="120"/>
              <w:jc w:val="both"/>
              <w:rPr>
                <w:rFonts w:cs="Arial"/>
                <w:bCs w:val="0"/>
                <w:sz w:val="20"/>
                <w:szCs w:val="20"/>
                <w:lang w:eastAsia="en-GB"/>
              </w:rPr>
            </w:pPr>
          </w:p>
          <w:p w14:paraId="36BC8FE8" w14:textId="77777777" w:rsidR="00DB7F92" w:rsidRPr="0088364D" w:rsidRDefault="00DB7F92" w:rsidP="00884224">
            <w:pPr>
              <w:keepNext/>
              <w:keepLines/>
              <w:tabs>
                <w:tab w:val="num" w:pos="5761"/>
              </w:tabs>
              <w:spacing w:before="173"/>
              <w:ind w:left="13"/>
              <w:jc w:val="both"/>
              <w:outlineLvl w:val="6"/>
              <w:rPr>
                <w:rFonts w:eastAsiaTheme="majorEastAsia" w:cs="Arial"/>
                <w:b/>
                <w:i/>
                <w:iCs/>
                <w:color w:val="404040" w:themeColor="text1" w:themeTint="BF"/>
                <w:spacing w:val="-1"/>
                <w:sz w:val="20"/>
                <w:szCs w:val="20"/>
              </w:rPr>
            </w:pPr>
            <w:r w:rsidRPr="0088364D">
              <w:rPr>
                <w:rFonts w:eastAsiaTheme="majorEastAsia" w:cs="Arial"/>
                <w:b/>
                <w:i/>
                <w:iCs/>
                <w:color w:val="404040" w:themeColor="text1" w:themeTint="BF"/>
                <w:spacing w:val="-1"/>
                <w:sz w:val="20"/>
                <w:szCs w:val="20"/>
              </w:rPr>
              <w:t>Duty to exercise functions effectively</w:t>
            </w:r>
          </w:p>
          <w:p w14:paraId="337C2A5B" w14:textId="77777777" w:rsidR="00970B92" w:rsidRPr="0088364D" w:rsidRDefault="00970B92" w:rsidP="00970B92">
            <w:pPr>
              <w:keepNext/>
              <w:keepLines/>
              <w:spacing w:before="186"/>
              <w:ind w:left="118"/>
              <w:jc w:val="both"/>
              <w:outlineLvl w:val="6"/>
              <w:rPr>
                <w:rFonts w:eastAsiaTheme="majorEastAsia" w:cs="Arial"/>
                <w:b/>
                <w:bCs w:val="0"/>
                <w:i/>
                <w:iCs/>
                <w:color w:val="404040" w:themeColor="text1" w:themeTint="BF"/>
                <w:sz w:val="20"/>
                <w:szCs w:val="20"/>
              </w:rPr>
            </w:pPr>
          </w:p>
          <w:p w14:paraId="7AE993D0" w14:textId="77777777" w:rsidR="00DB7F92" w:rsidRPr="0088364D" w:rsidRDefault="00DB7F92" w:rsidP="00970B92">
            <w:pPr>
              <w:pStyle w:val="Heading3"/>
              <w:rPr>
                <w:sz w:val="20"/>
                <w:szCs w:val="20"/>
                <w:lang w:eastAsia="en-GB"/>
              </w:rPr>
            </w:pPr>
            <w:r w:rsidRPr="0088364D">
              <w:rPr>
                <w:sz w:val="20"/>
                <w:szCs w:val="20"/>
                <w:lang w:eastAsia="en-GB"/>
              </w:rPr>
              <w:t>Commissioners have</w:t>
            </w:r>
            <w:r w:rsidRPr="0088364D">
              <w:rPr>
                <w:spacing w:val="32"/>
                <w:sz w:val="20"/>
                <w:szCs w:val="20"/>
                <w:lang w:eastAsia="en-GB"/>
              </w:rPr>
              <w:t xml:space="preserve"> </w:t>
            </w:r>
            <w:r w:rsidRPr="0088364D">
              <w:rPr>
                <w:sz w:val="20"/>
                <w:szCs w:val="20"/>
                <w:lang w:eastAsia="en-GB"/>
              </w:rPr>
              <w:t>a</w:t>
            </w:r>
            <w:r w:rsidRPr="0088364D">
              <w:rPr>
                <w:spacing w:val="32"/>
                <w:sz w:val="20"/>
                <w:szCs w:val="20"/>
                <w:lang w:eastAsia="en-GB"/>
              </w:rPr>
              <w:t xml:space="preserve"> </w:t>
            </w:r>
            <w:r w:rsidRPr="0088364D">
              <w:rPr>
                <w:sz w:val="20"/>
                <w:szCs w:val="20"/>
                <w:lang w:eastAsia="en-GB"/>
              </w:rPr>
              <w:t>duty</w:t>
            </w:r>
            <w:r w:rsidRPr="0088364D">
              <w:rPr>
                <w:spacing w:val="33"/>
                <w:sz w:val="20"/>
                <w:szCs w:val="20"/>
                <w:lang w:eastAsia="en-GB"/>
              </w:rPr>
              <w:t xml:space="preserve"> </w:t>
            </w:r>
            <w:r w:rsidRPr="0088364D">
              <w:rPr>
                <w:sz w:val="20"/>
                <w:szCs w:val="20"/>
                <w:lang w:eastAsia="en-GB"/>
              </w:rPr>
              <w:t>to</w:t>
            </w:r>
            <w:r w:rsidRPr="0088364D">
              <w:rPr>
                <w:spacing w:val="31"/>
                <w:sz w:val="20"/>
                <w:szCs w:val="20"/>
                <w:lang w:eastAsia="en-GB"/>
              </w:rPr>
              <w:t xml:space="preserve"> </w:t>
            </w:r>
            <w:r w:rsidRPr="0088364D">
              <w:rPr>
                <w:sz w:val="20"/>
                <w:szCs w:val="20"/>
                <w:lang w:eastAsia="en-GB"/>
              </w:rPr>
              <w:t>exercise</w:t>
            </w:r>
            <w:r w:rsidRPr="0088364D">
              <w:rPr>
                <w:spacing w:val="32"/>
                <w:sz w:val="20"/>
                <w:szCs w:val="20"/>
                <w:lang w:eastAsia="en-GB"/>
              </w:rPr>
              <w:t xml:space="preserve"> </w:t>
            </w:r>
            <w:r w:rsidRPr="0088364D">
              <w:rPr>
                <w:sz w:val="20"/>
                <w:szCs w:val="20"/>
                <w:lang w:eastAsia="en-GB"/>
              </w:rPr>
              <w:t>their</w:t>
            </w:r>
            <w:r w:rsidRPr="0088364D">
              <w:rPr>
                <w:spacing w:val="33"/>
                <w:sz w:val="20"/>
                <w:szCs w:val="20"/>
                <w:lang w:eastAsia="en-GB"/>
              </w:rPr>
              <w:t xml:space="preserve"> </w:t>
            </w:r>
            <w:r w:rsidRPr="0088364D">
              <w:rPr>
                <w:sz w:val="20"/>
                <w:szCs w:val="20"/>
                <w:lang w:eastAsia="en-GB"/>
              </w:rPr>
              <w:t>functions</w:t>
            </w:r>
            <w:r w:rsidRPr="0088364D">
              <w:rPr>
                <w:spacing w:val="34"/>
                <w:sz w:val="20"/>
                <w:szCs w:val="20"/>
                <w:lang w:eastAsia="en-GB"/>
              </w:rPr>
              <w:t xml:space="preserve"> </w:t>
            </w:r>
            <w:r w:rsidRPr="0088364D">
              <w:rPr>
                <w:sz w:val="20"/>
                <w:szCs w:val="20"/>
                <w:lang w:eastAsia="en-GB"/>
              </w:rPr>
              <w:t>effectively,</w:t>
            </w:r>
            <w:r w:rsidRPr="0088364D">
              <w:rPr>
                <w:spacing w:val="32"/>
                <w:sz w:val="20"/>
                <w:szCs w:val="20"/>
                <w:lang w:eastAsia="en-GB"/>
              </w:rPr>
              <w:t xml:space="preserve"> </w:t>
            </w:r>
            <w:r w:rsidRPr="0088364D">
              <w:rPr>
                <w:sz w:val="20"/>
                <w:szCs w:val="20"/>
                <w:lang w:eastAsia="en-GB"/>
              </w:rPr>
              <w:t>efficiently</w:t>
            </w:r>
            <w:r w:rsidRPr="0088364D">
              <w:rPr>
                <w:spacing w:val="53"/>
                <w:w w:val="99"/>
                <w:sz w:val="20"/>
                <w:szCs w:val="20"/>
                <w:lang w:eastAsia="en-GB"/>
              </w:rPr>
              <w:t xml:space="preserve"> </w:t>
            </w:r>
            <w:r w:rsidRPr="0088364D">
              <w:rPr>
                <w:sz w:val="20"/>
                <w:szCs w:val="20"/>
                <w:lang w:eastAsia="en-GB"/>
              </w:rPr>
              <w:t>and</w:t>
            </w:r>
            <w:r w:rsidRPr="0088364D">
              <w:rPr>
                <w:spacing w:val="-6"/>
                <w:sz w:val="20"/>
                <w:szCs w:val="20"/>
                <w:lang w:eastAsia="en-GB"/>
              </w:rPr>
              <w:t xml:space="preserve"> </w:t>
            </w:r>
            <w:r w:rsidRPr="0088364D">
              <w:rPr>
                <w:sz w:val="20"/>
                <w:szCs w:val="20"/>
                <w:lang w:eastAsia="en-GB"/>
              </w:rPr>
              <w:t>economically</w:t>
            </w:r>
            <w:r w:rsidRPr="0088364D">
              <w:rPr>
                <w:spacing w:val="-6"/>
                <w:sz w:val="20"/>
                <w:szCs w:val="20"/>
                <w:lang w:eastAsia="en-GB"/>
              </w:rPr>
              <w:t xml:space="preserve"> </w:t>
            </w:r>
            <w:r w:rsidRPr="0088364D">
              <w:rPr>
                <w:sz w:val="20"/>
                <w:szCs w:val="20"/>
                <w:lang w:eastAsia="en-GB"/>
              </w:rPr>
              <w:t>(in respect of NHS England, see</w:t>
            </w:r>
            <w:r w:rsidRPr="0088364D">
              <w:rPr>
                <w:spacing w:val="-5"/>
                <w:sz w:val="20"/>
                <w:szCs w:val="20"/>
                <w:lang w:eastAsia="en-GB"/>
              </w:rPr>
              <w:t xml:space="preserve"> </w:t>
            </w:r>
            <w:r w:rsidRPr="0088364D">
              <w:rPr>
                <w:sz w:val="20"/>
                <w:szCs w:val="20"/>
                <w:lang w:eastAsia="en-GB"/>
              </w:rPr>
              <w:t>section</w:t>
            </w:r>
            <w:r w:rsidRPr="0088364D">
              <w:rPr>
                <w:spacing w:val="-2"/>
                <w:sz w:val="20"/>
                <w:szCs w:val="20"/>
                <w:lang w:eastAsia="en-GB"/>
              </w:rPr>
              <w:t xml:space="preserve"> </w:t>
            </w:r>
            <w:r w:rsidRPr="0088364D">
              <w:rPr>
                <w:sz w:val="20"/>
                <w:szCs w:val="20"/>
                <w:lang w:eastAsia="en-GB"/>
              </w:rPr>
              <w:t>13D</w:t>
            </w:r>
            <w:r w:rsidRPr="0088364D">
              <w:rPr>
                <w:spacing w:val="-4"/>
                <w:sz w:val="20"/>
                <w:szCs w:val="20"/>
                <w:lang w:eastAsia="en-GB"/>
              </w:rPr>
              <w:t xml:space="preserve"> </w:t>
            </w:r>
            <w:r w:rsidRPr="0088364D">
              <w:rPr>
                <w:sz w:val="20"/>
                <w:szCs w:val="20"/>
                <w:lang w:eastAsia="en-GB"/>
              </w:rPr>
              <w:t>of</w:t>
            </w:r>
            <w:r w:rsidRPr="0088364D">
              <w:rPr>
                <w:spacing w:val="-6"/>
                <w:sz w:val="20"/>
                <w:szCs w:val="20"/>
                <w:lang w:eastAsia="en-GB"/>
              </w:rPr>
              <w:t xml:space="preserve"> </w:t>
            </w:r>
            <w:r w:rsidRPr="0088364D">
              <w:rPr>
                <w:sz w:val="20"/>
                <w:szCs w:val="20"/>
                <w:lang w:eastAsia="en-GB"/>
              </w:rPr>
              <w:t>the</w:t>
            </w:r>
            <w:r w:rsidRPr="0088364D">
              <w:rPr>
                <w:spacing w:val="-4"/>
                <w:sz w:val="20"/>
                <w:szCs w:val="20"/>
                <w:lang w:eastAsia="en-GB"/>
              </w:rPr>
              <w:t xml:space="preserve"> </w:t>
            </w:r>
            <w:r w:rsidRPr="0088364D">
              <w:rPr>
                <w:sz w:val="20"/>
                <w:szCs w:val="20"/>
                <w:lang w:eastAsia="en-GB"/>
              </w:rPr>
              <w:t>NHS</w:t>
            </w:r>
            <w:r w:rsidRPr="0088364D">
              <w:rPr>
                <w:spacing w:val="-3"/>
                <w:sz w:val="20"/>
                <w:szCs w:val="20"/>
                <w:lang w:eastAsia="en-GB"/>
              </w:rPr>
              <w:t xml:space="preserve"> </w:t>
            </w:r>
            <w:r w:rsidRPr="0088364D">
              <w:rPr>
                <w:sz w:val="20"/>
                <w:szCs w:val="20"/>
                <w:lang w:eastAsia="en-GB"/>
              </w:rPr>
              <w:t>Act</w:t>
            </w:r>
            <w:r w:rsidRPr="0088364D">
              <w:rPr>
                <w:spacing w:val="-4"/>
                <w:sz w:val="20"/>
                <w:szCs w:val="20"/>
                <w:lang w:eastAsia="en-GB"/>
              </w:rPr>
              <w:t xml:space="preserve"> </w:t>
            </w:r>
            <w:r w:rsidRPr="0088364D">
              <w:rPr>
                <w:sz w:val="20"/>
                <w:szCs w:val="20"/>
                <w:lang w:eastAsia="en-GB"/>
              </w:rPr>
              <w:t xml:space="preserve">2006; and, in respect of CCGs, see section 14Q of the NHS Act 2006) </w:t>
            </w:r>
          </w:p>
          <w:p w14:paraId="6DD89F46" w14:textId="77777777" w:rsidR="00DB7F92" w:rsidRDefault="00DB7F92" w:rsidP="00884224">
            <w:pPr>
              <w:keepNext/>
              <w:keepLines/>
              <w:tabs>
                <w:tab w:val="num" w:pos="5761"/>
              </w:tabs>
              <w:spacing w:before="173"/>
              <w:ind w:left="13"/>
              <w:jc w:val="both"/>
              <w:outlineLvl w:val="6"/>
              <w:rPr>
                <w:rFonts w:eastAsiaTheme="majorEastAsia" w:cs="Arial"/>
                <w:b/>
                <w:i/>
                <w:iCs/>
                <w:color w:val="404040" w:themeColor="text1" w:themeTint="BF"/>
                <w:spacing w:val="-1"/>
                <w:sz w:val="20"/>
                <w:szCs w:val="20"/>
              </w:rPr>
            </w:pPr>
            <w:r w:rsidRPr="0088364D">
              <w:rPr>
                <w:rFonts w:eastAsiaTheme="majorEastAsia" w:cs="Arial"/>
                <w:b/>
                <w:i/>
                <w:iCs/>
                <w:color w:val="404040" w:themeColor="text1" w:themeTint="BF"/>
                <w:spacing w:val="-1"/>
                <w:sz w:val="20"/>
                <w:szCs w:val="20"/>
              </w:rPr>
              <w:t>Duty not to prefer one type of provider</w:t>
            </w:r>
          </w:p>
          <w:p w14:paraId="49AA600C" w14:textId="77777777" w:rsidR="00023576" w:rsidRPr="0088364D" w:rsidRDefault="00023576" w:rsidP="00884224">
            <w:pPr>
              <w:keepNext/>
              <w:keepLines/>
              <w:tabs>
                <w:tab w:val="num" w:pos="5761"/>
              </w:tabs>
              <w:spacing w:before="173"/>
              <w:ind w:left="13"/>
              <w:jc w:val="both"/>
              <w:outlineLvl w:val="6"/>
              <w:rPr>
                <w:rFonts w:eastAsiaTheme="majorEastAsia" w:cs="Arial"/>
                <w:b/>
                <w:i/>
                <w:iCs/>
                <w:color w:val="404040" w:themeColor="text1" w:themeTint="BF"/>
                <w:spacing w:val="-1"/>
                <w:sz w:val="20"/>
                <w:szCs w:val="20"/>
              </w:rPr>
            </w:pPr>
          </w:p>
          <w:p w14:paraId="2A63456E" w14:textId="77777777" w:rsidR="00DB7F92" w:rsidRPr="00023576" w:rsidRDefault="00DB7F92" w:rsidP="00023576">
            <w:pPr>
              <w:pStyle w:val="Heading3"/>
              <w:rPr>
                <w:sz w:val="20"/>
                <w:szCs w:val="20"/>
                <w:lang w:eastAsia="en-GB"/>
              </w:rPr>
            </w:pPr>
            <w:r w:rsidRPr="00023576">
              <w:rPr>
                <w:bCs w:val="0"/>
                <w:lang w:eastAsia="en-GB"/>
              </w:rPr>
              <w:t>Commissioners must not try to vary the proportion of services delivered by providers according to whether the provider is in the public or private sector, or some other aspect of their status</w:t>
            </w:r>
            <w:r w:rsidRPr="00023576">
              <w:rPr>
                <w:sz w:val="20"/>
                <w:szCs w:val="20"/>
                <w:lang w:eastAsia="en-GB"/>
              </w:rPr>
              <w:t>.</w:t>
            </w:r>
          </w:p>
          <w:p w14:paraId="3D6B5052" w14:textId="77777777" w:rsidR="00DB7F92" w:rsidRPr="0088364D" w:rsidRDefault="00DB7F92" w:rsidP="00836ECF">
            <w:pPr>
              <w:keepNext/>
              <w:keepLines/>
              <w:numPr>
                <w:ilvl w:val="6"/>
                <w:numId w:val="33"/>
              </w:numPr>
              <w:tabs>
                <w:tab w:val="num" w:pos="5761"/>
              </w:tabs>
              <w:spacing w:before="186"/>
              <w:ind w:left="0" w:hanging="720"/>
              <w:jc w:val="both"/>
              <w:outlineLvl w:val="6"/>
              <w:rPr>
                <w:rFonts w:eastAsiaTheme="majorEastAsia" w:cs="Arial"/>
                <w:i/>
                <w:iCs/>
                <w:color w:val="404040" w:themeColor="text1" w:themeTint="BF"/>
                <w:spacing w:val="-1"/>
                <w:sz w:val="20"/>
                <w:szCs w:val="20"/>
              </w:rPr>
            </w:pPr>
          </w:p>
        </w:tc>
      </w:tr>
    </w:tbl>
    <w:p w14:paraId="537C85A2" w14:textId="77777777" w:rsidR="00DB7F92" w:rsidRPr="00DB7F92" w:rsidRDefault="00DB7F92" w:rsidP="00DB7F92">
      <w:pPr>
        <w:keepNext/>
        <w:keepLines/>
        <w:spacing w:before="186"/>
        <w:ind w:left="838"/>
        <w:jc w:val="both"/>
        <w:outlineLvl w:val="6"/>
        <w:rPr>
          <w:rFonts w:eastAsiaTheme="majorEastAsia" w:cs="Arial"/>
          <w:i/>
          <w:iCs/>
          <w:color w:val="404040" w:themeColor="text1" w:themeTint="BF"/>
          <w:spacing w:val="-1"/>
          <w:sz w:val="20"/>
          <w:szCs w:val="20"/>
        </w:rPr>
      </w:pPr>
    </w:p>
    <w:p w14:paraId="2F03545D" w14:textId="5BAC5371" w:rsidR="00DB7F92" w:rsidRPr="00DB7F92" w:rsidRDefault="00D32C7A" w:rsidP="00DB7F92">
      <w:pPr>
        <w:pStyle w:val="Heading2"/>
        <w:rPr>
          <w:rFonts w:eastAsiaTheme="majorEastAsia"/>
        </w:rPr>
      </w:pPr>
      <w:bookmarkStart w:id="93" w:name="_Toc498495317"/>
      <w:r w:rsidRPr="00DB7F92">
        <w:rPr>
          <w:rFonts w:eastAsiaTheme="majorEastAsia"/>
        </w:rPr>
        <w:t xml:space="preserve">Equality </w:t>
      </w:r>
      <w:r>
        <w:rPr>
          <w:rFonts w:eastAsiaTheme="majorEastAsia"/>
        </w:rPr>
        <w:t>a</w:t>
      </w:r>
      <w:r w:rsidRPr="00DB7F92">
        <w:rPr>
          <w:rFonts w:eastAsiaTheme="majorEastAsia"/>
        </w:rPr>
        <w:t xml:space="preserve">nd Health Inequalities </w:t>
      </w:r>
      <w:r w:rsidRPr="00DB7F92">
        <w:rPr>
          <w:rFonts w:eastAsiaTheme="majorEastAsia"/>
          <w:spacing w:val="-2"/>
        </w:rPr>
        <w:t xml:space="preserve"> </w:t>
      </w:r>
      <w:r w:rsidRPr="00DB7F92">
        <w:rPr>
          <w:rFonts w:eastAsiaTheme="majorEastAsia"/>
        </w:rPr>
        <w:t>Duties</w:t>
      </w:r>
      <w:bookmarkEnd w:id="93"/>
    </w:p>
    <w:p w14:paraId="2DC844EF" w14:textId="77777777" w:rsidR="00DB7F92" w:rsidRPr="00DB7F92" w:rsidRDefault="00DB7F92" w:rsidP="003331F2">
      <w:pPr>
        <w:pStyle w:val="BodyText"/>
        <w:rPr>
          <w:rFonts w:eastAsiaTheme="majorEastAsia"/>
        </w:rPr>
      </w:pPr>
    </w:p>
    <w:p w14:paraId="770953CC" w14:textId="77777777" w:rsidR="00DB7F92" w:rsidRPr="00DB7F92" w:rsidRDefault="00DB7F92" w:rsidP="00DD5D2D">
      <w:pPr>
        <w:pStyle w:val="Heading3"/>
        <w:jc w:val="both"/>
        <w:rPr>
          <w:lang w:eastAsia="en-GB"/>
        </w:rPr>
      </w:pPr>
      <w:r w:rsidRPr="00DB7F92">
        <w:rPr>
          <w:lang w:eastAsia="en-GB"/>
        </w:rPr>
        <w:t xml:space="preserve">This section considers equality and health inequality duties. First, the duties under the Equality Act 2010 are considered followed by the other health inequality-related duties. </w:t>
      </w:r>
    </w:p>
    <w:p w14:paraId="3BE0A42F" w14:textId="77777777" w:rsidR="00DB7F92" w:rsidRPr="00DB7F92" w:rsidRDefault="00DB7F92" w:rsidP="00DB7F92">
      <w:pPr>
        <w:widowControl w:val="0"/>
        <w:tabs>
          <w:tab w:val="left" w:pos="1559"/>
        </w:tabs>
        <w:spacing w:after="120"/>
        <w:ind w:left="1558" w:right="115"/>
        <w:jc w:val="both"/>
        <w:rPr>
          <w:rFonts w:cs="Arial"/>
          <w:bCs w:val="0"/>
          <w:sz w:val="20"/>
          <w:szCs w:val="20"/>
          <w:lang w:eastAsia="en-GB"/>
        </w:rPr>
      </w:pPr>
    </w:p>
    <w:p w14:paraId="34076848" w14:textId="77777777" w:rsidR="00DB7F92" w:rsidRPr="00023576" w:rsidRDefault="00DB7F92" w:rsidP="005A7DDA">
      <w:pPr>
        <w:widowControl w:val="0"/>
        <w:numPr>
          <w:ilvl w:val="0"/>
          <w:numId w:val="59"/>
        </w:numPr>
        <w:tabs>
          <w:tab w:val="left" w:pos="839"/>
        </w:tabs>
        <w:jc w:val="both"/>
        <w:outlineLvl w:val="3"/>
        <w:rPr>
          <w:rFonts w:eastAsiaTheme="majorEastAsia" w:cs="Arial"/>
          <w:b/>
          <w:bCs w:val="0"/>
          <w:i/>
          <w:iCs/>
          <w:color w:val="003087" w:themeColor="accent1"/>
          <w:spacing w:val="-1"/>
          <w:sz w:val="28"/>
          <w:szCs w:val="28"/>
        </w:rPr>
      </w:pPr>
      <w:r w:rsidRPr="00023576">
        <w:rPr>
          <w:rFonts w:eastAsiaTheme="majorEastAsia" w:cs="Arial"/>
          <w:b/>
          <w:bCs w:val="0"/>
          <w:i/>
          <w:iCs/>
          <w:color w:val="003087" w:themeColor="accent1"/>
          <w:spacing w:val="-1"/>
          <w:sz w:val="28"/>
          <w:szCs w:val="28"/>
        </w:rPr>
        <w:t>EQUALITY ACT 2010</w:t>
      </w:r>
    </w:p>
    <w:p w14:paraId="1B385764" w14:textId="77777777" w:rsidR="00DB7F92" w:rsidRPr="00DB7F92" w:rsidRDefault="00DB7F92" w:rsidP="00DB7F92">
      <w:pPr>
        <w:widowControl w:val="0"/>
        <w:tabs>
          <w:tab w:val="left" w:pos="1559"/>
        </w:tabs>
        <w:spacing w:after="120"/>
        <w:ind w:right="115"/>
        <w:jc w:val="both"/>
        <w:rPr>
          <w:rFonts w:cs="Arial"/>
          <w:bCs w:val="0"/>
          <w:sz w:val="20"/>
          <w:szCs w:val="20"/>
          <w:lang w:eastAsia="en-GB"/>
        </w:rPr>
      </w:pPr>
    </w:p>
    <w:p w14:paraId="5B7D6ADF" w14:textId="77777777" w:rsidR="00DB7F92" w:rsidRPr="00DB7F92" w:rsidRDefault="00DB7F92" w:rsidP="00DD5D2D">
      <w:pPr>
        <w:pStyle w:val="Heading3"/>
        <w:jc w:val="both"/>
        <w:rPr>
          <w:lang w:eastAsia="en-GB"/>
        </w:rPr>
      </w:pPr>
      <w:r w:rsidRPr="00DB7F92">
        <w:rPr>
          <w:lang w:eastAsia="en-GB"/>
        </w:rPr>
        <w:t>Commissioners have both general and specific equality related duties under the Equality Act 2010. The general duty can be found in section 149 of the Equality Act.  It is known as the public sector equality duty or the PSED.  The specific duties are imposed on commissioners by secondary legislation, namely the Equality Act 2010 (Specific Duties and Public Authorities) Regulations 2017</w:t>
      </w:r>
      <w:r w:rsidRPr="00DB7F92">
        <w:rPr>
          <w:iCs/>
          <w:lang w:eastAsia="en-GB"/>
        </w:rPr>
        <w:t xml:space="preserve">.  Further details on both the PSED and the 2017 Regulations are provided in the sections below.  </w:t>
      </w:r>
    </w:p>
    <w:p w14:paraId="7579DB27" w14:textId="77777777" w:rsidR="00DB7F92" w:rsidRPr="00DB7F92" w:rsidRDefault="00DB7F92" w:rsidP="00DB7F92">
      <w:pPr>
        <w:widowControl w:val="0"/>
        <w:tabs>
          <w:tab w:val="left" w:pos="1559"/>
        </w:tabs>
        <w:spacing w:after="120"/>
        <w:ind w:left="1558" w:right="115"/>
        <w:jc w:val="both"/>
        <w:rPr>
          <w:rFonts w:cs="Arial"/>
          <w:bCs w:val="0"/>
          <w:sz w:val="20"/>
          <w:szCs w:val="20"/>
          <w:lang w:eastAsia="en-GB"/>
        </w:rPr>
      </w:pPr>
    </w:p>
    <w:p w14:paraId="5ED967D1" w14:textId="77777777" w:rsidR="00DB7F92" w:rsidRPr="00DB7F92" w:rsidRDefault="00DB7F92" w:rsidP="00DD5D2D">
      <w:pPr>
        <w:pStyle w:val="Heading3"/>
        <w:jc w:val="both"/>
        <w:rPr>
          <w:lang w:eastAsia="en-GB"/>
        </w:rPr>
      </w:pPr>
      <w:r w:rsidRPr="00DB7F92">
        <w:rPr>
          <w:lang w:eastAsia="en-GB"/>
        </w:rPr>
        <w:t xml:space="preserve">The duty to have regard to the PSED will arise when commissioners are exercising their functions. A commissioner will be open to legal challenge if they commissioner are unable to demonstrate how it had regard to the PSED when publishing guidance or policies, or making decisions. A failure to comply with the prescribed duties outlined in the 2017 Regulations will also be unlawful. </w:t>
      </w:r>
    </w:p>
    <w:p w14:paraId="5570B87B" w14:textId="77777777" w:rsidR="00DB7F92" w:rsidRPr="00DB7F92" w:rsidRDefault="00DB7F92" w:rsidP="00DB7F92">
      <w:pPr>
        <w:widowControl w:val="0"/>
        <w:tabs>
          <w:tab w:val="left" w:pos="1559"/>
        </w:tabs>
        <w:spacing w:after="120"/>
        <w:ind w:left="838" w:right="115"/>
        <w:jc w:val="both"/>
        <w:rPr>
          <w:bCs w:val="0"/>
          <w:sz w:val="20"/>
          <w:szCs w:val="20"/>
          <w:lang w:eastAsia="en-GB"/>
        </w:rPr>
      </w:pPr>
    </w:p>
    <w:p w14:paraId="606234AD" w14:textId="77777777" w:rsidR="00DB7F92" w:rsidRPr="00884224" w:rsidRDefault="00DB7F92" w:rsidP="00884224">
      <w:pPr>
        <w:keepNext/>
        <w:keepLines/>
        <w:spacing w:before="199"/>
        <w:ind w:left="838"/>
        <w:jc w:val="both"/>
        <w:outlineLvl w:val="6"/>
        <w:rPr>
          <w:rFonts w:eastAsiaTheme="majorEastAsia" w:cs="Arial"/>
          <w:i/>
          <w:iCs/>
          <w:color w:val="404040" w:themeColor="text1" w:themeTint="BF"/>
          <w:spacing w:val="-1"/>
          <w:sz w:val="28"/>
          <w:szCs w:val="28"/>
        </w:rPr>
      </w:pPr>
      <w:r w:rsidRPr="00884224">
        <w:rPr>
          <w:rFonts w:eastAsiaTheme="majorEastAsia" w:cs="Arial"/>
          <w:i/>
          <w:iCs/>
          <w:color w:val="404040" w:themeColor="text1" w:themeTint="BF"/>
          <w:spacing w:val="-1"/>
          <w:sz w:val="28"/>
          <w:szCs w:val="28"/>
        </w:rPr>
        <w:t>The</w:t>
      </w:r>
      <w:r w:rsidRPr="00884224">
        <w:rPr>
          <w:rFonts w:eastAsiaTheme="majorEastAsia" w:cs="Arial"/>
          <w:i/>
          <w:iCs/>
          <w:color w:val="404040" w:themeColor="text1" w:themeTint="BF"/>
          <w:spacing w:val="-12"/>
          <w:sz w:val="28"/>
          <w:szCs w:val="28"/>
        </w:rPr>
        <w:t xml:space="preserve"> </w:t>
      </w:r>
      <w:r w:rsidRPr="00884224">
        <w:rPr>
          <w:rFonts w:eastAsiaTheme="majorEastAsia" w:cs="Arial"/>
          <w:i/>
          <w:iCs/>
          <w:color w:val="404040" w:themeColor="text1" w:themeTint="BF"/>
          <w:spacing w:val="-1"/>
          <w:sz w:val="28"/>
          <w:szCs w:val="28"/>
        </w:rPr>
        <w:t>protected</w:t>
      </w:r>
      <w:r w:rsidRPr="00884224">
        <w:rPr>
          <w:rFonts w:eastAsiaTheme="majorEastAsia" w:cs="Arial"/>
          <w:i/>
          <w:iCs/>
          <w:color w:val="404040" w:themeColor="text1" w:themeTint="BF"/>
          <w:spacing w:val="-12"/>
          <w:sz w:val="28"/>
          <w:szCs w:val="28"/>
        </w:rPr>
        <w:t xml:space="preserve"> </w:t>
      </w:r>
      <w:r w:rsidRPr="00884224">
        <w:rPr>
          <w:rFonts w:eastAsiaTheme="majorEastAsia" w:cs="Arial"/>
          <w:i/>
          <w:iCs/>
          <w:color w:val="404040" w:themeColor="text1" w:themeTint="BF"/>
          <w:spacing w:val="-1"/>
          <w:sz w:val="28"/>
          <w:szCs w:val="28"/>
        </w:rPr>
        <w:t>characteristics</w:t>
      </w:r>
    </w:p>
    <w:p w14:paraId="328BC390" w14:textId="77777777" w:rsidR="00DB7F92" w:rsidRPr="00DB7F92" w:rsidRDefault="00DB7F92" w:rsidP="00DB7F92">
      <w:pPr>
        <w:spacing w:before="9"/>
        <w:jc w:val="both"/>
        <w:rPr>
          <w:rFonts w:eastAsia="Tw Cen MT Condensed Extra Bold" w:cs="Arial"/>
          <w:b/>
          <w:bCs w:val="0"/>
          <w:sz w:val="20"/>
          <w:szCs w:val="20"/>
        </w:rPr>
      </w:pPr>
    </w:p>
    <w:p w14:paraId="36DA48AD" w14:textId="77777777" w:rsidR="00DB7F92" w:rsidRPr="00DB7F92" w:rsidRDefault="00DB7F92" w:rsidP="00DD5D2D">
      <w:pPr>
        <w:pStyle w:val="Heading3"/>
        <w:jc w:val="both"/>
        <w:rPr>
          <w:lang w:eastAsia="en-GB"/>
        </w:rPr>
      </w:pPr>
      <w:r w:rsidRPr="00DB7F92">
        <w:rPr>
          <w:lang w:eastAsia="en-GB"/>
        </w:rPr>
        <w:t>The</w:t>
      </w:r>
      <w:r w:rsidRPr="00DB7F92">
        <w:rPr>
          <w:spacing w:val="6"/>
          <w:lang w:eastAsia="en-GB"/>
        </w:rPr>
        <w:t xml:space="preserve"> </w:t>
      </w:r>
      <w:r w:rsidRPr="00DB7F92">
        <w:rPr>
          <w:lang w:eastAsia="en-GB"/>
        </w:rPr>
        <w:t>Equality</w:t>
      </w:r>
      <w:r w:rsidRPr="00DB7F92">
        <w:rPr>
          <w:spacing w:val="7"/>
          <w:lang w:eastAsia="en-GB"/>
        </w:rPr>
        <w:t xml:space="preserve"> </w:t>
      </w:r>
      <w:r w:rsidRPr="00DB7F92">
        <w:rPr>
          <w:lang w:eastAsia="en-GB"/>
        </w:rPr>
        <w:t>Act</w:t>
      </w:r>
      <w:r w:rsidRPr="00DB7F92">
        <w:rPr>
          <w:spacing w:val="8"/>
          <w:lang w:eastAsia="en-GB"/>
        </w:rPr>
        <w:t xml:space="preserve"> </w:t>
      </w:r>
      <w:r w:rsidRPr="00DB7F92">
        <w:rPr>
          <w:lang w:eastAsia="en-GB"/>
        </w:rPr>
        <w:t>2010</w:t>
      </w:r>
      <w:r w:rsidRPr="00DB7F92">
        <w:rPr>
          <w:spacing w:val="7"/>
          <w:lang w:eastAsia="en-GB"/>
        </w:rPr>
        <w:t xml:space="preserve"> </w:t>
      </w:r>
      <w:r w:rsidRPr="00DB7F92">
        <w:rPr>
          <w:lang w:eastAsia="en-GB"/>
        </w:rPr>
        <w:t>prohibits</w:t>
      </w:r>
      <w:r w:rsidRPr="00DB7F92">
        <w:rPr>
          <w:spacing w:val="8"/>
          <w:lang w:eastAsia="en-GB"/>
        </w:rPr>
        <w:t xml:space="preserve"> </w:t>
      </w:r>
      <w:r w:rsidRPr="00DB7F92">
        <w:rPr>
          <w:lang w:eastAsia="en-GB"/>
        </w:rPr>
        <w:t>unlawful</w:t>
      </w:r>
      <w:r w:rsidRPr="00DB7F92">
        <w:rPr>
          <w:spacing w:val="6"/>
          <w:lang w:eastAsia="en-GB"/>
        </w:rPr>
        <w:t xml:space="preserve"> </w:t>
      </w:r>
      <w:r w:rsidRPr="00DB7F92">
        <w:rPr>
          <w:lang w:eastAsia="en-GB"/>
        </w:rPr>
        <w:t>discrimination</w:t>
      </w:r>
      <w:r w:rsidRPr="00DB7F92">
        <w:rPr>
          <w:spacing w:val="6"/>
          <w:lang w:eastAsia="en-GB"/>
        </w:rPr>
        <w:t xml:space="preserve"> </w:t>
      </w:r>
      <w:r w:rsidRPr="00DB7F92">
        <w:rPr>
          <w:lang w:eastAsia="en-GB"/>
        </w:rPr>
        <w:t>in</w:t>
      </w:r>
      <w:r w:rsidRPr="00DB7F92">
        <w:rPr>
          <w:spacing w:val="7"/>
          <w:lang w:eastAsia="en-GB"/>
        </w:rPr>
        <w:t xml:space="preserve"> </w:t>
      </w:r>
      <w:r w:rsidRPr="00DB7F92">
        <w:rPr>
          <w:lang w:eastAsia="en-GB"/>
        </w:rPr>
        <w:t>the</w:t>
      </w:r>
      <w:r w:rsidRPr="00DB7F92">
        <w:rPr>
          <w:spacing w:val="6"/>
          <w:lang w:eastAsia="en-GB"/>
        </w:rPr>
        <w:t xml:space="preserve"> </w:t>
      </w:r>
      <w:r w:rsidRPr="00DB7F92">
        <w:rPr>
          <w:lang w:eastAsia="en-GB"/>
        </w:rPr>
        <w:t>provision</w:t>
      </w:r>
      <w:r w:rsidRPr="00DB7F92">
        <w:rPr>
          <w:spacing w:val="7"/>
          <w:lang w:eastAsia="en-GB"/>
        </w:rPr>
        <w:t xml:space="preserve"> </w:t>
      </w:r>
      <w:r w:rsidRPr="00DB7F92">
        <w:rPr>
          <w:lang w:eastAsia="en-GB"/>
        </w:rPr>
        <w:t>of</w:t>
      </w:r>
      <w:r w:rsidRPr="00DB7F92">
        <w:rPr>
          <w:spacing w:val="61"/>
          <w:lang w:eastAsia="en-GB"/>
        </w:rPr>
        <w:t xml:space="preserve"> </w:t>
      </w:r>
      <w:r w:rsidRPr="00DB7F92">
        <w:rPr>
          <w:lang w:eastAsia="en-GB"/>
        </w:rPr>
        <w:t>services</w:t>
      </w:r>
      <w:r w:rsidRPr="00DB7F92">
        <w:rPr>
          <w:spacing w:val="41"/>
          <w:lang w:eastAsia="en-GB"/>
        </w:rPr>
        <w:t xml:space="preserve"> </w:t>
      </w:r>
      <w:r w:rsidRPr="00DB7F92">
        <w:rPr>
          <w:lang w:eastAsia="en-GB"/>
        </w:rPr>
        <w:t>(including</w:t>
      </w:r>
      <w:r w:rsidRPr="00DB7F92">
        <w:rPr>
          <w:spacing w:val="40"/>
          <w:lang w:eastAsia="en-GB"/>
        </w:rPr>
        <w:t xml:space="preserve"> </w:t>
      </w:r>
      <w:r w:rsidRPr="00DB7F92">
        <w:rPr>
          <w:lang w:eastAsia="en-GB"/>
        </w:rPr>
        <w:t>healthcare</w:t>
      </w:r>
      <w:r w:rsidRPr="00DB7F92">
        <w:rPr>
          <w:spacing w:val="40"/>
          <w:lang w:eastAsia="en-GB"/>
        </w:rPr>
        <w:t xml:space="preserve"> </w:t>
      </w:r>
      <w:r w:rsidRPr="00DB7F92">
        <w:rPr>
          <w:lang w:eastAsia="en-GB"/>
        </w:rPr>
        <w:t>services)</w:t>
      </w:r>
      <w:r w:rsidRPr="00DB7F92">
        <w:rPr>
          <w:spacing w:val="40"/>
          <w:lang w:eastAsia="en-GB"/>
        </w:rPr>
        <w:t xml:space="preserve"> </w:t>
      </w:r>
      <w:r w:rsidRPr="00DB7F92">
        <w:rPr>
          <w:lang w:eastAsia="en-GB"/>
        </w:rPr>
        <w:t>on</w:t>
      </w:r>
      <w:r w:rsidRPr="00DB7F92">
        <w:rPr>
          <w:spacing w:val="43"/>
          <w:lang w:eastAsia="en-GB"/>
        </w:rPr>
        <w:t xml:space="preserve"> </w:t>
      </w:r>
      <w:r w:rsidRPr="00DB7F92">
        <w:rPr>
          <w:lang w:eastAsia="en-GB"/>
        </w:rPr>
        <w:t>the</w:t>
      </w:r>
      <w:r w:rsidRPr="00DB7F92">
        <w:rPr>
          <w:spacing w:val="40"/>
          <w:lang w:eastAsia="en-GB"/>
        </w:rPr>
        <w:t xml:space="preserve"> </w:t>
      </w:r>
      <w:r w:rsidRPr="00DB7F92">
        <w:rPr>
          <w:lang w:eastAsia="en-GB"/>
        </w:rPr>
        <w:t>basis</w:t>
      </w:r>
      <w:r w:rsidRPr="00DB7F92">
        <w:rPr>
          <w:spacing w:val="42"/>
          <w:lang w:eastAsia="en-GB"/>
        </w:rPr>
        <w:t xml:space="preserve"> </w:t>
      </w:r>
      <w:r w:rsidRPr="00DB7F92">
        <w:rPr>
          <w:lang w:eastAsia="en-GB"/>
        </w:rPr>
        <w:t>of</w:t>
      </w:r>
      <w:r w:rsidRPr="00DB7F92">
        <w:rPr>
          <w:spacing w:val="39"/>
          <w:lang w:eastAsia="en-GB"/>
        </w:rPr>
        <w:t xml:space="preserve"> </w:t>
      </w:r>
      <w:r w:rsidRPr="00DB7F92">
        <w:rPr>
          <w:lang w:eastAsia="en-GB"/>
        </w:rPr>
        <w:t>"protected</w:t>
      </w:r>
      <w:r w:rsidRPr="00DB7F92">
        <w:rPr>
          <w:spacing w:val="75"/>
          <w:lang w:eastAsia="en-GB"/>
        </w:rPr>
        <w:t xml:space="preserve"> </w:t>
      </w:r>
      <w:r w:rsidRPr="00DB7F92">
        <w:rPr>
          <w:lang w:eastAsia="en-GB"/>
        </w:rPr>
        <w:t>characteristics".</w:t>
      </w:r>
      <w:r w:rsidRPr="00DB7F92">
        <w:rPr>
          <w:spacing w:val="29"/>
          <w:lang w:eastAsia="en-GB"/>
        </w:rPr>
        <w:t xml:space="preserve"> </w:t>
      </w:r>
      <w:r w:rsidRPr="00DB7F92">
        <w:rPr>
          <w:lang w:eastAsia="en-GB"/>
        </w:rPr>
        <w:t>The</w:t>
      </w:r>
      <w:r w:rsidRPr="00DB7F92">
        <w:rPr>
          <w:spacing w:val="-7"/>
          <w:lang w:eastAsia="en-GB"/>
        </w:rPr>
        <w:t xml:space="preserve"> </w:t>
      </w:r>
      <w:r w:rsidRPr="00DB7F92">
        <w:rPr>
          <w:lang w:eastAsia="en-GB"/>
        </w:rPr>
        <w:t>protected</w:t>
      </w:r>
      <w:r w:rsidRPr="00DB7F92">
        <w:rPr>
          <w:spacing w:val="-7"/>
          <w:lang w:eastAsia="en-GB"/>
        </w:rPr>
        <w:t xml:space="preserve"> </w:t>
      </w:r>
      <w:r w:rsidRPr="00DB7F92">
        <w:rPr>
          <w:lang w:eastAsia="en-GB"/>
        </w:rPr>
        <w:t>characteristics</w:t>
      </w:r>
      <w:r w:rsidRPr="00DB7F92">
        <w:rPr>
          <w:spacing w:val="-6"/>
          <w:lang w:eastAsia="en-GB"/>
        </w:rPr>
        <w:t xml:space="preserve"> </w:t>
      </w:r>
      <w:r w:rsidRPr="00DB7F92">
        <w:rPr>
          <w:lang w:eastAsia="en-GB"/>
        </w:rPr>
        <w:t>are:</w:t>
      </w:r>
    </w:p>
    <w:p w14:paraId="6F22D4C2" w14:textId="77777777" w:rsidR="00DB7F92" w:rsidRPr="00DB7F92" w:rsidRDefault="00DB7F92" w:rsidP="00DB7F92">
      <w:pPr>
        <w:spacing w:before="13"/>
        <w:jc w:val="both"/>
        <w:rPr>
          <w:rFonts w:eastAsia="Segoe UI Semilight" w:cs="Arial"/>
          <w:sz w:val="20"/>
          <w:szCs w:val="20"/>
        </w:rPr>
      </w:pPr>
    </w:p>
    <w:p w14:paraId="2649145C" w14:textId="77777777" w:rsidR="00DB7F92" w:rsidRPr="00884224" w:rsidRDefault="00DB7F92" w:rsidP="005A7DDA">
      <w:pPr>
        <w:pStyle w:val="ListParagraph"/>
        <w:widowControl w:val="0"/>
        <w:numPr>
          <w:ilvl w:val="0"/>
          <w:numId w:val="89"/>
        </w:numPr>
        <w:tabs>
          <w:tab w:val="left" w:pos="2528"/>
        </w:tabs>
        <w:spacing w:before="120" w:after="120" w:line="360" w:lineRule="auto"/>
        <w:ind w:left="714" w:hanging="357"/>
        <w:jc w:val="both"/>
        <w:rPr>
          <w:rFonts w:cs="Arial"/>
          <w:bCs w:val="0"/>
          <w:szCs w:val="24"/>
          <w:lang w:eastAsia="en-GB"/>
        </w:rPr>
      </w:pPr>
      <w:r w:rsidRPr="00884224">
        <w:rPr>
          <w:rFonts w:cs="Arial"/>
          <w:bCs w:val="0"/>
          <w:spacing w:val="-1"/>
          <w:szCs w:val="24"/>
          <w:lang w:eastAsia="en-GB"/>
        </w:rPr>
        <w:t>age</w:t>
      </w:r>
    </w:p>
    <w:p w14:paraId="5C9EC6E4" w14:textId="77777777" w:rsidR="00DB7F92" w:rsidRPr="00884224" w:rsidRDefault="00DB7F92" w:rsidP="005A7DDA">
      <w:pPr>
        <w:pStyle w:val="ListParagraph"/>
        <w:widowControl w:val="0"/>
        <w:numPr>
          <w:ilvl w:val="0"/>
          <w:numId w:val="89"/>
        </w:numPr>
        <w:tabs>
          <w:tab w:val="left" w:pos="2528"/>
        </w:tabs>
        <w:spacing w:before="120" w:after="120" w:line="360" w:lineRule="auto"/>
        <w:ind w:left="714" w:hanging="357"/>
        <w:jc w:val="both"/>
        <w:rPr>
          <w:rFonts w:cs="Arial"/>
          <w:bCs w:val="0"/>
          <w:szCs w:val="24"/>
          <w:lang w:eastAsia="en-GB"/>
        </w:rPr>
      </w:pPr>
      <w:r w:rsidRPr="00884224">
        <w:rPr>
          <w:rFonts w:cs="Arial"/>
          <w:bCs w:val="0"/>
          <w:spacing w:val="-1"/>
          <w:szCs w:val="24"/>
          <w:lang w:eastAsia="en-GB"/>
        </w:rPr>
        <w:t>disability</w:t>
      </w:r>
    </w:p>
    <w:p w14:paraId="5240FEE1" w14:textId="77777777" w:rsidR="00DB7F92" w:rsidRPr="00884224" w:rsidRDefault="00DB7F92" w:rsidP="005A7DDA">
      <w:pPr>
        <w:pStyle w:val="ListParagraph"/>
        <w:widowControl w:val="0"/>
        <w:numPr>
          <w:ilvl w:val="0"/>
          <w:numId w:val="89"/>
        </w:numPr>
        <w:tabs>
          <w:tab w:val="left" w:pos="2528"/>
        </w:tabs>
        <w:spacing w:before="120" w:after="120" w:line="360" w:lineRule="auto"/>
        <w:ind w:left="714" w:hanging="357"/>
        <w:jc w:val="both"/>
        <w:rPr>
          <w:rFonts w:cs="Arial"/>
          <w:bCs w:val="0"/>
          <w:szCs w:val="24"/>
          <w:lang w:eastAsia="en-GB"/>
        </w:rPr>
      </w:pPr>
      <w:r w:rsidRPr="00884224">
        <w:rPr>
          <w:rFonts w:cs="Arial"/>
          <w:bCs w:val="0"/>
          <w:spacing w:val="-1"/>
          <w:szCs w:val="24"/>
          <w:lang w:eastAsia="en-GB"/>
        </w:rPr>
        <w:t>gender</w:t>
      </w:r>
      <w:r w:rsidRPr="00884224">
        <w:rPr>
          <w:rFonts w:cs="Arial"/>
          <w:bCs w:val="0"/>
          <w:spacing w:val="-10"/>
          <w:szCs w:val="24"/>
          <w:lang w:eastAsia="en-GB"/>
        </w:rPr>
        <w:t xml:space="preserve"> </w:t>
      </w:r>
      <w:r w:rsidRPr="00884224">
        <w:rPr>
          <w:rFonts w:cs="Arial"/>
          <w:bCs w:val="0"/>
          <w:spacing w:val="-1"/>
          <w:szCs w:val="24"/>
          <w:lang w:eastAsia="en-GB"/>
        </w:rPr>
        <w:t>reassignment</w:t>
      </w:r>
    </w:p>
    <w:p w14:paraId="227EE6B7" w14:textId="77777777" w:rsidR="00DB7F92" w:rsidRPr="00884224" w:rsidRDefault="00DB7F92" w:rsidP="005A7DDA">
      <w:pPr>
        <w:pStyle w:val="ListParagraph"/>
        <w:widowControl w:val="0"/>
        <w:numPr>
          <w:ilvl w:val="0"/>
          <w:numId w:val="89"/>
        </w:numPr>
        <w:tabs>
          <w:tab w:val="left" w:pos="2528"/>
        </w:tabs>
        <w:spacing w:before="120" w:after="120" w:line="360" w:lineRule="auto"/>
        <w:ind w:left="714" w:hanging="357"/>
        <w:jc w:val="both"/>
        <w:rPr>
          <w:rFonts w:cs="Arial"/>
          <w:bCs w:val="0"/>
          <w:szCs w:val="24"/>
          <w:lang w:eastAsia="en-GB"/>
        </w:rPr>
      </w:pPr>
      <w:r w:rsidRPr="00884224">
        <w:rPr>
          <w:rFonts w:cs="Arial"/>
          <w:bCs w:val="0"/>
          <w:spacing w:val="-1"/>
          <w:szCs w:val="24"/>
          <w:lang w:eastAsia="en-GB"/>
        </w:rPr>
        <w:t>marriage</w:t>
      </w:r>
      <w:r w:rsidRPr="00884224">
        <w:rPr>
          <w:rFonts w:cs="Arial"/>
          <w:bCs w:val="0"/>
          <w:spacing w:val="-7"/>
          <w:szCs w:val="24"/>
          <w:lang w:eastAsia="en-GB"/>
        </w:rPr>
        <w:t xml:space="preserve"> </w:t>
      </w:r>
      <w:r w:rsidRPr="00884224">
        <w:rPr>
          <w:rFonts w:cs="Arial"/>
          <w:bCs w:val="0"/>
          <w:spacing w:val="-1"/>
          <w:szCs w:val="24"/>
          <w:lang w:eastAsia="en-GB"/>
        </w:rPr>
        <w:t>and</w:t>
      </w:r>
      <w:r w:rsidRPr="00884224">
        <w:rPr>
          <w:rFonts w:cs="Arial"/>
          <w:bCs w:val="0"/>
          <w:spacing w:val="-7"/>
          <w:szCs w:val="24"/>
          <w:lang w:eastAsia="en-GB"/>
        </w:rPr>
        <w:t xml:space="preserve"> </w:t>
      </w:r>
      <w:r w:rsidRPr="00884224">
        <w:rPr>
          <w:rFonts w:cs="Arial"/>
          <w:bCs w:val="0"/>
          <w:szCs w:val="24"/>
          <w:lang w:eastAsia="en-GB"/>
        </w:rPr>
        <w:t>civil</w:t>
      </w:r>
      <w:r w:rsidRPr="00884224">
        <w:rPr>
          <w:rFonts w:cs="Arial"/>
          <w:bCs w:val="0"/>
          <w:spacing w:val="-9"/>
          <w:szCs w:val="24"/>
          <w:lang w:eastAsia="en-GB"/>
        </w:rPr>
        <w:t xml:space="preserve"> </w:t>
      </w:r>
      <w:r w:rsidRPr="00884224">
        <w:rPr>
          <w:rFonts w:cs="Arial"/>
          <w:bCs w:val="0"/>
          <w:spacing w:val="-1"/>
          <w:szCs w:val="24"/>
          <w:lang w:eastAsia="en-GB"/>
        </w:rPr>
        <w:t>partnership</w:t>
      </w:r>
    </w:p>
    <w:p w14:paraId="7965C04F" w14:textId="77777777" w:rsidR="00DB7F92" w:rsidRPr="00884224" w:rsidRDefault="00DB7F92" w:rsidP="005A7DDA">
      <w:pPr>
        <w:pStyle w:val="ListParagraph"/>
        <w:widowControl w:val="0"/>
        <w:numPr>
          <w:ilvl w:val="0"/>
          <w:numId w:val="89"/>
        </w:numPr>
        <w:tabs>
          <w:tab w:val="left" w:pos="2528"/>
        </w:tabs>
        <w:spacing w:before="120" w:after="120" w:line="360" w:lineRule="auto"/>
        <w:ind w:left="714" w:hanging="357"/>
        <w:jc w:val="both"/>
        <w:rPr>
          <w:rFonts w:cs="Arial"/>
          <w:bCs w:val="0"/>
          <w:szCs w:val="24"/>
          <w:lang w:eastAsia="en-GB"/>
        </w:rPr>
      </w:pPr>
      <w:r w:rsidRPr="00884224">
        <w:rPr>
          <w:rFonts w:cs="Arial"/>
          <w:bCs w:val="0"/>
          <w:spacing w:val="-1"/>
          <w:szCs w:val="24"/>
          <w:lang w:eastAsia="en-GB"/>
        </w:rPr>
        <w:t>pregnancy</w:t>
      </w:r>
      <w:r w:rsidRPr="00884224">
        <w:rPr>
          <w:rFonts w:cs="Arial"/>
          <w:bCs w:val="0"/>
          <w:spacing w:val="-7"/>
          <w:szCs w:val="24"/>
          <w:lang w:eastAsia="en-GB"/>
        </w:rPr>
        <w:t xml:space="preserve"> </w:t>
      </w:r>
      <w:r w:rsidRPr="00884224">
        <w:rPr>
          <w:rFonts w:cs="Arial"/>
          <w:bCs w:val="0"/>
          <w:spacing w:val="-1"/>
          <w:szCs w:val="24"/>
          <w:lang w:eastAsia="en-GB"/>
        </w:rPr>
        <w:t>and</w:t>
      </w:r>
      <w:r w:rsidRPr="00884224">
        <w:rPr>
          <w:rFonts w:cs="Arial"/>
          <w:bCs w:val="0"/>
          <w:spacing w:val="-5"/>
          <w:szCs w:val="24"/>
          <w:lang w:eastAsia="en-GB"/>
        </w:rPr>
        <w:t xml:space="preserve"> </w:t>
      </w:r>
      <w:r w:rsidRPr="00884224">
        <w:rPr>
          <w:rFonts w:cs="Arial"/>
          <w:bCs w:val="0"/>
          <w:spacing w:val="-1"/>
          <w:szCs w:val="24"/>
          <w:lang w:eastAsia="en-GB"/>
        </w:rPr>
        <w:t>maternity</w:t>
      </w:r>
    </w:p>
    <w:p w14:paraId="4F8FA1FE" w14:textId="77777777" w:rsidR="00DB7F92" w:rsidRPr="00884224" w:rsidRDefault="00DB7F92" w:rsidP="005A7DDA">
      <w:pPr>
        <w:pStyle w:val="ListParagraph"/>
        <w:widowControl w:val="0"/>
        <w:numPr>
          <w:ilvl w:val="0"/>
          <w:numId w:val="89"/>
        </w:numPr>
        <w:tabs>
          <w:tab w:val="left" w:pos="2528"/>
        </w:tabs>
        <w:spacing w:before="120" w:after="120" w:line="360" w:lineRule="auto"/>
        <w:ind w:left="714" w:hanging="357"/>
        <w:jc w:val="both"/>
        <w:rPr>
          <w:rFonts w:cs="Arial"/>
          <w:bCs w:val="0"/>
          <w:szCs w:val="24"/>
          <w:lang w:eastAsia="en-GB"/>
        </w:rPr>
      </w:pPr>
      <w:r w:rsidRPr="00884224">
        <w:rPr>
          <w:rFonts w:cs="Arial"/>
          <w:bCs w:val="0"/>
          <w:spacing w:val="-1"/>
          <w:szCs w:val="24"/>
          <w:lang w:eastAsia="en-GB"/>
        </w:rPr>
        <w:t>race</w:t>
      </w:r>
    </w:p>
    <w:p w14:paraId="54465A86" w14:textId="77777777" w:rsidR="00DB7F92" w:rsidRPr="00884224" w:rsidRDefault="00DB7F92" w:rsidP="005A7DDA">
      <w:pPr>
        <w:pStyle w:val="ListParagraph"/>
        <w:widowControl w:val="0"/>
        <w:numPr>
          <w:ilvl w:val="0"/>
          <w:numId w:val="89"/>
        </w:numPr>
        <w:tabs>
          <w:tab w:val="left" w:pos="2528"/>
        </w:tabs>
        <w:spacing w:before="120" w:after="120" w:line="360" w:lineRule="auto"/>
        <w:ind w:left="714" w:hanging="357"/>
        <w:jc w:val="both"/>
        <w:rPr>
          <w:rFonts w:cs="Arial"/>
          <w:bCs w:val="0"/>
          <w:szCs w:val="24"/>
          <w:lang w:eastAsia="en-GB"/>
        </w:rPr>
      </w:pPr>
      <w:r w:rsidRPr="00884224">
        <w:rPr>
          <w:rFonts w:cs="Arial"/>
          <w:bCs w:val="0"/>
          <w:spacing w:val="-1"/>
          <w:szCs w:val="24"/>
          <w:lang w:eastAsia="en-GB"/>
        </w:rPr>
        <w:t>religion</w:t>
      </w:r>
      <w:r w:rsidRPr="00884224">
        <w:rPr>
          <w:rFonts w:cs="Arial"/>
          <w:bCs w:val="0"/>
          <w:spacing w:val="-4"/>
          <w:szCs w:val="24"/>
          <w:lang w:eastAsia="en-GB"/>
        </w:rPr>
        <w:t xml:space="preserve"> </w:t>
      </w:r>
      <w:r w:rsidRPr="00884224">
        <w:rPr>
          <w:rFonts w:cs="Arial"/>
          <w:bCs w:val="0"/>
          <w:spacing w:val="-1"/>
          <w:szCs w:val="24"/>
          <w:lang w:eastAsia="en-GB"/>
        </w:rPr>
        <w:t>or</w:t>
      </w:r>
      <w:r w:rsidRPr="00884224">
        <w:rPr>
          <w:rFonts w:cs="Arial"/>
          <w:bCs w:val="0"/>
          <w:spacing w:val="-4"/>
          <w:szCs w:val="24"/>
          <w:lang w:eastAsia="en-GB"/>
        </w:rPr>
        <w:t xml:space="preserve"> </w:t>
      </w:r>
      <w:r w:rsidRPr="00884224">
        <w:rPr>
          <w:rFonts w:cs="Arial"/>
          <w:bCs w:val="0"/>
          <w:spacing w:val="-1"/>
          <w:szCs w:val="24"/>
          <w:lang w:eastAsia="en-GB"/>
        </w:rPr>
        <w:t>belief</w:t>
      </w:r>
      <w:r w:rsidRPr="00884224">
        <w:rPr>
          <w:rFonts w:cs="Arial"/>
          <w:bCs w:val="0"/>
          <w:spacing w:val="-4"/>
          <w:szCs w:val="24"/>
          <w:lang w:eastAsia="en-GB"/>
        </w:rPr>
        <w:t xml:space="preserve"> </w:t>
      </w:r>
      <w:r w:rsidRPr="00884224">
        <w:rPr>
          <w:rFonts w:cs="Arial"/>
          <w:bCs w:val="0"/>
          <w:spacing w:val="-1"/>
          <w:szCs w:val="24"/>
          <w:lang w:eastAsia="en-GB"/>
        </w:rPr>
        <w:t>(which</w:t>
      </w:r>
      <w:r w:rsidRPr="00884224">
        <w:rPr>
          <w:rFonts w:cs="Arial"/>
          <w:bCs w:val="0"/>
          <w:spacing w:val="-3"/>
          <w:szCs w:val="24"/>
          <w:lang w:eastAsia="en-GB"/>
        </w:rPr>
        <w:t xml:space="preserve"> </w:t>
      </w:r>
      <w:r w:rsidRPr="00884224">
        <w:rPr>
          <w:rFonts w:cs="Arial"/>
          <w:bCs w:val="0"/>
          <w:spacing w:val="-1"/>
          <w:szCs w:val="24"/>
          <w:lang w:eastAsia="en-GB"/>
        </w:rPr>
        <w:t>can</w:t>
      </w:r>
      <w:r w:rsidRPr="00884224">
        <w:rPr>
          <w:rFonts w:cs="Arial"/>
          <w:bCs w:val="0"/>
          <w:spacing w:val="-4"/>
          <w:szCs w:val="24"/>
          <w:lang w:eastAsia="en-GB"/>
        </w:rPr>
        <w:t xml:space="preserve"> </w:t>
      </w:r>
      <w:r w:rsidRPr="00884224">
        <w:rPr>
          <w:rFonts w:cs="Arial"/>
          <w:bCs w:val="0"/>
          <w:spacing w:val="-1"/>
          <w:szCs w:val="24"/>
          <w:lang w:eastAsia="en-GB"/>
        </w:rPr>
        <w:t>include</w:t>
      </w:r>
      <w:r w:rsidRPr="00884224">
        <w:rPr>
          <w:rFonts w:cs="Arial"/>
          <w:bCs w:val="0"/>
          <w:spacing w:val="-4"/>
          <w:szCs w:val="24"/>
          <w:lang w:eastAsia="en-GB"/>
        </w:rPr>
        <w:t xml:space="preserve"> </w:t>
      </w:r>
      <w:r w:rsidRPr="00884224">
        <w:rPr>
          <w:rFonts w:cs="Arial"/>
          <w:bCs w:val="0"/>
          <w:spacing w:val="-1"/>
          <w:szCs w:val="24"/>
          <w:lang w:eastAsia="en-GB"/>
        </w:rPr>
        <w:t>an</w:t>
      </w:r>
      <w:r w:rsidRPr="00884224">
        <w:rPr>
          <w:rFonts w:cs="Arial"/>
          <w:bCs w:val="0"/>
          <w:spacing w:val="-7"/>
          <w:szCs w:val="24"/>
          <w:lang w:eastAsia="en-GB"/>
        </w:rPr>
        <w:t xml:space="preserve"> </w:t>
      </w:r>
      <w:r w:rsidRPr="00884224">
        <w:rPr>
          <w:rFonts w:cs="Arial"/>
          <w:bCs w:val="0"/>
          <w:szCs w:val="24"/>
          <w:lang w:eastAsia="en-GB"/>
        </w:rPr>
        <w:t>absence</w:t>
      </w:r>
      <w:r w:rsidRPr="00884224">
        <w:rPr>
          <w:rFonts w:cs="Arial"/>
          <w:bCs w:val="0"/>
          <w:spacing w:val="-6"/>
          <w:szCs w:val="24"/>
          <w:lang w:eastAsia="en-GB"/>
        </w:rPr>
        <w:t xml:space="preserve"> </w:t>
      </w:r>
      <w:r w:rsidRPr="00884224">
        <w:rPr>
          <w:rFonts w:cs="Arial"/>
          <w:bCs w:val="0"/>
          <w:szCs w:val="24"/>
          <w:lang w:eastAsia="en-GB"/>
        </w:rPr>
        <w:t>of</w:t>
      </w:r>
      <w:r w:rsidRPr="00884224">
        <w:rPr>
          <w:rFonts w:cs="Arial"/>
          <w:bCs w:val="0"/>
          <w:spacing w:val="-7"/>
          <w:szCs w:val="24"/>
          <w:lang w:eastAsia="en-GB"/>
        </w:rPr>
        <w:t xml:space="preserve"> </w:t>
      </w:r>
      <w:r w:rsidRPr="00884224">
        <w:rPr>
          <w:rFonts w:cs="Arial"/>
          <w:bCs w:val="0"/>
          <w:spacing w:val="-1"/>
          <w:szCs w:val="24"/>
          <w:lang w:eastAsia="en-GB"/>
        </w:rPr>
        <w:t>belief)</w:t>
      </w:r>
    </w:p>
    <w:p w14:paraId="2A0BAAEF" w14:textId="77777777" w:rsidR="00DB7F92" w:rsidRPr="00884224" w:rsidRDefault="00DB7F92" w:rsidP="005A7DDA">
      <w:pPr>
        <w:pStyle w:val="ListParagraph"/>
        <w:widowControl w:val="0"/>
        <w:numPr>
          <w:ilvl w:val="0"/>
          <w:numId w:val="89"/>
        </w:numPr>
        <w:tabs>
          <w:tab w:val="left" w:pos="2528"/>
        </w:tabs>
        <w:spacing w:before="120" w:after="120" w:line="360" w:lineRule="auto"/>
        <w:ind w:left="714" w:hanging="357"/>
        <w:jc w:val="both"/>
        <w:rPr>
          <w:rFonts w:cs="Arial"/>
          <w:bCs w:val="0"/>
          <w:szCs w:val="24"/>
          <w:lang w:eastAsia="en-GB"/>
        </w:rPr>
      </w:pPr>
      <w:r w:rsidRPr="00884224">
        <w:rPr>
          <w:rFonts w:cs="Arial"/>
          <w:bCs w:val="0"/>
          <w:szCs w:val="24"/>
          <w:lang w:eastAsia="en-GB"/>
        </w:rPr>
        <w:t>sex</w:t>
      </w:r>
    </w:p>
    <w:p w14:paraId="1CA96E04" w14:textId="77777777" w:rsidR="00DB7F92" w:rsidRPr="00884224" w:rsidRDefault="00DB7F92" w:rsidP="005A7DDA">
      <w:pPr>
        <w:pStyle w:val="ListParagraph"/>
        <w:widowControl w:val="0"/>
        <w:numPr>
          <w:ilvl w:val="0"/>
          <w:numId w:val="89"/>
        </w:numPr>
        <w:tabs>
          <w:tab w:val="left" w:pos="2528"/>
        </w:tabs>
        <w:spacing w:before="120" w:after="120" w:line="360" w:lineRule="auto"/>
        <w:ind w:left="714" w:hanging="357"/>
        <w:jc w:val="both"/>
        <w:rPr>
          <w:rFonts w:cs="Arial"/>
          <w:bCs w:val="0"/>
          <w:szCs w:val="24"/>
          <w:lang w:eastAsia="en-GB"/>
        </w:rPr>
      </w:pPr>
      <w:r w:rsidRPr="00884224">
        <w:rPr>
          <w:rFonts w:cs="Arial"/>
          <w:bCs w:val="0"/>
          <w:szCs w:val="24"/>
          <w:lang w:eastAsia="en-GB"/>
        </w:rPr>
        <w:lastRenderedPageBreak/>
        <w:t xml:space="preserve">sexual orientation </w:t>
      </w:r>
    </w:p>
    <w:p w14:paraId="701F823D" w14:textId="77777777" w:rsidR="00DB7F92" w:rsidRPr="00DB7F92" w:rsidRDefault="00DB7F92" w:rsidP="00DB7F92">
      <w:pPr>
        <w:widowControl w:val="0"/>
        <w:tabs>
          <w:tab w:val="left" w:pos="2528"/>
        </w:tabs>
        <w:spacing w:before="199"/>
        <w:ind w:left="2528"/>
        <w:jc w:val="both"/>
        <w:rPr>
          <w:rFonts w:cs="Arial"/>
          <w:bCs w:val="0"/>
          <w:sz w:val="20"/>
          <w:szCs w:val="20"/>
          <w:lang w:eastAsia="en-GB"/>
        </w:rPr>
      </w:pPr>
    </w:p>
    <w:p w14:paraId="2AEE451A" w14:textId="77777777" w:rsidR="00DB7F92" w:rsidRPr="00DB7F92" w:rsidRDefault="00DB7F92" w:rsidP="00DD5D2D">
      <w:pPr>
        <w:pStyle w:val="Heading3"/>
        <w:jc w:val="both"/>
        <w:rPr>
          <w:lang w:eastAsia="en-GB"/>
        </w:rPr>
      </w:pPr>
      <w:r w:rsidRPr="00DB7F92">
        <w:rPr>
          <w:lang w:eastAsia="en-GB"/>
        </w:rPr>
        <w:t>Unlawful</w:t>
      </w:r>
      <w:r w:rsidRPr="00DB7F92">
        <w:rPr>
          <w:spacing w:val="1"/>
          <w:lang w:eastAsia="en-GB"/>
        </w:rPr>
        <w:t xml:space="preserve"> </w:t>
      </w:r>
      <w:r w:rsidRPr="00DB7F92">
        <w:rPr>
          <w:lang w:eastAsia="en-GB"/>
        </w:rPr>
        <w:t>discrimination</w:t>
      </w:r>
      <w:r w:rsidRPr="00DB7F92">
        <w:rPr>
          <w:spacing w:val="4"/>
          <w:lang w:eastAsia="en-GB"/>
        </w:rPr>
        <w:t xml:space="preserve"> </w:t>
      </w:r>
      <w:r w:rsidRPr="00DB7F92">
        <w:rPr>
          <w:lang w:eastAsia="en-GB"/>
        </w:rPr>
        <w:t>can</w:t>
      </w:r>
      <w:r w:rsidRPr="00DB7F92">
        <w:rPr>
          <w:spacing w:val="3"/>
          <w:lang w:eastAsia="en-GB"/>
        </w:rPr>
        <w:t xml:space="preserve"> </w:t>
      </w:r>
      <w:r w:rsidRPr="00DB7F92">
        <w:rPr>
          <w:lang w:eastAsia="en-GB"/>
        </w:rPr>
        <w:t>also</w:t>
      </w:r>
      <w:r w:rsidRPr="00DB7F92">
        <w:rPr>
          <w:spacing w:val="2"/>
          <w:lang w:eastAsia="en-GB"/>
        </w:rPr>
        <w:t xml:space="preserve"> </w:t>
      </w:r>
      <w:r w:rsidRPr="00DB7F92">
        <w:rPr>
          <w:lang w:eastAsia="en-GB"/>
        </w:rPr>
        <w:t>occur</w:t>
      </w:r>
      <w:r w:rsidRPr="00DB7F92">
        <w:rPr>
          <w:spacing w:val="2"/>
          <w:lang w:eastAsia="en-GB"/>
        </w:rPr>
        <w:t xml:space="preserve"> </w:t>
      </w:r>
      <w:r w:rsidRPr="00DB7F92">
        <w:rPr>
          <w:lang w:eastAsia="en-GB"/>
        </w:rPr>
        <w:t>if</w:t>
      </w:r>
      <w:r w:rsidRPr="00DB7F92">
        <w:rPr>
          <w:spacing w:val="2"/>
          <w:lang w:eastAsia="en-GB"/>
        </w:rPr>
        <w:t xml:space="preserve"> </w:t>
      </w:r>
      <w:r w:rsidRPr="00DB7F92">
        <w:rPr>
          <w:lang w:eastAsia="en-GB"/>
        </w:rPr>
        <w:t>a</w:t>
      </w:r>
      <w:r w:rsidRPr="00DB7F92">
        <w:rPr>
          <w:spacing w:val="2"/>
          <w:lang w:eastAsia="en-GB"/>
        </w:rPr>
        <w:t xml:space="preserve"> </w:t>
      </w:r>
      <w:r w:rsidRPr="00DB7F92">
        <w:rPr>
          <w:lang w:eastAsia="en-GB"/>
        </w:rPr>
        <w:t>person</w:t>
      </w:r>
      <w:r w:rsidRPr="00DB7F92">
        <w:rPr>
          <w:spacing w:val="3"/>
          <w:lang w:eastAsia="en-GB"/>
        </w:rPr>
        <w:t xml:space="preserve"> </w:t>
      </w:r>
      <w:r w:rsidRPr="00DB7F92">
        <w:rPr>
          <w:lang w:eastAsia="en-GB"/>
        </w:rPr>
        <w:t>is</w:t>
      </w:r>
      <w:r w:rsidRPr="00DB7F92">
        <w:rPr>
          <w:spacing w:val="3"/>
          <w:lang w:eastAsia="en-GB"/>
        </w:rPr>
        <w:t xml:space="preserve"> </w:t>
      </w:r>
      <w:r w:rsidRPr="00DB7F92">
        <w:rPr>
          <w:lang w:eastAsia="en-GB"/>
        </w:rPr>
        <w:t>put</w:t>
      </w:r>
      <w:r w:rsidRPr="00DB7F92">
        <w:rPr>
          <w:spacing w:val="3"/>
          <w:lang w:eastAsia="en-GB"/>
        </w:rPr>
        <w:t xml:space="preserve"> </w:t>
      </w:r>
      <w:r w:rsidRPr="00DB7F92">
        <w:rPr>
          <w:lang w:eastAsia="en-GB"/>
        </w:rPr>
        <w:t>at</w:t>
      </w:r>
      <w:r w:rsidRPr="00DB7F92">
        <w:rPr>
          <w:spacing w:val="2"/>
          <w:lang w:eastAsia="en-GB"/>
        </w:rPr>
        <w:t xml:space="preserve"> </w:t>
      </w:r>
      <w:r w:rsidRPr="00DB7F92">
        <w:rPr>
          <w:lang w:eastAsia="en-GB"/>
        </w:rPr>
        <w:t>a disadvantage</w:t>
      </w:r>
      <w:r w:rsidRPr="00DB7F92">
        <w:rPr>
          <w:spacing w:val="49"/>
          <w:w w:val="99"/>
          <w:lang w:eastAsia="en-GB"/>
        </w:rPr>
        <w:t xml:space="preserve"> </w:t>
      </w:r>
      <w:r w:rsidRPr="00DB7F92">
        <w:rPr>
          <w:lang w:eastAsia="en-GB"/>
        </w:rPr>
        <w:t>because</w:t>
      </w:r>
      <w:r w:rsidRPr="00DB7F92">
        <w:rPr>
          <w:spacing w:val="-4"/>
          <w:lang w:eastAsia="en-GB"/>
        </w:rPr>
        <w:t xml:space="preserve"> </w:t>
      </w:r>
      <w:r w:rsidRPr="00DB7F92">
        <w:rPr>
          <w:lang w:eastAsia="en-GB"/>
        </w:rPr>
        <w:t>of</w:t>
      </w:r>
      <w:r w:rsidRPr="00DB7F92">
        <w:rPr>
          <w:spacing w:val="-3"/>
          <w:lang w:eastAsia="en-GB"/>
        </w:rPr>
        <w:t xml:space="preserve"> </w:t>
      </w:r>
      <w:r w:rsidRPr="00DB7F92">
        <w:rPr>
          <w:lang w:eastAsia="en-GB"/>
        </w:rPr>
        <w:t>a</w:t>
      </w:r>
      <w:r w:rsidRPr="00DB7F92">
        <w:rPr>
          <w:spacing w:val="-2"/>
          <w:lang w:eastAsia="en-GB"/>
        </w:rPr>
        <w:t xml:space="preserve"> </w:t>
      </w:r>
      <w:r w:rsidRPr="00DB7F92">
        <w:rPr>
          <w:lang w:eastAsia="en-GB"/>
        </w:rPr>
        <w:t>combination</w:t>
      </w:r>
      <w:r w:rsidRPr="00DB7F92">
        <w:rPr>
          <w:spacing w:val="-5"/>
          <w:lang w:eastAsia="en-GB"/>
        </w:rPr>
        <w:t xml:space="preserve"> </w:t>
      </w:r>
      <w:r w:rsidRPr="00DB7F92">
        <w:rPr>
          <w:lang w:eastAsia="en-GB"/>
        </w:rPr>
        <w:t>of</w:t>
      </w:r>
      <w:r w:rsidRPr="00DB7F92">
        <w:rPr>
          <w:spacing w:val="-7"/>
          <w:lang w:eastAsia="en-GB"/>
        </w:rPr>
        <w:t xml:space="preserve"> </w:t>
      </w:r>
      <w:r w:rsidRPr="00DB7F92">
        <w:rPr>
          <w:lang w:eastAsia="en-GB"/>
        </w:rPr>
        <w:t>these</w:t>
      </w:r>
      <w:r w:rsidRPr="00DB7F92">
        <w:rPr>
          <w:spacing w:val="-3"/>
          <w:lang w:eastAsia="en-GB"/>
        </w:rPr>
        <w:t xml:space="preserve"> </w:t>
      </w:r>
      <w:r w:rsidRPr="00DB7F92">
        <w:rPr>
          <w:lang w:eastAsia="en-GB"/>
        </w:rPr>
        <w:t>factors.</w:t>
      </w:r>
    </w:p>
    <w:p w14:paraId="11DDD263" w14:textId="77777777" w:rsidR="00DB7F92" w:rsidRDefault="00DB7F92" w:rsidP="00884224">
      <w:pPr>
        <w:keepNext/>
        <w:keepLines/>
        <w:spacing w:before="199"/>
        <w:ind w:left="838"/>
        <w:jc w:val="both"/>
        <w:outlineLvl w:val="6"/>
        <w:rPr>
          <w:rFonts w:eastAsiaTheme="majorEastAsia" w:cs="Arial"/>
          <w:i/>
          <w:iCs/>
          <w:color w:val="404040" w:themeColor="text1" w:themeTint="BF"/>
          <w:spacing w:val="-1"/>
          <w:sz w:val="28"/>
          <w:szCs w:val="28"/>
        </w:rPr>
      </w:pPr>
      <w:r w:rsidRPr="00884224">
        <w:rPr>
          <w:rFonts w:eastAsiaTheme="majorEastAsia" w:cs="Arial"/>
          <w:i/>
          <w:iCs/>
          <w:color w:val="404040" w:themeColor="text1" w:themeTint="BF"/>
          <w:spacing w:val="-1"/>
          <w:sz w:val="28"/>
          <w:szCs w:val="28"/>
        </w:rPr>
        <w:t>Unlawful discrimination</w:t>
      </w:r>
    </w:p>
    <w:p w14:paraId="56034447" w14:textId="77777777" w:rsidR="002D119A" w:rsidRDefault="002D119A" w:rsidP="003331F2">
      <w:pPr>
        <w:pStyle w:val="BodyText"/>
      </w:pPr>
    </w:p>
    <w:p w14:paraId="05DCCE93" w14:textId="77777777" w:rsidR="00DB7F92" w:rsidRPr="00DB7F92" w:rsidRDefault="00DB7F92" w:rsidP="00DD5D2D">
      <w:pPr>
        <w:pStyle w:val="Heading3"/>
        <w:jc w:val="both"/>
        <w:rPr>
          <w:lang w:eastAsia="en-GB"/>
        </w:rPr>
      </w:pPr>
      <w:r w:rsidRPr="00DB7F92">
        <w:rPr>
          <w:lang w:eastAsia="en-GB"/>
        </w:rPr>
        <w:t>There</w:t>
      </w:r>
      <w:r w:rsidRPr="00DB7F92">
        <w:rPr>
          <w:spacing w:val="5"/>
          <w:lang w:eastAsia="en-GB"/>
        </w:rPr>
        <w:t xml:space="preserve"> </w:t>
      </w:r>
      <w:r w:rsidRPr="00DB7F92">
        <w:rPr>
          <w:lang w:eastAsia="en-GB"/>
        </w:rPr>
        <w:t>are</w:t>
      </w:r>
      <w:r w:rsidRPr="00DB7F92">
        <w:rPr>
          <w:spacing w:val="8"/>
          <w:lang w:eastAsia="en-GB"/>
        </w:rPr>
        <w:t xml:space="preserve"> </w:t>
      </w:r>
      <w:r w:rsidRPr="00DB7F92">
        <w:rPr>
          <w:lang w:eastAsia="en-GB"/>
        </w:rPr>
        <w:t>broadly</w:t>
      </w:r>
      <w:r w:rsidRPr="00DB7F92">
        <w:rPr>
          <w:spacing w:val="10"/>
          <w:lang w:eastAsia="en-GB"/>
        </w:rPr>
        <w:t xml:space="preserve"> </w:t>
      </w:r>
      <w:r w:rsidRPr="00DB7F92">
        <w:rPr>
          <w:lang w:eastAsia="en-GB"/>
        </w:rPr>
        <w:t>four</w:t>
      </w:r>
      <w:r w:rsidRPr="00DB7F92">
        <w:rPr>
          <w:spacing w:val="12"/>
          <w:lang w:eastAsia="en-GB"/>
        </w:rPr>
        <w:t xml:space="preserve"> </w:t>
      </w:r>
      <w:r w:rsidRPr="00DB7F92">
        <w:rPr>
          <w:lang w:eastAsia="en-GB"/>
        </w:rPr>
        <w:t>types</w:t>
      </w:r>
      <w:r w:rsidRPr="00DB7F92">
        <w:rPr>
          <w:spacing w:val="7"/>
          <w:lang w:eastAsia="en-GB"/>
        </w:rPr>
        <w:t xml:space="preserve"> </w:t>
      </w:r>
      <w:r w:rsidRPr="00DB7F92">
        <w:rPr>
          <w:lang w:eastAsia="en-GB"/>
        </w:rPr>
        <w:t>of</w:t>
      </w:r>
      <w:r w:rsidRPr="00DB7F92">
        <w:rPr>
          <w:spacing w:val="8"/>
          <w:lang w:eastAsia="en-GB"/>
        </w:rPr>
        <w:t xml:space="preserve"> </w:t>
      </w:r>
      <w:r w:rsidRPr="00DB7F92">
        <w:rPr>
          <w:lang w:eastAsia="en-GB"/>
        </w:rPr>
        <w:t>discrimination</w:t>
      </w:r>
      <w:r w:rsidRPr="00DB7F92">
        <w:rPr>
          <w:spacing w:val="8"/>
          <w:lang w:eastAsia="en-GB"/>
        </w:rPr>
        <w:t xml:space="preserve"> </w:t>
      </w:r>
      <w:r w:rsidRPr="00DB7F92">
        <w:rPr>
          <w:lang w:eastAsia="en-GB"/>
        </w:rPr>
        <w:t>in</w:t>
      </w:r>
      <w:r w:rsidRPr="00DB7F92">
        <w:rPr>
          <w:spacing w:val="6"/>
          <w:lang w:eastAsia="en-GB"/>
        </w:rPr>
        <w:t xml:space="preserve"> </w:t>
      </w:r>
      <w:r w:rsidRPr="00DB7F92">
        <w:rPr>
          <w:lang w:eastAsia="en-GB"/>
        </w:rPr>
        <w:t>the</w:t>
      </w:r>
      <w:r w:rsidRPr="00DB7F92">
        <w:rPr>
          <w:spacing w:val="8"/>
          <w:lang w:eastAsia="en-GB"/>
        </w:rPr>
        <w:t xml:space="preserve"> </w:t>
      </w:r>
      <w:r w:rsidRPr="00DB7F92">
        <w:rPr>
          <w:lang w:eastAsia="en-GB"/>
        </w:rPr>
        <w:t>provision</w:t>
      </w:r>
      <w:r w:rsidRPr="00DB7F92">
        <w:rPr>
          <w:spacing w:val="9"/>
          <w:lang w:eastAsia="en-GB"/>
        </w:rPr>
        <w:t xml:space="preserve"> </w:t>
      </w:r>
      <w:r w:rsidRPr="00DB7F92">
        <w:rPr>
          <w:lang w:eastAsia="en-GB"/>
        </w:rPr>
        <w:t>of</w:t>
      </w:r>
      <w:r w:rsidRPr="00DB7F92">
        <w:rPr>
          <w:spacing w:val="5"/>
          <w:lang w:eastAsia="en-GB"/>
        </w:rPr>
        <w:t xml:space="preserve"> </w:t>
      </w:r>
      <w:r w:rsidRPr="00DB7F92">
        <w:rPr>
          <w:lang w:eastAsia="en-GB"/>
        </w:rPr>
        <w:t>services</w:t>
      </w:r>
      <w:r w:rsidRPr="00DB7F92">
        <w:rPr>
          <w:spacing w:val="74"/>
          <w:w w:val="99"/>
          <w:lang w:eastAsia="en-GB"/>
        </w:rPr>
        <w:t xml:space="preserve"> </w:t>
      </w:r>
      <w:r w:rsidRPr="00DB7F92">
        <w:rPr>
          <w:lang w:eastAsia="en-GB"/>
        </w:rPr>
        <w:t>that</w:t>
      </w:r>
      <w:r w:rsidRPr="00DB7F92">
        <w:rPr>
          <w:spacing w:val="-5"/>
          <w:lang w:eastAsia="en-GB"/>
        </w:rPr>
        <w:t xml:space="preserve"> </w:t>
      </w:r>
      <w:r w:rsidRPr="00DB7F92">
        <w:rPr>
          <w:lang w:eastAsia="en-GB"/>
        </w:rPr>
        <w:t>are</w:t>
      </w:r>
      <w:r w:rsidRPr="00DB7F92">
        <w:rPr>
          <w:spacing w:val="-6"/>
          <w:lang w:eastAsia="en-GB"/>
        </w:rPr>
        <w:t xml:space="preserve"> </w:t>
      </w:r>
      <w:r w:rsidRPr="00DB7F92">
        <w:rPr>
          <w:lang w:eastAsia="en-GB"/>
        </w:rPr>
        <w:t>unlawful</w:t>
      </w:r>
      <w:r w:rsidRPr="00DB7F92">
        <w:rPr>
          <w:spacing w:val="-4"/>
          <w:lang w:eastAsia="en-GB"/>
        </w:rPr>
        <w:t xml:space="preserve"> </w:t>
      </w:r>
      <w:r w:rsidRPr="00DB7F92">
        <w:rPr>
          <w:lang w:eastAsia="en-GB"/>
        </w:rPr>
        <w:t>under</w:t>
      </w:r>
      <w:r w:rsidRPr="00DB7F92">
        <w:rPr>
          <w:spacing w:val="-3"/>
          <w:lang w:eastAsia="en-GB"/>
        </w:rPr>
        <w:t xml:space="preserve"> </w:t>
      </w:r>
      <w:r w:rsidRPr="00DB7F92">
        <w:rPr>
          <w:lang w:eastAsia="en-GB"/>
        </w:rPr>
        <w:t>the</w:t>
      </w:r>
      <w:r w:rsidRPr="00DB7F92">
        <w:rPr>
          <w:spacing w:val="-5"/>
          <w:lang w:eastAsia="en-GB"/>
        </w:rPr>
        <w:t xml:space="preserve"> </w:t>
      </w:r>
      <w:r w:rsidRPr="00DB7F92">
        <w:rPr>
          <w:lang w:eastAsia="en-GB"/>
        </w:rPr>
        <w:t>Equality</w:t>
      </w:r>
      <w:r w:rsidRPr="00DB7F92">
        <w:rPr>
          <w:spacing w:val="-5"/>
          <w:lang w:eastAsia="en-GB"/>
        </w:rPr>
        <w:t xml:space="preserve"> </w:t>
      </w:r>
      <w:r w:rsidRPr="00DB7F92">
        <w:rPr>
          <w:lang w:eastAsia="en-GB"/>
        </w:rPr>
        <w:t>Act:</w:t>
      </w:r>
    </w:p>
    <w:p w14:paraId="02ED9022" w14:textId="77777777" w:rsidR="00DB7F92" w:rsidRPr="002D119A" w:rsidRDefault="00DB7F92" w:rsidP="005A7DDA">
      <w:pPr>
        <w:pStyle w:val="Heading4"/>
        <w:numPr>
          <w:ilvl w:val="0"/>
          <w:numId w:val="90"/>
        </w:numPr>
      </w:pPr>
      <w:r w:rsidRPr="002D119A">
        <w:lastRenderedPageBreak/>
        <w:t>Direct</w:t>
      </w:r>
      <w:r w:rsidRPr="002D119A">
        <w:rPr>
          <w:spacing w:val="62"/>
        </w:rPr>
        <w:t xml:space="preserve"> </w:t>
      </w:r>
      <w:r w:rsidRPr="002D119A">
        <w:t>discrimination</w:t>
      </w:r>
      <w:r w:rsidRPr="002D119A">
        <w:rPr>
          <w:spacing w:val="45"/>
        </w:rPr>
        <w:t xml:space="preserve"> </w:t>
      </w:r>
      <w:r w:rsidRPr="002D119A">
        <w:t>services</w:t>
      </w:r>
      <w:r w:rsidRPr="002D119A">
        <w:rPr>
          <w:spacing w:val="65"/>
        </w:rPr>
        <w:t xml:space="preserve"> </w:t>
      </w:r>
      <w:r w:rsidRPr="002D119A">
        <w:t>are</w:t>
      </w:r>
      <w:r w:rsidRPr="002D119A">
        <w:rPr>
          <w:spacing w:val="63"/>
        </w:rPr>
        <w:t xml:space="preserve"> </w:t>
      </w:r>
      <w:r w:rsidRPr="002D119A">
        <w:t>not</w:t>
      </w:r>
      <w:r w:rsidRPr="002D119A">
        <w:rPr>
          <w:spacing w:val="64"/>
        </w:rPr>
        <w:t xml:space="preserve"> </w:t>
      </w:r>
      <w:r w:rsidRPr="002D119A">
        <w:t>available  to</w:t>
      </w:r>
      <w:r w:rsidRPr="002D119A">
        <w:rPr>
          <w:spacing w:val="64"/>
        </w:rPr>
        <w:t xml:space="preserve"> </w:t>
      </w:r>
      <w:r w:rsidRPr="002D119A">
        <w:t>someone</w:t>
      </w:r>
      <w:r w:rsidRPr="002D119A">
        <w:rPr>
          <w:spacing w:val="69"/>
          <w:w w:val="99"/>
        </w:rPr>
        <w:t xml:space="preserve"> </w:t>
      </w:r>
      <w:r w:rsidRPr="002D119A">
        <w:t>because</w:t>
      </w:r>
      <w:r w:rsidRPr="002D119A">
        <w:rPr>
          <w:spacing w:val="42"/>
        </w:rPr>
        <w:t xml:space="preserve"> </w:t>
      </w:r>
      <w:r w:rsidRPr="002D119A">
        <w:t>they</w:t>
      </w:r>
      <w:r w:rsidRPr="002D119A">
        <w:rPr>
          <w:spacing w:val="42"/>
        </w:rPr>
        <w:t xml:space="preserve"> </w:t>
      </w:r>
      <w:r w:rsidRPr="002D119A">
        <w:t>are</w:t>
      </w:r>
      <w:r w:rsidRPr="002D119A">
        <w:rPr>
          <w:spacing w:val="43"/>
        </w:rPr>
        <w:t xml:space="preserve"> </w:t>
      </w:r>
      <w:r w:rsidRPr="002D119A">
        <w:t>e.g.</w:t>
      </w:r>
      <w:r w:rsidRPr="002D119A">
        <w:rPr>
          <w:spacing w:val="46"/>
        </w:rPr>
        <w:t xml:space="preserve"> </w:t>
      </w:r>
      <w:r w:rsidRPr="002D119A">
        <w:t>not</w:t>
      </w:r>
      <w:r w:rsidRPr="002D119A">
        <w:rPr>
          <w:spacing w:val="41"/>
        </w:rPr>
        <w:t xml:space="preserve"> </w:t>
      </w:r>
      <w:r w:rsidRPr="002D119A">
        <w:t>married,</w:t>
      </w:r>
      <w:r w:rsidRPr="002D119A">
        <w:rPr>
          <w:spacing w:val="42"/>
        </w:rPr>
        <w:t xml:space="preserve"> </w:t>
      </w:r>
      <w:r w:rsidRPr="002D119A">
        <w:t>over</w:t>
      </w:r>
      <w:r w:rsidRPr="002D119A">
        <w:rPr>
          <w:spacing w:val="42"/>
        </w:rPr>
        <w:t xml:space="preserve"> </w:t>
      </w:r>
      <w:r w:rsidRPr="002D119A">
        <w:t>35,</w:t>
      </w:r>
      <w:r w:rsidRPr="002D119A">
        <w:rPr>
          <w:spacing w:val="44"/>
        </w:rPr>
        <w:t xml:space="preserve"> </w:t>
      </w:r>
      <w:r w:rsidRPr="002D119A">
        <w:t>a</w:t>
      </w:r>
      <w:r w:rsidRPr="002D119A">
        <w:rPr>
          <w:spacing w:val="41"/>
        </w:rPr>
        <w:t xml:space="preserve"> </w:t>
      </w:r>
      <w:r w:rsidRPr="002D119A">
        <w:t>woman.</w:t>
      </w:r>
      <w:r w:rsidRPr="002D119A">
        <w:rPr>
          <w:spacing w:val="20"/>
        </w:rPr>
        <w:t xml:space="preserve"> </w:t>
      </w:r>
      <w:r w:rsidRPr="002D119A">
        <w:t>Apart</w:t>
      </w:r>
      <w:r w:rsidRPr="002D119A">
        <w:rPr>
          <w:spacing w:val="45"/>
          <w:w w:val="99"/>
        </w:rPr>
        <w:t xml:space="preserve"> </w:t>
      </w:r>
      <w:r w:rsidRPr="002D119A">
        <w:t>from</w:t>
      </w:r>
      <w:r w:rsidRPr="002D119A">
        <w:rPr>
          <w:spacing w:val="29"/>
        </w:rPr>
        <w:t xml:space="preserve"> </w:t>
      </w:r>
      <w:r w:rsidRPr="002D119A">
        <w:t>a</w:t>
      </w:r>
      <w:r w:rsidRPr="002D119A">
        <w:rPr>
          <w:spacing w:val="32"/>
        </w:rPr>
        <w:t xml:space="preserve"> </w:t>
      </w:r>
      <w:r w:rsidRPr="002D119A">
        <w:t>few</w:t>
      </w:r>
      <w:r w:rsidRPr="002D119A">
        <w:rPr>
          <w:spacing w:val="32"/>
        </w:rPr>
        <w:t xml:space="preserve"> </w:t>
      </w:r>
      <w:r w:rsidRPr="002D119A">
        <w:t>limited</w:t>
      </w:r>
      <w:r w:rsidRPr="002D119A">
        <w:rPr>
          <w:spacing w:val="31"/>
        </w:rPr>
        <w:t xml:space="preserve"> </w:t>
      </w:r>
      <w:r w:rsidRPr="002D119A">
        <w:t>exceptions,</w:t>
      </w:r>
      <w:r w:rsidRPr="002D119A">
        <w:rPr>
          <w:spacing w:val="32"/>
        </w:rPr>
        <w:t xml:space="preserve"> </w:t>
      </w:r>
      <w:r w:rsidRPr="002D119A">
        <w:t>direct</w:t>
      </w:r>
      <w:r w:rsidRPr="002D119A">
        <w:rPr>
          <w:spacing w:val="30"/>
        </w:rPr>
        <w:t xml:space="preserve"> </w:t>
      </w:r>
      <w:r w:rsidRPr="002D119A">
        <w:t>discrimination</w:t>
      </w:r>
      <w:r w:rsidRPr="002D119A">
        <w:rPr>
          <w:spacing w:val="30"/>
        </w:rPr>
        <w:t xml:space="preserve"> </w:t>
      </w:r>
      <w:r w:rsidRPr="002D119A">
        <w:t>will</w:t>
      </w:r>
      <w:r w:rsidRPr="002D119A">
        <w:rPr>
          <w:spacing w:val="31"/>
        </w:rPr>
        <w:t xml:space="preserve"> </w:t>
      </w:r>
      <w:r w:rsidRPr="002D119A">
        <w:t>always</w:t>
      </w:r>
      <w:r w:rsidRPr="002D119A">
        <w:rPr>
          <w:spacing w:val="51"/>
        </w:rPr>
        <w:t xml:space="preserve"> </w:t>
      </w:r>
      <w:r w:rsidRPr="002D119A">
        <w:t>be</w:t>
      </w:r>
      <w:r w:rsidRPr="002D119A">
        <w:rPr>
          <w:spacing w:val="27"/>
        </w:rPr>
        <w:t xml:space="preserve"> </w:t>
      </w:r>
      <w:r w:rsidRPr="002D119A">
        <w:t>unlawful,</w:t>
      </w:r>
      <w:r w:rsidRPr="002D119A">
        <w:rPr>
          <w:spacing w:val="29"/>
        </w:rPr>
        <w:t xml:space="preserve"> </w:t>
      </w:r>
      <w:r w:rsidRPr="002D119A">
        <w:t>unless</w:t>
      </w:r>
      <w:r w:rsidRPr="002D119A">
        <w:rPr>
          <w:spacing w:val="30"/>
        </w:rPr>
        <w:t xml:space="preserve"> </w:t>
      </w:r>
      <w:r w:rsidRPr="002D119A">
        <w:t>it</w:t>
      </w:r>
      <w:r w:rsidRPr="002D119A">
        <w:rPr>
          <w:spacing w:val="32"/>
        </w:rPr>
        <w:t xml:space="preserve"> </w:t>
      </w:r>
      <w:r w:rsidRPr="002D119A">
        <w:t>is</w:t>
      </w:r>
      <w:r w:rsidRPr="002D119A">
        <w:rPr>
          <w:spacing w:val="30"/>
        </w:rPr>
        <w:t xml:space="preserve"> </w:t>
      </w:r>
      <w:r w:rsidRPr="002D119A">
        <w:t>on</w:t>
      </w:r>
      <w:r w:rsidRPr="002D119A">
        <w:rPr>
          <w:spacing w:val="29"/>
        </w:rPr>
        <w:t xml:space="preserve"> </w:t>
      </w:r>
      <w:r w:rsidRPr="002D119A">
        <w:t>the</w:t>
      </w:r>
      <w:r w:rsidRPr="002D119A">
        <w:rPr>
          <w:spacing w:val="27"/>
        </w:rPr>
        <w:t xml:space="preserve"> </w:t>
      </w:r>
      <w:r w:rsidRPr="002D119A">
        <w:t>grounds</w:t>
      </w:r>
      <w:r w:rsidRPr="002D119A">
        <w:rPr>
          <w:spacing w:val="33"/>
        </w:rPr>
        <w:t xml:space="preserve"> </w:t>
      </w:r>
      <w:r w:rsidRPr="002D119A">
        <w:t>of</w:t>
      </w:r>
      <w:r w:rsidRPr="002D119A">
        <w:rPr>
          <w:spacing w:val="28"/>
        </w:rPr>
        <w:t xml:space="preserve"> </w:t>
      </w:r>
      <w:r w:rsidRPr="002D119A">
        <w:t>age</w:t>
      </w:r>
      <w:r w:rsidRPr="002D119A">
        <w:rPr>
          <w:spacing w:val="28"/>
        </w:rPr>
        <w:t xml:space="preserve"> </w:t>
      </w:r>
      <w:r w:rsidRPr="002D119A">
        <w:t>and</w:t>
      </w:r>
      <w:r w:rsidRPr="002D119A">
        <w:rPr>
          <w:spacing w:val="30"/>
        </w:rPr>
        <w:t xml:space="preserve"> </w:t>
      </w:r>
      <w:r w:rsidRPr="002D119A">
        <w:t>the</w:t>
      </w:r>
      <w:r w:rsidRPr="002D119A">
        <w:rPr>
          <w:spacing w:val="45"/>
          <w:w w:val="99"/>
        </w:rPr>
        <w:t xml:space="preserve"> </w:t>
      </w:r>
      <w:r w:rsidRPr="002D119A">
        <w:t>discrimination</w:t>
      </w:r>
      <w:r w:rsidRPr="002D119A">
        <w:rPr>
          <w:spacing w:val="18"/>
        </w:rPr>
        <w:t xml:space="preserve"> </w:t>
      </w:r>
      <w:r w:rsidRPr="002D119A">
        <w:t>is</w:t>
      </w:r>
      <w:r w:rsidRPr="002D119A">
        <w:rPr>
          <w:spacing w:val="19"/>
        </w:rPr>
        <w:t xml:space="preserve"> </w:t>
      </w:r>
      <w:r w:rsidRPr="002D119A">
        <w:t>a</w:t>
      </w:r>
      <w:r w:rsidRPr="002D119A">
        <w:rPr>
          <w:spacing w:val="19"/>
        </w:rPr>
        <w:t xml:space="preserve"> </w:t>
      </w:r>
      <w:r w:rsidRPr="002D119A">
        <w:t>proportionate</w:t>
      </w:r>
      <w:r w:rsidRPr="002D119A">
        <w:rPr>
          <w:spacing w:val="17"/>
        </w:rPr>
        <w:t xml:space="preserve"> </w:t>
      </w:r>
      <w:r w:rsidRPr="002D119A">
        <w:t>means</w:t>
      </w:r>
      <w:r w:rsidRPr="002D119A">
        <w:rPr>
          <w:spacing w:val="21"/>
        </w:rPr>
        <w:t xml:space="preserve"> </w:t>
      </w:r>
      <w:r w:rsidRPr="002D119A">
        <w:t>of</w:t>
      </w:r>
      <w:r w:rsidRPr="002D119A">
        <w:rPr>
          <w:spacing w:val="18"/>
        </w:rPr>
        <w:t xml:space="preserve"> </w:t>
      </w:r>
      <w:r w:rsidRPr="002D119A">
        <w:t>achieving</w:t>
      </w:r>
      <w:r w:rsidRPr="002D119A">
        <w:rPr>
          <w:spacing w:val="17"/>
        </w:rPr>
        <w:t xml:space="preserve"> </w:t>
      </w:r>
      <w:r w:rsidRPr="002D119A">
        <w:t>a</w:t>
      </w:r>
      <w:r w:rsidRPr="002D119A">
        <w:rPr>
          <w:spacing w:val="49"/>
          <w:w w:val="99"/>
        </w:rPr>
        <w:t xml:space="preserve"> </w:t>
      </w:r>
      <w:r w:rsidRPr="002D119A">
        <w:t>legitimate</w:t>
      </w:r>
      <w:r w:rsidRPr="002D119A">
        <w:rPr>
          <w:spacing w:val="-14"/>
        </w:rPr>
        <w:t xml:space="preserve"> </w:t>
      </w:r>
      <w:r w:rsidRPr="002D119A">
        <w:t>aim.</w:t>
      </w:r>
    </w:p>
    <w:p w14:paraId="347047A1" w14:textId="48188FCA" w:rsidR="00DB7F92" w:rsidRPr="002D119A" w:rsidRDefault="00DB7F92" w:rsidP="005A7DDA">
      <w:pPr>
        <w:pStyle w:val="Heading4"/>
        <w:numPr>
          <w:ilvl w:val="0"/>
          <w:numId w:val="90"/>
        </w:numPr>
      </w:pPr>
      <w:r w:rsidRPr="002D119A">
        <w:t>Indirect discrimination</w:t>
      </w:r>
      <w:r w:rsidRPr="00F45B47">
        <w:rPr>
          <w:spacing w:val="68"/>
        </w:rPr>
        <w:t xml:space="preserve"> </w:t>
      </w:r>
      <w:r w:rsidRPr="002D119A">
        <w:t>occurs</w:t>
      </w:r>
      <w:r w:rsidRPr="00F45B47">
        <w:rPr>
          <w:spacing w:val="21"/>
        </w:rPr>
        <w:t xml:space="preserve"> </w:t>
      </w:r>
      <w:r w:rsidRPr="002D119A">
        <w:t>when</w:t>
      </w:r>
      <w:r w:rsidRPr="00F45B47">
        <w:rPr>
          <w:spacing w:val="20"/>
        </w:rPr>
        <w:t xml:space="preserve"> </w:t>
      </w:r>
      <w:r w:rsidRPr="002D119A">
        <w:t>commissioners</w:t>
      </w:r>
      <w:r w:rsidRPr="00F45B47">
        <w:rPr>
          <w:spacing w:val="19"/>
        </w:rPr>
        <w:t xml:space="preserve"> </w:t>
      </w:r>
      <w:r w:rsidRPr="002D119A">
        <w:t>apply</w:t>
      </w:r>
      <w:r w:rsidRPr="00F45B47">
        <w:rPr>
          <w:spacing w:val="23"/>
        </w:rPr>
        <w:t xml:space="preserve"> </w:t>
      </w:r>
      <w:r w:rsidRPr="002D119A">
        <w:t>a</w:t>
      </w:r>
      <w:r w:rsidRPr="00F45B47">
        <w:rPr>
          <w:spacing w:val="53"/>
          <w:w w:val="99"/>
        </w:rPr>
        <w:t xml:space="preserve"> </w:t>
      </w:r>
      <w:r w:rsidRPr="002D119A">
        <w:t>policy, criterion or</w:t>
      </w:r>
      <w:r w:rsidRPr="00F45B47">
        <w:rPr>
          <w:spacing w:val="1"/>
        </w:rPr>
        <w:t xml:space="preserve"> </w:t>
      </w:r>
      <w:r w:rsidRPr="002D119A">
        <w:t>practice</w:t>
      </w:r>
      <w:r w:rsidRPr="00F45B47">
        <w:rPr>
          <w:spacing w:val="-2"/>
        </w:rPr>
        <w:t xml:space="preserve"> </w:t>
      </w:r>
      <w:r w:rsidRPr="002D119A">
        <w:t>equally to everybody but which has a</w:t>
      </w:r>
      <w:r w:rsidRPr="00F45B47">
        <w:rPr>
          <w:spacing w:val="65"/>
          <w:w w:val="99"/>
        </w:rPr>
        <w:t xml:space="preserve"> </w:t>
      </w:r>
      <w:r w:rsidRPr="002D119A">
        <w:t>disproportionate</w:t>
      </w:r>
      <w:r w:rsidRPr="00F45B47">
        <w:rPr>
          <w:spacing w:val="17"/>
        </w:rPr>
        <w:t xml:space="preserve"> </w:t>
      </w:r>
      <w:r w:rsidRPr="002D119A">
        <w:t>negative</w:t>
      </w:r>
      <w:r w:rsidRPr="00F45B47">
        <w:rPr>
          <w:spacing w:val="17"/>
        </w:rPr>
        <w:t xml:space="preserve"> </w:t>
      </w:r>
      <w:r w:rsidRPr="002D119A">
        <w:t>impact</w:t>
      </w:r>
      <w:r w:rsidRPr="00F45B47">
        <w:rPr>
          <w:spacing w:val="18"/>
        </w:rPr>
        <w:t xml:space="preserve"> </w:t>
      </w:r>
      <w:r w:rsidRPr="002D119A">
        <w:t>on</w:t>
      </w:r>
      <w:r w:rsidRPr="00F45B47">
        <w:rPr>
          <w:spacing w:val="21"/>
        </w:rPr>
        <w:t xml:space="preserve"> </w:t>
      </w:r>
      <w:r w:rsidRPr="002D119A">
        <w:t>one</w:t>
      </w:r>
      <w:r w:rsidRPr="00F45B47">
        <w:rPr>
          <w:spacing w:val="19"/>
        </w:rPr>
        <w:t xml:space="preserve"> </w:t>
      </w:r>
      <w:r w:rsidRPr="002D119A">
        <w:t>of</w:t>
      </w:r>
      <w:r w:rsidRPr="00F45B47">
        <w:rPr>
          <w:spacing w:val="17"/>
        </w:rPr>
        <w:t xml:space="preserve"> </w:t>
      </w:r>
      <w:r w:rsidRPr="002D119A">
        <w:t>the</w:t>
      </w:r>
      <w:r w:rsidRPr="00F45B47">
        <w:rPr>
          <w:spacing w:val="17"/>
        </w:rPr>
        <w:t xml:space="preserve"> </w:t>
      </w:r>
      <w:r w:rsidRPr="002D119A">
        <w:t>groups</w:t>
      </w:r>
      <w:r w:rsidRPr="00F45B47">
        <w:rPr>
          <w:spacing w:val="19"/>
        </w:rPr>
        <w:t xml:space="preserve"> </w:t>
      </w:r>
      <w:r w:rsidRPr="002D119A">
        <w:t>of</w:t>
      </w:r>
      <w:r w:rsidRPr="00F45B47">
        <w:rPr>
          <w:spacing w:val="47"/>
        </w:rPr>
        <w:t xml:space="preserve"> </w:t>
      </w:r>
      <w:r w:rsidRPr="002D119A">
        <w:t>people</w:t>
      </w:r>
      <w:r w:rsidRPr="00F45B47">
        <w:rPr>
          <w:spacing w:val="50"/>
        </w:rPr>
        <w:t xml:space="preserve"> </w:t>
      </w:r>
      <w:r w:rsidRPr="002D119A">
        <w:t>sharing</w:t>
      </w:r>
      <w:r w:rsidRPr="00F45B47">
        <w:rPr>
          <w:spacing w:val="51"/>
        </w:rPr>
        <w:t xml:space="preserve"> </w:t>
      </w:r>
      <w:r w:rsidRPr="002D119A">
        <w:t>a</w:t>
      </w:r>
      <w:r w:rsidRPr="00F45B47">
        <w:rPr>
          <w:spacing w:val="52"/>
        </w:rPr>
        <w:t xml:space="preserve"> </w:t>
      </w:r>
      <w:r w:rsidRPr="002D119A">
        <w:t>protected</w:t>
      </w:r>
      <w:r w:rsidRPr="00F45B47">
        <w:rPr>
          <w:spacing w:val="53"/>
        </w:rPr>
        <w:t xml:space="preserve"> </w:t>
      </w:r>
      <w:r w:rsidRPr="002D119A">
        <w:t>characteristic,</w:t>
      </w:r>
      <w:r w:rsidRPr="00F45B47">
        <w:rPr>
          <w:spacing w:val="54"/>
        </w:rPr>
        <w:t xml:space="preserve"> </w:t>
      </w:r>
      <w:r w:rsidRPr="002D119A">
        <w:t>and</w:t>
      </w:r>
      <w:r w:rsidRPr="00F45B47">
        <w:rPr>
          <w:spacing w:val="51"/>
        </w:rPr>
        <w:t xml:space="preserve"> </w:t>
      </w:r>
      <w:r w:rsidRPr="002D119A">
        <w:t>where</w:t>
      </w:r>
      <w:r w:rsidRPr="00F45B47">
        <w:rPr>
          <w:spacing w:val="51"/>
        </w:rPr>
        <w:t xml:space="preserve"> </w:t>
      </w:r>
      <w:r w:rsidRPr="002D119A">
        <w:t>the</w:t>
      </w:r>
      <w:r w:rsidRPr="00F45B47">
        <w:rPr>
          <w:spacing w:val="52"/>
          <w:w w:val="99"/>
        </w:rPr>
        <w:t xml:space="preserve"> </w:t>
      </w:r>
      <w:r w:rsidRPr="002D119A">
        <w:t>complainant</w:t>
      </w:r>
      <w:r w:rsidRPr="00F45B47">
        <w:rPr>
          <w:spacing w:val="18"/>
        </w:rPr>
        <w:t xml:space="preserve"> </w:t>
      </w:r>
      <w:r w:rsidRPr="002D119A">
        <w:t>cannot</w:t>
      </w:r>
      <w:r w:rsidRPr="00F45B47">
        <w:rPr>
          <w:spacing w:val="17"/>
        </w:rPr>
        <w:t xml:space="preserve"> </w:t>
      </w:r>
      <w:r w:rsidRPr="002D119A">
        <w:t>themselves</w:t>
      </w:r>
      <w:r w:rsidRPr="00F45B47">
        <w:rPr>
          <w:spacing w:val="17"/>
        </w:rPr>
        <w:t xml:space="preserve"> </w:t>
      </w:r>
      <w:r w:rsidRPr="002D119A">
        <w:t xml:space="preserve">comply. </w:t>
      </w:r>
      <w:r w:rsidRPr="00F45B47">
        <w:rPr>
          <w:spacing w:val="36"/>
        </w:rPr>
        <w:t xml:space="preserve"> </w:t>
      </w:r>
      <w:r w:rsidRPr="002D119A">
        <w:t>The</w:t>
      </w:r>
      <w:r w:rsidRPr="00F45B47">
        <w:rPr>
          <w:spacing w:val="18"/>
        </w:rPr>
        <w:t xml:space="preserve"> </w:t>
      </w:r>
      <w:r w:rsidRPr="002D119A">
        <w:t>classic</w:t>
      </w:r>
      <w:r w:rsidRPr="00F45B47">
        <w:rPr>
          <w:spacing w:val="17"/>
        </w:rPr>
        <w:t xml:space="preserve"> </w:t>
      </w:r>
      <w:r w:rsidRPr="002D119A">
        <w:t>example</w:t>
      </w:r>
      <w:r w:rsidRPr="00F45B47">
        <w:rPr>
          <w:spacing w:val="18"/>
        </w:rPr>
        <w:t xml:space="preserve"> </w:t>
      </w:r>
      <w:r w:rsidRPr="002D119A">
        <w:t>is</w:t>
      </w:r>
      <w:r w:rsidRPr="00F45B47">
        <w:rPr>
          <w:spacing w:val="48"/>
          <w:w w:val="99"/>
        </w:rPr>
        <w:t xml:space="preserve"> </w:t>
      </w:r>
      <w:r w:rsidRPr="002D119A">
        <w:t>a</w:t>
      </w:r>
      <w:r w:rsidRPr="00F45B47">
        <w:rPr>
          <w:spacing w:val="16"/>
        </w:rPr>
        <w:t xml:space="preserve"> </w:t>
      </w:r>
      <w:r w:rsidRPr="002D119A">
        <w:t>height</w:t>
      </w:r>
      <w:r w:rsidRPr="00F45B47">
        <w:rPr>
          <w:spacing w:val="18"/>
        </w:rPr>
        <w:t xml:space="preserve"> </w:t>
      </w:r>
      <w:r w:rsidRPr="002D119A">
        <w:t>requirement,</w:t>
      </w:r>
      <w:r w:rsidRPr="00F45B47">
        <w:rPr>
          <w:spacing w:val="19"/>
        </w:rPr>
        <w:t xml:space="preserve"> </w:t>
      </w:r>
      <w:r w:rsidRPr="002D119A">
        <w:t>which</w:t>
      </w:r>
      <w:r w:rsidRPr="00F45B47">
        <w:rPr>
          <w:spacing w:val="17"/>
        </w:rPr>
        <w:t xml:space="preserve"> </w:t>
      </w:r>
      <w:r w:rsidRPr="002D119A">
        <w:t>is</w:t>
      </w:r>
      <w:r w:rsidRPr="00F45B47">
        <w:rPr>
          <w:spacing w:val="19"/>
        </w:rPr>
        <w:t xml:space="preserve"> </w:t>
      </w:r>
      <w:r w:rsidRPr="002D119A">
        <w:t>likely</w:t>
      </w:r>
      <w:r w:rsidRPr="00F45B47">
        <w:rPr>
          <w:spacing w:val="17"/>
        </w:rPr>
        <w:t xml:space="preserve"> </w:t>
      </w:r>
      <w:r w:rsidRPr="002D119A">
        <w:t>to</w:t>
      </w:r>
      <w:r w:rsidRPr="00F45B47">
        <w:rPr>
          <w:spacing w:val="19"/>
        </w:rPr>
        <w:t xml:space="preserve"> </w:t>
      </w:r>
      <w:r w:rsidRPr="002D119A">
        <w:t>exclude</w:t>
      </w:r>
      <w:r w:rsidRPr="00F45B47">
        <w:rPr>
          <w:spacing w:val="15"/>
        </w:rPr>
        <w:t xml:space="preserve"> </w:t>
      </w:r>
      <w:r w:rsidRPr="002D119A">
        <w:t>a</w:t>
      </w:r>
      <w:r w:rsidRPr="00F45B47">
        <w:rPr>
          <w:spacing w:val="19"/>
        </w:rPr>
        <w:t xml:space="preserve"> </w:t>
      </w:r>
      <w:r w:rsidRPr="002D119A">
        <w:t>much</w:t>
      </w:r>
      <w:r w:rsidRPr="00F45B47">
        <w:rPr>
          <w:spacing w:val="18"/>
        </w:rPr>
        <w:t xml:space="preserve"> </w:t>
      </w:r>
      <w:r w:rsidRPr="002D119A">
        <w:t>greater</w:t>
      </w:r>
      <w:r w:rsidRPr="00F45B47">
        <w:rPr>
          <w:spacing w:val="58"/>
          <w:w w:val="99"/>
        </w:rPr>
        <w:t xml:space="preserve"> </w:t>
      </w:r>
      <w:r w:rsidRPr="002D119A">
        <w:t>proportion</w:t>
      </w:r>
      <w:r w:rsidRPr="00F45B47">
        <w:rPr>
          <w:spacing w:val="2"/>
        </w:rPr>
        <w:t xml:space="preserve"> </w:t>
      </w:r>
      <w:r w:rsidRPr="002D119A">
        <w:t>of</w:t>
      </w:r>
      <w:r w:rsidRPr="00F45B47">
        <w:rPr>
          <w:spacing w:val="1"/>
        </w:rPr>
        <w:t xml:space="preserve"> </w:t>
      </w:r>
      <w:r w:rsidRPr="002D119A">
        <w:t>women</w:t>
      </w:r>
      <w:r w:rsidRPr="00F45B47">
        <w:rPr>
          <w:spacing w:val="2"/>
        </w:rPr>
        <w:t xml:space="preserve"> </w:t>
      </w:r>
      <w:r w:rsidRPr="002D119A">
        <w:t>than</w:t>
      </w:r>
      <w:r w:rsidRPr="00F45B47">
        <w:rPr>
          <w:spacing w:val="2"/>
        </w:rPr>
        <w:t xml:space="preserve"> </w:t>
      </w:r>
      <w:r w:rsidRPr="002D119A">
        <w:t>men</w:t>
      </w:r>
      <w:r w:rsidRPr="00F45B47">
        <w:rPr>
          <w:spacing w:val="2"/>
        </w:rPr>
        <w:t xml:space="preserve"> </w:t>
      </w:r>
      <w:r w:rsidRPr="002D119A">
        <w:t>because</w:t>
      </w:r>
      <w:r w:rsidRPr="00F45B47">
        <w:rPr>
          <w:spacing w:val="1"/>
        </w:rPr>
        <w:t xml:space="preserve"> </w:t>
      </w:r>
      <w:r w:rsidRPr="002D119A">
        <w:t>women</w:t>
      </w:r>
      <w:r w:rsidRPr="00F45B47">
        <w:rPr>
          <w:spacing w:val="2"/>
        </w:rPr>
        <w:t xml:space="preserve"> </w:t>
      </w:r>
      <w:r w:rsidRPr="002D119A">
        <w:t>are</w:t>
      </w:r>
      <w:r w:rsidRPr="00F45B47">
        <w:rPr>
          <w:spacing w:val="2"/>
        </w:rPr>
        <w:t xml:space="preserve"> </w:t>
      </w:r>
      <w:r w:rsidRPr="002D119A">
        <w:t>on</w:t>
      </w:r>
      <w:r w:rsidRPr="00F45B47">
        <w:rPr>
          <w:spacing w:val="2"/>
        </w:rPr>
        <w:t xml:space="preserve"> </w:t>
      </w:r>
      <w:r w:rsidRPr="002D119A">
        <w:t>average</w:t>
      </w:r>
      <w:r w:rsidRPr="00F45B47">
        <w:rPr>
          <w:spacing w:val="36"/>
          <w:w w:val="99"/>
        </w:rPr>
        <w:t xml:space="preserve"> </w:t>
      </w:r>
      <w:r w:rsidRPr="002D119A">
        <w:t>significantly</w:t>
      </w:r>
      <w:r w:rsidRPr="00F45B47">
        <w:rPr>
          <w:spacing w:val="33"/>
        </w:rPr>
        <w:t xml:space="preserve"> </w:t>
      </w:r>
      <w:r w:rsidRPr="002D119A">
        <w:t>shorter.</w:t>
      </w:r>
      <w:r w:rsidRPr="00F45B47">
        <w:rPr>
          <w:spacing w:val="3"/>
        </w:rPr>
        <w:t xml:space="preserve"> </w:t>
      </w:r>
      <w:r w:rsidRPr="002D119A">
        <w:t>Requirements</w:t>
      </w:r>
      <w:r w:rsidRPr="00F45B47">
        <w:rPr>
          <w:spacing w:val="35"/>
        </w:rPr>
        <w:t xml:space="preserve"> </w:t>
      </w:r>
      <w:r w:rsidRPr="002D119A">
        <w:t>that</w:t>
      </w:r>
      <w:r w:rsidRPr="00F45B47">
        <w:rPr>
          <w:spacing w:val="33"/>
        </w:rPr>
        <w:t xml:space="preserve"> </w:t>
      </w:r>
      <w:r w:rsidRPr="002D119A">
        <w:t>require</w:t>
      </w:r>
      <w:r w:rsidRPr="00F45B47">
        <w:rPr>
          <w:spacing w:val="33"/>
        </w:rPr>
        <w:t xml:space="preserve"> </w:t>
      </w:r>
      <w:r w:rsidRPr="002D119A">
        <w:t>people</w:t>
      </w:r>
      <w:r w:rsidRPr="00F45B47">
        <w:rPr>
          <w:spacing w:val="32"/>
        </w:rPr>
        <w:t xml:space="preserve"> </w:t>
      </w:r>
      <w:r w:rsidRPr="002D119A">
        <w:t>to</w:t>
      </w:r>
      <w:r w:rsidRPr="00F45B47">
        <w:rPr>
          <w:spacing w:val="53"/>
        </w:rPr>
        <w:t xml:space="preserve"> </w:t>
      </w:r>
      <w:r w:rsidRPr="002D119A">
        <w:t>behave</w:t>
      </w:r>
      <w:r w:rsidRPr="00F45B47">
        <w:rPr>
          <w:spacing w:val="12"/>
        </w:rPr>
        <w:t xml:space="preserve"> </w:t>
      </w:r>
      <w:r w:rsidRPr="002D119A">
        <w:t>in</w:t>
      </w:r>
      <w:r w:rsidRPr="00F45B47">
        <w:rPr>
          <w:spacing w:val="14"/>
        </w:rPr>
        <w:t xml:space="preserve"> </w:t>
      </w:r>
      <w:r w:rsidRPr="002D119A">
        <w:t>a</w:t>
      </w:r>
      <w:r w:rsidRPr="00F45B47">
        <w:rPr>
          <w:spacing w:val="14"/>
        </w:rPr>
        <w:t xml:space="preserve"> </w:t>
      </w:r>
      <w:r w:rsidRPr="002D119A">
        <w:t>certain</w:t>
      </w:r>
      <w:r w:rsidRPr="00F45B47">
        <w:rPr>
          <w:spacing w:val="14"/>
        </w:rPr>
        <w:t xml:space="preserve"> </w:t>
      </w:r>
      <w:r w:rsidRPr="002D119A">
        <w:t>way</w:t>
      </w:r>
      <w:r w:rsidRPr="00F45B47">
        <w:rPr>
          <w:spacing w:val="14"/>
        </w:rPr>
        <w:t xml:space="preserve"> </w:t>
      </w:r>
      <w:r w:rsidRPr="002D119A">
        <w:t>will</w:t>
      </w:r>
      <w:r w:rsidRPr="00F45B47">
        <w:rPr>
          <w:spacing w:val="13"/>
        </w:rPr>
        <w:t xml:space="preserve"> </w:t>
      </w:r>
      <w:r w:rsidRPr="002D119A">
        <w:t>amount</w:t>
      </w:r>
      <w:r w:rsidRPr="00F45B47">
        <w:rPr>
          <w:spacing w:val="14"/>
        </w:rPr>
        <w:t xml:space="preserve"> </w:t>
      </w:r>
      <w:r w:rsidRPr="002D119A">
        <w:t>to</w:t>
      </w:r>
      <w:r w:rsidRPr="00F45B47">
        <w:rPr>
          <w:spacing w:val="13"/>
        </w:rPr>
        <w:t xml:space="preserve"> </w:t>
      </w:r>
      <w:r w:rsidRPr="002D119A">
        <w:t>indirect</w:t>
      </w:r>
      <w:r w:rsidRPr="00F45B47">
        <w:rPr>
          <w:spacing w:val="13"/>
        </w:rPr>
        <w:t xml:space="preserve"> </w:t>
      </w:r>
      <w:r w:rsidRPr="002D119A">
        <w:t>discrimination</w:t>
      </w:r>
      <w:r w:rsidRPr="00F45B47">
        <w:rPr>
          <w:spacing w:val="14"/>
        </w:rPr>
        <w:t xml:space="preserve"> </w:t>
      </w:r>
      <w:r w:rsidRPr="002D119A">
        <w:t>if</w:t>
      </w:r>
      <w:r w:rsidRPr="00F45B47">
        <w:rPr>
          <w:spacing w:val="61"/>
        </w:rPr>
        <w:t xml:space="preserve"> </w:t>
      </w:r>
      <w:r w:rsidRPr="002D119A">
        <w:t>compliance</w:t>
      </w:r>
      <w:r w:rsidRPr="00F45B47">
        <w:rPr>
          <w:spacing w:val="55"/>
        </w:rPr>
        <w:t xml:space="preserve"> </w:t>
      </w:r>
      <w:r w:rsidRPr="002D119A">
        <w:t>is</w:t>
      </w:r>
      <w:r w:rsidRPr="00F45B47">
        <w:rPr>
          <w:spacing w:val="57"/>
        </w:rPr>
        <w:t xml:space="preserve"> </w:t>
      </w:r>
      <w:r w:rsidRPr="002D119A">
        <w:t>not</w:t>
      </w:r>
      <w:r w:rsidRPr="00F45B47">
        <w:rPr>
          <w:spacing w:val="59"/>
        </w:rPr>
        <w:t xml:space="preserve"> </w:t>
      </w:r>
      <w:r w:rsidRPr="002D119A">
        <w:t>consistent</w:t>
      </w:r>
      <w:r w:rsidRPr="00F45B47">
        <w:rPr>
          <w:spacing w:val="57"/>
        </w:rPr>
        <w:t xml:space="preserve"> </w:t>
      </w:r>
      <w:r w:rsidRPr="002D119A">
        <w:t>with</w:t>
      </w:r>
      <w:r w:rsidRPr="00F45B47">
        <w:rPr>
          <w:spacing w:val="57"/>
        </w:rPr>
        <w:t xml:space="preserve"> </w:t>
      </w:r>
      <w:r w:rsidRPr="002D119A">
        <w:t>reasonable</w:t>
      </w:r>
      <w:r w:rsidRPr="00F45B47">
        <w:rPr>
          <w:spacing w:val="55"/>
        </w:rPr>
        <w:t xml:space="preserve"> </w:t>
      </w:r>
      <w:r w:rsidRPr="002D119A">
        <w:t>expectations</w:t>
      </w:r>
      <w:r w:rsidRPr="00F45B47">
        <w:rPr>
          <w:spacing w:val="59"/>
        </w:rPr>
        <w:t xml:space="preserve"> </w:t>
      </w:r>
      <w:r w:rsidRPr="002D119A">
        <w:t>of</w:t>
      </w:r>
      <w:r w:rsidRPr="00F45B47">
        <w:rPr>
          <w:spacing w:val="57"/>
        </w:rPr>
        <w:t xml:space="preserve"> </w:t>
      </w:r>
      <w:r w:rsidRPr="002D119A">
        <w:t>behaviour.</w:t>
      </w:r>
      <w:r w:rsidRPr="00F45B47">
        <w:rPr>
          <w:spacing w:val="44"/>
        </w:rPr>
        <w:t xml:space="preserve"> </w:t>
      </w:r>
      <w:r w:rsidRPr="002D119A">
        <w:t>For</w:t>
      </w:r>
      <w:r w:rsidRPr="00F45B47">
        <w:rPr>
          <w:spacing w:val="57"/>
        </w:rPr>
        <w:t xml:space="preserve"> </w:t>
      </w:r>
      <w:r w:rsidRPr="002D119A">
        <w:t>example,</w:t>
      </w:r>
      <w:r w:rsidRPr="00F45B47">
        <w:rPr>
          <w:spacing w:val="55"/>
        </w:rPr>
        <w:t xml:space="preserve"> </w:t>
      </w:r>
      <w:r w:rsidRPr="002D119A">
        <w:t>a</w:t>
      </w:r>
      <w:r w:rsidRPr="00F45B47">
        <w:rPr>
          <w:spacing w:val="57"/>
        </w:rPr>
        <w:t xml:space="preserve"> </w:t>
      </w:r>
      <w:r w:rsidRPr="002D119A">
        <w:t>requirement</w:t>
      </w:r>
      <w:r w:rsidRPr="00F45B47">
        <w:rPr>
          <w:spacing w:val="55"/>
        </w:rPr>
        <w:t xml:space="preserve"> </w:t>
      </w:r>
      <w:r w:rsidRPr="002D119A">
        <w:t>not</w:t>
      </w:r>
      <w:r w:rsidRPr="00F45B47">
        <w:rPr>
          <w:spacing w:val="55"/>
        </w:rPr>
        <w:t xml:space="preserve"> </w:t>
      </w:r>
      <w:r w:rsidRPr="002D119A">
        <w:t>to</w:t>
      </w:r>
      <w:r w:rsidRPr="00F45B47">
        <w:rPr>
          <w:spacing w:val="54"/>
        </w:rPr>
        <w:t xml:space="preserve"> </w:t>
      </w:r>
      <w:r w:rsidRPr="002D119A">
        <w:t>wear</w:t>
      </w:r>
      <w:r w:rsidRPr="00F45B47">
        <w:rPr>
          <w:spacing w:val="55"/>
        </w:rPr>
        <w:t xml:space="preserve"> </w:t>
      </w:r>
      <w:r w:rsidRPr="002D119A">
        <w:t>a</w:t>
      </w:r>
      <w:r w:rsidRPr="00F45B47">
        <w:rPr>
          <w:spacing w:val="55"/>
        </w:rPr>
        <w:t xml:space="preserve"> </w:t>
      </w:r>
      <w:r w:rsidRPr="002D119A">
        <w:t>head</w:t>
      </w:r>
      <w:r w:rsidRPr="00F45B47">
        <w:rPr>
          <w:spacing w:val="41"/>
        </w:rPr>
        <w:t xml:space="preserve"> </w:t>
      </w:r>
      <w:r w:rsidRPr="002D119A">
        <w:t>covering</w:t>
      </w:r>
      <w:r w:rsidRPr="00F45B47">
        <w:rPr>
          <w:spacing w:val="34"/>
        </w:rPr>
        <w:t xml:space="preserve"> </w:t>
      </w:r>
      <w:r w:rsidRPr="002D119A">
        <w:t>would</w:t>
      </w:r>
      <w:r w:rsidRPr="00F45B47">
        <w:rPr>
          <w:spacing w:val="34"/>
        </w:rPr>
        <w:t xml:space="preserve"> </w:t>
      </w:r>
      <w:r w:rsidRPr="002D119A">
        <w:t>be</w:t>
      </w:r>
      <w:r w:rsidRPr="00F45B47">
        <w:rPr>
          <w:spacing w:val="35"/>
        </w:rPr>
        <w:t xml:space="preserve"> </w:t>
      </w:r>
      <w:r w:rsidRPr="002D119A">
        <w:t>indirectly</w:t>
      </w:r>
      <w:r w:rsidRPr="00F45B47">
        <w:rPr>
          <w:spacing w:val="36"/>
        </w:rPr>
        <w:t xml:space="preserve"> </w:t>
      </w:r>
      <w:r w:rsidRPr="002D119A">
        <w:t>discriminatory</w:t>
      </w:r>
      <w:r w:rsidRPr="00F45B47">
        <w:rPr>
          <w:spacing w:val="35"/>
        </w:rPr>
        <w:t xml:space="preserve"> </w:t>
      </w:r>
      <w:r w:rsidRPr="002D119A">
        <w:t>on</w:t>
      </w:r>
      <w:r w:rsidRPr="00F45B47">
        <w:rPr>
          <w:spacing w:val="36"/>
        </w:rPr>
        <w:t xml:space="preserve"> </w:t>
      </w:r>
      <w:r w:rsidRPr="002D119A">
        <w:t>the</w:t>
      </w:r>
      <w:r w:rsidRPr="00F45B47">
        <w:rPr>
          <w:spacing w:val="35"/>
        </w:rPr>
        <w:t xml:space="preserve"> </w:t>
      </w:r>
      <w:r w:rsidRPr="002D119A">
        <w:t>grounds</w:t>
      </w:r>
      <w:r w:rsidRPr="00F45B47">
        <w:rPr>
          <w:spacing w:val="36"/>
        </w:rPr>
        <w:t xml:space="preserve"> </w:t>
      </w:r>
      <w:r w:rsidRPr="002D119A">
        <w:t>of</w:t>
      </w:r>
      <w:r w:rsidR="00F45B47">
        <w:t xml:space="preserve"> </w:t>
      </w:r>
      <w:r w:rsidRPr="002D119A">
        <w:t>religion,</w:t>
      </w:r>
      <w:r w:rsidRPr="00F45B47">
        <w:rPr>
          <w:spacing w:val="2"/>
        </w:rPr>
        <w:t xml:space="preserve"> </w:t>
      </w:r>
      <w:r w:rsidRPr="002D119A">
        <w:t>even though followers of</w:t>
      </w:r>
      <w:r w:rsidRPr="00F45B47">
        <w:rPr>
          <w:spacing w:val="2"/>
        </w:rPr>
        <w:t xml:space="preserve"> </w:t>
      </w:r>
      <w:r w:rsidRPr="002D119A">
        <w:t>religions which require</w:t>
      </w:r>
      <w:r w:rsidRPr="00F45B47">
        <w:rPr>
          <w:spacing w:val="1"/>
        </w:rPr>
        <w:t xml:space="preserve"> </w:t>
      </w:r>
      <w:r w:rsidRPr="002D119A">
        <w:t>a head</w:t>
      </w:r>
      <w:r w:rsidRPr="00F45B47">
        <w:rPr>
          <w:spacing w:val="69"/>
        </w:rPr>
        <w:t xml:space="preserve"> </w:t>
      </w:r>
      <w:r w:rsidRPr="002D119A">
        <w:t>covering are</w:t>
      </w:r>
      <w:r w:rsidRPr="00F45B47">
        <w:rPr>
          <w:spacing w:val="1"/>
        </w:rPr>
        <w:t xml:space="preserve"> </w:t>
      </w:r>
      <w:r w:rsidRPr="002D119A">
        <w:t>physically</w:t>
      </w:r>
      <w:r w:rsidRPr="00F45B47">
        <w:rPr>
          <w:spacing w:val="1"/>
        </w:rPr>
        <w:t xml:space="preserve"> </w:t>
      </w:r>
      <w:r w:rsidRPr="002D119A">
        <w:t>able</w:t>
      </w:r>
      <w:r w:rsidRPr="00F45B47">
        <w:rPr>
          <w:spacing w:val="1"/>
        </w:rPr>
        <w:t xml:space="preserve"> </w:t>
      </w:r>
      <w:r w:rsidRPr="002D119A">
        <w:t>to remove</w:t>
      </w:r>
      <w:r w:rsidRPr="00F45B47">
        <w:rPr>
          <w:spacing w:val="1"/>
        </w:rPr>
        <w:t xml:space="preserve"> </w:t>
      </w:r>
      <w:r w:rsidRPr="002D119A">
        <w:t>it.  Indirect</w:t>
      </w:r>
      <w:r w:rsidRPr="00F45B47">
        <w:rPr>
          <w:spacing w:val="2"/>
        </w:rPr>
        <w:t xml:space="preserve"> </w:t>
      </w:r>
      <w:r w:rsidRPr="002D119A">
        <w:t>discrimination</w:t>
      </w:r>
      <w:r w:rsidRPr="00F45B47">
        <w:rPr>
          <w:spacing w:val="55"/>
        </w:rPr>
        <w:t xml:space="preserve"> </w:t>
      </w:r>
      <w:r w:rsidRPr="002D119A">
        <w:t>is</w:t>
      </w:r>
      <w:r w:rsidRPr="00F45B47">
        <w:rPr>
          <w:spacing w:val="56"/>
        </w:rPr>
        <w:t xml:space="preserve"> </w:t>
      </w:r>
      <w:r w:rsidRPr="002D119A">
        <w:t>not</w:t>
      </w:r>
      <w:r w:rsidRPr="00F45B47">
        <w:rPr>
          <w:spacing w:val="56"/>
        </w:rPr>
        <w:t xml:space="preserve"> </w:t>
      </w:r>
      <w:r w:rsidRPr="002D119A">
        <w:t>unlawful</w:t>
      </w:r>
      <w:r w:rsidRPr="00F45B47">
        <w:rPr>
          <w:spacing w:val="55"/>
        </w:rPr>
        <w:t xml:space="preserve"> </w:t>
      </w:r>
      <w:r w:rsidRPr="002D119A">
        <w:t>if</w:t>
      </w:r>
      <w:r w:rsidRPr="00F45B47">
        <w:rPr>
          <w:spacing w:val="55"/>
        </w:rPr>
        <w:t xml:space="preserve"> </w:t>
      </w:r>
      <w:r w:rsidRPr="002D119A">
        <w:t>it</w:t>
      </w:r>
      <w:r w:rsidRPr="00F45B47">
        <w:rPr>
          <w:spacing w:val="56"/>
        </w:rPr>
        <w:t xml:space="preserve"> </w:t>
      </w:r>
      <w:r w:rsidRPr="002D119A">
        <w:t>is</w:t>
      </w:r>
      <w:r w:rsidRPr="00F45B47">
        <w:rPr>
          <w:spacing w:val="56"/>
        </w:rPr>
        <w:t xml:space="preserve"> </w:t>
      </w:r>
      <w:r w:rsidRPr="002D119A">
        <w:t>a</w:t>
      </w:r>
      <w:r w:rsidRPr="00F45B47">
        <w:rPr>
          <w:spacing w:val="56"/>
        </w:rPr>
        <w:t xml:space="preserve"> </w:t>
      </w:r>
      <w:r w:rsidRPr="002D119A">
        <w:t>proportionate</w:t>
      </w:r>
      <w:r w:rsidRPr="00F45B47">
        <w:rPr>
          <w:spacing w:val="55"/>
        </w:rPr>
        <w:t xml:space="preserve"> </w:t>
      </w:r>
      <w:r w:rsidRPr="002D119A">
        <w:t>means</w:t>
      </w:r>
      <w:r w:rsidRPr="00F45B47">
        <w:rPr>
          <w:spacing w:val="57"/>
        </w:rPr>
        <w:t xml:space="preserve"> </w:t>
      </w:r>
      <w:r w:rsidRPr="002D119A">
        <w:t>of</w:t>
      </w:r>
      <w:r w:rsidRPr="00F45B47">
        <w:rPr>
          <w:spacing w:val="54"/>
        </w:rPr>
        <w:t xml:space="preserve"> </w:t>
      </w:r>
      <w:r w:rsidRPr="002D119A">
        <w:t>achieving</w:t>
      </w:r>
      <w:r w:rsidRPr="00F45B47">
        <w:rPr>
          <w:spacing w:val="55"/>
        </w:rPr>
        <w:t xml:space="preserve"> </w:t>
      </w:r>
      <w:r w:rsidRPr="002D119A">
        <w:t>a</w:t>
      </w:r>
      <w:r w:rsidRPr="00F45B47">
        <w:rPr>
          <w:spacing w:val="43"/>
          <w:w w:val="99"/>
        </w:rPr>
        <w:t xml:space="preserve"> </w:t>
      </w:r>
      <w:r w:rsidRPr="002D119A">
        <w:t>legitimate</w:t>
      </w:r>
      <w:r w:rsidRPr="00F45B47">
        <w:rPr>
          <w:spacing w:val="-14"/>
        </w:rPr>
        <w:t xml:space="preserve"> </w:t>
      </w:r>
      <w:r w:rsidRPr="002D119A">
        <w:t>aim.</w:t>
      </w:r>
    </w:p>
    <w:p w14:paraId="5278CCF8" w14:textId="77777777" w:rsidR="00DB7F92" w:rsidRPr="002D119A" w:rsidRDefault="00DB7F92" w:rsidP="005A7DDA">
      <w:pPr>
        <w:pStyle w:val="Heading4"/>
        <w:numPr>
          <w:ilvl w:val="0"/>
          <w:numId w:val="90"/>
        </w:numPr>
      </w:pPr>
      <w:r w:rsidRPr="002D119A">
        <w:t>Disability</w:t>
      </w:r>
      <w:r w:rsidRPr="002D119A">
        <w:rPr>
          <w:spacing w:val="77"/>
        </w:rPr>
        <w:t xml:space="preserve"> </w:t>
      </w:r>
      <w:r w:rsidRPr="002D119A">
        <w:t>discrimination</w:t>
      </w:r>
      <w:r w:rsidRPr="002D119A">
        <w:rPr>
          <w:spacing w:val="60"/>
        </w:rPr>
        <w:t xml:space="preserve"> </w:t>
      </w:r>
      <w:r w:rsidRPr="002D119A">
        <w:t>occurs</w:t>
      </w:r>
      <w:r w:rsidRPr="002D119A">
        <w:rPr>
          <w:spacing w:val="32"/>
        </w:rPr>
        <w:t xml:space="preserve"> </w:t>
      </w:r>
      <w:r w:rsidRPr="002D119A">
        <w:t>if</w:t>
      </w:r>
      <w:r w:rsidRPr="002D119A">
        <w:rPr>
          <w:spacing w:val="31"/>
        </w:rPr>
        <w:t xml:space="preserve"> </w:t>
      </w:r>
      <w:r w:rsidRPr="002D119A">
        <w:t>a</w:t>
      </w:r>
      <w:r w:rsidRPr="002D119A">
        <w:rPr>
          <w:spacing w:val="31"/>
        </w:rPr>
        <w:t xml:space="preserve"> </w:t>
      </w:r>
      <w:r w:rsidRPr="002D119A">
        <w:t>person</w:t>
      </w:r>
      <w:r w:rsidRPr="002D119A">
        <w:rPr>
          <w:spacing w:val="31"/>
        </w:rPr>
        <w:t xml:space="preserve"> </w:t>
      </w:r>
      <w:r w:rsidRPr="002D119A">
        <w:t>is</w:t>
      </w:r>
      <w:r w:rsidRPr="002D119A">
        <w:rPr>
          <w:spacing w:val="32"/>
        </w:rPr>
        <w:t xml:space="preserve"> </w:t>
      </w:r>
      <w:r w:rsidRPr="002D119A">
        <w:t>treated</w:t>
      </w:r>
      <w:r w:rsidRPr="002D119A">
        <w:rPr>
          <w:spacing w:val="48"/>
          <w:w w:val="99"/>
        </w:rPr>
        <w:t xml:space="preserve"> </w:t>
      </w:r>
      <w:r w:rsidRPr="002D119A">
        <w:t>unfavourably</w:t>
      </w:r>
      <w:r w:rsidRPr="002D119A">
        <w:rPr>
          <w:spacing w:val="25"/>
        </w:rPr>
        <w:t xml:space="preserve"> </w:t>
      </w:r>
      <w:r w:rsidRPr="002D119A">
        <w:t>because</w:t>
      </w:r>
      <w:r w:rsidRPr="002D119A">
        <w:rPr>
          <w:spacing w:val="24"/>
        </w:rPr>
        <w:t xml:space="preserve"> </w:t>
      </w:r>
      <w:r w:rsidRPr="002D119A">
        <w:t>of</w:t>
      </w:r>
      <w:r w:rsidRPr="002D119A">
        <w:rPr>
          <w:spacing w:val="22"/>
        </w:rPr>
        <w:t xml:space="preserve"> </w:t>
      </w:r>
      <w:r w:rsidRPr="002D119A">
        <w:t>something</w:t>
      </w:r>
      <w:r w:rsidRPr="002D119A">
        <w:rPr>
          <w:spacing w:val="24"/>
        </w:rPr>
        <w:t xml:space="preserve"> </w:t>
      </w:r>
      <w:r w:rsidRPr="002D119A">
        <w:t>"arising</w:t>
      </w:r>
      <w:r w:rsidRPr="002D119A">
        <w:rPr>
          <w:spacing w:val="22"/>
        </w:rPr>
        <w:t xml:space="preserve"> </w:t>
      </w:r>
      <w:r w:rsidRPr="002D119A">
        <w:t>in</w:t>
      </w:r>
      <w:r w:rsidRPr="002D119A">
        <w:rPr>
          <w:spacing w:val="22"/>
        </w:rPr>
        <w:t xml:space="preserve"> </w:t>
      </w:r>
      <w:r w:rsidRPr="002D119A">
        <w:t>consequence</w:t>
      </w:r>
      <w:r w:rsidRPr="002D119A">
        <w:rPr>
          <w:spacing w:val="22"/>
        </w:rPr>
        <w:t xml:space="preserve"> </w:t>
      </w:r>
      <w:r w:rsidRPr="002D119A">
        <w:t>of</w:t>
      </w:r>
      <w:r w:rsidRPr="002D119A">
        <w:rPr>
          <w:spacing w:val="57"/>
        </w:rPr>
        <w:t xml:space="preserve"> </w:t>
      </w:r>
      <w:r w:rsidRPr="002D119A">
        <w:t>their</w:t>
      </w:r>
      <w:r w:rsidRPr="002D119A">
        <w:rPr>
          <w:spacing w:val="56"/>
        </w:rPr>
        <w:t xml:space="preserve"> </w:t>
      </w:r>
      <w:r w:rsidRPr="002D119A">
        <w:t>disability".</w:t>
      </w:r>
      <w:r w:rsidRPr="002D119A">
        <w:rPr>
          <w:spacing w:val="48"/>
        </w:rPr>
        <w:t xml:space="preserve"> </w:t>
      </w:r>
      <w:r w:rsidRPr="002D119A">
        <w:t>This</w:t>
      </w:r>
      <w:r w:rsidRPr="002D119A">
        <w:rPr>
          <w:spacing w:val="59"/>
        </w:rPr>
        <w:t xml:space="preserve"> </w:t>
      </w:r>
      <w:r w:rsidRPr="002D119A">
        <w:t>captures</w:t>
      </w:r>
      <w:r w:rsidRPr="002D119A">
        <w:rPr>
          <w:spacing w:val="58"/>
        </w:rPr>
        <w:t xml:space="preserve"> </w:t>
      </w:r>
      <w:r w:rsidRPr="002D119A">
        <w:t>discrimination</w:t>
      </w:r>
      <w:r w:rsidRPr="002D119A">
        <w:rPr>
          <w:spacing w:val="59"/>
        </w:rPr>
        <w:t xml:space="preserve"> </w:t>
      </w:r>
      <w:r w:rsidRPr="002D119A">
        <w:t>that</w:t>
      </w:r>
      <w:r w:rsidRPr="002D119A">
        <w:rPr>
          <w:spacing w:val="58"/>
        </w:rPr>
        <w:t xml:space="preserve"> </w:t>
      </w:r>
      <w:r w:rsidRPr="002D119A">
        <w:t>occurs</w:t>
      </w:r>
      <w:r w:rsidRPr="002D119A">
        <w:rPr>
          <w:spacing w:val="57"/>
        </w:rPr>
        <w:t xml:space="preserve"> </w:t>
      </w:r>
      <w:r w:rsidRPr="002D119A">
        <w:t>not</w:t>
      </w:r>
      <w:r w:rsidRPr="002D119A">
        <w:rPr>
          <w:spacing w:val="55"/>
          <w:w w:val="99"/>
        </w:rPr>
        <w:t xml:space="preserve"> </w:t>
      </w:r>
      <w:r w:rsidRPr="002D119A">
        <w:t>because</w:t>
      </w:r>
      <w:r w:rsidRPr="002D119A">
        <w:rPr>
          <w:spacing w:val="20"/>
        </w:rPr>
        <w:t xml:space="preserve"> </w:t>
      </w:r>
      <w:r w:rsidRPr="002D119A">
        <w:t>of</w:t>
      </w:r>
      <w:r w:rsidRPr="002D119A">
        <w:rPr>
          <w:spacing w:val="20"/>
        </w:rPr>
        <w:t xml:space="preserve"> </w:t>
      </w:r>
      <w:r w:rsidRPr="002D119A">
        <w:t>a</w:t>
      </w:r>
      <w:r w:rsidRPr="002D119A">
        <w:rPr>
          <w:spacing w:val="21"/>
        </w:rPr>
        <w:t xml:space="preserve"> </w:t>
      </w:r>
      <w:r w:rsidRPr="002D119A">
        <w:t>person's</w:t>
      </w:r>
      <w:r w:rsidRPr="002D119A">
        <w:rPr>
          <w:spacing w:val="22"/>
        </w:rPr>
        <w:t xml:space="preserve"> </w:t>
      </w:r>
      <w:r w:rsidRPr="002D119A">
        <w:t>disability</w:t>
      </w:r>
      <w:r w:rsidRPr="002D119A">
        <w:rPr>
          <w:spacing w:val="21"/>
        </w:rPr>
        <w:t xml:space="preserve"> </w:t>
      </w:r>
      <w:r w:rsidRPr="002D119A">
        <w:t>per</w:t>
      </w:r>
      <w:r w:rsidRPr="002D119A">
        <w:rPr>
          <w:spacing w:val="21"/>
        </w:rPr>
        <w:t xml:space="preserve"> </w:t>
      </w:r>
      <w:r w:rsidRPr="002D119A">
        <w:t>se</w:t>
      </w:r>
      <w:r w:rsidRPr="002D119A">
        <w:rPr>
          <w:spacing w:val="20"/>
        </w:rPr>
        <w:t xml:space="preserve"> </w:t>
      </w:r>
      <w:r w:rsidRPr="002D119A">
        <w:t>(e.g.</w:t>
      </w:r>
      <w:r w:rsidRPr="002D119A">
        <w:rPr>
          <w:spacing w:val="21"/>
        </w:rPr>
        <w:t xml:space="preserve"> </w:t>
      </w:r>
      <w:r w:rsidRPr="002D119A">
        <w:t>a</w:t>
      </w:r>
      <w:r w:rsidRPr="002D119A">
        <w:rPr>
          <w:spacing w:val="21"/>
        </w:rPr>
        <w:t xml:space="preserve"> </w:t>
      </w:r>
      <w:r w:rsidRPr="002D119A">
        <w:t>person</w:t>
      </w:r>
      <w:r w:rsidRPr="002D119A">
        <w:rPr>
          <w:spacing w:val="21"/>
        </w:rPr>
        <w:t xml:space="preserve"> </w:t>
      </w:r>
      <w:r w:rsidRPr="002D119A">
        <w:t>has</w:t>
      </w:r>
      <w:r w:rsidRPr="002D119A">
        <w:rPr>
          <w:spacing w:val="45"/>
        </w:rPr>
        <w:t xml:space="preserve"> </w:t>
      </w:r>
      <w:r w:rsidRPr="002D119A">
        <w:t>multiple</w:t>
      </w:r>
      <w:r w:rsidRPr="002D119A">
        <w:rPr>
          <w:spacing w:val="21"/>
        </w:rPr>
        <w:t xml:space="preserve"> </w:t>
      </w:r>
      <w:r w:rsidRPr="002D119A">
        <w:t>sclerosis)</w:t>
      </w:r>
      <w:r w:rsidRPr="002D119A">
        <w:rPr>
          <w:spacing w:val="23"/>
        </w:rPr>
        <w:t xml:space="preserve"> </w:t>
      </w:r>
      <w:r w:rsidRPr="002D119A">
        <w:t>but</w:t>
      </w:r>
      <w:r w:rsidRPr="002D119A">
        <w:rPr>
          <w:spacing w:val="25"/>
        </w:rPr>
        <w:t xml:space="preserve"> </w:t>
      </w:r>
      <w:r w:rsidRPr="002D119A">
        <w:t>because</w:t>
      </w:r>
      <w:r w:rsidRPr="002D119A">
        <w:rPr>
          <w:spacing w:val="25"/>
        </w:rPr>
        <w:t xml:space="preserve"> </w:t>
      </w:r>
      <w:r w:rsidRPr="002D119A">
        <w:t>of</w:t>
      </w:r>
      <w:r w:rsidRPr="002D119A">
        <w:rPr>
          <w:spacing w:val="21"/>
        </w:rPr>
        <w:t xml:space="preserve"> </w:t>
      </w:r>
      <w:r w:rsidRPr="002D119A">
        <w:t>the</w:t>
      </w:r>
      <w:r w:rsidRPr="002D119A">
        <w:rPr>
          <w:spacing w:val="22"/>
        </w:rPr>
        <w:t xml:space="preserve"> </w:t>
      </w:r>
      <w:r w:rsidRPr="002D119A">
        <w:t>behaviour</w:t>
      </w:r>
      <w:r w:rsidRPr="002D119A">
        <w:rPr>
          <w:spacing w:val="24"/>
        </w:rPr>
        <w:t xml:space="preserve"> </w:t>
      </w:r>
      <w:r w:rsidRPr="002D119A">
        <w:t>caused</w:t>
      </w:r>
      <w:r w:rsidRPr="002D119A">
        <w:rPr>
          <w:spacing w:val="24"/>
        </w:rPr>
        <w:t xml:space="preserve"> </w:t>
      </w:r>
      <w:r w:rsidRPr="002D119A">
        <w:t>by</w:t>
      </w:r>
      <w:r w:rsidRPr="002D119A">
        <w:rPr>
          <w:spacing w:val="24"/>
        </w:rPr>
        <w:t xml:space="preserve"> </w:t>
      </w:r>
      <w:r w:rsidRPr="002D119A">
        <w:t>the</w:t>
      </w:r>
      <w:r w:rsidRPr="002D119A">
        <w:rPr>
          <w:spacing w:val="59"/>
          <w:w w:val="99"/>
        </w:rPr>
        <w:t xml:space="preserve"> </w:t>
      </w:r>
      <w:r w:rsidRPr="002D119A">
        <w:t>disability</w:t>
      </w:r>
      <w:r w:rsidRPr="002D119A">
        <w:rPr>
          <w:spacing w:val="18"/>
        </w:rPr>
        <w:t xml:space="preserve"> </w:t>
      </w:r>
      <w:r w:rsidRPr="002D119A">
        <w:t>(e.g.</w:t>
      </w:r>
      <w:r w:rsidRPr="002D119A">
        <w:rPr>
          <w:spacing w:val="17"/>
        </w:rPr>
        <w:t xml:space="preserve"> </w:t>
      </w:r>
      <w:r w:rsidRPr="002D119A">
        <w:t>use</w:t>
      </w:r>
      <w:r w:rsidRPr="002D119A">
        <w:rPr>
          <w:spacing w:val="19"/>
        </w:rPr>
        <w:t xml:space="preserve"> </w:t>
      </w:r>
      <w:r w:rsidRPr="002D119A">
        <w:t>of</w:t>
      </w:r>
      <w:r w:rsidRPr="002D119A">
        <w:rPr>
          <w:spacing w:val="18"/>
        </w:rPr>
        <w:t xml:space="preserve"> </w:t>
      </w:r>
      <w:r w:rsidRPr="002D119A">
        <w:t>a</w:t>
      </w:r>
      <w:r w:rsidRPr="002D119A">
        <w:rPr>
          <w:spacing w:val="19"/>
        </w:rPr>
        <w:t xml:space="preserve"> </w:t>
      </w:r>
      <w:r w:rsidRPr="002D119A">
        <w:t>wheelchair).</w:t>
      </w:r>
      <w:r w:rsidRPr="002D119A">
        <w:rPr>
          <w:spacing w:val="39"/>
        </w:rPr>
        <w:t xml:space="preserve"> </w:t>
      </w:r>
      <w:r w:rsidRPr="002D119A">
        <w:t>So</w:t>
      </w:r>
      <w:r w:rsidRPr="002D119A">
        <w:rPr>
          <w:spacing w:val="19"/>
        </w:rPr>
        <w:t xml:space="preserve"> </w:t>
      </w:r>
      <w:r w:rsidRPr="002D119A">
        <w:t>an</w:t>
      </w:r>
      <w:r w:rsidRPr="002D119A">
        <w:rPr>
          <w:spacing w:val="17"/>
        </w:rPr>
        <w:t xml:space="preserve"> </w:t>
      </w:r>
      <w:r w:rsidRPr="002D119A">
        <w:t>inability</w:t>
      </w:r>
      <w:r w:rsidRPr="002D119A">
        <w:rPr>
          <w:spacing w:val="20"/>
        </w:rPr>
        <w:t xml:space="preserve"> </w:t>
      </w:r>
      <w:r w:rsidRPr="002D119A">
        <w:t>of</w:t>
      </w:r>
      <w:r w:rsidRPr="002D119A">
        <w:rPr>
          <w:spacing w:val="16"/>
        </w:rPr>
        <w:t xml:space="preserve"> </w:t>
      </w:r>
      <w:r w:rsidRPr="002D119A">
        <w:t>someone</w:t>
      </w:r>
      <w:r w:rsidRPr="002D119A">
        <w:rPr>
          <w:spacing w:val="59"/>
          <w:w w:val="99"/>
        </w:rPr>
        <w:t xml:space="preserve"> </w:t>
      </w:r>
      <w:r w:rsidRPr="002D119A">
        <w:t>with</w:t>
      </w:r>
      <w:r w:rsidRPr="002D119A">
        <w:rPr>
          <w:spacing w:val="26"/>
        </w:rPr>
        <w:t xml:space="preserve"> </w:t>
      </w:r>
      <w:r w:rsidRPr="002D119A">
        <w:t>multiple</w:t>
      </w:r>
      <w:r w:rsidRPr="002D119A">
        <w:rPr>
          <w:spacing w:val="26"/>
        </w:rPr>
        <w:t xml:space="preserve"> </w:t>
      </w:r>
      <w:r w:rsidRPr="002D119A">
        <w:t>sclerosis</w:t>
      </w:r>
      <w:r w:rsidRPr="002D119A">
        <w:rPr>
          <w:spacing w:val="27"/>
        </w:rPr>
        <w:t xml:space="preserve"> </w:t>
      </w:r>
      <w:r w:rsidRPr="002D119A">
        <w:t>to</w:t>
      </w:r>
      <w:r w:rsidRPr="002D119A">
        <w:rPr>
          <w:spacing w:val="26"/>
        </w:rPr>
        <w:t xml:space="preserve"> </w:t>
      </w:r>
      <w:r w:rsidRPr="002D119A">
        <w:t>access</w:t>
      </w:r>
      <w:r w:rsidRPr="002D119A">
        <w:rPr>
          <w:spacing w:val="27"/>
        </w:rPr>
        <w:t xml:space="preserve"> </w:t>
      </w:r>
      <w:r w:rsidRPr="002D119A">
        <w:t>services</w:t>
      </w:r>
      <w:r w:rsidRPr="002D119A">
        <w:rPr>
          <w:spacing w:val="27"/>
        </w:rPr>
        <w:t xml:space="preserve"> </w:t>
      </w:r>
      <w:r w:rsidRPr="002D119A">
        <w:t>when</w:t>
      </w:r>
      <w:r w:rsidRPr="002D119A">
        <w:rPr>
          <w:spacing w:val="27"/>
        </w:rPr>
        <w:t xml:space="preserve"> </w:t>
      </w:r>
      <w:r w:rsidRPr="002D119A">
        <w:t>using</w:t>
      </w:r>
      <w:r w:rsidRPr="002D119A">
        <w:rPr>
          <w:spacing w:val="25"/>
        </w:rPr>
        <w:t xml:space="preserve"> </w:t>
      </w:r>
      <w:r w:rsidRPr="002D119A">
        <w:t>their</w:t>
      </w:r>
      <w:r w:rsidRPr="002D119A">
        <w:rPr>
          <w:spacing w:val="50"/>
          <w:w w:val="99"/>
        </w:rPr>
        <w:t xml:space="preserve"> </w:t>
      </w:r>
      <w:r w:rsidRPr="002D119A">
        <w:t xml:space="preserve">wheelchair </w:t>
      </w:r>
      <w:r w:rsidRPr="002D119A">
        <w:rPr>
          <w:spacing w:val="11"/>
        </w:rPr>
        <w:t xml:space="preserve"> </w:t>
      </w:r>
      <w:r w:rsidRPr="002D119A">
        <w:t xml:space="preserve">could </w:t>
      </w:r>
      <w:r w:rsidRPr="002D119A">
        <w:rPr>
          <w:spacing w:val="11"/>
        </w:rPr>
        <w:t xml:space="preserve"> </w:t>
      </w:r>
      <w:r w:rsidRPr="002D119A">
        <w:t xml:space="preserve">be </w:t>
      </w:r>
      <w:r w:rsidRPr="002D119A">
        <w:rPr>
          <w:spacing w:val="12"/>
        </w:rPr>
        <w:t xml:space="preserve"> </w:t>
      </w:r>
      <w:r w:rsidRPr="002D119A">
        <w:t xml:space="preserve">an </w:t>
      </w:r>
      <w:r w:rsidRPr="002D119A">
        <w:rPr>
          <w:spacing w:val="12"/>
        </w:rPr>
        <w:t xml:space="preserve"> </w:t>
      </w:r>
      <w:r w:rsidRPr="002D119A">
        <w:t xml:space="preserve">instance </w:t>
      </w:r>
      <w:r w:rsidRPr="002D119A">
        <w:rPr>
          <w:spacing w:val="11"/>
        </w:rPr>
        <w:t xml:space="preserve"> </w:t>
      </w:r>
      <w:r w:rsidRPr="002D119A">
        <w:t xml:space="preserve">of </w:t>
      </w:r>
      <w:r w:rsidRPr="002D119A">
        <w:rPr>
          <w:spacing w:val="12"/>
        </w:rPr>
        <w:t xml:space="preserve"> </w:t>
      </w:r>
      <w:r w:rsidRPr="002D119A">
        <w:t xml:space="preserve">disability </w:t>
      </w:r>
      <w:r w:rsidRPr="002D119A">
        <w:rPr>
          <w:spacing w:val="12"/>
        </w:rPr>
        <w:t xml:space="preserve"> </w:t>
      </w:r>
      <w:r w:rsidRPr="002D119A">
        <w:t>discrimination.</w:t>
      </w:r>
    </w:p>
    <w:p w14:paraId="7F5C2BFE" w14:textId="77777777" w:rsidR="00DB7F92" w:rsidRPr="002D119A" w:rsidRDefault="00DB7F92" w:rsidP="005A7DDA">
      <w:pPr>
        <w:pStyle w:val="Heading4"/>
        <w:numPr>
          <w:ilvl w:val="0"/>
          <w:numId w:val="90"/>
        </w:numPr>
      </w:pPr>
      <w:r w:rsidRPr="002D119A">
        <w:t>Disability</w:t>
      </w:r>
      <w:r w:rsidRPr="002D119A">
        <w:rPr>
          <w:spacing w:val="40"/>
        </w:rPr>
        <w:t xml:space="preserve"> </w:t>
      </w:r>
      <w:r w:rsidRPr="002D119A">
        <w:t>discrimination</w:t>
      </w:r>
      <w:r w:rsidRPr="002D119A">
        <w:rPr>
          <w:spacing w:val="38"/>
        </w:rPr>
        <w:t xml:space="preserve"> </w:t>
      </w:r>
      <w:r w:rsidRPr="002D119A">
        <w:t>is</w:t>
      </w:r>
      <w:r w:rsidRPr="002D119A">
        <w:rPr>
          <w:spacing w:val="39"/>
        </w:rPr>
        <w:t xml:space="preserve"> </w:t>
      </w:r>
      <w:r w:rsidRPr="002D119A">
        <w:t>not</w:t>
      </w:r>
      <w:r w:rsidRPr="002D119A">
        <w:rPr>
          <w:spacing w:val="38"/>
        </w:rPr>
        <w:t xml:space="preserve"> </w:t>
      </w:r>
      <w:r w:rsidRPr="002D119A">
        <w:t>unlawful</w:t>
      </w:r>
      <w:r w:rsidRPr="002D119A">
        <w:rPr>
          <w:spacing w:val="40"/>
        </w:rPr>
        <w:t xml:space="preserve"> </w:t>
      </w:r>
      <w:r w:rsidRPr="002D119A">
        <w:t>if</w:t>
      </w:r>
      <w:r w:rsidRPr="002D119A">
        <w:rPr>
          <w:spacing w:val="37"/>
        </w:rPr>
        <w:t xml:space="preserve"> </w:t>
      </w:r>
      <w:r w:rsidRPr="002D119A">
        <w:t>it</w:t>
      </w:r>
      <w:r w:rsidRPr="002D119A">
        <w:rPr>
          <w:spacing w:val="41"/>
        </w:rPr>
        <w:t xml:space="preserve"> </w:t>
      </w:r>
      <w:r w:rsidRPr="002D119A">
        <w:t>is</w:t>
      </w:r>
      <w:r w:rsidRPr="002D119A">
        <w:rPr>
          <w:spacing w:val="38"/>
        </w:rPr>
        <w:t xml:space="preserve"> </w:t>
      </w:r>
      <w:r w:rsidRPr="002D119A">
        <w:t>a</w:t>
      </w:r>
      <w:r w:rsidRPr="002D119A">
        <w:rPr>
          <w:spacing w:val="38"/>
        </w:rPr>
        <w:t xml:space="preserve"> </w:t>
      </w:r>
      <w:r w:rsidRPr="002D119A">
        <w:t>proportionate</w:t>
      </w:r>
      <w:r w:rsidRPr="002D119A">
        <w:rPr>
          <w:spacing w:val="61"/>
          <w:w w:val="99"/>
        </w:rPr>
        <w:t xml:space="preserve"> </w:t>
      </w:r>
      <w:r w:rsidRPr="002D119A">
        <w:t>means</w:t>
      </w:r>
      <w:r w:rsidRPr="002D119A">
        <w:rPr>
          <w:spacing w:val="-6"/>
        </w:rPr>
        <w:t xml:space="preserve"> </w:t>
      </w:r>
      <w:r w:rsidRPr="002D119A">
        <w:t>of</w:t>
      </w:r>
      <w:r w:rsidRPr="002D119A">
        <w:rPr>
          <w:spacing w:val="-5"/>
        </w:rPr>
        <w:t xml:space="preserve"> </w:t>
      </w:r>
      <w:r w:rsidRPr="002D119A">
        <w:t>achieving</w:t>
      </w:r>
      <w:r w:rsidRPr="002D119A">
        <w:rPr>
          <w:spacing w:val="-4"/>
        </w:rPr>
        <w:t xml:space="preserve"> </w:t>
      </w:r>
      <w:r w:rsidRPr="002D119A">
        <w:t>a</w:t>
      </w:r>
      <w:r w:rsidRPr="002D119A">
        <w:rPr>
          <w:spacing w:val="-4"/>
        </w:rPr>
        <w:t xml:space="preserve"> </w:t>
      </w:r>
      <w:r w:rsidRPr="002D119A">
        <w:t>legitimate</w:t>
      </w:r>
      <w:r w:rsidRPr="002D119A">
        <w:rPr>
          <w:spacing w:val="-5"/>
        </w:rPr>
        <w:t xml:space="preserve"> </w:t>
      </w:r>
      <w:r w:rsidRPr="002D119A">
        <w:t>aim.</w:t>
      </w:r>
    </w:p>
    <w:p w14:paraId="0E10B0AE" w14:textId="77777777" w:rsidR="00DB7F92" w:rsidRPr="002D119A" w:rsidRDefault="00DB7F92" w:rsidP="005A7DDA">
      <w:pPr>
        <w:pStyle w:val="Heading4"/>
        <w:numPr>
          <w:ilvl w:val="0"/>
          <w:numId w:val="90"/>
        </w:numPr>
      </w:pPr>
      <w:r w:rsidRPr="002D119A">
        <w:lastRenderedPageBreak/>
        <w:t>A</w:t>
      </w:r>
      <w:r w:rsidRPr="002D119A">
        <w:rPr>
          <w:spacing w:val="51"/>
        </w:rPr>
        <w:t xml:space="preserve"> </w:t>
      </w:r>
      <w:r w:rsidRPr="002D119A">
        <w:t>failure</w:t>
      </w:r>
      <w:r w:rsidRPr="002D119A">
        <w:rPr>
          <w:spacing w:val="50"/>
        </w:rPr>
        <w:t xml:space="preserve"> </w:t>
      </w:r>
      <w:r w:rsidRPr="002D119A">
        <w:t>to</w:t>
      </w:r>
      <w:r w:rsidRPr="002D119A">
        <w:rPr>
          <w:spacing w:val="50"/>
        </w:rPr>
        <w:t xml:space="preserve"> </w:t>
      </w:r>
      <w:r w:rsidRPr="002D119A">
        <w:t>make</w:t>
      </w:r>
      <w:r w:rsidRPr="002D119A">
        <w:rPr>
          <w:spacing w:val="50"/>
        </w:rPr>
        <w:t xml:space="preserve"> </w:t>
      </w:r>
      <w:r w:rsidRPr="002D119A">
        <w:t>"reasonable</w:t>
      </w:r>
      <w:r w:rsidRPr="002D119A">
        <w:rPr>
          <w:spacing w:val="52"/>
        </w:rPr>
        <w:t xml:space="preserve"> </w:t>
      </w:r>
      <w:r w:rsidRPr="002D119A">
        <w:t>adjustments"</w:t>
      </w:r>
      <w:r w:rsidRPr="002D119A">
        <w:rPr>
          <w:spacing w:val="33"/>
        </w:rPr>
        <w:t xml:space="preserve"> </w:t>
      </w:r>
      <w:r w:rsidRPr="002D119A">
        <w:t>for</w:t>
      </w:r>
      <w:r w:rsidRPr="002D119A">
        <w:rPr>
          <w:spacing w:val="51"/>
        </w:rPr>
        <w:t xml:space="preserve"> </w:t>
      </w:r>
      <w:r w:rsidRPr="002D119A">
        <w:t>people</w:t>
      </w:r>
      <w:r w:rsidRPr="002D119A">
        <w:rPr>
          <w:spacing w:val="50"/>
        </w:rPr>
        <w:t xml:space="preserve"> </w:t>
      </w:r>
      <w:r w:rsidRPr="002D119A">
        <w:t>with</w:t>
      </w:r>
      <w:r w:rsidRPr="002D119A">
        <w:rPr>
          <w:spacing w:val="43"/>
        </w:rPr>
        <w:t xml:space="preserve"> </w:t>
      </w:r>
      <w:r w:rsidRPr="002D119A">
        <w:t>disabilities</w:t>
      </w:r>
      <w:r w:rsidRPr="002D119A">
        <w:rPr>
          <w:spacing w:val="13"/>
        </w:rPr>
        <w:t xml:space="preserve"> </w:t>
      </w:r>
      <w:r w:rsidRPr="002D119A">
        <w:t>who</w:t>
      </w:r>
      <w:r w:rsidRPr="002D119A">
        <w:rPr>
          <w:spacing w:val="12"/>
        </w:rPr>
        <w:t xml:space="preserve"> </w:t>
      </w:r>
      <w:r w:rsidRPr="002D119A">
        <w:t>are</w:t>
      </w:r>
      <w:r w:rsidRPr="002D119A">
        <w:rPr>
          <w:spacing w:val="12"/>
        </w:rPr>
        <w:t xml:space="preserve"> </w:t>
      </w:r>
      <w:r w:rsidRPr="002D119A">
        <w:t>put</w:t>
      </w:r>
      <w:r w:rsidRPr="002D119A">
        <w:rPr>
          <w:spacing w:val="13"/>
        </w:rPr>
        <w:t xml:space="preserve"> </w:t>
      </w:r>
      <w:r w:rsidRPr="002D119A">
        <w:t>at</w:t>
      </w:r>
      <w:r w:rsidRPr="002D119A">
        <w:rPr>
          <w:spacing w:val="12"/>
        </w:rPr>
        <w:t xml:space="preserve"> </w:t>
      </w:r>
      <w:r w:rsidRPr="002D119A">
        <w:t>a</w:t>
      </w:r>
      <w:r w:rsidRPr="002D119A">
        <w:rPr>
          <w:spacing w:val="13"/>
        </w:rPr>
        <w:t xml:space="preserve"> </w:t>
      </w:r>
      <w:r w:rsidRPr="002D119A">
        <w:t>substantial</w:t>
      </w:r>
      <w:r w:rsidRPr="002D119A">
        <w:rPr>
          <w:spacing w:val="12"/>
        </w:rPr>
        <w:t xml:space="preserve"> </w:t>
      </w:r>
      <w:r w:rsidRPr="002D119A">
        <w:t>disadvantage</w:t>
      </w:r>
      <w:r w:rsidRPr="002D119A">
        <w:rPr>
          <w:spacing w:val="12"/>
        </w:rPr>
        <w:t xml:space="preserve"> </w:t>
      </w:r>
      <w:r w:rsidRPr="002D119A">
        <w:t>by</w:t>
      </w:r>
      <w:r w:rsidRPr="002D119A">
        <w:rPr>
          <w:spacing w:val="13"/>
        </w:rPr>
        <w:t xml:space="preserve"> </w:t>
      </w:r>
      <w:r w:rsidRPr="002D119A">
        <w:t>a</w:t>
      </w:r>
      <w:r w:rsidRPr="002D119A">
        <w:rPr>
          <w:spacing w:val="51"/>
          <w:w w:val="99"/>
        </w:rPr>
        <w:t xml:space="preserve"> </w:t>
      </w:r>
      <w:r w:rsidRPr="002D119A">
        <w:t>practice</w:t>
      </w:r>
      <w:r w:rsidRPr="002D119A">
        <w:rPr>
          <w:spacing w:val="37"/>
        </w:rPr>
        <w:t xml:space="preserve"> </w:t>
      </w:r>
      <w:r w:rsidRPr="002D119A">
        <w:t>or</w:t>
      </w:r>
      <w:r w:rsidRPr="002D119A">
        <w:rPr>
          <w:spacing w:val="36"/>
        </w:rPr>
        <w:t xml:space="preserve"> </w:t>
      </w:r>
      <w:r w:rsidRPr="002D119A">
        <w:t>physical</w:t>
      </w:r>
      <w:r w:rsidRPr="002D119A">
        <w:rPr>
          <w:spacing w:val="35"/>
        </w:rPr>
        <w:t xml:space="preserve"> </w:t>
      </w:r>
      <w:r w:rsidRPr="002D119A">
        <w:t>feature.</w:t>
      </w:r>
      <w:r w:rsidRPr="002D119A">
        <w:rPr>
          <w:spacing w:val="6"/>
        </w:rPr>
        <w:t xml:space="preserve"> </w:t>
      </w:r>
      <w:r w:rsidRPr="002D119A">
        <w:t>The</w:t>
      </w:r>
      <w:r w:rsidRPr="002D119A">
        <w:rPr>
          <w:spacing w:val="36"/>
        </w:rPr>
        <w:t xml:space="preserve"> </w:t>
      </w:r>
      <w:r w:rsidRPr="002D119A">
        <w:t>duty</w:t>
      </w:r>
      <w:r w:rsidRPr="002D119A">
        <w:rPr>
          <w:spacing w:val="36"/>
        </w:rPr>
        <w:t xml:space="preserve"> </w:t>
      </w:r>
      <w:r w:rsidRPr="002D119A">
        <w:t>also</w:t>
      </w:r>
      <w:r w:rsidRPr="002D119A">
        <w:rPr>
          <w:spacing w:val="35"/>
        </w:rPr>
        <w:t xml:space="preserve"> </w:t>
      </w:r>
      <w:r w:rsidRPr="002D119A">
        <w:t>requires</w:t>
      </w:r>
      <w:r w:rsidRPr="002D119A">
        <w:rPr>
          <w:spacing w:val="36"/>
        </w:rPr>
        <w:t xml:space="preserve"> </w:t>
      </w:r>
      <w:r w:rsidRPr="002D119A">
        <w:t>bodies</w:t>
      </w:r>
      <w:r w:rsidRPr="002D119A">
        <w:rPr>
          <w:spacing w:val="36"/>
        </w:rPr>
        <w:t xml:space="preserve"> </w:t>
      </w:r>
      <w:r w:rsidRPr="002D119A">
        <w:t>to</w:t>
      </w:r>
      <w:r w:rsidRPr="002D119A">
        <w:rPr>
          <w:spacing w:val="67"/>
        </w:rPr>
        <w:t xml:space="preserve"> </w:t>
      </w:r>
      <w:r w:rsidRPr="002D119A">
        <w:t>put</w:t>
      </w:r>
      <w:r w:rsidRPr="002D119A">
        <w:rPr>
          <w:spacing w:val="13"/>
        </w:rPr>
        <w:t xml:space="preserve"> </w:t>
      </w:r>
      <w:r w:rsidRPr="002D119A">
        <w:t>an</w:t>
      </w:r>
      <w:r w:rsidRPr="002D119A">
        <w:rPr>
          <w:spacing w:val="13"/>
        </w:rPr>
        <w:t xml:space="preserve"> </w:t>
      </w:r>
      <w:r w:rsidRPr="002D119A">
        <w:t>"auxiliary</w:t>
      </w:r>
      <w:r w:rsidRPr="002D119A">
        <w:rPr>
          <w:spacing w:val="14"/>
        </w:rPr>
        <w:t xml:space="preserve"> </w:t>
      </w:r>
      <w:r w:rsidRPr="002D119A">
        <w:t>aid"</w:t>
      </w:r>
      <w:r w:rsidRPr="002D119A">
        <w:rPr>
          <w:spacing w:val="14"/>
        </w:rPr>
        <w:t xml:space="preserve"> </w:t>
      </w:r>
      <w:r w:rsidRPr="002D119A">
        <w:t>in</w:t>
      </w:r>
      <w:r w:rsidRPr="002D119A">
        <w:rPr>
          <w:spacing w:val="15"/>
        </w:rPr>
        <w:t xml:space="preserve"> </w:t>
      </w:r>
      <w:r w:rsidRPr="002D119A">
        <w:t>place</w:t>
      </w:r>
      <w:r w:rsidRPr="002D119A">
        <w:rPr>
          <w:spacing w:val="13"/>
        </w:rPr>
        <w:t xml:space="preserve"> </w:t>
      </w:r>
      <w:r w:rsidRPr="002D119A">
        <w:t>where</w:t>
      </w:r>
      <w:r w:rsidRPr="002D119A">
        <w:rPr>
          <w:spacing w:val="12"/>
        </w:rPr>
        <w:t xml:space="preserve"> </w:t>
      </w:r>
      <w:r w:rsidRPr="002D119A">
        <w:t>this</w:t>
      </w:r>
      <w:r w:rsidRPr="002D119A">
        <w:rPr>
          <w:spacing w:val="16"/>
        </w:rPr>
        <w:t xml:space="preserve"> </w:t>
      </w:r>
      <w:r w:rsidRPr="002D119A">
        <w:t>would</w:t>
      </w:r>
      <w:r w:rsidRPr="002D119A">
        <w:rPr>
          <w:spacing w:val="13"/>
        </w:rPr>
        <w:t xml:space="preserve"> </w:t>
      </w:r>
      <w:r w:rsidRPr="002D119A">
        <w:t>remove</w:t>
      </w:r>
      <w:r w:rsidRPr="002D119A">
        <w:rPr>
          <w:spacing w:val="12"/>
        </w:rPr>
        <w:t xml:space="preserve"> </w:t>
      </w:r>
      <w:r w:rsidRPr="002D119A">
        <w:t>a</w:t>
      </w:r>
      <w:r w:rsidRPr="002D119A">
        <w:rPr>
          <w:spacing w:val="45"/>
          <w:w w:val="99"/>
        </w:rPr>
        <w:t xml:space="preserve"> </w:t>
      </w:r>
      <w:r w:rsidRPr="002D119A">
        <w:t>substantial</w:t>
      </w:r>
      <w:r w:rsidRPr="002D119A">
        <w:rPr>
          <w:spacing w:val="29"/>
        </w:rPr>
        <w:t xml:space="preserve"> </w:t>
      </w:r>
      <w:r w:rsidRPr="002D119A">
        <w:t>disadvantage</w:t>
      </w:r>
      <w:r w:rsidRPr="002D119A">
        <w:rPr>
          <w:spacing w:val="30"/>
        </w:rPr>
        <w:t xml:space="preserve"> </w:t>
      </w:r>
      <w:r w:rsidRPr="002D119A">
        <w:t>e.g.</w:t>
      </w:r>
      <w:r w:rsidRPr="002D119A">
        <w:rPr>
          <w:spacing w:val="30"/>
        </w:rPr>
        <w:t xml:space="preserve"> </w:t>
      </w:r>
      <w:r w:rsidRPr="002D119A">
        <w:t>a</w:t>
      </w:r>
      <w:r w:rsidRPr="002D119A">
        <w:rPr>
          <w:spacing w:val="31"/>
        </w:rPr>
        <w:t xml:space="preserve"> </w:t>
      </w:r>
      <w:r w:rsidRPr="002D119A">
        <w:t>hearing</w:t>
      </w:r>
      <w:r w:rsidRPr="002D119A">
        <w:rPr>
          <w:spacing w:val="30"/>
        </w:rPr>
        <w:t xml:space="preserve"> </w:t>
      </w:r>
      <w:r w:rsidRPr="002D119A">
        <w:t>aid</w:t>
      </w:r>
      <w:r w:rsidRPr="002D119A">
        <w:rPr>
          <w:spacing w:val="29"/>
        </w:rPr>
        <w:t xml:space="preserve"> </w:t>
      </w:r>
      <w:r w:rsidRPr="002D119A">
        <w:t>induction</w:t>
      </w:r>
      <w:r w:rsidRPr="002D119A">
        <w:rPr>
          <w:spacing w:val="33"/>
        </w:rPr>
        <w:t xml:space="preserve"> </w:t>
      </w:r>
      <w:r w:rsidRPr="002D119A">
        <w:t>loop</w:t>
      </w:r>
      <w:r w:rsidRPr="002D119A">
        <w:rPr>
          <w:spacing w:val="30"/>
        </w:rPr>
        <w:t xml:space="preserve"> </w:t>
      </w:r>
      <w:r w:rsidRPr="002D119A">
        <w:t>The</w:t>
      </w:r>
      <w:r w:rsidRPr="002D119A">
        <w:rPr>
          <w:spacing w:val="61"/>
          <w:w w:val="99"/>
        </w:rPr>
        <w:t xml:space="preserve"> </w:t>
      </w:r>
      <w:r w:rsidRPr="002D119A">
        <w:t>duty</w:t>
      </w:r>
      <w:r w:rsidRPr="002D119A">
        <w:rPr>
          <w:spacing w:val="41"/>
        </w:rPr>
        <w:t xml:space="preserve"> </w:t>
      </w:r>
      <w:r w:rsidRPr="002D119A">
        <w:t>to</w:t>
      </w:r>
      <w:r w:rsidRPr="002D119A">
        <w:rPr>
          <w:spacing w:val="40"/>
        </w:rPr>
        <w:t xml:space="preserve"> </w:t>
      </w:r>
      <w:r w:rsidRPr="002D119A">
        <w:t>make</w:t>
      </w:r>
      <w:r w:rsidRPr="002D119A">
        <w:rPr>
          <w:spacing w:val="43"/>
        </w:rPr>
        <w:t xml:space="preserve"> </w:t>
      </w:r>
      <w:r w:rsidRPr="002D119A">
        <w:t>reasonable</w:t>
      </w:r>
      <w:r w:rsidRPr="002D119A">
        <w:rPr>
          <w:spacing w:val="39"/>
        </w:rPr>
        <w:t xml:space="preserve"> </w:t>
      </w:r>
      <w:r w:rsidRPr="002D119A">
        <w:t>adjustments</w:t>
      </w:r>
      <w:r w:rsidRPr="002D119A">
        <w:rPr>
          <w:spacing w:val="41"/>
        </w:rPr>
        <w:t xml:space="preserve"> </w:t>
      </w:r>
      <w:r w:rsidRPr="002D119A">
        <w:t>might</w:t>
      </w:r>
      <w:r w:rsidRPr="002D119A">
        <w:rPr>
          <w:spacing w:val="44"/>
        </w:rPr>
        <w:t xml:space="preserve"> </w:t>
      </w:r>
      <w:r w:rsidRPr="002D119A">
        <w:t>e.g.</w:t>
      </w:r>
      <w:r w:rsidRPr="002D119A">
        <w:rPr>
          <w:spacing w:val="41"/>
        </w:rPr>
        <w:t xml:space="preserve"> </w:t>
      </w:r>
      <w:r w:rsidRPr="002D119A">
        <w:t>require</w:t>
      </w:r>
      <w:r w:rsidRPr="002D119A">
        <w:rPr>
          <w:spacing w:val="40"/>
        </w:rPr>
        <w:t xml:space="preserve"> </w:t>
      </w:r>
      <w:r w:rsidRPr="002D119A">
        <w:t>NHS</w:t>
      </w:r>
      <w:r w:rsidRPr="002D119A">
        <w:rPr>
          <w:spacing w:val="47"/>
        </w:rPr>
        <w:t xml:space="preserve"> </w:t>
      </w:r>
      <w:r w:rsidRPr="002D119A">
        <w:t>England</w:t>
      </w:r>
      <w:r w:rsidRPr="002D119A">
        <w:rPr>
          <w:spacing w:val="19"/>
        </w:rPr>
        <w:t xml:space="preserve"> or a CCG </w:t>
      </w:r>
      <w:r w:rsidRPr="002D119A">
        <w:t>to</w:t>
      </w:r>
      <w:r w:rsidRPr="002D119A">
        <w:rPr>
          <w:spacing w:val="21"/>
        </w:rPr>
        <w:t xml:space="preserve"> </w:t>
      </w:r>
      <w:r w:rsidRPr="002D119A">
        <w:t>make</w:t>
      </w:r>
      <w:r w:rsidRPr="002D119A">
        <w:rPr>
          <w:spacing w:val="21"/>
        </w:rPr>
        <w:t xml:space="preserve"> </w:t>
      </w:r>
      <w:r w:rsidRPr="002D119A">
        <w:t>consultation</w:t>
      </w:r>
      <w:r w:rsidRPr="002D119A">
        <w:rPr>
          <w:spacing w:val="21"/>
        </w:rPr>
        <w:t xml:space="preserve"> </w:t>
      </w:r>
      <w:r w:rsidRPr="002D119A">
        <w:t>materials</w:t>
      </w:r>
      <w:r w:rsidRPr="002D119A">
        <w:rPr>
          <w:spacing w:val="21"/>
        </w:rPr>
        <w:t xml:space="preserve"> </w:t>
      </w:r>
      <w:r w:rsidRPr="002D119A">
        <w:t>available</w:t>
      </w:r>
      <w:r w:rsidRPr="002D119A">
        <w:rPr>
          <w:spacing w:val="21"/>
        </w:rPr>
        <w:t xml:space="preserve"> </w:t>
      </w:r>
      <w:r w:rsidRPr="002D119A">
        <w:t>in</w:t>
      </w:r>
      <w:r w:rsidRPr="002D119A">
        <w:rPr>
          <w:spacing w:val="24"/>
        </w:rPr>
        <w:t xml:space="preserve"> </w:t>
      </w:r>
      <w:r w:rsidRPr="002D119A">
        <w:t>braille.</w:t>
      </w:r>
      <w:r w:rsidRPr="002D119A">
        <w:rPr>
          <w:spacing w:val="56"/>
          <w:w w:val="99"/>
        </w:rPr>
        <w:t xml:space="preserve"> </w:t>
      </w:r>
      <w:r w:rsidRPr="002D119A">
        <w:t>However</w:t>
      </w:r>
      <w:r w:rsidRPr="002D119A">
        <w:rPr>
          <w:spacing w:val="54"/>
        </w:rPr>
        <w:t xml:space="preserve"> </w:t>
      </w:r>
      <w:r w:rsidRPr="002D119A">
        <w:t>some</w:t>
      </w:r>
      <w:r w:rsidRPr="002D119A">
        <w:rPr>
          <w:spacing w:val="54"/>
        </w:rPr>
        <w:t xml:space="preserve"> </w:t>
      </w:r>
      <w:r w:rsidRPr="002D119A">
        <w:t>care</w:t>
      </w:r>
      <w:r w:rsidRPr="002D119A">
        <w:rPr>
          <w:spacing w:val="54"/>
        </w:rPr>
        <w:t xml:space="preserve"> </w:t>
      </w:r>
      <w:r w:rsidRPr="002D119A">
        <w:t>is</w:t>
      </w:r>
      <w:r w:rsidRPr="002D119A">
        <w:rPr>
          <w:spacing w:val="57"/>
        </w:rPr>
        <w:t xml:space="preserve"> </w:t>
      </w:r>
      <w:r w:rsidRPr="002D119A">
        <w:t>needed</w:t>
      </w:r>
      <w:r w:rsidRPr="002D119A">
        <w:rPr>
          <w:spacing w:val="54"/>
        </w:rPr>
        <w:t xml:space="preserve"> </w:t>
      </w:r>
      <w:r w:rsidRPr="002D119A">
        <w:t>here.</w:t>
      </w:r>
      <w:r w:rsidRPr="002D119A">
        <w:rPr>
          <w:spacing w:val="43"/>
        </w:rPr>
        <w:t xml:space="preserve"> </w:t>
      </w:r>
      <w:r w:rsidRPr="002D119A">
        <w:t>People</w:t>
      </w:r>
      <w:r w:rsidRPr="002D119A">
        <w:rPr>
          <w:spacing w:val="54"/>
        </w:rPr>
        <w:t xml:space="preserve"> </w:t>
      </w:r>
      <w:r w:rsidRPr="002D119A">
        <w:t>with</w:t>
      </w:r>
      <w:r w:rsidRPr="002D119A">
        <w:rPr>
          <w:spacing w:val="55"/>
        </w:rPr>
        <w:t xml:space="preserve"> </w:t>
      </w:r>
      <w:r w:rsidRPr="002D119A">
        <w:t>disabilities</w:t>
      </w:r>
      <w:r w:rsidRPr="002D119A">
        <w:rPr>
          <w:spacing w:val="54"/>
          <w:w w:val="99"/>
        </w:rPr>
        <w:t xml:space="preserve"> </w:t>
      </w:r>
      <w:r w:rsidRPr="002D119A">
        <w:t>have</w:t>
      </w:r>
      <w:r w:rsidRPr="002D119A">
        <w:rPr>
          <w:spacing w:val="61"/>
        </w:rPr>
        <w:t xml:space="preserve"> </w:t>
      </w:r>
      <w:r w:rsidRPr="002D119A">
        <w:t>a</w:t>
      </w:r>
      <w:r w:rsidRPr="002D119A">
        <w:rPr>
          <w:spacing w:val="63"/>
        </w:rPr>
        <w:t xml:space="preserve"> </w:t>
      </w:r>
      <w:r w:rsidRPr="002D119A">
        <w:t>right</w:t>
      </w:r>
      <w:r w:rsidRPr="002D119A">
        <w:rPr>
          <w:spacing w:val="64"/>
        </w:rPr>
        <w:t xml:space="preserve"> </w:t>
      </w:r>
      <w:r w:rsidRPr="002D119A">
        <w:t>to</w:t>
      </w:r>
      <w:r w:rsidRPr="002D119A">
        <w:rPr>
          <w:spacing w:val="62"/>
        </w:rPr>
        <w:t xml:space="preserve"> </w:t>
      </w:r>
      <w:r w:rsidRPr="002D119A">
        <w:t>access</w:t>
      </w:r>
      <w:r w:rsidRPr="002D119A">
        <w:rPr>
          <w:spacing w:val="64"/>
        </w:rPr>
        <w:t xml:space="preserve"> </w:t>
      </w:r>
      <w:r w:rsidRPr="002D119A">
        <w:t>services</w:t>
      </w:r>
      <w:r w:rsidRPr="002D119A">
        <w:rPr>
          <w:spacing w:val="64"/>
        </w:rPr>
        <w:t xml:space="preserve"> </w:t>
      </w:r>
      <w:r w:rsidRPr="002D119A">
        <w:t>in</w:t>
      </w:r>
      <w:r w:rsidRPr="002D119A">
        <w:rPr>
          <w:spacing w:val="63"/>
        </w:rPr>
        <w:t xml:space="preserve"> </w:t>
      </w:r>
      <w:r w:rsidRPr="002D119A">
        <w:t>broadly</w:t>
      </w:r>
      <w:r w:rsidRPr="002D119A">
        <w:rPr>
          <w:spacing w:val="63"/>
        </w:rPr>
        <w:t xml:space="preserve"> </w:t>
      </w:r>
      <w:r w:rsidRPr="002D119A">
        <w:t>the</w:t>
      </w:r>
      <w:r w:rsidRPr="002D119A">
        <w:rPr>
          <w:spacing w:val="62"/>
        </w:rPr>
        <w:t xml:space="preserve"> </w:t>
      </w:r>
      <w:r w:rsidRPr="002D119A">
        <w:t>same</w:t>
      </w:r>
      <w:r w:rsidRPr="002D119A">
        <w:rPr>
          <w:spacing w:val="62"/>
        </w:rPr>
        <w:t xml:space="preserve"> </w:t>
      </w:r>
      <w:r w:rsidRPr="002D119A">
        <w:t>way</w:t>
      </w:r>
      <w:r w:rsidRPr="002D119A">
        <w:rPr>
          <w:spacing w:val="63"/>
        </w:rPr>
        <w:t xml:space="preserve"> </w:t>
      </w:r>
      <w:r w:rsidRPr="002D119A">
        <w:t>as</w:t>
      </w:r>
      <w:r w:rsidRPr="002D119A">
        <w:rPr>
          <w:spacing w:val="45"/>
        </w:rPr>
        <w:t xml:space="preserve"> </w:t>
      </w:r>
      <w:r w:rsidRPr="002D119A">
        <w:t>people</w:t>
      </w:r>
      <w:r w:rsidRPr="002D119A">
        <w:rPr>
          <w:spacing w:val="32"/>
        </w:rPr>
        <w:t xml:space="preserve"> </w:t>
      </w:r>
      <w:r w:rsidRPr="002D119A">
        <w:t>without</w:t>
      </w:r>
      <w:r w:rsidRPr="002D119A">
        <w:rPr>
          <w:spacing w:val="34"/>
        </w:rPr>
        <w:t xml:space="preserve"> </w:t>
      </w:r>
      <w:r w:rsidRPr="002D119A">
        <w:t>disabilities,</w:t>
      </w:r>
      <w:r w:rsidRPr="002D119A">
        <w:rPr>
          <w:spacing w:val="34"/>
        </w:rPr>
        <w:t xml:space="preserve"> </w:t>
      </w:r>
      <w:r w:rsidRPr="002D119A">
        <w:t>so</w:t>
      </w:r>
      <w:r w:rsidRPr="002D119A">
        <w:rPr>
          <w:spacing w:val="32"/>
        </w:rPr>
        <w:t xml:space="preserve"> </w:t>
      </w:r>
      <w:r w:rsidRPr="002D119A">
        <w:t>far</w:t>
      </w:r>
      <w:r w:rsidRPr="002D119A">
        <w:rPr>
          <w:spacing w:val="33"/>
        </w:rPr>
        <w:t xml:space="preserve"> </w:t>
      </w:r>
      <w:r w:rsidRPr="002D119A">
        <w:t>as</w:t>
      </w:r>
      <w:r w:rsidRPr="002D119A">
        <w:rPr>
          <w:spacing w:val="35"/>
        </w:rPr>
        <w:t xml:space="preserve"> </w:t>
      </w:r>
      <w:r w:rsidRPr="002D119A">
        <w:t>is</w:t>
      </w:r>
      <w:r w:rsidRPr="002D119A">
        <w:rPr>
          <w:spacing w:val="34"/>
        </w:rPr>
        <w:t xml:space="preserve"> </w:t>
      </w:r>
      <w:r w:rsidRPr="002D119A">
        <w:t>reasonable.</w:t>
      </w:r>
      <w:r w:rsidRPr="002D119A">
        <w:rPr>
          <w:spacing w:val="2"/>
        </w:rPr>
        <w:t xml:space="preserve"> </w:t>
      </w:r>
      <w:r w:rsidRPr="002D119A">
        <w:t>Offering</w:t>
      </w:r>
      <w:r w:rsidRPr="002D119A">
        <w:rPr>
          <w:spacing w:val="32"/>
        </w:rPr>
        <w:t xml:space="preserve"> </w:t>
      </w:r>
      <w:r w:rsidRPr="002D119A">
        <w:t>a</w:t>
      </w:r>
      <w:r w:rsidRPr="002D119A">
        <w:rPr>
          <w:spacing w:val="65"/>
          <w:w w:val="99"/>
        </w:rPr>
        <w:t xml:space="preserve"> </w:t>
      </w:r>
      <w:r w:rsidRPr="002D119A">
        <w:t>telephone</w:t>
      </w:r>
      <w:r w:rsidRPr="002D119A">
        <w:rPr>
          <w:spacing w:val="63"/>
        </w:rPr>
        <w:t xml:space="preserve"> </w:t>
      </w:r>
      <w:r w:rsidRPr="002D119A">
        <w:t>consultation to</w:t>
      </w:r>
      <w:r w:rsidRPr="002D119A">
        <w:rPr>
          <w:spacing w:val="63"/>
        </w:rPr>
        <w:t xml:space="preserve"> </w:t>
      </w:r>
      <w:r w:rsidRPr="002D119A">
        <w:t>a</w:t>
      </w:r>
      <w:r w:rsidRPr="002D119A">
        <w:rPr>
          <w:spacing w:val="64"/>
        </w:rPr>
        <w:t xml:space="preserve"> </w:t>
      </w:r>
      <w:r w:rsidRPr="002D119A">
        <w:t>wheelchair</w:t>
      </w:r>
      <w:r w:rsidRPr="002D119A">
        <w:rPr>
          <w:spacing w:val="64"/>
        </w:rPr>
        <w:t xml:space="preserve"> </w:t>
      </w:r>
      <w:r w:rsidRPr="002D119A">
        <w:t>using</w:t>
      </w:r>
      <w:r w:rsidRPr="002D119A">
        <w:rPr>
          <w:spacing w:val="62"/>
        </w:rPr>
        <w:t xml:space="preserve"> </w:t>
      </w:r>
      <w:r w:rsidRPr="002D119A">
        <w:t>patient</w:t>
      </w:r>
      <w:r w:rsidRPr="002D119A">
        <w:rPr>
          <w:spacing w:val="64"/>
        </w:rPr>
        <w:t xml:space="preserve"> </w:t>
      </w:r>
      <w:r w:rsidRPr="002D119A">
        <w:t>who</w:t>
      </w:r>
      <w:r w:rsidRPr="002D119A">
        <w:rPr>
          <w:spacing w:val="63"/>
        </w:rPr>
        <w:t xml:space="preserve"> </w:t>
      </w:r>
      <w:r w:rsidRPr="002D119A">
        <w:t>is</w:t>
      </w:r>
      <w:r w:rsidRPr="002D119A">
        <w:rPr>
          <w:spacing w:val="36"/>
          <w:w w:val="99"/>
        </w:rPr>
        <w:t xml:space="preserve"> </w:t>
      </w:r>
      <w:r w:rsidRPr="002D119A">
        <w:t xml:space="preserve">prevented </w:t>
      </w:r>
      <w:r w:rsidRPr="002D119A">
        <w:rPr>
          <w:spacing w:val="12"/>
        </w:rPr>
        <w:t xml:space="preserve"> </w:t>
      </w:r>
      <w:r w:rsidRPr="002D119A">
        <w:t xml:space="preserve">from </w:t>
      </w:r>
      <w:r w:rsidRPr="002D119A">
        <w:rPr>
          <w:spacing w:val="12"/>
        </w:rPr>
        <w:t xml:space="preserve"> </w:t>
      </w:r>
      <w:r w:rsidRPr="002D119A">
        <w:t xml:space="preserve">accessing </w:t>
      </w:r>
      <w:r w:rsidRPr="002D119A">
        <w:rPr>
          <w:spacing w:val="9"/>
        </w:rPr>
        <w:t xml:space="preserve"> </w:t>
      </w:r>
      <w:r w:rsidRPr="002D119A">
        <w:t xml:space="preserve">a </w:t>
      </w:r>
      <w:r w:rsidRPr="002D119A">
        <w:rPr>
          <w:spacing w:val="13"/>
        </w:rPr>
        <w:t xml:space="preserve"> </w:t>
      </w:r>
      <w:r w:rsidRPr="002D119A">
        <w:t xml:space="preserve">clinic </w:t>
      </w:r>
      <w:r w:rsidRPr="002D119A">
        <w:rPr>
          <w:spacing w:val="12"/>
        </w:rPr>
        <w:t xml:space="preserve"> </w:t>
      </w:r>
      <w:r w:rsidRPr="002D119A">
        <w:t xml:space="preserve">by </w:t>
      </w:r>
      <w:r w:rsidRPr="002D119A">
        <w:rPr>
          <w:spacing w:val="11"/>
        </w:rPr>
        <w:t xml:space="preserve"> </w:t>
      </w:r>
      <w:r w:rsidRPr="002D119A">
        <w:t xml:space="preserve">steps </w:t>
      </w:r>
      <w:r w:rsidRPr="002D119A">
        <w:rPr>
          <w:spacing w:val="15"/>
        </w:rPr>
        <w:t xml:space="preserve"> </w:t>
      </w:r>
      <w:r w:rsidRPr="002D119A">
        <w:t xml:space="preserve">may </w:t>
      </w:r>
      <w:r w:rsidRPr="002D119A">
        <w:rPr>
          <w:spacing w:val="11"/>
        </w:rPr>
        <w:t xml:space="preserve"> </w:t>
      </w:r>
      <w:r w:rsidRPr="002D119A">
        <w:t xml:space="preserve">in </w:t>
      </w:r>
      <w:r w:rsidRPr="002D119A">
        <w:rPr>
          <w:spacing w:val="13"/>
        </w:rPr>
        <w:t xml:space="preserve"> </w:t>
      </w:r>
      <w:r w:rsidRPr="002D119A">
        <w:t xml:space="preserve">fact </w:t>
      </w:r>
      <w:r w:rsidRPr="002D119A">
        <w:rPr>
          <w:spacing w:val="13"/>
        </w:rPr>
        <w:t xml:space="preserve"> </w:t>
      </w:r>
      <w:r w:rsidRPr="002D119A">
        <w:t>be unlawful</w:t>
      </w:r>
      <w:r w:rsidRPr="002D119A">
        <w:rPr>
          <w:spacing w:val="3"/>
        </w:rPr>
        <w:t xml:space="preserve"> </w:t>
      </w:r>
      <w:r w:rsidRPr="002D119A">
        <w:t>discrimination</w:t>
      </w:r>
      <w:r w:rsidRPr="002D119A">
        <w:rPr>
          <w:spacing w:val="4"/>
        </w:rPr>
        <w:t xml:space="preserve"> </w:t>
      </w:r>
      <w:r w:rsidRPr="002D119A">
        <w:t>rather</w:t>
      </w:r>
      <w:r w:rsidRPr="002D119A">
        <w:rPr>
          <w:spacing w:val="1"/>
        </w:rPr>
        <w:t xml:space="preserve"> </w:t>
      </w:r>
      <w:r w:rsidRPr="002D119A">
        <w:t>than</w:t>
      </w:r>
      <w:r w:rsidRPr="002D119A">
        <w:rPr>
          <w:spacing w:val="1"/>
        </w:rPr>
        <w:t xml:space="preserve"> </w:t>
      </w:r>
      <w:r w:rsidRPr="002D119A">
        <w:t xml:space="preserve">a </w:t>
      </w:r>
      <w:r w:rsidRPr="002D119A">
        <w:rPr>
          <w:spacing w:val="2"/>
        </w:rPr>
        <w:t xml:space="preserve"> </w:t>
      </w:r>
      <w:r w:rsidRPr="002D119A">
        <w:t>reasonable  adjustment.</w:t>
      </w:r>
      <w:r w:rsidRPr="002D119A">
        <w:rPr>
          <w:spacing w:val="43"/>
        </w:rPr>
        <w:t xml:space="preserve"> </w:t>
      </w:r>
      <w:r w:rsidRPr="002D119A">
        <w:t>The</w:t>
      </w:r>
      <w:r w:rsidRPr="002D119A">
        <w:rPr>
          <w:spacing w:val="1"/>
        </w:rPr>
        <w:t xml:space="preserve"> </w:t>
      </w:r>
      <w:r w:rsidRPr="002D119A">
        <w:t>wheelchair</w:t>
      </w:r>
      <w:r w:rsidRPr="002D119A">
        <w:rPr>
          <w:spacing w:val="4"/>
        </w:rPr>
        <w:t xml:space="preserve"> </w:t>
      </w:r>
      <w:r w:rsidRPr="002D119A">
        <w:t>user</w:t>
      </w:r>
      <w:r w:rsidRPr="002D119A">
        <w:rPr>
          <w:spacing w:val="2"/>
        </w:rPr>
        <w:t xml:space="preserve"> </w:t>
      </w:r>
      <w:r w:rsidRPr="002D119A">
        <w:t>should</w:t>
      </w:r>
      <w:r w:rsidRPr="002D119A">
        <w:rPr>
          <w:spacing w:val="3"/>
        </w:rPr>
        <w:t xml:space="preserve"> </w:t>
      </w:r>
      <w:r w:rsidRPr="002D119A">
        <w:t>be</w:t>
      </w:r>
      <w:r w:rsidRPr="002D119A">
        <w:rPr>
          <w:spacing w:val="3"/>
        </w:rPr>
        <w:t xml:space="preserve"> </w:t>
      </w:r>
      <w:r w:rsidRPr="002D119A">
        <w:t>able</w:t>
      </w:r>
      <w:r w:rsidRPr="002D119A">
        <w:rPr>
          <w:spacing w:val="1"/>
        </w:rPr>
        <w:t xml:space="preserve"> to </w:t>
      </w:r>
      <w:r w:rsidRPr="002D119A">
        <w:t>access</w:t>
      </w:r>
      <w:r w:rsidRPr="002D119A">
        <w:rPr>
          <w:spacing w:val="5"/>
        </w:rPr>
        <w:t xml:space="preserve"> </w:t>
      </w:r>
      <w:r w:rsidRPr="002D119A">
        <w:t>services</w:t>
      </w:r>
      <w:r w:rsidRPr="002D119A">
        <w:rPr>
          <w:spacing w:val="3"/>
        </w:rPr>
        <w:t xml:space="preserve"> </w:t>
      </w:r>
      <w:r w:rsidRPr="002D119A">
        <w:t>in</w:t>
      </w:r>
      <w:r w:rsidRPr="002D119A">
        <w:rPr>
          <w:spacing w:val="4"/>
        </w:rPr>
        <w:t xml:space="preserve"> </w:t>
      </w:r>
      <w:r w:rsidRPr="002D119A">
        <w:t>broadly</w:t>
      </w:r>
      <w:r w:rsidRPr="002D119A">
        <w:rPr>
          <w:spacing w:val="60"/>
          <w:w w:val="99"/>
        </w:rPr>
        <w:t xml:space="preserve"> </w:t>
      </w:r>
      <w:r w:rsidRPr="002D119A">
        <w:t>the</w:t>
      </w:r>
      <w:r w:rsidRPr="002D119A">
        <w:rPr>
          <w:spacing w:val="8"/>
        </w:rPr>
        <w:t xml:space="preserve"> </w:t>
      </w:r>
      <w:r w:rsidRPr="002D119A">
        <w:t>same</w:t>
      </w:r>
      <w:r w:rsidRPr="002D119A">
        <w:rPr>
          <w:spacing w:val="9"/>
        </w:rPr>
        <w:t xml:space="preserve"> </w:t>
      </w:r>
      <w:r w:rsidRPr="002D119A">
        <w:t>way</w:t>
      </w:r>
      <w:r w:rsidRPr="002D119A">
        <w:rPr>
          <w:spacing w:val="9"/>
        </w:rPr>
        <w:t xml:space="preserve"> </w:t>
      </w:r>
      <w:r w:rsidRPr="002D119A">
        <w:t>as</w:t>
      </w:r>
      <w:r w:rsidRPr="002D119A">
        <w:rPr>
          <w:spacing w:val="11"/>
        </w:rPr>
        <w:t xml:space="preserve"> </w:t>
      </w:r>
      <w:r w:rsidRPr="002D119A">
        <w:t>others</w:t>
      </w:r>
      <w:r w:rsidRPr="002D119A">
        <w:rPr>
          <w:spacing w:val="8"/>
        </w:rPr>
        <w:t xml:space="preserve"> </w:t>
      </w:r>
      <w:r w:rsidRPr="002D119A">
        <w:t>i.e.</w:t>
      </w:r>
      <w:r w:rsidRPr="002D119A">
        <w:rPr>
          <w:spacing w:val="9"/>
        </w:rPr>
        <w:t xml:space="preserve"> </w:t>
      </w:r>
      <w:r w:rsidRPr="002D119A">
        <w:t>by</w:t>
      </w:r>
      <w:r w:rsidRPr="002D119A">
        <w:rPr>
          <w:spacing w:val="10"/>
        </w:rPr>
        <w:t xml:space="preserve"> </w:t>
      </w:r>
      <w:r w:rsidRPr="002D119A">
        <w:t>attending</w:t>
      </w:r>
      <w:r w:rsidRPr="002D119A">
        <w:rPr>
          <w:spacing w:val="8"/>
        </w:rPr>
        <w:t xml:space="preserve"> </w:t>
      </w:r>
      <w:r w:rsidRPr="002D119A">
        <w:t>practice</w:t>
      </w:r>
      <w:r w:rsidRPr="002D119A">
        <w:rPr>
          <w:spacing w:val="9"/>
        </w:rPr>
        <w:t xml:space="preserve"> </w:t>
      </w:r>
      <w:r w:rsidRPr="002D119A">
        <w:t>premises</w:t>
      </w:r>
      <w:r w:rsidRPr="002D119A">
        <w:rPr>
          <w:spacing w:val="11"/>
        </w:rPr>
        <w:t xml:space="preserve"> </w:t>
      </w:r>
      <w:r w:rsidRPr="002D119A">
        <w:t>for</w:t>
      </w:r>
      <w:r w:rsidRPr="002D119A">
        <w:rPr>
          <w:spacing w:val="9"/>
        </w:rPr>
        <w:t xml:space="preserve"> </w:t>
      </w:r>
      <w:r w:rsidRPr="002D119A">
        <w:t>a</w:t>
      </w:r>
      <w:r w:rsidRPr="002D119A">
        <w:rPr>
          <w:spacing w:val="51"/>
          <w:w w:val="99"/>
        </w:rPr>
        <w:t xml:space="preserve"> </w:t>
      </w:r>
      <w:r w:rsidRPr="002D119A">
        <w:t>consultation.</w:t>
      </w:r>
    </w:p>
    <w:p w14:paraId="3156AB00" w14:textId="77777777" w:rsidR="00DB7F92" w:rsidRPr="00DB7F92" w:rsidRDefault="00DB7F92" w:rsidP="00DB7F92">
      <w:pPr>
        <w:widowControl w:val="0"/>
        <w:spacing w:after="120"/>
        <w:ind w:left="2147" w:right="117"/>
        <w:jc w:val="both"/>
        <w:rPr>
          <w:rFonts w:cs="Arial"/>
          <w:bCs w:val="0"/>
          <w:sz w:val="20"/>
          <w:szCs w:val="20"/>
          <w:lang w:eastAsia="en-GB"/>
        </w:rPr>
      </w:pPr>
    </w:p>
    <w:p w14:paraId="64EAE3C8" w14:textId="77777777" w:rsidR="00DB7F92" w:rsidRPr="002D119A" w:rsidRDefault="00DB7F92" w:rsidP="002D119A">
      <w:pPr>
        <w:widowControl w:val="0"/>
        <w:spacing w:before="195" w:after="120"/>
        <w:ind w:left="720" w:right="156"/>
        <w:jc w:val="both"/>
        <w:rPr>
          <w:rFonts w:cs="Arial"/>
          <w:bCs w:val="0"/>
          <w:spacing w:val="-1"/>
          <w:szCs w:val="24"/>
          <w:lang w:eastAsia="en-GB"/>
        </w:rPr>
      </w:pPr>
      <w:r w:rsidRPr="002D119A">
        <w:rPr>
          <w:rFonts w:cs="Arial"/>
          <w:bCs w:val="0"/>
          <w:spacing w:val="-1"/>
          <w:szCs w:val="24"/>
          <w:lang w:eastAsia="en-GB"/>
        </w:rPr>
        <w:t>(Unlawful</w:t>
      </w:r>
      <w:r w:rsidRPr="002D119A">
        <w:rPr>
          <w:rFonts w:cs="Arial"/>
          <w:bCs w:val="0"/>
          <w:spacing w:val="-5"/>
          <w:szCs w:val="24"/>
          <w:lang w:eastAsia="en-GB"/>
        </w:rPr>
        <w:t xml:space="preserve"> </w:t>
      </w:r>
      <w:r w:rsidRPr="002D119A">
        <w:rPr>
          <w:rFonts w:cs="Arial"/>
          <w:bCs w:val="0"/>
          <w:spacing w:val="-1"/>
          <w:szCs w:val="24"/>
          <w:lang w:eastAsia="en-GB"/>
        </w:rPr>
        <w:t>discrimination</w:t>
      </w:r>
      <w:r w:rsidRPr="002D119A">
        <w:rPr>
          <w:rFonts w:cs="Arial"/>
          <w:bCs w:val="0"/>
          <w:spacing w:val="-6"/>
          <w:szCs w:val="24"/>
          <w:lang w:eastAsia="en-GB"/>
        </w:rPr>
        <w:t xml:space="preserve"> </w:t>
      </w:r>
      <w:r w:rsidRPr="002D119A">
        <w:rPr>
          <w:rFonts w:cs="Arial"/>
          <w:bCs w:val="0"/>
          <w:spacing w:val="-1"/>
          <w:szCs w:val="24"/>
          <w:lang w:eastAsia="en-GB"/>
        </w:rPr>
        <w:t>is</w:t>
      </w:r>
      <w:r w:rsidRPr="002D119A">
        <w:rPr>
          <w:rFonts w:cs="Arial"/>
          <w:bCs w:val="0"/>
          <w:spacing w:val="-5"/>
          <w:szCs w:val="24"/>
          <w:lang w:eastAsia="en-GB"/>
        </w:rPr>
        <w:t xml:space="preserve"> </w:t>
      </w:r>
      <w:r w:rsidRPr="002D119A">
        <w:rPr>
          <w:rFonts w:cs="Arial"/>
          <w:bCs w:val="0"/>
          <w:spacing w:val="-1"/>
          <w:szCs w:val="24"/>
          <w:lang w:eastAsia="en-GB"/>
        </w:rPr>
        <w:t>also</w:t>
      </w:r>
      <w:r w:rsidRPr="002D119A">
        <w:rPr>
          <w:rFonts w:cs="Arial"/>
          <w:bCs w:val="0"/>
          <w:spacing w:val="-5"/>
          <w:szCs w:val="24"/>
          <w:lang w:eastAsia="en-GB"/>
        </w:rPr>
        <w:t xml:space="preserve"> </w:t>
      </w:r>
      <w:r w:rsidRPr="002D119A">
        <w:rPr>
          <w:rFonts w:cs="Arial"/>
          <w:bCs w:val="0"/>
          <w:spacing w:val="-1"/>
          <w:szCs w:val="24"/>
          <w:lang w:eastAsia="en-GB"/>
        </w:rPr>
        <w:t>prohibited</w:t>
      </w:r>
      <w:r w:rsidRPr="002D119A">
        <w:rPr>
          <w:rFonts w:cs="Arial"/>
          <w:bCs w:val="0"/>
          <w:spacing w:val="-4"/>
          <w:szCs w:val="24"/>
          <w:lang w:eastAsia="en-GB"/>
        </w:rPr>
        <w:t xml:space="preserve"> </w:t>
      </w:r>
      <w:r w:rsidRPr="002D119A">
        <w:rPr>
          <w:rFonts w:cs="Arial"/>
          <w:bCs w:val="0"/>
          <w:spacing w:val="-1"/>
          <w:szCs w:val="24"/>
          <w:lang w:eastAsia="en-GB"/>
        </w:rPr>
        <w:t>in</w:t>
      </w:r>
      <w:r w:rsidRPr="002D119A">
        <w:rPr>
          <w:rFonts w:cs="Arial"/>
          <w:bCs w:val="0"/>
          <w:spacing w:val="-6"/>
          <w:szCs w:val="24"/>
          <w:lang w:eastAsia="en-GB"/>
        </w:rPr>
        <w:t xml:space="preserve"> </w:t>
      </w:r>
      <w:r w:rsidRPr="002D119A">
        <w:rPr>
          <w:rFonts w:cs="Arial"/>
          <w:bCs w:val="0"/>
          <w:szCs w:val="24"/>
          <w:lang w:eastAsia="en-GB"/>
        </w:rPr>
        <w:t>the</w:t>
      </w:r>
      <w:r w:rsidRPr="002D119A">
        <w:rPr>
          <w:rFonts w:cs="Arial"/>
          <w:bCs w:val="0"/>
          <w:spacing w:val="-6"/>
          <w:szCs w:val="24"/>
          <w:lang w:eastAsia="en-GB"/>
        </w:rPr>
        <w:t xml:space="preserve"> </w:t>
      </w:r>
      <w:r w:rsidRPr="002D119A">
        <w:rPr>
          <w:rFonts w:cs="Arial"/>
          <w:bCs w:val="0"/>
          <w:szCs w:val="24"/>
          <w:lang w:eastAsia="en-GB"/>
        </w:rPr>
        <w:t>field</w:t>
      </w:r>
      <w:r w:rsidRPr="002D119A">
        <w:rPr>
          <w:rFonts w:cs="Arial"/>
          <w:bCs w:val="0"/>
          <w:spacing w:val="-7"/>
          <w:szCs w:val="24"/>
          <w:lang w:eastAsia="en-GB"/>
        </w:rPr>
        <w:t xml:space="preserve"> </w:t>
      </w:r>
      <w:r w:rsidRPr="002D119A">
        <w:rPr>
          <w:rFonts w:cs="Arial"/>
          <w:bCs w:val="0"/>
          <w:szCs w:val="24"/>
          <w:lang w:eastAsia="en-GB"/>
        </w:rPr>
        <w:t>of</w:t>
      </w:r>
      <w:r w:rsidRPr="002D119A">
        <w:rPr>
          <w:rFonts w:cs="Arial"/>
          <w:bCs w:val="0"/>
          <w:spacing w:val="-4"/>
          <w:szCs w:val="24"/>
          <w:lang w:eastAsia="en-GB"/>
        </w:rPr>
        <w:t xml:space="preserve"> </w:t>
      </w:r>
      <w:r w:rsidRPr="002D119A">
        <w:rPr>
          <w:rFonts w:cs="Arial"/>
          <w:bCs w:val="0"/>
          <w:spacing w:val="-1"/>
          <w:szCs w:val="24"/>
          <w:lang w:eastAsia="en-GB"/>
        </w:rPr>
        <w:t>employment</w:t>
      </w:r>
      <w:r w:rsidRPr="002D119A">
        <w:rPr>
          <w:rFonts w:cs="Arial"/>
          <w:bCs w:val="0"/>
          <w:spacing w:val="-3"/>
          <w:szCs w:val="24"/>
          <w:lang w:eastAsia="en-GB"/>
        </w:rPr>
        <w:t xml:space="preserve"> </w:t>
      </w:r>
      <w:r w:rsidRPr="002D119A">
        <w:rPr>
          <w:rFonts w:cs="Arial"/>
          <w:bCs w:val="0"/>
          <w:spacing w:val="-1"/>
          <w:szCs w:val="24"/>
          <w:lang w:eastAsia="en-GB"/>
        </w:rPr>
        <w:t>and</w:t>
      </w:r>
      <w:r w:rsidRPr="002D119A">
        <w:rPr>
          <w:rFonts w:cs="Arial"/>
          <w:bCs w:val="0"/>
          <w:spacing w:val="-5"/>
          <w:szCs w:val="24"/>
          <w:lang w:eastAsia="en-GB"/>
        </w:rPr>
        <w:t xml:space="preserve"> </w:t>
      </w:r>
      <w:r w:rsidRPr="002D119A">
        <w:rPr>
          <w:rFonts w:cs="Arial"/>
          <w:bCs w:val="0"/>
          <w:spacing w:val="-1"/>
          <w:szCs w:val="24"/>
          <w:lang w:eastAsia="en-GB"/>
        </w:rPr>
        <w:t>other</w:t>
      </w:r>
      <w:r w:rsidRPr="002D119A">
        <w:rPr>
          <w:rFonts w:cs="Arial"/>
          <w:bCs w:val="0"/>
          <w:spacing w:val="64"/>
          <w:w w:val="99"/>
          <w:szCs w:val="24"/>
          <w:lang w:eastAsia="en-GB"/>
        </w:rPr>
        <w:t xml:space="preserve"> </w:t>
      </w:r>
      <w:r w:rsidRPr="002D119A">
        <w:rPr>
          <w:rFonts w:cs="Arial"/>
          <w:bCs w:val="0"/>
          <w:spacing w:val="-1"/>
          <w:szCs w:val="24"/>
          <w:lang w:eastAsia="en-GB"/>
        </w:rPr>
        <w:t>areas</w:t>
      </w:r>
      <w:r w:rsidRPr="002D119A">
        <w:rPr>
          <w:rFonts w:cs="Arial"/>
          <w:bCs w:val="0"/>
          <w:spacing w:val="-6"/>
          <w:szCs w:val="24"/>
          <w:lang w:eastAsia="en-GB"/>
        </w:rPr>
        <w:t xml:space="preserve"> </w:t>
      </w:r>
      <w:r w:rsidRPr="002D119A">
        <w:rPr>
          <w:rFonts w:cs="Arial"/>
          <w:bCs w:val="0"/>
          <w:spacing w:val="-1"/>
          <w:szCs w:val="24"/>
          <w:lang w:eastAsia="en-GB"/>
        </w:rPr>
        <w:t>but</w:t>
      </w:r>
      <w:r w:rsidRPr="002D119A">
        <w:rPr>
          <w:rFonts w:cs="Arial"/>
          <w:bCs w:val="0"/>
          <w:spacing w:val="-5"/>
          <w:szCs w:val="24"/>
          <w:lang w:eastAsia="en-GB"/>
        </w:rPr>
        <w:t xml:space="preserve"> </w:t>
      </w:r>
      <w:r w:rsidRPr="002D119A">
        <w:rPr>
          <w:rFonts w:cs="Arial"/>
          <w:bCs w:val="0"/>
          <w:spacing w:val="-1"/>
          <w:szCs w:val="24"/>
          <w:lang w:eastAsia="en-GB"/>
        </w:rPr>
        <w:t>these</w:t>
      </w:r>
      <w:r w:rsidRPr="002D119A">
        <w:rPr>
          <w:rFonts w:cs="Arial"/>
          <w:bCs w:val="0"/>
          <w:spacing w:val="-4"/>
          <w:szCs w:val="24"/>
          <w:lang w:eastAsia="en-GB"/>
        </w:rPr>
        <w:t xml:space="preserve"> </w:t>
      </w:r>
      <w:r w:rsidRPr="002D119A">
        <w:rPr>
          <w:rFonts w:cs="Arial"/>
          <w:bCs w:val="0"/>
          <w:spacing w:val="-1"/>
          <w:szCs w:val="24"/>
          <w:lang w:eastAsia="en-GB"/>
        </w:rPr>
        <w:t>are</w:t>
      </w:r>
      <w:r w:rsidRPr="002D119A">
        <w:rPr>
          <w:rFonts w:cs="Arial"/>
          <w:bCs w:val="0"/>
          <w:spacing w:val="-4"/>
          <w:szCs w:val="24"/>
          <w:lang w:eastAsia="en-GB"/>
        </w:rPr>
        <w:t xml:space="preserve"> </w:t>
      </w:r>
      <w:r w:rsidRPr="002D119A">
        <w:rPr>
          <w:rFonts w:cs="Arial"/>
          <w:bCs w:val="0"/>
          <w:spacing w:val="-1"/>
          <w:szCs w:val="24"/>
          <w:lang w:eastAsia="en-GB"/>
        </w:rPr>
        <w:t>not</w:t>
      </w:r>
      <w:r w:rsidRPr="002D119A">
        <w:rPr>
          <w:rFonts w:cs="Arial"/>
          <w:bCs w:val="0"/>
          <w:spacing w:val="-4"/>
          <w:szCs w:val="24"/>
          <w:lang w:eastAsia="en-GB"/>
        </w:rPr>
        <w:t xml:space="preserve"> </w:t>
      </w:r>
      <w:r w:rsidRPr="002D119A">
        <w:rPr>
          <w:rFonts w:cs="Arial"/>
          <w:bCs w:val="0"/>
          <w:spacing w:val="-1"/>
          <w:szCs w:val="24"/>
          <w:lang w:eastAsia="en-GB"/>
        </w:rPr>
        <w:t>covered</w:t>
      </w:r>
      <w:r w:rsidRPr="002D119A">
        <w:rPr>
          <w:rFonts w:cs="Arial"/>
          <w:bCs w:val="0"/>
          <w:spacing w:val="-4"/>
          <w:szCs w:val="24"/>
          <w:lang w:eastAsia="en-GB"/>
        </w:rPr>
        <w:t xml:space="preserve"> </w:t>
      </w:r>
      <w:r w:rsidRPr="002D119A">
        <w:rPr>
          <w:rFonts w:cs="Arial"/>
          <w:bCs w:val="0"/>
          <w:spacing w:val="-1"/>
          <w:szCs w:val="24"/>
          <w:lang w:eastAsia="en-GB"/>
        </w:rPr>
        <w:t>in</w:t>
      </w:r>
      <w:r w:rsidRPr="002D119A">
        <w:rPr>
          <w:rFonts w:cs="Arial"/>
          <w:bCs w:val="0"/>
          <w:spacing w:val="-6"/>
          <w:szCs w:val="24"/>
          <w:lang w:eastAsia="en-GB"/>
        </w:rPr>
        <w:t xml:space="preserve"> </w:t>
      </w:r>
      <w:r w:rsidRPr="002D119A">
        <w:rPr>
          <w:rFonts w:cs="Arial"/>
          <w:bCs w:val="0"/>
          <w:szCs w:val="24"/>
          <w:lang w:eastAsia="en-GB"/>
        </w:rPr>
        <w:t>this</w:t>
      </w:r>
      <w:r w:rsidRPr="002D119A">
        <w:rPr>
          <w:rFonts w:cs="Arial"/>
          <w:bCs w:val="0"/>
          <w:spacing w:val="-5"/>
          <w:szCs w:val="24"/>
          <w:lang w:eastAsia="en-GB"/>
        </w:rPr>
        <w:t xml:space="preserve"> </w:t>
      </w:r>
      <w:r w:rsidRPr="002D119A">
        <w:rPr>
          <w:rFonts w:cs="Arial"/>
          <w:bCs w:val="0"/>
          <w:spacing w:val="-1"/>
          <w:szCs w:val="24"/>
          <w:lang w:eastAsia="en-GB"/>
        </w:rPr>
        <w:t>guidance.)</w:t>
      </w:r>
    </w:p>
    <w:p w14:paraId="2231661F" w14:textId="77777777" w:rsidR="00DB7F92" w:rsidRDefault="00DB7F92" w:rsidP="00884224">
      <w:pPr>
        <w:keepNext/>
        <w:keepLines/>
        <w:spacing w:before="199"/>
        <w:ind w:left="838"/>
        <w:jc w:val="both"/>
        <w:outlineLvl w:val="6"/>
        <w:rPr>
          <w:rFonts w:eastAsiaTheme="majorEastAsia" w:cs="Arial"/>
          <w:i/>
          <w:iCs/>
          <w:color w:val="404040" w:themeColor="text1" w:themeTint="BF"/>
          <w:spacing w:val="-1"/>
          <w:sz w:val="28"/>
          <w:szCs w:val="28"/>
        </w:rPr>
      </w:pPr>
      <w:r w:rsidRPr="00884224">
        <w:rPr>
          <w:rFonts w:eastAsiaTheme="majorEastAsia" w:cs="Arial"/>
          <w:i/>
          <w:iCs/>
          <w:color w:val="404040" w:themeColor="text1" w:themeTint="BF"/>
          <w:spacing w:val="-1"/>
          <w:sz w:val="28"/>
          <w:szCs w:val="28"/>
        </w:rPr>
        <w:t>Public sector equality duty</w:t>
      </w:r>
    </w:p>
    <w:p w14:paraId="439983FE" w14:textId="77777777" w:rsidR="002D119A" w:rsidRDefault="002D119A" w:rsidP="003331F2">
      <w:pPr>
        <w:pStyle w:val="BodyText"/>
      </w:pPr>
    </w:p>
    <w:p w14:paraId="5C276D68" w14:textId="77777777" w:rsidR="00DB7F92" w:rsidRPr="00DB7F92" w:rsidRDefault="00DB7F92" w:rsidP="00DD5D2D">
      <w:pPr>
        <w:pStyle w:val="Heading3"/>
        <w:jc w:val="both"/>
        <w:rPr>
          <w:lang w:eastAsia="en-GB"/>
        </w:rPr>
      </w:pPr>
      <w:r w:rsidRPr="00DB7F92">
        <w:rPr>
          <w:lang w:eastAsia="en-GB"/>
        </w:rPr>
        <w:t>The</w:t>
      </w:r>
      <w:r w:rsidRPr="00DB7F92">
        <w:rPr>
          <w:spacing w:val="19"/>
          <w:lang w:eastAsia="en-GB"/>
        </w:rPr>
        <w:t xml:space="preserve"> </w:t>
      </w:r>
      <w:r w:rsidRPr="00DB7F92">
        <w:rPr>
          <w:lang w:eastAsia="en-GB"/>
        </w:rPr>
        <w:t>Equality</w:t>
      </w:r>
      <w:r w:rsidRPr="00DB7F92">
        <w:rPr>
          <w:spacing w:val="77"/>
          <w:lang w:eastAsia="en-GB"/>
        </w:rPr>
        <w:t xml:space="preserve"> </w:t>
      </w:r>
      <w:r w:rsidRPr="00DB7F92">
        <w:rPr>
          <w:lang w:eastAsia="en-GB"/>
        </w:rPr>
        <w:t>Act</w:t>
      </w:r>
      <w:r w:rsidRPr="00DB7F92">
        <w:rPr>
          <w:spacing w:val="-5"/>
          <w:lang w:eastAsia="en-GB"/>
        </w:rPr>
        <w:t xml:space="preserve"> </w:t>
      </w:r>
      <w:r w:rsidRPr="00DB7F92">
        <w:rPr>
          <w:lang w:eastAsia="en-GB"/>
        </w:rPr>
        <w:t>2010</w:t>
      </w:r>
      <w:r w:rsidRPr="00DB7F92">
        <w:rPr>
          <w:spacing w:val="-4"/>
          <w:lang w:eastAsia="en-GB"/>
        </w:rPr>
        <w:t xml:space="preserve"> </w:t>
      </w:r>
      <w:r w:rsidRPr="00DB7F92">
        <w:rPr>
          <w:lang w:eastAsia="en-GB"/>
        </w:rPr>
        <w:t>requires commissioners</w:t>
      </w:r>
      <w:r w:rsidRPr="00DB7F92">
        <w:rPr>
          <w:spacing w:val="-5"/>
          <w:lang w:eastAsia="en-GB"/>
        </w:rPr>
        <w:t xml:space="preserve"> </w:t>
      </w:r>
      <w:r w:rsidRPr="00DB7F92">
        <w:rPr>
          <w:lang w:eastAsia="en-GB"/>
        </w:rPr>
        <w:t>to</w:t>
      </w:r>
      <w:r w:rsidRPr="00DB7F92">
        <w:rPr>
          <w:spacing w:val="-4"/>
          <w:lang w:eastAsia="en-GB"/>
        </w:rPr>
        <w:t xml:space="preserve"> </w:t>
      </w:r>
      <w:r w:rsidRPr="00DB7F92">
        <w:rPr>
          <w:lang w:eastAsia="en-GB"/>
        </w:rPr>
        <w:t>have</w:t>
      </w:r>
      <w:r w:rsidRPr="00DB7F92">
        <w:rPr>
          <w:spacing w:val="-5"/>
          <w:lang w:eastAsia="en-GB"/>
        </w:rPr>
        <w:t xml:space="preserve"> </w:t>
      </w:r>
      <w:r w:rsidRPr="00DB7F92">
        <w:rPr>
          <w:lang w:eastAsia="en-GB"/>
        </w:rPr>
        <w:t>"due</w:t>
      </w:r>
      <w:r w:rsidRPr="00DB7F92">
        <w:rPr>
          <w:spacing w:val="-3"/>
          <w:lang w:eastAsia="en-GB"/>
        </w:rPr>
        <w:t xml:space="preserve"> </w:t>
      </w:r>
      <w:r w:rsidRPr="00DB7F92">
        <w:rPr>
          <w:lang w:eastAsia="en-GB"/>
        </w:rPr>
        <w:t>regard"</w:t>
      </w:r>
      <w:r w:rsidRPr="00DB7F92">
        <w:rPr>
          <w:spacing w:val="-5"/>
          <w:lang w:eastAsia="en-GB"/>
        </w:rPr>
        <w:t xml:space="preserve"> </w:t>
      </w:r>
      <w:r w:rsidRPr="00DB7F92">
        <w:rPr>
          <w:lang w:eastAsia="en-GB"/>
        </w:rPr>
        <w:t>to</w:t>
      </w:r>
      <w:r w:rsidRPr="00DB7F92">
        <w:rPr>
          <w:spacing w:val="-5"/>
          <w:lang w:eastAsia="en-GB"/>
        </w:rPr>
        <w:t xml:space="preserve"> </w:t>
      </w:r>
      <w:r w:rsidRPr="00DB7F92">
        <w:rPr>
          <w:lang w:eastAsia="en-GB"/>
        </w:rPr>
        <w:t>the</w:t>
      </w:r>
      <w:r w:rsidRPr="00DB7F92">
        <w:rPr>
          <w:spacing w:val="-6"/>
          <w:lang w:eastAsia="en-GB"/>
        </w:rPr>
        <w:t xml:space="preserve"> </w:t>
      </w:r>
      <w:r w:rsidRPr="00DB7F92">
        <w:rPr>
          <w:lang w:eastAsia="en-GB"/>
        </w:rPr>
        <w:t>need</w:t>
      </w:r>
      <w:r w:rsidRPr="00DB7F92">
        <w:rPr>
          <w:spacing w:val="-3"/>
          <w:lang w:eastAsia="en-GB"/>
        </w:rPr>
        <w:t xml:space="preserve"> </w:t>
      </w:r>
      <w:r w:rsidRPr="00DB7F92">
        <w:rPr>
          <w:lang w:eastAsia="en-GB"/>
        </w:rPr>
        <w:t>to:</w:t>
      </w:r>
    </w:p>
    <w:p w14:paraId="6F9D06D2" w14:textId="77777777" w:rsidR="00DB7F92" w:rsidRPr="00DB7F92" w:rsidRDefault="00DB7F92" w:rsidP="005A7DDA">
      <w:pPr>
        <w:pStyle w:val="Heading4"/>
        <w:numPr>
          <w:ilvl w:val="0"/>
          <w:numId w:val="91"/>
        </w:numPr>
      </w:pPr>
      <w:r w:rsidRPr="00DB7F92">
        <w:t>eliminate</w:t>
      </w:r>
      <w:r w:rsidRPr="00DB7F92">
        <w:rPr>
          <w:spacing w:val="-6"/>
        </w:rPr>
        <w:t xml:space="preserve"> </w:t>
      </w:r>
      <w:r w:rsidRPr="00DB7F92">
        <w:t>discrimination</w:t>
      </w:r>
      <w:r w:rsidRPr="00DB7F92">
        <w:rPr>
          <w:spacing w:val="-4"/>
        </w:rPr>
        <w:t xml:space="preserve"> </w:t>
      </w:r>
      <w:r w:rsidRPr="00DB7F92">
        <w:t>that</w:t>
      </w:r>
      <w:r w:rsidRPr="00DB7F92">
        <w:rPr>
          <w:spacing w:val="-6"/>
        </w:rPr>
        <w:t xml:space="preserve"> </w:t>
      </w:r>
      <w:r w:rsidRPr="00DB7F92">
        <w:t>is</w:t>
      </w:r>
      <w:r w:rsidRPr="00DB7F92">
        <w:rPr>
          <w:spacing w:val="-6"/>
        </w:rPr>
        <w:t xml:space="preserve"> </w:t>
      </w:r>
      <w:r w:rsidRPr="00DB7F92">
        <w:t>unlawful</w:t>
      </w:r>
      <w:r w:rsidRPr="00DB7F92">
        <w:rPr>
          <w:spacing w:val="-5"/>
        </w:rPr>
        <w:t xml:space="preserve"> </w:t>
      </w:r>
      <w:r w:rsidRPr="00DB7F92">
        <w:t>under</w:t>
      </w:r>
      <w:r w:rsidRPr="00DB7F92">
        <w:rPr>
          <w:spacing w:val="-6"/>
        </w:rPr>
        <w:t xml:space="preserve"> </w:t>
      </w:r>
      <w:r w:rsidRPr="00DB7F92">
        <w:t>the</w:t>
      </w:r>
      <w:r w:rsidRPr="00DB7F92">
        <w:rPr>
          <w:spacing w:val="-6"/>
        </w:rPr>
        <w:t xml:space="preserve"> </w:t>
      </w:r>
      <w:r w:rsidRPr="00DB7F92">
        <w:t>Act;</w:t>
      </w:r>
    </w:p>
    <w:p w14:paraId="761B9089" w14:textId="77777777" w:rsidR="00DB7F92" w:rsidRPr="00DB7F92" w:rsidRDefault="00DB7F92" w:rsidP="005A7DDA">
      <w:pPr>
        <w:pStyle w:val="Heading4"/>
        <w:numPr>
          <w:ilvl w:val="0"/>
          <w:numId w:val="91"/>
        </w:numPr>
      </w:pPr>
      <w:r w:rsidRPr="00DB7F92">
        <w:t>advance</w:t>
      </w:r>
      <w:r w:rsidRPr="00DB7F92">
        <w:rPr>
          <w:spacing w:val="36"/>
        </w:rPr>
        <w:t xml:space="preserve"> </w:t>
      </w:r>
      <w:r w:rsidRPr="00DB7F92">
        <w:t>equality</w:t>
      </w:r>
      <w:r w:rsidRPr="00DB7F92">
        <w:rPr>
          <w:spacing w:val="37"/>
        </w:rPr>
        <w:t xml:space="preserve"> </w:t>
      </w:r>
      <w:r w:rsidRPr="00DB7F92">
        <w:t>of</w:t>
      </w:r>
      <w:r w:rsidRPr="00DB7F92">
        <w:rPr>
          <w:spacing w:val="37"/>
        </w:rPr>
        <w:t xml:space="preserve"> </w:t>
      </w:r>
      <w:r w:rsidRPr="00DB7F92">
        <w:t>opportunity</w:t>
      </w:r>
      <w:r w:rsidRPr="00DB7F92">
        <w:rPr>
          <w:spacing w:val="37"/>
        </w:rPr>
        <w:t xml:space="preserve"> </w:t>
      </w:r>
      <w:r w:rsidRPr="00DB7F92">
        <w:t>between</w:t>
      </w:r>
      <w:r w:rsidRPr="00DB7F92">
        <w:rPr>
          <w:spacing w:val="40"/>
        </w:rPr>
        <w:t xml:space="preserve"> </w:t>
      </w:r>
      <w:r w:rsidRPr="00DB7F92">
        <w:t>people</w:t>
      </w:r>
      <w:r w:rsidRPr="00DB7F92">
        <w:rPr>
          <w:spacing w:val="36"/>
        </w:rPr>
        <w:t xml:space="preserve"> </w:t>
      </w:r>
      <w:r w:rsidRPr="00DB7F92">
        <w:t>who</w:t>
      </w:r>
      <w:r w:rsidRPr="00DB7F92">
        <w:rPr>
          <w:spacing w:val="37"/>
        </w:rPr>
        <w:t xml:space="preserve"> </w:t>
      </w:r>
      <w:r w:rsidRPr="00DB7F92">
        <w:t>share</w:t>
      </w:r>
      <w:r w:rsidRPr="00DB7F92">
        <w:rPr>
          <w:spacing w:val="36"/>
        </w:rPr>
        <w:t xml:space="preserve"> </w:t>
      </w:r>
      <w:r w:rsidRPr="00DB7F92">
        <w:t>a</w:t>
      </w:r>
      <w:r w:rsidRPr="00DB7F92">
        <w:rPr>
          <w:spacing w:val="59"/>
          <w:w w:val="99"/>
        </w:rPr>
        <w:t xml:space="preserve"> </w:t>
      </w:r>
      <w:r w:rsidRPr="00DB7F92">
        <w:t>protected</w:t>
      </w:r>
      <w:r w:rsidRPr="00DB7F92">
        <w:rPr>
          <w:spacing w:val="-4"/>
        </w:rPr>
        <w:t xml:space="preserve"> </w:t>
      </w:r>
      <w:r w:rsidRPr="00DB7F92">
        <w:t>characteristic</w:t>
      </w:r>
      <w:r w:rsidRPr="00DB7F92">
        <w:rPr>
          <w:spacing w:val="-4"/>
        </w:rPr>
        <w:t xml:space="preserve"> </w:t>
      </w:r>
      <w:r w:rsidRPr="00DB7F92">
        <w:t>and</w:t>
      </w:r>
      <w:r w:rsidRPr="00DB7F92">
        <w:rPr>
          <w:spacing w:val="-4"/>
        </w:rPr>
        <w:t xml:space="preserve"> </w:t>
      </w:r>
      <w:r w:rsidRPr="00DB7F92">
        <w:t>people</w:t>
      </w:r>
      <w:r w:rsidRPr="00DB7F92">
        <w:rPr>
          <w:spacing w:val="-4"/>
        </w:rPr>
        <w:t xml:space="preserve"> </w:t>
      </w:r>
      <w:r w:rsidRPr="00DB7F92">
        <w:t>who</w:t>
      </w:r>
      <w:r w:rsidRPr="00DB7F92">
        <w:rPr>
          <w:spacing w:val="-4"/>
        </w:rPr>
        <w:t xml:space="preserve"> </w:t>
      </w:r>
      <w:r w:rsidRPr="00DB7F92">
        <w:t>do</w:t>
      </w:r>
      <w:r w:rsidRPr="00DB7F92">
        <w:rPr>
          <w:spacing w:val="-3"/>
        </w:rPr>
        <w:t xml:space="preserve"> </w:t>
      </w:r>
      <w:r w:rsidRPr="00DB7F92">
        <w:t>not</w:t>
      </w:r>
      <w:r w:rsidRPr="00DB7F92">
        <w:rPr>
          <w:spacing w:val="-3"/>
        </w:rPr>
        <w:t xml:space="preserve"> </w:t>
      </w:r>
      <w:r w:rsidRPr="00DB7F92">
        <w:t>share</w:t>
      </w:r>
      <w:r w:rsidRPr="00DB7F92">
        <w:rPr>
          <w:spacing w:val="-4"/>
        </w:rPr>
        <w:t xml:space="preserve"> </w:t>
      </w:r>
      <w:r w:rsidRPr="00DB7F92">
        <w:t>it;</w:t>
      </w:r>
      <w:r w:rsidRPr="00DB7F92">
        <w:rPr>
          <w:spacing w:val="63"/>
        </w:rPr>
        <w:t xml:space="preserve"> </w:t>
      </w:r>
      <w:r w:rsidRPr="00DB7F92">
        <w:t>and</w:t>
      </w:r>
    </w:p>
    <w:p w14:paraId="1A84C77D" w14:textId="77777777" w:rsidR="00DB7F92" w:rsidRDefault="00DB7F92" w:rsidP="002D119A">
      <w:pPr>
        <w:widowControl w:val="0"/>
        <w:spacing w:before="195" w:after="120"/>
        <w:ind w:left="720" w:right="156"/>
        <w:jc w:val="both"/>
        <w:rPr>
          <w:rFonts w:cs="Arial"/>
          <w:bCs w:val="0"/>
          <w:spacing w:val="-1"/>
          <w:szCs w:val="24"/>
          <w:lang w:eastAsia="en-GB"/>
        </w:rPr>
      </w:pPr>
      <w:r w:rsidRPr="002D119A">
        <w:rPr>
          <w:rFonts w:cs="Arial"/>
          <w:bCs w:val="0"/>
          <w:spacing w:val="-1"/>
          <w:szCs w:val="24"/>
          <w:lang w:eastAsia="en-GB"/>
        </w:rPr>
        <w:t>foster good relations between persons who share a protected characteristic and persons who do not share it.</w:t>
      </w:r>
    </w:p>
    <w:p w14:paraId="1FA9480F" w14:textId="77777777" w:rsidR="002D119A" w:rsidRPr="002D119A" w:rsidRDefault="002D119A" w:rsidP="002D119A">
      <w:pPr>
        <w:widowControl w:val="0"/>
        <w:spacing w:before="195" w:after="120"/>
        <w:ind w:left="720" w:right="156"/>
        <w:jc w:val="both"/>
        <w:rPr>
          <w:rFonts w:cs="Arial"/>
          <w:bCs w:val="0"/>
          <w:spacing w:val="-1"/>
          <w:szCs w:val="24"/>
          <w:lang w:eastAsia="en-GB"/>
        </w:rPr>
      </w:pPr>
    </w:p>
    <w:p w14:paraId="6A6C78E5" w14:textId="7F025C26" w:rsidR="00DB7F92" w:rsidRPr="002D119A" w:rsidRDefault="00DB7F92" w:rsidP="002D119A">
      <w:pPr>
        <w:pStyle w:val="Heading3"/>
        <w:rPr>
          <w:rFonts w:eastAsia="Segoe UI Semilight"/>
        </w:rPr>
      </w:pPr>
      <w:r w:rsidRPr="002D119A">
        <w:t>These objectives are often referred to as the "three aims" of the PSED. The aims are amended for the protected characteristic of marriage and civil partnership.  Commissioners do have to have due regard to eliminate unlawful discrimination based on marriage and civil partnership (the first aim).  However, they are not required to have due regard to the need to advance equality of opportunity or foster good relations in relation to marriage and civil partnership (the second and third aims).</w:t>
      </w:r>
    </w:p>
    <w:p w14:paraId="287FCE21" w14:textId="59A296A6" w:rsidR="00DB7F92" w:rsidRPr="00DD5D2D" w:rsidRDefault="00DB7F92" w:rsidP="00DD5D2D">
      <w:pPr>
        <w:pStyle w:val="Heading3"/>
        <w:jc w:val="both"/>
        <w:rPr>
          <w:rFonts w:eastAsia="Segoe UI Semilight"/>
        </w:rPr>
      </w:pPr>
      <w:r w:rsidRPr="00DD5D2D">
        <w:rPr>
          <w:rFonts w:eastAsia="Segoe UI Semilight"/>
        </w:rPr>
        <w:t xml:space="preserve"> Compliance with the three aims of the PSED can require a commissioner to take positive steps to reduce inequalities. In this regard the Act permits treating </w:t>
      </w:r>
      <w:r w:rsidRPr="00DD5D2D">
        <w:rPr>
          <w:rFonts w:eastAsia="Segoe UI Semilight"/>
        </w:rPr>
        <w:lastRenderedPageBreak/>
        <w:t>some people more favourably than others but not if this amounts to unlawful discrimination (what is meant by unlawful discrimination is considered below).  The PSED has been used successfully on many occasions to challenge changes to services.</w:t>
      </w:r>
    </w:p>
    <w:p w14:paraId="6D25DFD7" w14:textId="49E7AF57" w:rsidR="00DB7F92" w:rsidRDefault="00DB7F92" w:rsidP="00DD5D2D">
      <w:pPr>
        <w:pStyle w:val="Heading3"/>
        <w:jc w:val="both"/>
        <w:rPr>
          <w:rFonts w:eastAsia="Segoe UI Semilight"/>
        </w:rPr>
      </w:pPr>
      <w:r w:rsidRPr="00DD5D2D">
        <w:rPr>
          <w:rFonts w:eastAsia="Segoe UI Semilight"/>
        </w:rPr>
        <w:t>This means that a commissioner has a duty to help eliminate any unlawful discrimination practised by the providers of primary care e.g. through requiring premises to be accessible. Failing to use its negotiating power to secure such changes could be seen as a breach by a commissioner of the PSED, as well as a breach of the non-discrimination rules by the service provider.</w:t>
      </w:r>
    </w:p>
    <w:p w14:paraId="583E69DB" w14:textId="77777777" w:rsidR="00DD5D2D" w:rsidRPr="00DD5D2D" w:rsidRDefault="00DD5D2D" w:rsidP="00DD5D2D">
      <w:pPr>
        <w:rPr>
          <w:rFonts w:eastAsia="Segoe UI Semilight"/>
        </w:rPr>
      </w:pPr>
    </w:p>
    <w:p w14:paraId="61093E9A" w14:textId="77777777" w:rsidR="00DB7F92" w:rsidRPr="00DB7F92" w:rsidRDefault="00DB7F92" w:rsidP="00DB7F92">
      <w:pPr>
        <w:ind w:left="1156"/>
        <w:jc w:val="both"/>
        <w:rPr>
          <w:rFonts w:eastAsia="Segoe UI Semilight" w:cs="Arial"/>
          <w:sz w:val="20"/>
          <w:szCs w:val="20"/>
        </w:rPr>
      </w:pPr>
      <w:r w:rsidRPr="00DB7F92">
        <w:rPr>
          <w:rFonts w:eastAsia="Segoe UI Semilight" w:cs="Arial"/>
          <w:noProof/>
          <w:sz w:val="20"/>
          <w:szCs w:val="20"/>
          <w:lang w:eastAsia="en-GB"/>
        </w:rPr>
        <mc:AlternateContent>
          <mc:Choice Requires="wps">
            <w:drawing>
              <wp:inline distT="0" distB="0" distL="0" distR="0" wp14:anchorId="2D54E284" wp14:editId="2C829E1F">
                <wp:extent cx="4860290" cy="2095500"/>
                <wp:effectExtent l="0" t="0" r="0" b="0"/>
                <wp:docPr id="2068" name="Text Box 19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2095500"/>
                        </a:xfrm>
                        <a:prstGeom prst="rect">
                          <a:avLst/>
                        </a:prstGeom>
                        <a:solidFill>
                          <a:srgbClr val="1C6C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D099AC" w14:textId="77777777" w:rsidR="00622FF2" w:rsidRPr="004E0302" w:rsidRDefault="00622FF2" w:rsidP="00DB7F92">
                            <w:pPr>
                              <w:spacing w:before="213"/>
                              <w:ind w:left="225"/>
                              <w:jc w:val="both"/>
                              <w:rPr>
                                <w:rFonts w:eastAsia="Tw Cen MT Condensed Extra Bold" w:cs="Arial"/>
                                <w:sz w:val="20"/>
                                <w:szCs w:val="24"/>
                              </w:rPr>
                            </w:pPr>
                            <w:r w:rsidRPr="004E0302">
                              <w:rPr>
                                <w:rFonts w:cs="Arial"/>
                                <w:b/>
                                <w:color w:val="FFFFFF"/>
                                <w:sz w:val="20"/>
                              </w:rPr>
                              <w:t>Example:</w:t>
                            </w:r>
                          </w:p>
                          <w:p w14:paraId="12A42478" w14:textId="77777777" w:rsidR="00622FF2" w:rsidRPr="004E0302" w:rsidRDefault="00622FF2" w:rsidP="00DB7F92">
                            <w:pPr>
                              <w:spacing w:before="12"/>
                              <w:rPr>
                                <w:rFonts w:eastAsia="Segoe UI Semilight" w:cs="Arial"/>
                                <w:sz w:val="20"/>
                                <w:szCs w:val="24"/>
                              </w:rPr>
                            </w:pPr>
                          </w:p>
                          <w:p w14:paraId="3E17BFEC" w14:textId="57B13492" w:rsidR="00622FF2" w:rsidRPr="004E0302" w:rsidRDefault="00622FF2" w:rsidP="00DB7F92">
                            <w:pPr>
                              <w:ind w:left="225" w:right="224"/>
                              <w:jc w:val="both"/>
                              <w:rPr>
                                <w:rFonts w:eastAsia="Segoe UI Semilight" w:cs="Arial"/>
                                <w:sz w:val="20"/>
                                <w:szCs w:val="24"/>
                              </w:rPr>
                            </w:pPr>
                            <w:r w:rsidRPr="004E0302">
                              <w:rPr>
                                <w:rFonts w:cs="Arial"/>
                                <w:color w:val="FFFFFF"/>
                                <w:spacing w:val="-1"/>
                                <w:sz w:val="20"/>
                              </w:rPr>
                              <w:t>After</w:t>
                            </w:r>
                            <w:r w:rsidRPr="004E0302">
                              <w:rPr>
                                <w:rFonts w:cs="Arial"/>
                                <w:color w:val="FFFFFF"/>
                                <w:spacing w:val="16"/>
                                <w:sz w:val="20"/>
                              </w:rPr>
                              <w:t xml:space="preserve"> </w:t>
                            </w:r>
                            <w:r w:rsidRPr="004E0302">
                              <w:rPr>
                                <w:rFonts w:cs="Arial"/>
                                <w:color w:val="FFFFFF"/>
                                <w:sz w:val="20"/>
                              </w:rPr>
                              <w:t>a</w:t>
                            </w:r>
                            <w:r w:rsidRPr="004E0302">
                              <w:rPr>
                                <w:rFonts w:cs="Arial"/>
                                <w:color w:val="FFFFFF"/>
                                <w:spacing w:val="17"/>
                                <w:sz w:val="20"/>
                              </w:rPr>
                              <w:t xml:space="preserve"> </w:t>
                            </w:r>
                            <w:r w:rsidRPr="004E0302">
                              <w:rPr>
                                <w:rFonts w:cs="Arial"/>
                                <w:color w:val="FFFFFF"/>
                                <w:spacing w:val="-1"/>
                                <w:sz w:val="20"/>
                              </w:rPr>
                              <w:t>site</w:t>
                            </w:r>
                            <w:r w:rsidRPr="004E0302">
                              <w:rPr>
                                <w:rFonts w:cs="Arial"/>
                                <w:color w:val="FFFFFF"/>
                                <w:spacing w:val="16"/>
                                <w:sz w:val="20"/>
                              </w:rPr>
                              <w:t xml:space="preserve"> </w:t>
                            </w:r>
                            <w:r w:rsidRPr="004E0302">
                              <w:rPr>
                                <w:rFonts w:cs="Arial"/>
                                <w:color w:val="FFFFFF"/>
                                <w:spacing w:val="-1"/>
                                <w:sz w:val="20"/>
                              </w:rPr>
                              <w:t>visit</w:t>
                            </w:r>
                            <w:r w:rsidRPr="004E0302">
                              <w:rPr>
                                <w:rFonts w:cs="Arial"/>
                                <w:color w:val="FFFFFF"/>
                                <w:spacing w:val="17"/>
                                <w:sz w:val="20"/>
                              </w:rPr>
                              <w:t xml:space="preserve"> </w:t>
                            </w:r>
                            <w:r w:rsidRPr="004E0302">
                              <w:rPr>
                                <w:rFonts w:cs="Arial"/>
                                <w:color w:val="FFFFFF"/>
                                <w:spacing w:val="-1"/>
                                <w:sz w:val="20"/>
                              </w:rPr>
                              <w:t xml:space="preserve">the </w:t>
                            </w:r>
                            <w:r w:rsidRPr="00D05DD7">
                              <w:rPr>
                                <w:rFonts w:cs="Arial"/>
                                <w:color w:val="FFFFFF"/>
                                <w:spacing w:val="-1"/>
                                <w:sz w:val="20"/>
                              </w:rPr>
                              <w:t>commissioner</w:t>
                            </w:r>
                            <w:r w:rsidRPr="004E0302">
                              <w:rPr>
                                <w:rFonts w:cs="Arial"/>
                                <w:color w:val="FFFFFF"/>
                                <w:spacing w:val="18"/>
                                <w:sz w:val="20"/>
                              </w:rPr>
                              <w:t xml:space="preserve"> </w:t>
                            </w:r>
                            <w:r w:rsidRPr="004E0302">
                              <w:rPr>
                                <w:rFonts w:cs="Arial"/>
                                <w:color w:val="FFFFFF"/>
                                <w:spacing w:val="-1"/>
                                <w:sz w:val="20"/>
                              </w:rPr>
                              <w:t>becomes</w:t>
                            </w:r>
                            <w:r w:rsidRPr="004E0302">
                              <w:rPr>
                                <w:rFonts w:cs="Arial"/>
                                <w:color w:val="FFFFFF"/>
                                <w:spacing w:val="18"/>
                                <w:sz w:val="20"/>
                              </w:rPr>
                              <w:t xml:space="preserve"> </w:t>
                            </w:r>
                            <w:r w:rsidRPr="004E0302">
                              <w:rPr>
                                <w:rFonts w:cs="Arial"/>
                                <w:color w:val="FFFFFF"/>
                                <w:sz w:val="20"/>
                              </w:rPr>
                              <w:t>aware</w:t>
                            </w:r>
                            <w:r w:rsidRPr="004E0302">
                              <w:rPr>
                                <w:rFonts w:cs="Arial"/>
                                <w:color w:val="FFFFFF"/>
                                <w:spacing w:val="19"/>
                                <w:sz w:val="20"/>
                              </w:rPr>
                              <w:t xml:space="preserve"> </w:t>
                            </w:r>
                            <w:r w:rsidRPr="004E0302">
                              <w:rPr>
                                <w:rFonts w:cs="Arial"/>
                                <w:color w:val="FFFFFF"/>
                                <w:spacing w:val="-1"/>
                                <w:sz w:val="20"/>
                              </w:rPr>
                              <w:t>that</w:t>
                            </w:r>
                            <w:r w:rsidRPr="004E0302">
                              <w:rPr>
                                <w:rFonts w:cs="Arial"/>
                                <w:color w:val="FFFFFF"/>
                                <w:spacing w:val="17"/>
                                <w:sz w:val="20"/>
                              </w:rPr>
                              <w:t xml:space="preserve"> </w:t>
                            </w:r>
                            <w:r w:rsidRPr="004E0302">
                              <w:rPr>
                                <w:rFonts w:cs="Arial"/>
                                <w:color w:val="FFFFFF"/>
                                <w:spacing w:val="-1"/>
                                <w:sz w:val="20"/>
                              </w:rPr>
                              <w:t>consulting</w:t>
                            </w:r>
                            <w:r w:rsidRPr="004E0302">
                              <w:rPr>
                                <w:rFonts w:cs="Arial"/>
                                <w:color w:val="FFFFFF"/>
                                <w:spacing w:val="16"/>
                                <w:sz w:val="20"/>
                              </w:rPr>
                              <w:t xml:space="preserve"> </w:t>
                            </w:r>
                            <w:r w:rsidRPr="004E0302">
                              <w:rPr>
                                <w:rFonts w:cs="Arial"/>
                                <w:color w:val="FFFFFF"/>
                                <w:spacing w:val="-1"/>
                                <w:sz w:val="20"/>
                              </w:rPr>
                              <w:t>rooms</w:t>
                            </w:r>
                            <w:r w:rsidRPr="004E0302">
                              <w:rPr>
                                <w:rFonts w:cs="Arial"/>
                                <w:color w:val="FFFFFF"/>
                                <w:spacing w:val="53"/>
                                <w:sz w:val="20"/>
                              </w:rPr>
                              <w:t xml:space="preserve"> </w:t>
                            </w:r>
                            <w:r w:rsidRPr="004E0302">
                              <w:rPr>
                                <w:rFonts w:cs="Arial"/>
                                <w:color w:val="FFFFFF"/>
                                <w:spacing w:val="-1"/>
                                <w:sz w:val="20"/>
                              </w:rPr>
                              <w:t>in</w:t>
                            </w:r>
                            <w:r w:rsidRPr="004E0302">
                              <w:rPr>
                                <w:rFonts w:cs="Arial"/>
                                <w:color w:val="FFFFFF"/>
                                <w:spacing w:val="-3"/>
                                <w:sz w:val="20"/>
                              </w:rPr>
                              <w:t xml:space="preserve"> </w:t>
                            </w:r>
                            <w:r w:rsidRPr="004E0302">
                              <w:rPr>
                                <w:rFonts w:cs="Arial"/>
                                <w:color w:val="FFFFFF"/>
                                <w:sz w:val="20"/>
                              </w:rPr>
                              <w:t>a</w:t>
                            </w:r>
                            <w:r w:rsidRPr="004E0302">
                              <w:rPr>
                                <w:rFonts w:cs="Arial"/>
                                <w:color w:val="FFFFFF"/>
                                <w:spacing w:val="-2"/>
                                <w:sz w:val="20"/>
                              </w:rPr>
                              <w:t xml:space="preserve"> </w:t>
                            </w:r>
                            <w:r w:rsidRPr="004E0302">
                              <w:rPr>
                                <w:rFonts w:cs="Arial"/>
                                <w:color w:val="FFFFFF"/>
                                <w:sz w:val="20"/>
                              </w:rPr>
                              <w:t>GP</w:t>
                            </w:r>
                            <w:r w:rsidRPr="004E0302">
                              <w:rPr>
                                <w:rFonts w:cs="Arial"/>
                                <w:color w:val="FFFFFF"/>
                                <w:spacing w:val="-2"/>
                                <w:sz w:val="20"/>
                              </w:rPr>
                              <w:t xml:space="preserve"> </w:t>
                            </w:r>
                            <w:r w:rsidRPr="004E0302">
                              <w:rPr>
                                <w:rFonts w:cs="Arial"/>
                                <w:color w:val="FFFFFF"/>
                                <w:spacing w:val="-1"/>
                                <w:sz w:val="20"/>
                              </w:rPr>
                              <w:t>surgery</w:t>
                            </w:r>
                            <w:r w:rsidRPr="004E0302">
                              <w:rPr>
                                <w:rFonts w:cs="Arial"/>
                                <w:color w:val="FFFFFF"/>
                                <w:spacing w:val="-3"/>
                                <w:sz w:val="20"/>
                              </w:rPr>
                              <w:t xml:space="preserve"> </w:t>
                            </w:r>
                            <w:r w:rsidRPr="004E0302">
                              <w:rPr>
                                <w:rFonts w:cs="Arial"/>
                                <w:color w:val="FFFFFF"/>
                                <w:sz w:val="20"/>
                              </w:rPr>
                              <w:t>are</w:t>
                            </w:r>
                            <w:r w:rsidRPr="004E0302">
                              <w:rPr>
                                <w:rFonts w:cs="Arial"/>
                                <w:color w:val="FFFFFF"/>
                                <w:spacing w:val="-3"/>
                                <w:sz w:val="20"/>
                              </w:rPr>
                              <w:t xml:space="preserve"> </w:t>
                            </w:r>
                            <w:r w:rsidRPr="004E0302">
                              <w:rPr>
                                <w:rFonts w:cs="Arial"/>
                                <w:color w:val="FFFFFF"/>
                                <w:spacing w:val="-1"/>
                                <w:sz w:val="20"/>
                              </w:rPr>
                              <w:t>no</w:t>
                            </w:r>
                            <w:r w:rsidRPr="004E0302">
                              <w:rPr>
                                <w:rFonts w:cs="Arial"/>
                                <w:color w:val="FFFFFF"/>
                                <w:sz w:val="20"/>
                              </w:rPr>
                              <w:t xml:space="preserve"> </w:t>
                            </w:r>
                            <w:r w:rsidRPr="004E0302">
                              <w:rPr>
                                <w:rFonts w:cs="Arial"/>
                                <w:color w:val="FFFFFF"/>
                                <w:spacing w:val="-1"/>
                                <w:sz w:val="20"/>
                              </w:rPr>
                              <w:t>longer</w:t>
                            </w:r>
                            <w:r w:rsidRPr="004E0302">
                              <w:rPr>
                                <w:rFonts w:cs="Arial"/>
                                <w:color w:val="FFFFFF"/>
                                <w:spacing w:val="-3"/>
                                <w:sz w:val="20"/>
                              </w:rPr>
                              <w:t xml:space="preserve"> </w:t>
                            </w:r>
                            <w:r w:rsidRPr="004E0302">
                              <w:rPr>
                                <w:rFonts w:cs="Arial"/>
                                <w:color w:val="FFFFFF"/>
                                <w:spacing w:val="-1"/>
                                <w:sz w:val="20"/>
                              </w:rPr>
                              <w:t>accessible</w:t>
                            </w:r>
                            <w:r w:rsidRPr="004E0302">
                              <w:rPr>
                                <w:rFonts w:cs="Arial"/>
                                <w:color w:val="FFFFFF"/>
                                <w:spacing w:val="-3"/>
                                <w:sz w:val="20"/>
                              </w:rPr>
                              <w:t xml:space="preserve"> </w:t>
                            </w:r>
                            <w:r w:rsidRPr="004E0302">
                              <w:rPr>
                                <w:rFonts w:cs="Arial"/>
                                <w:color w:val="FFFFFF"/>
                                <w:sz w:val="20"/>
                              </w:rPr>
                              <w:t>to</w:t>
                            </w:r>
                            <w:r w:rsidRPr="004E0302">
                              <w:rPr>
                                <w:rFonts w:cs="Arial"/>
                                <w:color w:val="FFFFFF"/>
                                <w:spacing w:val="-3"/>
                                <w:sz w:val="20"/>
                              </w:rPr>
                              <w:t xml:space="preserve"> </w:t>
                            </w:r>
                            <w:r w:rsidRPr="004E0302">
                              <w:rPr>
                                <w:rFonts w:cs="Arial"/>
                                <w:color w:val="FFFFFF"/>
                                <w:sz w:val="20"/>
                              </w:rPr>
                              <w:t>those</w:t>
                            </w:r>
                            <w:r w:rsidRPr="004E0302">
                              <w:rPr>
                                <w:rFonts w:cs="Arial"/>
                                <w:color w:val="FFFFFF"/>
                                <w:spacing w:val="-3"/>
                                <w:sz w:val="20"/>
                              </w:rPr>
                              <w:t xml:space="preserve"> </w:t>
                            </w:r>
                            <w:r w:rsidRPr="004E0302">
                              <w:rPr>
                                <w:rFonts w:cs="Arial"/>
                                <w:color w:val="FFFFFF"/>
                                <w:spacing w:val="-1"/>
                                <w:sz w:val="20"/>
                              </w:rPr>
                              <w:t>with</w:t>
                            </w:r>
                            <w:r w:rsidRPr="004E0302">
                              <w:rPr>
                                <w:rFonts w:cs="Arial"/>
                                <w:color w:val="FFFFFF"/>
                                <w:spacing w:val="-3"/>
                                <w:sz w:val="20"/>
                              </w:rPr>
                              <w:t xml:space="preserve"> </w:t>
                            </w:r>
                            <w:r w:rsidRPr="004E0302">
                              <w:rPr>
                                <w:rFonts w:cs="Arial"/>
                                <w:color w:val="FFFFFF"/>
                                <w:spacing w:val="-1"/>
                                <w:sz w:val="20"/>
                              </w:rPr>
                              <w:t>limited mobility</w:t>
                            </w:r>
                            <w:r w:rsidRPr="004E0302">
                              <w:rPr>
                                <w:rFonts w:cs="Arial"/>
                                <w:color w:val="FFFFFF"/>
                                <w:spacing w:val="67"/>
                                <w:sz w:val="20"/>
                              </w:rPr>
                              <w:t xml:space="preserve"> </w:t>
                            </w:r>
                            <w:r w:rsidRPr="004E0302">
                              <w:rPr>
                                <w:rFonts w:cs="Arial"/>
                                <w:color w:val="FFFFFF"/>
                                <w:spacing w:val="-1"/>
                                <w:sz w:val="20"/>
                              </w:rPr>
                              <w:t>as</w:t>
                            </w:r>
                            <w:r w:rsidRPr="004E0302">
                              <w:rPr>
                                <w:rFonts w:cs="Arial"/>
                                <w:color w:val="FFFFFF"/>
                                <w:spacing w:val="46"/>
                                <w:sz w:val="20"/>
                              </w:rPr>
                              <w:t xml:space="preserve"> </w:t>
                            </w:r>
                            <w:r w:rsidRPr="004E0302">
                              <w:rPr>
                                <w:rFonts w:cs="Arial"/>
                                <w:color w:val="FFFFFF"/>
                                <w:spacing w:val="-1"/>
                                <w:sz w:val="20"/>
                              </w:rPr>
                              <w:t>they</w:t>
                            </w:r>
                            <w:r w:rsidRPr="004E0302">
                              <w:rPr>
                                <w:rFonts w:cs="Arial"/>
                                <w:color w:val="FFFFFF"/>
                                <w:spacing w:val="46"/>
                                <w:sz w:val="20"/>
                              </w:rPr>
                              <w:t xml:space="preserve"> </w:t>
                            </w:r>
                            <w:r w:rsidRPr="004E0302">
                              <w:rPr>
                                <w:rFonts w:cs="Arial"/>
                                <w:color w:val="FFFFFF"/>
                                <w:spacing w:val="-1"/>
                                <w:sz w:val="20"/>
                              </w:rPr>
                              <w:t>have</w:t>
                            </w:r>
                            <w:r w:rsidRPr="004E0302">
                              <w:rPr>
                                <w:rFonts w:cs="Arial"/>
                                <w:color w:val="FFFFFF"/>
                                <w:spacing w:val="44"/>
                                <w:sz w:val="20"/>
                              </w:rPr>
                              <w:t xml:space="preserve"> </w:t>
                            </w:r>
                            <w:r w:rsidRPr="004E0302">
                              <w:rPr>
                                <w:rFonts w:cs="Arial"/>
                                <w:color w:val="FFFFFF"/>
                                <w:spacing w:val="-1"/>
                                <w:sz w:val="20"/>
                              </w:rPr>
                              <w:t>been</w:t>
                            </w:r>
                            <w:r w:rsidRPr="004E0302">
                              <w:rPr>
                                <w:rFonts w:cs="Arial"/>
                                <w:color w:val="FFFFFF"/>
                                <w:spacing w:val="48"/>
                                <w:sz w:val="20"/>
                              </w:rPr>
                              <w:t xml:space="preserve"> </w:t>
                            </w:r>
                            <w:r w:rsidRPr="004E0302">
                              <w:rPr>
                                <w:rFonts w:cs="Arial"/>
                                <w:color w:val="FFFFFF"/>
                                <w:sz w:val="20"/>
                              </w:rPr>
                              <w:t>moved</w:t>
                            </w:r>
                            <w:r w:rsidRPr="004E0302">
                              <w:rPr>
                                <w:rFonts w:cs="Arial"/>
                                <w:color w:val="FFFFFF"/>
                                <w:spacing w:val="45"/>
                                <w:sz w:val="20"/>
                              </w:rPr>
                              <w:t xml:space="preserve"> </w:t>
                            </w:r>
                            <w:r w:rsidRPr="004E0302">
                              <w:rPr>
                                <w:rFonts w:cs="Arial"/>
                                <w:color w:val="FFFFFF"/>
                                <w:spacing w:val="-1"/>
                                <w:sz w:val="20"/>
                              </w:rPr>
                              <w:t>upstairs.</w:t>
                            </w:r>
                            <w:r w:rsidRPr="004E0302">
                              <w:rPr>
                                <w:rFonts w:cs="Arial"/>
                                <w:color w:val="FFFFFF"/>
                                <w:spacing w:val="25"/>
                                <w:sz w:val="20"/>
                              </w:rPr>
                              <w:t xml:space="preserve"> </w:t>
                            </w:r>
                            <w:r>
                              <w:rPr>
                                <w:rFonts w:cs="Arial"/>
                                <w:color w:val="FFFFFF"/>
                                <w:spacing w:val="-1"/>
                                <w:sz w:val="20"/>
                              </w:rPr>
                              <w:t>The commissioner</w:t>
                            </w:r>
                            <w:r w:rsidRPr="004E0302">
                              <w:rPr>
                                <w:rFonts w:cs="Arial"/>
                                <w:color w:val="FFFFFF"/>
                                <w:spacing w:val="47"/>
                                <w:sz w:val="20"/>
                              </w:rPr>
                              <w:t xml:space="preserve"> </w:t>
                            </w:r>
                            <w:r w:rsidRPr="004E0302">
                              <w:rPr>
                                <w:rFonts w:cs="Arial"/>
                                <w:color w:val="FFFFFF"/>
                                <w:spacing w:val="-1"/>
                                <w:sz w:val="20"/>
                              </w:rPr>
                              <w:t>decides</w:t>
                            </w:r>
                            <w:r w:rsidRPr="004E0302">
                              <w:rPr>
                                <w:rFonts w:cs="Arial"/>
                                <w:color w:val="FFFFFF"/>
                                <w:spacing w:val="46"/>
                                <w:sz w:val="20"/>
                              </w:rPr>
                              <w:t xml:space="preserve"> </w:t>
                            </w:r>
                            <w:r w:rsidRPr="004E0302">
                              <w:rPr>
                                <w:rFonts w:cs="Arial"/>
                                <w:color w:val="FFFFFF"/>
                                <w:spacing w:val="-1"/>
                                <w:sz w:val="20"/>
                              </w:rPr>
                              <w:t>that</w:t>
                            </w:r>
                            <w:r w:rsidRPr="004E0302">
                              <w:rPr>
                                <w:rFonts w:cs="Arial"/>
                                <w:color w:val="FFFFFF"/>
                                <w:spacing w:val="46"/>
                                <w:sz w:val="20"/>
                              </w:rPr>
                              <w:t xml:space="preserve"> </w:t>
                            </w:r>
                            <w:r w:rsidRPr="004E0302">
                              <w:rPr>
                                <w:rFonts w:cs="Arial"/>
                                <w:color w:val="FFFFFF"/>
                                <w:spacing w:val="-1"/>
                                <w:sz w:val="20"/>
                              </w:rPr>
                              <w:t>as</w:t>
                            </w:r>
                            <w:r w:rsidRPr="004E0302">
                              <w:rPr>
                                <w:rFonts w:cs="Arial"/>
                                <w:color w:val="FFFFFF"/>
                                <w:spacing w:val="53"/>
                                <w:sz w:val="20"/>
                              </w:rPr>
                              <w:t xml:space="preserve"> </w:t>
                            </w:r>
                            <w:r w:rsidRPr="004E0302">
                              <w:rPr>
                                <w:rFonts w:cs="Arial"/>
                                <w:color w:val="FFFFFF"/>
                                <w:spacing w:val="-1"/>
                                <w:sz w:val="20"/>
                              </w:rPr>
                              <w:t>there</w:t>
                            </w:r>
                            <w:r w:rsidRPr="004E0302">
                              <w:rPr>
                                <w:rFonts w:cs="Arial"/>
                                <w:color w:val="FFFFFF"/>
                                <w:spacing w:val="60"/>
                                <w:sz w:val="20"/>
                              </w:rPr>
                              <w:t xml:space="preserve"> </w:t>
                            </w:r>
                            <w:r w:rsidRPr="004E0302">
                              <w:rPr>
                                <w:rFonts w:cs="Arial"/>
                                <w:color w:val="FFFFFF"/>
                                <w:spacing w:val="-1"/>
                                <w:sz w:val="20"/>
                              </w:rPr>
                              <w:t>are</w:t>
                            </w:r>
                            <w:r w:rsidRPr="004E0302">
                              <w:rPr>
                                <w:rFonts w:cs="Arial"/>
                                <w:color w:val="FFFFFF"/>
                                <w:spacing w:val="60"/>
                                <w:sz w:val="20"/>
                              </w:rPr>
                              <w:t xml:space="preserve"> </w:t>
                            </w:r>
                            <w:r w:rsidRPr="004E0302">
                              <w:rPr>
                                <w:rFonts w:cs="Arial"/>
                                <w:color w:val="FFFFFF"/>
                                <w:spacing w:val="-1"/>
                                <w:sz w:val="20"/>
                              </w:rPr>
                              <w:t>no</w:t>
                            </w:r>
                            <w:r w:rsidRPr="004E0302">
                              <w:rPr>
                                <w:rFonts w:cs="Arial"/>
                                <w:color w:val="FFFFFF"/>
                                <w:spacing w:val="62"/>
                                <w:sz w:val="20"/>
                              </w:rPr>
                              <w:t xml:space="preserve"> </w:t>
                            </w:r>
                            <w:r w:rsidRPr="004E0302">
                              <w:rPr>
                                <w:rFonts w:cs="Arial"/>
                                <w:color w:val="FFFFFF"/>
                                <w:spacing w:val="-1"/>
                                <w:sz w:val="20"/>
                              </w:rPr>
                              <w:t>downstairs</w:t>
                            </w:r>
                            <w:r w:rsidRPr="004E0302">
                              <w:rPr>
                                <w:rFonts w:cs="Arial"/>
                                <w:color w:val="FFFFFF"/>
                                <w:spacing w:val="62"/>
                                <w:sz w:val="20"/>
                              </w:rPr>
                              <w:t xml:space="preserve"> </w:t>
                            </w:r>
                            <w:r w:rsidRPr="004E0302">
                              <w:rPr>
                                <w:rFonts w:cs="Arial"/>
                                <w:color w:val="FFFFFF"/>
                                <w:spacing w:val="-1"/>
                                <w:sz w:val="20"/>
                              </w:rPr>
                              <w:t>consulting</w:t>
                            </w:r>
                            <w:r w:rsidRPr="004E0302">
                              <w:rPr>
                                <w:rFonts w:cs="Arial"/>
                                <w:color w:val="FFFFFF"/>
                                <w:spacing w:val="60"/>
                                <w:sz w:val="20"/>
                              </w:rPr>
                              <w:t xml:space="preserve"> </w:t>
                            </w:r>
                            <w:r w:rsidRPr="004E0302">
                              <w:rPr>
                                <w:rFonts w:cs="Arial"/>
                                <w:color w:val="FFFFFF"/>
                                <w:spacing w:val="-1"/>
                                <w:sz w:val="20"/>
                              </w:rPr>
                              <w:t>rooms</w:t>
                            </w:r>
                            <w:r w:rsidRPr="004E0302">
                              <w:rPr>
                                <w:rFonts w:cs="Arial"/>
                                <w:color w:val="FFFFFF"/>
                                <w:spacing w:val="61"/>
                                <w:sz w:val="20"/>
                              </w:rPr>
                              <w:t xml:space="preserve"> </w:t>
                            </w:r>
                            <w:r w:rsidRPr="004E0302">
                              <w:rPr>
                                <w:rFonts w:cs="Arial"/>
                                <w:color w:val="FFFFFF"/>
                                <w:sz w:val="20"/>
                              </w:rPr>
                              <w:t>and</w:t>
                            </w:r>
                            <w:r w:rsidRPr="004E0302">
                              <w:rPr>
                                <w:rFonts w:cs="Arial"/>
                                <w:color w:val="FFFFFF"/>
                                <w:spacing w:val="61"/>
                                <w:sz w:val="20"/>
                              </w:rPr>
                              <w:t xml:space="preserve"> </w:t>
                            </w:r>
                            <w:r w:rsidRPr="004E0302">
                              <w:rPr>
                                <w:rFonts w:cs="Arial"/>
                                <w:color w:val="FFFFFF"/>
                                <w:spacing w:val="-1"/>
                                <w:sz w:val="20"/>
                              </w:rPr>
                              <w:t>there</w:t>
                            </w:r>
                            <w:r w:rsidRPr="004E0302">
                              <w:rPr>
                                <w:rFonts w:cs="Arial"/>
                                <w:color w:val="FFFFFF"/>
                                <w:spacing w:val="62"/>
                                <w:sz w:val="20"/>
                              </w:rPr>
                              <w:t xml:space="preserve"> </w:t>
                            </w:r>
                            <w:r w:rsidRPr="004E0302">
                              <w:rPr>
                                <w:rFonts w:cs="Arial"/>
                                <w:color w:val="FFFFFF"/>
                                <w:spacing w:val="-1"/>
                                <w:sz w:val="20"/>
                              </w:rPr>
                              <w:t>is</w:t>
                            </w:r>
                            <w:r w:rsidRPr="004E0302">
                              <w:rPr>
                                <w:rFonts w:cs="Arial"/>
                                <w:color w:val="FFFFFF"/>
                                <w:spacing w:val="61"/>
                                <w:sz w:val="20"/>
                              </w:rPr>
                              <w:t xml:space="preserve"> </w:t>
                            </w:r>
                            <w:r w:rsidRPr="004E0302">
                              <w:rPr>
                                <w:rFonts w:cs="Arial"/>
                                <w:color w:val="FFFFFF"/>
                                <w:spacing w:val="-1"/>
                                <w:sz w:val="20"/>
                              </w:rPr>
                              <w:t>no</w:t>
                            </w:r>
                            <w:r w:rsidRPr="004E0302">
                              <w:rPr>
                                <w:rFonts w:cs="Arial"/>
                                <w:color w:val="FFFFFF"/>
                                <w:spacing w:val="60"/>
                                <w:sz w:val="20"/>
                              </w:rPr>
                              <w:t xml:space="preserve"> </w:t>
                            </w:r>
                            <w:r w:rsidRPr="004E0302">
                              <w:rPr>
                                <w:rFonts w:cs="Arial"/>
                                <w:color w:val="FFFFFF"/>
                                <w:spacing w:val="-1"/>
                                <w:sz w:val="20"/>
                              </w:rPr>
                              <w:t>lift</w:t>
                            </w:r>
                            <w:r w:rsidRPr="004E0302">
                              <w:rPr>
                                <w:rFonts w:cs="Arial"/>
                                <w:color w:val="FFFFFF"/>
                                <w:spacing w:val="62"/>
                                <w:sz w:val="20"/>
                              </w:rPr>
                              <w:t xml:space="preserve"> </w:t>
                            </w:r>
                            <w:r w:rsidRPr="004E0302">
                              <w:rPr>
                                <w:rFonts w:cs="Arial"/>
                                <w:color w:val="FFFFFF"/>
                                <w:spacing w:val="-1"/>
                                <w:sz w:val="20"/>
                              </w:rPr>
                              <w:t>or</w:t>
                            </w:r>
                            <w:r w:rsidRPr="004E0302">
                              <w:rPr>
                                <w:rFonts w:cs="Arial"/>
                                <w:color w:val="FFFFFF"/>
                                <w:spacing w:val="61"/>
                                <w:w w:val="99"/>
                                <w:sz w:val="20"/>
                              </w:rPr>
                              <w:t xml:space="preserve"> </w:t>
                            </w:r>
                            <w:r w:rsidRPr="004E0302">
                              <w:rPr>
                                <w:rFonts w:cs="Arial"/>
                                <w:color w:val="FFFFFF"/>
                                <w:spacing w:val="-1"/>
                                <w:sz w:val="20"/>
                              </w:rPr>
                              <w:t>stair</w:t>
                            </w:r>
                            <w:r>
                              <w:rPr>
                                <w:rFonts w:cs="Arial"/>
                                <w:color w:val="FFFFFF"/>
                                <w:spacing w:val="-1"/>
                                <w:sz w:val="20"/>
                              </w:rPr>
                              <w:t xml:space="preserve"> </w:t>
                            </w:r>
                            <w:r w:rsidRPr="004E0302">
                              <w:rPr>
                                <w:rFonts w:cs="Arial"/>
                                <w:color w:val="FFFFFF"/>
                                <w:spacing w:val="-1"/>
                                <w:sz w:val="20"/>
                              </w:rPr>
                              <w:t>lift,</w:t>
                            </w:r>
                            <w:r w:rsidRPr="004E0302">
                              <w:rPr>
                                <w:rFonts w:cs="Arial"/>
                                <w:color w:val="FFFFFF"/>
                                <w:spacing w:val="45"/>
                                <w:sz w:val="20"/>
                              </w:rPr>
                              <w:t xml:space="preserve"> </w:t>
                            </w:r>
                            <w:r w:rsidRPr="004E0302">
                              <w:rPr>
                                <w:rFonts w:cs="Arial"/>
                                <w:color w:val="FFFFFF"/>
                                <w:spacing w:val="-1"/>
                                <w:sz w:val="20"/>
                              </w:rPr>
                              <w:t>this</w:t>
                            </w:r>
                            <w:r w:rsidRPr="004E0302">
                              <w:rPr>
                                <w:rFonts w:cs="Arial"/>
                                <w:color w:val="FFFFFF"/>
                                <w:spacing w:val="46"/>
                                <w:sz w:val="20"/>
                              </w:rPr>
                              <w:t xml:space="preserve"> </w:t>
                            </w:r>
                            <w:r w:rsidRPr="004E0302">
                              <w:rPr>
                                <w:rFonts w:cs="Arial"/>
                                <w:color w:val="FFFFFF"/>
                                <w:spacing w:val="-1"/>
                                <w:sz w:val="20"/>
                              </w:rPr>
                              <w:t>is</w:t>
                            </w:r>
                            <w:r w:rsidRPr="004E0302">
                              <w:rPr>
                                <w:rFonts w:cs="Arial"/>
                                <w:color w:val="FFFFFF"/>
                                <w:spacing w:val="47"/>
                                <w:sz w:val="20"/>
                              </w:rPr>
                              <w:t xml:space="preserve"> </w:t>
                            </w:r>
                            <w:r w:rsidRPr="004E0302">
                              <w:rPr>
                                <w:rFonts w:cs="Arial"/>
                                <w:color w:val="FFFFFF"/>
                                <w:sz w:val="20"/>
                              </w:rPr>
                              <w:t>a</w:t>
                            </w:r>
                            <w:r w:rsidRPr="004E0302">
                              <w:rPr>
                                <w:rFonts w:cs="Arial"/>
                                <w:color w:val="FFFFFF"/>
                                <w:spacing w:val="47"/>
                                <w:sz w:val="20"/>
                              </w:rPr>
                              <w:t xml:space="preserve"> </w:t>
                            </w:r>
                            <w:r w:rsidRPr="004E0302">
                              <w:rPr>
                                <w:rFonts w:cs="Arial"/>
                                <w:color w:val="FFFFFF"/>
                                <w:spacing w:val="-1"/>
                                <w:sz w:val="20"/>
                              </w:rPr>
                              <w:t>breach</w:t>
                            </w:r>
                            <w:r w:rsidRPr="004E0302">
                              <w:rPr>
                                <w:rFonts w:cs="Arial"/>
                                <w:color w:val="FFFFFF"/>
                                <w:spacing w:val="46"/>
                                <w:sz w:val="20"/>
                              </w:rPr>
                              <w:t xml:space="preserve"> </w:t>
                            </w:r>
                            <w:r w:rsidRPr="004E0302">
                              <w:rPr>
                                <w:rFonts w:cs="Arial"/>
                                <w:color w:val="FFFFFF"/>
                                <w:spacing w:val="-1"/>
                                <w:sz w:val="20"/>
                              </w:rPr>
                              <w:t>of</w:t>
                            </w:r>
                            <w:r w:rsidRPr="004E0302">
                              <w:rPr>
                                <w:rFonts w:cs="Arial"/>
                                <w:color w:val="FFFFFF"/>
                                <w:spacing w:val="44"/>
                                <w:sz w:val="20"/>
                              </w:rPr>
                              <w:t xml:space="preserve"> </w:t>
                            </w:r>
                            <w:r w:rsidRPr="004E0302">
                              <w:rPr>
                                <w:rFonts w:cs="Arial"/>
                                <w:color w:val="FFFFFF"/>
                                <w:spacing w:val="-1"/>
                                <w:sz w:val="20"/>
                              </w:rPr>
                              <w:t>the</w:t>
                            </w:r>
                            <w:r w:rsidRPr="004E0302">
                              <w:rPr>
                                <w:rFonts w:cs="Arial"/>
                                <w:color w:val="FFFFFF"/>
                                <w:spacing w:val="48"/>
                                <w:sz w:val="20"/>
                              </w:rPr>
                              <w:t xml:space="preserve"> </w:t>
                            </w:r>
                            <w:r w:rsidRPr="004E0302">
                              <w:rPr>
                                <w:rFonts w:cs="Arial"/>
                                <w:color w:val="FFFFFF"/>
                                <w:spacing w:val="-1"/>
                                <w:sz w:val="20"/>
                              </w:rPr>
                              <w:t>practice's</w:t>
                            </w:r>
                            <w:r w:rsidRPr="004E0302">
                              <w:rPr>
                                <w:rFonts w:cs="Arial"/>
                                <w:color w:val="FFFFFF"/>
                                <w:spacing w:val="46"/>
                                <w:sz w:val="20"/>
                              </w:rPr>
                              <w:t xml:space="preserve"> </w:t>
                            </w:r>
                            <w:r w:rsidRPr="004E0302">
                              <w:rPr>
                                <w:rFonts w:cs="Arial"/>
                                <w:color w:val="FFFFFF"/>
                                <w:sz w:val="20"/>
                              </w:rPr>
                              <w:t>duty</w:t>
                            </w:r>
                            <w:r w:rsidRPr="004E0302">
                              <w:rPr>
                                <w:rFonts w:cs="Arial"/>
                                <w:color w:val="FFFFFF"/>
                                <w:spacing w:val="47"/>
                                <w:sz w:val="20"/>
                              </w:rPr>
                              <w:t xml:space="preserve"> </w:t>
                            </w:r>
                            <w:r w:rsidRPr="004E0302">
                              <w:rPr>
                                <w:rFonts w:cs="Arial"/>
                                <w:color w:val="FFFFFF"/>
                                <w:sz w:val="20"/>
                              </w:rPr>
                              <w:t>to</w:t>
                            </w:r>
                            <w:r w:rsidRPr="004E0302">
                              <w:rPr>
                                <w:rFonts w:cs="Arial"/>
                                <w:color w:val="FFFFFF"/>
                                <w:spacing w:val="44"/>
                                <w:sz w:val="20"/>
                              </w:rPr>
                              <w:t xml:space="preserve"> </w:t>
                            </w:r>
                            <w:r w:rsidRPr="004E0302">
                              <w:rPr>
                                <w:rFonts w:cs="Arial"/>
                                <w:color w:val="FFFFFF"/>
                                <w:spacing w:val="-1"/>
                                <w:sz w:val="20"/>
                              </w:rPr>
                              <w:t>make</w:t>
                            </w:r>
                            <w:r w:rsidRPr="004E0302">
                              <w:rPr>
                                <w:rFonts w:cs="Arial"/>
                                <w:color w:val="FFFFFF"/>
                                <w:spacing w:val="45"/>
                                <w:sz w:val="20"/>
                              </w:rPr>
                              <w:t xml:space="preserve"> </w:t>
                            </w:r>
                            <w:r w:rsidRPr="004E0302">
                              <w:rPr>
                                <w:rFonts w:cs="Arial"/>
                                <w:color w:val="FFFFFF"/>
                                <w:spacing w:val="-1"/>
                                <w:sz w:val="20"/>
                              </w:rPr>
                              <w:t>reasonable</w:t>
                            </w:r>
                            <w:r w:rsidRPr="004E0302">
                              <w:rPr>
                                <w:rFonts w:cs="Arial"/>
                                <w:color w:val="FFFFFF"/>
                                <w:spacing w:val="59"/>
                                <w:w w:val="99"/>
                                <w:sz w:val="20"/>
                              </w:rPr>
                              <w:t xml:space="preserve"> </w:t>
                            </w:r>
                            <w:r w:rsidRPr="004E0302">
                              <w:rPr>
                                <w:rFonts w:cs="Arial"/>
                                <w:color w:val="FFFFFF"/>
                                <w:spacing w:val="-1"/>
                                <w:sz w:val="20"/>
                              </w:rPr>
                              <w:t>adjustments</w:t>
                            </w:r>
                            <w:r w:rsidRPr="004E0302">
                              <w:rPr>
                                <w:rFonts w:cs="Arial"/>
                                <w:color w:val="FFFFFF"/>
                                <w:spacing w:val="29"/>
                                <w:sz w:val="20"/>
                              </w:rPr>
                              <w:t xml:space="preserve"> </w:t>
                            </w:r>
                            <w:r w:rsidRPr="004E0302">
                              <w:rPr>
                                <w:rFonts w:cs="Arial"/>
                                <w:color w:val="FFFFFF"/>
                                <w:spacing w:val="-1"/>
                                <w:sz w:val="20"/>
                              </w:rPr>
                              <w:t>under</w:t>
                            </w:r>
                            <w:r w:rsidRPr="004E0302">
                              <w:rPr>
                                <w:rFonts w:cs="Arial"/>
                                <w:color w:val="FFFFFF"/>
                                <w:spacing w:val="32"/>
                                <w:sz w:val="20"/>
                              </w:rPr>
                              <w:t xml:space="preserve"> </w:t>
                            </w:r>
                            <w:r w:rsidRPr="004E0302">
                              <w:rPr>
                                <w:rFonts w:cs="Arial"/>
                                <w:color w:val="FFFFFF"/>
                                <w:spacing w:val="-1"/>
                                <w:sz w:val="20"/>
                              </w:rPr>
                              <w:t>the</w:t>
                            </w:r>
                            <w:r w:rsidRPr="004E0302">
                              <w:rPr>
                                <w:rFonts w:cs="Arial"/>
                                <w:color w:val="FFFFFF"/>
                                <w:spacing w:val="31"/>
                                <w:sz w:val="20"/>
                              </w:rPr>
                              <w:t xml:space="preserve"> </w:t>
                            </w:r>
                            <w:r w:rsidRPr="004E0302">
                              <w:rPr>
                                <w:rFonts w:cs="Arial"/>
                                <w:color w:val="FFFFFF"/>
                                <w:spacing w:val="-1"/>
                                <w:sz w:val="20"/>
                              </w:rPr>
                              <w:t>Equality</w:t>
                            </w:r>
                            <w:r w:rsidRPr="004E0302">
                              <w:rPr>
                                <w:rFonts w:cs="Arial"/>
                                <w:color w:val="FFFFFF"/>
                                <w:spacing w:val="30"/>
                                <w:sz w:val="20"/>
                              </w:rPr>
                              <w:t xml:space="preserve"> </w:t>
                            </w:r>
                            <w:r w:rsidRPr="004E0302">
                              <w:rPr>
                                <w:rFonts w:cs="Arial"/>
                                <w:color w:val="FFFFFF"/>
                                <w:spacing w:val="-1"/>
                                <w:sz w:val="20"/>
                              </w:rPr>
                              <w:t>Act.</w:t>
                            </w:r>
                            <w:r w:rsidRPr="004E0302">
                              <w:rPr>
                                <w:rFonts w:cs="Arial"/>
                                <w:color w:val="FFFFFF"/>
                                <w:spacing w:val="59"/>
                                <w:sz w:val="20"/>
                              </w:rPr>
                              <w:t xml:space="preserve"> </w:t>
                            </w:r>
                            <w:r w:rsidRPr="004E0302">
                              <w:rPr>
                                <w:rFonts w:cs="Arial"/>
                                <w:color w:val="FFFFFF"/>
                                <w:spacing w:val="-1"/>
                                <w:sz w:val="20"/>
                              </w:rPr>
                              <w:t>This</w:t>
                            </w:r>
                            <w:r w:rsidRPr="004E0302">
                              <w:rPr>
                                <w:rFonts w:cs="Arial"/>
                                <w:color w:val="FFFFFF"/>
                                <w:spacing w:val="30"/>
                                <w:sz w:val="20"/>
                              </w:rPr>
                              <w:t xml:space="preserve"> </w:t>
                            </w:r>
                            <w:r w:rsidRPr="004E0302">
                              <w:rPr>
                                <w:rFonts w:cs="Arial"/>
                                <w:color w:val="FFFFFF"/>
                                <w:spacing w:val="-1"/>
                                <w:sz w:val="20"/>
                              </w:rPr>
                              <w:t>in</w:t>
                            </w:r>
                            <w:r w:rsidRPr="004E0302">
                              <w:rPr>
                                <w:rFonts w:cs="Arial"/>
                                <w:color w:val="FFFFFF"/>
                                <w:spacing w:val="32"/>
                                <w:sz w:val="20"/>
                              </w:rPr>
                              <w:t xml:space="preserve"> </w:t>
                            </w:r>
                            <w:r w:rsidRPr="004E0302">
                              <w:rPr>
                                <w:rFonts w:cs="Arial"/>
                                <w:color w:val="FFFFFF"/>
                                <w:spacing w:val="-1"/>
                                <w:sz w:val="20"/>
                              </w:rPr>
                              <w:t>turn</w:t>
                            </w:r>
                            <w:r w:rsidRPr="004E0302">
                              <w:rPr>
                                <w:rFonts w:cs="Arial"/>
                                <w:color w:val="FFFFFF"/>
                                <w:spacing w:val="29"/>
                                <w:sz w:val="20"/>
                              </w:rPr>
                              <w:t xml:space="preserve"> </w:t>
                            </w:r>
                            <w:r w:rsidRPr="004E0302">
                              <w:rPr>
                                <w:rFonts w:cs="Arial"/>
                                <w:color w:val="FFFFFF"/>
                                <w:spacing w:val="-1"/>
                                <w:sz w:val="20"/>
                              </w:rPr>
                              <w:t>is</w:t>
                            </w:r>
                            <w:r w:rsidRPr="004E0302">
                              <w:rPr>
                                <w:rFonts w:cs="Arial"/>
                                <w:color w:val="FFFFFF"/>
                                <w:spacing w:val="30"/>
                                <w:sz w:val="20"/>
                              </w:rPr>
                              <w:t xml:space="preserve"> </w:t>
                            </w:r>
                            <w:r w:rsidRPr="004E0302">
                              <w:rPr>
                                <w:rFonts w:cs="Arial"/>
                                <w:color w:val="FFFFFF"/>
                                <w:sz w:val="20"/>
                              </w:rPr>
                              <w:t>a</w:t>
                            </w:r>
                            <w:r w:rsidRPr="004E0302">
                              <w:rPr>
                                <w:rFonts w:cs="Arial"/>
                                <w:color w:val="FFFFFF"/>
                                <w:spacing w:val="30"/>
                                <w:sz w:val="20"/>
                              </w:rPr>
                              <w:t xml:space="preserve"> </w:t>
                            </w:r>
                            <w:r w:rsidRPr="004E0302">
                              <w:rPr>
                                <w:rFonts w:cs="Arial"/>
                                <w:color w:val="FFFFFF"/>
                                <w:spacing w:val="-1"/>
                                <w:sz w:val="20"/>
                              </w:rPr>
                              <w:t>breach</w:t>
                            </w:r>
                            <w:r w:rsidRPr="004E0302">
                              <w:rPr>
                                <w:rFonts w:cs="Arial"/>
                                <w:color w:val="FFFFFF"/>
                                <w:spacing w:val="29"/>
                                <w:sz w:val="20"/>
                              </w:rPr>
                              <w:t xml:space="preserve"> </w:t>
                            </w:r>
                            <w:r w:rsidRPr="004E0302">
                              <w:rPr>
                                <w:rFonts w:cs="Arial"/>
                                <w:color w:val="FFFFFF"/>
                                <w:sz w:val="20"/>
                              </w:rPr>
                              <w:t>of</w:t>
                            </w:r>
                            <w:r w:rsidRPr="004E0302">
                              <w:rPr>
                                <w:rFonts w:cs="Arial"/>
                                <w:color w:val="FFFFFF"/>
                                <w:spacing w:val="28"/>
                                <w:sz w:val="20"/>
                              </w:rPr>
                              <w:t xml:space="preserve"> </w:t>
                            </w:r>
                            <w:r w:rsidRPr="004E0302">
                              <w:rPr>
                                <w:rFonts w:cs="Arial"/>
                                <w:color w:val="FFFFFF"/>
                                <w:spacing w:val="-1"/>
                                <w:sz w:val="20"/>
                              </w:rPr>
                              <w:t>the</w:t>
                            </w:r>
                            <w:r w:rsidRPr="004E0302">
                              <w:rPr>
                                <w:rFonts w:cs="Arial"/>
                                <w:color w:val="FFFFFF"/>
                                <w:spacing w:val="59"/>
                                <w:w w:val="99"/>
                                <w:sz w:val="20"/>
                              </w:rPr>
                              <w:t xml:space="preserve"> </w:t>
                            </w:r>
                            <w:r w:rsidRPr="004E0302">
                              <w:rPr>
                                <w:rFonts w:cs="Arial"/>
                                <w:color w:val="FFFFFF"/>
                                <w:spacing w:val="-1"/>
                                <w:sz w:val="20"/>
                              </w:rPr>
                              <w:t>practice's</w:t>
                            </w:r>
                            <w:r w:rsidRPr="004E0302">
                              <w:rPr>
                                <w:rFonts w:cs="Arial"/>
                                <w:color w:val="FFFFFF"/>
                                <w:spacing w:val="29"/>
                                <w:sz w:val="20"/>
                              </w:rPr>
                              <w:t xml:space="preserve"> </w:t>
                            </w:r>
                            <w:r w:rsidRPr="004E0302">
                              <w:rPr>
                                <w:rFonts w:cs="Arial"/>
                                <w:color w:val="FFFFFF"/>
                                <w:spacing w:val="-1"/>
                                <w:sz w:val="20"/>
                              </w:rPr>
                              <w:t>duty</w:t>
                            </w:r>
                            <w:r w:rsidRPr="004E0302">
                              <w:rPr>
                                <w:rFonts w:cs="Arial"/>
                                <w:color w:val="FFFFFF"/>
                                <w:spacing w:val="29"/>
                                <w:sz w:val="20"/>
                              </w:rPr>
                              <w:t xml:space="preserve"> </w:t>
                            </w:r>
                            <w:r w:rsidRPr="004E0302">
                              <w:rPr>
                                <w:rFonts w:cs="Arial"/>
                                <w:color w:val="FFFFFF"/>
                                <w:spacing w:val="-1"/>
                                <w:sz w:val="20"/>
                              </w:rPr>
                              <w:t>under</w:t>
                            </w:r>
                            <w:r w:rsidRPr="004E0302">
                              <w:rPr>
                                <w:rFonts w:cs="Arial"/>
                                <w:color w:val="FFFFFF"/>
                                <w:spacing w:val="29"/>
                                <w:sz w:val="20"/>
                              </w:rPr>
                              <w:t xml:space="preserve"> </w:t>
                            </w:r>
                            <w:r w:rsidRPr="004E0302">
                              <w:rPr>
                                <w:rFonts w:cs="Arial"/>
                                <w:color w:val="FFFFFF"/>
                                <w:sz w:val="20"/>
                              </w:rPr>
                              <w:t>its</w:t>
                            </w:r>
                            <w:r w:rsidRPr="004E0302">
                              <w:rPr>
                                <w:rFonts w:cs="Arial"/>
                                <w:color w:val="FFFFFF"/>
                                <w:spacing w:val="30"/>
                                <w:sz w:val="20"/>
                              </w:rPr>
                              <w:t xml:space="preserve"> </w:t>
                            </w:r>
                            <w:r w:rsidRPr="004E0302">
                              <w:rPr>
                                <w:rFonts w:cs="Arial"/>
                                <w:color w:val="FFFFFF"/>
                                <w:spacing w:val="-1"/>
                                <w:sz w:val="20"/>
                              </w:rPr>
                              <w:t>contract</w:t>
                            </w:r>
                            <w:r w:rsidRPr="004E0302">
                              <w:rPr>
                                <w:rFonts w:cs="Arial"/>
                                <w:color w:val="FFFFFF"/>
                                <w:spacing w:val="29"/>
                                <w:sz w:val="20"/>
                              </w:rPr>
                              <w:t xml:space="preserve"> </w:t>
                            </w:r>
                            <w:r w:rsidRPr="004E0302">
                              <w:rPr>
                                <w:rFonts w:cs="Arial"/>
                                <w:color w:val="FFFFFF"/>
                                <w:spacing w:val="-1"/>
                                <w:sz w:val="20"/>
                              </w:rPr>
                              <w:t>with</w:t>
                            </w:r>
                            <w:r w:rsidRPr="004E0302">
                              <w:rPr>
                                <w:rFonts w:cs="Arial"/>
                                <w:color w:val="FFFFFF"/>
                                <w:spacing w:val="28"/>
                                <w:sz w:val="20"/>
                              </w:rPr>
                              <w:t xml:space="preserve"> </w:t>
                            </w:r>
                            <w:r>
                              <w:rPr>
                                <w:rFonts w:cs="Arial"/>
                                <w:color w:val="FFFFFF"/>
                                <w:spacing w:val="28"/>
                                <w:sz w:val="20"/>
                              </w:rPr>
                              <w:t xml:space="preserve">the commissioner </w:t>
                            </w:r>
                            <w:r w:rsidRPr="004E0302">
                              <w:rPr>
                                <w:rFonts w:cs="Arial"/>
                                <w:color w:val="FFFFFF"/>
                                <w:sz w:val="20"/>
                              </w:rPr>
                              <w:t>to</w:t>
                            </w:r>
                            <w:r w:rsidRPr="004E0302">
                              <w:rPr>
                                <w:rFonts w:cs="Arial"/>
                                <w:color w:val="FFFFFF"/>
                                <w:spacing w:val="31"/>
                                <w:sz w:val="20"/>
                              </w:rPr>
                              <w:t xml:space="preserve"> </w:t>
                            </w:r>
                            <w:r w:rsidRPr="004E0302">
                              <w:rPr>
                                <w:rFonts w:cs="Arial"/>
                                <w:color w:val="FFFFFF"/>
                                <w:spacing w:val="-1"/>
                                <w:sz w:val="20"/>
                              </w:rPr>
                              <w:t>comply</w:t>
                            </w:r>
                            <w:r w:rsidRPr="004E0302">
                              <w:rPr>
                                <w:rFonts w:cs="Arial"/>
                                <w:color w:val="FFFFFF"/>
                                <w:spacing w:val="29"/>
                                <w:sz w:val="20"/>
                              </w:rPr>
                              <w:t xml:space="preserve"> </w:t>
                            </w:r>
                            <w:r w:rsidRPr="004E0302">
                              <w:rPr>
                                <w:rFonts w:cs="Arial"/>
                                <w:color w:val="FFFFFF"/>
                                <w:spacing w:val="-1"/>
                                <w:sz w:val="20"/>
                              </w:rPr>
                              <w:t>with</w:t>
                            </w:r>
                            <w:r w:rsidRPr="004E0302">
                              <w:rPr>
                                <w:rFonts w:cs="Arial"/>
                                <w:color w:val="FFFFFF"/>
                                <w:spacing w:val="53"/>
                                <w:sz w:val="20"/>
                              </w:rPr>
                              <w:t xml:space="preserve"> </w:t>
                            </w:r>
                            <w:r w:rsidRPr="004E0302">
                              <w:rPr>
                                <w:rFonts w:cs="Arial"/>
                                <w:color w:val="FFFFFF"/>
                                <w:spacing w:val="-1"/>
                                <w:sz w:val="20"/>
                              </w:rPr>
                              <w:t>legislation.</w:t>
                            </w:r>
                            <w:r w:rsidRPr="004E0302">
                              <w:rPr>
                                <w:rFonts w:cs="Arial"/>
                                <w:color w:val="FFFFFF"/>
                                <w:spacing w:val="26"/>
                                <w:sz w:val="20"/>
                              </w:rPr>
                              <w:t xml:space="preserve"> </w:t>
                            </w:r>
                            <w:r w:rsidRPr="004E0302">
                              <w:rPr>
                                <w:rFonts w:cs="Arial"/>
                                <w:color w:val="FFFFFF"/>
                                <w:sz w:val="20"/>
                              </w:rPr>
                              <w:t>In</w:t>
                            </w:r>
                            <w:r w:rsidRPr="004E0302">
                              <w:rPr>
                                <w:rFonts w:cs="Arial"/>
                                <w:color w:val="FFFFFF"/>
                                <w:spacing w:val="46"/>
                                <w:sz w:val="20"/>
                              </w:rPr>
                              <w:t xml:space="preserve"> </w:t>
                            </w:r>
                            <w:r w:rsidRPr="004E0302">
                              <w:rPr>
                                <w:rFonts w:cs="Arial"/>
                                <w:color w:val="FFFFFF"/>
                                <w:spacing w:val="-1"/>
                                <w:sz w:val="20"/>
                              </w:rPr>
                              <w:t>order</w:t>
                            </w:r>
                            <w:r w:rsidRPr="004E0302">
                              <w:rPr>
                                <w:rFonts w:cs="Arial"/>
                                <w:color w:val="FFFFFF"/>
                                <w:spacing w:val="46"/>
                                <w:sz w:val="20"/>
                              </w:rPr>
                              <w:t xml:space="preserve"> </w:t>
                            </w:r>
                            <w:r w:rsidRPr="004E0302">
                              <w:rPr>
                                <w:rFonts w:cs="Arial"/>
                                <w:color w:val="FFFFFF"/>
                                <w:sz w:val="20"/>
                              </w:rPr>
                              <w:t>to</w:t>
                            </w:r>
                            <w:r w:rsidRPr="004E0302">
                              <w:rPr>
                                <w:rFonts w:cs="Arial"/>
                                <w:color w:val="FFFFFF"/>
                                <w:spacing w:val="45"/>
                                <w:sz w:val="20"/>
                              </w:rPr>
                              <w:t xml:space="preserve"> </w:t>
                            </w:r>
                            <w:r w:rsidRPr="004E0302">
                              <w:rPr>
                                <w:rFonts w:cs="Arial"/>
                                <w:color w:val="FFFFFF"/>
                                <w:spacing w:val="-1"/>
                                <w:sz w:val="20"/>
                              </w:rPr>
                              <w:t>comply</w:t>
                            </w:r>
                            <w:r w:rsidRPr="004E0302">
                              <w:rPr>
                                <w:rFonts w:cs="Arial"/>
                                <w:color w:val="FFFFFF"/>
                                <w:spacing w:val="47"/>
                                <w:sz w:val="20"/>
                              </w:rPr>
                              <w:t xml:space="preserve"> </w:t>
                            </w:r>
                            <w:r w:rsidRPr="004E0302">
                              <w:rPr>
                                <w:rFonts w:cs="Arial"/>
                                <w:color w:val="FFFFFF"/>
                                <w:spacing w:val="-1"/>
                                <w:sz w:val="20"/>
                              </w:rPr>
                              <w:t>with</w:t>
                            </w:r>
                            <w:r w:rsidRPr="004E0302">
                              <w:rPr>
                                <w:rFonts w:cs="Arial"/>
                                <w:color w:val="FFFFFF"/>
                                <w:spacing w:val="45"/>
                                <w:sz w:val="20"/>
                              </w:rPr>
                              <w:t xml:space="preserve"> </w:t>
                            </w:r>
                            <w:r w:rsidRPr="004E0302">
                              <w:rPr>
                                <w:rFonts w:cs="Arial"/>
                                <w:color w:val="FFFFFF"/>
                                <w:spacing w:val="-1"/>
                                <w:sz w:val="20"/>
                              </w:rPr>
                              <w:t>the</w:t>
                            </w:r>
                            <w:r w:rsidRPr="004E0302">
                              <w:rPr>
                                <w:rFonts w:cs="Arial"/>
                                <w:color w:val="FFFFFF"/>
                                <w:spacing w:val="45"/>
                                <w:sz w:val="20"/>
                              </w:rPr>
                              <w:t xml:space="preserve"> </w:t>
                            </w:r>
                            <w:r w:rsidRPr="004E0302">
                              <w:rPr>
                                <w:rFonts w:cs="Arial"/>
                                <w:color w:val="FFFFFF"/>
                                <w:spacing w:val="-1"/>
                                <w:sz w:val="20"/>
                              </w:rPr>
                              <w:t>PSED</w:t>
                            </w:r>
                            <w:r w:rsidRPr="004E0302">
                              <w:rPr>
                                <w:rFonts w:cs="Arial"/>
                                <w:color w:val="FFFFFF"/>
                                <w:spacing w:val="46"/>
                                <w:sz w:val="20"/>
                              </w:rPr>
                              <w:t xml:space="preserve"> </w:t>
                            </w:r>
                            <w:r>
                              <w:rPr>
                                <w:rFonts w:cs="Arial"/>
                                <w:color w:val="FFFFFF"/>
                                <w:spacing w:val="46"/>
                                <w:sz w:val="20"/>
                              </w:rPr>
                              <w:t xml:space="preserve">the commissioner </w:t>
                            </w:r>
                            <w:r w:rsidRPr="004E0302">
                              <w:rPr>
                                <w:rFonts w:cs="Arial"/>
                                <w:color w:val="FFFFFF"/>
                                <w:spacing w:val="-1"/>
                                <w:sz w:val="20"/>
                              </w:rPr>
                              <w:t>takes</w:t>
                            </w:r>
                            <w:r w:rsidRPr="004E0302">
                              <w:rPr>
                                <w:rFonts w:cs="Arial"/>
                                <w:color w:val="FFFFFF"/>
                                <w:spacing w:val="53"/>
                                <w:sz w:val="20"/>
                              </w:rPr>
                              <w:t xml:space="preserve"> </w:t>
                            </w:r>
                            <w:r w:rsidRPr="004E0302">
                              <w:rPr>
                                <w:rFonts w:cs="Arial"/>
                                <w:color w:val="FFFFFF"/>
                                <w:spacing w:val="-1"/>
                                <w:sz w:val="20"/>
                              </w:rPr>
                              <w:t>steps</w:t>
                            </w:r>
                            <w:r w:rsidRPr="004E0302">
                              <w:rPr>
                                <w:rFonts w:cs="Arial"/>
                                <w:color w:val="FFFFFF"/>
                                <w:spacing w:val="10"/>
                                <w:sz w:val="20"/>
                              </w:rPr>
                              <w:t xml:space="preserve"> </w:t>
                            </w:r>
                            <w:r w:rsidRPr="004E0302">
                              <w:rPr>
                                <w:rFonts w:cs="Arial"/>
                                <w:color w:val="FFFFFF"/>
                                <w:sz w:val="20"/>
                              </w:rPr>
                              <w:t>to</w:t>
                            </w:r>
                            <w:r w:rsidRPr="004E0302">
                              <w:rPr>
                                <w:rFonts w:cs="Arial"/>
                                <w:color w:val="FFFFFF"/>
                                <w:spacing w:val="9"/>
                                <w:sz w:val="20"/>
                              </w:rPr>
                              <w:t xml:space="preserve"> </w:t>
                            </w:r>
                            <w:r w:rsidRPr="004E0302">
                              <w:rPr>
                                <w:rFonts w:cs="Arial"/>
                                <w:color w:val="FFFFFF"/>
                                <w:spacing w:val="-1"/>
                                <w:sz w:val="20"/>
                              </w:rPr>
                              <w:t>ensure</w:t>
                            </w:r>
                            <w:r w:rsidRPr="004E0302">
                              <w:rPr>
                                <w:rFonts w:cs="Arial"/>
                                <w:color w:val="FFFFFF"/>
                                <w:spacing w:val="8"/>
                                <w:sz w:val="20"/>
                              </w:rPr>
                              <w:t xml:space="preserve"> </w:t>
                            </w:r>
                            <w:r w:rsidRPr="004E0302">
                              <w:rPr>
                                <w:rFonts w:cs="Arial"/>
                                <w:color w:val="FFFFFF"/>
                                <w:spacing w:val="-1"/>
                                <w:sz w:val="20"/>
                              </w:rPr>
                              <w:t>that</w:t>
                            </w:r>
                            <w:r w:rsidRPr="004E0302">
                              <w:rPr>
                                <w:rFonts w:cs="Arial"/>
                                <w:color w:val="FFFFFF"/>
                                <w:spacing w:val="12"/>
                                <w:sz w:val="20"/>
                              </w:rPr>
                              <w:t xml:space="preserve"> </w:t>
                            </w:r>
                            <w:r w:rsidRPr="004E0302">
                              <w:rPr>
                                <w:rFonts w:cs="Arial"/>
                                <w:color w:val="FFFFFF"/>
                                <w:spacing w:val="-1"/>
                                <w:sz w:val="20"/>
                              </w:rPr>
                              <w:t>the</w:t>
                            </w:r>
                            <w:r w:rsidRPr="004E0302">
                              <w:rPr>
                                <w:rFonts w:cs="Arial"/>
                                <w:color w:val="FFFFFF"/>
                                <w:spacing w:val="9"/>
                                <w:sz w:val="20"/>
                              </w:rPr>
                              <w:t xml:space="preserve"> </w:t>
                            </w:r>
                            <w:r w:rsidRPr="004E0302">
                              <w:rPr>
                                <w:rFonts w:cs="Arial"/>
                                <w:color w:val="FFFFFF"/>
                                <w:spacing w:val="-1"/>
                                <w:sz w:val="20"/>
                              </w:rPr>
                              <w:t>practice</w:t>
                            </w:r>
                            <w:r w:rsidRPr="004E0302">
                              <w:rPr>
                                <w:rFonts w:cs="Arial"/>
                                <w:color w:val="FFFFFF"/>
                                <w:spacing w:val="10"/>
                                <w:sz w:val="20"/>
                              </w:rPr>
                              <w:t xml:space="preserve"> </w:t>
                            </w:r>
                            <w:r w:rsidRPr="004E0302">
                              <w:rPr>
                                <w:rFonts w:cs="Arial"/>
                                <w:color w:val="FFFFFF"/>
                                <w:spacing w:val="-1"/>
                                <w:sz w:val="20"/>
                              </w:rPr>
                              <w:t>complies</w:t>
                            </w:r>
                            <w:r w:rsidRPr="004E0302">
                              <w:rPr>
                                <w:rFonts w:cs="Arial"/>
                                <w:color w:val="FFFFFF"/>
                                <w:spacing w:val="11"/>
                                <w:sz w:val="20"/>
                              </w:rPr>
                              <w:t xml:space="preserve"> </w:t>
                            </w:r>
                            <w:r w:rsidRPr="004E0302">
                              <w:rPr>
                                <w:rFonts w:cs="Arial"/>
                                <w:color w:val="FFFFFF"/>
                                <w:sz w:val="20"/>
                              </w:rPr>
                              <w:t>with</w:t>
                            </w:r>
                            <w:r w:rsidRPr="004E0302">
                              <w:rPr>
                                <w:rFonts w:cs="Arial"/>
                                <w:color w:val="FFFFFF"/>
                                <w:spacing w:val="9"/>
                                <w:sz w:val="20"/>
                              </w:rPr>
                              <w:t xml:space="preserve"> </w:t>
                            </w:r>
                            <w:r w:rsidRPr="004E0302">
                              <w:rPr>
                                <w:rFonts w:cs="Arial"/>
                                <w:color w:val="FFFFFF"/>
                                <w:spacing w:val="-1"/>
                                <w:sz w:val="20"/>
                              </w:rPr>
                              <w:t>its</w:t>
                            </w:r>
                            <w:r w:rsidRPr="004E0302">
                              <w:rPr>
                                <w:rFonts w:cs="Arial"/>
                                <w:color w:val="FFFFFF"/>
                                <w:spacing w:val="11"/>
                                <w:sz w:val="20"/>
                              </w:rPr>
                              <w:t xml:space="preserve"> </w:t>
                            </w:r>
                            <w:r w:rsidRPr="004E0302">
                              <w:rPr>
                                <w:rFonts w:cs="Arial"/>
                                <w:color w:val="FFFFFF"/>
                                <w:spacing w:val="-1"/>
                                <w:sz w:val="20"/>
                              </w:rPr>
                              <w:t>Equality</w:t>
                            </w:r>
                            <w:r w:rsidRPr="004E0302">
                              <w:rPr>
                                <w:rFonts w:cs="Arial"/>
                                <w:color w:val="FFFFFF"/>
                                <w:spacing w:val="9"/>
                                <w:sz w:val="20"/>
                              </w:rPr>
                              <w:t xml:space="preserve"> </w:t>
                            </w:r>
                            <w:r w:rsidRPr="004E0302">
                              <w:rPr>
                                <w:rFonts w:cs="Arial"/>
                                <w:color w:val="FFFFFF"/>
                                <w:spacing w:val="-1"/>
                                <w:sz w:val="20"/>
                              </w:rPr>
                              <w:t>Act</w:t>
                            </w:r>
                            <w:r w:rsidRPr="004E0302">
                              <w:rPr>
                                <w:rFonts w:cs="Arial"/>
                                <w:color w:val="FFFFFF"/>
                                <w:spacing w:val="13"/>
                                <w:sz w:val="20"/>
                              </w:rPr>
                              <w:t xml:space="preserve"> </w:t>
                            </w:r>
                            <w:r w:rsidRPr="004E0302">
                              <w:rPr>
                                <w:rFonts w:cs="Arial"/>
                                <w:color w:val="FFFFFF"/>
                                <w:spacing w:val="-1"/>
                                <w:sz w:val="20"/>
                              </w:rPr>
                              <w:t>duties</w:t>
                            </w:r>
                            <w:r w:rsidRPr="004E0302">
                              <w:rPr>
                                <w:rFonts w:cs="Arial"/>
                                <w:color w:val="FFFFFF"/>
                                <w:spacing w:val="64"/>
                                <w:w w:val="99"/>
                                <w:sz w:val="20"/>
                              </w:rPr>
                              <w:t xml:space="preserve"> </w:t>
                            </w:r>
                            <w:r w:rsidRPr="004E0302">
                              <w:rPr>
                                <w:rFonts w:cs="Arial"/>
                                <w:color w:val="FFFFFF"/>
                                <w:spacing w:val="-1"/>
                                <w:sz w:val="20"/>
                              </w:rPr>
                              <w:t>by</w:t>
                            </w:r>
                            <w:r w:rsidRPr="004E0302">
                              <w:rPr>
                                <w:rFonts w:cs="Arial"/>
                                <w:color w:val="FFFFFF"/>
                                <w:spacing w:val="60"/>
                                <w:sz w:val="20"/>
                              </w:rPr>
                              <w:t xml:space="preserve"> </w:t>
                            </w:r>
                            <w:r w:rsidRPr="004E0302">
                              <w:rPr>
                                <w:rFonts w:cs="Arial"/>
                                <w:color w:val="FFFFFF"/>
                                <w:spacing w:val="-1"/>
                                <w:sz w:val="20"/>
                              </w:rPr>
                              <w:t>raising</w:t>
                            </w:r>
                            <w:r w:rsidRPr="004E0302">
                              <w:rPr>
                                <w:rFonts w:cs="Arial"/>
                                <w:color w:val="FFFFFF"/>
                                <w:spacing w:val="59"/>
                                <w:sz w:val="20"/>
                              </w:rPr>
                              <w:t xml:space="preserve"> </w:t>
                            </w:r>
                            <w:r w:rsidRPr="004E0302">
                              <w:rPr>
                                <w:rFonts w:cs="Arial"/>
                                <w:color w:val="FFFFFF"/>
                                <w:spacing w:val="-1"/>
                                <w:sz w:val="20"/>
                              </w:rPr>
                              <w:t>the</w:t>
                            </w:r>
                            <w:r w:rsidRPr="004E0302">
                              <w:rPr>
                                <w:rFonts w:cs="Arial"/>
                                <w:color w:val="FFFFFF"/>
                                <w:spacing w:val="60"/>
                                <w:sz w:val="20"/>
                              </w:rPr>
                              <w:t xml:space="preserve"> </w:t>
                            </w:r>
                            <w:r w:rsidRPr="004E0302">
                              <w:rPr>
                                <w:rFonts w:cs="Arial"/>
                                <w:color w:val="FFFFFF"/>
                                <w:spacing w:val="-1"/>
                                <w:sz w:val="20"/>
                              </w:rPr>
                              <w:t>issue</w:t>
                            </w:r>
                            <w:r w:rsidRPr="004E0302">
                              <w:rPr>
                                <w:rFonts w:cs="Arial"/>
                                <w:color w:val="FFFFFF"/>
                                <w:spacing w:val="59"/>
                                <w:sz w:val="20"/>
                              </w:rPr>
                              <w:t xml:space="preserve"> </w:t>
                            </w:r>
                            <w:r w:rsidRPr="004E0302">
                              <w:rPr>
                                <w:rFonts w:cs="Arial"/>
                                <w:color w:val="FFFFFF"/>
                                <w:spacing w:val="-1"/>
                                <w:sz w:val="20"/>
                              </w:rPr>
                              <w:t>informally</w:t>
                            </w:r>
                            <w:r w:rsidRPr="004E0302">
                              <w:rPr>
                                <w:rFonts w:cs="Arial"/>
                                <w:color w:val="FFFFFF"/>
                                <w:spacing w:val="61"/>
                                <w:sz w:val="20"/>
                              </w:rPr>
                              <w:t xml:space="preserve"> </w:t>
                            </w:r>
                            <w:r w:rsidRPr="004E0302">
                              <w:rPr>
                                <w:rFonts w:cs="Arial"/>
                                <w:color w:val="FFFFFF"/>
                                <w:spacing w:val="-1"/>
                                <w:sz w:val="20"/>
                              </w:rPr>
                              <w:t>and</w:t>
                            </w:r>
                            <w:r w:rsidRPr="004E0302">
                              <w:rPr>
                                <w:rFonts w:cs="Arial"/>
                                <w:color w:val="FFFFFF"/>
                                <w:spacing w:val="59"/>
                                <w:sz w:val="20"/>
                              </w:rPr>
                              <w:t xml:space="preserve"> </w:t>
                            </w:r>
                            <w:r w:rsidRPr="004E0302">
                              <w:rPr>
                                <w:rFonts w:cs="Arial"/>
                                <w:color w:val="FFFFFF"/>
                                <w:spacing w:val="-1"/>
                                <w:sz w:val="20"/>
                              </w:rPr>
                              <w:t>issuing</w:t>
                            </w:r>
                            <w:r w:rsidRPr="004E0302">
                              <w:rPr>
                                <w:rFonts w:cs="Arial"/>
                                <w:color w:val="FFFFFF"/>
                                <w:spacing w:val="60"/>
                                <w:sz w:val="20"/>
                              </w:rPr>
                              <w:t xml:space="preserve"> </w:t>
                            </w:r>
                            <w:r w:rsidRPr="004E0302">
                              <w:rPr>
                                <w:rFonts w:cs="Arial"/>
                                <w:color w:val="FFFFFF"/>
                                <w:sz w:val="20"/>
                              </w:rPr>
                              <w:t>a</w:t>
                            </w:r>
                            <w:r w:rsidRPr="004E0302">
                              <w:rPr>
                                <w:rFonts w:cs="Arial"/>
                                <w:color w:val="FFFFFF"/>
                                <w:spacing w:val="59"/>
                                <w:sz w:val="20"/>
                              </w:rPr>
                              <w:t xml:space="preserve"> </w:t>
                            </w:r>
                            <w:r w:rsidRPr="004E0302">
                              <w:rPr>
                                <w:rFonts w:cs="Arial"/>
                                <w:color w:val="FFFFFF"/>
                                <w:spacing w:val="-1"/>
                                <w:sz w:val="20"/>
                              </w:rPr>
                              <w:t>breach</w:t>
                            </w:r>
                            <w:r w:rsidRPr="004E0302">
                              <w:rPr>
                                <w:rFonts w:cs="Arial"/>
                                <w:color w:val="FFFFFF"/>
                                <w:spacing w:val="61"/>
                                <w:sz w:val="20"/>
                              </w:rPr>
                              <w:t xml:space="preserve"> </w:t>
                            </w:r>
                            <w:r w:rsidRPr="004E0302">
                              <w:rPr>
                                <w:rFonts w:cs="Arial"/>
                                <w:color w:val="FFFFFF"/>
                                <w:spacing w:val="-1"/>
                                <w:sz w:val="20"/>
                              </w:rPr>
                              <w:t>notice</w:t>
                            </w:r>
                            <w:r w:rsidRPr="004E0302">
                              <w:rPr>
                                <w:rFonts w:cs="Arial"/>
                                <w:color w:val="FFFFFF"/>
                                <w:spacing w:val="59"/>
                                <w:sz w:val="20"/>
                              </w:rPr>
                              <w:t xml:space="preserve"> </w:t>
                            </w:r>
                            <w:r w:rsidRPr="004E0302">
                              <w:rPr>
                                <w:rFonts w:cs="Arial"/>
                                <w:color w:val="FFFFFF"/>
                                <w:spacing w:val="-1"/>
                                <w:sz w:val="20"/>
                              </w:rPr>
                              <w:t>if</w:t>
                            </w:r>
                            <w:r w:rsidRPr="004E0302">
                              <w:rPr>
                                <w:rFonts w:cs="Arial"/>
                                <w:color w:val="FFFFFF"/>
                                <w:spacing w:val="59"/>
                                <w:sz w:val="20"/>
                              </w:rPr>
                              <w:t xml:space="preserve"> </w:t>
                            </w:r>
                            <w:r w:rsidRPr="004E0302">
                              <w:rPr>
                                <w:rFonts w:cs="Arial"/>
                                <w:color w:val="FFFFFF"/>
                                <w:spacing w:val="-1"/>
                                <w:sz w:val="20"/>
                              </w:rPr>
                              <w:t>the</w:t>
                            </w:r>
                            <w:r w:rsidRPr="004E0302">
                              <w:rPr>
                                <w:rFonts w:cs="Arial"/>
                                <w:color w:val="FFFFFF"/>
                                <w:spacing w:val="51"/>
                                <w:w w:val="99"/>
                                <w:sz w:val="20"/>
                              </w:rPr>
                              <w:t xml:space="preserve"> </w:t>
                            </w:r>
                            <w:r w:rsidRPr="004E0302">
                              <w:rPr>
                                <w:rFonts w:cs="Arial"/>
                                <w:color w:val="FFFFFF"/>
                                <w:spacing w:val="-1"/>
                                <w:sz w:val="20"/>
                              </w:rPr>
                              <w:t>problem</w:t>
                            </w:r>
                            <w:r w:rsidRPr="004E0302">
                              <w:rPr>
                                <w:rFonts w:cs="Arial"/>
                                <w:color w:val="FFFFFF"/>
                                <w:spacing w:val="-5"/>
                                <w:sz w:val="20"/>
                              </w:rPr>
                              <w:t xml:space="preserve"> </w:t>
                            </w:r>
                            <w:r w:rsidRPr="004E0302">
                              <w:rPr>
                                <w:rFonts w:cs="Arial"/>
                                <w:color w:val="FFFFFF"/>
                                <w:spacing w:val="-1"/>
                                <w:sz w:val="20"/>
                              </w:rPr>
                              <w:t>is</w:t>
                            </w:r>
                            <w:r w:rsidRPr="004E0302">
                              <w:rPr>
                                <w:rFonts w:cs="Arial"/>
                                <w:color w:val="FFFFFF"/>
                                <w:spacing w:val="-6"/>
                                <w:sz w:val="20"/>
                              </w:rPr>
                              <w:t xml:space="preserve"> </w:t>
                            </w:r>
                            <w:r w:rsidRPr="004E0302">
                              <w:rPr>
                                <w:rFonts w:cs="Arial"/>
                                <w:color w:val="FFFFFF"/>
                                <w:spacing w:val="-1"/>
                                <w:sz w:val="20"/>
                              </w:rPr>
                              <w:t>not</w:t>
                            </w:r>
                            <w:r w:rsidRPr="004E0302">
                              <w:rPr>
                                <w:rFonts w:cs="Arial"/>
                                <w:color w:val="FFFFFF"/>
                                <w:spacing w:val="-7"/>
                                <w:sz w:val="20"/>
                              </w:rPr>
                              <w:t xml:space="preserve"> </w:t>
                            </w:r>
                            <w:r w:rsidRPr="004E0302">
                              <w:rPr>
                                <w:rFonts w:cs="Arial"/>
                                <w:color w:val="FFFFFF"/>
                                <w:sz w:val="20"/>
                              </w:rPr>
                              <w:t>remedied</w:t>
                            </w:r>
                          </w:p>
                        </w:txbxContent>
                      </wps:txbx>
                      <wps:bodyPr rot="0" vert="horz" wrap="square" lIns="0" tIns="0" rIns="0" bIns="0" anchor="t" anchorCtr="0" upright="1">
                        <a:noAutofit/>
                      </wps:bodyPr>
                    </wps:wsp>
                  </a:graphicData>
                </a:graphic>
              </wp:inline>
            </w:drawing>
          </mc:Choice>
          <mc:Fallback>
            <w:pict>
              <v:shape id="Text Box 1909" o:spid="_x0000_s1027" type="#_x0000_t202" style="width:382.7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" fillcolor="#1c6cb4" stroked="f">
                <v:textbox inset="0,0,0,0">
                  <w:txbxContent>
                    <w:p w14:paraId="39D099AC" w14:textId="77777777" w:rsidR="00622FF2" w:rsidRPr="004E0302" w:rsidRDefault="00622FF2" w:rsidP="00DB7F92">
                      <w:pPr>
                        <w:spacing w:before="213"/>
                        <w:ind w:left="225"/>
                        <w:jc w:val="both"/>
                        <w:rPr>
                          <w:rFonts w:eastAsia="Tw Cen MT Condensed Extra Bold" w:cs="Arial"/>
                          <w:sz w:val="20"/>
                          <w:szCs w:val="24"/>
                        </w:rPr>
                      </w:pPr>
                      <w:r w:rsidRPr="004E0302">
                        <w:rPr>
                          <w:rFonts w:cs="Arial"/>
                          <w:b/>
                          <w:color w:val="FFFFFF"/>
                          <w:sz w:val="20"/>
                        </w:rPr>
                        <w:t>Example:</w:t>
                      </w:r>
                    </w:p>
                    <w:p w14:paraId="12A42478" w14:textId="77777777" w:rsidR="00622FF2" w:rsidRPr="004E0302" w:rsidRDefault="00622FF2" w:rsidP="00DB7F92">
                      <w:pPr>
                        <w:spacing w:before="12"/>
                        <w:rPr>
                          <w:rFonts w:eastAsia="Segoe UI Semilight" w:cs="Arial"/>
                          <w:sz w:val="20"/>
                          <w:szCs w:val="24"/>
                        </w:rPr>
                      </w:pPr>
                    </w:p>
                    <w:p w14:paraId="3E17BFEC" w14:textId="57B13492" w:rsidR="00622FF2" w:rsidRPr="004E0302" w:rsidRDefault="00622FF2" w:rsidP="00DB7F92">
                      <w:pPr>
                        <w:ind w:left="225" w:right="224"/>
                        <w:jc w:val="both"/>
                        <w:rPr>
                          <w:rFonts w:eastAsia="Segoe UI Semilight" w:cs="Arial"/>
                          <w:sz w:val="20"/>
                          <w:szCs w:val="24"/>
                        </w:rPr>
                      </w:pPr>
                      <w:r w:rsidRPr="004E0302">
                        <w:rPr>
                          <w:rFonts w:cs="Arial"/>
                          <w:color w:val="FFFFFF"/>
                          <w:spacing w:val="-1"/>
                          <w:sz w:val="20"/>
                        </w:rPr>
                        <w:t>After</w:t>
                      </w:r>
                      <w:r w:rsidRPr="004E0302">
                        <w:rPr>
                          <w:rFonts w:cs="Arial"/>
                          <w:color w:val="FFFFFF"/>
                          <w:spacing w:val="16"/>
                          <w:sz w:val="20"/>
                        </w:rPr>
                        <w:t xml:space="preserve"> </w:t>
                      </w:r>
                      <w:r w:rsidRPr="004E0302">
                        <w:rPr>
                          <w:rFonts w:cs="Arial"/>
                          <w:color w:val="FFFFFF"/>
                          <w:sz w:val="20"/>
                        </w:rPr>
                        <w:t>a</w:t>
                      </w:r>
                      <w:r w:rsidRPr="004E0302">
                        <w:rPr>
                          <w:rFonts w:cs="Arial"/>
                          <w:color w:val="FFFFFF"/>
                          <w:spacing w:val="17"/>
                          <w:sz w:val="20"/>
                        </w:rPr>
                        <w:t xml:space="preserve"> </w:t>
                      </w:r>
                      <w:r w:rsidRPr="004E0302">
                        <w:rPr>
                          <w:rFonts w:cs="Arial"/>
                          <w:color w:val="FFFFFF"/>
                          <w:spacing w:val="-1"/>
                          <w:sz w:val="20"/>
                        </w:rPr>
                        <w:t>site</w:t>
                      </w:r>
                      <w:r w:rsidRPr="004E0302">
                        <w:rPr>
                          <w:rFonts w:cs="Arial"/>
                          <w:color w:val="FFFFFF"/>
                          <w:spacing w:val="16"/>
                          <w:sz w:val="20"/>
                        </w:rPr>
                        <w:t xml:space="preserve"> </w:t>
                      </w:r>
                      <w:r w:rsidRPr="004E0302">
                        <w:rPr>
                          <w:rFonts w:cs="Arial"/>
                          <w:color w:val="FFFFFF"/>
                          <w:spacing w:val="-1"/>
                          <w:sz w:val="20"/>
                        </w:rPr>
                        <w:t>visit</w:t>
                      </w:r>
                      <w:r w:rsidRPr="004E0302">
                        <w:rPr>
                          <w:rFonts w:cs="Arial"/>
                          <w:color w:val="FFFFFF"/>
                          <w:spacing w:val="17"/>
                          <w:sz w:val="20"/>
                        </w:rPr>
                        <w:t xml:space="preserve"> </w:t>
                      </w:r>
                      <w:r w:rsidRPr="004E0302">
                        <w:rPr>
                          <w:rFonts w:cs="Arial"/>
                          <w:color w:val="FFFFFF"/>
                          <w:spacing w:val="-1"/>
                          <w:sz w:val="20"/>
                        </w:rPr>
                        <w:t xml:space="preserve">the </w:t>
                      </w:r>
                      <w:r w:rsidRPr="00D05DD7">
                        <w:rPr>
                          <w:rFonts w:cs="Arial"/>
                          <w:color w:val="FFFFFF"/>
                          <w:spacing w:val="-1"/>
                          <w:sz w:val="20"/>
                        </w:rPr>
                        <w:t>commissioner</w:t>
                      </w:r>
                      <w:r w:rsidRPr="004E0302">
                        <w:rPr>
                          <w:rFonts w:cs="Arial"/>
                          <w:color w:val="FFFFFF"/>
                          <w:spacing w:val="18"/>
                          <w:sz w:val="20"/>
                        </w:rPr>
                        <w:t xml:space="preserve"> </w:t>
                      </w:r>
                      <w:r w:rsidRPr="004E0302">
                        <w:rPr>
                          <w:rFonts w:cs="Arial"/>
                          <w:color w:val="FFFFFF"/>
                          <w:spacing w:val="-1"/>
                          <w:sz w:val="20"/>
                        </w:rPr>
                        <w:t>becomes</w:t>
                      </w:r>
                      <w:r w:rsidRPr="004E0302">
                        <w:rPr>
                          <w:rFonts w:cs="Arial"/>
                          <w:color w:val="FFFFFF"/>
                          <w:spacing w:val="18"/>
                          <w:sz w:val="20"/>
                        </w:rPr>
                        <w:t xml:space="preserve"> </w:t>
                      </w:r>
                      <w:r w:rsidRPr="004E0302">
                        <w:rPr>
                          <w:rFonts w:cs="Arial"/>
                          <w:color w:val="FFFFFF"/>
                          <w:sz w:val="20"/>
                        </w:rPr>
                        <w:t>aware</w:t>
                      </w:r>
                      <w:r w:rsidRPr="004E0302">
                        <w:rPr>
                          <w:rFonts w:cs="Arial"/>
                          <w:color w:val="FFFFFF"/>
                          <w:spacing w:val="19"/>
                          <w:sz w:val="20"/>
                        </w:rPr>
                        <w:t xml:space="preserve"> </w:t>
                      </w:r>
                      <w:r w:rsidRPr="004E0302">
                        <w:rPr>
                          <w:rFonts w:cs="Arial"/>
                          <w:color w:val="FFFFFF"/>
                          <w:spacing w:val="-1"/>
                          <w:sz w:val="20"/>
                        </w:rPr>
                        <w:t>that</w:t>
                      </w:r>
                      <w:r w:rsidRPr="004E0302">
                        <w:rPr>
                          <w:rFonts w:cs="Arial"/>
                          <w:color w:val="FFFFFF"/>
                          <w:spacing w:val="17"/>
                          <w:sz w:val="20"/>
                        </w:rPr>
                        <w:t xml:space="preserve"> </w:t>
                      </w:r>
                      <w:r w:rsidRPr="004E0302">
                        <w:rPr>
                          <w:rFonts w:cs="Arial"/>
                          <w:color w:val="FFFFFF"/>
                          <w:spacing w:val="-1"/>
                          <w:sz w:val="20"/>
                        </w:rPr>
                        <w:t>consulting</w:t>
                      </w:r>
                      <w:r w:rsidRPr="004E0302">
                        <w:rPr>
                          <w:rFonts w:cs="Arial"/>
                          <w:color w:val="FFFFFF"/>
                          <w:spacing w:val="16"/>
                          <w:sz w:val="20"/>
                        </w:rPr>
                        <w:t xml:space="preserve"> </w:t>
                      </w:r>
                      <w:r w:rsidRPr="004E0302">
                        <w:rPr>
                          <w:rFonts w:cs="Arial"/>
                          <w:color w:val="FFFFFF"/>
                          <w:spacing w:val="-1"/>
                          <w:sz w:val="20"/>
                        </w:rPr>
                        <w:t>rooms</w:t>
                      </w:r>
                      <w:r w:rsidRPr="004E0302">
                        <w:rPr>
                          <w:rFonts w:cs="Arial"/>
                          <w:color w:val="FFFFFF"/>
                          <w:spacing w:val="53"/>
                          <w:sz w:val="20"/>
                        </w:rPr>
                        <w:t xml:space="preserve"> </w:t>
                      </w:r>
                      <w:r w:rsidRPr="004E0302">
                        <w:rPr>
                          <w:rFonts w:cs="Arial"/>
                          <w:color w:val="FFFFFF"/>
                          <w:spacing w:val="-1"/>
                          <w:sz w:val="20"/>
                        </w:rPr>
                        <w:t>in</w:t>
                      </w:r>
                      <w:r w:rsidRPr="004E0302">
                        <w:rPr>
                          <w:rFonts w:cs="Arial"/>
                          <w:color w:val="FFFFFF"/>
                          <w:spacing w:val="-3"/>
                          <w:sz w:val="20"/>
                        </w:rPr>
                        <w:t xml:space="preserve"> </w:t>
                      </w:r>
                      <w:r w:rsidRPr="004E0302">
                        <w:rPr>
                          <w:rFonts w:cs="Arial"/>
                          <w:color w:val="FFFFFF"/>
                          <w:sz w:val="20"/>
                        </w:rPr>
                        <w:t>a</w:t>
                      </w:r>
                      <w:r w:rsidRPr="004E0302">
                        <w:rPr>
                          <w:rFonts w:cs="Arial"/>
                          <w:color w:val="FFFFFF"/>
                          <w:spacing w:val="-2"/>
                          <w:sz w:val="20"/>
                        </w:rPr>
                        <w:t xml:space="preserve"> </w:t>
                      </w:r>
                      <w:r w:rsidRPr="004E0302">
                        <w:rPr>
                          <w:rFonts w:cs="Arial"/>
                          <w:color w:val="FFFFFF"/>
                          <w:sz w:val="20"/>
                        </w:rPr>
                        <w:t>GP</w:t>
                      </w:r>
                      <w:r w:rsidRPr="004E0302">
                        <w:rPr>
                          <w:rFonts w:cs="Arial"/>
                          <w:color w:val="FFFFFF"/>
                          <w:spacing w:val="-2"/>
                          <w:sz w:val="20"/>
                        </w:rPr>
                        <w:t xml:space="preserve"> </w:t>
                      </w:r>
                      <w:r w:rsidRPr="004E0302">
                        <w:rPr>
                          <w:rFonts w:cs="Arial"/>
                          <w:color w:val="FFFFFF"/>
                          <w:spacing w:val="-1"/>
                          <w:sz w:val="20"/>
                        </w:rPr>
                        <w:t>surgery</w:t>
                      </w:r>
                      <w:r w:rsidRPr="004E0302">
                        <w:rPr>
                          <w:rFonts w:cs="Arial"/>
                          <w:color w:val="FFFFFF"/>
                          <w:spacing w:val="-3"/>
                          <w:sz w:val="20"/>
                        </w:rPr>
                        <w:t xml:space="preserve"> </w:t>
                      </w:r>
                      <w:r w:rsidRPr="004E0302">
                        <w:rPr>
                          <w:rFonts w:cs="Arial"/>
                          <w:color w:val="FFFFFF"/>
                          <w:sz w:val="20"/>
                        </w:rPr>
                        <w:t>are</w:t>
                      </w:r>
                      <w:r w:rsidRPr="004E0302">
                        <w:rPr>
                          <w:rFonts w:cs="Arial"/>
                          <w:color w:val="FFFFFF"/>
                          <w:spacing w:val="-3"/>
                          <w:sz w:val="20"/>
                        </w:rPr>
                        <w:t xml:space="preserve"> </w:t>
                      </w:r>
                      <w:r w:rsidRPr="004E0302">
                        <w:rPr>
                          <w:rFonts w:cs="Arial"/>
                          <w:color w:val="FFFFFF"/>
                          <w:spacing w:val="-1"/>
                          <w:sz w:val="20"/>
                        </w:rPr>
                        <w:t>no</w:t>
                      </w:r>
                      <w:r w:rsidRPr="004E0302">
                        <w:rPr>
                          <w:rFonts w:cs="Arial"/>
                          <w:color w:val="FFFFFF"/>
                          <w:sz w:val="20"/>
                        </w:rPr>
                        <w:t xml:space="preserve"> </w:t>
                      </w:r>
                      <w:r w:rsidRPr="004E0302">
                        <w:rPr>
                          <w:rFonts w:cs="Arial"/>
                          <w:color w:val="FFFFFF"/>
                          <w:spacing w:val="-1"/>
                          <w:sz w:val="20"/>
                        </w:rPr>
                        <w:t>longer</w:t>
                      </w:r>
                      <w:r w:rsidRPr="004E0302">
                        <w:rPr>
                          <w:rFonts w:cs="Arial"/>
                          <w:color w:val="FFFFFF"/>
                          <w:spacing w:val="-3"/>
                          <w:sz w:val="20"/>
                        </w:rPr>
                        <w:t xml:space="preserve"> </w:t>
                      </w:r>
                      <w:r w:rsidRPr="004E0302">
                        <w:rPr>
                          <w:rFonts w:cs="Arial"/>
                          <w:color w:val="FFFFFF"/>
                          <w:spacing w:val="-1"/>
                          <w:sz w:val="20"/>
                        </w:rPr>
                        <w:t>accessible</w:t>
                      </w:r>
                      <w:r w:rsidRPr="004E0302">
                        <w:rPr>
                          <w:rFonts w:cs="Arial"/>
                          <w:color w:val="FFFFFF"/>
                          <w:spacing w:val="-3"/>
                          <w:sz w:val="20"/>
                        </w:rPr>
                        <w:t xml:space="preserve"> </w:t>
                      </w:r>
                      <w:r w:rsidRPr="004E0302">
                        <w:rPr>
                          <w:rFonts w:cs="Arial"/>
                          <w:color w:val="FFFFFF"/>
                          <w:sz w:val="20"/>
                        </w:rPr>
                        <w:t>to</w:t>
                      </w:r>
                      <w:r w:rsidRPr="004E0302">
                        <w:rPr>
                          <w:rFonts w:cs="Arial"/>
                          <w:color w:val="FFFFFF"/>
                          <w:spacing w:val="-3"/>
                          <w:sz w:val="20"/>
                        </w:rPr>
                        <w:t xml:space="preserve"> </w:t>
                      </w:r>
                      <w:r w:rsidRPr="004E0302">
                        <w:rPr>
                          <w:rFonts w:cs="Arial"/>
                          <w:color w:val="FFFFFF"/>
                          <w:sz w:val="20"/>
                        </w:rPr>
                        <w:t>those</w:t>
                      </w:r>
                      <w:r w:rsidRPr="004E0302">
                        <w:rPr>
                          <w:rFonts w:cs="Arial"/>
                          <w:color w:val="FFFFFF"/>
                          <w:spacing w:val="-3"/>
                          <w:sz w:val="20"/>
                        </w:rPr>
                        <w:t xml:space="preserve"> </w:t>
                      </w:r>
                      <w:r w:rsidRPr="004E0302">
                        <w:rPr>
                          <w:rFonts w:cs="Arial"/>
                          <w:color w:val="FFFFFF"/>
                          <w:spacing w:val="-1"/>
                          <w:sz w:val="20"/>
                        </w:rPr>
                        <w:t>with</w:t>
                      </w:r>
                      <w:r w:rsidRPr="004E0302">
                        <w:rPr>
                          <w:rFonts w:cs="Arial"/>
                          <w:color w:val="FFFFFF"/>
                          <w:spacing w:val="-3"/>
                          <w:sz w:val="20"/>
                        </w:rPr>
                        <w:t xml:space="preserve"> </w:t>
                      </w:r>
                      <w:r w:rsidRPr="004E0302">
                        <w:rPr>
                          <w:rFonts w:cs="Arial"/>
                          <w:color w:val="FFFFFF"/>
                          <w:spacing w:val="-1"/>
                          <w:sz w:val="20"/>
                        </w:rPr>
                        <w:t>limited mobility</w:t>
                      </w:r>
                      <w:r w:rsidRPr="004E0302">
                        <w:rPr>
                          <w:rFonts w:cs="Arial"/>
                          <w:color w:val="FFFFFF"/>
                          <w:spacing w:val="67"/>
                          <w:sz w:val="20"/>
                        </w:rPr>
                        <w:t xml:space="preserve"> </w:t>
                      </w:r>
                      <w:r w:rsidRPr="004E0302">
                        <w:rPr>
                          <w:rFonts w:cs="Arial"/>
                          <w:color w:val="FFFFFF"/>
                          <w:spacing w:val="-1"/>
                          <w:sz w:val="20"/>
                        </w:rPr>
                        <w:t>as</w:t>
                      </w:r>
                      <w:r w:rsidRPr="004E0302">
                        <w:rPr>
                          <w:rFonts w:cs="Arial"/>
                          <w:color w:val="FFFFFF"/>
                          <w:spacing w:val="46"/>
                          <w:sz w:val="20"/>
                        </w:rPr>
                        <w:t xml:space="preserve"> </w:t>
                      </w:r>
                      <w:r w:rsidRPr="004E0302">
                        <w:rPr>
                          <w:rFonts w:cs="Arial"/>
                          <w:color w:val="FFFFFF"/>
                          <w:spacing w:val="-1"/>
                          <w:sz w:val="20"/>
                        </w:rPr>
                        <w:t>they</w:t>
                      </w:r>
                      <w:r w:rsidRPr="004E0302">
                        <w:rPr>
                          <w:rFonts w:cs="Arial"/>
                          <w:color w:val="FFFFFF"/>
                          <w:spacing w:val="46"/>
                          <w:sz w:val="20"/>
                        </w:rPr>
                        <w:t xml:space="preserve"> </w:t>
                      </w:r>
                      <w:r w:rsidRPr="004E0302">
                        <w:rPr>
                          <w:rFonts w:cs="Arial"/>
                          <w:color w:val="FFFFFF"/>
                          <w:spacing w:val="-1"/>
                          <w:sz w:val="20"/>
                        </w:rPr>
                        <w:t>have</w:t>
                      </w:r>
                      <w:r w:rsidRPr="004E0302">
                        <w:rPr>
                          <w:rFonts w:cs="Arial"/>
                          <w:color w:val="FFFFFF"/>
                          <w:spacing w:val="44"/>
                          <w:sz w:val="20"/>
                        </w:rPr>
                        <w:t xml:space="preserve"> </w:t>
                      </w:r>
                      <w:r w:rsidRPr="004E0302">
                        <w:rPr>
                          <w:rFonts w:cs="Arial"/>
                          <w:color w:val="FFFFFF"/>
                          <w:spacing w:val="-1"/>
                          <w:sz w:val="20"/>
                        </w:rPr>
                        <w:t>been</w:t>
                      </w:r>
                      <w:r w:rsidRPr="004E0302">
                        <w:rPr>
                          <w:rFonts w:cs="Arial"/>
                          <w:color w:val="FFFFFF"/>
                          <w:spacing w:val="48"/>
                          <w:sz w:val="20"/>
                        </w:rPr>
                        <w:t xml:space="preserve"> </w:t>
                      </w:r>
                      <w:r w:rsidRPr="004E0302">
                        <w:rPr>
                          <w:rFonts w:cs="Arial"/>
                          <w:color w:val="FFFFFF"/>
                          <w:sz w:val="20"/>
                        </w:rPr>
                        <w:t>moved</w:t>
                      </w:r>
                      <w:r w:rsidRPr="004E0302">
                        <w:rPr>
                          <w:rFonts w:cs="Arial"/>
                          <w:color w:val="FFFFFF"/>
                          <w:spacing w:val="45"/>
                          <w:sz w:val="20"/>
                        </w:rPr>
                        <w:t xml:space="preserve"> </w:t>
                      </w:r>
                      <w:r w:rsidRPr="004E0302">
                        <w:rPr>
                          <w:rFonts w:cs="Arial"/>
                          <w:color w:val="FFFFFF"/>
                          <w:spacing w:val="-1"/>
                          <w:sz w:val="20"/>
                        </w:rPr>
                        <w:t>upstairs.</w:t>
                      </w:r>
                      <w:r w:rsidRPr="004E0302">
                        <w:rPr>
                          <w:rFonts w:cs="Arial"/>
                          <w:color w:val="FFFFFF"/>
                          <w:spacing w:val="25"/>
                          <w:sz w:val="20"/>
                        </w:rPr>
                        <w:t xml:space="preserve"> </w:t>
                      </w:r>
                      <w:r>
                        <w:rPr>
                          <w:rFonts w:cs="Arial"/>
                          <w:color w:val="FFFFFF"/>
                          <w:spacing w:val="-1"/>
                          <w:sz w:val="20"/>
                        </w:rPr>
                        <w:t>The commissioner</w:t>
                      </w:r>
                      <w:r w:rsidRPr="004E0302">
                        <w:rPr>
                          <w:rFonts w:cs="Arial"/>
                          <w:color w:val="FFFFFF"/>
                          <w:spacing w:val="47"/>
                          <w:sz w:val="20"/>
                        </w:rPr>
                        <w:t xml:space="preserve"> </w:t>
                      </w:r>
                      <w:r w:rsidRPr="004E0302">
                        <w:rPr>
                          <w:rFonts w:cs="Arial"/>
                          <w:color w:val="FFFFFF"/>
                          <w:spacing w:val="-1"/>
                          <w:sz w:val="20"/>
                        </w:rPr>
                        <w:t>decides</w:t>
                      </w:r>
                      <w:r w:rsidRPr="004E0302">
                        <w:rPr>
                          <w:rFonts w:cs="Arial"/>
                          <w:color w:val="FFFFFF"/>
                          <w:spacing w:val="46"/>
                          <w:sz w:val="20"/>
                        </w:rPr>
                        <w:t xml:space="preserve"> </w:t>
                      </w:r>
                      <w:r w:rsidRPr="004E0302">
                        <w:rPr>
                          <w:rFonts w:cs="Arial"/>
                          <w:color w:val="FFFFFF"/>
                          <w:spacing w:val="-1"/>
                          <w:sz w:val="20"/>
                        </w:rPr>
                        <w:t>that</w:t>
                      </w:r>
                      <w:r w:rsidRPr="004E0302">
                        <w:rPr>
                          <w:rFonts w:cs="Arial"/>
                          <w:color w:val="FFFFFF"/>
                          <w:spacing w:val="46"/>
                          <w:sz w:val="20"/>
                        </w:rPr>
                        <w:t xml:space="preserve"> </w:t>
                      </w:r>
                      <w:r w:rsidRPr="004E0302">
                        <w:rPr>
                          <w:rFonts w:cs="Arial"/>
                          <w:color w:val="FFFFFF"/>
                          <w:spacing w:val="-1"/>
                          <w:sz w:val="20"/>
                        </w:rPr>
                        <w:t>as</w:t>
                      </w:r>
                      <w:r w:rsidRPr="004E0302">
                        <w:rPr>
                          <w:rFonts w:cs="Arial"/>
                          <w:color w:val="FFFFFF"/>
                          <w:spacing w:val="53"/>
                          <w:sz w:val="20"/>
                        </w:rPr>
                        <w:t xml:space="preserve"> </w:t>
                      </w:r>
                      <w:r w:rsidRPr="004E0302">
                        <w:rPr>
                          <w:rFonts w:cs="Arial"/>
                          <w:color w:val="FFFFFF"/>
                          <w:spacing w:val="-1"/>
                          <w:sz w:val="20"/>
                        </w:rPr>
                        <w:t>there</w:t>
                      </w:r>
                      <w:r w:rsidRPr="004E0302">
                        <w:rPr>
                          <w:rFonts w:cs="Arial"/>
                          <w:color w:val="FFFFFF"/>
                          <w:spacing w:val="60"/>
                          <w:sz w:val="20"/>
                        </w:rPr>
                        <w:t xml:space="preserve"> </w:t>
                      </w:r>
                      <w:r w:rsidRPr="004E0302">
                        <w:rPr>
                          <w:rFonts w:cs="Arial"/>
                          <w:color w:val="FFFFFF"/>
                          <w:spacing w:val="-1"/>
                          <w:sz w:val="20"/>
                        </w:rPr>
                        <w:t>are</w:t>
                      </w:r>
                      <w:r w:rsidRPr="004E0302">
                        <w:rPr>
                          <w:rFonts w:cs="Arial"/>
                          <w:color w:val="FFFFFF"/>
                          <w:spacing w:val="60"/>
                          <w:sz w:val="20"/>
                        </w:rPr>
                        <w:t xml:space="preserve"> </w:t>
                      </w:r>
                      <w:r w:rsidRPr="004E0302">
                        <w:rPr>
                          <w:rFonts w:cs="Arial"/>
                          <w:color w:val="FFFFFF"/>
                          <w:spacing w:val="-1"/>
                          <w:sz w:val="20"/>
                        </w:rPr>
                        <w:t>no</w:t>
                      </w:r>
                      <w:r w:rsidRPr="004E0302">
                        <w:rPr>
                          <w:rFonts w:cs="Arial"/>
                          <w:color w:val="FFFFFF"/>
                          <w:spacing w:val="62"/>
                          <w:sz w:val="20"/>
                        </w:rPr>
                        <w:t xml:space="preserve"> </w:t>
                      </w:r>
                      <w:r w:rsidRPr="004E0302">
                        <w:rPr>
                          <w:rFonts w:cs="Arial"/>
                          <w:color w:val="FFFFFF"/>
                          <w:spacing w:val="-1"/>
                          <w:sz w:val="20"/>
                        </w:rPr>
                        <w:t>downstairs</w:t>
                      </w:r>
                      <w:r w:rsidRPr="004E0302">
                        <w:rPr>
                          <w:rFonts w:cs="Arial"/>
                          <w:color w:val="FFFFFF"/>
                          <w:spacing w:val="62"/>
                          <w:sz w:val="20"/>
                        </w:rPr>
                        <w:t xml:space="preserve"> </w:t>
                      </w:r>
                      <w:r w:rsidRPr="004E0302">
                        <w:rPr>
                          <w:rFonts w:cs="Arial"/>
                          <w:color w:val="FFFFFF"/>
                          <w:spacing w:val="-1"/>
                          <w:sz w:val="20"/>
                        </w:rPr>
                        <w:t>consulting</w:t>
                      </w:r>
                      <w:r w:rsidRPr="004E0302">
                        <w:rPr>
                          <w:rFonts w:cs="Arial"/>
                          <w:color w:val="FFFFFF"/>
                          <w:spacing w:val="60"/>
                          <w:sz w:val="20"/>
                        </w:rPr>
                        <w:t xml:space="preserve"> </w:t>
                      </w:r>
                      <w:r w:rsidRPr="004E0302">
                        <w:rPr>
                          <w:rFonts w:cs="Arial"/>
                          <w:color w:val="FFFFFF"/>
                          <w:spacing w:val="-1"/>
                          <w:sz w:val="20"/>
                        </w:rPr>
                        <w:t>rooms</w:t>
                      </w:r>
                      <w:r w:rsidRPr="004E0302">
                        <w:rPr>
                          <w:rFonts w:cs="Arial"/>
                          <w:color w:val="FFFFFF"/>
                          <w:spacing w:val="61"/>
                          <w:sz w:val="20"/>
                        </w:rPr>
                        <w:t xml:space="preserve"> </w:t>
                      </w:r>
                      <w:r w:rsidRPr="004E0302">
                        <w:rPr>
                          <w:rFonts w:cs="Arial"/>
                          <w:color w:val="FFFFFF"/>
                          <w:sz w:val="20"/>
                        </w:rPr>
                        <w:t>and</w:t>
                      </w:r>
                      <w:r w:rsidRPr="004E0302">
                        <w:rPr>
                          <w:rFonts w:cs="Arial"/>
                          <w:color w:val="FFFFFF"/>
                          <w:spacing w:val="61"/>
                          <w:sz w:val="20"/>
                        </w:rPr>
                        <w:t xml:space="preserve"> </w:t>
                      </w:r>
                      <w:r w:rsidRPr="004E0302">
                        <w:rPr>
                          <w:rFonts w:cs="Arial"/>
                          <w:color w:val="FFFFFF"/>
                          <w:spacing w:val="-1"/>
                          <w:sz w:val="20"/>
                        </w:rPr>
                        <w:t>there</w:t>
                      </w:r>
                      <w:r w:rsidRPr="004E0302">
                        <w:rPr>
                          <w:rFonts w:cs="Arial"/>
                          <w:color w:val="FFFFFF"/>
                          <w:spacing w:val="62"/>
                          <w:sz w:val="20"/>
                        </w:rPr>
                        <w:t xml:space="preserve"> </w:t>
                      </w:r>
                      <w:r w:rsidRPr="004E0302">
                        <w:rPr>
                          <w:rFonts w:cs="Arial"/>
                          <w:color w:val="FFFFFF"/>
                          <w:spacing w:val="-1"/>
                          <w:sz w:val="20"/>
                        </w:rPr>
                        <w:t>is</w:t>
                      </w:r>
                      <w:r w:rsidRPr="004E0302">
                        <w:rPr>
                          <w:rFonts w:cs="Arial"/>
                          <w:color w:val="FFFFFF"/>
                          <w:spacing w:val="61"/>
                          <w:sz w:val="20"/>
                        </w:rPr>
                        <w:t xml:space="preserve"> </w:t>
                      </w:r>
                      <w:r w:rsidRPr="004E0302">
                        <w:rPr>
                          <w:rFonts w:cs="Arial"/>
                          <w:color w:val="FFFFFF"/>
                          <w:spacing w:val="-1"/>
                          <w:sz w:val="20"/>
                        </w:rPr>
                        <w:t>no</w:t>
                      </w:r>
                      <w:r w:rsidRPr="004E0302">
                        <w:rPr>
                          <w:rFonts w:cs="Arial"/>
                          <w:color w:val="FFFFFF"/>
                          <w:spacing w:val="60"/>
                          <w:sz w:val="20"/>
                        </w:rPr>
                        <w:t xml:space="preserve"> </w:t>
                      </w:r>
                      <w:r w:rsidRPr="004E0302">
                        <w:rPr>
                          <w:rFonts w:cs="Arial"/>
                          <w:color w:val="FFFFFF"/>
                          <w:spacing w:val="-1"/>
                          <w:sz w:val="20"/>
                        </w:rPr>
                        <w:t>lift</w:t>
                      </w:r>
                      <w:r w:rsidRPr="004E0302">
                        <w:rPr>
                          <w:rFonts w:cs="Arial"/>
                          <w:color w:val="FFFFFF"/>
                          <w:spacing w:val="62"/>
                          <w:sz w:val="20"/>
                        </w:rPr>
                        <w:t xml:space="preserve"> </w:t>
                      </w:r>
                      <w:r w:rsidRPr="004E0302">
                        <w:rPr>
                          <w:rFonts w:cs="Arial"/>
                          <w:color w:val="FFFFFF"/>
                          <w:spacing w:val="-1"/>
                          <w:sz w:val="20"/>
                        </w:rPr>
                        <w:t>or</w:t>
                      </w:r>
                      <w:r w:rsidRPr="004E0302">
                        <w:rPr>
                          <w:rFonts w:cs="Arial"/>
                          <w:color w:val="FFFFFF"/>
                          <w:spacing w:val="61"/>
                          <w:w w:val="99"/>
                          <w:sz w:val="20"/>
                        </w:rPr>
                        <w:t xml:space="preserve"> </w:t>
                      </w:r>
                      <w:r w:rsidRPr="004E0302">
                        <w:rPr>
                          <w:rFonts w:cs="Arial"/>
                          <w:color w:val="FFFFFF"/>
                          <w:spacing w:val="-1"/>
                          <w:sz w:val="20"/>
                        </w:rPr>
                        <w:t>stair</w:t>
                      </w:r>
                      <w:r>
                        <w:rPr>
                          <w:rFonts w:cs="Arial"/>
                          <w:color w:val="FFFFFF"/>
                          <w:spacing w:val="-1"/>
                          <w:sz w:val="20"/>
                        </w:rPr>
                        <w:t xml:space="preserve"> </w:t>
                      </w:r>
                      <w:r w:rsidRPr="004E0302">
                        <w:rPr>
                          <w:rFonts w:cs="Arial"/>
                          <w:color w:val="FFFFFF"/>
                          <w:spacing w:val="-1"/>
                          <w:sz w:val="20"/>
                        </w:rPr>
                        <w:t>lift,</w:t>
                      </w:r>
                      <w:r w:rsidRPr="004E0302">
                        <w:rPr>
                          <w:rFonts w:cs="Arial"/>
                          <w:color w:val="FFFFFF"/>
                          <w:spacing w:val="45"/>
                          <w:sz w:val="20"/>
                        </w:rPr>
                        <w:t xml:space="preserve"> </w:t>
                      </w:r>
                      <w:r w:rsidRPr="004E0302">
                        <w:rPr>
                          <w:rFonts w:cs="Arial"/>
                          <w:color w:val="FFFFFF"/>
                          <w:spacing w:val="-1"/>
                          <w:sz w:val="20"/>
                        </w:rPr>
                        <w:t>this</w:t>
                      </w:r>
                      <w:r w:rsidRPr="004E0302">
                        <w:rPr>
                          <w:rFonts w:cs="Arial"/>
                          <w:color w:val="FFFFFF"/>
                          <w:spacing w:val="46"/>
                          <w:sz w:val="20"/>
                        </w:rPr>
                        <w:t xml:space="preserve"> </w:t>
                      </w:r>
                      <w:r w:rsidRPr="004E0302">
                        <w:rPr>
                          <w:rFonts w:cs="Arial"/>
                          <w:color w:val="FFFFFF"/>
                          <w:spacing w:val="-1"/>
                          <w:sz w:val="20"/>
                        </w:rPr>
                        <w:t>is</w:t>
                      </w:r>
                      <w:r w:rsidRPr="004E0302">
                        <w:rPr>
                          <w:rFonts w:cs="Arial"/>
                          <w:color w:val="FFFFFF"/>
                          <w:spacing w:val="47"/>
                          <w:sz w:val="20"/>
                        </w:rPr>
                        <w:t xml:space="preserve"> </w:t>
                      </w:r>
                      <w:r w:rsidRPr="004E0302">
                        <w:rPr>
                          <w:rFonts w:cs="Arial"/>
                          <w:color w:val="FFFFFF"/>
                          <w:sz w:val="20"/>
                        </w:rPr>
                        <w:t>a</w:t>
                      </w:r>
                      <w:r w:rsidRPr="004E0302">
                        <w:rPr>
                          <w:rFonts w:cs="Arial"/>
                          <w:color w:val="FFFFFF"/>
                          <w:spacing w:val="47"/>
                          <w:sz w:val="20"/>
                        </w:rPr>
                        <w:t xml:space="preserve"> </w:t>
                      </w:r>
                      <w:r w:rsidRPr="004E0302">
                        <w:rPr>
                          <w:rFonts w:cs="Arial"/>
                          <w:color w:val="FFFFFF"/>
                          <w:spacing w:val="-1"/>
                          <w:sz w:val="20"/>
                        </w:rPr>
                        <w:t>breach</w:t>
                      </w:r>
                      <w:r w:rsidRPr="004E0302">
                        <w:rPr>
                          <w:rFonts w:cs="Arial"/>
                          <w:color w:val="FFFFFF"/>
                          <w:spacing w:val="46"/>
                          <w:sz w:val="20"/>
                        </w:rPr>
                        <w:t xml:space="preserve"> </w:t>
                      </w:r>
                      <w:r w:rsidRPr="004E0302">
                        <w:rPr>
                          <w:rFonts w:cs="Arial"/>
                          <w:color w:val="FFFFFF"/>
                          <w:spacing w:val="-1"/>
                          <w:sz w:val="20"/>
                        </w:rPr>
                        <w:t>of</w:t>
                      </w:r>
                      <w:r w:rsidRPr="004E0302">
                        <w:rPr>
                          <w:rFonts w:cs="Arial"/>
                          <w:color w:val="FFFFFF"/>
                          <w:spacing w:val="44"/>
                          <w:sz w:val="20"/>
                        </w:rPr>
                        <w:t xml:space="preserve"> </w:t>
                      </w:r>
                      <w:r w:rsidRPr="004E0302">
                        <w:rPr>
                          <w:rFonts w:cs="Arial"/>
                          <w:color w:val="FFFFFF"/>
                          <w:spacing w:val="-1"/>
                          <w:sz w:val="20"/>
                        </w:rPr>
                        <w:t>the</w:t>
                      </w:r>
                      <w:r w:rsidRPr="004E0302">
                        <w:rPr>
                          <w:rFonts w:cs="Arial"/>
                          <w:color w:val="FFFFFF"/>
                          <w:spacing w:val="48"/>
                          <w:sz w:val="20"/>
                        </w:rPr>
                        <w:t xml:space="preserve"> </w:t>
                      </w:r>
                      <w:r w:rsidRPr="004E0302">
                        <w:rPr>
                          <w:rFonts w:cs="Arial"/>
                          <w:color w:val="FFFFFF"/>
                          <w:spacing w:val="-1"/>
                          <w:sz w:val="20"/>
                        </w:rPr>
                        <w:t>practice's</w:t>
                      </w:r>
                      <w:r w:rsidRPr="004E0302">
                        <w:rPr>
                          <w:rFonts w:cs="Arial"/>
                          <w:color w:val="FFFFFF"/>
                          <w:spacing w:val="46"/>
                          <w:sz w:val="20"/>
                        </w:rPr>
                        <w:t xml:space="preserve"> </w:t>
                      </w:r>
                      <w:r w:rsidRPr="004E0302">
                        <w:rPr>
                          <w:rFonts w:cs="Arial"/>
                          <w:color w:val="FFFFFF"/>
                          <w:sz w:val="20"/>
                        </w:rPr>
                        <w:t>duty</w:t>
                      </w:r>
                      <w:r w:rsidRPr="004E0302">
                        <w:rPr>
                          <w:rFonts w:cs="Arial"/>
                          <w:color w:val="FFFFFF"/>
                          <w:spacing w:val="47"/>
                          <w:sz w:val="20"/>
                        </w:rPr>
                        <w:t xml:space="preserve"> </w:t>
                      </w:r>
                      <w:r w:rsidRPr="004E0302">
                        <w:rPr>
                          <w:rFonts w:cs="Arial"/>
                          <w:color w:val="FFFFFF"/>
                          <w:sz w:val="20"/>
                        </w:rPr>
                        <w:t>to</w:t>
                      </w:r>
                      <w:r w:rsidRPr="004E0302">
                        <w:rPr>
                          <w:rFonts w:cs="Arial"/>
                          <w:color w:val="FFFFFF"/>
                          <w:spacing w:val="44"/>
                          <w:sz w:val="20"/>
                        </w:rPr>
                        <w:t xml:space="preserve"> </w:t>
                      </w:r>
                      <w:r w:rsidRPr="004E0302">
                        <w:rPr>
                          <w:rFonts w:cs="Arial"/>
                          <w:color w:val="FFFFFF"/>
                          <w:spacing w:val="-1"/>
                          <w:sz w:val="20"/>
                        </w:rPr>
                        <w:t>make</w:t>
                      </w:r>
                      <w:r w:rsidRPr="004E0302">
                        <w:rPr>
                          <w:rFonts w:cs="Arial"/>
                          <w:color w:val="FFFFFF"/>
                          <w:spacing w:val="45"/>
                          <w:sz w:val="20"/>
                        </w:rPr>
                        <w:t xml:space="preserve"> </w:t>
                      </w:r>
                      <w:r w:rsidRPr="004E0302">
                        <w:rPr>
                          <w:rFonts w:cs="Arial"/>
                          <w:color w:val="FFFFFF"/>
                          <w:spacing w:val="-1"/>
                          <w:sz w:val="20"/>
                        </w:rPr>
                        <w:t>reasonable</w:t>
                      </w:r>
                      <w:r w:rsidRPr="004E0302">
                        <w:rPr>
                          <w:rFonts w:cs="Arial"/>
                          <w:color w:val="FFFFFF"/>
                          <w:spacing w:val="59"/>
                          <w:w w:val="99"/>
                          <w:sz w:val="20"/>
                        </w:rPr>
                        <w:t xml:space="preserve"> </w:t>
                      </w:r>
                      <w:r w:rsidRPr="004E0302">
                        <w:rPr>
                          <w:rFonts w:cs="Arial"/>
                          <w:color w:val="FFFFFF"/>
                          <w:spacing w:val="-1"/>
                          <w:sz w:val="20"/>
                        </w:rPr>
                        <w:t>adjustments</w:t>
                      </w:r>
                      <w:r w:rsidRPr="004E0302">
                        <w:rPr>
                          <w:rFonts w:cs="Arial"/>
                          <w:color w:val="FFFFFF"/>
                          <w:spacing w:val="29"/>
                          <w:sz w:val="20"/>
                        </w:rPr>
                        <w:t xml:space="preserve"> </w:t>
                      </w:r>
                      <w:r w:rsidRPr="004E0302">
                        <w:rPr>
                          <w:rFonts w:cs="Arial"/>
                          <w:color w:val="FFFFFF"/>
                          <w:spacing w:val="-1"/>
                          <w:sz w:val="20"/>
                        </w:rPr>
                        <w:t>under</w:t>
                      </w:r>
                      <w:r w:rsidRPr="004E0302">
                        <w:rPr>
                          <w:rFonts w:cs="Arial"/>
                          <w:color w:val="FFFFFF"/>
                          <w:spacing w:val="32"/>
                          <w:sz w:val="20"/>
                        </w:rPr>
                        <w:t xml:space="preserve"> </w:t>
                      </w:r>
                      <w:r w:rsidRPr="004E0302">
                        <w:rPr>
                          <w:rFonts w:cs="Arial"/>
                          <w:color w:val="FFFFFF"/>
                          <w:spacing w:val="-1"/>
                          <w:sz w:val="20"/>
                        </w:rPr>
                        <w:t>the</w:t>
                      </w:r>
                      <w:r w:rsidRPr="004E0302">
                        <w:rPr>
                          <w:rFonts w:cs="Arial"/>
                          <w:color w:val="FFFFFF"/>
                          <w:spacing w:val="31"/>
                          <w:sz w:val="20"/>
                        </w:rPr>
                        <w:t xml:space="preserve"> </w:t>
                      </w:r>
                      <w:r w:rsidRPr="004E0302">
                        <w:rPr>
                          <w:rFonts w:cs="Arial"/>
                          <w:color w:val="FFFFFF"/>
                          <w:spacing w:val="-1"/>
                          <w:sz w:val="20"/>
                        </w:rPr>
                        <w:t>Equality</w:t>
                      </w:r>
                      <w:r w:rsidRPr="004E0302">
                        <w:rPr>
                          <w:rFonts w:cs="Arial"/>
                          <w:color w:val="FFFFFF"/>
                          <w:spacing w:val="30"/>
                          <w:sz w:val="20"/>
                        </w:rPr>
                        <w:t xml:space="preserve"> </w:t>
                      </w:r>
                      <w:r w:rsidRPr="004E0302">
                        <w:rPr>
                          <w:rFonts w:cs="Arial"/>
                          <w:color w:val="FFFFFF"/>
                          <w:spacing w:val="-1"/>
                          <w:sz w:val="20"/>
                        </w:rPr>
                        <w:t>Act.</w:t>
                      </w:r>
                      <w:r w:rsidRPr="004E0302">
                        <w:rPr>
                          <w:rFonts w:cs="Arial"/>
                          <w:color w:val="FFFFFF"/>
                          <w:spacing w:val="59"/>
                          <w:sz w:val="20"/>
                        </w:rPr>
                        <w:t xml:space="preserve"> </w:t>
                      </w:r>
                      <w:r w:rsidRPr="004E0302">
                        <w:rPr>
                          <w:rFonts w:cs="Arial"/>
                          <w:color w:val="FFFFFF"/>
                          <w:spacing w:val="-1"/>
                          <w:sz w:val="20"/>
                        </w:rPr>
                        <w:t>This</w:t>
                      </w:r>
                      <w:r w:rsidRPr="004E0302">
                        <w:rPr>
                          <w:rFonts w:cs="Arial"/>
                          <w:color w:val="FFFFFF"/>
                          <w:spacing w:val="30"/>
                          <w:sz w:val="20"/>
                        </w:rPr>
                        <w:t xml:space="preserve"> </w:t>
                      </w:r>
                      <w:r w:rsidRPr="004E0302">
                        <w:rPr>
                          <w:rFonts w:cs="Arial"/>
                          <w:color w:val="FFFFFF"/>
                          <w:spacing w:val="-1"/>
                          <w:sz w:val="20"/>
                        </w:rPr>
                        <w:t>in</w:t>
                      </w:r>
                      <w:r w:rsidRPr="004E0302">
                        <w:rPr>
                          <w:rFonts w:cs="Arial"/>
                          <w:color w:val="FFFFFF"/>
                          <w:spacing w:val="32"/>
                          <w:sz w:val="20"/>
                        </w:rPr>
                        <w:t xml:space="preserve"> </w:t>
                      </w:r>
                      <w:r w:rsidRPr="004E0302">
                        <w:rPr>
                          <w:rFonts w:cs="Arial"/>
                          <w:color w:val="FFFFFF"/>
                          <w:spacing w:val="-1"/>
                          <w:sz w:val="20"/>
                        </w:rPr>
                        <w:t>turn</w:t>
                      </w:r>
                      <w:r w:rsidRPr="004E0302">
                        <w:rPr>
                          <w:rFonts w:cs="Arial"/>
                          <w:color w:val="FFFFFF"/>
                          <w:spacing w:val="29"/>
                          <w:sz w:val="20"/>
                        </w:rPr>
                        <w:t xml:space="preserve"> </w:t>
                      </w:r>
                      <w:r w:rsidRPr="004E0302">
                        <w:rPr>
                          <w:rFonts w:cs="Arial"/>
                          <w:color w:val="FFFFFF"/>
                          <w:spacing w:val="-1"/>
                          <w:sz w:val="20"/>
                        </w:rPr>
                        <w:t>is</w:t>
                      </w:r>
                      <w:r w:rsidRPr="004E0302">
                        <w:rPr>
                          <w:rFonts w:cs="Arial"/>
                          <w:color w:val="FFFFFF"/>
                          <w:spacing w:val="30"/>
                          <w:sz w:val="20"/>
                        </w:rPr>
                        <w:t xml:space="preserve"> </w:t>
                      </w:r>
                      <w:r w:rsidRPr="004E0302">
                        <w:rPr>
                          <w:rFonts w:cs="Arial"/>
                          <w:color w:val="FFFFFF"/>
                          <w:sz w:val="20"/>
                        </w:rPr>
                        <w:t>a</w:t>
                      </w:r>
                      <w:r w:rsidRPr="004E0302">
                        <w:rPr>
                          <w:rFonts w:cs="Arial"/>
                          <w:color w:val="FFFFFF"/>
                          <w:spacing w:val="30"/>
                          <w:sz w:val="20"/>
                        </w:rPr>
                        <w:t xml:space="preserve"> </w:t>
                      </w:r>
                      <w:r w:rsidRPr="004E0302">
                        <w:rPr>
                          <w:rFonts w:cs="Arial"/>
                          <w:color w:val="FFFFFF"/>
                          <w:spacing w:val="-1"/>
                          <w:sz w:val="20"/>
                        </w:rPr>
                        <w:t>breach</w:t>
                      </w:r>
                      <w:r w:rsidRPr="004E0302">
                        <w:rPr>
                          <w:rFonts w:cs="Arial"/>
                          <w:color w:val="FFFFFF"/>
                          <w:spacing w:val="29"/>
                          <w:sz w:val="20"/>
                        </w:rPr>
                        <w:t xml:space="preserve"> </w:t>
                      </w:r>
                      <w:r w:rsidRPr="004E0302">
                        <w:rPr>
                          <w:rFonts w:cs="Arial"/>
                          <w:color w:val="FFFFFF"/>
                          <w:sz w:val="20"/>
                        </w:rPr>
                        <w:t>of</w:t>
                      </w:r>
                      <w:r w:rsidRPr="004E0302">
                        <w:rPr>
                          <w:rFonts w:cs="Arial"/>
                          <w:color w:val="FFFFFF"/>
                          <w:spacing w:val="28"/>
                          <w:sz w:val="20"/>
                        </w:rPr>
                        <w:t xml:space="preserve"> </w:t>
                      </w:r>
                      <w:r w:rsidRPr="004E0302">
                        <w:rPr>
                          <w:rFonts w:cs="Arial"/>
                          <w:color w:val="FFFFFF"/>
                          <w:spacing w:val="-1"/>
                          <w:sz w:val="20"/>
                        </w:rPr>
                        <w:t>the</w:t>
                      </w:r>
                      <w:r w:rsidRPr="004E0302">
                        <w:rPr>
                          <w:rFonts w:cs="Arial"/>
                          <w:color w:val="FFFFFF"/>
                          <w:spacing w:val="59"/>
                          <w:w w:val="99"/>
                          <w:sz w:val="20"/>
                        </w:rPr>
                        <w:t xml:space="preserve"> </w:t>
                      </w:r>
                      <w:r w:rsidRPr="004E0302">
                        <w:rPr>
                          <w:rFonts w:cs="Arial"/>
                          <w:color w:val="FFFFFF"/>
                          <w:spacing w:val="-1"/>
                          <w:sz w:val="20"/>
                        </w:rPr>
                        <w:t>practice's</w:t>
                      </w:r>
                      <w:r w:rsidRPr="004E0302">
                        <w:rPr>
                          <w:rFonts w:cs="Arial"/>
                          <w:color w:val="FFFFFF"/>
                          <w:spacing w:val="29"/>
                          <w:sz w:val="20"/>
                        </w:rPr>
                        <w:t xml:space="preserve"> </w:t>
                      </w:r>
                      <w:r w:rsidRPr="004E0302">
                        <w:rPr>
                          <w:rFonts w:cs="Arial"/>
                          <w:color w:val="FFFFFF"/>
                          <w:spacing w:val="-1"/>
                          <w:sz w:val="20"/>
                        </w:rPr>
                        <w:t>duty</w:t>
                      </w:r>
                      <w:r w:rsidRPr="004E0302">
                        <w:rPr>
                          <w:rFonts w:cs="Arial"/>
                          <w:color w:val="FFFFFF"/>
                          <w:spacing w:val="29"/>
                          <w:sz w:val="20"/>
                        </w:rPr>
                        <w:t xml:space="preserve"> </w:t>
                      </w:r>
                      <w:r w:rsidRPr="004E0302">
                        <w:rPr>
                          <w:rFonts w:cs="Arial"/>
                          <w:color w:val="FFFFFF"/>
                          <w:spacing w:val="-1"/>
                          <w:sz w:val="20"/>
                        </w:rPr>
                        <w:t>under</w:t>
                      </w:r>
                      <w:r w:rsidRPr="004E0302">
                        <w:rPr>
                          <w:rFonts w:cs="Arial"/>
                          <w:color w:val="FFFFFF"/>
                          <w:spacing w:val="29"/>
                          <w:sz w:val="20"/>
                        </w:rPr>
                        <w:t xml:space="preserve"> </w:t>
                      </w:r>
                      <w:r w:rsidRPr="004E0302">
                        <w:rPr>
                          <w:rFonts w:cs="Arial"/>
                          <w:color w:val="FFFFFF"/>
                          <w:sz w:val="20"/>
                        </w:rPr>
                        <w:t>its</w:t>
                      </w:r>
                      <w:r w:rsidRPr="004E0302">
                        <w:rPr>
                          <w:rFonts w:cs="Arial"/>
                          <w:color w:val="FFFFFF"/>
                          <w:spacing w:val="30"/>
                          <w:sz w:val="20"/>
                        </w:rPr>
                        <w:t xml:space="preserve"> </w:t>
                      </w:r>
                      <w:r w:rsidRPr="004E0302">
                        <w:rPr>
                          <w:rFonts w:cs="Arial"/>
                          <w:color w:val="FFFFFF"/>
                          <w:spacing w:val="-1"/>
                          <w:sz w:val="20"/>
                        </w:rPr>
                        <w:t>contract</w:t>
                      </w:r>
                      <w:r w:rsidRPr="004E0302">
                        <w:rPr>
                          <w:rFonts w:cs="Arial"/>
                          <w:color w:val="FFFFFF"/>
                          <w:spacing w:val="29"/>
                          <w:sz w:val="20"/>
                        </w:rPr>
                        <w:t xml:space="preserve"> </w:t>
                      </w:r>
                      <w:r w:rsidRPr="004E0302">
                        <w:rPr>
                          <w:rFonts w:cs="Arial"/>
                          <w:color w:val="FFFFFF"/>
                          <w:spacing w:val="-1"/>
                          <w:sz w:val="20"/>
                        </w:rPr>
                        <w:t>with</w:t>
                      </w:r>
                      <w:r w:rsidRPr="004E0302">
                        <w:rPr>
                          <w:rFonts w:cs="Arial"/>
                          <w:color w:val="FFFFFF"/>
                          <w:spacing w:val="28"/>
                          <w:sz w:val="20"/>
                        </w:rPr>
                        <w:t xml:space="preserve"> </w:t>
                      </w:r>
                      <w:r>
                        <w:rPr>
                          <w:rFonts w:cs="Arial"/>
                          <w:color w:val="FFFFFF"/>
                          <w:spacing w:val="28"/>
                          <w:sz w:val="20"/>
                        </w:rPr>
                        <w:t xml:space="preserve">the commissioner </w:t>
                      </w:r>
                      <w:r w:rsidRPr="004E0302">
                        <w:rPr>
                          <w:rFonts w:cs="Arial"/>
                          <w:color w:val="FFFFFF"/>
                          <w:sz w:val="20"/>
                        </w:rPr>
                        <w:t>to</w:t>
                      </w:r>
                      <w:r w:rsidRPr="004E0302">
                        <w:rPr>
                          <w:rFonts w:cs="Arial"/>
                          <w:color w:val="FFFFFF"/>
                          <w:spacing w:val="31"/>
                          <w:sz w:val="20"/>
                        </w:rPr>
                        <w:t xml:space="preserve"> </w:t>
                      </w:r>
                      <w:r w:rsidRPr="004E0302">
                        <w:rPr>
                          <w:rFonts w:cs="Arial"/>
                          <w:color w:val="FFFFFF"/>
                          <w:spacing w:val="-1"/>
                          <w:sz w:val="20"/>
                        </w:rPr>
                        <w:t>comply</w:t>
                      </w:r>
                      <w:r w:rsidRPr="004E0302">
                        <w:rPr>
                          <w:rFonts w:cs="Arial"/>
                          <w:color w:val="FFFFFF"/>
                          <w:spacing w:val="29"/>
                          <w:sz w:val="20"/>
                        </w:rPr>
                        <w:t xml:space="preserve"> </w:t>
                      </w:r>
                      <w:r w:rsidRPr="004E0302">
                        <w:rPr>
                          <w:rFonts w:cs="Arial"/>
                          <w:color w:val="FFFFFF"/>
                          <w:spacing w:val="-1"/>
                          <w:sz w:val="20"/>
                        </w:rPr>
                        <w:t>with</w:t>
                      </w:r>
                      <w:r w:rsidRPr="004E0302">
                        <w:rPr>
                          <w:rFonts w:cs="Arial"/>
                          <w:color w:val="FFFFFF"/>
                          <w:spacing w:val="53"/>
                          <w:sz w:val="20"/>
                        </w:rPr>
                        <w:t xml:space="preserve"> </w:t>
                      </w:r>
                      <w:r w:rsidRPr="004E0302">
                        <w:rPr>
                          <w:rFonts w:cs="Arial"/>
                          <w:color w:val="FFFFFF"/>
                          <w:spacing w:val="-1"/>
                          <w:sz w:val="20"/>
                        </w:rPr>
                        <w:t>legislation.</w:t>
                      </w:r>
                      <w:r w:rsidRPr="004E0302">
                        <w:rPr>
                          <w:rFonts w:cs="Arial"/>
                          <w:color w:val="FFFFFF"/>
                          <w:spacing w:val="26"/>
                          <w:sz w:val="20"/>
                        </w:rPr>
                        <w:t xml:space="preserve"> </w:t>
                      </w:r>
                      <w:r w:rsidRPr="004E0302">
                        <w:rPr>
                          <w:rFonts w:cs="Arial"/>
                          <w:color w:val="FFFFFF"/>
                          <w:sz w:val="20"/>
                        </w:rPr>
                        <w:t>In</w:t>
                      </w:r>
                      <w:r w:rsidRPr="004E0302">
                        <w:rPr>
                          <w:rFonts w:cs="Arial"/>
                          <w:color w:val="FFFFFF"/>
                          <w:spacing w:val="46"/>
                          <w:sz w:val="20"/>
                        </w:rPr>
                        <w:t xml:space="preserve"> </w:t>
                      </w:r>
                      <w:r w:rsidRPr="004E0302">
                        <w:rPr>
                          <w:rFonts w:cs="Arial"/>
                          <w:color w:val="FFFFFF"/>
                          <w:spacing w:val="-1"/>
                          <w:sz w:val="20"/>
                        </w:rPr>
                        <w:t>order</w:t>
                      </w:r>
                      <w:r w:rsidRPr="004E0302">
                        <w:rPr>
                          <w:rFonts w:cs="Arial"/>
                          <w:color w:val="FFFFFF"/>
                          <w:spacing w:val="46"/>
                          <w:sz w:val="20"/>
                        </w:rPr>
                        <w:t xml:space="preserve"> </w:t>
                      </w:r>
                      <w:r w:rsidRPr="004E0302">
                        <w:rPr>
                          <w:rFonts w:cs="Arial"/>
                          <w:color w:val="FFFFFF"/>
                          <w:sz w:val="20"/>
                        </w:rPr>
                        <w:t>to</w:t>
                      </w:r>
                      <w:r w:rsidRPr="004E0302">
                        <w:rPr>
                          <w:rFonts w:cs="Arial"/>
                          <w:color w:val="FFFFFF"/>
                          <w:spacing w:val="45"/>
                          <w:sz w:val="20"/>
                        </w:rPr>
                        <w:t xml:space="preserve"> </w:t>
                      </w:r>
                      <w:r w:rsidRPr="004E0302">
                        <w:rPr>
                          <w:rFonts w:cs="Arial"/>
                          <w:color w:val="FFFFFF"/>
                          <w:spacing w:val="-1"/>
                          <w:sz w:val="20"/>
                        </w:rPr>
                        <w:t>comply</w:t>
                      </w:r>
                      <w:r w:rsidRPr="004E0302">
                        <w:rPr>
                          <w:rFonts w:cs="Arial"/>
                          <w:color w:val="FFFFFF"/>
                          <w:spacing w:val="47"/>
                          <w:sz w:val="20"/>
                        </w:rPr>
                        <w:t xml:space="preserve"> </w:t>
                      </w:r>
                      <w:r w:rsidRPr="004E0302">
                        <w:rPr>
                          <w:rFonts w:cs="Arial"/>
                          <w:color w:val="FFFFFF"/>
                          <w:spacing w:val="-1"/>
                          <w:sz w:val="20"/>
                        </w:rPr>
                        <w:t>with</w:t>
                      </w:r>
                      <w:r w:rsidRPr="004E0302">
                        <w:rPr>
                          <w:rFonts w:cs="Arial"/>
                          <w:color w:val="FFFFFF"/>
                          <w:spacing w:val="45"/>
                          <w:sz w:val="20"/>
                        </w:rPr>
                        <w:t xml:space="preserve"> </w:t>
                      </w:r>
                      <w:r w:rsidRPr="004E0302">
                        <w:rPr>
                          <w:rFonts w:cs="Arial"/>
                          <w:color w:val="FFFFFF"/>
                          <w:spacing w:val="-1"/>
                          <w:sz w:val="20"/>
                        </w:rPr>
                        <w:t>the</w:t>
                      </w:r>
                      <w:r w:rsidRPr="004E0302">
                        <w:rPr>
                          <w:rFonts w:cs="Arial"/>
                          <w:color w:val="FFFFFF"/>
                          <w:spacing w:val="45"/>
                          <w:sz w:val="20"/>
                        </w:rPr>
                        <w:t xml:space="preserve"> </w:t>
                      </w:r>
                      <w:r w:rsidRPr="004E0302">
                        <w:rPr>
                          <w:rFonts w:cs="Arial"/>
                          <w:color w:val="FFFFFF"/>
                          <w:spacing w:val="-1"/>
                          <w:sz w:val="20"/>
                        </w:rPr>
                        <w:t>PSED</w:t>
                      </w:r>
                      <w:r w:rsidRPr="004E0302">
                        <w:rPr>
                          <w:rFonts w:cs="Arial"/>
                          <w:color w:val="FFFFFF"/>
                          <w:spacing w:val="46"/>
                          <w:sz w:val="20"/>
                        </w:rPr>
                        <w:t xml:space="preserve"> </w:t>
                      </w:r>
                      <w:r>
                        <w:rPr>
                          <w:rFonts w:cs="Arial"/>
                          <w:color w:val="FFFFFF"/>
                          <w:spacing w:val="46"/>
                          <w:sz w:val="20"/>
                        </w:rPr>
                        <w:t xml:space="preserve">the commissioner </w:t>
                      </w:r>
                      <w:r w:rsidRPr="004E0302">
                        <w:rPr>
                          <w:rFonts w:cs="Arial"/>
                          <w:color w:val="FFFFFF"/>
                          <w:spacing w:val="-1"/>
                          <w:sz w:val="20"/>
                        </w:rPr>
                        <w:t>takes</w:t>
                      </w:r>
                      <w:r w:rsidRPr="004E0302">
                        <w:rPr>
                          <w:rFonts w:cs="Arial"/>
                          <w:color w:val="FFFFFF"/>
                          <w:spacing w:val="53"/>
                          <w:sz w:val="20"/>
                        </w:rPr>
                        <w:t xml:space="preserve"> </w:t>
                      </w:r>
                      <w:r w:rsidRPr="004E0302">
                        <w:rPr>
                          <w:rFonts w:cs="Arial"/>
                          <w:color w:val="FFFFFF"/>
                          <w:spacing w:val="-1"/>
                          <w:sz w:val="20"/>
                        </w:rPr>
                        <w:t>steps</w:t>
                      </w:r>
                      <w:r w:rsidRPr="004E0302">
                        <w:rPr>
                          <w:rFonts w:cs="Arial"/>
                          <w:color w:val="FFFFFF"/>
                          <w:spacing w:val="10"/>
                          <w:sz w:val="20"/>
                        </w:rPr>
                        <w:t xml:space="preserve"> </w:t>
                      </w:r>
                      <w:r w:rsidRPr="004E0302">
                        <w:rPr>
                          <w:rFonts w:cs="Arial"/>
                          <w:color w:val="FFFFFF"/>
                          <w:sz w:val="20"/>
                        </w:rPr>
                        <w:t>to</w:t>
                      </w:r>
                      <w:r w:rsidRPr="004E0302">
                        <w:rPr>
                          <w:rFonts w:cs="Arial"/>
                          <w:color w:val="FFFFFF"/>
                          <w:spacing w:val="9"/>
                          <w:sz w:val="20"/>
                        </w:rPr>
                        <w:t xml:space="preserve"> </w:t>
                      </w:r>
                      <w:r w:rsidRPr="004E0302">
                        <w:rPr>
                          <w:rFonts w:cs="Arial"/>
                          <w:color w:val="FFFFFF"/>
                          <w:spacing w:val="-1"/>
                          <w:sz w:val="20"/>
                        </w:rPr>
                        <w:t>ensure</w:t>
                      </w:r>
                      <w:r w:rsidRPr="004E0302">
                        <w:rPr>
                          <w:rFonts w:cs="Arial"/>
                          <w:color w:val="FFFFFF"/>
                          <w:spacing w:val="8"/>
                          <w:sz w:val="20"/>
                        </w:rPr>
                        <w:t xml:space="preserve"> </w:t>
                      </w:r>
                      <w:r w:rsidRPr="004E0302">
                        <w:rPr>
                          <w:rFonts w:cs="Arial"/>
                          <w:color w:val="FFFFFF"/>
                          <w:spacing w:val="-1"/>
                          <w:sz w:val="20"/>
                        </w:rPr>
                        <w:t>that</w:t>
                      </w:r>
                      <w:r w:rsidRPr="004E0302">
                        <w:rPr>
                          <w:rFonts w:cs="Arial"/>
                          <w:color w:val="FFFFFF"/>
                          <w:spacing w:val="12"/>
                          <w:sz w:val="20"/>
                        </w:rPr>
                        <w:t xml:space="preserve"> </w:t>
                      </w:r>
                      <w:r w:rsidRPr="004E0302">
                        <w:rPr>
                          <w:rFonts w:cs="Arial"/>
                          <w:color w:val="FFFFFF"/>
                          <w:spacing w:val="-1"/>
                          <w:sz w:val="20"/>
                        </w:rPr>
                        <w:t>the</w:t>
                      </w:r>
                      <w:r w:rsidRPr="004E0302">
                        <w:rPr>
                          <w:rFonts w:cs="Arial"/>
                          <w:color w:val="FFFFFF"/>
                          <w:spacing w:val="9"/>
                          <w:sz w:val="20"/>
                        </w:rPr>
                        <w:t xml:space="preserve"> </w:t>
                      </w:r>
                      <w:r w:rsidRPr="004E0302">
                        <w:rPr>
                          <w:rFonts w:cs="Arial"/>
                          <w:color w:val="FFFFFF"/>
                          <w:spacing w:val="-1"/>
                          <w:sz w:val="20"/>
                        </w:rPr>
                        <w:t>practice</w:t>
                      </w:r>
                      <w:r w:rsidRPr="004E0302">
                        <w:rPr>
                          <w:rFonts w:cs="Arial"/>
                          <w:color w:val="FFFFFF"/>
                          <w:spacing w:val="10"/>
                          <w:sz w:val="20"/>
                        </w:rPr>
                        <w:t xml:space="preserve"> </w:t>
                      </w:r>
                      <w:r w:rsidRPr="004E0302">
                        <w:rPr>
                          <w:rFonts w:cs="Arial"/>
                          <w:color w:val="FFFFFF"/>
                          <w:spacing w:val="-1"/>
                          <w:sz w:val="20"/>
                        </w:rPr>
                        <w:t>complies</w:t>
                      </w:r>
                      <w:r w:rsidRPr="004E0302">
                        <w:rPr>
                          <w:rFonts w:cs="Arial"/>
                          <w:color w:val="FFFFFF"/>
                          <w:spacing w:val="11"/>
                          <w:sz w:val="20"/>
                        </w:rPr>
                        <w:t xml:space="preserve"> </w:t>
                      </w:r>
                      <w:r w:rsidRPr="004E0302">
                        <w:rPr>
                          <w:rFonts w:cs="Arial"/>
                          <w:color w:val="FFFFFF"/>
                          <w:sz w:val="20"/>
                        </w:rPr>
                        <w:t>with</w:t>
                      </w:r>
                      <w:r w:rsidRPr="004E0302">
                        <w:rPr>
                          <w:rFonts w:cs="Arial"/>
                          <w:color w:val="FFFFFF"/>
                          <w:spacing w:val="9"/>
                          <w:sz w:val="20"/>
                        </w:rPr>
                        <w:t xml:space="preserve"> </w:t>
                      </w:r>
                      <w:r w:rsidRPr="004E0302">
                        <w:rPr>
                          <w:rFonts w:cs="Arial"/>
                          <w:color w:val="FFFFFF"/>
                          <w:spacing w:val="-1"/>
                          <w:sz w:val="20"/>
                        </w:rPr>
                        <w:t>its</w:t>
                      </w:r>
                      <w:r w:rsidRPr="004E0302">
                        <w:rPr>
                          <w:rFonts w:cs="Arial"/>
                          <w:color w:val="FFFFFF"/>
                          <w:spacing w:val="11"/>
                          <w:sz w:val="20"/>
                        </w:rPr>
                        <w:t xml:space="preserve"> </w:t>
                      </w:r>
                      <w:r w:rsidRPr="004E0302">
                        <w:rPr>
                          <w:rFonts w:cs="Arial"/>
                          <w:color w:val="FFFFFF"/>
                          <w:spacing w:val="-1"/>
                          <w:sz w:val="20"/>
                        </w:rPr>
                        <w:t>Equality</w:t>
                      </w:r>
                      <w:r w:rsidRPr="004E0302">
                        <w:rPr>
                          <w:rFonts w:cs="Arial"/>
                          <w:color w:val="FFFFFF"/>
                          <w:spacing w:val="9"/>
                          <w:sz w:val="20"/>
                        </w:rPr>
                        <w:t xml:space="preserve"> </w:t>
                      </w:r>
                      <w:r w:rsidRPr="004E0302">
                        <w:rPr>
                          <w:rFonts w:cs="Arial"/>
                          <w:color w:val="FFFFFF"/>
                          <w:spacing w:val="-1"/>
                          <w:sz w:val="20"/>
                        </w:rPr>
                        <w:t>Act</w:t>
                      </w:r>
                      <w:r w:rsidRPr="004E0302">
                        <w:rPr>
                          <w:rFonts w:cs="Arial"/>
                          <w:color w:val="FFFFFF"/>
                          <w:spacing w:val="13"/>
                          <w:sz w:val="20"/>
                        </w:rPr>
                        <w:t xml:space="preserve"> </w:t>
                      </w:r>
                      <w:r w:rsidRPr="004E0302">
                        <w:rPr>
                          <w:rFonts w:cs="Arial"/>
                          <w:color w:val="FFFFFF"/>
                          <w:spacing w:val="-1"/>
                          <w:sz w:val="20"/>
                        </w:rPr>
                        <w:t>duties</w:t>
                      </w:r>
                      <w:r w:rsidRPr="004E0302">
                        <w:rPr>
                          <w:rFonts w:cs="Arial"/>
                          <w:color w:val="FFFFFF"/>
                          <w:spacing w:val="64"/>
                          <w:w w:val="99"/>
                          <w:sz w:val="20"/>
                        </w:rPr>
                        <w:t xml:space="preserve"> </w:t>
                      </w:r>
                      <w:r w:rsidRPr="004E0302">
                        <w:rPr>
                          <w:rFonts w:cs="Arial"/>
                          <w:color w:val="FFFFFF"/>
                          <w:spacing w:val="-1"/>
                          <w:sz w:val="20"/>
                        </w:rPr>
                        <w:t>by</w:t>
                      </w:r>
                      <w:r w:rsidRPr="004E0302">
                        <w:rPr>
                          <w:rFonts w:cs="Arial"/>
                          <w:color w:val="FFFFFF"/>
                          <w:spacing w:val="60"/>
                          <w:sz w:val="20"/>
                        </w:rPr>
                        <w:t xml:space="preserve"> </w:t>
                      </w:r>
                      <w:r w:rsidRPr="004E0302">
                        <w:rPr>
                          <w:rFonts w:cs="Arial"/>
                          <w:color w:val="FFFFFF"/>
                          <w:spacing w:val="-1"/>
                          <w:sz w:val="20"/>
                        </w:rPr>
                        <w:t>raising</w:t>
                      </w:r>
                      <w:r w:rsidRPr="004E0302">
                        <w:rPr>
                          <w:rFonts w:cs="Arial"/>
                          <w:color w:val="FFFFFF"/>
                          <w:spacing w:val="59"/>
                          <w:sz w:val="20"/>
                        </w:rPr>
                        <w:t xml:space="preserve"> </w:t>
                      </w:r>
                      <w:r w:rsidRPr="004E0302">
                        <w:rPr>
                          <w:rFonts w:cs="Arial"/>
                          <w:color w:val="FFFFFF"/>
                          <w:spacing w:val="-1"/>
                          <w:sz w:val="20"/>
                        </w:rPr>
                        <w:t>the</w:t>
                      </w:r>
                      <w:r w:rsidRPr="004E0302">
                        <w:rPr>
                          <w:rFonts w:cs="Arial"/>
                          <w:color w:val="FFFFFF"/>
                          <w:spacing w:val="60"/>
                          <w:sz w:val="20"/>
                        </w:rPr>
                        <w:t xml:space="preserve"> </w:t>
                      </w:r>
                      <w:r w:rsidRPr="004E0302">
                        <w:rPr>
                          <w:rFonts w:cs="Arial"/>
                          <w:color w:val="FFFFFF"/>
                          <w:spacing w:val="-1"/>
                          <w:sz w:val="20"/>
                        </w:rPr>
                        <w:t>issue</w:t>
                      </w:r>
                      <w:r w:rsidRPr="004E0302">
                        <w:rPr>
                          <w:rFonts w:cs="Arial"/>
                          <w:color w:val="FFFFFF"/>
                          <w:spacing w:val="59"/>
                          <w:sz w:val="20"/>
                        </w:rPr>
                        <w:t xml:space="preserve"> </w:t>
                      </w:r>
                      <w:r w:rsidRPr="004E0302">
                        <w:rPr>
                          <w:rFonts w:cs="Arial"/>
                          <w:color w:val="FFFFFF"/>
                          <w:spacing w:val="-1"/>
                          <w:sz w:val="20"/>
                        </w:rPr>
                        <w:t>informally</w:t>
                      </w:r>
                      <w:r w:rsidRPr="004E0302">
                        <w:rPr>
                          <w:rFonts w:cs="Arial"/>
                          <w:color w:val="FFFFFF"/>
                          <w:spacing w:val="61"/>
                          <w:sz w:val="20"/>
                        </w:rPr>
                        <w:t xml:space="preserve"> </w:t>
                      </w:r>
                      <w:r w:rsidRPr="004E0302">
                        <w:rPr>
                          <w:rFonts w:cs="Arial"/>
                          <w:color w:val="FFFFFF"/>
                          <w:spacing w:val="-1"/>
                          <w:sz w:val="20"/>
                        </w:rPr>
                        <w:t>and</w:t>
                      </w:r>
                      <w:r w:rsidRPr="004E0302">
                        <w:rPr>
                          <w:rFonts w:cs="Arial"/>
                          <w:color w:val="FFFFFF"/>
                          <w:spacing w:val="59"/>
                          <w:sz w:val="20"/>
                        </w:rPr>
                        <w:t xml:space="preserve"> </w:t>
                      </w:r>
                      <w:r w:rsidRPr="004E0302">
                        <w:rPr>
                          <w:rFonts w:cs="Arial"/>
                          <w:color w:val="FFFFFF"/>
                          <w:spacing w:val="-1"/>
                          <w:sz w:val="20"/>
                        </w:rPr>
                        <w:t>issuing</w:t>
                      </w:r>
                      <w:r w:rsidRPr="004E0302">
                        <w:rPr>
                          <w:rFonts w:cs="Arial"/>
                          <w:color w:val="FFFFFF"/>
                          <w:spacing w:val="60"/>
                          <w:sz w:val="20"/>
                        </w:rPr>
                        <w:t xml:space="preserve"> </w:t>
                      </w:r>
                      <w:r w:rsidRPr="004E0302">
                        <w:rPr>
                          <w:rFonts w:cs="Arial"/>
                          <w:color w:val="FFFFFF"/>
                          <w:sz w:val="20"/>
                        </w:rPr>
                        <w:t>a</w:t>
                      </w:r>
                      <w:r w:rsidRPr="004E0302">
                        <w:rPr>
                          <w:rFonts w:cs="Arial"/>
                          <w:color w:val="FFFFFF"/>
                          <w:spacing w:val="59"/>
                          <w:sz w:val="20"/>
                        </w:rPr>
                        <w:t xml:space="preserve"> </w:t>
                      </w:r>
                      <w:r w:rsidRPr="004E0302">
                        <w:rPr>
                          <w:rFonts w:cs="Arial"/>
                          <w:color w:val="FFFFFF"/>
                          <w:spacing w:val="-1"/>
                          <w:sz w:val="20"/>
                        </w:rPr>
                        <w:t>breach</w:t>
                      </w:r>
                      <w:r w:rsidRPr="004E0302">
                        <w:rPr>
                          <w:rFonts w:cs="Arial"/>
                          <w:color w:val="FFFFFF"/>
                          <w:spacing w:val="61"/>
                          <w:sz w:val="20"/>
                        </w:rPr>
                        <w:t xml:space="preserve"> </w:t>
                      </w:r>
                      <w:r w:rsidRPr="004E0302">
                        <w:rPr>
                          <w:rFonts w:cs="Arial"/>
                          <w:color w:val="FFFFFF"/>
                          <w:spacing w:val="-1"/>
                          <w:sz w:val="20"/>
                        </w:rPr>
                        <w:t>notice</w:t>
                      </w:r>
                      <w:r w:rsidRPr="004E0302">
                        <w:rPr>
                          <w:rFonts w:cs="Arial"/>
                          <w:color w:val="FFFFFF"/>
                          <w:spacing w:val="59"/>
                          <w:sz w:val="20"/>
                        </w:rPr>
                        <w:t xml:space="preserve"> </w:t>
                      </w:r>
                      <w:r w:rsidRPr="004E0302">
                        <w:rPr>
                          <w:rFonts w:cs="Arial"/>
                          <w:color w:val="FFFFFF"/>
                          <w:spacing w:val="-1"/>
                          <w:sz w:val="20"/>
                        </w:rPr>
                        <w:t>if</w:t>
                      </w:r>
                      <w:r w:rsidRPr="004E0302">
                        <w:rPr>
                          <w:rFonts w:cs="Arial"/>
                          <w:color w:val="FFFFFF"/>
                          <w:spacing w:val="59"/>
                          <w:sz w:val="20"/>
                        </w:rPr>
                        <w:t xml:space="preserve"> </w:t>
                      </w:r>
                      <w:r w:rsidRPr="004E0302">
                        <w:rPr>
                          <w:rFonts w:cs="Arial"/>
                          <w:color w:val="FFFFFF"/>
                          <w:spacing w:val="-1"/>
                          <w:sz w:val="20"/>
                        </w:rPr>
                        <w:t>the</w:t>
                      </w:r>
                      <w:r w:rsidRPr="004E0302">
                        <w:rPr>
                          <w:rFonts w:cs="Arial"/>
                          <w:color w:val="FFFFFF"/>
                          <w:spacing w:val="51"/>
                          <w:w w:val="99"/>
                          <w:sz w:val="20"/>
                        </w:rPr>
                        <w:t xml:space="preserve"> </w:t>
                      </w:r>
                      <w:r w:rsidRPr="004E0302">
                        <w:rPr>
                          <w:rFonts w:cs="Arial"/>
                          <w:color w:val="FFFFFF"/>
                          <w:spacing w:val="-1"/>
                          <w:sz w:val="20"/>
                        </w:rPr>
                        <w:t>problem</w:t>
                      </w:r>
                      <w:r w:rsidRPr="004E0302">
                        <w:rPr>
                          <w:rFonts w:cs="Arial"/>
                          <w:color w:val="FFFFFF"/>
                          <w:spacing w:val="-5"/>
                          <w:sz w:val="20"/>
                        </w:rPr>
                        <w:t xml:space="preserve"> </w:t>
                      </w:r>
                      <w:r w:rsidRPr="004E0302">
                        <w:rPr>
                          <w:rFonts w:cs="Arial"/>
                          <w:color w:val="FFFFFF"/>
                          <w:spacing w:val="-1"/>
                          <w:sz w:val="20"/>
                        </w:rPr>
                        <w:t>is</w:t>
                      </w:r>
                      <w:r w:rsidRPr="004E0302">
                        <w:rPr>
                          <w:rFonts w:cs="Arial"/>
                          <w:color w:val="FFFFFF"/>
                          <w:spacing w:val="-6"/>
                          <w:sz w:val="20"/>
                        </w:rPr>
                        <w:t xml:space="preserve"> </w:t>
                      </w:r>
                      <w:r w:rsidRPr="004E0302">
                        <w:rPr>
                          <w:rFonts w:cs="Arial"/>
                          <w:color w:val="FFFFFF"/>
                          <w:spacing w:val="-1"/>
                          <w:sz w:val="20"/>
                        </w:rPr>
                        <w:t>not</w:t>
                      </w:r>
                      <w:r w:rsidRPr="004E0302">
                        <w:rPr>
                          <w:rFonts w:cs="Arial"/>
                          <w:color w:val="FFFFFF"/>
                          <w:spacing w:val="-7"/>
                          <w:sz w:val="20"/>
                        </w:rPr>
                        <w:t xml:space="preserve"> </w:t>
                      </w:r>
                      <w:r w:rsidRPr="004E0302">
                        <w:rPr>
                          <w:rFonts w:cs="Arial"/>
                          <w:color w:val="FFFFFF"/>
                          <w:sz w:val="20"/>
                        </w:rPr>
                        <w:t>remedied</w:t>
                      </w:r>
                    </w:p>
                  </w:txbxContent>
                </v:textbox>
                <w10:anchorlock/>
              </v:shape>
            </w:pict>
          </mc:Fallback>
        </mc:AlternateContent>
      </w:r>
    </w:p>
    <w:p w14:paraId="3AB391C2" w14:textId="77777777" w:rsidR="00DB7F92" w:rsidRPr="00DB7F92" w:rsidRDefault="00DB7F92" w:rsidP="00DB7F92">
      <w:pPr>
        <w:jc w:val="both"/>
        <w:rPr>
          <w:rFonts w:eastAsia="Segoe UI Semilight" w:cs="Arial"/>
          <w:sz w:val="20"/>
          <w:szCs w:val="20"/>
        </w:rPr>
      </w:pPr>
    </w:p>
    <w:p w14:paraId="15EB83F7" w14:textId="77777777" w:rsidR="00DB7F92" w:rsidRPr="00DB7F92" w:rsidRDefault="00DB7F92" w:rsidP="00DB7F92">
      <w:pPr>
        <w:spacing w:before="6"/>
        <w:jc w:val="both"/>
        <w:rPr>
          <w:rFonts w:eastAsia="Segoe UI Semilight" w:cs="Arial"/>
          <w:sz w:val="20"/>
          <w:szCs w:val="20"/>
        </w:rPr>
      </w:pPr>
    </w:p>
    <w:p w14:paraId="07324EF6" w14:textId="77777777" w:rsidR="00DB7F92" w:rsidRPr="00DB7F92" w:rsidRDefault="00DB7F92" w:rsidP="00DB7F92">
      <w:pPr>
        <w:ind w:left="1156"/>
        <w:jc w:val="both"/>
        <w:rPr>
          <w:rFonts w:eastAsia="Segoe UI Semilight" w:cs="Arial"/>
          <w:sz w:val="20"/>
          <w:szCs w:val="20"/>
        </w:rPr>
      </w:pPr>
      <w:r w:rsidRPr="00DB7F92">
        <w:rPr>
          <w:rFonts w:eastAsia="Segoe UI Semilight" w:cs="Arial"/>
          <w:noProof/>
          <w:sz w:val="20"/>
          <w:szCs w:val="20"/>
          <w:lang w:eastAsia="en-GB"/>
        </w:rPr>
        <mc:AlternateContent>
          <mc:Choice Requires="wps">
            <w:drawing>
              <wp:inline distT="0" distB="0" distL="0" distR="0" wp14:anchorId="29F8DFA2" wp14:editId="4BA8118F">
                <wp:extent cx="4860290" cy="1836420"/>
                <wp:effectExtent l="0" t="0" r="0" b="0"/>
                <wp:docPr id="2069" name="Text Box 19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1836420"/>
                        </a:xfrm>
                        <a:prstGeom prst="rect">
                          <a:avLst/>
                        </a:prstGeom>
                        <a:solidFill>
                          <a:srgbClr val="1C6C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2AA0A5" w14:textId="77777777" w:rsidR="00622FF2" w:rsidRPr="004E0302" w:rsidRDefault="00622FF2" w:rsidP="00DB7F92">
                            <w:pPr>
                              <w:spacing w:before="213"/>
                              <w:ind w:left="225"/>
                              <w:jc w:val="both"/>
                              <w:rPr>
                                <w:rFonts w:eastAsia="Tw Cen MT Condensed Extra Bold" w:cs="Arial"/>
                                <w:sz w:val="20"/>
                                <w:szCs w:val="24"/>
                              </w:rPr>
                            </w:pPr>
                            <w:r w:rsidRPr="004E0302">
                              <w:rPr>
                                <w:rFonts w:cs="Arial"/>
                                <w:b/>
                                <w:color w:val="FFFFFF"/>
                                <w:sz w:val="20"/>
                              </w:rPr>
                              <w:t>Example:</w:t>
                            </w:r>
                          </w:p>
                          <w:p w14:paraId="6E61A099" w14:textId="77777777" w:rsidR="00622FF2" w:rsidRPr="004E0302" w:rsidRDefault="00622FF2" w:rsidP="00DB7F92">
                            <w:pPr>
                              <w:spacing w:before="12"/>
                              <w:rPr>
                                <w:rFonts w:eastAsia="Segoe UI Semilight" w:cs="Arial"/>
                                <w:sz w:val="20"/>
                                <w:szCs w:val="24"/>
                              </w:rPr>
                            </w:pPr>
                          </w:p>
                          <w:p w14:paraId="325AF270" w14:textId="77777777" w:rsidR="00622FF2" w:rsidRPr="004E0302" w:rsidRDefault="00622FF2" w:rsidP="00DB7F92">
                            <w:pPr>
                              <w:ind w:left="225" w:right="225"/>
                              <w:jc w:val="both"/>
                              <w:rPr>
                                <w:rFonts w:eastAsia="Segoe UI Semilight" w:cs="Arial"/>
                                <w:sz w:val="20"/>
                                <w:szCs w:val="24"/>
                              </w:rPr>
                            </w:pPr>
                            <w:r w:rsidRPr="004E0302">
                              <w:rPr>
                                <w:rFonts w:cs="Arial"/>
                                <w:color w:val="FFFFFF"/>
                                <w:sz w:val="20"/>
                              </w:rPr>
                              <w:t>A</w:t>
                            </w:r>
                            <w:r w:rsidRPr="004E0302">
                              <w:rPr>
                                <w:rFonts w:cs="Arial"/>
                                <w:color w:val="FFFFFF"/>
                                <w:spacing w:val="43"/>
                                <w:sz w:val="20"/>
                              </w:rPr>
                              <w:t xml:space="preserve"> </w:t>
                            </w:r>
                            <w:r w:rsidRPr="004E0302">
                              <w:rPr>
                                <w:rFonts w:cs="Arial"/>
                                <w:color w:val="FFFFFF"/>
                                <w:spacing w:val="-1"/>
                                <w:sz w:val="20"/>
                              </w:rPr>
                              <w:t>hearing</w:t>
                            </w:r>
                            <w:r w:rsidRPr="004E0302">
                              <w:rPr>
                                <w:rFonts w:cs="Arial"/>
                                <w:color w:val="FFFFFF"/>
                                <w:spacing w:val="42"/>
                                <w:sz w:val="20"/>
                              </w:rPr>
                              <w:t xml:space="preserve"> </w:t>
                            </w:r>
                            <w:r w:rsidRPr="004E0302">
                              <w:rPr>
                                <w:rFonts w:cs="Arial"/>
                                <w:color w:val="FFFFFF"/>
                                <w:spacing w:val="-1"/>
                                <w:sz w:val="20"/>
                              </w:rPr>
                              <w:t>impaired</w:t>
                            </w:r>
                            <w:r w:rsidRPr="004E0302">
                              <w:rPr>
                                <w:rFonts w:cs="Arial"/>
                                <w:color w:val="FFFFFF"/>
                                <w:spacing w:val="41"/>
                                <w:sz w:val="20"/>
                              </w:rPr>
                              <w:t xml:space="preserve"> </w:t>
                            </w:r>
                            <w:r w:rsidRPr="004E0302">
                              <w:rPr>
                                <w:rFonts w:cs="Arial"/>
                                <w:color w:val="FFFFFF"/>
                                <w:spacing w:val="-1"/>
                                <w:sz w:val="20"/>
                              </w:rPr>
                              <w:t>patient</w:t>
                            </w:r>
                            <w:r w:rsidRPr="004E0302">
                              <w:rPr>
                                <w:rFonts w:cs="Arial"/>
                                <w:color w:val="FFFFFF"/>
                                <w:spacing w:val="43"/>
                                <w:sz w:val="20"/>
                              </w:rPr>
                              <w:t xml:space="preserve"> </w:t>
                            </w:r>
                            <w:r w:rsidRPr="004E0302">
                              <w:rPr>
                                <w:rFonts w:cs="Arial"/>
                                <w:color w:val="FFFFFF"/>
                                <w:spacing w:val="-1"/>
                                <w:sz w:val="20"/>
                              </w:rPr>
                              <w:t>complains</w:t>
                            </w:r>
                            <w:r w:rsidRPr="004E0302">
                              <w:rPr>
                                <w:rFonts w:cs="Arial"/>
                                <w:color w:val="FFFFFF"/>
                                <w:spacing w:val="43"/>
                                <w:sz w:val="20"/>
                              </w:rPr>
                              <w:t xml:space="preserve"> </w:t>
                            </w:r>
                            <w:r w:rsidRPr="004E0302">
                              <w:rPr>
                                <w:rFonts w:cs="Arial"/>
                                <w:color w:val="FFFFFF"/>
                                <w:sz w:val="20"/>
                              </w:rPr>
                              <w:t>to</w:t>
                            </w:r>
                            <w:r w:rsidRPr="004E0302">
                              <w:rPr>
                                <w:rFonts w:cs="Arial"/>
                                <w:color w:val="FFFFFF"/>
                                <w:spacing w:val="42"/>
                                <w:sz w:val="20"/>
                              </w:rPr>
                              <w:t xml:space="preserve"> </w:t>
                            </w:r>
                            <w:r>
                              <w:rPr>
                                <w:rFonts w:cs="Arial"/>
                                <w:color w:val="FFFFFF"/>
                                <w:sz w:val="20"/>
                              </w:rPr>
                              <w:t>the commissioner</w:t>
                            </w:r>
                            <w:r w:rsidRPr="004E0302">
                              <w:rPr>
                                <w:rFonts w:cs="Arial"/>
                                <w:color w:val="FFFFFF"/>
                                <w:spacing w:val="41"/>
                                <w:sz w:val="20"/>
                              </w:rPr>
                              <w:t xml:space="preserve"> </w:t>
                            </w:r>
                            <w:r w:rsidRPr="004E0302">
                              <w:rPr>
                                <w:rFonts w:cs="Arial"/>
                                <w:color w:val="FFFFFF"/>
                                <w:spacing w:val="-1"/>
                                <w:sz w:val="20"/>
                              </w:rPr>
                              <w:t>about</w:t>
                            </w:r>
                            <w:r w:rsidRPr="004E0302">
                              <w:rPr>
                                <w:rFonts w:cs="Arial"/>
                                <w:color w:val="FFFFFF"/>
                                <w:spacing w:val="43"/>
                                <w:sz w:val="20"/>
                              </w:rPr>
                              <w:t xml:space="preserve"> </w:t>
                            </w:r>
                            <w:r w:rsidRPr="004E0302">
                              <w:rPr>
                                <w:rFonts w:cs="Arial"/>
                                <w:color w:val="FFFFFF"/>
                                <w:spacing w:val="-1"/>
                                <w:sz w:val="20"/>
                              </w:rPr>
                              <w:t>their</w:t>
                            </w:r>
                            <w:r w:rsidRPr="004E0302">
                              <w:rPr>
                                <w:rFonts w:cs="Arial"/>
                                <w:color w:val="FFFFFF"/>
                                <w:spacing w:val="52"/>
                                <w:w w:val="99"/>
                                <w:sz w:val="20"/>
                              </w:rPr>
                              <w:t xml:space="preserve"> </w:t>
                            </w:r>
                            <w:r w:rsidRPr="004E0302">
                              <w:rPr>
                                <w:rFonts w:cs="Arial"/>
                                <w:color w:val="FFFFFF"/>
                                <w:spacing w:val="-1"/>
                                <w:sz w:val="20"/>
                              </w:rPr>
                              <w:t>experience</w:t>
                            </w:r>
                            <w:r w:rsidRPr="004E0302">
                              <w:rPr>
                                <w:rFonts w:cs="Arial"/>
                                <w:color w:val="FFFFFF"/>
                                <w:spacing w:val="25"/>
                                <w:sz w:val="20"/>
                              </w:rPr>
                              <w:t xml:space="preserve"> </w:t>
                            </w:r>
                            <w:r w:rsidRPr="004E0302">
                              <w:rPr>
                                <w:rFonts w:cs="Arial"/>
                                <w:color w:val="FFFFFF"/>
                                <w:sz w:val="20"/>
                              </w:rPr>
                              <w:t>with</w:t>
                            </w:r>
                            <w:r w:rsidRPr="004E0302">
                              <w:rPr>
                                <w:rFonts w:cs="Arial"/>
                                <w:color w:val="FFFFFF"/>
                                <w:spacing w:val="26"/>
                                <w:sz w:val="20"/>
                              </w:rPr>
                              <w:t xml:space="preserve"> </w:t>
                            </w:r>
                            <w:r w:rsidRPr="004E0302">
                              <w:rPr>
                                <w:rFonts w:cs="Arial"/>
                                <w:color w:val="FFFFFF"/>
                                <w:sz w:val="20"/>
                              </w:rPr>
                              <w:t>a</w:t>
                            </w:r>
                            <w:r w:rsidRPr="004E0302">
                              <w:rPr>
                                <w:rFonts w:cs="Arial"/>
                                <w:color w:val="FFFFFF"/>
                                <w:spacing w:val="26"/>
                                <w:sz w:val="20"/>
                              </w:rPr>
                              <w:t xml:space="preserve"> </w:t>
                            </w:r>
                            <w:r w:rsidRPr="004E0302">
                              <w:rPr>
                                <w:rFonts w:cs="Arial"/>
                                <w:color w:val="FFFFFF"/>
                                <w:spacing w:val="-1"/>
                                <w:sz w:val="20"/>
                              </w:rPr>
                              <w:t>local</w:t>
                            </w:r>
                            <w:r w:rsidRPr="004E0302">
                              <w:rPr>
                                <w:rFonts w:cs="Arial"/>
                                <w:color w:val="FFFFFF"/>
                                <w:spacing w:val="54"/>
                                <w:sz w:val="20"/>
                              </w:rPr>
                              <w:t xml:space="preserve"> </w:t>
                            </w:r>
                            <w:r w:rsidRPr="004E0302">
                              <w:rPr>
                                <w:rFonts w:cs="Arial"/>
                                <w:color w:val="FFFFFF"/>
                                <w:spacing w:val="-1"/>
                                <w:sz w:val="20"/>
                              </w:rPr>
                              <w:t>(NHS</w:t>
                            </w:r>
                            <w:r w:rsidRPr="004E0302">
                              <w:rPr>
                                <w:rFonts w:cs="Arial"/>
                                <w:color w:val="FFFFFF"/>
                                <w:spacing w:val="25"/>
                                <w:sz w:val="20"/>
                              </w:rPr>
                              <w:t xml:space="preserve"> </w:t>
                            </w:r>
                            <w:r w:rsidRPr="004E0302">
                              <w:rPr>
                                <w:rFonts w:cs="Arial"/>
                                <w:color w:val="FFFFFF"/>
                                <w:spacing w:val="-1"/>
                                <w:sz w:val="20"/>
                              </w:rPr>
                              <w:t>commissioned)</w:t>
                            </w:r>
                            <w:r w:rsidRPr="004E0302">
                              <w:rPr>
                                <w:rFonts w:cs="Arial"/>
                                <w:color w:val="FFFFFF"/>
                                <w:spacing w:val="28"/>
                                <w:sz w:val="20"/>
                              </w:rPr>
                              <w:t xml:space="preserve"> </w:t>
                            </w:r>
                            <w:r w:rsidRPr="004E0302">
                              <w:rPr>
                                <w:rFonts w:cs="Arial"/>
                                <w:color w:val="FFFFFF"/>
                                <w:spacing w:val="-1"/>
                                <w:sz w:val="20"/>
                              </w:rPr>
                              <w:t>provider.</w:t>
                            </w:r>
                            <w:r w:rsidRPr="004E0302">
                              <w:rPr>
                                <w:rFonts w:cs="Arial"/>
                                <w:color w:val="FFFFFF"/>
                                <w:spacing w:val="52"/>
                                <w:sz w:val="20"/>
                              </w:rPr>
                              <w:t xml:space="preserve"> </w:t>
                            </w:r>
                            <w:r w:rsidRPr="004E0302">
                              <w:rPr>
                                <w:rFonts w:cs="Arial"/>
                                <w:color w:val="FFFFFF"/>
                                <w:spacing w:val="-1"/>
                                <w:sz w:val="20"/>
                              </w:rPr>
                              <w:t>The</w:t>
                            </w:r>
                            <w:r w:rsidRPr="004E0302">
                              <w:rPr>
                                <w:rFonts w:cs="Arial"/>
                                <w:color w:val="FFFFFF"/>
                                <w:spacing w:val="27"/>
                                <w:sz w:val="20"/>
                              </w:rPr>
                              <w:t xml:space="preserve"> </w:t>
                            </w:r>
                            <w:r w:rsidRPr="004E0302">
                              <w:rPr>
                                <w:rFonts w:cs="Arial"/>
                                <w:color w:val="FFFFFF"/>
                                <w:spacing w:val="-1"/>
                                <w:sz w:val="20"/>
                              </w:rPr>
                              <w:t>patient</w:t>
                            </w:r>
                            <w:r w:rsidRPr="004E0302">
                              <w:rPr>
                                <w:rFonts w:cs="Arial"/>
                                <w:color w:val="FFFFFF"/>
                                <w:spacing w:val="53"/>
                                <w:w w:val="99"/>
                                <w:sz w:val="20"/>
                              </w:rPr>
                              <w:t xml:space="preserve"> </w:t>
                            </w:r>
                            <w:r w:rsidRPr="004E0302">
                              <w:rPr>
                                <w:rFonts w:cs="Arial"/>
                                <w:color w:val="FFFFFF"/>
                                <w:spacing w:val="-1"/>
                                <w:sz w:val="20"/>
                              </w:rPr>
                              <w:t>was</w:t>
                            </w:r>
                            <w:r w:rsidRPr="004E0302">
                              <w:rPr>
                                <w:rFonts w:cs="Arial"/>
                                <w:color w:val="FFFFFF"/>
                                <w:spacing w:val="18"/>
                                <w:sz w:val="20"/>
                              </w:rPr>
                              <w:t xml:space="preserve"> </w:t>
                            </w:r>
                            <w:r w:rsidRPr="004E0302">
                              <w:rPr>
                                <w:rFonts w:cs="Arial"/>
                                <w:color w:val="FFFFFF"/>
                                <w:spacing w:val="-1"/>
                                <w:sz w:val="20"/>
                              </w:rPr>
                              <w:t>unable</w:t>
                            </w:r>
                            <w:r w:rsidRPr="004E0302">
                              <w:rPr>
                                <w:rFonts w:cs="Arial"/>
                                <w:color w:val="FFFFFF"/>
                                <w:spacing w:val="18"/>
                                <w:sz w:val="20"/>
                              </w:rPr>
                              <w:t xml:space="preserve"> </w:t>
                            </w:r>
                            <w:r w:rsidRPr="004E0302">
                              <w:rPr>
                                <w:rFonts w:cs="Arial"/>
                                <w:color w:val="FFFFFF"/>
                                <w:sz w:val="20"/>
                              </w:rPr>
                              <w:t>to</w:t>
                            </w:r>
                            <w:r w:rsidRPr="004E0302">
                              <w:rPr>
                                <w:rFonts w:cs="Arial"/>
                                <w:color w:val="FFFFFF"/>
                                <w:spacing w:val="19"/>
                                <w:sz w:val="20"/>
                              </w:rPr>
                              <w:t xml:space="preserve"> </w:t>
                            </w:r>
                            <w:r w:rsidRPr="004E0302">
                              <w:rPr>
                                <w:rFonts w:cs="Arial"/>
                                <w:color w:val="FFFFFF"/>
                                <w:spacing w:val="-1"/>
                                <w:sz w:val="20"/>
                              </w:rPr>
                              <w:t>communicate</w:t>
                            </w:r>
                            <w:r w:rsidRPr="004E0302">
                              <w:rPr>
                                <w:rFonts w:cs="Arial"/>
                                <w:color w:val="FFFFFF"/>
                                <w:spacing w:val="18"/>
                                <w:sz w:val="20"/>
                              </w:rPr>
                              <w:t xml:space="preserve"> </w:t>
                            </w:r>
                            <w:r w:rsidRPr="004E0302">
                              <w:rPr>
                                <w:rFonts w:cs="Arial"/>
                                <w:color w:val="FFFFFF"/>
                                <w:spacing w:val="-1"/>
                                <w:sz w:val="20"/>
                              </w:rPr>
                              <w:t>effectively</w:t>
                            </w:r>
                            <w:r w:rsidRPr="004E0302">
                              <w:rPr>
                                <w:rFonts w:cs="Arial"/>
                                <w:color w:val="FFFFFF"/>
                                <w:spacing w:val="18"/>
                                <w:sz w:val="20"/>
                              </w:rPr>
                              <w:t xml:space="preserve"> </w:t>
                            </w:r>
                            <w:r w:rsidRPr="004E0302">
                              <w:rPr>
                                <w:rFonts w:cs="Arial"/>
                                <w:color w:val="FFFFFF"/>
                                <w:sz w:val="20"/>
                              </w:rPr>
                              <w:t>with</w:t>
                            </w:r>
                            <w:r w:rsidRPr="004E0302">
                              <w:rPr>
                                <w:rFonts w:cs="Arial"/>
                                <w:color w:val="FFFFFF"/>
                                <w:spacing w:val="18"/>
                                <w:sz w:val="20"/>
                              </w:rPr>
                              <w:t xml:space="preserve"> </w:t>
                            </w:r>
                            <w:r w:rsidRPr="004E0302">
                              <w:rPr>
                                <w:rFonts w:cs="Arial"/>
                                <w:color w:val="FFFFFF"/>
                                <w:spacing w:val="-1"/>
                                <w:sz w:val="20"/>
                              </w:rPr>
                              <w:t>the</w:t>
                            </w:r>
                            <w:r w:rsidRPr="004E0302">
                              <w:rPr>
                                <w:rFonts w:cs="Arial"/>
                                <w:color w:val="FFFFFF"/>
                                <w:spacing w:val="17"/>
                                <w:sz w:val="20"/>
                              </w:rPr>
                              <w:t xml:space="preserve"> </w:t>
                            </w:r>
                            <w:r w:rsidRPr="004E0302">
                              <w:rPr>
                                <w:rFonts w:cs="Arial"/>
                                <w:color w:val="FFFFFF"/>
                                <w:spacing w:val="-1"/>
                                <w:sz w:val="20"/>
                              </w:rPr>
                              <w:t>provider</w:t>
                            </w:r>
                            <w:r w:rsidRPr="004E0302">
                              <w:rPr>
                                <w:rFonts w:cs="Arial"/>
                                <w:color w:val="FFFFFF"/>
                                <w:spacing w:val="19"/>
                                <w:sz w:val="20"/>
                              </w:rPr>
                              <w:t xml:space="preserve"> </w:t>
                            </w:r>
                            <w:r w:rsidRPr="004E0302">
                              <w:rPr>
                                <w:rFonts w:cs="Arial"/>
                                <w:color w:val="FFFFFF"/>
                                <w:spacing w:val="-1"/>
                                <w:sz w:val="20"/>
                              </w:rPr>
                              <w:t>because</w:t>
                            </w:r>
                            <w:r w:rsidRPr="004E0302">
                              <w:rPr>
                                <w:rFonts w:cs="Arial"/>
                                <w:color w:val="FFFFFF"/>
                                <w:spacing w:val="17"/>
                                <w:sz w:val="20"/>
                              </w:rPr>
                              <w:t xml:space="preserve"> </w:t>
                            </w:r>
                            <w:r w:rsidRPr="004E0302">
                              <w:rPr>
                                <w:rFonts w:cs="Arial"/>
                                <w:color w:val="FFFFFF"/>
                                <w:sz w:val="20"/>
                              </w:rPr>
                              <w:t>of</w:t>
                            </w:r>
                            <w:r w:rsidRPr="004E0302">
                              <w:rPr>
                                <w:rFonts w:cs="Arial"/>
                                <w:color w:val="FFFFFF"/>
                                <w:spacing w:val="59"/>
                                <w:sz w:val="20"/>
                              </w:rPr>
                              <w:t xml:space="preserve"> </w:t>
                            </w:r>
                            <w:r w:rsidRPr="004E0302">
                              <w:rPr>
                                <w:rFonts w:cs="Arial"/>
                                <w:color w:val="FFFFFF"/>
                                <w:spacing w:val="-1"/>
                                <w:sz w:val="20"/>
                              </w:rPr>
                              <w:t>their</w:t>
                            </w:r>
                            <w:r w:rsidRPr="004E0302">
                              <w:rPr>
                                <w:rFonts w:cs="Arial"/>
                                <w:color w:val="FFFFFF"/>
                                <w:spacing w:val="2"/>
                                <w:sz w:val="20"/>
                              </w:rPr>
                              <w:t xml:space="preserve"> </w:t>
                            </w:r>
                            <w:r w:rsidRPr="004E0302">
                              <w:rPr>
                                <w:rFonts w:cs="Arial"/>
                                <w:color w:val="FFFFFF"/>
                                <w:spacing w:val="-1"/>
                                <w:sz w:val="20"/>
                              </w:rPr>
                              <w:t>hearing</w:t>
                            </w:r>
                            <w:r w:rsidRPr="004E0302">
                              <w:rPr>
                                <w:rFonts w:cs="Arial"/>
                                <w:color w:val="FFFFFF"/>
                                <w:spacing w:val="5"/>
                                <w:sz w:val="20"/>
                              </w:rPr>
                              <w:t xml:space="preserve"> </w:t>
                            </w:r>
                            <w:r w:rsidRPr="004E0302">
                              <w:rPr>
                                <w:rFonts w:cs="Arial"/>
                                <w:color w:val="FFFFFF"/>
                                <w:spacing w:val="-1"/>
                                <w:sz w:val="20"/>
                              </w:rPr>
                              <w:t>impairment.</w:t>
                            </w:r>
                            <w:r w:rsidRPr="004E0302">
                              <w:rPr>
                                <w:rFonts w:cs="Arial"/>
                                <w:color w:val="FFFFFF"/>
                                <w:spacing w:val="7"/>
                                <w:sz w:val="20"/>
                              </w:rPr>
                              <w:t xml:space="preserve"> </w:t>
                            </w:r>
                            <w:r w:rsidRPr="004E0302">
                              <w:rPr>
                                <w:rFonts w:cs="Arial"/>
                                <w:color w:val="FFFFFF"/>
                                <w:spacing w:val="-1"/>
                                <w:sz w:val="20"/>
                              </w:rPr>
                              <w:t>When</w:t>
                            </w:r>
                            <w:r w:rsidRPr="004E0302">
                              <w:rPr>
                                <w:rFonts w:cs="Arial"/>
                                <w:color w:val="FFFFFF"/>
                                <w:spacing w:val="3"/>
                                <w:sz w:val="20"/>
                              </w:rPr>
                              <w:t xml:space="preserve"> </w:t>
                            </w:r>
                            <w:r w:rsidRPr="004E0302">
                              <w:rPr>
                                <w:rFonts w:cs="Arial"/>
                                <w:color w:val="FFFFFF"/>
                                <w:spacing w:val="-1"/>
                                <w:sz w:val="20"/>
                              </w:rPr>
                              <w:t>the</w:t>
                            </w:r>
                            <w:r w:rsidRPr="004E0302">
                              <w:rPr>
                                <w:rFonts w:cs="Arial"/>
                                <w:color w:val="FFFFFF"/>
                                <w:spacing w:val="5"/>
                                <w:sz w:val="20"/>
                              </w:rPr>
                              <w:t xml:space="preserve"> </w:t>
                            </w:r>
                            <w:r w:rsidRPr="004E0302">
                              <w:rPr>
                                <w:rFonts w:cs="Arial"/>
                                <w:color w:val="FFFFFF"/>
                                <w:spacing w:val="-1"/>
                                <w:sz w:val="20"/>
                              </w:rPr>
                              <w:t>patient</w:t>
                            </w:r>
                            <w:r w:rsidRPr="004E0302">
                              <w:rPr>
                                <w:rFonts w:cs="Arial"/>
                                <w:color w:val="FFFFFF"/>
                                <w:spacing w:val="3"/>
                                <w:sz w:val="20"/>
                              </w:rPr>
                              <w:t xml:space="preserve"> </w:t>
                            </w:r>
                            <w:r w:rsidRPr="004E0302">
                              <w:rPr>
                                <w:rFonts w:cs="Arial"/>
                                <w:color w:val="FFFFFF"/>
                                <w:spacing w:val="-1"/>
                                <w:sz w:val="20"/>
                              </w:rPr>
                              <w:t>suggested</w:t>
                            </w:r>
                            <w:r w:rsidRPr="004E0302">
                              <w:rPr>
                                <w:rFonts w:cs="Arial"/>
                                <w:color w:val="FFFFFF"/>
                                <w:spacing w:val="5"/>
                                <w:sz w:val="20"/>
                              </w:rPr>
                              <w:t xml:space="preserve"> </w:t>
                            </w:r>
                            <w:r w:rsidRPr="004E0302">
                              <w:rPr>
                                <w:rFonts w:cs="Arial"/>
                                <w:color w:val="FFFFFF"/>
                                <w:spacing w:val="-1"/>
                                <w:sz w:val="20"/>
                              </w:rPr>
                              <w:t>that</w:t>
                            </w:r>
                            <w:r w:rsidRPr="004E0302">
                              <w:rPr>
                                <w:rFonts w:cs="Arial"/>
                                <w:color w:val="FFFFFF"/>
                                <w:spacing w:val="4"/>
                                <w:sz w:val="20"/>
                              </w:rPr>
                              <w:t xml:space="preserve"> </w:t>
                            </w:r>
                            <w:r w:rsidRPr="004E0302">
                              <w:rPr>
                                <w:rFonts w:cs="Arial"/>
                                <w:color w:val="FFFFFF"/>
                                <w:spacing w:val="-1"/>
                                <w:sz w:val="20"/>
                              </w:rPr>
                              <w:t>the</w:t>
                            </w:r>
                            <w:r w:rsidRPr="004E0302">
                              <w:rPr>
                                <w:rFonts w:cs="Arial"/>
                                <w:color w:val="FFFFFF"/>
                                <w:spacing w:val="71"/>
                                <w:w w:val="99"/>
                                <w:sz w:val="20"/>
                              </w:rPr>
                              <w:t xml:space="preserve"> </w:t>
                            </w:r>
                            <w:r w:rsidRPr="004E0302">
                              <w:rPr>
                                <w:rFonts w:cs="Arial"/>
                                <w:color w:val="FFFFFF"/>
                                <w:spacing w:val="-1"/>
                                <w:sz w:val="20"/>
                              </w:rPr>
                              <w:t>provider</w:t>
                            </w:r>
                            <w:r w:rsidRPr="004E0302">
                              <w:rPr>
                                <w:rFonts w:cs="Arial"/>
                                <w:color w:val="FFFFFF"/>
                                <w:spacing w:val="11"/>
                                <w:sz w:val="20"/>
                              </w:rPr>
                              <w:t xml:space="preserve"> </w:t>
                            </w:r>
                            <w:r w:rsidRPr="004E0302">
                              <w:rPr>
                                <w:rFonts w:cs="Arial"/>
                                <w:color w:val="FFFFFF"/>
                                <w:spacing w:val="-1"/>
                                <w:sz w:val="20"/>
                              </w:rPr>
                              <w:t>obtain</w:t>
                            </w:r>
                            <w:r w:rsidRPr="004E0302">
                              <w:rPr>
                                <w:rFonts w:cs="Arial"/>
                                <w:color w:val="FFFFFF"/>
                                <w:spacing w:val="11"/>
                                <w:sz w:val="20"/>
                              </w:rPr>
                              <w:t xml:space="preserve"> </w:t>
                            </w:r>
                            <w:r w:rsidRPr="004E0302">
                              <w:rPr>
                                <w:rFonts w:cs="Arial"/>
                                <w:color w:val="FFFFFF"/>
                                <w:sz w:val="20"/>
                              </w:rPr>
                              <w:t>a</w:t>
                            </w:r>
                            <w:r w:rsidRPr="004E0302">
                              <w:rPr>
                                <w:rFonts w:cs="Arial"/>
                                <w:color w:val="FFFFFF"/>
                                <w:spacing w:val="11"/>
                                <w:sz w:val="20"/>
                              </w:rPr>
                              <w:t xml:space="preserve"> </w:t>
                            </w:r>
                            <w:r w:rsidRPr="004E0302">
                              <w:rPr>
                                <w:rFonts w:cs="Arial"/>
                                <w:color w:val="FFFFFF"/>
                                <w:spacing w:val="-1"/>
                                <w:sz w:val="20"/>
                              </w:rPr>
                              <w:t>sign</w:t>
                            </w:r>
                            <w:r w:rsidRPr="004E0302">
                              <w:rPr>
                                <w:rFonts w:cs="Arial"/>
                                <w:color w:val="FFFFFF"/>
                                <w:spacing w:val="14"/>
                                <w:sz w:val="20"/>
                              </w:rPr>
                              <w:t xml:space="preserve"> </w:t>
                            </w:r>
                            <w:r w:rsidRPr="004E0302">
                              <w:rPr>
                                <w:rFonts w:cs="Arial"/>
                                <w:color w:val="FFFFFF"/>
                                <w:spacing w:val="-1"/>
                                <w:sz w:val="20"/>
                              </w:rPr>
                              <w:t>language</w:t>
                            </w:r>
                            <w:r w:rsidRPr="004E0302">
                              <w:rPr>
                                <w:rFonts w:cs="Arial"/>
                                <w:color w:val="FFFFFF"/>
                                <w:spacing w:val="10"/>
                                <w:sz w:val="20"/>
                              </w:rPr>
                              <w:t xml:space="preserve"> </w:t>
                            </w:r>
                            <w:r w:rsidRPr="004E0302">
                              <w:rPr>
                                <w:rFonts w:cs="Arial"/>
                                <w:color w:val="FFFFFF"/>
                                <w:spacing w:val="-1"/>
                                <w:sz w:val="20"/>
                              </w:rPr>
                              <w:t>interpreter</w:t>
                            </w:r>
                            <w:r w:rsidRPr="004E0302">
                              <w:rPr>
                                <w:rFonts w:cs="Arial"/>
                                <w:color w:val="FFFFFF"/>
                                <w:spacing w:val="12"/>
                                <w:sz w:val="20"/>
                              </w:rPr>
                              <w:t xml:space="preserve"> </w:t>
                            </w:r>
                            <w:r w:rsidRPr="004E0302">
                              <w:rPr>
                                <w:rFonts w:cs="Arial"/>
                                <w:color w:val="FFFFFF"/>
                                <w:sz w:val="20"/>
                              </w:rPr>
                              <w:t>to</w:t>
                            </w:r>
                            <w:r w:rsidRPr="004E0302">
                              <w:rPr>
                                <w:rFonts w:cs="Arial"/>
                                <w:color w:val="FFFFFF"/>
                                <w:spacing w:val="12"/>
                                <w:sz w:val="20"/>
                              </w:rPr>
                              <w:t xml:space="preserve"> </w:t>
                            </w:r>
                            <w:r w:rsidRPr="004E0302">
                              <w:rPr>
                                <w:rFonts w:cs="Arial"/>
                                <w:color w:val="FFFFFF"/>
                                <w:spacing w:val="-1"/>
                                <w:sz w:val="20"/>
                              </w:rPr>
                              <w:t>translate</w:t>
                            </w:r>
                            <w:r w:rsidRPr="004E0302">
                              <w:rPr>
                                <w:rFonts w:cs="Arial"/>
                                <w:color w:val="FFFFFF"/>
                                <w:spacing w:val="10"/>
                                <w:sz w:val="20"/>
                              </w:rPr>
                              <w:t xml:space="preserve"> </w:t>
                            </w:r>
                            <w:r w:rsidRPr="004E0302">
                              <w:rPr>
                                <w:rFonts w:cs="Arial"/>
                                <w:color w:val="FFFFFF"/>
                                <w:spacing w:val="-1"/>
                                <w:sz w:val="20"/>
                              </w:rPr>
                              <w:t>for</w:t>
                            </w:r>
                            <w:r w:rsidRPr="004E0302">
                              <w:rPr>
                                <w:rFonts w:cs="Arial"/>
                                <w:color w:val="FFFFFF"/>
                                <w:spacing w:val="12"/>
                                <w:sz w:val="20"/>
                              </w:rPr>
                              <w:t xml:space="preserve"> </w:t>
                            </w:r>
                            <w:r w:rsidRPr="004E0302">
                              <w:rPr>
                                <w:rFonts w:cs="Arial"/>
                                <w:color w:val="FFFFFF"/>
                                <w:spacing w:val="-1"/>
                                <w:sz w:val="20"/>
                              </w:rPr>
                              <w:t>them</w:t>
                            </w:r>
                            <w:r w:rsidRPr="004E0302">
                              <w:rPr>
                                <w:rFonts w:cs="Arial"/>
                                <w:color w:val="FFFFFF"/>
                                <w:spacing w:val="11"/>
                                <w:sz w:val="20"/>
                              </w:rPr>
                              <w:t xml:space="preserve"> </w:t>
                            </w:r>
                            <w:r w:rsidRPr="004E0302">
                              <w:rPr>
                                <w:rFonts w:cs="Arial"/>
                                <w:color w:val="FFFFFF"/>
                                <w:spacing w:val="-1"/>
                                <w:sz w:val="20"/>
                              </w:rPr>
                              <w:t>this</w:t>
                            </w:r>
                            <w:r w:rsidRPr="004E0302">
                              <w:rPr>
                                <w:rFonts w:cs="Arial"/>
                                <w:color w:val="FFFFFF"/>
                                <w:spacing w:val="60"/>
                                <w:w w:val="99"/>
                                <w:sz w:val="20"/>
                              </w:rPr>
                              <w:t xml:space="preserve"> </w:t>
                            </w:r>
                            <w:r w:rsidRPr="004E0302">
                              <w:rPr>
                                <w:rFonts w:cs="Arial"/>
                                <w:color w:val="FFFFFF"/>
                                <w:spacing w:val="-1"/>
                                <w:sz w:val="20"/>
                              </w:rPr>
                              <w:t>was</w:t>
                            </w:r>
                            <w:r w:rsidRPr="004E0302">
                              <w:rPr>
                                <w:rFonts w:cs="Arial"/>
                                <w:color w:val="FFFFFF"/>
                                <w:spacing w:val="-8"/>
                                <w:sz w:val="20"/>
                              </w:rPr>
                              <w:t xml:space="preserve"> </w:t>
                            </w:r>
                            <w:r w:rsidRPr="004E0302">
                              <w:rPr>
                                <w:rFonts w:cs="Arial"/>
                                <w:color w:val="FFFFFF"/>
                                <w:spacing w:val="-1"/>
                                <w:sz w:val="20"/>
                              </w:rPr>
                              <w:t>refused.</w:t>
                            </w:r>
                          </w:p>
                          <w:p w14:paraId="6613790B" w14:textId="77777777" w:rsidR="00622FF2" w:rsidRPr="004E0302" w:rsidRDefault="00622FF2" w:rsidP="00DB7F92">
                            <w:pPr>
                              <w:spacing w:before="13"/>
                              <w:rPr>
                                <w:rFonts w:eastAsia="Segoe UI Semilight" w:cs="Arial"/>
                                <w:sz w:val="20"/>
                                <w:szCs w:val="23"/>
                              </w:rPr>
                            </w:pPr>
                          </w:p>
                          <w:p w14:paraId="14178A58" w14:textId="77777777" w:rsidR="00622FF2" w:rsidRPr="004E0302" w:rsidRDefault="00622FF2" w:rsidP="00DB7F92">
                            <w:pPr>
                              <w:ind w:left="225" w:right="226"/>
                              <w:jc w:val="both"/>
                              <w:rPr>
                                <w:rFonts w:eastAsia="Segoe UI Semilight" w:cs="Arial"/>
                                <w:sz w:val="20"/>
                                <w:szCs w:val="24"/>
                              </w:rPr>
                            </w:pPr>
                            <w:r w:rsidRPr="004E0302">
                              <w:rPr>
                                <w:rFonts w:cs="Arial"/>
                                <w:color w:val="FFFFFF"/>
                                <w:sz w:val="20"/>
                              </w:rPr>
                              <w:t xml:space="preserve">It </w:t>
                            </w:r>
                            <w:r w:rsidRPr="004E0302">
                              <w:rPr>
                                <w:rFonts w:cs="Arial"/>
                                <w:color w:val="FFFFFF"/>
                                <w:spacing w:val="-1"/>
                                <w:sz w:val="20"/>
                              </w:rPr>
                              <w:t>is</w:t>
                            </w:r>
                            <w:r w:rsidRPr="004E0302">
                              <w:rPr>
                                <w:rFonts w:cs="Arial"/>
                                <w:color w:val="FFFFFF"/>
                                <w:spacing w:val="1"/>
                                <w:sz w:val="20"/>
                              </w:rPr>
                              <w:t xml:space="preserve"> </w:t>
                            </w:r>
                            <w:r w:rsidRPr="004E0302">
                              <w:rPr>
                                <w:rFonts w:cs="Arial"/>
                                <w:color w:val="FFFFFF"/>
                                <w:spacing w:val="-1"/>
                                <w:sz w:val="20"/>
                              </w:rPr>
                              <w:t>likely</w:t>
                            </w:r>
                            <w:r w:rsidRPr="004E0302">
                              <w:rPr>
                                <w:rFonts w:cs="Arial"/>
                                <w:color w:val="FFFFFF"/>
                                <w:sz w:val="20"/>
                              </w:rPr>
                              <w:t xml:space="preserve"> </w:t>
                            </w:r>
                            <w:r w:rsidRPr="004E0302">
                              <w:rPr>
                                <w:rFonts w:cs="Arial"/>
                                <w:color w:val="FFFFFF"/>
                                <w:spacing w:val="-1"/>
                                <w:sz w:val="20"/>
                              </w:rPr>
                              <w:t>that</w:t>
                            </w:r>
                            <w:r w:rsidRPr="004E0302">
                              <w:rPr>
                                <w:rFonts w:cs="Arial"/>
                                <w:color w:val="FFFFFF"/>
                                <w:spacing w:val="1"/>
                                <w:sz w:val="20"/>
                              </w:rPr>
                              <w:t xml:space="preserve"> </w:t>
                            </w:r>
                            <w:r w:rsidRPr="004E0302">
                              <w:rPr>
                                <w:rFonts w:cs="Arial"/>
                                <w:color w:val="FFFFFF"/>
                                <w:spacing w:val="-1"/>
                                <w:sz w:val="20"/>
                              </w:rPr>
                              <w:t>the provider</w:t>
                            </w:r>
                            <w:r w:rsidRPr="004E0302">
                              <w:rPr>
                                <w:rFonts w:cs="Arial"/>
                                <w:color w:val="FFFFFF"/>
                                <w:sz w:val="20"/>
                              </w:rPr>
                              <w:t xml:space="preserve"> will</w:t>
                            </w:r>
                            <w:r w:rsidRPr="004E0302">
                              <w:rPr>
                                <w:rFonts w:cs="Arial"/>
                                <w:color w:val="FFFFFF"/>
                                <w:spacing w:val="-1"/>
                                <w:sz w:val="20"/>
                              </w:rPr>
                              <w:t xml:space="preserve"> be</w:t>
                            </w:r>
                            <w:r w:rsidRPr="004E0302">
                              <w:rPr>
                                <w:rFonts w:cs="Arial"/>
                                <w:color w:val="FFFFFF"/>
                                <w:spacing w:val="2"/>
                                <w:sz w:val="20"/>
                              </w:rPr>
                              <w:t xml:space="preserve"> </w:t>
                            </w:r>
                            <w:r w:rsidRPr="004E0302">
                              <w:rPr>
                                <w:rFonts w:cs="Arial"/>
                                <w:color w:val="FFFFFF"/>
                                <w:spacing w:val="-1"/>
                                <w:sz w:val="20"/>
                              </w:rPr>
                              <w:t>in breach</w:t>
                            </w:r>
                            <w:r w:rsidRPr="004E0302">
                              <w:rPr>
                                <w:rFonts w:cs="Arial"/>
                                <w:color w:val="FFFFFF"/>
                                <w:sz w:val="20"/>
                              </w:rPr>
                              <w:t xml:space="preserve"> of</w:t>
                            </w:r>
                            <w:r w:rsidRPr="004E0302">
                              <w:rPr>
                                <w:rFonts w:cs="Arial"/>
                                <w:color w:val="FFFFFF"/>
                                <w:spacing w:val="2"/>
                                <w:sz w:val="20"/>
                              </w:rPr>
                              <w:t xml:space="preserve"> </w:t>
                            </w:r>
                            <w:r w:rsidRPr="004E0302">
                              <w:rPr>
                                <w:rFonts w:cs="Arial"/>
                                <w:color w:val="FFFFFF"/>
                                <w:spacing w:val="-1"/>
                                <w:sz w:val="20"/>
                              </w:rPr>
                              <w:t>their</w:t>
                            </w:r>
                            <w:r w:rsidRPr="004E0302">
                              <w:rPr>
                                <w:rFonts w:cs="Arial"/>
                                <w:color w:val="FFFFFF"/>
                                <w:sz w:val="20"/>
                              </w:rPr>
                              <w:t xml:space="preserve"> </w:t>
                            </w:r>
                            <w:r w:rsidRPr="004E0302">
                              <w:rPr>
                                <w:rFonts w:cs="Arial"/>
                                <w:color w:val="FFFFFF"/>
                                <w:spacing w:val="-1"/>
                                <w:sz w:val="20"/>
                              </w:rPr>
                              <w:t>obligations</w:t>
                            </w:r>
                            <w:r w:rsidRPr="004E0302">
                              <w:rPr>
                                <w:rFonts w:cs="Arial"/>
                                <w:color w:val="FFFFFF"/>
                                <w:spacing w:val="1"/>
                                <w:sz w:val="20"/>
                              </w:rPr>
                              <w:t xml:space="preserve"> </w:t>
                            </w:r>
                            <w:r w:rsidRPr="004E0302">
                              <w:rPr>
                                <w:rFonts w:cs="Arial"/>
                                <w:color w:val="FFFFFF"/>
                                <w:spacing w:val="-1"/>
                                <w:sz w:val="20"/>
                              </w:rPr>
                              <w:t>under</w:t>
                            </w:r>
                            <w:r w:rsidRPr="004E0302">
                              <w:rPr>
                                <w:rFonts w:cs="Arial"/>
                                <w:color w:val="FFFFFF"/>
                                <w:spacing w:val="54"/>
                                <w:w w:val="99"/>
                                <w:sz w:val="20"/>
                              </w:rPr>
                              <w:t xml:space="preserve"> </w:t>
                            </w:r>
                            <w:r w:rsidRPr="004E0302">
                              <w:rPr>
                                <w:rFonts w:cs="Arial"/>
                                <w:color w:val="FFFFFF"/>
                                <w:spacing w:val="-1"/>
                                <w:sz w:val="20"/>
                              </w:rPr>
                              <w:t>the</w:t>
                            </w:r>
                            <w:r w:rsidRPr="004E0302">
                              <w:rPr>
                                <w:rFonts w:cs="Arial"/>
                                <w:color w:val="FFFFFF"/>
                                <w:spacing w:val="28"/>
                                <w:sz w:val="20"/>
                              </w:rPr>
                              <w:t xml:space="preserve"> </w:t>
                            </w:r>
                            <w:r w:rsidRPr="004E0302">
                              <w:rPr>
                                <w:rFonts w:cs="Arial"/>
                                <w:color w:val="FFFFFF"/>
                                <w:spacing w:val="-1"/>
                                <w:sz w:val="20"/>
                              </w:rPr>
                              <w:t>Equality</w:t>
                            </w:r>
                            <w:r w:rsidRPr="004E0302">
                              <w:rPr>
                                <w:rFonts w:cs="Arial"/>
                                <w:color w:val="FFFFFF"/>
                                <w:spacing w:val="29"/>
                                <w:sz w:val="20"/>
                              </w:rPr>
                              <w:t xml:space="preserve"> </w:t>
                            </w:r>
                            <w:r w:rsidRPr="004E0302">
                              <w:rPr>
                                <w:rFonts w:cs="Arial"/>
                                <w:color w:val="FFFFFF"/>
                                <w:spacing w:val="-1"/>
                                <w:sz w:val="20"/>
                              </w:rPr>
                              <w:t>Act</w:t>
                            </w:r>
                            <w:r w:rsidRPr="004E0302">
                              <w:rPr>
                                <w:rFonts w:cs="Arial"/>
                                <w:color w:val="FFFFFF"/>
                                <w:spacing w:val="30"/>
                                <w:sz w:val="20"/>
                              </w:rPr>
                              <w:t xml:space="preserve"> </w:t>
                            </w:r>
                            <w:r w:rsidRPr="004E0302">
                              <w:rPr>
                                <w:rFonts w:cs="Arial"/>
                                <w:color w:val="FFFFFF"/>
                                <w:sz w:val="20"/>
                              </w:rPr>
                              <w:t>2010</w:t>
                            </w:r>
                            <w:r w:rsidRPr="004E0302">
                              <w:rPr>
                                <w:rFonts w:cs="Arial"/>
                                <w:color w:val="FFFFFF"/>
                                <w:spacing w:val="30"/>
                                <w:sz w:val="20"/>
                              </w:rPr>
                              <w:t xml:space="preserve"> </w:t>
                            </w:r>
                            <w:r w:rsidRPr="004E0302">
                              <w:rPr>
                                <w:rFonts w:cs="Arial"/>
                                <w:color w:val="FFFFFF"/>
                                <w:spacing w:val="-1"/>
                                <w:sz w:val="20"/>
                              </w:rPr>
                              <w:t>to</w:t>
                            </w:r>
                            <w:r w:rsidRPr="004E0302">
                              <w:rPr>
                                <w:rFonts w:cs="Arial"/>
                                <w:color w:val="FFFFFF"/>
                                <w:spacing w:val="28"/>
                                <w:sz w:val="20"/>
                              </w:rPr>
                              <w:t xml:space="preserve"> </w:t>
                            </w:r>
                            <w:r w:rsidRPr="004E0302">
                              <w:rPr>
                                <w:rFonts w:cs="Arial"/>
                                <w:color w:val="FFFFFF"/>
                                <w:spacing w:val="-1"/>
                                <w:sz w:val="20"/>
                              </w:rPr>
                              <w:t>make</w:t>
                            </w:r>
                            <w:r w:rsidRPr="004E0302">
                              <w:rPr>
                                <w:rFonts w:cs="Arial"/>
                                <w:color w:val="FFFFFF"/>
                                <w:spacing w:val="28"/>
                                <w:sz w:val="20"/>
                              </w:rPr>
                              <w:t xml:space="preserve"> </w:t>
                            </w:r>
                            <w:r w:rsidRPr="004E0302">
                              <w:rPr>
                                <w:rFonts w:cs="Arial"/>
                                <w:color w:val="FFFFFF"/>
                                <w:spacing w:val="-1"/>
                                <w:sz w:val="20"/>
                              </w:rPr>
                              <w:t>reasonable</w:t>
                            </w:r>
                            <w:r w:rsidRPr="004E0302">
                              <w:rPr>
                                <w:rFonts w:cs="Arial"/>
                                <w:color w:val="FFFFFF"/>
                                <w:spacing w:val="28"/>
                                <w:sz w:val="20"/>
                              </w:rPr>
                              <w:t xml:space="preserve"> </w:t>
                            </w:r>
                            <w:r w:rsidRPr="004E0302">
                              <w:rPr>
                                <w:rFonts w:cs="Arial"/>
                                <w:color w:val="FFFFFF"/>
                                <w:spacing w:val="-1"/>
                                <w:sz w:val="20"/>
                              </w:rPr>
                              <w:t>adjustments.</w:t>
                            </w:r>
                            <w:r w:rsidRPr="004E0302">
                              <w:rPr>
                                <w:rFonts w:cs="Arial"/>
                                <w:color w:val="FFFFFF"/>
                                <w:spacing w:val="58"/>
                                <w:sz w:val="20"/>
                              </w:rPr>
                              <w:t xml:space="preserve"> </w:t>
                            </w:r>
                            <w:r w:rsidRPr="004E0302">
                              <w:rPr>
                                <w:rFonts w:cs="Arial"/>
                                <w:color w:val="FFFFFF"/>
                                <w:sz w:val="20"/>
                              </w:rPr>
                              <w:t>In</w:t>
                            </w:r>
                            <w:r w:rsidRPr="004E0302">
                              <w:rPr>
                                <w:rFonts w:cs="Arial"/>
                                <w:color w:val="FFFFFF"/>
                                <w:spacing w:val="29"/>
                                <w:sz w:val="20"/>
                              </w:rPr>
                              <w:t xml:space="preserve"> </w:t>
                            </w:r>
                            <w:r w:rsidRPr="004E0302">
                              <w:rPr>
                                <w:rFonts w:cs="Arial"/>
                                <w:color w:val="FFFFFF"/>
                                <w:spacing w:val="-1"/>
                                <w:sz w:val="20"/>
                              </w:rPr>
                              <w:t>order</w:t>
                            </w:r>
                            <w:r w:rsidRPr="004E0302">
                              <w:rPr>
                                <w:rFonts w:cs="Arial"/>
                                <w:color w:val="FFFFFF"/>
                                <w:spacing w:val="30"/>
                                <w:sz w:val="20"/>
                              </w:rPr>
                              <w:t xml:space="preserve"> </w:t>
                            </w:r>
                            <w:r w:rsidRPr="004E0302">
                              <w:rPr>
                                <w:rFonts w:cs="Arial"/>
                                <w:color w:val="FFFFFF"/>
                                <w:sz w:val="20"/>
                              </w:rPr>
                              <w:t>to</w:t>
                            </w:r>
                            <w:r w:rsidRPr="004E0302">
                              <w:rPr>
                                <w:rFonts w:cs="Arial"/>
                                <w:color w:val="FFFFFF"/>
                                <w:spacing w:val="61"/>
                                <w:sz w:val="20"/>
                              </w:rPr>
                              <w:t xml:space="preserve"> </w:t>
                            </w:r>
                            <w:r w:rsidRPr="004E0302">
                              <w:rPr>
                                <w:rFonts w:cs="Arial"/>
                                <w:color w:val="FFFFFF"/>
                                <w:spacing w:val="-1"/>
                                <w:sz w:val="20"/>
                              </w:rPr>
                              <w:t>comply</w:t>
                            </w:r>
                            <w:r w:rsidRPr="004E0302">
                              <w:rPr>
                                <w:rFonts w:cs="Arial"/>
                                <w:color w:val="FFFFFF"/>
                                <w:spacing w:val="38"/>
                                <w:sz w:val="20"/>
                              </w:rPr>
                              <w:t xml:space="preserve"> </w:t>
                            </w:r>
                            <w:r w:rsidRPr="004E0302">
                              <w:rPr>
                                <w:rFonts w:cs="Arial"/>
                                <w:color w:val="FFFFFF"/>
                                <w:spacing w:val="-1"/>
                                <w:sz w:val="20"/>
                              </w:rPr>
                              <w:t>with</w:t>
                            </w:r>
                            <w:r w:rsidRPr="004E0302">
                              <w:rPr>
                                <w:rFonts w:cs="Arial"/>
                                <w:color w:val="FFFFFF"/>
                                <w:spacing w:val="38"/>
                                <w:sz w:val="20"/>
                              </w:rPr>
                              <w:t xml:space="preserve"> </w:t>
                            </w:r>
                            <w:r w:rsidRPr="004E0302">
                              <w:rPr>
                                <w:rFonts w:cs="Arial"/>
                                <w:color w:val="FFFFFF"/>
                                <w:spacing w:val="-1"/>
                                <w:sz w:val="20"/>
                              </w:rPr>
                              <w:t>the</w:t>
                            </w:r>
                            <w:r w:rsidRPr="004E0302">
                              <w:rPr>
                                <w:rFonts w:cs="Arial"/>
                                <w:color w:val="FFFFFF"/>
                                <w:spacing w:val="37"/>
                                <w:sz w:val="20"/>
                              </w:rPr>
                              <w:t xml:space="preserve"> </w:t>
                            </w:r>
                            <w:r w:rsidRPr="004E0302">
                              <w:rPr>
                                <w:rFonts w:cs="Arial"/>
                                <w:color w:val="FFFFFF"/>
                                <w:spacing w:val="-1"/>
                                <w:sz w:val="20"/>
                              </w:rPr>
                              <w:t>PSED</w:t>
                            </w:r>
                            <w:r w:rsidRPr="004E0302">
                              <w:rPr>
                                <w:rFonts w:cs="Arial"/>
                                <w:color w:val="FFFFFF"/>
                                <w:spacing w:val="40"/>
                                <w:sz w:val="20"/>
                              </w:rPr>
                              <w:t xml:space="preserve"> </w:t>
                            </w:r>
                            <w:r w:rsidRPr="004E0302">
                              <w:rPr>
                                <w:rFonts w:cs="Arial"/>
                                <w:color w:val="FFFFFF"/>
                                <w:spacing w:val="-1"/>
                                <w:sz w:val="20"/>
                              </w:rPr>
                              <w:t>NHS</w:t>
                            </w:r>
                            <w:r w:rsidRPr="004E0302">
                              <w:rPr>
                                <w:rFonts w:cs="Arial"/>
                                <w:color w:val="FFFFFF"/>
                                <w:spacing w:val="37"/>
                                <w:sz w:val="20"/>
                              </w:rPr>
                              <w:t xml:space="preserve"> </w:t>
                            </w:r>
                            <w:r w:rsidRPr="004E0302">
                              <w:rPr>
                                <w:rFonts w:cs="Arial"/>
                                <w:color w:val="FFFFFF"/>
                                <w:spacing w:val="-1"/>
                                <w:sz w:val="20"/>
                              </w:rPr>
                              <w:t>England</w:t>
                            </w:r>
                            <w:r w:rsidRPr="004E0302">
                              <w:rPr>
                                <w:rFonts w:cs="Arial"/>
                                <w:color w:val="FFFFFF"/>
                                <w:spacing w:val="37"/>
                                <w:sz w:val="20"/>
                              </w:rPr>
                              <w:t xml:space="preserve"> </w:t>
                            </w:r>
                            <w:r w:rsidRPr="004E0302">
                              <w:rPr>
                                <w:rFonts w:cs="Arial"/>
                                <w:color w:val="FFFFFF"/>
                                <w:spacing w:val="-1"/>
                                <w:sz w:val="20"/>
                              </w:rPr>
                              <w:t>takes</w:t>
                            </w:r>
                            <w:r w:rsidRPr="004E0302">
                              <w:rPr>
                                <w:rFonts w:cs="Arial"/>
                                <w:color w:val="FFFFFF"/>
                                <w:spacing w:val="39"/>
                                <w:sz w:val="20"/>
                              </w:rPr>
                              <w:t xml:space="preserve"> </w:t>
                            </w:r>
                            <w:r w:rsidRPr="004E0302">
                              <w:rPr>
                                <w:rFonts w:cs="Arial"/>
                                <w:color w:val="FFFFFF"/>
                                <w:spacing w:val="-1"/>
                                <w:sz w:val="20"/>
                              </w:rPr>
                              <w:t>steps</w:t>
                            </w:r>
                            <w:r w:rsidRPr="004E0302">
                              <w:rPr>
                                <w:rFonts w:cs="Arial"/>
                                <w:color w:val="FFFFFF"/>
                                <w:spacing w:val="39"/>
                                <w:sz w:val="20"/>
                              </w:rPr>
                              <w:t xml:space="preserve"> </w:t>
                            </w:r>
                            <w:r w:rsidRPr="004E0302">
                              <w:rPr>
                                <w:rFonts w:cs="Arial"/>
                                <w:color w:val="FFFFFF"/>
                                <w:sz w:val="20"/>
                              </w:rPr>
                              <w:t>to</w:t>
                            </w:r>
                            <w:r w:rsidRPr="004E0302">
                              <w:rPr>
                                <w:rFonts w:cs="Arial"/>
                                <w:color w:val="FFFFFF"/>
                                <w:spacing w:val="37"/>
                                <w:sz w:val="20"/>
                              </w:rPr>
                              <w:t xml:space="preserve"> </w:t>
                            </w:r>
                            <w:r w:rsidRPr="004E0302">
                              <w:rPr>
                                <w:rFonts w:cs="Arial"/>
                                <w:color w:val="FFFFFF"/>
                                <w:spacing w:val="-1"/>
                                <w:sz w:val="20"/>
                              </w:rPr>
                              <w:t>investigate</w:t>
                            </w:r>
                            <w:r w:rsidRPr="004E0302">
                              <w:rPr>
                                <w:rFonts w:cs="Arial"/>
                                <w:color w:val="FFFFFF"/>
                                <w:spacing w:val="37"/>
                                <w:sz w:val="20"/>
                              </w:rPr>
                              <w:t xml:space="preserve"> </w:t>
                            </w:r>
                            <w:r w:rsidRPr="004E0302">
                              <w:rPr>
                                <w:rFonts w:cs="Arial"/>
                                <w:color w:val="FFFFFF"/>
                                <w:spacing w:val="-1"/>
                                <w:sz w:val="20"/>
                              </w:rPr>
                              <w:t>and</w:t>
                            </w:r>
                            <w:r w:rsidRPr="004E0302">
                              <w:rPr>
                                <w:rFonts w:cs="Arial"/>
                                <w:color w:val="FFFFFF"/>
                                <w:spacing w:val="55"/>
                                <w:sz w:val="20"/>
                              </w:rPr>
                              <w:t xml:space="preserve"> </w:t>
                            </w:r>
                            <w:r w:rsidRPr="004E0302">
                              <w:rPr>
                                <w:rFonts w:cs="Arial"/>
                                <w:color w:val="FFFFFF"/>
                                <w:spacing w:val="-1"/>
                                <w:sz w:val="20"/>
                              </w:rPr>
                              <w:t>enforcement</w:t>
                            </w:r>
                            <w:r w:rsidRPr="004E0302">
                              <w:rPr>
                                <w:rFonts w:cs="Arial"/>
                                <w:color w:val="FFFFFF"/>
                                <w:spacing w:val="-6"/>
                                <w:sz w:val="20"/>
                              </w:rPr>
                              <w:t xml:space="preserve"> </w:t>
                            </w:r>
                            <w:r w:rsidRPr="004E0302">
                              <w:rPr>
                                <w:rFonts w:cs="Arial"/>
                                <w:color w:val="FFFFFF"/>
                                <w:spacing w:val="-1"/>
                                <w:sz w:val="20"/>
                              </w:rPr>
                              <w:t>action</w:t>
                            </w:r>
                            <w:r w:rsidRPr="004E0302">
                              <w:rPr>
                                <w:rFonts w:cs="Arial"/>
                                <w:color w:val="FFFFFF"/>
                                <w:spacing w:val="-6"/>
                                <w:sz w:val="20"/>
                              </w:rPr>
                              <w:t xml:space="preserve"> </w:t>
                            </w:r>
                            <w:r w:rsidRPr="004E0302">
                              <w:rPr>
                                <w:rFonts w:cs="Arial"/>
                                <w:color w:val="FFFFFF"/>
                                <w:sz w:val="20"/>
                              </w:rPr>
                              <w:t>if</w:t>
                            </w:r>
                            <w:r w:rsidRPr="004E0302">
                              <w:rPr>
                                <w:rFonts w:cs="Arial"/>
                                <w:color w:val="FFFFFF"/>
                                <w:spacing w:val="-10"/>
                                <w:sz w:val="20"/>
                              </w:rPr>
                              <w:t xml:space="preserve"> </w:t>
                            </w:r>
                            <w:r w:rsidRPr="004E0302">
                              <w:rPr>
                                <w:rFonts w:cs="Arial"/>
                                <w:color w:val="FFFFFF"/>
                                <w:spacing w:val="-1"/>
                                <w:sz w:val="20"/>
                              </w:rPr>
                              <w:t>needed.</w:t>
                            </w:r>
                          </w:p>
                        </w:txbxContent>
                      </wps:txbx>
                      <wps:bodyPr rot="0" vert="horz" wrap="square" lIns="0" tIns="0" rIns="0" bIns="0" anchor="t" anchorCtr="0" upright="1">
                        <a:noAutofit/>
                      </wps:bodyPr>
                    </wps:wsp>
                  </a:graphicData>
                </a:graphic>
              </wp:inline>
            </w:drawing>
          </mc:Choice>
          <mc:Fallback>
            <w:pict>
              <v:shape id="Text Box 1908" o:spid="_x0000_s1028" type="#_x0000_t202" style="width:382.7pt;height:144.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" fillcolor="#1c6cb4" stroked="f">
                <v:textbox inset="0,0,0,0">
                  <w:txbxContent>
                    <w:p w14:paraId="302AA0A5" w14:textId="77777777" w:rsidR="00622FF2" w:rsidRPr="004E0302" w:rsidRDefault="00622FF2" w:rsidP="00DB7F92">
                      <w:pPr>
                        <w:spacing w:before="213"/>
                        <w:ind w:left="225"/>
                        <w:jc w:val="both"/>
                        <w:rPr>
                          <w:rFonts w:eastAsia="Tw Cen MT Condensed Extra Bold" w:cs="Arial"/>
                          <w:sz w:val="20"/>
                          <w:szCs w:val="24"/>
                        </w:rPr>
                      </w:pPr>
                      <w:r w:rsidRPr="004E0302">
                        <w:rPr>
                          <w:rFonts w:cs="Arial"/>
                          <w:b/>
                          <w:color w:val="FFFFFF"/>
                          <w:sz w:val="20"/>
                        </w:rPr>
                        <w:t>Example:</w:t>
                      </w:r>
                    </w:p>
                    <w:p w14:paraId="6E61A099" w14:textId="77777777" w:rsidR="00622FF2" w:rsidRPr="004E0302" w:rsidRDefault="00622FF2" w:rsidP="00DB7F92">
                      <w:pPr>
                        <w:spacing w:before="12"/>
                        <w:rPr>
                          <w:rFonts w:eastAsia="Segoe UI Semilight" w:cs="Arial"/>
                          <w:sz w:val="20"/>
                          <w:szCs w:val="24"/>
                        </w:rPr>
                      </w:pPr>
                    </w:p>
                    <w:p w14:paraId="325AF270" w14:textId="77777777" w:rsidR="00622FF2" w:rsidRPr="004E0302" w:rsidRDefault="00622FF2" w:rsidP="00DB7F92">
                      <w:pPr>
                        <w:ind w:left="225" w:right="225"/>
                        <w:jc w:val="both"/>
                        <w:rPr>
                          <w:rFonts w:eastAsia="Segoe UI Semilight" w:cs="Arial"/>
                          <w:sz w:val="20"/>
                          <w:szCs w:val="24"/>
                        </w:rPr>
                      </w:pPr>
                      <w:r w:rsidRPr="004E0302">
                        <w:rPr>
                          <w:rFonts w:cs="Arial"/>
                          <w:color w:val="FFFFFF"/>
                          <w:sz w:val="20"/>
                        </w:rPr>
                        <w:t>A</w:t>
                      </w:r>
                      <w:r w:rsidRPr="004E0302">
                        <w:rPr>
                          <w:rFonts w:cs="Arial"/>
                          <w:color w:val="FFFFFF"/>
                          <w:spacing w:val="43"/>
                          <w:sz w:val="20"/>
                        </w:rPr>
                        <w:t xml:space="preserve"> </w:t>
                      </w:r>
                      <w:r w:rsidRPr="004E0302">
                        <w:rPr>
                          <w:rFonts w:cs="Arial"/>
                          <w:color w:val="FFFFFF"/>
                          <w:spacing w:val="-1"/>
                          <w:sz w:val="20"/>
                        </w:rPr>
                        <w:t>hearing</w:t>
                      </w:r>
                      <w:r w:rsidRPr="004E0302">
                        <w:rPr>
                          <w:rFonts w:cs="Arial"/>
                          <w:color w:val="FFFFFF"/>
                          <w:spacing w:val="42"/>
                          <w:sz w:val="20"/>
                        </w:rPr>
                        <w:t xml:space="preserve"> </w:t>
                      </w:r>
                      <w:r w:rsidRPr="004E0302">
                        <w:rPr>
                          <w:rFonts w:cs="Arial"/>
                          <w:color w:val="FFFFFF"/>
                          <w:spacing w:val="-1"/>
                          <w:sz w:val="20"/>
                        </w:rPr>
                        <w:t>impaired</w:t>
                      </w:r>
                      <w:r w:rsidRPr="004E0302">
                        <w:rPr>
                          <w:rFonts w:cs="Arial"/>
                          <w:color w:val="FFFFFF"/>
                          <w:spacing w:val="41"/>
                          <w:sz w:val="20"/>
                        </w:rPr>
                        <w:t xml:space="preserve"> </w:t>
                      </w:r>
                      <w:r w:rsidRPr="004E0302">
                        <w:rPr>
                          <w:rFonts w:cs="Arial"/>
                          <w:color w:val="FFFFFF"/>
                          <w:spacing w:val="-1"/>
                          <w:sz w:val="20"/>
                        </w:rPr>
                        <w:t>patient</w:t>
                      </w:r>
                      <w:r w:rsidRPr="004E0302">
                        <w:rPr>
                          <w:rFonts w:cs="Arial"/>
                          <w:color w:val="FFFFFF"/>
                          <w:spacing w:val="43"/>
                          <w:sz w:val="20"/>
                        </w:rPr>
                        <w:t xml:space="preserve"> </w:t>
                      </w:r>
                      <w:r w:rsidRPr="004E0302">
                        <w:rPr>
                          <w:rFonts w:cs="Arial"/>
                          <w:color w:val="FFFFFF"/>
                          <w:spacing w:val="-1"/>
                          <w:sz w:val="20"/>
                        </w:rPr>
                        <w:t>complains</w:t>
                      </w:r>
                      <w:r w:rsidRPr="004E0302">
                        <w:rPr>
                          <w:rFonts w:cs="Arial"/>
                          <w:color w:val="FFFFFF"/>
                          <w:spacing w:val="43"/>
                          <w:sz w:val="20"/>
                        </w:rPr>
                        <w:t xml:space="preserve"> </w:t>
                      </w:r>
                      <w:r w:rsidRPr="004E0302">
                        <w:rPr>
                          <w:rFonts w:cs="Arial"/>
                          <w:color w:val="FFFFFF"/>
                          <w:sz w:val="20"/>
                        </w:rPr>
                        <w:t>to</w:t>
                      </w:r>
                      <w:r w:rsidRPr="004E0302">
                        <w:rPr>
                          <w:rFonts w:cs="Arial"/>
                          <w:color w:val="FFFFFF"/>
                          <w:spacing w:val="42"/>
                          <w:sz w:val="20"/>
                        </w:rPr>
                        <w:t xml:space="preserve"> </w:t>
                      </w:r>
                      <w:r>
                        <w:rPr>
                          <w:rFonts w:cs="Arial"/>
                          <w:color w:val="FFFFFF"/>
                          <w:sz w:val="20"/>
                        </w:rPr>
                        <w:t>the commissioner</w:t>
                      </w:r>
                      <w:r w:rsidRPr="004E0302">
                        <w:rPr>
                          <w:rFonts w:cs="Arial"/>
                          <w:color w:val="FFFFFF"/>
                          <w:spacing w:val="41"/>
                          <w:sz w:val="20"/>
                        </w:rPr>
                        <w:t xml:space="preserve"> </w:t>
                      </w:r>
                      <w:r w:rsidRPr="004E0302">
                        <w:rPr>
                          <w:rFonts w:cs="Arial"/>
                          <w:color w:val="FFFFFF"/>
                          <w:spacing w:val="-1"/>
                          <w:sz w:val="20"/>
                        </w:rPr>
                        <w:t>about</w:t>
                      </w:r>
                      <w:r w:rsidRPr="004E0302">
                        <w:rPr>
                          <w:rFonts w:cs="Arial"/>
                          <w:color w:val="FFFFFF"/>
                          <w:spacing w:val="43"/>
                          <w:sz w:val="20"/>
                        </w:rPr>
                        <w:t xml:space="preserve"> </w:t>
                      </w:r>
                      <w:r w:rsidRPr="004E0302">
                        <w:rPr>
                          <w:rFonts w:cs="Arial"/>
                          <w:color w:val="FFFFFF"/>
                          <w:spacing w:val="-1"/>
                          <w:sz w:val="20"/>
                        </w:rPr>
                        <w:t>their</w:t>
                      </w:r>
                      <w:r w:rsidRPr="004E0302">
                        <w:rPr>
                          <w:rFonts w:cs="Arial"/>
                          <w:color w:val="FFFFFF"/>
                          <w:spacing w:val="52"/>
                          <w:w w:val="99"/>
                          <w:sz w:val="20"/>
                        </w:rPr>
                        <w:t xml:space="preserve"> </w:t>
                      </w:r>
                      <w:r w:rsidRPr="004E0302">
                        <w:rPr>
                          <w:rFonts w:cs="Arial"/>
                          <w:color w:val="FFFFFF"/>
                          <w:spacing w:val="-1"/>
                          <w:sz w:val="20"/>
                        </w:rPr>
                        <w:t>experience</w:t>
                      </w:r>
                      <w:r w:rsidRPr="004E0302">
                        <w:rPr>
                          <w:rFonts w:cs="Arial"/>
                          <w:color w:val="FFFFFF"/>
                          <w:spacing w:val="25"/>
                          <w:sz w:val="20"/>
                        </w:rPr>
                        <w:t xml:space="preserve"> </w:t>
                      </w:r>
                      <w:r w:rsidRPr="004E0302">
                        <w:rPr>
                          <w:rFonts w:cs="Arial"/>
                          <w:color w:val="FFFFFF"/>
                          <w:sz w:val="20"/>
                        </w:rPr>
                        <w:t>with</w:t>
                      </w:r>
                      <w:r w:rsidRPr="004E0302">
                        <w:rPr>
                          <w:rFonts w:cs="Arial"/>
                          <w:color w:val="FFFFFF"/>
                          <w:spacing w:val="26"/>
                          <w:sz w:val="20"/>
                        </w:rPr>
                        <w:t xml:space="preserve"> </w:t>
                      </w:r>
                      <w:r w:rsidRPr="004E0302">
                        <w:rPr>
                          <w:rFonts w:cs="Arial"/>
                          <w:color w:val="FFFFFF"/>
                          <w:sz w:val="20"/>
                        </w:rPr>
                        <w:t>a</w:t>
                      </w:r>
                      <w:r w:rsidRPr="004E0302">
                        <w:rPr>
                          <w:rFonts w:cs="Arial"/>
                          <w:color w:val="FFFFFF"/>
                          <w:spacing w:val="26"/>
                          <w:sz w:val="20"/>
                        </w:rPr>
                        <w:t xml:space="preserve"> </w:t>
                      </w:r>
                      <w:r w:rsidRPr="004E0302">
                        <w:rPr>
                          <w:rFonts w:cs="Arial"/>
                          <w:color w:val="FFFFFF"/>
                          <w:spacing w:val="-1"/>
                          <w:sz w:val="20"/>
                        </w:rPr>
                        <w:t>local</w:t>
                      </w:r>
                      <w:r w:rsidRPr="004E0302">
                        <w:rPr>
                          <w:rFonts w:cs="Arial"/>
                          <w:color w:val="FFFFFF"/>
                          <w:spacing w:val="54"/>
                          <w:sz w:val="20"/>
                        </w:rPr>
                        <w:t xml:space="preserve"> </w:t>
                      </w:r>
                      <w:r w:rsidRPr="004E0302">
                        <w:rPr>
                          <w:rFonts w:cs="Arial"/>
                          <w:color w:val="FFFFFF"/>
                          <w:spacing w:val="-1"/>
                          <w:sz w:val="20"/>
                        </w:rPr>
                        <w:t>(NHS</w:t>
                      </w:r>
                      <w:r w:rsidRPr="004E0302">
                        <w:rPr>
                          <w:rFonts w:cs="Arial"/>
                          <w:color w:val="FFFFFF"/>
                          <w:spacing w:val="25"/>
                          <w:sz w:val="20"/>
                        </w:rPr>
                        <w:t xml:space="preserve"> </w:t>
                      </w:r>
                      <w:r w:rsidRPr="004E0302">
                        <w:rPr>
                          <w:rFonts w:cs="Arial"/>
                          <w:color w:val="FFFFFF"/>
                          <w:spacing w:val="-1"/>
                          <w:sz w:val="20"/>
                        </w:rPr>
                        <w:t>commissioned)</w:t>
                      </w:r>
                      <w:r w:rsidRPr="004E0302">
                        <w:rPr>
                          <w:rFonts w:cs="Arial"/>
                          <w:color w:val="FFFFFF"/>
                          <w:spacing w:val="28"/>
                          <w:sz w:val="20"/>
                        </w:rPr>
                        <w:t xml:space="preserve"> </w:t>
                      </w:r>
                      <w:r w:rsidRPr="004E0302">
                        <w:rPr>
                          <w:rFonts w:cs="Arial"/>
                          <w:color w:val="FFFFFF"/>
                          <w:spacing w:val="-1"/>
                          <w:sz w:val="20"/>
                        </w:rPr>
                        <w:t>provider.</w:t>
                      </w:r>
                      <w:r w:rsidRPr="004E0302">
                        <w:rPr>
                          <w:rFonts w:cs="Arial"/>
                          <w:color w:val="FFFFFF"/>
                          <w:spacing w:val="52"/>
                          <w:sz w:val="20"/>
                        </w:rPr>
                        <w:t xml:space="preserve"> </w:t>
                      </w:r>
                      <w:r w:rsidRPr="004E0302">
                        <w:rPr>
                          <w:rFonts w:cs="Arial"/>
                          <w:color w:val="FFFFFF"/>
                          <w:spacing w:val="-1"/>
                          <w:sz w:val="20"/>
                        </w:rPr>
                        <w:t>The</w:t>
                      </w:r>
                      <w:r w:rsidRPr="004E0302">
                        <w:rPr>
                          <w:rFonts w:cs="Arial"/>
                          <w:color w:val="FFFFFF"/>
                          <w:spacing w:val="27"/>
                          <w:sz w:val="20"/>
                        </w:rPr>
                        <w:t xml:space="preserve"> </w:t>
                      </w:r>
                      <w:r w:rsidRPr="004E0302">
                        <w:rPr>
                          <w:rFonts w:cs="Arial"/>
                          <w:color w:val="FFFFFF"/>
                          <w:spacing w:val="-1"/>
                          <w:sz w:val="20"/>
                        </w:rPr>
                        <w:t>patient</w:t>
                      </w:r>
                      <w:r w:rsidRPr="004E0302">
                        <w:rPr>
                          <w:rFonts w:cs="Arial"/>
                          <w:color w:val="FFFFFF"/>
                          <w:spacing w:val="53"/>
                          <w:w w:val="99"/>
                          <w:sz w:val="20"/>
                        </w:rPr>
                        <w:t xml:space="preserve"> </w:t>
                      </w:r>
                      <w:r w:rsidRPr="004E0302">
                        <w:rPr>
                          <w:rFonts w:cs="Arial"/>
                          <w:color w:val="FFFFFF"/>
                          <w:spacing w:val="-1"/>
                          <w:sz w:val="20"/>
                        </w:rPr>
                        <w:t>was</w:t>
                      </w:r>
                      <w:r w:rsidRPr="004E0302">
                        <w:rPr>
                          <w:rFonts w:cs="Arial"/>
                          <w:color w:val="FFFFFF"/>
                          <w:spacing w:val="18"/>
                          <w:sz w:val="20"/>
                        </w:rPr>
                        <w:t xml:space="preserve"> </w:t>
                      </w:r>
                      <w:r w:rsidRPr="004E0302">
                        <w:rPr>
                          <w:rFonts w:cs="Arial"/>
                          <w:color w:val="FFFFFF"/>
                          <w:spacing w:val="-1"/>
                          <w:sz w:val="20"/>
                        </w:rPr>
                        <w:t>unable</w:t>
                      </w:r>
                      <w:r w:rsidRPr="004E0302">
                        <w:rPr>
                          <w:rFonts w:cs="Arial"/>
                          <w:color w:val="FFFFFF"/>
                          <w:spacing w:val="18"/>
                          <w:sz w:val="20"/>
                        </w:rPr>
                        <w:t xml:space="preserve"> </w:t>
                      </w:r>
                      <w:r w:rsidRPr="004E0302">
                        <w:rPr>
                          <w:rFonts w:cs="Arial"/>
                          <w:color w:val="FFFFFF"/>
                          <w:sz w:val="20"/>
                        </w:rPr>
                        <w:t>to</w:t>
                      </w:r>
                      <w:r w:rsidRPr="004E0302">
                        <w:rPr>
                          <w:rFonts w:cs="Arial"/>
                          <w:color w:val="FFFFFF"/>
                          <w:spacing w:val="19"/>
                          <w:sz w:val="20"/>
                        </w:rPr>
                        <w:t xml:space="preserve"> </w:t>
                      </w:r>
                      <w:r w:rsidRPr="004E0302">
                        <w:rPr>
                          <w:rFonts w:cs="Arial"/>
                          <w:color w:val="FFFFFF"/>
                          <w:spacing w:val="-1"/>
                          <w:sz w:val="20"/>
                        </w:rPr>
                        <w:t>communicate</w:t>
                      </w:r>
                      <w:r w:rsidRPr="004E0302">
                        <w:rPr>
                          <w:rFonts w:cs="Arial"/>
                          <w:color w:val="FFFFFF"/>
                          <w:spacing w:val="18"/>
                          <w:sz w:val="20"/>
                        </w:rPr>
                        <w:t xml:space="preserve"> </w:t>
                      </w:r>
                      <w:r w:rsidRPr="004E0302">
                        <w:rPr>
                          <w:rFonts w:cs="Arial"/>
                          <w:color w:val="FFFFFF"/>
                          <w:spacing w:val="-1"/>
                          <w:sz w:val="20"/>
                        </w:rPr>
                        <w:t>effectively</w:t>
                      </w:r>
                      <w:r w:rsidRPr="004E0302">
                        <w:rPr>
                          <w:rFonts w:cs="Arial"/>
                          <w:color w:val="FFFFFF"/>
                          <w:spacing w:val="18"/>
                          <w:sz w:val="20"/>
                        </w:rPr>
                        <w:t xml:space="preserve"> </w:t>
                      </w:r>
                      <w:r w:rsidRPr="004E0302">
                        <w:rPr>
                          <w:rFonts w:cs="Arial"/>
                          <w:color w:val="FFFFFF"/>
                          <w:sz w:val="20"/>
                        </w:rPr>
                        <w:t>with</w:t>
                      </w:r>
                      <w:r w:rsidRPr="004E0302">
                        <w:rPr>
                          <w:rFonts w:cs="Arial"/>
                          <w:color w:val="FFFFFF"/>
                          <w:spacing w:val="18"/>
                          <w:sz w:val="20"/>
                        </w:rPr>
                        <w:t xml:space="preserve"> </w:t>
                      </w:r>
                      <w:r w:rsidRPr="004E0302">
                        <w:rPr>
                          <w:rFonts w:cs="Arial"/>
                          <w:color w:val="FFFFFF"/>
                          <w:spacing w:val="-1"/>
                          <w:sz w:val="20"/>
                        </w:rPr>
                        <w:t>the</w:t>
                      </w:r>
                      <w:r w:rsidRPr="004E0302">
                        <w:rPr>
                          <w:rFonts w:cs="Arial"/>
                          <w:color w:val="FFFFFF"/>
                          <w:spacing w:val="17"/>
                          <w:sz w:val="20"/>
                        </w:rPr>
                        <w:t xml:space="preserve"> </w:t>
                      </w:r>
                      <w:r w:rsidRPr="004E0302">
                        <w:rPr>
                          <w:rFonts w:cs="Arial"/>
                          <w:color w:val="FFFFFF"/>
                          <w:spacing w:val="-1"/>
                          <w:sz w:val="20"/>
                        </w:rPr>
                        <w:t>provider</w:t>
                      </w:r>
                      <w:r w:rsidRPr="004E0302">
                        <w:rPr>
                          <w:rFonts w:cs="Arial"/>
                          <w:color w:val="FFFFFF"/>
                          <w:spacing w:val="19"/>
                          <w:sz w:val="20"/>
                        </w:rPr>
                        <w:t xml:space="preserve"> </w:t>
                      </w:r>
                      <w:r w:rsidRPr="004E0302">
                        <w:rPr>
                          <w:rFonts w:cs="Arial"/>
                          <w:color w:val="FFFFFF"/>
                          <w:spacing w:val="-1"/>
                          <w:sz w:val="20"/>
                        </w:rPr>
                        <w:t>because</w:t>
                      </w:r>
                      <w:r w:rsidRPr="004E0302">
                        <w:rPr>
                          <w:rFonts w:cs="Arial"/>
                          <w:color w:val="FFFFFF"/>
                          <w:spacing w:val="17"/>
                          <w:sz w:val="20"/>
                        </w:rPr>
                        <w:t xml:space="preserve"> </w:t>
                      </w:r>
                      <w:r w:rsidRPr="004E0302">
                        <w:rPr>
                          <w:rFonts w:cs="Arial"/>
                          <w:color w:val="FFFFFF"/>
                          <w:sz w:val="20"/>
                        </w:rPr>
                        <w:t>of</w:t>
                      </w:r>
                      <w:r w:rsidRPr="004E0302">
                        <w:rPr>
                          <w:rFonts w:cs="Arial"/>
                          <w:color w:val="FFFFFF"/>
                          <w:spacing w:val="59"/>
                          <w:sz w:val="20"/>
                        </w:rPr>
                        <w:t xml:space="preserve"> </w:t>
                      </w:r>
                      <w:r w:rsidRPr="004E0302">
                        <w:rPr>
                          <w:rFonts w:cs="Arial"/>
                          <w:color w:val="FFFFFF"/>
                          <w:spacing w:val="-1"/>
                          <w:sz w:val="20"/>
                        </w:rPr>
                        <w:t>their</w:t>
                      </w:r>
                      <w:r w:rsidRPr="004E0302">
                        <w:rPr>
                          <w:rFonts w:cs="Arial"/>
                          <w:color w:val="FFFFFF"/>
                          <w:spacing w:val="2"/>
                          <w:sz w:val="20"/>
                        </w:rPr>
                        <w:t xml:space="preserve"> </w:t>
                      </w:r>
                      <w:r w:rsidRPr="004E0302">
                        <w:rPr>
                          <w:rFonts w:cs="Arial"/>
                          <w:color w:val="FFFFFF"/>
                          <w:spacing w:val="-1"/>
                          <w:sz w:val="20"/>
                        </w:rPr>
                        <w:t>hearing</w:t>
                      </w:r>
                      <w:r w:rsidRPr="004E0302">
                        <w:rPr>
                          <w:rFonts w:cs="Arial"/>
                          <w:color w:val="FFFFFF"/>
                          <w:spacing w:val="5"/>
                          <w:sz w:val="20"/>
                        </w:rPr>
                        <w:t xml:space="preserve"> </w:t>
                      </w:r>
                      <w:r w:rsidRPr="004E0302">
                        <w:rPr>
                          <w:rFonts w:cs="Arial"/>
                          <w:color w:val="FFFFFF"/>
                          <w:spacing w:val="-1"/>
                          <w:sz w:val="20"/>
                        </w:rPr>
                        <w:t>impairment.</w:t>
                      </w:r>
                      <w:r w:rsidRPr="004E0302">
                        <w:rPr>
                          <w:rFonts w:cs="Arial"/>
                          <w:color w:val="FFFFFF"/>
                          <w:spacing w:val="7"/>
                          <w:sz w:val="20"/>
                        </w:rPr>
                        <w:t xml:space="preserve"> </w:t>
                      </w:r>
                      <w:r w:rsidRPr="004E0302">
                        <w:rPr>
                          <w:rFonts w:cs="Arial"/>
                          <w:color w:val="FFFFFF"/>
                          <w:spacing w:val="-1"/>
                          <w:sz w:val="20"/>
                        </w:rPr>
                        <w:t>When</w:t>
                      </w:r>
                      <w:r w:rsidRPr="004E0302">
                        <w:rPr>
                          <w:rFonts w:cs="Arial"/>
                          <w:color w:val="FFFFFF"/>
                          <w:spacing w:val="3"/>
                          <w:sz w:val="20"/>
                        </w:rPr>
                        <w:t xml:space="preserve"> </w:t>
                      </w:r>
                      <w:r w:rsidRPr="004E0302">
                        <w:rPr>
                          <w:rFonts w:cs="Arial"/>
                          <w:color w:val="FFFFFF"/>
                          <w:spacing w:val="-1"/>
                          <w:sz w:val="20"/>
                        </w:rPr>
                        <w:t>the</w:t>
                      </w:r>
                      <w:r w:rsidRPr="004E0302">
                        <w:rPr>
                          <w:rFonts w:cs="Arial"/>
                          <w:color w:val="FFFFFF"/>
                          <w:spacing w:val="5"/>
                          <w:sz w:val="20"/>
                        </w:rPr>
                        <w:t xml:space="preserve"> </w:t>
                      </w:r>
                      <w:r w:rsidRPr="004E0302">
                        <w:rPr>
                          <w:rFonts w:cs="Arial"/>
                          <w:color w:val="FFFFFF"/>
                          <w:spacing w:val="-1"/>
                          <w:sz w:val="20"/>
                        </w:rPr>
                        <w:t>patient</w:t>
                      </w:r>
                      <w:r w:rsidRPr="004E0302">
                        <w:rPr>
                          <w:rFonts w:cs="Arial"/>
                          <w:color w:val="FFFFFF"/>
                          <w:spacing w:val="3"/>
                          <w:sz w:val="20"/>
                        </w:rPr>
                        <w:t xml:space="preserve"> </w:t>
                      </w:r>
                      <w:r w:rsidRPr="004E0302">
                        <w:rPr>
                          <w:rFonts w:cs="Arial"/>
                          <w:color w:val="FFFFFF"/>
                          <w:spacing w:val="-1"/>
                          <w:sz w:val="20"/>
                        </w:rPr>
                        <w:t>suggested</w:t>
                      </w:r>
                      <w:r w:rsidRPr="004E0302">
                        <w:rPr>
                          <w:rFonts w:cs="Arial"/>
                          <w:color w:val="FFFFFF"/>
                          <w:spacing w:val="5"/>
                          <w:sz w:val="20"/>
                        </w:rPr>
                        <w:t xml:space="preserve"> </w:t>
                      </w:r>
                      <w:r w:rsidRPr="004E0302">
                        <w:rPr>
                          <w:rFonts w:cs="Arial"/>
                          <w:color w:val="FFFFFF"/>
                          <w:spacing w:val="-1"/>
                          <w:sz w:val="20"/>
                        </w:rPr>
                        <w:t>that</w:t>
                      </w:r>
                      <w:r w:rsidRPr="004E0302">
                        <w:rPr>
                          <w:rFonts w:cs="Arial"/>
                          <w:color w:val="FFFFFF"/>
                          <w:spacing w:val="4"/>
                          <w:sz w:val="20"/>
                        </w:rPr>
                        <w:t xml:space="preserve"> </w:t>
                      </w:r>
                      <w:r w:rsidRPr="004E0302">
                        <w:rPr>
                          <w:rFonts w:cs="Arial"/>
                          <w:color w:val="FFFFFF"/>
                          <w:spacing w:val="-1"/>
                          <w:sz w:val="20"/>
                        </w:rPr>
                        <w:t>the</w:t>
                      </w:r>
                      <w:r w:rsidRPr="004E0302">
                        <w:rPr>
                          <w:rFonts w:cs="Arial"/>
                          <w:color w:val="FFFFFF"/>
                          <w:spacing w:val="71"/>
                          <w:w w:val="99"/>
                          <w:sz w:val="20"/>
                        </w:rPr>
                        <w:t xml:space="preserve"> </w:t>
                      </w:r>
                      <w:r w:rsidRPr="004E0302">
                        <w:rPr>
                          <w:rFonts w:cs="Arial"/>
                          <w:color w:val="FFFFFF"/>
                          <w:spacing w:val="-1"/>
                          <w:sz w:val="20"/>
                        </w:rPr>
                        <w:t>provider</w:t>
                      </w:r>
                      <w:r w:rsidRPr="004E0302">
                        <w:rPr>
                          <w:rFonts w:cs="Arial"/>
                          <w:color w:val="FFFFFF"/>
                          <w:spacing w:val="11"/>
                          <w:sz w:val="20"/>
                        </w:rPr>
                        <w:t xml:space="preserve"> </w:t>
                      </w:r>
                      <w:r w:rsidRPr="004E0302">
                        <w:rPr>
                          <w:rFonts w:cs="Arial"/>
                          <w:color w:val="FFFFFF"/>
                          <w:spacing w:val="-1"/>
                          <w:sz w:val="20"/>
                        </w:rPr>
                        <w:t>obtain</w:t>
                      </w:r>
                      <w:r w:rsidRPr="004E0302">
                        <w:rPr>
                          <w:rFonts w:cs="Arial"/>
                          <w:color w:val="FFFFFF"/>
                          <w:spacing w:val="11"/>
                          <w:sz w:val="20"/>
                        </w:rPr>
                        <w:t xml:space="preserve"> </w:t>
                      </w:r>
                      <w:r w:rsidRPr="004E0302">
                        <w:rPr>
                          <w:rFonts w:cs="Arial"/>
                          <w:color w:val="FFFFFF"/>
                          <w:sz w:val="20"/>
                        </w:rPr>
                        <w:t>a</w:t>
                      </w:r>
                      <w:r w:rsidRPr="004E0302">
                        <w:rPr>
                          <w:rFonts w:cs="Arial"/>
                          <w:color w:val="FFFFFF"/>
                          <w:spacing w:val="11"/>
                          <w:sz w:val="20"/>
                        </w:rPr>
                        <w:t xml:space="preserve"> </w:t>
                      </w:r>
                      <w:r w:rsidRPr="004E0302">
                        <w:rPr>
                          <w:rFonts w:cs="Arial"/>
                          <w:color w:val="FFFFFF"/>
                          <w:spacing w:val="-1"/>
                          <w:sz w:val="20"/>
                        </w:rPr>
                        <w:t>sign</w:t>
                      </w:r>
                      <w:r w:rsidRPr="004E0302">
                        <w:rPr>
                          <w:rFonts w:cs="Arial"/>
                          <w:color w:val="FFFFFF"/>
                          <w:spacing w:val="14"/>
                          <w:sz w:val="20"/>
                        </w:rPr>
                        <w:t xml:space="preserve"> </w:t>
                      </w:r>
                      <w:r w:rsidRPr="004E0302">
                        <w:rPr>
                          <w:rFonts w:cs="Arial"/>
                          <w:color w:val="FFFFFF"/>
                          <w:spacing w:val="-1"/>
                          <w:sz w:val="20"/>
                        </w:rPr>
                        <w:t>language</w:t>
                      </w:r>
                      <w:r w:rsidRPr="004E0302">
                        <w:rPr>
                          <w:rFonts w:cs="Arial"/>
                          <w:color w:val="FFFFFF"/>
                          <w:spacing w:val="10"/>
                          <w:sz w:val="20"/>
                        </w:rPr>
                        <w:t xml:space="preserve"> </w:t>
                      </w:r>
                      <w:r w:rsidRPr="004E0302">
                        <w:rPr>
                          <w:rFonts w:cs="Arial"/>
                          <w:color w:val="FFFFFF"/>
                          <w:spacing w:val="-1"/>
                          <w:sz w:val="20"/>
                        </w:rPr>
                        <w:t>interpreter</w:t>
                      </w:r>
                      <w:r w:rsidRPr="004E0302">
                        <w:rPr>
                          <w:rFonts w:cs="Arial"/>
                          <w:color w:val="FFFFFF"/>
                          <w:spacing w:val="12"/>
                          <w:sz w:val="20"/>
                        </w:rPr>
                        <w:t xml:space="preserve"> </w:t>
                      </w:r>
                      <w:r w:rsidRPr="004E0302">
                        <w:rPr>
                          <w:rFonts w:cs="Arial"/>
                          <w:color w:val="FFFFFF"/>
                          <w:sz w:val="20"/>
                        </w:rPr>
                        <w:t>to</w:t>
                      </w:r>
                      <w:r w:rsidRPr="004E0302">
                        <w:rPr>
                          <w:rFonts w:cs="Arial"/>
                          <w:color w:val="FFFFFF"/>
                          <w:spacing w:val="12"/>
                          <w:sz w:val="20"/>
                        </w:rPr>
                        <w:t xml:space="preserve"> </w:t>
                      </w:r>
                      <w:r w:rsidRPr="004E0302">
                        <w:rPr>
                          <w:rFonts w:cs="Arial"/>
                          <w:color w:val="FFFFFF"/>
                          <w:spacing w:val="-1"/>
                          <w:sz w:val="20"/>
                        </w:rPr>
                        <w:t>translate</w:t>
                      </w:r>
                      <w:r w:rsidRPr="004E0302">
                        <w:rPr>
                          <w:rFonts w:cs="Arial"/>
                          <w:color w:val="FFFFFF"/>
                          <w:spacing w:val="10"/>
                          <w:sz w:val="20"/>
                        </w:rPr>
                        <w:t xml:space="preserve"> </w:t>
                      </w:r>
                      <w:r w:rsidRPr="004E0302">
                        <w:rPr>
                          <w:rFonts w:cs="Arial"/>
                          <w:color w:val="FFFFFF"/>
                          <w:spacing w:val="-1"/>
                          <w:sz w:val="20"/>
                        </w:rPr>
                        <w:t>for</w:t>
                      </w:r>
                      <w:r w:rsidRPr="004E0302">
                        <w:rPr>
                          <w:rFonts w:cs="Arial"/>
                          <w:color w:val="FFFFFF"/>
                          <w:spacing w:val="12"/>
                          <w:sz w:val="20"/>
                        </w:rPr>
                        <w:t xml:space="preserve"> </w:t>
                      </w:r>
                      <w:r w:rsidRPr="004E0302">
                        <w:rPr>
                          <w:rFonts w:cs="Arial"/>
                          <w:color w:val="FFFFFF"/>
                          <w:spacing w:val="-1"/>
                          <w:sz w:val="20"/>
                        </w:rPr>
                        <w:t>them</w:t>
                      </w:r>
                      <w:r w:rsidRPr="004E0302">
                        <w:rPr>
                          <w:rFonts w:cs="Arial"/>
                          <w:color w:val="FFFFFF"/>
                          <w:spacing w:val="11"/>
                          <w:sz w:val="20"/>
                        </w:rPr>
                        <w:t xml:space="preserve"> </w:t>
                      </w:r>
                      <w:r w:rsidRPr="004E0302">
                        <w:rPr>
                          <w:rFonts w:cs="Arial"/>
                          <w:color w:val="FFFFFF"/>
                          <w:spacing w:val="-1"/>
                          <w:sz w:val="20"/>
                        </w:rPr>
                        <w:t>this</w:t>
                      </w:r>
                      <w:r w:rsidRPr="004E0302">
                        <w:rPr>
                          <w:rFonts w:cs="Arial"/>
                          <w:color w:val="FFFFFF"/>
                          <w:spacing w:val="60"/>
                          <w:w w:val="99"/>
                          <w:sz w:val="20"/>
                        </w:rPr>
                        <w:t xml:space="preserve"> </w:t>
                      </w:r>
                      <w:r w:rsidRPr="004E0302">
                        <w:rPr>
                          <w:rFonts w:cs="Arial"/>
                          <w:color w:val="FFFFFF"/>
                          <w:spacing w:val="-1"/>
                          <w:sz w:val="20"/>
                        </w:rPr>
                        <w:t>was</w:t>
                      </w:r>
                      <w:r w:rsidRPr="004E0302">
                        <w:rPr>
                          <w:rFonts w:cs="Arial"/>
                          <w:color w:val="FFFFFF"/>
                          <w:spacing w:val="-8"/>
                          <w:sz w:val="20"/>
                        </w:rPr>
                        <w:t xml:space="preserve"> </w:t>
                      </w:r>
                      <w:r w:rsidRPr="004E0302">
                        <w:rPr>
                          <w:rFonts w:cs="Arial"/>
                          <w:color w:val="FFFFFF"/>
                          <w:spacing w:val="-1"/>
                          <w:sz w:val="20"/>
                        </w:rPr>
                        <w:t>refused.</w:t>
                      </w:r>
                    </w:p>
                    <w:p w14:paraId="6613790B" w14:textId="77777777" w:rsidR="00622FF2" w:rsidRPr="004E0302" w:rsidRDefault="00622FF2" w:rsidP="00DB7F92">
                      <w:pPr>
                        <w:spacing w:before="13"/>
                        <w:rPr>
                          <w:rFonts w:eastAsia="Segoe UI Semilight" w:cs="Arial"/>
                          <w:sz w:val="20"/>
                          <w:szCs w:val="23"/>
                        </w:rPr>
                      </w:pPr>
                    </w:p>
                    <w:p w14:paraId="14178A58" w14:textId="77777777" w:rsidR="00622FF2" w:rsidRPr="004E0302" w:rsidRDefault="00622FF2" w:rsidP="00DB7F92">
                      <w:pPr>
                        <w:ind w:left="225" w:right="226"/>
                        <w:jc w:val="both"/>
                        <w:rPr>
                          <w:rFonts w:eastAsia="Segoe UI Semilight" w:cs="Arial"/>
                          <w:sz w:val="20"/>
                          <w:szCs w:val="24"/>
                        </w:rPr>
                      </w:pPr>
                      <w:r w:rsidRPr="004E0302">
                        <w:rPr>
                          <w:rFonts w:cs="Arial"/>
                          <w:color w:val="FFFFFF"/>
                          <w:sz w:val="20"/>
                        </w:rPr>
                        <w:t xml:space="preserve">It </w:t>
                      </w:r>
                      <w:r w:rsidRPr="004E0302">
                        <w:rPr>
                          <w:rFonts w:cs="Arial"/>
                          <w:color w:val="FFFFFF"/>
                          <w:spacing w:val="-1"/>
                          <w:sz w:val="20"/>
                        </w:rPr>
                        <w:t>is</w:t>
                      </w:r>
                      <w:r w:rsidRPr="004E0302">
                        <w:rPr>
                          <w:rFonts w:cs="Arial"/>
                          <w:color w:val="FFFFFF"/>
                          <w:spacing w:val="1"/>
                          <w:sz w:val="20"/>
                        </w:rPr>
                        <w:t xml:space="preserve"> </w:t>
                      </w:r>
                      <w:r w:rsidRPr="004E0302">
                        <w:rPr>
                          <w:rFonts w:cs="Arial"/>
                          <w:color w:val="FFFFFF"/>
                          <w:spacing w:val="-1"/>
                          <w:sz w:val="20"/>
                        </w:rPr>
                        <w:t>likely</w:t>
                      </w:r>
                      <w:r w:rsidRPr="004E0302">
                        <w:rPr>
                          <w:rFonts w:cs="Arial"/>
                          <w:color w:val="FFFFFF"/>
                          <w:sz w:val="20"/>
                        </w:rPr>
                        <w:t xml:space="preserve"> </w:t>
                      </w:r>
                      <w:r w:rsidRPr="004E0302">
                        <w:rPr>
                          <w:rFonts w:cs="Arial"/>
                          <w:color w:val="FFFFFF"/>
                          <w:spacing w:val="-1"/>
                          <w:sz w:val="20"/>
                        </w:rPr>
                        <w:t>that</w:t>
                      </w:r>
                      <w:r w:rsidRPr="004E0302">
                        <w:rPr>
                          <w:rFonts w:cs="Arial"/>
                          <w:color w:val="FFFFFF"/>
                          <w:spacing w:val="1"/>
                          <w:sz w:val="20"/>
                        </w:rPr>
                        <w:t xml:space="preserve"> </w:t>
                      </w:r>
                      <w:r w:rsidRPr="004E0302">
                        <w:rPr>
                          <w:rFonts w:cs="Arial"/>
                          <w:color w:val="FFFFFF"/>
                          <w:spacing w:val="-1"/>
                          <w:sz w:val="20"/>
                        </w:rPr>
                        <w:t>the provider</w:t>
                      </w:r>
                      <w:r w:rsidRPr="004E0302">
                        <w:rPr>
                          <w:rFonts w:cs="Arial"/>
                          <w:color w:val="FFFFFF"/>
                          <w:sz w:val="20"/>
                        </w:rPr>
                        <w:t xml:space="preserve"> will</w:t>
                      </w:r>
                      <w:r w:rsidRPr="004E0302">
                        <w:rPr>
                          <w:rFonts w:cs="Arial"/>
                          <w:color w:val="FFFFFF"/>
                          <w:spacing w:val="-1"/>
                          <w:sz w:val="20"/>
                        </w:rPr>
                        <w:t xml:space="preserve"> be</w:t>
                      </w:r>
                      <w:r w:rsidRPr="004E0302">
                        <w:rPr>
                          <w:rFonts w:cs="Arial"/>
                          <w:color w:val="FFFFFF"/>
                          <w:spacing w:val="2"/>
                          <w:sz w:val="20"/>
                        </w:rPr>
                        <w:t xml:space="preserve"> </w:t>
                      </w:r>
                      <w:r w:rsidRPr="004E0302">
                        <w:rPr>
                          <w:rFonts w:cs="Arial"/>
                          <w:color w:val="FFFFFF"/>
                          <w:spacing w:val="-1"/>
                          <w:sz w:val="20"/>
                        </w:rPr>
                        <w:t>in breach</w:t>
                      </w:r>
                      <w:r w:rsidRPr="004E0302">
                        <w:rPr>
                          <w:rFonts w:cs="Arial"/>
                          <w:color w:val="FFFFFF"/>
                          <w:sz w:val="20"/>
                        </w:rPr>
                        <w:t xml:space="preserve"> of</w:t>
                      </w:r>
                      <w:r w:rsidRPr="004E0302">
                        <w:rPr>
                          <w:rFonts w:cs="Arial"/>
                          <w:color w:val="FFFFFF"/>
                          <w:spacing w:val="2"/>
                          <w:sz w:val="20"/>
                        </w:rPr>
                        <w:t xml:space="preserve"> </w:t>
                      </w:r>
                      <w:r w:rsidRPr="004E0302">
                        <w:rPr>
                          <w:rFonts w:cs="Arial"/>
                          <w:color w:val="FFFFFF"/>
                          <w:spacing w:val="-1"/>
                          <w:sz w:val="20"/>
                        </w:rPr>
                        <w:t>their</w:t>
                      </w:r>
                      <w:r w:rsidRPr="004E0302">
                        <w:rPr>
                          <w:rFonts w:cs="Arial"/>
                          <w:color w:val="FFFFFF"/>
                          <w:sz w:val="20"/>
                        </w:rPr>
                        <w:t xml:space="preserve"> </w:t>
                      </w:r>
                      <w:r w:rsidRPr="004E0302">
                        <w:rPr>
                          <w:rFonts w:cs="Arial"/>
                          <w:color w:val="FFFFFF"/>
                          <w:spacing w:val="-1"/>
                          <w:sz w:val="20"/>
                        </w:rPr>
                        <w:t>obligations</w:t>
                      </w:r>
                      <w:r w:rsidRPr="004E0302">
                        <w:rPr>
                          <w:rFonts w:cs="Arial"/>
                          <w:color w:val="FFFFFF"/>
                          <w:spacing w:val="1"/>
                          <w:sz w:val="20"/>
                        </w:rPr>
                        <w:t xml:space="preserve"> </w:t>
                      </w:r>
                      <w:r w:rsidRPr="004E0302">
                        <w:rPr>
                          <w:rFonts w:cs="Arial"/>
                          <w:color w:val="FFFFFF"/>
                          <w:spacing w:val="-1"/>
                          <w:sz w:val="20"/>
                        </w:rPr>
                        <w:t>under</w:t>
                      </w:r>
                      <w:r w:rsidRPr="004E0302">
                        <w:rPr>
                          <w:rFonts w:cs="Arial"/>
                          <w:color w:val="FFFFFF"/>
                          <w:spacing w:val="54"/>
                          <w:w w:val="99"/>
                          <w:sz w:val="20"/>
                        </w:rPr>
                        <w:t xml:space="preserve"> </w:t>
                      </w:r>
                      <w:r w:rsidRPr="004E0302">
                        <w:rPr>
                          <w:rFonts w:cs="Arial"/>
                          <w:color w:val="FFFFFF"/>
                          <w:spacing w:val="-1"/>
                          <w:sz w:val="20"/>
                        </w:rPr>
                        <w:t>the</w:t>
                      </w:r>
                      <w:r w:rsidRPr="004E0302">
                        <w:rPr>
                          <w:rFonts w:cs="Arial"/>
                          <w:color w:val="FFFFFF"/>
                          <w:spacing w:val="28"/>
                          <w:sz w:val="20"/>
                        </w:rPr>
                        <w:t xml:space="preserve"> </w:t>
                      </w:r>
                      <w:r w:rsidRPr="004E0302">
                        <w:rPr>
                          <w:rFonts w:cs="Arial"/>
                          <w:color w:val="FFFFFF"/>
                          <w:spacing w:val="-1"/>
                          <w:sz w:val="20"/>
                        </w:rPr>
                        <w:t>Equality</w:t>
                      </w:r>
                      <w:r w:rsidRPr="004E0302">
                        <w:rPr>
                          <w:rFonts w:cs="Arial"/>
                          <w:color w:val="FFFFFF"/>
                          <w:spacing w:val="29"/>
                          <w:sz w:val="20"/>
                        </w:rPr>
                        <w:t xml:space="preserve"> </w:t>
                      </w:r>
                      <w:r w:rsidRPr="004E0302">
                        <w:rPr>
                          <w:rFonts w:cs="Arial"/>
                          <w:color w:val="FFFFFF"/>
                          <w:spacing w:val="-1"/>
                          <w:sz w:val="20"/>
                        </w:rPr>
                        <w:t>Act</w:t>
                      </w:r>
                      <w:r w:rsidRPr="004E0302">
                        <w:rPr>
                          <w:rFonts w:cs="Arial"/>
                          <w:color w:val="FFFFFF"/>
                          <w:spacing w:val="30"/>
                          <w:sz w:val="20"/>
                        </w:rPr>
                        <w:t xml:space="preserve"> </w:t>
                      </w:r>
                      <w:r w:rsidRPr="004E0302">
                        <w:rPr>
                          <w:rFonts w:cs="Arial"/>
                          <w:color w:val="FFFFFF"/>
                          <w:sz w:val="20"/>
                        </w:rPr>
                        <w:t>2010</w:t>
                      </w:r>
                      <w:r w:rsidRPr="004E0302">
                        <w:rPr>
                          <w:rFonts w:cs="Arial"/>
                          <w:color w:val="FFFFFF"/>
                          <w:spacing w:val="30"/>
                          <w:sz w:val="20"/>
                        </w:rPr>
                        <w:t xml:space="preserve"> </w:t>
                      </w:r>
                      <w:r w:rsidRPr="004E0302">
                        <w:rPr>
                          <w:rFonts w:cs="Arial"/>
                          <w:color w:val="FFFFFF"/>
                          <w:spacing w:val="-1"/>
                          <w:sz w:val="20"/>
                        </w:rPr>
                        <w:t>to</w:t>
                      </w:r>
                      <w:r w:rsidRPr="004E0302">
                        <w:rPr>
                          <w:rFonts w:cs="Arial"/>
                          <w:color w:val="FFFFFF"/>
                          <w:spacing w:val="28"/>
                          <w:sz w:val="20"/>
                        </w:rPr>
                        <w:t xml:space="preserve"> </w:t>
                      </w:r>
                      <w:r w:rsidRPr="004E0302">
                        <w:rPr>
                          <w:rFonts w:cs="Arial"/>
                          <w:color w:val="FFFFFF"/>
                          <w:spacing w:val="-1"/>
                          <w:sz w:val="20"/>
                        </w:rPr>
                        <w:t>make</w:t>
                      </w:r>
                      <w:r w:rsidRPr="004E0302">
                        <w:rPr>
                          <w:rFonts w:cs="Arial"/>
                          <w:color w:val="FFFFFF"/>
                          <w:spacing w:val="28"/>
                          <w:sz w:val="20"/>
                        </w:rPr>
                        <w:t xml:space="preserve"> </w:t>
                      </w:r>
                      <w:r w:rsidRPr="004E0302">
                        <w:rPr>
                          <w:rFonts w:cs="Arial"/>
                          <w:color w:val="FFFFFF"/>
                          <w:spacing w:val="-1"/>
                          <w:sz w:val="20"/>
                        </w:rPr>
                        <w:t>reasonable</w:t>
                      </w:r>
                      <w:r w:rsidRPr="004E0302">
                        <w:rPr>
                          <w:rFonts w:cs="Arial"/>
                          <w:color w:val="FFFFFF"/>
                          <w:spacing w:val="28"/>
                          <w:sz w:val="20"/>
                        </w:rPr>
                        <w:t xml:space="preserve"> </w:t>
                      </w:r>
                      <w:r w:rsidRPr="004E0302">
                        <w:rPr>
                          <w:rFonts w:cs="Arial"/>
                          <w:color w:val="FFFFFF"/>
                          <w:spacing w:val="-1"/>
                          <w:sz w:val="20"/>
                        </w:rPr>
                        <w:t>adjustments.</w:t>
                      </w:r>
                      <w:r w:rsidRPr="004E0302">
                        <w:rPr>
                          <w:rFonts w:cs="Arial"/>
                          <w:color w:val="FFFFFF"/>
                          <w:spacing w:val="58"/>
                          <w:sz w:val="20"/>
                        </w:rPr>
                        <w:t xml:space="preserve"> </w:t>
                      </w:r>
                      <w:r w:rsidRPr="004E0302">
                        <w:rPr>
                          <w:rFonts w:cs="Arial"/>
                          <w:color w:val="FFFFFF"/>
                          <w:sz w:val="20"/>
                        </w:rPr>
                        <w:t>In</w:t>
                      </w:r>
                      <w:r w:rsidRPr="004E0302">
                        <w:rPr>
                          <w:rFonts w:cs="Arial"/>
                          <w:color w:val="FFFFFF"/>
                          <w:spacing w:val="29"/>
                          <w:sz w:val="20"/>
                        </w:rPr>
                        <w:t xml:space="preserve"> </w:t>
                      </w:r>
                      <w:r w:rsidRPr="004E0302">
                        <w:rPr>
                          <w:rFonts w:cs="Arial"/>
                          <w:color w:val="FFFFFF"/>
                          <w:spacing w:val="-1"/>
                          <w:sz w:val="20"/>
                        </w:rPr>
                        <w:t>order</w:t>
                      </w:r>
                      <w:r w:rsidRPr="004E0302">
                        <w:rPr>
                          <w:rFonts w:cs="Arial"/>
                          <w:color w:val="FFFFFF"/>
                          <w:spacing w:val="30"/>
                          <w:sz w:val="20"/>
                        </w:rPr>
                        <w:t xml:space="preserve"> </w:t>
                      </w:r>
                      <w:r w:rsidRPr="004E0302">
                        <w:rPr>
                          <w:rFonts w:cs="Arial"/>
                          <w:color w:val="FFFFFF"/>
                          <w:sz w:val="20"/>
                        </w:rPr>
                        <w:t>to</w:t>
                      </w:r>
                      <w:r w:rsidRPr="004E0302">
                        <w:rPr>
                          <w:rFonts w:cs="Arial"/>
                          <w:color w:val="FFFFFF"/>
                          <w:spacing w:val="61"/>
                          <w:sz w:val="20"/>
                        </w:rPr>
                        <w:t xml:space="preserve"> </w:t>
                      </w:r>
                      <w:r w:rsidRPr="004E0302">
                        <w:rPr>
                          <w:rFonts w:cs="Arial"/>
                          <w:color w:val="FFFFFF"/>
                          <w:spacing w:val="-1"/>
                          <w:sz w:val="20"/>
                        </w:rPr>
                        <w:t>comply</w:t>
                      </w:r>
                      <w:r w:rsidRPr="004E0302">
                        <w:rPr>
                          <w:rFonts w:cs="Arial"/>
                          <w:color w:val="FFFFFF"/>
                          <w:spacing w:val="38"/>
                          <w:sz w:val="20"/>
                        </w:rPr>
                        <w:t xml:space="preserve"> </w:t>
                      </w:r>
                      <w:r w:rsidRPr="004E0302">
                        <w:rPr>
                          <w:rFonts w:cs="Arial"/>
                          <w:color w:val="FFFFFF"/>
                          <w:spacing w:val="-1"/>
                          <w:sz w:val="20"/>
                        </w:rPr>
                        <w:t>with</w:t>
                      </w:r>
                      <w:r w:rsidRPr="004E0302">
                        <w:rPr>
                          <w:rFonts w:cs="Arial"/>
                          <w:color w:val="FFFFFF"/>
                          <w:spacing w:val="38"/>
                          <w:sz w:val="20"/>
                        </w:rPr>
                        <w:t xml:space="preserve"> </w:t>
                      </w:r>
                      <w:r w:rsidRPr="004E0302">
                        <w:rPr>
                          <w:rFonts w:cs="Arial"/>
                          <w:color w:val="FFFFFF"/>
                          <w:spacing w:val="-1"/>
                          <w:sz w:val="20"/>
                        </w:rPr>
                        <w:t>the</w:t>
                      </w:r>
                      <w:r w:rsidRPr="004E0302">
                        <w:rPr>
                          <w:rFonts w:cs="Arial"/>
                          <w:color w:val="FFFFFF"/>
                          <w:spacing w:val="37"/>
                          <w:sz w:val="20"/>
                        </w:rPr>
                        <w:t xml:space="preserve"> </w:t>
                      </w:r>
                      <w:r w:rsidRPr="004E0302">
                        <w:rPr>
                          <w:rFonts w:cs="Arial"/>
                          <w:color w:val="FFFFFF"/>
                          <w:spacing w:val="-1"/>
                          <w:sz w:val="20"/>
                        </w:rPr>
                        <w:t>PSED</w:t>
                      </w:r>
                      <w:r w:rsidRPr="004E0302">
                        <w:rPr>
                          <w:rFonts w:cs="Arial"/>
                          <w:color w:val="FFFFFF"/>
                          <w:spacing w:val="40"/>
                          <w:sz w:val="20"/>
                        </w:rPr>
                        <w:t xml:space="preserve"> </w:t>
                      </w:r>
                      <w:r w:rsidRPr="004E0302">
                        <w:rPr>
                          <w:rFonts w:cs="Arial"/>
                          <w:color w:val="FFFFFF"/>
                          <w:spacing w:val="-1"/>
                          <w:sz w:val="20"/>
                        </w:rPr>
                        <w:t>NHS</w:t>
                      </w:r>
                      <w:r w:rsidRPr="004E0302">
                        <w:rPr>
                          <w:rFonts w:cs="Arial"/>
                          <w:color w:val="FFFFFF"/>
                          <w:spacing w:val="37"/>
                          <w:sz w:val="20"/>
                        </w:rPr>
                        <w:t xml:space="preserve"> </w:t>
                      </w:r>
                      <w:r w:rsidRPr="004E0302">
                        <w:rPr>
                          <w:rFonts w:cs="Arial"/>
                          <w:color w:val="FFFFFF"/>
                          <w:spacing w:val="-1"/>
                          <w:sz w:val="20"/>
                        </w:rPr>
                        <w:t>England</w:t>
                      </w:r>
                      <w:r w:rsidRPr="004E0302">
                        <w:rPr>
                          <w:rFonts w:cs="Arial"/>
                          <w:color w:val="FFFFFF"/>
                          <w:spacing w:val="37"/>
                          <w:sz w:val="20"/>
                        </w:rPr>
                        <w:t xml:space="preserve"> </w:t>
                      </w:r>
                      <w:r w:rsidRPr="004E0302">
                        <w:rPr>
                          <w:rFonts w:cs="Arial"/>
                          <w:color w:val="FFFFFF"/>
                          <w:spacing w:val="-1"/>
                          <w:sz w:val="20"/>
                        </w:rPr>
                        <w:t>takes</w:t>
                      </w:r>
                      <w:r w:rsidRPr="004E0302">
                        <w:rPr>
                          <w:rFonts w:cs="Arial"/>
                          <w:color w:val="FFFFFF"/>
                          <w:spacing w:val="39"/>
                          <w:sz w:val="20"/>
                        </w:rPr>
                        <w:t xml:space="preserve"> </w:t>
                      </w:r>
                      <w:r w:rsidRPr="004E0302">
                        <w:rPr>
                          <w:rFonts w:cs="Arial"/>
                          <w:color w:val="FFFFFF"/>
                          <w:spacing w:val="-1"/>
                          <w:sz w:val="20"/>
                        </w:rPr>
                        <w:t>steps</w:t>
                      </w:r>
                      <w:r w:rsidRPr="004E0302">
                        <w:rPr>
                          <w:rFonts w:cs="Arial"/>
                          <w:color w:val="FFFFFF"/>
                          <w:spacing w:val="39"/>
                          <w:sz w:val="20"/>
                        </w:rPr>
                        <w:t xml:space="preserve"> </w:t>
                      </w:r>
                      <w:r w:rsidRPr="004E0302">
                        <w:rPr>
                          <w:rFonts w:cs="Arial"/>
                          <w:color w:val="FFFFFF"/>
                          <w:sz w:val="20"/>
                        </w:rPr>
                        <w:t>to</w:t>
                      </w:r>
                      <w:r w:rsidRPr="004E0302">
                        <w:rPr>
                          <w:rFonts w:cs="Arial"/>
                          <w:color w:val="FFFFFF"/>
                          <w:spacing w:val="37"/>
                          <w:sz w:val="20"/>
                        </w:rPr>
                        <w:t xml:space="preserve"> </w:t>
                      </w:r>
                      <w:r w:rsidRPr="004E0302">
                        <w:rPr>
                          <w:rFonts w:cs="Arial"/>
                          <w:color w:val="FFFFFF"/>
                          <w:spacing w:val="-1"/>
                          <w:sz w:val="20"/>
                        </w:rPr>
                        <w:t>investigate</w:t>
                      </w:r>
                      <w:r w:rsidRPr="004E0302">
                        <w:rPr>
                          <w:rFonts w:cs="Arial"/>
                          <w:color w:val="FFFFFF"/>
                          <w:spacing w:val="37"/>
                          <w:sz w:val="20"/>
                        </w:rPr>
                        <w:t xml:space="preserve"> </w:t>
                      </w:r>
                      <w:r w:rsidRPr="004E0302">
                        <w:rPr>
                          <w:rFonts w:cs="Arial"/>
                          <w:color w:val="FFFFFF"/>
                          <w:spacing w:val="-1"/>
                          <w:sz w:val="20"/>
                        </w:rPr>
                        <w:t>and</w:t>
                      </w:r>
                      <w:r w:rsidRPr="004E0302">
                        <w:rPr>
                          <w:rFonts w:cs="Arial"/>
                          <w:color w:val="FFFFFF"/>
                          <w:spacing w:val="55"/>
                          <w:sz w:val="20"/>
                        </w:rPr>
                        <w:t xml:space="preserve"> </w:t>
                      </w:r>
                      <w:r w:rsidRPr="004E0302">
                        <w:rPr>
                          <w:rFonts w:cs="Arial"/>
                          <w:color w:val="FFFFFF"/>
                          <w:spacing w:val="-1"/>
                          <w:sz w:val="20"/>
                        </w:rPr>
                        <w:t>enforcement</w:t>
                      </w:r>
                      <w:r w:rsidRPr="004E0302">
                        <w:rPr>
                          <w:rFonts w:cs="Arial"/>
                          <w:color w:val="FFFFFF"/>
                          <w:spacing w:val="-6"/>
                          <w:sz w:val="20"/>
                        </w:rPr>
                        <w:t xml:space="preserve"> </w:t>
                      </w:r>
                      <w:r w:rsidRPr="004E0302">
                        <w:rPr>
                          <w:rFonts w:cs="Arial"/>
                          <w:color w:val="FFFFFF"/>
                          <w:spacing w:val="-1"/>
                          <w:sz w:val="20"/>
                        </w:rPr>
                        <w:t>action</w:t>
                      </w:r>
                      <w:r w:rsidRPr="004E0302">
                        <w:rPr>
                          <w:rFonts w:cs="Arial"/>
                          <w:color w:val="FFFFFF"/>
                          <w:spacing w:val="-6"/>
                          <w:sz w:val="20"/>
                        </w:rPr>
                        <w:t xml:space="preserve"> </w:t>
                      </w:r>
                      <w:r w:rsidRPr="004E0302">
                        <w:rPr>
                          <w:rFonts w:cs="Arial"/>
                          <w:color w:val="FFFFFF"/>
                          <w:sz w:val="20"/>
                        </w:rPr>
                        <w:t>if</w:t>
                      </w:r>
                      <w:r w:rsidRPr="004E0302">
                        <w:rPr>
                          <w:rFonts w:cs="Arial"/>
                          <w:color w:val="FFFFFF"/>
                          <w:spacing w:val="-10"/>
                          <w:sz w:val="20"/>
                        </w:rPr>
                        <w:t xml:space="preserve"> </w:t>
                      </w:r>
                      <w:r w:rsidRPr="004E0302">
                        <w:rPr>
                          <w:rFonts w:cs="Arial"/>
                          <w:color w:val="FFFFFF"/>
                          <w:spacing w:val="-1"/>
                          <w:sz w:val="20"/>
                        </w:rPr>
                        <w:t>needed.</w:t>
                      </w:r>
                    </w:p>
                  </w:txbxContent>
                </v:textbox>
                <w10:anchorlock/>
              </v:shape>
            </w:pict>
          </mc:Fallback>
        </mc:AlternateContent>
      </w:r>
    </w:p>
    <w:p w14:paraId="300BD7A2" w14:textId="77777777" w:rsidR="00DB7F92" w:rsidRPr="00DB7F92" w:rsidRDefault="00DB7F92" w:rsidP="00DB7F92">
      <w:pPr>
        <w:jc w:val="both"/>
        <w:rPr>
          <w:rFonts w:eastAsia="Segoe UI Semilight" w:cs="Arial"/>
          <w:sz w:val="20"/>
          <w:szCs w:val="20"/>
        </w:rPr>
      </w:pPr>
    </w:p>
    <w:p w14:paraId="515C3865" w14:textId="77777777" w:rsidR="00DB7F92" w:rsidRPr="00DB7F92" w:rsidRDefault="00DB7F92" w:rsidP="00DB7F92">
      <w:pPr>
        <w:spacing w:before="4"/>
        <w:jc w:val="both"/>
        <w:rPr>
          <w:rFonts w:eastAsia="Segoe UI Semilight" w:cs="Arial"/>
          <w:sz w:val="20"/>
          <w:szCs w:val="20"/>
        </w:rPr>
      </w:pPr>
    </w:p>
    <w:p w14:paraId="5945E4A8" w14:textId="36D219A4" w:rsidR="00DB7F92" w:rsidRPr="00DB7F92" w:rsidRDefault="00DB7F92" w:rsidP="00DD5D2D">
      <w:pPr>
        <w:pStyle w:val="Heading3"/>
        <w:jc w:val="both"/>
        <w:rPr>
          <w:lang w:eastAsia="en-GB"/>
        </w:rPr>
      </w:pPr>
      <w:r w:rsidRPr="00DB7F92">
        <w:rPr>
          <w:lang w:eastAsia="en-GB"/>
        </w:rPr>
        <w:t>Carrying</w:t>
      </w:r>
      <w:r w:rsidRPr="00DD5D2D">
        <w:rPr>
          <w:spacing w:val="7"/>
          <w:lang w:eastAsia="en-GB"/>
        </w:rPr>
        <w:t xml:space="preserve"> </w:t>
      </w:r>
      <w:r w:rsidRPr="00DB7F92">
        <w:rPr>
          <w:lang w:eastAsia="en-GB"/>
        </w:rPr>
        <w:t>out</w:t>
      </w:r>
      <w:r w:rsidRPr="00DD5D2D">
        <w:rPr>
          <w:spacing w:val="8"/>
          <w:lang w:eastAsia="en-GB"/>
        </w:rPr>
        <w:t xml:space="preserve"> </w:t>
      </w:r>
      <w:r w:rsidRPr="00DB7F92">
        <w:rPr>
          <w:lang w:eastAsia="en-GB"/>
        </w:rPr>
        <w:t>appropriate</w:t>
      </w:r>
      <w:r w:rsidRPr="00DD5D2D">
        <w:rPr>
          <w:spacing w:val="7"/>
          <w:lang w:eastAsia="en-GB"/>
        </w:rPr>
        <w:t xml:space="preserve"> </w:t>
      </w:r>
      <w:r w:rsidRPr="00DB7F92">
        <w:rPr>
          <w:lang w:eastAsia="en-GB"/>
        </w:rPr>
        <w:t>equality</w:t>
      </w:r>
      <w:r w:rsidRPr="00DD5D2D">
        <w:rPr>
          <w:spacing w:val="8"/>
          <w:lang w:eastAsia="en-GB"/>
        </w:rPr>
        <w:t xml:space="preserve"> and health inequalities </w:t>
      </w:r>
      <w:r w:rsidRPr="00DB7F92">
        <w:rPr>
          <w:lang w:eastAsia="en-GB"/>
        </w:rPr>
        <w:t>impact</w:t>
      </w:r>
      <w:r w:rsidRPr="00DD5D2D">
        <w:rPr>
          <w:spacing w:val="8"/>
          <w:lang w:eastAsia="en-GB"/>
        </w:rPr>
        <w:t xml:space="preserve"> </w:t>
      </w:r>
      <w:r w:rsidRPr="00DB7F92">
        <w:rPr>
          <w:lang w:eastAsia="en-GB"/>
        </w:rPr>
        <w:t>assessments</w:t>
      </w:r>
      <w:r w:rsidRPr="00DD5D2D">
        <w:rPr>
          <w:spacing w:val="8"/>
          <w:lang w:eastAsia="en-GB"/>
        </w:rPr>
        <w:t xml:space="preserve"> (EHIAs) </w:t>
      </w:r>
      <w:r w:rsidRPr="00DB7F92">
        <w:rPr>
          <w:lang w:eastAsia="en-GB"/>
        </w:rPr>
        <w:t>is</w:t>
      </w:r>
      <w:r w:rsidRPr="00DD5D2D">
        <w:rPr>
          <w:spacing w:val="9"/>
          <w:lang w:eastAsia="en-GB"/>
        </w:rPr>
        <w:t xml:space="preserve"> </w:t>
      </w:r>
      <w:r w:rsidRPr="00DB7F92">
        <w:rPr>
          <w:lang w:eastAsia="en-GB"/>
        </w:rPr>
        <w:t>usually</w:t>
      </w:r>
      <w:r w:rsidRPr="00DD5D2D">
        <w:rPr>
          <w:spacing w:val="8"/>
          <w:lang w:eastAsia="en-GB"/>
        </w:rPr>
        <w:t xml:space="preserve"> </w:t>
      </w:r>
      <w:r w:rsidRPr="00DB7F92">
        <w:rPr>
          <w:lang w:eastAsia="en-GB"/>
        </w:rPr>
        <w:t>critical</w:t>
      </w:r>
      <w:r w:rsidRPr="00DD5D2D">
        <w:rPr>
          <w:spacing w:val="7"/>
          <w:lang w:eastAsia="en-GB"/>
        </w:rPr>
        <w:t xml:space="preserve"> </w:t>
      </w:r>
      <w:r w:rsidRPr="00DB7F92">
        <w:rPr>
          <w:lang w:eastAsia="en-GB"/>
        </w:rPr>
        <w:t>to</w:t>
      </w:r>
      <w:r w:rsidRPr="00DD5D2D">
        <w:rPr>
          <w:spacing w:val="75"/>
          <w:lang w:eastAsia="en-GB"/>
        </w:rPr>
        <w:t xml:space="preserve"> </w:t>
      </w:r>
      <w:r w:rsidRPr="00DB7F92">
        <w:rPr>
          <w:lang w:eastAsia="en-GB"/>
        </w:rPr>
        <w:t>proving</w:t>
      </w:r>
      <w:r w:rsidRPr="00DD5D2D">
        <w:rPr>
          <w:spacing w:val="44"/>
          <w:lang w:eastAsia="en-GB"/>
        </w:rPr>
        <w:t xml:space="preserve"> </w:t>
      </w:r>
      <w:r w:rsidRPr="00DB7F92">
        <w:rPr>
          <w:lang w:eastAsia="en-GB"/>
        </w:rPr>
        <w:t>discharge</w:t>
      </w:r>
      <w:r w:rsidRPr="00DD5D2D">
        <w:rPr>
          <w:spacing w:val="48"/>
          <w:lang w:eastAsia="en-GB"/>
        </w:rPr>
        <w:t xml:space="preserve"> </w:t>
      </w:r>
      <w:r w:rsidRPr="00DB7F92">
        <w:rPr>
          <w:lang w:eastAsia="en-GB"/>
        </w:rPr>
        <w:t>of</w:t>
      </w:r>
      <w:r w:rsidRPr="00DD5D2D">
        <w:rPr>
          <w:spacing w:val="45"/>
          <w:lang w:eastAsia="en-GB"/>
        </w:rPr>
        <w:t xml:space="preserve"> </w:t>
      </w:r>
      <w:r w:rsidRPr="00DB7F92">
        <w:rPr>
          <w:lang w:eastAsia="en-GB"/>
        </w:rPr>
        <w:t>the</w:t>
      </w:r>
      <w:r w:rsidRPr="00DD5D2D">
        <w:rPr>
          <w:spacing w:val="45"/>
          <w:lang w:eastAsia="en-GB"/>
        </w:rPr>
        <w:t xml:space="preserve"> </w:t>
      </w:r>
      <w:r w:rsidRPr="00DB7F92">
        <w:rPr>
          <w:lang w:eastAsia="en-GB"/>
        </w:rPr>
        <w:t>PSED,</w:t>
      </w:r>
      <w:r w:rsidRPr="00DD5D2D">
        <w:rPr>
          <w:spacing w:val="46"/>
          <w:lang w:eastAsia="en-GB"/>
        </w:rPr>
        <w:t xml:space="preserve"> </w:t>
      </w:r>
      <w:r w:rsidRPr="00DB7F92">
        <w:rPr>
          <w:lang w:eastAsia="en-GB"/>
        </w:rPr>
        <w:t>although</w:t>
      </w:r>
      <w:r w:rsidRPr="00DD5D2D">
        <w:rPr>
          <w:spacing w:val="46"/>
          <w:lang w:eastAsia="en-GB"/>
        </w:rPr>
        <w:t xml:space="preserve"> </w:t>
      </w:r>
      <w:r w:rsidRPr="00DB7F92">
        <w:rPr>
          <w:lang w:eastAsia="en-GB"/>
        </w:rPr>
        <w:t>they</w:t>
      </w:r>
      <w:r w:rsidRPr="00DD5D2D">
        <w:rPr>
          <w:spacing w:val="47"/>
          <w:lang w:eastAsia="en-GB"/>
        </w:rPr>
        <w:t xml:space="preserve"> </w:t>
      </w:r>
      <w:r w:rsidRPr="00DB7F92">
        <w:rPr>
          <w:lang w:eastAsia="en-GB"/>
        </w:rPr>
        <w:t>are</w:t>
      </w:r>
      <w:r w:rsidRPr="00DD5D2D">
        <w:rPr>
          <w:spacing w:val="45"/>
          <w:lang w:eastAsia="en-GB"/>
        </w:rPr>
        <w:t xml:space="preserve"> </w:t>
      </w:r>
      <w:r w:rsidRPr="00DB7F92">
        <w:rPr>
          <w:lang w:eastAsia="en-GB"/>
        </w:rPr>
        <w:t>not</w:t>
      </w:r>
      <w:r w:rsidRPr="00DD5D2D">
        <w:rPr>
          <w:spacing w:val="46"/>
          <w:lang w:eastAsia="en-GB"/>
        </w:rPr>
        <w:t xml:space="preserve"> </w:t>
      </w:r>
      <w:r w:rsidRPr="00DB7F92">
        <w:rPr>
          <w:lang w:eastAsia="en-GB"/>
        </w:rPr>
        <w:t>as</w:t>
      </w:r>
      <w:r w:rsidRPr="00DD5D2D">
        <w:rPr>
          <w:spacing w:val="47"/>
          <w:lang w:eastAsia="en-GB"/>
        </w:rPr>
        <w:t xml:space="preserve"> </w:t>
      </w:r>
      <w:r w:rsidRPr="00DB7F92">
        <w:rPr>
          <w:lang w:eastAsia="en-GB"/>
        </w:rPr>
        <w:t>such</w:t>
      </w:r>
      <w:r w:rsidRPr="00DD5D2D">
        <w:rPr>
          <w:spacing w:val="46"/>
          <w:lang w:eastAsia="en-GB"/>
        </w:rPr>
        <w:t xml:space="preserve"> </w:t>
      </w:r>
      <w:r w:rsidRPr="00DB7F92">
        <w:rPr>
          <w:lang w:eastAsia="en-GB"/>
        </w:rPr>
        <w:t>a</w:t>
      </w:r>
      <w:r w:rsidRPr="00DD5D2D">
        <w:rPr>
          <w:spacing w:val="46"/>
          <w:lang w:eastAsia="en-GB"/>
        </w:rPr>
        <w:t xml:space="preserve"> </w:t>
      </w:r>
      <w:r w:rsidRPr="00DB7F92">
        <w:rPr>
          <w:lang w:eastAsia="en-GB"/>
        </w:rPr>
        <w:t>legal</w:t>
      </w:r>
      <w:r w:rsidRPr="00DD5D2D">
        <w:rPr>
          <w:spacing w:val="49"/>
          <w:w w:val="99"/>
          <w:lang w:eastAsia="en-GB"/>
        </w:rPr>
        <w:t xml:space="preserve"> </w:t>
      </w:r>
      <w:r w:rsidRPr="00DB7F92">
        <w:rPr>
          <w:lang w:eastAsia="en-GB"/>
        </w:rPr>
        <w:t>requirement.</w:t>
      </w:r>
      <w:r w:rsidRPr="00DD5D2D">
        <w:rPr>
          <w:spacing w:val="21"/>
          <w:lang w:eastAsia="en-GB"/>
        </w:rPr>
        <w:t xml:space="preserve"> </w:t>
      </w:r>
      <w:r w:rsidRPr="00DB7F92">
        <w:rPr>
          <w:lang w:eastAsia="en-GB"/>
        </w:rPr>
        <w:t>This</w:t>
      </w:r>
      <w:r w:rsidRPr="00DD5D2D">
        <w:rPr>
          <w:spacing w:val="11"/>
          <w:lang w:eastAsia="en-GB"/>
        </w:rPr>
        <w:t xml:space="preserve"> </w:t>
      </w:r>
      <w:r w:rsidRPr="00DB7F92">
        <w:rPr>
          <w:lang w:eastAsia="en-GB"/>
        </w:rPr>
        <w:t>is</w:t>
      </w:r>
      <w:r w:rsidRPr="00DD5D2D">
        <w:rPr>
          <w:spacing w:val="11"/>
          <w:lang w:eastAsia="en-GB"/>
        </w:rPr>
        <w:t xml:space="preserve"> </w:t>
      </w:r>
      <w:r w:rsidRPr="00DD5D2D">
        <w:rPr>
          <w:spacing w:val="-2"/>
          <w:lang w:eastAsia="en-GB"/>
        </w:rPr>
        <w:t>because</w:t>
      </w:r>
      <w:r w:rsidRPr="00DD5D2D">
        <w:rPr>
          <w:spacing w:val="9"/>
          <w:lang w:eastAsia="en-GB"/>
        </w:rPr>
        <w:t xml:space="preserve"> </w:t>
      </w:r>
      <w:r w:rsidRPr="00DB7F92">
        <w:rPr>
          <w:lang w:eastAsia="en-GB"/>
        </w:rPr>
        <w:t>if</w:t>
      </w:r>
      <w:r w:rsidRPr="00DD5D2D">
        <w:rPr>
          <w:spacing w:val="9"/>
          <w:lang w:eastAsia="en-GB"/>
        </w:rPr>
        <w:t xml:space="preserve"> </w:t>
      </w:r>
      <w:r w:rsidRPr="00DB7F92">
        <w:rPr>
          <w:lang w:eastAsia="en-GB"/>
        </w:rPr>
        <w:t>there</w:t>
      </w:r>
      <w:r w:rsidRPr="00DD5D2D">
        <w:rPr>
          <w:spacing w:val="9"/>
          <w:lang w:eastAsia="en-GB"/>
        </w:rPr>
        <w:t xml:space="preserve"> </w:t>
      </w:r>
      <w:r w:rsidRPr="00DB7F92">
        <w:rPr>
          <w:lang w:eastAsia="en-GB"/>
        </w:rPr>
        <w:t>is</w:t>
      </w:r>
      <w:r w:rsidRPr="00DD5D2D">
        <w:rPr>
          <w:spacing w:val="11"/>
          <w:lang w:eastAsia="en-GB"/>
        </w:rPr>
        <w:t xml:space="preserve"> </w:t>
      </w:r>
      <w:r w:rsidRPr="00DB7F92">
        <w:rPr>
          <w:lang w:eastAsia="en-GB"/>
        </w:rPr>
        <w:t>no</w:t>
      </w:r>
      <w:r w:rsidRPr="00DD5D2D">
        <w:rPr>
          <w:spacing w:val="9"/>
          <w:lang w:eastAsia="en-GB"/>
        </w:rPr>
        <w:t xml:space="preserve"> </w:t>
      </w:r>
      <w:r w:rsidRPr="00DB7F92">
        <w:rPr>
          <w:lang w:eastAsia="en-GB"/>
        </w:rPr>
        <w:t>assessment</w:t>
      </w:r>
      <w:r w:rsidRPr="00DD5D2D">
        <w:rPr>
          <w:spacing w:val="10"/>
          <w:lang w:eastAsia="en-GB"/>
        </w:rPr>
        <w:t xml:space="preserve"> </w:t>
      </w:r>
      <w:r w:rsidRPr="00DB7F92">
        <w:rPr>
          <w:lang w:eastAsia="en-GB"/>
        </w:rPr>
        <w:t>of</w:t>
      </w:r>
      <w:r w:rsidRPr="00DD5D2D">
        <w:rPr>
          <w:spacing w:val="9"/>
          <w:lang w:eastAsia="en-GB"/>
        </w:rPr>
        <w:t xml:space="preserve"> </w:t>
      </w:r>
      <w:r w:rsidRPr="00DB7F92">
        <w:rPr>
          <w:lang w:eastAsia="en-GB"/>
        </w:rPr>
        <w:t>the</w:t>
      </w:r>
      <w:r w:rsidRPr="00DD5D2D">
        <w:rPr>
          <w:spacing w:val="9"/>
          <w:lang w:eastAsia="en-GB"/>
        </w:rPr>
        <w:t xml:space="preserve"> </w:t>
      </w:r>
      <w:r w:rsidRPr="00DB7F92">
        <w:rPr>
          <w:lang w:eastAsia="en-GB"/>
        </w:rPr>
        <w:t>impact</w:t>
      </w:r>
      <w:r w:rsidRPr="00DD5D2D">
        <w:rPr>
          <w:spacing w:val="11"/>
          <w:lang w:eastAsia="en-GB"/>
        </w:rPr>
        <w:t xml:space="preserve"> </w:t>
      </w:r>
      <w:r w:rsidRPr="00DB7F92">
        <w:rPr>
          <w:lang w:eastAsia="en-GB"/>
        </w:rPr>
        <w:t>of</w:t>
      </w:r>
      <w:r w:rsidRPr="00DD5D2D">
        <w:rPr>
          <w:spacing w:val="9"/>
          <w:lang w:eastAsia="en-GB"/>
        </w:rPr>
        <w:t xml:space="preserve"> </w:t>
      </w:r>
      <w:r w:rsidRPr="00DB7F92">
        <w:rPr>
          <w:lang w:eastAsia="en-GB"/>
        </w:rPr>
        <w:t>a</w:t>
      </w:r>
      <w:r w:rsidRPr="00DD5D2D">
        <w:rPr>
          <w:spacing w:val="59"/>
          <w:w w:val="99"/>
          <w:lang w:eastAsia="en-GB"/>
        </w:rPr>
        <w:t xml:space="preserve"> </w:t>
      </w:r>
      <w:r w:rsidRPr="00DB7F92">
        <w:rPr>
          <w:lang w:eastAsia="en-GB"/>
        </w:rPr>
        <w:t>possible</w:t>
      </w:r>
      <w:r w:rsidRPr="00DD5D2D">
        <w:rPr>
          <w:spacing w:val="20"/>
          <w:lang w:eastAsia="en-GB"/>
        </w:rPr>
        <w:t xml:space="preserve"> </w:t>
      </w:r>
      <w:r w:rsidRPr="00DB7F92">
        <w:rPr>
          <w:lang w:eastAsia="en-GB"/>
        </w:rPr>
        <w:t>change</w:t>
      </w:r>
      <w:r w:rsidRPr="00DD5D2D">
        <w:rPr>
          <w:spacing w:val="21"/>
          <w:lang w:eastAsia="en-GB"/>
        </w:rPr>
        <w:t xml:space="preserve"> </w:t>
      </w:r>
      <w:r w:rsidRPr="00DB7F92">
        <w:rPr>
          <w:lang w:eastAsia="en-GB"/>
        </w:rPr>
        <w:t>on</w:t>
      </w:r>
      <w:r w:rsidRPr="00DD5D2D">
        <w:rPr>
          <w:spacing w:val="22"/>
          <w:lang w:eastAsia="en-GB"/>
        </w:rPr>
        <w:t xml:space="preserve"> </w:t>
      </w:r>
      <w:r w:rsidRPr="00DB7F92">
        <w:rPr>
          <w:lang w:eastAsia="en-GB"/>
        </w:rPr>
        <w:t>groups</w:t>
      </w:r>
      <w:r w:rsidRPr="00DD5D2D">
        <w:rPr>
          <w:spacing w:val="20"/>
          <w:lang w:eastAsia="en-GB"/>
        </w:rPr>
        <w:t xml:space="preserve"> </w:t>
      </w:r>
      <w:r w:rsidRPr="00DB7F92">
        <w:rPr>
          <w:lang w:eastAsia="en-GB"/>
        </w:rPr>
        <w:t>with</w:t>
      </w:r>
      <w:r w:rsidRPr="00DD5D2D">
        <w:rPr>
          <w:spacing w:val="22"/>
          <w:lang w:eastAsia="en-GB"/>
        </w:rPr>
        <w:t xml:space="preserve"> </w:t>
      </w:r>
      <w:r w:rsidRPr="00DB7F92">
        <w:rPr>
          <w:lang w:eastAsia="en-GB"/>
        </w:rPr>
        <w:t>protected</w:t>
      </w:r>
      <w:r w:rsidRPr="00DD5D2D">
        <w:rPr>
          <w:spacing w:val="19"/>
          <w:lang w:eastAsia="en-GB"/>
        </w:rPr>
        <w:t xml:space="preserve"> </w:t>
      </w:r>
      <w:r w:rsidRPr="00DB7F92">
        <w:rPr>
          <w:lang w:eastAsia="en-GB"/>
        </w:rPr>
        <w:t>characteristics,</w:t>
      </w:r>
      <w:r w:rsidRPr="00DD5D2D">
        <w:rPr>
          <w:spacing w:val="19"/>
          <w:lang w:eastAsia="en-GB"/>
        </w:rPr>
        <w:t xml:space="preserve"> </w:t>
      </w:r>
      <w:r w:rsidRPr="00DB7F92">
        <w:rPr>
          <w:lang w:eastAsia="en-GB"/>
        </w:rPr>
        <w:t>it</w:t>
      </w:r>
      <w:r w:rsidRPr="00DD5D2D">
        <w:rPr>
          <w:spacing w:val="21"/>
          <w:lang w:eastAsia="en-GB"/>
        </w:rPr>
        <w:t xml:space="preserve"> </w:t>
      </w:r>
      <w:r w:rsidRPr="00DB7F92">
        <w:rPr>
          <w:lang w:eastAsia="en-GB"/>
        </w:rPr>
        <w:t>is</w:t>
      </w:r>
      <w:r w:rsidRPr="00DD5D2D">
        <w:rPr>
          <w:spacing w:val="22"/>
          <w:lang w:eastAsia="en-GB"/>
        </w:rPr>
        <w:t xml:space="preserve"> </w:t>
      </w:r>
      <w:r w:rsidRPr="00DB7F92">
        <w:rPr>
          <w:lang w:eastAsia="en-GB"/>
        </w:rPr>
        <w:t>very</w:t>
      </w:r>
      <w:r w:rsidRPr="00DD5D2D">
        <w:rPr>
          <w:spacing w:val="63"/>
          <w:lang w:eastAsia="en-GB"/>
        </w:rPr>
        <w:t xml:space="preserve"> </w:t>
      </w:r>
      <w:r w:rsidRPr="00DB7F92">
        <w:rPr>
          <w:lang w:eastAsia="en-GB"/>
        </w:rPr>
        <w:t>difficult</w:t>
      </w:r>
      <w:r w:rsidRPr="00DD5D2D">
        <w:rPr>
          <w:spacing w:val="-3"/>
          <w:lang w:eastAsia="en-GB"/>
        </w:rPr>
        <w:t xml:space="preserve"> </w:t>
      </w:r>
      <w:r w:rsidRPr="00DB7F92">
        <w:rPr>
          <w:lang w:eastAsia="en-GB"/>
        </w:rPr>
        <w:t>to</w:t>
      </w:r>
      <w:r w:rsidRPr="00DD5D2D">
        <w:rPr>
          <w:spacing w:val="-3"/>
          <w:lang w:eastAsia="en-GB"/>
        </w:rPr>
        <w:t xml:space="preserve"> </w:t>
      </w:r>
      <w:r w:rsidRPr="00DB7F92">
        <w:rPr>
          <w:lang w:eastAsia="en-GB"/>
        </w:rPr>
        <w:t>argue</w:t>
      </w:r>
      <w:r w:rsidRPr="00DD5D2D">
        <w:rPr>
          <w:spacing w:val="-4"/>
          <w:lang w:eastAsia="en-GB"/>
        </w:rPr>
        <w:t xml:space="preserve"> </w:t>
      </w:r>
      <w:r w:rsidRPr="00DB7F92">
        <w:rPr>
          <w:lang w:eastAsia="en-GB"/>
        </w:rPr>
        <w:t>that</w:t>
      </w:r>
      <w:r w:rsidRPr="00DD5D2D">
        <w:rPr>
          <w:spacing w:val="-2"/>
          <w:lang w:eastAsia="en-GB"/>
        </w:rPr>
        <w:t xml:space="preserve"> </w:t>
      </w:r>
      <w:r w:rsidRPr="00DB7F92">
        <w:rPr>
          <w:lang w:eastAsia="en-GB"/>
        </w:rPr>
        <w:t>the commissioner</w:t>
      </w:r>
      <w:r w:rsidRPr="00DD5D2D">
        <w:rPr>
          <w:spacing w:val="-3"/>
          <w:lang w:eastAsia="en-GB"/>
        </w:rPr>
        <w:t xml:space="preserve"> </w:t>
      </w:r>
      <w:r w:rsidRPr="00DB7F92">
        <w:rPr>
          <w:lang w:eastAsia="en-GB"/>
        </w:rPr>
        <w:t>had</w:t>
      </w:r>
      <w:r w:rsidRPr="00DD5D2D">
        <w:rPr>
          <w:spacing w:val="-4"/>
          <w:lang w:eastAsia="en-GB"/>
        </w:rPr>
        <w:t xml:space="preserve"> </w:t>
      </w:r>
      <w:r w:rsidRPr="00DB7F92">
        <w:rPr>
          <w:lang w:eastAsia="en-GB"/>
        </w:rPr>
        <w:t>the impact</w:t>
      </w:r>
      <w:r w:rsidRPr="00DD5D2D">
        <w:rPr>
          <w:spacing w:val="-3"/>
          <w:lang w:eastAsia="en-GB"/>
        </w:rPr>
        <w:t xml:space="preserve"> </w:t>
      </w:r>
      <w:r w:rsidRPr="00DB7F92">
        <w:rPr>
          <w:lang w:eastAsia="en-GB"/>
        </w:rPr>
        <w:t>properly</w:t>
      </w:r>
      <w:r w:rsidRPr="00DD5D2D">
        <w:rPr>
          <w:spacing w:val="-2"/>
          <w:lang w:eastAsia="en-GB"/>
        </w:rPr>
        <w:t xml:space="preserve"> </w:t>
      </w:r>
      <w:r w:rsidRPr="00DB7F92">
        <w:rPr>
          <w:lang w:eastAsia="en-GB"/>
        </w:rPr>
        <w:t>in</w:t>
      </w:r>
      <w:r w:rsidRPr="00DD5D2D">
        <w:rPr>
          <w:spacing w:val="-3"/>
          <w:lang w:eastAsia="en-GB"/>
        </w:rPr>
        <w:t xml:space="preserve"> </w:t>
      </w:r>
      <w:r w:rsidRPr="00DB7F92">
        <w:rPr>
          <w:lang w:eastAsia="en-GB"/>
        </w:rPr>
        <w:t>mind when it made its decision.</w:t>
      </w:r>
      <w:r w:rsidRPr="00DB7F92">
        <w:rPr>
          <w:lang w:eastAsia="en-GB"/>
        </w:rPr>
        <w:tab/>
        <w:t>This is the case even if the impact on protected groups is minimal.</w:t>
      </w:r>
    </w:p>
    <w:p w14:paraId="6961E522" w14:textId="77777777" w:rsidR="00DB7F92" w:rsidRPr="00DB7F92" w:rsidRDefault="00DB7F92" w:rsidP="00DD5D2D">
      <w:pPr>
        <w:pStyle w:val="Heading3"/>
        <w:jc w:val="both"/>
        <w:rPr>
          <w:rFonts w:eastAsia="Segoe UI Semilight"/>
        </w:rPr>
      </w:pPr>
      <w:r w:rsidRPr="00DB7F92">
        <w:rPr>
          <w:rFonts w:eastAsia="Segoe UI Semilight"/>
        </w:rPr>
        <w:t xml:space="preserve">It is not always easy to assess equality impact.  A robust service user involvement exercise will help the commissioner identify any issues.  It is </w:t>
      </w:r>
      <w:r w:rsidRPr="00DB7F92">
        <w:rPr>
          <w:rFonts w:eastAsia="Segoe UI Semilight"/>
        </w:rPr>
        <w:lastRenderedPageBreak/>
        <w:t xml:space="preserve">advisable to ask question(s) directly aimed at equalities issues.  In many cases it is advisable to take special steps to reach seldom heard groups affected by the decisions (e.g. by working with local voluntary, community and faith sector groups and holding meetings in community venues).  The more likely a decision is to disproportionately affect a protected group, the more important it is to get feedback from that group about the decision.  Undertaking a literature search can also be helpful to see what evidence is available. NHS England’s Equality and Health Inequalities Unit has a Resource Hub with information which can be found here: </w:t>
      </w:r>
      <w:hyperlink r:id="rId23" w:history="1">
        <w:r w:rsidRPr="00DB7F92">
          <w:rPr>
            <w:rFonts w:eastAsia="Segoe UI Semilight"/>
            <w:color w:val="0000FF"/>
            <w:u w:val="single"/>
          </w:rPr>
          <w:t>https://www.england.nhs.uk/about/equality/equality-hub/</w:t>
        </w:r>
      </w:hyperlink>
      <w:r w:rsidRPr="00DB7F92">
        <w:rPr>
          <w:rFonts w:eastAsia="Segoe UI Semilight"/>
        </w:rPr>
        <w:t xml:space="preserve"> </w:t>
      </w:r>
    </w:p>
    <w:p w14:paraId="6BA03CF7" w14:textId="77777777" w:rsidR="00DB7F92" w:rsidRPr="00DB7F92" w:rsidRDefault="00DB7F92" w:rsidP="00DD5D2D">
      <w:pPr>
        <w:pStyle w:val="Heading3"/>
        <w:jc w:val="both"/>
        <w:rPr>
          <w:lang w:eastAsia="en-GB"/>
        </w:rPr>
      </w:pPr>
      <w:r w:rsidRPr="00DB7F92">
        <w:rPr>
          <w:lang w:eastAsia="en-GB"/>
        </w:rPr>
        <w:t>The</w:t>
      </w:r>
      <w:r w:rsidRPr="00DB7F92">
        <w:rPr>
          <w:spacing w:val="10"/>
          <w:lang w:eastAsia="en-GB"/>
        </w:rPr>
        <w:t xml:space="preserve"> </w:t>
      </w:r>
      <w:r w:rsidRPr="00DB7F92">
        <w:rPr>
          <w:lang w:eastAsia="en-GB"/>
        </w:rPr>
        <w:t>PSED</w:t>
      </w:r>
      <w:r w:rsidRPr="00DB7F92">
        <w:rPr>
          <w:spacing w:val="12"/>
          <w:lang w:eastAsia="en-GB"/>
        </w:rPr>
        <w:t xml:space="preserve"> </w:t>
      </w:r>
      <w:r w:rsidRPr="00DB7F92">
        <w:rPr>
          <w:lang w:eastAsia="en-GB"/>
        </w:rPr>
        <w:t>means</w:t>
      </w:r>
      <w:r w:rsidRPr="00DB7F92">
        <w:rPr>
          <w:spacing w:val="13"/>
          <w:lang w:eastAsia="en-GB"/>
        </w:rPr>
        <w:t xml:space="preserve"> </w:t>
      </w:r>
      <w:r w:rsidRPr="00DB7F92">
        <w:rPr>
          <w:lang w:eastAsia="en-GB"/>
        </w:rPr>
        <w:t>that</w:t>
      </w:r>
      <w:r w:rsidRPr="00DB7F92">
        <w:rPr>
          <w:spacing w:val="14"/>
          <w:lang w:eastAsia="en-GB"/>
        </w:rPr>
        <w:t xml:space="preserve"> </w:t>
      </w:r>
      <w:r w:rsidRPr="00DB7F92">
        <w:rPr>
          <w:lang w:eastAsia="en-GB"/>
        </w:rPr>
        <w:t>the commissioner</w:t>
      </w:r>
      <w:r w:rsidRPr="00DB7F92">
        <w:rPr>
          <w:spacing w:val="10"/>
          <w:lang w:eastAsia="en-GB"/>
        </w:rPr>
        <w:t xml:space="preserve"> </w:t>
      </w:r>
      <w:r w:rsidRPr="00DB7F92">
        <w:rPr>
          <w:lang w:eastAsia="en-GB"/>
        </w:rPr>
        <w:t>must</w:t>
      </w:r>
      <w:r w:rsidRPr="00DB7F92">
        <w:rPr>
          <w:spacing w:val="13"/>
          <w:lang w:eastAsia="en-GB"/>
        </w:rPr>
        <w:t xml:space="preserve"> </w:t>
      </w:r>
      <w:r w:rsidRPr="00DB7F92">
        <w:rPr>
          <w:lang w:eastAsia="en-GB"/>
        </w:rPr>
        <w:t>consider</w:t>
      </w:r>
      <w:r w:rsidRPr="00DB7F92">
        <w:rPr>
          <w:spacing w:val="11"/>
          <w:lang w:eastAsia="en-GB"/>
        </w:rPr>
        <w:t xml:space="preserve"> </w:t>
      </w:r>
      <w:r w:rsidRPr="00DB7F92">
        <w:rPr>
          <w:lang w:eastAsia="en-GB"/>
        </w:rPr>
        <w:t>equalities</w:t>
      </w:r>
      <w:r w:rsidRPr="00DB7F92">
        <w:rPr>
          <w:spacing w:val="12"/>
          <w:lang w:eastAsia="en-GB"/>
        </w:rPr>
        <w:t xml:space="preserve"> </w:t>
      </w:r>
      <w:r w:rsidRPr="00DB7F92">
        <w:rPr>
          <w:lang w:eastAsia="en-GB"/>
        </w:rPr>
        <w:t>issues</w:t>
      </w:r>
      <w:r w:rsidRPr="00DB7F92">
        <w:rPr>
          <w:spacing w:val="16"/>
          <w:lang w:eastAsia="en-GB"/>
        </w:rPr>
        <w:t xml:space="preserve"> </w:t>
      </w:r>
      <w:r w:rsidRPr="00DB7F92">
        <w:rPr>
          <w:lang w:eastAsia="en-GB"/>
        </w:rPr>
        <w:t>when</w:t>
      </w:r>
      <w:r w:rsidRPr="00DB7F92">
        <w:rPr>
          <w:spacing w:val="56"/>
          <w:w w:val="99"/>
          <w:lang w:eastAsia="en-GB"/>
        </w:rPr>
        <w:t xml:space="preserve"> </w:t>
      </w:r>
      <w:r w:rsidRPr="00DB7F92">
        <w:rPr>
          <w:lang w:eastAsia="en-GB"/>
        </w:rPr>
        <w:t>making</w:t>
      </w:r>
      <w:r w:rsidRPr="00DB7F92">
        <w:rPr>
          <w:spacing w:val="4"/>
          <w:lang w:eastAsia="en-GB"/>
        </w:rPr>
        <w:t xml:space="preserve"> </w:t>
      </w:r>
      <w:r w:rsidRPr="00DB7F92">
        <w:rPr>
          <w:lang w:eastAsia="en-GB"/>
        </w:rPr>
        <w:t>decisions.</w:t>
      </w:r>
      <w:r w:rsidRPr="00DB7F92">
        <w:rPr>
          <w:spacing w:val="9"/>
          <w:lang w:eastAsia="en-GB"/>
        </w:rPr>
        <w:t xml:space="preserve"> </w:t>
      </w:r>
      <w:r w:rsidRPr="00DB7F92">
        <w:rPr>
          <w:lang w:eastAsia="en-GB"/>
        </w:rPr>
        <w:t>In</w:t>
      </w:r>
      <w:r w:rsidRPr="00DB7F92">
        <w:rPr>
          <w:spacing w:val="3"/>
          <w:lang w:eastAsia="en-GB"/>
        </w:rPr>
        <w:t xml:space="preserve"> </w:t>
      </w:r>
      <w:r w:rsidRPr="00DB7F92">
        <w:rPr>
          <w:lang w:eastAsia="en-GB"/>
        </w:rPr>
        <w:t>some</w:t>
      </w:r>
      <w:r w:rsidRPr="00DB7F92">
        <w:rPr>
          <w:spacing w:val="4"/>
          <w:lang w:eastAsia="en-GB"/>
        </w:rPr>
        <w:t xml:space="preserve"> </w:t>
      </w:r>
      <w:r w:rsidRPr="00DB7F92">
        <w:rPr>
          <w:lang w:eastAsia="en-GB"/>
        </w:rPr>
        <w:t>cases</w:t>
      </w:r>
      <w:r w:rsidRPr="00DB7F92">
        <w:rPr>
          <w:spacing w:val="4"/>
          <w:lang w:eastAsia="en-GB"/>
        </w:rPr>
        <w:t xml:space="preserve"> </w:t>
      </w:r>
      <w:r w:rsidRPr="00DB7F92">
        <w:rPr>
          <w:lang w:eastAsia="en-GB"/>
        </w:rPr>
        <w:t>there</w:t>
      </w:r>
      <w:r w:rsidRPr="00DB7F92">
        <w:rPr>
          <w:spacing w:val="5"/>
          <w:lang w:eastAsia="en-GB"/>
        </w:rPr>
        <w:t xml:space="preserve"> </w:t>
      </w:r>
      <w:r w:rsidRPr="00DB7F92">
        <w:rPr>
          <w:lang w:eastAsia="en-GB"/>
        </w:rPr>
        <w:t>may</w:t>
      </w:r>
      <w:r w:rsidRPr="00DB7F92">
        <w:rPr>
          <w:spacing w:val="3"/>
          <w:lang w:eastAsia="en-GB"/>
        </w:rPr>
        <w:t xml:space="preserve"> </w:t>
      </w:r>
      <w:r w:rsidRPr="00DB7F92">
        <w:rPr>
          <w:lang w:eastAsia="en-GB"/>
        </w:rPr>
        <w:t>be</w:t>
      </w:r>
      <w:r w:rsidRPr="00DB7F92">
        <w:rPr>
          <w:spacing w:val="2"/>
          <w:lang w:eastAsia="en-GB"/>
        </w:rPr>
        <w:t xml:space="preserve"> </w:t>
      </w:r>
      <w:r w:rsidRPr="00DB7F92">
        <w:rPr>
          <w:lang w:eastAsia="en-GB"/>
        </w:rPr>
        <w:t>a</w:t>
      </w:r>
      <w:r w:rsidRPr="00DB7F92">
        <w:rPr>
          <w:spacing w:val="3"/>
          <w:lang w:eastAsia="en-GB"/>
        </w:rPr>
        <w:t xml:space="preserve"> </w:t>
      </w:r>
      <w:r w:rsidRPr="00DB7F92">
        <w:rPr>
          <w:lang w:eastAsia="en-GB"/>
        </w:rPr>
        <w:t>solution</w:t>
      </w:r>
      <w:r w:rsidRPr="00DB7F92">
        <w:rPr>
          <w:spacing w:val="5"/>
          <w:lang w:eastAsia="en-GB"/>
        </w:rPr>
        <w:t xml:space="preserve"> </w:t>
      </w:r>
      <w:r w:rsidRPr="00DB7F92">
        <w:rPr>
          <w:lang w:eastAsia="en-GB"/>
        </w:rPr>
        <w:t>that</w:t>
      </w:r>
      <w:r w:rsidRPr="00DB7F92">
        <w:rPr>
          <w:spacing w:val="3"/>
          <w:lang w:eastAsia="en-GB"/>
        </w:rPr>
        <w:t xml:space="preserve"> </w:t>
      </w:r>
      <w:r w:rsidRPr="00DB7F92">
        <w:rPr>
          <w:lang w:eastAsia="en-GB"/>
        </w:rPr>
        <w:t>causes</w:t>
      </w:r>
      <w:r w:rsidRPr="00DB7F92">
        <w:rPr>
          <w:spacing w:val="7"/>
          <w:lang w:eastAsia="en-GB"/>
        </w:rPr>
        <w:t xml:space="preserve"> </w:t>
      </w:r>
      <w:r w:rsidRPr="00DB7F92">
        <w:rPr>
          <w:lang w:eastAsia="en-GB"/>
        </w:rPr>
        <w:t>less</w:t>
      </w:r>
      <w:r w:rsidRPr="00DB7F92">
        <w:rPr>
          <w:spacing w:val="51"/>
          <w:lang w:eastAsia="en-GB"/>
        </w:rPr>
        <w:t xml:space="preserve"> </w:t>
      </w:r>
      <w:r w:rsidRPr="00DB7F92">
        <w:rPr>
          <w:lang w:eastAsia="en-GB"/>
        </w:rPr>
        <w:t>disadvantage</w:t>
      </w:r>
      <w:r w:rsidRPr="00DB7F92">
        <w:rPr>
          <w:spacing w:val="23"/>
          <w:lang w:eastAsia="en-GB"/>
        </w:rPr>
        <w:t xml:space="preserve"> </w:t>
      </w:r>
      <w:r w:rsidRPr="00DB7F92">
        <w:rPr>
          <w:lang w:eastAsia="en-GB"/>
        </w:rPr>
        <w:t>to</w:t>
      </w:r>
      <w:r w:rsidRPr="00DB7F92">
        <w:rPr>
          <w:spacing w:val="23"/>
          <w:lang w:eastAsia="en-GB"/>
        </w:rPr>
        <w:t xml:space="preserve"> </w:t>
      </w:r>
      <w:r w:rsidRPr="00DB7F92">
        <w:rPr>
          <w:lang w:eastAsia="en-GB"/>
        </w:rPr>
        <w:t>a</w:t>
      </w:r>
      <w:r w:rsidRPr="00DB7F92">
        <w:rPr>
          <w:spacing w:val="24"/>
          <w:lang w:eastAsia="en-GB"/>
        </w:rPr>
        <w:t xml:space="preserve"> </w:t>
      </w:r>
      <w:r w:rsidRPr="00DB7F92">
        <w:rPr>
          <w:lang w:eastAsia="en-GB"/>
        </w:rPr>
        <w:t>protected</w:t>
      </w:r>
      <w:r w:rsidRPr="00DB7F92">
        <w:rPr>
          <w:spacing w:val="22"/>
          <w:lang w:eastAsia="en-GB"/>
        </w:rPr>
        <w:t xml:space="preserve"> </w:t>
      </w:r>
      <w:r w:rsidRPr="00DB7F92">
        <w:rPr>
          <w:lang w:eastAsia="en-GB"/>
        </w:rPr>
        <w:t>group</w:t>
      </w:r>
      <w:r w:rsidRPr="00DB7F92">
        <w:rPr>
          <w:spacing w:val="23"/>
          <w:lang w:eastAsia="en-GB"/>
        </w:rPr>
        <w:t xml:space="preserve"> </w:t>
      </w:r>
      <w:r w:rsidRPr="00DB7F92">
        <w:rPr>
          <w:lang w:eastAsia="en-GB"/>
        </w:rPr>
        <w:t>but</w:t>
      </w:r>
      <w:r w:rsidRPr="00DB7F92">
        <w:rPr>
          <w:spacing w:val="24"/>
          <w:lang w:eastAsia="en-GB"/>
        </w:rPr>
        <w:t xml:space="preserve"> </w:t>
      </w:r>
      <w:r w:rsidRPr="00DB7F92">
        <w:rPr>
          <w:lang w:eastAsia="en-GB"/>
        </w:rPr>
        <w:t>for</w:t>
      </w:r>
      <w:r w:rsidRPr="00DB7F92">
        <w:rPr>
          <w:spacing w:val="24"/>
          <w:lang w:eastAsia="en-GB"/>
        </w:rPr>
        <w:t xml:space="preserve"> </w:t>
      </w:r>
      <w:r w:rsidRPr="00DB7F92">
        <w:rPr>
          <w:lang w:eastAsia="en-GB"/>
        </w:rPr>
        <w:t>other</w:t>
      </w:r>
      <w:r w:rsidRPr="00DB7F92">
        <w:rPr>
          <w:spacing w:val="25"/>
          <w:lang w:eastAsia="en-GB"/>
        </w:rPr>
        <w:t xml:space="preserve"> </w:t>
      </w:r>
      <w:r w:rsidRPr="00DB7F92">
        <w:rPr>
          <w:lang w:eastAsia="en-GB"/>
        </w:rPr>
        <w:t>reasons</w:t>
      </w:r>
      <w:r w:rsidRPr="00DB7F92">
        <w:rPr>
          <w:spacing w:val="24"/>
          <w:lang w:eastAsia="en-GB"/>
        </w:rPr>
        <w:t xml:space="preserve"> </w:t>
      </w:r>
      <w:r w:rsidRPr="00DB7F92">
        <w:rPr>
          <w:lang w:eastAsia="en-GB"/>
        </w:rPr>
        <w:t>is</w:t>
      </w:r>
      <w:r w:rsidRPr="00DB7F92">
        <w:rPr>
          <w:spacing w:val="24"/>
          <w:lang w:eastAsia="en-GB"/>
        </w:rPr>
        <w:t xml:space="preserve"> </w:t>
      </w:r>
      <w:r w:rsidRPr="00DB7F92">
        <w:rPr>
          <w:lang w:eastAsia="en-GB"/>
        </w:rPr>
        <w:t>undesirable.</w:t>
      </w:r>
      <w:r w:rsidRPr="00DB7F92">
        <w:rPr>
          <w:spacing w:val="54"/>
          <w:w w:val="99"/>
          <w:lang w:eastAsia="en-GB"/>
        </w:rPr>
        <w:t xml:space="preserve"> </w:t>
      </w:r>
      <w:r w:rsidRPr="00DB7F92">
        <w:rPr>
          <w:lang w:eastAsia="en-GB"/>
        </w:rPr>
        <w:t>In</w:t>
      </w:r>
      <w:r w:rsidRPr="00DB7F92">
        <w:rPr>
          <w:spacing w:val="12"/>
          <w:lang w:eastAsia="en-GB"/>
        </w:rPr>
        <w:t xml:space="preserve"> </w:t>
      </w:r>
      <w:r w:rsidRPr="00DB7F92">
        <w:rPr>
          <w:lang w:eastAsia="en-GB"/>
        </w:rPr>
        <w:t>these</w:t>
      </w:r>
      <w:r w:rsidRPr="00DB7F92">
        <w:rPr>
          <w:spacing w:val="12"/>
          <w:lang w:eastAsia="en-GB"/>
        </w:rPr>
        <w:t xml:space="preserve"> </w:t>
      </w:r>
      <w:r w:rsidRPr="00DB7F92">
        <w:rPr>
          <w:lang w:eastAsia="en-GB"/>
        </w:rPr>
        <w:t>situations</w:t>
      </w:r>
      <w:r w:rsidRPr="00DB7F92">
        <w:rPr>
          <w:spacing w:val="14"/>
          <w:lang w:eastAsia="en-GB"/>
        </w:rPr>
        <w:t xml:space="preserve"> </w:t>
      </w:r>
      <w:r w:rsidRPr="00DB7F92">
        <w:rPr>
          <w:lang w:eastAsia="en-GB"/>
        </w:rPr>
        <w:t>it</w:t>
      </w:r>
      <w:r w:rsidRPr="00DB7F92">
        <w:rPr>
          <w:spacing w:val="15"/>
          <w:lang w:eastAsia="en-GB"/>
        </w:rPr>
        <w:t xml:space="preserve"> </w:t>
      </w:r>
      <w:r w:rsidRPr="00DB7F92">
        <w:rPr>
          <w:lang w:eastAsia="en-GB"/>
        </w:rPr>
        <w:t>is</w:t>
      </w:r>
      <w:r w:rsidRPr="00DB7F92">
        <w:rPr>
          <w:spacing w:val="14"/>
          <w:lang w:eastAsia="en-GB"/>
        </w:rPr>
        <w:t xml:space="preserve"> </w:t>
      </w:r>
      <w:r w:rsidRPr="00DB7F92">
        <w:rPr>
          <w:lang w:eastAsia="en-GB"/>
        </w:rPr>
        <w:t>important</w:t>
      </w:r>
      <w:r w:rsidRPr="00DB7F92">
        <w:rPr>
          <w:spacing w:val="12"/>
          <w:lang w:eastAsia="en-GB"/>
        </w:rPr>
        <w:t xml:space="preserve"> </w:t>
      </w:r>
      <w:r w:rsidRPr="00DB7F92">
        <w:rPr>
          <w:lang w:eastAsia="en-GB"/>
        </w:rPr>
        <w:t>to</w:t>
      </w:r>
      <w:r w:rsidRPr="00DB7F92">
        <w:rPr>
          <w:spacing w:val="12"/>
          <w:lang w:eastAsia="en-GB"/>
        </w:rPr>
        <w:t xml:space="preserve"> </w:t>
      </w:r>
      <w:r w:rsidRPr="00DB7F92">
        <w:rPr>
          <w:lang w:eastAsia="en-GB"/>
        </w:rPr>
        <w:t>acknowledge</w:t>
      </w:r>
      <w:r w:rsidRPr="00DB7F92">
        <w:rPr>
          <w:spacing w:val="12"/>
          <w:lang w:eastAsia="en-GB"/>
        </w:rPr>
        <w:t xml:space="preserve"> </w:t>
      </w:r>
      <w:r w:rsidRPr="00DB7F92">
        <w:rPr>
          <w:lang w:eastAsia="en-GB"/>
        </w:rPr>
        <w:t>the</w:t>
      </w:r>
      <w:r w:rsidRPr="00DB7F92">
        <w:rPr>
          <w:spacing w:val="14"/>
          <w:lang w:eastAsia="en-GB"/>
        </w:rPr>
        <w:t xml:space="preserve"> </w:t>
      </w:r>
      <w:r w:rsidRPr="00DB7F92">
        <w:rPr>
          <w:lang w:eastAsia="en-GB"/>
        </w:rPr>
        <w:t>disadvantage, work towards reducing the negative impact</w:t>
      </w:r>
      <w:r w:rsidRPr="00DB7F92">
        <w:rPr>
          <w:spacing w:val="5"/>
          <w:lang w:eastAsia="en-GB"/>
        </w:rPr>
        <w:t xml:space="preserve"> caused </w:t>
      </w:r>
      <w:r w:rsidRPr="00DB7F92">
        <w:rPr>
          <w:lang w:eastAsia="en-GB"/>
        </w:rPr>
        <w:t>and</w:t>
      </w:r>
      <w:r w:rsidRPr="00DB7F92">
        <w:rPr>
          <w:spacing w:val="9"/>
          <w:lang w:eastAsia="en-GB"/>
        </w:rPr>
        <w:t xml:space="preserve"> </w:t>
      </w:r>
      <w:r w:rsidRPr="00DB7F92">
        <w:rPr>
          <w:lang w:eastAsia="en-GB"/>
        </w:rPr>
        <w:t>be</w:t>
      </w:r>
      <w:r w:rsidRPr="00DB7F92">
        <w:rPr>
          <w:spacing w:val="7"/>
          <w:lang w:eastAsia="en-GB"/>
        </w:rPr>
        <w:t xml:space="preserve"> </w:t>
      </w:r>
      <w:r w:rsidRPr="00DB7F92">
        <w:rPr>
          <w:lang w:eastAsia="en-GB"/>
        </w:rPr>
        <w:t>clear</w:t>
      </w:r>
      <w:r w:rsidRPr="00DB7F92">
        <w:rPr>
          <w:spacing w:val="7"/>
          <w:lang w:eastAsia="en-GB"/>
        </w:rPr>
        <w:t xml:space="preserve"> </w:t>
      </w:r>
      <w:r w:rsidRPr="00DB7F92">
        <w:rPr>
          <w:lang w:eastAsia="en-GB"/>
        </w:rPr>
        <w:t>about</w:t>
      </w:r>
      <w:r w:rsidRPr="00DB7F92">
        <w:rPr>
          <w:spacing w:val="8"/>
          <w:lang w:eastAsia="en-GB"/>
        </w:rPr>
        <w:t xml:space="preserve"> </w:t>
      </w:r>
      <w:r w:rsidRPr="00DB7F92">
        <w:rPr>
          <w:lang w:eastAsia="en-GB"/>
        </w:rPr>
        <w:t>why</w:t>
      </w:r>
      <w:r w:rsidRPr="00DB7F92">
        <w:rPr>
          <w:spacing w:val="8"/>
          <w:lang w:eastAsia="en-GB"/>
        </w:rPr>
        <w:t xml:space="preserve"> </w:t>
      </w:r>
      <w:r w:rsidRPr="00DB7F92">
        <w:rPr>
          <w:lang w:eastAsia="en-GB"/>
        </w:rPr>
        <w:t>the</w:t>
      </w:r>
      <w:r w:rsidRPr="00DB7F92">
        <w:rPr>
          <w:spacing w:val="6"/>
          <w:lang w:eastAsia="en-GB"/>
        </w:rPr>
        <w:t xml:space="preserve"> </w:t>
      </w:r>
      <w:r w:rsidRPr="00DB7F92">
        <w:rPr>
          <w:lang w:eastAsia="en-GB"/>
        </w:rPr>
        <w:t>decision</w:t>
      </w:r>
      <w:r w:rsidRPr="00DB7F92">
        <w:rPr>
          <w:spacing w:val="7"/>
          <w:lang w:eastAsia="en-GB"/>
        </w:rPr>
        <w:t xml:space="preserve"> </w:t>
      </w:r>
      <w:r w:rsidRPr="00DB7F92">
        <w:rPr>
          <w:lang w:eastAsia="en-GB"/>
        </w:rPr>
        <w:t>was</w:t>
      </w:r>
      <w:r w:rsidRPr="00DB7F92">
        <w:rPr>
          <w:spacing w:val="8"/>
          <w:lang w:eastAsia="en-GB"/>
        </w:rPr>
        <w:t xml:space="preserve"> </w:t>
      </w:r>
      <w:r w:rsidRPr="00DB7F92">
        <w:rPr>
          <w:lang w:eastAsia="en-GB"/>
        </w:rPr>
        <w:t>taken.</w:t>
      </w:r>
      <w:r w:rsidRPr="00DB7F92">
        <w:rPr>
          <w:spacing w:val="15"/>
          <w:lang w:eastAsia="en-GB"/>
        </w:rPr>
        <w:t xml:space="preserve"> </w:t>
      </w:r>
      <w:r w:rsidRPr="00DB7F92">
        <w:rPr>
          <w:lang w:eastAsia="en-GB"/>
        </w:rPr>
        <w:t>This</w:t>
      </w:r>
      <w:r w:rsidRPr="00DB7F92">
        <w:rPr>
          <w:spacing w:val="8"/>
          <w:lang w:eastAsia="en-GB"/>
        </w:rPr>
        <w:t xml:space="preserve"> </w:t>
      </w:r>
      <w:r w:rsidRPr="00DB7F92">
        <w:rPr>
          <w:lang w:eastAsia="en-GB"/>
        </w:rPr>
        <w:t>may</w:t>
      </w:r>
      <w:r w:rsidRPr="00DB7F92">
        <w:rPr>
          <w:spacing w:val="7"/>
          <w:lang w:eastAsia="en-GB"/>
        </w:rPr>
        <w:t xml:space="preserve"> </w:t>
      </w:r>
      <w:r w:rsidRPr="00DB7F92">
        <w:rPr>
          <w:lang w:eastAsia="en-GB"/>
        </w:rPr>
        <w:t>include</w:t>
      </w:r>
      <w:r w:rsidRPr="00DB7F92">
        <w:rPr>
          <w:spacing w:val="50"/>
          <w:w w:val="99"/>
          <w:lang w:eastAsia="en-GB"/>
        </w:rPr>
        <w:t xml:space="preserve"> </w:t>
      </w:r>
      <w:r w:rsidRPr="00DB7F92">
        <w:rPr>
          <w:lang w:eastAsia="en-GB"/>
        </w:rPr>
        <w:t>outlining costs</w:t>
      </w:r>
      <w:r w:rsidRPr="00DB7F92">
        <w:rPr>
          <w:spacing w:val="1"/>
          <w:lang w:eastAsia="en-GB"/>
        </w:rPr>
        <w:t xml:space="preserve"> </w:t>
      </w:r>
      <w:r w:rsidRPr="00DB7F92">
        <w:rPr>
          <w:lang w:eastAsia="en-GB"/>
        </w:rPr>
        <w:t>concerns.</w:t>
      </w:r>
      <w:r w:rsidRPr="00DB7F92">
        <w:rPr>
          <w:spacing w:val="2"/>
          <w:lang w:eastAsia="en-GB"/>
        </w:rPr>
        <w:t xml:space="preserve"> </w:t>
      </w:r>
      <w:r w:rsidRPr="00DB7F92">
        <w:rPr>
          <w:lang w:eastAsia="en-GB"/>
        </w:rPr>
        <w:t>It</w:t>
      </w:r>
      <w:r w:rsidRPr="00DB7F92">
        <w:rPr>
          <w:spacing w:val="2"/>
          <w:lang w:eastAsia="en-GB"/>
        </w:rPr>
        <w:t xml:space="preserve"> </w:t>
      </w:r>
      <w:r w:rsidRPr="00DB7F92">
        <w:rPr>
          <w:lang w:eastAsia="en-GB"/>
        </w:rPr>
        <w:t>also makes</w:t>
      </w:r>
      <w:r w:rsidRPr="00DB7F92">
        <w:rPr>
          <w:spacing w:val="1"/>
          <w:lang w:eastAsia="en-GB"/>
        </w:rPr>
        <w:t xml:space="preserve"> </w:t>
      </w:r>
      <w:r w:rsidRPr="00DB7F92">
        <w:rPr>
          <w:lang w:eastAsia="en-GB"/>
        </w:rPr>
        <w:t>sense</w:t>
      </w:r>
      <w:r w:rsidRPr="00DB7F92">
        <w:rPr>
          <w:spacing w:val="3"/>
          <w:lang w:eastAsia="en-GB"/>
        </w:rPr>
        <w:t xml:space="preserve"> </w:t>
      </w:r>
      <w:r w:rsidRPr="00DB7F92">
        <w:rPr>
          <w:lang w:eastAsia="en-GB"/>
        </w:rPr>
        <w:t>to monitor</w:t>
      </w:r>
      <w:r w:rsidRPr="00DB7F92">
        <w:rPr>
          <w:spacing w:val="2"/>
          <w:lang w:eastAsia="en-GB"/>
        </w:rPr>
        <w:t xml:space="preserve"> </w:t>
      </w:r>
      <w:r w:rsidRPr="00DB7F92">
        <w:rPr>
          <w:lang w:eastAsia="en-GB"/>
        </w:rPr>
        <w:t>the situation</w:t>
      </w:r>
      <w:r w:rsidRPr="00DB7F92">
        <w:rPr>
          <w:spacing w:val="3"/>
          <w:lang w:eastAsia="en-GB"/>
        </w:rPr>
        <w:t xml:space="preserve"> </w:t>
      </w:r>
      <w:r w:rsidRPr="00DB7F92">
        <w:rPr>
          <w:lang w:eastAsia="en-GB"/>
        </w:rPr>
        <w:t>e.g.</w:t>
      </w:r>
      <w:r w:rsidRPr="00DB7F92">
        <w:rPr>
          <w:spacing w:val="62"/>
          <w:lang w:eastAsia="en-GB"/>
        </w:rPr>
        <w:t xml:space="preserve"> </w:t>
      </w:r>
      <w:r w:rsidRPr="00DB7F92">
        <w:rPr>
          <w:lang w:eastAsia="en-GB"/>
        </w:rPr>
        <w:t>does</w:t>
      </w:r>
      <w:r w:rsidRPr="00DB7F92">
        <w:rPr>
          <w:spacing w:val="10"/>
          <w:lang w:eastAsia="en-GB"/>
        </w:rPr>
        <w:t xml:space="preserve"> </w:t>
      </w:r>
      <w:r w:rsidRPr="00DB7F92">
        <w:rPr>
          <w:lang w:eastAsia="en-GB"/>
        </w:rPr>
        <w:t>the</w:t>
      </w:r>
      <w:r w:rsidRPr="00DB7F92">
        <w:rPr>
          <w:spacing w:val="9"/>
          <w:lang w:eastAsia="en-GB"/>
        </w:rPr>
        <w:t xml:space="preserve"> </w:t>
      </w:r>
      <w:r w:rsidRPr="00DB7F92">
        <w:rPr>
          <w:lang w:eastAsia="en-GB"/>
        </w:rPr>
        <w:t>demographic</w:t>
      </w:r>
      <w:r w:rsidRPr="00DB7F92">
        <w:rPr>
          <w:spacing w:val="12"/>
          <w:lang w:eastAsia="en-GB"/>
        </w:rPr>
        <w:t xml:space="preserve"> </w:t>
      </w:r>
      <w:r w:rsidRPr="00DB7F92">
        <w:rPr>
          <w:lang w:eastAsia="en-GB"/>
        </w:rPr>
        <w:t>of</w:t>
      </w:r>
      <w:r w:rsidRPr="00DB7F92">
        <w:rPr>
          <w:spacing w:val="9"/>
          <w:lang w:eastAsia="en-GB"/>
        </w:rPr>
        <w:t xml:space="preserve"> </w:t>
      </w:r>
      <w:r w:rsidRPr="00DB7F92">
        <w:rPr>
          <w:lang w:eastAsia="en-GB"/>
        </w:rPr>
        <w:t>service</w:t>
      </w:r>
      <w:r w:rsidRPr="00DB7F92">
        <w:rPr>
          <w:spacing w:val="9"/>
          <w:lang w:eastAsia="en-GB"/>
        </w:rPr>
        <w:t xml:space="preserve"> </w:t>
      </w:r>
      <w:r w:rsidRPr="00DB7F92">
        <w:rPr>
          <w:lang w:eastAsia="en-GB"/>
        </w:rPr>
        <w:t>users</w:t>
      </w:r>
      <w:r w:rsidRPr="00DB7F92">
        <w:rPr>
          <w:spacing w:val="11"/>
          <w:lang w:eastAsia="en-GB"/>
        </w:rPr>
        <w:t xml:space="preserve"> </w:t>
      </w:r>
      <w:r w:rsidRPr="00DB7F92">
        <w:rPr>
          <w:lang w:eastAsia="en-GB"/>
        </w:rPr>
        <w:t>change</w:t>
      </w:r>
      <w:r w:rsidRPr="00DB7F92">
        <w:rPr>
          <w:spacing w:val="11"/>
          <w:lang w:eastAsia="en-GB"/>
        </w:rPr>
        <w:t xml:space="preserve"> </w:t>
      </w:r>
      <w:r w:rsidRPr="00DB7F92">
        <w:rPr>
          <w:lang w:eastAsia="en-GB"/>
        </w:rPr>
        <w:t>as</w:t>
      </w:r>
      <w:r w:rsidRPr="00DB7F92">
        <w:rPr>
          <w:spacing w:val="11"/>
          <w:lang w:eastAsia="en-GB"/>
        </w:rPr>
        <w:t xml:space="preserve"> </w:t>
      </w:r>
      <w:r w:rsidRPr="00DB7F92">
        <w:rPr>
          <w:lang w:eastAsia="en-GB"/>
        </w:rPr>
        <w:t>a</w:t>
      </w:r>
      <w:r w:rsidRPr="00DB7F92">
        <w:rPr>
          <w:spacing w:val="10"/>
          <w:lang w:eastAsia="en-GB"/>
        </w:rPr>
        <w:t xml:space="preserve"> </w:t>
      </w:r>
      <w:r w:rsidRPr="00DB7F92">
        <w:rPr>
          <w:lang w:eastAsia="en-GB"/>
        </w:rPr>
        <w:t>result</w:t>
      </w:r>
      <w:r w:rsidRPr="00DB7F92">
        <w:rPr>
          <w:spacing w:val="10"/>
          <w:lang w:eastAsia="en-GB"/>
        </w:rPr>
        <w:t xml:space="preserve"> </w:t>
      </w:r>
      <w:r w:rsidRPr="00DB7F92">
        <w:rPr>
          <w:lang w:eastAsia="en-GB"/>
        </w:rPr>
        <w:t>of</w:t>
      </w:r>
      <w:r w:rsidRPr="00DB7F92">
        <w:rPr>
          <w:spacing w:val="9"/>
          <w:lang w:eastAsia="en-GB"/>
        </w:rPr>
        <w:t xml:space="preserve"> </w:t>
      </w:r>
      <w:r w:rsidRPr="00DB7F92">
        <w:rPr>
          <w:lang w:eastAsia="en-GB"/>
        </w:rPr>
        <w:t>the</w:t>
      </w:r>
      <w:r w:rsidRPr="00DB7F92">
        <w:rPr>
          <w:spacing w:val="9"/>
          <w:lang w:eastAsia="en-GB"/>
        </w:rPr>
        <w:t xml:space="preserve"> </w:t>
      </w:r>
      <w:r w:rsidRPr="00DB7F92">
        <w:rPr>
          <w:lang w:eastAsia="en-GB"/>
        </w:rPr>
        <w:t>decision</w:t>
      </w:r>
      <w:r w:rsidRPr="00DB7F92">
        <w:rPr>
          <w:spacing w:val="77"/>
          <w:lang w:eastAsia="en-GB"/>
        </w:rPr>
        <w:t xml:space="preserve"> </w:t>
      </w:r>
      <w:r w:rsidRPr="00DB7F92">
        <w:rPr>
          <w:lang w:eastAsia="en-GB"/>
        </w:rPr>
        <w:t>and</w:t>
      </w:r>
      <w:r w:rsidRPr="00DB7F92">
        <w:rPr>
          <w:spacing w:val="-6"/>
          <w:lang w:eastAsia="en-GB"/>
        </w:rPr>
        <w:t xml:space="preserve"> </w:t>
      </w:r>
      <w:r w:rsidRPr="00DB7F92">
        <w:rPr>
          <w:lang w:eastAsia="en-GB"/>
        </w:rPr>
        <w:t>timetable</w:t>
      </w:r>
      <w:r w:rsidRPr="00DB7F92">
        <w:rPr>
          <w:spacing w:val="-6"/>
          <w:lang w:eastAsia="en-GB"/>
        </w:rPr>
        <w:t xml:space="preserve"> </w:t>
      </w:r>
      <w:r w:rsidRPr="00DB7F92">
        <w:rPr>
          <w:lang w:eastAsia="en-GB"/>
        </w:rPr>
        <w:t>a</w:t>
      </w:r>
      <w:r w:rsidRPr="00DB7F92">
        <w:rPr>
          <w:spacing w:val="-2"/>
          <w:lang w:eastAsia="en-GB"/>
        </w:rPr>
        <w:t xml:space="preserve"> </w:t>
      </w:r>
      <w:r w:rsidRPr="00DB7F92">
        <w:rPr>
          <w:lang w:eastAsia="en-GB"/>
        </w:rPr>
        <w:t>formal</w:t>
      </w:r>
      <w:r w:rsidRPr="00DB7F92">
        <w:rPr>
          <w:spacing w:val="-4"/>
          <w:lang w:eastAsia="en-GB"/>
        </w:rPr>
        <w:t xml:space="preserve"> </w:t>
      </w:r>
      <w:r w:rsidRPr="00DB7F92">
        <w:rPr>
          <w:lang w:eastAsia="en-GB"/>
        </w:rPr>
        <w:t>review</w:t>
      </w:r>
      <w:r w:rsidRPr="00DB7F92">
        <w:rPr>
          <w:spacing w:val="-5"/>
          <w:lang w:eastAsia="en-GB"/>
        </w:rPr>
        <w:t xml:space="preserve"> </w:t>
      </w:r>
      <w:r w:rsidRPr="00DB7F92">
        <w:rPr>
          <w:lang w:eastAsia="en-GB"/>
        </w:rPr>
        <w:t>in</w:t>
      </w:r>
      <w:r w:rsidRPr="00DB7F92">
        <w:rPr>
          <w:spacing w:val="-2"/>
          <w:lang w:eastAsia="en-GB"/>
        </w:rPr>
        <w:t xml:space="preserve"> </w:t>
      </w:r>
      <w:r w:rsidRPr="00DB7F92">
        <w:rPr>
          <w:lang w:eastAsia="en-GB"/>
        </w:rPr>
        <w:t>e.g.</w:t>
      </w:r>
      <w:r w:rsidRPr="00DB7F92">
        <w:rPr>
          <w:spacing w:val="-3"/>
          <w:lang w:eastAsia="en-GB"/>
        </w:rPr>
        <w:t xml:space="preserve"> </w:t>
      </w:r>
      <w:r w:rsidRPr="00DB7F92">
        <w:rPr>
          <w:lang w:eastAsia="en-GB"/>
        </w:rPr>
        <w:t>a</w:t>
      </w:r>
      <w:r w:rsidRPr="00DB7F92">
        <w:rPr>
          <w:spacing w:val="-6"/>
          <w:lang w:eastAsia="en-GB"/>
        </w:rPr>
        <w:t xml:space="preserve"> </w:t>
      </w:r>
      <w:r w:rsidRPr="00DB7F92">
        <w:rPr>
          <w:lang w:eastAsia="en-GB"/>
        </w:rPr>
        <w:t>year's</w:t>
      </w:r>
      <w:r w:rsidRPr="00DB7F92">
        <w:rPr>
          <w:spacing w:val="-4"/>
          <w:lang w:eastAsia="en-GB"/>
        </w:rPr>
        <w:t xml:space="preserve"> </w:t>
      </w:r>
      <w:r w:rsidRPr="00DB7F92">
        <w:rPr>
          <w:lang w:eastAsia="en-GB"/>
        </w:rPr>
        <w:t>time.</w:t>
      </w:r>
    </w:p>
    <w:p w14:paraId="7D4FB3FB" w14:textId="77777777" w:rsidR="00DB7F92" w:rsidRPr="00DB7F92" w:rsidRDefault="00DB7F92" w:rsidP="00DD5D2D">
      <w:pPr>
        <w:pStyle w:val="Heading3"/>
        <w:jc w:val="both"/>
        <w:rPr>
          <w:lang w:eastAsia="en-GB"/>
        </w:rPr>
      </w:pPr>
      <w:r w:rsidRPr="00DB7F92">
        <w:rPr>
          <w:lang w:eastAsia="en-GB"/>
        </w:rPr>
        <w:t>There</w:t>
      </w:r>
      <w:r w:rsidRPr="00DB7F92">
        <w:rPr>
          <w:spacing w:val="2"/>
          <w:lang w:eastAsia="en-GB"/>
        </w:rPr>
        <w:t xml:space="preserve"> </w:t>
      </w:r>
      <w:r w:rsidRPr="00DB7F92">
        <w:rPr>
          <w:lang w:eastAsia="en-GB"/>
        </w:rPr>
        <w:t>are</w:t>
      </w:r>
      <w:r w:rsidRPr="00DB7F92">
        <w:rPr>
          <w:spacing w:val="2"/>
          <w:lang w:eastAsia="en-GB"/>
        </w:rPr>
        <w:t xml:space="preserve"> </w:t>
      </w:r>
      <w:r w:rsidRPr="00DB7F92">
        <w:rPr>
          <w:lang w:eastAsia="en-GB"/>
        </w:rPr>
        <w:t>a</w:t>
      </w:r>
      <w:r w:rsidRPr="00DB7F92">
        <w:rPr>
          <w:spacing w:val="4"/>
          <w:lang w:eastAsia="en-GB"/>
        </w:rPr>
        <w:t xml:space="preserve"> </w:t>
      </w:r>
      <w:r w:rsidRPr="00DB7F92">
        <w:rPr>
          <w:spacing w:val="-2"/>
          <w:lang w:eastAsia="en-GB"/>
        </w:rPr>
        <w:t>few</w:t>
      </w:r>
      <w:r w:rsidRPr="00DB7F92">
        <w:rPr>
          <w:spacing w:val="3"/>
          <w:lang w:eastAsia="en-GB"/>
        </w:rPr>
        <w:t xml:space="preserve"> </w:t>
      </w:r>
      <w:r w:rsidRPr="00DB7F92">
        <w:rPr>
          <w:lang w:eastAsia="en-GB"/>
        </w:rPr>
        <w:t>themes</w:t>
      </w:r>
      <w:r w:rsidRPr="00DB7F92">
        <w:rPr>
          <w:spacing w:val="4"/>
          <w:lang w:eastAsia="en-GB"/>
        </w:rPr>
        <w:t xml:space="preserve"> </w:t>
      </w:r>
      <w:r w:rsidRPr="00DB7F92">
        <w:rPr>
          <w:lang w:eastAsia="en-GB"/>
        </w:rPr>
        <w:t>arising</w:t>
      </w:r>
      <w:r w:rsidRPr="00DB7F92">
        <w:rPr>
          <w:spacing w:val="3"/>
          <w:lang w:eastAsia="en-GB"/>
        </w:rPr>
        <w:t xml:space="preserve"> </w:t>
      </w:r>
      <w:r w:rsidRPr="00DB7F92">
        <w:rPr>
          <w:lang w:eastAsia="en-GB"/>
        </w:rPr>
        <w:t>from</w:t>
      </w:r>
      <w:r w:rsidRPr="00DB7F92">
        <w:rPr>
          <w:spacing w:val="2"/>
          <w:lang w:eastAsia="en-GB"/>
        </w:rPr>
        <w:t xml:space="preserve"> </w:t>
      </w:r>
      <w:r w:rsidRPr="00DB7F92">
        <w:rPr>
          <w:lang w:eastAsia="en-GB"/>
        </w:rPr>
        <w:t>the</w:t>
      </w:r>
      <w:r w:rsidRPr="00DB7F92">
        <w:rPr>
          <w:spacing w:val="2"/>
          <w:lang w:eastAsia="en-GB"/>
        </w:rPr>
        <w:t xml:space="preserve"> </w:t>
      </w:r>
      <w:r w:rsidRPr="00DB7F92">
        <w:rPr>
          <w:lang w:eastAsia="en-GB"/>
        </w:rPr>
        <w:t>cases</w:t>
      </w:r>
      <w:r w:rsidRPr="00DB7F92">
        <w:rPr>
          <w:spacing w:val="5"/>
          <w:lang w:eastAsia="en-GB"/>
        </w:rPr>
        <w:t xml:space="preserve"> </w:t>
      </w:r>
      <w:r w:rsidRPr="00DB7F92">
        <w:rPr>
          <w:lang w:eastAsia="en-GB"/>
        </w:rPr>
        <w:t>we</w:t>
      </w:r>
      <w:r w:rsidRPr="00DB7F92">
        <w:rPr>
          <w:spacing w:val="2"/>
          <w:lang w:eastAsia="en-GB"/>
        </w:rPr>
        <w:t xml:space="preserve"> </w:t>
      </w:r>
      <w:r w:rsidRPr="00DB7F92">
        <w:rPr>
          <w:lang w:eastAsia="en-GB"/>
        </w:rPr>
        <w:t>have</w:t>
      </w:r>
      <w:r w:rsidRPr="00DB7F92">
        <w:rPr>
          <w:spacing w:val="2"/>
          <w:lang w:eastAsia="en-GB"/>
        </w:rPr>
        <w:t xml:space="preserve"> </w:t>
      </w:r>
      <w:r w:rsidRPr="00DB7F92">
        <w:rPr>
          <w:lang w:eastAsia="en-GB"/>
        </w:rPr>
        <w:t>seen</w:t>
      </w:r>
      <w:r w:rsidRPr="00DB7F92">
        <w:rPr>
          <w:spacing w:val="4"/>
          <w:lang w:eastAsia="en-GB"/>
        </w:rPr>
        <w:t xml:space="preserve"> </w:t>
      </w:r>
      <w:r w:rsidRPr="00DB7F92">
        <w:rPr>
          <w:lang w:eastAsia="en-GB"/>
        </w:rPr>
        <w:t>on</w:t>
      </w:r>
      <w:r w:rsidRPr="00DB7F92">
        <w:rPr>
          <w:spacing w:val="6"/>
          <w:lang w:eastAsia="en-GB"/>
        </w:rPr>
        <w:t xml:space="preserve"> </w:t>
      </w:r>
      <w:r w:rsidRPr="00DB7F92">
        <w:rPr>
          <w:lang w:eastAsia="en-GB"/>
        </w:rPr>
        <w:t>the</w:t>
      </w:r>
      <w:r w:rsidRPr="00DB7F92">
        <w:rPr>
          <w:spacing w:val="61"/>
          <w:w w:val="99"/>
          <w:lang w:eastAsia="en-GB"/>
        </w:rPr>
        <w:t xml:space="preserve"> </w:t>
      </w:r>
      <w:r w:rsidRPr="00DB7F92">
        <w:rPr>
          <w:lang w:eastAsia="en-GB"/>
        </w:rPr>
        <w:t>application</w:t>
      </w:r>
      <w:r w:rsidRPr="00DB7F92">
        <w:rPr>
          <w:spacing w:val="-4"/>
          <w:lang w:eastAsia="en-GB"/>
        </w:rPr>
        <w:t xml:space="preserve"> </w:t>
      </w:r>
      <w:r w:rsidRPr="00DB7F92">
        <w:rPr>
          <w:lang w:eastAsia="en-GB"/>
        </w:rPr>
        <w:t>of</w:t>
      </w:r>
      <w:r w:rsidRPr="00DB7F92">
        <w:rPr>
          <w:spacing w:val="-8"/>
          <w:lang w:eastAsia="en-GB"/>
        </w:rPr>
        <w:t xml:space="preserve"> </w:t>
      </w:r>
      <w:r w:rsidRPr="00DB7F92">
        <w:rPr>
          <w:lang w:eastAsia="en-GB"/>
        </w:rPr>
        <w:t>the</w:t>
      </w:r>
      <w:r w:rsidRPr="00DB7F92">
        <w:rPr>
          <w:spacing w:val="-5"/>
          <w:lang w:eastAsia="en-GB"/>
        </w:rPr>
        <w:t xml:space="preserve"> </w:t>
      </w:r>
      <w:r w:rsidRPr="00DB7F92">
        <w:rPr>
          <w:lang w:eastAsia="en-GB"/>
        </w:rPr>
        <w:t>PSED</w:t>
      </w:r>
      <w:r w:rsidRPr="00DB7F92">
        <w:rPr>
          <w:spacing w:val="-5"/>
          <w:lang w:eastAsia="en-GB"/>
        </w:rPr>
        <w:t xml:space="preserve"> </w:t>
      </w:r>
      <w:r w:rsidRPr="00DB7F92">
        <w:rPr>
          <w:lang w:eastAsia="en-GB"/>
        </w:rPr>
        <w:t>(and</w:t>
      </w:r>
      <w:r w:rsidRPr="00DB7F92">
        <w:rPr>
          <w:spacing w:val="-5"/>
          <w:lang w:eastAsia="en-GB"/>
        </w:rPr>
        <w:t xml:space="preserve"> </w:t>
      </w:r>
      <w:r w:rsidRPr="00DB7F92">
        <w:rPr>
          <w:lang w:eastAsia="en-GB"/>
        </w:rPr>
        <w:t>similar</w:t>
      </w:r>
      <w:r w:rsidRPr="00DB7F92">
        <w:rPr>
          <w:spacing w:val="-6"/>
          <w:lang w:eastAsia="en-GB"/>
        </w:rPr>
        <w:t xml:space="preserve"> </w:t>
      </w:r>
      <w:r w:rsidRPr="00DB7F92">
        <w:rPr>
          <w:lang w:eastAsia="en-GB"/>
        </w:rPr>
        <w:t>duties</w:t>
      </w:r>
      <w:r w:rsidRPr="00DB7F92">
        <w:rPr>
          <w:spacing w:val="-5"/>
          <w:lang w:eastAsia="en-GB"/>
        </w:rPr>
        <w:t xml:space="preserve"> </w:t>
      </w:r>
      <w:r w:rsidRPr="00DB7F92">
        <w:rPr>
          <w:lang w:eastAsia="en-GB"/>
        </w:rPr>
        <w:t>in</w:t>
      </w:r>
      <w:r w:rsidRPr="00DB7F92">
        <w:rPr>
          <w:spacing w:val="-4"/>
          <w:lang w:eastAsia="en-GB"/>
        </w:rPr>
        <w:t xml:space="preserve"> </w:t>
      </w:r>
      <w:r w:rsidRPr="00DB7F92">
        <w:rPr>
          <w:lang w:eastAsia="en-GB"/>
        </w:rPr>
        <w:t>previous</w:t>
      </w:r>
      <w:r w:rsidRPr="00DB7F92">
        <w:rPr>
          <w:spacing w:val="-6"/>
          <w:lang w:eastAsia="en-GB"/>
        </w:rPr>
        <w:t xml:space="preserve"> </w:t>
      </w:r>
      <w:r w:rsidRPr="00DB7F92">
        <w:rPr>
          <w:lang w:eastAsia="en-GB"/>
        </w:rPr>
        <w:t>legislation).</w:t>
      </w:r>
    </w:p>
    <w:p w14:paraId="75B8A5E2" w14:textId="77777777" w:rsidR="00DB7F92" w:rsidRPr="00DB7F92" w:rsidRDefault="00DB7F92" w:rsidP="00DD5D2D">
      <w:pPr>
        <w:pStyle w:val="Heading4"/>
      </w:pPr>
      <w:r w:rsidRPr="00DB7F92">
        <w:lastRenderedPageBreak/>
        <w:t>A</w:t>
      </w:r>
      <w:r w:rsidRPr="00DB7F92">
        <w:rPr>
          <w:spacing w:val="33"/>
        </w:rPr>
        <w:t xml:space="preserve"> </w:t>
      </w:r>
      <w:r w:rsidRPr="00DB7F92">
        <w:t>need</w:t>
      </w:r>
      <w:r w:rsidRPr="00DB7F92">
        <w:rPr>
          <w:spacing w:val="31"/>
        </w:rPr>
        <w:t xml:space="preserve"> </w:t>
      </w:r>
      <w:r w:rsidRPr="00DB7F92">
        <w:t>to</w:t>
      </w:r>
      <w:r w:rsidRPr="00DB7F92">
        <w:rPr>
          <w:spacing w:val="31"/>
        </w:rPr>
        <w:t xml:space="preserve"> </w:t>
      </w:r>
      <w:r w:rsidRPr="00DB7F92">
        <w:t>explicitly</w:t>
      </w:r>
      <w:r w:rsidRPr="00DB7F92">
        <w:rPr>
          <w:spacing w:val="36"/>
        </w:rPr>
        <w:t xml:space="preserve"> </w:t>
      </w:r>
      <w:r w:rsidRPr="00DB7F92">
        <w:t>recognise</w:t>
      </w:r>
      <w:r w:rsidRPr="00DB7F92">
        <w:rPr>
          <w:spacing w:val="31"/>
        </w:rPr>
        <w:t xml:space="preserve"> </w:t>
      </w:r>
      <w:r w:rsidRPr="00DB7F92">
        <w:t>that</w:t>
      </w:r>
      <w:r w:rsidRPr="00DB7F92">
        <w:rPr>
          <w:spacing w:val="33"/>
        </w:rPr>
        <w:t xml:space="preserve"> </w:t>
      </w:r>
      <w:r w:rsidRPr="00DB7F92">
        <w:t>the</w:t>
      </w:r>
      <w:r w:rsidRPr="00DB7F92">
        <w:rPr>
          <w:spacing w:val="31"/>
        </w:rPr>
        <w:t xml:space="preserve"> </w:t>
      </w:r>
      <w:r w:rsidRPr="00DB7F92">
        <w:t>PSED</w:t>
      </w:r>
      <w:r w:rsidRPr="00DB7F92">
        <w:rPr>
          <w:spacing w:val="34"/>
        </w:rPr>
        <w:t xml:space="preserve"> </w:t>
      </w:r>
      <w:r w:rsidRPr="00DB7F92">
        <w:t>applies</w:t>
      </w:r>
      <w:r w:rsidRPr="00DB7F92">
        <w:rPr>
          <w:spacing w:val="33"/>
        </w:rPr>
        <w:t xml:space="preserve"> </w:t>
      </w:r>
      <w:r w:rsidRPr="00DB7F92">
        <w:t>and</w:t>
      </w:r>
      <w:r w:rsidRPr="00DB7F92">
        <w:rPr>
          <w:spacing w:val="51"/>
        </w:rPr>
        <w:t xml:space="preserve"> </w:t>
      </w:r>
      <w:r w:rsidRPr="00DB7F92">
        <w:t>equalities</w:t>
      </w:r>
      <w:r w:rsidRPr="00DB7F92">
        <w:rPr>
          <w:spacing w:val="-4"/>
        </w:rPr>
        <w:t xml:space="preserve"> </w:t>
      </w:r>
      <w:r w:rsidRPr="00DB7F92">
        <w:t>issues</w:t>
      </w:r>
      <w:r w:rsidRPr="00DB7F92">
        <w:rPr>
          <w:spacing w:val="-7"/>
        </w:rPr>
        <w:t xml:space="preserve"> </w:t>
      </w:r>
      <w:r w:rsidRPr="00DB7F92">
        <w:t>need</w:t>
      </w:r>
      <w:r w:rsidRPr="00DB7F92">
        <w:rPr>
          <w:spacing w:val="-8"/>
        </w:rPr>
        <w:t xml:space="preserve"> </w:t>
      </w:r>
      <w:r w:rsidRPr="00DB7F92">
        <w:rPr>
          <w:spacing w:val="1"/>
        </w:rPr>
        <w:t>to</w:t>
      </w:r>
      <w:r w:rsidRPr="00DB7F92">
        <w:rPr>
          <w:spacing w:val="-7"/>
        </w:rPr>
        <w:t xml:space="preserve"> </w:t>
      </w:r>
      <w:r w:rsidRPr="00DB7F92">
        <w:t>be</w:t>
      </w:r>
      <w:r w:rsidRPr="00DB7F92">
        <w:rPr>
          <w:spacing w:val="-6"/>
        </w:rPr>
        <w:t xml:space="preserve"> </w:t>
      </w:r>
      <w:r w:rsidRPr="00DB7F92">
        <w:t>considered.</w:t>
      </w:r>
    </w:p>
    <w:p w14:paraId="47C0B920" w14:textId="77777777" w:rsidR="00DB7F92" w:rsidRPr="00DB7F92" w:rsidRDefault="00DB7F92" w:rsidP="00DD5D2D">
      <w:pPr>
        <w:pStyle w:val="Heading4"/>
      </w:pPr>
      <w:r w:rsidRPr="00DB7F92">
        <w:t>The</w:t>
      </w:r>
      <w:r w:rsidRPr="00DB7F92">
        <w:rPr>
          <w:spacing w:val="20"/>
        </w:rPr>
        <w:t xml:space="preserve"> </w:t>
      </w:r>
      <w:r w:rsidRPr="00DB7F92">
        <w:t>duty</w:t>
      </w:r>
      <w:r w:rsidRPr="00DB7F92">
        <w:rPr>
          <w:spacing w:val="21"/>
        </w:rPr>
        <w:t xml:space="preserve"> </w:t>
      </w:r>
      <w:r w:rsidRPr="00DB7F92">
        <w:t>is</w:t>
      </w:r>
      <w:r w:rsidRPr="00DB7F92">
        <w:rPr>
          <w:spacing w:val="21"/>
        </w:rPr>
        <w:t xml:space="preserve"> </w:t>
      </w:r>
      <w:r w:rsidRPr="00DB7F92">
        <w:t>an</w:t>
      </w:r>
      <w:r w:rsidRPr="00DB7F92">
        <w:rPr>
          <w:spacing w:val="20"/>
        </w:rPr>
        <w:t xml:space="preserve"> </w:t>
      </w:r>
      <w:r w:rsidRPr="00DB7F92">
        <w:t>ongoing</w:t>
      </w:r>
      <w:r w:rsidRPr="00DB7F92">
        <w:rPr>
          <w:spacing w:val="20"/>
        </w:rPr>
        <w:t xml:space="preserve"> </w:t>
      </w:r>
      <w:r w:rsidRPr="00DB7F92">
        <w:t>one</w:t>
      </w:r>
      <w:r w:rsidRPr="00DB7F92">
        <w:rPr>
          <w:spacing w:val="20"/>
        </w:rPr>
        <w:t xml:space="preserve"> </w:t>
      </w:r>
      <w:r w:rsidRPr="00DB7F92">
        <w:t>–</w:t>
      </w:r>
      <w:r w:rsidRPr="00DB7F92">
        <w:rPr>
          <w:spacing w:val="21"/>
        </w:rPr>
        <w:t xml:space="preserve"> </w:t>
      </w:r>
      <w:r w:rsidRPr="00DB7F92">
        <w:t>to</w:t>
      </w:r>
      <w:r w:rsidRPr="00DB7F92">
        <w:rPr>
          <w:spacing w:val="20"/>
        </w:rPr>
        <w:t xml:space="preserve"> </w:t>
      </w:r>
      <w:r w:rsidRPr="00DB7F92">
        <w:t>be</w:t>
      </w:r>
      <w:r w:rsidRPr="00DB7F92">
        <w:rPr>
          <w:spacing w:val="20"/>
        </w:rPr>
        <w:t xml:space="preserve"> </w:t>
      </w:r>
      <w:r w:rsidRPr="00DB7F92">
        <w:t>considered</w:t>
      </w:r>
      <w:r w:rsidRPr="00DB7F92">
        <w:rPr>
          <w:spacing w:val="20"/>
        </w:rPr>
        <w:t xml:space="preserve"> </w:t>
      </w:r>
      <w:r w:rsidRPr="00DB7F92">
        <w:t>at</w:t>
      </w:r>
      <w:r w:rsidRPr="00DB7F92">
        <w:rPr>
          <w:spacing w:val="21"/>
        </w:rPr>
        <w:t xml:space="preserve"> </w:t>
      </w:r>
      <w:r w:rsidRPr="00DB7F92">
        <w:t>all</w:t>
      </w:r>
      <w:r w:rsidRPr="00DB7F92">
        <w:rPr>
          <w:spacing w:val="20"/>
        </w:rPr>
        <w:t xml:space="preserve"> </w:t>
      </w:r>
      <w:r w:rsidRPr="00DB7F92">
        <w:t>stages</w:t>
      </w:r>
      <w:r w:rsidRPr="00DB7F92">
        <w:rPr>
          <w:spacing w:val="22"/>
        </w:rPr>
        <w:t xml:space="preserve"> </w:t>
      </w:r>
      <w:r w:rsidRPr="00DB7F92">
        <w:t>of</w:t>
      </w:r>
      <w:r w:rsidRPr="00DB7F92">
        <w:rPr>
          <w:spacing w:val="51"/>
        </w:rPr>
        <w:t xml:space="preserve"> </w:t>
      </w:r>
      <w:r w:rsidRPr="00DB7F92">
        <w:t>decision-making</w:t>
      </w:r>
      <w:r w:rsidRPr="00DB7F92">
        <w:rPr>
          <w:spacing w:val="-6"/>
        </w:rPr>
        <w:t xml:space="preserve"> </w:t>
      </w:r>
      <w:r w:rsidRPr="00DB7F92">
        <w:t>not</w:t>
      </w:r>
      <w:r w:rsidRPr="00DB7F92">
        <w:rPr>
          <w:spacing w:val="-5"/>
        </w:rPr>
        <w:t xml:space="preserve"> </w:t>
      </w:r>
      <w:r w:rsidRPr="00DB7F92">
        <w:t>just</w:t>
      </w:r>
      <w:r w:rsidRPr="00DB7F92">
        <w:rPr>
          <w:spacing w:val="-5"/>
        </w:rPr>
        <w:t xml:space="preserve"> </w:t>
      </w:r>
      <w:r w:rsidRPr="00DB7F92">
        <w:t>at</w:t>
      </w:r>
      <w:r w:rsidRPr="00DB7F92">
        <w:rPr>
          <w:spacing w:val="-5"/>
        </w:rPr>
        <w:t xml:space="preserve"> </w:t>
      </w:r>
      <w:r w:rsidRPr="00DB7F92">
        <w:t>the</w:t>
      </w:r>
      <w:r w:rsidRPr="00DB7F92">
        <w:rPr>
          <w:spacing w:val="-6"/>
        </w:rPr>
        <w:t xml:space="preserve"> </w:t>
      </w:r>
      <w:r w:rsidRPr="00DB7F92">
        <w:t>end.</w:t>
      </w:r>
    </w:p>
    <w:p w14:paraId="478ADB5D" w14:textId="77777777" w:rsidR="00DB7F92" w:rsidRPr="00DB7F92" w:rsidRDefault="00DB7F92" w:rsidP="00DD5D2D">
      <w:pPr>
        <w:pStyle w:val="Heading4"/>
      </w:pPr>
      <w:r w:rsidRPr="00DB7F92">
        <w:t>A</w:t>
      </w:r>
      <w:r w:rsidRPr="00DB7F92">
        <w:rPr>
          <w:spacing w:val="20"/>
        </w:rPr>
        <w:t xml:space="preserve"> </w:t>
      </w:r>
      <w:r w:rsidRPr="00DB7F92">
        <w:t>need</w:t>
      </w:r>
      <w:r w:rsidRPr="00DB7F92">
        <w:rPr>
          <w:spacing w:val="18"/>
        </w:rPr>
        <w:t xml:space="preserve"> </w:t>
      </w:r>
      <w:r w:rsidRPr="00DB7F92">
        <w:t>to</w:t>
      </w:r>
      <w:r w:rsidRPr="00DB7F92">
        <w:rPr>
          <w:spacing w:val="19"/>
        </w:rPr>
        <w:t xml:space="preserve"> </w:t>
      </w:r>
      <w:r w:rsidRPr="00DB7F92">
        <w:t>be</w:t>
      </w:r>
      <w:r w:rsidRPr="00DB7F92">
        <w:rPr>
          <w:spacing w:val="19"/>
        </w:rPr>
        <w:t xml:space="preserve"> </w:t>
      </w:r>
      <w:r w:rsidRPr="00DB7F92">
        <w:t>clear</w:t>
      </w:r>
      <w:r w:rsidRPr="00DB7F92">
        <w:rPr>
          <w:spacing w:val="20"/>
        </w:rPr>
        <w:t xml:space="preserve"> </w:t>
      </w:r>
      <w:r w:rsidRPr="00DB7F92">
        <w:t>about</w:t>
      </w:r>
      <w:r w:rsidRPr="00DB7F92">
        <w:rPr>
          <w:spacing w:val="20"/>
        </w:rPr>
        <w:t xml:space="preserve"> </w:t>
      </w:r>
      <w:r w:rsidRPr="00DB7F92">
        <w:t>the</w:t>
      </w:r>
      <w:r w:rsidRPr="00DB7F92">
        <w:rPr>
          <w:spacing w:val="19"/>
        </w:rPr>
        <w:t xml:space="preserve"> </w:t>
      </w:r>
      <w:r w:rsidRPr="00DB7F92">
        <w:t>factors</w:t>
      </w:r>
      <w:r w:rsidRPr="00DB7F92">
        <w:rPr>
          <w:spacing w:val="20"/>
        </w:rPr>
        <w:t xml:space="preserve"> </w:t>
      </w:r>
      <w:r w:rsidRPr="00DB7F92">
        <w:t>driving</w:t>
      </w:r>
      <w:r w:rsidRPr="00DB7F92">
        <w:rPr>
          <w:spacing w:val="22"/>
        </w:rPr>
        <w:t xml:space="preserve"> </w:t>
      </w:r>
      <w:r w:rsidRPr="00DB7F92">
        <w:t>a</w:t>
      </w:r>
      <w:r w:rsidRPr="00DB7F92">
        <w:rPr>
          <w:spacing w:val="19"/>
        </w:rPr>
        <w:t xml:space="preserve"> </w:t>
      </w:r>
      <w:r w:rsidRPr="00DB7F92">
        <w:t>decision,</w:t>
      </w:r>
      <w:r w:rsidRPr="00DB7F92">
        <w:rPr>
          <w:spacing w:val="20"/>
        </w:rPr>
        <w:t xml:space="preserve"> </w:t>
      </w:r>
      <w:r w:rsidRPr="00DB7F92">
        <w:t>even</w:t>
      </w:r>
      <w:r w:rsidRPr="00DB7F92">
        <w:rPr>
          <w:spacing w:val="19"/>
        </w:rPr>
        <w:t xml:space="preserve"> </w:t>
      </w:r>
      <w:r w:rsidRPr="00DB7F92">
        <w:t>if</w:t>
      </w:r>
      <w:r w:rsidRPr="00DB7F92">
        <w:rPr>
          <w:spacing w:val="49"/>
        </w:rPr>
        <w:t xml:space="preserve"> </w:t>
      </w:r>
      <w:r w:rsidRPr="00DB7F92">
        <w:t>these</w:t>
      </w:r>
      <w:r w:rsidRPr="00DB7F92">
        <w:rPr>
          <w:spacing w:val="-10"/>
        </w:rPr>
        <w:t xml:space="preserve"> </w:t>
      </w:r>
      <w:r w:rsidRPr="00DB7F92">
        <w:t>are</w:t>
      </w:r>
      <w:r w:rsidRPr="00DB7F92">
        <w:rPr>
          <w:spacing w:val="-9"/>
        </w:rPr>
        <w:t xml:space="preserve"> </w:t>
      </w:r>
      <w:r w:rsidRPr="00DB7F92">
        <w:t>unpalatable</w:t>
      </w:r>
      <w:r w:rsidRPr="00DB7F92">
        <w:rPr>
          <w:spacing w:val="-8"/>
        </w:rPr>
        <w:t xml:space="preserve"> </w:t>
      </w:r>
      <w:r w:rsidRPr="00DB7F92">
        <w:t>e.g.</w:t>
      </w:r>
      <w:r w:rsidRPr="00DB7F92">
        <w:rPr>
          <w:spacing w:val="-8"/>
        </w:rPr>
        <w:t xml:space="preserve"> </w:t>
      </w:r>
      <w:r w:rsidRPr="00DB7F92">
        <w:t>budgetary</w:t>
      </w:r>
      <w:r w:rsidRPr="00DB7F92">
        <w:rPr>
          <w:spacing w:val="-7"/>
        </w:rPr>
        <w:t xml:space="preserve"> </w:t>
      </w:r>
      <w:r w:rsidRPr="00DB7F92">
        <w:t>pressures.</w:t>
      </w:r>
    </w:p>
    <w:p w14:paraId="350E575A" w14:textId="77777777" w:rsidR="00DB7F92" w:rsidRPr="00DB7F92" w:rsidRDefault="00DB7F92" w:rsidP="00DD5D2D">
      <w:pPr>
        <w:pStyle w:val="Heading4"/>
      </w:pPr>
      <w:r w:rsidRPr="00DB7F92">
        <w:t>A</w:t>
      </w:r>
      <w:r w:rsidRPr="00DB7F92">
        <w:rPr>
          <w:spacing w:val="53"/>
        </w:rPr>
        <w:t xml:space="preserve"> </w:t>
      </w:r>
      <w:r w:rsidRPr="00DB7F92">
        <w:t>need</w:t>
      </w:r>
      <w:r w:rsidRPr="00DB7F92">
        <w:rPr>
          <w:spacing w:val="55"/>
        </w:rPr>
        <w:t xml:space="preserve"> </w:t>
      </w:r>
      <w:r w:rsidRPr="00DB7F92">
        <w:t>to</w:t>
      </w:r>
      <w:r w:rsidRPr="00DB7F92">
        <w:rPr>
          <w:spacing w:val="53"/>
        </w:rPr>
        <w:t xml:space="preserve"> </w:t>
      </w:r>
      <w:r w:rsidRPr="00DB7F92">
        <w:t>analyse</w:t>
      </w:r>
      <w:r w:rsidRPr="00DB7F92">
        <w:rPr>
          <w:spacing w:val="53"/>
        </w:rPr>
        <w:t xml:space="preserve"> </w:t>
      </w:r>
      <w:r w:rsidRPr="00DB7F92">
        <w:t>in</w:t>
      </w:r>
      <w:r w:rsidRPr="00DB7F92">
        <w:rPr>
          <w:spacing w:val="58"/>
        </w:rPr>
        <w:t xml:space="preserve"> </w:t>
      </w:r>
      <w:r w:rsidRPr="00DB7F92">
        <w:t>some</w:t>
      </w:r>
      <w:r w:rsidRPr="00DB7F92">
        <w:rPr>
          <w:spacing w:val="53"/>
        </w:rPr>
        <w:t xml:space="preserve"> </w:t>
      </w:r>
      <w:r w:rsidRPr="00DB7F92">
        <w:t>detail</w:t>
      </w:r>
      <w:r w:rsidRPr="00DB7F92">
        <w:rPr>
          <w:spacing w:val="55"/>
        </w:rPr>
        <w:t xml:space="preserve"> </w:t>
      </w:r>
      <w:r w:rsidRPr="00DB7F92">
        <w:t>the</w:t>
      </w:r>
      <w:r w:rsidRPr="00DB7F92">
        <w:rPr>
          <w:spacing w:val="54"/>
        </w:rPr>
        <w:t xml:space="preserve"> </w:t>
      </w:r>
      <w:r w:rsidRPr="00DB7F92">
        <w:t>impact</w:t>
      </w:r>
      <w:r w:rsidRPr="00DB7F92">
        <w:rPr>
          <w:spacing w:val="54"/>
        </w:rPr>
        <w:t xml:space="preserve"> </w:t>
      </w:r>
      <w:r w:rsidRPr="00DB7F92">
        <w:t>of</w:t>
      </w:r>
      <w:r w:rsidRPr="00DB7F92">
        <w:rPr>
          <w:spacing w:val="55"/>
        </w:rPr>
        <w:t xml:space="preserve"> </w:t>
      </w:r>
      <w:r w:rsidRPr="00DB7F92">
        <w:t>a</w:t>
      </w:r>
      <w:r w:rsidRPr="00DB7F92">
        <w:rPr>
          <w:spacing w:val="53"/>
        </w:rPr>
        <w:t xml:space="preserve"> </w:t>
      </w:r>
      <w:r w:rsidRPr="00DB7F92">
        <w:t>proposed</w:t>
      </w:r>
      <w:r w:rsidRPr="00DB7F92">
        <w:rPr>
          <w:spacing w:val="49"/>
        </w:rPr>
        <w:t xml:space="preserve"> </w:t>
      </w:r>
      <w:r w:rsidRPr="00DB7F92">
        <w:t>policy</w:t>
      </w:r>
      <w:r w:rsidRPr="00DB7F92">
        <w:rPr>
          <w:spacing w:val="2"/>
        </w:rPr>
        <w:t xml:space="preserve"> </w:t>
      </w:r>
      <w:r w:rsidRPr="00DB7F92">
        <w:t>or</w:t>
      </w:r>
      <w:r w:rsidRPr="00DB7F92">
        <w:rPr>
          <w:spacing w:val="5"/>
        </w:rPr>
        <w:t xml:space="preserve"> </w:t>
      </w:r>
      <w:r w:rsidRPr="00DB7F92">
        <w:t>decision</w:t>
      </w:r>
      <w:r w:rsidRPr="00DB7F92">
        <w:rPr>
          <w:spacing w:val="5"/>
        </w:rPr>
        <w:t xml:space="preserve"> </w:t>
      </w:r>
      <w:r w:rsidRPr="00DB7F92">
        <w:t>so</w:t>
      </w:r>
      <w:r w:rsidRPr="00DB7F92">
        <w:rPr>
          <w:spacing w:val="2"/>
        </w:rPr>
        <w:t xml:space="preserve"> </w:t>
      </w:r>
      <w:r w:rsidRPr="00DB7F92">
        <w:t>that</w:t>
      </w:r>
      <w:r w:rsidRPr="00DB7F92">
        <w:rPr>
          <w:spacing w:val="3"/>
        </w:rPr>
        <w:t xml:space="preserve"> </w:t>
      </w:r>
      <w:r w:rsidRPr="00DB7F92">
        <w:t>the</w:t>
      </w:r>
      <w:r w:rsidRPr="00DB7F92">
        <w:rPr>
          <w:spacing w:val="2"/>
        </w:rPr>
        <w:t xml:space="preserve"> </w:t>
      </w:r>
      <w:r w:rsidRPr="00DB7F92">
        <w:t>public</w:t>
      </w:r>
      <w:r w:rsidRPr="00DB7F92">
        <w:rPr>
          <w:spacing w:val="2"/>
        </w:rPr>
        <w:t xml:space="preserve"> </w:t>
      </w:r>
      <w:r w:rsidRPr="00DB7F92">
        <w:t>authority</w:t>
      </w:r>
      <w:r w:rsidRPr="00DB7F92">
        <w:rPr>
          <w:spacing w:val="6"/>
        </w:rPr>
        <w:t xml:space="preserve"> </w:t>
      </w:r>
      <w:r w:rsidRPr="00DB7F92">
        <w:t>has</w:t>
      </w:r>
      <w:r w:rsidRPr="00DB7F92">
        <w:rPr>
          <w:spacing w:val="4"/>
        </w:rPr>
        <w:t xml:space="preserve"> </w:t>
      </w:r>
      <w:r w:rsidRPr="00DB7F92">
        <w:t>a</w:t>
      </w:r>
      <w:r w:rsidRPr="00DB7F92">
        <w:rPr>
          <w:spacing w:val="3"/>
        </w:rPr>
        <w:t xml:space="preserve"> </w:t>
      </w:r>
      <w:r w:rsidRPr="00DB7F92">
        <w:t>clear</w:t>
      </w:r>
      <w:r w:rsidRPr="00DB7F92">
        <w:rPr>
          <w:spacing w:val="3"/>
        </w:rPr>
        <w:t xml:space="preserve"> </w:t>
      </w:r>
      <w:r w:rsidRPr="00DB7F92">
        <w:t>idea</w:t>
      </w:r>
      <w:r w:rsidRPr="00DB7F92">
        <w:rPr>
          <w:spacing w:val="4"/>
        </w:rPr>
        <w:t xml:space="preserve"> </w:t>
      </w:r>
      <w:r w:rsidRPr="00DB7F92">
        <w:t>of</w:t>
      </w:r>
      <w:r w:rsidRPr="00DB7F92">
        <w:rPr>
          <w:spacing w:val="51"/>
        </w:rPr>
        <w:t xml:space="preserve"> </w:t>
      </w:r>
      <w:r w:rsidRPr="00DB7F92">
        <w:t>who</w:t>
      </w:r>
      <w:r w:rsidRPr="00DB7F92">
        <w:rPr>
          <w:spacing w:val="50"/>
        </w:rPr>
        <w:t xml:space="preserve"> </w:t>
      </w:r>
      <w:r w:rsidRPr="00DB7F92">
        <w:t>is</w:t>
      </w:r>
      <w:r w:rsidRPr="00DB7F92">
        <w:rPr>
          <w:spacing w:val="52"/>
        </w:rPr>
        <w:t xml:space="preserve"> </w:t>
      </w:r>
      <w:r w:rsidRPr="00DB7F92">
        <w:t>affected</w:t>
      </w:r>
      <w:r w:rsidRPr="00DB7F92">
        <w:rPr>
          <w:spacing w:val="50"/>
        </w:rPr>
        <w:t xml:space="preserve"> </w:t>
      </w:r>
      <w:r w:rsidRPr="00DB7F92">
        <w:t>and</w:t>
      </w:r>
      <w:r w:rsidRPr="00DB7F92">
        <w:rPr>
          <w:spacing w:val="50"/>
        </w:rPr>
        <w:t xml:space="preserve"> </w:t>
      </w:r>
      <w:r w:rsidRPr="00DB7F92">
        <w:t>how.</w:t>
      </w:r>
      <w:r w:rsidRPr="00DB7F92">
        <w:rPr>
          <w:spacing w:val="37"/>
        </w:rPr>
        <w:t xml:space="preserve"> </w:t>
      </w:r>
      <w:r w:rsidRPr="00DB7F92">
        <w:t>Statements</w:t>
      </w:r>
      <w:r w:rsidRPr="00DB7F92">
        <w:rPr>
          <w:spacing w:val="52"/>
        </w:rPr>
        <w:t xml:space="preserve"> </w:t>
      </w:r>
      <w:r w:rsidRPr="00DB7F92">
        <w:t>of</w:t>
      </w:r>
      <w:r w:rsidRPr="00DB7F92">
        <w:rPr>
          <w:spacing w:val="50"/>
        </w:rPr>
        <w:t xml:space="preserve"> </w:t>
      </w:r>
      <w:r w:rsidRPr="00DB7F92">
        <w:t>impact</w:t>
      </w:r>
      <w:r w:rsidRPr="00DB7F92">
        <w:rPr>
          <w:spacing w:val="52"/>
        </w:rPr>
        <w:t xml:space="preserve"> </w:t>
      </w:r>
      <w:r w:rsidRPr="00DB7F92">
        <w:t>need</w:t>
      </w:r>
      <w:r w:rsidRPr="00DB7F92">
        <w:rPr>
          <w:spacing w:val="50"/>
        </w:rPr>
        <w:t xml:space="preserve"> </w:t>
      </w:r>
      <w:r w:rsidRPr="00DB7F92">
        <w:t>to</w:t>
      </w:r>
      <w:r w:rsidRPr="00DB7F92">
        <w:rPr>
          <w:spacing w:val="50"/>
        </w:rPr>
        <w:t xml:space="preserve"> </w:t>
      </w:r>
      <w:r w:rsidRPr="00DB7F92">
        <w:t>be</w:t>
      </w:r>
      <w:r w:rsidRPr="00DB7F92">
        <w:rPr>
          <w:spacing w:val="35"/>
          <w:w w:val="99"/>
        </w:rPr>
        <w:t xml:space="preserve"> </w:t>
      </w:r>
      <w:r w:rsidRPr="00DB7F92">
        <w:t>supported</w:t>
      </w:r>
      <w:r w:rsidRPr="00DB7F92">
        <w:rPr>
          <w:spacing w:val="-8"/>
        </w:rPr>
        <w:t xml:space="preserve"> </w:t>
      </w:r>
      <w:r w:rsidRPr="00DB7F92">
        <w:t>by</w:t>
      </w:r>
      <w:r w:rsidRPr="00DB7F92">
        <w:rPr>
          <w:spacing w:val="-8"/>
        </w:rPr>
        <w:t xml:space="preserve"> </w:t>
      </w:r>
      <w:r w:rsidRPr="00DB7F92">
        <w:t>evidence</w:t>
      </w:r>
      <w:r w:rsidRPr="00DB7F92">
        <w:rPr>
          <w:spacing w:val="-8"/>
        </w:rPr>
        <w:t xml:space="preserve"> </w:t>
      </w:r>
      <w:r w:rsidRPr="00DB7F92">
        <w:t>where</w:t>
      </w:r>
      <w:r w:rsidRPr="00DB7F92">
        <w:rPr>
          <w:spacing w:val="-9"/>
        </w:rPr>
        <w:t xml:space="preserve"> </w:t>
      </w:r>
      <w:r w:rsidRPr="00DB7F92">
        <w:t>possible.</w:t>
      </w:r>
    </w:p>
    <w:p w14:paraId="0239E600" w14:textId="77777777" w:rsidR="00DB7F92" w:rsidRPr="00DB7F92" w:rsidRDefault="00DB7F92" w:rsidP="00DD5D2D">
      <w:pPr>
        <w:pStyle w:val="Heading4"/>
      </w:pPr>
      <w:r w:rsidRPr="00DB7F92">
        <w:t>If</w:t>
      </w:r>
      <w:r w:rsidRPr="00DB7F92">
        <w:rPr>
          <w:spacing w:val="15"/>
        </w:rPr>
        <w:t xml:space="preserve"> </w:t>
      </w:r>
      <w:r w:rsidRPr="00DB7F92">
        <w:t>a</w:t>
      </w:r>
      <w:r w:rsidRPr="00DB7F92">
        <w:rPr>
          <w:spacing w:val="18"/>
        </w:rPr>
        <w:t xml:space="preserve"> </w:t>
      </w:r>
      <w:r w:rsidRPr="00DB7F92">
        <w:t>decision</w:t>
      </w:r>
      <w:r w:rsidRPr="00DB7F92">
        <w:rPr>
          <w:spacing w:val="18"/>
        </w:rPr>
        <w:t xml:space="preserve"> </w:t>
      </w:r>
      <w:r w:rsidRPr="00DB7F92">
        <w:t>is</w:t>
      </w:r>
      <w:r w:rsidRPr="00DB7F92">
        <w:rPr>
          <w:spacing w:val="17"/>
        </w:rPr>
        <w:t xml:space="preserve"> </w:t>
      </w:r>
      <w:r w:rsidRPr="00DB7F92">
        <w:t>made</w:t>
      </w:r>
      <w:r w:rsidRPr="00DB7F92">
        <w:rPr>
          <w:spacing w:val="16"/>
        </w:rPr>
        <w:t xml:space="preserve"> </w:t>
      </w:r>
      <w:r w:rsidRPr="00DB7F92">
        <w:t>that</w:t>
      </w:r>
      <w:r w:rsidRPr="00DB7F92">
        <w:rPr>
          <w:spacing w:val="17"/>
        </w:rPr>
        <w:t xml:space="preserve"> </w:t>
      </w:r>
      <w:r w:rsidRPr="00DB7F92">
        <w:t>will</w:t>
      </w:r>
      <w:r w:rsidRPr="00DB7F92">
        <w:rPr>
          <w:spacing w:val="18"/>
        </w:rPr>
        <w:t xml:space="preserve"> </w:t>
      </w:r>
      <w:r w:rsidRPr="00DB7F92">
        <w:t>impact</w:t>
      </w:r>
      <w:r w:rsidRPr="00DB7F92">
        <w:rPr>
          <w:spacing w:val="17"/>
        </w:rPr>
        <w:t xml:space="preserve"> </w:t>
      </w:r>
      <w:r w:rsidRPr="00DB7F92">
        <w:t>negatively</w:t>
      </w:r>
      <w:r w:rsidRPr="00DB7F92">
        <w:rPr>
          <w:spacing w:val="18"/>
        </w:rPr>
        <w:t xml:space="preserve"> </w:t>
      </w:r>
      <w:r w:rsidRPr="00DB7F92">
        <w:t>on</w:t>
      </w:r>
      <w:r w:rsidRPr="00DB7F92">
        <w:rPr>
          <w:spacing w:val="18"/>
        </w:rPr>
        <w:t xml:space="preserve"> </w:t>
      </w:r>
      <w:r w:rsidRPr="00DB7F92">
        <w:t>a</w:t>
      </w:r>
      <w:r w:rsidRPr="00DB7F92">
        <w:rPr>
          <w:spacing w:val="18"/>
        </w:rPr>
        <w:t xml:space="preserve"> </w:t>
      </w:r>
      <w:r w:rsidRPr="00DB7F92">
        <w:t>protected</w:t>
      </w:r>
      <w:r w:rsidRPr="00DB7F92">
        <w:rPr>
          <w:spacing w:val="58"/>
          <w:w w:val="99"/>
        </w:rPr>
        <w:t xml:space="preserve"> </w:t>
      </w:r>
      <w:r w:rsidRPr="00DB7F92">
        <w:t>group,</w:t>
      </w:r>
      <w:r w:rsidRPr="00DB7F92">
        <w:rPr>
          <w:spacing w:val="14"/>
        </w:rPr>
        <w:t xml:space="preserve"> </w:t>
      </w:r>
      <w:r w:rsidRPr="00DB7F92">
        <w:t>that</w:t>
      </w:r>
      <w:r w:rsidRPr="00DB7F92">
        <w:rPr>
          <w:spacing w:val="15"/>
        </w:rPr>
        <w:t xml:space="preserve"> </w:t>
      </w:r>
      <w:r w:rsidRPr="00DB7F92">
        <w:t>should</w:t>
      </w:r>
      <w:r w:rsidRPr="00DB7F92">
        <w:rPr>
          <w:spacing w:val="13"/>
        </w:rPr>
        <w:t xml:space="preserve"> </w:t>
      </w:r>
      <w:r w:rsidRPr="00DB7F92">
        <w:t>be</w:t>
      </w:r>
      <w:r w:rsidRPr="00DB7F92">
        <w:rPr>
          <w:spacing w:val="14"/>
        </w:rPr>
        <w:t xml:space="preserve"> </w:t>
      </w:r>
      <w:r w:rsidRPr="00DB7F92">
        <w:t>acknowledged</w:t>
      </w:r>
      <w:r w:rsidRPr="00DB7F92">
        <w:rPr>
          <w:spacing w:val="13"/>
        </w:rPr>
        <w:t xml:space="preserve"> </w:t>
      </w:r>
      <w:r w:rsidRPr="00DB7F92">
        <w:t>and</w:t>
      </w:r>
      <w:r w:rsidRPr="00DB7F92">
        <w:rPr>
          <w:spacing w:val="13"/>
        </w:rPr>
        <w:t xml:space="preserve"> </w:t>
      </w:r>
      <w:r w:rsidRPr="00DB7F92">
        <w:t>the</w:t>
      </w:r>
      <w:r w:rsidRPr="00DB7F92">
        <w:rPr>
          <w:spacing w:val="14"/>
        </w:rPr>
        <w:t xml:space="preserve"> </w:t>
      </w:r>
      <w:r w:rsidRPr="00DB7F92">
        <w:t>rationale</w:t>
      </w:r>
      <w:r w:rsidRPr="00DB7F92">
        <w:rPr>
          <w:spacing w:val="51"/>
          <w:w w:val="99"/>
        </w:rPr>
        <w:t xml:space="preserve"> </w:t>
      </w:r>
      <w:r w:rsidRPr="00DB7F92">
        <w:t>explained.</w:t>
      </w:r>
    </w:p>
    <w:p w14:paraId="02393A5D" w14:textId="77777777" w:rsidR="00DB7F92" w:rsidRPr="00DB7F92" w:rsidRDefault="00DB7F92" w:rsidP="00DD5D2D">
      <w:pPr>
        <w:pStyle w:val="Heading4"/>
      </w:pPr>
      <w:r w:rsidRPr="00DB7F92">
        <w:t>There</w:t>
      </w:r>
      <w:r w:rsidRPr="00DB7F92">
        <w:rPr>
          <w:spacing w:val="-4"/>
        </w:rPr>
        <w:t xml:space="preserve"> </w:t>
      </w:r>
      <w:r w:rsidRPr="00DB7F92">
        <w:t>should</w:t>
      </w:r>
      <w:r w:rsidRPr="00DB7F92">
        <w:rPr>
          <w:spacing w:val="-2"/>
        </w:rPr>
        <w:t xml:space="preserve"> </w:t>
      </w:r>
      <w:r w:rsidRPr="00DB7F92">
        <w:t>be</w:t>
      </w:r>
      <w:r w:rsidRPr="00DB7F92">
        <w:rPr>
          <w:spacing w:val="-3"/>
        </w:rPr>
        <w:t xml:space="preserve"> </w:t>
      </w:r>
      <w:r w:rsidRPr="00DB7F92">
        <w:t>a detailed</w:t>
      </w:r>
      <w:r w:rsidRPr="00DB7F92">
        <w:rPr>
          <w:spacing w:val="-2"/>
        </w:rPr>
        <w:t xml:space="preserve"> </w:t>
      </w:r>
      <w:r w:rsidRPr="00DB7F92">
        <w:t>consideration</w:t>
      </w:r>
      <w:r w:rsidRPr="00DB7F92">
        <w:rPr>
          <w:spacing w:val="-2"/>
        </w:rPr>
        <w:t xml:space="preserve"> </w:t>
      </w:r>
      <w:r w:rsidRPr="00DB7F92">
        <w:t>as</w:t>
      </w:r>
      <w:r w:rsidRPr="00DB7F92">
        <w:rPr>
          <w:spacing w:val="-2"/>
        </w:rPr>
        <w:t xml:space="preserve"> </w:t>
      </w:r>
      <w:r w:rsidRPr="00DB7F92">
        <w:t>to how</w:t>
      </w:r>
      <w:r w:rsidRPr="00DB7F92">
        <w:rPr>
          <w:spacing w:val="-3"/>
        </w:rPr>
        <w:t xml:space="preserve"> </w:t>
      </w:r>
      <w:r w:rsidRPr="00DB7F92">
        <w:t>any</w:t>
      </w:r>
      <w:r w:rsidRPr="00DB7F92">
        <w:rPr>
          <w:spacing w:val="-3"/>
        </w:rPr>
        <w:t xml:space="preserve"> </w:t>
      </w:r>
      <w:r w:rsidRPr="00DB7F92">
        <w:t>negative</w:t>
      </w:r>
      <w:r w:rsidRPr="00DB7F92">
        <w:rPr>
          <w:spacing w:val="51"/>
          <w:w w:val="99"/>
        </w:rPr>
        <w:t xml:space="preserve"> </w:t>
      </w:r>
      <w:r w:rsidRPr="00DB7F92">
        <w:t>impact</w:t>
      </w:r>
      <w:r w:rsidRPr="00DB7F92">
        <w:rPr>
          <w:spacing w:val="1"/>
        </w:rPr>
        <w:t xml:space="preserve"> </w:t>
      </w:r>
      <w:r w:rsidRPr="00DB7F92">
        <w:t>of the decision could</w:t>
      </w:r>
      <w:r w:rsidRPr="00DB7F92">
        <w:rPr>
          <w:spacing w:val="2"/>
        </w:rPr>
        <w:t xml:space="preserve"> </w:t>
      </w:r>
      <w:r w:rsidRPr="00DB7F92">
        <w:t>be mitigated.</w:t>
      </w:r>
      <w:r w:rsidRPr="00DB7F92">
        <w:rPr>
          <w:spacing w:val="1"/>
        </w:rPr>
        <w:t xml:space="preserve"> </w:t>
      </w:r>
      <w:r w:rsidRPr="00DB7F92">
        <w:t>If the steps</w:t>
      </w:r>
      <w:r w:rsidRPr="00DB7F92">
        <w:rPr>
          <w:spacing w:val="1"/>
        </w:rPr>
        <w:t xml:space="preserve"> </w:t>
      </w:r>
      <w:r w:rsidRPr="00DB7F92">
        <w:t>identified</w:t>
      </w:r>
      <w:r w:rsidRPr="00DB7F92">
        <w:rPr>
          <w:spacing w:val="57"/>
        </w:rPr>
        <w:t xml:space="preserve"> </w:t>
      </w:r>
      <w:r w:rsidRPr="00DB7F92">
        <w:t>are</w:t>
      </w:r>
      <w:r w:rsidRPr="00DB7F92">
        <w:rPr>
          <w:spacing w:val="-7"/>
        </w:rPr>
        <w:t xml:space="preserve"> </w:t>
      </w:r>
      <w:r w:rsidRPr="00DB7F92">
        <w:t>not</w:t>
      </w:r>
      <w:r w:rsidRPr="00DB7F92">
        <w:rPr>
          <w:spacing w:val="-4"/>
        </w:rPr>
        <w:t xml:space="preserve"> </w:t>
      </w:r>
      <w:r w:rsidRPr="00DB7F92">
        <w:t>practicable,</w:t>
      </w:r>
      <w:r w:rsidRPr="00DB7F92">
        <w:rPr>
          <w:spacing w:val="-6"/>
        </w:rPr>
        <w:t xml:space="preserve"> </w:t>
      </w:r>
      <w:r w:rsidRPr="00DB7F92">
        <w:t>this</w:t>
      </w:r>
      <w:r w:rsidRPr="00DB7F92">
        <w:rPr>
          <w:spacing w:val="-3"/>
        </w:rPr>
        <w:t xml:space="preserve"> </w:t>
      </w:r>
      <w:r w:rsidRPr="00DB7F92">
        <w:t>should</w:t>
      </w:r>
      <w:r w:rsidRPr="00DB7F92">
        <w:rPr>
          <w:spacing w:val="-5"/>
        </w:rPr>
        <w:t xml:space="preserve"> </w:t>
      </w:r>
      <w:r w:rsidRPr="00DB7F92">
        <w:t>be</w:t>
      </w:r>
      <w:r w:rsidRPr="00DB7F92">
        <w:rPr>
          <w:spacing w:val="-4"/>
        </w:rPr>
        <w:t xml:space="preserve"> </w:t>
      </w:r>
      <w:r w:rsidRPr="00DB7F92">
        <w:t>explained.</w:t>
      </w:r>
    </w:p>
    <w:p w14:paraId="6880A347" w14:textId="77777777" w:rsidR="00DB7F92" w:rsidRPr="00DB7F92" w:rsidRDefault="00DB7F92" w:rsidP="00DD5D2D">
      <w:pPr>
        <w:pStyle w:val="Heading4"/>
      </w:pPr>
      <w:r w:rsidRPr="00DB7F92">
        <w:t>The duty must be complied with at the time of the decision. After the event reasoning is rarely allowed so a record should be made at the time about how equalities issues were considered.</w:t>
      </w:r>
    </w:p>
    <w:p w14:paraId="2A04D30D" w14:textId="135AA0F4" w:rsidR="00DB7F92" w:rsidRPr="00517130" w:rsidRDefault="00DB7F92" w:rsidP="00517130">
      <w:pPr>
        <w:pStyle w:val="Heading3"/>
      </w:pPr>
      <w:r w:rsidRPr="00517130">
        <w:t xml:space="preserve">Further guidance on the PSED can be found on NHS England’s Equality and Health Inequalities Unit has a Resource Hub with information which can be found here: </w:t>
      </w:r>
      <w:hyperlink r:id="rId24" w:history="1">
        <w:r w:rsidRPr="00517130">
          <w:rPr>
            <w:color w:val="0000FF"/>
            <w:u w:val="single"/>
          </w:rPr>
          <w:t>https://www.england.nhs.uk/about/equality/equality-hub/</w:t>
        </w:r>
      </w:hyperlink>
      <w:r w:rsidRPr="00517130">
        <w:rPr>
          <w:u w:val="single"/>
        </w:rPr>
        <w:t>.</w:t>
      </w:r>
      <w:r w:rsidRPr="00517130">
        <w:t xml:space="preserve">  </w:t>
      </w:r>
      <w:r w:rsidR="00517130" w:rsidRPr="00517130">
        <w:t>Additionally</w:t>
      </w:r>
      <w:r w:rsidR="00517130">
        <w:t xml:space="preserve">, the Equality and Human Rights Commission publish a wealth of information here: </w:t>
      </w:r>
      <w:hyperlink r:id="rId25" w:history="1">
        <w:r w:rsidR="00517130" w:rsidRPr="00E25D27">
          <w:rPr>
            <w:rStyle w:val="Hyperlink"/>
          </w:rPr>
          <w:t>https://www.equalityhumanrights.com/en</w:t>
        </w:r>
      </w:hyperlink>
      <w:r w:rsidR="00517130">
        <w:t xml:space="preserve"> </w:t>
      </w:r>
    </w:p>
    <w:p w14:paraId="16215A04" w14:textId="03639C04" w:rsidR="00DB7F92" w:rsidRPr="00137449" w:rsidRDefault="00DB7F92" w:rsidP="002D119A">
      <w:pPr>
        <w:pStyle w:val="Heading4"/>
        <w:rPr>
          <w:color w:val="0000FF"/>
          <w:sz w:val="20"/>
          <w:szCs w:val="20"/>
          <w:u w:val="single"/>
        </w:rPr>
      </w:pPr>
      <w:r w:rsidRPr="002D119A">
        <w:t xml:space="preserve">Guidance on the PSED can also be found on the EHRC's website: </w:t>
      </w:r>
      <w:hyperlink r:id="rId26" w:history="1">
        <w:r w:rsidRPr="00137449">
          <w:rPr>
            <w:color w:val="0000FF"/>
            <w:u w:val="single"/>
          </w:rPr>
          <w:t>https://www.equalityhumanrights.com/en/advice-and-guidance/public-sector-equality-duty</w:t>
        </w:r>
      </w:hyperlink>
      <w:r w:rsidRPr="00137449">
        <w:rPr>
          <w:color w:val="0000FF"/>
          <w:sz w:val="20"/>
          <w:szCs w:val="20"/>
          <w:u w:val="single"/>
        </w:rPr>
        <w:t xml:space="preserve">. </w:t>
      </w:r>
    </w:p>
    <w:p w14:paraId="1886F916" w14:textId="77777777" w:rsidR="00DB7F92" w:rsidRPr="00DB7F92" w:rsidRDefault="00DB7F92" w:rsidP="00DB7F92">
      <w:pPr>
        <w:ind w:left="1276"/>
        <w:contextualSpacing/>
        <w:jc w:val="both"/>
      </w:pPr>
    </w:p>
    <w:p w14:paraId="0D0E8C39" w14:textId="77777777" w:rsidR="00DB7F92" w:rsidRDefault="00DB7F92" w:rsidP="00884224">
      <w:pPr>
        <w:keepNext/>
        <w:keepLines/>
        <w:spacing w:before="199"/>
        <w:ind w:left="838"/>
        <w:jc w:val="both"/>
        <w:outlineLvl w:val="6"/>
        <w:rPr>
          <w:rFonts w:eastAsiaTheme="majorEastAsia" w:cs="Arial"/>
          <w:i/>
          <w:iCs/>
          <w:color w:val="404040" w:themeColor="text1" w:themeTint="BF"/>
          <w:spacing w:val="-1"/>
          <w:sz w:val="28"/>
          <w:szCs w:val="28"/>
        </w:rPr>
      </w:pPr>
      <w:r w:rsidRPr="00884224">
        <w:rPr>
          <w:rFonts w:eastAsiaTheme="majorEastAsia" w:cs="Arial"/>
          <w:i/>
          <w:iCs/>
          <w:color w:val="404040" w:themeColor="text1" w:themeTint="BF"/>
          <w:spacing w:val="-1"/>
          <w:sz w:val="28"/>
          <w:szCs w:val="28"/>
        </w:rPr>
        <w:t xml:space="preserve">THE EQUALITY ACT 2010 </w:t>
      </w:r>
      <w:r w:rsidRPr="00F45B47">
        <w:rPr>
          <w:rFonts w:eastAsiaTheme="majorEastAsia" w:cs="Arial"/>
          <w:i/>
          <w:iCs/>
          <w:color w:val="404040" w:themeColor="text1" w:themeTint="BF"/>
          <w:spacing w:val="-1"/>
          <w:sz w:val="28"/>
          <w:szCs w:val="28"/>
        </w:rPr>
        <w:t>SPECIFIC DUTIES</w:t>
      </w:r>
      <w:r w:rsidRPr="00884224">
        <w:rPr>
          <w:rFonts w:eastAsiaTheme="majorEastAsia" w:cs="Arial"/>
          <w:i/>
          <w:iCs/>
          <w:color w:val="404040" w:themeColor="text1" w:themeTint="BF"/>
          <w:spacing w:val="-1"/>
          <w:sz w:val="28"/>
          <w:szCs w:val="28"/>
        </w:rPr>
        <w:t xml:space="preserve"> </w:t>
      </w:r>
    </w:p>
    <w:p w14:paraId="7FB3FA5F" w14:textId="77777777" w:rsidR="002D119A" w:rsidRPr="00884224" w:rsidRDefault="002D119A" w:rsidP="00884224">
      <w:pPr>
        <w:keepNext/>
        <w:keepLines/>
        <w:spacing w:before="199"/>
        <w:ind w:left="838"/>
        <w:jc w:val="both"/>
        <w:outlineLvl w:val="6"/>
        <w:rPr>
          <w:rFonts w:eastAsiaTheme="majorEastAsia" w:cs="Arial"/>
          <w:i/>
          <w:iCs/>
          <w:color w:val="404040" w:themeColor="text1" w:themeTint="BF"/>
          <w:spacing w:val="-1"/>
          <w:sz w:val="28"/>
          <w:szCs w:val="28"/>
        </w:rPr>
      </w:pPr>
    </w:p>
    <w:p w14:paraId="02262846" w14:textId="77777777" w:rsidR="00DB7F92" w:rsidRPr="00DB7F92" w:rsidRDefault="00DB7F92" w:rsidP="00DD5D2D">
      <w:pPr>
        <w:pStyle w:val="Heading3"/>
        <w:jc w:val="both"/>
        <w:rPr>
          <w:lang w:eastAsia="en-GB"/>
        </w:rPr>
      </w:pPr>
      <w:r w:rsidRPr="00DB7F92">
        <w:rPr>
          <w:lang w:eastAsia="en-GB"/>
        </w:rPr>
        <w:t>In addition to the PSED NHS England and CCGs are also required to comply with the specific duties contained in the Equality Act 2010 (Specific Duties and Public Authorities) Regulations 2017</w:t>
      </w:r>
      <w:r w:rsidRPr="00DB7F92">
        <w:rPr>
          <w:iCs/>
          <w:lang w:eastAsia="en-GB"/>
        </w:rPr>
        <w:t xml:space="preserve">. </w:t>
      </w:r>
    </w:p>
    <w:p w14:paraId="0CE3B670" w14:textId="77777777" w:rsidR="00DB7F92" w:rsidRPr="00DB7F92" w:rsidRDefault="00DB7F92" w:rsidP="00DD5D2D">
      <w:pPr>
        <w:pStyle w:val="Heading3"/>
        <w:jc w:val="both"/>
        <w:rPr>
          <w:lang w:eastAsia="en-GB"/>
        </w:rPr>
      </w:pPr>
      <w:r w:rsidRPr="00DB7F92">
        <w:rPr>
          <w:iCs/>
          <w:lang w:eastAsia="en-GB"/>
        </w:rPr>
        <w:lastRenderedPageBreak/>
        <w:t>The 2017 Regulations came into force on 31 March 2017. The 2017 Regulations replace the first set of specific duty regulations made in 2011.</w:t>
      </w:r>
    </w:p>
    <w:p w14:paraId="16DA923A" w14:textId="77777777" w:rsidR="00DB7F92" w:rsidRPr="00DB7F92" w:rsidRDefault="00DB7F92" w:rsidP="00DD5D2D">
      <w:pPr>
        <w:pStyle w:val="Heading3"/>
        <w:jc w:val="both"/>
        <w:rPr>
          <w:iCs/>
          <w:lang w:eastAsia="en-GB"/>
        </w:rPr>
      </w:pPr>
      <w:r w:rsidRPr="00DB7F92">
        <w:rPr>
          <w:iCs/>
          <w:lang w:eastAsia="en-GB"/>
        </w:rPr>
        <w:t xml:space="preserve">The 2017 Regulations among other things require commissioners to publish: </w:t>
      </w:r>
    </w:p>
    <w:p w14:paraId="5A2873A1" w14:textId="77777777" w:rsidR="00DB7F92" w:rsidRDefault="00DB7F92" w:rsidP="002D119A">
      <w:pPr>
        <w:pStyle w:val="Heading4"/>
        <w:numPr>
          <w:ilvl w:val="0"/>
          <w:numId w:val="0"/>
        </w:numPr>
        <w:ind w:left="720"/>
        <w:rPr>
          <w:i/>
        </w:rPr>
      </w:pPr>
      <w:r w:rsidRPr="002D119A">
        <w:rPr>
          <w:i/>
        </w:rPr>
        <w:t xml:space="preserve">equality objectives that should be achieved to comply with the PSED (Regulation 5).  This has to be done by 30 March 2018 and the objectives need to be updated once every four years.  Details of NHS England's equality objectives have been be published on the Resource Hub: </w:t>
      </w:r>
      <w:hyperlink r:id="rId27" w:history="1">
        <w:r w:rsidRPr="00137449">
          <w:rPr>
            <w:i/>
            <w:color w:val="0000FF"/>
            <w:u w:val="single"/>
          </w:rPr>
          <w:t>https://www.england.nhs.uk/about/equality/equality-hub/</w:t>
        </w:r>
      </w:hyperlink>
      <w:r w:rsidRPr="002D119A">
        <w:rPr>
          <w:i/>
        </w:rPr>
        <w:t>.  Co-commissioners should ensure that they are familiar with NHS England's equality objectives.</w:t>
      </w:r>
    </w:p>
    <w:p w14:paraId="203E0478" w14:textId="77777777" w:rsidR="002D119A" w:rsidRPr="002D119A" w:rsidRDefault="002D119A" w:rsidP="002D119A">
      <w:pPr>
        <w:rPr>
          <w:lang w:eastAsia="en-GB"/>
        </w:rPr>
      </w:pPr>
    </w:p>
    <w:p w14:paraId="7A5EC544" w14:textId="77777777" w:rsidR="00DB7F92" w:rsidRPr="00DB7F92" w:rsidRDefault="00DB7F92" w:rsidP="00DD5D2D">
      <w:pPr>
        <w:pStyle w:val="Heading3"/>
        <w:jc w:val="both"/>
        <w:rPr>
          <w:lang w:eastAsia="en-GB"/>
        </w:rPr>
      </w:pPr>
      <w:r w:rsidRPr="00DB7F92">
        <w:rPr>
          <w:lang w:eastAsia="en-GB"/>
        </w:rPr>
        <w:t xml:space="preserve">The Equality and Human Rights Commission can, under sections 31 and 32 of the Equality Act 2006, investigate and enforce a failure to comply with the PSED or the specific duties. Alternatively, a failure to comply with the general and specific duties could be challenged by way of judicial review. Such a claim could be brought by a person or group directly affected by a failure to comply with these duties. </w:t>
      </w:r>
    </w:p>
    <w:p w14:paraId="20C2BC37" w14:textId="4B09CA89" w:rsidR="00DB7F92" w:rsidRPr="00023576" w:rsidRDefault="00272DF9" w:rsidP="005A7DDA">
      <w:pPr>
        <w:widowControl w:val="0"/>
        <w:numPr>
          <w:ilvl w:val="0"/>
          <w:numId w:val="59"/>
        </w:numPr>
        <w:tabs>
          <w:tab w:val="left" w:pos="1179"/>
        </w:tabs>
        <w:spacing w:before="211"/>
        <w:ind w:right="156"/>
        <w:jc w:val="both"/>
        <w:rPr>
          <w:rFonts w:eastAsiaTheme="majorEastAsia" w:cs="Arial"/>
          <w:b/>
          <w:bCs w:val="0"/>
          <w:i/>
          <w:iCs/>
          <w:color w:val="003087" w:themeColor="accent1"/>
          <w:spacing w:val="-1"/>
          <w:sz w:val="28"/>
          <w:szCs w:val="28"/>
        </w:rPr>
      </w:pPr>
      <w:r>
        <w:rPr>
          <w:rFonts w:eastAsiaTheme="majorEastAsia" w:cs="Arial"/>
          <w:b/>
          <w:bCs w:val="0"/>
          <w:i/>
          <w:iCs/>
          <w:color w:val="003087" w:themeColor="accent1"/>
          <w:spacing w:val="-1"/>
          <w:sz w:val="28"/>
          <w:szCs w:val="28"/>
        </w:rPr>
        <w:br w:type="page"/>
      </w:r>
      <w:r w:rsidR="00DB7F92" w:rsidRPr="00023576">
        <w:rPr>
          <w:rFonts w:eastAsiaTheme="majorEastAsia" w:cs="Arial"/>
          <w:b/>
          <w:bCs w:val="0"/>
          <w:i/>
          <w:iCs/>
          <w:color w:val="003087" w:themeColor="accent1"/>
          <w:spacing w:val="-1"/>
          <w:sz w:val="28"/>
          <w:szCs w:val="28"/>
        </w:rPr>
        <w:lastRenderedPageBreak/>
        <w:t>Health Inequalities duties</w:t>
      </w:r>
      <w:r w:rsidR="00023576" w:rsidRPr="00023576">
        <w:rPr>
          <w:rFonts w:eastAsiaTheme="majorEastAsia" w:cs="Arial"/>
          <w:b/>
          <w:bCs w:val="0"/>
          <w:i/>
          <w:iCs/>
          <w:color w:val="003087" w:themeColor="accent1"/>
          <w:spacing w:val="-1"/>
          <w:sz w:val="28"/>
          <w:szCs w:val="28"/>
        </w:rPr>
        <w:t xml:space="preserve"> and </w:t>
      </w:r>
      <w:r w:rsidR="00023576">
        <w:rPr>
          <w:rFonts w:eastAsiaTheme="majorEastAsia" w:cs="Arial"/>
          <w:b/>
          <w:bCs w:val="0"/>
          <w:i/>
          <w:iCs/>
          <w:color w:val="003087" w:themeColor="accent1"/>
          <w:spacing w:val="-1"/>
          <w:sz w:val="28"/>
          <w:szCs w:val="28"/>
        </w:rPr>
        <w:t xml:space="preserve">the </w:t>
      </w:r>
      <w:r w:rsidR="00023576" w:rsidRPr="00023576">
        <w:rPr>
          <w:rFonts w:eastAsiaTheme="majorEastAsia" w:cs="Arial"/>
          <w:b/>
          <w:bCs w:val="0"/>
          <w:i/>
          <w:iCs/>
          <w:color w:val="003087" w:themeColor="accent1"/>
          <w:spacing w:val="-1"/>
          <w:sz w:val="28"/>
          <w:szCs w:val="28"/>
        </w:rPr>
        <w:t>NHS Act 2006 (as amended by the Health and Social Care Act 2012)</w:t>
      </w:r>
    </w:p>
    <w:p w14:paraId="063E2120" w14:textId="77777777" w:rsidR="002D119A" w:rsidRPr="00DB7F92" w:rsidRDefault="002D119A" w:rsidP="002D119A">
      <w:pPr>
        <w:widowControl w:val="0"/>
        <w:tabs>
          <w:tab w:val="left" w:pos="1179"/>
        </w:tabs>
        <w:spacing w:before="211"/>
        <w:ind w:left="1198" w:right="156"/>
        <w:jc w:val="both"/>
        <w:rPr>
          <w:rFonts w:cs="Arial"/>
          <w:b/>
          <w:bCs w:val="0"/>
          <w:sz w:val="20"/>
          <w:szCs w:val="20"/>
          <w:lang w:eastAsia="en-GB"/>
        </w:rPr>
      </w:pPr>
    </w:p>
    <w:p w14:paraId="69BB3CDB" w14:textId="6CB4419E" w:rsidR="00DB7F92" w:rsidRPr="00DB7F92" w:rsidRDefault="00DB7F92" w:rsidP="00DD5D2D">
      <w:pPr>
        <w:pStyle w:val="Heading3"/>
        <w:jc w:val="both"/>
        <w:rPr>
          <w:lang w:eastAsia="en-GB"/>
        </w:rPr>
      </w:pPr>
      <w:r w:rsidRPr="00DB7F92">
        <w:rPr>
          <w:lang w:eastAsia="en-GB"/>
        </w:rPr>
        <w:t>Under the Health and Social Care Act 2012, commissioners are required to have</w:t>
      </w:r>
      <w:r w:rsidRPr="00DB7F92">
        <w:rPr>
          <w:spacing w:val="-4"/>
          <w:lang w:eastAsia="en-GB"/>
        </w:rPr>
        <w:t xml:space="preserve"> </w:t>
      </w:r>
      <w:r w:rsidRPr="00DB7F92">
        <w:rPr>
          <w:spacing w:val="-1"/>
          <w:lang w:eastAsia="en-GB"/>
        </w:rPr>
        <w:t>regard</w:t>
      </w:r>
      <w:r w:rsidRPr="00DB7F92">
        <w:rPr>
          <w:spacing w:val="-4"/>
          <w:lang w:eastAsia="en-GB"/>
        </w:rPr>
        <w:t xml:space="preserve"> </w:t>
      </w:r>
      <w:r w:rsidRPr="00DB7F92">
        <w:rPr>
          <w:lang w:eastAsia="en-GB"/>
        </w:rPr>
        <w:t>to</w:t>
      </w:r>
      <w:r w:rsidRPr="00DB7F92">
        <w:rPr>
          <w:spacing w:val="-6"/>
          <w:lang w:eastAsia="en-GB"/>
        </w:rPr>
        <w:t xml:space="preserve"> </w:t>
      </w:r>
      <w:r w:rsidRPr="00DB7F92">
        <w:rPr>
          <w:lang w:eastAsia="en-GB"/>
        </w:rPr>
        <w:t>the</w:t>
      </w:r>
      <w:r w:rsidRPr="00DB7F92">
        <w:rPr>
          <w:spacing w:val="-5"/>
          <w:lang w:eastAsia="en-GB"/>
        </w:rPr>
        <w:t xml:space="preserve"> </w:t>
      </w:r>
      <w:r w:rsidRPr="00DB7F92">
        <w:rPr>
          <w:spacing w:val="-1"/>
          <w:lang w:eastAsia="en-GB"/>
        </w:rPr>
        <w:t>need</w:t>
      </w:r>
      <w:r w:rsidRPr="00DB7F92">
        <w:rPr>
          <w:spacing w:val="-4"/>
          <w:lang w:eastAsia="en-GB"/>
        </w:rPr>
        <w:t xml:space="preserve"> </w:t>
      </w:r>
      <w:r w:rsidRPr="00DB7F92">
        <w:rPr>
          <w:spacing w:val="-1"/>
          <w:lang w:eastAsia="en-GB"/>
        </w:rPr>
        <w:t>to:</w:t>
      </w:r>
    </w:p>
    <w:p w14:paraId="4F1A8436" w14:textId="77777777" w:rsidR="00DB7F92" w:rsidRPr="002D119A" w:rsidRDefault="00DB7F92" w:rsidP="005A7DDA">
      <w:pPr>
        <w:pStyle w:val="ListParagraph"/>
        <w:widowControl w:val="0"/>
        <w:numPr>
          <w:ilvl w:val="0"/>
          <w:numId w:val="92"/>
        </w:numPr>
        <w:tabs>
          <w:tab w:val="left" w:pos="2144"/>
        </w:tabs>
        <w:spacing w:before="120" w:after="120" w:line="360" w:lineRule="auto"/>
        <w:ind w:left="714" w:right="116" w:hanging="357"/>
        <w:jc w:val="both"/>
        <w:rPr>
          <w:rFonts w:cs="Arial"/>
          <w:bCs w:val="0"/>
          <w:szCs w:val="24"/>
          <w:lang w:eastAsia="en-GB"/>
        </w:rPr>
      </w:pPr>
      <w:r w:rsidRPr="002D119A">
        <w:rPr>
          <w:rFonts w:cs="Arial"/>
          <w:bCs w:val="0"/>
          <w:spacing w:val="-1"/>
          <w:szCs w:val="24"/>
          <w:lang w:eastAsia="en-GB"/>
        </w:rPr>
        <w:t>reduce</w:t>
      </w:r>
      <w:r w:rsidRPr="002D119A">
        <w:rPr>
          <w:rFonts w:cs="Arial"/>
          <w:bCs w:val="0"/>
          <w:spacing w:val="8"/>
          <w:szCs w:val="24"/>
          <w:lang w:eastAsia="en-GB"/>
        </w:rPr>
        <w:t xml:space="preserve"> </w:t>
      </w:r>
      <w:r w:rsidRPr="002D119A">
        <w:rPr>
          <w:rFonts w:cs="Arial"/>
          <w:bCs w:val="0"/>
          <w:spacing w:val="-1"/>
          <w:szCs w:val="24"/>
          <w:lang w:eastAsia="en-GB"/>
        </w:rPr>
        <w:t>inequalities</w:t>
      </w:r>
      <w:r w:rsidRPr="002D119A">
        <w:rPr>
          <w:rFonts w:cs="Arial"/>
          <w:bCs w:val="0"/>
          <w:spacing w:val="8"/>
          <w:szCs w:val="24"/>
          <w:lang w:eastAsia="en-GB"/>
        </w:rPr>
        <w:t xml:space="preserve"> </w:t>
      </w:r>
      <w:r w:rsidRPr="002D119A">
        <w:rPr>
          <w:rFonts w:cs="Arial"/>
          <w:bCs w:val="0"/>
          <w:spacing w:val="-1"/>
          <w:szCs w:val="24"/>
          <w:lang w:eastAsia="en-GB"/>
        </w:rPr>
        <w:t>between</w:t>
      </w:r>
      <w:r w:rsidRPr="002D119A">
        <w:rPr>
          <w:rFonts w:cs="Arial"/>
          <w:bCs w:val="0"/>
          <w:spacing w:val="8"/>
          <w:szCs w:val="24"/>
          <w:lang w:eastAsia="en-GB"/>
        </w:rPr>
        <w:t xml:space="preserve"> </w:t>
      </w:r>
      <w:r w:rsidRPr="002D119A">
        <w:rPr>
          <w:rFonts w:cs="Arial"/>
          <w:bCs w:val="0"/>
          <w:spacing w:val="-1"/>
          <w:szCs w:val="24"/>
          <w:lang w:eastAsia="en-GB"/>
        </w:rPr>
        <w:t>patients</w:t>
      </w:r>
      <w:r w:rsidRPr="002D119A">
        <w:rPr>
          <w:rFonts w:cs="Arial"/>
          <w:bCs w:val="0"/>
          <w:spacing w:val="8"/>
          <w:szCs w:val="24"/>
          <w:lang w:eastAsia="en-GB"/>
        </w:rPr>
        <w:t xml:space="preserve"> </w:t>
      </w:r>
      <w:r w:rsidRPr="002D119A">
        <w:rPr>
          <w:rFonts w:cs="Arial"/>
          <w:bCs w:val="0"/>
          <w:spacing w:val="-1"/>
          <w:szCs w:val="24"/>
          <w:lang w:eastAsia="en-GB"/>
        </w:rPr>
        <w:t>with</w:t>
      </w:r>
      <w:r w:rsidRPr="002D119A">
        <w:rPr>
          <w:rFonts w:cs="Arial"/>
          <w:bCs w:val="0"/>
          <w:spacing w:val="8"/>
          <w:szCs w:val="24"/>
          <w:lang w:eastAsia="en-GB"/>
        </w:rPr>
        <w:t xml:space="preserve"> </w:t>
      </w:r>
      <w:r w:rsidRPr="002D119A">
        <w:rPr>
          <w:rFonts w:cs="Arial"/>
          <w:bCs w:val="0"/>
          <w:spacing w:val="-1"/>
          <w:szCs w:val="24"/>
          <w:lang w:eastAsia="en-GB"/>
        </w:rPr>
        <w:t>respect</w:t>
      </w:r>
      <w:r w:rsidRPr="002D119A">
        <w:rPr>
          <w:rFonts w:cs="Arial"/>
          <w:bCs w:val="0"/>
          <w:spacing w:val="7"/>
          <w:szCs w:val="24"/>
          <w:lang w:eastAsia="en-GB"/>
        </w:rPr>
        <w:t xml:space="preserve"> </w:t>
      </w:r>
      <w:r w:rsidRPr="002D119A">
        <w:rPr>
          <w:rFonts w:cs="Arial"/>
          <w:bCs w:val="0"/>
          <w:szCs w:val="24"/>
          <w:lang w:eastAsia="en-GB"/>
        </w:rPr>
        <w:t>to</w:t>
      </w:r>
      <w:r w:rsidRPr="002D119A">
        <w:rPr>
          <w:rFonts w:cs="Arial"/>
          <w:bCs w:val="0"/>
          <w:spacing w:val="7"/>
          <w:szCs w:val="24"/>
          <w:lang w:eastAsia="en-GB"/>
        </w:rPr>
        <w:t xml:space="preserve"> </w:t>
      </w:r>
      <w:r w:rsidRPr="002D119A">
        <w:rPr>
          <w:rFonts w:cs="Arial"/>
          <w:bCs w:val="0"/>
          <w:spacing w:val="-1"/>
          <w:szCs w:val="24"/>
          <w:lang w:eastAsia="en-GB"/>
        </w:rPr>
        <w:t>their</w:t>
      </w:r>
      <w:r w:rsidRPr="002D119A">
        <w:rPr>
          <w:rFonts w:cs="Arial"/>
          <w:bCs w:val="0"/>
          <w:spacing w:val="7"/>
          <w:szCs w:val="24"/>
          <w:lang w:eastAsia="en-GB"/>
        </w:rPr>
        <w:t xml:space="preserve"> </w:t>
      </w:r>
      <w:r w:rsidRPr="002D119A">
        <w:rPr>
          <w:rFonts w:cs="Arial"/>
          <w:bCs w:val="0"/>
          <w:spacing w:val="-1"/>
          <w:szCs w:val="24"/>
          <w:lang w:eastAsia="en-GB"/>
        </w:rPr>
        <w:t>ability</w:t>
      </w:r>
      <w:r w:rsidRPr="002D119A">
        <w:rPr>
          <w:rFonts w:cs="Arial"/>
          <w:bCs w:val="0"/>
          <w:spacing w:val="71"/>
          <w:szCs w:val="24"/>
          <w:lang w:eastAsia="en-GB"/>
        </w:rPr>
        <w:t xml:space="preserve"> </w:t>
      </w:r>
      <w:r w:rsidRPr="002D119A">
        <w:rPr>
          <w:rFonts w:cs="Arial"/>
          <w:bCs w:val="0"/>
          <w:szCs w:val="24"/>
          <w:lang w:eastAsia="en-GB"/>
        </w:rPr>
        <w:t>to</w:t>
      </w:r>
      <w:r w:rsidRPr="002D119A">
        <w:rPr>
          <w:rFonts w:cs="Arial"/>
          <w:bCs w:val="0"/>
          <w:spacing w:val="-7"/>
          <w:szCs w:val="24"/>
          <w:lang w:eastAsia="en-GB"/>
        </w:rPr>
        <w:t xml:space="preserve"> </w:t>
      </w:r>
      <w:r w:rsidRPr="002D119A">
        <w:rPr>
          <w:rFonts w:cs="Arial"/>
          <w:bCs w:val="0"/>
          <w:spacing w:val="-1"/>
          <w:szCs w:val="24"/>
          <w:lang w:eastAsia="en-GB"/>
        </w:rPr>
        <w:t>access</w:t>
      </w:r>
      <w:r w:rsidRPr="002D119A">
        <w:rPr>
          <w:rFonts w:cs="Arial"/>
          <w:bCs w:val="0"/>
          <w:spacing w:val="-5"/>
          <w:szCs w:val="24"/>
          <w:lang w:eastAsia="en-GB"/>
        </w:rPr>
        <w:t xml:space="preserve"> </w:t>
      </w:r>
      <w:r w:rsidRPr="002D119A">
        <w:rPr>
          <w:rFonts w:cs="Arial"/>
          <w:bCs w:val="0"/>
          <w:spacing w:val="-1"/>
          <w:szCs w:val="24"/>
          <w:lang w:eastAsia="en-GB"/>
        </w:rPr>
        <w:t>health</w:t>
      </w:r>
      <w:r w:rsidRPr="002D119A">
        <w:rPr>
          <w:rFonts w:cs="Arial"/>
          <w:bCs w:val="0"/>
          <w:spacing w:val="-6"/>
          <w:szCs w:val="24"/>
          <w:lang w:eastAsia="en-GB"/>
        </w:rPr>
        <w:t xml:space="preserve"> </w:t>
      </w:r>
      <w:r w:rsidRPr="002D119A">
        <w:rPr>
          <w:rFonts w:cs="Arial"/>
          <w:bCs w:val="0"/>
          <w:szCs w:val="24"/>
          <w:lang w:eastAsia="en-GB"/>
        </w:rPr>
        <w:t>services,</w:t>
      </w:r>
      <w:r w:rsidRPr="002D119A">
        <w:rPr>
          <w:rFonts w:cs="Arial"/>
          <w:bCs w:val="0"/>
          <w:spacing w:val="-6"/>
          <w:szCs w:val="24"/>
          <w:lang w:eastAsia="en-GB"/>
        </w:rPr>
        <w:t xml:space="preserve"> </w:t>
      </w:r>
      <w:r w:rsidRPr="002D119A">
        <w:rPr>
          <w:rFonts w:cs="Arial"/>
          <w:bCs w:val="0"/>
          <w:spacing w:val="-1"/>
          <w:szCs w:val="24"/>
          <w:lang w:eastAsia="en-GB"/>
        </w:rPr>
        <w:t>and</w:t>
      </w:r>
    </w:p>
    <w:p w14:paraId="474EDF9D" w14:textId="77777777" w:rsidR="00DB7F92" w:rsidRPr="002D119A" w:rsidRDefault="00DB7F92" w:rsidP="005A7DDA">
      <w:pPr>
        <w:pStyle w:val="ListParagraph"/>
        <w:widowControl w:val="0"/>
        <w:numPr>
          <w:ilvl w:val="0"/>
          <w:numId w:val="92"/>
        </w:numPr>
        <w:tabs>
          <w:tab w:val="left" w:pos="2144"/>
        </w:tabs>
        <w:spacing w:before="120" w:after="120" w:line="360" w:lineRule="auto"/>
        <w:ind w:left="714" w:right="113" w:hanging="357"/>
        <w:jc w:val="both"/>
        <w:rPr>
          <w:rFonts w:cs="Arial"/>
          <w:bCs w:val="0"/>
          <w:szCs w:val="24"/>
          <w:lang w:eastAsia="en-GB"/>
        </w:rPr>
      </w:pPr>
      <w:r w:rsidRPr="002D119A">
        <w:rPr>
          <w:rFonts w:cs="Arial"/>
          <w:bCs w:val="0"/>
          <w:spacing w:val="-1"/>
          <w:szCs w:val="24"/>
          <w:lang w:eastAsia="en-GB"/>
        </w:rPr>
        <w:t>reduce</w:t>
      </w:r>
      <w:r w:rsidRPr="002D119A">
        <w:rPr>
          <w:rFonts w:cs="Arial"/>
          <w:bCs w:val="0"/>
          <w:spacing w:val="20"/>
          <w:szCs w:val="24"/>
          <w:lang w:eastAsia="en-GB"/>
        </w:rPr>
        <w:t xml:space="preserve"> </w:t>
      </w:r>
      <w:r w:rsidRPr="002D119A">
        <w:rPr>
          <w:rFonts w:cs="Arial"/>
          <w:bCs w:val="0"/>
          <w:spacing w:val="-1"/>
          <w:szCs w:val="24"/>
          <w:lang w:eastAsia="en-GB"/>
        </w:rPr>
        <w:t>health</w:t>
      </w:r>
      <w:r w:rsidRPr="002D119A">
        <w:rPr>
          <w:rFonts w:cs="Arial"/>
          <w:bCs w:val="0"/>
          <w:spacing w:val="21"/>
          <w:szCs w:val="24"/>
          <w:lang w:eastAsia="en-GB"/>
        </w:rPr>
        <w:t xml:space="preserve"> </w:t>
      </w:r>
      <w:r w:rsidRPr="002D119A">
        <w:rPr>
          <w:rFonts w:cs="Arial"/>
          <w:bCs w:val="0"/>
          <w:spacing w:val="-1"/>
          <w:szCs w:val="24"/>
          <w:lang w:eastAsia="en-GB"/>
        </w:rPr>
        <w:t>inequalities</w:t>
      </w:r>
      <w:r w:rsidRPr="002D119A">
        <w:rPr>
          <w:rFonts w:cs="Arial"/>
          <w:bCs w:val="0"/>
          <w:spacing w:val="23"/>
          <w:szCs w:val="24"/>
          <w:lang w:eastAsia="en-GB"/>
        </w:rPr>
        <w:t xml:space="preserve"> </w:t>
      </w:r>
      <w:r w:rsidRPr="002D119A">
        <w:rPr>
          <w:rFonts w:cs="Arial"/>
          <w:bCs w:val="0"/>
          <w:spacing w:val="-1"/>
          <w:szCs w:val="24"/>
          <w:lang w:eastAsia="en-GB"/>
        </w:rPr>
        <w:t>between</w:t>
      </w:r>
      <w:r w:rsidRPr="002D119A">
        <w:rPr>
          <w:rFonts w:cs="Arial"/>
          <w:bCs w:val="0"/>
          <w:spacing w:val="21"/>
          <w:szCs w:val="24"/>
          <w:lang w:eastAsia="en-GB"/>
        </w:rPr>
        <w:t xml:space="preserve"> </w:t>
      </w:r>
      <w:r w:rsidRPr="002D119A">
        <w:rPr>
          <w:rFonts w:cs="Arial"/>
          <w:bCs w:val="0"/>
          <w:spacing w:val="-1"/>
          <w:szCs w:val="24"/>
          <w:lang w:eastAsia="en-GB"/>
        </w:rPr>
        <w:t>patients</w:t>
      </w:r>
      <w:r w:rsidRPr="002D119A">
        <w:rPr>
          <w:rFonts w:cs="Arial"/>
          <w:bCs w:val="0"/>
          <w:spacing w:val="22"/>
          <w:szCs w:val="24"/>
          <w:lang w:eastAsia="en-GB"/>
        </w:rPr>
        <w:t xml:space="preserve"> </w:t>
      </w:r>
      <w:r w:rsidRPr="002D119A">
        <w:rPr>
          <w:rFonts w:cs="Arial"/>
          <w:bCs w:val="0"/>
          <w:spacing w:val="-1"/>
          <w:szCs w:val="24"/>
          <w:lang w:eastAsia="en-GB"/>
        </w:rPr>
        <w:t>with</w:t>
      </w:r>
      <w:r w:rsidRPr="002D119A">
        <w:rPr>
          <w:rFonts w:cs="Arial"/>
          <w:bCs w:val="0"/>
          <w:spacing w:val="21"/>
          <w:szCs w:val="24"/>
          <w:lang w:eastAsia="en-GB"/>
        </w:rPr>
        <w:t xml:space="preserve"> </w:t>
      </w:r>
      <w:r w:rsidRPr="002D119A">
        <w:rPr>
          <w:rFonts w:cs="Arial"/>
          <w:bCs w:val="0"/>
          <w:spacing w:val="-1"/>
          <w:szCs w:val="24"/>
          <w:lang w:eastAsia="en-GB"/>
        </w:rPr>
        <w:t>respect</w:t>
      </w:r>
      <w:r w:rsidRPr="002D119A">
        <w:rPr>
          <w:rFonts w:cs="Arial"/>
          <w:bCs w:val="0"/>
          <w:spacing w:val="23"/>
          <w:szCs w:val="24"/>
          <w:lang w:eastAsia="en-GB"/>
        </w:rPr>
        <w:t xml:space="preserve"> </w:t>
      </w:r>
      <w:r w:rsidRPr="002D119A">
        <w:rPr>
          <w:rFonts w:cs="Arial"/>
          <w:bCs w:val="0"/>
          <w:szCs w:val="24"/>
          <w:lang w:eastAsia="en-GB"/>
        </w:rPr>
        <w:t>to</w:t>
      </w:r>
      <w:r w:rsidRPr="002D119A">
        <w:rPr>
          <w:rFonts w:cs="Arial"/>
          <w:bCs w:val="0"/>
          <w:spacing w:val="21"/>
          <w:szCs w:val="24"/>
          <w:lang w:eastAsia="en-GB"/>
        </w:rPr>
        <w:t xml:space="preserve"> </w:t>
      </w:r>
      <w:r w:rsidRPr="002D119A">
        <w:rPr>
          <w:rFonts w:cs="Arial"/>
          <w:bCs w:val="0"/>
          <w:spacing w:val="-1"/>
          <w:szCs w:val="24"/>
          <w:lang w:eastAsia="en-GB"/>
        </w:rPr>
        <w:t>the</w:t>
      </w:r>
      <w:r w:rsidRPr="002D119A">
        <w:rPr>
          <w:rFonts w:cs="Arial"/>
          <w:bCs w:val="0"/>
          <w:spacing w:val="61"/>
          <w:w w:val="99"/>
          <w:szCs w:val="24"/>
          <w:lang w:eastAsia="en-GB"/>
        </w:rPr>
        <w:t xml:space="preserve"> </w:t>
      </w:r>
      <w:r w:rsidRPr="002D119A">
        <w:rPr>
          <w:rFonts w:cs="Arial"/>
          <w:bCs w:val="0"/>
          <w:spacing w:val="-1"/>
          <w:szCs w:val="24"/>
          <w:lang w:eastAsia="en-GB"/>
        </w:rPr>
        <w:t>outcomes</w:t>
      </w:r>
      <w:r w:rsidRPr="002D119A">
        <w:rPr>
          <w:rFonts w:cs="Arial"/>
          <w:bCs w:val="0"/>
          <w:spacing w:val="-6"/>
          <w:szCs w:val="24"/>
          <w:lang w:eastAsia="en-GB"/>
        </w:rPr>
        <w:t xml:space="preserve"> </w:t>
      </w:r>
      <w:r w:rsidRPr="002D119A">
        <w:rPr>
          <w:rFonts w:cs="Arial"/>
          <w:bCs w:val="0"/>
          <w:szCs w:val="24"/>
          <w:lang w:eastAsia="en-GB"/>
        </w:rPr>
        <w:t>achieved</w:t>
      </w:r>
      <w:r w:rsidRPr="002D119A">
        <w:rPr>
          <w:rFonts w:cs="Arial"/>
          <w:bCs w:val="0"/>
          <w:spacing w:val="-4"/>
          <w:szCs w:val="24"/>
          <w:lang w:eastAsia="en-GB"/>
        </w:rPr>
        <w:t xml:space="preserve"> </w:t>
      </w:r>
      <w:r w:rsidRPr="002D119A">
        <w:rPr>
          <w:rFonts w:cs="Arial"/>
          <w:bCs w:val="0"/>
          <w:spacing w:val="-1"/>
          <w:szCs w:val="24"/>
          <w:lang w:eastAsia="en-GB"/>
        </w:rPr>
        <w:t>for</w:t>
      </w:r>
      <w:r w:rsidRPr="002D119A">
        <w:rPr>
          <w:rFonts w:cs="Arial"/>
          <w:bCs w:val="0"/>
          <w:spacing w:val="-3"/>
          <w:szCs w:val="24"/>
          <w:lang w:eastAsia="en-GB"/>
        </w:rPr>
        <w:t xml:space="preserve"> </w:t>
      </w:r>
      <w:r w:rsidRPr="002D119A">
        <w:rPr>
          <w:rFonts w:cs="Arial"/>
          <w:bCs w:val="0"/>
          <w:spacing w:val="-1"/>
          <w:szCs w:val="24"/>
          <w:lang w:eastAsia="en-GB"/>
        </w:rPr>
        <w:t>them</w:t>
      </w:r>
      <w:r w:rsidRPr="002D119A">
        <w:rPr>
          <w:rFonts w:cs="Arial"/>
          <w:bCs w:val="0"/>
          <w:spacing w:val="-6"/>
          <w:szCs w:val="24"/>
          <w:lang w:eastAsia="en-GB"/>
        </w:rPr>
        <w:t xml:space="preserve"> </w:t>
      </w:r>
      <w:r w:rsidRPr="002D119A">
        <w:rPr>
          <w:rFonts w:cs="Arial"/>
          <w:bCs w:val="0"/>
          <w:spacing w:val="-1"/>
          <w:szCs w:val="24"/>
          <w:lang w:eastAsia="en-GB"/>
        </w:rPr>
        <w:t>by</w:t>
      </w:r>
      <w:r w:rsidRPr="002D119A">
        <w:rPr>
          <w:rFonts w:cs="Arial"/>
          <w:bCs w:val="0"/>
          <w:spacing w:val="-6"/>
          <w:szCs w:val="24"/>
          <w:lang w:eastAsia="en-GB"/>
        </w:rPr>
        <w:t xml:space="preserve"> </w:t>
      </w:r>
      <w:r w:rsidRPr="002D119A">
        <w:rPr>
          <w:rFonts w:cs="Arial"/>
          <w:bCs w:val="0"/>
          <w:szCs w:val="24"/>
          <w:lang w:eastAsia="en-GB"/>
        </w:rPr>
        <w:t>the</w:t>
      </w:r>
      <w:r w:rsidRPr="002D119A">
        <w:rPr>
          <w:rFonts w:cs="Arial"/>
          <w:bCs w:val="0"/>
          <w:spacing w:val="-6"/>
          <w:szCs w:val="24"/>
          <w:lang w:eastAsia="en-GB"/>
        </w:rPr>
        <w:t xml:space="preserve"> </w:t>
      </w:r>
      <w:r w:rsidRPr="002D119A">
        <w:rPr>
          <w:rFonts w:cs="Arial"/>
          <w:bCs w:val="0"/>
          <w:spacing w:val="-1"/>
          <w:szCs w:val="24"/>
          <w:lang w:eastAsia="en-GB"/>
        </w:rPr>
        <w:t>provision</w:t>
      </w:r>
      <w:r w:rsidRPr="002D119A">
        <w:rPr>
          <w:rFonts w:cs="Arial"/>
          <w:bCs w:val="0"/>
          <w:spacing w:val="-3"/>
          <w:szCs w:val="24"/>
          <w:lang w:eastAsia="en-GB"/>
        </w:rPr>
        <w:t xml:space="preserve"> </w:t>
      </w:r>
      <w:r w:rsidRPr="002D119A">
        <w:rPr>
          <w:rFonts w:cs="Arial"/>
          <w:bCs w:val="0"/>
          <w:spacing w:val="-1"/>
          <w:szCs w:val="24"/>
          <w:lang w:eastAsia="en-GB"/>
        </w:rPr>
        <w:t>of</w:t>
      </w:r>
      <w:r w:rsidRPr="002D119A">
        <w:rPr>
          <w:rFonts w:cs="Arial"/>
          <w:bCs w:val="0"/>
          <w:spacing w:val="-7"/>
          <w:szCs w:val="24"/>
          <w:lang w:eastAsia="en-GB"/>
        </w:rPr>
        <w:t xml:space="preserve"> </w:t>
      </w:r>
      <w:r w:rsidRPr="002D119A">
        <w:rPr>
          <w:rFonts w:cs="Arial"/>
          <w:bCs w:val="0"/>
          <w:spacing w:val="-1"/>
          <w:szCs w:val="24"/>
          <w:lang w:eastAsia="en-GB"/>
        </w:rPr>
        <w:t>health</w:t>
      </w:r>
      <w:r w:rsidRPr="002D119A">
        <w:rPr>
          <w:rFonts w:cs="Arial"/>
          <w:bCs w:val="0"/>
          <w:spacing w:val="-6"/>
          <w:szCs w:val="24"/>
          <w:lang w:eastAsia="en-GB"/>
        </w:rPr>
        <w:t xml:space="preserve"> </w:t>
      </w:r>
      <w:r w:rsidRPr="002D119A">
        <w:rPr>
          <w:rFonts w:cs="Arial"/>
          <w:bCs w:val="0"/>
          <w:szCs w:val="24"/>
          <w:lang w:eastAsia="en-GB"/>
        </w:rPr>
        <w:t>service</w:t>
      </w:r>
    </w:p>
    <w:p w14:paraId="37E55544" w14:textId="77777777" w:rsidR="00DB7F92" w:rsidRPr="00DB7F92" w:rsidRDefault="00DB7F92" w:rsidP="00DD5D2D">
      <w:pPr>
        <w:pStyle w:val="Heading3"/>
        <w:jc w:val="both"/>
        <w:rPr>
          <w:lang w:eastAsia="en-GB"/>
        </w:rPr>
      </w:pPr>
      <w:r w:rsidRPr="00DB7F92">
        <w:rPr>
          <w:lang w:eastAsia="en-GB"/>
        </w:rPr>
        <w:t>When</w:t>
      </w:r>
      <w:r w:rsidRPr="00DB7F92">
        <w:rPr>
          <w:spacing w:val="34"/>
          <w:lang w:eastAsia="en-GB"/>
        </w:rPr>
        <w:t xml:space="preserve"> </w:t>
      </w:r>
      <w:r w:rsidRPr="00DB7F92">
        <w:rPr>
          <w:lang w:eastAsia="en-GB"/>
        </w:rPr>
        <w:t>making</w:t>
      </w:r>
      <w:r w:rsidRPr="00DB7F92">
        <w:rPr>
          <w:spacing w:val="33"/>
          <w:lang w:eastAsia="en-GB"/>
        </w:rPr>
        <w:t xml:space="preserve"> </w:t>
      </w:r>
      <w:r w:rsidRPr="00DB7F92">
        <w:rPr>
          <w:lang w:eastAsia="en-GB"/>
        </w:rPr>
        <w:t>decisions</w:t>
      </w:r>
      <w:r w:rsidRPr="00DB7F92">
        <w:rPr>
          <w:spacing w:val="34"/>
          <w:lang w:eastAsia="en-GB"/>
        </w:rPr>
        <w:t xml:space="preserve"> </w:t>
      </w:r>
      <w:r w:rsidRPr="00DB7F92">
        <w:rPr>
          <w:lang w:eastAsia="en-GB"/>
        </w:rPr>
        <w:t>about</w:t>
      </w:r>
      <w:r w:rsidRPr="00DB7F92">
        <w:rPr>
          <w:spacing w:val="35"/>
          <w:lang w:eastAsia="en-GB"/>
        </w:rPr>
        <w:t xml:space="preserve"> </w:t>
      </w:r>
      <w:r w:rsidRPr="00DB7F92">
        <w:rPr>
          <w:lang w:eastAsia="en-GB"/>
        </w:rPr>
        <w:t>primary</w:t>
      </w:r>
      <w:r w:rsidRPr="00DB7F92">
        <w:rPr>
          <w:spacing w:val="34"/>
          <w:lang w:eastAsia="en-GB"/>
        </w:rPr>
        <w:t xml:space="preserve"> </w:t>
      </w:r>
      <w:r w:rsidRPr="00DB7F92">
        <w:rPr>
          <w:lang w:eastAsia="en-GB"/>
        </w:rPr>
        <w:t>care</w:t>
      </w:r>
      <w:r w:rsidRPr="00DB7F92">
        <w:rPr>
          <w:spacing w:val="33"/>
          <w:lang w:eastAsia="en-GB"/>
        </w:rPr>
        <w:t xml:space="preserve"> </w:t>
      </w:r>
      <w:r w:rsidRPr="00DB7F92">
        <w:rPr>
          <w:lang w:eastAsia="en-GB"/>
        </w:rPr>
        <w:t>–</w:t>
      </w:r>
      <w:r w:rsidRPr="00DB7F92">
        <w:rPr>
          <w:spacing w:val="34"/>
          <w:lang w:eastAsia="en-GB"/>
        </w:rPr>
        <w:t xml:space="preserve"> </w:t>
      </w:r>
      <w:r w:rsidRPr="00DB7F92">
        <w:rPr>
          <w:lang w:eastAsia="en-GB"/>
        </w:rPr>
        <w:t>particularly</w:t>
      </w:r>
      <w:r w:rsidRPr="00DB7F92">
        <w:rPr>
          <w:spacing w:val="35"/>
          <w:lang w:eastAsia="en-GB"/>
        </w:rPr>
        <w:t xml:space="preserve"> </w:t>
      </w:r>
      <w:r w:rsidRPr="00DB7F92">
        <w:rPr>
          <w:lang w:eastAsia="en-GB"/>
        </w:rPr>
        <w:t>about</w:t>
      </w:r>
      <w:r w:rsidRPr="00DB7F92">
        <w:rPr>
          <w:spacing w:val="34"/>
          <w:lang w:eastAsia="en-GB"/>
        </w:rPr>
        <w:t xml:space="preserve"> </w:t>
      </w:r>
      <w:r w:rsidRPr="00DB7F92">
        <w:rPr>
          <w:lang w:eastAsia="en-GB"/>
        </w:rPr>
        <w:t>service</w:t>
      </w:r>
      <w:r w:rsidRPr="00DB7F92">
        <w:rPr>
          <w:spacing w:val="59"/>
          <w:w w:val="99"/>
          <w:lang w:eastAsia="en-GB"/>
        </w:rPr>
        <w:t xml:space="preserve"> </w:t>
      </w:r>
      <w:r w:rsidRPr="00DB7F92">
        <w:rPr>
          <w:lang w:eastAsia="en-GB"/>
        </w:rPr>
        <w:t>changes – decision-makers will</w:t>
      </w:r>
      <w:r w:rsidRPr="00DB7F92">
        <w:rPr>
          <w:spacing w:val="-2"/>
          <w:lang w:eastAsia="en-GB"/>
        </w:rPr>
        <w:t xml:space="preserve"> </w:t>
      </w:r>
      <w:r w:rsidRPr="00DB7F92">
        <w:rPr>
          <w:lang w:eastAsia="en-GB"/>
        </w:rPr>
        <w:t>need</w:t>
      </w:r>
      <w:r w:rsidRPr="00DB7F92">
        <w:rPr>
          <w:spacing w:val="-3"/>
          <w:lang w:eastAsia="en-GB"/>
        </w:rPr>
        <w:t xml:space="preserve"> </w:t>
      </w:r>
      <w:r w:rsidRPr="00DB7F92">
        <w:rPr>
          <w:lang w:eastAsia="en-GB"/>
        </w:rPr>
        <w:t>to</w:t>
      </w:r>
      <w:r w:rsidRPr="00DB7F92">
        <w:rPr>
          <w:spacing w:val="-3"/>
          <w:lang w:eastAsia="en-GB"/>
        </w:rPr>
        <w:t xml:space="preserve"> </w:t>
      </w:r>
      <w:r w:rsidRPr="00DB7F92">
        <w:rPr>
          <w:lang w:eastAsia="en-GB"/>
        </w:rPr>
        <w:t>bear</w:t>
      </w:r>
      <w:r w:rsidRPr="00DB7F92">
        <w:rPr>
          <w:spacing w:val="-2"/>
          <w:lang w:eastAsia="en-GB"/>
        </w:rPr>
        <w:t xml:space="preserve"> </w:t>
      </w:r>
      <w:r w:rsidRPr="00DB7F92">
        <w:rPr>
          <w:lang w:eastAsia="en-GB"/>
        </w:rPr>
        <w:t>in</w:t>
      </w:r>
      <w:r w:rsidRPr="00DB7F92">
        <w:rPr>
          <w:spacing w:val="-2"/>
          <w:lang w:eastAsia="en-GB"/>
        </w:rPr>
        <w:t xml:space="preserve"> </w:t>
      </w:r>
      <w:r w:rsidRPr="00DB7F92">
        <w:rPr>
          <w:lang w:eastAsia="en-GB"/>
        </w:rPr>
        <w:t>mind</w:t>
      </w:r>
      <w:r w:rsidRPr="00DB7F92">
        <w:rPr>
          <w:spacing w:val="-3"/>
          <w:lang w:eastAsia="en-GB"/>
        </w:rPr>
        <w:t xml:space="preserve"> </w:t>
      </w:r>
      <w:r w:rsidRPr="00DB7F92">
        <w:rPr>
          <w:lang w:eastAsia="en-GB"/>
        </w:rPr>
        <w:t>the</w:t>
      </w:r>
      <w:r w:rsidRPr="00DB7F92">
        <w:rPr>
          <w:spacing w:val="-3"/>
          <w:lang w:eastAsia="en-GB"/>
        </w:rPr>
        <w:t xml:space="preserve"> </w:t>
      </w:r>
      <w:r w:rsidRPr="00DB7F92">
        <w:rPr>
          <w:lang w:eastAsia="en-GB"/>
        </w:rPr>
        <w:t>impact</w:t>
      </w:r>
      <w:r w:rsidRPr="00DB7F92">
        <w:rPr>
          <w:spacing w:val="-2"/>
          <w:lang w:eastAsia="en-GB"/>
        </w:rPr>
        <w:t xml:space="preserve"> </w:t>
      </w:r>
      <w:r w:rsidRPr="00DB7F92">
        <w:rPr>
          <w:lang w:eastAsia="en-GB"/>
        </w:rPr>
        <w:t>on</w:t>
      </w:r>
      <w:r w:rsidRPr="00DB7F92">
        <w:rPr>
          <w:spacing w:val="-2"/>
          <w:lang w:eastAsia="en-GB"/>
        </w:rPr>
        <w:t xml:space="preserve"> </w:t>
      </w:r>
      <w:r w:rsidRPr="00DB7F92">
        <w:rPr>
          <w:lang w:eastAsia="en-GB"/>
        </w:rPr>
        <w:t>health</w:t>
      </w:r>
      <w:r w:rsidRPr="00DB7F92">
        <w:rPr>
          <w:spacing w:val="63"/>
          <w:lang w:eastAsia="en-GB"/>
        </w:rPr>
        <w:t xml:space="preserve"> </w:t>
      </w:r>
      <w:r w:rsidRPr="00DB7F92">
        <w:rPr>
          <w:lang w:eastAsia="en-GB"/>
        </w:rPr>
        <w:t>inequalities.</w:t>
      </w:r>
      <w:r w:rsidRPr="00DB7F92">
        <w:rPr>
          <w:spacing w:val="1"/>
          <w:lang w:eastAsia="en-GB"/>
        </w:rPr>
        <w:t xml:space="preserve"> </w:t>
      </w:r>
      <w:r w:rsidRPr="00DB7F92">
        <w:rPr>
          <w:lang w:eastAsia="en-GB"/>
        </w:rPr>
        <w:t>To</w:t>
      </w:r>
      <w:r w:rsidRPr="00DB7F92">
        <w:rPr>
          <w:spacing w:val="2"/>
          <w:lang w:eastAsia="en-GB"/>
        </w:rPr>
        <w:t xml:space="preserve"> </w:t>
      </w:r>
      <w:r w:rsidRPr="00DB7F92">
        <w:rPr>
          <w:lang w:eastAsia="en-GB"/>
        </w:rPr>
        <w:t>do this</w:t>
      </w:r>
      <w:r w:rsidRPr="00DB7F92">
        <w:rPr>
          <w:spacing w:val="4"/>
          <w:lang w:eastAsia="en-GB"/>
        </w:rPr>
        <w:t xml:space="preserve"> </w:t>
      </w:r>
      <w:r w:rsidRPr="00DB7F92">
        <w:rPr>
          <w:lang w:eastAsia="en-GB"/>
        </w:rPr>
        <w:t>the commissioner will need</w:t>
      </w:r>
      <w:r w:rsidRPr="00DB7F92">
        <w:rPr>
          <w:spacing w:val="2"/>
          <w:lang w:eastAsia="en-GB"/>
        </w:rPr>
        <w:t xml:space="preserve"> </w:t>
      </w:r>
      <w:r w:rsidRPr="00DB7F92">
        <w:rPr>
          <w:lang w:eastAsia="en-GB"/>
        </w:rPr>
        <w:t>some data</w:t>
      </w:r>
      <w:r w:rsidRPr="00DB7F92">
        <w:rPr>
          <w:spacing w:val="1"/>
          <w:lang w:eastAsia="en-GB"/>
        </w:rPr>
        <w:t xml:space="preserve"> </w:t>
      </w:r>
      <w:r w:rsidRPr="00DB7F92">
        <w:rPr>
          <w:lang w:eastAsia="en-GB"/>
        </w:rPr>
        <w:t>on  existing</w:t>
      </w:r>
      <w:r w:rsidRPr="00DB7F92">
        <w:rPr>
          <w:spacing w:val="57"/>
          <w:lang w:eastAsia="en-GB"/>
        </w:rPr>
        <w:t xml:space="preserve"> </w:t>
      </w:r>
      <w:r w:rsidRPr="00DB7F92">
        <w:rPr>
          <w:lang w:eastAsia="en-GB"/>
        </w:rPr>
        <w:t>health</w:t>
      </w:r>
      <w:r w:rsidRPr="00DB7F92">
        <w:rPr>
          <w:spacing w:val="28"/>
          <w:lang w:eastAsia="en-GB"/>
        </w:rPr>
        <w:t xml:space="preserve"> </w:t>
      </w:r>
      <w:r w:rsidRPr="00DB7F92">
        <w:rPr>
          <w:lang w:eastAsia="en-GB"/>
        </w:rPr>
        <w:t>inequalities,</w:t>
      </w:r>
      <w:r w:rsidRPr="00DB7F92">
        <w:rPr>
          <w:spacing w:val="29"/>
          <w:lang w:eastAsia="en-GB"/>
        </w:rPr>
        <w:t xml:space="preserve"> </w:t>
      </w:r>
      <w:r w:rsidRPr="00DB7F92">
        <w:rPr>
          <w:lang w:eastAsia="en-GB"/>
        </w:rPr>
        <w:t>and</w:t>
      </w:r>
      <w:r w:rsidRPr="00DB7F92">
        <w:rPr>
          <w:spacing w:val="30"/>
          <w:lang w:eastAsia="en-GB"/>
        </w:rPr>
        <w:t xml:space="preserve"> </w:t>
      </w:r>
      <w:r w:rsidRPr="00DB7F92">
        <w:rPr>
          <w:lang w:eastAsia="en-GB"/>
        </w:rPr>
        <w:t>to</w:t>
      </w:r>
      <w:r w:rsidRPr="00DB7F92">
        <w:rPr>
          <w:spacing w:val="27"/>
          <w:lang w:eastAsia="en-GB"/>
        </w:rPr>
        <w:t xml:space="preserve"> </w:t>
      </w:r>
      <w:r w:rsidRPr="00DB7F92">
        <w:rPr>
          <w:lang w:eastAsia="en-GB"/>
        </w:rPr>
        <w:t>consider</w:t>
      </w:r>
      <w:r w:rsidRPr="00DB7F92">
        <w:rPr>
          <w:spacing w:val="29"/>
          <w:lang w:eastAsia="en-GB"/>
        </w:rPr>
        <w:t xml:space="preserve"> </w:t>
      </w:r>
      <w:r w:rsidRPr="00DB7F92">
        <w:rPr>
          <w:lang w:eastAsia="en-GB"/>
        </w:rPr>
        <w:t>whether</w:t>
      </w:r>
      <w:r w:rsidRPr="00DB7F92">
        <w:rPr>
          <w:spacing w:val="29"/>
          <w:lang w:eastAsia="en-GB"/>
        </w:rPr>
        <w:t xml:space="preserve"> </w:t>
      </w:r>
      <w:r w:rsidRPr="00DB7F92">
        <w:rPr>
          <w:lang w:eastAsia="en-GB"/>
        </w:rPr>
        <w:t>its</w:t>
      </w:r>
      <w:r w:rsidRPr="00DB7F92">
        <w:rPr>
          <w:spacing w:val="29"/>
          <w:lang w:eastAsia="en-GB"/>
        </w:rPr>
        <w:t xml:space="preserve"> </w:t>
      </w:r>
      <w:r w:rsidRPr="00DB7F92">
        <w:rPr>
          <w:lang w:eastAsia="en-GB"/>
        </w:rPr>
        <w:t>decision</w:t>
      </w:r>
      <w:r w:rsidRPr="00DB7F92">
        <w:rPr>
          <w:spacing w:val="29"/>
          <w:lang w:eastAsia="en-GB"/>
        </w:rPr>
        <w:t xml:space="preserve"> </w:t>
      </w:r>
      <w:r w:rsidRPr="00DB7F92">
        <w:rPr>
          <w:lang w:eastAsia="en-GB"/>
        </w:rPr>
        <w:t>can</w:t>
      </w:r>
      <w:r w:rsidRPr="00DB7F92">
        <w:rPr>
          <w:spacing w:val="28"/>
          <w:lang w:eastAsia="en-GB"/>
        </w:rPr>
        <w:t xml:space="preserve"> </w:t>
      </w:r>
      <w:r w:rsidRPr="00DB7F92">
        <w:rPr>
          <w:lang w:eastAsia="en-GB"/>
        </w:rPr>
        <w:t>be</w:t>
      </w:r>
      <w:r w:rsidRPr="00DB7F92">
        <w:rPr>
          <w:spacing w:val="28"/>
          <w:lang w:eastAsia="en-GB"/>
        </w:rPr>
        <w:t xml:space="preserve"> </w:t>
      </w:r>
      <w:r w:rsidRPr="00DB7F92">
        <w:rPr>
          <w:lang w:eastAsia="en-GB"/>
        </w:rPr>
        <w:t>used</w:t>
      </w:r>
      <w:r w:rsidRPr="00DB7F92">
        <w:rPr>
          <w:spacing w:val="30"/>
          <w:lang w:eastAsia="en-GB"/>
        </w:rPr>
        <w:t xml:space="preserve"> </w:t>
      </w:r>
      <w:r w:rsidRPr="00DB7F92">
        <w:rPr>
          <w:lang w:eastAsia="en-GB"/>
        </w:rPr>
        <w:t>to</w:t>
      </w:r>
      <w:r w:rsidRPr="00DB7F92">
        <w:rPr>
          <w:spacing w:val="43"/>
          <w:lang w:eastAsia="en-GB"/>
        </w:rPr>
        <w:t xml:space="preserve"> </w:t>
      </w:r>
      <w:r w:rsidRPr="00DB7F92">
        <w:rPr>
          <w:lang w:eastAsia="en-GB"/>
        </w:rPr>
        <w:t>diminish</w:t>
      </w:r>
      <w:r w:rsidRPr="00DB7F92">
        <w:rPr>
          <w:spacing w:val="-11"/>
          <w:lang w:eastAsia="en-GB"/>
        </w:rPr>
        <w:t xml:space="preserve"> </w:t>
      </w:r>
      <w:r w:rsidRPr="00DB7F92">
        <w:rPr>
          <w:lang w:eastAsia="en-GB"/>
        </w:rPr>
        <w:t xml:space="preserve">these. A vast amount of data is available e.g. JNSA’s; Right Care packs to help commissioners identify health inequalities in their area.  </w:t>
      </w:r>
    </w:p>
    <w:p w14:paraId="7404D343" w14:textId="77777777" w:rsidR="00DB7F92" w:rsidRPr="00DB7F92" w:rsidRDefault="00DB7F92" w:rsidP="00DB7F92">
      <w:pPr>
        <w:jc w:val="both"/>
        <w:rPr>
          <w:rFonts w:eastAsia="Segoe UI Semilight" w:cs="Arial"/>
          <w:sz w:val="20"/>
          <w:szCs w:val="20"/>
        </w:rPr>
      </w:pPr>
    </w:p>
    <w:p w14:paraId="7829AF11" w14:textId="77777777" w:rsidR="00DB7F92" w:rsidRPr="00DB7F92" w:rsidRDefault="00DB7F92" w:rsidP="00DD5D2D">
      <w:pPr>
        <w:pStyle w:val="Heading3"/>
        <w:jc w:val="both"/>
        <w:rPr>
          <w:lang w:eastAsia="en-GB"/>
        </w:rPr>
      </w:pPr>
      <w:r w:rsidRPr="00DB7F92">
        <w:rPr>
          <w:lang w:eastAsia="en-GB"/>
        </w:rPr>
        <w:t>The</w:t>
      </w:r>
      <w:r w:rsidRPr="00DB7F92">
        <w:rPr>
          <w:spacing w:val="38"/>
          <w:lang w:eastAsia="en-GB"/>
        </w:rPr>
        <w:t xml:space="preserve"> </w:t>
      </w:r>
      <w:r w:rsidRPr="00DB7F92">
        <w:rPr>
          <w:lang w:eastAsia="en-GB"/>
        </w:rPr>
        <w:t>key</w:t>
      </w:r>
      <w:r w:rsidRPr="00DB7F92">
        <w:rPr>
          <w:spacing w:val="39"/>
          <w:lang w:eastAsia="en-GB"/>
        </w:rPr>
        <w:t xml:space="preserve"> </w:t>
      </w:r>
      <w:r w:rsidRPr="00DB7F92">
        <w:rPr>
          <w:lang w:eastAsia="en-GB"/>
        </w:rPr>
        <w:t>point</w:t>
      </w:r>
      <w:r w:rsidRPr="00DB7F92">
        <w:rPr>
          <w:spacing w:val="40"/>
          <w:lang w:eastAsia="en-GB"/>
        </w:rPr>
        <w:t xml:space="preserve"> </w:t>
      </w:r>
      <w:r w:rsidRPr="00DB7F92">
        <w:rPr>
          <w:lang w:eastAsia="en-GB"/>
        </w:rPr>
        <w:t>is</w:t>
      </w:r>
      <w:r w:rsidRPr="00DB7F92">
        <w:rPr>
          <w:spacing w:val="40"/>
          <w:lang w:eastAsia="en-GB"/>
        </w:rPr>
        <w:t xml:space="preserve"> </w:t>
      </w:r>
      <w:r w:rsidRPr="00DB7F92">
        <w:rPr>
          <w:lang w:eastAsia="en-GB"/>
        </w:rPr>
        <w:t>that</w:t>
      </w:r>
      <w:r w:rsidRPr="00DB7F92">
        <w:rPr>
          <w:spacing w:val="40"/>
          <w:lang w:eastAsia="en-GB"/>
        </w:rPr>
        <w:t xml:space="preserve"> </w:t>
      </w:r>
      <w:r w:rsidRPr="00DB7F92">
        <w:rPr>
          <w:lang w:eastAsia="en-GB"/>
        </w:rPr>
        <w:t>the commissioner</w:t>
      </w:r>
      <w:r w:rsidRPr="00DB7F92">
        <w:rPr>
          <w:spacing w:val="38"/>
          <w:lang w:eastAsia="en-GB"/>
        </w:rPr>
        <w:t xml:space="preserve"> </w:t>
      </w:r>
      <w:r w:rsidRPr="00DB7F92">
        <w:rPr>
          <w:lang w:eastAsia="en-GB"/>
        </w:rPr>
        <w:t>can</w:t>
      </w:r>
      <w:r w:rsidRPr="00DB7F92">
        <w:rPr>
          <w:spacing w:val="39"/>
          <w:lang w:eastAsia="en-GB"/>
        </w:rPr>
        <w:t xml:space="preserve"> </w:t>
      </w:r>
      <w:r w:rsidRPr="00DB7F92">
        <w:rPr>
          <w:lang w:eastAsia="en-GB"/>
        </w:rPr>
        <w:t>show</w:t>
      </w:r>
      <w:r w:rsidRPr="00DB7F92">
        <w:rPr>
          <w:spacing w:val="39"/>
          <w:lang w:eastAsia="en-GB"/>
        </w:rPr>
        <w:t xml:space="preserve"> </w:t>
      </w:r>
      <w:r w:rsidRPr="00DB7F92">
        <w:rPr>
          <w:lang w:eastAsia="en-GB"/>
        </w:rPr>
        <w:t>(through</w:t>
      </w:r>
      <w:r w:rsidRPr="00DB7F92">
        <w:rPr>
          <w:spacing w:val="39"/>
          <w:lang w:eastAsia="en-GB"/>
        </w:rPr>
        <w:t xml:space="preserve"> </w:t>
      </w:r>
      <w:r w:rsidRPr="00DB7F92">
        <w:rPr>
          <w:lang w:eastAsia="en-GB"/>
        </w:rPr>
        <w:t>documentation, principally an EHIA)</w:t>
      </w:r>
      <w:r w:rsidRPr="00DB7F92">
        <w:rPr>
          <w:spacing w:val="48"/>
          <w:lang w:eastAsia="en-GB"/>
        </w:rPr>
        <w:t xml:space="preserve"> </w:t>
      </w:r>
      <w:r w:rsidRPr="00DB7F92">
        <w:rPr>
          <w:lang w:eastAsia="en-GB"/>
        </w:rPr>
        <w:t>that</w:t>
      </w:r>
      <w:r w:rsidRPr="00DB7F92">
        <w:rPr>
          <w:spacing w:val="7"/>
          <w:lang w:eastAsia="en-GB"/>
        </w:rPr>
        <w:t xml:space="preserve"> </w:t>
      </w:r>
      <w:r w:rsidRPr="00DB7F92">
        <w:rPr>
          <w:lang w:eastAsia="en-GB"/>
        </w:rPr>
        <w:t>the</w:t>
      </w:r>
      <w:r w:rsidRPr="00DB7F92">
        <w:rPr>
          <w:spacing w:val="6"/>
          <w:lang w:eastAsia="en-GB"/>
        </w:rPr>
        <w:t xml:space="preserve"> </w:t>
      </w:r>
      <w:r w:rsidRPr="00DB7F92">
        <w:rPr>
          <w:lang w:eastAsia="en-GB"/>
        </w:rPr>
        <w:t>impact</w:t>
      </w:r>
      <w:r w:rsidRPr="00DB7F92">
        <w:rPr>
          <w:spacing w:val="8"/>
          <w:lang w:eastAsia="en-GB"/>
        </w:rPr>
        <w:t xml:space="preserve"> </w:t>
      </w:r>
      <w:r w:rsidRPr="00DB7F92">
        <w:rPr>
          <w:lang w:eastAsia="en-GB"/>
        </w:rPr>
        <w:t>a</w:t>
      </w:r>
      <w:r w:rsidRPr="00DB7F92">
        <w:rPr>
          <w:spacing w:val="6"/>
          <w:lang w:eastAsia="en-GB"/>
        </w:rPr>
        <w:t xml:space="preserve"> </w:t>
      </w:r>
      <w:r w:rsidRPr="00DB7F92">
        <w:rPr>
          <w:lang w:eastAsia="en-GB"/>
        </w:rPr>
        <w:t>decision</w:t>
      </w:r>
      <w:r w:rsidRPr="00DB7F92">
        <w:rPr>
          <w:spacing w:val="6"/>
          <w:lang w:eastAsia="en-GB"/>
        </w:rPr>
        <w:t xml:space="preserve"> </w:t>
      </w:r>
      <w:r w:rsidRPr="00DB7F92">
        <w:rPr>
          <w:lang w:eastAsia="en-GB"/>
        </w:rPr>
        <w:t>will</w:t>
      </w:r>
      <w:r w:rsidRPr="00DB7F92">
        <w:rPr>
          <w:spacing w:val="7"/>
          <w:lang w:eastAsia="en-GB"/>
        </w:rPr>
        <w:t xml:space="preserve"> </w:t>
      </w:r>
      <w:r w:rsidRPr="00DB7F92">
        <w:rPr>
          <w:lang w:eastAsia="en-GB"/>
        </w:rPr>
        <w:t>have</w:t>
      </w:r>
      <w:r w:rsidRPr="00DB7F92">
        <w:rPr>
          <w:spacing w:val="8"/>
          <w:lang w:eastAsia="en-GB"/>
        </w:rPr>
        <w:t xml:space="preserve"> </w:t>
      </w:r>
      <w:r w:rsidRPr="00DB7F92">
        <w:rPr>
          <w:lang w:eastAsia="en-GB"/>
        </w:rPr>
        <w:t>on</w:t>
      </w:r>
      <w:r w:rsidRPr="00DB7F92">
        <w:rPr>
          <w:spacing w:val="6"/>
          <w:lang w:eastAsia="en-GB"/>
        </w:rPr>
        <w:t xml:space="preserve"> </w:t>
      </w:r>
      <w:r w:rsidRPr="00DB7F92">
        <w:rPr>
          <w:lang w:eastAsia="en-GB"/>
        </w:rPr>
        <w:t>health</w:t>
      </w:r>
      <w:r w:rsidRPr="00DB7F92">
        <w:rPr>
          <w:spacing w:val="7"/>
          <w:lang w:eastAsia="en-GB"/>
        </w:rPr>
        <w:t xml:space="preserve"> </w:t>
      </w:r>
      <w:r w:rsidRPr="00DB7F92">
        <w:rPr>
          <w:lang w:eastAsia="en-GB"/>
        </w:rPr>
        <w:t>inequalities</w:t>
      </w:r>
      <w:r w:rsidRPr="00DB7F92">
        <w:rPr>
          <w:spacing w:val="7"/>
          <w:lang w:eastAsia="en-GB"/>
        </w:rPr>
        <w:t xml:space="preserve"> </w:t>
      </w:r>
      <w:r w:rsidRPr="00DB7F92">
        <w:rPr>
          <w:lang w:eastAsia="en-GB"/>
        </w:rPr>
        <w:t>has</w:t>
      </w:r>
      <w:r w:rsidRPr="00DB7F92">
        <w:rPr>
          <w:spacing w:val="7"/>
          <w:lang w:eastAsia="en-GB"/>
        </w:rPr>
        <w:t xml:space="preserve"> </w:t>
      </w:r>
      <w:r w:rsidRPr="00DB7F92">
        <w:rPr>
          <w:lang w:eastAsia="en-GB"/>
        </w:rPr>
        <w:t>been</w:t>
      </w:r>
      <w:r w:rsidRPr="00DB7F92">
        <w:rPr>
          <w:spacing w:val="7"/>
          <w:lang w:eastAsia="en-GB"/>
        </w:rPr>
        <w:t xml:space="preserve"> </w:t>
      </w:r>
      <w:r w:rsidRPr="00DB7F92">
        <w:rPr>
          <w:lang w:eastAsia="en-GB"/>
        </w:rPr>
        <w:t>taken</w:t>
      </w:r>
      <w:r w:rsidRPr="00DB7F92">
        <w:rPr>
          <w:spacing w:val="60"/>
          <w:w w:val="99"/>
          <w:lang w:eastAsia="en-GB"/>
        </w:rPr>
        <w:t xml:space="preserve"> </w:t>
      </w:r>
      <w:r w:rsidRPr="00DB7F92">
        <w:rPr>
          <w:lang w:eastAsia="en-GB"/>
        </w:rPr>
        <w:t>into</w:t>
      </w:r>
      <w:r w:rsidRPr="00DB7F92">
        <w:rPr>
          <w:spacing w:val="-6"/>
          <w:lang w:eastAsia="en-GB"/>
        </w:rPr>
        <w:t xml:space="preserve"> </w:t>
      </w:r>
      <w:r w:rsidRPr="00DB7F92">
        <w:rPr>
          <w:lang w:eastAsia="en-GB"/>
        </w:rPr>
        <w:t>account,</w:t>
      </w:r>
      <w:r w:rsidRPr="00DB7F92">
        <w:rPr>
          <w:spacing w:val="-4"/>
          <w:lang w:eastAsia="en-GB"/>
        </w:rPr>
        <w:t xml:space="preserve"> </w:t>
      </w:r>
      <w:r w:rsidRPr="00DB7F92">
        <w:rPr>
          <w:lang w:eastAsia="en-GB"/>
        </w:rPr>
        <w:t>and</w:t>
      </w:r>
      <w:r w:rsidRPr="00DB7F92">
        <w:rPr>
          <w:spacing w:val="-5"/>
          <w:lang w:eastAsia="en-GB"/>
        </w:rPr>
        <w:t xml:space="preserve"> </w:t>
      </w:r>
      <w:r w:rsidRPr="00DB7F92">
        <w:rPr>
          <w:lang w:eastAsia="en-GB"/>
        </w:rPr>
        <w:t>that</w:t>
      </w:r>
      <w:r w:rsidRPr="00DB7F92">
        <w:rPr>
          <w:spacing w:val="-2"/>
          <w:lang w:eastAsia="en-GB"/>
        </w:rPr>
        <w:t xml:space="preserve"> </w:t>
      </w:r>
      <w:r w:rsidRPr="00DB7F92">
        <w:rPr>
          <w:lang w:eastAsia="en-GB"/>
        </w:rPr>
        <w:t>its</w:t>
      </w:r>
      <w:r w:rsidRPr="00DB7F92">
        <w:rPr>
          <w:spacing w:val="-5"/>
          <w:lang w:eastAsia="en-GB"/>
        </w:rPr>
        <w:t xml:space="preserve"> </w:t>
      </w:r>
      <w:r w:rsidRPr="00DB7F92">
        <w:rPr>
          <w:lang w:eastAsia="en-GB"/>
        </w:rPr>
        <w:t>decision</w:t>
      </w:r>
      <w:r w:rsidRPr="00DB7F92">
        <w:rPr>
          <w:spacing w:val="-2"/>
          <w:lang w:eastAsia="en-GB"/>
        </w:rPr>
        <w:t xml:space="preserve"> </w:t>
      </w:r>
      <w:r w:rsidRPr="00DB7F92">
        <w:rPr>
          <w:lang w:eastAsia="en-GB"/>
        </w:rPr>
        <w:t>is</w:t>
      </w:r>
      <w:r w:rsidRPr="00DB7F92">
        <w:rPr>
          <w:spacing w:val="-4"/>
          <w:lang w:eastAsia="en-GB"/>
        </w:rPr>
        <w:t xml:space="preserve"> </w:t>
      </w:r>
      <w:r w:rsidRPr="00DB7F92">
        <w:rPr>
          <w:lang w:eastAsia="en-GB"/>
        </w:rPr>
        <w:t>based</w:t>
      </w:r>
      <w:r w:rsidRPr="00DB7F92">
        <w:rPr>
          <w:spacing w:val="-3"/>
          <w:lang w:eastAsia="en-GB"/>
        </w:rPr>
        <w:t xml:space="preserve"> </w:t>
      </w:r>
      <w:r w:rsidRPr="00DB7F92">
        <w:rPr>
          <w:lang w:eastAsia="en-GB"/>
        </w:rPr>
        <w:t>on</w:t>
      </w:r>
      <w:r w:rsidRPr="00DB7F92">
        <w:rPr>
          <w:spacing w:val="-3"/>
          <w:lang w:eastAsia="en-GB"/>
        </w:rPr>
        <w:t xml:space="preserve"> </w:t>
      </w:r>
      <w:r w:rsidRPr="00DB7F92">
        <w:rPr>
          <w:lang w:eastAsia="en-GB"/>
        </w:rPr>
        <w:t>some</w:t>
      </w:r>
      <w:r w:rsidRPr="00DB7F92">
        <w:rPr>
          <w:spacing w:val="-5"/>
          <w:lang w:eastAsia="en-GB"/>
        </w:rPr>
        <w:t xml:space="preserve"> </w:t>
      </w:r>
      <w:r w:rsidRPr="00DB7F92">
        <w:rPr>
          <w:lang w:eastAsia="en-GB"/>
        </w:rPr>
        <w:t>relevant</w:t>
      </w:r>
      <w:r w:rsidRPr="00DB7F92">
        <w:rPr>
          <w:spacing w:val="-2"/>
          <w:lang w:eastAsia="en-GB"/>
        </w:rPr>
        <w:t xml:space="preserve"> </w:t>
      </w:r>
      <w:r w:rsidRPr="00DB7F92">
        <w:rPr>
          <w:lang w:eastAsia="en-GB"/>
        </w:rPr>
        <w:t>data and evidence.</w:t>
      </w:r>
    </w:p>
    <w:p w14:paraId="722E1795" w14:textId="77777777" w:rsidR="00DB7F92" w:rsidRPr="00DB7F92" w:rsidRDefault="00DB7F92" w:rsidP="00DD5D2D">
      <w:pPr>
        <w:pStyle w:val="Heading3"/>
        <w:jc w:val="both"/>
        <w:rPr>
          <w:lang w:eastAsia="en-GB"/>
        </w:rPr>
      </w:pPr>
      <w:r w:rsidRPr="00DB7F92">
        <w:rPr>
          <w:lang w:eastAsia="en-GB"/>
        </w:rPr>
        <w:t xml:space="preserve">NHS England and Public Health England have made available several resources to assist organisations to find out about information, resources and action being taken to reduce health inequalities in England. See here: </w:t>
      </w:r>
      <w:hyperlink r:id="rId28" w:history="1">
        <w:r w:rsidRPr="00DB7F92">
          <w:rPr>
            <w:color w:val="0000FF"/>
            <w:u w:val="single"/>
            <w:lang w:eastAsia="en-GB"/>
          </w:rPr>
          <w:t>https://www.england.nhs.uk/about/equality/equality-hub/resources/</w:t>
        </w:r>
      </w:hyperlink>
      <w:r w:rsidRPr="00DB7F92">
        <w:rPr>
          <w:lang w:eastAsia="en-GB"/>
        </w:rPr>
        <w:t>. Local Joint Strategic Needs Assessments (JSNA) prepared by local Health and Wellbeing Boards, CCG Improvement &amp; Assessment Framework indicators and NHS RightCare can be valuable sources of information about local health inequalities.</w:t>
      </w:r>
    </w:p>
    <w:p w14:paraId="6D4BAB6F" w14:textId="77777777" w:rsidR="00DB7F92" w:rsidRPr="00DB7F92" w:rsidRDefault="00DB7F92" w:rsidP="00DB7F92">
      <w:pPr>
        <w:widowControl w:val="0"/>
        <w:tabs>
          <w:tab w:val="left" w:pos="1179"/>
        </w:tabs>
        <w:spacing w:before="211" w:after="120"/>
        <w:ind w:left="1178" w:right="156"/>
        <w:jc w:val="both"/>
        <w:rPr>
          <w:rFonts w:cs="Arial"/>
          <w:b/>
          <w:bCs w:val="0"/>
          <w:sz w:val="20"/>
          <w:szCs w:val="20"/>
          <w:lang w:eastAsia="en-GB"/>
        </w:rPr>
      </w:pPr>
    </w:p>
    <w:p w14:paraId="0AFCA85B" w14:textId="77777777" w:rsidR="00DB7F92" w:rsidRPr="00DB7F92" w:rsidRDefault="00DB7F92" w:rsidP="00DB7F92">
      <w:pPr>
        <w:spacing w:before="9"/>
        <w:jc w:val="both"/>
        <w:rPr>
          <w:rFonts w:eastAsia="Segoe UI Semilight" w:cs="Arial"/>
          <w:sz w:val="20"/>
          <w:szCs w:val="20"/>
        </w:rPr>
      </w:pPr>
    </w:p>
    <w:p w14:paraId="19D3553F" w14:textId="433D6564" w:rsidR="00DB7F92" w:rsidRDefault="00782D1D" w:rsidP="002D119A">
      <w:pPr>
        <w:keepNext/>
        <w:keepLines/>
        <w:spacing w:before="199"/>
        <w:ind w:left="838"/>
        <w:jc w:val="both"/>
        <w:outlineLvl w:val="6"/>
        <w:rPr>
          <w:rFonts w:eastAsiaTheme="majorEastAsia" w:cs="Arial"/>
          <w:i/>
          <w:iCs/>
          <w:color w:val="404040" w:themeColor="text1" w:themeTint="BF"/>
          <w:spacing w:val="-1"/>
          <w:sz w:val="28"/>
          <w:szCs w:val="28"/>
        </w:rPr>
      </w:pPr>
      <w:r>
        <w:rPr>
          <w:rFonts w:eastAsiaTheme="majorEastAsia" w:cs="Arial"/>
          <w:i/>
          <w:iCs/>
          <w:color w:val="404040" w:themeColor="text1" w:themeTint="BF"/>
          <w:spacing w:val="-1"/>
          <w:sz w:val="28"/>
          <w:szCs w:val="28"/>
        </w:rPr>
        <w:br w:type="page"/>
      </w:r>
      <w:r w:rsidR="00DB7F92" w:rsidRPr="002D119A">
        <w:rPr>
          <w:rFonts w:eastAsiaTheme="majorEastAsia" w:cs="Arial"/>
          <w:i/>
          <w:iCs/>
          <w:color w:val="404040" w:themeColor="text1" w:themeTint="BF"/>
          <w:spacing w:val="-1"/>
          <w:sz w:val="28"/>
          <w:szCs w:val="28"/>
        </w:rPr>
        <w:lastRenderedPageBreak/>
        <w:t>THE OTHER NON-EQUALITY AND HEALTH INEQUALITIES RELATED DUTIES</w:t>
      </w:r>
    </w:p>
    <w:p w14:paraId="5B7A0F7A" w14:textId="77777777" w:rsidR="00DB7F92" w:rsidRPr="00DB7F92" w:rsidRDefault="00DB7F92" w:rsidP="00DB7F92">
      <w:pPr>
        <w:keepNext/>
        <w:keepLines/>
        <w:ind w:left="838" w:right="96"/>
        <w:jc w:val="both"/>
        <w:outlineLvl w:val="3"/>
        <w:rPr>
          <w:rFonts w:eastAsiaTheme="majorEastAsia" w:cs="Arial"/>
          <w:bCs w:val="0"/>
          <w:i/>
          <w:iCs/>
          <w:color w:val="003087" w:themeColor="accent1"/>
          <w:sz w:val="20"/>
          <w:szCs w:val="20"/>
        </w:rPr>
      </w:pPr>
    </w:p>
    <w:p w14:paraId="74B0A0FF" w14:textId="11FF4956" w:rsidR="00DB7F92" w:rsidRPr="00DB7F92" w:rsidRDefault="00D32C7A" w:rsidP="00DB7F92">
      <w:pPr>
        <w:pStyle w:val="Heading2"/>
        <w:rPr>
          <w:rFonts w:eastAsiaTheme="majorEastAsia"/>
        </w:rPr>
      </w:pPr>
      <w:bookmarkStart w:id="94" w:name="_Toc498495318"/>
      <w:r w:rsidRPr="00DB7F92">
        <w:rPr>
          <w:rFonts w:eastAsiaTheme="majorEastAsia"/>
        </w:rPr>
        <w:t>The Regard Duties</w:t>
      </w:r>
      <w:bookmarkEnd w:id="94"/>
      <w:r w:rsidRPr="00DB7F92">
        <w:rPr>
          <w:rFonts w:eastAsiaTheme="majorEastAsia"/>
        </w:rPr>
        <w:t xml:space="preserve"> </w:t>
      </w:r>
    </w:p>
    <w:p w14:paraId="371D4322" w14:textId="77777777" w:rsidR="00DB7F92" w:rsidRDefault="00DB7F92" w:rsidP="00884224">
      <w:pPr>
        <w:keepNext/>
        <w:keepLines/>
        <w:spacing w:before="199"/>
        <w:ind w:left="838"/>
        <w:jc w:val="both"/>
        <w:outlineLvl w:val="6"/>
        <w:rPr>
          <w:rFonts w:eastAsiaTheme="majorEastAsia" w:cs="Arial"/>
          <w:i/>
          <w:iCs/>
          <w:color w:val="404040" w:themeColor="text1" w:themeTint="BF"/>
          <w:spacing w:val="-1"/>
          <w:sz w:val="28"/>
          <w:szCs w:val="28"/>
        </w:rPr>
      </w:pPr>
      <w:r w:rsidRPr="00884224">
        <w:rPr>
          <w:rFonts w:eastAsiaTheme="majorEastAsia" w:cs="Arial"/>
          <w:i/>
          <w:iCs/>
          <w:color w:val="404040" w:themeColor="text1" w:themeTint="BF"/>
          <w:spacing w:val="-1"/>
          <w:sz w:val="28"/>
          <w:szCs w:val="28"/>
        </w:rPr>
        <w:t>Introduction</w:t>
      </w:r>
    </w:p>
    <w:p w14:paraId="5449C44F" w14:textId="663BB5C2" w:rsidR="002D119A" w:rsidRDefault="00C84421" w:rsidP="003331F2">
      <w:pPr>
        <w:pStyle w:val="BodyText"/>
      </w:pPr>
      <w:r>
        <w:t xml:space="preserve"> </w:t>
      </w:r>
    </w:p>
    <w:p w14:paraId="78A549C9" w14:textId="77777777" w:rsidR="00DB7F92" w:rsidRPr="00DB7F92" w:rsidRDefault="00DB7F92" w:rsidP="00DD5D2D">
      <w:pPr>
        <w:pStyle w:val="Heading3"/>
        <w:jc w:val="both"/>
        <w:rPr>
          <w:lang w:eastAsia="en-GB"/>
        </w:rPr>
      </w:pPr>
      <w:r w:rsidRPr="00DB7F92">
        <w:rPr>
          <w:lang w:eastAsia="en-GB"/>
        </w:rPr>
        <w:t>The</w:t>
      </w:r>
      <w:r w:rsidRPr="00DB7F92">
        <w:rPr>
          <w:spacing w:val="4"/>
          <w:lang w:eastAsia="en-GB"/>
        </w:rPr>
        <w:t xml:space="preserve"> </w:t>
      </w:r>
      <w:r w:rsidRPr="00DB7F92">
        <w:rPr>
          <w:lang w:eastAsia="en-GB"/>
        </w:rPr>
        <w:t>"Have</w:t>
      </w:r>
      <w:r w:rsidRPr="00DB7F92">
        <w:rPr>
          <w:spacing w:val="7"/>
          <w:lang w:eastAsia="en-GB"/>
        </w:rPr>
        <w:t xml:space="preserve"> </w:t>
      </w:r>
      <w:r w:rsidRPr="00DB7F92">
        <w:rPr>
          <w:lang w:eastAsia="en-GB"/>
        </w:rPr>
        <w:t>regard",</w:t>
      </w:r>
      <w:r w:rsidRPr="00DB7F92">
        <w:rPr>
          <w:spacing w:val="-12"/>
          <w:lang w:eastAsia="en-GB"/>
        </w:rPr>
        <w:t xml:space="preserve"> </w:t>
      </w:r>
      <w:r w:rsidRPr="00DB7F92">
        <w:rPr>
          <w:lang w:eastAsia="en-GB"/>
        </w:rPr>
        <w:t>"act</w:t>
      </w:r>
      <w:r w:rsidRPr="00DB7F92">
        <w:rPr>
          <w:spacing w:val="6"/>
          <w:lang w:eastAsia="en-GB"/>
        </w:rPr>
        <w:t xml:space="preserve"> </w:t>
      </w:r>
      <w:r w:rsidRPr="00DB7F92">
        <w:rPr>
          <w:lang w:eastAsia="en-GB"/>
        </w:rPr>
        <w:t>with</w:t>
      </w:r>
      <w:r w:rsidRPr="00DB7F92">
        <w:rPr>
          <w:spacing w:val="6"/>
          <w:lang w:eastAsia="en-GB"/>
        </w:rPr>
        <w:t xml:space="preserve"> </w:t>
      </w:r>
      <w:r w:rsidRPr="00DB7F92">
        <w:rPr>
          <w:lang w:eastAsia="en-GB"/>
        </w:rPr>
        <w:t>a</w:t>
      </w:r>
      <w:r w:rsidRPr="00DB7F92">
        <w:rPr>
          <w:spacing w:val="5"/>
          <w:lang w:eastAsia="en-GB"/>
        </w:rPr>
        <w:t xml:space="preserve"> </w:t>
      </w:r>
      <w:r w:rsidRPr="00DB7F92">
        <w:rPr>
          <w:lang w:eastAsia="en-GB"/>
        </w:rPr>
        <w:t>view</w:t>
      </w:r>
      <w:r w:rsidRPr="00DB7F92">
        <w:rPr>
          <w:spacing w:val="6"/>
          <w:lang w:eastAsia="en-GB"/>
        </w:rPr>
        <w:t xml:space="preserve"> </w:t>
      </w:r>
      <w:r w:rsidRPr="00DB7F92">
        <w:rPr>
          <w:lang w:eastAsia="en-GB"/>
        </w:rPr>
        <w:t>to"</w:t>
      </w:r>
      <w:r w:rsidRPr="00DB7F92">
        <w:rPr>
          <w:spacing w:val="7"/>
          <w:lang w:eastAsia="en-GB"/>
        </w:rPr>
        <w:t xml:space="preserve"> </w:t>
      </w:r>
      <w:r w:rsidRPr="00DB7F92">
        <w:rPr>
          <w:lang w:eastAsia="en-GB"/>
        </w:rPr>
        <w:t>or</w:t>
      </w:r>
      <w:r w:rsidRPr="00DB7F92">
        <w:rPr>
          <w:spacing w:val="9"/>
          <w:lang w:eastAsia="en-GB"/>
        </w:rPr>
        <w:t xml:space="preserve"> </w:t>
      </w:r>
      <w:r w:rsidRPr="00DB7F92">
        <w:rPr>
          <w:lang w:eastAsia="en-GB"/>
        </w:rPr>
        <w:t>"promote"</w:t>
      </w:r>
      <w:r w:rsidRPr="00DB7F92">
        <w:rPr>
          <w:spacing w:val="7"/>
          <w:lang w:eastAsia="en-GB"/>
        </w:rPr>
        <w:t xml:space="preserve"> </w:t>
      </w:r>
      <w:r w:rsidRPr="00DB7F92">
        <w:rPr>
          <w:lang w:eastAsia="en-GB"/>
        </w:rPr>
        <w:t>duties under the NHS Act 2006</w:t>
      </w:r>
      <w:r w:rsidRPr="00DB7F92">
        <w:rPr>
          <w:spacing w:val="8"/>
          <w:lang w:eastAsia="en-GB"/>
        </w:rPr>
        <w:t xml:space="preserve"> </w:t>
      </w:r>
      <w:r w:rsidRPr="00DB7F92">
        <w:rPr>
          <w:lang w:eastAsia="en-GB"/>
        </w:rPr>
        <w:t>form</w:t>
      </w:r>
      <w:r w:rsidRPr="00DB7F92">
        <w:rPr>
          <w:spacing w:val="71"/>
          <w:lang w:eastAsia="en-GB"/>
        </w:rPr>
        <w:t xml:space="preserve"> </w:t>
      </w:r>
      <w:r w:rsidRPr="00DB7F92">
        <w:rPr>
          <w:lang w:eastAsia="en-GB"/>
        </w:rPr>
        <w:t>a</w:t>
      </w:r>
      <w:r w:rsidRPr="00DB7F92">
        <w:rPr>
          <w:spacing w:val="-6"/>
          <w:lang w:eastAsia="en-GB"/>
        </w:rPr>
        <w:t xml:space="preserve"> </w:t>
      </w:r>
      <w:r w:rsidRPr="00DB7F92">
        <w:rPr>
          <w:lang w:eastAsia="en-GB"/>
        </w:rPr>
        <w:t>loose</w:t>
      </w:r>
      <w:r w:rsidRPr="00DB7F92">
        <w:rPr>
          <w:spacing w:val="-5"/>
          <w:lang w:eastAsia="en-GB"/>
        </w:rPr>
        <w:t xml:space="preserve"> </w:t>
      </w:r>
      <w:r w:rsidRPr="00DB7F92">
        <w:rPr>
          <w:lang w:eastAsia="en-GB"/>
        </w:rPr>
        <w:t>hierarchy</w:t>
      </w:r>
      <w:r w:rsidRPr="00DB7F92">
        <w:rPr>
          <w:spacing w:val="-5"/>
          <w:lang w:eastAsia="en-GB"/>
        </w:rPr>
        <w:t xml:space="preserve"> </w:t>
      </w:r>
      <w:r w:rsidRPr="00DB7F92">
        <w:rPr>
          <w:lang w:eastAsia="en-GB"/>
        </w:rPr>
        <w:t>of</w:t>
      </w:r>
      <w:r w:rsidRPr="00DB7F92">
        <w:rPr>
          <w:spacing w:val="-3"/>
          <w:lang w:eastAsia="en-GB"/>
        </w:rPr>
        <w:t xml:space="preserve"> legal </w:t>
      </w:r>
      <w:r w:rsidRPr="00DB7F92">
        <w:rPr>
          <w:lang w:eastAsia="en-GB"/>
        </w:rPr>
        <w:t>duties:</w:t>
      </w:r>
    </w:p>
    <w:p w14:paraId="780CAD6F" w14:textId="77777777" w:rsidR="00DB7F92" w:rsidRPr="00C84421" w:rsidRDefault="00DB7F92" w:rsidP="005A7DDA">
      <w:pPr>
        <w:pStyle w:val="ListParagraph"/>
        <w:widowControl w:val="0"/>
        <w:numPr>
          <w:ilvl w:val="0"/>
          <w:numId w:val="93"/>
        </w:numPr>
        <w:tabs>
          <w:tab w:val="left" w:pos="2528"/>
        </w:tabs>
        <w:spacing w:before="120" w:after="120" w:line="360" w:lineRule="auto"/>
        <w:ind w:left="714" w:right="116" w:hanging="357"/>
        <w:jc w:val="both"/>
        <w:rPr>
          <w:rFonts w:cs="Arial"/>
          <w:bCs w:val="0"/>
          <w:szCs w:val="24"/>
          <w:lang w:eastAsia="en-GB"/>
        </w:rPr>
      </w:pPr>
      <w:r w:rsidRPr="00C84421">
        <w:rPr>
          <w:rFonts w:cs="Arial"/>
          <w:bCs w:val="0"/>
          <w:spacing w:val="-1"/>
          <w:szCs w:val="24"/>
          <w:lang w:eastAsia="en-GB"/>
        </w:rPr>
        <w:t>The</w:t>
      </w:r>
      <w:r w:rsidRPr="00C84421">
        <w:rPr>
          <w:rFonts w:cs="Arial"/>
          <w:bCs w:val="0"/>
          <w:spacing w:val="55"/>
          <w:szCs w:val="24"/>
          <w:lang w:eastAsia="en-GB"/>
        </w:rPr>
        <w:t xml:space="preserve"> </w:t>
      </w:r>
      <w:r w:rsidRPr="00C84421">
        <w:rPr>
          <w:rFonts w:cs="Arial"/>
          <w:bCs w:val="0"/>
          <w:spacing w:val="-1"/>
          <w:szCs w:val="24"/>
          <w:lang w:eastAsia="en-GB"/>
        </w:rPr>
        <w:t>duty</w:t>
      </w:r>
      <w:r w:rsidRPr="00C84421">
        <w:rPr>
          <w:rFonts w:cs="Arial"/>
          <w:bCs w:val="0"/>
          <w:spacing w:val="56"/>
          <w:szCs w:val="24"/>
          <w:lang w:eastAsia="en-GB"/>
        </w:rPr>
        <w:t xml:space="preserve"> </w:t>
      </w:r>
      <w:r w:rsidRPr="00C84421">
        <w:rPr>
          <w:rFonts w:cs="Arial"/>
          <w:bCs w:val="0"/>
          <w:szCs w:val="24"/>
          <w:lang w:eastAsia="en-GB"/>
        </w:rPr>
        <w:t>to</w:t>
      </w:r>
      <w:r w:rsidRPr="00C84421">
        <w:rPr>
          <w:rFonts w:cs="Arial"/>
          <w:bCs w:val="0"/>
          <w:spacing w:val="55"/>
          <w:szCs w:val="24"/>
          <w:lang w:eastAsia="en-GB"/>
        </w:rPr>
        <w:t xml:space="preserve"> </w:t>
      </w:r>
      <w:r w:rsidRPr="00C84421">
        <w:rPr>
          <w:rFonts w:cs="Arial"/>
          <w:bCs w:val="0"/>
          <w:spacing w:val="-1"/>
          <w:szCs w:val="24"/>
          <w:lang w:eastAsia="en-GB"/>
        </w:rPr>
        <w:t>have</w:t>
      </w:r>
      <w:r w:rsidRPr="00C84421">
        <w:rPr>
          <w:rFonts w:cs="Arial"/>
          <w:bCs w:val="0"/>
          <w:spacing w:val="57"/>
          <w:szCs w:val="24"/>
          <w:lang w:eastAsia="en-GB"/>
        </w:rPr>
        <w:t xml:space="preserve"> </w:t>
      </w:r>
      <w:r w:rsidRPr="00C84421">
        <w:rPr>
          <w:rFonts w:cs="Arial"/>
          <w:bCs w:val="0"/>
          <w:spacing w:val="-1"/>
          <w:szCs w:val="24"/>
          <w:lang w:eastAsia="en-GB"/>
        </w:rPr>
        <w:t>regard</w:t>
      </w:r>
      <w:r w:rsidRPr="00C84421">
        <w:rPr>
          <w:rFonts w:cs="Arial"/>
          <w:bCs w:val="0"/>
          <w:spacing w:val="37"/>
          <w:szCs w:val="24"/>
          <w:lang w:eastAsia="en-GB"/>
        </w:rPr>
        <w:t xml:space="preserve"> </w:t>
      </w:r>
      <w:r w:rsidRPr="00C84421">
        <w:rPr>
          <w:rFonts w:cs="Arial"/>
          <w:bCs w:val="0"/>
          <w:spacing w:val="-1"/>
          <w:szCs w:val="24"/>
          <w:lang w:eastAsia="en-GB"/>
        </w:rPr>
        <w:t>means</w:t>
      </w:r>
      <w:r w:rsidRPr="00C84421">
        <w:rPr>
          <w:rFonts w:cs="Arial"/>
          <w:bCs w:val="0"/>
          <w:spacing w:val="57"/>
          <w:szCs w:val="24"/>
          <w:lang w:eastAsia="en-GB"/>
        </w:rPr>
        <w:t xml:space="preserve"> </w:t>
      </w:r>
      <w:r w:rsidRPr="00C84421">
        <w:rPr>
          <w:rFonts w:cs="Arial"/>
          <w:bCs w:val="0"/>
          <w:spacing w:val="-1"/>
          <w:szCs w:val="24"/>
          <w:lang w:eastAsia="en-GB"/>
        </w:rPr>
        <w:t>that</w:t>
      </w:r>
      <w:r w:rsidRPr="00C84421">
        <w:rPr>
          <w:rFonts w:cs="Arial"/>
          <w:bCs w:val="0"/>
          <w:spacing w:val="56"/>
          <w:szCs w:val="24"/>
          <w:lang w:eastAsia="en-GB"/>
        </w:rPr>
        <w:t xml:space="preserve"> </w:t>
      </w:r>
      <w:r w:rsidRPr="00C84421">
        <w:rPr>
          <w:rFonts w:cs="Arial"/>
          <w:bCs w:val="0"/>
          <w:spacing w:val="-1"/>
          <w:szCs w:val="24"/>
          <w:lang w:eastAsia="en-GB"/>
        </w:rPr>
        <w:t>when</w:t>
      </w:r>
      <w:r w:rsidRPr="00C84421">
        <w:rPr>
          <w:rFonts w:cs="Arial"/>
          <w:bCs w:val="0"/>
          <w:spacing w:val="56"/>
          <w:szCs w:val="24"/>
          <w:lang w:eastAsia="en-GB"/>
        </w:rPr>
        <w:t xml:space="preserve"> </w:t>
      </w:r>
      <w:r w:rsidRPr="00C84421">
        <w:rPr>
          <w:rFonts w:cs="Arial"/>
          <w:bCs w:val="0"/>
          <w:spacing w:val="-1"/>
          <w:szCs w:val="24"/>
          <w:lang w:eastAsia="en-GB"/>
        </w:rPr>
        <w:t>taking</w:t>
      </w:r>
      <w:r w:rsidRPr="00C84421">
        <w:rPr>
          <w:rFonts w:cs="Arial"/>
          <w:bCs w:val="0"/>
          <w:spacing w:val="56"/>
          <w:szCs w:val="24"/>
          <w:lang w:eastAsia="en-GB"/>
        </w:rPr>
        <w:t xml:space="preserve"> </w:t>
      </w:r>
      <w:r w:rsidRPr="00C84421">
        <w:rPr>
          <w:rFonts w:cs="Arial"/>
          <w:bCs w:val="0"/>
          <w:spacing w:val="-1"/>
          <w:szCs w:val="24"/>
          <w:lang w:eastAsia="en-GB"/>
        </w:rPr>
        <w:t>actions,</w:t>
      </w:r>
      <w:r w:rsidRPr="00C84421">
        <w:rPr>
          <w:rFonts w:cs="Arial"/>
          <w:bCs w:val="0"/>
          <w:spacing w:val="56"/>
          <w:szCs w:val="24"/>
          <w:lang w:eastAsia="en-GB"/>
        </w:rPr>
        <w:t xml:space="preserve"> </w:t>
      </w:r>
      <w:r w:rsidRPr="00C84421">
        <w:rPr>
          <w:rFonts w:cs="Arial"/>
          <w:bCs w:val="0"/>
          <w:szCs w:val="24"/>
          <w:lang w:eastAsia="en-GB"/>
        </w:rPr>
        <w:t>a</w:t>
      </w:r>
      <w:r w:rsidRPr="00C84421">
        <w:rPr>
          <w:rFonts w:cs="Arial"/>
          <w:bCs w:val="0"/>
          <w:spacing w:val="37"/>
          <w:w w:val="99"/>
          <w:szCs w:val="24"/>
          <w:lang w:eastAsia="en-GB"/>
        </w:rPr>
        <w:t xml:space="preserve"> </w:t>
      </w:r>
      <w:r w:rsidRPr="00C84421">
        <w:rPr>
          <w:rFonts w:cs="Arial"/>
          <w:bCs w:val="0"/>
          <w:spacing w:val="-1"/>
          <w:szCs w:val="24"/>
          <w:lang w:eastAsia="en-GB"/>
        </w:rPr>
        <w:t>certain</w:t>
      </w:r>
      <w:r w:rsidRPr="00C84421">
        <w:rPr>
          <w:rFonts w:cs="Arial"/>
          <w:bCs w:val="0"/>
          <w:spacing w:val="-8"/>
          <w:szCs w:val="24"/>
          <w:lang w:eastAsia="en-GB"/>
        </w:rPr>
        <w:t xml:space="preserve"> </w:t>
      </w:r>
      <w:r w:rsidRPr="00C84421">
        <w:rPr>
          <w:rFonts w:cs="Arial"/>
          <w:bCs w:val="0"/>
          <w:szCs w:val="24"/>
          <w:lang w:eastAsia="en-GB"/>
        </w:rPr>
        <w:t>thing</w:t>
      </w:r>
      <w:r w:rsidRPr="00C84421">
        <w:rPr>
          <w:rFonts w:cs="Arial"/>
          <w:bCs w:val="0"/>
          <w:spacing w:val="-7"/>
          <w:szCs w:val="24"/>
          <w:lang w:eastAsia="en-GB"/>
        </w:rPr>
        <w:t xml:space="preserve"> </w:t>
      </w:r>
      <w:r w:rsidRPr="00C84421">
        <w:rPr>
          <w:rFonts w:cs="Arial"/>
          <w:bCs w:val="0"/>
          <w:spacing w:val="-1"/>
          <w:szCs w:val="24"/>
          <w:lang w:eastAsia="en-GB"/>
        </w:rPr>
        <w:t>must</w:t>
      </w:r>
      <w:r w:rsidRPr="00C84421">
        <w:rPr>
          <w:rFonts w:cs="Arial"/>
          <w:bCs w:val="0"/>
          <w:spacing w:val="-4"/>
          <w:szCs w:val="24"/>
          <w:lang w:eastAsia="en-GB"/>
        </w:rPr>
        <w:t xml:space="preserve"> </w:t>
      </w:r>
      <w:r w:rsidRPr="00C84421">
        <w:rPr>
          <w:rFonts w:cs="Arial"/>
          <w:bCs w:val="0"/>
          <w:spacing w:val="-1"/>
          <w:szCs w:val="24"/>
          <w:lang w:eastAsia="en-GB"/>
        </w:rPr>
        <w:t>be</w:t>
      </w:r>
      <w:r w:rsidRPr="00C84421">
        <w:rPr>
          <w:rFonts w:cs="Arial"/>
          <w:bCs w:val="0"/>
          <w:spacing w:val="-5"/>
          <w:szCs w:val="24"/>
          <w:lang w:eastAsia="en-GB"/>
        </w:rPr>
        <w:t xml:space="preserve"> </w:t>
      </w:r>
      <w:r w:rsidRPr="00C84421">
        <w:rPr>
          <w:rFonts w:cs="Arial"/>
          <w:bCs w:val="0"/>
          <w:spacing w:val="-1"/>
          <w:szCs w:val="24"/>
          <w:lang w:eastAsia="en-GB"/>
        </w:rPr>
        <w:t>considered</w:t>
      </w:r>
    </w:p>
    <w:p w14:paraId="196680A0" w14:textId="77777777" w:rsidR="00DB7F92" w:rsidRPr="00C84421" w:rsidRDefault="00DB7F92" w:rsidP="005A7DDA">
      <w:pPr>
        <w:pStyle w:val="ListParagraph"/>
        <w:widowControl w:val="0"/>
        <w:numPr>
          <w:ilvl w:val="0"/>
          <w:numId w:val="93"/>
        </w:numPr>
        <w:tabs>
          <w:tab w:val="left" w:pos="2528"/>
        </w:tabs>
        <w:spacing w:before="120" w:after="120" w:line="360" w:lineRule="auto"/>
        <w:ind w:left="714" w:right="116" w:hanging="357"/>
        <w:jc w:val="both"/>
        <w:rPr>
          <w:rFonts w:cs="Arial"/>
          <w:bCs w:val="0"/>
          <w:szCs w:val="24"/>
          <w:lang w:eastAsia="en-GB"/>
        </w:rPr>
      </w:pPr>
      <w:r w:rsidRPr="00C84421">
        <w:rPr>
          <w:rFonts w:cs="Arial"/>
          <w:bCs w:val="0"/>
          <w:spacing w:val="-1"/>
          <w:szCs w:val="24"/>
          <w:lang w:eastAsia="en-GB"/>
        </w:rPr>
        <w:t>The</w:t>
      </w:r>
      <w:r w:rsidRPr="00C84421">
        <w:rPr>
          <w:rFonts w:cs="Arial"/>
          <w:bCs w:val="0"/>
          <w:spacing w:val="7"/>
          <w:szCs w:val="24"/>
          <w:lang w:eastAsia="en-GB"/>
        </w:rPr>
        <w:t xml:space="preserve"> </w:t>
      </w:r>
      <w:r w:rsidRPr="00C84421">
        <w:rPr>
          <w:rFonts w:cs="Arial"/>
          <w:bCs w:val="0"/>
          <w:spacing w:val="-1"/>
          <w:szCs w:val="24"/>
          <w:lang w:eastAsia="en-GB"/>
        </w:rPr>
        <w:t>duty</w:t>
      </w:r>
      <w:r w:rsidRPr="00C84421">
        <w:rPr>
          <w:rFonts w:cs="Arial"/>
          <w:bCs w:val="0"/>
          <w:spacing w:val="9"/>
          <w:szCs w:val="24"/>
          <w:lang w:eastAsia="en-GB"/>
        </w:rPr>
        <w:t xml:space="preserve"> </w:t>
      </w:r>
      <w:r w:rsidRPr="00C84421">
        <w:rPr>
          <w:rFonts w:cs="Arial"/>
          <w:bCs w:val="0"/>
          <w:spacing w:val="-1"/>
          <w:szCs w:val="24"/>
          <w:lang w:eastAsia="en-GB"/>
        </w:rPr>
        <w:t>to</w:t>
      </w:r>
      <w:r w:rsidRPr="00C84421">
        <w:rPr>
          <w:rFonts w:cs="Arial"/>
          <w:bCs w:val="0"/>
          <w:spacing w:val="7"/>
          <w:szCs w:val="24"/>
          <w:lang w:eastAsia="en-GB"/>
        </w:rPr>
        <w:t xml:space="preserve"> </w:t>
      </w:r>
      <w:r w:rsidRPr="00C84421">
        <w:rPr>
          <w:rFonts w:cs="Arial"/>
          <w:bCs w:val="0"/>
          <w:spacing w:val="-1"/>
          <w:szCs w:val="24"/>
          <w:lang w:eastAsia="en-GB"/>
        </w:rPr>
        <w:t>promote</w:t>
      </w:r>
      <w:r w:rsidRPr="00C84421">
        <w:rPr>
          <w:rFonts w:cs="Arial"/>
          <w:bCs w:val="0"/>
          <w:spacing w:val="-8"/>
          <w:szCs w:val="24"/>
          <w:lang w:eastAsia="en-GB"/>
        </w:rPr>
        <w:t xml:space="preserve"> </w:t>
      </w:r>
      <w:r w:rsidRPr="00C84421">
        <w:rPr>
          <w:rFonts w:cs="Arial"/>
          <w:bCs w:val="0"/>
          <w:spacing w:val="-1"/>
          <w:szCs w:val="24"/>
          <w:lang w:eastAsia="en-GB"/>
        </w:rPr>
        <w:t>means</w:t>
      </w:r>
      <w:r w:rsidRPr="00C84421">
        <w:rPr>
          <w:rFonts w:cs="Arial"/>
          <w:bCs w:val="0"/>
          <w:spacing w:val="8"/>
          <w:szCs w:val="24"/>
          <w:lang w:eastAsia="en-GB"/>
        </w:rPr>
        <w:t xml:space="preserve"> </w:t>
      </w:r>
      <w:r w:rsidRPr="00C84421">
        <w:rPr>
          <w:rFonts w:cs="Arial"/>
          <w:bCs w:val="0"/>
          <w:spacing w:val="-1"/>
          <w:szCs w:val="24"/>
          <w:lang w:eastAsia="en-GB"/>
        </w:rPr>
        <w:t>action</w:t>
      </w:r>
      <w:r w:rsidRPr="00C84421">
        <w:rPr>
          <w:rFonts w:cs="Arial"/>
          <w:bCs w:val="0"/>
          <w:spacing w:val="10"/>
          <w:szCs w:val="24"/>
          <w:lang w:eastAsia="en-GB"/>
        </w:rPr>
        <w:t xml:space="preserve"> </w:t>
      </w:r>
      <w:r w:rsidRPr="00C84421">
        <w:rPr>
          <w:rFonts w:cs="Arial"/>
          <w:bCs w:val="0"/>
          <w:spacing w:val="-1"/>
          <w:szCs w:val="24"/>
          <w:lang w:eastAsia="en-GB"/>
        </w:rPr>
        <w:t>must</w:t>
      </w:r>
      <w:r w:rsidRPr="00C84421">
        <w:rPr>
          <w:rFonts w:cs="Arial"/>
          <w:bCs w:val="0"/>
          <w:spacing w:val="8"/>
          <w:szCs w:val="24"/>
          <w:lang w:eastAsia="en-GB"/>
        </w:rPr>
        <w:t xml:space="preserve"> </w:t>
      </w:r>
      <w:r w:rsidRPr="00C84421">
        <w:rPr>
          <w:rFonts w:cs="Arial"/>
          <w:bCs w:val="0"/>
          <w:spacing w:val="-1"/>
          <w:szCs w:val="24"/>
          <w:lang w:eastAsia="en-GB"/>
        </w:rPr>
        <w:t>be</w:t>
      </w:r>
      <w:r w:rsidRPr="00C84421">
        <w:rPr>
          <w:rFonts w:cs="Arial"/>
          <w:bCs w:val="0"/>
          <w:spacing w:val="11"/>
          <w:szCs w:val="24"/>
          <w:lang w:eastAsia="en-GB"/>
        </w:rPr>
        <w:t xml:space="preserve"> </w:t>
      </w:r>
      <w:r w:rsidRPr="00C84421">
        <w:rPr>
          <w:rFonts w:cs="Arial"/>
          <w:bCs w:val="0"/>
          <w:spacing w:val="-1"/>
          <w:szCs w:val="24"/>
          <w:lang w:eastAsia="en-GB"/>
        </w:rPr>
        <w:t>taken</w:t>
      </w:r>
      <w:r w:rsidRPr="00C84421">
        <w:rPr>
          <w:rFonts w:cs="Arial"/>
          <w:bCs w:val="0"/>
          <w:spacing w:val="7"/>
          <w:szCs w:val="24"/>
          <w:lang w:eastAsia="en-GB"/>
        </w:rPr>
        <w:t xml:space="preserve"> </w:t>
      </w:r>
      <w:r w:rsidRPr="00C84421">
        <w:rPr>
          <w:rFonts w:cs="Arial"/>
          <w:bCs w:val="0"/>
          <w:spacing w:val="-1"/>
          <w:szCs w:val="24"/>
          <w:lang w:eastAsia="en-GB"/>
        </w:rPr>
        <w:t>that</w:t>
      </w:r>
      <w:r w:rsidRPr="00C84421">
        <w:rPr>
          <w:rFonts w:cs="Arial"/>
          <w:bCs w:val="0"/>
          <w:spacing w:val="8"/>
          <w:szCs w:val="24"/>
          <w:lang w:eastAsia="en-GB"/>
        </w:rPr>
        <w:t xml:space="preserve"> </w:t>
      </w:r>
      <w:r w:rsidRPr="00C84421">
        <w:rPr>
          <w:rFonts w:cs="Arial"/>
          <w:bCs w:val="0"/>
          <w:spacing w:val="-1"/>
          <w:szCs w:val="24"/>
          <w:lang w:eastAsia="en-GB"/>
        </w:rPr>
        <w:t>actually</w:t>
      </w:r>
      <w:r w:rsidRPr="00C84421">
        <w:rPr>
          <w:rFonts w:cs="Arial"/>
          <w:bCs w:val="0"/>
          <w:spacing w:val="43"/>
          <w:szCs w:val="24"/>
          <w:lang w:eastAsia="en-GB"/>
        </w:rPr>
        <w:t xml:space="preserve"> </w:t>
      </w:r>
      <w:r w:rsidRPr="00C84421">
        <w:rPr>
          <w:rFonts w:cs="Arial"/>
          <w:bCs w:val="0"/>
          <w:spacing w:val="-1"/>
          <w:szCs w:val="24"/>
          <w:lang w:eastAsia="en-GB"/>
        </w:rPr>
        <w:t>achieves</w:t>
      </w:r>
      <w:r w:rsidRPr="00C84421">
        <w:rPr>
          <w:rFonts w:cs="Arial"/>
          <w:bCs w:val="0"/>
          <w:spacing w:val="48"/>
          <w:szCs w:val="24"/>
          <w:lang w:eastAsia="en-GB"/>
        </w:rPr>
        <w:t xml:space="preserve"> </w:t>
      </w:r>
      <w:r w:rsidRPr="00C84421">
        <w:rPr>
          <w:rFonts w:cs="Arial"/>
          <w:bCs w:val="0"/>
          <w:spacing w:val="-1"/>
          <w:szCs w:val="24"/>
          <w:lang w:eastAsia="en-GB"/>
        </w:rPr>
        <w:t>an</w:t>
      </w:r>
      <w:r w:rsidRPr="00C84421">
        <w:rPr>
          <w:rFonts w:cs="Arial"/>
          <w:bCs w:val="0"/>
          <w:spacing w:val="50"/>
          <w:szCs w:val="24"/>
          <w:lang w:eastAsia="en-GB"/>
        </w:rPr>
        <w:t xml:space="preserve"> </w:t>
      </w:r>
      <w:r w:rsidRPr="00C84421">
        <w:rPr>
          <w:rFonts w:cs="Arial"/>
          <w:bCs w:val="0"/>
          <w:spacing w:val="-1"/>
          <w:szCs w:val="24"/>
          <w:lang w:eastAsia="en-GB"/>
        </w:rPr>
        <w:t>outcome.</w:t>
      </w:r>
      <w:r w:rsidRPr="00C84421">
        <w:rPr>
          <w:rFonts w:cs="Arial"/>
          <w:bCs w:val="0"/>
          <w:spacing w:val="33"/>
          <w:szCs w:val="24"/>
          <w:lang w:eastAsia="en-GB"/>
        </w:rPr>
        <w:t xml:space="preserve"> </w:t>
      </w:r>
      <w:r w:rsidRPr="00C84421">
        <w:rPr>
          <w:rFonts w:cs="Arial"/>
          <w:bCs w:val="0"/>
          <w:spacing w:val="-1"/>
          <w:szCs w:val="24"/>
          <w:lang w:eastAsia="en-GB"/>
        </w:rPr>
        <w:t>Additionally,</w:t>
      </w:r>
      <w:r w:rsidRPr="00C84421">
        <w:rPr>
          <w:rFonts w:cs="Arial"/>
          <w:bCs w:val="0"/>
          <w:spacing w:val="50"/>
          <w:szCs w:val="24"/>
          <w:lang w:eastAsia="en-GB"/>
        </w:rPr>
        <w:t xml:space="preserve"> </w:t>
      </w:r>
      <w:r w:rsidRPr="00C84421">
        <w:rPr>
          <w:rFonts w:cs="Arial"/>
          <w:bCs w:val="0"/>
          <w:spacing w:val="-1"/>
          <w:szCs w:val="24"/>
          <w:lang w:eastAsia="en-GB"/>
        </w:rPr>
        <w:t>it</w:t>
      </w:r>
      <w:r w:rsidRPr="00C84421">
        <w:rPr>
          <w:rFonts w:cs="Arial"/>
          <w:bCs w:val="0"/>
          <w:spacing w:val="48"/>
          <w:szCs w:val="24"/>
          <w:lang w:eastAsia="en-GB"/>
        </w:rPr>
        <w:t xml:space="preserve"> </w:t>
      </w:r>
      <w:r w:rsidRPr="00C84421">
        <w:rPr>
          <w:rFonts w:cs="Arial"/>
          <w:bCs w:val="0"/>
          <w:spacing w:val="-1"/>
          <w:szCs w:val="24"/>
          <w:lang w:eastAsia="en-GB"/>
        </w:rPr>
        <w:t>is</w:t>
      </w:r>
      <w:r w:rsidRPr="00C84421">
        <w:rPr>
          <w:rFonts w:cs="Arial"/>
          <w:bCs w:val="0"/>
          <w:spacing w:val="48"/>
          <w:szCs w:val="24"/>
          <w:lang w:eastAsia="en-GB"/>
        </w:rPr>
        <w:t xml:space="preserve"> </w:t>
      </w:r>
      <w:r w:rsidRPr="00C84421">
        <w:rPr>
          <w:rFonts w:cs="Arial"/>
          <w:bCs w:val="0"/>
          <w:spacing w:val="-1"/>
          <w:szCs w:val="24"/>
          <w:lang w:eastAsia="en-GB"/>
        </w:rPr>
        <w:t>possible</w:t>
      </w:r>
      <w:r w:rsidRPr="00C84421">
        <w:rPr>
          <w:rFonts w:cs="Arial"/>
          <w:bCs w:val="0"/>
          <w:spacing w:val="47"/>
          <w:szCs w:val="24"/>
          <w:lang w:eastAsia="en-GB"/>
        </w:rPr>
        <w:t xml:space="preserve"> </w:t>
      </w:r>
      <w:r w:rsidRPr="00C84421">
        <w:rPr>
          <w:rFonts w:cs="Arial"/>
          <w:bCs w:val="0"/>
          <w:szCs w:val="24"/>
          <w:lang w:eastAsia="en-GB"/>
        </w:rPr>
        <w:t>to</w:t>
      </w:r>
      <w:r w:rsidRPr="00C84421">
        <w:rPr>
          <w:rFonts w:cs="Arial"/>
          <w:bCs w:val="0"/>
          <w:spacing w:val="49"/>
          <w:szCs w:val="24"/>
          <w:lang w:eastAsia="en-GB"/>
        </w:rPr>
        <w:t xml:space="preserve"> </w:t>
      </w:r>
      <w:r w:rsidRPr="00C84421">
        <w:rPr>
          <w:rFonts w:cs="Arial"/>
          <w:bCs w:val="0"/>
          <w:spacing w:val="-1"/>
          <w:szCs w:val="24"/>
          <w:lang w:eastAsia="en-GB"/>
        </w:rPr>
        <w:t>promote</w:t>
      </w:r>
      <w:r w:rsidRPr="00C84421">
        <w:rPr>
          <w:rFonts w:cs="Arial"/>
          <w:bCs w:val="0"/>
          <w:spacing w:val="57"/>
          <w:w w:val="99"/>
          <w:szCs w:val="24"/>
          <w:lang w:eastAsia="en-GB"/>
        </w:rPr>
        <w:t xml:space="preserve"> </w:t>
      </w:r>
      <w:r w:rsidRPr="00C84421">
        <w:rPr>
          <w:rFonts w:cs="Arial"/>
          <w:bCs w:val="0"/>
          <w:spacing w:val="-1"/>
          <w:szCs w:val="24"/>
          <w:lang w:eastAsia="en-GB"/>
        </w:rPr>
        <w:t>something</w:t>
      </w:r>
      <w:r w:rsidRPr="00C84421">
        <w:rPr>
          <w:rFonts w:cs="Arial"/>
          <w:bCs w:val="0"/>
          <w:spacing w:val="-4"/>
          <w:szCs w:val="24"/>
          <w:lang w:eastAsia="en-GB"/>
        </w:rPr>
        <w:t xml:space="preserve"> </w:t>
      </w:r>
      <w:r w:rsidRPr="00C84421">
        <w:rPr>
          <w:rFonts w:cs="Arial"/>
          <w:bCs w:val="0"/>
          <w:spacing w:val="-1"/>
          <w:szCs w:val="24"/>
          <w:lang w:eastAsia="en-GB"/>
        </w:rPr>
        <w:t>by</w:t>
      </w:r>
      <w:r w:rsidRPr="00C84421">
        <w:rPr>
          <w:rFonts w:cs="Arial"/>
          <w:bCs w:val="0"/>
          <w:spacing w:val="-4"/>
          <w:szCs w:val="24"/>
          <w:lang w:eastAsia="en-GB"/>
        </w:rPr>
        <w:t xml:space="preserve"> </w:t>
      </w:r>
      <w:r w:rsidRPr="00C84421">
        <w:rPr>
          <w:rFonts w:cs="Arial"/>
          <w:bCs w:val="0"/>
          <w:spacing w:val="-1"/>
          <w:szCs w:val="24"/>
          <w:lang w:eastAsia="en-GB"/>
        </w:rPr>
        <w:t>encouraging</w:t>
      </w:r>
      <w:r w:rsidRPr="00C84421">
        <w:rPr>
          <w:rFonts w:cs="Arial"/>
          <w:bCs w:val="0"/>
          <w:spacing w:val="-3"/>
          <w:szCs w:val="24"/>
          <w:lang w:eastAsia="en-GB"/>
        </w:rPr>
        <w:t xml:space="preserve"> </w:t>
      </w:r>
      <w:r w:rsidRPr="00C84421">
        <w:rPr>
          <w:rFonts w:cs="Arial"/>
          <w:bCs w:val="0"/>
          <w:spacing w:val="-1"/>
          <w:szCs w:val="24"/>
          <w:lang w:eastAsia="en-GB"/>
        </w:rPr>
        <w:t>others</w:t>
      </w:r>
      <w:r w:rsidRPr="00C84421">
        <w:rPr>
          <w:rFonts w:cs="Arial"/>
          <w:bCs w:val="0"/>
          <w:spacing w:val="-4"/>
          <w:szCs w:val="24"/>
          <w:lang w:eastAsia="en-GB"/>
        </w:rPr>
        <w:t xml:space="preserve"> </w:t>
      </w:r>
      <w:r w:rsidRPr="00C84421">
        <w:rPr>
          <w:rFonts w:cs="Arial"/>
          <w:bCs w:val="0"/>
          <w:szCs w:val="24"/>
          <w:lang w:eastAsia="en-GB"/>
        </w:rPr>
        <w:t>to</w:t>
      </w:r>
      <w:r w:rsidRPr="00C84421">
        <w:rPr>
          <w:rFonts w:cs="Arial"/>
          <w:bCs w:val="0"/>
          <w:spacing w:val="-3"/>
          <w:szCs w:val="24"/>
          <w:lang w:eastAsia="en-GB"/>
        </w:rPr>
        <w:t xml:space="preserve"> </w:t>
      </w:r>
      <w:r w:rsidRPr="00C84421">
        <w:rPr>
          <w:rFonts w:cs="Arial"/>
          <w:bCs w:val="0"/>
          <w:spacing w:val="-1"/>
          <w:szCs w:val="24"/>
          <w:lang w:eastAsia="en-GB"/>
        </w:rPr>
        <w:t>do</w:t>
      </w:r>
      <w:r w:rsidRPr="00C84421">
        <w:rPr>
          <w:rFonts w:cs="Arial"/>
          <w:bCs w:val="0"/>
          <w:spacing w:val="-3"/>
          <w:szCs w:val="24"/>
          <w:lang w:eastAsia="en-GB"/>
        </w:rPr>
        <w:t xml:space="preserve"> </w:t>
      </w:r>
      <w:r w:rsidRPr="00C84421">
        <w:rPr>
          <w:rFonts w:cs="Arial"/>
          <w:bCs w:val="0"/>
          <w:spacing w:val="-1"/>
          <w:szCs w:val="24"/>
          <w:lang w:eastAsia="en-GB"/>
        </w:rPr>
        <w:t>it.</w:t>
      </w:r>
    </w:p>
    <w:p w14:paraId="0C613300" w14:textId="77777777" w:rsidR="00DB7F92" w:rsidRPr="00C84421" w:rsidRDefault="00DB7F92" w:rsidP="005A7DDA">
      <w:pPr>
        <w:pStyle w:val="ListParagraph"/>
        <w:widowControl w:val="0"/>
        <w:numPr>
          <w:ilvl w:val="0"/>
          <w:numId w:val="93"/>
        </w:numPr>
        <w:tabs>
          <w:tab w:val="left" w:pos="2528"/>
        </w:tabs>
        <w:spacing w:before="120" w:after="120" w:line="360" w:lineRule="auto"/>
        <w:ind w:left="714" w:right="118" w:hanging="357"/>
        <w:jc w:val="both"/>
        <w:rPr>
          <w:rFonts w:cs="Arial"/>
          <w:bCs w:val="0"/>
          <w:szCs w:val="24"/>
          <w:lang w:eastAsia="en-GB"/>
        </w:rPr>
      </w:pPr>
      <w:r w:rsidRPr="00C84421">
        <w:rPr>
          <w:rFonts w:cs="Arial"/>
          <w:bCs w:val="0"/>
          <w:spacing w:val="-1"/>
          <w:szCs w:val="24"/>
          <w:lang w:eastAsia="en-GB"/>
        </w:rPr>
        <w:t>The</w:t>
      </w:r>
      <w:r w:rsidRPr="00C84421">
        <w:rPr>
          <w:rFonts w:cs="Arial"/>
          <w:bCs w:val="0"/>
          <w:spacing w:val="-2"/>
          <w:szCs w:val="24"/>
          <w:lang w:eastAsia="en-GB"/>
        </w:rPr>
        <w:t xml:space="preserve"> </w:t>
      </w:r>
      <w:r w:rsidRPr="00C84421">
        <w:rPr>
          <w:rFonts w:cs="Arial"/>
          <w:bCs w:val="0"/>
          <w:spacing w:val="-1"/>
          <w:szCs w:val="24"/>
          <w:lang w:eastAsia="en-GB"/>
        </w:rPr>
        <w:t xml:space="preserve">duty </w:t>
      </w:r>
      <w:r w:rsidRPr="00C84421">
        <w:rPr>
          <w:rFonts w:cs="Arial"/>
          <w:bCs w:val="0"/>
          <w:szCs w:val="24"/>
          <w:lang w:eastAsia="en-GB"/>
        </w:rPr>
        <w:t>to</w:t>
      </w:r>
      <w:r w:rsidRPr="00C84421">
        <w:rPr>
          <w:rFonts w:cs="Arial"/>
          <w:bCs w:val="0"/>
          <w:spacing w:val="-2"/>
          <w:szCs w:val="24"/>
          <w:lang w:eastAsia="en-GB"/>
        </w:rPr>
        <w:t xml:space="preserve"> </w:t>
      </w:r>
      <w:r w:rsidRPr="00C84421">
        <w:rPr>
          <w:rFonts w:cs="Arial"/>
          <w:bCs w:val="0"/>
          <w:szCs w:val="24"/>
          <w:lang w:eastAsia="en-GB"/>
        </w:rPr>
        <w:t>act</w:t>
      </w:r>
      <w:r w:rsidRPr="00C84421">
        <w:rPr>
          <w:rFonts w:cs="Arial"/>
          <w:bCs w:val="0"/>
          <w:spacing w:val="-2"/>
          <w:szCs w:val="24"/>
          <w:lang w:eastAsia="en-GB"/>
        </w:rPr>
        <w:t xml:space="preserve"> </w:t>
      </w:r>
      <w:r w:rsidRPr="00C84421">
        <w:rPr>
          <w:rFonts w:cs="Arial"/>
          <w:bCs w:val="0"/>
          <w:spacing w:val="-1"/>
          <w:szCs w:val="24"/>
          <w:lang w:eastAsia="en-GB"/>
        </w:rPr>
        <w:t>with</w:t>
      </w:r>
      <w:r w:rsidRPr="00C84421">
        <w:rPr>
          <w:rFonts w:cs="Arial"/>
          <w:bCs w:val="0"/>
          <w:szCs w:val="24"/>
          <w:lang w:eastAsia="en-GB"/>
        </w:rPr>
        <w:t xml:space="preserve"> a</w:t>
      </w:r>
      <w:r w:rsidRPr="00C84421">
        <w:rPr>
          <w:rFonts w:cs="Arial"/>
          <w:bCs w:val="0"/>
          <w:spacing w:val="-1"/>
          <w:szCs w:val="24"/>
          <w:lang w:eastAsia="en-GB"/>
        </w:rPr>
        <w:t xml:space="preserve"> </w:t>
      </w:r>
      <w:r w:rsidRPr="00C84421">
        <w:rPr>
          <w:rFonts w:cs="Arial"/>
          <w:bCs w:val="0"/>
          <w:szCs w:val="24"/>
          <w:lang w:eastAsia="en-GB"/>
        </w:rPr>
        <w:t>view</w:t>
      </w:r>
      <w:r w:rsidRPr="00C84421">
        <w:rPr>
          <w:rFonts w:cs="Arial"/>
          <w:bCs w:val="0"/>
          <w:spacing w:val="-3"/>
          <w:szCs w:val="24"/>
          <w:lang w:eastAsia="en-GB"/>
        </w:rPr>
        <w:t xml:space="preserve"> </w:t>
      </w:r>
      <w:r w:rsidRPr="00C84421">
        <w:rPr>
          <w:rFonts w:cs="Arial"/>
          <w:bCs w:val="0"/>
          <w:spacing w:val="-1"/>
          <w:szCs w:val="24"/>
          <w:lang w:eastAsia="en-GB"/>
        </w:rPr>
        <w:t>to</w:t>
      </w:r>
      <w:r w:rsidRPr="00C84421">
        <w:rPr>
          <w:rFonts w:cs="Arial"/>
          <w:bCs w:val="0"/>
          <w:spacing w:val="-19"/>
          <w:szCs w:val="24"/>
          <w:lang w:eastAsia="en-GB"/>
        </w:rPr>
        <w:t xml:space="preserve"> </w:t>
      </w:r>
      <w:r w:rsidRPr="00C84421">
        <w:rPr>
          <w:rFonts w:cs="Arial"/>
          <w:bCs w:val="0"/>
          <w:spacing w:val="-1"/>
          <w:szCs w:val="24"/>
          <w:lang w:eastAsia="en-GB"/>
        </w:rPr>
        <w:t>means</w:t>
      </w:r>
      <w:r w:rsidRPr="00C84421">
        <w:rPr>
          <w:rFonts w:cs="Arial"/>
          <w:bCs w:val="0"/>
          <w:szCs w:val="24"/>
          <w:lang w:eastAsia="en-GB"/>
        </w:rPr>
        <w:t xml:space="preserve"> </w:t>
      </w:r>
      <w:r w:rsidRPr="00C84421">
        <w:rPr>
          <w:rFonts w:cs="Arial"/>
          <w:bCs w:val="0"/>
          <w:spacing w:val="-1"/>
          <w:szCs w:val="24"/>
          <w:lang w:eastAsia="en-GB"/>
        </w:rPr>
        <w:t>that action must</w:t>
      </w:r>
      <w:r w:rsidRPr="00C84421">
        <w:rPr>
          <w:rFonts w:cs="Arial"/>
          <w:bCs w:val="0"/>
          <w:szCs w:val="24"/>
          <w:lang w:eastAsia="en-GB"/>
        </w:rPr>
        <w:t xml:space="preserve"> </w:t>
      </w:r>
      <w:r w:rsidRPr="00C84421">
        <w:rPr>
          <w:rFonts w:cs="Arial"/>
          <w:bCs w:val="0"/>
          <w:spacing w:val="-1"/>
          <w:szCs w:val="24"/>
          <w:lang w:eastAsia="en-GB"/>
        </w:rPr>
        <w:t>be</w:t>
      </w:r>
      <w:r w:rsidRPr="00C84421">
        <w:rPr>
          <w:rFonts w:cs="Arial"/>
          <w:bCs w:val="0"/>
          <w:spacing w:val="-2"/>
          <w:szCs w:val="24"/>
          <w:lang w:eastAsia="en-GB"/>
        </w:rPr>
        <w:t xml:space="preserve"> </w:t>
      </w:r>
      <w:r w:rsidRPr="00C84421">
        <w:rPr>
          <w:rFonts w:cs="Arial"/>
          <w:bCs w:val="0"/>
          <w:szCs w:val="24"/>
          <w:lang w:eastAsia="en-GB"/>
        </w:rPr>
        <w:t>taken</w:t>
      </w:r>
      <w:r w:rsidRPr="00C84421">
        <w:rPr>
          <w:rFonts w:cs="Arial"/>
          <w:bCs w:val="0"/>
          <w:spacing w:val="39"/>
          <w:szCs w:val="24"/>
          <w:lang w:eastAsia="en-GB"/>
        </w:rPr>
        <w:t xml:space="preserve"> </w:t>
      </w:r>
      <w:r w:rsidRPr="00C84421">
        <w:rPr>
          <w:rFonts w:cs="Arial"/>
          <w:bCs w:val="0"/>
          <w:spacing w:val="-1"/>
          <w:szCs w:val="24"/>
          <w:lang w:eastAsia="en-GB"/>
        </w:rPr>
        <w:t>with</w:t>
      </w:r>
      <w:r w:rsidRPr="00C84421">
        <w:rPr>
          <w:rFonts w:cs="Arial"/>
          <w:bCs w:val="0"/>
          <w:spacing w:val="-6"/>
          <w:szCs w:val="24"/>
          <w:lang w:eastAsia="en-GB"/>
        </w:rPr>
        <w:t xml:space="preserve"> </w:t>
      </w:r>
      <w:r w:rsidRPr="00C84421">
        <w:rPr>
          <w:rFonts w:cs="Arial"/>
          <w:bCs w:val="0"/>
          <w:szCs w:val="24"/>
          <w:lang w:eastAsia="en-GB"/>
        </w:rPr>
        <w:t>a</w:t>
      </w:r>
      <w:r w:rsidRPr="00C84421">
        <w:rPr>
          <w:rFonts w:cs="Arial"/>
          <w:bCs w:val="0"/>
          <w:spacing w:val="-6"/>
          <w:szCs w:val="24"/>
          <w:lang w:eastAsia="en-GB"/>
        </w:rPr>
        <w:t xml:space="preserve"> </w:t>
      </w:r>
      <w:r w:rsidRPr="00C84421">
        <w:rPr>
          <w:rFonts w:cs="Arial"/>
          <w:bCs w:val="0"/>
          <w:spacing w:val="-1"/>
          <w:szCs w:val="24"/>
          <w:lang w:eastAsia="en-GB"/>
        </w:rPr>
        <w:t>purpose</w:t>
      </w:r>
      <w:r w:rsidRPr="00C84421">
        <w:rPr>
          <w:rFonts w:cs="Arial"/>
          <w:bCs w:val="0"/>
          <w:spacing w:val="-4"/>
          <w:szCs w:val="24"/>
          <w:lang w:eastAsia="en-GB"/>
        </w:rPr>
        <w:t xml:space="preserve"> </w:t>
      </w:r>
      <w:r w:rsidRPr="00C84421">
        <w:rPr>
          <w:rFonts w:cs="Arial"/>
          <w:bCs w:val="0"/>
          <w:spacing w:val="-1"/>
          <w:szCs w:val="24"/>
          <w:lang w:eastAsia="en-GB"/>
        </w:rPr>
        <w:t>in</w:t>
      </w:r>
      <w:r w:rsidRPr="00C84421">
        <w:rPr>
          <w:rFonts w:cs="Arial"/>
          <w:bCs w:val="0"/>
          <w:spacing w:val="-6"/>
          <w:szCs w:val="24"/>
          <w:lang w:eastAsia="en-GB"/>
        </w:rPr>
        <w:t xml:space="preserve"> </w:t>
      </w:r>
      <w:r w:rsidRPr="00C84421">
        <w:rPr>
          <w:rFonts w:cs="Arial"/>
          <w:bCs w:val="0"/>
          <w:spacing w:val="-1"/>
          <w:szCs w:val="24"/>
          <w:lang w:eastAsia="en-GB"/>
        </w:rPr>
        <w:t>mind.</w:t>
      </w:r>
    </w:p>
    <w:p w14:paraId="07EE354F" w14:textId="77777777" w:rsidR="00DB7F92" w:rsidRPr="00DB7F92" w:rsidRDefault="00DB7F92" w:rsidP="00DD5D2D">
      <w:pPr>
        <w:pStyle w:val="Heading3"/>
        <w:jc w:val="both"/>
        <w:rPr>
          <w:lang w:eastAsia="en-GB"/>
        </w:rPr>
      </w:pPr>
      <w:r w:rsidRPr="00DB7F92">
        <w:rPr>
          <w:lang w:eastAsia="en-GB"/>
        </w:rPr>
        <w:t>In</w:t>
      </w:r>
      <w:r w:rsidRPr="00DB7F92">
        <w:rPr>
          <w:spacing w:val="19"/>
          <w:lang w:eastAsia="en-GB"/>
        </w:rPr>
        <w:t xml:space="preserve"> </w:t>
      </w:r>
      <w:r w:rsidRPr="00DB7F92">
        <w:rPr>
          <w:lang w:eastAsia="en-GB"/>
        </w:rPr>
        <w:t>contrast</w:t>
      </w:r>
      <w:r w:rsidRPr="00DB7F92">
        <w:rPr>
          <w:spacing w:val="20"/>
          <w:lang w:eastAsia="en-GB"/>
        </w:rPr>
        <w:t xml:space="preserve"> </w:t>
      </w:r>
      <w:r w:rsidRPr="00DB7F92">
        <w:rPr>
          <w:lang w:eastAsia="en-GB"/>
        </w:rPr>
        <w:t>to</w:t>
      </w:r>
      <w:r w:rsidRPr="00DB7F92">
        <w:rPr>
          <w:spacing w:val="19"/>
          <w:lang w:eastAsia="en-GB"/>
        </w:rPr>
        <w:t xml:space="preserve"> </w:t>
      </w:r>
      <w:r w:rsidRPr="00DB7F92">
        <w:rPr>
          <w:lang w:eastAsia="en-GB"/>
        </w:rPr>
        <w:t>the</w:t>
      </w:r>
      <w:r w:rsidRPr="00DB7F92">
        <w:rPr>
          <w:spacing w:val="21"/>
          <w:lang w:eastAsia="en-GB"/>
        </w:rPr>
        <w:t xml:space="preserve"> </w:t>
      </w:r>
      <w:r w:rsidRPr="00DB7F92">
        <w:rPr>
          <w:lang w:eastAsia="en-GB"/>
        </w:rPr>
        <w:t>Promotion</w:t>
      </w:r>
      <w:r w:rsidRPr="00DB7F92">
        <w:rPr>
          <w:spacing w:val="19"/>
          <w:lang w:eastAsia="en-GB"/>
        </w:rPr>
        <w:t xml:space="preserve"> </w:t>
      </w:r>
      <w:r w:rsidRPr="00DB7F92">
        <w:rPr>
          <w:lang w:eastAsia="en-GB"/>
        </w:rPr>
        <w:t>Duties</w:t>
      </w:r>
      <w:r w:rsidRPr="00DB7F92">
        <w:rPr>
          <w:spacing w:val="20"/>
          <w:lang w:eastAsia="en-GB"/>
        </w:rPr>
        <w:t xml:space="preserve"> </w:t>
      </w:r>
      <w:r w:rsidRPr="00DB7F92">
        <w:rPr>
          <w:lang w:eastAsia="en-GB"/>
        </w:rPr>
        <w:t>and</w:t>
      </w:r>
      <w:r w:rsidRPr="00DB7F92">
        <w:rPr>
          <w:spacing w:val="20"/>
          <w:lang w:eastAsia="en-GB"/>
        </w:rPr>
        <w:t xml:space="preserve"> </w:t>
      </w:r>
      <w:r w:rsidRPr="00DB7F92">
        <w:rPr>
          <w:lang w:eastAsia="en-GB"/>
        </w:rPr>
        <w:t>the</w:t>
      </w:r>
      <w:r w:rsidRPr="00DB7F92">
        <w:rPr>
          <w:spacing w:val="21"/>
          <w:lang w:eastAsia="en-GB"/>
        </w:rPr>
        <w:t xml:space="preserve"> </w:t>
      </w:r>
      <w:r w:rsidRPr="00DB7F92">
        <w:rPr>
          <w:lang w:eastAsia="en-GB"/>
        </w:rPr>
        <w:t>View</w:t>
      </w:r>
      <w:r w:rsidRPr="00DB7F92">
        <w:rPr>
          <w:spacing w:val="22"/>
          <w:lang w:eastAsia="en-GB"/>
        </w:rPr>
        <w:t xml:space="preserve"> </w:t>
      </w:r>
      <w:r w:rsidRPr="00DB7F92">
        <w:rPr>
          <w:lang w:eastAsia="en-GB"/>
        </w:rPr>
        <w:t>To</w:t>
      </w:r>
      <w:r w:rsidRPr="00DB7F92">
        <w:rPr>
          <w:spacing w:val="19"/>
          <w:lang w:eastAsia="en-GB"/>
        </w:rPr>
        <w:t xml:space="preserve"> </w:t>
      </w:r>
      <w:r w:rsidRPr="00DB7F92">
        <w:rPr>
          <w:lang w:eastAsia="en-GB"/>
        </w:rPr>
        <w:t>Duties,</w:t>
      </w:r>
      <w:r w:rsidRPr="00DB7F92">
        <w:rPr>
          <w:spacing w:val="20"/>
          <w:lang w:eastAsia="en-GB"/>
        </w:rPr>
        <w:t xml:space="preserve"> </w:t>
      </w:r>
      <w:r w:rsidRPr="00DB7F92">
        <w:rPr>
          <w:lang w:eastAsia="en-GB"/>
        </w:rPr>
        <w:t>the</w:t>
      </w:r>
      <w:r w:rsidRPr="00DB7F92">
        <w:rPr>
          <w:spacing w:val="19"/>
          <w:lang w:eastAsia="en-GB"/>
        </w:rPr>
        <w:t xml:space="preserve"> </w:t>
      </w:r>
      <w:r w:rsidRPr="00DB7F92">
        <w:rPr>
          <w:lang w:eastAsia="en-GB"/>
        </w:rPr>
        <w:t>Regard</w:t>
      </w:r>
      <w:r w:rsidRPr="00DB7F92">
        <w:rPr>
          <w:spacing w:val="57"/>
          <w:lang w:eastAsia="en-GB"/>
        </w:rPr>
        <w:t xml:space="preserve"> </w:t>
      </w:r>
      <w:r w:rsidRPr="00DB7F92">
        <w:rPr>
          <w:lang w:eastAsia="en-GB"/>
        </w:rPr>
        <w:t>Duties</w:t>
      </w:r>
      <w:r w:rsidRPr="00DB7F92">
        <w:rPr>
          <w:spacing w:val="24"/>
          <w:lang w:eastAsia="en-GB"/>
        </w:rPr>
        <w:t xml:space="preserve"> </w:t>
      </w:r>
      <w:r w:rsidRPr="00DB7F92">
        <w:rPr>
          <w:lang w:eastAsia="en-GB"/>
        </w:rPr>
        <w:t>apply</w:t>
      </w:r>
      <w:r w:rsidRPr="00DB7F92">
        <w:rPr>
          <w:spacing w:val="25"/>
          <w:lang w:eastAsia="en-GB"/>
        </w:rPr>
        <w:t xml:space="preserve"> </w:t>
      </w:r>
      <w:r w:rsidRPr="00DB7F92">
        <w:rPr>
          <w:lang w:eastAsia="en-GB"/>
        </w:rPr>
        <w:t>to</w:t>
      </w:r>
      <w:r w:rsidRPr="00DB7F92">
        <w:rPr>
          <w:spacing w:val="24"/>
          <w:lang w:eastAsia="en-GB"/>
        </w:rPr>
        <w:t xml:space="preserve"> </w:t>
      </w:r>
      <w:r w:rsidRPr="00DB7F92">
        <w:rPr>
          <w:lang w:eastAsia="en-GB"/>
        </w:rPr>
        <w:t>every</w:t>
      </w:r>
      <w:r w:rsidRPr="00DB7F92">
        <w:rPr>
          <w:spacing w:val="25"/>
          <w:lang w:eastAsia="en-GB"/>
        </w:rPr>
        <w:t xml:space="preserve"> </w:t>
      </w:r>
      <w:r w:rsidRPr="00DB7F92">
        <w:rPr>
          <w:lang w:eastAsia="en-GB"/>
        </w:rPr>
        <w:t>action</w:t>
      </w:r>
      <w:r w:rsidRPr="00DB7F92">
        <w:rPr>
          <w:spacing w:val="24"/>
          <w:lang w:eastAsia="en-GB"/>
        </w:rPr>
        <w:t xml:space="preserve"> </w:t>
      </w:r>
      <w:r w:rsidRPr="00DB7F92">
        <w:rPr>
          <w:lang w:eastAsia="en-GB"/>
        </w:rPr>
        <w:t>of</w:t>
      </w:r>
      <w:r w:rsidRPr="00DB7F92">
        <w:rPr>
          <w:spacing w:val="23"/>
          <w:lang w:eastAsia="en-GB"/>
        </w:rPr>
        <w:t xml:space="preserve"> a commissioner </w:t>
      </w:r>
      <w:r w:rsidRPr="00DB7F92">
        <w:rPr>
          <w:lang w:eastAsia="en-GB"/>
        </w:rPr>
        <w:t>where</w:t>
      </w:r>
      <w:r w:rsidRPr="00DB7F92">
        <w:rPr>
          <w:spacing w:val="23"/>
          <w:lang w:eastAsia="en-GB"/>
        </w:rPr>
        <w:t xml:space="preserve"> </w:t>
      </w:r>
      <w:r w:rsidRPr="00DB7F92">
        <w:rPr>
          <w:lang w:eastAsia="en-GB"/>
        </w:rPr>
        <w:t>it</w:t>
      </w:r>
      <w:r w:rsidRPr="00DB7F92">
        <w:rPr>
          <w:spacing w:val="25"/>
          <w:lang w:eastAsia="en-GB"/>
        </w:rPr>
        <w:t xml:space="preserve"> </w:t>
      </w:r>
      <w:r w:rsidRPr="00DB7F92">
        <w:rPr>
          <w:lang w:eastAsia="en-GB"/>
        </w:rPr>
        <w:t>is</w:t>
      </w:r>
      <w:r w:rsidRPr="00DB7F92">
        <w:rPr>
          <w:spacing w:val="25"/>
          <w:lang w:eastAsia="en-GB"/>
        </w:rPr>
        <w:t xml:space="preserve"> </w:t>
      </w:r>
      <w:r w:rsidRPr="00DB7F92">
        <w:rPr>
          <w:lang w:eastAsia="en-GB"/>
        </w:rPr>
        <w:t>carrying</w:t>
      </w:r>
      <w:r w:rsidRPr="00DB7F92">
        <w:rPr>
          <w:spacing w:val="23"/>
          <w:lang w:eastAsia="en-GB"/>
        </w:rPr>
        <w:t xml:space="preserve"> </w:t>
      </w:r>
      <w:r w:rsidRPr="00DB7F92">
        <w:rPr>
          <w:lang w:eastAsia="en-GB"/>
        </w:rPr>
        <w:t>out</w:t>
      </w:r>
      <w:r w:rsidRPr="00DB7F92">
        <w:rPr>
          <w:spacing w:val="25"/>
          <w:lang w:eastAsia="en-GB"/>
        </w:rPr>
        <w:t xml:space="preserve"> </w:t>
      </w:r>
      <w:r w:rsidRPr="00DB7F92">
        <w:rPr>
          <w:lang w:eastAsia="en-GB"/>
        </w:rPr>
        <w:t>its</w:t>
      </w:r>
      <w:r w:rsidRPr="00DB7F92">
        <w:rPr>
          <w:spacing w:val="53"/>
          <w:lang w:eastAsia="en-GB"/>
        </w:rPr>
        <w:t xml:space="preserve"> </w:t>
      </w:r>
      <w:r w:rsidRPr="00DB7F92">
        <w:rPr>
          <w:lang w:eastAsia="en-GB"/>
        </w:rPr>
        <w:t>primary</w:t>
      </w:r>
      <w:r w:rsidRPr="00DB7F92">
        <w:rPr>
          <w:spacing w:val="-3"/>
          <w:lang w:eastAsia="en-GB"/>
        </w:rPr>
        <w:t xml:space="preserve"> </w:t>
      </w:r>
      <w:r w:rsidRPr="00DB7F92">
        <w:rPr>
          <w:lang w:eastAsia="en-GB"/>
        </w:rPr>
        <w:t>care</w:t>
      </w:r>
      <w:r w:rsidRPr="00DB7F92">
        <w:rPr>
          <w:spacing w:val="-3"/>
          <w:lang w:eastAsia="en-GB"/>
        </w:rPr>
        <w:t xml:space="preserve"> </w:t>
      </w:r>
      <w:r w:rsidRPr="00DB7F92">
        <w:rPr>
          <w:lang w:eastAsia="en-GB"/>
        </w:rPr>
        <w:t>functions.</w:t>
      </w:r>
      <w:r w:rsidRPr="00DB7F92">
        <w:rPr>
          <w:spacing w:val="65"/>
          <w:lang w:eastAsia="en-GB"/>
        </w:rPr>
        <w:t xml:space="preserve"> </w:t>
      </w:r>
      <w:r w:rsidRPr="00DB7F92">
        <w:rPr>
          <w:lang w:eastAsia="en-GB"/>
        </w:rPr>
        <w:t>(Pausing there,</w:t>
      </w:r>
      <w:r w:rsidRPr="00DB7F92">
        <w:rPr>
          <w:spacing w:val="-2"/>
          <w:lang w:eastAsia="en-GB"/>
        </w:rPr>
        <w:t xml:space="preserve"> </w:t>
      </w:r>
      <w:r w:rsidRPr="00DB7F92">
        <w:rPr>
          <w:lang w:eastAsia="en-GB"/>
        </w:rPr>
        <w:t>the</w:t>
      </w:r>
      <w:r w:rsidRPr="00DB7F92">
        <w:rPr>
          <w:spacing w:val="-4"/>
          <w:lang w:eastAsia="en-GB"/>
        </w:rPr>
        <w:t xml:space="preserve"> </w:t>
      </w:r>
      <w:r w:rsidRPr="00DB7F92">
        <w:rPr>
          <w:lang w:eastAsia="en-GB"/>
        </w:rPr>
        <w:t>duty</w:t>
      </w:r>
      <w:r w:rsidRPr="00DB7F92">
        <w:rPr>
          <w:spacing w:val="-2"/>
          <w:lang w:eastAsia="en-GB"/>
        </w:rPr>
        <w:t xml:space="preserve"> </w:t>
      </w:r>
      <w:r w:rsidRPr="00DB7F92">
        <w:rPr>
          <w:lang w:eastAsia="en-GB"/>
        </w:rPr>
        <w:t>will not</w:t>
      </w:r>
      <w:r w:rsidRPr="00DB7F92">
        <w:rPr>
          <w:spacing w:val="-2"/>
          <w:lang w:eastAsia="en-GB"/>
        </w:rPr>
        <w:t xml:space="preserve"> </w:t>
      </w:r>
      <w:r w:rsidRPr="00DB7F92">
        <w:rPr>
          <w:lang w:eastAsia="en-GB"/>
        </w:rPr>
        <w:t>normally</w:t>
      </w:r>
      <w:r w:rsidRPr="00DB7F92">
        <w:rPr>
          <w:spacing w:val="1"/>
          <w:lang w:eastAsia="en-GB"/>
        </w:rPr>
        <w:t xml:space="preserve"> </w:t>
      </w:r>
      <w:r w:rsidRPr="00DB7F92">
        <w:rPr>
          <w:lang w:eastAsia="en-GB"/>
        </w:rPr>
        <w:t>apply</w:t>
      </w:r>
      <w:r w:rsidRPr="00DB7F92">
        <w:rPr>
          <w:spacing w:val="-2"/>
          <w:lang w:eastAsia="en-GB"/>
        </w:rPr>
        <w:t xml:space="preserve"> </w:t>
      </w:r>
      <w:r w:rsidRPr="00DB7F92">
        <w:rPr>
          <w:lang w:eastAsia="en-GB"/>
        </w:rPr>
        <w:t>to</w:t>
      </w:r>
      <w:r w:rsidRPr="00DB7F92">
        <w:rPr>
          <w:spacing w:val="47"/>
          <w:lang w:eastAsia="en-GB"/>
        </w:rPr>
        <w:t xml:space="preserve"> </w:t>
      </w:r>
      <w:r w:rsidRPr="00DB7F92">
        <w:rPr>
          <w:lang w:eastAsia="en-GB"/>
        </w:rPr>
        <w:t>"private</w:t>
      </w:r>
      <w:r w:rsidRPr="00DB7F92">
        <w:rPr>
          <w:spacing w:val="30"/>
          <w:lang w:eastAsia="en-GB"/>
        </w:rPr>
        <w:t xml:space="preserve"> </w:t>
      </w:r>
      <w:r w:rsidRPr="00DB7F92">
        <w:rPr>
          <w:lang w:eastAsia="en-GB"/>
        </w:rPr>
        <w:t>law"</w:t>
      </w:r>
      <w:r w:rsidRPr="00DB7F92">
        <w:rPr>
          <w:spacing w:val="30"/>
          <w:lang w:eastAsia="en-GB"/>
        </w:rPr>
        <w:t xml:space="preserve"> </w:t>
      </w:r>
      <w:r w:rsidRPr="00DB7F92">
        <w:rPr>
          <w:lang w:eastAsia="en-GB"/>
        </w:rPr>
        <w:t>decisions</w:t>
      </w:r>
      <w:r w:rsidRPr="00DB7F92">
        <w:rPr>
          <w:spacing w:val="30"/>
          <w:lang w:eastAsia="en-GB"/>
        </w:rPr>
        <w:t xml:space="preserve"> </w:t>
      </w:r>
      <w:r w:rsidRPr="00DB7F92">
        <w:rPr>
          <w:lang w:eastAsia="en-GB"/>
        </w:rPr>
        <w:t>that</w:t>
      </w:r>
      <w:r w:rsidRPr="00DB7F92">
        <w:rPr>
          <w:spacing w:val="30"/>
          <w:lang w:eastAsia="en-GB"/>
        </w:rPr>
        <w:t xml:space="preserve"> </w:t>
      </w:r>
      <w:r w:rsidRPr="00DB7F92">
        <w:rPr>
          <w:lang w:eastAsia="en-GB"/>
        </w:rPr>
        <w:t>would</w:t>
      </w:r>
      <w:r w:rsidRPr="00DB7F92">
        <w:rPr>
          <w:spacing w:val="30"/>
          <w:lang w:eastAsia="en-GB"/>
        </w:rPr>
        <w:t xml:space="preserve"> </w:t>
      </w:r>
      <w:r w:rsidRPr="00DB7F92">
        <w:rPr>
          <w:lang w:eastAsia="en-GB"/>
        </w:rPr>
        <w:t>be</w:t>
      </w:r>
      <w:r w:rsidRPr="00DB7F92">
        <w:rPr>
          <w:spacing w:val="30"/>
          <w:lang w:eastAsia="en-GB"/>
        </w:rPr>
        <w:t xml:space="preserve"> </w:t>
      </w:r>
      <w:r w:rsidRPr="00DB7F92">
        <w:rPr>
          <w:lang w:eastAsia="en-GB"/>
        </w:rPr>
        <w:t>taken</w:t>
      </w:r>
      <w:r w:rsidRPr="00DB7F92">
        <w:rPr>
          <w:spacing w:val="30"/>
          <w:lang w:eastAsia="en-GB"/>
        </w:rPr>
        <w:t xml:space="preserve"> </w:t>
      </w:r>
      <w:r w:rsidRPr="00DB7F92">
        <w:rPr>
          <w:lang w:eastAsia="en-GB"/>
        </w:rPr>
        <w:t>by</w:t>
      </w:r>
      <w:r w:rsidRPr="00DB7F92">
        <w:rPr>
          <w:spacing w:val="29"/>
          <w:lang w:eastAsia="en-GB"/>
        </w:rPr>
        <w:t xml:space="preserve"> </w:t>
      </w:r>
      <w:r w:rsidRPr="00DB7F92">
        <w:rPr>
          <w:lang w:eastAsia="en-GB"/>
        </w:rPr>
        <w:t>any</w:t>
      </w:r>
      <w:r w:rsidRPr="00DB7F92">
        <w:rPr>
          <w:spacing w:val="32"/>
          <w:lang w:eastAsia="en-GB"/>
        </w:rPr>
        <w:t xml:space="preserve"> </w:t>
      </w:r>
      <w:r w:rsidRPr="00DB7F92">
        <w:rPr>
          <w:lang w:eastAsia="en-GB"/>
        </w:rPr>
        <w:t>private</w:t>
      </w:r>
      <w:r w:rsidRPr="00DB7F92">
        <w:rPr>
          <w:spacing w:val="29"/>
          <w:lang w:eastAsia="en-GB"/>
        </w:rPr>
        <w:t xml:space="preserve"> </w:t>
      </w:r>
      <w:r w:rsidRPr="00DB7F92">
        <w:rPr>
          <w:lang w:eastAsia="en-GB"/>
        </w:rPr>
        <w:t>sector</w:t>
      </w:r>
      <w:r w:rsidRPr="00DB7F92">
        <w:rPr>
          <w:spacing w:val="53"/>
          <w:w w:val="99"/>
          <w:lang w:eastAsia="en-GB"/>
        </w:rPr>
        <w:t xml:space="preserve"> </w:t>
      </w:r>
      <w:r w:rsidRPr="00DB7F92">
        <w:rPr>
          <w:lang w:eastAsia="en-GB"/>
        </w:rPr>
        <w:t>organisation</w:t>
      </w:r>
      <w:r w:rsidRPr="00DB7F92">
        <w:rPr>
          <w:spacing w:val="-4"/>
          <w:lang w:eastAsia="en-GB"/>
        </w:rPr>
        <w:t xml:space="preserve"> </w:t>
      </w:r>
      <w:r w:rsidRPr="00DB7F92">
        <w:rPr>
          <w:lang w:eastAsia="en-GB"/>
        </w:rPr>
        <w:t>–leasing</w:t>
      </w:r>
      <w:r w:rsidRPr="00DB7F92">
        <w:rPr>
          <w:spacing w:val="-5"/>
          <w:lang w:eastAsia="en-GB"/>
        </w:rPr>
        <w:t xml:space="preserve"> </w:t>
      </w:r>
      <w:r w:rsidRPr="00DB7F92">
        <w:rPr>
          <w:lang w:eastAsia="en-GB"/>
        </w:rPr>
        <w:t>estate</w:t>
      </w:r>
      <w:r w:rsidRPr="00DB7F92">
        <w:rPr>
          <w:spacing w:val="-6"/>
          <w:lang w:eastAsia="en-GB"/>
        </w:rPr>
        <w:t xml:space="preserve"> </w:t>
      </w:r>
      <w:r w:rsidRPr="00DB7F92">
        <w:rPr>
          <w:lang w:eastAsia="en-GB"/>
        </w:rPr>
        <w:t>etc.)</w:t>
      </w:r>
    </w:p>
    <w:p w14:paraId="587FD4EA" w14:textId="77777777" w:rsidR="00DB7F92" w:rsidRPr="00DB7F92" w:rsidRDefault="00DB7F92" w:rsidP="00DD5D2D">
      <w:pPr>
        <w:pStyle w:val="Heading3"/>
        <w:jc w:val="both"/>
        <w:rPr>
          <w:lang w:eastAsia="en-GB"/>
        </w:rPr>
      </w:pPr>
      <w:r w:rsidRPr="00DB7F92">
        <w:rPr>
          <w:lang w:eastAsia="en-GB"/>
        </w:rPr>
        <w:t>The</w:t>
      </w:r>
      <w:r w:rsidRPr="00DB7F92">
        <w:rPr>
          <w:spacing w:val="28"/>
          <w:lang w:eastAsia="en-GB"/>
        </w:rPr>
        <w:t xml:space="preserve"> </w:t>
      </w:r>
      <w:r w:rsidRPr="00DB7F92">
        <w:rPr>
          <w:lang w:eastAsia="en-GB"/>
        </w:rPr>
        <w:t>PSED</w:t>
      </w:r>
      <w:r w:rsidRPr="00DB7F92">
        <w:rPr>
          <w:spacing w:val="29"/>
          <w:lang w:eastAsia="en-GB"/>
        </w:rPr>
        <w:t xml:space="preserve"> </w:t>
      </w:r>
      <w:r w:rsidRPr="00DB7F92">
        <w:rPr>
          <w:lang w:eastAsia="en-GB"/>
        </w:rPr>
        <w:t>cases</w:t>
      </w:r>
      <w:r w:rsidRPr="00DB7F92">
        <w:rPr>
          <w:spacing w:val="30"/>
          <w:lang w:eastAsia="en-GB"/>
        </w:rPr>
        <w:t xml:space="preserve"> </w:t>
      </w:r>
      <w:r w:rsidRPr="00DB7F92">
        <w:rPr>
          <w:lang w:eastAsia="en-GB"/>
        </w:rPr>
        <w:t>are</w:t>
      </w:r>
      <w:r w:rsidRPr="00DB7F92">
        <w:rPr>
          <w:spacing w:val="28"/>
          <w:lang w:eastAsia="en-GB"/>
        </w:rPr>
        <w:t xml:space="preserve"> </w:t>
      </w:r>
      <w:r w:rsidRPr="00DB7F92">
        <w:rPr>
          <w:lang w:eastAsia="en-GB"/>
        </w:rPr>
        <w:t>the</w:t>
      </w:r>
      <w:r w:rsidRPr="00DB7F92">
        <w:rPr>
          <w:spacing w:val="28"/>
          <w:lang w:eastAsia="en-GB"/>
        </w:rPr>
        <w:t xml:space="preserve"> </w:t>
      </w:r>
      <w:r w:rsidRPr="00DB7F92">
        <w:rPr>
          <w:lang w:eastAsia="en-GB"/>
        </w:rPr>
        <w:t>best</w:t>
      </w:r>
      <w:r w:rsidRPr="00DB7F92">
        <w:rPr>
          <w:spacing w:val="30"/>
          <w:lang w:eastAsia="en-GB"/>
        </w:rPr>
        <w:t xml:space="preserve"> </w:t>
      </w:r>
      <w:r w:rsidRPr="00DB7F92">
        <w:rPr>
          <w:lang w:eastAsia="en-GB"/>
        </w:rPr>
        <w:t>guide</w:t>
      </w:r>
      <w:r w:rsidRPr="00DB7F92">
        <w:rPr>
          <w:spacing w:val="28"/>
          <w:lang w:eastAsia="en-GB"/>
        </w:rPr>
        <w:t xml:space="preserve"> </w:t>
      </w:r>
      <w:r w:rsidRPr="00DB7F92">
        <w:rPr>
          <w:lang w:eastAsia="en-GB"/>
        </w:rPr>
        <w:t>that</w:t>
      </w:r>
      <w:r w:rsidRPr="00DB7F92">
        <w:rPr>
          <w:spacing w:val="30"/>
          <w:lang w:eastAsia="en-GB"/>
        </w:rPr>
        <w:t xml:space="preserve"> </w:t>
      </w:r>
      <w:r w:rsidRPr="00DB7F92">
        <w:rPr>
          <w:lang w:eastAsia="en-GB"/>
        </w:rPr>
        <w:t>we</w:t>
      </w:r>
      <w:r w:rsidRPr="00DB7F92">
        <w:rPr>
          <w:spacing w:val="28"/>
          <w:lang w:eastAsia="en-GB"/>
        </w:rPr>
        <w:t xml:space="preserve"> </w:t>
      </w:r>
      <w:r w:rsidRPr="00DB7F92">
        <w:rPr>
          <w:lang w:eastAsia="en-GB"/>
        </w:rPr>
        <w:t>have</w:t>
      </w:r>
      <w:r w:rsidRPr="00DB7F92">
        <w:rPr>
          <w:spacing w:val="28"/>
          <w:lang w:eastAsia="en-GB"/>
        </w:rPr>
        <w:t xml:space="preserve"> </w:t>
      </w:r>
      <w:r w:rsidRPr="00DB7F92">
        <w:rPr>
          <w:lang w:eastAsia="en-GB"/>
        </w:rPr>
        <w:t>to</w:t>
      </w:r>
      <w:r w:rsidRPr="00DB7F92">
        <w:rPr>
          <w:spacing w:val="28"/>
          <w:lang w:eastAsia="en-GB"/>
        </w:rPr>
        <w:t xml:space="preserve"> </w:t>
      </w:r>
      <w:r w:rsidRPr="00DB7F92">
        <w:rPr>
          <w:lang w:eastAsia="en-GB"/>
        </w:rPr>
        <w:t>how</w:t>
      </w:r>
      <w:r w:rsidRPr="00DB7F92">
        <w:rPr>
          <w:spacing w:val="29"/>
          <w:lang w:eastAsia="en-GB"/>
        </w:rPr>
        <w:t xml:space="preserve"> </w:t>
      </w:r>
      <w:r w:rsidRPr="00DB7F92">
        <w:rPr>
          <w:lang w:eastAsia="en-GB"/>
        </w:rPr>
        <w:t>a</w:t>
      </w:r>
      <w:r w:rsidRPr="00DB7F92">
        <w:rPr>
          <w:spacing w:val="29"/>
          <w:lang w:eastAsia="en-GB"/>
        </w:rPr>
        <w:t xml:space="preserve"> </w:t>
      </w:r>
      <w:r w:rsidRPr="00DB7F92">
        <w:rPr>
          <w:lang w:eastAsia="en-GB"/>
        </w:rPr>
        <w:t>court</w:t>
      </w:r>
      <w:r w:rsidRPr="00DB7F92">
        <w:rPr>
          <w:spacing w:val="30"/>
          <w:lang w:eastAsia="en-GB"/>
        </w:rPr>
        <w:t xml:space="preserve"> </w:t>
      </w:r>
      <w:r w:rsidRPr="00DB7F92">
        <w:rPr>
          <w:spacing w:val="-2"/>
          <w:lang w:eastAsia="en-GB"/>
        </w:rPr>
        <w:t>would</w:t>
      </w:r>
      <w:r w:rsidRPr="00DB7F92">
        <w:rPr>
          <w:spacing w:val="46"/>
          <w:w w:val="99"/>
          <w:lang w:eastAsia="en-GB"/>
        </w:rPr>
        <w:t xml:space="preserve"> </w:t>
      </w:r>
      <w:r w:rsidRPr="00DB7F92">
        <w:rPr>
          <w:lang w:eastAsia="en-GB"/>
        </w:rPr>
        <w:t>interpret</w:t>
      </w:r>
      <w:r w:rsidRPr="00DB7F92">
        <w:rPr>
          <w:spacing w:val="-6"/>
          <w:lang w:eastAsia="en-GB"/>
        </w:rPr>
        <w:t xml:space="preserve"> </w:t>
      </w:r>
      <w:r w:rsidRPr="00DB7F92">
        <w:rPr>
          <w:lang w:eastAsia="en-GB"/>
        </w:rPr>
        <w:t>a commissioner's</w:t>
      </w:r>
      <w:r w:rsidRPr="00DB7F92">
        <w:rPr>
          <w:spacing w:val="-5"/>
          <w:lang w:eastAsia="en-GB"/>
        </w:rPr>
        <w:t xml:space="preserve"> </w:t>
      </w:r>
      <w:r w:rsidRPr="00DB7F92">
        <w:rPr>
          <w:lang w:eastAsia="en-GB"/>
        </w:rPr>
        <w:t>Regard</w:t>
      </w:r>
      <w:r w:rsidRPr="00DB7F92">
        <w:rPr>
          <w:spacing w:val="-6"/>
          <w:lang w:eastAsia="en-GB"/>
        </w:rPr>
        <w:t xml:space="preserve"> </w:t>
      </w:r>
      <w:r w:rsidRPr="00DB7F92">
        <w:rPr>
          <w:lang w:eastAsia="en-GB"/>
        </w:rPr>
        <w:t>Duties under the NHS Act 2006.</w:t>
      </w:r>
      <w:r w:rsidRPr="00DB7F92">
        <w:rPr>
          <w:spacing w:val="55"/>
          <w:lang w:eastAsia="en-GB"/>
        </w:rPr>
        <w:t xml:space="preserve"> </w:t>
      </w:r>
      <w:r w:rsidRPr="00DB7F92">
        <w:rPr>
          <w:lang w:eastAsia="en-GB"/>
        </w:rPr>
        <w:t>We</w:t>
      </w:r>
      <w:r w:rsidRPr="00DB7F92">
        <w:rPr>
          <w:spacing w:val="-4"/>
          <w:lang w:eastAsia="en-GB"/>
        </w:rPr>
        <w:t xml:space="preserve"> </w:t>
      </w:r>
      <w:r w:rsidRPr="00DB7F92">
        <w:rPr>
          <w:lang w:eastAsia="en-GB"/>
        </w:rPr>
        <w:t>can</w:t>
      </w:r>
      <w:r w:rsidRPr="00DB7F92">
        <w:rPr>
          <w:spacing w:val="-6"/>
          <w:lang w:eastAsia="en-GB"/>
        </w:rPr>
        <w:t xml:space="preserve"> </w:t>
      </w:r>
      <w:r w:rsidRPr="00DB7F92">
        <w:rPr>
          <w:lang w:eastAsia="en-GB"/>
        </w:rPr>
        <w:t>learn</w:t>
      </w:r>
      <w:r w:rsidRPr="00DB7F92">
        <w:rPr>
          <w:spacing w:val="-3"/>
          <w:lang w:eastAsia="en-GB"/>
        </w:rPr>
        <w:t xml:space="preserve"> </w:t>
      </w:r>
      <w:r w:rsidRPr="00DB7F92">
        <w:rPr>
          <w:lang w:eastAsia="en-GB"/>
        </w:rPr>
        <w:t>from</w:t>
      </w:r>
      <w:r w:rsidRPr="00DB7F92">
        <w:rPr>
          <w:spacing w:val="-3"/>
          <w:lang w:eastAsia="en-GB"/>
        </w:rPr>
        <w:t xml:space="preserve"> </w:t>
      </w:r>
      <w:r w:rsidRPr="00DB7F92">
        <w:rPr>
          <w:lang w:eastAsia="en-GB"/>
        </w:rPr>
        <w:t>these</w:t>
      </w:r>
      <w:r w:rsidRPr="00DB7F92">
        <w:rPr>
          <w:spacing w:val="-6"/>
          <w:lang w:eastAsia="en-GB"/>
        </w:rPr>
        <w:t xml:space="preserve"> </w:t>
      </w:r>
      <w:r w:rsidRPr="00DB7F92">
        <w:rPr>
          <w:lang w:eastAsia="en-GB"/>
        </w:rPr>
        <w:t>that:</w:t>
      </w:r>
    </w:p>
    <w:p w14:paraId="3B17FE35" w14:textId="77777777" w:rsidR="00DB7F92" w:rsidRPr="00C84421" w:rsidRDefault="00DB7F92" w:rsidP="005A7DDA">
      <w:pPr>
        <w:pStyle w:val="ListParagraph"/>
        <w:widowControl w:val="0"/>
        <w:numPr>
          <w:ilvl w:val="0"/>
          <w:numId w:val="93"/>
        </w:numPr>
        <w:tabs>
          <w:tab w:val="left" w:pos="2528"/>
        </w:tabs>
        <w:spacing w:before="120" w:after="120" w:line="360" w:lineRule="auto"/>
        <w:ind w:left="714" w:right="116" w:hanging="357"/>
        <w:jc w:val="both"/>
        <w:rPr>
          <w:rFonts w:cs="Arial"/>
          <w:bCs w:val="0"/>
          <w:spacing w:val="-1"/>
          <w:szCs w:val="24"/>
          <w:lang w:eastAsia="en-GB"/>
        </w:rPr>
      </w:pPr>
      <w:r w:rsidRPr="00C84421">
        <w:rPr>
          <w:rFonts w:cs="Arial"/>
          <w:bCs w:val="0"/>
          <w:spacing w:val="-1"/>
          <w:szCs w:val="24"/>
          <w:lang w:eastAsia="en-GB"/>
        </w:rPr>
        <w:t>Commissioners who have to take decisions must be made aware of their duty to have regard to the various issues outlined in the duties. Failure to do so will render the decision unlawful.</w:t>
      </w:r>
    </w:p>
    <w:p w14:paraId="228011FF" w14:textId="77777777" w:rsidR="00DB7F92" w:rsidRPr="00C84421" w:rsidRDefault="00DB7F92" w:rsidP="005A7DDA">
      <w:pPr>
        <w:pStyle w:val="ListParagraph"/>
        <w:widowControl w:val="0"/>
        <w:numPr>
          <w:ilvl w:val="0"/>
          <w:numId w:val="93"/>
        </w:numPr>
        <w:tabs>
          <w:tab w:val="left" w:pos="2528"/>
        </w:tabs>
        <w:spacing w:before="120" w:after="120" w:line="360" w:lineRule="auto"/>
        <w:ind w:left="714" w:right="116" w:hanging="357"/>
        <w:jc w:val="both"/>
        <w:rPr>
          <w:rFonts w:cs="Arial"/>
          <w:bCs w:val="0"/>
          <w:spacing w:val="-1"/>
          <w:szCs w:val="24"/>
          <w:lang w:eastAsia="en-GB"/>
        </w:rPr>
      </w:pPr>
      <w:r w:rsidRPr="00C84421">
        <w:rPr>
          <w:rFonts w:cs="Arial"/>
          <w:bCs w:val="0"/>
          <w:spacing w:val="-1"/>
          <w:szCs w:val="24"/>
          <w:lang w:eastAsia="en-GB"/>
        </w:rPr>
        <w:t>The Regard Duties must be fulfilled before and at the time that a particular decision is being considered. If they are not, any attempts to retrospectively justify a decision as consistent with the Regard Duties will not be enough to discharge them.</w:t>
      </w:r>
    </w:p>
    <w:p w14:paraId="263F15D7" w14:textId="77777777" w:rsidR="00DB7F92" w:rsidRPr="00C84421" w:rsidRDefault="00DB7F92" w:rsidP="005A7DDA">
      <w:pPr>
        <w:pStyle w:val="ListParagraph"/>
        <w:widowControl w:val="0"/>
        <w:numPr>
          <w:ilvl w:val="0"/>
          <w:numId w:val="93"/>
        </w:numPr>
        <w:tabs>
          <w:tab w:val="left" w:pos="2528"/>
        </w:tabs>
        <w:spacing w:before="120" w:after="120" w:line="360" w:lineRule="auto"/>
        <w:ind w:left="714" w:right="116" w:hanging="357"/>
        <w:jc w:val="both"/>
        <w:rPr>
          <w:rFonts w:cs="Arial"/>
          <w:bCs w:val="0"/>
          <w:spacing w:val="-1"/>
          <w:szCs w:val="24"/>
          <w:lang w:eastAsia="en-GB"/>
        </w:rPr>
      </w:pPr>
      <w:r w:rsidRPr="00C84421">
        <w:rPr>
          <w:rFonts w:cs="Arial"/>
          <w:bCs w:val="0"/>
          <w:spacing w:val="-1"/>
          <w:szCs w:val="24"/>
          <w:lang w:eastAsia="en-GB"/>
        </w:rPr>
        <w:t>Commissioners need to engage with the Regard Duties with rigour and with an open mind.</w:t>
      </w:r>
    </w:p>
    <w:p w14:paraId="5D35A767" w14:textId="77777777" w:rsidR="00DB7F92" w:rsidRPr="00C84421" w:rsidRDefault="00DB7F92" w:rsidP="005A7DDA">
      <w:pPr>
        <w:pStyle w:val="ListParagraph"/>
        <w:widowControl w:val="0"/>
        <w:numPr>
          <w:ilvl w:val="0"/>
          <w:numId w:val="93"/>
        </w:numPr>
        <w:tabs>
          <w:tab w:val="left" w:pos="2528"/>
        </w:tabs>
        <w:spacing w:before="120" w:after="120" w:line="360" w:lineRule="auto"/>
        <w:ind w:left="714" w:right="116" w:hanging="357"/>
        <w:jc w:val="both"/>
        <w:rPr>
          <w:rFonts w:cs="Arial"/>
          <w:bCs w:val="0"/>
          <w:spacing w:val="-1"/>
          <w:szCs w:val="24"/>
          <w:lang w:eastAsia="en-GB"/>
        </w:rPr>
      </w:pPr>
      <w:r w:rsidRPr="00C84421">
        <w:rPr>
          <w:rFonts w:cs="Arial"/>
          <w:bCs w:val="0"/>
          <w:spacing w:val="-1"/>
          <w:szCs w:val="24"/>
          <w:lang w:eastAsia="en-GB"/>
        </w:rPr>
        <w:t>It is good practice for the decision maker to make reference to the Regard Duties.</w:t>
      </w:r>
    </w:p>
    <w:p w14:paraId="104D03B9" w14:textId="77777777" w:rsidR="00DB7F92" w:rsidRPr="00C84421" w:rsidRDefault="00DB7F92" w:rsidP="005A7DDA">
      <w:pPr>
        <w:pStyle w:val="ListParagraph"/>
        <w:widowControl w:val="0"/>
        <w:numPr>
          <w:ilvl w:val="0"/>
          <w:numId w:val="93"/>
        </w:numPr>
        <w:tabs>
          <w:tab w:val="left" w:pos="2528"/>
        </w:tabs>
        <w:spacing w:before="120" w:after="120" w:line="360" w:lineRule="auto"/>
        <w:ind w:left="714" w:right="116" w:hanging="357"/>
        <w:jc w:val="both"/>
        <w:rPr>
          <w:rFonts w:cs="Arial"/>
          <w:bCs w:val="0"/>
          <w:spacing w:val="-1"/>
          <w:szCs w:val="24"/>
          <w:lang w:eastAsia="en-GB"/>
        </w:rPr>
      </w:pPr>
      <w:r w:rsidRPr="00C84421">
        <w:rPr>
          <w:rFonts w:cs="Arial"/>
          <w:bCs w:val="0"/>
          <w:spacing w:val="-1"/>
          <w:szCs w:val="24"/>
          <w:lang w:eastAsia="en-GB"/>
        </w:rPr>
        <w:t xml:space="preserve">It is not possible for the commissioner to delegate the duties down to another </w:t>
      </w:r>
      <w:r w:rsidRPr="00C84421">
        <w:rPr>
          <w:rFonts w:cs="Arial"/>
          <w:bCs w:val="0"/>
          <w:spacing w:val="-1"/>
          <w:szCs w:val="24"/>
          <w:lang w:eastAsia="en-GB"/>
        </w:rPr>
        <w:lastRenderedPageBreak/>
        <w:t>organisation to comply with. This applies in respect of NHS England delegated co-commissioning arrangements for primary care services (see above). NHS England will always have to comply with its duties under the NHS Act 2006, even if a CCG is carrying out commissioning on its behalf.  However, it is a requirement of the delegation agreement that CCGs act in such a way that enables NHS England to comply with its duties. If a commissioner acts through contractors it must ensure as necessary that they act consistently with the duties.</w:t>
      </w:r>
    </w:p>
    <w:p w14:paraId="75948B2C" w14:textId="77777777" w:rsidR="00DB7F92" w:rsidRPr="00C84421" w:rsidRDefault="00DB7F92" w:rsidP="005A7DDA">
      <w:pPr>
        <w:pStyle w:val="ListParagraph"/>
        <w:widowControl w:val="0"/>
        <w:numPr>
          <w:ilvl w:val="0"/>
          <w:numId w:val="93"/>
        </w:numPr>
        <w:tabs>
          <w:tab w:val="left" w:pos="2528"/>
        </w:tabs>
        <w:spacing w:before="120" w:after="120" w:line="360" w:lineRule="auto"/>
        <w:ind w:left="714" w:right="116" w:hanging="357"/>
        <w:jc w:val="both"/>
        <w:rPr>
          <w:rFonts w:cs="Arial"/>
          <w:bCs w:val="0"/>
          <w:spacing w:val="-1"/>
          <w:szCs w:val="24"/>
          <w:lang w:eastAsia="en-GB"/>
        </w:rPr>
      </w:pPr>
      <w:r w:rsidRPr="00C84421">
        <w:rPr>
          <w:rFonts w:cs="Arial"/>
          <w:bCs w:val="0"/>
          <w:spacing w:val="-1"/>
          <w:szCs w:val="24"/>
          <w:lang w:eastAsia="en-GB"/>
        </w:rPr>
        <w:t>The Regard Duties are continuing ones that apply throughout decision-making. It is not enough to only "rubber stamp" a decision by reference to the Regard Duties at the end of a decision-making process. The Regard Duties need to be borne in mind throughout.</w:t>
      </w:r>
    </w:p>
    <w:p w14:paraId="5EAC1550" w14:textId="77777777" w:rsidR="00DB7F92" w:rsidRPr="00C84421" w:rsidRDefault="00DB7F92" w:rsidP="005A7DDA">
      <w:pPr>
        <w:pStyle w:val="ListParagraph"/>
        <w:widowControl w:val="0"/>
        <w:numPr>
          <w:ilvl w:val="0"/>
          <w:numId w:val="93"/>
        </w:numPr>
        <w:tabs>
          <w:tab w:val="left" w:pos="2528"/>
        </w:tabs>
        <w:spacing w:before="120" w:after="120" w:line="360" w:lineRule="auto"/>
        <w:ind w:left="714" w:right="116" w:hanging="357"/>
        <w:jc w:val="both"/>
        <w:rPr>
          <w:rFonts w:cs="Arial"/>
          <w:bCs w:val="0"/>
          <w:spacing w:val="-1"/>
          <w:szCs w:val="24"/>
          <w:lang w:eastAsia="en-GB"/>
        </w:rPr>
      </w:pPr>
      <w:r w:rsidRPr="00C84421">
        <w:rPr>
          <w:rFonts w:cs="Arial"/>
          <w:bCs w:val="0"/>
          <w:spacing w:val="-1"/>
          <w:szCs w:val="24"/>
          <w:lang w:eastAsia="en-GB"/>
        </w:rPr>
        <w:t>It is crucial to keep an adequate record of how the Regard Duties are considered. If records are not kept it will make it more difficult, evidentially, for the commissioner to persuade a court that the duties imposed have been fulfilled.</w:t>
      </w:r>
    </w:p>
    <w:p w14:paraId="0ABA817F" w14:textId="77777777" w:rsidR="00DB7F92" w:rsidRPr="00DB7F92" w:rsidRDefault="00DB7F92" w:rsidP="00DD5D2D">
      <w:pPr>
        <w:pStyle w:val="Heading3"/>
        <w:jc w:val="both"/>
        <w:rPr>
          <w:lang w:eastAsia="en-GB"/>
        </w:rPr>
      </w:pPr>
      <w:r w:rsidRPr="00DB7F92">
        <w:rPr>
          <w:lang w:eastAsia="en-GB"/>
        </w:rPr>
        <w:t>One</w:t>
      </w:r>
      <w:r w:rsidRPr="00DB7F92">
        <w:rPr>
          <w:spacing w:val="11"/>
          <w:lang w:eastAsia="en-GB"/>
        </w:rPr>
        <w:t xml:space="preserve"> </w:t>
      </w:r>
      <w:r w:rsidRPr="00DB7F92">
        <w:rPr>
          <w:lang w:eastAsia="en-GB"/>
        </w:rPr>
        <w:t>key</w:t>
      </w:r>
      <w:r w:rsidRPr="00DB7F92">
        <w:rPr>
          <w:spacing w:val="13"/>
          <w:lang w:eastAsia="en-GB"/>
        </w:rPr>
        <w:t xml:space="preserve"> </w:t>
      </w:r>
      <w:r w:rsidRPr="00DB7F92">
        <w:rPr>
          <w:lang w:eastAsia="en-GB"/>
        </w:rPr>
        <w:t>point</w:t>
      </w:r>
      <w:r w:rsidRPr="00DB7F92">
        <w:rPr>
          <w:spacing w:val="13"/>
          <w:lang w:eastAsia="en-GB"/>
        </w:rPr>
        <w:t xml:space="preserve"> </w:t>
      </w:r>
      <w:r w:rsidRPr="00DB7F92">
        <w:rPr>
          <w:lang w:eastAsia="en-GB"/>
        </w:rPr>
        <w:t>to</w:t>
      </w:r>
      <w:r w:rsidRPr="00DB7F92">
        <w:rPr>
          <w:spacing w:val="12"/>
          <w:lang w:eastAsia="en-GB"/>
        </w:rPr>
        <w:t xml:space="preserve"> </w:t>
      </w:r>
      <w:r w:rsidRPr="00DB7F92">
        <w:rPr>
          <w:lang w:eastAsia="en-GB"/>
        </w:rPr>
        <w:t>understand</w:t>
      </w:r>
      <w:r w:rsidRPr="00DB7F92">
        <w:rPr>
          <w:spacing w:val="11"/>
          <w:lang w:eastAsia="en-GB"/>
        </w:rPr>
        <w:t xml:space="preserve"> </w:t>
      </w:r>
      <w:r w:rsidRPr="00DB7F92">
        <w:rPr>
          <w:lang w:eastAsia="en-GB"/>
        </w:rPr>
        <w:t>is</w:t>
      </w:r>
      <w:r w:rsidRPr="00DB7F92">
        <w:rPr>
          <w:spacing w:val="13"/>
          <w:lang w:eastAsia="en-GB"/>
        </w:rPr>
        <w:t xml:space="preserve"> </w:t>
      </w:r>
      <w:r w:rsidRPr="00DB7F92">
        <w:rPr>
          <w:lang w:eastAsia="en-GB"/>
        </w:rPr>
        <w:t>that</w:t>
      </w:r>
      <w:r w:rsidRPr="00DB7F92">
        <w:rPr>
          <w:spacing w:val="11"/>
          <w:lang w:eastAsia="en-GB"/>
        </w:rPr>
        <w:t xml:space="preserve"> </w:t>
      </w:r>
      <w:r w:rsidRPr="00DB7F92">
        <w:rPr>
          <w:lang w:eastAsia="en-GB"/>
        </w:rPr>
        <w:t>there</w:t>
      </w:r>
      <w:r w:rsidRPr="00DB7F92">
        <w:rPr>
          <w:spacing w:val="11"/>
          <w:lang w:eastAsia="en-GB"/>
        </w:rPr>
        <w:t xml:space="preserve"> </w:t>
      </w:r>
      <w:r w:rsidRPr="00DB7F92">
        <w:rPr>
          <w:lang w:eastAsia="en-GB"/>
        </w:rPr>
        <w:t>is</w:t>
      </w:r>
      <w:r w:rsidRPr="00DB7F92">
        <w:rPr>
          <w:spacing w:val="13"/>
          <w:lang w:eastAsia="en-GB"/>
        </w:rPr>
        <w:t xml:space="preserve"> </w:t>
      </w:r>
      <w:r w:rsidRPr="00DB7F92">
        <w:rPr>
          <w:spacing w:val="-2"/>
          <w:lang w:eastAsia="en-GB"/>
        </w:rPr>
        <w:t>no</w:t>
      </w:r>
      <w:r w:rsidRPr="00DB7F92">
        <w:rPr>
          <w:spacing w:val="12"/>
          <w:lang w:eastAsia="en-GB"/>
        </w:rPr>
        <w:t xml:space="preserve"> </w:t>
      </w:r>
      <w:r w:rsidRPr="00DB7F92">
        <w:rPr>
          <w:lang w:eastAsia="en-GB"/>
        </w:rPr>
        <w:t>obligation</w:t>
      </w:r>
      <w:r w:rsidRPr="00DB7F92">
        <w:rPr>
          <w:spacing w:val="12"/>
          <w:lang w:eastAsia="en-GB"/>
        </w:rPr>
        <w:t xml:space="preserve"> </w:t>
      </w:r>
      <w:r w:rsidRPr="00DB7F92">
        <w:rPr>
          <w:lang w:eastAsia="en-GB"/>
        </w:rPr>
        <w:t>to</w:t>
      </w:r>
      <w:r w:rsidRPr="00DB7F92">
        <w:rPr>
          <w:spacing w:val="12"/>
          <w:lang w:eastAsia="en-GB"/>
        </w:rPr>
        <w:t xml:space="preserve"> </w:t>
      </w:r>
      <w:r w:rsidRPr="00DB7F92">
        <w:rPr>
          <w:lang w:eastAsia="en-GB"/>
        </w:rPr>
        <w:t>achieve</w:t>
      </w:r>
      <w:r w:rsidRPr="00DB7F92">
        <w:rPr>
          <w:spacing w:val="14"/>
          <w:lang w:eastAsia="en-GB"/>
        </w:rPr>
        <w:t xml:space="preserve"> </w:t>
      </w:r>
      <w:r w:rsidRPr="00DB7F92">
        <w:rPr>
          <w:lang w:eastAsia="en-GB"/>
        </w:rPr>
        <w:t>the</w:t>
      </w:r>
      <w:r w:rsidRPr="00DB7F92">
        <w:rPr>
          <w:spacing w:val="61"/>
          <w:w w:val="99"/>
          <w:lang w:eastAsia="en-GB"/>
        </w:rPr>
        <w:t xml:space="preserve"> </w:t>
      </w:r>
      <w:r w:rsidRPr="00DB7F92">
        <w:rPr>
          <w:lang w:eastAsia="en-GB"/>
        </w:rPr>
        <w:t>object</w:t>
      </w:r>
      <w:r w:rsidRPr="00DB7F92">
        <w:rPr>
          <w:spacing w:val="12"/>
          <w:lang w:eastAsia="en-GB"/>
        </w:rPr>
        <w:t xml:space="preserve"> </w:t>
      </w:r>
      <w:r w:rsidRPr="00DB7F92">
        <w:rPr>
          <w:lang w:eastAsia="en-GB"/>
        </w:rPr>
        <w:t>of</w:t>
      </w:r>
      <w:r w:rsidRPr="00DB7F92">
        <w:rPr>
          <w:spacing w:val="11"/>
          <w:lang w:eastAsia="en-GB"/>
        </w:rPr>
        <w:t xml:space="preserve"> </w:t>
      </w:r>
      <w:r w:rsidRPr="00DB7F92">
        <w:rPr>
          <w:lang w:eastAsia="en-GB"/>
        </w:rPr>
        <w:t>the</w:t>
      </w:r>
      <w:r w:rsidRPr="00DB7F92">
        <w:rPr>
          <w:spacing w:val="14"/>
          <w:lang w:eastAsia="en-GB"/>
        </w:rPr>
        <w:t xml:space="preserve"> </w:t>
      </w:r>
      <w:r w:rsidRPr="00DB7F92">
        <w:rPr>
          <w:lang w:eastAsia="en-GB"/>
        </w:rPr>
        <w:t>Regard</w:t>
      </w:r>
      <w:r w:rsidRPr="00DB7F92">
        <w:rPr>
          <w:spacing w:val="11"/>
          <w:lang w:eastAsia="en-GB"/>
        </w:rPr>
        <w:t xml:space="preserve"> </w:t>
      </w:r>
      <w:r w:rsidRPr="00DB7F92">
        <w:rPr>
          <w:lang w:eastAsia="en-GB"/>
        </w:rPr>
        <w:t>Duties</w:t>
      </w:r>
      <w:r w:rsidRPr="00DB7F92">
        <w:rPr>
          <w:spacing w:val="13"/>
          <w:lang w:eastAsia="en-GB"/>
        </w:rPr>
        <w:t xml:space="preserve"> </w:t>
      </w:r>
      <w:r w:rsidRPr="00DB7F92">
        <w:rPr>
          <w:lang w:eastAsia="en-GB"/>
        </w:rPr>
        <w:t>e.g.</w:t>
      </w:r>
      <w:r w:rsidRPr="00DB7F92">
        <w:rPr>
          <w:spacing w:val="15"/>
          <w:lang w:eastAsia="en-GB"/>
        </w:rPr>
        <w:t xml:space="preserve"> </w:t>
      </w:r>
      <w:r w:rsidRPr="00DB7F92">
        <w:rPr>
          <w:lang w:eastAsia="en-GB"/>
        </w:rPr>
        <w:t>it</w:t>
      </w:r>
      <w:r w:rsidRPr="00DB7F92">
        <w:rPr>
          <w:spacing w:val="15"/>
          <w:lang w:eastAsia="en-GB"/>
        </w:rPr>
        <w:t xml:space="preserve"> </w:t>
      </w:r>
      <w:r w:rsidRPr="00DB7F92">
        <w:rPr>
          <w:lang w:eastAsia="en-GB"/>
        </w:rPr>
        <w:t>is</w:t>
      </w:r>
      <w:r w:rsidRPr="00DB7F92">
        <w:rPr>
          <w:spacing w:val="12"/>
          <w:lang w:eastAsia="en-GB"/>
        </w:rPr>
        <w:t xml:space="preserve"> </w:t>
      </w:r>
      <w:r w:rsidRPr="00DB7F92">
        <w:rPr>
          <w:lang w:eastAsia="en-GB"/>
        </w:rPr>
        <w:t>not</w:t>
      </w:r>
      <w:r w:rsidRPr="00DB7F92">
        <w:rPr>
          <w:spacing w:val="15"/>
          <w:lang w:eastAsia="en-GB"/>
        </w:rPr>
        <w:t xml:space="preserve"> </w:t>
      </w:r>
      <w:r w:rsidRPr="00DB7F92">
        <w:rPr>
          <w:lang w:eastAsia="en-GB"/>
        </w:rPr>
        <w:t>unlawful</w:t>
      </w:r>
      <w:r w:rsidRPr="00DB7F92">
        <w:rPr>
          <w:spacing w:val="11"/>
          <w:lang w:eastAsia="en-GB"/>
        </w:rPr>
        <w:t xml:space="preserve"> </w:t>
      </w:r>
      <w:r w:rsidRPr="00DB7F92">
        <w:rPr>
          <w:lang w:eastAsia="en-GB"/>
        </w:rPr>
        <w:t>not</w:t>
      </w:r>
      <w:r w:rsidRPr="00DB7F92">
        <w:rPr>
          <w:spacing w:val="13"/>
          <w:lang w:eastAsia="en-GB"/>
        </w:rPr>
        <w:t xml:space="preserve"> </w:t>
      </w:r>
      <w:r w:rsidRPr="00DB7F92">
        <w:rPr>
          <w:lang w:eastAsia="en-GB"/>
        </w:rPr>
        <w:t>to</w:t>
      </w:r>
      <w:r w:rsidRPr="00DB7F92">
        <w:rPr>
          <w:spacing w:val="14"/>
          <w:lang w:eastAsia="en-GB"/>
        </w:rPr>
        <w:t xml:space="preserve"> </w:t>
      </w:r>
      <w:r w:rsidRPr="00DB7F92">
        <w:rPr>
          <w:lang w:eastAsia="en-GB"/>
        </w:rPr>
        <w:t>eliminate</w:t>
      </w:r>
      <w:r w:rsidRPr="00DB7F92">
        <w:rPr>
          <w:spacing w:val="14"/>
          <w:lang w:eastAsia="en-GB"/>
        </w:rPr>
        <w:t xml:space="preserve"> </w:t>
      </w:r>
      <w:r w:rsidRPr="00DB7F92">
        <w:rPr>
          <w:lang w:eastAsia="en-GB"/>
        </w:rPr>
        <w:t>health</w:t>
      </w:r>
      <w:r w:rsidRPr="00DB7F92">
        <w:rPr>
          <w:spacing w:val="61"/>
          <w:lang w:eastAsia="en-GB"/>
        </w:rPr>
        <w:t xml:space="preserve"> </w:t>
      </w:r>
      <w:r w:rsidRPr="00DB7F92">
        <w:rPr>
          <w:lang w:eastAsia="en-GB"/>
        </w:rPr>
        <w:t>inequalities</w:t>
      </w:r>
      <w:r w:rsidRPr="00DB7F92">
        <w:rPr>
          <w:spacing w:val="2"/>
          <w:lang w:eastAsia="en-GB"/>
        </w:rPr>
        <w:t xml:space="preserve"> </w:t>
      </w:r>
      <w:r w:rsidRPr="00DB7F92">
        <w:rPr>
          <w:lang w:eastAsia="en-GB"/>
        </w:rPr>
        <w:t>(although</w:t>
      </w:r>
      <w:r w:rsidRPr="00DB7F92">
        <w:rPr>
          <w:spacing w:val="1"/>
          <w:lang w:eastAsia="en-GB"/>
        </w:rPr>
        <w:t xml:space="preserve"> </w:t>
      </w:r>
      <w:r w:rsidRPr="00DB7F92">
        <w:rPr>
          <w:lang w:eastAsia="en-GB"/>
        </w:rPr>
        <w:t>equally,</w:t>
      </w:r>
      <w:r w:rsidRPr="00DB7F92">
        <w:rPr>
          <w:spacing w:val="2"/>
          <w:lang w:eastAsia="en-GB"/>
        </w:rPr>
        <w:t xml:space="preserve"> </w:t>
      </w:r>
      <w:r w:rsidRPr="00DB7F92">
        <w:rPr>
          <w:lang w:eastAsia="en-GB"/>
        </w:rPr>
        <w:t>if health</w:t>
      </w:r>
      <w:r w:rsidRPr="00DB7F92">
        <w:rPr>
          <w:spacing w:val="1"/>
          <w:lang w:eastAsia="en-GB"/>
        </w:rPr>
        <w:t xml:space="preserve"> </w:t>
      </w:r>
      <w:r w:rsidRPr="00DB7F92">
        <w:rPr>
          <w:lang w:eastAsia="en-GB"/>
        </w:rPr>
        <w:t>inequalities</w:t>
      </w:r>
      <w:r w:rsidRPr="00DB7F92">
        <w:rPr>
          <w:spacing w:val="3"/>
          <w:lang w:eastAsia="en-GB"/>
        </w:rPr>
        <w:t xml:space="preserve"> </w:t>
      </w:r>
      <w:r w:rsidRPr="00DB7F92">
        <w:rPr>
          <w:lang w:eastAsia="en-GB"/>
        </w:rPr>
        <w:t>persist</w:t>
      </w:r>
      <w:r w:rsidRPr="00DB7F92">
        <w:rPr>
          <w:spacing w:val="1"/>
          <w:lang w:eastAsia="en-GB"/>
        </w:rPr>
        <w:t xml:space="preserve"> </w:t>
      </w:r>
      <w:r w:rsidRPr="00DB7F92">
        <w:rPr>
          <w:lang w:eastAsia="en-GB"/>
        </w:rPr>
        <w:t>and</w:t>
      </w:r>
      <w:r w:rsidRPr="00DB7F92">
        <w:rPr>
          <w:spacing w:val="1"/>
          <w:lang w:eastAsia="en-GB"/>
        </w:rPr>
        <w:t xml:space="preserve"> </w:t>
      </w:r>
      <w:r w:rsidRPr="00DB7F92">
        <w:rPr>
          <w:lang w:eastAsia="en-GB"/>
        </w:rPr>
        <w:t>widen,</w:t>
      </w:r>
      <w:r w:rsidRPr="00DB7F92">
        <w:rPr>
          <w:spacing w:val="1"/>
          <w:lang w:eastAsia="en-GB"/>
        </w:rPr>
        <w:t xml:space="preserve"> </w:t>
      </w:r>
      <w:r w:rsidRPr="00DB7F92">
        <w:rPr>
          <w:lang w:eastAsia="en-GB"/>
        </w:rPr>
        <w:t>that</w:t>
      </w:r>
      <w:r w:rsidRPr="00DB7F92">
        <w:rPr>
          <w:spacing w:val="77"/>
          <w:w w:val="99"/>
          <w:lang w:eastAsia="en-GB"/>
        </w:rPr>
        <w:t xml:space="preserve"> </w:t>
      </w:r>
      <w:r w:rsidRPr="00DB7F92">
        <w:rPr>
          <w:lang w:eastAsia="en-GB"/>
        </w:rPr>
        <w:t>fact</w:t>
      </w:r>
      <w:r w:rsidRPr="00DB7F92">
        <w:rPr>
          <w:spacing w:val="22"/>
          <w:lang w:eastAsia="en-GB"/>
        </w:rPr>
        <w:t xml:space="preserve"> </w:t>
      </w:r>
      <w:r w:rsidRPr="00DB7F92">
        <w:rPr>
          <w:lang w:eastAsia="en-GB"/>
        </w:rPr>
        <w:t>would</w:t>
      </w:r>
      <w:r w:rsidRPr="00DB7F92">
        <w:rPr>
          <w:spacing w:val="21"/>
          <w:lang w:eastAsia="en-GB"/>
        </w:rPr>
        <w:t xml:space="preserve"> </w:t>
      </w:r>
      <w:r w:rsidRPr="00DB7F92">
        <w:rPr>
          <w:lang w:eastAsia="en-GB"/>
        </w:rPr>
        <w:t>need</w:t>
      </w:r>
      <w:r w:rsidRPr="00DB7F92">
        <w:rPr>
          <w:spacing w:val="21"/>
          <w:lang w:eastAsia="en-GB"/>
        </w:rPr>
        <w:t xml:space="preserve"> </w:t>
      </w:r>
      <w:r w:rsidRPr="00DB7F92">
        <w:rPr>
          <w:lang w:eastAsia="en-GB"/>
        </w:rPr>
        <w:t>to</w:t>
      </w:r>
      <w:r w:rsidRPr="00DB7F92">
        <w:rPr>
          <w:spacing w:val="22"/>
          <w:lang w:eastAsia="en-GB"/>
        </w:rPr>
        <w:t xml:space="preserve"> </w:t>
      </w:r>
      <w:r w:rsidRPr="00DB7F92">
        <w:rPr>
          <w:lang w:eastAsia="en-GB"/>
        </w:rPr>
        <w:t>inform</w:t>
      </w:r>
      <w:r w:rsidRPr="00DB7F92">
        <w:rPr>
          <w:spacing w:val="22"/>
          <w:lang w:eastAsia="en-GB"/>
        </w:rPr>
        <w:t xml:space="preserve"> </w:t>
      </w:r>
      <w:r w:rsidRPr="00DB7F92">
        <w:rPr>
          <w:lang w:eastAsia="en-GB"/>
        </w:rPr>
        <w:t>consideration</w:t>
      </w:r>
      <w:r w:rsidRPr="00DB7F92">
        <w:rPr>
          <w:spacing w:val="22"/>
          <w:lang w:eastAsia="en-GB"/>
        </w:rPr>
        <w:t xml:space="preserve"> </w:t>
      </w:r>
      <w:r w:rsidRPr="00DB7F92">
        <w:rPr>
          <w:lang w:eastAsia="en-GB"/>
        </w:rPr>
        <w:t>of</w:t>
      </w:r>
      <w:r w:rsidRPr="00DB7F92">
        <w:rPr>
          <w:spacing w:val="22"/>
          <w:lang w:eastAsia="en-GB"/>
        </w:rPr>
        <w:t xml:space="preserve"> </w:t>
      </w:r>
      <w:r w:rsidRPr="00DB7F92">
        <w:rPr>
          <w:lang w:eastAsia="en-GB"/>
        </w:rPr>
        <w:t>the</w:t>
      </w:r>
      <w:r w:rsidRPr="00DB7F92">
        <w:rPr>
          <w:spacing w:val="21"/>
          <w:lang w:eastAsia="en-GB"/>
        </w:rPr>
        <w:t xml:space="preserve"> </w:t>
      </w:r>
      <w:r w:rsidRPr="00DB7F92">
        <w:rPr>
          <w:lang w:eastAsia="en-GB"/>
        </w:rPr>
        <w:t>regard</w:t>
      </w:r>
      <w:r w:rsidRPr="00DB7F92">
        <w:rPr>
          <w:spacing w:val="21"/>
          <w:lang w:eastAsia="en-GB"/>
        </w:rPr>
        <w:t xml:space="preserve"> </w:t>
      </w:r>
      <w:r w:rsidRPr="00DB7F92">
        <w:rPr>
          <w:lang w:eastAsia="en-GB"/>
        </w:rPr>
        <w:t>duty).</w:t>
      </w:r>
      <w:r w:rsidRPr="00DB7F92">
        <w:rPr>
          <w:spacing w:val="45"/>
          <w:lang w:eastAsia="en-GB"/>
        </w:rPr>
        <w:t xml:space="preserve"> </w:t>
      </w:r>
      <w:r w:rsidRPr="00DB7F92">
        <w:rPr>
          <w:lang w:eastAsia="en-GB"/>
        </w:rPr>
        <w:t>Nor</w:t>
      </w:r>
      <w:r w:rsidRPr="00DB7F92">
        <w:rPr>
          <w:spacing w:val="21"/>
          <w:lang w:eastAsia="en-GB"/>
        </w:rPr>
        <w:t xml:space="preserve"> </w:t>
      </w:r>
      <w:r w:rsidRPr="00DB7F92">
        <w:rPr>
          <w:lang w:eastAsia="en-GB"/>
        </w:rPr>
        <w:t>does</w:t>
      </w:r>
      <w:r w:rsidRPr="00DB7F92">
        <w:rPr>
          <w:spacing w:val="54"/>
          <w:w w:val="99"/>
          <w:lang w:eastAsia="en-GB"/>
        </w:rPr>
        <w:t xml:space="preserve"> </w:t>
      </w:r>
      <w:r w:rsidRPr="00DB7F92">
        <w:rPr>
          <w:lang w:eastAsia="en-GB"/>
        </w:rPr>
        <w:t>the commissioner</w:t>
      </w:r>
      <w:r w:rsidRPr="00DB7F92">
        <w:rPr>
          <w:spacing w:val="55"/>
          <w:lang w:eastAsia="en-GB"/>
        </w:rPr>
        <w:t xml:space="preserve"> </w:t>
      </w:r>
      <w:r w:rsidRPr="00DB7F92">
        <w:rPr>
          <w:lang w:eastAsia="en-GB"/>
        </w:rPr>
        <w:t>have</w:t>
      </w:r>
      <w:r w:rsidRPr="00DB7F92">
        <w:rPr>
          <w:spacing w:val="54"/>
          <w:lang w:eastAsia="en-GB"/>
        </w:rPr>
        <w:t xml:space="preserve"> </w:t>
      </w:r>
      <w:r w:rsidRPr="00DB7F92">
        <w:rPr>
          <w:lang w:eastAsia="en-GB"/>
        </w:rPr>
        <w:t>the</w:t>
      </w:r>
      <w:r w:rsidRPr="00DB7F92">
        <w:rPr>
          <w:spacing w:val="55"/>
          <w:lang w:eastAsia="en-GB"/>
        </w:rPr>
        <w:t xml:space="preserve"> </w:t>
      </w:r>
      <w:r w:rsidRPr="00DB7F92">
        <w:rPr>
          <w:lang w:eastAsia="en-GB"/>
        </w:rPr>
        <w:t>luxury</w:t>
      </w:r>
      <w:r w:rsidRPr="00DB7F92">
        <w:rPr>
          <w:spacing w:val="56"/>
          <w:lang w:eastAsia="en-GB"/>
        </w:rPr>
        <w:t xml:space="preserve"> </w:t>
      </w:r>
      <w:r w:rsidRPr="00DB7F92">
        <w:rPr>
          <w:lang w:eastAsia="en-GB"/>
        </w:rPr>
        <w:t>of</w:t>
      </w:r>
      <w:r w:rsidRPr="00DB7F92">
        <w:rPr>
          <w:spacing w:val="56"/>
          <w:lang w:eastAsia="en-GB"/>
        </w:rPr>
        <w:t xml:space="preserve"> </w:t>
      </w:r>
      <w:r w:rsidRPr="00DB7F92">
        <w:rPr>
          <w:lang w:eastAsia="en-GB"/>
        </w:rPr>
        <w:t>"pausing"</w:t>
      </w:r>
      <w:r w:rsidRPr="00DB7F92">
        <w:rPr>
          <w:spacing w:val="57"/>
          <w:lang w:eastAsia="en-GB"/>
        </w:rPr>
        <w:t xml:space="preserve"> </w:t>
      </w:r>
      <w:r w:rsidRPr="00DB7F92">
        <w:rPr>
          <w:lang w:eastAsia="en-GB"/>
        </w:rPr>
        <w:t>the</w:t>
      </w:r>
      <w:r w:rsidRPr="00DB7F92">
        <w:rPr>
          <w:spacing w:val="54"/>
          <w:lang w:eastAsia="en-GB"/>
        </w:rPr>
        <w:t xml:space="preserve"> </w:t>
      </w:r>
      <w:r w:rsidRPr="00DB7F92">
        <w:rPr>
          <w:lang w:eastAsia="en-GB"/>
        </w:rPr>
        <w:t>health</w:t>
      </w:r>
      <w:r w:rsidRPr="00DB7F92">
        <w:rPr>
          <w:spacing w:val="56"/>
          <w:lang w:eastAsia="en-GB"/>
        </w:rPr>
        <w:t xml:space="preserve"> </w:t>
      </w:r>
      <w:r w:rsidRPr="00DB7F92">
        <w:rPr>
          <w:lang w:eastAsia="en-GB"/>
        </w:rPr>
        <w:t>service</w:t>
      </w:r>
      <w:r w:rsidRPr="00DB7F92">
        <w:rPr>
          <w:spacing w:val="55"/>
          <w:lang w:eastAsia="en-GB"/>
        </w:rPr>
        <w:t xml:space="preserve"> </w:t>
      </w:r>
      <w:r w:rsidRPr="00DB7F92">
        <w:rPr>
          <w:lang w:eastAsia="en-GB"/>
        </w:rPr>
        <w:t>while</w:t>
      </w:r>
      <w:r w:rsidRPr="00DB7F92">
        <w:rPr>
          <w:spacing w:val="54"/>
          <w:lang w:eastAsia="en-GB"/>
        </w:rPr>
        <w:t xml:space="preserve"> </w:t>
      </w:r>
      <w:r w:rsidRPr="00DB7F92">
        <w:rPr>
          <w:lang w:eastAsia="en-GB"/>
        </w:rPr>
        <w:t>it</w:t>
      </w:r>
      <w:r w:rsidRPr="00DB7F92">
        <w:rPr>
          <w:spacing w:val="58"/>
          <w:w w:val="99"/>
          <w:lang w:eastAsia="en-GB"/>
        </w:rPr>
        <w:t xml:space="preserve"> </w:t>
      </w:r>
      <w:r w:rsidRPr="00DB7F92">
        <w:rPr>
          <w:lang w:eastAsia="en-GB"/>
        </w:rPr>
        <w:t>investigates</w:t>
      </w:r>
      <w:r w:rsidRPr="00DB7F92">
        <w:rPr>
          <w:spacing w:val="5"/>
          <w:lang w:eastAsia="en-GB"/>
        </w:rPr>
        <w:t xml:space="preserve"> </w:t>
      </w:r>
      <w:r w:rsidRPr="00DB7F92">
        <w:rPr>
          <w:lang w:eastAsia="en-GB"/>
        </w:rPr>
        <w:t>health</w:t>
      </w:r>
      <w:r w:rsidRPr="00DB7F92">
        <w:rPr>
          <w:spacing w:val="4"/>
          <w:lang w:eastAsia="en-GB"/>
        </w:rPr>
        <w:t xml:space="preserve"> </w:t>
      </w:r>
      <w:r w:rsidRPr="00DB7F92">
        <w:rPr>
          <w:lang w:eastAsia="en-GB"/>
        </w:rPr>
        <w:t>inequality</w:t>
      </w:r>
      <w:r w:rsidRPr="00DB7F92">
        <w:rPr>
          <w:spacing w:val="6"/>
          <w:lang w:eastAsia="en-GB"/>
        </w:rPr>
        <w:t xml:space="preserve"> </w:t>
      </w:r>
      <w:r w:rsidRPr="00DB7F92">
        <w:rPr>
          <w:lang w:eastAsia="en-GB"/>
        </w:rPr>
        <w:t>or</w:t>
      </w:r>
      <w:r w:rsidRPr="00DB7F92">
        <w:rPr>
          <w:spacing w:val="4"/>
          <w:lang w:eastAsia="en-GB"/>
        </w:rPr>
        <w:t xml:space="preserve"> </w:t>
      </w:r>
      <w:r w:rsidRPr="00DB7F92">
        <w:rPr>
          <w:lang w:eastAsia="en-GB"/>
        </w:rPr>
        <w:t>any</w:t>
      </w:r>
      <w:r w:rsidRPr="00DB7F92">
        <w:rPr>
          <w:spacing w:val="7"/>
          <w:lang w:eastAsia="en-GB"/>
        </w:rPr>
        <w:t xml:space="preserve"> </w:t>
      </w:r>
      <w:r w:rsidRPr="00DB7F92">
        <w:rPr>
          <w:lang w:eastAsia="en-GB"/>
        </w:rPr>
        <w:t>other</w:t>
      </w:r>
      <w:r w:rsidRPr="00DB7F92">
        <w:rPr>
          <w:spacing w:val="5"/>
          <w:lang w:eastAsia="en-GB"/>
        </w:rPr>
        <w:t xml:space="preserve"> </w:t>
      </w:r>
      <w:r w:rsidRPr="00DB7F92">
        <w:rPr>
          <w:lang w:eastAsia="en-GB"/>
        </w:rPr>
        <w:t>matter.</w:t>
      </w:r>
      <w:r w:rsidRPr="00DB7F92">
        <w:rPr>
          <w:spacing w:val="9"/>
          <w:lang w:eastAsia="en-GB"/>
        </w:rPr>
        <w:t xml:space="preserve"> </w:t>
      </w:r>
      <w:r w:rsidRPr="00DB7F92">
        <w:rPr>
          <w:lang w:eastAsia="en-GB"/>
        </w:rPr>
        <w:t>The</w:t>
      </w:r>
      <w:r w:rsidRPr="00DB7F92">
        <w:rPr>
          <w:spacing w:val="4"/>
          <w:lang w:eastAsia="en-GB"/>
        </w:rPr>
        <w:t xml:space="preserve"> </w:t>
      </w:r>
      <w:r w:rsidRPr="00DB7F92">
        <w:rPr>
          <w:lang w:eastAsia="en-GB"/>
        </w:rPr>
        <w:t>duties</w:t>
      </w:r>
      <w:r w:rsidRPr="00DB7F92">
        <w:rPr>
          <w:spacing w:val="5"/>
          <w:lang w:eastAsia="en-GB"/>
        </w:rPr>
        <w:t xml:space="preserve"> </w:t>
      </w:r>
      <w:r w:rsidRPr="00DB7F92">
        <w:rPr>
          <w:lang w:eastAsia="en-GB"/>
        </w:rPr>
        <w:t>are</w:t>
      </w:r>
      <w:r w:rsidRPr="00DB7F92">
        <w:rPr>
          <w:spacing w:val="6"/>
          <w:lang w:eastAsia="en-GB"/>
        </w:rPr>
        <w:t xml:space="preserve"> </w:t>
      </w:r>
      <w:r w:rsidRPr="00DB7F92">
        <w:rPr>
          <w:lang w:eastAsia="en-GB"/>
        </w:rPr>
        <w:t>to</w:t>
      </w:r>
      <w:r w:rsidRPr="00DB7F92">
        <w:rPr>
          <w:spacing w:val="4"/>
          <w:lang w:eastAsia="en-GB"/>
        </w:rPr>
        <w:t xml:space="preserve"> </w:t>
      </w:r>
      <w:r w:rsidRPr="00DB7F92">
        <w:rPr>
          <w:lang w:eastAsia="en-GB"/>
        </w:rPr>
        <w:t>have</w:t>
      </w:r>
      <w:r w:rsidRPr="00DB7F92">
        <w:rPr>
          <w:spacing w:val="65"/>
          <w:w w:val="99"/>
          <w:lang w:eastAsia="en-GB"/>
        </w:rPr>
        <w:t xml:space="preserve"> </w:t>
      </w:r>
      <w:r w:rsidRPr="00DB7F92">
        <w:rPr>
          <w:lang w:eastAsia="en-GB"/>
        </w:rPr>
        <w:t>regard,</w:t>
      </w:r>
      <w:r w:rsidRPr="00DB7F92">
        <w:rPr>
          <w:spacing w:val="36"/>
          <w:lang w:eastAsia="en-GB"/>
        </w:rPr>
        <w:t xml:space="preserve"> </w:t>
      </w:r>
      <w:r w:rsidRPr="00DB7F92">
        <w:rPr>
          <w:lang w:eastAsia="en-GB"/>
        </w:rPr>
        <w:t>not</w:t>
      </w:r>
      <w:r w:rsidRPr="00DB7F92">
        <w:rPr>
          <w:spacing w:val="36"/>
          <w:lang w:eastAsia="en-GB"/>
        </w:rPr>
        <w:t xml:space="preserve"> </w:t>
      </w:r>
      <w:r w:rsidRPr="00DB7F92">
        <w:rPr>
          <w:lang w:eastAsia="en-GB"/>
        </w:rPr>
        <w:t>to</w:t>
      </w:r>
      <w:r w:rsidRPr="00DB7F92">
        <w:rPr>
          <w:spacing w:val="35"/>
          <w:lang w:eastAsia="en-GB"/>
        </w:rPr>
        <w:t xml:space="preserve"> </w:t>
      </w:r>
      <w:r w:rsidRPr="00DB7F92">
        <w:rPr>
          <w:lang w:eastAsia="en-GB"/>
        </w:rPr>
        <w:t>achieve</w:t>
      </w:r>
      <w:r w:rsidRPr="00DB7F92">
        <w:rPr>
          <w:spacing w:val="38"/>
          <w:lang w:eastAsia="en-GB"/>
        </w:rPr>
        <w:t xml:space="preserve"> </w:t>
      </w:r>
      <w:r w:rsidRPr="00DB7F92">
        <w:rPr>
          <w:lang w:eastAsia="en-GB"/>
        </w:rPr>
        <w:t>perfection,</w:t>
      </w:r>
      <w:r w:rsidRPr="00DB7F92">
        <w:rPr>
          <w:spacing w:val="36"/>
          <w:lang w:eastAsia="en-GB"/>
        </w:rPr>
        <w:t xml:space="preserve"> </w:t>
      </w:r>
      <w:r w:rsidRPr="00DB7F92">
        <w:rPr>
          <w:lang w:eastAsia="en-GB"/>
        </w:rPr>
        <w:t>and</w:t>
      </w:r>
      <w:r w:rsidRPr="00DB7F92">
        <w:rPr>
          <w:spacing w:val="35"/>
          <w:lang w:eastAsia="en-GB"/>
        </w:rPr>
        <w:t xml:space="preserve"> </w:t>
      </w:r>
      <w:r w:rsidRPr="00DB7F92">
        <w:rPr>
          <w:lang w:eastAsia="en-GB"/>
        </w:rPr>
        <w:t>this</w:t>
      </w:r>
      <w:r w:rsidRPr="00DB7F92">
        <w:rPr>
          <w:spacing w:val="36"/>
          <w:lang w:eastAsia="en-GB"/>
        </w:rPr>
        <w:t xml:space="preserve"> </w:t>
      </w:r>
      <w:r w:rsidRPr="00DB7F92">
        <w:rPr>
          <w:lang w:eastAsia="en-GB"/>
        </w:rPr>
        <w:t>is</w:t>
      </w:r>
      <w:r w:rsidRPr="00DB7F92">
        <w:rPr>
          <w:spacing w:val="37"/>
          <w:lang w:eastAsia="en-GB"/>
        </w:rPr>
        <w:t xml:space="preserve"> </w:t>
      </w:r>
      <w:r w:rsidRPr="00DB7F92">
        <w:rPr>
          <w:lang w:eastAsia="en-GB"/>
        </w:rPr>
        <w:t>a</w:t>
      </w:r>
      <w:r w:rsidRPr="00DB7F92">
        <w:rPr>
          <w:spacing w:val="35"/>
          <w:lang w:eastAsia="en-GB"/>
        </w:rPr>
        <w:t xml:space="preserve"> </w:t>
      </w:r>
      <w:r w:rsidRPr="00DB7F92">
        <w:rPr>
          <w:lang w:eastAsia="en-GB"/>
        </w:rPr>
        <w:t>practical</w:t>
      </w:r>
      <w:r w:rsidRPr="00DB7F92">
        <w:rPr>
          <w:spacing w:val="35"/>
          <w:lang w:eastAsia="en-GB"/>
        </w:rPr>
        <w:t xml:space="preserve"> </w:t>
      </w:r>
      <w:r w:rsidRPr="00DB7F92">
        <w:rPr>
          <w:lang w:eastAsia="en-GB"/>
        </w:rPr>
        <w:t>rather</w:t>
      </w:r>
      <w:r w:rsidRPr="00DB7F92">
        <w:rPr>
          <w:spacing w:val="36"/>
          <w:lang w:eastAsia="en-GB"/>
        </w:rPr>
        <w:t xml:space="preserve"> </w:t>
      </w:r>
      <w:r w:rsidRPr="00DB7F92">
        <w:rPr>
          <w:lang w:eastAsia="en-GB"/>
        </w:rPr>
        <w:t>than</w:t>
      </w:r>
      <w:r w:rsidRPr="00DB7F92">
        <w:rPr>
          <w:spacing w:val="37"/>
          <w:lang w:eastAsia="en-GB"/>
        </w:rPr>
        <w:t xml:space="preserve"> </w:t>
      </w:r>
      <w:r w:rsidRPr="00DB7F92">
        <w:rPr>
          <w:lang w:eastAsia="en-GB"/>
        </w:rPr>
        <w:t>an</w:t>
      </w:r>
      <w:r w:rsidRPr="00DB7F92">
        <w:rPr>
          <w:spacing w:val="47"/>
          <w:lang w:eastAsia="en-GB"/>
        </w:rPr>
        <w:t xml:space="preserve"> </w:t>
      </w:r>
      <w:r w:rsidRPr="00DB7F92">
        <w:rPr>
          <w:lang w:eastAsia="en-GB"/>
        </w:rPr>
        <w:t>academic</w:t>
      </w:r>
      <w:r w:rsidRPr="00DB7F92">
        <w:rPr>
          <w:spacing w:val="-12"/>
          <w:lang w:eastAsia="en-GB"/>
        </w:rPr>
        <w:t xml:space="preserve"> </w:t>
      </w:r>
      <w:r w:rsidRPr="00DB7F92">
        <w:rPr>
          <w:lang w:eastAsia="en-GB"/>
        </w:rPr>
        <w:t>exercise.</w:t>
      </w:r>
    </w:p>
    <w:p w14:paraId="30069A0A" w14:textId="77777777" w:rsidR="00DB7F92" w:rsidRPr="00DB7F92" w:rsidRDefault="00DB7F92" w:rsidP="00DB7F92">
      <w:pPr>
        <w:widowControl w:val="0"/>
        <w:tabs>
          <w:tab w:val="left" w:pos="1179"/>
        </w:tabs>
        <w:spacing w:before="198" w:after="120"/>
        <w:ind w:left="1178" w:right="115"/>
        <w:jc w:val="both"/>
        <w:rPr>
          <w:rFonts w:cs="Arial"/>
          <w:bCs w:val="0"/>
          <w:sz w:val="20"/>
          <w:szCs w:val="20"/>
          <w:lang w:eastAsia="en-GB"/>
        </w:rPr>
      </w:pPr>
    </w:p>
    <w:p w14:paraId="08502E41" w14:textId="77777777" w:rsidR="00DB7F92" w:rsidRDefault="00DB7F92" w:rsidP="00884224">
      <w:pPr>
        <w:keepNext/>
        <w:keepLines/>
        <w:spacing w:before="199"/>
        <w:ind w:left="838"/>
        <w:jc w:val="both"/>
        <w:outlineLvl w:val="6"/>
        <w:rPr>
          <w:rFonts w:eastAsiaTheme="majorEastAsia" w:cs="Arial"/>
          <w:i/>
          <w:iCs/>
          <w:color w:val="404040" w:themeColor="text1" w:themeTint="BF"/>
          <w:spacing w:val="-1"/>
          <w:sz w:val="28"/>
          <w:szCs w:val="28"/>
        </w:rPr>
      </w:pPr>
      <w:r w:rsidRPr="00884224">
        <w:rPr>
          <w:rFonts w:eastAsiaTheme="majorEastAsia" w:cs="Arial"/>
          <w:i/>
          <w:iCs/>
          <w:color w:val="404040" w:themeColor="text1" w:themeTint="BF"/>
          <w:spacing w:val="-1"/>
          <w:sz w:val="28"/>
          <w:szCs w:val="28"/>
        </w:rPr>
        <w:t>REDUCE HEALTH INEQUALITIES</w:t>
      </w:r>
    </w:p>
    <w:p w14:paraId="5186A176" w14:textId="77777777" w:rsidR="00C84421" w:rsidRPr="00884224" w:rsidRDefault="00C84421" w:rsidP="00884224">
      <w:pPr>
        <w:keepNext/>
        <w:keepLines/>
        <w:spacing w:before="199"/>
        <w:ind w:left="838"/>
        <w:jc w:val="both"/>
        <w:outlineLvl w:val="6"/>
        <w:rPr>
          <w:rFonts w:eastAsiaTheme="majorEastAsia" w:cs="Arial"/>
          <w:i/>
          <w:iCs/>
          <w:color w:val="404040" w:themeColor="text1" w:themeTint="BF"/>
          <w:spacing w:val="-1"/>
          <w:sz w:val="28"/>
          <w:szCs w:val="28"/>
        </w:rPr>
      </w:pPr>
    </w:p>
    <w:p w14:paraId="070B2512" w14:textId="77777777" w:rsidR="00DB7F92" w:rsidRPr="00DB7F92" w:rsidRDefault="00DB7F92" w:rsidP="00DD5D2D">
      <w:pPr>
        <w:pStyle w:val="Heading3"/>
        <w:jc w:val="both"/>
        <w:rPr>
          <w:b/>
          <w:lang w:eastAsia="en-GB"/>
        </w:rPr>
      </w:pPr>
      <w:r w:rsidRPr="00DB7F92">
        <w:rPr>
          <w:lang w:eastAsia="en-GB"/>
        </w:rPr>
        <w:t>This duty has been discussed above.  It is listed here for completeness, as it is one of the Regard Duties under the NHS Act 2006.</w:t>
      </w:r>
    </w:p>
    <w:p w14:paraId="5199D285" w14:textId="77777777" w:rsidR="00DB7F92" w:rsidRPr="00DB7F92" w:rsidRDefault="00DB7F92" w:rsidP="00DB7F92">
      <w:pPr>
        <w:widowControl w:val="0"/>
        <w:tabs>
          <w:tab w:val="left" w:pos="1179"/>
        </w:tabs>
        <w:spacing w:after="120"/>
        <w:ind w:left="1178" w:right="337"/>
        <w:jc w:val="both"/>
        <w:rPr>
          <w:rFonts w:cs="Arial"/>
          <w:bCs w:val="0"/>
          <w:sz w:val="20"/>
          <w:szCs w:val="20"/>
          <w:lang w:eastAsia="en-GB"/>
        </w:rPr>
      </w:pPr>
    </w:p>
    <w:p w14:paraId="152E0DE3" w14:textId="77777777" w:rsidR="00DB7F92" w:rsidRDefault="00DB7F92" w:rsidP="00884224">
      <w:pPr>
        <w:keepNext/>
        <w:keepLines/>
        <w:spacing w:before="199"/>
        <w:ind w:left="838"/>
        <w:jc w:val="both"/>
        <w:outlineLvl w:val="6"/>
        <w:rPr>
          <w:rFonts w:eastAsiaTheme="majorEastAsia" w:cs="Arial"/>
          <w:i/>
          <w:iCs/>
          <w:color w:val="404040" w:themeColor="text1" w:themeTint="BF"/>
          <w:spacing w:val="-1"/>
          <w:sz w:val="28"/>
          <w:szCs w:val="28"/>
        </w:rPr>
      </w:pPr>
      <w:r w:rsidRPr="00884224">
        <w:rPr>
          <w:rFonts w:eastAsiaTheme="majorEastAsia" w:cs="Arial"/>
          <w:i/>
          <w:iCs/>
          <w:color w:val="404040" w:themeColor="text1" w:themeTint="BF"/>
          <w:spacing w:val="-1"/>
          <w:sz w:val="28"/>
          <w:szCs w:val="28"/>
        </w:rPr>
        <w:t>ACT WITH AUTONOMY</w:t>
      </w:r>
    </w:p>
    <w:p w14:paraId="5248803C" w14:textId="77777777" w:rsidR="00C84421" w:rsidRPr="00884224" w:rsidRDefault="00C84421" w:rsidP="00884224">
      <w:pPr>
        <w:keepNext/>
        <w:keepLines/>
        <w:spacing w:before="199"/>
        <w:ind w:left="838"/>
        <w:jc w:val="both"/>
        <w:outlineLvl w:val="6"/>
        <w:rPr>
          <w:rFonts w:eastAsiaTheme="majorEastAsia" w:cs="Arial"/>
          <w:i/>
          <w:iCs/>
          <w:color w:val="404040" w:themeColor="text1" w:themeTint="BF"/>
          <w:spacing w:val="-1"/>
          <w:sz w:val="28"/>
          <w:szCs w:val="28"/>
        </w:rPr>
      </w:pPr>
    </w:p>
    <w:p w14:paraId="22D78194" w14:textId="77777777" w:rsidR="00DB7F92" w:rsidRPr="00DB7F92" w:rsidRDefault="00DB7F92" w:rsidP="00DD5D2D">
      <w:pPr>
        <w:pStyle w:val="Heading3"/>
        <w:jc w:val="both"/>
        <w:rPr>
          <w:lang w:eastAsia="en-GB"/>
        </w:rPr>
      </w:pPr>
      <w:r w:rsidRPr="00DB7F92">
        <w:rPr>
          <w:lang w:eastAsia="en-GB"/>
        </w:rPr>
        <w:t>NHS</w:t>
      </w:r>
      <w:r w:rsidRPr="00DB7F92">
        <w:rPr>
          <w:spacing w:val="38"/>
          <w:lang w:eastAsia="en-GB"/>
        </w:rPr>
        <w:t xml:space="preserve"> </w:t>
      </w:r>
      <w:r w:rsidRPr="00DB7F92">
        <w:rPr>
          <w:lang w:eastAsia="en-GB"/>
        </w:rPr>
        <w:t>England</w:t>
      </w:r>
      <w:r w:rsidRPr="00DB7F92">
        <w:rPr>
          <w:spacing w:val="38"/>
          <w:lang w:eastAsia="en-GB"/>
        </w:rPr>
        <w:t xml:space="preserve"> </w:t>
      </w:r>
      <w:r w:rsidRPr="00DB7F92">
        <w:rPr>
          <w:lang w:eastAsia="en-GB"/>
        </w:rPr>
        <w:t>has</w:t>
      </w:r>
      <w:r w:rsidRPr="00DB7F92">
        <w:rPr>
          <w:spacing w:val="40"/>
          <w:lang w:eastAsia="en-GB"/>
        </w:rPr>
        <w:t xml:space="preserve"> </w:t>
      </w:r>
      <w:r w:rsidRPr="00DB7F92">
        <w:rPr>
          <w:lang w:eastAsia="en-GB"/>
        </w:rPr>
        <w:t>a</w:t>
      </w:r>
      <w:r w:rsidRPr="00DB7F92">
        <w:rPr>
          <w:spacing w:val="41"/>
          <w:lang w:eastAsia="en-GB"/>
        </w:rPr>
        <w:t xml:space="preserve"> statutory </w:t>
      </w:r>
      <w:r w:rsidRPr="00DB7F92">
        <w:rPr>
          <w:lang w:eastAsia="en-GB"/>
        </w:rPr>
        <w:t>duty to</w:t>
      </w:r>
      <w:r w:rsidRPr="00DB7F92">
        <w:rPr>
          <w:spacing w:val="38"/>
          <w:lang w:eastAsia="en-GB"/>
        </w:rPr>
        <w:t xml:space="preserve"> </w:t>
      </w:r>
      <w:r w:rsidRPr="00DB7F92">
        <w:rPr>
          <w:lang w:eastAsia="en-GB"/>
        </w:rPr>
        <w:t>have</w:t>
      </w:r>
      <w:r w:rsidRPr="00DB7F92">
        <w:rPr>
          <w:spacing w:val="38"/>
          <w:lang w:eastAsia="en-GB"/>
        </w:rPr>
        <w:t xml:space="preserve"> </w:t>
      </w:r>
      <w:r w:rsidRPr="00DB7F92">
        <w:rPr>
          <w:lang w:eastAsia="en-GB"/>
        </w:rPr>
        <w:t>regard</w:t>
      </w:r>
      <w:r w:rsidRPr="00DB7F92">
        <w:rPr>
          <w:spacing w:val="40"/>
          <w:lang w:eastAsia="en-GB"/>
        </w:rPr>
        <w:t xml:space="preserve"> </w:t>
      </w:r>
      <w:r w:rsidRPr="00DB7F92">
        <w:rPr>
          <w:lang w:eastAsia="en-GB"/>
        </w:rPr>
        <w:t>to</w:t>
      </w:r>
      <w:r w:rsidRPr="00DB7F92">
        <w:rPr>
          <w:spacing w:val="41"/>
          <w:lang w:eastAsia="en-GB"/>
        </w:rPr>
        <w:t xml:space="preserve"> </w:t>
      </w:r>
      <w:r w:rsidRPr="00DB7F92">
        <w:rPr>
          <w:lang w:eastAsia="en-GB"/>
        </w:rPr>
        <w:t>the</w:t>
      </w:r>
      <w:r w:rsidRPr="00DB7F92">
        <w:rPr>
          <w:spacing w:val="38"/>
          <w:lang w:eastAsia="en-GB"/>
        </w:rPr>
        <w:t xml:space="preserve"> </w:t>
      </w:r>
      <w:r w:rsidRPr="00DB7F92">
        <w:rPr>
          <w:lang w:eastAsia="en-GB"/>
        </w:rPr>
        <w:t>desirability</w:t>
      </w:r>
      <w:r w:rsidRPr="00DB7F92">
        <w:rPr>
          <w:spacing w:val="42"/>
          <w:lang w:eastAsia="en-GB"/>
        </w:rPr>
        <w:t xml:space="preserve"> </w:t>
      </w:r>
      <w:r w:rsidRPr="00DB7F92">
        <w:rPr>
          <w:lang w:eastAsia="en-GB"/>
        </w:rPr>
        <w:t>of</w:t>
      </w:r>
      <w:r w:rsidRPr="00DB7F92">
        <w:rPr>
          <w:spacing w:val="40"/>
          <w:lang w:eastAsia="en-GB"/>
        </w:rPr>
        <w:t xml:space="preserve"> </w:t>
      </w:r>
      <w:r w:rsidRPr="00DB7F92">
        <w:rPr>
          <w:lang w:eastAsia="en-GB"/>
        </w:rPr>
        <w:t>allowing</w:t>
      </w:r>
      <w:r w:rsidRPr="00DB7F92">
        <w:rPr>
          <w:spacing w:val="57"/>
          <w:lang w:eastAsia="en-GB"/>
        </w:rPr>
        <w:t xml:space="preserve"> </w:t>
      </w:r>
      <w:r w:rsidRPr="00DB7F92">
        <w:rPr>
          <w:lang w:eastAsia="en-GB"/>
        </w:rPr>
        <w:t xml:space="preserve">others </w:t>
      </w:r>
      <w:r w:rsidRPr="00DB7F92">
        <w:rPr>
          <w:spacing w:val="26"/>
          <w:lang w:eastAsia="en-GB"/>
        </w:rPr>
        <w:t xml:space="preserve"> </w:t>
      </w:r>
      <w:r w:rsidRPr="00DB7F92">
        <w:rPr>
          <w:lang w:eastAsia="en-GB"/>
        </w:rPr>
        <w:t xml:space="preserve">in </w:t>
      </w:r>
      <w:r w:rsidRPr="00DB7F92">
        <w:rPr>
          <w:spacing w:val="26"/>
          <w:lang w:eastAsia="en-GB"/>
        </w:rPr>
        <w:t xml:space="preserve"> </w:t>
      </w:r>
      <w:r w:rsidRPr="00DB7F92">
        <w:rPr>
          <w:lang w:eastAsia="en-GB"/>
        </w:rPr>
        <w:t xml:space="preserve">the </w:t>
      </w:r>
      <w:r w:rsidRPr="00DB7F92">
        <w:rPr>
          <w:spacing w:val="24"/>
          <w:lang w:eastAsia="en-GB"/>
        </w:rPr>
        <w:t xml:space="preserve"> </w:t>
      </w:r>
      <w:r w:rsidRPr="00DB7F92">
        <w:rPr>
          <w:lang w:eastAsia="en-GB"/>
        </w:rPr>
        <w:t xml:space="preserve">healthcare </w:t>
      </w:r>
      <w:r w:rsidRPr="00DB7F92">
        <w:rPr>
          <w:spacing w:val="25"/>
          <w:lang w:eastAsia="en-GB"/>
        </w:rPr>
        <w:t xml:space="preserve"> </w:t>
      </w:r>
      <w:r w:rsidRPr="00DB7F92">
        <w:rPr>
          <w:lang w:eastAsia="en-GB"/>
        </w:rPr>
        <w:t xml:space="preserve">system </w:t>
      </w:r>
      <w:r w:rsidRPr="00DB7F92">
        <w:rPr>
          <w:spacing w:val="25"/>
          <w:lang w:eastAsia="en-GB"/>
        </w:rPr>
        <w:t xml:space="preserve"> </w:t>
      </w:r>
      <w:r w:rsidRPr="00DB7F92">
        <w:rPr>
          <w:lang w:eastAsia="en-GB"/>
        </w:rPr>
        <w:t xml:space="preserve">to </w:t>
      </w:r>
      <w:r w:rsidRPr="00DB7F92">
        <w:rPr>
          <w:spacing w:val="24"/>
          <w:lang w:eastAsia="en-GB"/>
        </w:rPr>
        <w:t xml:space="preserve"> </w:t>
      </w:r>
      <w:r w:rsidRPr="00DB7F92">
        <w:rPr>
          <w:lang w:eastAsia="en-GB"/>
        </w:rPr>
        <w:t xml:space="preserve">act </w:t>
      </w:r>
      <w:r w:rsidRPr="00DB7F92">
        <w:rPr>
          <w:spacing w:val="5"/>
          <w:lang w:eastAsia="en-GB"/>
        </w:rPr>
        <w:t xml:space="preserve"> </w:t>
      </w:r>
      <w:r w:rsidRPr="00DB7F92">
        <w:rPr>
          <w:lang w:eastAsia="en-GB"/>
        </w:rPr>
        <w:t xml:space="preserve">with </w:t>
      </w:r>
      <w:r w:rsidRPr="00DB7F92">
        <w:rPr>
          <w:spacing w:val="8"/>
          <w:lang w:eastAsia="en-GB"/>
        </w:rPr>
        <w:t xml:space="preserve"> </w:t>
      </w:r>
      <w:r w:rsidRPr="00DB7F92">
        <w:rPr>
          <w:lang w:eastAsia="en-GB"/>
        </w:rPr>
        <w:t>autonomy</w:t>
      </w:r>
      <w:r w:rsidRPr="00DB7F92">
        <w:rPr>
          <w:spacing w:val="72"/>
          <w:lang w:eastAsia="en-GB"/>
        </w:rPr>
        <w:t xml:space="preserve"> </w:t>
      </w:r>
      <w:r w:rsidRPr="00DB7F92">
        <w:rPr>
          <w:lang w:eastAsia="en-GB"/>
        </w:rPr>
        <w:t xml:space="preserve">and </w:t>
      </w:r>
      <w:r w:rsidRPr="00DB7F92">
        <w:rPr>
          <w:spacing w:val="24"/>
          <w:lang w:eastAsia="en-GB"/>
        </w:rPr>
        <w:t xml:space="preserve"> </w:t>
      </w:r>
      <w:r w:rsidRPr="00DB7F92">
        <w:rPr>
          <w:lang w:eastAsia="en-GB"/>
        </w:rPr>
        <w:t>avoid imposing unnecessary burdens upon them, so far as this is consistent with the interests of the health service.</w:t>
      </w:r>
    </w:p>
    <w:p w14:paraId="4092C283" w14:textId="77777777" w:rsidR="00DB7F92" w:rsidRPr="00DB7F92" w:rsidRDefault="00DB7F92" w:rsidP="00DB7F92">
      <w:pPr>
        <w:jc w:val="both"/>
        <w:rPr>
          <w:rFonts w:eastAsia="Segoe UI Semilight" w:cs="Arial"/>
          <w:sz w:val="20"/>
          <w:szCs w:val="20"/>
        </w:rPr>
      </w:pPr>
    </w:p>
    <w:p w14:paraId="593CFAD3" w14:textId="77777777" w:rsidR="00DB7F92" w:rsidRPr="00DB7F92" w:rsidRDefault="00DB7F92" w:rsidP="00DB7F92">
      <w:pPr>
        <w:spacing w:before="9"/>
        <w:jc w:val="both"/>
        <w:rPr>
          <w:rFonts w:eastAsia="Segoe UI Semilight" w:cs="Arial"/>
          <w:sz w:val="20"/>
          <w:szCs w:val="20"/>
        </w:rPr>
      </w:pPr>
    </w:p>
    <w:p w14:paraId="136F4553" w14:textId="77777777" w:rsidR="00DB7F92" w:rsidRPr="00DB7F92" w:rsidRDefault="00DB7F92" w:rsidP="00DB7F92">
      <w:pPr>
        <w:ind w:left="1156"/>
        <w:jc w:val="both"/>
        <w:rPr>
          <w:rFonts w:eastAsia="Segoe UI Semilight" w:cs="Arial"/>
          <w:sz w:val="20"/>
          <w:szCs w:val="20"/>
        </w:rPr>
      </w:pPr>
      <w:r w:rsidRPr="00DB7F92">
        <w:rPr>
          <w:rFonts w:eastAsia="Segoe UI Semilight" w:cs="Arial"/>
          <w:noProof/>
          <w:sz w:val="20"/>
          <w:szCs w:val="20"/>
          <w:lang w:eastAsia="en-GB"/>
        </w:rPr>
        <mc:AlternateContent>
          <mc:Choice Requires="wps">
            <w:drawing>
              <wp:inline distT="0" distB="0" distL="0" distR="0" wp14:anchorId="09B66E46" wp14:editId="36B1264F">
                <wp:extent cx="4860290" cy="1181100"/>
                <wp:effectExtent l="0" t="0" r="0" b="0"/>
                <wp:docPr id="1989" name="Text Box 1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1181100"/>
                        </a:xfrm>
                        <a:prstGeom prst="rect">
                          <a:avLst/>
                        </a:prstGeom>
                        <a:solidFill>
                          <a:srgbClr val="1C6C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1BFD84" w14:textId="77777777" w:rsidR="00622FF2" w:rsidRPr="004E0302" w:rsidRDefault="00622FF2" w:rsidP="00DB7F92">
                            <w:pPr>
                              <w:spacing w:before="213"/>
                              <w:ind w:left="225"/>
                              <w:jc w:val="both"/>
                              <w:rPr>
                                <w:rFonts w:eastAsia="Tw Cen MT Condensed Extra Bold" w:cs="Arial"/>
                                <w:sz w:val="20"/>
                                <w:szCs w:val="20"/>
                              </w:rPr>
                            </w:pPr>
                            <w:r w:rsidRPr="004E0302">
                              <w:rPr>
                                <w:rFonts w:cs="Arial"/>
                                <w:b/>
                                <w:color w:val="FFFFFF"/>
                                <w:sz w:val="20"/>
                                <w:szCs w:val="20"/>
                              </w:rPr>
                              <w:t>Example:</w:t>
                            </w:r>
                          </w:p>
                          <w:p w14:paraId="14D99DFA" w14:textId="77777777" w:rsidR="00622FF2" w:rsidRPr="004E0302" w:rsidRDefault="00622FF2" w:rsidP="00DB7F92">
                            <w:pPr>
                              <w:spacing w:before="12"/>
                              <w:rPr>
                                <w:rFonts w:eastAsia="Segoe UI Semilight" w:cs="Arial"/>
                                <w:sz w:val="20"/>
                                <w:szCs w:val="20"/>
                              </w:rPr>
                            </w:pPr>
                          </w:p>
                          <w:p w14:paraId="7B8E3E4F" w14:textId="77777777" w:rsidR="00622FF2" w:rsidRPr="004E0302" w:rsidRDefault="00622FF2" w:rsidP="00DB7F92">
                            <w:pPr>
                              <w:ind w:left="225" w:right="225"/>
                              <w:jc w:val="both"/>
                              <w:rPr>
                                <w:rFonts w:eastAsia="Segoe UI Semilight" w:cs="Arial"/>
                                <w:sz w:val="20"/>
                                <w:szCs w:val="20"/>
                              </w:rPr>
                            </w:pPr>
                            <w:r w:rsidRPr="004E0302">
                              <w:rPr>
                                <w:rFonts w:cs="Arial"/>
                                <w:color w:val="FFFFFF"/>
                                <w:spacing w:val="-1"/>
                                <w:sz w:val="20"/>
                                <w:szCs w:val="20"/>
                              </w:rPr>
                              <w:t>NHS</w:t>
                            </w:r>
                            <w:r w:rsidRPr="004E0302">
                              <w:rPr>
                                <w:rFonts w:cs="Arial"/>
                                <w:color w:val="FFFFFF"/>
                                <w:sz w:val="20"/>
                                <w:szCs w:val="20"/>
                              </w:rPr>
                              <w:t xml:space="preserve"> </w:t>
                            </w:r>
                            <w:r w:rsidRPr="004E0302">
                              <w:rPr>
                                <w:rFonts w:cs="Arial"/>
                                <w:color w:val="FFFFFF"/>
                                <w:spacing w:val="-1"/>
                                <w:sz w:val="20"/>
                                <w:szCs w:val="20"/>
                              </w:rPr>
                              <w:t>England</w:t>
                            </w:r>
                            <w:r w:rsidRPr="004E0302">
                              <w:rPr>
                                <w:rFonts w:cs="Arial"/>
                                <w:color w:val="FFFFFF"/>
                                <w:spacing w:val="1"/>
                                <w:sz w:val="20"/>
                                <w:szCs w:val="20"/>
                              </w:rPr>
                              <w:t xml:space="preserve"> </w:t>
                            </w:r>
                            <w:r w:rsidRPr="004E0302">
                              <w:rPr>
                                <w:rFonts w:cs="Arial"/>
                                <w:color w:val="FFFFFF"/>
                                <w:spacing w:val="-1"/>
                                <w:sz w:val="20"/>
                                <w:szCs w:val="20"/>
                              </w:rPr>
                              <w:t>is</w:t>
                            </w:r>
                            <w:r w:rsidRPr="004E0302">
                              <w:rPr>
                                <w:rFonts w:cs="Arial"/>
                                <w:color w:val="FFFFFF"/>
                                <w:spacing w:val="2"/>
                                <w:sz w:val="20"/>
                                <w:szCs w:val="20"/>
                              </w:rPr>
                              <w:t xml:space="preserve"> </w:t>
                            </w:r>
                            <w:r w:rsidRPr="004E0302">
                              <w:rPr>
                                <w:rFonts w:cs="Arial"/>
                                <w:color w:val="FFFFFF"/>
                                <w:spacing w:val="-1"/>
                                <w:sz w:val="20"/>
                                <w:szCs w:val="20"/>
                              </w:rPr>
                              <w:t>considering</w:t>
                            </w:r>
                            <w:r w:rsidRPr="004E0302">
                              <w:rPr>
                                <w:rFonts w:cs="Arial"/>
                                <w:color w:val="FFFFFF"/>
                                <w:spacing w:val="1"/>
                                <w:sz w:val="20"/>
                                <w:szCs w:val="20"/>
                              </w:rPr>
                              <w:t xml:space="preserve"> </w:t>
                            </w:r>
                            <w:r w:rsidRPr="004E0302">
                              <w:rPr>
                                <w:rFonts w:cs="Arial"/>
                                <w:color w:val="FFFFFF"/>
                                <w:spacing w:val="-1"/>
                                <w:sz w:val="20"/>
                                <w:szCs w:val="20"/>
                              </w:rPr>
                              <w:t>commissioning</w:t>
                            </w:r>
                            <w:r w:rsidRPr="004E0302">
                              <w:rPr>
                                <w:rFonts w:cs="Arial"/>
                                <w:color w:val="FFFFFF"/>
                                <w:sz w:val="20"/>
                                <w:szCs w:val="20"/>
                              </w:rPr>
                              <w:t xml:space="preserve"> new</w:t>
                            </w:r>
                            <w:r w:rsidRPr="004E0302">
                              <w:rPr>
                                <w:rFonts w:cs="Arial"/>
                                <w:color w:val="FFFFFF"/>
                                <w:spacing w:val="2"/>
                                <w:sz w:val="20"/>
                                <w:szCs w:val="20"/>
                              </w:rPr>
                              <w:t xml:space="preserve"> </w:t>
                            </w:r>
                            <w:r w:rsidRPr="004E0302">
                              <w:rPr>
                                <w:rFonts w:cs="Arial"/>
                                <w:color w:val="FFFFFF"/>
                                <w:spacing w:val="-1"/>
                                <w:sz w:val="20"/>
                                <w:szCs w:val="20"/>
                              </w:rPr>
                              <w:t>primary</w:t>
                            </w:r>
                            <w:r w:rsidRPr="004E0302">
                              <w:rPr>
                                <w:rFonts w:cs="Arial"/>
                                <w:color w:val="FFFFFF"/>
                                <w:spacing w:val="1"/>
                                <w:sz w:val="20"/>
                                <w:szCs w:val="20"/>
                              </w:rPr>
                              <w:t xml:space="preserve"> </w:t>
                            </w:r>
                            <w:r w:rsidRPr="004E0302">
                              <w:rPr>
                                <w:rFonts w:cs="Arial"/>
                                <w:color w:val="FFFFFF"/>
                                <w:spacing w:val="-1"/>
                                <w:sz w:val="20"/>
                                <w:szCs w:val="20"/>
                              </w:rPr>
                              <w:t>care</w:t>
                            </w:r>
                            <w:r w:rsidRPr="004E0302">
                              <w:rPr>
                                <w:rFonts w:cs="Arial"/>
                                <w:color w:val="FFFFFF"/>
                                <w:spacing w:val="1"/>
                                <w:sz w:val="20"/>
                                <w:szCs w:val="20"/>
                              </w:rPr>
                              <w:t xml:space="preserve"> </w:t>
                            </w:r>
                            <w:r w:rsidRPr="004E0302">
                              <w:rPr>
                                <w:rFonts w:cs="Arial"/>
                                <w:color w:val="FFFFFF"/>
                                <w:spacing w:val="-1"/>
                                <w:sz w:val="20"/>
                                <w:szCs w:val="20"/>
                              </w:rPr>
                              <w:t>services</w:t>
                            </w:r>
                            <w:r w:rsidRPr="004E0302">
                              <w:rPr>
                                <w:rFonts w:cs="Arial"/>
                                <w:color w:val="FFFFFF"/>
                                <w:spacing w:val="54"/>
                                <w:w w:val="99"/>
                                <w:sz w:val="20"/>
                                <w:szCs w:val="20"/>
                              </w:rPr>
                              <w:t xml:space="preserve"> </w:t>
                            </w:r>
                            <w:r w:rsidRPr="004E0302">
                              <w:rPr>
                                <w:rFonts w:cs="Arial"/>
                                <w:color w:val="FFFFFF"/>
                                <w:spacing w:val="-1"/>
                                <w:sz w:val="20"/>
                                <w:szCs w:val="20"/>
                              </w:rPr>
                              <w:t>in</w:t>
                            </w:r>
                            <w:r w:rsidRPr="004E0302">
                              <w:rPr>
                                <w:rFonts w:cs="Arial"/>
                                <w:color w:val="FFFFFF"/>
                                <w:spacing w:val="6"/>
                                <w:sz w:val="20"/>
                                <w:szCs w:val="20"/>
                              </w:rPr>
                              <w:t xml:space="preserve"> </w:t>
                            </w:r>
                            <w:r w:rsidRPr="004E0302">
                              <w:rPr>
                                <w:rFonts w:cs="Arial"/>
                                <w:color w:val="FFFFFF"/>
                                <w:sz w:val="20"/>
                                <w:szCs w:val="20"/>
                              </w:rPr>
                              <w:t>a</w:t>
                            </w:r>
                            <w:r w:rsidRPr="004E0302">
                              <w:rPr>
                                <w:rFonts w:cs="Arial"/>
                                <w:color w:val="FFFFFF"/>
                                <w:spacing w:val="7"/>
                                <w:sz w:val="20"/>
                                <w:szCs w:val="20"/>
                              </w:rPr>
                              <w:t xml:space="preserve"> </w:t>
                            </w:r>
                            <w:r w:rsidRPr="004E0302">
                              <w:rPr>
                                <w:rFonts w:cs="Arial"/>
                                <w:color w:val="FFFFFF"/>
                                <w:spacing w:val="-1"/>
                                <w:sz w:val="20"/>
                                <w:szCs w:val="20"/>
                              </w:rPr>
                              <w:t>particular</w:t>
                            </w:r>
                            <w:r w:rsidRPr="004E0302">
                              <w:rPr>
                                <w:rFonts w:cs="Arial"/>
                                <w:color w:val="FFFFFF"/>
                                <w:spacing w:val="10"/>
                                <w:sz w:val="20"/>
                                <w:szCs w:val="20"/>
                              </w:rPr>
                              <w:t xml:space="preserve"> </w:t>
                            </w:r>
                            <w:r w:rsidRPr="004E0302">
                              <w:rPr>
                                <w:rFonts w:cs="Arial"/>
                                <w:color w:val="FFFFFF"/>
                                <w:spacing w:val="-1"/>
                                <w:sz w:val="20"/>
                                <w:szCs w:val="20"/>
                              </w:rPr>
                              <w:t>area.</w:t>
                            </w:r>
                            <w:r w:rsidRPr="004E0302">
                              <w:rPr>
                                <w:rFonts w:cs="Arial"/>
                                <w:color w:val="FFFFFF"/>
                                <w:spacing w:val="18"/>
                                <w:sz w:val="20"/>
                                <w:szCs w:val="20"/>
                              </w:rPr>
                              <w:t xml:space="preserve"> </w:t>
                            </w:r>
                            <w:r w:rsidRPr="004E0302">
                              <w:rPr>
                                <w:rFonts w:cs="Arial"/>
                                <w:color w:val="FFFFFF"/>
                                <w:spacing w:val="-1"/>
                                <w:sz w:val="20"/>
                                <w:szCs w:val="20"/>
                              </w:rPr>
                              <w:t>When</w:t>
                            </w:r>
                            <w:r w:rsidRPr="004E0302">
                              <w:rPr>
                                <w:rFonts w:cs="Arial"/>
                                <w:color w:val="FFFFFF"/>
                                <w:spacing w:val="7"/>
                                <w:sz w:val="20"/>
                                <w:szCs w:val="20"/>
                              </w:rPr>
                              <w:t xml:space="preserve"> </w:t>
                            </w:r>
                            <w:r w:rsidRPr="004E0302">
                              <w:rPr>
                                <w:rFonts w:cs="Arial"/>
                                <w:color w:val="FFFFFF"/>
                                <w:spacing w:val="-1"/>
                                <w:sz w:val="20"/>
                                <w:szCs w:val="20"/>
                              </w:rPr>
                              <w:t>deciding</w:t>
                            </w:r>
                            <w:r w:rsidRPr="004E0302">
                              <w:rPr>
                                <w:rFonts w:cs="Arial"/>
                                <w:color w:val="FFFFFF"/>
                                <w:spacing w:val="9"/>
                                <w:sz w:val="20"/>
                                <w:szCs w:val="20"/>
                              </w:rPr>
                              <w:t xml:space="preserve"> </w:t>
                            </w:r>
                            <w:r w:rsidRPr="004E0302">
                              <w:rPr>
                                <w:rFonts w:cs="Arial"/>
                                <w:color w:val="FFFFFF"/>
                                <w:spacing w:val="-1"/>
                                <w:sz w:val="20"/>
                                <w:szCs w:val="20"/>
                              </w:rPr>
                              <w:t>what</w:t>
                            </w:r>
                            <w:r w:rsidRPr="004E0302">
                              <w:rPr>
                                <w:rFonts w:cs="Arial"/>
                                <w:color w:val="FFFFFF"/>
                                <w:spacing w:val="8"/>
                                <w:sz w:val="20"/>
                                <w:szCs w:val="20"/>
                              </w:rPr>
                              <w:t xml:space="preserve"> </w:t>
                            </w:r>
                            <w:r w:rsidRPr="004E0302">
                              <w:rPr>
                                <w:rFonts w:cs="Arial"/>
                                <w:color w:val="FFFFFF"/>
                                <w:spacing w:val="-1"/>
                                <w:sz w:val="20"/>
                                <w:szCs w:val="20"/>
                              </w:rPr>
                              <w:t>type</w:t>
                            </w:r>
                            <w:r w:rsidRPr="004E0302">
                              <w:rPr>
                                <w:rFonts w:cs="Arial"/>
                                <w:color w:val="FFFFFF"/>
                                <w:spacing w:val="9"/>
                                <w:sz w:val="20"/>
                                <w:szCs w:val="20"/>
                              </w:rPr>
                              <w:t xml:space="preserve"> </w:t>
                            </w:r>
                            <w:r w:rsidRPr="004E0302">
                              <w:rPr>
                                <w:rFonts w:cs="Arial"/>
                                <w:color w:val="FFFFFF"/>
                                <w:spacing w:val="-1"/>
                                <w:sz w:val="20"/>
                                <w:szCs w:val="20"/>
                              </w:rPr>
                              <w:t>of</w:t>
                            </w:r>
                            <w:r w:rsidRPr="004E0302">
                              <w:rPr>
                                <w:rFonts w:cs="Arial"/>
                                <w:color w:val="FFFFFF"/>
                                <w:spacing w:val="8"/>
                                <w:sz w:val="20"/>
                                <w:szCs w:val="20"/>
                              </w:rPr>
                              <w:t xml:space="preserve"> </w:t>
                            </w:r>
                            <w:r w:rsidRPr="004E0302">
                              <w:rPr>
                                <w:rFonts w:cs="Arial"/>
                                <w:color w:val="FFFFFF"/>
                                <w:spacing w:val="-1"/>
                                <w:sz w:val="20"/>
                                <w:szCs w:val="20"/>
                              </w:rPr>
                              <w:t>contract</w:t>
                            </w:r>
                            <w:r w:rsidRPr="004E0302">
                              <w:rPr>
                                <w:rFonts w:cs="Arial"/>
                                <w:color w:val="FFFFFF"/>
                                <w:spacing w:val="8"/>
                                <w:sz w:val="20"/>
                                <w:szCs w:val="20"/>
                              </w:rPr>
                              <w:t xml:space="preserve"> </w:t>
                            </w:r>
                            <w:r w:rsidRPr="004E0302">
                              <w:rPr>
                                <w:rFonts w:cs="Arial"/>
                                <w:color w:val="FFFFFF"/>
                                <w:spacing w:val="-1"/>
                                <w:sz w:val="20"/>
                                <w:szCs w:val="20"/>
                              </w:rPr>
                              <w:t>it</w:t>
                            </w:r>
                            <w:r w:rsidRPr="004E0302">
                              <w:rPr>
                                <w:rFonts w:cs="Arial"/>
                                <w:color w:val="FFFFFF"/>
                                <w:spacing w:val="8"/>
                                <w:sz w:val="20"/>
                                <w:szCs w:val="20"/>
                              </w:rPr>
                              <w:t xml:space="preserve"> </w:t>
                            </w:r>
                            <w:r w:rsidRPr="004E0302">
                              <w:rPr>
                                <w:rFonts w:cs="Arial"/>
                                <w:color w:val="FFFFFF"/>
                                <w:spacing w:val="-1"/>
                                <w:sz w:val="20"/>
                                <w:szCs w:val="20"/>
                              </w:rPr>
                              <w:t>wants</w:t>
                            </w:r>
                            <w:r w:rsidRPr="004E0302">
                              <w:rPr>
                                <w:rFonts w:cs="Arial"/>
                                <w:color w:val="FFFFFF"/>
                                <w:spacing w:val="8"/>
                                <w:sz w:val="20"/>
                                <w:szCs w:val="20"/>
                              </w:rPr>
                              <w:t xml:space="preserve"> </w:t>
                            </w:r>
                            <w:r w:rsidRPr="004E0302">
                              <w:rPr>
                                <w:rFonts w:cs="Arial"/>
                                <w:color w:val="FFFFFF"/>
                                <w:sz w:val="20"/>
                                <w:szCs w:val="20"/>
                              </w:rPr>
                              <w:t>to</w:t>
                            </w:r>
                            <w:r w:rsidRPr="004E0302">
                              <w:rPr>
                                <w:rFonts w:cs="Arial"/>
                                <w:color w:val="FFFFFF"/>
                                <w:spacing w:val="61"/>
                                <w:sz w:val="20"/>
                                <w:szCs w:val="20"/>
                              </w:rPr>
                              <w:t xml:space="preserve"> </w:t>
                            </w:r>
                            <w:r w:rsidRPr="004E0302">
                              <w:rPr>
                                <w:rFonts w:cs="Arial"/>
                                <w:color w:val="FFFFFF"/>
                                <w:spacing w:val="-1"/>
                                <w:sz w:val="20"/>
                                <w:szCs w:val="20"/>
                              </w:rPr>
                              <w:t>award</w:t>
                            </w:r>
                            <w:r w:rsidRPr="004E0302">
                              <w:rPr>
                                <w:rFonts w:cs="Arial"/>
                                <w:color w:val="FFFFFF"/>
                                <w:spacing w:val="1"/>
                                <w:sz w:val="20"/>
                                <w:szCs w:val="20"/>
                              </w:rPr>
                              <w:t xml:space="preserve"> </w:t>
                            </w:r>
                            <w:r w:rsidRPr="004E0302">
                              <w:rPr>
                                <w:rFonts w:cs="Arial"/>
                                <w:color w:val="FFFFFF"/>
                                <w:spacing w:val="-1"/>
                                <w:sz w:val="20"/>
                                <w:szCs w:val="20"/>
                              </w:rPr>
                              <w:t>(GMS,</w:t>
                            </w:r>
                            <w:r w:rsidRPr="004E0302">
                              <w:rPr>
                                <w:rFonts w:cs="Arial"/>
                                <w:color w:val="FFFFFF"/>
                                <w:spacing w:val="2"/>
                                <w:sz w:val="20"/>
                                <w:szCs w:val="20"/>
                              </w:rPr>
                              <w:t xml:space="preserve"> </w:t>
                            </w:r>
                            <w:r w:rsidRPr="004E0302">
                              <w:rPr>
                                <w:rFonts w:cs="Arial"/>
                                <w:color w:val="FFFFFF"/>
                                <w:sz w:val="20"/>
                                <w:szCs w:val="20"/>
                              </w:rPr>
                              <w:t>PMS</w:t>
                            </w:r>
                            <w:r w:rsidRPr="004E0302">
                              <w:rPr>
                                <w:rFonts w:cs="Arial"/>
                                <w:color w:val="FFFFFF"/>
                                <w:spacing w:val="1"/>
                                <w:sz w:val="20"/>
                                <w:szCs w:val="20"/>
                              </w:rPr>
                              <w:t xml:space="preserve"> </w:t>
                            </w:r>
                            <w:r w:rsidRPr="004E0302">
                              <w:rPr>
                                <w:rFonts w:cs="Arial"/>
                                <w:color w:val="FFFFFF"/>
                                <w:spacing w:val="-1"/>
                                <w:sz w:val="20"/>
                                <w:szCs w:val="20"/>
                              </w:rPr>
                              <w:t>or</w:t>
                            </w:r>
                            <w:r w:rsidRPr="004E0302">
                              <w:rPr>
                                <w:rFonts w:cs="Arial"/>
                                <w:color w:val="FFFFFF"/>
                                <w:spacing w:val="5"/>
                                <w:sz w:val="20"/>
                                <w:szCs w:val="20"/>
                              </w:rPr>
                              <w:t xml:space="preserve"> </w:t>
                            </w:r>
                            <w:r w:rsidRPr="004E0302">
                              <w:rPr>
                                <w:rFonts w:cs="Arial"/>
                                <w:color w:val="FFFFFF"/>
                                <w:spacing w:val="-1"/>
                                <w:sz w:val="20"/>
                                <w:szCs w:val="20"/>
                              </w:rPr>
                              <w:t>APMS)</w:t>
                            </w:r>
                            <w:r w:rsidRPr="004E0302">
                              <w:rPr>
                                <w:rFonts w:cs="Arial"/>
                                <w:color w:val="FFFFFF"/>
                                <w:spacing w:val="1"/>
                                <w:sz w:val="20"/>
                                <w:szCs w:val="20"/>
                              </w:rPr>
                              <w:t xml:space="preserve"> </w:t>
                            </w:r>
                            <w:r w:rsidRPr="004E0302">
                              <w:rPr>
                                <w:rFonts w:cs="Arial"/>
                                <w:color w:val="FFFFFF"/>
                                <w:spacing w:val="-1"/>
                                <w:sz w:val="20"/>
                                <w:szCs w:val="20"/>
                              </w:rPr>
                              <w:t>it</w:t>
                            </w:r>
                            <w:r w:rsidRPr="004E0302">
                              <w:rPr>
                                <w:rFonts w:cs="Arial"/>
                                <w:color w:val="FFFFFF"/>
                                <w:spacing w:val="2"/>
                                <w:sz w:val="20"/>
                                <w:szCs w:val="20"/>
                              </w:rPr>
                              <w:t xml:space="preserve"> </w:t>
                            </w:r>
                            <w:r w:rsidRPr="004E0302">
                              <w:rPr>
                                <w:rFonts w:cs="Arial"/>
                                <w:color w:val="FFFFFF"/>
                                <w:spacing w:val="-1"/>
                                <w:sz w:val="20"/>
                                <w:szCs w:val="20"/>
                              </w:rPr>
                              <w:t>should</w:t>
                            </w:r>
                            <w:r w:rsidRPr="004E0302">
                              <w:rPr>
                                <w:rFonts w:cs="Arial"/>
                                <w:color w:val="FFFFFF"/>
                                <w:spacing w:val="2"/>
                                <w:sz w:val="20"/>
                                <w:szCs w:val="20"/>
                              </w:rPr>
                              <w:t xml:space="preserve"> </w:t>
                            </w:r>
                            <w:r w:rsidRPr="004E0302">
                              <w:rPr>
                                <w:rFonts w:cs="Arial"/>
                                <w:color w:val="FFFFFF"/>
                                <w:sz w:val="20"/>
                                <w:szCs w:val="20"/>
                              </w:rPr>
                              <w:t>weigh</w:t>
                            </w:r>
                            <w:r w:rsidRPr="004E0302">
                              <w:rPr>
                                <w:rFonts w:cs="Arial"/>
                                <w:color w:val="FFFFFF"/>
                                <w:spacing w:val="2"/>
                                <w:sz w:val="20"/>
                                <w:szCs w:val="20"/>
                              </w:rPr>
                              <w:t xml:space="preserve"> </w:t>
                            </w:r>
                            <w:r w:rsidRPr="004E0302">
                              <w:rPr>
                                <w:rFonts w:cs="Arial"/>
                                <w:color w:val="FFFFFF"/>
                                <w:spacing w:val="-1"/>
                                <w:sz w:val="20"/>
                                <w:szCs w:val="20"/>
                              </w:rPr>
                              <w:t>in</w:t>
                            </w:r>
                            <w:r w:rsidRPr="004E0302">
                              <w:rPr>
                                <w:rFonts w:cs="Arial"/>
                                <w:color w:val="FFFFFF"/>
                                <w:spacing w:val="2"/>
                                <w:sz w:val="20"/>
                                <w:szCs w:val="20"/>
                              </w:rPr>
                              <w:t xml:space="preserve"> </w:t>
                            </w:r>
                            <w:r w:rsidRPr="004E0302">
                              <w:rPr>
                                <w:rFonts w:cs="Arial"/>
                                <w:color w:val="FFFFFF"/>
                                <w:spacing w:val="-1"/>
                                <w:sz w:val="20"/>
                                <w:szCs w:val="20"/>
                              </w:rPr>
                              <w:t>the</w:t>
                            </w:r>
                            <w:r w:rsidRPr="004E0302">
                              <w:rPr>
                                <w:rFonts w:cs="Arial"/>
                                <w:color w:val="FFFFFF"/>
                                <w:spacing w:val="4"/>
                                <w:sz w:val="20"/>
                                <w:szCs w:val="20"/>
                              </w:rPr>
                              <w:t xml:space="preserve"> </w:t>
                            </w:r>
                            <w:r w:rsidRPr="004E0302">
                              <w:rPr>
                                <w:rFonts w:cs="Arial"/>
                                <w:color w:val="FFFFFF"/>
                                <w:spacing w:val="-1"/>
                                <w:sz w:val="20"/>
                                <w:szCs w:val="20"/>
                              </w:rPr>
                              <w:t>balance</w:t>
                            </w:r>
                            <w:r w:rsidRPr="004E0302">
                              <w:rPr>
                                <w:rFonts w:cs="Arial"/>
                                <w:color w:val="FFFFFF"/>
                                <w:spacing w:val="1"/>
                                <w:sz w:val="20"/>
                                <w:szCs w:val="20"/>
                              </w:rPr>
                              <w:t xml:space="preserve"> </w:t>
                            </w:r>
                            <w:r w:rsidRPr="004E0302">
                              <w:rPr>
                                <w:rFonts w:cs="Arial"/>
                                <w:color w:val="FFFFFF"/>
                                <w:sz w:val="20"/>
                                <w:szCs w:val="20"/>
                              </w:rPr>
                              <w:t>the</w:t>
                            </w:r>
                            <w:r w:rsidRPr="004E0302">
                              <w:rPr>
                                <w:rFonts w:cs="Arial"/>
                                <w:color w:val="FFFFFF"/>
                                <w:spacing w:val="51"/>
                                <w:w w:val="99"/>
                                <w:sz w:val="20"/>
                                <w:szCs w:val="20"/>
                              </w:rPr>
                              <w:t xml:space="preserve"> </w:t>
                            </w:r>
                            <w:r w:rsidRPr="004E0302">
                              <w:rPr>
                                <w:rFonts w:cs="Arial"/>
                                <w:color w:val="FFFFFF"/>
                                <w:spacing w:val="-1"/>
                                <w:sz w:val="20"/>
                                <w:szCs w:val="20"/>
                              </w:rPr>
                              <w:t>desirability</w:t>
                            </w:r>
                            <w:r w:rsidRPr="004E0302">
                              <w:rPr>
                                <w:rFonts w:cs="Arial"/>
                                <w:color w:val="FFFFFF"/>
                                <w:spacing w:val="-2"/>
                                <w:sz w:val="20"/>
                                <w:szCs w:val="20"/>
                              </w:rPr>
                              <w:t xml:space="preserve"> </w:t>
                            </w:r>
                            <w:r w:rsidRPr="004E0302">
                              <w:rPr>
                                <w:rFonts w:cs="Arial"/>
                                <w:color w:val="FFFFFF"/>
                                <w:spacing w:val="-1"/>
                                <w:sz w:val="20"/>
                                <w:szCs w:val="20"/>
                              </w:rPr>
                              <w:t>of</w:t>
                            </w:r>
                            <w:r w:rsidRPr="004E0302">
                              <w:rPr>
                                <w:rFonts w:cs="Arial"/>
                                <w:color w:val="FFFFFF"/>
                                <w:spacing w:val="-6"/>
                                <w:sz w:val="20"/>
                                <w:szCs w:val="20"/>
                              </w:rPr>
                              <w:t xml:space="preserve"> </w:t>
                            </w:r>
                            <w:r w:rsidRPr="004E0302">
                              <w:rPr>
                                <w:rFonts w:cs="Arial"/>
                                <w:color w:val="FFFFFF"/>
                                <w:sz w:val="20"/>
                                <w:szCs w:val="20"/>
                              </w:rPr>
                              <w:t>the</w:t>
                            </w:r>
                            <w:r w:rsidRPr="004E0302">
                              <w:rPr>
                                <w:rFonts w:cs="Arial"/>
                                <w:color w:val="FFFFFF"/>
                                <w:spacing w:val="-4"/>
                                <w:sz w:val="20"/>
                                <w:szCs w:val="20"/>
                              </w:rPr>
                              <w:t xml:space="preserve"> </w:t>
                            </w:r>
                            <w:r w:rsidRPr="004E0302">
                              <w:rPr>
                                <w:rFonts w:cs="Arial"/>
                                <w:color w:val="FFFFFF"/>
                                <w:spacing w:val="-1"/>
                                <w:sz w:val="20"/>
                                <w:szCs w:val="20"/>
                              </w:rPr>
                              <w:t>extra</w:t>
                            </w:r>
                            <w:r w:rsidRPr="004E0302">
                              <w:rPr>
                                <w:rFonts w:cs="Arial"/>
                                <w:color w:val="FFFFFF"/>
                                <w:sz w:val="20"/>
                                <w:szCs w:val="20"/>
                              </w:rPr>
                              <w:t xml:space="preserve"> </w:t>
                            </w:r>
                            <w:r w:rsidRPr="004E0302">
                              <w:rPr>
                                <w:rFonts w:cs="Arial"/>
                                <w:color w:val="FFFFFF"/>
                                <w:spacing w:val="-1"/>
                                <w:sz w:val="20"/>
                                <w:szCs w:val="20"/>
                              </w:rPr>
                              <w:t>autonomy</w:t>
                            </w:r>
                            <w:r w:rsidRPr="004E0302">
                              <w:rPr>
                                <w:rFonts w:cs="Arial"/>
                                <w:color w:val="FFFFFF"/>
                                <w:spacing w:val="-4"/>
                                <w:sz w:val="20"/>
                                <w:szCs w:val="20"/>
                              </w:rPr>
                              <w:t xml:space="preserve"> </w:t>
                            </w:r>
                            <w:r w:rsidRPr="004E0302">
                              <w:rPr>
                                <w:rFonts w:cs="Arial"/>
                                <w:color w:val="FFFFFF"/>
                                <w:sz w:val="20"/>
                                <w:szCs w:val="20"/>
                              </w:rPr>
                              <w:t>a</w:t>
                            </w:r>
                            <w:r w:rsidRPr="004E0302">
                              <w:rPr>
                                <w:rFonts w:cs="Arial"/>
                                <w:color w:val="FFFFFF"/>
                                <w:spacing w:val="-2"/>
                                <w:sz w:val="20"/>
                                <w:szCs w:val="20"/>
                              </w:rPr>
                              <w:t xml:space="preserve"> </w:t>
                            </w:r>
                            <w:r w:rsidRPr="004E0302">
                              <w:rPr>
                                <w:rFonts w:cs="Arial"/>
                                <w:color w:val="FFFFFF"/>
                                <w:sz w:val="20"/>
                                <w:szCs w:val="20"/>
                              </w:rPr>
                              <w:t>PMS</w:t>
                            </w:r>
                            <w:r w:rsidRPr="004E0302">
                              <w:rPr>
                                <w:rFonts w:cs="Arial"/>
                                <w:color w:val="FFFFFF"/>
                                <w:spacing w:val="-4"/>
                                <w:sz w:val="20"/>
                                <w:szCs w:val="20"/>
                              </w:rPr>
                              <w:t xml:space="preserve"> </w:t>
                            </w:r>
                            <w:r w:rsidRPr="004E0302">
                              <w:rPr>
                                <w:rFonts w:cs="Arial"/>
                                <w:color w:val="FFFFFF"/>
                                <w:spacing w:val="-1"/>
                                <w:sz w:val="20"/>
                                <w:szCs w:val="20"/>
                              </w:rPr>
                              <w:t>or</w:t>
                            </w:r>
                            <w:r w:rsidRPr="004E0302">
                              <w:rPr>
                                <w:rFonts w:cs="Arial"/>
                                <w:color w:val="FFFFFF"/>
                                <w:spacing w:val="-2"/>
                                <w:sz w:val="20"/>
                                <w:szCs w:val="20"/>
                              </w:rPr>
                              <w:t xml:space="preserve"> </w:t>
                            </w:r>
                            <w:r w:rsidRPr="004E0302">
                              <w:rPr>
                                <w:rFonts w:cs="Arial"/>
                                <w:color w:val="FFFFFF"/>
                                <w:sz w:val="20"/>
                                <w:szCs w:val="20"/>
                              </w:rPr>
                              <w:t>APMS</w:t>
                            </w:r>
                            <w:r w:rsidRPr="004E0302">
                              <w:rPr>
                                <w:rFonts w:cs="Arial"/>
                                <w:color w:val="FFFFFF"/>
                                <w:spacing w:val="-5"/>
                                <w:sz w:val="20"/>
                                <w:szCs w:val="20"/>
                              </w:rPr>
                              <w:t xml:space="preserve"> </w:t>
                            </w:r>
                            <w:r w:rsidRPr="004E0302">
                              <w:rPr>
                                <w:rFonts w:cs="Arial"/>
                                <w:color w:val="FFFFFF"/>
                                <w:spacing w:val="-1"/>
                                <w:sz w:val="20"/>
                                <w:szCs w:val="20"/>
                              </w:rPr>
                              <w:t>contract offers.</w:t>
                            </w:r>
                          </w:p>
                        </w:txbxContent>
                      </wps:txbx>
                      <wps:bodyPr rot="0" vert="horz" wrap="square" lIns="0" tIns="0" rIns="0" bIns="0" anchor="t" anchorCtr="0" upright="1">
                        <a:noAutofit/>
                      </wps:bodyPr>
                    </wps:wsp>
                  </a:graphicData>
                </a:graphic>
              </wp:inline>
            </w:drawing>
          </mc:Choice>
          <mc:Fallback>
            <w:pict>
              <v:shape id="Text Box 1907" o:spid="_x0000_s1029" type="#_x0000_t202" style="width:382.7pt;height:9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" fillcolor="#1c6cb4" stroked="f">
                <v:textbox inset="0,0,0,0">
                  <w:txbxContent>
                    <w:p w14:paraId="681BFD84" w14:textId="77777777" w:rsidR="00622FF2" w:rsidRPr="004E0302" w:rsidRDefault="00622FF2" w:rsidP="00DB7F92">
                      <w:pPr>
                        <w:spacing w:before="213"/>
                        <w:ind w:left="225"/>
                        <w:jc w:val="both"/>
                        <w:rPr>
                          <w:rFonts w:eastAsia="Tw Cen MT Condensed Extra Bold" w:cs="Arial"/>
                          <w:sz w:val="20"/>
                          <w:szCs w:val="20"/>
                        </w:rPr>
                      </w:pPr>
                      <w:r w:rsidRPr="004E0302">
                        <w:rPr>
                          <w:rFonts w:cs="Arial"/>
                          <w:b/>
                          <w:color w:val="FFFFFF"/>
                          <w:sz w:val="20"/>
                          <w:szCs w:val="20"/>
                        </w:rPr>
                        <w:t>Example:</w:t>
                      </w:r>
                    </w:p>
                    <w:p w14:paraId="14D99DFA" w14:textId="77777777" w:rsidR="00622FF2" w:rsidRPr="004E0302" w:rsidRDefault="00622FF2" w:rsidP="00DB7F92">
                      <w:pPr>
                        <w:spacing w:before="12"/>
                        <w:rPr>
                          <w:rFonts w:eastAsia="Segoe UI Semilight" w:cs="Arial"/>
                          <w:sz w:val="20"/>
                          <w:szCs w:val="20"/>
                        </w:rPr>
                      </w:pPr>
                    </w:p>
                    <w:p w14:paraId="7B8E3E4F" w14:textId="77777777" w:rsidR="00622FF2" w:rsidRPr="004E0302" w:rsidRDefault="00622FF2" w:rsidP="00DB7F92">
                      <w:pPr>
                        <w:ind w:left="225" w:right="225"/>
                        <w:jc w:val="both"/>
                        <w:rPr>
                          <w:rFonts w:eastAsia="Segoe UI Semilight" w:cs="Arial"/>
                          <w:sz w:val="20"/>
                          <w:szCs w:val="20"/>
                        </w:rPr>
                      </w:pPr>
                      <w:r w:rsidRPr="004E0302">
                        <w:rPr>
                          <w:rFonts w:cs="Arial"/>
                          <w:color w:val="FFFFFF"/>
                          <w:spacing w:val="-1"/>
                          <w:sz w:val="20"/>
                          <w:szCs w:val="20"/>
                        </w:rPr>
                        <w:t>NHS</w:t>
                      </w:r>
                      <w:r w:rsidRPr="004E0302">
                        <w:rPr>
                          <w:rFonts w:cs="Arial"/>
                          <w:color w:val="FFFFFF"/>
                          <w:sz w:val="20"/>
                          <w:szCs w:val="20"/>
                        </w:rPr>
                        <w:t xml:space="preserve"> </w:t>
                      </w:r>
                      <w:r w:rsidRPr="004E0302">
                        <w:rPr>
                          <w:rFonts w:cs="Arial"/>
                          <w:color w:val="FFFFFF"/>
                          <w:spacing w:val="-1"/>
                          <w:sz w:val="20"/>
                          <w:szCs w:val="20"/>
                        </w:rPr>
                        <w:t>England</w:t>
                      </w:r>
                      <w:r w:rsidRPr="004E0302">
                        <w:rPr>
                          <w:rFonts w:cs="Arial"/>
                          <w:color w:val="FFFFFF"/>
                          <w:spacing w:val="1"/>
                          <w:sz w:val="20"/>
                          <w:szCs w:val="20"/>
                        </w:rPr>
                        <w:t xml:space="preserve"> </w:t>
                      </w:r>
                      <w:r w:rsidRPr="004E0302">
                        <w:rPr>
                          <w:rFonts w:cs="Arial"/>
                          <w:color w:val="FFFFFF"/>
                          <w:spacing w:val="-1"/>
                          <w:sz w:val="20"/>
                          <w:szCs w:val="20"/>
                        </w:rPr>
                        <w:t>is</w:t>
                      </w:r>
                      <w:r w:rsidRPr="004E0302">
                        <w:rPr>
                          <w:rFonts w:cs="Arial"/>
                          <w:color w:val="FFFFFF"/>
                          <w:spacing w:val="2"/>
                          <w:sz w:val="20"/>
                          <w:szCs w:val="20"/>
                        </w:rPr>
                        <w:t xml:space="preserve"> </w:t>
                      </w:r>
                      <w:r w:rsidRPr="004E0302">
                        <w:rPr>
                          <w:rFonts w:cs="Arial"/>
                          <w:color w:val="FFFFFF"/>
                          <w:spacing w:val="-1"/>
                          <w:sz w:val="20"/>
                          <w:szCs w:val="20"/>
                        </w:rPr>
                        <w:t>considering</w:t>
                      </w:r>
                      <w:r w:rsidRPr="004E0302">
                        <w:rPr>
                          <w:rFonts w:cs="Arial"/>
                          <w:color w:val="FFFFFF"/>
                          <w:spacing w:val="1"/>
                          <w:sz w:val="20"/>
                          <w:szCs w:val="20"/>
                        </w:rPr>
                        <w:t xml:space="preserve"> </w:t>
                      </w:r>
                      <w:r w:rsidRPr="004E0302">
                        <w:rPr>
                          <w:rFonts w:cs="Arial"/>
                          <w:color w:val="FFFFFF"/>
                          <w:spacing w:val="-1"/>
                          <w:sz w:val="20"/>
                          <w:szCs w:val="20"/>
                        </w:rPr>
                        <w:t>commissioning</w:t>
                      </w:r>
                      <w:r w:rsidRPr="004E0302">
                        <w:rPr>
                          <w:rFonts w:cs="Arial"/>
                          <w:color w:val="FFFFFF"/>
                          <w:sz w:val="20"/>
                          <w:szCs w:val="20"/>
                        </w:rPr>
                        <w:t xml:space="preserve"> new</w:t>
                      </w:r>
                      <w:r w:rsidRPr="004E0302">
                        <w:rPr>
                          <w:rFonts w:cs="Arial"/>
                          <w:color w:val="FFFFFF"/>
                          <w:spacing w:val="2"/>
                          <w:sz w:val="20"/>
                          <w:szCs w:val="20"/>
                        </w:rPr>
                        <w:t xml:space="preserve"> </w:t>
                      </w:r>
                      <w:r w:rsidRPr="004E0302">
                        <w:rPr>
                          <w:rFonts w:cs="Arial"/>
                          <w:color w:val="FFFFFF"/>
                          <w:spacing w:val="-1"/>
                          <w:sz w:val="20"/>
                          <w:szCs w:val="20"/>
                        </w:rPr>
                        <w:t>primary</w:t>
                      </w:r>
                      <w:r w:rsidRPr="004E0302">
                        <w:rPr>
                          <w:rFonts w:cs="Arial"/>
                          <w:color w:val="FFFFFF"/>
                          <w:spacing w:val="1"/>
                          <w:sz w:val="20"/>
                          <w:szCs w:val="20"/>
                        </w:rPr>
                        <w:t xml:space="preserve"> </w:t>
                      </w:r>
                      <w:r w:rsidRPr="004E0302">
                        <w:rPr>
                          <w:rFonts w:cs="Arial"/>
                          <w:color w:val="FFFFFF"/>
                          <w:spacing w:val="-1"/>
                          <w:sz w:val="20"/>
                          <w:szCs w:val="20"/>
                        </w:rPr>
                        <w:t>care</w:t>
                      </w:r>
                      <w:r w:rsidRPr="004E0302">
                        <w:rPr>
                          <w:rFonts w:cs="Arial"/>
                          <w:color w:val="FFFFFF"/>
                          <w:spacing w:val="1"/>
                          <w:sz w:val="20"/>
                          <w:szCs w:val="20"/>
                        </w:rPr>
                        <w:t xml:space="preserve"> </w:t>
                      </w:r>
                      <w:r w:rsidRPr="004E0302">
                        <w:rPr>
                          <w:rFonts w:cs="Arial"/>
                          <w:color w:val="FFFFFF"/>
                          <w:spacing w:val="-1"/>
                          <w:sz w:val="20"/>
                          <w:szCs w:val="20"/>
                        </w:rPr>
                        <w:t>services</w:t>
                      </w:r>
                      <w:r w:rsidRPr="004E0302">
                        <w:rPr>
                          <w:rFonts w:cs="Arial"/>
                          <w:color w:val="FFFFFF"/>
                          <w:spacing w:val="54"/>
                          <w:w w:val="99"/>
                          <w:sz w:val="20"/>
                          <w:szCs w:val="20"/>
                        </w:rPr>
                        <w:t xml:space="preserve"> </w:t>
                      </w:r>
                      <w:r w:rsidRPr="004E0302">
                        <w:rPr>
                          <w:rFonts w:cs="Arial"/>
                          <w:color w:val="FFFFFF"/>
                          <w:spacing w:val="-1"/>
                          <w:sz w:val="20"/>
                          <w:szCs w:val="20"/>
                        </w:rPr>
                        <w:t>in</w:t>
                      </w:r>
                      <w:r w:rsidRPr="004E0302">
                        <w:rPr>
                          <w:rFonts w:cs="Arial"/>
                          <w:color w:val="FFFFFF"/>
                          <w:spacing w:val="6"/>
                          <w:sz w:val="20"/>
                          <w:szCs w:val="20"/>
                        </w:rPr>
                        <w:t xml:space="preserve"> </w:t>
                      </w:r>
                      <w:r w:rsidRPr="004E0302">
                        <w:rPr>
                          <w:rFonts w:cs="Arial"/>
                          <w:color w:val="FFFFFF"/>
                          <w:sz w:val="20"/>
                          <w:szCs w:val="20"/>
                        </w:rPr>
                        <w:t>a</w:t>
                      </w:r>
                      <w:r w:rsidRPr="004E0302">
                        <w:rPr>
                          <w:rFonts w:cs="Arial"/>
                          <w:color w:val="FFFFFF"/>
                          <w:spacing w:val="7"/>
                          <w:sz w:val="20"/>
                          <w:szCs w:val="20"/>
                        </w:rPr>
                        <w:t xml:space="preserve"> </w:t>
                      </w:r>
                      <w:r w:rsidRPr="004E0302">
                        <w:rPr>
                          <w:rFonts w:cs="Arial"/>
                          <w:color w:val="FFFFFF"/>
                          <w:spacing w:val="-1"/>
                          <w:sz w:val="20"/>
                          <w:szCs w:val="20"/>
                        </w:rPr>
                        <w:t>particular</w:t>
                      </w:r>
                      <w:r w:rsidRPr="004E0302">
                        <w:rPr>
                          <w:rFonts w:cs="Arial"/>
                          <w:color w:val="FFFFFF"/>
                          <w:spacing w:val="10"/>
                          <w:sz w:val="20"/>
                          <w:szCs w:val="20"/>
                        </w:rPr>
                        <w:t xml:space="preserve"> </w:t>
                      </w:r>
                      <w:r w:rsidRPr="004E0302">
                        <w:rPr>
                          <w:rFonts w:cs="Arial"/>
                          <w:color w:val="FFFFFF"/>
                          <w:spacing w:val="-1"/>
                          <w:sz w:val="20"/>
                          <w:szCs w:val="20"/>
                        </w:rPr>
                        <w:t>area.</w:t>
                      </w:r>
                      <w:r w:rsidRPr="004E0302">
                        <w:rPr>
                          <w:rFonts w:cs="Arial"/>
                          <w:color w:val="FFFFFF"/>
                          <w:spacing w:val="18"/>
                          <w:sz w:val="20"/>
                          <w:szCs w:val="20"/>
                        </w:rPr>
                        <w:t xml:space="preserve"> </w:t>
                      </w:r>
                      <w:r w:rsidRPr="004E0302">
                        <w:rPr>
                          <w:rFonts w:cs="Arial"/>
                          <w:color w:val="FFFFFF"/>
                          <w:spacing w:val="-1"/>
                          <w:sz w:val="20"/>
                          <w:szCs w:val="20"/>
                        </w:rPr>
                        <w:t>When</w:t>
                      </w:r>
                      <w:r w:rsidRPr="004E0302">
                        <w:rPr>
                          <w:rFonts w:cs="Arial"/>
                          <w:color w:val="FFFFFF"/>
                          <w:spacing w:val="7"/>
                          <w:sz w:val="20"/>
                          <w:szCs w:val="20"/>
                        </w:rPr>
                        <w:t xml:space="preserve"> </w:t>
                      </w:r>
                      <w:r w:rsidRPr="004E0302">
                        <w:rPr>
                          <w:rFonts w:cs="Arial"/>
                          <w:color w:val="FFFFFF"/>
                          <w:spacing w:val="-1"/>
                          <w:sz w:val="20"/>
                          <w:szCs w:val="20"/>
                        </w:rPr>
                        <w:t>deciding</w:t>
                      </w:r>
                      <w:r w:rsidRPr="004E0302">
                        <w:rPr>
                          <w:rFonts w:cs="Arial"/>
                          <w:color w:val="FFFFFF"/>
                          <w:spacing w:val="9"/>
                          <w:sz w:val="20"/>
                          <w:szCs w:val="20"/>
                        </w:rPr>
                        <w:t xml:space="preserve"> </w:t>
                      </w:r>
                      <w:r w:rsidRPr="004E0302">
                        <w:rPr>
                          <w:rFonts w:cs="Arial"/>
                          <w:color w:val="FFFFFF"/>
                          <w:spacing w:val="-1"/>
                          <w:sz w:val="20"/>
                          <w:szCs w:val="20"/>
                        </w:rPr>
                        <w:t>what</w:t>
                      </w:r>
                      <w:r w:rsidRPr="004E0302">
                        <w:rPr>
                          <w:rFonts w:cs="Arial"/>
                          <w:color w:val="FFFFFF"/>
                          <w:spacing w:val="8"/>
                          <w:sz w:val="20"/>
                          <w:szCs w:val="20"/>
                        </w:rPr>
                        <w:t xml:space="preserve"> </w:t>
                      </w:r>
                      <w:r w:rsidRPr="004E0302">
                        <w:rPr>
                          <w:rFonts w:cs="Arial"/>
                          <w:color w:val="FFFFFF"/>
                          <w:spacing w:val="-1"/>
                          <w:sz w:val="20"/>
                          <w:szCs w:val="20"/>
                        </w:rPr>
                        <w:t>type</w:t>
                      </w:r>
                      <w:r w:rsidRPr="004E0302">
                        <w:rPr>
                          <w:rFonts w:cs="Arial"/>
                          <w:color w:val="FFFFFF"/>
                          <w:spacing w:val="9"/>
                          <w:sz w:val="20"/>
                          <w:szCs w:val="20"/>
                        </w:rPr>
                        <w:t xml:space="preserve"> </w:t>
                      </w:r>
                      <w:r w:rsidRPr="004E0302">
                        <w:rPr>
                          <w:rFonts w:cs="Arial"/>
                          <w:color w:val="FFFFFF"/>
                          <w:spacing w:val="-1"/>
                          <w:sz w:val="20"/>
                          <w:szCs w:val="20"/>
                        </w:rPr>
                        <w:t>of</w:t>
                      </w:r>
                      <w:r w:rsidRPr="004E0302">
                        <w:rPr>
                          <w:rFonts w:cs="Arial"/>
                          <w:color w:val="FFFFFF"/>
                          <w:spacing w:val="8"/>
                          <w:sz w:val="20"/>
                          <w:szCs w:val="20"/>
                        </w:rPr>
                        <w:t xml:space="preserve"> </w:t>
                      </w:r>
                      <w:r w:rsidRPr="004E0302">
                        <w:rPr>
                          <w:rFonts w:cs="Arial"/>
                          <w:color w:val="FFFFFF"/>
                          <w:spacing w:val="-1"/>
                          <w:sz w:val="20"/>
                          <w:szCs w:val="20"/>
                        </w:rPr>
                        <w:t>contract</w:t>
                      </w:r>
                      <w:r w:rsidRPr="004E0302">
                        <w:rPr>
                          <w:rFonts w:cs="Arial"/>
                          <w:color w:val="FFFFFF"/>
                          <w:spacing w:val="8"/>
                          <w:sz w:val="20"/>
                          <w:szCs w:val="20"/>
                        </w:rPr>
                        <w:t xml:space="preserve"> </w:t>
                      </w:r>
                      <w:r w:rsidRPr="004E0302">
                        <w:rPr>
                          <w:rFonts w:cs="Arial"/>
                          <w:color w:val="FFFFFF"/>
                          <w:spacing w:val="-1"/>
                          <w:sz w:val="20"/>
                          <w:szCs w:val="20"/>
                        </w:rPr>
                        <w:t>it</w:t>
                      </w:r>
                      <w:r w:rsidRPr="004E0302">
                        <w:rPr>
                          <w:rFonts w:cs="Arial"/>
                          <w:color w:val="FFFFFF"/>
                          <w:spacing w:val="8"/>
                          <w:sz w:val="20"/>
                          <w:szCs w:val="20"/>
                        </w:rPr>
                        <w:t xml:space="preserve"> </w:t>
                      </w:r>
                      <w:r w:rsidRPr="004E0302">
                        <w:rPr>
                          <w:rFonts w:cs="Arial"/>
                          <w:color w:val="FFFFFF"/>
                          <w:spacing w:val="-1"/>
                          <w:sz w:val="20"/>
                          <w:szCs w:val="20"/>
                        </w:rPr>
                        <w:t>wants</w:t>
                      </w:r>
                      <w:r w:rsidRPr="004E0302">
                        <w:rPr>
                          <w:rFonts w:cs="Arial"/>
                          <w:color w:val="FFFFFF"/>
                          <w:spacing w:val="8"/>
                          <w:sz w:val="20"/>
                          <w:szCs w:val="20"/>
                        </w:rPr>
                        <w:t xml:space="preserve"> </w:t>
                      </w:r>
                      <w:r w:rsidRPr="004E0302">
                        <w:rPr>
                          <w:rFonts w:cs="Arial"/>
                          <w:color w:val="FFFFFF"/>
                          <w:sz w:val="20"/>
                          <w:szCs w:val="20"/>
                        </w:rPr>
                        <w:t>to</w:t>
                      </w:r>
                      <w:r w:rsidRPr="004E0302">
                        <w:rPr>
                          <w:rFonts w:cs="Arial"/>
                          <w:color w:val="FFFFFF"/>
                          <w:spacing w:val="61"/>
                          <w:sz w:val="20"/>
                          <w:szCs w:val="20"/>
                        </w:rPr>
                        <w:t xml:space="preserve"> </w:t>
                      </w:r>
                      <w:r w:rsidRPr="004E0302">
                        <w:rPr>
                          <w:rFonts w:cs="Arial"/>
                          <w:color w:val="FFFFFF"/>
                          <w:spacing w:val="-1"/>
                          <w:sz w:val="20"/>
                          <w:szCs w:val="20"/>
                        </w:rPr>
                        <w:t>award</w:t>
                      </w:r>
                      <w:r w:rsidRPr="004E0302">
                        <w:rPr>
                          <w:rFonts w:cs="Arial"/>
                          <w:color w:val="FFFFFF"/>
                          <w:spacing w:val="1"/>
                          <w:sz w:val="20"/>
                          <w:szCs w:val="20"/>
                        </w:rPr>
                        <w:t xml:space="preserve"> </w:t>
                      </w:r>
                      <w:r w:rsidRPr="004E0302">
                        <w:rPr>
                          <w:rFonts w:cs="Arial"/>
                          <w:color w:val="FFFFFF"/>
                          <w:spacing w:val="-1"/>
                          <w:sz w:val="20"/>
                          <w:szCs w:val="20"/>
                        </w:rPr>
                        <w:t>(GMS,</w:t>
                      </w:r>
                      <w:r w:rsidRPr="004E0302">
                        <w:rPr>
                          <w:rFonts w:cs="Arial"/>
                          <w:color w:val="FFFFFF"/>
                          <w:spacing w:val="2"/>
                          <w:sz w:val="20"/>
                          <w:szCs w:val="20"/>
                        </w:rPr>
                        <w:t xml:space="preserve"> </w:t>
                      </w:r>
                      <w:r w:rsidRPr="004E0302">
                        <w:rPr>
                          <w:rFonts w:cs="Arial"/>
                          <w:color w:val="FFFFFF"/>
                          <w:sz w:val="20"/>
                          <w:szCs w:val="20"/>
                        </w:rPr>
                        <w:t>PMS</w:t>
                      </w:r>
                      <w:r w:rsidRPr="004E0302">
                        <w:rPr>
                          <w:rFonts w:cs="Arial"/>
                          <w:color w:val="FFFFFF"/>
                          <w:spacing w:val="1"/>
                          <w:sz w:val="20"/>
                          <w:szCs w:val="20"/>
                        </w:rPr>
                        <w:t xml:space="preserve"> </w:t>
                      </w:r>
                      <w:r w:rsidRPr="004E0302">
                        <w:rPr>
                          <w:rFonts w:cs="Arial"/>
                          <w:color w:val="FFFFFF"/>
                          <w:spacing w:val="-1"/>
                          <w:sz w:val="20"/>
                          <w:szCs w:val="20"/>
                        </w:rPr>
                        <w:t>or</w:t>
                      </w:r>
                      <w:r w:rsidRPr="004E0302">
                        <w:rPr>
                          <w:rFonts w:cs="Arial"/>
                          <w:color w:val="FFFFFF"/>
                          <w:spacing w:val="5"/>
                          <w:sz w:val="20"/>
                          <w:szCs w:val="20"/>
                        </w:rPr>
                        <w:t xml:space="preserve"> </w:t>
                      </w:r>
                      <w:r w:rsidRPr="004E0302">
                        <w:rPr>
                          <w:rFonts w:cs="Arial"/>
                          <w:color w:val="FFFFFF"/>
                          <w:spacing w:val="-1"/>
                          <w:sz w:val="20"/>
                          <w:szCs w:val="20"/>
                        </w:rPr>
                        <w:t>APMS)</w:t>
                      </w:r>
                      <w:r w:rsidRPr="004E0302">
                        <w:rPr>
                          <w:rFonts w:cs="Arial"/>
                          <w:color w:val="FFFFFF"/>
                          <w:spacing w:val="1"/>
                          <w:sz w:val="20"/>
                          <w:szCs w:val="20"/>
                        </w:rPr>
                        <w:t xml:space="preserve"> </w:t>
                      </w:r>
                      <w:r w:rsidRPr="004E0302">
                        <w:rPr>
                          <w:rFonts w:cs="Arial"/>
                          <w:color w:val="FFFFFF"/>
                          <w:spacing w:val="-1"/>
                          <w:sz w:val="20"/>
                          <w:szCs w:val="20"/>
                        </w:rPr>
                        <w:t>it</w:t>
                      </w:r>
                      <w:r w:rsidRPr="004E0302">
                        <w:rPr>
                          <w:rFonts w:cs="Arial"/>
                          <w:color w:val="FFFFFF"/>
                          <w:spacing w:val="2"/>
                          <w:sz w:val="20"/>
                          <w:szCs w:val="20"/>
                        </w:rPr>
                        <w:t xml:space="preserve"> </w:t>
                      </w:r>
                      <w:r w:rsidRPr="004E0302">
                        <w:rPr>
                          <w:rFonts w:cs="Arial"/>
                          <w:color w:val="FFFFFF"/>
                          <w:spacing w:val="-1"/>
                          <w:sz w:val="20"/>
                          <w:szCs w:val="20"/>
                        </w:rPr>
                        <w:t>should</w:t>
                      </w:r>
                      <w:r w:rsidRPr="004E0302">
                        <w:rPr>
                          <w:rFonts w:cs="Arial"/>
                          <w:color w:val="FFFFFF"/>
                          <w:spacing w:val="2"/>
                          <w:sz w:val="20"/>
                          <w:szCs w:val="20"/>
                        </w:rPr>
                        <w:t xml:space="preserve"> </w:t>
                      </w:r>
                      <w:r w:rsidRPr="004E0302">
                        <w:rPr>
                          <w:rFonts w:cs="Arial"/>
                          <w:color w:val="FFFFFF"/>
                          <w:sz w:val="20"/>
                          <w:szCs w:val="20"/>
                        </w:rPr>
                        <w:t>weigh</w:t>
                      </w:r>
                      <w:r w:rsidRPr="004E0302">
                        <w:rPr>
                          <w:rFonts w:cs="Arial"/>
                          <w:color w:val="FFFFFF"/>
                          <w:spacing w:val="2"/>
                          <w:sz w:val="20"/>
                          <w:szCs w:val="20"/>
                        </w:rPr>
                        <w:t xml:space="preserve"> </w:t>
                      </w:r>
                      <w:r w:rsidRPr="004E0302">
                        <w:rPr>
                          <w:rFonts w:cs="Arial"/>
                          <w:color w:val="FFFFFF"/>
                          <w:spacing w:val="-1"/>
                          <w:sz w:val="20"/>
                          <w:szCs w:val="20"/>
                        </w:rPr>
                        <w:t>in</w:t>
                      </w:r>
                      <w:r w:rsidRPr="004E0302">
                        <w:rPr>
                          <w:rFonts w:cs="Arial"/>
                          <w:color w:val="FFFFFF"/>
                          <w:spacing w:val="2"/>
                          <w:sz w:val="20"/>
                          <w:szCs w:val="20"/>
                        </w:rPr>
                        <w:t xml:space="preserve"> </w:t>
                      </w:r>
                      <w:r w:rsidRPr="004E0302">
                        <w:rPr>
                          <w:rFonts w:cs="Arial"/>
                          <w:color w:val="FFFFFF"/>
                          <w:spacing w:val="-1"/>
                          <w:sz w:val="20"/>
                          <w:szCs w:val="20"/>
                        </w:rPr>
                        <w:t>the</w:t>
                      </w:r>
                      <w:r w:rsidRPr="004E0302">
                        <w:rPr>
                          <w:rFonts w:cs="Arial"/>
                          <w:color w:val="FFFFFF"/>
                          <w:spacing w:val="4"/>
                          <w:sz w:val="20"/>
                          <w:szCs w:val="20"/>
                        </w:rPr>
                        <w:t xml:space="preserve"> </w:t>
                      </w:r>
                      <w:r w:rsidRPr="004E0302">
                        <w:rPr>
                          <w:rFonts w:cs="Arial"/>
                          <w:color w:val="FFFFFF"/>
                          <w:spacing w:val="-1"/>
                          <w:sz w:val="20"/>
                          <w:szCs w:val="20"/>
                        </w:rPr>
                        <w:t>balance</w:t>
                      </w:r>
                      <w:r w:rsidRPr="004E0302">
                        <w:rPr>
                          <w:rFonts w:cs="Arial"/>
                          <w:color w:val="FFFFFF"/>
                          <w:spacing w:val="1"/>
                          <w:sz w:val="20"/>
                          <w:szCs w:val="20"/>
                        </w:rPr>
                        <w:t xml:space="preserve"> </w:t>
                      </w:r>
                      <w:r w:rsidRPr="004E0302">
                        <w:rPr>
                          <w:rFonts w:cs="Arial"/>
                          <w:color w:val="FFFFFF"/>
                          <w:sz w:val="20"/>
                          <w:szCs w:val="20"/>
                        </w:rPr>
                        <w:t>the</w:t>
                      </w:r>
                      <w:r w:rsidRPr="004E0302">
                        <w:rPr>
                          <w:rFonts w:cs="Arial"/>
                          <w:color w:val="FFFFFF"/>
                          <w:spacing w:val="51"/>
                          <w:w w:val="99"/>
                          <w:sz w:val="20"/>
                          <w:szCs w:val="20"/>
                        </w:rPr>
                        <w:t xml:space="preserve"> </w:t>
                      </w:r>
                      <w:r w:rsidRPr="004E0302">
                        <w:rPr>
                          <w:rFonts w:cs="Arial"/>
                          <w:color w:val="FFFFFF"/>
                          <w:spacing w:val="-1"/>
                          <w:sz w:val="20"/>
                          <w:szCs w:val="20"/>
                        </w:rPr>
                        <w:t>desirability</w:t>
                      </w:r>
                      <w:r w:rsidRPr="004E0302">
                        <w:rPr>
                          <w:rFonts w:cs="Arial"/>
                          <w:color w:val="FFFFFF"/>
                          <w:spacing w:val="-2"/>
                          <w:sz w:val="20"/>
                          <w:szCs w:val="20"/>
                        </w:rPr>
                        <w:t xml:space="preserve"> </w:t>
                      </w:r>
                      <w:r w:rsidRPr="004E0302">
                        <w:rPr>
                          <w:rFonts w:cs="Arial"/>
                          <w:color w:val="FFFFFF"/>
                          <w:spacing w:val="-1"/>
                          <w:sz w:val="20"/>
                          <w:szCs w:val="20"/>
                        </w:rPr>
                        <w:t>of</w:t>
                      </w:r>
                      <w:r w:rsidRPr="004E0302">
                        <w:rPr>
                          <w:rFonts w:cs="Arial"/>
                          <w:color w:val="FFFFFF"/>
                          <w:spacing w:val="-6"/>
                          <w:sz w:val="20"/>
                          <w:szCs w:val="20"/>
                        </w:rPr>
                        <w:t xml:space="preserve"> </w:t>
                      </w:r>
                      <w:r w:rsidRPr="004E0302">
                        <w:rPr>
                          <w:rFonts w:cs="Arial"/>
                          <w:color w:val="FFFFFF"/>
                          <w:sz w:val="20"/>
                          <w:szCs w:val="20"/>
                        </w:rPr>
                        <w:t>the</w:t>
                      </w:r>
                      <w:r w:rsidRPr="004E0302">
                        <w:rPr>
                          <w:rFonts w:cs="Arial"/>
                          <w:color w:val="FFFFFF"/>
                          <w:spacing w:val="-4"/>
                          <w:sz w:val="20"/>
                          <w:szCs w:val="20"/>
                        </w:rPr>
                        <w:t xml:space="preserve"> </w:t>
                      </w:r>
                      <w:r w:rsidRPr="004E0302">
                        <w:rPr>
                          <w:rFonts w:cs="Arial"/>
                          <w:color w:val="FFFFFF"/>
                          <w:spacing w:val="-1"/>
                          <w:sz w:val="20"/>
                          <w:szCs w:val="20"/>
                        </w:rPr>
                        <w:t>extra</w:t>
                      </w:r>
                      <w:r w:rsidRPr="004E0302">
                        <w:rPr>
                          <w:rFonts w:cs="Arial"/>
                          <w:color w:val="FFFFFF"/>
                          <w:sz w:val="20"/>
                          <w:szCs w:val="20"/>
                        </w:rPr>
                        <w:t xml:space="preserve"> </w:t>
                      </w:r>
                      <w:r w:rsidRPr="004E0302">
                        <w:rPr>
                          <w:rFonts w:cs="Arial"/>
                          <w:color w:val="FFFFFF"/>
                          <w:spacing w:val="-1"/>
                          <w:sz w:val="20"/>
                          <w:szCs w:val="20"/>
                        </w:rPr>
                        <w:t>autonomy</w:t>
                      </w:r>
                      <w:r w:rsidRPr="004E0302">
                        <w:rPr>
                          <w:rFonts w:cs="Arial"/>
                          <w:color w:val="FFFFFF"/>
                          <w:spacing w:val="-4"/>
                          <w:sz w:val="20"/>
                          <w:szCs w:val="20"/>
                        </w:rPr>
                        <w:t xml:space="preserve"> </w:t>
                      </w:r>
                      <w:r w:rsidRPr="004E0302">
                        <w:rPr>
                          <w:rFonts w:cs="Arial"/>
                          <w:color w:val="FFFFFF"/>
                          <w:sz w:val="20"/>
                          <w:szCs w:val="20"/>
                        </w:rPr>
                        <w:t>a</w:t>
                      </w:r>
                      <w:r w:rsidRPr="004E0302">
                        <w:rPr>
                          <w:rFonts w:cs="Arial"/>
                          <w:color w:val="FFFFFF"/>
                          <w:spacing w:val="-2"/>
                          <w:sz w:val="20"/>
                          <w:szCs w:val="20"/>
                        </w:rPr>
                        <w:t xml:space="preserve"> </w:t>
                      </w:r>
                      <w:r w:rsidRPr="004E0302">
                        <w:rPr>
                          <w:rFonts w:cs="Arial"/>
                          <w:color w:val="FFFFFF"/>
                          <w:sz w:val="20"/>
                          <w:szCs w:val="20"/>
                        </w:rPr>
                        <w:t>PMS</w:t>
                      </w:r>
                      <w:r w:rsidRPr="004E0302">
                        <w:rPr>
                          <w:rFonts w:cs="Arial"/>
                          <w:color w:val="FFFFFF"/>
                          <w:spacing w:val="-4"/>
                          <w:sz w:val="20"/>
                          <w:szCs w:val="20"/>
                        </w:rPr>
                        <w:t xml:space="preserve"> </w:t>
                      </w:r>
                      <w:r w:rsidRPr="004E0302">
                        <w:rPr>
                          <w:rFonts w:cs="Arial"/>
                          <w:color w:val="FFFFFF"/>
                          <w:spacing w:val="-1"/>
                          <w:sz w:val="20"/>
                          <w:szCs w:val="20"/>
                        </w:rPr>
                        <w:t>or</w:t>
                      </w:r>
                      <w:r w:rsidRPr="004E0302">
                        <w:rPr>
                          <w:rFonts w:cs="Arial"/>
                          <w:color w:val="FFFFFF"/>
                          <w:spacing w:val="-2"/>
                          <w:sz w:val="20"/>
                          <w:szCs w:val="20"/>
                        </w:rPr>
                        <w:t xml:space="preserve"> </w:t>
                      </w:r>
                      <w:r w:rsidRPr="004E0302">
                        <w:rPr>
                          <w:rFonts w:cs="Arial"/>
                          <w:color w:val="FFFFFF"/>
                          <w:sz w:val="20"/>
                          <w:szCs w:val="20"/>
                        </w:rPr>
                        <w:t>APMS</w:t>
                      </w:r>
                      <w:r w:rsidRPr="004E0302">
                        <w:rPr>
                          <w:rFonts w:cs="Arial"/>
                          <w:color w:val="FFFFFF"/>
                          <w:spacing w:val="-5"/>
                          <w:sz w:val="20"/>
                          <w:szCs w:val="20"/>
                        </w:rPr>
                        <w:t xml:space="preserve"> </w:t>
                      </w:r>
                      <w:r w:rsidRPr="004E0302">
                        <w:rPr>
                          <w:rFonts w:cs="Arial"/>
                          <w:color w:val="FFFFFF"/>
                          <w:spacing w:val="-1"/>
                          <w:sz w:val="20"/>
                          <w:szCs w:val="20"/>
                        </w:rPr>
                        <w:t>contract offers.</w:t>
                      </w:r>
                    </w:p>
                  </w:txbxContent>
                </v:textbox>
                <w10:anchorlock/>
              </v:shape>
            </w:pict>
          </mc:Fallback>
        </mc:AlternateContent>
      </w:r>
    </w:p>
    <w:p w14:paraId="2EC33E5F" w14:textId="77777777" w:rsidR="00DB7F92" w:rsidRPr="00DB7F92" w:rsidRDefault="00DB7F92" w:rsidP="00DB7F92">
      <w:pPr>
        <w:spacing w:before="3"/>
        <w:jc w:val="both"/>
        <w:rPr>
          <w:rFonts w:eastAsia="Segoe UI Semilight" w:cs="Arial"/>
          <w:sz w:val="20"/>
          <w:szCs w:val="20"/>
        </w:rPr>
      </w:pPr>
    </w:p>
    <w:p w14:paraId="133C855A" w14:textId="77777777" w:rsidR="00DB7F92" w:rsidRDefault="00DB7F92" w:rsidP="00884224">
      <w:pPr>
        <w:keepNext/>
        <w:keepLines/>
        <w:spacing w:before="199"/>
        <w:ind w:left="838"/>
        <w:jc w:val="both"/>
        <w:outlineLvl w:val="6"/>
        <w:rPr>
          <w:rFonts w:eastAsiaTheme="majorEastAsia" w:cs="Arial"/>
          <w:i/>
          <w:iCs/>
          <w:color w:val="404040" w:themeColor="text1" w:themeTint="BF"/>
          <w:spacing w:val="-1"/>
          <w:sz w:val="28"/>
          <w:szCs w:val="28"/>
        </w:rPr>
      </w:pPr>
      <w:r w:rsidRPr="00884224">
        <w:rPr>
          <w:rFonts w:eastAsiaTheme="majorEastAsia" w:cs="Arial"/>
          <w:i/>
          <w:iCs/>
          <w:color w:val="404040" w:themeColor="text1" w:themeTint="BF"/>
          <w:spacing w:val="-1"/>
          <w:sz w:val="28"/>
          <w:szCs w:val="28"/>
        </w:rPr>
        <w:t>PROMOTE EDUCATION AND TRAINING</w:t>
      </w:r>
    </w:p>
    <w:p w14:paraId="426C4CFF" w14:textId="77777777" w:rsidR="00C84421" w:rsidRPr="00884224" w:rsidRDefault="00C84421" w:rsidP="00884224">
      <w:pPr>
        <w:keepNext/>
        <w:keepLines/>
        <w:spacing w:before="199"/>
        <w:ind w:left="838"/>
        <w:jc w:val="both"/>
        <w:outlineLvl w:val="6"/>
        <w:rPr>
          <w:rFonts w:eastAsiaTheme="majorEastAsia" w:cs="Arial"/>
          <w:i/>
          <w:iCs/>
          <w:color w:val="404040" w:themeColor="text1" w:themeTint="BF"/>
          <w:spacing w:val="-1"/>
          <w:sz w:val="28"/>
          <w:szCs w:val="28"/>
        </w:rPr>
      </w:pPr>
    </w:p>
    <w:p w14:paraId="322C6B1C" w14:textId="2542F9E4" w:rsidR="00DB7F92" w:rsidRPr="00C84421" w:rsidRDefault="00DB7F92" w:rsidP="00DB7F92">
      <w:pPr>
        <w:pStyle w:val="Heading3"/>
        <w:spacing w:before="13"/>
        <w:jc w:val="both"/>
        <w:rPr>
          <w:rFonts w:eastAsia="Segoe UI Semilight" w:cs="Arial"/>
          <w:sz w:val="20"/>
          <w:szCs w:val="20"/>
        </w:rPr>
      </w:pPr>
      <w:r w:rsidRPr="00DB7F92">
        <w:rPr>
          <w:lang w:eastAsia="en-GB"/>
        </w:rPr>
        <w:t>Commissioners have</w:t>
      </w:r>
      <w:r w:rsidRPr="00C84421">
        <w:rPr>
          <w:spacing w:val="15"/>
          <w:lang w:eastAsia="en-GB"/>
        </w:rPr>
        <w:t xml:space="preserve"> </w:t>
      </w:r>
      <w:r w:rsidRPr="00DB7F92">
        <w:rPr>
          <w:lang w:eastAsia="en-GB"/>
        </w:rPr>
        <w:t>a</w:t>
      </w:r>
      <w:r w:rsidRPr="00C84421">
        <w:rPr>
          <w:spacing w:val="16"/>
          <w:lang w:eastAsia="en-GB"/>
        </w:rPr>
        <w:t xml:space="preserve"> </w:t>
      </w:r>
      <w:r w:rsidRPr="00DB7F92">
        <w:rPr>
          <w:lang w:eastAsia="en-GB"/>
        </w:rPr>
        <w:t>duty</w:t>
      </w:r>
      <w:r w:rsidRPr="00C84421">
        <w:rPr>
          <w:spacing w:val="17"/>
          <w:lang w:eastAsia="en-GB"/>
        </w:rPr>
        <w:t xml:space="preserve"> </w:t>
      </w:r>
      <w:r w:rsidRPr="00DB7F92">
        <w:rPr>
          <w:lang w:eastAsia="en-GB"/>
        </w:rPr>
        <w:t>to</w:t>
      </w:r>
      <w:r w:rsidRPr="00C84421">
        <w:rPr>
          <w:spacing w:val="16"/>
          <w:lang w:eastAsia="en-GB"/>
        </w:rPr>
        <w:t xml:space="preserve"> </w:t>
      </w:r>
      <w:r w:rsidRPr="00DB7F92">
        <w:rPr>
          <w:lang w:eastAsia="en-GB"/>
        </w:rPr>
        <w:t>have</w:t>
      </w:r>
      <w:r w:rsidRPr="00C84421">
        <w:rPr>
          <w:spacing w:val="15"/>
          <w:lang w:eastAsia="en-GB"/>
        </w:rPr>
        <w:t xml:space="preserve"> </w:t>
      </w:r>
      <w:r w:rsidRPr="00DB7F92">
        <w:rPr>
          <w:lang w:eastAsia="en-GB"/>
        </w:rPr>
        <w:t>regard</w:t>
      </w:r>
      <w:r w:rsidRPr="00C84421">
        <w:rPr>
          <w:spacing w:val="16"/>
          <w:lang w:eastAsia="en-GB"/>
        </w:rPr>
        <w:t xml:space="preserve"> </w:t>
      </w:r>
      <w:r w:rsidRPr="00DB7F92">
        <w:rPr>
          <w:lang w:eastAsia="en-GB"/>
        </w:rPr>
        <w:t>to</w:t>
      </w:r>
      <w:r w:rsidRPr="00C84421">
        <w:rPr>
          <w:spacing w:val="15"/>
          <w:lang w:eastAsia="en-GB"/>
        </w:rPr>
        <w:t xml:space="preserve"> </w:t>
      </w:r>
      <w:r w:rsidRPr="00DB7F92">
        <w:rPr>
          <w:lang w:eastAsia="en-GB"/>
        </w:rPr>
        <w:t>the</w:t>
      </w:r>
      <w:r w:rsidRPr="00C84421">
        <w:rPr>
          <w:spacing w:val="15"/>
          <w:lang w:eastAsia="en-GB"/>
        </w:rPr>
        <w:t xml:space="preserve"> </w:t>
      </w:r>
      <w:r w:rsidRPr="00DB7F92">
        <w:rPr>
          <w:lang w:eastAsia="en-GB"/>
        </w:rPr>
        <w:t>need</w:t>
      </w:r>
      <w:r w:rsidRPr="00C84421">
        <w:rPr>
          <w:spacing w:val="16"/>
          <w:lang w:eastAsia="en-GB"/>
        </w:rPr>
        <w:t xml:space="preserve"> </w:t>
      </w:r>
      <w:r w:rsidRPr="00DB7F92">
        <w:rPr>
          <w:lang w:eastAsia="en-GB"/>
        </w:rPr>
        <w:t>to</w:t>
      </w:r>
      <w:r w:rsidRPr="00C84421">
        <w:rPr>
          <w:spacing w:val="15"/>
          <w:lang w:eastAsia="en-GB"/>
        </w:rPr>
        <w:t xml:space="preserve"> </w:t>
      </w:r>
      <w:r w:rsidRPr="00DB7F92">
        <w:rPr>
          <w:lang w:eastAsia="en-GB"/>
        </w:rPr>
        <w:t>promote</w:t>
      </w:r>
      <w:r w:rsidRPr="00C84421">
        <w:rPr>
          <w:spacing w:val="39"/>
          <w:w w:val="99"/>
          <w:lang w:eastAsia="en-GB"/>
        </w:rPr>
        <w:t xml:space="preserve"> </w:t>
      </w:r>
      <w:r w:rsidRPr="00DB7F92">
        <w:rPr>
          <w:lang w:eastAsia="en-GB"/>
        </w:rPr>
        <w:t>education</w:t>
      </w:r>
      <w:r w:rsidRPr="00C84421">
        <w:rPr>
          <w:spacing w:val="37"/>
          <w:lang w:eastAsia="en-GB"/>
        </w:rPr>
        <w:t xml:space="preserve"> </w:t>
      </w:r>
      <w:r w:rsidRPr="00DB7F92">
        <w:rPr>
          <w:lang w:eastAsia="en-GB"/>
        </w:rPr>
        <w:t>and</w:t>
      </w:r>
      <w:r w:rsidRPr="00C84421">
        <w:rPr>
          <w:spacing w:val="36"/>
          <w:lang w:eastAsia="en-GB"/>
        </w:rPr>
        <w:t xml:space="preserve"> </w:t>
      </w:r>
      <w:r w:rsidRPr="00DB7F92">
        <w:rPr>
          <w:lang w:eastAsia="en-GB"/>
        </w:rPr>
        <w:t>training</w:t>
      </w:r>
      <w:r w:rsidRPr="00C84421">
        <w:rPr>
          <w:spacing w:val="37"/>
          <w:lang w:eastAsia="en-GB"/>
        </w:rPr>
        <w:t xml:space="preserve"> </w:t>
      </w:r>
      <w:r w:rsidRPr="00DB7F92">
        <w:rPr>
          <w:lang w:eastAsia="en-GB"/>
        </w:rPr>
        <w:t>of</w:t>
      </w:r>
      <w:r w:rsidRPr="00C84421">
        <w:rPr>
          <w:spacing w:val="36"/>
          <w:lang w:eastAsia="en-GB"/>
        </w:rPr>
        <w:t xml:space="preserve"> </w:t>
      </w:r>
      <w:r w:rsidRPr="00DB7F92">
        <w:rPr>
          <w:lang w:eastAsia="en-GB"/>
        </w:rPr>
        <w:t>those</w:t>
      </w:r>
      <w:r w:rsidRPr="00C84421">
        <w:rPr>
          <w:spacing w:val="37"/>
          <w:lang w:eastAsia="en-GB"/>
        </w:rPr>
        <w:t xml:space="preserve"> </w:t>
      </w:r>
      <w:r w:rsidRPr="00DB7F92">
        <w:rPr>
          <w:lang w:eastAsia="en-GB"/>
        </w:rPr>
        <w:t>working</w:t>
      </w:r>
      <w:r w:rsidRPr="00C84421">
        <w:rPr>
          <w:spacing w:val="37"/>
          <w:lang w:eastAsia="en-GB"/>
        </w:rPr>
        <w:t xml:space="preserve"> </w:t>
      </w:r>
      <w:r w:rsidRPr="00DB7F92">
        <w:rPr>
          <w:lang w:eastAsia="en-GB"/>
        </w:rPr>
        <w:t>within</w:t>
      </w:r>
      <w:r w:rsidRPr="00C84421">
        <w:rPr>
          <w:spacing w:val="37"/>
          <w:lang w:eastAsia="en-GB"/>
        </w:rPr>
        <w:t xml:space="preserve"> </w:t>
      </w:r>
      <w:r w:rsidRPr="00DB7F92">
        <w:rPr>
          <w:lang w:eastAsia="en-GB"/>
        </w:rPr>
        <w:t>(or</w:t>
      </w:r>
      <w:r w:rsidRPr="00C84421">
        <w:rPr>
          <w:spacing w:val="40"/>
          <w:lang w:eastAsia="en-GB"/>
        </w:rPr>
        <w:t xml:space="preserve"> </w:t>
      </w:r>
      <w:r w:rsidRPr="00DB7F92">
        <w:rPr>
          <w:lang w:eastAsia="en-GB"/>
        </w:rPr>
        <w:t>intending</w:t>
      </w:r>
      <w:r w:rsidRPr="00C84421">
        <w:rPr>
          <w:spacing w:val="38"/>
          <w:lang w:eastAsia="en-GB"/>
        </w:rPr>
        <w:t xml:space="preserve"> </w:t>
      </w:r>
      <w:r w:rsidRPr="00DB7F92">
        <w:rPr>
          <w:lang w:eastAsia="en-GB"/>
        </w:rPr>
        <w:t>to</w:t>
      </w:r>
      <w:r w:rsidRPr="00C84421">
        <w:rPr>
          <w:spacing w:val="39"/>
          <w:lang w:eastAsia="en-GB"/>
        </w:rPr>
        <w:t xml:space="preserve"> </w:t>
      </w:r>
      <w:r w:rsidRPr="00DB7F92">
        <w:rPr>
          <w:lang w:eastAsia="en-GB"/>
        </w:rPr>
        <w:t>work</w:t>
      </w:r>
      <w:r w:rsidRPr="00C84421">
        <w:rPr>
          <w:spacing w:val="57"/>
          <w:lang w:eastAsia="en-GB"/>
        </w:rPr>
        <w:t xml:space="preserve"> </w:t>
      </w:r>
      <w:r w:rsidRPr="00DB7F92">
        <w:rPr>
          <w:lang w:eastAsia="en-GB"/>
        </w:rPr>
        <w:t>within)</w:t>
      </w:r>
      <w:r w:rsidRPr="00C84421">
        <w:rPr>
          <w:spacing w:val="-8"/>
          <w:lang w:eastAsia="en-GB"/>
        </w:rPr>
        <w:t xml:space="preserve"> </w:t>
      </w:r>
      <w:r w:rsidRPr="00DB7F92">
        <w:rPr>
          <w:lang w:eastAsia="en-GB"/>
        </w:rPr>
        <w:t>the</w:t>
      </w:r>
      <w:r w:rsidRPr="00C84421">
        <w:rPr>
          <w:spacing w:val="-6"/>
          <w:lang w:eastAsia="en-GB"/>
        </w:rPr>
        <w:t xml:space="preserve"> </w:t>
      </w:r>
      <w:r w:rsidRPr="00DB7F92">
        <w:rPr>
          <w:lang w:eastAsia="en-GB"/>
        </w:rPr>
        <w:t>health</w:t>
      </w:r>
      <w:r w:rsidRPr="00C84421">
        <w:rPr>
          <w:spacing w:val="-8"/>
          <w:lang w:eastAsia="en-GB"/>
        </w:rPr>
        <w:t xml:space="preserve"> </w:t>
      </w:r>
      <w:r w:rsidRPr="00DB7F92">
        <w:rPr>
          <w:lang w:eastAsia="en-GB"/>
        </w:rPr>
        <w:t>service.</w:t>
      </w:r>
    </w:p>
    <w:p w14:paraId="6D15E3E4" w14:textId="77777777" w:rsidR="00DB7F92" w:rsidRDefault="00DB7F92" w:rsidP="00884224">
      <w:pPr>
        <w:keepNext/>
        <w:keepLines/>
        <w:spacing w:before="199"/>
        <w:ind w:left="838"/>
        <w:jc w:val="both"/>
        <w:outlineLvl w:val="6"/>
        <w:rPr>
          <w:rFonts w:eastAsiaTheme="majorEastAsia" w:cs="Arial"/>
          <w:i/>
          <w:iCs/>
          <w:color w:val="404040" w:themeColor="text1" w:themeTint="BF"/>
          <w:spacing w:val="-1"/>
          <w:sz w:val="28"/>
          <w:szCs w:val="28"/>
        </w:rPr>
      </w:pPr>
      <w:r w:rsidRPr="00884224">
        <w:rPr>
          <w:rFonts w:eastAsiaTheme="majorEastAsia" w:cs="Arial"/>
          <w:i/>
          <w:iCs/>
          <w:color w:val="404040" w:themeColor="text1" w:themeTint="BF"/>
          <w:spacing w:val="-1"/>
          <w:sz w:val="28"/>
          <w:szCs w:val="28"/>
        </w:rPr>
        <w:t>IMPACT IN AREAS OF WALES OR SCOTLAND</w:t>
      </w:r>
    </w:p>
    <w:p w14:paraId="157962AB" w14:textId="77777777" w:rsidR="00C84421" w:rsidRPr="00884224" w:rsidRDefault="00C84421" w:rsidP="00884224">
      <w:pPr>
        <w:keepNext/>
        <w:keepLines/>
        <w:spacing w:before="199"/>
        <w:ind w:left="838"/>
        <w:jc w:val="both"/>
        <w:outlineLvl w:val="6"/>
        <w:rPr>
          <w:rFonts w:eastAsiaTheme="majorEastAsia" w:cs="Arial"/>
          <w:i/>
          <w:iCs/>
          <w:color w:val="404040" w:themeColor="text1" w:themeTint="BF"/>
          <w:spacing w:val="-1"/>
          <w:sz w:val="28"/>
          <w:szCs w:val="28"/>
        </w:rPr>
      </w:pPr>
    </w:p>
    <w:p w14:paraId="7BD4900B" w14:textId="77777777" w:rsidR="00DB7F92" w:rsidRPr="00DB7F92" w:rsidRDefault="00DB7F92" w:rsidP="00DD5D2D">
      <w:pPr>
        <w:pStyle w:val="Heading3"/>
        <w:jc w:val="both"/>
        <w:rPr>
          <w:lang w:eastAsia="en-GB"/>
        </w:rPr>
      </w:pPr>
      <w:r w:rsidRPr="00DB7F92">
        <w:rPr>
          <w:lang w:eastAsia="en-GB"/>
        </w:rPr>
        <w:t>NHS England has a</w:t>
      </w:r>
      <w:r w:rsidRPr="00DB7F92">
        <w:rPr>
          <w:spacing w:val="64"/>
          <w:lang w:eastAsia="en-GB"/>
        </w:rPr>
        <w:t xml:space="preserve"> </w:t>
      </w:r>
      <w:r w:rsidRPr="00DB7F92">
        <w:rPr>
          <w:lang w:eastAsia="en-GB"/>
        </w:rPr>
        <w:t>duty</w:t>
      </w:r>
      <w:r w:rsidRPr="00DB7F92">
        <w:rPr>
          <w:spacing w:val="63"/>
          <w:lang w:eastAsia="en-GB"/>
        </w:rPr>
        <w:t xml:space="preserve"> </w:t>
      </w:r>
      <w:r w:rsidRPr="00DB7F92">
        <w:rPr>
          <w:lang w:eastAsia="en-GB"/>
        </w:rPr>
        <w:t>to  have</w:t>
      </w:r>
      <w:r w:rsidRPr="00DB7F92">
        <w:rPr>
          <w:spacing w:val="62"/>
          <w:lang w:eastAsia="en-GB"/>
        </w:rPr>
        <w:t xml:space="preserve"> </w:t>
      </w:r>
      <w:r w:rsidRPr="00DB7F92">
        <w:rPr>
          <w:lang w:eastAsia="en-GB"/>
        </w:rPr>
        <w:t>regard</w:t>
      </w:r>
      <w:r w:rsidRPr="00DB7F92">
        <w:rPr>
          <w:spacing w:val="63"/>
          <w:lang w:eastAsia="en-GB"/>
        </w:rPr>
        <w:t xml:space="preserve"> </w:t>
      </w:r>
      <w:r w:rsidRPr="00DB7F92">
        <w:rPr>
          <w:lang w:eastAsia="en-GB"/>
        </w:rPr>
        <w:t>to</w:t>
      </w:r>
      <w:r w:rsidRPr="00DB7F92">
        <w:rPr>
          <w:spacing w:val="62"/>
          <w:lang w:eastAsia="en-GB"/>
        </w:rPr>
        <w:t xml:space="preserve"> </w:t>
      </w:r>
      <w:r w:rsidRPr="00DB7F92">
        <w:rPr>
          <w:lang w:eastAsia="en-GB"/>
        </w:rPr>
        <w:t>the</w:t>
      </w:r>
      <w:r w:rsidRPr="00DB7F92">
        <w:rPr>
          <w:spacing w:val="65"/>
          <w:lang w:eastAsia="en-GB"/>
        </w:rPr>
        <w:t xml:space="preserve"> </w:t>
      </w:r>
      <w:r w:rsidRPr="00DB7F92">
        <w:rPr>
          <w:lang w:eastAsia="en-GB"/>
        </w:rPr>
        <w:t>likely</w:t>
      </w:r>
      <w:r w:rsidRPr="00DB7F92">
        <w:rPr>
          <w:spacing w:val="1"/>
          <w:lang w:eastAsia="en-GB"/>
        </w:rPr>
        <w:t xml:space="preserve"> </w:t>
      </w:r>
      <w:r w:rsidRPr="00DB7F92">
        <w:rPr>
          <w:lang w:eastAsia="en-GB"/>
        </w:rPr>
        <w:t>impact</w:t>
      </w:r>
      <w:r w:rsidRPr="00DB7F92">
        <w:rPr>
          <w:spacing w:val="64"/>
          <w:lang w:eastAsia="en-GB"/>
        </w:rPr>
        <w:t xml:space="preserve"> </w:t>
      </w:r>
      <w:r w:rsidRPr="00DB7F92">
        <w:rPr>
          <w:lang w:eastAsia="en-GB"/>
        </w:rPr>
        <w:t>of</w:t>
      </w:r>
      <w:r w:rsidRPr="00DB7F92">
        <w:rPr>
          <w:spacing w:val="43"/>
          <w:lang w:eastAsia="en-GB"/>
        </w:rPr>
        <w:t xml:space="preserve"> </w:t>
      </w:r>
      <w:r w:rsidRPr="00DB7F92">
        <w:rPr>
          <w:lang w:eastAsia="en-GB"/>
        </w:rPr>
        <w:t>commissioning</w:t>
      </w:r>
      <w:r w:rsidRPr="00DB7F92">
        <w:rPr>
          <w:spacing w:val="50"/>
          <w:lang w:eastAsia="en-GB"/>
        </w:rPr>
        <w:t xml:space="preserve"> </w:t>
      </w:r>
      <w:r w:rsidRPr="00DB7F92">
        <w:rPr>
          <w:lang w:eastAsia="en-GB"/>
        </w:rPr>
        <w:t>decisions</w:t>
      </w:r>
      <w:r w:rsidRPr="00DB7F92">
        <w:rPr>
          <w:spacing w:val="50"/>
          <w:lang w:eastAsia="en-GB"/>
        </w:rPr>
        <w:t xml:space="preserve"> </w:t>
      </w:r>
      <w:r w:rsidRPr="00DB7F92">
        <w:rPr>
          <w:lang w:eastAsia="en-GB"/>
        </w:rPr>
        <w:t>on</w:t>
      </w:r>
      <w:r w:rsidRPr="00DB7F92">
        <w:rPr>
          <w:spacing w:val="50"/>
          <w:lang w:eastAsia="en-GB"/>
        </w:rPr>
        <w:t xml:space="preserve"> </w:t>
      </w:r>
      <w:r w:rsidRPr="00DB7F92">
        <w:rPr>
          <w:lang w:eastAsia="en-GB"/>
        </w:rPr>
        <w:t>healthcare</w:t>
      </w:r>
      <w:r w:rsidRPr="00DB7F92">
        <w:rPr>
          <w:spacing w:val="51"/>
          <w:lang w:eastAsia="en-GB"/>
        </w:rPr>
        <w:t xml:space="preserve"> </w:t>
      </w:r>
      <w:r w:rsidRPr="00DB7F92">
        <w:rPr>
          <w:lang w:eastAsia="en-GB"/>
        </w:rPr>
        <w:t>delivered</w:t>
      </w:r>
      <w:r w:rsidRPr="00DB7F92">
        <w:rPr>
          <w:spacing w:val="50"/>
          <w:lang w:eastAsia="en-GB"/>
        </w:rPr>
        <w:t xml:space="preserve"> </w:t>
      </w:r>
      <w:r w:rsidRPr="00DB7F92">
        <w:rPr>
          <w:lang w:eastAsia="en-GB"/>
        </w:rPr>
        <w:t>in</w:t>
      </w:r>
      <w:r w:rsidRPr="00DB7F92">
        <w:rPr>
          <w:spacing w:val="50"/>
          <w:lang w:eastAsia="en-GB"/>
        </w:rPr>
        <w:t xml:space="preserve"> </w:t>
      </w:r>
      <w:r w:rsidRPr="00DB7F92">
        <w:rPr>
          <w:lang w:eastAsia="en-GB"/>
        </w:rPr>
        <w:t>areas</w:t>
      </w:r>
      <w:r w:rsidRPr="00DB7F92">
        <w:rPr>
          <w:spacing w:val="50"/>
          <w:lang w:eastAsia="en-GB"/>
        </w:rPr>
        <w:t xml:space="preserve"> </w:t>
      </w:r>
      <w:r w:rsidRPr="00DB7F92">
        <w:rPr>
          <w:lang w:eastAsia="en-GB"/>
        </w:rPr>
        <w:t>of</w:t>
      </w:r>
      <w:r w:rsidRPr="00DB7F92">
        <w:rPr>
          <w:spacing w:val="51"/>
          <w:lang w:eastAsia="en-GB"/>
        </w:rPr>
        <w:t xml:space="preserve"> </w:t>
      </w:r>
      <w:r w:rsidRPr="00DB7F92">
        <w:rPr>
          <w:lang w:eastAsia="en-GB"/>
        </w:rPr>
        <w:t>Wales</w:t>
      </w:r>
      <w:r w:rsidRPr="00DB7F92">
        <w:rPr>
          <w:spacing w:val="50"/>
          <w:lang w:eastAsia="en-GB"/>
        </w:rPr>
        <w:t xml:space="preserve"> </w:t>
      </w:r>
      <w:r w:rsidRPr="00DB7F92">
        <w:rPr>
          <w:lang w:eastAsia="en-GB"/>
        </w:rPr>
        <w:t>or</w:t>
      </w:r>
      <w:r w:rsidRPr="00DB7F92">
        <w:rPr>
          <w:spacing w:val="73"/>
          <w:w w:val="99"/>
          <w:lang w:eastAsia="en-GB"/>
        </w:rPr>
        <w:t xml:space="preserve"> </w:t>
      </w:r>
      <w:r w:rsidRPr="00DB7F92">
        <w:rPr>
          <w:lang w:eastAsia="en-GB"/>
        </w:rPr>
        <w:t>Scotland</w:t>
      </w:r>
      <w:r w:rsidRPr="00DB7F92">
        <w:rPr>
          <w:spacing w:val="-2"/>
          <w:lang w:eastAsia="en-GB"/>
        </w:rPr>
        <w:t xml:space="preserve"> </w:t>
      </w:r>
      <w:r w:rsidRPr="00DB7F92">
        <w:rPr>
          <w:lang w:eastAsia="en-GB"/>
        </w:rPr>
        <w:t>close to the border</w:t>
      </w:r>
      <w:r w:rsidRPr="00DB7F92">
        <w:rPr>
          <w:spacing w:val="1"/>
          <w:lang w:eastAsia="en-GB"/>
        </w:rPr>
        <w:t xml:space="preserve"> </w:t>
      </w:r>
      <w:r w:rsidRPr="00DB7F92">
        <w:rPr>
          <w:lang w:eastAsia="en-GB"/>
        </w:rPr>
        <w:t>with England.</w:t>
      </w:r>
      <w:r w:rsidRPr="00DB7F92">
        <w:rPr>
          <w:spacing w:val="1"/>
          <w:lang w:eastAsia="en-GB"/>
        </w:rPr>
        <w:t xml:space="preserve"> </w:t>
      </w:r>
      <w:r w:rsidRPr="00DB7F92">
        <w:rPr>
          <w:lang w:eastAsia="en-GB"/>
        </w:rPr>
        <w:t>This</w:t>
      </w:r>
      <w:r w:rsidRPr="00DB7F92">
        <w:rPr>
          <w:spacing w:val="1"/>
          <w:lang w:eastAsia="en-GB"/>
        </w:rPr>
        <w:t xml:space="preserve"> </w:t>
      </w:r>
      <w:r w:rsidRPr="00DB7F92">
        <w:rPr>
          <w:lang w:eastAsia="en-GB"/>
        </w:rPr>
        <w:t>will clearly be relevant</w:t>
      </w:r>
      <w:r w:rsidRPr="00DB7F92">
        <w:rPr>
          <w:spacing w:val="1"/>
          <w:lang w:eastAsia="en-GB"/>
        </w:rPr>
        <w:t xml:space="preserve"> </w:t>
      </w:r>
      <w:r w:rsidRPr="00DB7F92">
        <w:rPr>
          <w:lang w:eastAsia="en-GB"/>
        </w:rPr>
        <w:t>for</w:t>
      </w:r>
      <w:r w:rsidRPr="00DB7F92">
        <w:rPr>
          <w:spacing w:val="59"/>
          <w:w w:val="99"/>
          <w:lang w:eastAsia="en-GB"/>
        </w:rPr>
        <w:t xml:space="preserve"> </w:t>
      </w:r>
      <w:r w:rsidRPr="00DB7F92">
        <w:rPr>
          <w:lang w:eastAsia="en-GB"/>
        </w:rPr>
        <w:t>those</w:t>
      </w:r>
      <w:r w:rsidRPr="00DB7F92">
        <w:rPr>
          <w:spacing w:val="42"/>
          <w:lang w:eastAsia="en-GB"/>
        </w:rPr>
        <w:t xml:space="preserve"> </w:t>
      </w:r>
      <w:r w:rsidRPr="00DB7F92">
        <w:rPr>
          <w:lang w:eastAsia="en-GB"/>
        </w:rPr>
        <w:t>working</w:t>
      </w:r>
      <w:r w:rsidRPr="00DB7F92">
        <w:rPr>
          <w:spacing w:val="43"/>
          <w:lang w:eastAsia="en-GB"/>
        </w:rPr>
        <w:t xml:space="preserve"> </w:t>
      </w:r>
      <w:r w:rsidRPr="00DB7F92">
        <w:rPr>
          <w:lang w:eastAsia="en-GB"/>
        </w:rPr>
        <w:t>in</w:t>
      </w:r>
      <w:r w:rsidRPr="00DB7F92">
        <w:rPr>
          <w:spacing w:val="45"/>
          <w:lang w:eastAsia="en-GB"/>
        </w:rPr>
        <w:t xml:space="preserve"> NHS England </w:t>
      </w:r>
      <w:r w:rsidRPr="00DB7F92">
        <w:rPr>
          <w:lang w:eastAsia="en-GB"/>
        </w:rPr>
        <w:t>regional</w:t>
      </w:r>
      <w:r w:rsidRPr="00DB7F92">
        <w:rPr>
          <w:spacing w:val="43"/>
          <w:lang w:eastAsia="en-GB"/>
        </w:rPr>
        <w:t xml:space="preserve"> </w:t>
      </w:r>
      <w:r w:rsidRPr="00DB7F92">
        <w:rPr>
          <w:lang w:eastAsia="en-GB"/>
        </w:rPr>
        <w:t>teams</w:t>
      </w:r>
      <w:r w:rsidRPr="00DB7F92">
        <w:rPr>
          <w:spacing w:val="45"/>
          <w:lang w:eastAsia="en-GB"/>
        </w:rPr>
        <w:t xml:space="preserve"> </w:t>
      </w:r>
      <w:r w:rsidRPr="00DB7F92">
        <w:rPr>
          <w:lang w:eastAsia="en-GB"/>
        </w:rPr>
        <w:t>that</w:t>
      </w:r>
      <w:r w:rsidRPr="00DB7F92">
        <w:rPr>
          <w:spacing w:val="46"/>
          <w:lang w:eastAsia="en-GB"/>
        </w:rPr>
        <w:t xml:space="preserve"> </w:t>
      </w:r>
      <w:r w:rsidRPr="00DB7F92">
        <w:rPr>
          <w:lang w:eastAsia="en-GB"/>
        </w:rPr>
        <w:t>border</w:t>
      </w:r>
      <w:r w:rsidRPr="00DB7F92">
        <w:rPr>
          <w:spacing w:val="46"/>
          <w:lang w:eastAsia="en-GB"/>
        </w:rPr>
        <w:t xml:space="preserve"> </w:t>
      </w:r>
      <w:r w:rsidRPr="00DB7F92">
        <w:rPr>
          <w:lang w:eastAsia="en-GB"/>
        </w:rPr>
        <w:t>Wales</w:t>
      </w:r>
      <w:r w:rsidRPr="00DB7F92">
        <w:rPr>
          <w:spacing w:val="45"/>
          <w:lang w:eastAsia="en-GB"/>
        </w:rPr>
        <w:t xml:space="preserve"> </w:t>
      </w:r>
      <w:r w:rsidRPr="00DB7F92">
        <w:rPr>
          <w:lang w:eastAsia="en-GB"/>
        </w:rPr>
        <w:t>or</w:t>
      </w:r>
      <w:r w:rsidRPr="00DB7F92">
        <w:rPr>
          <w:spacing w:val="45"/>
          <w:lang w:eastAsia="en-GB"/>
        </w:rPr>
        <w:t xml:space="preserve"> </w:t>
      </w:r>
      <w:r w:rsidRPr="00DB7F92">
        <w:rPr>
          <w:lang w:eastAsia="en-GB"/>
        </w:rPr>
        <w:t>Scotland.</w:t>
      </w:r>
      <w:r w:rsidRPr="00DB7F92">
        <w:rPr>
          <w:spacing w:val="27"/>
          <w:lang w:eastAsia="en-GB"/>
        </w:rPr>
        <w:t xml:space="preserve"> </w:t>
      </w:r>
      <w:r w:rsidRPr="00DB7F92">
        <w:rPr>
          <w:lang w:eastAsia="en-GB"/>
        </w:rPr>
        <w:t>NHS</w:t>
      </w:r>
      <w:r w:rsidRPr="00DB7F92">
        <w:rPr>
          <w:spacing w:val="67"/>
          <w:lang w:eastAsia="en-GB"/>
        </w:rPr>
        <w:t xml:space="preserve"> </w:t>
      </w:r>
      <w:r w:rsidRPr="00DB7F92">
        <w:rPr>
          <w:lang w:eastAsia="en-GB"/>
        </w:rPr>
        <w:t>England</w:t>
      </w:r>
      <w:r w:rsidRPr="00DB7F92">
        <w:rPr>
          <w:spacing w:val="39"/>
          <w:lang w:eastAsia="en-GB"/>
        </w:rPr>
        <w:t xml:space="preserve"> </w:t>
      </w:r>
      <w:r w:rsidRPr="00DB7F92">
        <w:rPr>
          <w:lang w:eastAsia="en-GB"/>
        </w:rPr>
        <w:t>will</w:t>
      </w:r>
      <w:r w:rsidRPr="00DB7F92">
        <w:rPr>
          <w:spacing w:val="41"/>
          <w:lang w:eastAsia="en-GB"/>
        </w:rPr>
        <w:t xml:space="preserve"> </w:t>
      </w:r>
      <w:r w:rsidRPr="00DB7F92">
        <w:rPr>
          <w:lang w:eastAsia="en-GB"/>
        </w:rPr>
        <w:t>also</w:t>
      </w:r>
      <w:r w:rsidRPr="00DB7F92">
        <w:rPr>
          <w:spacing w:val="41"/>
          <w:lang w:eastAsia="en-GB"/>
        </w:rPr>
        <w:t xml:space="preserve"> </w:t>
      </w:r>
      <w:r w:rsidRPr="00DB7F92">
        <w:rPr>
          <w:lang w:eastAsia="en-GB"/>
        </w:rPr>
        <w:t>need</w:t>
      </w:r>
      <w:r w:rsidRPr="00DB7F92">
        <w:rPr>
          <w:spacing w:val="42"/>
          <w:lang w:eastAsia="en-GB"/>
        </w:rPr>
        <w:t xml:space="preserve"> </w:t>
      </w:r>
      <w:r w:rsidRPr="00DB7F92">
        <w:rPr>
          <w:lang w:eastAsia="en-GB"/>
        </w:rPr>
        <w:t>to</w:t>
      </w:r>
      <w:r w:rsidRPr="00DB7F92">
        <w:rPr>
          <w:spacing w:val="41"/>
          <w:lang w:eastAsia="en-GB"/>
        </w:rPr>
        <w:t xml:space="preserve"> </w:t>
      </w:r>
      <w:r w:rsidRPr="00DB7F92">
        <w:rPr>
          <w:lang w:eastAsia="en-GB"/>
        </w:rPr>
        <w:t>comply</w:t>
      </w:r>
      <w:r w:rsidRPr="00DB7F92">
        <w:rPr>
          <w:spacing w:val="42"/>
          <w:lang w:eastAsia="en-GB"/>
        </w:rPr>
        <w:t xml:space="preserve"> </w:t>
      </w:r>
      <w:r w:rsidRPr="00DB7F92">
        <w:rPr>
          <w:lang w:eastAsia="en-GB"/>
        </w:rPr>
        <w:t>with</w:t>
      </w:r>
      <w:r w:rsidRPr="00DB7F92">
        <w:rPr>
          <w:spacing w:val="40"/>
          <w:lang w:eastAsia="en-GB"/>
        </w:rPr>
        <w:t xml:space="preserve"> </w:t>
      </w:r>
      <w:r w:rsidRPr="00DB7F92">
        <w:rPr>
          <w:lang w:eastAsia="en-GB"/>
        </w:rPr>
        <w:t>the</w:t>
      </w:r>
      <w:r w:rsidRPr="00DB7F92">
        <w:rPr>
          <w:spacing w:val="41"/>
          <w:lang w:eastAsia="en-GB"/>
        </w:rPr>
        <w:t xml:space="preserve"> </w:t>
      </w:r>
      <w:r w:rsidRPr="00DB7F92">
        <w:rPr>
          <w:lang w:eastAsia="en-GB"/>
        </w:rPr>
        <w:t>duty</w:t>
      </w:r>
      <w:r w:rsidRPr="00DB7F92">
        <w:rPr>
          <w:spacing w:val="42"/>
          <w:lang w:eastAsia="en-GB"/>
        </w:rPr>
        <w:t xml:space="preserve"> </w:t>
      </w:r>
      <w:r w:rsidRPr="00DB7F92">
        <w:rPr>
          <w:lang w:eastAsia="en-GB"/>
        </w:rPr>
        <w:t>when</w:t>
      </w:r>
      <w:r w:rsidRPr="00DB7F92">
        <w:rPr>
          <w:spacing w:val="40"/>
          <w:lang w:eastAsia="en-GB"/>
        </w:rPr>
        <w:t xml:space="preserve"> </w:t>
      </w:r>
      <w:r w:rsidRPr="00DB7F92">
        <w:rPr>
          <w:lang w:eastAsia="en-GB"/>
        </w:rPr>
        <w:t>making</w:t>
      </w:r>
      <w:r w:rsidRPr="00DB7F92">
        <w:rPr>
          <w:spacing w:val="40"/>
          <w:lang w:eastAsia="en-GB"/>
        </w:rPr>
        <w:t xml:space="preserve"> </w:t>
      </w:r>
      <w:r w:rsidRPr="00DB7F92">
        <w:rPr>
          <w:lang w:eastAsia="en-GB"/>
        </w:rPr>
        <w:t>national</w:t>
      </w:r>
      <w:r w:rsidRPr="00DB7F92">
        <w:rPr>
          <w:spacing w:val="51"/>
          <w:w w:val="99"/>
          <w:lang w:eastAsia="en-GB"/>
        </w:rPr>
        <w:t xml:space="preserve"> </w:t>
      </w:r>
      <w:r w:rsidRPr="00DB7F92">
        <w:rPr>
          <w:lang w:eastAsia="en-GB"/>
        </w:rPr>
        <w:t>strategic</w:t>
      </w:r>
      <w:r w:rsidRPr="00DB7F92">
        <w:rPr>
          <w:spacing w:val="18"/>
          <w:lang w:eastAsia="en-GB"/>
        </w:rPr>
        <w:t xml:space="preserve"> </w:t>
      </w:r>
      <w:r w:rsidRPr="00DB7F92">
        <w:rPr>
          <w:lang w:eastAsia="en-GB"/>
        </w:rPr>
        <w:t>decisions</w:t>
      </w:r>
      <w:r w:rsidRPr="00DB7F92">
        <w:rPr>
          <w:spacing w:val="21"/>
          <w:lang w:eastAsia="en-GB"/>
        </w:rPr>
        <w:t xml:space="preserve"> </w:t>
      </w:r>
      <w:r w:rsidRPr="00DB7F92">
        <w:rPr>
          <w:lang w:eastAsia="en-GB"/>
        </w:rPr>
        <w:t>about</w:t>
      </w:r>
      <w:r w:rsidRPr="00DB7F92">
        <w:rPr>
          <w:spacing w:val="21"/>
          <w:lang w:eastAsia="en-GB"/>
        </w:rPr>
        <w:t xml:space="preserve"> </w:t>
      </w:r>
      <w:r w:rsidRPr="00DB7F92">
        <w:rPr>
          <w:lang w:eastAsia="en-GB"/>
        </w:rPr>
        <w:t>the</w:t>
      </w:r>
      <w:r w:rsidRPr="00DB7F92">
        <w:rPr>
          <w:spacing w:val="19"/>
          <w:lang w:eastAsia="en-GB"/>
        </w:rPr>
        <w:t xml:space="preserve"> </w:t>
      </w:r>
      <w:r w:rsidRPr="00DB7F92">
        <w:rPr>
          <w:lang w:eastAsia="en-GB"/>
        </w:rPr>
        <w:t>delivery</w:t>
      </w:r>
      <w:r w:rsidRPr="00DB7F92">
        <w:rPr>
          <w:spacing w:val="20"/>
          <w:lang w:eastAsia="en-GB"/>
        </w:rPr>
        <w:t xml:space="preserve"> </w:t>
      </w:r>
      <w:r w:rsidRPr="00DB7F92">
        <w:rPr>
          <w:lang w:eastAsia="en-GB"/>
        </w:rPr>
        <w:t>of</w:t>
      </w:r>
      <w:r w:rsidRPr="00DB7F92">
        <w:rPr>
          <w:spacing w:val="19"/>
          <w:lang w:eastAsia="en-GB"/>
        </w:rPr>
        <w:t xml:space="preserve"> </w:t>
      </w:r>
      <w:r w:rsidRPr="00DB7F92">
        <w:rPr>
          <w:lang w:eastAsia="en-GB"/>
        </w:rPr>
        <w:t>primary</w:t>
      </w:r>
      <w:r w:rsidRPr="00DB7F92">
        <w:rPr>
          <w:spacing w:val="20"/>
          <w:lang w:eastAsia="en-GB"/>
        </w:rPr>
        <w:t xml:space="preserve"> </w:t>
      </w:r>
      <w:r w:rsidRPr="00DB7F92">
        <w:rPr>
          <w:lang w:eastAsia="en-GB"/>
        </w:rPr>
        <w:t>care</w:t>
      </w:r>
      <w:r w:rsidRPr="00DB7F92">
        <w:rPr>
          <w:spacing w:val="18"/>
          <w:lang w:eastAsia="en-GB"/>
        </w:rPr>
        <w:t xml:space="preserve"> </w:t>
      </w:r>
      <w:r w:rsidRPr="00DB7F92">
        <w:rPr>
          <w:lang w:eastAsia="en-GB"/>
        </w:rPr>
        <w:t>–</w:t>
      </w:r>
      <w:r w:rsidRPr="00DB7F92">
        <w:rPr>
          <w:spacing w:val="20"/>
          <w:lang w:eastAsia="en-GB"/>
        </w:rPr>
        <w:t xml:space="preserve"> </w:t>
      </w:r>
      <w:r w:rsidRPr="00DB7F92">
        <w:rPr>
          <w:lang w:eastAsia="en-GB"/>
        </w:rPr>
        <w:t>that</w:t>
      </w:r>
      <w:r w:rsidRPr="00DB7F92">
        <w:rPr>
          <w:spacing w:val="21"/>
          <w:lang w:eastAsia="en-GB"/>
        </w:rPr>
        <w:t xml:space="preserve"> </w:t>
      </w:r>
      <w:r w:rsidRPr="00DB7F92">
        <w:rPr>
          <w:spacing w:val="-2"/>
          <w:lang w:eastAsia="en-GB"/>
        </w:rPr>
        <w:t>affect</w:t>
      </w:r>
      <w:r w:rsidRPr="00DB7F92">
        <w:rPr>
          <w:spacing w:val="69"/>
          <w:w w:val="99"/>
          <w:lang w:eastAsia="en-GB"/>
        </w:rPr>
        <w:t xml:space="preserve"> </w:t>
      </w:r>
      <w:r w:rsidRPr="00DB7F92">
        <w:rPr>
          <w:lang w:eastAsia="en-GB"/>
        </w:rPr>
        <w:t>bordering</w:t>
      </w:r>
      <w:r w:rsidRPr="00DB7F92">
        <w:rPr>
          <w:spacing w:val="-5"/>
          <w:lang w:eastAsia="en-GB"/>
        </w:rPr>
        <w:t xml:space="preserve"> </w:t>
      </w:r>
      <w:r w:rsidRPr="00DB7F92">
        <w:rPr>
          <w:lang w:eastAsia="en-GB"/>
        </w:rPr>
        <w:t>areas</w:t>
      </w:r>
      <w:r w:rsidRPr="00DB7F92">
        <w:rPr>
          <w:spacing w:val="-5"/>
          <w:lang w:eastAsia="en-GB"/>
        </w:rPr>
        <w:t xml:space="preserve"> </w:t>
      </w:r>
      <w:r w:rsidRPr="00DB7F92">
        <w:rPr>
          <w:lang w:eastAsia="en-GB"/>
        </w:rPr>
        <w:t>as</w:t>
      </w:r>
      <w:r w:rsidRPr="00DB7F92">
        <w:rPr>
          <w:spacing w:val="-6"/>
          <w:lang w:eastAsia="en-GB"/>
        </w:rPr>
        <w:t xml:space="preserve"> </w:t>
      </w:r>
      <w:r w:rsidRPr="00DB7F92">
        <w:rPr>
          <w:lang w:eastAsia="en-GB"/>
        </w:rPr>
        <w:t>well</w:t>
      </w:r>
      <w:r w:rsidRPr="00DB7F92">
        <w:rPr>
          <w:spacing w:val="-3"/>
          <w:lang w:eastAsia="en-GB"/>
        </w:rPr>
        <w:t xml:space="preserve"> </w:t>
      </w:r>
      <w:r w:rsidRPr="00DB7F92">
        <w:rPr>
          <w:lang w:eastAsia="en-GB"/>
        </w:rPr>
        <w:t>as</w:t>
      </w:r>
      <w:r w:rsidRPr="00DB7F92">
        <w:rPr>
          <w:spacing w:val="-5"/>
          <w:lang w:eastAsia="en-GB"/>
        </w:rPr>
        <w:t xml:space="preserve"> </w:t>
      </w:r>
      <w:r w:rsidRPr="00DB7F92">
        <w:rPr>
          <w:lang w:eastAsia="en-GB"/>
        </w:rPr>
        <w:t>others.</w:t>
      </w:r>
    </w:p>
    <w:p w14:paraId="24A6FDB1" w14:textId="77777777" w:rsidR="00DB7F92" w:rsidRPr="00DB7F92" w:rsidRDefault="00DB7F92" w:rsidP="00DB7F92">
      <w:pPr>
        <w:widowControl w:val="0"/>
        <w:tabs>
          <w:tab w:val="left" w:pos="1179"/>
        </w:tabs>
        <w:spacing w:before="211" w:after="120"/>
        <w:ind w:left="838" w:right="335"/>
        <w:jc w:val="both"/>
        <w:rPr>
          <w:rFonts w:cs="Arial"/>
          <w:bCs w:val="0"/>
          <w:sz w:val="20"/>
          <w:szCs w:val="20"/>
          <w:lang w:eastAsia="en-GB"/>
        </w:rPr>
      </w:pPr>
      <w:r w:rsidRPr="00DB7F92">
        <w:rPr>
          <w:rFonts w:cs="Arial"/>
          <w:bCs w:val="0"/>
          <w:noProof/>
          <w:sz w:val="20"/>
          <w:szCs w:val="20"/>
          <w:lang w:eastAsia="en-GB"/>
        </w:rPr>
        <mc:AlternateContent>
          <mc:Choice Requires="wps">
            <w:drawing>
              <wp:inline distT="0" distB="0" distL="0" distR="0" wp14:anchorId="451764FD" wp14:editId="4A52AF81">
                <wp:extent cx="4860290" cy="2158409"/>
                <wp:effectExtent l="0" t="0" r="0" b="0"/>
                <wp:docPr id="227" name="Text Box 19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2158409"/>
                        </a:xfrm>
                        <a:prstGeom prst="rect">
                          <a:avLst/>
                        </a:prstGeom>
                        <a:solidFill>
                          <a:srgbClr val="1C6C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7CBD8C" w14:textId="77777777" w:rsidR="00622FF2" w:rsidRPr="004E0302" w:rsidRDefault="00622FF2" w:rsidP="00DB7F92">
                            <w:pPr>
                              <w:spacing w:before="213"/>
                              <w:ind w:left="225"/>
                              <w:jc w:val="both"/>
                              <w:rPr>
                                <w:rFonts w:eastAsia="Tw Cen MT Condensed Extra Bold" w:cs="Arial"/>
                                <w:sz w:val="20"/>
                                <w:szCs w:val="20"/>
                              </w:rPr>
                            </w:pPr>
                            <w:r w:rsidRPr="004E0302">
                              <w:rPr>
                                <w:rFonts w:cs="Arial"/>
                                <w:b/>
                                <w:color w:val="FFFFFF"/>
                                <w:sz w:val="20"/>
                                <w:szCs w:val="20"/>
                              </w:rPr>
                              <w:t>Example:</w:t>
                            </w:r>
                          </w:p>
                          <w:p w14:paraId="148089C4" w14:textId="77777777" w:rsidR="00622FF2" w:rsidRPr="004E0302" w:rsidRDefault="00622FF2" w:rsidP="00DB7F92">
                            <w:pPr>
                              <w:spacing w:before="12"/>
                              <w:rPr>
                                <w:rFonts w:eastAsia="Segoe UI Semilight" w:cs="Arial"/>
                                <w:sz w:val="20"/>
                                <w:szCs w:val="20"/>
                              </w:rPr>
                            </w:pPr>
                          </w:p>
                          <w:p w14:paraId="2231D8E1" w14:textId="77777777" w:rsidR="00622FF2" w:rsidRPr="00475347" w:rsidRDefault="00622FF2" w:rsidP="00DB7F92">
                            <w:pPr>
                              <w:ind w:left="225" w:right="225"/>
                              <w:jc w:val="both"/>
                              <w:rPr>
                                <w:rFonts w:cs="Arial"/>
                                <w:color w:val="FFFFFF"/>
                                <w:spacing w:val="-1"/>
                                <w:sz w:val="20"/>
                                <w:szCs w:val="20"/>
                              </w:rPr>
                            </w:pPr>
                            <w:r w:rsidRPr="00475347">
                              <w:rPr>
                                <w:rFonts w:cs="Arial"/>
                                <w:color w:val="FFFFFF"/>
                                <w:spacing w:val="-1"/>
                                <w:sz w:val="20"/>
                                <w:szCs w:val="20"/>
                              </w:rPr>
                              <w:t>The Commissioner is considering commissioning new primary care services for a town in England close to the border with Scotland.  It is concerned that many of the local residents have difficulty in accessing local primary care services, the nearest practice being based over the border in Scotland.  That provider is difficult to access by public transport and in the winter the short route is often impassable.  To comply with its duty to have regard to the likely impact of commissioning decisions on healthcare delivered in areas Scotland close to the border with England, the regional team or CCG discusses the impact that commissioning services on the English side of the border would have on the Scottish provider.  It takes this impact into account when it makes its decision about the commissioning of services.</w:t>
                            </w:r>
                          </w:p>
                        </w:txbxContent>
                      </wps:txbx>
                      <wps:bodyPr rot="0" vert="horz" wrap="square" lIns="0" tIns="0" rIns="0" bIns="0" anchor="t" anchorCtr="0" upright="1">
                        <a:noAutofit/>
                      </wps:bodyPr>
                    </wps:wsp>
                  </a:graphicData>
                </a:graphic>
              </wp:inline>
            </w:drawing>
          </mc:Choice>
          <mc:Fallback>
            <w:pict>
              <v:shape id="_x0000_s1030" type="#_x0000_t202" style="width:382.7pt;height:169.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" fillcolor="#1c6cb4" stroked="f">
                <v:textbox inset="0,0,0,0">
                  <w:txbxContent>
                    <w:p w14:paraId="687CBD8C" w14:textId="77777777" w:rsidR="00622FF2" w:rsidRPr="004E0302" w:rsidRDefault="00622FF2" w:rsidP="00DB7F92">
                      <w:pPr>
                        <w:spacing w:before="213"/>
                        <w:ind w:left="225"/>
                        <w:jc w:val="both"/>
                        <w:rPr>
                          <w:rFonts w:eastAsia="Tw Cen MT Condensed Extra Bold" w:cs="Arial"/>
                          <w:sz w:val="20"/>
                          <w:szCs w:val="20"/>
                        </w:rPr>
                      </w:pPr>
                      <w:r w:rsidRPr="004E0302">
                        <w:rPr>
                          <w:rFonts w:cs="Arial"/>
                          <w:b/>
                          <w:color w:val="FFFFFF"/>
                          <w:sz w:val="20"/>
                          <w:szCs w:val="20"/>
                        </w:rPr>
                        <w:t>Example:</w:t>
                      </w:r>
                    </w:p>
                    <w:p w14:paraId="148089C4" w14:textId="77777777" w:rsidR="00622FF2" w:rsidRPr="004E0302" w:rsidRDefault="00622FF2" w:rsidP="00DB7F92">
                      <w:pPr>
                        <w:spacing w:before="12"/>
                        <w:rPr>
                          <w:rFonts w:eastAsia="Segoe UI Semilight" w:cs="Arial"/>
                          <w:sz w:val="20"/>
                          <w:szCs w:val="20"/>
                        </w:rPr>
                      </w:pPr>
                    </w:p>
                    <w:p w14:paraId="2231D8E1" w14:textId="77777777" w:rsidR="00622FF2" w:rsidRPr="00475347" w:rsidRDefault="00622FF2" w:rsidP="00DB7F92">
                      <w:pPr>
                        <w:ind w:left="225" w:right="225"/>
                        <w:jc w:val="both"/>
                        <w:rPr>
                          <w:rFonts w:cs="Arial"/>
                          <w:color w:val="FFFFFF"/>
                          <w:spacing w:val="-1"/>
                          <w:sz w:val="20"/>
                          <w:szCs w:val="20"/>
                        </w:rPr>
                      </w:pPr>
                      <w:r w:rsidRPr="00475347">
                        <w:rPr>
                          <w:rFonts w:cs="Arial"/>
                          <w:color w:val="FFFFFF"/>
                          <w:spacing w:val="-1"/>
                          <w:sz w:val="20"/>
                          <w:szCs w:val="20"/>
                        </w:rPr>
                        <w:t>The Commissioner is considering commissioning new primary care services for a town in England close to the border with Scotland.  It is concerned that many of the local residents have difficulty in accessing local primary care services, the nearest practice being based over the border in Scotland.  That provider is difficult to access by public transport and in the winter the short route is often impassable.  To comply with its duty to have regard to the likely impact of commissioning decisions on healthcare delivered in areas Scotland close to the border with England, the regional team or CCG discusses the impact that commissioning services on the English side of the border would have on the Scottish provider.  It takes this impact into account when it makes its decision about the commissioning of services.</w:t>
                      </w:r>
                    </w:p>
                  </w:txbxContent>
                </v:textbox>
                <w10:anchorlock/>
              </v:shape>
            </w:pict>
          </mc:Fallback>
        </mc:AlternateContent>
      </w:r>
    </w:p>
    <w:p w14:paraId="355F4758" w14:textId="77777777" w:rsidR="00DB7F92" w:rsidRPr="00DB7F92" w:rsidRDefault="00DB7F92" w:rsidP="00DB7F92">
      <w:pPr>
        <w:spacing w:before="1"/>
        <w:jc w:val="both"/>
        <w:rPr>
          <w:rFonts w:eastAsia="Segoe UI Semilight" w:cs="Arial"/>
          <w:sz w:val="20"/>
          <w:szCs w:val="20"/>
        </w:rPr>
      </w:pPr>
    </w:p>
    <w:p w14:paraId="56F44060" w14:textId="77777777" w:rsidR="00D32C7A" w:rsidRDefault="00D32C7A" w:rsidP="003331F2">
      <w:pPr>
        <w:pStyle w:val="BodyText"/>
        <w:rPr>
          <w:rFonts w:eastAsiaTheme="majorEastAsia"/>
        </w:rPr>
      </w:pPr>
    </w:p>
    <w:p w14:paraId="2340BEDB" w14:textId="533AE306" w:rsidR="00DB7F92" w:rsidRPr="00DB7F92" w:rsidRDefault="00D32C7A" w:rsidP="00DB7F92">
      <w:pPr>
        <w:pStyle w:val="Heading2"/>
        <w:rPr>
          <w:rFonts w:eastAsiaTheme="majorEastAsia"/>
        </w:rPr>
      </w:pPr>
      <w:bookmarkStart w:id="95" w:name="_Toc498495319"/>
      <w:r w:rsidRPr="00DB7F92">
        <w:rPr>
          <w:rFonts w:eastAsiaTheme="majorEastAsia"/>
        </w:rPr>
        <w:t>The Promote</w:t>
      </w:r>
      <w:r w:rsidRPr="00DB7F92">
        <w:rPr>
          <w:rFonts w:eastAsiaTheme="majorEastAsia"/>
          <w:spacing w:val="1"/>
        </w:rPr>
        <w:t xml:space="preserve"> </w:t>
      </w:r>
      <w:r w:rsidRPr="00DB7F92">
        <w:rPr>
          <w:rFonts w:eastAsiaTheme="majorEastAsia"/>
        </w:rPr>
        <w:t>Duties</w:t>
      </w:r>
      <w:bookmarkEnd w:id="95"/>
    </w:p>
    <w:p w14:paraId="05E6A0C4" w14:textId="77777777" w:rsidR="00DB7F92" w:rsidRPr="00DB7F92" w:rsidRDefault="00DB7F92" w:rsidP="00DD5D2D">
      <w:pPr>
        <w:pStyle w:val="Heading3"/>
        <w:jc w:val="both"/>
        <w:rPr>
          <w:lang w:eastAsia="en-GB"/>
        </w:rPr>
      </w:pPr>
      <w:r w:rsidRPr="00DB7F92">
        <w:rPr>
          <w:lang w:eastAsia="en-GB"/>
        </w:rPr>
        <w:t>It</w:t>
      </w:r>
      <w:r w:rsidRPr="00DB7F92">
        <w:rPr>
          <w:spacing w:val="-4"/>
          <w:lang w:eastAsia="en-GB"/>
        </w:rPr>
        <w:t xml:space="preserve"> </w:t>
      </w:r>
      <w:r w:rsidRPr="00DB7F92">
        <w:rPr>
          <w:lang w:eastAsia="en-GB"/>
        </w:rPr>
        <w:t>is</w:t>
      </w:r>
      <w:r w:rsidRPr="00DB7F92">
        <w:rPr>
          <w:spacing w:val="-4"/>
          <w:lang w:eastAsia="en-GB"/>
        </w:rPr>
        <w:t xml:space="preserve"> </w:t>
      </w:r>
      <w:r w:rsidRPr="00DB7F92">
        <w:rPr>
          <w:lang w:eastAsia="en-GB"/>
        </w:rPr>
        <w:t>helpful</w:t>
      </w:r>
      <w:r w:rsidRPr="00DB7F92">
        <w:rPr>
          <w:spacing w:val="-3"/>
          <w:lang w:eastAsia="en-GB"/>
        </w:rPr>
        <w:t xml:space="preserve"> </w:t>
      </w:r>
      <w:r w:rsidRPr="00DB7F92">
        <w:rPr>
          <w:lang w:eastAsia="en-GB"/>
        </w:rPr>
        <w:t>to</w:t>
      </w:r>
      <w:r w:rsidRPr="00DB7F92">
        <w:rPr>
          <w:spacing w:val="-2"/>
          <w:lang w:eastAsia="en-GB"/>
        </w:rPr>
        <w:t xml:space="preserve"> </w:t>
      </w:r>
      <w:r w:rsidRPr="00DB7F92">
        <w:rPr>
          <w:lang w:eastAsia="en-GB"/>
        </w:rPr>
        <w:t>look</w:t>
      </w:r>
      <w:r w:rsidRPr="00DB7F92">
        <w:rPr>
          <w:spacing w:val="-2"/>
          <w:lang w:eastAsia="en-GB"/>
        </w:rPr>
        <w:t xml:space="preserve"> </w:t>
      </w:r>
      <w:r w:rsidRPr="00DB7F92">
        <w:rPr>
          <w:lang w:eastAsia="en-GB"/>
        </w:rPr>
        <w:t>next</w:t>
      </w:r>
      <w:r w:rsidRPr="00DB7F92">
        <w:rPr>
          <w:spacing w:val="-2"/>
          <w:lang w:eastAsia="en-GB"/>
        </w:rPr>
        <w:t xml:space="preserve"> </w:t>
      </w:r>
      <w:r w:rsidRPr="00DB7F92">
        <w:rPr>
          <w:lang w:eastAsia="en-GB"/>
        </w:rPr>
        <w:t>at</w:t>
      </w:r>
      <w:r w:rsidRPr="00DB7F92">
        <w:rPr>
          <w:spacing w:val="-3"/>
          <w:lang w:eastAsia="en-GB"/>
        </w:rPr>
        <w:t xml:space="preserve"> </w:t>
      </w:r>
      <w:r w:rsidRPr="00DB7F92">
        <w:rPr>
          <w:lang w:eastAsia="en-GB"/>
        </w:rPr>
        <w:t>the</w:t>
      </w:r>
      <w:r w:rsidRPr="00DB7F92">
        <w:rPr>
          <w:spacing w:val="-5"/>
          <w:lang w:eastAsia="en-GB"/>
        </w:rPr>
        <w:t xml:space="preserve"> </w:t>
      </w:r>
      <w:r w:rsidRPr="00DB7F92">
        <w:rPr>
          <w:lang w:eastAsia="en-GB"/>
        </w:rPr>
        <w:t>Promote</w:t>
      </w:r>
      <w:r w:rsidRPr="00DB7F92">
        <w:rPr>
          <w:spacing w:val="-3"/>
          <w:lang w:eastAsia="en-GB"/>
        </w:rPr>
        <w:t xml:space="preserve"> </w:t>
      </w:r>
      <w:r w:rsidRPr="00DB7F92">
        <w:rPr>
          <w:lang w:eastAsia="en-GB"/>
        </w:rPr>
        <w:t>Duties.</w:t>
      </w:r>
      <w:r w:rsidRPr="00DB7F92">
        <w:rPr>
          <w:spacing w:val="60"/>
          <w:lang w:eastAsia="en-GB"/>
        </w:rPr>
        <w:t xml:space="preserve"> </w:t>
      </w:r>
      <w:r w:rsidRPr="00DB7F92">
        <w:rPr>
          <w:lang w:eastAsia="en-GB"/>
        </w:rPr>
        <w:t>These</w:t>
      </w:r>
      <w:r w:rsidRPr="00DB7F92">
        <w:rPr>
          <w:spacing w:val="-4"/>
          <w:lang w:eastAsia="en-GB"/>
        </w:rPr>
        <w:t xml:space="preserve"> </w:t>
      </w:r>
      <w:r w:rsidRPr="00DB7F92">
        <w:rPr>
          <w:lang w:eastAsia="en-GB"/>
        </w:rPr>
        <w:t>are:</w:t>
      </w:r>
    </w:p>
    <w:p w14:paraId="7BB2446F" w14:textId="77777777" w:rsidR="00DB7F92" w:rsidRPr="00C84421" w:rsidRDefault="00DB7F92" w:rsidP="005A7DDA">
      <w:pPr>
        <w:pStyle w:val="ListParagraph"/>
        <w:widowControl w:val="0"/>
        <w:numPr>
          <w:ilvl w:val="0"/>
          <w:numId w:val="93"/>
        </w:numPr>
        <w:tabs>
          <w:tab w:val="left" w:pos="2528"/>
        </w:tabs>
        <w:spacing w:before="120" w:after="120" w:line="360" w:lineRule="auto"/>
        <w:ind w:left="714" w:right="116" w:hanging="357"/>
        <w:jc w:val="both"/>
        <w:rPr>
          <w:rFonts w:cs="Arial"/>
          <w:bCs w:val="0"/>
          <w:spacing w:val="-1"/>
          <w:szCs w:val="24"/>
          <w:lang w:eastAsia="en-GB"/>
        </w:rPr>
      </w:pPr>
      <w:r w:rsidRPr="00C84421">
        <w:rPr>
          <w:rFonts w:cs="Arial"/>
          <w:bCs w:val="0"/>
          <w:spacing w:val="-1"/>
          <w:szCs w:val="24"/>
          <w:lang w:eastAsia="en-GB"/>
        </w:rPr>
        <w:t xml:space="preserve">the duty to promote awareness of the NHS Constitution among patients, staff and members of the public (in respect of NHS England, see section 13C(1)(b) of </w:t>
      </w:r>
      <w:r w:rsidRPr="00C84421">
        <w:rPr>
          <w:rFonts w:cs="Arial"/>
          <w:bCs w:val="0"/>
          <w:spacing w:val="-1"/>
          <w:szCs w:val="24"/>
          <w:lang w:eastAsia="en-GB"/>
        </w:rPr>
        <w:lastRenderedPageBreak/>
        <w:t>the NHS Act 2006; and, in respect of CCGs, see section 14P(1)(b) of the NHS Act 2006)</w:t>
      </w:r>
    </w:p>
    <w:p w14:paraId="00F8503D" w14:textId="77777777" w:rsidR="00DB7F92" w:rsidRPr="00C84421" w:rsidRDefault="00DB7F92" w:rsidP="005A7DDA">
      <w:pPr>
        <w:pStyle w:val="ListParagraph"/>
        <w:widowControl w:val="0"/>
        <w:numPr>
          <w:ilvl w:val="0"/>
          <w:numId w:val="93"/>
        </w:numPr>
        <w:tabs>
          <w:tab w:val="left" w:pos="2528"/>
        </w:tabs>
        <w:spacing w:before="120" w:after="120" w:line="360" w:lineRule="auto"/>
        <w:ind w:left="714" w:right="116" w:hanging="357"/>
        <w:jc w:val="both"/>
        <w:rPr>
          <w:rFonts w:cs="Arial"/>
          <w:bCs w:val="0"/>
          <w:spacing w:val="-1"/>
          <w:szCs w:val="24"/>
          <w:lang w:eastAsia="en-GB"/>
        </w:rPr>
      </w:pPr>
      <w:r w:rsidRPr="00C84421">
        <w:rPr>
          <w:rFonts w:cs="Arial"/>
          <w:bCs w:val="0"/>
          <w:spacing w:val="-1"/>
          <w:szCs w:val="24"/>
          <w:lang w:eastAsia="en-GB"/>
        </w:rPr>
        <w:t>the duty to promote the involvement of patients and carers in decisions about their own care (in respect of NHS England, see section 13H of the NHS Act 2006; and, in respect of CCGs, see section 14U of the NHS Act 2006)</w:t>
      </w:r>
    </w:p>
    <w:p w14:paraId="512AD5A7" w14:textId="77777777" w:rsidR="00DB7F92" w:rsidRPr="00C84421" w:rsidRDefault="00DB7F92" w:rsidP="005A7DDA">
      <w:pPr>
        <w:pStyle w:val="ListParagraph"/>
        <w:widowControl w:val="0"/>
        <w:numPr>
          <w:ilvl w:val="0"/>
          <w:numId w:val="93"/>
        </w:numPr>
        <w:tabs>
          <w:tab w:val="left" w:pos="2528"/>
        </w:tabs>
        <w:spacing w:before="120" w:after="120" w:line="360" w:lineRule="auto"/>
        <w:ind w:left="714" w:right="116" w:hanging="357"/>
        <w:jc w:val="both"/>
        <w:rPr>
          <w:rFonts w:cs="Arial"/>
          <w:bCs w:val="0"/>
          <w:spacing w:val="-1"/>
          <w:szCs w:val="24"/>
          <w:lang w:eastAsia="en-GB"/>
        </w:rPr>
      </w:pPr>
      <w:r w:rsidRPr="00C84421">
        <w:rPr>
          <w:rFonts w:cs="Arial"/>
          <w:bCs w:val="0"/>
          <w:spacing w:val="-1"/>
          <w:szCs w:val="24"/>
          <w:lang w:eastAsia="en-GB"/>
        </w:rPr>
        <w:t>the duty to promote innovation in the health service (in respect of NHS England, see section 13K of the NHS Act 2006; and, in respect of CCGs, see section 14X of the NHS Act 2006)</w:t>
      </w:r>
    </w:p>
    <w:p w14:paraId="735348EC" w14:textId="77777777" w:rsidR="00DB7F92" w:rsidRPr="00C84421" w:rsidRDefault="00DB7F92" w:rsidP="005A7DDA">
      <w:pPr>
        <w:pStyle w:val="ListParagraph"/>
        <w:widowControl w:val="0"/>
        <w:numPr>
          <w:ilvl w:val="0"/>
          <w:numId w:val="93"/>
        </w:numPr>
        <w:tabs>
          <w:tab w:val="left" w:pos="2528"/>
        </w:tabs>
        <w:spacing w:before="120" w:after="120" w:line="360" w:lineRule="auto"/>
        <w:ind w:left="714" w:right="116" w:hanging="357"/>
        <w:jc w:val="both"/>
        <w:rPr>
          <w:rFonts w:cs="Arial"/>
          <w:bCs w:val="0"/>
          <w:spacing w:val="-1"/>
          <w:szCs w:val="24"/>
          <w:lang w:eastAsia="en-GB"/>
        </w:rPr>
      </w:pPr>
      <w:r w:rsidRPr="00C84421">
        <w:rPr>
          <w:rFonts w:cs="Arial"/>
          <w:bCs w:val="0"/>
          <w:spacing w:val="-1"/>
          <w:szCs w:val="24"/>
          <w:lang w:eastAsia="en-GB"/>
        </w:rPr>
        <w:t>the duty to promote research and the use of research on matters relevant to the health service (in respect of NHS England, see section 13L of the NHS Act 2006; and, in respect of CCGs, see section 14Y of the NHS Act 2006)</w:t>
      </w:r>
    </w:p>
    <w:p w14:paraId="6A80B57B" w14:textId="66D4FA55" w:rsidR="00DB7F92" w:rsidRPr="00DB7F92" w:rsidRDefault="00DB7F92" w:rsidP="005A7DDA">
      <w:pPr>
        <w:pStyle w:val="Heading3"/>
        <w:numPr>
          <w:ilvl w:val="0"/>
          <w:numId w:val="93"/>
        </w:numPr>
        <w:jc w:val="both"/>
        <w:rPr>
          <w:lang w:eastAsia="en-GB"/>
        </w:rPr>
      </w:pPr>
      <w:r w:rsidRPr="00DB7F92">
        <w:rPr>
          <w:lang w:eastAsia="en-GB"/>
        </w:rPr>
        <w:t>A decision</w:t>
      </w:r>
      <w:r w:rsidRPr="00C84421">
        <w:rPr>
          <w:spacing w:val="15"/>
          <w:lang w:eastAsia="en-GB"/>
        </w:rPr>
        <w:t xml:space="preserve"> </w:t>
      </w:r>
      <w:r w:rsidRPr="00DB7F92">
        <w:rPr>
          <w:lang w:eastAsia="en-GB"/>
        </w:rPr>
        <w:t>which</w:t>
      </w:r>
      <w:r w:rsidRPr="00C84421">
        <w:rPr>
          <w:spacing w:val="16"/>
          <w:lang w:eastAsia="en-GB"/>
        </w:rPr>
        <w:t xml:space="preserve"> </w:t>
      </w:r>
      <w:r w:rsidRPr="00DB7F92">
        <w:rPr>
          <w:lang w:eastAsia="en-GB"/>
        </w:rPr>
        <w:t>is</w:t>
      </w:r>
      <w:r w:rsidRPr="00C84421">
        <w:rPr>
          <w:spacing w:val="16"/>
          <w:lang w:eastAsia="en-GB"/>
        </w:rPr>
        <w:t xml:space="preserve"> </w:t>
      </w:r>
      <w:r w:rsidRPr="00DB7F92">
        <w:rPr>
          <w:lang w:eastAsia="en-GB"/>
        </w:rPr>
        <w:t>positively</w:t>
      </w:r>
      <w:r w:rsidRPr="00C84421">
        <w:rPr>
          <w:spacing w:val="17"/>
          <w:lang w:eastAsia="en-GB"/>
        </w:rPr>
        <w:t xml:space="preserve"> </w:t>
      </w:r>
      <w:r w:rsidRPr="00DB7F92">
        <w:rPr>
          <w:lang w:eastAsia="en-GB"/>
        </w:rPr>
        <w:t>contrary</w:t>
      </w:r>
      <w:r w:rsidRPr="00C84421">
        <w:rPr>
          <w:spacing w:val="17"/>
          <w:lang w:eastAsia="en-GB"/>
        </w:rPr>
        <w:t xml:space="preserve"> </w:t>
      </w:r>
      <w:r w:rsidRPr="00DB7F92">
        <w:rPr>
          <w:lang w:eastAsia="en-GB"/>
        </w:rPr>
        <w:t>to</w:t>
      </w:r>
      <w:r w:rsidRPr="00C84421">
        <w:rPr>
          <w:spacing w:val="14"/>
          <w:lang w:eastAsia="en-GB"/>
        </w:rPr>
        <w:t xml:space="preserve"> </w:t>
      </w:r>
      <w:r w:rsidRPr="00DB7F92">
        <w:rPr>
          <w:lang w:eastAsia="en-GB"/>
        </w:rPr>
        <w:t>achieving</w:t>
      </w:r>
      <w:r w:rsidRPr="00C84421">
        <w:rPr>
          <w:spacing w:val="15"/>
          <w:lang w:eastAsia="en-GB"/>
        </w:rPr>
        <w:t xml:space="preserve"> </w:t>
      </w:r>
      <w:r w:rsidRPr="00DB7F92">
        <w:rPr>
          <w:lang w:eastAsia="en-GB"/>
        </w:rPr>
        <w:t>the</w:t>
      </w:r>
      <w:r w:rsidRPr="00C84421">
        <w:rPr>
          <w:spacing w:val="14"/>
          <w:lang w:eastAsia="en-GB"/>
        </w:rPr>
        <w:t xml:space="preserve"> </w:t>
      </w:r>
      <w:r w:rsidRPr="00DB7F92">
        <w:rPr>
          <w:lang w:eastAsia="en-GB"/>
        </w:rPr>
        <w:t>relevant</w:t>
      </w:r>
      <w:r w:rsidRPr="00C84421">
        <w:rPr>
          <w:spacing w:val="55"/>
          <w:w w:val="99"/>
          <w:lang w:eastAsia="en-GB"/>
        </w:rPr>
        <w:t xml:space="preserve"> </w:t>
      </w:r>
      <w:r w:rsidRPr="00DB7F92">
        <w:rPr>
          <w:lang w:eastAsia="en-GB"/>
        </w:rPr>
        <w:t>outcome</w:t>
      </w:r>
      <w:r w:rsidRPr="00C84421">
        <w:rPr>
          <w:spacing w:val="-2"/>
          <w:lang w:eastAsia="en-GB"/>
        </w:rPr>
        <w:t xml:space="preserve"> </w:t>
      </w:r>
      <w:r w:rsidRPr="00DB7F92">
        <w:rPr>
          <w:lang w:eastAsia="en-GB"/>
        </w:rPr>
        <w:t>might</w:t>
      </w:r>
      <w:r w:rsidRPr="00C84421">
        <w:rPr>
          <w:spacing w:val="1"/>
          <w:lang w:eastAsia="en-GB"/>
        </w:rPr>
        <w:t xml:space="preserve"> </w:t>
      </w:r>
      <w:r w:rsidRPr="00DB7F92">
        <w:rPr>
          <w:lang w:eastAsia="en-GB"/>
        </w:rPr>
        <w:t>breach a</w:t>
      </w:r>
      <w:r w:rsidRPr="00C84421">
        <w:rPr>
          <w:spacing w:val="-2"/>
          <w:lang w:eastAsia="en-GB"/>
        </w:rPr>
        <w:t xml:space="preserve"> </w:t>
      </w:r>
      <w:r w:rsidRPr="00DB7F92">
        <w:rPr>
          <w:lang w:eastAsia="en-GB"/>
        </w:rPr>
        <w:t>promote duty</w:t>
      </w:r>
      <w:r w:rsidRPr="00C84421">
        <w:rPr>
          <w:spacing w:val="-3"/>
          <w:lang w:eastAsia="en-GB"/>
        </w:rPr>
        <w:t xml:space="preserve"> </w:t>
      </w:r>
      <w:r w:rsidRPr="00DB7F92">
        <w:rPr>
          <w:lang w:eastAsia="en-GB"/>
        </w:rPr>
        <w:t>unless there</w:t>
      </w:r>
      <w:r w:rsidRPr="00C84421">
        <w:rPr>
          <w:spacing w:val="-3"/>
          <w:lang w:eastAsia="en-GB"/>
        </w:rPr>
        <w:t xml:space="preserve"> </w:t>
      </w:r>
      <w:r w:rsidRPr="00DB7F92">
        <w:rPr>
          <w:lang w:eastAsia="en-GB"/>
        </w:rPr>
        <w:t>was some</w:t>
      </w:r>
      <w:r w:rsidRPr="00C84421">
        <w:rPr>
          <w:spacing w:val="-3"/>
          <w:lang w:eastAsia="en-GB"/>
        </w:rPr>
        <w:t xml:space="preserve"> </w:t>
      </w:r>
      <w:r w:rsidRPr="00DB7F92">
        <w:rPr>
          <w:lang w:eastAsia="en-GB"/>
        </w:rPr>
        <w:t>compelling</w:t>
      </w:r>
      <w:r w:rsidRPr="00C84421">
        <w:rPr>
          <w:spacing w:val="57"/>
          <w:lang w:eastAsia="en-GB"/>
        </w:rPr>
        <w:t xml:space="preserve"> </w:t>
      </w:r>
      <w:r w:rsidRPr="00DB7F92">
        <w:rPr>
          <w:lang w:eastAsia="en-GB"/>
        </w:rPr>
        <w:t>reason to adopt</w:t>
      </w:r>
      <w:r w:rsidRPr="00C84421">
        <w:rPr>
          <w:spacing w:val="1"/>
          <w:lang w:eastAsia="en-GB"/>
        </w:rPr>
        <w:t xml:space="preserve"> </w:t>
      </w:r>
      <w:r w:rsidRPr="00DB7F92">
        <w:rPr>
          <w:lang w:eastAsia="en-GB"/>
        </w:rPr>
        <w:t>it.</w:t>
      </w:r>
      <w:r w:rsidRPr="00C84421">
        <w:rPr>
          <w:spacing w:val="2"/>
          <w:lang w:eastAsia="en-GB"/>
        </w:rPr>
        <w:t xml:space="preserve"> </w:t>
      </w:r>
      <w:r w:rsidRPr="00DB7F92">
        <w:rPr>
          <w:lang w:eastAsia="en-GB"/>
        </w:rPr>
        <w:t>In this</w:t>
      </w:r>
      <w:r w:rsidRPr="00C84421">
        <w:rPr>
          <w:spacing w:val="1"/>
          <w:lang w:eastAsia="en-GB"/>
        </w:rPr>
        <w:t xml:space="preserve"> </w:t>
      </w:r>
      <w:r w:rsidRPr="00DB7F92">
        <w:rPr>
          <w:lang w:eastAsia="en-GB"/>
        </w:rPr>
        <w:t xml:space="preserve">situation, if the decision is being made by NHS England or by a CCG on NHS England's behalf as part of co-commissioning, the NHS England legal team should be contacted for further guidance. </w:t>
      </w:r>
    </w:p>
    <w:p w14:paraId="4D44242A" w14:textId="26C1F88E" w:rsidR="00DB7F92" w:rsidRPr="00DB7F92" w:rsidRDefault="00DB7F92" w:rsidP="005A7DDA">
      <w:pPr>
        <w:pStyle w:val="Heading3"/>
        <w:numPr>
          <w:ilvl w:val="0"/>
          <w:numId w:val="93"/>
        </w:numPr>
        <w:jc w:val="both"/>
        <w:rPr>
          <w:lang w:eastAsia="en-GB"/>
        </w:rPr>
      </w:pPr>
      <w:r w:rsidRPr="00DB7F92">
        <w:rPr>
          <w:lang w:eastAsia="en-GB"/>
        </w:rPr>
        <w:t>Additionally,</w:t>
      </w:r>
      <w:r w:rsidRPr="00C84421">
        <w:rPr>
          <w:spacing w:val="65"/>
          <w:lang w:eastAsia="en-GB"/>
        </w:rPr>
        <w:t xml:space="preserve"> </w:t>
      </w:r>
      <w:r w:rsidRPr="00DB7F92">
        <w:rPr>
          <w:lang w:eastAsia="en-GB"/>
        </w:rPr>
        <w:t>some</w:t>
      </w:r>
      <w:r w:rsidRPr="00C84421">
        <w:rPr>
          <w:spacing w:val="64"/>
          <w:lang w:eastAsia="en-GB"/>
        </w:rPr>
        <w:t xml:space="preserve"> </w:t>
      </w:r>
      <w:r w:rsidRPr="00DB7F92">
        <w:rPr>
          <w:lang w:eastAsia="en-GB"/>
        </w:rPr>
        <w:t>decisions</w:t>
      </w:r>
      <w:r w:rsidRPr="00C84421">
        <w:rPr>
          <w:spacing w:val="1"/>
          <w:lang w:eastAsia="en-GB"/>
        </w:rPr>
        <w:t xml:space="preserve"> </w:t>
      </w:r>
      <w:r w:rsidRPr="00DB7F92">
        <w:rPr>
          <w:lang w:eastAsia="en-GB"/>
        </w:rPr>
        <w:t>will</w:t>
      </w:r>
      <w:r w:rsidRPr="00C84421">
        <w:rPr>
          <w:spacing w:val="64"/>
          <w:lang w:eastAsia="en-GB"/>
        </w:rPr>
        <w:t xml:space="preserve"> </w:t>
      </w:r>
      <w:r w:rsidRPr="00DB7F92">
        <w:rPr>
          <w:lang w:eastAsia="en-GB"/>
        </w:rPr>
        <w:t>be</w:t>
      </w:r>
      <w:r w:rsidRPr="00C84421">
        <w:rPr>
          <w:spacing w:val="64"/>
          <w:lang w:eastAsia="en-GB"/>
        </w:rPr>
        <w:t xml:space="preserve"> </w:t>
      </w:r>
      <w:r w:rsidRPr="00DB7F92">
        <w:rPr>
          <w:lang w:eastAsia="en-GB"/>
        </w:rPr>
        <w:t>obvious</w:t>
      </w:r>
      <w:r w:rsidRPr="00C84421">
        <w:rPr>
          <w:spacing w:val="1"/>
          <w:lang w:eastAsia="en-GB"/>
        </w:rPr>
        <w:t xml:space="preserve"> </w:t>
      </w:r>
      <w:r w:rsidRPr="00DB7F92">
        <w:rPr>
          <w:lang w:eastAsia="en-GB"/>
        </w:rPr>
        <w:t>opportunities</w:t>
      </w:r>
      <w:r w:rsidRPr="00C84421">
        <w:rPr>
          <w:spacing w:val="1"/>
          <w:lang w:eastAsia="en-GB"/>
        </w:rPr>
        <w:t xml:space="preserve"> </w:t>
      </w:r>
      <w:r w:rsidRPr="00DB7F92">
        <w:rPr>
          <w:lang w:eastAsia="en-GB"/>
        </w:rPr>
        <w:t>where e.g.</w:t>
      </w:r>
      <w:r w:rsidRPr="00C84421">
        <w:rPr>
          <w:spacing w:val="50"/>
          <w:lang w:eastAsia="en-GB"/>
        </w:rPr>
        <w:t xml:space="preserve"> </w:t>
      </w:r>
      <w:r w:rsidRPr="00DB7F92">
        <w:rPr>
          <w:lang w:eastAsia="en-GB"/>
        </w:rPr>
        <w:t>patient</w:t>
      </w:r>
      <w:r w:rsidRPr="00C84421">
        <w:rPr>
          <w:spacing w:val="26"/>
          <w:lang w:eastAsia="en-GB"/>
        </w:rPr>
        <w:t xml:space="preserve"> </w:t>
      </w:r>
      <w:r w:rsidRPr="00DB7F92">
        <w:rPr>
          <w:lang w:eastAsia="en-GB"/>
        </w:rPr>
        <w:t>involvement</w:t>
      </w:r>
      <w:r w:rsidRPr="00C84421">
        <w:rPr>
          <w:spacing w:val="26"/>
          <w:lang w:eastAsia="en-GB"/>
        </w:rPr>
        <w:t xml:space="preserve"> </w:t>
      </w:r>
      <w:r w:rsidRPr="00DB7F92">
        <w:rPr>
          <w:lang w:eastAsia="en-GB"/>
        </w:rPr>
        <w:t>could</w:t>
      </w:r>
      <w:r w:rsidRPr="00C84421">
        <w:rPr>
          <w:spacing w:val="25"/>
          <w:lang w:eastAsia="en-GB"/>
        </w:rPr>
        <w:t xml:space="preserve"> </w:t>
      </w:r>
      <w:r w:rsidRPr="00DB7F92">
        <w:rPr>
          <w:lang w:eastAsia="en-GB"/>
        </w:rPr>
        <w:t>easily</w:t>
      </w:r>
      <w:r w:rsidRPr="00C84421">
        <w:rPr>
          <w:spacing w:val="27"/>
          <w:lang w:eastAsia="en-GB"/>
        </w:rPr>
        <w:t xml:space="preserve"> </w:t>
      </w:r>
      <w:r w:rsidRPr="00DB7F92">
        <w:rPr>
          <w:lang w:eastAsia="en-GB"/>
        </w:rPr>
        <w:t>be</w:t>
      </w:r>
      <w:r w:rsidRPr="00C84421">
        <w:rPr>
          <w:spacing w:val="25"/>
          <w:lang w:eastAsia="en-GB"/>
        </w:rPr>
        <w:t xml:space="preserve"> </w:t>
      </w:r>
      <w:r w:rsidRPr="00DB7F92">
        <w:rPr>
          <w:lang w:eastAsia="en-GB"/>
        </w:rPr>
        <w:t>promoted.</w:t>
      </w:r>
      <w:r w:rsidRPr="00C84421">
        <w:rPr>
          <w:spacing w:val="52"/>
          <w:lang w:eastAsia="en-GB"/>
        </w:rPr>
        <w:t xml:space="preserve"> </w:t>
      </w:r>
      <w:r w:rsidRPr="00DB7F92">
        <w:rPr>
          <w:lang w:eastAsia="en-GB"/>
        </w:rPr>
        <w:t>In</w:t>
      </w:r>
      <w:r w:rsidRPr="00C84421">
        <w:rPr>
          <w:spacing w:val="26"/>
          <w:lang w:eastAsia="en-GB"/>
        </w:rPr>
        <w:t xml:space="preserve"> </w:t>
      </w:r>
      <w:r w:rsidRPr="00DB7F92">
        <w:rPr>
          <w:lang w:eastAsia="en-GB"/>
        </w:rPr>
        <w:t>such</w:t>
      </w:r>
      <w:r w:rsidRPr="00C84421">
        <w:rPr>
          <w:spacing w:val="27"/>
          <w:lang w:eastAsia="en-GB"/>
        </w:rPr>
        <w:t xml:space="preserve"> </w:t>
      </w:r>
      <w:r w:rsidRPr="00DB7F92">
        <w:rPr>
          <w:lang w:eastAsia="en-GB"/>
        </w:rPr>
        <w:t>cases</w:t>
      </w:r>
      <w:r w:rsidRPr="00C84421">
        <w:rPr>
          <w:spacing w:val="27"/>
          <w:lang w:eastAsia="en-GB"/>
        </w:rPr>
        <w:t xml:space="preserve"> </w:t>
      </w:r>
      <w:r w:rsidRPr="00DB7F92">
        <w:rPr>
          <w:lang w:eastAsia="en-GB"/>
        </w:rPr>
        <w:t>the</w:t>
      </w:r>
      <w:r w:rsidRPr="00C84421">
        <w:rPr>
          <w:spacing w:val="22"/>
          <w:lang w:eastAsia="en-GB"/>
        </w:rPr>
        <w:t xml:space="preserve"> </w:t>
      </w:r>
      <w:r w:rsidRPr="00DB7F92">
        <w:rPr>
          <w:lang w:eastAsia="en-GB"/>
        </w:rPr>
        <w:t>safest</w:t>
      </w:r>
      <w:r w:rsidRPr="00C84421">
        <w:rPr>
          <w:spacing w:val="61"/>
          <w:w w:val="99"/>
          <w:lang w:eastAsia="en-GB"/>
        </w:rPr>
        <w:t xml:space="preserve"> </w:t>
      </w:r>
      <w:r w:rsidRPr="00DB7F92">
        <w:rPr>
          <w:lang w:eastAsia="en-GB"/>
        </w:rPr>
        <w:t>course</w:t>
      </w:r>
      <w:r w:rsidRPr="00C84421">
        <w:rPr>
          <w:spacing w:val="-5"/>
          <w:lang w:eastAsia="en-GB"/>
        </w:rPr>
        <w:t xml:space="preserve"> </w:t>
      </w:r>
      <w:r w:rsidRPr="00DB7F92">
        <w:rPr>
          <w:lang w:eastAsia="en-GB"/>
        </w:rPr>
        <w:t>of</w:t>
      </w:r>
      <w:r w:rsidRPr="00C84421">
        <w:rPr>
          <w:spacing w:val="-6"/>
          <w:lang w:eastAsia="en-GB"/>
        </w:rPr>
        <w:t xml:space="preserve"> </w:t>
      </w:r>
      <w:r w:rsidRPr="00DB7F92">
        <w:rPr>
          <w:lang w:eastAsia="en-GB"/>
        </w:rPr>
        <w:t>action</w:t>
      </w:r>
      <w:r w:rsidRPr="00C84421">
        <w:rPr>
          <w:spacing w:val="-2"/>
          <w:lang w:eastAsia="en-GB"/>
        </w:rPr>
        <w:t xml:space="preserve"> </w:t>
      </w:r>
      <w:r w:rsidRPr="00DB7F92">
        <w:rPr>
          <w:lang w:eastAsia="en-GB"/>
        </w:rPr>
        <w:t>is</w:t>
      </w:r>
      <w:r w:rsidRPr="00C84421">
        <w:rPr>
          <w:spacing w:val="-3"/>
          <w:lang w:eastAsia="en-GB"/>
        </w:rPr>
        <w:t xml:space="preserve"> </w:t>
      </w:r>
      <w:r w:rsidRPr="00DB7F92">
        <w:rPr>
          <w:lang w:eastAsia="en-GB"/>
        </w:rPr>
        <w:t>to</w:t>
      </w:r>
      <w:r w:rsidRPr="00C84421">
        <w:rPr>
          <w:spacing w:val="-3"/>
          <w:lang w:eastAsia="en-GB"/>
        </w:rPr>
        <w:t xml:space="preserve"> </w:t>
      </w:r>
      <w:r w:rsidRPr="00DB7F92">
        <w:rPr>
          <w:lang w:eastAsia="en-GB"/>
        </w:rPr>
        <w:t>ensure</w:t>
      </w:r>
      <w:r w:rsidRPr="00C84421">
        <w:rPr>
          <w:spacing w:val="-5"/>
          <w:lang w:eastAsia="en-GB"/>
        </w:rPr>
        <w:t xml:space="preserve"> </w:t>
      </w:r>
      <w:r w:rsidRPr="00DB7F92">
        <w:rPr>
          <w:lang w:eastAsia="en-GB"/>
        </w:rPr>
        <w:t>that</w:t>
      </w:r>
      <w:r w:rsidRPr="00C84421">
        <w:rPr>
          <w:spacing w:val="-3"/>
          <w:lang w:eastAsia="en-GB"/>
        </w:rPr>
        <w:t xml:space="preserve"> </w:t>
      </w:r>
      <w:r w:rsidRPr="00DB7F92">
        <w:rPr>
          <w:lang w:eastAsia="en-GB"/>
        </w:rPr>
        <w:t>this</w:t>
      </w:r>
      <w:r w:rsidRPr="00C84421">
        <w:rPr>
          <w:spacing w:val="-4"/>
          <w:lang w:eastAsia="en-GB"/>
        </w:rPr>
        <w:t xml:space="preserve"> </w:t>
      </w:r>
      <w:r w:rsidRPr="00DB7F92">
        <w:rPr>
          <w:lang w:eastAsia="en-GB"/>
        </w:rPr>
        <w:t>is done.</w:t>
      </w:r>
    </w:p>
    <w:p w14:paraId="4A2C49F5" w14:textId="77777777" w:rsidR="00DB7F92" w:rsidRPr="00DB7F92" w:rsidRDefault="00DB7F92" w:rsidP="00DD5D2D">
      <w:pPr>
        <w:pStyle w:val="Heading3"/>
        <w:jc w:val="both"/>
        <w:rPr>
          <w:lang w:eastAsia="en-GB"/>
        </w:rPr>
      </w:pPr>
      <w:r w:rsidRPr="00DB7F92">
        <w:rPr>
          <w:lang w:eastAsia="en-GB"/>
        </w:rPr>
        <w:t>To</w:t>
      </w:r>
      <w:r w:rsidRPr="00DB7F92">
        <w:rPr>
          <w:spacing w:val="2"/>
          <w:lang w:eastAsia="en-GB"/>
        </w:rPr>
        <w:t xml:space="preserve"> </w:t>
      </w:r>
      <w:r w:rsidRPr="00DB7F92">
        <w:rPr>
          <w:lang w:eastAsia="en-GB"/>
        </w:rPr>
        <w:t>meet</w:t>
      </w:r>
      <w:r w:rsidRPr="00DB7F92">
        <w:rPr>
          <w:spacing w:val="4"/>
          <w:lang w:eastAsia="en-GB"/>
        </w:rPr>
        <w:t xml:space="preserve"> </w:t>
      </w:r>
      <w:r w:rsidRPr="00DB7F92">
        <w:rPr>
          <w:lang w:eastAsia="en-GB"/>
        </w:rPr>
        <w:t>the</w:t>
      </w:r>
      <w:r w:rsidRPr="00DB7F92">
        <w:rPr>
          <w:spacing w:val="3"/>
          <w:lang w:eastAsia="en-GB"/>
        </w:rPr>
        <w:t xml:space="preserve"> </w:t>
      </w:r>
      <w:r w:rsidRPr="00DB7F92">
        <w:rPr>
          <w:lang w:eastAsia="en-GB"/>
        </w:rPr>
        <w:t>duty</w:t>
      </w:r>
      <w:r w:rsidRPr="00DB7F92">
        <w:rPr>
          <w:spacing w:val="4"/>
          <w:lang w:eastAsia="en-GB"/>
        </w:rPr>
        <w:t xml:space="preserve"> </w:t>
      </w:r>
      <w:r w:rsidRPr="00DB7F92">
        <w:rPr>
          <w:lang w:eastAsia="en-GB"/>
        </w:rPr>
        <w:t>a commissioner</w:t>
      </w:r>
      <w:r w:rsidRPr="00DB7F92">
        <w:rPr>
          <w:spacing w:val="3"/>
          <w:lang w:eastAsia="en-GB"/>
        </w:rPr>
        <w:t xml:space="preserve"> </w:t>
      </w:r>
      <w:r w:rsidRPr="00DB7F92">
        <w:rPr>
          <w:lang w:eastAsia="en-GB"/>
        </w:rPr>
        <w:t>does</w:t>
      </w:r>
      <w:r w:rsidRPr="00DB7F92">
        <w:rPr>
          <w:spacing w:val="5"/>
          <w:lang w:eastAsia="en-GB"/>
        </w:rPr>
        <w:t xml:space="preserve"> </w:t>
      </w:r>
      <w:r w:rsidRPr="00DB7F92">
        <w:rPr>
          <w:lang w:eastAsia="en-GB"/>
        </w:rPr>
        <w:t>not</w:t>
      </w:r>
      <w:r w:rsidRPr="00DB7F92">
        <w:rPr>
          <w:spacing w:val="4"/>
          <w:lang w:eastAsia="en-GB"/>
        </w:rPr>
        <w:t xml:space="preserve"> </w:t>
      </w:r>
      <w:r w:rsidRPr="00DB7F92">
        <w:rPr>
          <w:lang w:eastAsia="en-GB"/>
        </w:rPr>
        <w:t>have</w:t>
      </w:r>
      <w:r w:rsidRPr="00DB7F92">
        <w:rPr>
          <w:spacing w:val="2"/>
          <w:lang w:eastAsia="en-GB"/>
        </w:rPr>
        <w:t xml:space="preserve"> </w:t>
      </w:r>
      <w:r w:rsidRPr="00DB7F92">
        <w:rPr>
          <w:lang w:eastAsia="en-GB"/>
        </w:rPr>
        <w:t>to</w:t>
      </w:r>
      <w:r w:rsidRPr="00DB7F92">
        <w:rPr>
          <w:spacing w:val="3"/>
          <w:lang w:eastAsia="en-GB"/>
        </w:rPr>
        <w:t xml:space="preserve"> </w:t>
      </w:r>
      <w:r w:rsidRPr="00DB7F92">
        <w:rPr>
          <w:lang w:eastAsia="en-GB"/>
        </w:rPr>
        <w:t>do</w:t>
      </w:r>
      <w:r w:rsidRPr="00DB7F92">
        <w:rPr>
          <w:spacing w:val="3"/>
          <w:lang w:eastAsia="en-GB"/>
        </w:rPr>
        <w:t xml:space="preserve"> </w:t>
      </w:r>
      <w:r w:rsidRPr="00DB7F92">
        <w:rPr>
          <w:lang w:eastAsia="en-GB"/>
        </w:rPr>
        <w:t>everything</w:t>
      </w:r>
      <w:r w:rsidRPr="00DB7F92">
        <w:rPr>
          <w:spacing w:val="3"/>
          <w:lang w:eastAsia="en-GB"/>
        </w:rPr>
        <w:t xml:space="preserve"> </w:t>
      </w:r>
      <w:r w:rsidRPr="00DB7F92">
        <w:rPr>
          <w:lang w:eastAsia="en-GB"/>
        </w:rPr>
        <w:t>itself</w:t>
      </w:r>
      <w:r w:rsidRPr="00DB7F92">
        <w:rPr>
          <w:spacing w:val="2"/>
          <w:lang w:eastAsia="en-GB"/>
        </w:rPr>
        <w:t xml:space="preserve"> </w:t>
      </w:r>
      <w:r w:rsidRPr="00DB7F92">
        <w:rPr>
          <w:lang w:eastAsia="en-GB"/>
        </w:rPr>
        <w:t>–</w:t>
      </w:r>
      <w:r w:rsidRPr="00DB7F92">
        <w:rPr>
          <w:spacing w:val="6"/>
          <w:lang w:eastAsia="en-GB"/>
        </w:rPr>
        <w:t xml:space="preserve"> </w:t>
      </w:r>
      <w:r w:rsidRPr="00DB7F92">
        <w:rPr>
          <w:lang w:eastAsia="en-GB"/>
        </w:rPr>
        <w:t>be</w:t>
      </w:r>
      <w:r w:rsidRPr="00DB7F92">
        <w:rPr>
          <w:spacing w:val="52"/>
          <w:w w:val="99"/>
          <w:lang w:eastAsia="en-GB"/>
        </w:rPr>
        <w:t xml:space="preserve"> </w:t>
      </w:r>
      <w:r w:rsidRPr="00DB7F92">
        <w:rPr>
          <w:lang w:eastAsia="en-GB"/>
        </w:rPr>
        <w:t>more</w:t>
      </w:r>
      <w:r w:rsidRPr="00DB7F92">
        <w:rPr>
          <w:spacing w:val="30"/>
          <w:lang w:eastAsia="en-GB"/>
        </w:rPr>
        <w:t xml:space="preserve"> </w:t>
      </w:r>
      <w:r w:rsidRPr="00DB7F92">
        <w:rPr>
          <w:lang w:eastAsia="en-GB"/>
        </w:rPr>
        <w:t>innovative,</w:t>
      </w:r>
      <w:r w:rsidRPr="00DB7F92">
        <w:rPr>
          <w:spacing w:val="32"/>
          <w:lang w:eastAsia="en-GB"/>
        </w:rPr>
        <w:t xml:space="preserve"> </w:t>
      </w:r>
      <w:r w:rsidRPr="00DB7F92">
        <w:rPr>
          <w:lang w:eastAsia="en-GB"/>
        </w:rPr>
        <w:t>improve</w:t>
      </w:r>
      <w:r w:rsidRPr="00DB7F92">
        <w:rPr>
          <w:spacing w:val="31"/>
          <w:lang w:eastAsia="en-GB"/>
        </w:rPr>
        <w:t xml:space="preserve"> </w:t>
      </w:r>
      <w:r w:rsidRPr="00DB7F92">
        <w:rPr>
          <w:lang w:eastAsia="en-GB"/>
        </w:rPr>
        <w:t>its</w:t>
      </w:r>
      <w:r w:rsidRPr="00DB7F92">
        <w:rPr>
          <w:spacing w:val="33"/>
          <w:lang w:eastAsia="en-GB"/>
        </w:rPr>
        <w:t xml:space="preserve"> </w:t>
      </w:r>
      <w:r w:rsidRPr="00DB7F92">
        <w:rPr>
          <w:lang w:eastAsia="en-GB"/>
        </w:rPr>
        <w:t>use</w:t>
      </w:r>
      <w:r w:rsidRPr="00DB7F92">
        <w:rPr>
          <w:spacing w:val="31"/>
          <w:lang w:eastAsia="en-GB"/>
        </w:rPr>
        <w:t xml:space="preserve"> </w:t>
      </w:r>
      <w:r w:rsidRPr="00DB7F92">
        <w:rPr>
          <w:lang w:eastAsia="en-GB"/>
        </w:rPr>
        <w:t>of</w:t>
      </w:r>
      <w:r w:rsidRPr="00DB7F92">
        <w:rPr>
          <w:spacing w:val="31"/>
          <w:lang w:eastAsia="en-GB"/>
        </w:rPr>
        <w:t xml:space="preserve"> </w:t>
      </w:r>
      <w:r w:rsidRPr="00DB7F92">
        <w:rPr>
          <w:lang w:eastAsia="en-GB"/>
        </w:rPr>
        <w:t>research</w:t>
      </w:r>
      <w:r w:rsidRPr="00DB7F92">
        <w:rPr>
          <w:spacing w:val="34"/>
          <w:lang w:eastAsia="en-GB"/>
        </w:rPr>
        <w:t xml:space="preserve"> </w:t>
      </w:r>
      <w:r w:rsidRPr="00DB7F92">
        <w:rPr>
          <w:lang w:eastAsia="en-GB"/>
        </w:rPr>
        <w:t>data</w:t>
      </w:r>
      <w:r w:rsidRPr="00DB7F92">
        <w:rPr>
          <w:spacing w:val="32"/>
          <w:lang w:eastAsia="en-GB"/>
        </w:rPr>
        <w:t xml:space="preserve"> </w:t>
      </w:r>
      <w:r w:rsidRPr="00DB7F92">
        <w:rPr>
          <w:lang w:eastAsia="en-GB"/>
        </w:rPr>
        <w:t>etc.</w:t>
      </w:r>
      <w:r w:rsidRPr="00DB7F92">
        <w:rPr>
          <w:spacing w:val="64"/>
          <w:lang w:eastAsia="en-GB"/>
        </w:rPr>
        <w:t xml:space="preserve"> </w:t>
      </w:r>
      <w:r w:rsidRPr="00DB7F92">
        <w:rPr>
          <w:lang w:eastAsia="en-GB"/>
        </w:rPr>
        <w:t>It</w:t>
      </w:r>
      <w:r w:rsidRPr="00DB7F92">
        <w:rPr>
          <w:spacing w:val="31"/>
          <w:lang w:eastAsia="en-GB"/>
        </w:rPr>
        <w:t xml:space="preserve"> </w:t>
      </w:r>
      <w:r w:rsidRPr="00DB7F92">
        <w:rPr>
          <w:lang w:eastAsia="en-GB"/>
        </w:rPr>
        <w:t>can</w:t>
      </w:r>
      <w:r w:rsidRPr="00DB7F92">
        <w:rPr>
          <w:spacing w:val="32"/>
          <w:lang w:eastAsia="en-GB"/>
        </w:rPr>
        <w:t xml:space="preserve"> </w:t>
      </w:r>
      <w:r w:rsidRPr="00DB7F92">
        <w:rPr>
          <w:lang w:eastAsia="en-GB"/>
        </w:rPr>
        <w:t>meet</w:t>
      </w:r>
      <w:r w:rsidRPr="00DB7F92">
        <w:rPr>
          <w:spacing w:val="35"/>
          <w:lang w:eastAsia="en-GB"/>
        </w:rPr>
        <w:t xml:space="preserve"> </w:t>
      </w:r>
      <w:r w:rsidRPr="00DB7F92">
        <w:rPr>
          <w:lang w:eastAsia="en-GB"/>
        </w:rPr>
        <w:t>the</w:t>
      </w:r>
      <w:r w:rsidRPr="00DB7F92">
        <w:rPr>
          <w:spacing w:val="53"/>
          <w:w w:val="99"/>
          <w:lang w:eastAsia="en-GB"/>
        </w:rPr>
        <w:t xml:space="preserve"> </w:t>
      </w:r>
      <w:r w:rsidRPr="00DB7F92">
        <w:rPr>
          <w:lang w:eastAsia="en-GB"/>
        </w:rPr>
        <w:t>duty</w:t>
      </w:r>
      <w:r w:rsidRPr="00DB7F92">
        <w:rPr>
          <w:spacing w:val="-4"/>
          <w:lang w:eastAsia="en-GB"/>
        </w:rPr>
        <w:t xml:space="preserve"> </w:t>
      </w:r>
      <w:r w:rsidRPr="00DB7F92">
        <w:rPr>
          <w:lang w:eastAsia="en-GB"/>
        </w:rPr>
        <w:t>by</w:t>
      </w:r>
      <w:r w:rsidRPr="00DB7F92">
        <w:rPr>
          <w:spacing w:val="-4"/>
          <w:lang w:eastAsia="en-GB"/>
        </w:rPr>
        <w:t xml:space="preserve"> </w:t>
      </w:r>
      <w:r w:rsidRPr="00DB7F92">
        <w:rPr>
          <w:lang w:eastAsia="en-GB"/>
        </w:rPr>
        <w:t>encouraging</w:t>
      </w:r>
      <w:r w:rsidRPr="00DB7F92">
        <w:rPr>
          <w:spacing w:val="-3"/>
          <w:lang w:eastAsia="en-GB"/>
        </w:rPr>
        <w:t xml:space="preserve"> </w:t>
      </w:r>
      <w:r w:rsidRPr="00DB7F92">
        <w:rPr>
          <w:lang w:eastAsia="en-GB"/>
        </w:rPr>
        <w:t>other</w:t>
      </w:r>
      <w:r w:rsidRPr="00DB7F92">
        <w:rPr>
          <w:spacing w:val="-4"/>
          <w:lang w:eastAsia="en-GB"/>
        </w:rPr>
        <w:t xml:space="preserve"> </w:t>
      </w:r>
      <w:r w:rsidRPr="00DB7F92">
        <w:rPr>
          <w:lang w:eastAsia="en-GB"/>
        </w:rPr>
        <w:t>people</w:t>
      </w:r>
      <w:r w:rsidRPr="00DB7F92">
        <w:rPr>
          <w:spacing w:val="-5"/>
          <w:lang w:eastAsia="en-GB"/>
        </w:rPr>
        <w:t xml:space="preserve"> </w:t>
      </w:r>
      <w:r w:rsidRPr="00DB7F92">
        <w:rPr>
          <w:lang w:eastAsia="en-GB"/>
        </w:rPr>
        <w:t>to</w:t>
      </w:r>
      <w:r w:rsidRPr="00DB7F92">
        <w:rPr>
          <w:spacing w:val="-3"/>
          <w:lang w:eastAsia="en-GB"/>
        </w:rPr>
        <w:t xml:space="preserve"> </w:t>
      </w:r>
      <w:r w:rsidRPr="00DB7F92">
        <w:rPr>
          <w:lang w:eastAsia="en-GB"/>
        </w:rPr>
        <w:t>do</w:t>
      </w:r>
      <w:r w:rsidRPr="00DB7F92">
        <w:rPr>
          <w:spacing w:val="-5"/>
          <w:lang w:eastAsia="en-GB"/>
        </w:rPr>
        <w:t xml:space="preserve"> </w:t>
      </w:r>
      <w:r w:rsidRPr="00DB7F92">
        <w:rPr>
          <w:lang w:eastAsia="en-GB"/>
        </w:rPr>
        <w:t>things.</w:t>
      </w:r>
    </w:p>
    <w:p w14:paraId="201E08A8" w14:textId="77777777" w:rsidR="00DB7F92" w:rsidRPr="00DB7F92" w:rsidRDefault="00DB7F92" w:rsidP="00DB7F92">
      <w:pPr>
        <w:jc w:val="both"/>
        <w:rPr>
          <w:rFonts w:eastAsia="Segoe UI Semilight" w:cs="Arial"/>
          <w:sz w:val="20"/>
          <w:szCs w:val="20"/>
        </w:rPr>
      </w:pPr>
    </w:p>
    <w:p w14:paraId="3B3EE7E7" w14:textId="77777777" w:rsidR="00DB7F92" w:rsidRPr="00DB7F92" w:rsidRDefault="00DB7F92" w:rsidP="00DB7F92">
      <w:pPr>
        <w:spacing w:before="7"/>
        <w:jc w:val="both"/>
        <w:rPr>
          <w:rFonts w:eastAsia="Segoe UI Semilight" w:cs="Arial"/>
          <w:sz w:val="20"/>
          <w:szCs w:val="20"/>
        </w:rPr>
      </w:pPr>
    </w:p>
    <w:p w14:paraId="77535EB5" w14:textId="77777777" w:rsidR="00DB7F92" w:rsidRPr="00DB7F92" w:rsidRDefault="00DB7F92" w:rsidP="00DB7F92">
      <w:pPr>
        <w:ind w:left="1536"/>
        <w:jc w:val="both"/>
        <w:rPr>
          <w:rFonts w:eastAsia="Segoe UI Semilight" w:cs="Arial"/>
          <w:sz w:val="20"/>
          <w:szCs w:val="20"/>
        </w:rPr>
      </w:pPr>
      <w:r w:rsidRPr="00DB7F92">
        <w:rPr>
          <w:rFonts w:eastAsia="Segoe UI Semilight" w:cs="Arial"/>
          <w:noProof/>
          <w:sz w:val="20"/>
          <w:szCs w:val="20"/>
          <w:lang w:eastAsia="en-GB"/>
        </w:rPr>
        <mc:AlternateContent>
          <mc:Choice Requires="wps">
            <w:drawing>
              <wp:inline distT="0" distB="0" distL="0" distR="0" wp14:anchorId="24DDBC83" wp14:editId="6995AF26">
                <wp:extent cx="4860290" cy="1943100"/>
                <wp:effectExtent l="0" t="0" r="0" b="0"/>
                <wp:docPr id="1971" name="Text Box 18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1943100"/>
                        </a:xfrm>
                        <a:prstGeom prst="rect">
                          <a:avLst/>
                        </a:prstGeom>
                        <a:solidFill>
                          <a:srgbClr val="1C6C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6AF8BE" w14:textId="77777777" w:rsidR="00622FF2" w:rsidRPr="004E0302" w:rsidRDefault="00622FF2" w:rsidP="00DB7F92">
                            <w:pPr>
                              <w:spacing w:before="213"/>
                              <w:ind w:left="225"/>
                              <w:jc w:val="both"/>
                              <w:rPr>
                                <w:rFonts w:eastAsia="Tw Cen MT Condensed Extra Bold" w:cs="Arial"/>
                                <w:sz w:val="20"/>
                                <w:szCs w:val="20"/>
                              </w:rPr>
                            </w:pPr>
                            <w:r w:rsidRPr="004E0302">
                              <w:rPr>
                                <w:rFonts w:cs="Arial"/>
                                <w:b/>
                                <w:color w:val="FFFFFF"/>
                                <w:sz w:val="20"/>
                                <w:szCs w:val="20"/>
                              </w:rPr>
                              <w:t>Example:</w:t>
                            </w:r>
                          </w:p>
                          <w:p w14:paraId="12D56552" w14:textId="77777777" w:rsidR="00622FF2" w:rsidRPr="004E0302" w:rsidRDefault="00622FF2" w:rsidP="00DB7F92">
                            <w:pPr>
                              <w:spacing w:before="12"/>
                              <w:rPr>
                                <w:rFonts w:eastAsia="Segoe UI Semilight" w:cs="Arial"/>
                                <w:sz w:val="20"/>
                                <w:szCs w:val="20"/>
                              </w:rPr>
                            </w:pPr>
                          </w:p>
                          <w:p w14:paraId="1F9CBB88" w14:textId="77777777" w:rsidR="00622FF2" w:rsidRPr="004E0302" w:rsidRDefault="00622FF2" w:rsidP="00DB7F92">
                            <w:pPr>
                              <w:ind w:left="225" w:right="225"/>
                              <w:jc w:val="both"/>
                              <w:rPr>
                                <w:rFonts w:eastAsia="Segoe UI Semilight" w:cs="Arial"/>
                                <w:sz w:val="20"/>
                                <w:szCs w:val="20"/>
                              </w:rPr>
                            </w:pPr>
                            <w:r w:rsidRPr="004E0302">
                              <w:rPr>
                                <w:rFonts w:eastAsia="Segoe UI Semilight" w:cs="Arial"/>
                                <w:color w:val="FFFFFF"/>
                                <w:spacing w:val="-1"/>
                                <w:sz w:val="20"/>
                                <w:szCs w:val="20"/>
                              </w:rPr>
                              <w:t>A commissioner</w:t>
                            </w:r>
                            <w:r w:rsidRPr="004E0302">
                              <w:rPr>
                                <w:rFonts w:eastAsia="Segoe UI Semilight" w:cs="Arial"/>
                                <w:color w:val="FFFFFF"/>
                                <w:spacing w:val="37"/>
                                <w:sz w:val="20"/>
                                <w:szCs w:val="20"/>
                              </w:rPr>
                              <w:t xml:space="preserve"> </w:t>
                            </w:r>
                            <w:r w:rsidRPr="004E0302">
                              <w:rPr>
                                <w:rFonts w:eastAsia="Segoe UI Semilight" w:cs="Arial"/>
                                <w:color w:val="FFFFFF"/>
                                <w:spacing w:val="-1"/>
                                <w:sz w:val="20"/>
                                <w:szCs w:val="20"/>
                              </w:rPr>
                              <w:t>decides</w:t>
                            </w:r>
                            <w:r w:rsidRPr="004E0302">
                              <w:rPr>
                                <w:rFonts w:eastAsia="Segoe UI Semilight" w:cs="Arial"/>
                                <w:color w:val="FFFFFF"/>
                                <w:spacing w:val="39"/>
                                <w:sz w:val="20"/>
                                <w:szCs w:val="20"/>
                              </w:rPr>
                              <w:t xml:space="preserve"> </w:t>
                            </w:r>
                            <w:r w:rsidRPr="004E0302">
                              <w:rPr>
                                <w:rFonts w:eastAsia="Segoe UI Semilight" w:cs="Arial"/>
                                <w:color w:val="FFFFFF"/>
                                <w:sz w:val="20"/>
                                <w:szCs w:val="20"/>
                              </w:rPr>
                              <w:t>to</w:t>
                            </w:r>
                            <w:r w:rsidRPr="004E0302">
                              <w:rPr>
                                <w:rFonts w:eastAsia="Segoe UI Semilight" w:cs="Arial"/>
                                <w:color w:val="FFFFFF"/>
                                <w:spacing w:val="37"/>
                                <w:sz w:val="20"/>
                                <w:szCs w:val="20"/>
                              </w:rPr>
                              <w:t xml:space="preserve"> </w:t>
                            </w:r>
                            <w:r w:rsidRPr="004E0302">
                              <w:rPr>
                                <w:rFonts w:eastAsia="Segoe UI Semilight" w:cs="Arial"/>
                                <w:color w:val="FFFFFF"/>
                                <w:spacing w:val="-1"/>
                                <w:sz w:val="20"/>
                                <w:szCs w:val="20"/>
                              </w:rPr>
                              <w:t>run</w:t>
                            </w:r>
                            <w:r w:rsidRPr="004E0302">
                              <w:rPr>
                                <w:rFonts w:eastAsia="Segoe UI Semilight" w:cs="Arial"/>
                                <w:color w:val="FFFFFF"/>
                                <w:spacing w:val="38"/>
                                <w:sz w:val="20"/>
                                <w:szCs w:val="20"/>
                              </w:rPr>
                              <w:t xml:space="preserve"> </w:t>
                            </w:r>
                            <w:r w:rsidRPr="004E0302">
                              <w:rPr>
                                <w:rFonts w:eastAsia="Segoe UI Semilight" w:cs="Arial"/>
                                <w:color w:val="FFFFFF"/>
                                <w:sz w:val="20"/>
                                <w:szCs w:val="20"/>
                              </w:rPr>
                              <w:t>a</w:t>
                            </w:r>
                            <w:r w:rsidRPr="004E0302">
                              <w:rPr>
                                <w:rFonts w:eastAsia="Segoe UI Semilight" w:cs="Arial"/>
                                <w:color w:val="FFFFFF"/>
                                <w:spacing w:val="38"/>
                                <w:sz w:val="20"/>
                                <w:szCs w:val="20"/>
                              </w:rPr>
                              <w:t xml:space="preserve"> </w:t>
                            </w:r>
                            <w:r w:rsidRPr="004E0302">
                              <w:rPr>
                                <w:rFonts w:eastAsia="Segoe UI Semilight" w:cs="Arial"/>
                                <w:color w:val="FFFFFF"/>
                                <w:spacing w:val="-1"/>
                                <w:sz w:val="20"/>
                                <w:szCs w:val="20"/>
                              </w:rPr>
                              <w:t>competition</w:t>
                            </w:r>
                            <w:r w:rsidRPr="004E0302">
                              <w:rPr>
                                <w:rFonts w:eastAsia="Segoe UI Semilight" w:cs="Arial"/>
                                <w:color w:val="FFFFFF"/>
                                <w:spacing w:val="38"/>
                                <w:sz w:val="20"/>
                                <w:szCs w:val="20"/>
                              </w:rPr>
                              <w:t xml:space="preserve"> </w:t>
                            </w:r>
                            <w:r w:rsidRPr="004E0302">
                              <w:rPr>
                                <w:rFonts w:eastAsia="Segoe UI Semilight" w:cs="Arial"/>
                                <w:color w:val="FFFFFF"/>
                                <w:spacing w:val="1"/>
                                <w:sz w:val="20"/>
                                <w:szCs w:val="20"/>
                              </w:rPr>
                              <w:t>to</w:t>
                            </w:r>
                            <w:r w:rsidRPr="004E0302">
                              <w:rPr>
                                <w:rFonts w:eastAsia="Segoe UI Semilight" w:cs="Arial"/>
                                <w:color w:val="FFFFFF"/>
                                <w:spacing w:val="38"/>
                                <w:sz w:val="20"/>
                                <w:szCs w:val="20"/>
                              </w:rPr>
                              <w:t xml:space="preserve"> </w:t>
                            </w:r>
                            <w:r w:rsidRPr="004E0302">
                              <w:rPr>
                                <w:rFonts w:eastAsia="Segoe UI Semilight" w:cs="Arial"/>
                                <w:color w:val="FFFFFF"/>
                                <w:spacing w:val="-1"/>
                                <w:sz w:val="20"/>
                                <w:szCs w:val="20"/>
                              </w:rPr>
                              <w:t>reward</w:t>
                            </w:r>
                            <w:r w:rsidRPr="004E0302">
                              <w:rPr>
                                <w:rFonts w:eastAsia="Segoe UI Semilight" w:cs="Arial"/>
                                <w:color w:val="FFFFFF"/>
                                <w:spacing w:val="37"/>
                                <w:sz w:val="20"/>
                                <w:szCs w:val="20"/>
                              </w:rPr>
                              <w:t xml:space="preserve"> </w:t>
                            </w:r>
                            <w:r w:rsidRPr="004E0302">
                              <w:rPr>
                                <w:rFonts w:eastAsia="Segoe UI Semilight" w:cs="Arial"/>
                                <w:color w:val="FFFFFF"/>
                                <w:sz w:val="20"/>
                                <w:szCs w:val="20"/>
                              </w:rPr>
                              <w:t>GP</w:t>
                            </w:r>
                            <w:r w:rsidRPr="004E0302">
                              <w:rPr>
                                <w:rFonts w:eastAsia="Segoe UI Semilight" w:cs="Arial"/>
                                <w:color w:val="FFFFFF"/>
                                <w:spacing w:val="38"/>
                                <w:sz w:val="20"/>
                                <w:szCs w:val="20"/>
                              </w:rPr>
                              <w:t xml:space="preserve"> </w:t>
                            </w:r>
                            <w:r w:rsidRPr="004E0302">
                              <w:rPr>
                                <w:rFonts w:eastAsia="Segoe UI Semilight" w:cs="Arial"/>
                                <w:color w:val="FFFFFF"/>
                                <w:spacing w:val="-1"/>
                                <w:sz w:val="20"/>
                                <w:szCs w:val="20"/>
                              </w:rPr>
                              <w:t>practices</w:t>
                            </w:r>
                            <w:r w:rsidRPr="004E0302">
                              <w:rPr>
                                <w:rFonts w:eastAsia="Segoe UI Semilight" w:cs="Arial"/>
                                <w:color w:val="FFFFFF"/>
                                <w:spacing w:val="42"/>
                                <w:w w:val="99"/>
                                <w:sz w:val="20"/>
                                <w:szCs w:val="20"/>
                              </w:rPr>
                              <w:t xml:space="preserve"> </w:t>
                            </w:r>
                            <w:r w:rsidRPr="004E0302">
                              <w:rPr>
                                <w:rFonts w:eastAsia="Segoe UI Semilight" w:cs="Arial"/>
                                <w:color w:val="FFFFFF"/>
                                <w:spacing w:val="-1"/>
                                <w:sz w:val="20"/>
                                <w:szCs w:val="20"/>
                              </w:rPr>
                              <w:t>that</w:t>
                            </w:r>
                            <w:r w:rsidRPr="004E0302">
                              <w:rPr>
                                <w:rFonts w:eastAsia="Segoe UI Semilight" w:cs="Arial"/>
                                <w:color w:val="FFFFFF"/>
                                <w:spacing w:val="17"/>
                                <w:sz w:val="20"/>
                                <w:szCs w:val="20"/>
                              </w:rPr>
                              <w:t xml:space="preserve"> </w:t>
                            </w:r>
                            <w:r w:rsidRPr="004E0302">
                              <w:rPr>
                                <w:rFonts w:eastAsia="Segoe UI Semilight" w:cs="Arial"/>
                                <w:color w:val="FFFFFF"/>
                                <w:spacing w:val="-1"/>
                                <w:sz w:val="20"/>
                                <w:szCs w:val="20"/>
                              </w:rPr>
                              <w:t>are</w:t>
                            </w:r>
                            <w:r w:rsidRPr="004E0302">
                              <w:rPr>
                                <w:rFonts w:eastAsia="Segoe UI Semilight" w:cs="Arial"/>
                                <w:color w:val="FFFFFF"/>
                                <w:spacing w:val="15"/>
                                <w:sz w:val="20"/>
                                <w:szCs w:val="20"/>
                              </w:rPr>
                              <w:t xml:space="preserve"> </w:t>
                            </w:r>
                            <w:r w:rsidRPr="004E0302">
                              <w:rPr>
                                <w:rFonts w:eastAsia="Segoe UI Semilight" w:cs="Arial"/>
                                <w:color w:val="FFFFFF"/>
                                <w:spacing w:val="-1"/>
                                <w:sz w:val="20"/>
                                <w:szCs w:val="20"/>
                              </w:rPr>
                              <w:t>innovative</w:t>
                            </w:r>
                            <w:r w:rsidRPr="004E0302">
                              <w:rPr>
                                <w:rFonts w:eastAsia="Segoe UI Semilight" w:cs="Arial"/>
                                <w:color w:val="FFFFFF"/>
                                <w:spacing w:val="15"/>
                                <w:sz w:val="20"/>
                                <w:szCs w:val="20"/>
                              </w:rPr>
                              <w:t xml:space="preserve"> </w:t>
                            </w:r>
                            <w:r w:rsidRPr="004E0302">
                              <w:rPr>
                                <w:rFonts w:eastAsia="Segoe UI Semilight" w:cs="Arial"/>
                                <w:color w:val="FFFFFF"/>
                                <w:spacing w:val="-1"/>
                                <w:sz w:val="20"/>
                                <w:szCs w:val="20"/>
                              </w:rPr>
                              <w:t>in</w:t>
                            </w:r>
                            <w:r w:rsidRPr="004E0302">
                              <w:rPr>
                                <w:rFonts w:eastAsia="Segoe UI Semilight" w:cs="Arial"/>
                                <w:color w:val="FFFFFF"/>
                                <w:spacing w:val="17"/>
                                <w:sz w:val="20"/>
                                <w:szCs w:val="20"/>
                              </w:rPr>
                              <w:t xml:space="preserve"> </w:t>
                            </w:r>
                            <w:r w:rsidRPr="004E0302">
                              <w:rPr>
                                <w:rFonts w:eastAsia="Segoe UI Semilight" w:cs="Arial"/>
                                <w:color w:val="FFFFFF"/>
                                <w:spacing w:val="-1"/>
                                <w:sz w:val="20"/>
                                <w:szCs w:val="20"/>
                              </w:rPr>
                              <w:t>their</w:t>
                            </w:r>
                            <w:r w:rsidRPr="004E0302">
                              <w:rPr>
                                <w:rFonts w:eastAsia="Segoe UI Semilight" w:cs="Arial"/>
                                <w:color w:val="FFFFFF"/>
                                <w:spacing w:val="16"/>
                                <w:sz w:val="20"/>
                                <w:szCs w:val="20"/>
                              </w:rPr>
                              <w:t xml:space="preserve"> </w:t>
                            </w:r>
                            <w:r w:rsidRPr="004E0302">
                              <w:rPr>
                                <w:rFonts w:eastAsia="Segoe UI Semilight" w:cs="Arial"/>
                                <w:color w:val="FFFFFF"/>
                                <w:spacing w:val="-1"/>
                                <w:sz w:val="20"/>
                                <w:szCs w:val="20"/>
                              </w:rPr>
                              <w:t>use</w:t>
                            </w:r>
                            <w:r w:rsidRPr="004E0302">
                              <w:rPr>
                                <w:rFonts w:eastAsia="Segoe UI Semilight" w:cs="Arial"/>
                                <w:color w:val="FFFFFF"/>
                                <w:spacing w:val="15"/>
                                <w:sz w:val="20"/>
                                <w:szCs w:val="20"/>
                              </w:rPr>
                              <w:t xml:space="preserve"> </w:t>
                            </w:r>
                            <w:r w:rsidRPr="004E0302">
                              <w:rPr>
                                <w:rFonts w:eastAsia="Segoe UI Semilight" w:cs="Arial"/>
                                <w:color w:val="FFFFFF"/>
                                <w:spacing w:val="-1"/>
                                <w:sz w:val="20"/>
                                <w:szCs w:val="20"/>
                              </w:rPr>
                              <w:t>of</w:t>
                            </w:r>
                            <w:r w:rsidRPr="004E0302">
                              <w:rPr>
                                <w:rFonts w:eastAsia="Segoe UI Semilight" w:cs="Arial"/>
                                <w:color w:val="FFFFFF"/>
                                <w:spacing w:val="16"/>
                                <w:sz w:val="20"/>
                                <w:szCs w:val="20"/>
                              </w:rPr>
                              <w:t xml:space="preserve"> </w:t>
                            </w:r>
                            <w:r w:rsidRPr="004E0302">
                              <w:rPr>
                                <w:rFonts w:eastAsia="Segoe UI Semilight" w:cs="Arial"/>
                                <w:color w:val="FFFFFF"/>
                                <w:spacing w:val="-1"/>
                                <w:sz w:val="20"/>
                                <w:szCs w:val="20"/>
                              </w:rPr>
                              <w:t>telehealth</w:t>
                            </w:r>
                            <w:r w:rsidRPr="004E0302">
                              <w:rPr>
                                <w:rFonts w:eastAsia="Segoe UI Semilight" w:cs="Arial"/>
                                <w:color w:val="FFFFFF"/>
                                <w:spacing w:val="16"/>
                                <w:sz w:val="20"/>
                                <w:szCs w:val="20"/>
                              </w:rPr>
                              <w:t xml:space="preserve"> </w:t>
                            </w:r>
                            <w:r w:rsidRPr="004E0302">
                              <w:rPr>
                                <w:rFonts w:eastAsia="Segoe UI Semilight" w:cs="Arial"/>
                                <w:color w:val="FFFFFF"/>
                                <w:spacing w:val="-1"/>
                                <w:sz w:val="20"/>
                                <w:szCs w:val="20"/>
                              </w:rPr>
                              <w:t>devices</w:t>
                            </w:r>
                            <w:r w:rsidRPr="004E0302">
                              <w:rPr>
                                <w:rFonts w:eastAsia="Segoe UI Semilight" w:cs="Arial"/>
                                <w:color w:val="FFFFFF"/>
                                <w:spacing w:val="17"/>
                                <w:sz w:val="20"/>
                                <w:szCs w:val="20"/>
                              </w:rPr>
                              <w:t xml:space="preserve"> </w:t>
                            </w:r>
                            <w:r w:rsidRPr="004E0302">
                              <w:rPr>
                                <w:rFonts w:eastAsia="Segoe UI Semilight" w:cs="Arial"/>
                                <w:color w:val="FFFFFF"/>
                                <w:sz w:val="20"/>
                                <w:szCs w:val="20"/>
                              </w:rPr>
                              <w:t>–</w:t>
                            </w:r>
                            <w:r w:rsidRPr="004E0302">
                              <w:rPr>
                                <w:rFonts w:eastAsia="Segoe UI Semilight" w:cs="Arial"/>
                                <w:color w:val="FFFFFF"/>
                                <w:spacing w:val="16"/>
                                <w:sz w:val="20"/>
                                <w:szCs w:val="20"/>
                              </w:rPr>
                              <w:t xml:space="preserve"> </w:t>
                            </w:r>
                            <w:r w:rsidRPr="004E0302">
                              <w:rPr>
                                <w:rFonts w:eastAsia="Segoe UI Semilight" w:cs="Arial"/>
                                <w:color w:val="FFFFFF"/>
                                <w:spacing w:val="-1"/>
                                <w:sz w:val="20"/>
                                <w:szCs w:val="20"/>
                              </w:rPr>
                              <w:t>smart</w:t>
                            </w:r>
                            <w:r w:rsidRPr="004E0302">
                              <w:rPr>
                                <w:rFonts w:eastAsia="Segoe UI Semilight" w:cs="Arial"/>
                                <w:color w:val="FFFFFF"/>
                                <w:spacing w:val="18"/>
                                <w:sz w:val="20"/>
                                <w:szCs w:val="20"/>
                              </w:rPr>
                              <w:t xml:space="preserve"> </w:t>
                            </w:r>
                            <w:r w:rsidRPr="004E0302">
                              <w:rPr>
                                <w:rFonts w:eastAsia="Segoe UI Semilight" w:cs="Arial"/>
                                <w:color w:val="FFFFFF"/>
                                <w:spacing w:val="-1"/>
                                <w:sz w:val="20"/>
                                <w:szCs w:val="20"/>
                              </w:rPr>
                              <w:t>medical</w:t>
                            </w:r>
                            <w:r w:rsidRPr="004E0302">
                              <w:rPr>
                                <w:rFonts w:eastAsia="Segoe UI Semilight" w:cs="Arial"/>
                                <w:color w:val="FFFFFF"/>
                                <w:spacing w:val="59"/>
                                <w:w w:val="99"/>
                                <w:sz w:val="20"/>
                                <w:szCs w:val="20"/>
                              </w:rPr>
                              <w:t xml:space="preserve"> </w:t>
                            </w:r>
                            <w:r w:rsidRPr="004E0302">
                              <w:rPr>
                                <w:rFonts w:eastAsia="Segoe UI Semilight" w:cs="Arial"/>
                                <w:color w:val="FFFFFF"/>
                                <w:spacing w:val="-1"/>
                                <w:sz w:val="20"/>
                                <w:szCs w:val="20"/>
                              </w:rPr>
                              <w:t>devices</w:t>
                            </w:r>
                            <w:r w:rsidRPr="004E0302">
                              <w:rPr>
                                <w:rFonts w:eastAsia="Segoe UI Semilight" w:cs="Arial"/>
                                <w:color w:val="FFFFFF"/>
                                <w:spacing w:val="35"/>
                                <w:sz w:val="20"/>
                                <w:szCs w:val="20"/>
                              </w:rPr>
                              <w:t xml:space="preserve"> </w:t>
                            </w:r>
                            <w:r w:rsidRPr="004E0302">
                              <w:rPr>
                                <w:rFonts w:eastAsia="Segoe UI Semilight" w:cs="Arial"/>
                                <w:color w:val="FFFFFF"/>
                                <w:spacing w:val="-1"/>
                                <w:sz w:val="20"/>
                                <w:szCs w:val="20"/>
                              </w:rPr>
                              <w:t>that</w:t>
                            </w:r>
                            <w:r w:rsidRPr="004E0302">
                              <w:rPr>
                                <w:rFonts w:eastAsia="Segoe UI Semilight" w:cs="Arial"/>
                                <w:color w:val="FFFFFF"/>
                                <w:spacing w:val="36"/>
                                <w:sz w:val="20"/>
                                <w:szCs w:val="20"/>
                              </w:rPr>
                              <w:t xml:space="preserve"> </w:t>
                            </w:r>
                            <w:r w:rsidRPr="004E0302">
                              <w:rPr>
                                <w:rFonts w:eastAsia="Segoe UI Semilight" w:cs="Arial"/>
                                <w:color w:val="FFFFFF"/>
                                <w:spacing w:val="-1"/>
                                <w:sz w:val="20"/>
                                <w:szCs w:val="20"/>
                              </w:rPr>
                              <w:t>transmit</w:t>
                            </w:r>
                            <w:r w:rsidRPr="004E0302">
                              <w:rPr>
                                <w:rFonts w:eastAsia="Segoe UI Semilight" w:cs="Arial"/>
                                <w:color w:val="FFFFFF"/>
                                <w:spacing w:val="39"/>
                                <w:sz w:val="20"/>
                                <w:szCs w:val="20"/>
                              </w:rPr>
                              <w:t xml:space="preserve"> </w:t>
                            </w:r>
                            <w:r w:rsidRPr="004E0302">
                              <w:rPr>
                                <w:rFonts w:eastAsia="Segoe UI Semilight" w:cs="Arial"/>
                                <w:color w:val="FFFFFF"/>
                                <w:spacing w:val="-1"/>
                                <w:sz w:val="20"/>
                                <w:szCs w:val="20"/>
                              </w:rPr>
                              <w:t>data</w:t>
                            </w:r>
                            <w:r w:rsidRPr="004E0302">
                              <w:rPr>
                                <w:rFonts w:eastAsia="Segoe UI Semilight" w:cs="Arial"/>
                                <w:color w:val="FFFFFF"/>
                                <w:spacing w:val="35"/>
                                <w:sz w:val="20"/>
                                <w:szCs w:val="20"/>
                              </w:rPr>
                              <w:t xml:space="preserve"> </w:t>
                            </w:r>
                            <w:r w:rsidRPr="004E0302">
                              <w:rPr>
                                <w:rFonts w:eastAsia="Segoe UI Semilight" w:cs="Arial"/>
                                <w:color w:val="FFFFFF"/>
                                <w:spacing w:val="-1"/>
                                <w:sz w:val="20"/>
                                <w:szCs w:val="20"/>
                              </w:rPr>
                              <w:t>from</w:t>
                            </w:r>
                            <w:r w:rsidRPr="004E0302">
                              <w:rPr>
                                <w:rFonts w:eastAsia="Segoe UI Semilight" w:cs="Arial"/>
                                <w:color w:val="FFFFFF"/>
                                <w:spacing w:val="35"/>
                                <w:sz w:val="20"/>
                                <w:szCs w:val="20"/>
                              </w:rPr>
                              <w:t xml:space="preserve"> </w:t>
                            </w:r>
                            <w:r w:rsidRPr="004E0302">
                              <w:rPr>
                                <w:rFonts w:eastAsia="Segoe UI Semilight" w:cs="Arial"/>
                                <w:color w:val="FFFFFF"/>
                                <w:sz w:val="20"/>
                                <w:szCs w:val="20"/>
                              </w:rPr>
                              <w:t>a</w:t>
                            </w:r>
                            <w:r w:rsidRPr="004E0302">
                              <w:rPr>
                                <w:rFonts w:eastAsia="Segoe UI Semilight" w:cs="Arial"/>
                                <w:color w:val="FFFFFF"/>
                                <w:spacing w:val="38"/>
                                <w:sz w:val="20"/>
                                <w:szCs w:val="20"/>
                              </w:rPr>
                              <w:t xml:space="preserve"> </w:t>
                            </w:r>
                            <w:r w:rsidRPr="004E0302">
                              <w:rPr>
                                <w:rFonts w:eastAsia="Segoe UI Semilight" w:cs="Arial"/>
                                <w:color w:val="FFFFFF"/>
                                <w:spacing w:val="-1"/>
                                <w:sz w:val="20"/>
                                <w:szCs w:val="20"/>
                              </w:rPr>
                              <w:t>patient</w:t>
                            </w:r>
                            <w:r w:rsidRPr="004E0302">
                              <w:rPr>
                                <w:rFonts w:eastAsia="Segoe UI Semilight" w:cs="Arial"/>
                                <w:color w:val="FFFFFF"/>
                                <w:spacing w:val="36"/>
                                <w:sz w:val="20"/>
                                <w:szCs w:val="20"/>
                              </w:rPr>
                              <w:t xml:space="preserve"> </w:t>
                            </w:r>
                            <w:r w:rsidRPr="004E0302">
                              <w:rPr>
                                <w:rFonts w:eastAsia="Segoe UI Semilight" w:cs="Arial"/>
                                <w:color w:val="FFFFFF"/>
                                <w:spacing w:val="1"/>
                                <w:sz w:val="20"/>
                                <w:szCs w:val="20"/>
                              </w:rPr>
                              <w:t>to</w:t>
                            </w:r>
                            <w:r w:rsidRPr="004E0302">
                              <w:rPr>
                                <w:rFonts w:eastAsia="Segoe UI Semilight" w:cs="Arial"/>
                                <w:color w:val="FFFFFF"/>
                                <w:spacing w:val="37"/>
                                <w:sz w:val="20"/>
                                <w:szCs w:val="20"/>
                              </w:rPr>
                              <w:t xml:space="preserve"> </w:t>
                            </w:r>
                            <w:r w:rsidRPr="004E0302">
                              <w:rPr>
                                <w:rFonts w:eastAsia="Segoe UI Semilight" w:cs="Arial"/>
                                <w:color w:val="FFFFFF"/>
                                <w:spacing w:val="-1"/>
                                <w:sz w:val="20"/>
                                <w:szCs w:val="20"/>
                              </w:rPr>
                              <w:t>their</w:t>
                            </w:r>
                            <w:r w:rsidRPr="004E0302">
                              <w:rPr>
                                <w:rFonts w:eastAsia="Segoe UI Semilight" w:cs="Arial"/>
                                <w:color w:val="FFFFFF"/>
                                <w:spacing w:val="36"/>
                                <w:sz w:val="20"/>
                                <w:szCs w:val="20"/>
                              </w:rPr>
                              <w:t xml:space="preserve"> </w:t>
                            </w:r>
                            <w:r w:rsidRPr="004E0302">
                              <w:rPr>
                                <w:rFonts w:eastAsia="Segoe UI Semilight" w:cs="Arial"/>
                                <w:color w:val="FFFFFF"/>
                                <w:spacing w:val="-1"/>
                                <w:sz w:val="20"/>
                                <w:szCs w:val="20"/>
                              </w:rPr>
                              <w:t>treating</w:t>
                            </w:r>
                            <w:r w:rsidRPr="004E0302">
                              <w:rPr>
                                <w:rFonts w:eastAsia="Segoe UI Semilight" w:cs="Arial"/>
                                <w:color w:val="FFFFFF"/>
                                <w:spacing w:val="35"/>
                                <w:sz w:val="20"/>
                                <w:szCs w:val="20"/>
                              </w:rPr>
                              <w:t xml:space="preserve"> </w:t>
                            </w:r>
                            <w:r w:rsidRPr="004E0302">
                              <w:rPr>
                                <w:rFonts w:eastAsia="Segoe UI Semilight" w:cs="Arial"/>
                                <w:color w:val="FFFFFF"/>
                                <w:spacing w:val="-1"/>
                                <w:sz w:val="20"/>
                                <w:szCs w:val="20"/>
                              </w:rPr>
                              <w:t>clinician,</w:t>
                            </w:r>
                            <w:r w:rsidRPr="004E0302">
                              <w:rPr>
                                <w:rFonts w:eastAsia="Segoe UI Semilight" w:cs="Arial"/>
                                <w:color w:val="FFFFFF"/>
                                <w:spacing w:val="63"/>
                                <w:sz w:val="20"/>
                                <w:szCs w:val="20"/>
                              </w:rPr>
                              <w:t xml:space="preserve"> </w:t>
                            </w:r>
                            <w:r w:rsidRPr="004E0302">
                              <w:rPr>
                                <w:rFonts w:eastAsia="Segoe UI Semilight" w:cs="Arial"/>
                                <w:color w:val="FFFFFF"/>
                                <w:spacing w:val="-1"/>
                                <w:sz w:val="20"/>
                                <w:szCs w:val="20"/>
                              </w:rPr>
                              <w:t>without</w:t>
                            </w:r>
                            <w:r w:rsidRPr="004E0302">
                              <w:rPr>
                                <w:rFonts w:eastAsia="Segoe UI Semilight" w:cs="Arial"/>
                                <w:color w:val="FFFFFF"/>
                                <w:spacing w:val="12"/>
                                <w:sz w:val="20"/>
                                <w:szCs w:val="20"/>
                              </w:rPr>
                              <w:t xml:space="preserve"> </w:t>
                            </w:r>
                            <w:r w:rsidRPr="004E0302">
                              <w:rPr>
                                <w:rFonts w:eastAsia="Segoe UI Semilight" w:cs="Arial"/>
                                <w:color w:val="FFFFFF"/>
                                <w:spacing w:val="-1"/>
                                <w:sz w:val="20"/>
                                <w:szCs w:val="20"/>
                              </w:rPr>
                              <w:t>the</w:t>
                            </w:r>
                            <w:r w:rsidRPr="004E0302">
                              <w:rPr>
                                <w:rFonts w:eastAsia="Segoe UI Semilight" w:cs="Arial"/>
                                <w:color w:val="FFFFFF"/>
                                <w:spacing w:val="11"/>
                                <w:sz w:val="20"/>
                                <w:szCs w:val="20"/>
                              </w:rPr>
                              <w:t xml:space="preserve"> </w:t>
                            </w:r>
                            <w:r w:rsidRPr="004E0302">
                              <w:rPr>
                                <w:rFonts w:eastAsia="Segoe UI Semilight" w:cs="Arial"/>
                                <w:color w:val="FFFFFF"/>
                                <w:spacing w:val="-1"/>
                                <w:sz w:val="20"/>
                                <w:szCs w:val="20"/>
                              </w:rPr>
                              <w:t>need</w:t>
                            </w:r>
                            <w:r w:rsidRPr="004E0302">
                              <w:rPr>
                                <w:rFonts w:eastAsia="Segoe UI Semilight" w:cs="Arial"/>
                                <w:color w:val="FFFFFF"/>
                                <w:spacing w:val="10"/>
                                <w:sz w:val="20"/>
                                <w:szCs w:val="20"/>
                              </w:rPr>
                              <w:t xml:space="preserve"> </w:t>
                            </w:r>
                            <w:r w:rsidRPr="004E0302">
                              <w:rPr>
                                <w:rFonts w:eastAsia="Segoe UI Semilight" w:cs="Arial"/>
                                <w:color w:val="FFFFFF"/>
                                <w:sz w:val="20"/>
                                <w:szCs w:val="20"/>
                              </w:rPr>
                              <w:t>for</w:t>
                            </w:r>
                            <w:r w:rsidRPr="004E0302">
                              <w:rPr>
                                <w:rFonts w:eastAsia="Segoe UI Semilight" w:cs="Arial"/>
                                <w:color w:val="FFFFFF"/>
                                <w:spacing w:val="13"/>
                                <w:sz w:val="20"/>
                                <w:szCs w:val="20"/>
                              </w:rPr>
                              <w:t xml:space="preserve"> </w:t>
                            </w:r>
                            <w:r w:rsidRPr="004E0302">
                              <w:rPr>
                                <w:rFonts w:eastAsia="Segoe UI Semilight" w:cs="Arial"/>
                                <w:color w:val="FFFFFF"/>
                                <w:spacing w:val="-1"/>
                                <w:sz w:val="20"/>
                                <w:szCs w:val="20"/>
                              </w:rPr>
                              <w:t>the</w:t>
                            </w:r>
                            <w:r w:rsidRPr="004E0302">
                              <w:rPr>
                                <w:rFonts w:eastAsia="Segoe UI Semilight" w:cs="Arial"/>
                                <w:color w:val="FFFFFF"/>
                                <w:spacing w:val="11"/>
                                <w:sz w:val="20"/>
                                <w:szCs w:val="20"/>
                              </w:rPr>
                              <w:t xml:space="preserve"> </w:t>
                            </w:r>
                            <w:r w:rsidRPr="004E0302">
                              <w:rPr>
                                <w:rFonts w:eastAsia="Segoe UI Semilight" w:cs="Arial"/>
                                <w:color w:val="FFFFFF"/>
                                <w:spacing w:val="-1"/>
                                <w:sz w:val="20"/>
                                <w:szCs w:val="20"/>
                              </w:rPr>
                              <w:t>patient</w:t>
                            </w:r>
                            <w:r w:rsidRPr="004E0302">
                              <w:rPr>
                                <w:rFonts w:eastAsia="Segoe UI Semilight" w:cs="Arial"/>
                                <w:color w:val="FFFFFF"/>
                                <w:spacing w:val="12"/>
                                <w:sz w:val="20"/>
                                <w:szCs w:val="20"/>
                              </w:rPr>
                              <w:t xml:space="preserve"> </w:t>
                            </w:r>
                            <w:r w:rsidRPr="004E0302">
                              <w:rPr>
                                <w:rFonts w:eastAsia="Segoe UI Semilight" w:cs="Arial"/>
                                <w:color w:val="FFFFFF"/>
                                <w:sz w:val="20"/>
                                <w:szCs w:val="20"/>
                              </w:rPr>
                              <w:t>to</w:t>
                            </w:r>
                            <w:r w:rsidRPr="004E0302">
                              <w:rPr>
                                <w:rFonts w:eastAsia="Segoe UI Semilight" w:cs="Arial"/>
                                <w:color w:val="FFFFFF"/>
                                <w:spacing w:val="12"/>
                                <w:sz w:val="20"/>
                                <w:szCs w:val="20"/>
                              </w:rPr>
                              <w:t xml:space="preserve"> </w:t>
                            </w:r>
                            <w:r w:rsidRPr="004E0302">
                              <w:rPr>
                                <w:rFonts w:eastAsia="Segoe UI Semilight" w:cs="Arial"/>
                                <w:color w:val="FFFFFF"/>
                                <w:spacing w:val="-1"/>
                                <w:sz w:val="20"/>
                                <w:szCs w:val="20"/>
                              </w:rPr>
                              <w:t>attend</w:t>
                            </w:r>
                            <w:r w:rsidRPr="004E0302">
                              <w:rPr>
                                <w:rFonts w:eastAsia="Segoe UI Semilight" w:cs="Arial"/>
                                <w:color w:val="FFFFFF"/>
                                <w:spacing w:val="11"/>
                                <w:sz w:val="20"/>
                                <w:szCs w:val="20"/>
                              </w:rPr>
                              <w:t xml:space="preserve"> </w:t>
                            </w:r>
                            <w:r w:rsidRPr="004E0302">
                              <w:rPr>
                                <w:rFonts w:eastAsia="Segoe UI Semilight" w:cs="Arial"/>
                                <w:color w:val="FFFFFF"/>
                                <w:spacing w:val="-1"/>
                                <w:sz w:val="20"/>
                                <w:szCs w:val="20"/>
                              </w:rPr>
                              <w:t>surgery.</w:t>
                            </w:r>
                            <w:r w:rsidRPr="004E0302">
                              <w:rPr>
                                <w:rFonts w:eastAsia="Segoe UI Semilight" w:cs="Arial"/>
                                <w:color w:val="FFFFFF"/>
                                <w:spacing w:val="24"/>
                                <w:sz w:val="20"/>
                                <w:szCs w:val="20"/>
                              </w:rPr>
                              <w:t xml:space="preserve"> </w:t>
                            </w:r>
                            <w:r w:rsidRPr="004E0302">
                              <w:rPr>
                                <w:rFonts w:eastAsia="Segoe UI Semilight" w:cs="Arial"/>
                                <w:color w:val="FFFFFF"/>
                                <w:spacing w:val="-1"/>
                                <w:sz w:val="20"/>
                                <w:szCs w:val="20"/>
                              </w:rPr>
                              <w:t>The</w:t>
                            </w:r>
                            <w:r w:rsidRPr="004E0302">
                              <w:rPr>
                                <w:rFonts w:eastAsia="Segoe UI Semilight" w:cs="Arial"/>
                                <w:color w:val="FFFFFF"/>
                                <w:spacing w:val="11"/>
                                <w:sz w:val="20"/>
                                <w:szCs w:val="20"/>
                              </w:rPr>
                              <w:t xml:space="preserve"> </w:t>
                            </w:r>
                            <w:r w:rsidRPr="004E0302">
                              <w:rPr>
                                <w:rFonts w:eastAsia="Segoe UI Semilight" w:cs="Arial"/>
                                <w:color w:val="FFFFFF"/>
                                <w:spacing w:val="-1"/>
                                <w:sz w:val="20"/>
                                <w:szCs w:val="20"/>
                              </w:rPr>
                              <w:t>winners</w:t>
                            </w:r>
                            <w:r w:rsidRPr="004E0302">
                              <w:rPr>
                                <w:rFonts w:eastAsia="Segoe UI Semilight" w:cs="Arial"/>
                                <w:color w:val="FFFFFF"/>
                                <w:spacing w:val="12"/>
                                <w:sz w:val="20"/>
                                <w:szCs w:val="20"/>
                              </w:rPr>
                              <w:t xml:space="preserve"> </w:t>
                            </w:r>
                            <w:r w:rsidRPr="004E0302">
                              <w:rPr>
                                <w:rFonts w:eastAsia="Segoe UI Semilight" w:cs="Arial"/>
                                <w:color w:val="FFFFFF"/>
                                <w:spacing w:val="-1"/>
                                <w:sz w:val="20"/>
                                <w:szCs w:val="20"/>
                              </w:rPr>
                              <w:t>will</w:t>
                            </w:r>
                            <w:r w:rsidRPr="004E0302">
                              <w:rPr>
                                <w:rFonts w:eastAsia="Segoe UI Semilight" w:cs="Arial"/>
                                <w:color w:val="FFFFFF"/>
                                <w:spacing w:val="48"/>
                                <w:w w:val="99"/>
                                <w:sz w:val="20"/>
                                <w:szCs w:val="20"/>
                              </w:rPr>
                              <w:t xml:space="preserve"> </w:t>
                            </w:r>
                            <w:r w:rsidRPr="004E0302">
                              <w:rPr>
                                <w:rFonts w:eastAsia="Segoe UI Semilight" w:cs="Arial"/>
                                <w:color w:val="FFFFFF"/>
                                <w:spacing w:val="-1"/>
                                <w:sz w:val="20"/>
                                <w:szCs w:val="20"/>
                              </w:rPr>
                              <w:t>be</w:t>
                            </w:r>
                            <w:r w:rsidRPr="004E0302">
                              <w:rPr>
                                <w:rFonts w:eastAsia="Segoe UI Semilight" w:cs="Arial"/>
                                <w:color w:val="FFFFFF"/>
                                <w:spacing w:val="-2"/>
                                <w:sz w:val="20"/>
                                <w:szCs w:val="20"/>
                              </w:rPr>
                              <w:t xml:space="preserve"> </w:t>
                            </w:r>
                            <w:r w:rsidRPr="004E0302">
                              <w:rPr>
                                <w:rFonts w:eastAsia="Segoe UI Semilight" w:cs="Arial"/>
                                <w:color w:val="FFFFFF"/>
                                <w:spacing w:val="-1"/>
                                <w:sz w:val="20"/>
                                <w:szCs w:val="20"/>
                              </w:rPr>
                              <w:t xml:space="preserve">showcased </w:t>
                            </w:r>
                            <w:r w:rsidRPr="004E0302">
                              <w:rPr>
                                <w:rFonts w:eastAsia="Segoe UI Semilight" w:cs="Arial"/>
                                <w:color w:val="FFFFFF"/>
                                <w:sz w:val="20"/>
                                <w:szCs w:val="20"/>
                              </w:rPr>
                              <w:t xml:space="preserve">so </w:t>
                            </w:r>
                            <w:r w:rsidRPr="004E0302">
                              <w:rPr>
                                <w:rFonts w:eastAsia="Segoe UI Semilight" w:cs="Arial"/>
                                <w:color w:val="FFFFFF"/>
                                <w:spacing w:val="-1"/>
                                <w:sz w:val="20"/>
                                <w:szCs w:val="20"/>
                              </w:rPr>
                              <w:t>that</w:t>
                            </w:r>
                            <w:r w:rsidRPr="004E0302">
                              <w:rPr>
                                <w:rFonts w:eastAsia="Segoe UI Semilight" w:cs="Arial"/>
                                <w:color w:val="FFFFFF"/>
                                <w:spacing w:val="1"/>
                                <w:sz w:val="20"/>
                                <w:szCs w:val="20"/>
                              </w:rPr>
                              <w:t xml:space="preserve"> </w:t>
                            </w:r>
                            <w:r w:rsidRPr="004E0302">
                              <w:rPr>
                                <w:rFonts w:eastAsia="Segoe UI Semilight" w:cs="Arial"/>
                                <w:color w:val="FFFFFF"/>
                                <w:spacing w:val="-1"/>
                                <w:sz w:val="20"/>
                                <w:szCs w:val="20"/>
                              </w:rPr>
                              <w:t>other</w:t>
                            </w:r>
                            <w:r w:rsidRPr="004E0302">
                              <w:rPr>
                                <w:rFonts w:eastAsia="Segoe UI Semilight" w:cs="Arial"/>
                                <w:color w:val="FFFFFF"/>
                                <w:spacing w:val="1"/>
                                <w:sz w:val="20"/>
                                <w:szCs w:val="20"/>
                              </w:rPr>
                              <w:t xml:space="preserve"> </w:t>
                            </w:r>
                            <w:r w:rsidRPr="004E0302">
                              <w:rPr>
                                <w:rFonts w:eastAsia="Segoe UI Semilight" w:cs="Arial"/>
                                <w:color w:val="FFFFFF"/>
                                <w:spacing w:val="-1"/>
                                <w:sz w:val="20"/>
                                <w:szCs w:val="20"/>
                              </w:rPr>
                              <w:t>practices</w:t>
                            </w:r>
                            <w:r w:rsidRPr="004E0302">
                              <w:rPr>
                                <w:rFonts w:eastAsia="Segoe UI Semilight" w:cs="Arial"/>
                                <w:color w:val="FFFFFF"/>
                                <w:sz w:val="20"/>
                                <w:szCs w:val="20"/>
                              </w:rPr>
                              <w:t xml:space="preserve"> </w:t>
                            </w:r>
                            <w:r w:rsidRPr="004E0302">
                              <w:rPr>
                                <w:rFonts w:eastAsia="Segoe UI Semilight" w:cs="Arial"/>
                                <w:color w:val="FFFFFF"/>
                                <w:spacing w:val="-1"/>
                                <w:sz w:val="20"/>
                                <w:szCs w:val="20"/>
                              </w:rPr>
                              <w:t>can</w:t>
                            </w:r>
                            <w:r w:rsidRPr="004E0302">
                              <w:rPr>
                                <w:rFonts w:eastAsia="Segoe UI Semilight" w:cs="Arial"/>
                                <w:color w:val="FFFFFF"/>
                                <w:spacing w:val="3"/>
                                <w:sz w:val="20"/>
                                <w:szCs w:val="20"/>
                              </w:rPr>
                              <w:t xml:space="preserve"> </w:t>
                            </w:r>
                            <w:r w:rsidRPr="004E0302">
                              <w:rPr>
                                <w:rFonts w:eastAsia="Segoe UI Semilight" w:cs="Arial"/>
                                <w:color w:val="FFFFFF"/>
                                <w:spacing w:val="-1"/>
                                <w:sz w:val="20"/>
                                <w:szCs w:val="20"/>
                              </w:rPr>
                              <w:t>follow</w:t>
                            </w:r>
                            <w:r w:rsidRPr="004E0302">
                              <w:rPr>
                                <w:rFonts w:eastAsia="Segoe UI Semilight" w:cs="Arial"/>
                                <w:color w:val="FFFFFF"/>
                                <w:sz w:val="20"/>
                                <w:szCs w:val="20"/>
                              </w:rPr>
                              <w:t xml:space="preserve"> </w:t>
                            </w:r>
                            <w:r w:rsidRPr="004E0302">
                              <w:rPr>
                                <w:rFonts w:eastAsia="Segoe UI Semilight" w:cs="Arial"/>
                                <w:color w:val="FFFFFF"/>
                                <w:spacing w:val="-1"/>
                                <w:sz w:val="20"/>
                                <w:szCs w:val="20"/>
                              </w:rPr>
                              <w:t>their</w:t>
                            </w:r>
                            <w:r w:rsidRPr="004E0302">
                              <w:rPr>
                                <w:rFonts w:eastAsia="Segoe UI Semilight" w:cs="Arial"/>
                                <w:color w:val="FFFFFF"/>
                                <w:sz w:val="20"/>
                                <w:szCs w:val="20"/>
                              </w:rPr>
                              <w:t xml:space="preserve"> </w:t>
                            </w:r>
                            <w:r w:rsidRPr="004E0302">
                              <w:rPr>
                                <w:rFonts w:eastAsia="Segoe UI Semilight" w:cs="Arial"/>
                                <w:color w:val="FFFFFF"/>
                                <w:spacing w:val="-1"/>
                                <w:sz w:val="20"/>
                                <w:szCs w:val="20"/>
                              </w:rPr>
                              <w:t>lead.</w:t>
                            </w:r>
                            <w:r w:rsidRPr="004E0302">
                              <w:rPr>
                                <w:rFonts w:eastAsia="Segoe UI Semilight" w:cs="Arial"/>
                                <w:color w:val="FFFFFF"/>
                                <w:spacing w:val="1"/>
                                <w:sz w:val="20"/>
                                <w:szCs w:val="20"/>
                              </w:rPr>
                              <w:t xml:space="preserve"> </w:t>
                            </w:r>
                            <w:r w:rsidRPr="004E0302">
                              <w:rPr>
                                <w:rFonts w:eastAsia="Segoe UI Semilight" w:cs="Arial"/>
                                <w:color w:val="FFFFFF"/>
                                <w:spacing w:val="-1"/>
                                <w:sz w:val="20"/>
                                <w:szCs w:val="20"/>
                              </w:rPr>
                              <w:t>This</w:t>
                            </w:r>
                            <w:r w:rsidRPr="004E0302">
                              <w:rPr>
                                <w:rFonts w:eastAsia="Segoe UI Semilight" w:cs="Arial"/>
                                <w:color w:val="FFFFFF"/>
                                <w:spacing w:val="1"/>
                                <w:sz w:val="20"/>
                                <w:szCs w:val="20"/>
                              </w:rPr>
                              <w:t xml:space="preserve"> </w:t>
                            </w:r>
                            <w:r w:rsidRPr="004E0302">
                              <w:rPr>
                                <w:rFonts w:eastAsia="Segoe UI Semilight" w:cs="Arial"/>
                                <w:color w:val="FFFFFF"/>
                                <w:spacing w:val="-1"/>
                                <w:sz w:val="20"/>
                                <w:szCs w:val="20"/>
                              </w:rPr>
                              <w:t>helps</w:t>
                            </w:r>
                            <w:r w:rsidRPr="004E0302">
                              <w:rPr>
                                <w:rFonts w:eastAsia="Segoe UI Semilight" w:cs="Arial"/>
                                <w:color w:val="FFFFFF"/>
                                <w:spacing w:val="52"/>
                                <w:w w:val="99"/>
                                <w:sz w:val="20"/>
                                <w:szCs w:val="20"/>
                              </w:rPr>
                              <w:t xml:space="preserve"> </w:t>
                            </w:r>
                            <w:r w:rsidRPr="004E0302">
                              <w:rPr>
                                <w:rFonts w:eastAsia="Segoe UI Semilight" w:cs="Arial"/>
                                <w:color w:val="FFFFFF"/>
                                <w:sz w:val="20"/>
                                <w:szCs w:val="20"/>
                              </w:rPr>
                              <w:t>to</w:t>
                            </w:r>
                            <w:r w:rsidRPr="004E0302">
                              <w:rPr>
                                <w:rFonts w:eastAsia="Segoe UI Semilight" w:cs="Arial"/>
                                <w:color w:val="FFFFFF"/>
                                <w:spacing w:val="31"/>
                                <w:sz w:val="20"/>
                                <w:szCs w:val="20"/>
                              </w:rPr>
                              <w:t xml:space="preserve"> </w:t>
                            </w:r>
                            <w:r w:rsidRPr="004E0302">
                              <w:rPr>
                                <w:rFonts w:eastAsia="Segoe UI Semilight" w:cs="Arial"/>
                                <w:color w:val="FFFFFF"/>
                                <w:spacing w:val="-1"/>
                                <w:sz w:val="20"/>
                                <w:szCs w:val="20"/>
                              </w:rPr>
                              <w:t>meet</w:t>
                            </w:r>
                            <w:r w:rsidRPr="004E0302">
                              <w:rPr>
                                <w:rFonts w:eastAsia="Segoe UI Semilight" w:cs="Arial"/>
                                <w:color w:val="FFFFFF"/>
                                <w:spacing w:val="32"/>
                                <w:sz w:val="20"/>
                                <w:szCs w:val="20"/>
                              </w:rPr>
                              <w:t xml:space="preserve"> </w:t>
                            </w:r>
                            <w:r w:rsidRPr="004E0302">
                              <w:rPr>
                                <w:rFonts w:eastAsia="Segoe UI Semilight" w:cs="Arial"/>
                                <w:color w:val="FFFFFF"/>
                                <w:spacing w:val="-1"/>
                                <w:sz w:val="20"/>
                                <w:szCs w:val="20"/>
                              </w:rPr>
                              <w:t>the</w:t>
                            </w:r>
                            <w:r w:rsidRPr="004E0302">
                              <w:rPr>
                                <w:rFonts w:eastAsia="Segoe UI Semilight" w:cs="Arial"/>
                                <w:color w:val="FFFFFF"/>
                                <w:spacing w:val="33"/>
                                <w:sz w:val="20"/>
                                <w:szCs w:val="20"/>
                              </w:rPr>
                              <w:t xml:space="preserve"> </w:t>
                            </w:r>
                            <w:r w:rsidRPr="004E0302">
                              <w:rPr>
                                <w:rFonts w:eastAsia="Segoe UI Semilight" w:cs="Arial"/>
                                <w:color w:val="FFFFFF"/>
                                <w:spacing w:val="-1"/>
                                <w:sz w:val="20"/>
                                <w:szCs w:val="20"/>
                              </w:rPr>
                              <w:t>duty</w:t>
                            </w:r>
                            <w:r w:rsidRPr="004E0302">
                              <w:rPr>
                                <w:rFonts w:eastAsia="Segoe UI Semilight" w:cs="Arial"/>
                                <w:color w:val="FFFFFF"/>
                                <w:spacing w:val="33"/>
                                <w:sz w:val="20"/>
                                <w:szCs w:val="20"/>
                              </w:rPr>
                              <w:t xml:space="preserve"> </w:t>
                            </w:r>
                            <w:r w:rsidRPr="004E0302">
                              <w:rPr>
                                <w:rFonts w:eastAsia="Segoe UI Semilight" w:cs="Arial"/>
                                <w:color w:val="FFFFFF"/>
                                <w:sz w:val="20"/>
                                <w:szCs w:val="20"/>
                              </w:rPr>
                              <w:t>to</w:t>
                            </w:r>
                            <w:r w:rsidRPr="004E0302">
                              <w:rPr>
                                <w:rFonts w:eastAsia="Segoe UI Semilight" w:cs="Arial"/>
                                <w:color w:val="FFFFFF"/>
                                <w:spacing w:val="33"/>
                                <w:sz w:val="20"/>
                                <w:szCs w:val="20"/>
                              </w:rPr>
                              <w:t xml:space="preserve"> </w:t>
                            </w:r>
                            <w:r w:rsidRPr="004E0302">
                              <w:rPr>
                                <w:rFonts w:eastAsia="Segoe UI Semilight" w:cs="Arial"/>
                                <w:color w:val="FFFFFF"/>
                                <w:spacing w:val="-1"/>
                                <w:sz w:val="20"/>
                                <w:szCs w:val="20"/>
                              </w:rPr>
                              <w:t>promote</w:t>
                            </w:r>
                            <w:r w:rsidRPr="004E0302">
                              <w:rPr>
                                <w:rFonts w:eastAsia="Segoe UI Semilight" w:cs="Arial"/>
                                <w:color w:val="FFFFFF"/>
                                <w:spacing w:val="31"/>
                                <w:sz w:val="20"/>
                                <w:szCs w:val="20"/>
                              </w:rPr>
                              <w:t xml:space="preserve"> </w:t>
                            </w:r>
                            <w:r w:rsidRPr="004E0302">
                              <w:rPr>
                                <w:rFonts w:eastAsia="Segoe UI Semilight" w:cs="Arial"/>
                                <w:color w:val="FFFFFF"/>
                                <w:spacing w:val="-1"/>
                                <w:sz w:val="20"/>
                                <w:szCs w:val="20"/>
                              </w:rPr>
                              <w:t>innovation</w:t>
                            </w:r>
                            <w:r w:rsidRPr="004E0302">
                              <w:rPr>
                                <w:rFonts w:eastAsia="Segoe UI Semilight" w:cs="Arial"/>
                                <w:color w:val="FFFFFF"/>
                                <w:spacing w:val="35"/>
                                <w:sz w:val="20"/>
                                <w:szCs w:val="20"/>
                              </w:rPr>
                              <w:t xml:space="preserve"> </w:t>
                            </w:r>
                            <w:r w:rsidRPr="004E0302">
                              <w:rPr>
                                <w:rFonts w:eastAsia="Segoe UI Semilight" w:cs="Arial"/>
                                <w:color w:val="FFFFFF"/>
                                <w:spacing w:val="-1"/>
                                <w:sz w:val="20"/>
                                <w:szCs w:val="20"/>
                              </w:rPr>
                              <w:t>in</w:t>
                            </w:r>
                            <w:r w:rsidRPr="004E0302">
                              <w:rPr>
                                <w:rFonts w:eastAsia="Segoe UI Semilight" w:cs="Arial"/>
                                <w:color w:val="FFFFFF"/>
                                <w:spacing w:val="32"/>
                                <w:sz w:val="20"/>
                                <w:szCs w:val="20"/>
                              </w:rPr>
                              <w:t xml:space="preserve"> </w:t>
                            </w:r>
                            <w:r w:rsidRPr="004E0302">
                              <w:rPr>
                                <w:rFonts w:eastAsia="Segoe UI Semilight" w:cs="Arial"/>
                                <w:color w:val="FFFFFF"/>
                                <w:sz w:val="20"/>
                                <w:szCs w:val="20"/>
                              </w:rPr>
                              <w:t>the</w:t>
                            </w:r>
                            <w:r w:rsidRPr="004E0302">
                              <w:rPr>
                                <w:rFonts w:eastAsia="Segoe UI Semilight" w:cs="Arial"/>
                                <w:color w:val="FFFFFF"/>
                                <w:spacing w:val="31"/>
                                <w:sz w:val="20"/>
                                <w:szCs w:val="20"/>
                              </w:rPr>
                              <w:t xml:space="preserve"> </w:t>
                            </w:r>
                            <w:r w:rsidRPr="004E0302">
                              <w:rPr>
                                <w:rFonts w:eastAsia="Segoe UI Semilight" w:cs="Arial"/>
                                <w:color w:val="FFFFFF"/>
                                <w:spacing w:val="-1"/>
                                <w:sz w:val="20"/>
                                <w:szCs w:val="20"/>
                              </w:rPr>
                              <w:t>health</w:t>
                            </w:r>
                            <w:r w:rsidRPr="004E0302">
                              <w:rPr>
                                <w:rFonts w:eastAsia="Segoe UI Semilight" w:cs="Arial"/>
                                <w:color w:val="FFFFFF"/>
                                <w:spacing w:val="35"/>
                                <w:sz w:val="20"/>
                                <w:szCs w:val="20"/>
                              </w:rPr>
                              <w:t xml:space="preserve"> </w:t>
                            </w:r>
                            <w:r w:rsidRPr="004E0302">
                              <w:rPr>
                                <w:rFonts w:eastAsia="Segoe UI Semilight" w:cs="Arial"/>
                                <w:color w:val="FFFFFF"/>
                                <w:spacing w:val="-1"/>
                                <w:sz w:val="20"/>
                                <w:szCs w:val="20"/>
                              </w:rPr>
                              <w:t>service.</w:t>
                            </w:r>
                            <w:r w:rsidRPr="004E0302">
                              <w:rPr>
                                <w:rFonts w:eastAsia="Segoe UI Semilight" w:cs="Arial"/>
                                <w:color w:val="FFFFFF"/>
                                <w:spacing w:val="64"/>
                                <w:sz w:val="20"/>
                                <w:szCs w:val="20"/>
                              </w:rPr>
                              <w:t xml:space="preserve"> </w:t>
                            </w:r>
                            <w:r w:rsidRPr="004E0302">
                              <w:rPr>
                                <w:rFonts w:eastAsia="Segoe UI Semilight" w:cs="Arial"/>
                                <w:color w:val="FFFFFF"/>
                                <w:spacing w:val="1"/>
                                <w:sz w:val="20"/>
                                <w:szCs w:val="20"/>
                              </w:rPr>
                              <w:t>If</w:t>
                            </w:r>
                            <w:r w:rsidRPr="004E0302">
                              <w:rPr>
                                <w:rFonts w:eastAsia="Segoe UI Semilight" w:cs="Arial"/>
                                <w:color w:val="FFFFFF"/>
                                <w:spacing w:val="32"/>
                                <w:sz w:val="20"/>
                                <w:szCs w:val="20"/>
                              </w:rPr>
                              <w:t xml:space="preserve"> </w:t>
                            </w:r>
                            <w:r w:rsidRPr="004E0302">
                              <w:rPr>
                                <w:rFonts w:eastAsia="Segoe UI Semilight" w:cs="Arial"/>
                                <w:color w:val="FFFFFF"/>
                                <w:sz w:val="20"/>
                                <w:szCs w:val="20"/>
                              </w:rPr>
                              <w:t>a</w:t>
                            </w:r>
                            <w:r w:rsidRPr="004E0302">
                              <w:rPr>
                                <w:rFonts w:eastAsia="Segoe UI Semilight" w:cs="Arial"/>
                                <w:color w:val="FFFFFF"/>
                                <w:spacing w:val="55"/>
                                <w:w w:val="99"/>
                                <w:sz w:val="20"/>
                                <w:szCs w:val="20"/>
                              </w:rPr>
                              <w:t xml:space="preserve"> </w:t>
                            </w:r>
                            <w:r w:rsidRPr="004E0302">
                              <w:rPr>
                                <w:rFonts w:eastAsia="Segoe UI Semilight" w:cs="Arial"/>
                                <w:color w:val="FFFFFF"/>
                                <w:spacing w:val="-1"/>
                                <w:sz w:val="20"/>
                                <w:szCs w:val="20"/>
                              </w:rPr>
                              <w:t>request</w:t>
                            </w:r>
                            <w:r w:rsidRPr="004E0302">
                              <w:rPr>
                                <w:rFonts w:eastAsia="Segoe UI Semilight" w:cs="Arial"/>
                                <w:color w:val="FFFFFF"/>
                                <w:spacing w:val="46"/>
                                <w:sz w:val="20"/>
                                <w:szCs w:val="20"/>
                              </w:rPr>
                              <w:t xml:space="preserve"> </w:t>
                            </w:r>
                            <w:r w:rsidRPr="004E0302">
                              <w:rPr>
                                <w:rFonts w:eastAsia="Segoe UI Semilight" w:cs="Arial"/>
                                <w:color w:val="FFFFFF"/>
                                <w:spacing w:val="-1"/>
                                <w:sz w:val="20"/>
                                <w:szCs w:val="20"/>
                              </w:rPr>
                              <w:t>was</w:t>
                            </w:r>
                            <w:r w:rsidRPr="004E0302">
                              <w:rPr>
                                <w:rFonts w:eastAsia="Segoe UI Semilight" w:cs="Arial"/>
                                <w:color w:val="FFFFFF"/>
                                <w:spacing w:val="47"/>
                                <w:sz w:val="20"/>
                                <w:szCs w:val="20"/>
                              </w:rPr>
                              <w:t xml:space="preserve"> </w:t>
                            </w:r>
                            <w:r w:rsidRPr="004E0302">
                              <w:rPr>
                                <w:rFonts w:eastAsia="Segoe UI Semilight" w:cs="Arial"/>
                                <w:color w:val="FFFFFF"/>
                                <w:sz w:val="20"/>
                                <w:szCs w:val="20"/>
                              </w:rPr>
                              <w:t>received</w:t>
                            </w:r>
                            <w:r w:rsidRPr="004E0302">
                              <w:rPr>
                                <w:rFonts w:eastAsia="Segoe UI Semilight" w:cs="Arial"/>
                                <w:color w:val="FFFFFF"/>
                                <w:spacing w:val="48"/>
                                <w:sz w:val="20"/>
                                <w:szCs w:val="20"/>
                              </w:rPr>
                              <w:t xml:space="preserve"> </w:t>
                            </w:r>
                            <w:r w:rsidRPr="004E0302">
                              <w:rPr>
                                <w:rFonts w:eastAsia="Segoe UI Semilight" w:cs="Arial"/>
                                <w:color w:val="FFFFFF"/>
                                <w:spacing w:val="-1"/>
                                <w:sz w:val="20"/>
                                <w:szCs w:val="20"/>
                              </w:rPr>
                              <w:t>by</w:t>
                            </w:r>
                            <w:r w:rsidRPr="004E0302">
                              <w:rPr>
                                <w:rFonts w:eastAsia="Segoe UI Semilight" w:cs="Arial"/>
                                <w:color w:val="FFFFFF"/>
                                <w:spacing w:val="47"/>
                                <w:sz w:val="20"/>
                                <w:szCs w:val="20"/>
                              </w:rPr>
                              <w:t xml:space="preserve"> </w:t>
                            </w:r>
                            <w:r w:rsidRPr="004E0302">
                              <w:rPr>
                                <w:rFonts w:eastAsia="Segoe UI Semilight" w:cs="Arial"/>
                                <w:color w:val="FFFFFF"/>
                                <w:sz w:val="20"/>
                                <w:szCs w:val="20"/>
                              </w:rPr>
                              <w:t>a</w:t>
                            </w:r>
                            <w:r w:rsidRPr="004E0302">
                              <w:rPr>
                                <w:rFonts w:eastAsia="Segoe UI Semilight" w:cs="Arial"/>
                                <w:color w:val="FFFFFF"/>
                                <w:spacing w:val="46"/>
                                <w:sz w:val="20"/>
                                <w:szCs w:val="20"/>
                              </w:rPr>
                              <w:t xml:space="preserve"> </w:t>
                            </w:r>
                            <w:r w:rsidRPr="004E0302">
                              <w:rPr>
                                <w:rFonts w:eastAsia="Segoe UI Semilight" w:cs="Arial"/>
                                <w:color w:val="FFFFFF"/>
                                <w:spacing w:val="-1"/>
                                <w:sz w:val="20"/>
                                <w:szCs w:val="20"/>
                              </w:rPr>
                              <w:t>commissioner</w:t>
                            </w:r>
                            <w:r w:rsidRPr="004E0302">
                              <w:rPr>
                                <w:rFonts w:eastAsia="Segoe UI Semilight" w:cs="Arial"/>
                                <w:color w:val="FFFFFF"/>
                                <w:spacing w:val="48"/>
                                <w:sz w:val="20"/>
                                <w:szCs w:val="20"/>
                              </w:rPr>
                              <w:t xml:space="preserve"> </w:t>
                            </w:r>
                            <w:r w:rsidRPr="004E0302">
                              <w:rPr>
                                <w:rFonts w:eastAsia="Segoe UI Semilight" w:cs="Arial"/>
                                <w:color w:val="FFFFFF"/>
                                <w:sz w:val="20"/>
                                <w:szCs w:val="20"/>
                              </w:rPr>
                              <w:t>for</w:t>
                            </w:r>
                            <w:r w:rsidRPr="004E0302">
                              <w:rPr>
                                <w:rFonts w:eastAsia="Segoe UI Semilight" w:cs="Arial"/>
                                <w:color w:val="FFFFFF"/>
                                <w:spacing w:val="46"/>
                                <w:sz w:val="20"/>
                                <w:szCs w:val="20"/>
                              </w:rPr>
                              <w:t xml:space="preserve"> </w:t>
                            </w:r>
                            <w:r w:rsidRPr="004E0302">
                              <w:rPr>
                                <w:rFonts w:eastAsia="Segoe UI Semilight" w:cs="Arial"/>
                                <w:color w:val="FFFFFF"/>
                                <w:spacing w:val="-1"/>
                                <w:sz w:val="20"/>
                                <w:szCs w:val="20"/>
                              </w:rPr>
                              <w:t>e.g.</w:t>
                            </w:r>
                            <w:r w:rsidRPr="004E0302">
                              <w:rPr>
                                <w:rFonts w:eastAsia="Segoe UI Semilight" w:cs="Arial"/>
                                <w:color w:val="FFFFFF"/>
                                <w:spacing w:val="49"/>
                                <w:sz w:val="20"/>
                                <w:szCs w:val="20"/>
                              </w:rPr>
                              <w:t xml:space="preserve"> </w:t>
                            </w:r>
                            <w:r w:rsidRPr="004E0302">
                              <w:rPr>
                                <w:rFonts w:eastAsia="Segoe UI Semilight" w:cs="Arial"/>
                                <w:color w:val="FFFFFF"/>
                                <w:spacing w:val="-1"/>
                                <w:sz w:val="20"/>
                                <w:szCs w:val="20"/>
                              </w:rPr>
                              <w:t>extra</w:t>
                            </w:r>
                            <w:r w:rsidRPr="004E0302">
                              <w:rPr>
                                <w:rFonts w:eastAsia="Segoe UI Semilight" w:cs="Arial"/>
                                <w:color w:val="FFFFFF"/>
                                <w:spacing w:val="46"/>
                                <w:sz w:val="20"/>
                                <w:szCs w:val="20"/>
                              </w:rPr>
                              <w:t xml:space="preserve"> </w:t>
                            </w:r>
                            <w:r w:rsidRPr="004E0302">
                              <w:rPr>
                                <w:rFonts w:eastAsia="Segoe UI Semilight" w:cs="Arial"/>
                                <w:color w:val="FFFFFF"/>
                                <w:spacing w:val="-1"/>
                                <w:sz w:val="20"/>
                                <w:szCs w:val="20"/>
                              </w:rPr>
                              <w:t>funding</w:t>
                            </w:r>
                            <w:r w:rsidRPr="004E0302">
                              <w:rPr>
                                <w:rFonts w:eastAsia="Segoe UI Semilight" w:cs="Arial"/>
                                <w:color w:val="FFFFFF"/>
                                <w:spacing w:val="47"/>
                                <w:sz w:val="20"/>
                                <w:szCs w:val="20"/>
                              </w:rPr>
                              <w:t xml:space="preserve"> </w:t>
                            </w:r>
                            <w:r w:rsidRPr="004E0302">
                              <w:rPr>
                                <w:rFonts w:eastAsia="Segoe UI Semilight" w:cs="Arial"/>
                                <w:color w:val="FFFFFF"/>
                                <w:sz w:val="20"/>
                                <w:szCs w:val="20"/>
                              </w:rPr>
                              <w:t>to</w:t>
                            </w:r>
                            <w:r w:rsidRPr="004E0302">
                              <w:rPr>
                                <w:rFonts w:eastAsia="Segoe UI Semilight" w:cs="Arial"/>
                                <w:color w:val="FFFFFF"/>
                                <w:spacing w:val="53"/>
                                <w:sz w:val="20"/>
                                <w:szCs w:val="20"/>
                              </w:rPr>
                              <w:t xml:space="preserve"> </w:t>
                            </w:r>
                            <w:r w:rsidRPr="004E0302">
                              <w:rPr>
                                <w:rFonts w:eastAsia="Segoe UI Semilight" w:cs="Arial"/>
                                <w:color w:val="FFFFFF"/>
                                <w:spacing w:val="-1"/>
                                <w:sz w:val="20"/>
                                <w:szCs w:val="20"/>
                              </w:rPr>
                              <w:t>support</w:t>
                            </w:r>
                            <w:r w:rsidRPr="004E0302">
                              <w:rPr>
                                <w:rFonts w:eastAsia="Segoe UI Semilight" w:cs="Arial"/>
                                <w:color w:val="FFFFFF"/>
                                <w:spacing w:val="5"/>
                                <w:sz w:val="20"/>
                                <w:szCs w:val="20"/>
                              </w:rPr>
                              <w:t xml:space="preserve"> </w:t>
                            </w:r>
                            <w:r w:rsidRPr="004E0302">
                              <w:rPr>
                                <w:rFonts w:eastAsia="Segoe UI Semilight" w:cs="Arial"/>
                                <w:color w:val="FFFFFF"/>
                                <w:spacing w:val="-1"/>
                                <w:sz w:val="20"/>
                                <w:szCs w:val="20"/>
                              </w:rPr>
                              <w:t>the</w:t>
                            </w:r>
                            <w:r w:rsidRPr="004E0302">
                              <w:rPr>
                                <w:rFonts w:eastAsia="Segoe UI Semilight" w:cs="Arial"/>
                                <w:color w:val="FFFFFF"/>
                                <w:spacing w:val="7"/>
                                <w:sz w:val="20"/>
                                <w:szCs w:val="20"/>
                              </w:rPr>
                              <w:t xml:space="preserve"> </w:t>
                            </w:r>
                            <w:r w:rsidRPr="004E0302">
                              <w:rPr>
                                <w:rFonts w:eastAsia="Segoe UI Semilight" w:cs="Arial"/>
                                <w:color w:val="FFFFFF"/>
                                <w:spacing w:val="-1"/>
                                <w:sz w:val="20"/>
                                <w:szCs w:val="20"/>
                              </w:rPr>
                              <w:t>implementation</w:t>
                            </w:r>
                            <w:r w:rsidRPr="004E0302">
                              <w:rPr>
                                <w:rFonts w:eastAsia="Segoe UI Semilight" w:cs="Arial"/>
                                <w:color w:val="FFFFFF"/>
                                <w:spacing w:val="5"/>
                                <w:sz w:val="20"/>
                                <w:szCs w:val="20"/>
                              </w:rPr>
                              <w:t xml:space="preserve"> </w:t>
                            </w:r>
                            <w:r w:rsidRPr="004E0302">
                              <w:rPr>
                                <w:rFonts w:eastAsia="Segoe UI Semilight" w:cs="Arial"/>
                                <w:color w:val="FFFFFF"/>
                                <w:sz w:val="20"/>
                                <w:szCs w:val="20"/>
                              </w:rPr>
                              <w:t>of</w:t>
                            </w:r>
                            <w:r w:rsidRPr="004E0302">
                              <w:rPr>
                                <w:rFonts w:eastAsia="Segoe UI Semilight" w:cs="Arial"/>
                                <w:color w:val="FFFFFF"/>
                                <w:spacing w:val="4"/>
                                <w:sz w:val="20"/>
                                <w:szCs w:val="20"/>
                              </w:rPr>
                              <w:t xml:space="preserve"> </w:t>
                            </w:r>
                            <w:r w:rsidRPr="004E0302">
                              <w:rPr>
                                <w:rFonts w:eastAsia="Segoe UI Semilight" w:cs="Arial"/>
                                <w:color w:val="FFFFFF"/>
                                <w:sz w:val="20"/>
                                <w:szCs w:val="20"/>
                              </w:rPr>
                              <w:t>a</w:t>
                            </w:r>
                            <w:r w:rsidRPr="004E0302">
                              <w:rPr>
                                <w:rFonts w:eastAsia="Segoe UI Semilight" w:cs="Arial"/>
                                <w:color w:val="FFFFFF"/>
                                <w:spacing w:val="8"/>
                                <w:sz w:val="20"/>
                                <w:szCs w:val="20"/>
                              </w:rPr>
                              <w:t xml:space="preserve"> </w:t>
                            </w:r>
                            <w:r w:rsidRPr="004E0302">
                              <w:rPr>
                                <w:rFonts w:eastAsia="Segoe UI Semilight" w:cs="Arial"/>
                                <w:color w:val="FFFFFF"/>
                                <w:spacing w:val="-1"/>
                                <w:sz w:val="20"/>
                                <w:szCs w:val="20"/>
                              </w:rPr>
                              <w:t>local</w:t>
                            </w:r>
                            <w:r w:rsidRPr="004E0302">
                              <w:rPr>
                                <w:rFonts w:eastAsia="Segoe UI Semilight" w:cs="Arial"/>
                                <w:color w:val="FFFFFF"/>
                                <w:spacing w:val="7"/>
                                <w:sz w:val="20"/>
                                <w:szCs w:val="20"/>
                              </w:rPr>
                              <w:t xml:space="preserve"> </w:t>
                            </w:r>
                            <w:r w:rsidRPr="004E0302">
                              <w:rPr>
                                <w:rFonts w:eastAsia="Segoe UI Semilight" w:cs="Arial"/>
                                <w:color w:val="FFFFFF"/>
                                <w:spacing w:val="-1"/>
                                <w:sz w:val="20"/>
                                <w:szCs w:val="20"/>
                              </w:rPr>
                              <w:t>telehealth</w:t>
                            </w:r>
                            <w:r w:rsidRPr="004E0302">
                              <w:rPr>
                                <w:rFonts w:eastAsia="Segoe UI Semilight" w:cs="Arial"/>
                                <w:color w:val="FFFFFF"/>
                                <w:spacing w:val="5"/>
                                <w:sz w:val="20"/>
                                <w:szCs w:val="20"/>
                              </w:rPr>
                              <w:t xml:space="preserve"> </w:t>
                            </w:r>
                            <w:r w:rsidRPr="004E0302">
                              <w:rPr>
                                <w:rFonts w:eastAsia="Segoe UI Semilight" w:cs="Arial"/>
                                <w:color w:val="FFFFFF"/>
                                <w:spacing w:val="-1"/>
                                <w:sz w:val="20"/>
                                <w:szCs w:val="20"/>
                              </w:rPr>
                              <w:t>initiative</w:t>
                            </w:r>
                            <w:r w:rsidRPr="004E0302">
                              <w:rPr>
                                <w:rFonts w:eastAsia="Segoe UI Semilight" w:cs="Arial"/>
                                <w:color w:val="FFFFFF"/>
                                <w:spacing w:val="7"/>
                                <w:sz w:val="20"/>
                                <w:szCs w:val="20"/>
                              </w:rPr>
                              <w:t xml:space="preserve"> </w:t>
                            </w:r>
                            <w:r w:rsidRPr="004E0302">
                              <w:rPr>
                                <w:rFonts w:eastAsia="Segoe UI Semilight" w:cs="Arial"/>
                                <w:color w:val="FFFFFF"/>
                                <w:spacing w:val="-1"/>
                                <w:sz w:val="20"/>
                                <w:szCs w:val="20"/>
                              </w:rPr>
                              <w:t>they</w:t>
                            </w:r>
                            <w:r w:rsidRPr="004E0302">
                              <w:rPr>
                                <w:rFonts w:eastAsia="Segoe UI Semilight" w:cs="Arial"/>
                                <w:color w:val="FFFFFF"/>
                                <w:spacing w:val="6"/>
                                <w:sz w:val="20"/>
                                <w:szCs w:val="20"/>
                              </w:rPr>
                              <w:t xml:space="preserve"> </w:t>
                            </w:r>
                            <w:r w:rsidRPr="004E0302">
                              <w:rPr>
                                <w:rFonts w:eastAsia="Segoe UI Semilight" w:cs="Arial"/>
                                <w:color w:val="FFFFFF"/>
                                <w:spacing w:val="-1"/>
                                <w:sz w:val="20"/>
                                <w:szCs w:val="20"/>
                              </w:rPr>
                              <w:t>would</w:t>
                            </w:r>
                            <w:r w:rsidRPr="004E0302">
                              <w:rPr>
                                <w:rFonts w:eastAsia="Segoe UI Semilight" w:cs="Arial"/>
                                <w:color w:val="FFFFFF"/>
                                <w:spacing w:val="68"/>
                                <w:w w:val="99"/>
                                <w:sz w:val="20"/>
                                <w:szCs w:val="20"/>
                              </w:rPr>
                              <w:t xml:space="preserve"> </w:t>
                            </w:r>
                            <w:r w:rsidRPr="004E0302">
                              <w:rPr>
                                <w:rFonts w:eastAsia="Segoe UI Semilight" w:cs="Arial"/>
                                <w:color w:val="FFFFFF"/>
                                <w:spacing w:val="-1"/>
                                <w:sz w:val="20"/>
                                <w:szCs w:val="20"/>
                              </w:rPr>
                              <w:t>not</w:t>
                            </w:r>
                            <w:r w:rsidRPr="004E0302">
                              <w:rPr>
                                <w:rFonts w:eastAsia="Segoe UI Semilight" w:cs="Arial"/>
                                <w:color w:val="FFFFFF"/>
                                <w:spacing w:val="22"/>
                                <w:sz w:val="20"/>
                                <w:szCs w:val="20"/>
                              </w:rPr>
                              <w:t xml:space="preserve"> </w:t>
                            </w:r>
                            <w:r w:rsidRPr="004E0302">
                              <w:rPr>
                                <w:rFonts w:eastAsia="Segoe UI Semilight" w:cs="Arial"/>
                                <w:color w:val="FFFFFF"/>
                                <w:spacing w:val="-1"/>
                                <w:sz w:val="20"/>
                                <w:szCs w:val="20"/>
                              </w:rPr>
                              <w:t>be</w:t>
                            </w:r>
                            <w:r w:rsidRPr="004E0302">
                              <w:rPr>
                                <w:rFonts w:eastAsia="Segoe UI Semilight" w:cs="Arial"/>
                                <w:color w:val="FFFFFF"/>
                                <w:spacing w:val="20"/>
                                <w:sz w:val="20"/>
                                <w:szCs w:val="20"/>
                              </w:rPr>
                              <w:t xml:space="preserve"> </w:t>
                            </w:r>
                            <w:r w:rsidRPr="004E0302">
                              <w:rPr>
                                <w:rFonts w:eastAsia="Segoe UI Semilight" w:cs="Arial"/>
                                <w:color w:val="FFFFFF"/>
                                <w:sz w:val="20"/>
                                <w:szCs w:val="20"/>
                              </w:rPr>
                              <w:t>obliged</w:t>
                            </w:r>
                            <w:r w:rsidRPr="004E0302">
                              <w:rPr>
                                <w:rFonts w:eastAsia="Segoe UI Semilight" w:cs="Arial"/>
                                <w:color w:val="FFFFFF"/>
                                <w:spacing w:val="20"/>
                                <w:sz w:val="20"/>
                                <w:szCs w:val="20"/>
                              </w:rPr>
                              <w:t xml:space="preserve"> </w:t>
                            </w:r>
                            <w:r w:rsidRPr="004E0302">
                              <w:rPr>
                                <w:rFonts w:eastAsia="Segoe UI Semilight" w:cs="Arial"/>
                                <w:color w:val="FFFFFF"/>
                                <w:sz w:val="20"/>
                                <w:szCs w:val="20"/>
                              </w:rPr>
                              <w:t>to</w:t>
                            </w:r>
                            <w:r w:rsidRPr="004E0302">
                              <w:rPr>
                                <w:rFonts w:eastAsia="Segoe UI Semilight" w:cs="Arial"/>
                                <w:color w:val="FFFFFF"/>
                                <w:spacing w:val="20"/>
                                <w:sz w:val="20"/>
                                <w:szCs w:val="20"/>
                              </w:rPr>
                              <w:t xml:space="preserve"> </w:t>
                            </w:r>
                            <w:r w:rsidRPr="004E0302">
                              <w:rPr>
                                <w:rFonts w:eastAsia="Segoe UI Semilight" w:cs="Arial"/>
                                <w:color w:val="FFFFFF"/>
                                <w:spacing w:val="-1"/>
                                <w:sz w:val="20"/>
                                <w:szCs w:val="20"/>
                              </w:rPr>
                              <w:t>support</w:t>
                            </w:r>
                            <w:r w:rsidRPr="004E0302">
                              <w:rPr>
                                <w:rFonts w:eastAsia="Segoe UI Semilight" w:cs="Arial"/>
                                <w:color w:val="FFFFFF"/>
                                <w:spacing w:val="22"/>
                                <w:sz w:val="20"/>
                                <w:szCs w:val="20"/>
                              </w:rPr>
                              <w:t xml:space="preserve"> </w:t>
                            </w:r>
                            <w:r w:rsidRPr="004E0302">
                              <w:rPr>
                                <w:rFonts w:eastAsia="Segoe UI Semilight" w:cs="Arial"/>
                                <w:color w:val="FFFFFF"/>
                                <w:spacing w:val="-1"/>
                                <w:sz w:val="20"/>
                                <w:szCs w:val="20"/>
                              </w:rPr>
                              <w:t>it</w:t>
                            </w:r>
                            <w:r w:rsidRPr="004E0302">
                              <w:rPr>
                                <w:rFonts w:eastAsia="Segoe UI Semilight" w:cs="Arial"/>
                                <w:color w:val="FFFFFF"/>
                                <w:spacing w:val="22"/>
                                <w:sz w:val="20"/>
                                <w:szCs w:val="20"/>
                              </w:rPr>
                              <w:t xml:space="preserve"> </w:t>
                            </w:r>
                            <w:r w:rsidRPr="004E0302">
                              <w:rPr>
                                <w:rFonts w:eastAsia="Segoe UI Semilight" w:cs="Arial"/>
                                <w:color w:val="FFFFFF"/>
                                <w:spacing w:val="-1"/>
                                <w:sz w:val="20"/>
                                <w:szCs w:val="20"/>
                              </w:rPr>
                              <w:t>because</w:t>
                            </w:r>
                            <w:r w:rsidRPr="004E0302">
                              <w:rPr>
                                <w:rFonts w:eastAsia="Segoe UI Semilight" w:cs="Arial"/>
                                <w:color w:val="FFFFFF"/>
                                <w:spacing w:val="24"/>
                                <w:sz w:val="20"/>
                                <w:szCs w:val="20"/>
                              </w:rPr>
                              <w:t xml:space="preserve"> </w:t>
                            </w:r>
                            <w:r w:rsidRPr="004E0302">
                              <w:rPr>
                                <w:rFonts w:eastAsia="Segoe UI Semilight" w:cs="Arial"/>
                                <w:color w:val="FFFFFF"/>
                                <w:spacing w:val="-1"/>
                                <w:sz w:val="20"/>
                                <w:szCs w:val="20"/>
                              </w:rPr>
                              <w:t>of</w:t>
                            </w:r>
                            <w:r w:rsidRPr="004E0302">
                              <w:rPr>
                                <w:rFonts w:eastAsia="Segoe UI Semilight" w:cs="Arial"/>
                                <w:color w:val="FFFFFF"/>
                                <w:spacing w:val="20"/>
                                <w:sz w:val="20"/>
                                <w:szCs w:val="20"/>
                              </w:rPr>
                              <w:t xml:space="preserve"> </w:t>
                            </w:r>
                            <w:r w:rsidRPr="004E0302">
                              <w:rPr>
                                <w:rFonts w:eastAsia="Segoe UI Semilight" w:cs="Arial"/>
                                <w:color w:val="FFFFFF"/>
                                <w:sz w:val="20"/>
                                <w:szCs w:val="20"/>
                              </w:rPr>
                              <w:t>the</w:t>
                            </w:r>
                            <w:r w:rsidRPr="004E0302">
                              <w:rPr>
                                <w:rFonts w:eastAsia="Segoe UI Semilight" w:cs="Arial"/>
                                <w:color w:val="FFFFFF"/>
                                <w:spacing w:val="20"/>
                                <w:sz w:val="20"/>
                                <w:szCs w:val="20"/>
                              </w:rPr>
                              <w:t xml:space="preserve"> </w:t>
                            </w:r>
                            <w:r w:rsidRPr="004E0302">
                              <w:rPr>
                                <w:rFonts w:eastAsia="Segoe UI Semilight" w:cs="Arial"/>
                                <w:color w:val="FFFFFF"/>
                                <w:spacing w:val="-1"/>
                                <w:sz w:val="20"/>
                                <w:szCs w:val="20"/>
                              </w:rPr>
                              <w:t>duty</w:t>
                            </w:r>
                            <w:r w:rsidRPr="004E0302">
                              <w:rPr>
                                <w:rFonts w:eastAsia="Segoe UI Semilight" w:cs="Arial"/>
                                <w:color w:val="FFFFFF"/>
                                <w:spacing w:val="21"/>
                                <w:sz w:val="20"/>
                                <w:szCs w:val="20"/>
                              </w:rPr>
                              <w:t xml:space="preserve"> </w:t>
                            </w:r>
                            <w:r w:rsidRPr="004E0302">
                              <w:rPr>
                                <w:rFonts w:eastAsia="Segoe UI Semilight" w:cs="Arial"/>
                                <w:color w:val="FFFFFF"/>
                                <w:sz w:val="20"/>
                                <w:szCs w:val="20"/>
                              </w:rPr>
                              <w:t>to</w:t>
                            </w:r>
                            <w:r w:rsidRPr="004E0302">
                              <w:rPr>
                                <w:rFonts w:eastAsia="Segoe UI Semilight" w:cs="Arial"/>
                                <w:color w:val="FFFFFF"/>
                                <w:spacing w:val="20"/>
                                <w:sz w:val="20"/>
                                <w:szCs w:val="20"/>
                              </w:rPr>
                              <w:t xml:space="preserve"> </w:t>
                            </w:r>
                            <w:r w:rsidRPr="004E0302">
                              <w:rPr>
                                <w:rFonts w:eastAsia="Segoe UI Semilight" w:cs="Arial"/>
                                <w:color w:val="FFFFFF"/>
                                <w:spacing w:val="-1"/>
                                <w:sz w:val="20"/>
                                <w:szCs w:val="20"/>
                              </w:rPr>
                              <w:t>promote</w:t>
                            </w:r>
                            <w:r w:rsidRPr="004E0302">
                              <w:rPr>
                                <w:rFonts w:eastAsia="Segoe UI Semilight" w:cs="Arial"/>
                                <w:color w:val="FFFFFF"/>
                                <w:spacing w:val="41"/>
                                <w:w w:val="99"/>
                                <w:sz w:val="20"/>
                                <w:szCs w:val="20"/>
                              </w:rPr>
                              <w:t xml:space="preserve"> </w:t>
                            </w:r>
                            <w:r w:rsidRPr="004E0302">
                              <w:rPr>
                                <w:rFonts w:eastAsia="Segoe UI Semilight" w:cs="Arial"/>
                                <w:color w:val="FFFFFF"/>
                                <w:spacing w:val="-1"/>
                                <w:sz w:val="20"/>
                                <w:szCs w:val="20"/>
                              </w:rPr>
                              <w:t>innovation.</w:t>
                            </w:r>
                            <w:r w:rsidRPr="004E0302">
                              <w:rPr>
                                <w:rFonts w:eastAsia="Segoe UI Semilight" w:cs="Arial"/>
                                <w:color w:val="FFFFFF"/>
                                <w:spacing w:val="10"/>
                                <w:sz w:val="20"/>
                                <w:szCs w:val="20"/>
                              </w:rPr>
                              <w:t xml:space="preserve"> </w:t>
                            </w:r>
                            <w:r w:rsidRPr="004E0302">
                              <w:rPr>
                                <w:rFonts w:eastAsia="Segoe UI Semilight" w:cs="Arial"/>
                                <w:color w:val="FFFFFF"/>
                                <w:spacing w:val="-1"/>
                                <w:sz w:val="20"/>
                                <w:szCs w:val="20"/>
                              </w:rPr>
                              <w:t>That</w:t>
                            </w:r>
                            <w:r w:rsidRPr="004E0302">
                              <w:rPr>
                                <w:rFonts w:eastAsia="Segoe UI Semilight" w:cs="Arial"/>
                                <w:color w:val="FFFFFF"/>
                                <w:spacing w:val="37"/>
                                <w:sz w:val="20"/>
                                <w:szCs w:val="20"/>
                              </w:rPr>
                              <w:t xml:space="preserve"> </w:t>
                            </w:r>
                            <w:r w:rsidRPr="004E0302">
                              <w:rPr>
                                <w:rFonts w:eastAsia="Segoe UI Semilight" w:cs="Arial"/>
                                <w:color w:val="FFFFFF"/>
                                <w:spacing w:val="-1"/>
                                <w:sz w:val="20"/>
                                <w:szCs w:val="20"/>
                              </w:rPr>
                              <w:t>duty</w:t>
                            </w:r>
                            <w:r w:rsidRPr="004E0302">
                              <w:rPr>
                                <w:rFonts w:eastAsia="Segoe UI Semilight" w:cs="Arial"/>
                                <w:color w:val="FFFFFF"/>
                                <w:spacing w:val="39"/>
                                <w:sz w:val="20"/>
                                <w:szCs w:val="20"/>
                              </w:rPr>
                              <w:t xml:space="preserve"> </w:t>
                            </w:r>
                            <w:r w:rsidRPr="004E0302">
                              <w:rPr>
                                <w:rFonts w:eastAsia="Segoe UI Semilight" w:cs="Arial"/>
                                <w:color w:val="FFFFFF"/>
                                <w:spacing w:val="-1"/>
                                <w:sz w:val="20"/>
                                <w:szCs w:val="20"/>
                              </w:rPr>
                              <w:t>has</w:t>
                            </w:r>
                            <w:r w:rsidRPr="004E0302">
                              <w:rPr>
                                <w:rFonts w:eastAsia="Segoe UI Semilight" w:cs="Arial"/>
                                <w:color w:val="FFFFFF"/>
                                <w:spacing w:val="37"/>
                                <w:sz w:val="20"/>
                                <w:szCs w:val="20"/>
                              </w:rPr>
                              <w:t xml:space="preserve"> </w:t>
                            </w:r>
                            <w:r w:rsidRPr="004E0302">
                              <w:rPr>
                                <w:rFonts w:eastAsia="Segoe UI Semilight" w:cs="Arial"/>
                                <w:color w:val="FFFFFF"/>
                                <w:spacing w:val="-1"/>
                                <w:sz w:val="20"/>
                                <w:szCs w:val="20"/>
                              </w:rPr>
                              <w:t>already</w:t>
                            </w:r>
                            <w:r w:rsidRPr="004E0302">
                              <w:rPr>
                                <w:rFonts w:eastAsia="Segoe UI Semilight" w:cs="Arial"/>
                                <w:color w:val="FFFFFF"/>
                                <w:spacing w:val="37"/>
                                <w:sz w:val="20"/>
                                <w:szCs w:val="20"/>
                              </w:rPr>
                              <w:t xml:space="preserve"> </w:t>
                            </w:r>
                            <w:r w:rsidRPr="004E0302">
                              <w:rPr>
                                <w:rFonts w:eastAsia="Segoe UI Semilight" w:cs="Arial"/>
                                <w:color w:val="FFFFFF"/>
                                <w:spacing w:val="-1"/>
                                <w:sz w:val="20"/>
                                <w:szCs w:val="20"/>
                              </w:rPr>
                              <w:t>been</w:t>
                            </w:r>
                            <w:r w:rsidRPr="004E0302">
                              <w:rPr>
                                <w:rFonts w:eastAsia="Segoe UI Semilight" w:cs="Arial"/>
                                <w:color w:val="FFFFFF"/>
                                <w:spacing w:val="39"/>
                                <w:sz w:val="20"/>
                                <w:szCs w:val="20"/>
                              </w:rPr>
                              <w:t xml:space="preserve"> </w:t>
                            </w:r>
                            <w:r w:rsidRPr="004E0302">
                              <w:rPr>
                                <w:rFonts w:eastAsia="Segoe UI Semilight" w:cs="Arial"/>
                                <w:color w:val="FFFFFF"/>
                                <w:spacing w:val="-1"/>
                                <w:sz w:val="20"/>
                                <w:szCs w:val="20"/>
                              </w:rPr>
                              <w:t>met</w:t>
                            </w:r>
                            <w:r w:rsidRPr="004E0302">
                              <w:rPr>
                                <w:rFonts w:eastAsia="Segoe UI Semilight" w:cs="Arial"/>
                                <w:color w:val="FFFFFF"/>
                                <w:spacing w:val="40"/>
                                <w:sz w:val="20"/>
                                <w:szCs w:val="20"/>
                              </w:rPr>
                              <w:t xml:space="preserve"> </w:t>
                            </w:r>
                            <w:r w:rsidRPr="004E0302">
                              <w:rPr>
                                <w:rFonts w:eastAsia="Segoe UI Semilight" w:cs="Arial"/>
                                <w:color w:val="FFFFFF"/>
                                <w:spacing w:val="-1"/>
                                <w:sz w:val="20"/>
                                <w:szCs w:val="20"/>
                              </w:rPr>
                              <w:t>by</w:t>
                            </w:r>
                            <w:r w:rsidRPr="004E0302">
                              <w:rPr>
                                <w:rFonts w:eastAsia="Segoe UI Semilight" w:cs="Arial"/>
                                <w:color w:val="FFFFFF"/>
                                <w:spacing w:val="36"/>
                                <w:sz w:val="20"/>
                                <w:szCs w:val="20"/>
                              </w:rPr>
                              <w:t xml:space="preserve"> </w:t>
                            </w:r>
                            <w:r w:rsidRPr="004E0302">
                              <w:rPr>
                                <w:rFonts w:eastAsia="Segoe UI Semilight" w:cs="Arial"/>
                                <w:color w:val="FFFFFF"/>
                                <w:sz w:val="20"/>
                                <w:szCs w:val="20"/>
                              </w:rPr>
                              <w:t>the commissioner</w:t>
                            </w:r>
                            <w:r w:rsidRPr="004E0302">
                              <w:rPr>
                                <w:rFonts w:eastAsia="Segoe UI Semilight" w:cs="Arial"/>
                                <w:color w:val="FFFFFF"/>
                                <w:spacing w:val="36"/>
                                <w:sz w:val="20"/>
                                <w:szCs w:val="20"/>
                              </w:rPr>
                              <w:t xml:space="preserve"> </w:t>
                            </w:r>
                            <w:r w:rsidRPr="004E0302">
                              <w:rPr>
                                <w:rFonts w:eastAsia="Segoe UI Semilight" w:cs="Arial"/>
                                <w:color w:val="FFFFFF"/>
                                <w:spacing w:val="-1"/>
                                <w:sz w:val="20"/>
                                <w:szCs w:val="20"/>
                              </w:rPr>
                              <w:t>in</w:t>
                            </w:r>
                            <w:r w:rsidRPr="004E0302">
                              <w:rPr>
                                <w:rFonts w:eastAsia="Segoe UI Semilight" w:cs="Arial"/>
                                <w:color w:val="FFFFFF"/>
                                <w:spacing w:val="39"/>
                                <w:sz w:val="20"/>
                                <w:szCs w:val="20"/>
                              </w:rPr>
                              <w:t xml:space="preserve"> </w:t>
                            </w:r>
                            <w:r w:rsidRPr="004E0302">
                              <w:rPr>
                                <w:rFonts w:eastAsia="Segoe UI Semilight" w:cs="Arial"/>
                                <w:color w:val="FFFFFF"/>
                                <w:sz w:val="20"/>
                                <w:szCs w:val="20"/>
                              </w:rPr>
                              <w:t>a</w:t>
                            </w:r>
                            <w:r w:rsidRPr="004E0302">
                              <w:rPr>
                                <w:rFonts w:eastAsia="Segoe UI Semilight" w:cs="Arial"/>
                                <w:color w:val="FFFFFF"/>
                                <w:spacing w:val="43"/>
                                <w:w w:val="99"/>
                                <w:sz w:val="20"/>
                                <w:szCs w:val="20"/>
                              </w:rPr>
                              <w:t xml:space="preserve"> </w:t>
                            </w:r>
                            <w:r w:rsidRPr="004E0302">
                              <w:rPr>
                                <w:rFonts w:eastAsia="Segoe UI Semilight" w:cs="Arial"/>
                                <w:color w:val="FFFFFF"/>
                                <w:spacing w:val="-1"/>
                                <w:sz w:val="20"/>
                                <w:szCs w:val="20"/>
                              </w:rPr>
                              <w:t>different</w:t>
                            </w:r>
                            <w:r w:rsidRPr="004E0302">
                              <w:rPr>
                                <w:rFonts w:eastAsia="Segoe UI Semilight" w:cs="Arial"/>
                                <w:color w:val="FFFFFF"/>
                                <w:spacing w:val="-8"/>
                                <w:sz w:val="20"/>
                                <w:szCs w:val="20"/>
                              </w:rPr>
                              <w:t xml:space="preserve"> </w:t>
                            </w:r>
                            <w:r w:rsidRPr="004E0302">
                              <w:rPr>
                                <w:rFonts w:eastAsia="Segoe UI Semilight" w:cs="Arial"/>
                                <w:color w:val="FFFFFF"/>
                                <w:spacing w:val="-1"/>
                                <w:sz w:val="20"/>
                                <w:szCs w:val="20"/>
                              </w:rPr>
                              <w:t>way.</w:t>
                            </w:r>
                          </w:p>
                        </w:txbxContent>
                      </wps:txbx>
                      <wps:bodyPr rot="0" vert="horz" wrap="square" lIns="0" tIns="0" rIns="0" bIns="0" anchor="t" anchorCtr="0" upright="1">
                        <a:noAutofit/>
                      </wps:bodyPr>
                    </wps:wsp>
                  </a:graphicData>
                </a:graphic>
              </wp:inline>
            </w:drawing>
          </mc:Choice>
          <mc:Fallback>
            <w:pict>
              <v:shape id="Text Box 1889" o:spid="_x0000_s1031" type="#_x0000_t202" style="width:382.7pt;height:15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" fillcolor="#1c6cb4" stroked="f">
                <v:textbox inset="0,0,0,0">
                  <w:txbxContent>
                    <w:p w14:paraId="306AF8BE" w14:textId="77777777" w:rsidR="00622FF2" w:rsidRPr="004E0302" w:rsidRDefault="00622FF2" w:rsidP="00DB7F92">
                      <w:pPr>
                        <w:spacing w:before="213"/>
                        <w:ind w:left="225"/>
                        <w:jc w:val="both"/>
                        <w:rPr>
                          <w:rFonts w:eastAsia="Tw Cen MT Condensed Extra Bold" w:cs="Arial"/>
                          <w:sz w:val="20"/>
                          <w:szCs w:val="20"/>
                        </w:rPr>
                      </w:pPr>
                      <w:r w:rsidRPr="004E0302">
                        <w:rPr>
                          <w:rFonts w:cs="Arial"/>
                          <w:b/>
                          <w:color w:val="FFFFFF"/>
                          <w:sz w:val="20"/>
                          <w:szCs w:val="20"/>
                        </w:rPr>
                        <w:t>Example:</w:t>
                      </w:r>
                    </w:p>
                    <w:p w14:paraId="12D56552" w14:textId="77777777" w:rsidR="00622FF2" w:rsidRPr="004E0302" w:rsidRDefault="00622FF2" w:rsidP="00DB7F92">
                      <w:pPr>
                        <w:spacing w:before="12"/>
                        <w:rPr>
                          <w:rFonts w:eastAsia="Segoe UI Semilight" w:cs="Arial"/>
                          <w:sz w:val="20"/>
                          <w:szCs w:val="20"/>
                        </w:rPr>
                      </w:pPr>
                    </w:p>
                    <w:p w14:paraId="1F9CBB88" w14:textId="77777777" w:rsidR="00622FF2" w:rsidRPr="004E0302" w:rsidRDefault="00622FF2" w:rsidP="00DB7F92">
                      <w:pPr>
                        <w:ind w:left="225" w:right="225"/>
                        <w:jc w:val="both"/>
                        <w:rPr>
                          <w:rFonts w:eastAsia="Segoe UI Semilight" w:cs="Arial"/>
                          <w:sz w:val="20"/>
                          <w:szCs w:val="20"/>
                        </w:rPr>
                      </w:pPr>
                      <w:r w:rsidRPr="004E0302">
                        <w:rPr>
                          <w:rFonts w:eastAsia="Segoe UI Semilight" w:cs="Arial"/>
                          <w:color w:val="FFFFFF"/>
                          <w:spacing w:val="-1"/>
                          <w:sz w:val="20"/>
                          <w:szCs w:val="20"/>
                        </w:rPr>
                        <w:t>A commissioner</w:t>
                      </w:r>
                      <w:r w:rsidRPr="004E0302">
                        <w:rPr>
                          <w:rFonts w:eastAsia="Segoe UI Semilight" w:cs="Arial"/>
                          <w:color w:val="FFFFFF"/>
                          <w:spacing w:val="37"/>
                          <w:sz w:val="20"/>
                          <w:szCs w:val="20"/>
                        </w:rPr>
                        <w:t xml:space="preserve"> </w:t>
                      </w:r>
                      <w:r w:rsidRPr="004E0302">
                        <w:rPr>
                          <w:rFonts w:eastAsia="Segoe UI Semilight" w:cs="Arial"/>
                          <w:color w:val="FFFFFF"/>
                          <w:spacing w:val="-1"/>
                          <w:sz w:val="20"/>
                          <w:szCs w:val="20"/>
                        </w:rPr>
                        <w:t>decides</w:t>
                      </w:r>
                      <w:r w:rsidRPr="004E0302">
                        <w:rPr>
                          <w:rFonts w:eastAsia="Segoe UI Semilight" w:cs="Arial"/>
                          <w:color w:val="FFFFFF"/>
                          <w:spacing w:val="39"/>
                          <w:sz w:val="20"/>
                          <w:szCs w:val="20"/>
                        </w:rPr>
                        <w:t xml:space="preserve"> </w:t>
                      </w:r>
                      <w:r w:rsidRPr="004E0302">
                        <w:rPr>
                          <w:rFonts w:eastAsia="Segoe UI Semilight" w:cs="Arial"/>
                          <w:color w:val="FFFFFF"/>
                          <w:sz w:val="20"/>
                          <w:szCs w:val="20"/>
                        </w:rPr>
                        <w:t>to</w:t>
                      </w:r>
                      <w:r w:rsidRPr="004E0302">
                        <w:rPr>
                          <w:rFonts w:eastAsia="Segoe UI Semilight" w:cs="Arial"/>
                          <w:color w:val="FFFFFF"/>
                          <w:spacing w:val="37"/>
                          <w:sz w:val="20"/>
                          <w:szCs w:val="20"/>
                        </w:rPr>
                        <w:t xml:space="preserve"> </w:t>
                      </w:r>
                      <w:r w:rsidRPr="004E0302">
                        <w:rPr>
                          <w:rFonts w:eastAsia="Segoe UI Semilight" w:cs="Arial"/>
                          <w:color w:val="FFFFFF"/>
                          <w:spacing w:val="-1"/>
                          <w:sz w:val="20"/>
                          <w:szCs w:val="20"/>
                        </w:rPr>
                        <w:t>run</w:t>
                      </w:r>
                      <w:r w:rsidRPr="004E0302">
                        <w:rPr>
                          <w:rFonts w:eastAsia="Segoe UI Semilight" w:cs="Arial"/>
                          <w:color w:val="FFFFFF"/>
                          <w:spacing w:val="38"/>
                          <w:sz w:val="20"/>
                          <w:szCs w:val="20"/>
                        </w:rPr>
                        <w:t xml:space="preserve"> </w:t>
                      </w:r>
                      <w:r w:rsidRPr="004E0302">
                        <w:rPr>
                          <w:rFonts w:eastAsia="Segoe UI Semilight" w:cs="Arial"/>
                          <w:color w:val="FFFFFF"/>
                          <w:sz w:val="20"/>
                          <w:szCs w:val="20"/>
                        </w:rPr>
                        <w:t>a</w:t>
                      </w:r>
                      <w:r w:rsidRPr="004E0302">
                        <w:rPr>
                          <w:rFonts w:eastAsia="Segoe UI Semilight" w:cs="Arial"/>
                          <w:color w:val="FFFFFF"/>
                          <w:spacing w:val="38"/>
                          <w:sz w:val="20"/>
                          <w:szCs w:val="20"/>
                        </w:rPr>
                        <w:t xml:space="preserve"> </w:t>
                      </w:r>
                      <w:r w:rsidRPr="004E0302">
                        <w:rPr>
                          <w:rFonts w:eastAsia="Segoe UI Semilight" w:cs="Arial"/>
                          <w:color w:val="FFFFFF"/>
                          <w:spacing w:val="-1"/>
                          <w:sz w:val="20"/>
                          <w:szCs w:val="20"/>
                        </w:rPr>
                        <w:t>competition</w:t>
                      </w:r>
                      <w:r w:rsidRPr="004E0302">
                        <w:rPr>
                          <w:rFonts w:eastAsia="Segoe UI Semilight" w:cs="Arial"/>
                          <w:color w:val="FFFFFF"/>
                          <w:spacing w:val="38"/>
                          <w:sz w:val="20"/>
                          <w:szCs w:val="20"/>
                        </w:rPr>
                        <w:t xml:space="preserve"> </w:t>
                      </w:r>
                      <w:r w:rsidRPr="004E0302">
                        <w:rPr>
                          <w:rFonts w:eastAsia="Segoe UI Semilight" w:cs="Arial"/>
                          <w:color w:val="FFFFFF"/>
                          <w:spacing w:val="1"/>
                          <w:sz w:val="20"/>
                          <w:szCs w:val="20"/>
                        </w:rPr>
                        <w:t>to</w:t>
                      </w:r>
                      <w:r w:rsidRPr="004E0302">
                        <w:rPr>
                          <w:rFonts w:eastAsia="Segoe UI Semilight" w:cs="Arial"/>
                          <w:color w:val="FFFFFF"/>
                          <w:spacing w:val="38"/>
                          <w:sz w:val="20"/>
                          <w:szCs w:val="20"/>
                        </w:rPr>
                        <w:t xml:space="preserve"> </w:t>
                      </w:r>
                      <w:r w:rsidRPr="004E0302">
                        <w:rPr>
                          <w:rFonts w:eastAsia="Segoe UI Semilight" w:cs="Arial"/>
                          <w:color w:val="FFFFFF"/>
                          <w:spacing w:val="-1"/>
                          <w:sz w:val="20"/>
                          <w:szCs w:val="20"/>
                        </w:rPr>
                        <w:t>reward</w:t>
                      </w:r>
                      <w:r w:rsidRPr="004E0302">
                        <w:rPr>
                          <w:rFonts w:eastAsia="Segoe UI Semilight" w:cs="Arial"/>
                          <w:color w:val="FFFFFF"/>
                          <w:spacing w:val="37"/>
                          <w:sz w:val="20"/>
                          <w:szCs w:val="20"/>
                        </w:rPr>
                        <w:t xml:space="preserve"> </w:t>
                      </w:r>
                      <w:r w:rsidRPr="004E0302">
                        <w:rPr>
                          <w:rFonts w:eastAsia="Segoe UI Semilight" w:cs="Arial"/>
                          <w:color w:val="FFFFFF"/>
                          <w:sz w:val="20"/>
                          <w:szCs w:val="20"/>
                        </w:rPr>
                        <w:t>GP</w:t>
                      </w:r>
                      <w:r w:rsidRPr="004E0302">
                        <w:rPr>
                          <w:rFonts w:eastAsia="Segoe UI Semilight" w:cs="Arial"/>
                          <w:color w:val="FFFFFF"/>
                          <w:spacing w:val="38"/>
                          <w:sz w:val="20"/>
                          <w:szCs w:val="20"/>
                        </w:rPr>
                        <w:t xml:space="preserve"> </w:t>
                      </w:r>
                      <w:r w:rsidRPr="004E0302">
                        <w:rPr>
                          <w:rFonts w:eastAsia="Segoe UI Semilight" w:cs="Arial"/>
                          <w:color w:val="FFFFFF"/>
                          <w:spacing w:val="-1"/>
                          <w:sz w:val="20"/>
                          <w:szCs w:val="20"/>
                        </w:rPr>
                        <w:t>practices</w:t>
                      </w:r>
                      <w:r w:rsidRPr="004E0302">
                        <w:rPr>
                          <w:rFonts w:eastAsia="Segoe UI Semilight" w:cs="Arial"/>
                          <w:color w:val="FFFFFF"/>
                          <w:spacing w:val="42"/>
                          <w:w w:val="99"/>
                          <w:sz w:val="20"/>
                          <w:szCs w:val="20"/>
                        </w:rPr>
                        <w:t xml:space="preserve"> </w:t>
                      </w:r>
                      <w:r w:rsidRPr="004E0302">
                        <w:rPr>
                          <w:rFonts w:eastAsia="Segoe UI Semilight" w:cs="Arial"/>
                          <w:color w:val="FFFFFF"/>
                          <w:spacing w:val="-1"/>
                          <w:sz w:val="20"/>
                          <w:szCs w:val="20"/>
                        </w:rPr>
                        <w:t>that</w:t>
                      </w:r>
                      <w:r w:rsidRPr="004E0302">
                        <w:rPr>
                          <w:rFonts w:eastAsia="Segoe UI Semilight" w:cs="Arial"/>
                          <w:color w:val="FFFFFF"/>
                          <w:spacing w:val="17"/>
                          <w:sz w:val="20"/>
                          <w:szCs w:val="20"/>
                        </w:rPr>
                        <w:t xml:space="preserve"> </w:t>
                      </w:r>
                      <w:r w:rsidRPr="004E0302">
                        <w:rPr>
                          <w:rFonts w:eastAsia="Segoe UI Semilight" w:cs="Arial"/>
                          <w:color w:val="FFFFFF"/>
                          <w:spacing w:val="-1"/>
                          <w:sz w:val="20"/>
                          <w:szCs w:val="20"/>
                        </w:rPr>
                        <w:t>are</w:t>
                      </w:r>
                      <w:r w:rsidRPr="004E0302">
                        <w:rPr>
                          <w:rFonts w:eastAsia="Segoe UI Semilight" w:cs="Arial"/>
                          <w:color w:val="FFFFFF"/>
                          <w:spacing w:val="15"/>
                          <w:sz w:val="20"/>
                          <w:szCs w:val="20"/>
                        </w:rPr>
                        <w:t xml:space="preserve"> </w:t>
                      </w:r>
                      <w:r w:rsidRPr="004E0302">
                        <w:rPr>
                          <w:rFonts w:eastAsia="Segoe UI Semilight" w:cs="Arial"/>
                          <w:color w:val="FFFFFF"/>
                          <w:spacing w:val="-1"/>
                          <w:sz w:val="20"/>
                          <w:szCs w:val="20"/>
                        </w:rPr>
                        <w:t>innovative</w:t>
                      </w:r>
                      <w:r w:rsidRPr="004E0302">
                        <w:rPr>
                          <w:rFonts w:eastAsia="Segoe UI Semilight" w:cs="Arial"/>
                          <w:color w:val="FFFFFF"/>
                          <w:spacing w:val="15"/>
                          <w:sz w:val="20"/>
                          <w:szCs w:val="20"/>
                        </w:rPr>
                        <w:t xml:space="preserve"> </w:t>
                      </w:r>
                      <w:r w:rsidRPr="004E0302">
                        <w:rPr>
                          <w:rFonts w:eastAsia="Segoe UI Semilight" w:cs="Arial"/>
                          <w:color w:val="FFFFFF"/>
                          <w:spacing w:val="-1"/>
                          <w:sz w:val="20"/>
                          <w:szCs w:val="20"/>
                        </w:rPr>
                        <w:t>in</w:t>
                      </w:r>
                      <w:r w:rsidRPr="004E0302">
                        <w:rPr>
                          <w:rFonts w:eastAsia="Segoe UI Semilight" w:cs="Arial"/>
                          <w:color w:val="FFFFFF"/>
                          <w:spacing w:val="17"/>
                          <w:sz w:val="20"/>
                          <w:szCs w:val="20"/>
                        </w:rPr>
                        <w:t xml:space="preserve"> </w:t>
                      </w:r>
                      <w:r w:rsidRPr="004E0302">
                        <w:rPr>
                          <w:rFonts w:eastAsia="Segoe UI Semilight" w:cs="Arial"/>
                          <w:color w:val="FFFFFF"/>
                          <w:spacing w:val="-1"/>
                          <w:sz w:val="20"/>
                          <w:szCs w:val="20"/>
                        </w:rPr>
                        <w:t>their</w:t>
                      </w:r>
                      <w:r w:rsidRPr="004E0302">
                        <w:rPr>
                          <w:rFonts w:eastAsia="Segoe UI Semilight" w:cs="Arial"/>
                          <w:color w:val="FFFFFF"/>
                          <w:spacing w:val="16"/>
                          <w:sz w:val="20"/>
                          <w:szCs w:val="20"/>
                        </w:rPr>
                        <w:t xml:space="preserve"> </w:t>
                      </w:r>
                      <w:r w:rsidRPr="004E0302">
                        <w:rPr>
                          <w:rFonts w:eastAsia="Segoe UI Semilight" w:cs="Arial"/>
                          <w:color w:val="FFFFFF"/>
                          <w:spacing w:val="-1"/>
                          <w:sz w:val="20"/>
                          <w:szCs w:val="20"/>
                        </w:rPr>
                        <w:t>use</w:t>
                      </w:r>
                      <w:r w:rsidRPr="004E0302">
                        <w:rPr>
                          <w:rFonts w:eastAsia="Segoe UI Semilight" w:cs="Arial"/>
                          <w:color w:val="FFFFFF"/>
                          <w:spacing w:val="15"/>
                          <w:sz w:val="20"/>
                          <w:szCs w:val="20"/>
                        </w:rPr>
                        <w:t xml:space="preserve"> </w:t>
                      </w:r>
                      <w:r w:rsidRPr="004E0302">
                        <w:rPr>
                          <w:rFonts w:eastAsia="Segoe UI Semilight" w:cs="Arial"/>
                          <w:color w:val="FFFFFF"/>
                          <w:spacing w:val="-1"/>
                          <w:sz w:val="20"/>
                          <w:szCs w:val="20"/>
                        </w:rPr>
                        <w:t>of</w:t>
                      </w:r>
                      <w:r w:rsidRPr="004E0302">
                        <w:rPr>
                          <w:rFonts w:eastAsia="Segoe UI Semilight" w:cs="Arial"/>
                          <w:color w:val="FFFFFF"/>
                          <w:spacing w:val="16"/>
                          <w:sz w:val="20"/>
                          <w:szCs w:val="20"/>
                        </w:rPr>
                        <w:t xml:space="preserve"> </w:t>
                      </w:r>
                      <w:r w:rsidRPr="004E0302">
                        <w:rPr>
                          <w:rFonts w:eastAsia="Segoe UI Semilight" w:cs="Arial"/>
                          <w:color w:val="FFFFFF"/>
                          <w:spacing w:val="-1"/>
                          <w:sz w:val="20"/>
                          <w:szCs w:val="20"/>
                        </w:rPr>
                        <w:t>telehealth</w:t>
                      </w:r>
                      <w:r w:rsidRPr="004E0302">
                        <w:rPr>
                          <w:rFonts w:eastAsia="Segoe UI Semilight" w:cs="Arial"/>
                          <w:color w:val="FFFFFF"/>
                          <w:spacing w:val="16"/>
                          <w:sz w:val="20"/>
                          <w:szCs w:val="20"/>
                        </w:rPr>
                        <w:t xml:space="preserve"> </w:t>
                      </w:r>
                      <w:r w:rsidRPr="004E0302">
                        <w:rPr>
                          <w:rFonts w:eastAsia="Segoe UI Semilight" w:cs="Arial"/>
                          <w:color w:val="FFFFFF"/>
                          <w:spacing w:val="-1"/>
                          <w:sz w:val="20"/>
                          <w:szCs w:val="20"/>
                        </w:rPr>
                        <w:t>devices</w:t>
                      </w:r>
                      <w:r w:rsidRPr="004E0302">
                        <w:rPr>
                          <w:rFonts w:eastAsia="Segoe UI Semilight" w:cs="Arial"/>
                          <w:color w:val="FFFFFF"/>
                          <w:spacing w:val="17"/>
                          <w:sz w:val="20"/>
                          <w:szCs w:val="20"/>
                        </w:rPr>
                        <w:t xml:space="preserve"> </w:t>
                      </w:r>
                      <w:r w:rsidRPr="004E0302">
                        <w:rPr>
                          <w:rFonts w:eastAsia="Segoe UI Semilight" w:cs="Arial"/>
                          <w:color w:val="FFFFFF"/>
                          <w:sz w:val="20"/>
                          <w:szCs w:val="20"/>
                        </w:rPr>
                        <w:t>–</w:t>
                      </w:r>
                      <w:r w:rsidRPr="004E0302">
                        <w:rPr>
                          <w:rFonts w:eastAsia="Segoe UI Semilight" w:cs="Arial"/>
                          <w:color w:val="FFFFFF"/>
                          <w:spacing w:val="16"/>
                          <w:sz w:val="20"/>
                          <w:szCs w:val="20"/>
                        </w:rPr>
                        <w:t xml:space="preserve"> </w:t>
                      </w:r>
                      <w:r w:rsidRPr="004E0302">
                        <w:rPr>
                          <w:rFonts w:eastAsia="Segoe UI Semilight" w:cs="Arial"/>
                          <w:color w:val="FFFFFF"/>
                          <w:spacing w:val="-1"/>
                          <w:sz w:val="20"/>
                          <w:szCs w:val="20"/>
                        </w:rPr>
                        <w:t>smart</w:t>
                      </w:r>
                      <w:r w:rsidRPr="004E0302">
                        <w:rPr>
                          <w:rFonts w:eastAsia="Segoe UI Semilight" w:cs="Arial"/>
                          <w:color w:val="FFFFFF"/>
                          <w:spacing w:val="18"/>
                          <w:sz w:val="20"/>
                          <w:szCs w:val="20"/>
                        </w:rPr>
                        <w:t xml:space="preserve"> </w:t>
                      </w:r>
                      <w:r w:rsidRPr="004E0302">
                        <w:rPr>
                          <w:rFonts w:eastAsia="Segoe UI Semilight" w:cs="Arial"/>
                          <w:color w:val="FFFFFF"/>
                          <w:spacing w:val="-1"/>
                          <w:sz w:val="20"/>
                          <w:szCs w:val="20"/>
                        </w:rPr>
                        <w:t>medical</w:t>
                      </w:r>
                      <w:r w:rsidRPr="004E0302">
                        <w:rPr>
                          <w:rFonts w:eastAsia="Segoe UI Semilight" w:cs="Arial"/>
                          <w:color w:val="FFFFFF"/>
                          <w:spacing w:val="59"/>
                          <w:w w:val="99"/>
                          <w:sz w:val="20"/>
                          <w:szCs w:val="20"/>
                        </w:rPr>
                        <w:t xml:space="preserve"> </w:t>
                      </w:r>
                      <w:r w:rsidRPr="004E0302">
                        <w:rPr>
                          <w:rFonts w:eastAsia="Segoe UI Semilight" w:cs="Arial"/>
                          <w:color w:val="FFFFFF"/>
                          <w:spacing w:val="-1"/>
                          <w:sz w:val="20"/>
                          <w:szCs w:val="20"/>
                        </w:rPr>
                        <w:t>devices</w:t>
                      </w:r>
                      <w:r w:rsidRPr="004E0302">
                        <w:rPr>
                          <w:rFonts w:eastAsia="Segoe UI Semilight" w:cs="Arial"/>
                          <w:color w:val="FFFFFF"/>
                          <w:spacing w:val="35"/>
                          <w:sz w:val="20"/>
                          <w:szCs w:val="20"/>
                        </w:rPr>
                        <w:t xml:space="preserve"> </w:t>
                      </w:r>
                      <w:r w:rsidRPr="004E0302">
                        <w:rPr>
                          <w:rFonts w:eastAsia="Segoe UI Semilight" w:cs="Arial"/>
                          <w:color w:val="FFFFFF"/>
                          <w:spacing w:val="-1"/>
                          <w:sz w:val="20"/>
                          <w:szCs w:val="20"/>
                        </w:rPr>
                        <w:t>that</w:t>
                      </w:r>
                      <w:r w:rsidRPr="004E0302">
                        <w:rPr>
                          <w:rFonts w:eastAsia="Segoe UI Semilight" w:cs="Arial"/>
                          <w:color w:val="FFFFFF"/>
                          <w:spacing w:val="36"/>
                          <w:sz w:val="20"/>
                          <w:szCs w:val="20"/>
                        </w:rPr>
                        <w:t xml:space="preserve"> </w:t>
                      </w:r>
                      <w:r w:rsidRPr="004E0302">
                        <w:rPr>
                          <w:rFonts w:eastAsia="Segoe UI Semilight" w:cs="Arial"/>
                          <w:color w:val="FFFFFF"/>
                          <w:spacing w:val="-1"/>
                          <w:sz w:val="20"/>
                          <w:szCs w:val="20"/>
                        </w:rPr>
                        <w:t>transmit</w:t>
                      </w:r>
                      <w:r w:rsidRPr="004E0302">
                        <w:rPr>
                          <w:rFonts w:eastAsia="Segoe UI Semilight" w:cs="Arial"/>
                          <w:color w:val="FFFFFF"/>
                          <w:spacing w:val="39"/>
                          <w:sz w:val="20"/>
                          <w:szCs w:val="20"/>
                        </w:rPr>
                        <w:t xml:space="preserve"> </w:t>
                      </w:r>
                      <w:r w:rsidRPr="004E0302">
                        <w:rPr>
                          <w:rFonts w:eastAsia="Segoe UI Semilight" w:cs="Arial"/>
                          <w:color w:val="FFFFFF"/>
                          <w:spacing w:val="-1"/>
                          <w:sz w:val="20"/>
                          <w:szCs w:val="20"/>
                        </w:rPr>
                        <w:t>data</w:t>
                      </w:r>
                      <w:r w:rsidRPr="004E0302">
                        <w:rPr>
                          <w:rFonts w:eastAsia="Segoe UI Semilight" w:cs="Arial"/>
                          <w:color w:val="FFFFFF"/>
                          <w:spacing w:val="35"/>
                          <w:sz w:val="20"/>
                          <w:szCs w:val="20"/>
                        </w:rPr>
                        <w:t xml:space="preserve"> </w:t>
                      </w:r>
                      <w:r w:rsidRPr="004E0302">
                        <w:rPr>
                          <w:rFonts w:eastAsia="Segoe UI Semilight" w:cs="Arial"/>
                          <w:color w:val="FFFFFF"/>
                          <w:spacing w:val="-1"/>
                          <w:sz w:val="20"/>
                          <w:szCs w:val="20"/>
                        </w:rPr>
                        <w:t>from</w:t>
                      </w:r>
                      <w:r w:rsidRPr="004E0302">
                        <w:rPr>
                          <w:rFonts w:eastAsia="Segoe UI Semilight" w:cs="Arial"/>
                          <w:color w:val="FFFFFF"/>
                          <w:spacing w:val="35"/>
                          <w:sz w:val="20"/>
                          <w:szCs w:val="20"/>
                        </w:rPr>
                        <w:t xml:space="preserve"> </w:t>
                      </w:r>
                      <w:r w:rsidRPr="004E0302">
                        <w:rPr>
                          <w:rFonts w:eastAsia="Segoe UI Semilight" w:cs="Arial"/>
                          <w:color w:val="FFFFFF"/>
                          <w:sz w:val="20"/>
                          <w:szCs w:val="20"/>
                        </w:rPr>
                        <w:t>a</w:t>
                      </w:r>
                      <w:r w:rsidRPr="004E0302">
                        <w:rPr>
                          <w:rFonts w:eastAsia="Segoe UI Semilight" w:cs="Arial"/>
                          <w:color w:val="FFFFFF"/>
                          <w:spacing w:val="38"/>
                          <w:sz w:val="20"/>
                          <w:szCs w:val="20"/>
                        </w:rPr>
                        <w:t xml:space="preserve"> </w:t>
                      </w:r>
                      <w:r w:rsidRPr="004E0302">
                        <w:rPr>
                          <w:rFonts w:eastAsia="Segoe UI Semilight" w:cs="Arial"/>
                          <w:color w:val="FFFFFF"/>
                          <w:spacing w:val="-1"/>
                          <w:sz w:val="20"/>
                          <w:szCs w:val="20"/>
                        </w:rPr>
                        <w:t>patient</w:t>
                      </w:r>
                      <w:r w:rsidRPr="004E0302">
                        <w:rPr>
                          <w:rFonts w:eastAsia="Segoe UI Semilight" w:cs="Arial"/>
                          <w:color w:val="FFFFFF"/>
                          <w:spacing w:val="36"/>
                          <w:sz w:val="20"/>
                          <w:szCs w:val="20"/>
                        </w:rPr>
                        <w:t xml:space="preserve"> </w:t>
                      </w:r>
                      <w:r w:rsidRPr="004E0302">
                        <w:rPr>
                          <w:rFonts w:eastAsia="Segoe UI Semilight" w:cs="Arial"/>
                          <w:color w:val="FFFFFF"/>
                          <w:spacing w:val="1"/>
                          <w:sz w:val="20"/>
                          <w:szCs w:val="20"/>
                        </w:rPr>
                        <w:t>to</w:t>
                      </w:r>
                      <w:r w:rsidRPr="004E0302">
                        <w:rPr>
                          <w:rFonts w:eastAsia="Segoe UI Semilight" w:cs="Arial"/>
                          <w:color w:val="FFFFFF"/>
                          <w:spacing w:val="37"/>
                          <w:sz w:val="20"/>
                          <w:szCs w:val="20"/>
                        </w:rPr>
                        <w:t xml:space="preserve"> </w:t>
                      </w:r>
                      <w:r w:rsidRPr="004E0302">
                        <w:rPr>
                          <w:rFonts w:eastAsia="Segoe UI Semilight" w:cs="Arial"/>
                          <w:color w:val="FFFFFF"/>
                          <w:spacing w:val="-1"/>
                          <w:sz w:val="20"/>
                          <w:szCs w:val="20"/>
                        </w:rPr>
                        <w:t>their</w:t>
                      </w:r>
                      <w:r w:rsidRPr="004E0302">
                        <w:rPr>
                          <w:rFonts w:eastAsia="Segoe UI Semilight" w:cs="Arial"/>
                          <w:color w:val="FFFFFF"/>
                          <w:spacing w:val="36"/>
                          <w:sz w:val="20"/>
                          <w:szCs w:val="20"/>
                        </w:rPr>
                        <w:t xml:space="preserve"> </w:t>
                      </w:r>
                      <w:r w:rsidRPr="004E0302">
                        <w:rPr>
                          <w:rFonts w:eastAsia="Segoe UI Semilight" w:cs="Arial"/>
                          <w:color w:val="FFFFFF"/>
                          <w:spacing w:val="-1"/>
                          <w:sz w:val="20"/>
                          <w:szCs w:val="20"/>
                        </w:rPr>
                        <w:t>treating</w:t>
                      </w:r>
                      <w:r w:rsidRPr="004E0302">
                        <w:rPr>
                          <w:rFonts w:eastAsia="Segoe UI Semilight" w:cs="Arial"/>
                          <w:color w:val="FFFFFF"/>
                          <w:spacing w:val="35"/>
                          <w:sz w:val="20"/>
                          <w:szCs w:val="20"/>
                        </w:rPr>
                        <w:t xml:space="preserve"> </w:t>
                      </w:r>
                      <w:r w:rsidRPr="004E0302">
                        <w:rPr>
                          <w:rFonts w:eastAsia="Segoe UI Semilight" w:cs="Arial"/>
                          <w:color w:val="FFFFFF"/>
                          <w:spacing w:val="-1"/>
                          <w:sz w:val="20"/>
                          <w:szCs w:val="20"/>
                        </w:rPr>
                        <w:t>clinician,</w:t>
                      </w:r>
                      <w:r w:rsidRPr="004E0302">
                        <w:rPr>
                          <w:rFonts w:eastAsia="Segoe UI Semilight" w:cs="Arial"/>
                          <w:color w:val="FFFFFF"/>
                          <w:spacing w:val="63"/>
                          <w:sz w:val="20"/>
                          <w:szCs w:val="20"/>
                        </w:rPr>
                        <w:t xml:space="preserve"> </w:t>
                      </w:r>
                      <w:r w:rsidRPr="004E0302">
                        <w:rPr>
                          <w:rFonts w:eastAsia="Segoe UI Semilight" w:cs="Arial"/>
                          <w:color w:val="FFFFFF"/>
                          <w:spacing w:val="-1"/>
                          <w:sz w:val="20"/>
                          <w:szCs w:val="20"/>
                        </w:rPr>
                        <w:t>without</w:t>
                      </w:r>
                      <w:r w:rsidRPr="004E0302">
                        <w:rPr>
                          <w:rFonts w:eastAsia="Segoe UI Semilight" w:cs="Arial"/>
                          <w:color w:val="FFFFFF"/>
                          <w:spacing w:val="12"/>
                          <w:sz w:val="20"/>
                          <w:szCs w:val="20"/>
                        </w:rPr>
                        <w:t xml:space="preserve"> </w:t>
                      </w:r>
                      <w:r w:rsidRPr="004E0302">
                        <w:rPr>
                          <w:rFonts w:eastAsia="Segoe UI Semilight" w:cs="Arial"/>
                          <w:color w:val="FFFFFF"/>
                          <w:spacing w:val="-1"/>
                          <w:sz w:val="20"/>
                          <w:szCs w:val="20"/>
                        </w:rPr>
                        <w:t>the</w:t>
                      </w:r>
                      <w:r w:rsidRPr="004E0302">
                        <w:rPr>
                          <w:rFonts w:eastAsia="Segoe UI Semilight" w:cs="Arial"/>
                          <w:color w:val="FFFFFF"/>
                          <w:spacing w:val="11"/>
                          <w:sz w:val="20"/>
                          <w:szCs w:val="20"/>
                        </w:rPr>
                        <w:t xml:space="preserve"> </w:t>
                      </w:r>
                      <w:r w:rsidRPr="004E0302">
                        <w:rPr>
                          <w:rFonts w:eastAsia="Segoe UI Semilight" w:cs="Arial"/>
                          <w:color w:val="FFFFFF"/>
                          <w:spacing w:val="-1"/>
                          <w:sz w:val="20"/>
                          <w:szCs w:val="20"/>
                        </w:rPr>
                        <w:t>need</w:t>
                      </w:r>
                      <w:r w:rsidRPr="004E0302">
                        <w:rPr>
                          <w:rFonts w:eastAsia="Segoe UI Semilight" w:cs="Arial"/>
                          <w:color w:val="FFFFFF"/>
                          <w:spacing w:val="10"/>
                          <w:sz w:val="20"/>
                          <w:szCs w:val="20"/>
                        </w:rPr>
                        <w:t xml:space="preserve"> </w:t>
                      </w:r>
                      <w:r w:rsidRPr="004E0302">
                        <w:rPr>
                          <w:rFonts w:eastAsia="Segoe UI Semilight" w:cs="Arial"/>
                          <w:color w:val="FFFFFF"/>
                          <w:sz w:val="20"/>
                          <w:szCs w:val="20"/>
                        </w:rPr>
                        <w:t>for</w:t>
                      </w:r>
                      <w:r w:rsidRPr="004E0302">
                        <w:rPr>
                          <w:rFonts w:eastAsia="Segoe UI Semilight" w:cs="Arial"/>
                          <w:color w:val="FFFFFF"/>
                          <w:spacing w:val="13"/>
                          <w:sz w:val="20"/>
                          <w:szCs w:val="20"/>
                        </w:rPr>
                        <w:t xml:space="preserve"> </w:t>
                      </w:r>
                      <w:r w:rsidRPr="004E0302">
                        <w:rPr>
                          <w:rFonts w:eastAsia="Segoe UI Semilight" w:cs="Arial"/>
                          <w:color w:val="FFFFFF"/>
                          <w:spacing w:val="-1"/>
                          <w:sz w:val="20"/>
                          <w:szCs w:val="20"/>
                        </w:rPr>
                        <w:t>the</w:t>
                      </w:r>
                      <w:r w:rsidRPr="004E0302">
                        <w:rPr>
                          <w:rFonts w:eastAsia="Segoe UI Semilight" w:cs="Arial"/>
                          <w:color w:val="FFFFFF"/>
                          <w:spacing w:val="11"/>
                          <w:sz w:val="20"/>
                          <w:szCs w:val="20"/>
                        </w:rPr>
                        <w:t xml:space="preserve"> </w:t>
                      </w:r>
                      <w:r w:rsidRPr="004E0302">
                        <w:rPr>
                          <w:rFonts w:eastAsia="Segoe UI Semilight" w:cs="Arial"/>
                          <w:color w:val="FFFFFF"/>
                          <w:spacing w:val="-1"/>
                          <w:sz w:val="20"/>
                          <w:szCs w:val="20"/>
                        </w:rPr>
                        <w:t>patient</w:t>
                      </w:r>
                      <w:r w:rsidRPr="004E0302">
                        <w:rPr>
                          <w:rFonts w:eastAsia="Segoe UI Semilight" w:cs="Arial"/>
                          <w:color w:val="FFFFFF"/>
                          <w:spacing w:val="12"/>
                          <w:sz w:val="20"/>
                          <w:szCs w:val="20"/>
                        </w:rPr>
                        <w:t xml:space="preserve"> </w:t>
                      </w:r>
                      <w:r w:rsidRPr="004E0302">
                        <w:rPr>
                          <w:rFonts w:eastAsia="Segoe UI Semilight" w:cs="Arial"/>
                          <w:color w:val="FFFFFF"/>
                          <w:sz w:val="20"/>
                          <w:szCs w:val="20"/>
                        </w:rPr>
                        <w:t>to</w:t>
                      </w:r>
                      <w:r w:rsidRPr="004E0302">
                        <w:rPr>
                          <w:rFonts w:eastAsia="Segoe UI Semilight" w:cs="Arial"/>
                          <w:color w:val="FFFFFF"/>
                          <w:spacing w:val="12"/>
                          <w:sz w:val="20"/>
                          <w:szCs w:val="20"/>
                        </w:rPr>
                        <w:t xml:space="preserve"> </w:t>
                      </w:r>
                      <w:r w:rsidRPr="004E0302">
                        <w:rPr>
                          <w:rFonts w:eastAsia="Segoe UI Semilight" w:cs="Arial"/>
                          <w:color w:val="FFFFFF"/>
                          <w:spacing w:val="-1"/>
                          <w:sz w:val="20"/>
                          <w:szCs w:val="20"/>
                        </w:rPr>
                        <w:t>attend</w:t>
                      </w:r>
                      <w:r w:rsidRPr="004E0302">
                        <w:rPr>
                          <w:rFonts w:eastAsia="Segoe UI Semilight" w:cs="Arial"/>
                          <w:color w:val="FFFFFF"/>
                          <w:spacing w:val="11"/>
                          <w:sz w:val="20"/>
                          <w:szCs w:val="20"/>
                        </w:rPr>
                        <w:t xml:space="preserve"> </w:t>
                      </w:r>
                      <w:r w:rsidRPr="004E0302">
                        <w:rPr>
                          <w:rFonts w:eastAsia="Segoe UI Semilight" w:cs="Arial"/>
                          <w:color w:val="FFFFFF"/>
                          <w:spacing w:val="-1"/>
                          <w:sz w:val="20"/>
                          <w:szCs w:val="20"/>
                        </w:rPr>
                        <w:t>surgery.</w:t>
                      </w:r>
                      <w:r w:rsidRPr="004E0302">
                        <w:rPr>
                          <w:rFonts w:eastAsia="Segoe UI Semilight" w:cs="Arial"/>
                          <w:color w:val="FFFFFF"/>
                          <w:spacing w:val="24"/>
                          <w:sz w:val="20"/>
                          <w:szCs w:val="20"/>
                        </w:rPr>
                        <w:t xml:space="preserve"> </w:t>
                      </w:r>
                      <w:r w:rsidRPr="004E0302">
                        <w:rPr>
                          <w:rFonts w:eastAsia="Segoe UI Semilight" w:cs="Arial"/>
                          <w:color w:val="FFFFFF"/>
                          <w:spacing w:val="-1"/>
                          <w:sz w:val="20"/>
                          <w:szCs w:val="20"/>
                        </w:rPr>
                        <w:t>The</w:t>
                      </w:r>
                      <w:r w:rsidRPr="004E0302">
                        <w:rPr>
                          <w:rFonts w:eastAsia="Segoe UI Semilight" w:cs="Arial"/>
                          <w:color w:val="FFFFFF"/>
                          <w:spacing w:val="11"/>
                          <w:sz w:val="20"/>
                          <w:szCs w:val="20"/>
                        </w:rPr>
                        <w:t xml:space="preserve"> </w:t>
                      </w:r>
                      <w:r w:rsidRPr="004E0302">
                        <w:rPr>
                          <w:rFonts w:eastAsia="Segoe UI Semilight" w:cs="Arial"/>
                          <w:color w:val="FFFFFF"/>
                          <w:spacing w:val="-1"/>
                          <w:sz w:val="20"/>
                          <w:szCs w:val="20"/>
                        </w:rPr>
                        <w:t>winners</w:t>
                      </w:r>
                      <w:r w:rsidRPr="004E0302">
                        <w:rPr>
                          <w:rFonts w:eastAsia="Segoe UI Semilight" w:cs="Arial"/>
                          <w:color w:val="FFFFFF"/>
                          <w:spacing w:val="12"/>
                          <w:sz w:val="20"/>
                          <w:szCs w:val="20"/>
                        </w:rPr>
                        <w:t xml:space="preserve"> </w:t>
                      </w:r>
                      <w:r w:rsidRPr="004E0302">
                        <w:rPr>
                          <w:rFonts w:eastAsia="Segoe UI Semilight" w:cs="Arial"/>
                          <w:color w:val="FFFFFF"/>
                          <w:spacing w:val="-1"/>
                          <w:sz w:val="20"/>
                          <w:szCs w:val="20"/>
                        </w:rPr>
                        <w:t>will</w:t>
                      </w:r>
                      <w:r w:rsidRPr="004E0302">
                        <w:rPr>
                          <w:rFonts w:eastAsia="Segoe UI Semilight" w:cs="Arial"/>
                          <w:color w:val="FFFFFF"/>
                          <w:spacing w:val="48"/>
                          <w:w w:val="99"/>
                          <w:sz w:val="20"/>
                          <w:szCs w:val="20"/>
                        </w:rPr>
                        <w:t xml:space="preserve"> </w:t>
                      </w:r>
                      <w:r w:rsidRPr="004E0302">
                        <w:rPr>
                          <w:rFonts w:eastAsia="Segoe UI Semilight" w:cs="Arial"/>
                          <w:color w:val="FFFFFF"/>
                          <w:spacing w:val="-1"/>
                          <w:sz w:val="20"/>
                          <w:szCs w:val="20"/>
                        </w:rPr>
                        <w:t>be</w:t>
                      </w:r>
                      <w:r w:rsidRPr="004E0302">
                        <w:rPr>
                          <w:rFonts w:eastAsia="Segoe UI Semilight" w:cs="Arial"/>
                          <w:color w:val="FFFFFF"/>
                          <w:spacing w:val="-2"/>
                          <w:sz w:val="20"/>
                          <w:szCs w:val="20"/>
                        </w:rPr>
                        <w:t xml:space="preserve"> </w:t>
                      </w:r>
                      <w:r w:rsidRPr="004E0302">
                        <w:rPr>
                          <w:rFonts w:eastAsia="Segoe UI Semilight" w:cs="Arial"/>
                          <w:color w:val="FFFFFF"/>
                          <w:spacing w:val="-1"/>
                          <w:sz w:val="20"/>
                          <w:szCs w:val="20"/>
                        </w:rPr>
                        <w:t xml:space="preserve">showcased </w:t>
                      </w:r>
                      <w:r w:rsidRPr="004E0302">
                        <w:rPr>
                          <w:rFonts w:eastAsia="Segoe UI Semilight" w:cs="Arial"/>
                          <w:color w:val="FFFFFF"/>
                          <w:sz w:val="20"/>
                          <w:szCs w:val="20"/>
                        </w:rPr>
                        <w:t xml:space="preserve">so </w:t>
                      </w:r>
                      <w:r w:rsidRPr="004E0302">
                        <w:rPr>
                          <w:rFonts w:eastAsia="Segoe UI Semilight" w:cs="Arial"/>
                          <w:color w:val="FFFFFF"/>
                          <w:spacing w:val="-1"/>
                          <w:sz w:val="20"/>
                          <w:szCs w:val="20"/>
                        </w:rPr>
                        <w:t>that</w:t>
                      </w:r>
                      <w:r w:rsidRPr="004E0302">
                        <w:rPr>
                          <w:rFonts w:eastAsia="Segoe UI Semilight" w:cs="Arial"/>
                          <w:color w:val="FFFFFF"/>
                          <w:spacing w:val="1"/>
                          <w:sz w:val="20"/>
                          <w:szCs w:val="20"/>
                        </w:rPr>
                        <w:t xml:space="preserve"> </w:t>
                      </w:r>
                      <w:r w:rsidRPr="004E0302">
                        <w:rPr>
                          <w:rFonts w:eastAsia="Segoe UI Semilight" w:cs="Arial"/>
                          <w:color w:val="FFFFFF"/>
                          <w:spacing w:val="-1"/>
                          <w:sz w:val="20"/>
                          <w:szCs w:val="20"/>
                        </w:rPr>
                        <w:t>other</w:t>
                      </w:r>
                      <w:r w:rsidRPr="004E0302">
                        <w:rPr>
                          <w:rFonts w:eastAsia="Segoe UI Semilight" w:cs="Arial"/>
                          <w:color w:val="FFFFFF"/>
                          <w:spacing w:val="1"/>
                          <w:sz w:val="20"/>
                          <w:szCs w:val="20"/>
                        </w:rPr>
                        <w:t xml:space="preserve"> </w:t>
                      </w:r>
                      <w:r w:rsidRPr="004E0302">
                        <w:rPr>
                          <w:rFonts w:eastAsia="Segoe UI Semilight" w:cs="Arial"/>
                          <w:color w:val="FFFFFF"/>
                          <w:spacing w:val="-1"/>
                          <w:sz w:val="20"/>
                          <w:szCs w:val="20"/>
                        </w:rPr>
                        <w:t>practices</w:t>
                      </w:r>
                      <w:r w:rsidRPr="004E0302">
                        <w:rPr>
                          <w:rFonts w:eastAsia="Segoe UI Semilight" w:cs="Arial"/>
                          <w:color w:val="FFFFFF"/>
                          <w:sz w:val="20"/>
                          <w:szCs w:val="20"/>
                        </w:rPr>
                        <w:t xml:space="preserve"> </w:t>
                      </w:r>
                      <w:r w:rsidRPr="004E0302">
                        <w:rPr>
                          <w:rFonts w:eastAsia="Segoe UI Semilight" w:cs="Arial"/>
                          <w:color w:val="FFFFFF"/>
                          <w:spacing w:val="-1"/>
                          <w:sz w:val="20"/>
                          <w:szCs w:val="20"/>
                        </w:rPr>
                        <w:t>can</w:t>
                      </w:r>
                      <w:r w:rsidRPr="004E0302">
                        <w:rPr>
                          <w:rFonts w:eastAsia="Segoe UI Semilight" w:cs="Arial"/>
                          <w:color w:val="FFFFFF"/>
                          <w:spacing w:val="3"/>
                          <w:sz w:val="20"/>
                          <w:szCs w:val="20"/>
                        </w:rPr>
                        <w:t xml:space="preserve"> </w:t>
                      </w:r>
                      <w:r w:rsidRPr="004E0302">
                        <w:rPr>
                          <w:rFonts w:eastAsia="Segoe UI Semilight" w:cs="Arial"/>
                          <w:color w:val="FFFFFF"/>
                          <w:spacing w:val="-1"/>
                          <w:sz w:val="20"/>
                          <w:szCs w:val="20"/>
                        </w:rPr>
                        <w:t>follow</w:t>
                      </w:r>
                      <w:r w:rsidRPr="004E0302">
                        <w:rPr>
                          <w:rFonts w:eastAsia="Segoe UI Semilight" w:cs="Arial"/>
                          <w:color w:val="FFFFFF"/>
                          <w:sz w:val="20"/>
                          <w:szCs w:val="20"/>
                        </w:rPr>
                        <w:t xml:space="preserve"> </w:t>
                      </w:r>
                      <w:r w:rsidRPr="004E0302">
                        <w:rPr>
                          <w:rFonts w:eastAsia="Segoe UI Semilight" w:cs="Arial"/>
                          <w:color w:val="FFFFFF"/>
                          <w:spacing w:val="-1"/>
                          <w:sz w:val="20"/>
                          <w:szCs w:val="20"/>
                        </w:rPr>
                        <w:t>their</w:t>
                      </w:r>
                      <w:r w:rsidRPr="004E0302">
                        <w:rPr>
                          <w:rFonts w:eastAsia="Segoe UI Semilight" w:cs="Arial"/>
                          <w:color w:val="FFFFFF"/>
                          <w:sz w:val="20"/>
                          <w:szCs w:val="20"/>
                        </w:rPr>
                        <w:t xml:space="preserve"> </w:t>
                      </w:r>
                      <w:r w:rsidRPr="004E0302">
                        <w:rPr>
                          <w:rFonts w:eastAsia="Segoe UI Semilight" w:cs="Arial"/>
                          <w:color w:val="FFFFFF"/>
                          <w:spacing w:val="-1"/>
                          <w:sz w:val="20"/>
                          <w:szCs w:val="20"/>
                        </w:rPr>
                        <w:t>lead.</w:t>
                      </w:r>
                      <w:r w:rsidRPr="004E0302">
                        <w:rPr>
                          <w:rFonts w:eastAsia="Segoe UI Semilight" w:cs="Arial"/>
                          <w:color w:val="FFFFFF"/>
                          <w:spacing w:val="1"/>
                          <w:sz w:val="20"/>
                          <w:szCs w:val="20"/>
                        </w:rPr>
                        <w:t xml:space="preserve"> </w:t>
                      </w:r>
                      <w:r w:rsidRPr="004E0302">
                        <w:rPr>
                          <w:rFonts w:eastAsia="Segoe UI Semilight" w:cs="Arial"/>
                          <w:color w:val="FFFFFF"/>
                          <w:spacing w:val="-1"/>
                          <w:sz w:val="20"/>
                          <w:szCs w:val="20"/>
                        </w:rPr>
                        <w:t>This</w:t>
                      </w:r>
                      <w:r w:rsidRPr="004E0302">
                        <w:rPr>
                          <w:rFonts w:eastAsia="Segoe UI Semilight" w:cs="Arial"/>
                          <w:color w:val="FFFFFF"/>
                          <w:spacing w:val="1"/>
                          <w:sz w:val="20"/>
                          <w:szCs w:val="20"/>
                        </w:rPr>
                        <w:t xml:space="preserve"> </w:t>
                      </w:r>
                      <w:r w:rsidRPr="004E0302">
                        <w:rPr>
                          <w:rFonts w:eastAsia="Segoe UI Semilight" w:cs="Arial"/>
                          <w:color w:val="FFFFFF"/>
                          <w:spacing w:val="-1"/>
                          <w:sz w:val="20"/>
                          <w:szCs w:val="20"/>
                        </w:rPr>
                        <w:t>helps</w:t>
                      </w:r>
                      <w:r w:rsidRPr="004E0302">
                        <w:rPr>
                          <w:rFonts w:eastAsia="Segoe UI Semilight" w:cs="Arial"/>
                          <w:color w:val="FFFFFF"/>
                          <w:spacing w:val="52"/>
                          <w:w w:val="99"/>
                          <w:sz w:val="20"/>
                          <w:szCs w:val="20"/>
                        </w:rPr>
                        <w:t xml:space="preserve"> </w:t>
                      </w:r>
                      <w:r w:rsidRPr="004E0302">
                        <w:rPr>
                          <w:rFonts w:eastAsia="Segoe UI Semilight" w:cs="Arial"/>
                          <w:color w:val="FFFFFF"/>
                          <w:sz w:val="20"/>
                          <w:szCs w:val="20"/>
                        </w:rPr>
                        <w:t>to</w:t>
                      </w:r>
                      <w:r w:rsidRPr="004E0302">
                        <w:rPr>
                          <w:rFonts w:eastAsia="Segoe UI Semilight" w:cs="Arial"/>
                          <w:color w:val="FFFFFF"/>
                          <w:spacing w:val="31"/>
                          <w:sz w:val="20"/>
                          <w:szCs w:val="20"/>
                        </w:rPr>
                        <w:t xml:space="preserve"> </w:t>
                      </w:r>
                      <w:r w:rsidRPr="004E0302">
                        <w:rPr>
                          <w:rFonts w:eastAsia="Segoe UI Semilight" w:cs="Arial"/>
                          <w:color w:val="FFFFFF"/>
                          <w:spacing w:val="-1"/>
                          <w:sz w:val="20"/>
                          <w:szCs w:val="20"/>
                        </w:rPr>
                        <w:t>meet</w:t>
                      </w:r>
                      <w:r w:rsidRPr="004E0302">
                        <w:rPr>
                          <w:rFonts w:eastAsia="Segoe UI Semilight" w:cs="Arial"/>
                          <w:color w:val="FFFFFF"/>
                          <w:spacing w:val="32"/>
                          <w:sz w:val="20"/>
                          <w:szCs w:val="20"/>
                        </w:rPr>
                        <w:t xml:space="preserve"> </w:t>
                      </w:r>
                      <w:r w:rsidRPr="004E0302">
                        <w:rPr>
                          <w:rFonts w:eastAsia="Segoe UI Semilight" w:cs="Arial"/>
                          <w:color w:val="FFFFFF"/>
                          <w:spacing w:val="-1"/>
                          <w:sz w:val="20"/>
                          <w:szCs w:val="20"/>
                        </w:rPr>
                        <w:t>the</w:t>
                      </w:r>
                      <w:r w:rsidRPr="004E0302">
                        <w:rPr>
                          <w:rFonts w:eastAsia="Segoe UI Semilight" w:cs="Arial"/>
                          <w:color w:val="FFFFFF"/>
                          <w:spacing w:val="33"/>
                          <w:sz w:val="20"/>
                          <w:szCs w:val="20"/>
                        </w:rPr>
                        <w:t xml:space="preserve"> </w:t>
                      </w:r>
                      <w:r w:rsidRPr="004E0302">
                        <w:rPr>
                          <w:rFonts w:eastAsia="Segoe UI Semilight" w:cs="Arial"/>
                          <w:color w:val="FFFFFF"/>
                          <w:spacing w:val="-1"/>
                          <w:sz w:val="20"/>
                          <w:szCs w:val="20"/>
                        </w:rPr>
                        <w:t>duty</w:t>
                      </w:r>
                      <w:r w:rsidRPr="004E0302">
                        <w:rPr>
                          <w:rFonts w:eastAsia="Segoe UI Semilight" w:cs="Arial"/>
                          <w:color w:val="FFFFFF"/>
                          <w:spacing w:val="33"/>
                          <w:sz w:val="20"/>
                          <w:szCs w:val="20"/>
                        </w:rPr>
                        <w:t xml:space="preserve"> </w:t>
                      </w:r>
                      <w:r w:rsidRPr="004E0302">
                        <w:rPr>
                          <w:rFonts w:eastAsia="Segoe UI Semilight" w:cs="Arial"/>
                          <w:color w:val="FFFFFF"/>
                          <w:sz w:val="20"/>
                          <w:szCs w:val="20"/>
                        </w:rPr>
                        <w:t>to</w:t>
                      </w:r>
                      <w:r w:rsidRPr="004E0302">
                        <w:rPr>
                          <w:rFonts w:eastAsia="Segoe UI Semilight" w:cs="Arial"/>
                          <w:color w:val="FFFFFF"/>
                          <w:spacing w:val="33"/>
                          <w:sz w:val="20"/>
                          <w:szCs w:val="20"/>
                        </w:rPr>
                        <w:t xml:space="preserve"> </w:t>
                      </w:r>
                      <w:r w:rsidRPr="004E0302">
                        <w:rPr>
                          <w:rFonts w:eastAsia="Segoe UI Semilight" w:cs="Arial"/>
                          <w:color w:val="FFFFFF"/>
                          <w:spacing w:val="-1"/>
                          <w:sz w:val="20"/>
                          <w:szCs w:val="20"/>
                        </w:rPr>
                        <w:t>promote</w:t>
                      </w:r>
                      <w:r w:rsidRPr="004E0302">
                        <w:rPr>
                          <w:rFonts w:eastAsia="Segoe UI Semilight" w:cs="Arial"/>
                          <w:color w:val="FFFFFF"/>
                          <w:spacing w:val="31"/>
                          <w:sz w:val="20"/>
                          <w:szCs w:val="20"/>
                        </w:rPr>
                        <w:t xml:space="preserve"> </w:t>
                      </w:r>
                      <w:r w:rsidRPr="004E0302">
                        <w:rPr>
                          <w:rFonts w:eastAsia="Segoe UI Semilight" w:cs="Arial"/>
                          <w:color w:val="FFFFFF"/>
                          <w:spacing w:val="-1"/>
                          <w:sz w:val="20"/>
                          <w:szCs w:val="20"/>
                        </w:rPr>
                        <w:t>innovation</w:t>
                      </w:r>
                      <w:r w:rsidRPr="004E0302">
                        <w:rPr>
                          <w:rFonts w:eastAsia="Segoe UI Semilight" w:cs="Arial"/>
                          <w:color w:val="FFFFFF"/>
                          <w:spacing w:val="35"/>
                          <w:sz w:val="20"/>
                          <w:szCs w:val="20"/>
                        </w:rPr>
                        <w:t xml:space="preserve"> </w:t>
                      </w:r>
                      <w:r w:rsidRPr="004E0302">
                        <w:rPr>
                          <w:rFonts w:eastAsia="Segoe UI Semilight" w:cs="Arial"/>
                          <w:color w:val="FFFFFF"/>
                          <w:spacing w:val="-1"/>
                          <w:sz w:val="20"/>
                          <w:szCs w:val="20"/>
                        </w:rPr>
                        <w:t>in</w:t>
                      </w:r>
                      <w:r w:rsidRPr="004E0302">
                        <w:rPr>
                          <w:rFonts w:eastAsia="Segoe UI Semilight" w:cs="Arial"/>
                          <w:color w:val="FFFFFF"/>
                          <w:spacing w:val="32"/>
                          <w:sz w:val="20"/>
                          <w:szCs w:val="20"/>
                        </w:rPr>
                        <w:t xml:space="preserve"> </w:t>
                      </w:r>
                      <w:r w:rsidRPr="004E0302">
                        <w:rPr>
                          <w:rFonts w:eastAsia="Segoe UI Semilight" w:cs="Arial"/>
                          <w:color w:val="FFFFFF"/>
                          <w:sz w:val="20"/>
                          <w:szCs w:val="20"/>
                        </w:rPr>
                        <w:t>the</w:t>
                      </w:r>
                      <w:r w:rsidRPr="004E0302">
                        <w:rPr>
                          <w:rFonts w:eastAsia="Segoe UI Semilight" w:cs="Arial"/>
                          <w:color w:val="FFFFFF"/>
                          <w:spacing w:val="31"/>
                          <w:sz w:val="20"/>
                          <w:szCs w:val="20"/>
                        </w:rPr>
                        <w:t xml:space="preserve"> </w:t>
                      </w:r>
                      <w:r w:rsidRPr="004E0302">
                        <w:rPr>
                          <w:rFonts w:eastAsia="Segoe UI Semilight" w:cs="Arial"/>
                          <w:color w:val="FFFFFF"/>
                          <w:spacing w:val="-1"/>
                          <w:sz w:val="20"/>
                          <w:szCs w:val="20"/>
                        </w:rPr>
                        <w:t>health</w:t>
                      </w:r>
                      <w:r w:rsidRPr="004E0302">
                        <w:rPr>
                          <w:rFonts w:eastAsia="Segoe UI Semilight" w:cs="Arial"/>
                          <w:color w:val="FFFFFF"/>
                          <w:spacing w:val="35"/>
                          <w:sz w:val="20"/>
                          <w:szCs w:val="20"/>
                        </w:rPr>
                        <w:t xml:space="preserve"> </w:t>
                      </w:r>
                      <w:r w:rsidRPr="004E0302">
                        <w:rPr>
                          <w:rFonts w:eastAsia="Segoe UI Semilight" w:cs="Arial"/>
                          <w:color w:val="FFFFFF"/>
                          <w:spacing w:val="-1"/>
                          <w:sz w:val="20"/>
                          <w:szCs w:val="20"/>
                        </w:rPr>
                        <w:t>service.</w:t>
                      </w:r>
                      <w:r w:rsidRPr="004E0302">
                        <w:rPr>
                          <w:rFonts w:eastAsia="Segoe UI Semilight" w:cs="Arial"/>
                          <w:color w:val="FFFFFF"/>
                          <w:spacing w:val="64"/>
                          <w:sz w:val="20"/>
                          <w:szCs w:val="20"/>
                        </w:rPr>
                        <w:t xml:space="preserve"> </w:t>
                      </w:r>
                      <w:r w:rsidRPr="004E0302">
                        <w:rPr>
                          <w:rFonts w:eastAsia="Segoe UI Semilight" w:cs="Arial"/>
                          <w:color w:val="FFFFFF"/>
                          <w:spacing w:val="1"/>
                          <w:sz w:val="20"/>
                          <w:szCs w:val="20"/>
                        </w:rPr>
                        <w:t>If</w:t>
                      </w:r>
                      <w:r w:rsidRPr="004E0302">
                        <w:rPr>
                          <w:rFonts w:eastAsia="Segoe UI Semilight" w:cs="Arial"/>
                          <w:color w:val="FFFFFF"/>
                          <w:spacing w:val="32"/>
                          <w:sz w:val="20"/>
                          <w:szCs w:val="20"/>
                        </w:rPr>
                        <w:t xml:space="preserve"> </w:t>
                      </w:r>
                      <w:r w:rsidRPr="004E0302">
                        <w:rPr>
                          <w:rFonts w:eastAsia="Segoe UI Semilight" w:cs="Arial"/>
                          <w:color w:val="FFFFFF"/>
                          <w:sz w:val="20"/>
                          <w:szCs w:val="20"/>
                        </w:rPr>
                        <w:t>a</w:t>
                      </w:r>
                      <w:r w:rsidRPr="004E0302">
                        <w:rPr>
                          <w:rFonts w:eastAsia="Segoe UI Semilight" w:cs="Arial"/>
                          <w:color w:val="FFFFFF"/>
                          <w:spacing w:val="55"/>
                          <w:w w:val="99"/>
                          <w:sz w:val="20"/>
                          <w:szCs w:val="20"/>
                        </w:rPr>
                        <w:t xml:space="preserve"> </w:t>
                      </w:r>
                      <w:r w:rsidRPr="004E0302">
                        <w:rPr>
                          <w:rFonts w:eastAsia="Segoe UI Semilight" w:cs="Arial"/>
                          <w:color w:val="FFFFFF"/>
                          <w:spacing w:val="-1"/>
                          <w:sz w:val="20"/>
                          <w:szCs w:val="20"/>
                        </w:rPr>
                        <w:t>request</w:t>
                      </w:r>
                      <w:r w:rsidRPr="004E0302">
                        <w:rPr>
                          <w:rFonts w:eastAsia="Segoe UI Semilight" w:cs="Arial"/>
                          <w:color w:val="FFFFFF"/>
                          <w:spacing w:val="46"/>
                          <w:sz w:val="20"/>
                          <w:szCs w:val="20"/>
                        </w:rPr>
                        <w:t xml:space="preserve"> </w:t>
                      </w:r>
                      <w:r w:rsidRPr="004E0302">
                        <w:rPr>
                          <w:rFonts w:eastAsia="Segoe UI Semilight" w:cs="Arial"/>
                          <w:color w:val="FFFFFF"/>
                          <w:spacing w:val="-1"/>
                          <w:sz w:val="20"/>
                          <w:szCs w:val="20"/>
                        </w:rPr>
                        <w:t>was</w:t>
                      </w:r>
                      <w:r w:rsidRPr="004E0302">
                        <w:rPr>
                          <w:rFonts w:eastAsia="Segoe UI Semilight" w:cs="Arial"/>
                          <w:color w:val="FFFFFF"/>
                          <w:spacing w:val="47"/>
                          <w:sz w:val="20"/>
                          <w:szCs w:val="20"/>
                        </w:rPr>
                        <w:t xml:space="preserve"> </w:t>
                      </w:r>
                      <w:r w:rsidRPr="004E0302">
                        <w:rPr>
                          <w:rFonts w:eastAsia="Segoe UI Semilight" w:cs="Arial"/>
                          <w:color w:val="FFFFFF"/>
                          <w:sz w:val="20"/>
                          <w:szCs w:val="20"/>
                        </w:rPr>
                        <w:t>received</w:t>
                      </w:r>
                      <w:r w:rsidRPr="004E0302">
                        <w:rPr>
                          <w:rFonts w:eastAsia="Segoe UI Semilight" w:cs="Arial"/>
                          <w:color w:val="FFFFFF"/>
                          <w:spacing w:val="48"/>
                          <w:sz w:val="20"/>
                          <w:szCs w:val="20"/>
                        </w:rPr>
                        <w:t xml:space="preserve"> </w:t>
                      </w:r>
                      <w:r w:rsidRPr="004E0302">
                        <w:rPr>
                          <w:rFonts w:eastAsia="Segoe UI Semilight" w:cs="Arial"/>
                          <w:color w:val="FFFFFF"/>
                          <w:spacing w:val="-1"/>
                          <w:sz w:val="20"/>
                          <w:szCs w:val="20"/>
                        </w:rPr>
                        <w:t>by</w:t>
                      </w:r>
                      <w:r w:rsidRPr="004E0302">
                        <w:rPr>
                          <w:rFonts w:eastAsia="Segoe UI Semilight" w:cs="Arial"/>
                          <w:color w:val="FFFFFF"/>
                          <w:spacing w:val="47"/>
                          <w:sz w:val="20"/>
                          <w:szCs w:val="20"/>
                        </w:rPr>
                        <w:t xml:space="preserve"> </w:t>
                      </w:r>
                      <w:r w:rsidRPr="004E0302">
                        <w:rPr>
                          <w:rFonts w:eastAsia="Segoe UI Semilight" w:cs="Arial"/>
                          <w:color w:val="FFFFFF"/>
                          <w:sz w:val="20"/>
                          <w:szCs w:val="20"/>
                        </w:rPr>
                        <w:t>a</w:t>
                      </w:r>
                      <w:r w:rsidRPr="004E0302">
                        <w:rPr>
                          <w:rFonts w:eastAsia="Segoe UI Semilight" w:cs="Arial"/>
                          <w:color w:val="FFFFFF"/>
                          <w:spacing w:val="46"/>
                          <w:sz w:val="20"/>
                          <w:szCs w:val="20"/>
                        </w:rPr>
                        <w:t xml:space="preserve"> </w:t>
                      </w:r>
                      <w:r w:rsidRPr="004E0302">
                        <w:rPr>
                          <w:rFonts w:eastAsia="Segoe UI Semilight" w:cs="Arial"/>
                          <w:color w:val="FFFFFF"/>
                          <w:spacing w:val="-1"/>
                          <w:sz w:val="20"/>
                          <w:szCs w:val="20"/>
                        </w:rPr>
                        <w:t>commissioner</w:t>
                      </w:r>
                      <w:r w:rsidRPr="004E0302">
                        <w:rPr>
                          <w:rFonts w:eastAsia="Segoe UI Semilight" w:cs="Arial"/>
                          <w:color w:val="FFFFFF"/>
                          <w:spacing w:val="48"/>
                          <w:sz w:val="20"/>
                          <w:szCs w:val="20"/>
                        </w:rPr>
                        <w:t xml:space="preserve"> </w:t>
                      </w:r>
                      <w:r w:rsidRPr="004E0302">
                        <w:rPr>
                          <w:rFonts w:eastAsia="Segoe UI Semilight" w:cs="Arial"/>
                          <w:color w:val="FFFFFF"/>
                          <w:sz w:val="20"/>
                          <w:szCs w:val="20"/>
                        </w:rPr>
                        <w:t>for</w:t>
                      </w:r>
                      <w:r w:rsidRPr="004E0302">
                        <w:rPr>
                          <w:rFonts w:eastAsia="Segoe UI Semilight" w:cs="Arial"/>
                          <w:color w:val="FFFFFF"/>
                          <w:spacing w:val="46"/>
                          <w:sz w:val="20"/>
                          <w:szCs w:val="20"/>
                        </w:rPr>
                        <w:t xml:space="preserve"> </w:t>
                      </w:r>
                      <w:r w:rsidRPr="004E0302">
                        <w:rPr>
                          <w:rFonts w:eastAsia="Segoe UI Semilight" w:cs="Arial"/>
                          <w:color w:val="FFFFFF"/>
                          <w:spacing w:val="-1"/>
                          <w:sz w:val="20"/>
                          <w:szCs w:val="20"/>
                        </w:rPr>
                        <w:t>e.g.</w:t>
                      </w:r>
                      <w:r w:rsidRPr="004E0302">
                        <w:rPr>
                          <w:rFonts w:eastAsia="Segoe UI Semilight" w:cs="Arial"/>
                          <w:color w:val="FFFFFF"/>
                          <w:spacing w:val="49"/>
                          <w:sz w:val="20"/>
                          <w:szCs w:val="20"/>
                        </w:rPr>
                        <w:t xml:space="preserve"> </w:t>
                      </w:r>
                      <w:r w:rsidRPr="004E0302">
                        <w:rPr>
                          <w:rFonts w:eastAsia="Segoe UI Semilight" w:cs="Arial"/>
                          <w:color w:val="FFFFFF"/>
                          <w:spacing w:val="-1"/>
                          <w:sz w:val="20"/>
                          <w:szCs w:val="20"/>
                        </w:rPr>
                        <w:t>extra</w:t>
                      </w:r>
                      <w:r w:rsidRPr="004E0302">
                        <w:rPr>
                          <w:rFonts w:eastAsia="Segoe UI Semilight" w:cs="Arial"/>
                          <w:color w:val="FFFFFF"/>
                          <w:spacing w:val="46"/>
                          <w:sz w:val="20"/>
                          <w:szCs w:val="20"/>
                        </w:rPr>
                        <w:t xml:space="preserve"> </w:t>
                      </w:r>
                      <w:r w:rsidRPr="004E0302">
                        <w:rPr>
                          <w:rFonts w:eastAsia="Segoe UI Semilight" w:cs="Arial"/>
                          <w:color w:val="FFFFFF"/>
                          <w:spacing w:val="-1"/>
                          <w:sz w:val="20"/>
                          <w:szCs w:val="20"/>
                        </w:rPr>
                        <w:t>funding</w:t>
                      </w:r>
                      <w:r w:rsidRPr="004E0302">
                        <w:rPr>
                          <w:rFonts w:eastAsia="Segoe UI Semilight" w:cs="Arial"/>
                          <w:color w:val="FFFFFF"/>
                          <w:spacing w:val="47"/>
                          <w:sz w:val="20"/>
                          <w:szCs w:val="20"/>
                        </w:rPr>
                        <w:t xml:space="preserve"> </w:t>
                      </w:r>
                      <w:r w:rsidRPr="004E0302">
                        <w:rPr>
                          <w:rFonts w:eastAsia="Segoe UI Semilight" w:cs="Arial"/>
                          <w:color w:val="FFFFFF"/>
                          <w:sz w:val="20"/>
                          <w:szCs w:val="20"/>
                        </w:rPr>
                        <w:t>to</w:t>
                      </w:r>
                      <w:r w:rsidRPr="004E0302">
                        <w:rPr>
                          <w:rFonts w:eastAsia="Segoe UI Semilight" w:cs="Arial"/>
                          <w:color w:val="FFFFFF"/>
                          <w:spacing w:val="53"/>
                          <w:sz w:val="20"/>
                          <w:szCs w:val="20"/>
                        </w:rPr>
                        <w:t xml:space="preserve"> </w:t>
                      </w:r>
                      <w:r w:rsidRPr="004E0302">
                        <w:rPr>
                          <w:rFonts w:eastAsia="Segoe UI Semilight" w:cs="Arial"/>
                          <w:color w:val="FFFFFF"/>
                          <w:spacing w:val="-1"/>
                          <w:sz w:val="20"/>
                          <w:szCs w:val="20"/>
                        </w:rPr>
                        <w:t>support</w:t>
                      </w:r>
                      <w:r w:rsidRPr="004E0302">
                        <w:rPr>
                          <w:rFonts w:eastAsia="Segoe UI Semilight" w:cs="Arial"/>
                          <w:color w:val="FFFFFF"/>
                          <w:spacing w:val="5"/>
                          <w:sz w:val="20"/>
                          <w:szCs w:val="20"/>
                        </w:rPr>
                        <w:t xml:space="preserve"> </w:t>
                      </w:r>
                      <w:r w:rsidRPr="004E0302">
                        <w:rPr>
                          <w:rFonts w:eastAsia="Segoe UI Semilight" w:cs="Arial"/>
                          <w:color w:val="FFFFFF"/>
                          <w:spacing w:val="-1"/>
                          <w:sz w:val="20"/>
                          <w:szCs w:val="20"/>
                        </w:rPr>
                        <w:t>the</w:t>
                      </w:r>
                      <w:r w:rsidRPr="004E0302">
                        <w:rPr>
                          <w:rFonts w:eastAsia="Segoe UI Semilight" w:cs="Arial"/>
                          <w:color w:val="FFFFFF"/>
                          <w:spacing w:val="7"/>
                          <w:sz w:val="20"/>
                          <w:szCs w:val="20"/>
                        </w:rPr>
                        <w:t xml:space="preserve"> </w:t>
                      </w:r>
                      <w:r w:rsidRPr="004E0302">
                        <w:rPr>
                          <w:rFonts w:eastAsia="Segoe UI Semilight" w:cs="Arial"/>
                          <w:color w:val="FFFFFF"/>
                          <w:spacing w:val="-1"/>
                          <w:sz w:val="20"/>
                          <w:szCs w:val="20"/>
                        </w:rPr>
                        <w:t>implementation</w:t>
                      </w:r>
                      <w:r w:rsidRPr="004E0302">
                        <w:rPr>
                          <w:rFonts w:eastAsia="Segoe UI Semilight" w:cs="Arial"/>
                          <w:color w:val="FFFFFF"/>
                          <w:spacing w:val="5"/>
                          <w:sz w:val="20"/>
                          <w:szCs w:val="20"/>
                        </w:rPr>
                        <w:t xml:space="preserve"> </w:t>
                      </w:r>
                      <w:r w:rsidRPr="004E0302">
                        <w:rPr>
                          <w:rFonts w:eastAsia="Segoe UI Semilight" w:cs="Arial"/>
                          <w:color w:val="FFFFFF"/>
                          <w:sz w:val="20"/>
                          <w:szCs w:val="20"/>
                        </w:rPr>
                        <w:t>of</w:t>
                      </w:r>
                      <w:r w:rsidRPr="004E0302">
                        <w:rPr>
                          <w:rFonts w:eastAsia="Segoe UI Semilight" w:cs="Arial"/>
                          <w:color w:val="FFFFFF"/>
                          <w:spacing w:val="4"/>
                          <w:sz w:val="20"/>
                          <w:szCs w:val="20"/>
                        </w:rPr>
                        <w:t xml:space="preserve"> </w:t>
                      </w:r>
                      <w:r w:rsidRPr="004E0302">
                        <w:rPr>
                          <w:rFonts w:eastAsia="Segoe UI Semilight" w:cs="Arial"/>
                          <w:color w:val="FFFFFF"/>
                          <w:sz w:val="20"/>
                          <w:szCs w:val="20"/>
                        </w:rPr>
                        <w:t>a</w:t>
                      </w:r>
                      <w:r w:rsidRPr="004E0302">
                        <w:rPr>
                          <w:rFonts w:eastAsia="Segoe UI Semilight" w:cs="Arial"/>
                          <w:color w:val="FFFFFF"/>
                          <w:spacing w:val="8"/>
                          <w:sz w:val="20"/>
                          <w:szCs w:val="20"/>
                        </w:rPr>
                        <w:t xml:space="preserve"> </w:t>
                      </w:r>
                      <w:r w:rsidRPr="004E0302">
                        <w:rPr>
                          <w:rFonts w:eastAsia="Segoe UI Semilight" w:cs="Arial"/>
                          <w:color w:val="FFFFFF"/>
                          <w:spacing w:val="-1"/>
                          <w:sz w:val="20"/>
                          <w:szCs w:val="20"/>
                        </w:rPr>
                        <w:t>local</w:t>
                      </w:r>
                      <w:r w:rsidRPr="004E0302">
                        <w:rPr>
                          <w:rFonts w:eastAsia="Segoe UI Semilight" w:cs="Arial"/>
                          <w:color w:val="FFFFFF"/>
                          <w:spacing w:val="7"/>
                          <w:sz w:val="20"/>
                          <w:szCs w:val="20"/>
                        </w:rPr>
                        <w:t xml:space="preserve"> </w:t>
                      </w:r>
                      <w:r w:rsidRPr="004E0302">
                        <w:rPr>
                          <w:rFonts w:eastAsia="Segoe UI Semilight" w:cs="Arial"/>
                          <w:color w:val="FFFFFF"/>
                          <w:spacing w:val="-1"/>
                          <w:sz w:val="20"/>
                          <w:szCs w:val="20"/>
                        </w:rPr>
                        <w:t>telehealth</w:t>
                      </w:r>
                      <w:r w:rsidRPr="004E0302">
                        <w:rPr>
                          <w:rFonts w:eastAsia="Segoe UI Semilight" w:cs="Arial"/>
                          <w:color w:val="FFFFFF"/>
                          <w:spacing w:val="5"/>
                          <w:sz w:val="20"/>
                          <w:szCs w:val="20"/>
                        </w:rPr>
                        <w:t xml:space="preserve"> </w:t>
                      </w:r>
                      <w:r w:rsidRPr="004E0302">
                        <w:rPr>
                          <w:rFonts w:eastAsia="Segoe UI Semilight" w:cs="Arial"/>
                          <w:color w:val="FFFFFF"/>
                          <w:spacing w:val="-1"/>
                          <w:sz w:val="20"/>
                          <w:szCs w:val="20"/>
                        </w:rPr>
                        <w:t>initiative</w:t>
                      </w:r>
                      <w:r w:rsidRPr="004E0302">
                        <w:rPr>
                          <w:rFonts w:eastAsia="Segoe UI Semilight" w:cs="Arial"/>
                          <w:color w:val="FFFFFF"/>
                          <w:spacing w:val="7"/>
                          <w:sz w:val="20"/>
                          <w:szCs w:val="20"/>
                        </w:rPr>
                        <w:t xml:space="preserve"> </w:t>
                      </w:r>
                      <w:r w:rsidRPr="004E0302">
                        <w:rPr>
                          <w:rFonts w:eastAsia="Segoe UI Semilight" w:cs="Arial"/>
                          <w:color w:val="FFFFFF"/>
                          <w:spacing w:val="-1"/>
                          <w:sz w:val="20"/>
                          <w:szCs w:val="20"/>
                        </w:rPr>
                        <w:t>they</w:t>
                      </w:r>
                      <w:r w:rsidRPr="004E0302">
                        <w:rPr>
                          <w:rFonts w:eastAsia="Segoe UI Semilight" w:cs="Arial"/>
                          <w:color w:val="FFFFFF"/>
                          <w:spacing w:val="6"/>
                          <w:sz w:val="20"/>
                          <w:szCs w:val="20"/>
                        </w:rPr>
                        <w:t xml:space="preserve"> </w:t>
                      </w:r>
                      <w:r w:rsidRPr="004E0302">
                        <w:rPr>
                          <w:rFonts w:eastAsia="Segoe UI Semilight" w:cs="Arial"/>
                          <w:color w:val="FFFFFF"/>
                          <w:spacing w:val="-1"/>
                          <w:sz w:val="20"/>
                          <w:szCs w:val="20"/>
                        </w:rPr>
                        <w:t>would</w:t>
                      </w:r>
                      <w:r w:rsidRPr="004E0302">
                        <w:rPr>
                          <w:rFonts w:eastAsia="Segoe UI Semilight" w:cs="Arial"/>
                          <w:color w:val="FFFFFF"/>
                          <w:spacing w:val="68"/>
                          <w:w w:val="99"/>
                          <w:sz w:val="20"/>
                          <w:szCs w:val="20"/>
                        </w:rPr>
                        <w:t xml:space="preserve"> </w:t>
                      </w:r>
                      <w:r w:rsidRPr="004E0302">
                        <w:rPr>
                          <w:rFonts w:eastAsia="Segoe UI Semilight" w:cs="Arial"/>
                          <w:color w:val="FFFFFF"/>
                          <w:spacing w:val="-1"/>
                          <w:sz w:val="20"/>
                          <w:szCs w:val="20"/>
                        </w:rPr>
                        <w:t>not</w:t>
                      </w:r>
                      <w:r w:rsidRPr="004E0302">
                        <w:rPr>
                          <w:rFonts w:eastAsia="Segoe UI Semilight" w:cs="Arial"/>
                          <w:color w:val="FFFFFF"/>
                          <w:spacing w:val="22"/>
                          <w:sz w:val="20"/>
                          <w:szCs w:val="20"/>
                        </w:rPr>
                        <w:t xml:space="preserve"> </w:t>
                      </w:r>
                      <w:r w:rsidRPr="004E0302">
                        <w:rPr>
                          <w:rFonts w:eastAsia="Segoe UI Semilight" w:cs="Arial"/>
                          <w:color w:val="FFFFFF"/>
                          <w:spacing w:val="-1"/>
                          <w:sz w:val="20"/>
                          <w:szCs w:val="20"/>
                        </w:rPr>
                        <w:t>be</w:t>
                      </w:r>
                      <w:r w:rsidRPr="004E0302">
                        <w:rPr>
                          <w:rFonts w:eastAsia="Segoe UI Semilight" w:cs="Arial"/>
                          <w:color w:val="FFFFFF"/>
                          <w:spacing w:val="20"/>
                          <w:sz w:val="20"/>
                          <w:szCs w:val="20"/>
                        </w:rPr>
                        <w:t xml:space="preserve"> </w:t>
                      </w:r>
                      <w:r w:rsidRPr="004E0302">
                        <w:rPr>
                          <w:rFonts w:eastAsia="Segoe UI Semilight" w:cs="Arial"/>
                          <w:color w:val="FFFFFF"/>
                          <w:sz w:val="20"/>
                          <w:szCs w:val="20"/>
                        </w:rPr>
                        <w:t>obliged</w:t>
                      </w:r>
                      <w:r w:rsidRPr="004E0302">
                        <w:rPr>
                          <w:rFonts w:eastAsia="Segoe UI Semilight" w:cs="Arial"/>
                          <w:color w:val="FFFFFF"/>
                          <w:spacing w:val="20"/>
                          <w:sz w:val="20"/>
                          <w:szCs w:val="20"/>
                        </w:rPr>
                        <w:t xml:space="preserve"> </w:t>
                      </w:r>
                      <w:r w:rsidRPr="004E0302">
                        <w:rPr>
                          <w:rFonts w:eastAsia="Segoe UI Semilight" w:cs="Arial"/>
                          <w:color w:val="FFFFFF"/>
                          <w:sz w:val="20"/>
                          <w:szCs w:val="20"/>
                        </w:rPr>
                        <w:t>to</w:t>
                      </w:r>
                      <w:r w:rsidRPr="004E0302">
                        <w:rPr>
                          <w:rFonts w:eastAsia="Segoe UI Semilight" w:cs="Arial"/>
                          <w:color w:val="FFFFFF"/>
                          <w:spacing w:val="20"/>
                          <w:sz w:val="20"/>
                          <w:szCs w:val="20"/>
                        </w:rPr>
                        <w:t xml:space="preserve"> </w:t>
                      </w:r>
                      <w:r w:rsidRPr="004E0302">
                        <w:rPr>
                          <w:rFonts w:eastAsia="Segoe UI Semilight" w:cs="Arial"/>
                          <w:color w:val="FFFFFF"/>
                          <w:spacing w:val="-1"/>
                          <w:sz w:val="20"/>
                          <w:szCs w:val="20"/>
                        </w:rPr>
                        <w:t>support</w:t>
                      </w:r>
                      <w:r w:rsidRPr="004E0302">
                        <w:rPr>
                          <w:rFonts w:eastAsia="Segoe UI Semilight" w:cs="Arial"/>
                          <w:color w:val="FFFFFF"/>
                          <w:spacing w:val="22"/>
                          <w:sz w:val="20"/>
                          <w:szCs w:val="20"/>
                        </w:rPr>
                        <w:t xml:space="preserve"> </w:t>
                      </w:r>
                      <w:r w:rsidRPr="004E0302">
                        <w:rPr>
                          <w:rFonts w:eastAsia="Segoe UI Semilight" w:cs="Arial"/>
                          <w:color w:val="FFFFFF"/>
                          <w:spacing w:val="-1"/>
                          <w:sz w:val="20"/>
                          <w:szCs w:val="20"/>
                        </w:rPr>
                        <w:t>it</w:t>
                      </w:r>
                      <w:r w:rsidRPr="004E0302">
                        <w:rPr>
                          <w:rFonts w:eastAsia="Segoe UI Semilight" w:cs="Arial"/>
                          <w:color w:val="FFFFFF"/>
                          <w:spacing w:val="22"/>
                          <w:sz w:val="20"/>
                          <w:szCs w:val="20"/>
                        </w:rPr>
                        <w:t xml:space="preserve"> </w:t>
                      </w:r>
                      <w:r w:rsidRPr="004E0302">
                        <w:rPr>
                          <w:rFonts w:eastAsia="Segoe UI Semilight" w:cs="Arial"/>
                          <w:color w:val="FFFFFF"/>
                          <w:spacing w:val="-1"/>
                          <w:sz w:val="20"/>
                          <w:szCs w:val="20"/>
                        </w:rPr>
                        <w:t>because</w:t>
                      </w:r>
                      <w:r w:rsidRPr="004E0302">
                        <w:rPr>
                          <w:rFonts w:eastAsia="Segoe UI Semilight" w:cs="Arial"/>
                          <w:color w:val="FFFFFF"/>
                          <w:spacing w:val="24"/>
                          <w:sz w:val="20"/>
                          <w:szCs w:val="20"/>
                        </w:rPr>
                        <w:t xml:space="preserve"> </w:t>
                      </w:r>
                      <w:r w:rsidRPr="004E0302">
                        <w:rPr>
                          <w:rFonts w:eastAsia="Segoe UI Semilight" w:cs="Arial"/>
                          <w:color w:val="FFFFFF"/>
                          <w:spacing w:val="-1"/>
                          <w:sz w:val="20"/>
                          <w:szCs w:val="20"/>
                        </w:rPr>
                        <w:t>of</w:t>
                      </w:r>
                      <w:r w:rsidRPr="004E0302">
                        <w:rPr>
                          <w:rFonts w:eastAsia="Segoe UI Semilight" w:cs="Arial"/>
                          <w:color w:val="FFFFFF"/>
                          <w:spacing w:val="20"/>
                          <w:sz w:val="20"/>
                          <w:szCs w:val="20"/>
                        </w:rPr>
                        <w:t xml:space="preserve"> </w:t>
                      </w:r>
                      <w:r w:rsidRPr="004E0302">
                        <w:rPr>
                          <w:rFonts w:eastAsia="Segoe UI Semilight" w:cs="Arial"/>
                          <w:color w:val="FFFFFF"/>
                          <w:sz w:val="20"/>
                          <w:szCs w:val="20"/>
                        </w:rPr>
                        <w:t>the</w:t>
                      </w:r>
                      <w:r w:rsidRPr="004E0302">
                        <w:rPr>
                          <w:rFonts w:eastAsia="Segoe UI Semilight" w:cs="Arial"/>
                          <w:color w:val="FFFFFF"/>
                          <w:spacing w:val="20"/>
                          <w:sz w:val="20"/>
                          <w:szCs w:val="20"/>
                        </w:rPr>
                        <w:t xml:space="preserve"> </w:t>
                      </w:r>
                      <w:r w:rsidRPr="004E0302">
                        <w:rPr>
                          <w:rFonts w:eastAsia="Segoe UI Semilight" w:cs="Arial"/>
                          <w:color w:val="FFFFFF"/>
                          <w:spacing w:val="-1"/>
                          <w:sz w:val="20"/>
                          <w:szCs w:val="20"/>
                        </w:rPr>
                        <w:t>duty</w:t>
                      </w:r>
                      <w:r w:rsidRPr="004E0302">
                        <w:rPr>
                          <w:rFonts w:eastAsia="Segoe UI Semilight" w:cs="Arial"/>
                          <w:color w:val="FFFFFF"/>
                          <w:spacing w:val="21"/>
                          <w:sz w:val="20"/>
                          <w:szCs w:val="20"/>
                        </w:rPr>
                        <w:t xml:space="preserve"> </w:t>
                      </w:r>
                      <w:r w:rsidRPr="004E0302">
                        <w:rPr>
                          <w:rFonts w:eastAsia="Segoe UI Semilight" w:cs="Arial"/>
                          <w:color w:val="FFFFFF"/>
                          <w:sz w:val="20"/>
                          <w:szCs w:val="20"/>
                        </w:rPr>
                        <w:t>to</w:t>
                      </w:r>
                      <w:r w:rsidRPr="004E0302">
                        <w:rPr>
                          <w:rFonts w:eastAsia="Segoe UI Semilight" w:cs="Arial"/>
                          <w:color w:val="FFFFFF"/>
                          <w:spacing w:val="20"/>
                          <w:sz w:val="20"/>
                          <w:szCs w:val="20"/>
                        </w:rPr>
                        <w:t xml:space="preserve"> </w:t>
                      </w:r>
                      <w:r w:rsidRPr="004E0302">
                        <w:rPr>
                          <w:rFonts w:eastAsia="Segoe UI Semilight" w:cs="Arial"/>
                          <w:color w:val="FFFFFF"/>
                          <w:spacing w:val="-1"/>
                          <w:sz w:val="20"/>
                          <w:szCs w:val="20"/>
                        </w:rPr>
                        <w:t>promote</w:t>
                      </w:r>
                      <w:r w:rsidRPr="004E0302">
                        <w:rPr>
                          <w:rFonts w:eastAsia="Segoe UI Semilight" w:cs="Arial"/>
                          <w:color w:val="FFFFFF"/>
                          <w:spacing w:val="41"/>
                          <w:w w:val="99"/>
                          <w:sz w:val="20"/>
                          <w:szCs w:val="20"/>
                        </w:rPr>
                        <w:t xml:space="preserve"> </w:t>
                      </w:r>
                      <w:r w:rsidRPr="004E0302">
                        <w:rPr>
                          <w:rFonts w:eastAsia="Segoe UI Semilight" w:cs="Arial"/>
                          <w:color w:val="FFFFFF"/>
                          <w:spacing w:val="-1"/>
                          <w:sz w:val="20"/>
                          <w:szCs w:val="20"/>
                        </w:rPr>
                        <w:t>innovation.</w:t>
                      </w:r>
                      <w:r w:rsidRPr="004E0302">
                        <w:rPr>
                          <w:rFonts w:eastAsia="Segoe UI Semilight" w:cs="Arial"/>
                          <w:color w:val="FFFFFF"/>
                          <w:spacing w:val="10"/>
                          <w:sz w:val="20"/>
                          <w:szCs w:val="20"/>
                        </w:rPr>
                        <w:t xml:space="preserve"> </w:t>
                      </w:r>
                      <w:r w:rsidRPr="004E0302">
                        <w:rPr>
                          <w:rFonts w:eastAsia="Segoe UI Semilight" w:cs="Arial"/>
                          <w:color w:val="FFFFFF"/>
                          <w:spacing w:val="-1"/>
                          <w:sz w:val="20"/>
                          <w:szCs w:val="20"/>
                        </w:rPr>
                        <w:t>That</w:t>
                      </w:r>
                      <w:r w:rsidRPr="004E0302">
                        <w:rPr>
                          <w:rFonts w:eastAsia="Segoe UI Semilight" w:cs="Arial"/>
                          <w:color w:val="FFFFFF"/>
                          <w:spacing w:val="37"/>
                          <w:sz w:val="20"/>
                          <w:szCs w:val="20"/>
                        </w:rPr>
                        <w:t xml:space="preserve"> </w:t>
                      </w:r>
                      <w:r w:rsidRPr="004E0302">
                        <w:rPr>
                          <w:rFonts w:eastAsia="Segoe UI Semilight" w:cs="Arial"/>
                          <w:color w:val="FFFFFF"/>
                          <w:spacing w:val="-1"/>
                          <w:sz w:val="20"/>
                          <w:szCs w:val="20"/>
                        </w:rPr>
                        <w:t>duty</w:t>
                      </w:r>
                      <w:r w:rsidRPr="004E0302">
                        <w:rPr>
                          <w:rFonts w:eastAsia="Segoe UI Semilight" w:cs="Arial"/>
                          <w:color w:val="FFFFFF"/>
                          <w:spacing w:val="39"/>
                          <w:sz w:val="20"/>
                          <w:szCs w:val="20"/>
                        </w:rPr>
                        <w:t xml:space="preserve"> </w:t>
                      </w:r>
                      <w:r w:rsidRPr="004E0302">
                        <w:rPr>
                          <w:rFonts w:eastAsia="Segoe UI Semilight" w:cs="Arial"/>
                          <w:color w:val="FFFFFF"/>
                          <w:spacing w:val="-1"/>
                          <w:sz w:val="20"/>
                          <w:szCs w:val="20"/>
                        </w:rPr>
                        <w:t>has</w:t>
                      </w:r>
                      <w:r w:rsidRPr="004E0302">
                        <w:rPr>
                          <w:rFonts w:eastAsia="Segoe UI Semilight" w:cs="Arial"/>
                          <w:color w:val="FFFFFF"/>
                          <w:spacing w:val="37"/>
                          <w:sz w:val="20"/>
                          <w:szCs w:val="20"/>
                        </w:rPr>
                        <w:t xml:space="preserve"> </w:t>
                      </w:r>
                      <w:r w:rsidRPr="004E0302">
                        <w:rPr>
                          <w:rFonts w:eastAsia="Segoe UI Semilight" w:cs="Arial"/>
                          <w:color w:val="FFFFFF"/>
                          <w:spacing w:val="-1"/>
                          <w:sz w:val="20"/>
                          <w:szCs w:val="20"/>
                        </w:rPr>
                        <w:t>already</w:t>
                      </w:r>
                      <w:r w:rsidRPr="004E0302">
                        <w:rPr>
                          <w:rFonts w:eastAsia="Segoe UI Semilight" w:cs="Arial"/>
                          <w:color w:val="FFFFFF"/>
                          <w:spacing w:val="37"/>
                          <w:sz w:val="20"/>
                          <w:szCs w:val="20"/>
                        </w:rPr>
                        <w:t xml:space="preserve"> </w:t>
                      </w:r>
                      <w:r w:rsidRPr="004E0302">
                        <w:rPr>
                          <w:rFonts w:eastAsia="Segoe UI Semilight" w:cs="Arial"/>
                          <w:color w:val="FFFFFF"/>
                          <w:spacing w:val="-1"/>
                          <w:sz w:val="20"/>
                          <w:szCs w:val="20"/>
                        </w:rPr>
                        <w:t>been</w:t>
                      </w:r>
                      <w:r w:rsidRPr="004E0302">
                        <w:rPr>
                          <w:rFonts w:eastAsia="Segoe UI Semilight" w:cs="Arial"/>
                          <w:color w:val="FFFFFF"/>
                          <w:spacing w:val="39"/>
                          <w:sz w:val="20"/>
                          <w:szCs w:val="20"/>
                        </w:rPr>
                        <w:t xml:space="preserve"> </w:t>
                      </w:r>
                      <w:r w:rsidRPr="004E0302">
                        <w:rPr>
                          <w:rFonts w:eastAsia="Segoe UI Semilight" w:cs="Arial"/>
                          <w:color w:val="FFFFFF"/>
                          <w:spacing w:val="-1"/>
                          <w:sz w:val="20"/>
                          <w:szCs w:val="20"/>
                        </w:rPr>
                        <w:t>met</w:t>
                      </w:r>
                      <w:r w:rsidRPr="004E0302">
                        <w:rPr>
                          <w:rFonts w:eastAsia="Segoe UI Semilight" w:cs="Arial"/>
                          <w:color w:val="FFFFFF"/>
                          <w:spacing w:val="40"/>
                          <w:sz w:val="20"/>
                          <w:szCs w:val="20"/>
                        </w:rPr>
                        <w:t xml:space="preserve"> </w:t>
                      </w:r>
                      <w:r w:rsidRPr="004E0302">
                        <w:rPr>
                          <w:rFonts w:eastAsia="Segoe UI Semilight" w:cs="Arial"/>
                          <w:color w:val="FFFFFF"/>
                          <w:spacing w:val="-1"/>
                          <w:sz w:val="20"/>
                          <w:szCs w:val="20"/>
                        </w:rPr>
                        <w:t>by</w:t>
                      </w:r>
                      <w:r w:rsidRPr="004E0302">
                        <w:rPr>
                          <w:rFonts w:eastAsia="Segoe UI Semilight" w:cs="Arial"/>
                          <w:color w:val="FFFFFF"/>
                          <w:spacing w:val="36"/>
                          <w:sz w:val="20"/>
                          <w:szCs w:val="20"/>
                        </w:rPr>
                        <w:t xml:space="preserve"> </w:t>
                      </w:r>
                      <w:r w:rsidRPr="004E0302">
                        <w:rPr>
                          <w:rFonts w:eastAsia="Segoe UI Semilight" w:cs="Arial"/>
                          <w:color w:val="FFFFFF"/>
                          <w:sz w:val="20"/>
                          <w:szCs w:val="20"/>
                        </w:rPr>
                        <w:t>the commissioner</w:t>
                      </w:r>
                      <w:r w:rsidRPr="004E0302">
                        <w:rPr>
                          <w:rFonts w:eastAsia="Segoe UI Semilight" w:cs="Arial"/>
                          <w:color w:val="FFFFFF"/>
                          <w:spacing w:val="36"/>
                          <w:sz w:val="20"/>
                          <w:szCs w:val="20"/>
                        </w:rPr>
                        <w:t xml:space="preserve"> </w:t>
                      </w:r>
                      <w:r w:rsidRPr="004E0302">
                        <w:rPr>
                          <w:rFonts w:eastAsia="Segoe UI Semilight" w:cs="Arial"/>
                          <w:color w:val="FFFFFF"/>
                          <w:spacing w:val="-1"/>
                          <w:sz w:val="20"/>
                          <w:szCs w:val="20"/>
                        </w:rPr>
                        <w:t>in</w:t>
                      </w:r>
                      <w:r w:rsidRPr="004E0302">
                        <w:rPr>
                          <w:rFonts w:eastAsia="Segoe UI Semilight" w:cs="Arial"/>
                          <w:color w:val="FFFFFF"/>
                          <w:spacing w:val="39"/>
                          <w:sz w:val="20"/>
                          <w:szCs w:val="20"/>
                        </w:rPr>
                        <w:t xml:space="preserve"> </w:t>
                      </w:r>
                      <w:r w:rsidRPr="004E0302">
                        <w:rPr>
                          <w:rFonts w:eastAsia="Segoe UI Semilight" w:cs="Arial"/>
                          <w:color w:val="FFFFFF"/>
                          <w:sz w:val="20"/>
                          <w:szCs w:val="20"/>
                        </w:rPr>
                        <w:t>a</w:t>
                      </w:r>
                      <w:r w:rsidRPr="004E0302">
                        <w:rPr>
                          <w:rFonts w:eastAsia="Segoe UI Semilight" w:cs="Arial"/>
                          <w:color w:val="FFFFFF"/>
                          <w:spacing w:val="43"/>
                          <w:w w:val="99"/>
                          <w:sz w:val="20"/>
                          <w:szCs w:val="20"/>
                        </w:rPr>
                        <w:t xml:space="preserve"> </w:t>
                      </w:r>
                      <w:r w:rsidRPr="004E0302">
                        <w:rPr>
                          <w:rFonts w:eastAsia="Segoe UI Semilight" w:cs="Arial"/>
                          <w:color w:val="FFFFFF"/>
                          <w:spacing w:val="-1"/>
                          <w:sz w:val="20"/>
                          <w:szCs w:val="20"/>
                        </w:rPr>
                        <w:t>different</w:t>
                      </w:r>
                      <w:r w:rsidRPr="004E0302">
                        <w:rPr>
                          <w:rFonts w:eastAsia="Segoe UI Semilight" w:cs="Arial"/>
                          <w:color w:val="FFFFFF"/>
                          <w:spacing w:val="-8"/>
                          <w:sz w:val="20"/>
                          <w:szCs w:val="20"/>
                        </w:rPr>
                        <w:t xml:space="preserve"> </w:t>
                      </w:r>
                      <w:r w:rsidRPr="004E0302">
                        <w:rPr>
                          <w:rFonts w:eastAsia="Segoe UI Semilight" w:cs="Arial"/>
                          <w:color w:val="FFFFFF"/>
                          <w:spacing w:val="-1"/>
                          <w:sz w:val="20"/>
                          <w:szCs w:val="20"/>
                        </w:rPr>
                        <w:t>way.</w:t>
                      </w:r>
                    </w:p>
                  </w:txbxContent>
                </v:textbox>
                <w10:anchorlock/>
              </v:shape>
            </w:pict>
          </mc:Fallback>
        </mc:AlternateContent>
      </w:r>
    </w:p>
    <w:p w14:paraId="54654522" w14:textId="77777777" w:rsidR="00DB7F92" w:rsidRPr="00DB7F92" w:rsidRDefault="00DB7F92" w:rsidP="00DB7F92">
      <w:pPr>
        <w:spacing w:before="10"/>
        <w:jc w:val="both"/>
        <w:rPr>
          <w:rFonts w:eastAsia="Segoe UI Semilight" w:cs="Arial"/>
          <w:sz w:val="20"/>
          <w:szCs w:val="20"/>
        </w:rPr>
      </w:pPr>
    </w:p>
    <w:p w14:paraId="4C19FB19" w14:textId="68E17454" w:rsidR="00DB7F92" w:rsidRPr="00DB7F92" w:rsidRDefault="00D32C7A" w:rsidP="00DB7F92">
      <w:pPr>
        <w:pStyle w:val="Heading2"/>
        <w:rPr>
          <w:rFonts w:eastAsiaTheme="majorEastAsia"/>
        </w:rPr>
      </w:pPr>
      <w:bookmarkStart w:id="96" w:name="_Toc498495320"/>
      <w:r w:rsidRPr="00DB7F92">
        <w:rPr>
          <w:rFonts w:eastAsiaTheme="majorEastAsia"/>
        </w:rPr>
        <w:t>The</w:t>
      </w:r>
      <w:r w:rsidRPr="00DB7F92">
        <w:rPr>
          <w:rFonts w:eastAsiaTheme="majorEastAsia"/>
          <w:spacing w:val="1"/>
        </w:rPr>
        <w:t xml:space="preserve"> </w:t>
      </w:r>
      <w:r>
        <w:rPr>
          <w:rFonts w:eastAsiaTheme="majorEastAsia"/>
        </w:rPr>
        <w:t>View t</w:t>
      </w:r>
      <w:r w:rsidRPr="00DB7F92">
        <w:rPr>
          <w:rFonts w:eastAsiaTheme="majorEastAsia"/>
        </w:rPr>
        <w:t>o</w:t>
      </w:r>
      <w:r w:rsidRPr="00DB7F92">
        <w:rPr>
          <w:rFonts w:eastAsiaTheme="majorEastAsia"/>
          <w:spacing w:val="-2"/>
        </w:rPr>
        <w:t xml:space="preserve"> </w:t>
      </w:r>
      <w:r w:rsidRPr="00DB7F92">
        <w:rPr>
          <w:rFonts w:eastAsiaTheme="majorEastAsia"/>
        </w:rPr>
        <w:t>Duties</w:t>
      </w:r>
      <w:bookmarkEnd w:id="96"/>
    </w:p>
    <w:p w14:paraId="1BC2CE71" w14:textId="77777777" w:rsidR="00DB7F92" w:rsidRPr="00DB7F92" w:rsidRDefault="00DB7F92" w:rsidP="00DD5D2D">
      <w:pPr>
        <w:pStyle w:val="Heading3"/>
        <w:jc w:val="both"/>
        <w:rPr>
          <w:lang w:eastAsia="en-GB"/>
        </w:rPr>
      </w:pPr>
      <w:r w:rsidRPr="00DB7F92">
        <w:rPr>
          <w:lang w:eastAsia="en-GB"/>
        </w:rPr>
        <w:t>The</w:t>
      </w:r>
      <w:r w:rsidRPr="00DB7F92">
        <w:rPr>
          <w:spacing w:val="-4"/>
          <w:lang w:eastAsia="en-GB"/>
        </w:rPr>
        <w:t xml:space="preserve"> </w:t>
      </w:r>
      <w:r w:rsidRPr="00DB7F92">
        <w:rPr>
          <w:lang w:eastAsia="en-GB"/>
        </w:rPr>
        <w:t>"View</w:t>
      </w:r>
      <w:r w:rsidRPr="00DB7F92">
        <w:rPr>
          <w:spacing w:val="-3"/>
          <w:lang w:eastAsia="en-GB"/>
        </w:rPr>
        <w:t xml:space="preserve"> </w:t>
      </w:r>
      <w:r w:rsidRPr="00DB7F92">
        <w:rPr>
          <w:lang w:eastAsia="en-GB"/>
        </w:rPr>
        <w:t>To</w:t>
      </w:r>
      <w:r w:rsidRPr="00DB7F92">
        <w:rPr>
          <w:spacing w:val="-3"/>
          <w:lang w:eastAsia="en-GB"/>
        </w:rPr>
        <w:t xml:space="preserve"> </w:t>
      </w:r>
      <w:r w:rsidRPr="00DB7F92">
        <w:rPr>
          <w:lang w:eastAsia="en-GB"/>
        </w:rPr>
        <w:t>Duties"</w:t>
      </w:r>
      <w:r w:rsidRPr="00DB7F92">
        <w:rPr>
          <w:spacing w:val="-23"/>
          <w:lang w:eastAsia="en-GB"/>
        </w:rPr>
        <w:t xml:space="preserve"> </w:t>
      </w:r>
      <w:r w:rsidRPr="00DB7F92">
        <w:rPr>
          <w:lang w:eastAsia="en-GB"/>
        </w:rPr>
        <w:t>are:</w:t>
      </w:r>
    </w:p>
    <w:p w14:paraId="1B768F28" w14:textId="77777777" w:rsidR="00DB7F92" w:rsidRPr="00682EC4" w:rsidRDefault="00DB7F92" w:rsidP="005A7DDA">
      <w:pPr>
        <w:pStyle w:val="ListParagraph"/>
        <w:widowControl w:val="0"/>
        <w:numPr>
          <w:ilvl w:val="1"/>
          <w:numId w:val="94"/>
        </w:numPr>
        <w:tabs>
          <w:tab w:val="left" w:pos="2528"/>
        </w:tabs>
        <w:spacing w:before="120" w:after="120" w:line="360" w:lineRule="auto"/>
        <w:ind w:right="116"/>
        <w:jc w:val="both"/>
        <w:rPr>
          <w:rFonts w:cs="Arial"/>
          <w:bCs w:val="0"/>
          <w:spacing w:val="-1"/>
          <w:szCs w:val="24"/>
          <w:lang w:eastAsia="en-GB"/>
        </w:rPr>
      </w:pPr>
      <w:r w:rsidRPr="00682EC4">
        <w:rPr>
          <w:rFonts w:cs="Arial"/>
          <w:bCs w:val="0"/>
          <w:spacing w:val="-1"/>
          <w:szCs w:val="24"/>
          <w:lang w:eastAsia="en-GB"/>
        </w:rPr>
        <w:t xml:space="preserve">the duty to act with a view to delivering services in a way that promotes the NHS constitution (in respect of NHS England, see section 13C(1)(a) </w:t>
      </w:r>
      <w:r w:rsidRPr="00682EC4">
        <w:rPr>
          <w:rFonts w:cs="Arial"/>
          <w:bCs w:val="0"/>
          <w:spacing w:val="-1"/>
          <w:szCs w:val="24"/>
          <w:lang w:eastAsia="en-GB"/>
        </w:rPr>
        <w:lastRenderedPageBreak/>
        <w:t>of the NHS Act 2006; and, in respect of CCGs, see section 14P of the NHS Act 2006)</w:t>
      </w:r>
    </w:p>
    <w:p w14:paraId="2E5EBDA9" w14:textId="77777777" w:rsidR="00DB7F92" w:rsidRPr="00682EC4" w:rsidRDefault="00DB7F92" w:rsidP="005A7DDA">
      <w:pPr>
        <w:pStyle w:val="ListParagraph"/>
        <w:widowControl w:val="0"/>
        <w:numPr>
          <w:ilvl w:val="1"/>
          <w:numId w:val="94"/>
        </w:numPr>
        <w:tabs>
          <w:tab w:val="left" w:pos="2528"/>
        </w:tabs>
        <w:spacing w:before="120" w:after="120" w:line="360" w:lineRule="auto"/>
        <w:ind w:right="116"/>
        <w:jc w:val="both"/>
        <w:rPr>
          <w:rFonts w:cs="Arial"/>
          <w:bCs w:val="0"/>
          <w:spacing w:val="-1"/>
          <w:szCs w:val="24"/>
          <w:lang w:eastAsia="en-GB"/>
        </w:rPr>
      </w:pPr>
      <w:r w:rsidRPr="00682EC4">
        <w:rPr>
          <w:rFonts w:cs="Arial"/>
          <w:bCs w:val="0"/>
          <w:spacing w:val="-1"/>
          <w:szCs w:val="24"/>
          <w:lang w:eastAsia="en-GB"/>
        </w:rPr>
        <w:t>the duty to act with a view to securing continuous improvement in the quality of services in health and public health services (in respect of NHS England, see section 13E of the NHS Act 2006; and, in respect of CCGs, see section 14R of the NHS Act 2006)</w:t>
      </w:r>
    </w:p>
    <w:p w14:paraId="039EC4DB" w14:textId="77777777" w:rsidR="00DB7F92" w:rsidRPr="00682EC4" w:rsidRDefault="00DB7F92" w:rsidP="005A7DDA">
      <w:pPr>
        <w:pStyle w:val="ListParagraph"/>
        <w:widowControl w:val="0"/>
        <w:numPr>
          <w:ilvl w:val="1"/>
          <w:numId w:val="94"/>
        </w:numPr>
        <w:tabs>
          <w:tab w:val="left" w:pos="2528"/>
        </w:tabs>
        <w:spacing w:before="120" w:after="120" w:line="360" w:lineRule="auto"/>
        <w:ind w:right="116"/>
        <w:jc w:val="both"/>
        <w:rPr>
          <w:rFonts w:cs="Arial"/>
          <w:bCs w:val="0"/>
          <w:spacing w:val="-1"/>
          <w:szCs w:val="24"/>
          <w:lang w:eastAsia="en-GB"/>
        </w:rPr>
      </w:pPr>
      <w:r w:rsidRPr="00682EC4">
        <w:rPr>
          <w:rFonts w:cs="Arial"/>
          <w:bCs w:val="0"/>
          <w:spacing w:val="-1"/>
          <w:szCs w:val="24"/>
          <w:lang w:eastAsia="en-GB"/>
        </w:rPr>
        <w:t>the duty to act with a view to enabling patients to make choices about their care (in respect of NHS England, see section 13I of the NHS Act 2006; and, in respect of CCGs, see section 14R of the NHS Act 2006)</w:t>
      </w:r>
    </w:p>
    <w:p w14:paraId="7CF2AB78" w14:textId="77777777" w:rsidR="00DB7F92" w:rsidRPr="00682EC4" w:rsidRDefault="00DB7F92" w:rsidP="005A7DDA">
      <w:pPr>
        <w:pStyle w:val="ListParagraph"/>
        <w:widowControl w:val="0"/>
        <w:numPr>
          <w:ilvl w:val="1"/>
          <w:numId w:val="94"/>
        </w:numPr>
        <w:tabs>
          <w:tab w:val="left" w:pos="2528"/>
        </w:tabs>
        <w:spacing w:before="120" w:after="120" w:line="360" w:lineRule="auto"/>
        <w:ind w:right="116"/>
        <w:jc w:val="both"/>
        <w:rPr>
          <w:rFonts w:cs="Arial"/>
          <w:bCs w:val="0"/>
          <w:spacing w:val="-1"/>
          <w:szCs w:val="24"/>
          <w:lang w:eastAsia="en-GB"/>
        </w:rPr>
      </w:pPr>
      <w:r w:rsidRPr="00682EC4">
        <w:rPr>
          <w:rFonts w:cs="Arial"/>
          <w:bCs w:val="0"/>
          <w:spacing w:val="-1"/>
          <w:szCs w:val="24"/>
          <w:lang w:eastAsia="en-GB"/>
        </w:rPr>
        <w:t>the duty to act with a view to securing integration, including between health and other public services that impact on health,</w:t>
      </w:r>
    </w:p>
    <w:p w14:paraId="04A9175A" w14:textId="77777777" w:rsidR="00DB7F92" w:rsidRPr="00682EC4" w:rsidRDefault="00DB7F92" w:rsidP="005A7DDA">
      <w:pPr>
        <w:pStyle w:val="ListParagraph"/>
        <w:widowControl w:val="0"/>
        <w:numPr>
          <w:ilvl w:val="1"/>
          <w:numId w:val="94"/>
        </w:numPr>
        <w:tabs>
          <w:tab w:val="left" w:pos="2528"/>
        </w:tabs>
        <w:spacing w:before="120" w:after="120" w:line="360" w:lineRule="auto"/>
        <w:ind w:right="116"/>
        <w:jc w:val="both"/>
        <w:rPr>
          <w:rFonts w:cs="Arial"/>
          <w:bCs w:val="0"/>
          <w:spacing w:val="-1"/>
          <w:szCs w:val="24"/>
          <w:lang w:eastAsia="en-GB"/>
        </w:rPr>
      </w:pPr>
      <w:r w:rsidRPr="00682EC4">
        <w:rPr>
          <w:rFonts w:cs="Arial"/>
          <w:bCs w:val="0"/>
          <w:spacing w:val="-1"/>
          <w:szCs w:val="24"/>
          <w:lang w:eastAsia="en-GB"/>
        </w:rPr>
        <w:t>where this would improve health services (in respect of NHS England, see section 13N of the NHS Act 2006; and, in respect of CCGs, see section 14Z1 of the NHS Act 2006)</w:t>
      </w:r>
    </w:p>
    <w:p w14:paraId="65F19BCE" w14:textId="77777777" w:rsidR="00DB7F92" w:rsidRPr="00DB7F92" w:rsidRDefault="00DB7F92" w:rsidP="00DB7F92">
      <w:pPr>
        <w:spacing w:before="12"/>
        <w:jc w:val="both"/>
        <w:rPr>
          <w:rFonts w:eastAsia="Segoe UI Semilight" w:cs="Arial"/>
          <w:sz w:val="20"/>
          <w:szCs w:val="20"/>
        </w:rPr>
      </w:pPr>
    </w:p>
    <w:p w14:paraId="00F30BF3" w14:textId="77777777" w:rsidR="00DB7F92" w:rsidRPr="00DB7F92" w:rsidRDefault="00DB7F92" w:rsidP="00DD5D2D">
      <w:pPr>
        <w:pStyle w:val="Heading3"/>
        <w:jc w:val="both"/>
        <w:rPr>
          <w:lang w:eastAsia="en-GB"/>
        </w:rPr>
      </w:pPr>
      <w:r w:rsidRPr="00DB7F92">
        <w:rPr>
          <w:lang w:eastAsia="en-GB"/>
        </w:rPr>
        <w:t>the</w:t>
      </w:r>
      <w:r w:rsidRPr="00DB7F92">
        <w:rPr>
          <w:spacing w:val="50"/>
          <w:lang w:eastAsia="en-GB"/>
        </w:rPr>
        <w:t xml:space="preserve"> </w:t>
      </w:r>
      <w:r w:rsidRPr="00DB7F92">
        <w:rPr>
          <w:lang w:eastAsia="en-GB"/>
        </w:rPr>
        <w:t>duty</w:t>
      </w:r>
      <w:r w:rsidRPr="00DB7F92">
        <w:rPr>
          <w:spacing w:val="51"/>
          <w:lang w:eastAsia="en-GB"/>
        </w:rPr>
        <w:t xml:space="preserve"> </w:t>
      </w:r>
      <w:r w:rsidRPr="00DB7F92">
        <w:rPr>
          <w:lang w:eastAsia="en-GB"/>
        </w:rPr>
        <w:t>to</w:t>
      </w:r>
      <w:r w:rsidRPr="00DB7F92">
        <w:rPr>
          <w:spacing w:val="50"/>
          <w:lang w:eastAsia="en-GB"/>
        </w:rPr>
        <w:t xml:space="preserve"> </w:t>
      </w:r>
      <w:r w:rsidRPr="00DB7F92">
        <w:rPr>
          <w:lang w:eastAsia="en-GB"/>
        </w:rPr>
        <w:t>exercise</w:t>
      </w:r>
      <w:r w:rsidRPr="00DB7F92">
        <w:rPr>
          <w:spacing w:val="50"/>
          <w:lang w:eastAsia="en-GB"/>
        </w:rPr>
        <w:t xml:space="preserve"> </w:t>
      </w:r>
      <w:r w:rsidRPr="00DB7F92">
        <w:rPr>
          <w:lang w:eastAsia="en-GB"/>
        </w:rPr>
        <w:t>its</w:t>
      </w:r>
      <w:r w:rsidRPr="00DB7F92">
        <w:rPr>
          <w:spacing w:val="52"/>
          <w:lang w:eastAsia="en-GB"/>
        </w:rPr>
        <w:t xml:space="preserve"> </w:t>
      </w:r>
      <w:r w:rsidRPr="00DB7F92">
        <w:rPr>
          <w:lang w:eastAsia="en-GB"/>
        </w:rPr>
        <w:t>functions</w:t>
      </w:r>
      <w:r w:rsidRPr="00DB7F92">
        <w:rPr>
          <w:spacing w:val="52"/>
          <w:lang w:eastAsia="en-GB"/>
        </w:rPr>
        <w:t xml:space="preserve"> </w:t>
      </w:r>
      <w:r w:rsidRPr="00DB7F92">
        <w:rPr>
          <w:lang w:eastAsia="en-GB"/>
        </w:rPr>
        <w:t>with</w:t>
      </w:r>
      <w:r w:rsidRPr="00DB7F92">
        <w:rPr>
          <w:spacing w:val="51"/>
          <w:lang w:eastAsia="en-GB"/>
        </w:rPr>
        <w:t xml:space="preserve"> </w:t>
      </w:r>
      <w:r w:rsidRPr="00DB7F92">
        <w:rPr>
          <w:lang w:eastAsia="en-GB"/>
        </w:rPr>
        <w:t>a</w:t>
      </w:r>
      <w:r w:rsidRPr="00DB7F92">
        <w:rPr>
          <w:spacing w:val="51"/>
          <w:lang w:eastAsia="en-GB"/>
        </w:rPr>
        <w:t xml:space="preserve"> </w:t>
      </w:r>
      <w:r w:rsidRPr="00DB7F92">
        <w:rPr>
          <w:lang w:eastAsia="en-GB"/>
        </w:rPr>
        <w:t>view</w:t>
      </w:r>
      <w:r w:rsidRPr="00DB7F92">
        <w:rPr>
          <w:spacing w:val="51"/>
          <w:lang w:eastAsia="en-GB"/>
        </w:rPr>
        <w:t xml:space="preserve"> </w:t>
      </w:r>
      <w:r w:rsidRPr="00DB7F92">
        <w:rPr>
          <w:lang w:eastAsia="en-GB"/>
        </w:rPr>
        <w:t>to</w:t>
      </w:r>
      <w:r w:rsidRPr="00DB7F92">
        <w:rPr>
          <w:spacing w:val="50"/>
          <w:lang w:eastAsia="en-GB"/>
        </w:rPr>
        <w:t xml:space="preserve"> </w:t>
      </w:r>
      <w:r w:rsidRPr="00DB7F92">
        <w:rPr>
          <w:lang w:eastAsia="en-GB"/>
        </w:rPr>
        <w:t>securing</w:t>
      </w:r>
      <w:r w:rsidRPr="00DB7F92">
        <w:rPr>
          <w:spacing w:val="50"/>
          <w:lang w:eastAsia="en-GB"/>
        </w:rPr>
        <w:t xml:space="preserve"> </w:t>
      </w:r>
      <w:r w:rsidRPr="00DB7F92">
        <w:rPr>
          <w:lang w:eastAsia="en-GB"/>
        </w:rPr>
        <w:t>that</w:t>
      </w:r>
      <w:r w:rsidRPr="00DB7F92">
        <w:rPr>
          <w:spacing w:val="41"/>
          <w:w w:val="99"/>
          <w:lang w:eastAsia="en-GB"/>
        </w:rPr>
        <w:t xml:space="preserve"> </w:t>
      </w:r>
      <w:r w:rsidRPr="00DB7F92">
        <w:rPr>
          <w:lang w:eastAsia="en-GB"/>
        </w:rPr>
        <w:t>health</w:t>
      </w:r>
      <w:r w:rsidRPr="00DB7F92">
        <w:rPr>
          <w:spacing w:val="26"/>
          <w:lang w:eastAsia="en-GB"/>
        </w:rPr>
        <w:t xml:space="preserve"> </w:t>
      </w:r>
      <w:r w:rsidRPr="00DB7F92">
        <w:rPr>
          <w:lang w:eastAsia="en-GB"/>
        </w:rPr>
        <w:t>services</w:t>
      </w:r>
      <w:r w:rsidRPr="00DB7F92">
        <w:rPr>
          <w:spacing w:val="27"/>
          <w:lang w:eastAsia="en-GB"/>
        </w:rPr>
        <w:t xml:space="preserve"> </w:t>
      </w:r>
      <w:r w:rsidRPr="00DB7F92">
        <w:rPr>
          <w:lang w:eastAsia="en-GB"/>
        </w:rPr>
        <w:t>are</w:t>
      </w:r>
      <w:r w:rsidRPr="00DB7F92">
        <w:rPr>
          <w:spacing w:val="26"/>
          <w:lang w:eastAsia="en-GB"/>
        </w:rPr>
        <w:t xml:space="preserve"> </w:t>
      </w:r>
      <w:r w:rsidRPr="00DB7F92">
        <w:rPr>
          <w:lang w:eastAsia="en-GB"/>
        </w:rPr>
        <w:t>provided</w:t>
      </w:r>
      <w:r w:rsidRPr="00DB7F92">
        <w:rPr>
          <w:spacing w:val="25"/>
          <w:lang w:eastAsia="en-GB"/>
        </w:rPr>
        <w:t xml:space="preserve"> </w:t>
      </w:r>
      <w:r w:rsidRPr="00DB7F92">
        <w:rPr>
          <w:lang w:eastAsia="en-GB"/>
        </w:rPr>
        <w:t>in</w:t>
      </w:r>
      <w:r w:rsidRPr="00DB7F92">
        <w:rPr>
          <w:spacing w:val="27"/>
          <w:lang w:eastAsia="en-GB"/>
        </w:rPr>
        <w:t xml:space="preserve"> </w:t>
      </w:r>
      <w:r w:rsidRPr="00DB7F92">
        <w:rPr>
          <w:lang w:eastAsia="en-GB"/>
        </w:rPr>
        <w:t>an</w:t>
      </w:r>
      <w:r w:rsidRPr="00DB7F92">
        <w:rPr>
          <w:spacing w:val="26"/>
          <w:lang w:eastAsia="en-GB"/>
        </w:rPr>
        <w:t xml:space="preserve"> </w:t>
      </w:r>
      <w:r w:rsidRPr="00DB7F92">
        <w:rPr>
          <w:lang w:eastAsia="en-GB"/>
        </w:rPr>
        <w:t>integrated</w:t>
      </w:r>
      <w:r w:rsidRPr="00DB7F92">
        <w:rPr>
          <w:spacing w:val="26"/>
          <w:lang w:eastAsia="en-GB"/>
        </w:rPr>
        <w:t xml:space="preserve"> </w:t>
      </w:r>
      <w:r w:rsidRPr="00DB7F92">
        <w:rPr>
          <w:lang w:eastAsia="en-GB"/>
        </w:rPr>
        <w:t>way</w:t>
      </w:r>
      <w:r w:rsidRPr="00DB7F92">
        <w:rPr>
          <w:spacing w:val="27"/>
          <w:lang w:eastAsia="en-GB"/>
        </w:rPr>
        <w:t xml:space="preserve"> </w:t>
      </w:r>
      <w:r w:rsidRPr="00DB7F92">
        <w:rPr>
          <w:lang w:eastAsia="en-GB"/>
        </w:rPr>
        <w:t>where</w:t>
      </w:r>
      <w:r w:rsidRPr="00DB7F92">
        <w:rPr>
          <w:spacing w:val="26"/>
          <w:lang w:eastAsia="en-GB"/>
        </w:rPr>
        <w:t xml:space="preserve"> </w:t>
      </w:r>
      <w:r w:rsidRPr="00DB7F92">
        <w:rPr>
          <w:lang w:eastAsia="en-GB"/>
        </w:rPr>
        <w:t>it</w:t>
      </w:r>
      <w:r w:rsidRPr="00DB7F92">
        <w:rPr>
          <w:spacing w:val="58"/>
          <w:w w:val="99"/>
          <w:lang w:eastAsia="en-GB"/>
        </w:rPr>
        <w:t xml:space="preserve"> </w:t>
      </w:r>
      <w:r w:rsidRPr="00DB7F92">
        <w:rPr>
          <w:lang w:eastAsia="en-GB"/>
        </w:rPr>
        <w:t>considers</w:t>
      </w:r>
      <w:r w:rsidRPr="00DB7F92">
        <w:rPr>
          <w:spacing w:val="-6"/>
          <w:lang w:eastAsia="en-GB"/>
        </w:rPr>
        <w:t xml:space="preserve"> </w:t>
      </w:r>
      <w:r w:rsidRPr="00DB7F92">
        <w:rPr>
          <w:lang w:eastAsia="en-GB"/>
        </w:rPr>
        <w:t>that</w:t>
      </w:r>
      <w:r w:rsidRPr="00DB7F92">
        <w:rPr>
          <w:spacing w:val="-6"/>
          <w:lang w:eastAsia="en-GB"/>
        </w:rPr>
        <w:t xml:space="preserve"> </w:t>
      </w:r>
      <w:r w:rsidRPr="00DB7F92">
        <w:rPr>
          <w:lang w:eastAsia="en-GB"/>
        </w:rPr>
        <w:t>this</w:t>
      </w:r>
      <w:r w:rsidRPr="00DB7F92">
        <w:rPr>
          <w:spacing w:val="-6"/>
          <w:lang w:eastAsia="en-GB"/>
        </w:rPr>
        <w:t xml:space="preserve"> </w:t>
      </w:r>
      <w:r w:rsidRPr="00DB7F92">
        <w:rPr>
          <w:lang w:eastAsia="en-GB"/>
        </w:rPr>
        <w:t>would:</w:t>
      </w:r>
    </w:p>
    <w:p w14:paraId="071E2227" w14:textId="77777777" w:rsidR="00DB7F92" w:rsidRPr="00682EC4" w:rsidRDefault="00DB7F92" w:rsidP="005A7DDA">
      <w:pPr>
        <w:pStyle w:val="ListParagraph"/>
        <w:widowControl w:val="0"/>
        <w:numPr>
          <w:ilvl w:val="1"/>
          <w:numId w:val="94"/>
        </w:numPr>
        <w:tabs>
          <w:tab w:val="left" w:pos="2528"/>
        </w:tabs>
        <w:spacing w:before="120" w:after="120" w:line="360" w:lineRule="auto"/>
        <w:ind w:right="112"/>
        <w:jc w:val="both"/>
        <w:rPr>
          <w:rFonts w:cs="Arial"/>
          <w:bCs w:val="0"/>
          <w:spacing w:val="-1"/>
          <w:szCs w:val="24"/>
          <w:lang w:eastAsia="en-GB"/>
        </w:rPr>
      </w:pPr>
      <w:r w:rsidRPr="00682EC4">
        <w:rPr>
          <w:rFonts w:cs="Arial"/>
          <w:bCs w:val="0"/>
          <w:spacing w:val="-1"/>
          <w:szCs w:val="24"/>
          <w:lang w:eastAsia="en-GB"/>
        </w:rPr>
        <w:t>improve the quality of those services (including the outcomes that are achieved from their provision)</w:t>
      </w:r>
    </w:p>
    <w:p w14:paraId="64807109" w14:textId="77777777" w:rsidR="00DB7F92" w:rsidRPr="00682EC4" w:rsidRDefault="00DB7F92" w:rsidP="005A7DDA">
      <w:pPr>
        <w:pStyle w:val="ListParagraph"/>
        <w:widowControl w:val="0"/>
        <w:numPr>
          <w:ilvl w:val="1"/>
          <w:numId w:val="94"/>
        </w:numPr>
        <w:tabs>
          <w:tab w:val="left" w:pos="2528"/>
        </w:tabs>
        <w:spacing w:before="120" w:after="120" w:line="360" w:lineRule="auto"/>
        <w:ind w:right="117"/>
        <w:jc w:val="both"/>
        <w:rPr>
          <w:rFonts w:cs="Arial"/>
          <w:bCs w:val="0"/>
          <w:spacing w:val="-1"/>
          <w:szCs w:val="24"/>
          <w:lang w:eastAsia="en-GB"/>
        </w:rPr>
      </w:pPr>
      <w:r w:rsidRPr="00682EC4">
        <w:rPr>
          <w:rFonts w:cs="Arial"/>
          <w:bCs w:val="0"/>
          <w:spacing w:val="-1"/>
          <w:szCs w:val="24"/>
          <w:lang w:eastAsia="en-GB"/>
        </w:rPr>
        <w:t>reduce inequalities between persons with respect to their ability to access those services, or</w:t>
      </w:r>
    </w:p>
    <w:p w14:paraId="2E7D5E1E" w14:textId="77777777" w:rsidR="00DB7F92" w:rsidRPr="00682EC4" w:rsidRDefault="00DB7F92" w:rsidP="005A7DDA">
      <w:pPr>
        <w:pStyle w:val="ListParagraph"/>
        <w:widowControl w:val="0"/>
        <w:numPr>
          <w:ilvl w:val="1"/>
          <w:numId w:val="94"/>
        </w:numPr>
        <w:tabs>
          <w:tab w:val="left" w:pos="2528"/>
        </w:tabs>
        <w:spacing w:before="120" w:after="120" w:line="360" w:lineRule="auto"/>
        <w:ind w:right="117"/>
        <w:jc w:val="both"/>
        <w:rPr>
          <w:rFonts w:cs="Arial"/>
          <w:bCs w:val="0"/>
          <w:spacing w:val="-1"/>
          <w:szCs w:val="24"/>
          <w:lang w:eastAsia="en-GB"/>
        </w:rPr>
      </w:pPr>
      <w:r w:rsidRPr="00682EC4">
        <w:rPr>
          <w:rFonts w:cs="Arial"/>
          <w:bCs w:val="0"/>
          <w:spacing w:val="-1"/>
          <w:szCs w:val="24"/>
          <w:lang w:eastAsia="en-GB"/>
        </w:rPr>
        <w:t>reduce inequalities between persons with respect to the outcomes achieved for them by the provision of those services.</w:t>
      </w:r>
    </w:p>
    <w:p w14:paraId="1A908004" w14:textId="77777777" w:rsidR="00DB7F92" w:rsidRPr="00DB7F92" w:rsidRDefault="00DB7F92" w:rsidP="00DB7F92">
      <w:pPr>
        <w:widowControl w:val="0"/>
        <w:tabs>
          <w:tab w:val="left" w:pos="1559"/>
        </w:tabs>
        <w:spacing w:after="120"/>
        <w:ind w:right="115"/>
        <w:jc w:val="both"/>
        <w:rPr>
          <w:rFonts w:cs="Arial"/>
          <w:bCs w:val="0"/>
          <w:sz w:val="20"/>
          <w:szCs w:val="20"/>
          <w:lang w:eastAsia="en-GB"/>
        </w:rPr>
      </w:pPr>
      <w:r w:rsidRPr="00DB7F92">
        <w:rPr>
          <w:rFonts w:cs="Arial"/>
          <w:bCs w:val="0"/>
          <w:sz w:val="20"/>
          <w:szCs w:val="20"/>
          <w:lang w:eastAsia="en-GB"/>
        </w:rPr>
        <w:t>(In respect of NHS England, see section 13N of the NHS Act 2006; and in respect of CCGs, see section 14Z1 of the NHS Act 2006.)</w:t>
      </w:r>
    </w:p>
    <w:p w14:paraId="348BC822" w14:textId="77777777" w:rsidR="00DB7F92" w:rsidRPr="00DB7F92" w:rsidRDefault="00DB7F92" w:rsidP="00DD5D2D">
      <w:pPr>
        <w:pStyle w:val="Heading3"/>
        <w:jc w:val="both"/>
        <w:rPr>
          <w:lang w:eastAsia="en-GB"/>
        </w:rPr>
      </w:pPr>
      <w:r w:rsidRPr="00DB7F92">
        <w:rPr>
          <w:lang w:eastAsia="en-GB"/>
        </w:rPr>
        <w:t>In</w:t>
      </w:r>
      <w:r w:rsidRPr="00DB7F92">
        <w:rPr>
          <w:spacing w:val="5"/>
          <w:lang w:eastAsia="en-GB"/>
        </w:rPr>
        <w:t xml:space="preserve"> </w:t>
      </w:r>
      <w:r w:rsidRPr="00DB7F92">
        <w:rPr>
          <w:lang w:eastAsia="en-GB"/>
        </w:rPr>
        <w:t>many</w:t>
      </w:r>
      <w:r w:rsidRPr="00DB7F92">
        <w:rPr>
          <w:spacing w:val="6"/>
          <w:lang w:eastAsia="en-GB"/>
        </w:rPr>
        <w:t xml:space="preserve"> </w:t>
      </w:r>
      <w:r w:rsidRPr="00DB7F92">
        <w:rPr>
          <w:lang w:eastAsia="en-GB"/>
        </w:rPr>
        <w:t>ways</w:t>
      </w:r>
      <w:r w:rsidRPr="00DB7F92">
        <w:rPr>
          <w:spacing w:val="6"/>
          <w:lang w:eastAsia="en-GB"/>
        </w:rPr>
        <w:t xml:space="preserve"> </w:t>
      </w:r>
      <w:r w:rsidRPr="00DB7F92">
        <w:rPr>
          <w:lang w:eastAsia="en-GB"/>
        </w:rPr>
        <w:t>the</w:t>
      </w:r>
      <w:r w:rsidRPr="00DB7F92">
        <w:rPr>
          <w:spacing w:val="7"/>
          <w:lang w:eastAsia="en-GB"/>
        </w:rPr>
        <w:t xml:space="preserve"> </w:t>
      </w:r>
      <w:r w:rsidRPr="00DB7F92">
        <w:rPr>
          <w:lang w:eastAsia="en-GB"/>
        </w:rPr>
        <w:t>considerations</w:t>
      </w:r>
      <w:r w:rsidRPr="00DB7F92">
        <w:rPr>
          <w:spacing w:val="8"/>
          <w:lang w:eastAsia="en-GB"/>
        </w:rPr>
        <w:t xml:space="preserve"> </w:t>
      </w:r>
      <w:r w:rsidRPr="00DB7F92">
        <w:rPr>
          <w:lang w:eastAsia="en-GB"/>
        </w:rPr>
        <w:t>for</w:t>
      </w:r>
      <w:r w:rsidRPr="00DB7F92">
        <w:rPr>
          <w:spacing w:val="8"/>
          <w:lang w:eastAsia="en-GB"/>
        </w:rPr>
        <w:t xml:space="preserve"> </w:t>
      </w:r>
      <w:r w:rsidRPr="00DB7F92">
        <w:rPr>
          <w:lang w:eastAsia="en-GB"/>
        </w:rPr>
        <w:t>these</w:t>
      </w:r>
      <w:r w:rsidRPr="00DB7F92">
        <w:rPr>
          <w:spacing w:val="7"/>
          <w:lang w:eastAsia="en-GB"/>
        </w:rPr>
        <w:t xml:space="preserve"> </w:t>
      </w:r>
      <w:r w:rsidRPr="00DB7F92">
        <w:rPr>
          <w:lang w:eastAsia="en-GB"/>
        </w:rPr>
        <w:t>duties</w:t>
      </w:r>
      <w:r w:rsidRPr="00DB7F92">
        <w:rPr>
          <w:spacing w:val="6"/>
          <w:lang w:eastAsia="en-GB"/>
        </w:rPr>
        <w:t xml:space="preserve"> </w:t>
      </w:r>
      <w:r w:rsidRPr="00DB7F92">
        <w:rPr>
          <w:lang w:eastAsia="en-GB"/>
        </w:rPr>
        <w:t>and</w:t>
      </w:r>
      <w:r w:rsidRPr="00DB7F92">
        <w:rPr>
          <w:spacing w:val="4"/>
          <w:lang w:eastAsia="en-GB"/>
        </w:rPr>
        <w:t xml:space="preserve"> </w:t>
      </w:r>
      <w:r w:rsidRPr="00DB7F92">
        <w:rPr>
          <w:lang w:eastAsia="en-GB"/>
        </w:rPr>
        <w:t>the</w:t>
      </w:r>
      <w:r w:rsidRPr="00DB7F92">
        <w:rPr>
          <w:spacing w:val="4"/>
          <w:lang w:eastAsia="en-GB"/>
        </w:rPr>
        <w:t xml:space="preserve"> </w:t>
      </w:r>
      <w:r w:rsidRPr="00DB7F92">
        <w:rPr>
          <w:lang w:eastAsia="en-GB"/>
        </w:rPr>
        <w:t>Promote</w:t>
      </w:r>
      <w:r w:rsidRPr="00DB7F92">
        <w:rPr>
          <w:spacing w:val="7"/>
          <w:lang w:eastAsia="en-GB"/>
        </w:rPr>
        <w:t xml:space="preserve"> </w:t>
      </w:r>
      <w:r w:rsidRPr="00DB7F92">
        <w:rPr>
          <w:lang w:eastAsia="en-GB"/>
        </w:rPr>
        <w:t>Duties</w:t>
      </w:r>
      <w:r w:rsidRPr="00DB7F92">
        <w:rPr>
          <w:spacing w:val="61"/>
          <w:lang w:eastAsia="en-GB"/>
        </w:rPr>
        <w:t xml:space="preserve"> </w:t>
      </w:r>
      <w:r w:rsidRPr="00DB7F92">
        <w:rPr>
          <w:lang w:eastAsia="en-GB"/>
        </w:rPr>
        <w:t>are the same.</w:t>
      </w:r>
      <w:r w:rsidRPr="00DB7F92">
        <w:rPr>
          <w:spacing w:val="2"/>
          <w:lang w:eastAsia="en-GB"/>
        </w:rPr>
        <w:t xml:space="preserve"> </w:t>
      </w:r>
      <w:r w:rsidRPr="00DB7F92">
        <w:rPr>
          <w:lang w:eastAsia="en-GB"/>
        </w:rPr>
        <w:t>One difference</w:t>
      </w:r>
      <w:r w:rsidRPr="00DB7F92">
        <w:rPr>
          <w:spacing w:val="2"/>
          <w:lang w:eastAsia="en-GB"/>
        </w:rPr>
        <w:t xml:space="preserve"> </w:t>
      </w:r>
      <w:r w:rsidRPr="00DB7F92">
        <w:rPr>
          <w:lang w:eastAsia="en-GB"/>
        </w:rPr>
        <w:t>is</w:t>
      </w:r>
      <w:r w:rsidRPr="00DB7F92">
        <w:rPr>
          <w:spacing w:val="1"/>
          <w:lang w:eastAsia="en-GB"/>
        </w:rPr>
        <w:t xml:space="preserve"> </w:t>
      </w:r>
      <w:r w:rsidRPr="00DB7F92">
        <w:rPr>
          <w:lang w:eastAsia="en-GB"/>
        </w:rPr>
        <w:t>that</w:t>
      </w:r>
      <w:r w:rsidRPr="00DB7F92">
        <w:rPr>
          <w:spacing w:val="2"/>
          <w:lang w:eastAsia="en-GB"/>
        </w:rPr>
        <w:t xml:space="preserve"> </w:t>
      </w:r>
      <w:r w:rsidRPr="00DB7F92">
        <w:rPr>
          <w:lang w:eastAsia="en-GB"/>
        </w:rPr>
        <w:t>while</w:t>
      </w:r>
      <w:r w:rsidRPr="00DB7F92">
        <w:rPr>
          <w:spacing w:val="2"/>
          <w:lang w:eastAsia="en-GB"/>
        </w:rPr>
        <w:t xml:space="preserve"> </w:t>
      </w:r>
      <w:r w:rsidRPr="00DB7F92">
        <w:rPr>
          <w:lang w:eastAsia="en-GB"/>
        </w:rPr>
        <w:t>a</w:t>
      </w:r>
      <w:r w:rsidRPr="00DB7F92">
        <w:rPr>
          <w:spacing w:val="3"/>
          <w:lang w:eastAsia="en-GB"/>
        </w:rPr>
        <w:t xml:space="preserve"> </w:t>
      </w:r>
      <w:r w:rsidRPr="00DB7F92">
        <w:rPr>
          <w:lang w:eastAsia="en-GB"/>
        </w:rPr>
        <w:t>Promote Duty</w:t>
      </w:r>
      <w:r w:rsidRPr="00DB7F92">
        <w:rPr>
          <w:spacing w:val="1"/>
          <w:lang w:eastAsia="en-GB"/>
        </w:rPr>
        <w:t xml:space="preserve"> </w:t>
      </w:r>
      <w:r w:rsidRPr="00DB7F92">
        <w:rPr>
          <w:lang w:eastAsia="en-GB"/>
        </w:rPr>
        <w:t>can be met</w:t>
      </w:r>
      <w:r w:rsidRPr="00DB7F92">
        <w:rPr>
          <w:spacing w:val="1"/>
          <w:lang w:eastAsia="en-GB"/>
        </w:rPr>
        <w:t xml:space="preserve"> </w:t>
      </w:r>
      <w:r w:rsidRPr="00DB7F92">
        <w:rPr>
          <w:lang w:eastAsia="en-GB"/>
        </w:rPr>
        <w:t>by</w:t>
      </w:r>
      <w:r w:rsidRPr="00DB7F92">
        <w:rPr>
          <w:spacing w:val="54"/>
          <w:w w:val="99"/>
          <w:lang w:eastAsia="en-GB"/>
        </w:rPr>
        <w:t xml:space="preserve"> </w:t>
      </w:r>
      <w:r w:rsidRPr="00DB7F92">
        <w:rPr>
          <w:lang w:eastAsia="en-GB"/>
        </w:rPr>
        <w:t>encouraging</w:t>
      </w:r>
      <w:r w:rsidRPr="00DB7F92">
        <w:rPr>
          <w:spacing w:val="18"/>
          <w:lang w:eastAsia="en-GB"/>
        </w:rPr>
        <w:t xml:space="preserve"> </w:t>
      </w:r>
      <w:r w:rsidRPr="00DB7F92">
        <w:rPr>
          <w:lang w:eastAsia="en-GB"/>
        </w:rPr>
        <w:t>others</w:t>
      </w:r>
      <w:r w:rsidRPr="00DB7F92">
        <w:rPr>
          <w:spacing w:val="17"/>
          <w:lang w:eastAsia="en-GB"/>
        </w:rPr>
        <w:t xml:space="preserve"> </w:t>
      </w:r>
      <w:r w:rsidRPr="00DB7F92">
        <w:rPr>
          <w:lang w:eastAsia="en-GB"/>
        </w:rPr>
        <w:t>to</w:t>
      </w:r>
      <w:r w:rsidRPr="00DB7F92">
        <w:rPr>
          <w:spacing w:val="15"/>
          <w:lang w:eastAsia="en-GB"/>
        </w:rPr>
        <w:t xml:space="preserve"> </w:t>
      </w:r>
      <w:r w:rsidRPr="00DB7F92">
        <w:rPr>
          <w:lang w:eastAsia="en-GB"/>
        </w:rPr>
        <w:t>achieve</w:t>
      </w:r>
      <w:r w:rsidRPr="00DB7F92">
        <w:rPr>
          <w:spacing w:val="15"/>
          <w:lang w:eastAsia="en-GB"/>
        </w:rPr>
        <w:t xml:space="preserve"> </w:t>
      </w:r>
      <w:r w:rsidRPr="00DB7F92">
        <w:rPr>
          <w:lang w:eastAsia="en-GB"/>
        </w:rPr>
        <w:t>it</w:t>
      </w:r>
      <w:r w:rsidRPr="00DB7F92">
        <w:rPr>
          <w:spacing w:val="17"/>
          <w:lang w:eastAsia="en-GB"/>
        </w:rPr>
        <w:t xml:space="preserve"> </w:t>
      </w:r>
      <w:r w:rsidRPr="00DB7F92">
        <w:rPr>
          <w:lang w:eastAsia="en-GB"/>
        </w:rPr>
        <w:t>(e.g.</w:t>
      </w:r>
      <w:r w:rsidRPr="00DB7F92">
        <w:rPr>
          <w:spacing w:val="16"/>
          <w:lang w:eastAsia="en-GB"/>
        </w:rPr>
        <w:t xml:space="preserve"> </w:t>
      </w:r>
      <w:r w:rsidRPr="00DB7F92">
        <w:rPr>
          <w:lang w:eastAsia="en-GB"/>
        </w:rPr>
        <w:t>encouraging</w:t>
      </w:r>
      <w:r w:rsidRPr="00DB7F92">
        <w:rPr>
          <w:spacing w:val="15"/>
          <w:lang w:eastAsia="en-GB"/>
        </w:rPr>
        <w:t xml:space="preserve"> </w:t>
      </w:r>
      <w:r w:rsidRPr="00DB7F92">
        <w:rPr>
          <w:lang w:eastAsia="en-GB"/>
        </w:rPr>
        <w:t>GP</w:t>
      </w:r>
      <w:r w:rsidRPr="00DB7F92">
        <w:rPr>
          <w:spacing w:val="17"/>
          <w:lang w:eastAsia="en-GB"/>
        </w:rPr>
        <w:t xml:space="preserve"> </w:t>
      </w:r>
      <w:r w:rsidRPr="00DB7F92">
        <w:rPr>
          <w:lang w:eastAsia="en-GB"/>
        </w:rPr>
        <w:t>practices</w:t>
      </w:r>
      <w:r w:rsidRPr="00DB7F92">
        <w:rPr>
          <w:spacing w:val="17"/>
          <w:lang w:eastAsia="en-GB"/>
        </w:rPr>
        <w:t xml:space="preserve"> </w:t>
      </w:r>
      <w:r w:rsidRPr="00DB7F92">
        <w:rPr>
          <w:lang w:eastAsia="en-GB"/>
        </w:rPr>
        <w:t>to</w:t>
      </w:r>
      <w:r w:rsidRPr="00DB7F92">
        <w:rPr>
          <w:spacing w:val="15"/>
          <w:lang w:eastAsia="en-GB"/>
        </w:rPr>
        <w:t xml:space="preserve"> </w:t>
      </w:r>
      <w:r w:rsidRPr="00DB7F92">
        <w:rPr>
          <w:lang w:eastAsia="en-GB"/>
        </w:rPr>
        <w:t>make</w:t>
      </w:r>
      <w:r w:rsidRPr="00DB7F92">
        <w:rPr>
          <w:spacing w:val="63"/>
          <w:w w:val="99"/>
          <w:lang w:eastAsia="en-GB"/>
        </w:rPr>
        <w:t xml:space="preserve"> </w:t>
      </w:r>
      <w:r w:rsidRPr="00DB7F92">
        <w:rPr>
          <w:lang w:eastAsia="en-GB"/>
        </w:rPr>
        <w:t>better</w:t>
      </w:r>
      <w:r w:rsidRPr="00DB7F92">
        <w:rPr>
          <w:spacing w:val="2"/>
          <w:lang w:eastAsia="en-GB"/>
        </w:rPr>
        <w:t xml:space="preserve"> </w:t>
      </w:r>
      <w:r w:rsidRPr="00DB7F92">
        <w:rPr>
          <w:lang w:eastAsia="en-GB"/>
        </w:rPr>
        <w:t>use</w:t>
      </w:r>
      <w:r w:rsidRPr="00DB7F92">
        <w:rPr>
          <w:spacing w:val="1"/>
          <w:lang w:eastAsia="en-GB"/>
        </w:rPr>
        <w:t xml:space="preserve"> </w:t>
      </w:r>
      <w:r w:rsidRPr="00DB7F92">
        <w:rPr>
          <w:lang w:eastAsia="en-GB"/>
        </w:rPr>
        <w:t>of</w:t>
      </w:r>
      <w:r w:rsidRPr="00DB7F92">
        <w:rPr>
          <w:spacing w:val="1"/>
          <w:lang w:eastAsia="en-GB"/>
        </w:rPr>
        <w:t xml:space="preserve"> </w:t>
      </w:r>
      <w:r w:rsidRPr="00DB7F92">
        <w:rPr>
          <w:lang w:eastAsia="en-GB"/>
        </w:rPr>
        <w:t>telehealth</w:t>
      </w:r>
      <w:r w:rsidRPr="00DB7F92">
        <w:rPr>
          <w:spacing w:val="4"/>
          <w:lang w:eastAsia="en-GB"/>
        </w:rPr>
        <w:t xml:space="preserve"> </w:t>
      </w:r>
      <w:r w:rsidRPr="00DB7F92">
        <w:rPr>
          <w:lang w:eastAsia="en-GB"/>
        </w:rPr>
        <w:t>devices),</w:t>
      </w:r>
      <w:r w:rsidRPr="00DB7F92">
        <w:rPr>
          <w:spacing w:val="2"/>
          <w:lang w:eastAsia="en-GB"/>
        </w:rPr>
        <w:t xml:space="preserve"> </w:t>
      </w:r>
      <w:r w:rsidRPr="00DB7F92">
        <w:rPr>
          <w:lang w:eastAsia="en-GB"/>
        </w:rPr>
        <w:t>with</w:t>
      </w:r>
      <w:r w:rsidRPr="00DB7F92">
        <w:rPr>
          <w:spacing w:val="2"/>
          <w:lang w:eastAsia="en-GB"/>
        </w:rPr>
        <w:t xml:space="preserve"> </w:t>
      </w:r>
      <w:r w:rsidRPr="00DB7F92">
        <w:rPr>
          <w:lang w:eastAsia="en-GB"/>
        </w:rPr>
        <w:t>the</w:t>
      </w:r>
      <w:r w:rsidRPr="00DB7F92">
        <w:rPr>
          <w:spacing w:val="1"/>
          <w:lang w:eastAsia="en-GB"/>
        </w:rPr>
        <w:t xml:space="preserve"> </w:t>
      </w:r>
      <w:r w:rsidRPr="00DB7F92">
        <w:rPr>
          <w:lang w:eastAsia="en-GB"/>
        </w:rPr>
        <w:t>View</w:t>
      </w:r>
      <w:r w:rsidRPr="00DB7F92">
        <w:rPr>
          <w:spacing w:val="2"/>
          <w:lang w:eastAsia="en-GB"/>
        </w:rPr>
        <w:t xml:space="preserve"> </w:t>
      </w:r>
      <w:r w:rsidRPr="00DB7F92">
        <w:rPr>
          <w:lang w:eastAsia="en-GB"/>
        </w:rPr>
        <w:t>To</w:t>
      </w:r>
      <w:r w:rsidRPr="00DB7F92">
        <w:rPr>
          <w:spacing w:val="1"/>
          <w:lang w:eastAsia="en-GB"/>
        </w:rPr>
        <w:t xml:space="preserve"> </w:t>
      </w:r>
      <w:r w:rsidRPr="00DB7F92">
        <w:rPr>
          <w:lang w:eastAsia="en-GB"/>
        </w:rPr>
        <w:t>Duties</w:t>
      </w:r>
      <w:r w:rsidRPr="00DB7F92">
        <w:rPr>
          <w:spacing w:val="1"/>
          <w:lang w:eastAsia="en-GB"/>
        </w:rPr>
        <w:t xml:space="preserve"> </w:t>
      </w:r>
      <w:r w:rsidRPr="00DB7F92">
        <w:rPr>
          <w:lang w:eastAsia="en-GB"/>
        </w:rPr>
        <w:t>the</w:t>
      </w:r>
      <w:r w:rsidRPr="00DB7F92">
        <w:rPr>
          <w:spacing w:val="1"/>
          <w:lang w:eastAsia="en-GB"/>
        </w:rPr>
        <w:t xml:space="preserve"> </w:t>
      </w:r>
      <w:r w:rsidRPr="00DB7F92">
        <w:rPr>
          <w:lang w:eastAsia="en-GB"/>
        </w:rPr>
        <w:t>actions</w:t>
      </w:r>
      <w:r w:rsidRPr="00DB7F92">
        <w:rPr>
          <w:spacing w:val="3"/>
          <w:lang w:eastAsia="en-GB"/>
        </w:rPr>
        <w:t xml:space="preserve"> </w:t>
      </w:r>
      <w:r w:rsidRPr="00DB7F92">
        <w:rPr>
          <w:lang w:eastAsia="en-GB"/>
        </w:rPr>
        <w:t>have</w:t>
      </w:r>
      <w:r w:rsidRPr="00DB7F92">
        <w:rPr>
          <w:spacing w:val="61"/>
          <w:w w:val="99"/>
          <w:lang w:eastAsia="en-GB"/>
        </w:rPr>
        <w:t xml:space="preserve"> </w:t>
      </w:r>
      <w:r w:rsidRPr="00DB7F92">
        <w:rPr>
          <w:lang w:eastAsia="en-GB"/>
        </w:rPr>
        <w:t>to</w:t>
      </w:r>
      <w:r w:rsidRPr="00DB7F92">
        <w:rPr>
          <w:spacing w:val="-6"/>
          <w:lang w:eastAsia="en-GB"/>
        </w:rPr>
        <w:t xml:space="preserve"> </w:t>
      </w:r>
      <w:r w:rsidRPr="00DB7F92">
        <w:rPr>
          <w:lang w:eastAsia="en-GB"/>
        </w:rPr>
        <w:t>be</w:t>
      </w:r>
      <w:r w:rsidRPr="00DB7F92">
        <w:rPr>
          <w:spacing w:val="-3"/>
          <w:lang w:eastAsia="en-GB"/>
        </w:rPr>
        <w:t xml:space="preserve"> </w:t>
      </w:r>
      <w:r w:rsidRPr="00DB7F92">
        <w:rPr>
          <w:lang w:eastAsia="en-GB"/>
        </w:rPr>
        <w:t>carried</w:t>
      </w:r>
      <w:r w:rsidRPr="00DB7F92">
        <w:rPr>
          <w:spacing w:val="-4"/>
          <w:lang w:eastAsia="en-GB"/>
        </w:rPr>
        <w:t xml:space="preserve"> </w:t>
      </w:r>
      <w:r w:rsidRPr="00DB7F92">
        <w:rPr>
          <w:lang w:eastAsia="en-GB"/>
        </w:rPr>
        <w:t>out</w:t>
      </w:r>
      <w:r w:rsidRPr="00DB7F92">
        <w:rPr>
          <w:spacing w:val="-5"/>
          <w:lang w:eastAsia="en-GB"/>
        </w:rPr>
        <w:t xml:space="preserve"> </w:t>
      </w:r>
      <w:r w:rsidRPr="00DB7F92">
        <w:rPr>
          <w:lang w:eastAsia="en-GB"/>
        </w:rPr>
        <w:t>by</w:t>
      </w:r>
      <w:r w:rsidRPr="00DB7F92">
        <w:rPr>
          <w:spacing w:val="-2"/>
          <w:lang w:eastAsia="en-GB"/>
        </w:rPr>
        <w:t xml:space="preserve"> </w:t>
      </w:r>
      <w:r w:rsidRPr="00DB7F92">
        <w:rPr>
          <w:lang w:eastAsia="en-GB"/>
        </w:rPr>
        <w:t>the commissioner.</w:t>
      </w:r>
    </w:p>
    <w:p w14:paraId="7189A068" w14:textId="77777777" w:rsidR="00DB7F92" w:rsidRPr="00DB7F92" w:rsidRDefault="00DB7F92" w:rsidP="00DD5D2D">
      <w:pPr>
        <w:pStyle w:val="Heading3"/>
        <w:jc w:val="both"/>
        <w:rPr>
          <w:lang w:eastAsia="en-GB"/>
        </w:rPr>
      </w:pPr>
      <w:r w:rsidRPr="00DB7F92">
        <w:rPr>
          <w:lang w:eastAsia="en-GB"/>
        </w:rPr>
        <w:t>The</w:t>
      </w:r>
      <w:r w:rsidRPr="00DB7F92">
        <w:rPr>
          <w:spacing w:val="35"/>
          <w:lang w:eastAsia="en-GB"/>
        </w:rPr>
        <w:t xml:space="preserve"> </w:t>
      </w:r>
      <w:r w:rsidRPr="00DB7F92">
        <w:rPr>
          <w:lang w:eastAsia="en-GB"/>
        </w:rPr>
        <w:t>View</w:t>
      </w:r>
      <w:r w:rsidRPr="00DB7F92">
        <w:rPr>
          <w:spacing w:val="36"/>
          <w:lang w:eastAsia="en-GB"/>
        </w:rPr>
        <w:t xml:space="preserve"> </w:t>
      </w:r>
      <w:r w:rsidRPr="00DB7F92">
        <w:rPr>
          <w:lang w:eastAsia="en-GB"/>
        </w:rPr>
        <w:t>To</w:t>
      </w:r>
      <w:r w:rsidRPr="00DB7F92">
        <w:rPr>
          <w:spacing w:val="37"/>
          <w:lang w:eastAsia="en-GB"/>
        </w:rPr>
        <w:t xml:space="preserve"> </w:t>
      </w:r>
      <w:r w:rsidRPr="00DB7F92">
        <w:rPr>
          <w:lang w:eastAsia="en-GB"/>
        </w:rPr>
        <w:t>duties</w:t>
      </w:r>
      <w:r w:rsidRPr="00DB7F92">
        <w:rPr>
          <w:spacing w:val="36"/>
          <w:lang w:eastAsia="en-GB"/>
        </w:rPr>
        <w:t xml:space="preserve"> </w:t>
      </w:r>
      <w:r w:rsidRPr="00DB7F92">
        <w:rPr>
          <w:lang w:eastAsia="en-GB"/>
        </w:rPr>
        <w:t>are</w:t>
      </w:r>
      <w:r w:rsidRPr="00DB7F92">
        <w:rPr>
          <w:spacing w:val="36"/>
          <w:lang w:eastAsia="en-GB"/>
        </w:rPr>
        <w:t xml:space="preserve"> </w:t>
      </w:r>
      <w:r w:rsidRPr="00DB7F92">
        <w:rPr>
          <w:lang w:eastAsia="en-GB"/>
        </w:rPr>
        <w:t>less</w:t>
      </w:r>
      <w:r w:rsidRPr="00DB7F92">
        <w:rPr>
          <w:spacing w:val="36"/>
          <w:lang w:eastAsia="en-GB"/>
        </w:rPr>
        <w:t xml:space="preserve"> </w:t>
      </w:r>
      <w:r w:rsidRPr="00DB7F92">
        <w:rPr>
          <w:lang w:eastAsia="en-GB"/>
        </w:rPr>
        <w:t>onerous</w:t>
      </w:r>
      <w:r w:rsidRPr="00DB7F92">
        <w:rPr>
          <w:spacing w:val="36"/>
          <w:lang w:eastAsia="en-GB"/>
        </w:rPr>
        <w:t xml:space="preserve"> </w:t>
      </w:r>
      <w:r w:rsidRPr="00DB7F92">
        <w:rPr>
          <w:lang w:eastAsia="en-GB"/>
        </w:rPr>
        <w:t>than</w:t>
      </w:r>
      <w:r w:rsidRPr="00DB7F92">
        <w:rPr>
          <w:spacing w:val="37"/>
          <w:lang w:eastAsia="en-GB"/>
        </w:rPr>
        <w:t xml:space="preserve"> </w:t>
      </w:r>
      <w:r w:rsidRPr="00DB7F92">
        <w:rPr>
          <w:lang w:eastAsia="en-GB"/>
        </w:rPr>
        <w:t>the</w:t>
      </w:r>
      <w:r w:rsidRPr="00DB7F92">
        <w:rPr>
          <w:spacing w:val="35"/>
          <w:lang w:eastAsia="en-GB"/>
        </w:rPr>
        <w:t xml:space="preserve"> </w:t>
      </w:r>
      <w:r w:rsidRPr="00DB7F92">
        <w:rPr>
          <w:lang w:eastAsia="en-GB"/>
        </w:rPr>
        <w:t>Promote</w:t>
      </w:r>
      <w:r w:rsidRPr="00DB7F92">
        <w:rPr>
          <w:spacing w:val="35"/>
          <w:lang w:eastAsia="en-GB"/>
        </w:rPr>
        <w:t xml:space="preserve"> </w:t>
      </w:r>
      <w:r w:rsidRPr="00DB7F92">
        <w:rPr>
          <w:lang w:eastAsia="en-GB"/>
        </w:rPr>
        <w:t>Duties</w:t>
      </w:r>
      <w:r w:rsidRPr="00DB7F92">
        <w:rPr>
          <w:spacing w:val="36"/>
          <w:lang w:eastAsia="en-GB"/>
        </w:rPr>
        <w:t xml:space="preserve"> </w:t>
      </w:r>
      <w:r w:rsidRPr="00DB7F92">
        <w:rPr>
          <w:lang w:eastAsia="en-GB"/>
        </w:rPr>
        <w:t>because</w:t>
      </w:r>
      <w:r w:rsidRPr="00DB7F92">
        <w:rPr>
          <w:spacing w:val="67"/>
          <w:w w:val="99"/>
          <w:lang w:eastAsia="en-GB"/>
        </w:rPr>
        <w:t xml:space="preserve"> </w:t>
      </w:r>
      <w:r w:rsidRPr="00DB7F92">
        <w:rPr>
          <w:lang w:eastAsia="en-GB"/>
        </w:rPr>
        <w:t>they</w:t>
      </w:r>
      <w:r w:rsidRPr="00DB7F92">
        <w:rPr>
          <w:spacing w:val="18"/>
          <w:lang w:eastAsia="en-GB"/>
        </w:rPr>
        <w:t xml:space="preserve"> </w:t>
      </w:r>
      <w:r w:rsidRPr="00DB7F92">
        <w:rPr>
          <w:lang w:eastAsia="en-GB"/>
        </w:rPr>
        <w:t>do</w:t>
      </w:r>
      <w:r w:rsidRPr="00DB7F92">
        <w:rPr>
          <w:spacing w:val="18"/>
          <w:lang w:eastAsia="en-GB"/>
        </w:rPr>
        <w:t xml:space="preserve"> </w:t>
      </w:r>
      <w:r w:rsidRPr="00DB7F92">
        <w:rPr>
          <w:lang w:eastAsia="en-GB"/>
        </w:rPr>
        <w:t>not</w:t>
      </w:r>
      <w:r w:rsidRPr="00DB7F92">
        <w:rPr>
          <w:spacing w:val="18"/>
          <w:lang w:eastAsia="en-GB"/>
        </w:rPr>
        <w:t xml:space="preserve"> </w:t>
      </w:r>
      <w:r w:rsidRPr="00DB7F92">
        <w:rPr>
          <w:lang w:eastAsia="en-GB"/>
        </w:rPr>
        <w:t>require</w:t>
      </w:r>
      <w:r w:rsidRPr="00DB7F92">
        <w:rPr>
          <w:spacing w:val="22"/>
          <w:lang w:eastAsia="en-GB"/>
        </w:rPr>
        <w:t xml:space="preserve"> </w:t>
      </w:r>
      <w:r w:rsidRPr="00DB7F92">
        <w:rPr>
          <w:lang w:eastAsia="en-GB"/>
        </w:rPr>
        <w:t>the commissioner</w:t>
      </w:r>
      <w:r w:rsidRPr="00DB7F92">
        <w:rPr>
          <w:spacing w:val="17"/>
          <w:lang w:eastAsia="en-GB"/>
        </w:rPr>
        <w:t xml:space="preserve"> </w:t>
      </w:r>
      <w:r w:rsidRPr="00DB7F92">
        <w:rPr>
          <w:lang w:eastAsia="en-GB"/>
        </w:rPr>
        <w:t>to</w:t>
      </w:r>
      <w:r w:rsidRPr="00DB7F92">
        <w:rPr>
          <w:spacing w:val="18"/>
          <w:lang w:eastAsia="en-GB"/>
        </w:rPr>
        <w:t xml:space="preserve"> </w:t>
      </w:r>
      <w:r w:rsidRPr="00DB7F92">
        <w:rPr>
          <w:lang w:eastAsia="en-GB"/>
        </w:rPr>
        <w:t>achieve</w:t>
      </w:r>
      <w:r w:rsidRPr="00DB7F92">
        <w:rPr>
          <w:spacing w:val="17"/>
          <w:lang w:eastAsia="en-GB"/>
        </w:rPr>
        <w:t xml:space="preserve"> </w:t>
      </w:r>
      <w:r w:rsidRPr="00DB7F92">
        <w:rPr>
          <w:lang w:eastAsia="en-GB"/>
        </w:rPr>
        <w:t>a</w:t>
      </w:r>
      <w:r w:rsidRPr="00DB7F92">
        <w:rPr>
          <w:spacing w:val="18"/>
          <w:lang w:eastAsia="en-GB"/>
        </w:rPr>
        <w:t xml:space="preserve"> </w:t>
      </w:r>
      <w:r w:rsidRPr="00DB7F92">
        <w:rPr>
          <w:lang w:eastAsia="en-GB"/>
        </w:rPr>
        <w:t>particular</w:t>
      </w:r>
      <w:r w:rsidRPr="00DB7F92">
        <w:rPr>
          <w:spacing w:val="20"/>
          <w:lang w:eastAsia="en-GB"/>
        </w:rPr>
        <w:t xml:space="preserve"> </w:t>
      </w:r>
      <w:r w:rsidRPr="00DB7F92">
        <w:rPr>
          <w:lang w:eastAsia="en-GB"/>
        </w:rPr>
        <w:t>outcome</w:t>
      </w:r>
      <w:r w:rsidRPr="00DB7F92">
        <w:rPr>
          <w:spacing w:val="43"/>
          <w:w w:val="99"/>
          <w:lang w:eastAsia="en-GB"/>
        </w:rPr>
        <w:t xml:space="preserve"> </w:t>
      </w:r>
      <w:r w:rsidRPr="00DB7F92">
        <w:rPr>
          <w:lang w:eastAsia="en-GB"/>
        </w:rPr>
        <w:t>(although</w:t>
      </w:r>
      <w:r w:rsidRPr="00DB7F92">
        <w:rPr>
          <w:spacing w:val="33"/>
          <w:lang w:eastAsia="en-GB"/>
        </w:rPr>
        <w:t xml:space="preserve"> </w:t>
      </w:r>
      <w:r w:rsidRPr="00DB7F92">
        <w:rPr>
          <w:lang w:eastAsia="en-GB"/>
        </w:rPr>
        <w:t>that</w:t>
      </w:r>
      <w:r w:rsidRPr="00DB7F92">
        <w:rPr>
          <w:spacing w:val="32"/>
          <w:lang w:eastAsia="en-GB"/>
        </w:rPr>
        <w:t xml:space="preserve"> </w:t>
      </w:r>
      <w:r w:rsidRPr="00DB7F92">
        <w:rPr>
          <w:lang w:eastAsia="en-GB"/>
        </w:rPr>
        <w:t>would</w:t>
      </w:r>
      <w:r w:rsidRPr="00DB7F92">
        <w:rPr>
          <w:spacing w:val="33"/>
          <w:lang w:eastAsia="en-GB"/>
        </w:rPr>
        <w:t xml:space="preserve"> </w:t>
      </w:r>
      <w:r w:rsidRPr="00DB7F92">
        <w:rPr>
          <w:lang w:eastAsia="en-GB"/>
        </w:rPr>
        <w:t>be</w:t>
      </w:r>
      <w:r w:rsidRPr="00DB7F92">
        <w:rPr>
          <w:spacing w:val="31"/>
          <w:lang w:eastAsia="en-GB"/>
        </w:rPr>
        <w:t xml:space="preserve"> </w:t>
      </w:r>
      <w:r w:rsidRPr="00DB7F92">
        <w:rPr>
          <w:lang w:eastAsia="en-GB"/>
        </w:rPr>
        <w:t>desirable) –</w:t>
      </w:r>
      <w:r w:rsidRPr="00DB7F92">
        <w:rPr>
          <w:spacing w:val="33"/>
          <w:lang w:eastAsia="en-GB"/>
        </w:rPr>
        <w:t xml:space="preserve"> </w:t>
      </w:r>
      <w:r w:rsidRPr="00DB7F92">
        <w:rPr>
          <w:lang w:eastAsia="en-GB"/>
        </w:rPr>
        <w:t>only</w:t>
      </w:r>
      <w:r w:rsidRPr="00DB7F92">
        <w:rPr>
          <w:spacing w:val="32"/>
          <w:lang w:eastAsia="en-GB"/>
        </w:rPr>
        <w:t xml:space="preserve"> </w:t>
      </w:r>
      <w:r w:rsidRPr="00DB7F92">
        <w:rPr>
          <w:lang w:eastAsia="en-GB"/>
        </w:rPr>
        <w:t>to</w:t>
      </w:r>
      <w:r w:rsidRPr="00DB7F92">
        <w:rPr>
          <w:spacing w:val="36"/>
          <w:lang w:eastAsia="en-GB"/>
        </w:rPr>
        <w:t xml:space="preserve"> </w:t>
      </w:r>
      <w:r w:rsidRPr="00DB7F92">
        <w:rPr>
          <w:lang w:eastAsia="en-GB"/>
        </w:rPr>
        <w:t>do</w:t>
      </w:r>
      <w:r w:rsidRPr="00DB7F92">
        <w:rPr>
          <w:spacing w:val="31"/>
          <w:lang w:eastAsia="en-GB"/>
        </w:rPr>
        <w:t xml:space="preserve"> </w:t>
      </w:r>
      <w:r w:rsidRPr="00DB7F92">
        <w:rPr>
          <w:lang w:eastAsia="en-GB"/>
        </w:rPr>
        <w:t>something</w:t>
      </w:r>
      <w:r w:rsidRPr="00DB7F92">
        <w:rPr>
          <w:spacing w:val="30"/>
          <w:lang w:eastAsia="en-GB"/>
        </w:rPr>
        <w:t xml:space="preserve"> </w:t>
      </w:r>
      <w:r w:rsidRPr="00DB7F92">
        <w:rPr>
          <w:lang w:eastAsia="en-GB"/>
        </w:rPr>
        <w:t>that</w:t>
      </w:r>
      <w:r w:rsidRPr="00DB7F92">
        <w:rPr>
          <w:spacing w:val="32"/>
          <w:lang w:eastAsia="en-GB"/>
        </w:rPr>
        <w:t xml:space="preserve"> </w:t>
      </w:r>
      <w:r w:rsidRPr="00DB7F92">
        <w:rPr>
          <w:lang w:eastAsia="en-GB"/>
        </w:rPr>
        <w:t>aims</w:t>
      </w:r>
      <w:r w:rsidRPr="00DB7F92">
        <w:rPr>
          <w:spacing w:val="33"/>
          <w:lang w:eastAsia="en-GB"/>
        </w:rPr>
        <w:t xml:space="preserve"> </w:t>
      </w:r>
      <w:r w:rsidRPr="00DB7F92">
        <w:rPr>
          <w:lang w:eastAsia="en-GB"/>
        </w:rPr>
        <w:t>to</w:t>
      </w:r>
      <w:r w:rsidRPr="00DB7F92">
        <w:rPr>
          <w:spacing w:val="59"/>
          <w:lang w:eastAsia="en-GB"/>
        </w:rPr>
        <w:t xml:space="preserve"> </w:t>
      </w:r>
      <w:r w:rsidRPr="00DB7F92">
        <w:rPr>
          <w:lang w:eastAsia="en-GB"/>
        </w:rPr>
        <w:t>achieve</w:t>
      </w:r>
      <w:r w:rsidRPr="00DB7F92">
        <w:rPr>
          <w:spacing w:val="37"/>
          <w:lang w:eastAsia="en-GB"/>
        </w:rPr>
        <w:t xml:space="preserve"> </w:t>
      </w:r>
      <w:r w:rsidRPr="00DB7F92">
        <w:rPr>
          <w:lang w:eastAsia="en-GB"/>
        </w:rPr>
        <w:t>it.</w:t>
      </w:r>
      <w:r w:rsidRPr="00DB7F92">
        <w:rPr>
          <w:spacing w:val="8"/>
          <w:lang w:eastAsia="en-GB"/>
        </w:rPr>
        <w:t xml:space="preserve"> </w:t>
      </w:r>
      <w:r w:rsidRPr="00DB7F92">
        <w:rPr>
          <w:lang w:eastAsia="en-GB"/>
        </w:rPr>
        <w:t>This</w:t>
      </w:r>
      <w:r w:rsidRPr="00DB7F92">
        <w:rPr>
          <w:spacing w:val="40"/>
          <w:lang w:eastAsia="en-GB"/>
        </w:rPr>
        <w:t xml:space="preserve"> </w:t>
      </w:r>
      <w:r w:rsidRPr="00DB7F92">
        <w:rPr>
          <w:lang w:eastAsia="en-GB"/>
        </w:rPr>
        <w:t>is</w:t>
      </w:r>
      <w:r w:rsidRPr="00DB7F92">
        <w:rPr>
          <w:spacing w:val="37"/>
          <w:lang w:eastAsia="en-GB"/>
        </w:rPr>
        <w:t xml:space="preserve"> </w:t>
      </w:r>
      <w:r w:rsidRPr="00DB7F92">
        <w:rPr>
          <w:lang w:eastAsia="en-GB"/>
        </w:rPr>
        <w:t>in</w:t>
      </w:r>
      <w:r w:rsidRPr="00DB7F92">
        <w:rPr>
          <w:spacing w:val="39"/>
          <w:lang w:eastAsia="en-GB"/>
        </w:rPr>
        <w:t xml:space="preserve"> </w:t>
      </w:r>
      <w:r w:rsidRPr="00DB7F92">
        <w:rPr>
          <w:lang w:eastAsia="en-GB"/>
        </w:rPr>
        <w:t>contrast</w:t>
      </w:r>
      <w:r w:rsidRPr="00DB7F92">
        <w:rPr>
          <w:spacing w:val="37"/>
          <w:lang w:eastAsia="en-GB"/>
        </w:rPr>
        <w:t xml:space="preserve"> </w:t>
      </w:r>
      <w:r w:rsidRPr="00DB7F92">
        <w:rPr>
          <w:lang w:eastAsia="en-GB"/>
        </w:rPr>
        <w:t>to</w:t>
      </w:r>
      <w:r w:rsidRPr="00DB7F92">
        <w:rPr>
          <w:spacing w:val="35"/>
          <w:lang w:eastAsia="en-GB"/>
        </w:rPr>
        <w:t xml:space="preserve"> </w:t>
      </w:r>
      <w:r w:rsidRPr="00DB7F92">
        <w:rPr>
          <w:lang w:eastAsia="en-GB"/>
        </w:rPr>
        <w:t>the</w:t>
      </w:r>
      <w:r w:rsidRPr="00DB7F92">
        <w:rPr>
          <w:spacing w:val="36"/>
          <w:lang w:eastAsia="en-GB"/>
        </w:rPr>
        <w:t xml:space="preserve"> </w:t>
      </w:r>
      <w:r w:rsidRPr="00DB7F92">
        <w:rPr>
          <w:lang w:eastAsia="en-GB"/>
        </w:rPr>
        <w:t>Promote</w:t>
      </w:r>
      <w:r w:rsidRPr="00DB7F92">
        <w:rPr>
          <w:spacing w:val="36"/>
          <w:lang w:eastAsia="en-GB"/>
        </w:rPr>
        <w:t xml:space="preserve"> </w:t>
      </w:r>
      <w:r w:rsidRPr="00DB7F92">
        <w:rPr>
          <w:lang w:eastAsia="en-GB"/>
        </w:rPr>
        <w:t>Duties,</w:t>
      </w:r>
      <w:r w:rsidRPr="00DB7F92">
        <w:rPr>
          <w:spacing w:val="37"/>
          <w:lang w:eastAsia="en-GB"/>
        </w:rPr>
        <w:t xml:space="preserve"> </w:t>
      </w:r>
      <w:r w:rsidRPr="00DB7F92">
        <w:rPr>
          <w:lang w:eastAsia="en-GB"/>
        </w:rPr>
        <w:t>which</w:t>
      </w:r>
      <w:r w:rsidRPr="00DB7F92">
        <w:rPr>
          <w:spacing w:val="37"/>
          <w:lang w:eastAsia="en-GB"/>
        </w:rPr>
        <w:t xml:space="preserve"> </w:t>
      </w:r>
      <w:r w:rsidRPr="00DB7F92">
        <w:rPr>
          <w:lang w:eastAsia="en-GB"/>
        </w:rPr>
        <w:t>require</w:t>
      </w:r>
      <w:r w:rsidRPr="00DB7F92">
        <w:rPr>
          <w:spacing w:val="36"/>
          <w:lang w:eastAsia="en-GB"/>
        </w:rPr>
        <w:t xml:space="preserve"> </w:t>
      </w:r>
      <w:r w:rsidRPr="00DB7F92">
        <w:rPr>
          <w:lang w:eastAsia="en-GB"/>
        </w:rPr>
        <w:t>an</w:t>
      </w:r>
      <w:r w:rsidRPr="00DB7F92">
        <w:rPr>
          <w:spacing w:val="53"/>
          <w:lang w:eastAsia="en-GB"/>
        </w:rPr>
        <w:t xml:space="preserve"> </w:t>
      </w:r>
      <w:r w:rsidRPr="00DB7F92">
        <w:rPr>
          <w:lang w:eastAsia="en-GB"/>
        </w:rPr>
        <w:t>outcome</w:t>
      </w:r>
      <w:r w:rsidRPr="00DB7F92">
        <w:rPr>
          <w:spacing w:val="-5"/>
          <w:lang w:eastAsia="en-GB"/>
        </w:rPr>
        <w:t xml:space="preserve"> </w:t>
      </w:r>
      <w:r w:rsidRPr="00DB7F92">
        <w:rPr>
          <w:lang w:eastAsia="en-GB"/>
        </w:rPr>
        <w:t>to</w:t>
      </w:r>
      <w:r w:rsidRPr="00DB7F92">
        <w:rPr>
          <w:spacing w:val="-5"/>
          <w:lang w:eastAsia="en-GB"/>
        </w:rPr>
        <w:t xml:space="preserve"> </w:t>
      </w:r>
      <w:r w:rsidRPr="00DB7F92">
        <w:rPr>
          <w:lang w:eastAsia="en-GB"/>
        </w:rPr>
        <w:t>be</w:t>
      </w:r>
      <w:r w:rsidRPr="00DB7F92">
        <w:rPr>
          <w:spacing w:val="-7"/>
          <w:lang w:eastAsia="en-GB"/>
        </w:rPr>
        <w:t xml:space="preserve"> </w:t>
      </w:r>
      <w:r w:rsidRPr="00DB7F92">
        <w:rPr>
          <w:lang w:eastAsia="en-GB"/>
        </w:rPr>
        <w:t>achieved.</w:t>
      </w:r>
    </w:p>
    <w:p w14:paraId="47DBB0BD" w14:textId="77777777" w:rsidR="00DB7F92" w:rsidRPr="00DB7F92" w:rsidRDefault="00DB7F92" w:rsidP="00DD5D2D">
      <w:pPr>
        <w:pStyle w:val="Heading3"/>
        <w:jc w:val="both"/>
        <w:rPr>
          <w:lang w:eastAsia="en-GB"/>
        </w:rPr>
      </w:pPr>
      <w:r w:rsidRPr="00DB7F92">
        <w:rPr>
          <w:lang w:eastAsia="en-GB"/>
        </w:rPr>
        <w:t>The</w:t>
      </w:r>
      <w:r w:rsidRPr="00DB7F92">
        <w:rPr>
          <w:spacing w:val="49"/>
          <w:lang w:eastAsia="en-GB"/>
        </w:rPr>
        <w:t xml:space="preserve"> </w:t>
      </w:r>
      <w:r w:rsidRPr="00DB7F92">
        <w:rPr>
          <w:lang w:eastAsia="en-GB"/>
        </w:rPr>
        <w:t>View</w:t>
      </w:r>
      <w:r w:rsidRPr="00DB7F92">
        <w:rPr>
          <w:spacing w:val="50"/>
          <w:lang w:eastAsia="en-GB"/>
        </w:rPr>
        <w:t xml:space="preserve"> </w:t>
      </w:r>
      <w:r w:rsidRPr="00DB7F92">
        <w:rPr>
          <w:spacing w:val="1"/>
          <w:lang w:eastAsia="en-GB"/>
        </w:rPr>
        <w:t>To</w:t>
      </w:r>
      <w:r w:rsidRPr="00DB7F92">
        <w:rPr>
          <w:spacing w:val="49"/>
          <w:lang w:eastAsia="en-GB"/>
        </w:rPr>
        <w:t xml:space="preserve"> </w:t>
      </w:r>
      <w:r w:rsidRPr="00DB7F92">
        <w:rPr>
          <w:lang w:eastAsia="en-GB"/>
        </w:rPr>
        <w:t>duties</w:t>
      </w:r>
      <w:r w:rsidRPr="00DB7F92">
        <w:rPr>
          <w:spacing w:val="52"/>
          <w:lang w:eastAsia="en-GB"/>
        </w:rPr>
        <w:t xml:space="preserve"> </w:t>
      </w:r>
      <w:r w:rsidRPr="00DB7F92">
        <w:rPr>
          <w:lang w:eastAsia="en-GB"/>
        </w:rPr>
        <w:t>are</w:t>
      </w:r>
      <w:r w:rsidRPr="00DB7F92">
        <w:rPr>
          <w:spacing w:val="49"/>
          <w:lang w:eastAsia="en-GB"/>
        </w:rPr>
        <w:t xml:space="preserve"> </w:t>
      </w:r>
      <w:r w:rsidRPr="00DB7F92">
        <w:rPr>
          <w:lang w:eastAsia="en-GB"/>
        </w:rPr>
        <w:t>most</w:t>
      </w:r>
      <w:r w:rsidRPr="00DB7F92">
        <w:rPr>
          <w:spacing w:val="51"/>
          <w:lang w:eastAsia="en-GB"/>
        </w:rPr>
        <w:t xml:space="preserve"> </w:t>
      </w:r>
      <w:r w:rsidRPr="00DB7F92">
        <w:rPr>
          <w:lang w:eastAsia="en-GB"/>
        </w:rPr>
        <w:t>likely</w:t>
      </w:r>
      <w:r w:rsidRPr="00DB7F92">
        <w:rPr>
          <w:spacing w:val="50"/>
          <w:lang w:eastAsia="en-GB"/>
        </w:rPr>
        <w:t xml:space="preserve"> </w:t>
      </w:r>
      <w:r w:rsidRPr="00DB7F92">
        <w:rPr>
          <w:spacing w:val="1"/>
          <w:lang w:eastAsia="en-GB"/>
        </w:rPr>
        <w:t>to</w:t>
      </w:r>
      <w:r w:rsidRPr="00DB7F92">
        <w:rPr>
          <w:spacing w:val="49"/>
          <w:lang w:eastAsia="en-GB"/>
        </w:rPr>
        <w:t xml:space="preserve"> </w:t>
      </w:r>
      <w:r w:rsidRPr="00DB7F92">
        <w:rPr>
          <w:lang w:eastAsia="en-GB"/>
        </w:rPr>
        <w:t>affect</w:t>
      </w:r>
      <w:r w:rsidRPr="00DB7F92">
        <w:rPr>
          <w:spacing w:val="52"/>
          <w:lang w:eastAsia="en-GB"/>
        </w:rPr>
        <w:t xml:space="preserve"> </w:t>
      </w:r>
      <w:r w:rsidRPr="00DB7F92">
        <w:rPr>
          <w:lang w:eastAsia="en-GB"/>
        </w:rPr>
        <w:t>strategic</w:t>
      </w:r>
      <w:r w:rsidRPr="00DB7F92">
        <w:rPr>
          <w:spacing w:val="52"/>
          <w:lang w:eastAsia="en-GB"/>
        </w:rPr>
        <w:t xml:space="preserve"> </w:t>
      </w:r>
      <w:r w:rsidRPr="00DB7F92">
        <w:rPr>
          <w:lang w:eastAsia="en-GB"/>
        </w:rPr>
        <w:t>decisions</w:t>
      </w:r>
      <w:r w:rsidRPr="00DB7F92">
        <w:rPr>
          <w:spacing w:val="65"/>
          <w:lang w:eastAsia="en-GB"/>
        </w:rPr>
        <w:t xml:space="preserve"> </w:t>
      </w:r>
      <w:r w:rsidRPr="00DB7F92">
        <w:rPr>
          <w:lang w:eastAsia="en-GB"/>
        </w:rPr>
        <w:t>taken</w:t>
      </w:r>
      <w:r w:rsidRPr="00DB7F92">
        <w:rPr>
          <w:spacing w:val="30"/>
          <w:lang w:eastAsia="en-GB"/>
        </w:rPr>
        <w:t xml:space="preserve"> </w:t>
      </w:r>
      <w:r w:rsidRPr="00DB7F92">
        <w:rPr>
          <w:lang w:eastAsia="en-GB"/>
        </w:rPr>
        <w:t>at</w:t>
      </w:r>
      <w:r w:rsidRPr="00DB7F92">
        <w:rPr>
          <w:spacing w:val="31"/>
          <w:lang w:eastAsia="en-GB"/>
        </w:rPr>
        <w:t xml:space="preserve"> </w:t>
      </w:r>
      <w:r w:rsidRPr="00DB7F92">
        <w:rPr>
          <w:lang w:eastAsia="en-GB"/>
        </w:rPr>
        <w:t>directorate</w:t>
      </w:r>
      <w:r w:rsidRPr="00DB7F92">
        <w:rPr>
          <w:spacing w:val="30"/>
          <w:lang w:eastAsia="en-GB"/>
        </w:rPr>
        <w:t xml:space="preserve"> </w:t>
      </w:r>
      <w:r w:rsidRPr="00DB7F92">
        <w:rPr>
          <w:lang w:eastAsia="en-GB"/>
        </w:rPr>
        <w:t>level within NHS England.</w:t>
      </w:r>
      <w:r w:rsidRPr="00DB7F92">
        <w:rPr>
          <w:spacing w:val="62"/>
          <w:lang w:eastAsia="en-GB"/>
        </w:rPr>
        <w:t xml:space="preserve"> </w:t>
      </w:r>
      <w:r w:rsidRPr="00DB7F92">
        <w:rPr>
          <w:lang w:eastAsia="en-GB"/>
        </w:rPr>
        <w:t>Provided</w:t>
      </w:r>
      <w:r w:rsidRPr="00DB7F92">
        <w:rPr>
          <w:spacing w:val="29"/>
          <w:lang w:eastAsia="en-GB"/>
        </w:rPr>
        <w:t xml:space="preserve"> </w:t>
      </w:r>
      <w:r w:rsidRPr="00DB7F92">
        <w:rPr>
          <w:lang w:eastAsia="en-GB"/>
        </w:rPr>
        <w:t>the commissioner</w:t>
      </w:r>
      <w:r w:rsidRPr="00DB7F92">
        <w:rPr>
          <w:spacing w:val="30"/>
          <w:lang w:eastAsia="en-GB"/>
        </w:rPr>
        <w:t xml:space="preserve"> </w:t>
      </w:r>
      <w:r w:rsidRPr="00DB7F92">
        <w:rPr>
          <w:lang w:eastAsia="en-GB"/>
        </w:rPr>
        <w:t>can</w:t>
      </w:r>
      <w:r w:rsidRPr="00DB7F92">
        <w:rPr>
          <w:spacing w:val="31"/>
          <w:lang w:eastAsia="en-GB"/>
        </w:rPr>
        <w:t xml:space="preserve"> </w:t>
      </w:r>
      <w:r w:rsidRPr="00DB7F92">
        <w:rPr>
          <w:lang w:eastAsia="en-GB"/>
        </w:rPr>
        <w:t>show</w:t>
      </w:r>
      <w:r w:rsidRPr="00DB7F92">
        <w:rPr>
          <w:spacing w:val="30"/>
          <w:lang w:eastAsia="en-GB"/>
        </w:rPr>
        <w:t xml:space="preserve"> </w:t>
      </w:r>
      <w:r w:rsidRPr="00DB7F92">
        <w:rPr>
          <w:lang w:eastAsia="en-GB"/>
        </w:rPr>
        <w:lastRenderedPageBreak/>
        <w:t>that</w:t>
      </w:r>
      <w:r w:rsidRPr="00DB7F92">
        <w:rPr>
          <w:spacing w:val="31"/>
          <w:lang w:eastAsia="en-GB"/>
        </w:rPr>
        <w:t xml:space="preserve"> </w:t>
      </w:r>
      <w:r w:rsidRPr="00DB7F92">
        <w:rPr>
          <w:lang w:eastAsia="en-GB"/>
        </w:rPr>
        <w:t>within</w:t>
      </w:r>
      <w:r w:rsidRPr="00DB7F92">
        <w:rPr>
          <w:spacing w:val="60"/>
          <w:w w:val="99"/>
          <w:lang w:eastAsia="en-GB"/>
        </w:rPr>
        <w:t xml:space="preserve"> </w:t>
      </w:r>
      <w:r w:rsidRPr="00DB7F92">
        <w:rPr>
          <w:lang w:eastAsia="en-GB"/>
        </w:rPr>
        <w:t>the</w:t>
      </w:r>
      <w:r w:rsidRPr="00DB7F92">
        <w:rPr>
          <w:spacing w:val="3"/>
          <w:lang w:eastAsia="en-GB"/>
        </w:rPr>
        <w:t xml:space="preserve"> </w:t>
      </w:r>
      <w:r w:rsidRPr="00DB7F92">
        <w:rPr>
          <w:lang w:eastAsia="en-GB"/>
        </w:rPr>
        <w:t>totality</w:t>
      </w:r>
      <w:r w:rsidRPr="00DB7F92">
        <w:rPr>
          <w:spacing w:val="6"/>
          <w:lang w:eastAsia="en-GB"/>
        </w:rPr>
        <w:t xml:space="preserve"> </w:t>
      </w:r>
      <w:r w:rsidRPr="00DB7F92">
        <w:rPr>
          <w:lang w:eastAsia="en-GB"/>
        </w:rPr>
        <w:t>of</w:t>
      </w:r>
      <w:r w:rsidRPr="00DB7F92">
        <w:rPr>
          <w:spacing w:val="3"/>
          <w:lang w:eastAsia="en-GB"/>
        </w:rPr>
        <w:t xml:space="preserve"> </w:t>
      </w:r>
      <w:r w:rsidRPr="00DB7F92">
        <w:rPr>
          <w:lang w:eastAsia="en-GB"/>
        </w:rPr>
        <w:t>its</w:t>
      </w:r>
      <w:r w:rsidRPr="00DB7F92">
        <w:rPr>
          <w:spacing w:val="6"/>
          <w:lang w:eastAsia="en-GB"/>
        </w:rPr>
        <w:t xml:space="preserve"> </w:t>
      </w:r>
      <w:r w:rsidRPr="00DB7F92">
        <w:rPr>
          <w:lang w:eastAsia="en-GB"/>
        </w:rPr>
        <w:t>activities</w:t>
      </w:r>
      <w:r w:rsidRPr="00DB7F92">
        <w:rPr>
          <w:spacing w:val="6"/>
          <w:lang w:eastAsia="en-GB"/>
        </w:rPr>
        <w:t xml:space="preserve"> </w:t>
      </w:r>
      <w:r w:rsidRPr="00DB7F92">
        <w:rPr>
          <w:lang w:eastAsia="en-GB"/>
        </w:rPr>
        <w:t>there</w:t>
      </w:r>
      <w:r w:rsidRPr="00DB7F92">
        <w:rPr>
          <w:spacing w:val="3"/>
          <w:lang w:eastAsia="en-GB"/>
        </w:rPr>
        <w:t xml:space="preserve"> </w:t>
      </w:r>
      <w:r w:rsidRPr="00DB7F92">
        <w:rPr>
          <w:lang w:eastAsia="en-GB"/>
        </w:rPr>
        <w:t>has</w:t>
      </w:r>
      <w:r w:rsidRPr="00DB7F92">
        <w:rPr>
          <w:spacing w:val="6"/>
          <w:lang w:eastAsia="en-GB"/>
        </w:rPr>
        <w:t xml:space="preserve"> </w:t>
      </w:r>
      <w:r w:rsidRPr="00DB7F92">
        <w:rPr>
          <w:lang w:eastAsia="en-GB"/>
        </w:rPr>
        <w:t>been</w:t>
      </w:r>
      <w:r w:rsidRPr="00DB7F92">
        <w:rPr>
          <w:spacing w:val="4"/>
          <w:lang w:eastAsia="en-GB"/>
        </w:rPr>
        <w:t xml:space="preserve"> </w:t>
      </w:r>
      <w:r w:rsidRPr="00DB7F92">
        <w:rPr>
          <w:lang w:eastAsia="en-GB"/>
        </w:rPr>
        <w:t>significant</w:t>
      </w:r>
      <w:r w:rsidRPr="00DB7F92">
        <w:rPr>
          <w:spacing w:val="6"/>
          <w:lang w:eastAsia="en-GB"/>
        </w:rPr>
        <w:t xml:space="preserve"> </w:t>
      </w:r>
      <w:r w:rsidRPr="00DB7F92">
        <w:rPr>
          <w:lang w:eastAsia="en-GB"/>
        </w:rPr>
        <w:t>action</w:t>
      </w:r>
      <w:r w:rsidRPr="00DB7F92">
        <w:rPr>
          <w:spacing w:val="5"/>
          <w:lang w:eastAsia="en-GB"/>
        </w:rPr>
        <w:t xml:space="preserve"> </w:t>
      </w:r>
      <w:r w:rsidRPr="00DB7F92">
        <w:rPr>
          <w:lang w:eastAsia="en-GB"/>
        </w:rPr>
        <w:t>taken</w:t>
      </w:r>
      <w:r w:rsidRPr="00DB7F92">
        <w:rPr>
          <w:spacing w:val="4"/>
          <w:lang w:eastAsia="en-GB"/>
        </w:rPr>
        <w:t xml:space="preserve"> </w:t>
      </w:r>
      <w:r w:rsidRPr="00DB7F92">
        <w:rPr>
          <w:lang w:eastAsia="en-GB"/>
        </w:rPr>
        <w:t>with</w:t>
      </w:r>
      <w:r w:rsidRPr="00DB7F92">
        <w:rPr>
          <w:spacing w:val="7"/>
          <w:lang w:eastAsia="en-GB"/>
        </w:rPr>
        <w:t xml:space="preserve"> </w:t>
      </w:r>
      <w:r w:rsidRPr="00DB7F92">
        <w:rPr>
          <w:lang w:eastAsia="en-GB"/>
        </w:rPr>
        <w:t>the</w:t>
      </w:r>
      <w:r w:rsidRPr="00DB7F92">
        <w:rPr>
          <w:spacing w:val="66"/>
          <w:w w:val="99"/>
          <w:lang w:eastAsia="en-GB"/>
        </w:rPr>
        <w:t xml:space="preserve"> </w:t>
      </w:r>
      <w:r w:rsidRPr="00DB7F92">
        <w:rPr>
          <w:lang w:eastAsia="en-GB"/>
        </w:rPr>
        <w:t>intention of achieving</w:t>
      </w:r>
      <w:r w:rsidRPr="00DB7F92">
        <w:rPr>
          <w:spacing w:val="-2"/>
          <w:lang w:eastAsia="en-GB"/>
        </w:rPr>
        <w:t xml:space="preserve"> </w:t>
      </w:r>
      <w:r w:rsidRPr="00DB7F92">
        <w:rPr>
          <w:lang w:eastAsia="en-GB"/>
        </w:rPr>
        <w:t>the outcomes that the commissioner</w:t>
      </w:r>
      <w:r w:rsidRPr="00DB7F92">
        <w:rPr>
          <w:spacing w:val="30"/>
          <w:lang w:eastAsia="en-GB"/>
        </w:rPr>
        <w:t xml:space="preserve"> </w:t>
      </w:r>
      <w:r w:rsidRPr="00DB7F92">
        <w:rPr>
          <w:lang w:eastAsia="en-GB"/>
        </w:rPr>
        <w:t>is</w:t>
      </w:r>
      <w:r w:rsidRPr="00DB7F92">
        <w:rPr>
          <w:spacing w:val="1"/>
          <w:lang w:eastAsia="en-GB"/>
        </w:rPr>
        <w:t xml:space="preserve"> </w:t>
      </w:r>
      <w:r w:rsidRPr="00DB7F92">
        <w:rPr>
          <w:lang w:eastAsia="en-GB"/>
        </w:rPr>
        <w:t>required</w:t>
      </w:r>
      <w:r w:rsidRPr="00DB7F92">
        <w:rPr>
          <w:spacing w:val="-2"/>
          <w:lang w:eastAsia="en-GB"/>
        </w:rPr>
        <w:t xml:space="preserve"> </w:t>
      </w:r>
      <w:r w:rsidRPr="00DB7F92">
        <w:rPr>
          <w:lang w:eastAsia="en-GB"/>
        </w:rPr>
        <w:t>to have</w:t>
      </w:r>
      <w:r w:rsidRPr="00DB7F92">
        <w:rPr>
          <w:spacing w:val="63"/>
          <w:w w:val="99"/>
          <w:lang w:eastAsia="en-GB"/>
        </w:rPr>
        <w:t xml:space="preserve"> </w:t>
      </w:r>
      <w:r w:rsidRPr="00DB7F92">
        <w:rPr>
          <w:lang w:eastAsia="en-GB"/>
        </w:rPr>
        <w:t>a</w:t>
      </w:r>
      <w:r w:rsidRPr="00DB7F92">
        <w:rPr>
          <w:spacing w:val="-5"/>
          <w:lang w:eastAsia="en-GB"/>
        </w:rPr>
        <w:t xml:space="preserve"> </w:t>
      </w:r>
      <w:r w:rsidRPr="00DB7F92">
        <w:rPr>
          <w:lang w:eastAsia="en-GB"/>
        </w:rPr>
        <w:t>view</w:t>
      </w:r>
      <w:r w:rsidRPr="00DB7F92">
        <w:rPr>
          <w:spacing w:val="-4"/>
          <w:lang w:eastAsia="en-GB"/>
        </w:rPr>
        <w:t xml:space="preserve"> </w:t>
      </w:r>
      <w:r w:rsidRPr="00DB7F92">
        <w:rPr>
          <w:lang w:eastAsia="en-GB"/>
        </w:rPr>
        <w:t>to, the</w:t>
      </w:r>
      <w:r w:rsidRPr="00DB7F92">
        <w:rPr>
          <w:spacing w:val="-3"/>
          <w:lang w:eastAsia="en-GB"/>
        </w:rPr>
        <w:t xml:space="preserve"> </w:t>
      </w:r>
      <w:r w:rsidRPr="00DB7F92">
        <w:rPr>
          <w:lang w:eastAsia="en-GB"/>
        </w:rPr>
        <w:t>duty</w:t>
      </w:r>
      <w:r w:rsidRPr="00DB7F92">
        <w:rPr>
          <w:spacing w:val="-4"/>
          <w:lang w:eastAsia="en-GB"/>
        </w:rPr>
        <w:t xml:space="preserve"> </w:t>
      </w:r>
      <w:r w:rsidRPr="00DB7F92">
        <w:rPr>
          <w:lang w:eastAsia="en-GB"/>
        </w:rPr>
        <w:t>is discharged.</w:t>
      </w:r>
    </w:p>
    <w:p w14:paraId="52181F58" w14:textId="77777777" w:rsidR="00DB7F92" w:rsidRPr="00DB7F92" w:rsidRDefault="00DB7F92" w:rsidP="00DD5D2D">
      <w:pPr>
        <w:pStyle w:val="Heading3"/>
        <w:jc w:val="both"/>
        <w:rPr>
          <w:lang w:eastAsia="en-GB"/>
        </w:rPr>
      </w:pPr>
      <w:r w:rsidRPr="00DB7F92">
        <w:rPr>
          <w:lang w:eastAsia="en-GB"/>
        </w:rPr>
        <w:t>As</w:t>
      </w:r>
      <w:r w:rsidRPr="00DB7F92">
        <w:rPr>
          <w:spacing w:val="34"/>
          <w:lang w:eastAsia="en-GB"/>
        </w:rPr>
        <w:t xml:space="preserve"> </w:t>
      </w:r>
      <w:r w:rsidRPr="00DB7F92">
        <w:rPr>
          <w:lang w:eastAsia="en-GB"/>
        </w:rPr>
        <w:t>with</w:t>
      </w:r>
      <w:r w:rsidRPr="00DB7F92">
        <w:rPr>
          <w:spacing w:val="34"/>
          <w:lang w:eastAsia="en-GB"/>
        </w:rPr>
        <w:t xml:space="preserve"> </w:t>
      </w:r>
      <w:r w:rsidRPr="00DB7F92">
        <w:rPr>
          <w:lang w:eastAsia="en-GB"/>
        </w:rPr>
        <w:t>the</w:t>
      </w:r>
      <w:r w:rsidRPr="00DB7F92">
        <w:rPr>
          <w:spacing w:val="32"/>
          <w:lang w:eastAsia="en-GB"/>
        </w:rPr>
        <w:t xml:space="preserve"> </w:t>
      </w:r>
      <w:r w:rsidRPr="00DB7F92">
        <w:rPr>
          <w:lang w:eastAsia="en-GB"/>
        </w:rPr>
        <w:t>Promote</w:t>
      </w:r>
      <w:r w:rsidRPr="00DB7F92">
        <w:rPr>
          <w:spacing w:val="38"/>
          <w:lang w:eastAsia="en-GB"/>
        </w:rPr>
        <w:t xml:space="preserve"> </w:t>
      </w:r>
      <w:r w:rsidRPr="00DB7F92">
        <w:rPr>
          <w:lang w:eastAsia="en-GB"/>
        </w:rPr>
        <w:t>Duties,</w:t>
      </w:r>
      <w:r w:rsidRPr="00DB7F92">
        <w:rPr>
          <w:spacing w:val="33"/>
          <w:lang w:eastAsia="en-GB"/>
        </w:rPr>
        <w:t xml:space="preserve"> </w:t>
      </w:r>
      <w:r w:rsidRPr="00DB7F92">
        <w:rPr>
          <w:lang w:eastAsia="en-GB"/>
        </w:rPr>
        <w:t>decision-makers</w:t>
      </w:r>
      <w:r w:rsidRPr="00DB7F92">
        <w:rPr>
          <w:spacing w:val="35"/>
          <w:lang w:eastAsia="en-GB"/>
        </w:rPr>
        <w:t xml:space="preserve"> </w:t>
      </w:r>
      <w:r w:rsidRPr="00DB7F92">
        <w:rPr>
          <w:lang w:eastAsia="en-GB"/>
        </w:rPr>
        <w:t>on</w:t>
      </w:r>
      <w:r w:rsidRPr="00DB7F92">
        <w:rPr>
          <w:spacing w:val="33"/>
          <w:lang w:eastAsia="en-GB"/>
        </w:rPr>
        <w:t xml:space="preserve"> </w:t>
      </w:r>
      <w:r w:rsidRPr="00DB7F92">
        <w:rPr>
          <w:lang w:eastAsia="en-GB"/>
        </w:rPr>
        <w:t>the</w:t>
      </w:r>
      <w:r w:rsidRPr="00DB7F92">
        <w:rPr>
          <w:spacing w:val="33"/>
          <w:lang w:eastAsia="en-GB"/>
        </w:rPr>
        <w:t xml:space="preserve"> </w:t>
      </w:r>
      <w:r w:rsidRPr="00DB7F92">
        <w:rPr>
          <w:lang w:eastAsia="en-GB"/>
        </w:rPr>
        <w:t>ground</w:t>
      </w:r>
      <w:r w:rsidRPr="00DB7F92">
        <w:rPr>
          <w:spacing w:val="33"/>
          <w:lang w:eastAsia="en-GB"/>
        </w:rPr>
        <w:t xml:space="preserve"> </w:t>
      </w:r>
      <w:r w:rsidRPr="00DB7F92">
        <w:rPr>
          <w:lang w:eastAsia="en-GB"/>
        </w:rPr>
        <w:t>should</w:t>
      </w:r>
      <w:r w:rsidRPr="00DB7F92">
        <w:rPr>
          <w:spacing w:val="32"/>
          <w:lang w:eastAsia="en-GB"/>
        </w:rPr>
        <w:t xml:space="preserve"> </w:t>
      </w:r>
      <w:r w:rsidRPr="00DB7F92">
        <w:rPr>
          <w:lang w:eastAsia="en-GB"/>
        </w:rPr>
        <w:t>be</w:t>
      </w:r>
      <w:r w:rsidRPr="00DB7F92">
        <w:rPr>
          <w:spacing w:val="56"/>
          <w:w w:val="99"/>
          <w:lang w:eastAsia="en-GB"/>
        </w:rPr>
        <w:t xml:space="preserve"> </w:t>
      </w:r>
      <w:r w:rsidRPr="00DB7F92">
        <w:rPr>
          <w:lang w:eastAsia="en-GB"/>
        </w:rPr>
        <w:t>wary</w:t>
      </w:r>
      <w:r w:rsidRPr="00DB7F92">
        <w:rPr>
          <w:spacing w:val="3"/>
          <w:lang w:eastAsia="en-GB"/>
        </w:rPr>
        <w:t xml:space="preserve"> </w:t>
      </w:r>
      <w:r w:rsidRPr="00DB7F92">
        <w:rPr>
          <w:lang w:eastAsia="en-GB"/>
        </w:rPr>
        <w:t>of</w:t>
      </w:r>
      <w:r w:rsidRPr="00DB7F92">
        <w:rPr>
          <w:spacing w:val="5"/>
          <w:lang w:eastAsia="en-GB"/>
        </w:rPr>
        <w:t xml:space="preserve"> </w:t>
      </w:r>
      <w:r w:rsidRPr="00DB7F92">
        <w:rPr>
          <w:lang w:eastAsia="en-GB"/>
        </w:rPr>
        <w:t>doing</w:t>
      </w:r>
      <w:r w:rsidRPr="00DB7F92">
        <w:rPr>
          <w:spacing w:val="3"/>
          <w:lang w:eastAsia="en-GB"/>
        </w:rPr>
        <w:t xml:space="preserve"> </w:t>
      </w:r>
      <w:r w:rsidRPr="00DB7F92">
        <w:rPr>
          <w:lang w:eastAsia="en-GB"/>
        </w:rPr>
        <w:t>something</w:t>
      </w:r>
      <w:r w:rsidRPr="00DB7F92">
        <w:rPr>
          <w:spacing w:val="2"/>
          <w:lang w:eastAsia="en-GB"/>
        </w:rPr>
        <w:t xml:space="preserve"> </w:t>
      </w:r>
      <w:r w:rsidRPr="00DB7F92">
        <w:rPr>
          <w:lang w:eastAsia="en-GB"/>
        </w:rPr>
        <w:t>actively</w:t>
      </w:r>
      <w:r w:rsidRPr="00DB7F92">
        <w:rPr>
          <w:spacing w:val="4"/>
          <w:lang w:eastAsia="en-GB"/>
        </w:rPr>
        <w:t xml:space="preserve"> </w:t>
      </w:r>
      <w:r w:rsidRPr="00DB7F92">
        <w:rPr>
          <w:lang w:eastAsia="en-GB"/>
        </w:rPr>
        <w:t>goes</w:t>
      </w:r>
      <w:r w:rsidRPr="00DB7F92">
        <w:rPr>
          <w:spacing w:val="5"/>
          <w:lang w:eastAsia="en-GB"/>
        </w:rPr>
        <w:t xml:space="preserve"> </w:t>
      </w:r>
      <w:r w:rsidRPr="00DB7F92">
        <w:rPr>
          <w:lang w:eastAsia="en-GB"/>
        </w:rPr>
        <w:t>against</w:t>
      </w:r>
      <w:r w:rsidRPr="00DB7F92">
        <w:rPr>
          <w:spacing w:val="3"/>
          <w:lang w:eastAsia="en-GB"/>
        </w:rPr>
        <w:t xml:space="preserve"> </w:t>
      </w:r>
      <w:r w:rsidRPr="00DB7F92">
        <w:rPr>
          <w:lang w:eastAsia="en-GB"/>
        </w:rPr>
        <w:t>one</w:t>
      </w:r>
      <w:r w:rsidRPr="00DB7F92">
        <w:rPr>
          <w:spacing w:val="5"/>
          <w:lang w:eastAsia="en-GB"/>
        </w:rPr>
        <w:t xml:space="preserve"> </w:t>
      </w:r>
      <w:r w:rsidRPr="00DB7F92">
        <w:rPr>
          <w:lang w:eastAsia="en-GB"/>
        </w:rPr>
        <w:t>of</w:t>
      </w:r>
      <w:r w:rsidRPr="00DB7F92">
        <w:rPr>
          <w:spacing w:val="3"/>
          <w:lang w:eastAsia="en-GB"/>
        </w:rPr>
        <w:t xml:space="preserve"> </w:t>
      </w:r>
      <w:r w:rsidRPr="00DB7F92">
        <w:rPr>
          <w:lang w:eastAsia="en-GB"/>
        </w:rPr>
        <w:t>the</w:t>
      </w:r>
      <w:r w:rsidRPr="00DB7F92">
        <w:rPr>
          <w:spacing w:val="4"/>
          <w:lang w:eastAsia="en-GB"/>
        </w:rPr>
        <w:t xml:space="preserve"> </w:t>
      </w:r>
      <w:r w:rsidRPr="00DB7F92">
        <w:rPr>
          <w:lang w:eastAsia="en-GB"/>
        </w:rPr>
        <w:t>goals</w:t>
      </w:r>
      <w:r w:rsidRPr="00DB7F92">
        <w:rPr>
          <w:spacing w:val="5"/>
          <w:lang w:eastAsia="en-GB"/>
        </w:rPr>
        <w:t xml:space="preserve"> </w:t>
      </w:r>
      <w:r w:rsidRPr="00DB7F92">
        <w:rPr>
          <w:lang w:eastAsia="en-GB"/>
        </w:rPr>
        <w:t>set</w:t>
      </w:r>
      <w:r w:rsidRPr="00DB7F92">
        <w:rPr>
          <w:spacing w:val="3"/>
          <w:lang w:eastAsia="en-GB"/>
        </w:rPr>
        <w:t xml:space="preserve"> </w:t>
      </w:r>
      <w:r w:rsidRPr="00DB7F92">
        <w:rPr>
          <w:lang w:eastAsia="en-GB"/>
        </w:rPr>
        <w:t>out</w:t>
      </w:r>
      <w:r w:rsidRPr="00DB7F92">
        <w:rPr>
          <w:spacing w:val="4"/>
          <w:lang w:eastAsia="en-GB"/>
        </w:rPr>
        <w:t xml:space="preserve"> </w:t>
      </w:r>
      <w:r w:rsidRPr="00DB7F92">
        <w:rPr>
          <w:lang w:eastAsia="en-GB"/>
        </w:rPr>
        <w:t>in</w:t>
      </w:r>
      <w:r w:rsidRPr="00DB7F92">
        <w:rPr>
          <w:spacing w:val="71"/>
          <w:lang w:eastAsia="en-GB"/>
        </w:rPr>
        <w:t xml:space="preserve"> </w:t>
      </w:r>
      <w:r w:rsidRPr="00DB7F92">
        <w:rPr>
          <w:lang w:eastAsia="en-GB"/>
        </w:rPr>
        <w:t>the</w:t>
      </w:r>
      <w:r w:rsidRPr="00DB7F92">
        <w:rPr>
          <w:spacing w:val="44"/>
          <w:lang w:eastAsia="en-GB"/>
        </w:rPr>
        <w:t xml:space="preserve"> </w:t>
      </w:r>
      <w:r w:rsidRPr="00DB7F92">
        <w:rPr>
          <w:lang w:eastAsia="en-GB"/>
        </w:rPr>
        <w:t>View</w:t>
      </w:r>
      <w:r w:rsidRPr="00DB7F92">
        <w:rPr>
          <w:spacing w:val="46"/>
          <w:lang w:eastAsia="en-GB"/>
        </w:rPr>
        <w:t xml:space="preserve"> </w:t>
      </w:r>
      <w:r w:rsidRPr="00DB7F92">
        <w:rPr>
          <w:lang w:eastAsia="en-GB"/>
        </w:rPr>
        <w:t>To</w:t>
      </w:r>
      <w:r w:rsidRPr="00DB7F92">
        <w:rPr>
          <w:spacing w:val="48"/>
          <w:lang w:eastAsia="en-GB"/>
        </w:rPr>
        <w:t xml:space="preserve"> </w:t>
      </w:r>
      <w:r w:rsidRPr="00DB7F92">
        <w:rPr>
          <w:lang w:eastAsia="en-GB"/>
        </w:rPr>
        <w:t>duties.</w:t>
      </w:r>
      <w:r w:rsidRPr="00DB7F92">
        <w:rPr>
          <w:spacing w:val="27"/>
          <w:lang w:eastAsia="en-GB"/>
        </w:rPr>
        <w:t xml:space="preserve"> </w:t>
      </w:r>
      <w:r w:rsidRPr="00DB7F92">
        <w:rPr>
          <w:spacing w:val="1"/>
          <w:lang w:eastAsia="en-GB"/>
        </w:rPr>
        <w:t>In</w:t>
      </w:r>
      <w:r w:rsidRPr="00DB7F92">
        <w:rPr>
          <w:spacing w:val="46"/>
          <w:lang w:eastAsia="en-GB"/>
        </w:rPr>
        <w:t xml:space="preserve"> </w:t>
      </w:r>
      <w:r w:rsidRPr="00DB7F92">
        <w:rPr>
          <w:lang w:eastAsia="en-GB"/>
        </w:rPr>
        <w:t>this</w:t>
      </w:r>
      <w:r w:rsidRPr="00DB7F92">
        <w:rPr>
          <w:spacing w:val="47"/>
          <w:lang w:eastAsia="en-GB"/>
        </w:rPr>
        <w:t xml:space="preserve"> </w:t>
      </w:r>
      <w:r w:rsidRPr="00DB7F92">
        <w:rPr>
          <w:lang w:eastAsia="en-GB"/>
        </w:rPr>
        <w:t>situation, if the decision is being made by NHS England or by a CCG on NHS England's behalf as part of co-commissioning, the NHS England legal team should be contacted for further guidance.</w:t>
      </w:r>
      <w:r w:rsidRPr="00DB7F92">
        <w:rPr>
          <w:spacing w:val="49"/>
          <w:lang w:eastAsia="en-GB"/>
        </w:rPr>
        <w:t xml:space="preserve"> </w:t>
      </w:r>
      <w:r w:rsidRPr="00DB7F92">
        <w:rPr>
          <w:lang w:eastAsia="en-GB"/>
        </w:rPr>
        <w:t>Also,</w:t>
      </w:r>
      <w:r w:rsidRPr="00DB7F92">
        <w:rPr>
          <w:spacing w:val="23"/>
          <w:lang w:eastAsia="en-GB"/>
        </w:rPr>
        <w:t xml:space="preserve"> </w:t>
      </w:r>
      <w:r w:rsidRPr="00DB7F92">
        <w:rPr>
          <w:lang w:eastAsia="en-GB"/>
        </w:rPr>
        <w:t>if</w:t>
      </w:r>
      <w:r w:rsidRPr="00DB7F92">
        <w:rPr>
          <w:spacing w:val="21"/>
          <w:lang w:eastAsia="en-GB"/>
        </w:rPr>
        <w:t xml:space="preserve"> </w:t>
      </w:r>
      <w:r w:rsidRPr="00DB7F92">
        <w:rPr>
          <w:lang w:eastAsia="en-GB"/>
        </w:rPr>
        <w:t>there</w:t>
      </w:r>
      <w:r w:rsidRPr="00DB7F92">
        <w:rPr>
          <w:spacing w:val="21"/>
          <w:lang w:eastAsia="en-GB"/>
        </w:rPr>
        <w:t xml:space="preserve"> </w:t>
      </w:r>
      <w:r w:rsidRPr="00DB7F92">
        <w:rPr>
          <w:lang w:eastAsia="en-GB"/>
        </w:rPr>
        <w:t>is</w:t>
      </w:r>
      <w:r w:rsidRPr="00DB7F92">
        <w:rPr>
          <w:spacing w:val="24"/>
          <w:lang w:eastAsia="en-GB"/>
        </w:rPr>
        <w:t xml:space="preserve"> </w:t>
      </w:r>
      <w:r w:rsidRPr="00DB7F92">
        <w:rPr>
          <w:lang w:eastAsia="en-GB"/>
        </w:rPr>
        <w:t>a</w:t>
      </w:r>
      <w:r w:rsidRPr="00DB7F92">
        <w:rPr>
          <w:spacing w:val="22"/>
          <w:lang w:eastAsia="en-GB"/>
        </w:rPr>
        <w:t xml:space="preserve"> </w:t>
      </w:r>
      <w:r w:rsidRPr="00DB7F92">
        <w:rPr>
          <w:lang w:eastAsia="en-GB"/>
        </w:rPr>
        <w:t>clear</w:t>
      </w:r>
      <w:r w:rsidRPr="00DB7F92">
        <w:rPr>
          <w:spacing w:val="22"/>
          <w:lang w:eastAsia="en-GB"/>
        </w:rPr>
        <w:t xml:space="preserve"> </w:t>
      </w:r>
      <w:r w:rsidRPr="00DB7F92">
        <w:rPr>
          <w:lang w:eastAsia="en-GB"/>
        </w:rPr>
        <w:t>opportunity</w:t>
      </w:r>
      <w:r w:rsidRPr="00DB7F92">
        <w:rPr>
          <w:spacing w:val="23"/>
          <w:lang w:eastAsia="en-GB"/>
        </w:rPr>
        <w:t xml:space="preserve"> </w:t>
      </w:r>
      <w:r w:rsidRPr="00DB7F92">
        <w:rPr>
          <w:lang w:eastAsia="en-GB"/>
        </w:rPr>
        <w:t>to</w:t>
      </w:r>
      <w:r w:rsidRPr="00DB7F92">
        <w:rPr>
          <w:spacing w:val="57"/>
          <w:lang w:eastAsia="en-GB"/>
        </w:rPr>
        <w:t xml:space="preserve"> </w:t>
      </w:r>
      <w:r w:rsidRPr="00DB7F92">
        <w:rPr>
          <w:lang w:eastAsia="en-GB"/>
        </w:rPr>
        <w:t>help</w:t>
      </w:r>
      <w:r w:rsidRPr="00DB7F92">
        <w:rPr>
          <w:spacing w:val="-3"/>
          <w:lang w:eastAsia="en-GB"/>
        </w:rPr>
        <w:t xml:space="preserve"> </w:t>
      </w:r>
      <w:r w:rsidRPr="00DB7F92">
        <w:rPr>
          <w:lang w:eastAsia="en-GB"/>
        </w:rPr>
        <w:t>deliver</w:t>
      </w:r>
      <w:r w:rsidRPr="00DB7F92">
        <w:rPr>
          <w:spacing w:val="-3"/>
          <w:lang w:eastAsia="en-GB"/>
        </w:rPr>
        <w:t xml:space="preserve"> </w:t>
      </w:r>
      <w:r w:rsidRPr="00DB7F92">
        <w:rPr>
          <w:lang w:eastAsia="en-GB"/>
        </w:rPr>
        <w:t>one</w:t>
      </w:r>
      <w:r w:rsidRPr="00DB7F92">
        <w:rPr>
          <w:spacing w:val="-3"/>
          <w:lang w:eastAsia="en-GB"/>
        </w:rPr>
        <w:t xml:space="preserve"> </w:t>
      </w:r>
      <w:r w:rsidRPr="00DB7F92">
        <w:rPr>
          <w:lang w:eastAsia="en-GB"/>
        </w:rPr>
        <w:t>of</w:t>
      </w:r>
      <w:r w:rsidRPr="00DB7F92">
        <w:rPr>
          <w:spacing w:val="-3"/>
          <w:lang w:eastAsia="en-GB"/>
        </w:rPr>
        <w:t xml:space="preserve"> </w:t>
      </w:r>
      <w:r w:rsidRPr="00DB7F92">
        <w:rPr>
          <w:lang w:eastAsia="en-GB"/>
        </w:rPr>
        <w:t>the</w:t>
      </w:r>
      <w:r w:rsidRPr="00DB7F92">
        <w:rPr>
          <w:spacing w:val="-3"/>
          <w:lang w:eastAsia="en-GB"/>
        </w:rPr>
        <w:t xml:space="preserve"> </w:t>
      </w:r>
      <w:r w:rsidRPr="00DB7F92">
        <w:rPr>
          <w:lang w:eastAsia="en-GB"/>
        </w:rPr>
        <w:t>View</w:t>
      </w:r>
      <w:r w:rsidRPr="00DB7F92">
        <w:rPr>
          <w:spacing w:val="-4"/>
          <w:lang w:eastAsia="en-GB"/>
        </w:rPr>
        <w:t xml:space="preserve"> </w:t>
      </w:r>
      <w:r w:rsidRPr="00DB7F92">
        <w:rPr>
          <w:lang w:eastAsia="en-GB"/>
        </w:rPr>
        <w:t>To</w:t>
      </w:r>
      <w:r w:rsidRPr="00DB7F92">
        <w:rPr>
          <w:spacing w:val="-3"/>
          <w:lang w:eastAsia="en-GB"/>
        </w:rPr>
        <w:t xml:space="preserve"> </w:t>
      </w:r>
      <w:r w:rsidRPr="00DB7F92">
        <w:rPr>
          <w:lang w:eastAsia="en-GB"/>
        </w:rPr>
        <w:t>objectives,</w:t>
      </w:r>
      <w:r w:rsidRPr="00DB7F92">
        <w:rPr>
          <w:spacing w:val="-4"/>
          <w:lang w:eastAsia="en-GB"/>
        </w:rPr>
        <w:t xml:space="preserve"> </w:t>
      </w:r>
      <w:r w:rsidRPr="00DB7F92">
        <w:rPr>
          <w:lang w:eastAsia="en-GB"/>
        </w:rPr>
        <w:t>it</w:t>
      </w:r>
      <w:r w:rsidRPr="00DB7F92">
        <w:rPr>
          <w:spacing w:val="-2"/>
          <w:lang w:eastAsia="en-GB"/>
        </w:rPr>
        <w:t xml:space="preserve"> </w:t>
      </w:r>
      <w:r w:rsidRPr="00DB7F92">
        <w:rPr>
          <w:lang w:eastAsia="en-GB"/>
        </w:rPr>
        <w:t>is best</w:t>
      </w:r>
      <w:r w:rsidRPr="00DB7F92">
        <w:rPr>
          <w:spacing w:val="-4"/>
          <w:lang w:eastAsia="en-GB"/>
        </w:rPr>
        <w:t xml:space="preserve"> </w:t>
      </w:r>
      <w:r w:rsidRPr="00DB7F92">
        <w:rPr>
          <w:lang w:eastAsia="en-GB"/>
        </w:rPr>
        <w:t>to</w:t>
      </w:r>
      <w:r w:rsidRPr="00DB7F92">
        <w:rPr>
          <w:spacing w:val="-5"/>
          <w:lang w:eastAsia="en-GB"/>
        </w:rPr>
        <w:t xml:space="preserve"> </w:t>
      </w:r>
      <w:r w:rsidRPr="00DB7F92">
        <w:rPr>
          <w:lang w:eastAsia="en-GB"/>
        </w:rPr>
        <w:t>take</w:t>
      </w:r>
      <w:r w:rsidRPr="00DB7F92">
        <w:rPr>
          <w:spacing w:val="-3"/>
          <w:lang w:eastAsia="en-GB"/>
        </w:rPr>
        <w:t xml:space="preserve"> </w:t>
      </w:r>
      <w:r w:rsidRPr="00DB7F92">
        <w:rPr>
          <w:lang w:eastAsia="en-GB"/>
        </w:rPr>
        <w:t>it.</w:t>
      </w:r>
    </w:p>
    <w:p w14:paraId="02776743" w14:textId="77777777" w:rsidR="00DB7F92" w:rsidRPr="00DB7F92" w:rsidRDefault="00DB7F92" w:rsidP="00DB7F92">
      <w:pPr>
        <w:spacing w:before="11"/>
        <w:jc w:val="both"/>
        <w:rPr>
          <w:rFonts w:eastAsia="Segoe UI Semilight" w:cs="Arial"/>
          <w:sz w:val="20"/>
          <w:szCs w:val="20"/>
        </w:rPr>
      </w:pPr>
    </w:p>
    <w:p w14:paraId="39C12538" w14:textId="17547709" w:rsidR="00DB7F92" w:rsidRPr="00DB7F92" w:rsidRDefault="00D32C7A" w:rsidP="00DB7F92">
      <w:pPr>
        <w:pStyle w:val="Heading2"/>
        <w:rPr>
          <w:rFonts w:eastAsiaTheme="majorEastAsia"/>
        </w:rPr>
      </w:pPr>
      <w:bookmarkStart w:id="97" w:name="_Toc498495321"/>
      <w:r w:rsidRPr="00DB7F92">
        <w:rPr>
          <w:rFonts w:eastAsiaTheme="majorEastAsia"/>
        </w:rPr>
        <w:t>The Involvement Duty</w:t>
      </w:r>
      <w:bookmarkEnd w:id="97"/>
    </w:p>
    <w:p w14:paraId="41BDB1CF" w14:textId="77777777" w:rsidR="00DB7F92" w:rsidRPr="00884224" w:rsidRDefault="00DB7F92" w:rsidP="00884224">
      <w:pPr>
        <w:keepNext/>
        <w:keepLines/>
        <w:spacing w:before="199"/>
        <w:ind w:left="838"/>
        <w:jc w:val="both"/>
        <w:outlineLvl w:val="6"/>
        <w:rPr>
          <w:rFonts w:eastAsiaTheme="majorEastAsia" w:cs="Arial"/>
          <w:i/>
          <w:iCs/>
          <w:color w:val="404040" w:themeColor="text1" w:themeTint="BF"/>
          <w:spacing w:val="-1"/>
          <w:sz w:val="28"/>
          <w:szCs w:val="28"/>
        </w:rPr>
      </w:pPr>
      <w:r w:rsidRPr="00884224">
        <w:rPr>
          <w:rFonts w:eastAsiaTheme="majorEastAsia" w:cs="Arial"/>
          <w:i/>
          <w:iCs/>
          <w:color w:val="404040" w:themeColor="text1" w:themeTint="BF"/>
          <w:spacing w:val="-1"/>
          <w:sz w:val="28"/>
          <w:szCs w:val="28"/>
        </w:rPr>
        <w:t>Overview</w:t>
      </w:r>
    </w:p>
    <w:p w14:paraId="255B2239" w14:textId="77777777" w:rsidR="00DB7F92" w:rsidRPr="00DB7F92" w:rsidRDefault="00DB7F92" w:rsidP="00DD5D2D">
      <w:pPr>
        <w:pStyle w:val="Heading3"/>
        <w:jc w:val="both"/>
        <w:rPr>
          <w:lang w:eastAsia="en-GB"/>
        </w:rPr>
      </w:pPr>
      <w:r w:rsidRPr="00DB7F92">
        <w:rPr>
          <w:lang w:eastAsia="en-GB"/>
        </w:rPr>
        <w:t>Under</w:t>
      </w:r>
      <w:r w:rsidRPr="00DB7F92">
        <w:rPr>
          <w:spacing w:val="39"/>
          <w:lang w:eastAsia="en-GB"/>
        </w:rPr>
        <w:t xml:space="preserve"> </w:t>
      </w:r>
      <w:r w:rsidRPr="00DB7F92">
        <w:rPr>
          <w:lang w:eastAsia="en-GB"/>
        </w:rPr>
        <w:t>sections</w:t>
      </w:r>
      <w:r w:rsidRPr="00DB7F92">
        <w:rPr>
          <w:spacing w:val="39"/>
          <w:lang w:eastAsia="en-GB"/>
        </w:rPr>
        <w:t xml:space="preserve"> </w:t>
      </w:r>
      <w:r w:rsidRPr="00DB7F92">
        <w:rPr>
          <w:lang w:eastAsia="en-GB"/>
        </w:rPr>
        <w:t>13Q of</w:t>
      </w:r>
      <w:r w:rsidRPr="00DB7F92">
        <w:rPr>
          <w:spacing w:val="38"/>
          <w:lang w:eastAsia="en-GB"/>
        </w:rPr>
        <w:t xml:space="preserve"> </w:t>
      </w:r>
      <w:r w:rsidRPr="00DB7F92">
        <w:rPr>
          <w:lang w:eastAsia="en-GB"/>
        </w:rPr>
        <w:t>the</w:t>
      </w:r>
      <w:r w:rsidRPr="00DB7F92">
        <w:rPr>
          <w:spacing w:val="38"/>
          <w:lang w:eastAsia="en-GB"/>
        </w:rPr>
        <w:t xml:space="preserve"> </w:t>
      </w:r>
      <w:r w:rsidRPr="00DB7F92">
        <w:rPr>
          <w:lang w:eastAsia="en-GB"/>
        </w:rPr>
        <w:t>NHS</w:t>
      </w:r>
      <w:r w:rsidRPr="00DB7F92">
        <w:rPr>
          <w:spacing w:val="39"/>
          <w:lang w:eastAsia="en-GB"/>
        </w:rPr>
        <w:t xml:space="preserve"> </w:t>
      </w:r>
      <w:r w:rsidRPr="00DB7F92">
        <w:rPr>
          <w:lang w:eastAsia="en-GB"/>
        </w:rPr>
        <w:t>Act</w:t>
      </w:r>
      <w:r w:rsidRPr="00DB7F92">
        <w:rPr>
          <w:spacing w:val="40"/>
          <w:lang w:eastAsia="en-GB"/>
        </w:rPr>
        <w:t xml:space="preserve"> </w:t>
      </w:r>
      <w:r w:rsidRPr="00DB7F92">
        <w:rPr>
          <w:lang w:eastAsia="en-GB"/>
        </w:rPr>
        <w:t>2006,</w:t>
      </w:r>
      <w:r w:rsidRPr="00DB7F92">
        <w:rPr>
          <w:spacing w:val="39"/>
          <w:lang w:eastAsia="en-GB"/>
        </w:rPr>
        <w:t xml:space="preserve"> </w:t>
      </w:r>
      <w:r w:rsidRPr="00DB7F92">
        <w:rPr>
          <w:spacing w:val="-2"/>
          <w:lang w:eastAsia="en-GB"/>
        </w:rPr>
        <w:t>NHS</w:t>
      </w:r>
      <w:r w:rsidRPr="00DB7F92">
        <w:rPr>
          <w:spacing w:val="39"/>
          <w:lang w:eastAsia="en-GB"/>
        </w:rPr>
        <w:t xml:space="preserve"> </w:t>
      </w:r>
      <w:r w:rsidRPr="00DB7F92">
        <w:rPr>
          <w:lang w:eastAsia="en-GB"/>
        </w:rPr>
        <w:t>England has</w:t>
      </w:r>
      <w:r w:rsidRPr="00DB7F92">
        <w:rPr>
          <w:spacing w:val="38"/>
          <w:lang w:eastAsia="en-GB"/>
        </w:rPr>
        <w:t xml:space="preserve"> </w:t>
      </w:r>
      <w:r w:rsidRPr="00DB7F92">
        <w:rPr>
          <w:lang w:eastAsia="en-GB"/>
        </w:rPr>
        <w:t>a</w:t>
      </w:r>
      <w:r w:rsidRPr="00DB7F92">
        <w:rPr>
          <w:spacing w:val="39"/>
          <w:lang w:eastAsia="en-GB"/>
        </w:rPr>
        <w:t xml:space="preserve"> </w:t>
      </w:r>
      <w:r w:rsidRPr="00DB7F92">
        <w:rPr>
          <w:lang w:eastAsia="en-GB"/>
        </w:rPr>
        <w:t>statutory</w:t>
      </w:r>
      <w:r w:rsidRPr="00DB7F92">
        <w:rPr>
          <w:spacing w:val="57"/>
          <w:lang w:eastAsia="en-GB"/>
        </w:rPr>
        <w:t xml:space="preserve"> </w:t>
      </w:r>
      <w:r w:rsidRPr="00DB7F92">
        <w:rPr>
          <w:lang w:eastAsia="en-GB"/>
        </w:rPr>
        <w:t>duty</w:t>
      </w:r>
      <w:r w:rsidRPr="00DB7F92">
        <w:rPr>
          <w:spacing w:val="21"/>
          <w:lang w:eastAsia="en-GB"/>
        </w:rPr>
        <w:t xml:space="preserve"> </w:t>
      </w:r>
      <w:r w:rsidRPr="00DB7F92">
        <w:rPr>
          <w:lang w:eastAsia="en-GB"/>
        </w:rPr>
        <w:t>to</w:t>
      </w:r>
      <w:r w:rsidRPr="00DB7F92">
        <w:rPr>
          <w:spacing w:val="21"/>
          <w:lang w:eastAsia="en-GB"/>
        </w:rPr>
        <w:t xml:space="preserve"> </w:t>
      </w:r>
      <w:r w:rsidRPr="00DB7F92">
        <w:rPr>
          <w:lang w:eastAsia="en-GB"/>
        </w:rPr>
        <w:t>‘make</w:t>
      </w:r>
      <w:r w:rsidRPr="00DB7F92">
        <w:rPr>
          <w:spacing w:val="20"/>
          <w:lang w:eastAsia="en-GB"/>
        </w:rPr>
        <w:t xml:space="preserve"> </w:t>
      </w:r>
      <w:r w:rsidRPr="00DB7F92">
        <w:rPr>
          <w:lang w:eastAsia="en-GB"/>
        </w:rPr>
        <w:t>arrangements’</w:t>
      </w:r>
      <w:r w:rsidRPr="00DB7F92">
        <w:rPr>
          <w:spacing w:val="22"/>
          <w:lang w:eastAsia="en-GB"/>
        </w:rPr>
        <w:t xml:space="preserve"> </w:t>
      </w:r>
      <w:r w:rsidRPr="00DB7F92">
        <w:rPr>
          <w:lang w:eastAsia="en-GB"/>
        </w:rPr>
        <w:t>to</w:t>
      </w:r>
      <w:r w:rsidRPr="00DB7F92">
        <w:rPr>
          <w:spacing w:val="21"/>
          <w:lang w:eastAsia="en-GB"/>
        </w:rPr>
        <w:t xml:space="preserve"> </w:t>
      </w:r>
      <w:r w:rsidRPr="00DB7F92">
        <w:rPr>
          <w:lang w:eastAsia="en-GB"/>
        </w:rPr>
        <w:t>involve</w:t>
      </w:r>
      <w:r w:rsidRPr="00DB7F92">
        <w:rPr>
          <w:spacing w:val="20"/>
          <w:lang w:eastAsia="en-GB"/>
        </w:rPr>
        <w:t xml:space="preserve"> </w:t>
      </w:r>
      <w:r w:rsidRPr="00DB7F92">
        <w:rPr>
          <w:lang w:eastAsia="en-GB"/>
        </w:rPr>
        <w:t>the</w:t>
      </w:r>
      <w:r w:rsidRPr="00DB7F92">
        <w:rPr>
          <w:spacing w:val="21"/>
          <w:lang w:eastAsia="en-GB"/>
        </w:rPr>
        <w:t xml:space="preserve"> </w:t>
      </w:r>
      <w:r w:rsidRPr="00DB7F92">
        <w:rPr>
          <w:lang w:eastAsia="en-GB"/>
        </w:rPr>
        <w:t>public</w:t>
      </w:r>
      <w:r w:rsidRPr="00DB7F92">
        <w:rPr>
          <w:spacing w:val="23"/>
          <w:lang w:eastAsia="en-GB"/>
        </w:rPr>
        <w:t xml:space="preserve"> </w:t>
      </w:r>
      <w:r w:rsidRPr="00DB7F92">
        <w:rPr>
          <w:lang w:eastAsia="en-GB"/>
        </w:rPr>
        <w:t>in</w:t>
      </w:r>
      <w:r w:rsidRPr="00DB7F92">
        <w:rPr>
          <w:spacing w:val="22"/>
          <w:lang w:eastAsia="en-GB"/>
        </w:rPr>
        <w:t xml:space="preserve"> </w:t>
      </w:r>
      <w:r w:rsidRPr="00DB7F92">
        <w:rPr>
          <w:lang w:eastAsia="en-GB"/>
        </w:rPr>
        <w:t>the</w:t>
      </w:r>
      <w:r w:rsidRPr="00DB7F92">
        <w:rPr>
          <w:spacing w:val="21"/>
          <w:lang w:eastAsia="en-GB"/>
        </w:rPr>
        <w:t xml:space="preserve"> </w:t>
      </w:r>
      <w:r w:rsidRPr="00DB7F92">
        <w:rPr>
          <w:lang w:eastAsia="en-GB"/>
        </w:rPr>
        <w:t>commissioning</w:t>
      </w:r>
      <w:r w:rsidRPr="00DB7F92">
        <w:rPr>
          <w:spacing w:val="65"/>
          <w:lang w:eastAsia="en-GB"/>
        </w:rPr>
        <w:t xml:space="preserve"> </w:t>
      </w:r>
      <w:r w:rsidRPr="00DB7F92">
        <w:rPr>
          <w:lang w:eastAsia="en-GB"/>
        </w:rPr>
        <w:t>services</w:t>
      </w:r>
      <w:r w:rsidRPr="00DB7F92">
        <w:rPr>
          <w:spacing w:val="-7"/>
          <w:lang w:eastAsia="en-GB"/>
        </w:rPr>
        <w:t xml:space="preserve"> </w:t>
      </w:r>
      <w:r w:rsidRPr="00DB7F92">
        <w:rPr>
          <w:lang w:eastAsia="en-GB"/>
        </w:rPr>
        <w:t>for</w:t>
      </w:r>
      <w:r w:rsidRPr="00DB7F92">
        <w:rPr>
          <w:spacing w:val="-5"/>
          <w:lang w:eastAsia="en-GB"/>
        </w:rPr>
        <w:t xml:space="preserve"> </w:t>
      </w:r>
      <w:r w:rsidRPr="00DB7F92">
        <w:rPr>
          <w:lang w:eastAsia="en-GB"/>
        </w:rPr>
        <w:t>NHS</w:t>
      </w:r>
      <w:r w:rsidRPr="00DB7F92">
        <w:rPr>
          <w:spacing w:val="-5"/>
          <w:lang w:eastAsia="en-GB"/>
        </w:rPr>
        <w:t xml:space="preserve"> </w:t>
      </w:r>
      <w:r w:rsidRPr="00DB7F92">
        <w:rPr>
          <w:lang w:eastAsia="en-GB"/>
        </w:rPr>
        <w:t>patients.  (This duty is also placed directly on to CCGs under section 14Z2.)</w:t>
      </w:r>
    </w:p>
    <w:p w14:paraId="343CBE3F" w14:textId="77777777" w:rsidR="00DB7F92" w:rsidRPr="00DB7F92" w:rsidRDefault="00DB7F92" w:rsidP="00DD5D2D">
      <w:pPr>
        <w:pStyle w:val="Heading3"/>
        <w:jc w:val="both"/>
        <w:rPr>
          <w:lang w:eastAsia="en-GB"/>
        </w:rPr>
      </w:pPr>
      <w:r w:rsidRPr="00DB7F92">
        <w:rPr>
          <w:lang w:eastAsia="en-GB"/>
        </w:rPr>
        <w:t>Section</w:t>
      </w:r>
      <w:r w:rsidRPr="00DB7F92">
        <w:rPr>
          <w:spacing w:val="-7"/>
          <w:lang w:eastAsia="en-GB"/>
        </w:rPr>
        <w:t xml:space="preserve"> </w:t>
      </w:r>
      <w:r w:rsidRPr="00DB7F92">
        <w:rPr>
          <w:lang w:eastAsia="en-GB"/>
        </w:rPr>
        <w:t>13Q</w:t>
      </w:r>
      <w:r w:rsidRPr="00DB7F92">
        <w:rPr>
          <w:spacing w:val="-6"/>
          <w:lang w:eastAsia="en-GB"/>
        </w:rPr>
        <w:t xml:space="preserve"> </w:t>
      </w:r>
      <w:r w:rsidRPr="00DB7F92">
        <w:rPr>
          <w:lang w:eastAsia="en-GB"/>
        </w:rPr>
        <w:t>applies</w:t>
      </w:r>
      <w:r w:rsidRPr="00DB7F92">
        <w:rPr>
          <w:spacing w:val="-6"/>
          <w:lang w:eastAsia="en-GB"/>
        </w:rPr>
        <w:t xml:space="preserve"> </w:t>
      </w:r>
      <w:r w:rsidRPr="00DB7F92">
        <w:rPr>
          <w:lang w:eastAsia="en-GB"/>
        </w:rPr>
        <w:t>to:</w:t>
      </w:r>
    </w:p>
    <w:p w14:paraId="195B530D" w14:textId="77777777" w:rsidR="00DB7F92" w:rsidRPr="00682EC4" w:rsidRDefault="00DB7F92" w:rsidP="005A7DDA">
      <w:pPr>
        <w:pStyle w:val="ListParagraph"/>
        <w:widowControl w:val="0"/>
        <w:numPr>
          <w:ilvl w:val="1"/>
          <w:numId w:val="94"/>
        </w:numPr>
        <w:tabs>
          <w:tab w:val="left" w:pos="2387"/>
        </w:tabs>
        <w:spacing w:before="120" w:after="120" w:line="360" w:lineRule="auto"/>
        <w:jc w:val="both"/>
        <w:rPr>
          <w:rFonts w:cs="Arial"/>
          <w:bCs w:val="0"/>
          <w:szCs w:val="24"/>
          <w:lang w:eastAsia="en-GB"/>
        </w:rPr>
      </w:pPr>
      <w:r w:rsidRPr="00682EC4">
        <w:rPr>
          <w:rFonts w:cs="Arial"/>
          <w:bCs w:val="0"/>
          <w:spacing w:val="-1"/>
          <w:szCs w:val="24"/>
          <w:lang w:eastAsia="en-GB"/>
        </w:rPr>
        <w:t>the</w:t>
      </w:r>
      <w:r w:rsidRPr="00682EC4">
        <w:rPr>
          <w:rFonts w:cs="Arial"/>
          <w:bCs w:val="0"/>
          <w:spacing w:val="-8"/>
          <w:szCs w:val="24"/>
          <w:lang w:eastAsia="en-GB"/>
        </w:rPr>
        <w:t xml:space="preserve"> </w:t>
      </w:r>
      <w:r w:rsidRPr="00682EC4">
        <w:rPr>
          <w:rFonts w:cs="Arial"/>
          <w:bCs w:val="0"/>
          <w:spacing w:val="-1"/>
          <w:szCs w:val="24"/>
          <w:lang w:eastAsia="en-GB"/>
        </w:rPr>
        <w:t>planning</w:t>
      </w:r>
      <w:r w:rsidRPr="00682EC4">
        <w:rPr>
          <w:rFonts w:cs="Arial"/>
          <w:bCs w:val="0"/>
          <w:spacing w:val="-6"/>
          <w:szCs w:val="24"/>
          <w:lang w:eastAsia="en-GB"/>
        </w:rPr>
        <w:t xml:space="preserve"> </w:t>
      </w:r>
      <w:r w:rsidRPr="00682EC4">
        <w:rPr>
          <w:rFonts w:cs="Arial"/>
          <w:bCs w:val="0"/>
          <w:spacing w:val="-1"/>
          <w:szCs w:val="24"/>
          <w:lang w:eastAsia="en-GB"/>
        </w:rPr>
        <w:t>of</w:t>
      </w:r>
      <w:r w:rsidRPr="00682EC4">
        <w:rPr>
          <w:rFonts w:cs="Arial"/>
          <w:bCs w:val="0"/>
          <w:spacing w:val="-6"/>
          <w:szCs w:val="24"/>
          <w:lang w:eastAsia="en-GB"/>
        </w:rPr>
        <w:t xml:space="preserve"> </w:t>
      </w:r>
      <w:r w:rsidRPr="00682EC4">
        <w:rPr>
          <w:rFonts w:cs="Arial"/>
          <w:bCs w:val="0"/>
          <w:spacing w:val="-1"/>
          <w:szCs w:val="24"/>
          <w:lang w:eastAsia="en-GB"/>
        </w:rPr>
        <w:t>commissioning</w:t>
      </w:r>
      <w:r w:rsidRPr="00682EC4">
        <w:rPr>
          <w:rFonts w:cs="Arial"/>
          <w:bCs w:val="0"/>
          <w:spacing w:val="-6"/>
          <w:szCs w:val="24"/>
          <w:lang w:eastAsia="en-GB"/>
        </w:rPr>
        <w:t xml:space="preserve"> </w:t>
      </w:r>
      <w:r w:rsidRPr="00682EC4">
        <w:rPr>
          <w:rFonts w:cs="Arial"/>
          <w:bCs w:val="0"/>
          <w:spacing w:val="-1"/>
          <w:szCs w:val="24"/>
          <w:lang w:eastAsia="en-GB"/>
        </w:rPr>
        <w:t>arrangements</w:t>
      </w:r>
    </w:p>
    <w:p w14:paraId="5F8DDD3B" w14:textId="77777777" w:rsidR="00DB7F92" w:rsidRPr="00682EC4" w:rsidRDefault="00DB7F92" w:rsidP="005A7DDA">
      <w:pPr>
        <w:pStyle w:val="ListParagraph"/>
        <w:widowControl w:val="0"/>
        <w:numPr>
          <w:ilvl w:val="1"/>
          <w:numId w:val="94"/>
        </w:numPr>
        <w:tabs>
          <w:tab w:val="left" w:pos="2387"/>
        </w:tabs>
        <w:spacing w:before="120" w:after="120" w:line="360" w:lineRule="auto"/>
        <w:ind w:right="115"/>
        <w:jc w:val="both"/>
        <w:rPr>
          <w:rFonts w:cs="Arial"/>
          <w:bCs w:val="0"/>
          <w:szCs w:val="24"/>
          <w:lang w:eastAsia="en-GB"/>
        </w:rPr>
      </w:pPr>
      <w:r w:rsidRPr="00682EC4">
        <w:rPr>
          <w:rFonts w:cs="Arial"/>
          <w:bCs w:val="0"/>
          <w:spacing w:val="-1"/>
          <w:szCs w:val="24"/>
          <w:lang w:eastAsia="en-GB"/>
        </w:rPr>
        <w:t>the</w:t>
      </w:r>
      <w:r w:rsidRPr="00682EC4">
        <w:rPr>
          <w:rFonts w:cs="Arial"/>
          <w:bCs w:val="0"/>
          <w:spacing w:val="19"/>
          <w:szCs w:val="24"/>
          <w:lang w:eastAsia="en-GB"/>
        </w:rPr>
        <w:t xml:space="preserve"> </w:t>
      </w:r>
      <w:r w:rsidRPr="00682EC4">
        <w:rPr>
          <w:rFonts w:cs="Arial"/>
          <w:bCs w:val="0"/>
          <w:spacing w:val="-1"/>
          <w:szCs w:val="24"/>
          <w:lang w:eastAsia="en-GB"/>
        </w:rPr>
        <w:t>development</w:t>
      </w:r>
      <w:r w:rsidRPr="00682EC4">
        <w:rPr>
          <w:rFonts w:cs="Arial"/>
          <w:bCs w:val="0"/>
          <w:spacing w:val="21"/>
          <w:szCs w:val="24"/>
          <w:lang w:eastAsia="en-GB"/>
        </w:rPr>
        <w:t xml:space="preserve"> </w:t>
      </w:r>
      <w:r w:rsidRPr="00682EC4">
        <w:rPr>
          <w:rFonts w:cs="Arial"/>
          <w:bCs w:val="0"/>
          <w:spacing w:val="-1"/>
          <w:szCs w:val="24"/>
          <w:lang w:eastAsia="en-GB"/>
        </w:rPr>
        <w:t>and</w:t>
      </w:r>
      <w:r w:rsidRPr="00682EC4">
        <w:rPr>
          <w:rFonts w:cs="Arial"/>
          <w:bCs w:val="0"/>
          <w:spacing w:val="22"/>
          <w:szCs w:val="24"/>
          <w:lang w:eastAsia="en-GB"/>
        </w:rPr>
        <w:t xml:space="preserve"> </w:t>
      </w:r>
      <w:r w:rsidRPr="00682EC4">
        <w:rPr>
          <w:rFonts w:cs="Arial"/>
          <w:bCs w:val="0"/>
          <w:spacing w:val="-1"/>
          <w:szCs w:val="24"/>
          <w:lang w:eastAsia="en-GB"/>
        </w:rPr>
        <w:t>consideration</w:t>
      </w:r>
      <w:r w:rsidRPr="00682EC4">
        <w:rPr>
          <w:rFonts w:cs="Arial"/>
          <w:bCs w:val="0"/>
          <w:spacing w:val="20"/>
          <w:szCs w:val="24"/>
          <w:lang w:eastAsia="en-GB"/>
        </w:rPr>
        <w:t xml:space="preserve"> </w:t>
      </w:r>
      <w:r w:rsidRPr="00682EC4">
        <w:rPr>
          <w:rFonts w:cs="Arial"/>
          <w:bCs w:val="0"/>
          <w:spacing w:val="-1"/>
          <w:szCs w:val="24"/>
          <w:lang w:eastAsia="en-GB"/>
        </w:rPr>
        <w:t>of</w:t>
      </w:r>
      <w:r w:rsidRPr="00682EC4">
        <w:rPr>
          <w:rFonts w:cs="Arial"/>
          <w:bCs w:val="0"/>
          <w:spacing w:val="20"/>
          <w:szCs w:val="24"/>
          <w:lang w:eastAsia="en-GB"/>
        </w:rPr>
        <w:t xml:space="preserve"> </w:t>
      </w:r>
      <w:r w:rsidRPr="00682EC4">
        <w:rPr>
          <w:rFonts w:cs="Arial"/>
          <w:bCs w:val="0"/>
          <w:spacing w:val="-1"/>
          <w:szCs w:val="24"/>
          <w:lang w:eastAsia="en-GB"/>
        </w:rPr>
        <w:t>any</w:t>
      </w:r>
      <w:r w:rsidRPr="00682EC4">
        <w:rPr>
          <w:rFonts w:cs="Arial"/>
          <w:bCs w:val="0"/>
          <w:spacing w:val="21"/>
          <w:szCs w:val="24"/>
          <w:lang w:eastAsia="en-GB"/>
        </w:rPr>
        <w:t xml:space="preserve"> </w:t>
      </w:r>
      <w:r w:rsidRPr="00682EC4">
        <w:rPr>
          <w:rFonts w:cs="Arial"/>
          <w:bCs w:val="0"/>
          <w:spacing w:val="-1"/>
          <w:szCs w:val="24"/>
          <w:lang w:eastAsia="en-GB"/>
        </w:rPr>
        <w:t>proposals</w:t>
      </w:r>
      <w:r w:rsidRPr="00682EC4">
        <w:rPr>
          <w:rFonts w:cs="Arial"/>
          <w:bCs w:val="0"/>
          <w:spacing w:val="21"/>
          <w:szCs w:val="24"/>
          <w:lang w:eastAsia="en-GB"/>
        </w:rPr>
        <w:t xml:space="preserve"> </w:t>
      </w:r>
      <w:r w:rsidRPr="00682EC4">
        <w:rPr>
          <w:rFonts w:cs="Arial"/>
          <w:bCs w:val="0"/>
          <w:spacing w:val="-1"/>
          <w:szCs w:val="24"/>
          <w:lang w:eastAsia="en-GB"/>
        </w:rPr>
        <w:t>that</w:t>
      </w:r>
      <w:r w:rsidRPr="00682EC4">
        <w:rPr>
          <w:rFonts w:cs="Arial"/>
          <w:bCs w:val="0"/>
          <w:spacing w:val="21"/>
          <w:szCs w:val="24"/>
          <w:lang w:eastAsia="en-GB"/>
        </w:rPr>
        <w:t xml:space="preserve"> </w:t>
      </w:r>
      <w:r w:rsidRPr="00682EC4">
        <w:rPr>
          <w:rFonts w:cs="Arial"/>
          <w:bCs w:val="0"/>
          <w:spacing w:val="-1"/>
          <w:szCs w:val="24"/>
          <w:lang w:eastAsia="en-GB"/>
        </w:rPr>
        <w:t>would</w:t>
      </w:r>
      <w:r w:rsidRPr="00682EC4">
        <w:rPr>
          <w:rFonts w:cs="Arial"/>
          <w:bCs w:val="0"/>
          <w:spacing w:val="48"/>
          <w:w w:val="99"/>
          <w:szCs w:val="24"/>
          <w:lang w:eastAsia="en-GB"/>
        </w:rPr>
        <w:t xml:space="preserve"> </w:t>
      </w:r>
      <w:r w:rsidRPr="00682EC4">
        <w:rPr>
          <w:rFonts w:cs="Arial"/>
          <w:bCs w:val="0"/>
          <w:spacing w:val="-1"/>
          <w:szCs w:val="24"/>
          <w:lang w:eastAsia="en-GB"/>
        </w:rPr>
        <w:t>impact</w:t>
      </w:r>
      <w:r w:rsidRPr="00682EC4">
        <w:rPr>
          <w:rFonts w:cs="Arial"/>
          <w:bCs w:val="0"/>
          <w:spacing w:val="49"/>
          <w:szCs w:val="24"/>
          <w:lang w:eastAsia="en-GB"/>
        </w:rPr>
        <w:t xml:space="preserve"> </w:t>
      </w:r>
      <w:r w:rsidRPr="00682EC4">
        <w:rPr>
          <w:rFonts w:cs="Arial"/>
          <w:bCs w:val="0"/>
          <w:spacing w:val="-1"/>
          <w:szCs w:val="24"/>
          <w:lang w:eastAsia="en-GB"/>
        </w:rPr>
        <w:t>on</w:t>
      </w:r>
      <w:r w:rsidRPr="00682EC4">
        <w:rPr>
          <w:rFonts w:cs="Arial"/>
          <w:bCs w:val="0"/>
          <w:spacing w:val="47"/>
          <w:szCs w:val="24"/>
          <w:lang w:eastAsia="en-GB"/>
        </w:rPr>
        <w:t xml:space="preserve"> </w:t>
      </w:r>
      <w:r w:rsidRPr="00682EC4">
        <w:rPr>
          <w:rFonts w:cs="Arial"/>
          <w:bCs w:val="0"/>
          <w:spacing w:val="-1"/>
          <w:szCs w:val="24"/>
          <w:lang w:eastAsia="en-GB"/>
        </w:rPr>
        <w:t>the</w:t>
      </w:r>
      <w:r w:rsidRPr="00682EC4">
        <w:rPr>
          <w:rFonts w:cs="Arial"/>
          <w:bCs w:val="0"/>
          <w:spacing w:val="48"/>
          <w:szCs w:val="24"/>
          <w:lang w:eastAsia="en-GB"/>
        </w:rPr>
        <w:t xml:space="preserve"> </w:t>
      </w:r>
      <w:r w:rsidRPr="00682EC4">
        <w:rPr>
          <w:rFonts w:cs="Arial"/>
          <w:bCs w:val="0"/>
          <w:spacing w:val="-1"/>
          <w:szCs w:val="24"/>
          <w:lang w:eastAsia="en-GB"/>
        </w:rPr>
        <w:t>manner</w:t>
      </w:r>
      <w:r w:rsidRPr="00682EC4">
        <w:rPr>
          <w:rFonts w:cs="Arial"/>
          <w:bCs w:val="0"/>
          <w:spacing w:val="46"/>
          <w:szCs w:val="24"/>
          <w:lang w:eastAsia="en-GB"/>
        </w:rPr>
        <w:t xml:space="preserve"> </w:t>
      </w:r>
      <w:r w:rsidRPr="00682EC4">
        <w:rPr>
          <w:rFonts w:cs="Arial"/>
          <w:bCs w:val="0"/>
          <w:spacing w:val="-1"/>
          <w:szCs w:val="24"/>
          <w:lang w:eastAsia="en-GB"/>
        </w:rPr>
        <w:t>in</w:t>
      </w:r>
      <w:r w:rsidRPr="00682EC4">
        <w:rPr>
          <w:rFonts w:cs="Arial"/>
          <w:bCs w:val="0"/>
          <w:spacing w:val="47"/>
          <w:szCs w:val="24"/>
          <w:lang w:eastAsia="en-GB"/>
        </w:rPr>
        <w:t xml:space="preserve"> </w:t>
      </w:r>
      <w:r w:rsidRPr="00682EC4">
        <w:rPr>
          <w:rFonts w:cs="Arial"/>
          <w:bCs w:val="0"/>
          <w:szCs w:val="24"/>
          <w:lang w:eastAsia="en-GB"/>
        </w:rPr>
        <w:t>which</w:t>
      </w:r>
      <w:r w:rsidRPr="00682EC4">
        <w:rPr>
          <w:rFonts w:cs="Arial"/>
          <w:bCs w:val="0"/>
          <w:spacing w:val="47"/>
          <w:szCs w:val="24"/>
          <w:lang w:eastAsia="en-GB"/>
        </w:rPr>
        <w:t xml:space="preserve"> </w:t>
      </w:r>
      <w:r w:rsidRPr="00682EC4">
        <w:rPr>
          <w:rFonts w:cs="Arial"/>
          <w:bCs w:val="0"/>
          <w:spacing w:val="-1"/>
          <w:szCs w:val="24"/>
          <w:lang w:eastAsia="en-GB"/>
        </w:rPr>
        <w:t>services</w:t>
      </w:r>
      <w:r w:rsidRPr="00682EC4">
        <w:rPr>
          <w:rFonts w:cs="Arial"/>
          <w:bCs w:val="0"/>
          <w:spacing w:val="50"/>
          <w:szCs w:val="24"/>
          <w:lang w:eastAsia="en-GB"/>
        </w:rPr>
        <w:t xml:space="preserve"> </w:t>
      </w:r>
      <w:r w:rsidRPr="00682EC4">
        <w:rPr>
          <w:rFonts w:cs="Arial"/>
          <w:bCs w:val="0"/>
          <w:spacing w:val="-1"/>
          <w:szCs w:val="24"/>
          <w:lang w:eastAsia="en-GB"/>
        </w:rPr>
        <w:t>are</w:t>
      </w:r>
      <w:r w:rsidRPr="00682EC4">
        <w:rPr>
          <w:rFonts w:cs="Arial"/>
          <w:bCs w:val="0"/>
          <w:spacing w:val="47"/>
          <w:szCs w:val="24"/>
          <w:lang w:eastAsia="en-GB"/>
        </w:rPr>
        <w:t xml:space="preserve"> </w:t>
      </w:r>
      <w:r w:rsidRPr="00682EC4">
        <w:rPr>
          <w:rFonts w:cs="Arial"/>
          <w:bCs w:val="0"/>
          <w:spacing w:val="-1"/>
          <w:szCs w:val="24"/>
          <w:lang w:eastAsia="en-GB"/>
        </w:rPr>
        <w:t>delivered</w:t>
      </w:r>
      <w:r w:rsidRPr="00682EC4">
        <w:rPr>
          <w:rFonts w:cs="Arial"/>
          <w:bCs w:val="0"/>
          <w:spacing w:val="48"/>
          <w:szCs w:val="24"/>
          <w:lang w:eastAsia="en-GB"/>
        </w:rPr>
        <w:t xml:space="preserve"> </w:t>
      </w:r>
      <w:r w:rsidRPr="00682EC4">
        <w:rPr>
          <w:rFonts w:cs="Arial"/>
          <w:bCs w:val="0"/>
          <w:szCs w:val="24"/>
          <w:lang w:eastAsia="en-GB"/>
        </w:rPr>
        <w:t>to</w:t>
      </w:r>
      <w:r w:rsidRPr="00682EC4">
        <w:rPr>
          <w:rFonts w:cs="Arial"/>
          <w:bCs w:val="0"/>
          <w:spacing w:val="49"/>
          <w:szCs w:val="24"/>
          <w:lang w:eastAsia="en-GB"/>
        </w:rPr>
        <w:t xml:space="preserve"> </w:t>
      </w:r>
      <w:r w:rsidRPr="00682EC4">
        <w:rPr>
          <w:rFonts w:cs="Arial"/>
          <w:bCs w:val="0"/>
          <w:spacing w:val="-1"/>
          <w:szCs w:val="24"/>
          <w:lang w:eastAsia="en-GB"/>
        </w:rPr>
        <w:t>individuals</w:t>
      </w:r>
      <w:r w:rsidRPr="00682EC4">
        <w:rPr>
          <w:rFonts w:cs="Arial"/>
          <w:bCs w:val="0"/>
          <w:spacing w:val="-6"/>
          <w:szCs w:val="24"/>
          <w:lang w:eastAsia="en-GB"/>
        </w:rPr>
        <w:t xml:space="preserve"> </w:t>
      </w:r>
      <w:r w:rsidRPr="00682EC4">
        <w:rPr>
          <w:rFonts w:cs="Arial"/>
          <w:bCs w:val="0"/>
          <w:spacing w:val="-1"/>
          <w:szCs w:val="24"/>
          <w:lang w:eastAsia="en-GB"/>
        </w:rPr>
        <w:t>or</w:t>
      </w:r>
      <w:r w:rsidRPr="00682EC4">
        <w:rPr>
          <w:rFonts w:cs="Arial"/>
          <w:bCs w:val="0"/>
          <w:spacing w:val="-4"/>
          <w:szCs w:val="24"/>
          <w:lang w:eastAsia="en-GB"/>
        </w:rPr>
        <w:t xml:space="preserve"> </w:t>
      </w:r>
      <w:r w:rsidRPr="00682EC4">
        <w:rPr>
          <w:rFonts w:cs="Arial"/>
          <w:bCs w:val="0"/>
          <w:spacing w:val="-1"/>
          <w:szCs w:val="24"/>
          <w:lang w:eastAsia="en-GB"/>
        </w:rPr>
        <w:t>the</w:t>
      </w:r>
      <w:r w:rsidRPr="00682EC4">
        <w:rPr>
          <w:rFonts w:cs="Arial"/>
          <w:bCs w:val="0"/>
          <w:spacing w:val="-6"/>
          <w:szCs w:val="24"/>
          <w:lang w:eastAsia="en-GB"/>
        </w:rPr>
        <w:t xml:space="preserve"> </w:t>
      </w:r>
      <w:r w:rsidRPr="00682EC4">
        <w:rPr>
          <w:rFonts w:cs="Arial"/>
          <w:bCs w:val="0"/>
          <w:szCs w:val="24"/>
          <w:lang w:eastAsia="en-GB"/>
        </w:rPr>
        <w:t>range</w:t>
      </w:r>
      <w:r w:rsidRPr="00682EC4">
        <w:rPr>
          <w:rFonts w:cs="Arial"/>
          <w:bCs w:val="0"/>
          <w:spacing w:val="-5"/>
          <w:szCs w:val="24"/>
          <w:lang w:eastAsia="en-GB"/>
        </w:rPr>
        <w:t xml:space="preserve"> </w:t>
      </w:r>
      <w:r w:rsidRPr="00682EC4">
        <w:rPr>
          <w:rFonts w:cs="Arial"/>
          <w:bCs w:val="0"/>
          <w:spacing w:val="-1"/>
          <w:szCs w:val="24"/>
          <w:lang w:eastAsia="en-GB"/>
        </w:rPr>
        <w:t>of</w:t>
      </w:r>
      <w:r w:rsidRPr="00682EC4">
        <w:rPr>
          <w:rFonts w:cs="Arial"/>
          <w:bCs w:val="0"/>
          <w:spacing w:val="-4"/>
          <w:szCs w:val="24"/>
          <w:lang w:eastAsia="en-GB"/>
        </w:rPr>
        <w:t xml:space="preserve"> </w:t>
      </w:r>
      <w:r w:rsidRPr="00682EC4">
        <w:rPr>
          <w:rFonts w:cs="Arial"/>
          <w:bCs w:val="0"/>
          <w:spacing w:val="-1"/>
          <w:szCs w:val="24"/>
          <w:lang w:eastAsia="en-GB"/>
        </w:rPr>
        <w:t>services</w:t>
      </w:r>
      <w:r w:rsidRPr="00682EC4">
        <w:rPr>
          <w:rFonts w:cs="Arial"/>
          <w:bCs w:val="0"/>
          <w:spacing w:val="-6"/>
          <w:szCs w:val="24"/>
          <w:lang w:eastAsia="en-GB"/>
        </w:rPr>
        <w:t xml:space="preserve"> </w:t>
      </w:r>
      <w:r w:rsidRPr="00682EC4">
        <w:rPr>
          <w:rFonts w:cs="Arial"/>
          <w:bCs w:val="0"/>
          <w:spacing w:val="-1"/>
          <w:szCs w:val="24"/>
          <w:lang w:eastAsia="en-GB"/>
        </w:rPr>
        <w:t>available</w:t>
      </w:r>
      <w:r w:rsidRPr="00682EC4">
        <w:rPr>
          <w:rFonts w:cs="Arial"/>
          <w:bCs w:val="0"/>
          <w:spacing w:val="-6"/>
          <w:szCs w:val="24"/>
          <w:lang w:eastAsia="en-GB"/>
        </w:rPr>
        <w:t xml:space="preserve"> </w:t>
      </w:r>
      <w:r w:rsidRPr="00682EC4">
        <w:rPr>
          <w:rFonts w:cs="Arial"/>
          <w:bCs w:val="0"/>
          <w:szCs w:val="24"/>
          <w:lang w:eastAsia="en-GB"/>
        </w:rPr>
        <w:t>to</w:t>
      </w:r>
      <w:r w:rsidRPr="00682EC4">
        <w:rPr>
          <w:rFonts w:cs="Arial"/>
          <w:bCs w:val="0"/>
          <w:spacing w:val="-2"/>
          <w:szCs w:val="24"/>
          <w:lang w:eastAsia="en-GB"/>
        </w:rPr>
        <w:t xml:space="preserve"> </w:t>
      </w:r>
      <w:r w:rsidRPr="00682EC4">
        <w:rPr>
          <w:rFonts w:cs="Arial"/>
          <w:bCs w:val="0"/>
          <w:spacing w:val="-1"/>
          <w:szCs w:val="24"/>
          <w:lang w:eastAsia="en-GB"/>
        </w:rPr>
        <w:t>them</w:t>
      </w:r>
    </w:p>
    <w:p w14:paraId="606D1386" w14:textId="77777777" w:rsidR="00DB7F92" w:rsidRPr="00682EC4" w:rsidRDefault="00DB7F92" w:rsidP="005A7DDA">
      <w:pPr>
        <w:pStyle w:val="ListParagraph"/>
        <w:widowControl w:val="0"/>
        <w:numPr>
          <w:ilvl w:val="1"/>
          <w:numId w:val="94"/>
        </w:numPr>
        <w:tabs>
          <w:tab w:val="left" w:pos="2387"/>
        </w:tabs>
        <w:spacing w:before="120" w:after="120" w:line="360" w:lineRule="auto"/>
        <w:ind w:right="115"/>
        <w:jc w:val="both"/>
        <w:rPr>
          <w:rFonts w:cs="Arial"/>
          <w:bCs w:val="0"/>
          <w:spacing w:val="-1"/>
          <w:szCs w:val="24"/>
          <w:lang w:eastAsia="en-GB"/>
        </w:rPr>
      </w:pPr>
      <w:r w:rsidRPr="00682EC4">
        <w:rPr>
          <w:rFonts w:cs="Arial"/>
          <w:bCs w:val="0"/>
          <w:spacing w:val="-1"/>
          <w:szCs w:val="24"/>
          <w:lang w:eastAsia="en-GB"/>
        </w:rPr>
        <w:t>decisions that would impact on the manner in which services are delivered to individuals or the range of services available to them</w:t>
      </w:r>
    </w:p>
    <w:p w14:paraId="5392D585" w14:textId="77777777" w:rsidR="00DB7F92" w:rsidRPr="00DB7F92" w:rsidRDefault="00DB7F92" w:rsidP="00DD5D2D">
      <w:pPr>
        <w:pStyle w:val="Heading3"/>
        <w:jc w:val="both"/>
        <w:rPr>
          <w:lang w:eastAsia="en-GB"/>
        </w:rPr>
      </w:pPr>
      <w:r w:rsidRPr="00DB7F92">
        <w:rPr>
          <w:lang w:eastAsia="en-GB"/>
        </w:rPr>
        <w:t>The</w:t>
      </w:r>
      <w:r w:rsidRPr="00DB7F92">
        <w:rPr>
          <w:spacing w:val="-2"/>
          <w:lang w:eastAsia="en-GB"/>
        </w:rPr>
        <w:t xml:space="preserve"> </w:t>
      </w:r>
      <w:r w:rsidRPr="00DB7F92">
        <w:rPr>
          <w:lang w:eastAsia="en-GB"/>
        </w:rPr>
        <w:t>section 13Q</w:t>
      </w:r>
      <w:r w:rsidRPr="00DB7F92">
        <w:rPr>
          <w:spacing w:val="1"/>
          <w:lang w:eastAsia="en-GB"/>
        </w:rPr>
        <w:t xml:space="preserve"> </w:t>
      </w:r>
      <w:r w:rsidRPr="00DB7F92">
        <w:rPr>
          <w:lang w:eastAsia="en-GB"/>
        </w:rPr>
        <w:t>duty only</w:t>
      </w:r>
      <w:r w:rsidRPr="00DB7F92">
        <w:rPr>
          <w:spacing w:val="1"/>
          <w:lang w:eastAsia="en-GB"/>
        </w:rPr>
        <w:t xml:space="preserve"> </w:t>
      </w:r>
      <w:r w:rsidRPr="00DB7F92">
        <w:rPr>
          <w:lang w:eastAsia="en-GB"/>
        </w:rPr>
        <w:t>applies to plans,</w:t>
      </w:r>
      <w:r w:rsidRPr="00DB7F92">
        <w:rPr>
          <w:spacing w:val="1"/>
          <w:lang w:eastAsia="en-GB"/>
        </w:rPr>
        <w:t xml:space="preserve"> </w:t>
      </w:r>
      <w:r w:rsidRPr="00DB7F92">
        <w:rPr>
          <w:lang w:eastAsia="en-GB"/>
        </w:rPr>
        <w:t>proposals and decisions</w:t>
      </w:r>
      <w:r w:rsidRPr="00DB7F92">
        <w:rPr>
          <w:spacing w:val="1"/>
          <w:lang w:eastAsia="en-GB"/>
        </w:rPr>
        <w:t xml:space="preserve"> </w:t>
      </w:r>
      <w:r w:rsidRPr="00DB7F92">
        <w:rPr>
          <w:lang w:eastAsia="en-GB"/>
        </w:rPr>
        <w:t>about</w:t>
      </w:r>
      <w:r w:rsidRPr="00DB7F92">
        <w:rPr>
          <w:spacing w:val="55"/>
          <w:w w:val="99"/>
          <w:lang w:eastAsia="en-GB"/>
        </w:rPr>
        <w:t xml:space="preserve"> </w:t>
      </w:r>
      <w:r w:rsidRPr="00DB7F92">
        <w:rPr>
          <w:lang w:eastAsia="en-GB"/>
        </w:rPr>
        <w:t>services</w:t>
      </w:r>
      <w:r w:rsidRPr="00DB7F92">
        <w:rPr>
          <w:spacing w:val="33"/>
          <w:lang w:eastAsia="en-GB"/>
        </w:rPr>
        <w:t xml:space="preserve"> </w:t>
      </w:r>
      <w:r w:rsidRPr="00DB7F92">
        <w:rPr>
          <w:lang w:eastAsia="en-GB"/>
        </w:rPr>
        <w:t>that</w:t>
      </w:r>
      <w:r w:rsidRPr="00DB7F92">
        <w:rPr>
          <w:spacing w:val="34"/>
          <w:lang w:eastAsia="en-GB"/>
        </w:rPr>
        <w:t xml:space="preserve"> </w:t>
      </w:r>
      <w:r w:rsidRPr="00DB7F92">
        <w:rPr>
          <w:lang w:eastAsia="en-GB"/>
        </w:rPr>
        <w:t>are</w:t>
      </w:r>
      <w:r w:rsidRPr="00DB7F92">
        <w:rPr>
          <w:spacing w:val="32"/>
          <w:lang w:eastAsia="en-GB"/>
        </w:rPr>
        <w:t xml:space="preserve"> </w:t>
      </w:r>
      <w:r w:rsidRPr="00DB7F92">
        <w:rPr>
          <w:lang w:eastAsia="en-GB"/>
        </w:rPr>
        <w:t>directly</w:t>
      </w:r>
      <w:r w:rsidRPr="00DB7F92">
        <w:rPr>
          <w:spacing w:val="34"/>
          <w:lang w:eastAsia="en-GB"/>
        </w:rPr>
        <w:t xml:space="preserve"> </w:t>
      </w:r>
      <w:r w:rsidRPr="00DB7F92">
        <w:rPr>
          <w:lang w:eastAsia="en-GB"/>
        </w:rPr>
        <w:t>commissioned</w:t>
      </w:r>
      <w:r w:rsidRPr="00DB7F92">
        <w:rPr>
          <w:spacing w:val="32"/>
          <w:lang w:eastAsia="en-GB"/>
        </w:rPr>
        <w:t xml:space="preserve"> </w:t>
      </w:r>
      <w:r w:rsidRPr="00DB7F92">
        <w:rPr>
          <w:lang w:eastAsia="en-GB"/>
        </w:rPr>
        <w:t>by</w:t>
      </w:r>
      <w:r w:rsidRPr="00DB7F92">
        <w:rPr>
          <w:spacing w:val="34"/>
          <w:lang w:eastAsia="en-GB"/>
        </w:rPr>
        <w:t xml:space="preserve"> </w:t>
      </w:r>
      <w:r w:rsidRPr="00DB7F92">
        <w:rPr>
          <w:lang w:eastAsia="en-GB"/>
        </w:rPr>
        <w:t>NHS</w:t>
      </w:r>
      <w:r w:rsidRPr="00DB7F92">
        <w:rPr>
          <w:spacing w:val="32"/>
          <w:lang w:eastAsia="en-GB"/>
        </w:rPr>
        <w:t xml:space="preserve"> </w:t>
      </w:r>
      <w:r w:rsidRPr="00DB7F92">
        <w:rPr>
          <w:lang w:eastAsia="en-GB"/>
        </w:rPr>
        <w:t>England.</w:t>
      </w:r>
      <w:r w:rsidRPr="00DB7F92">
        <w:rPr>
          <w:spacing w:val="1"/>
          <w:lang w:eastAsia="en-GB"/>
        </w:rPr>
        <w:t xml:space="preserve"> </w:t>
      </w:r>
      <w:r w:rsidRPr="00DB7F92">
        <w:rPr>
          <w:lang w:eastAsia="en-GB"/>
        </w:rPr>
        <w:t>This</w:t>
      </w:r>
      <w:r w:rsidRPr="00DB7F92">
        <w:rPr>
          <w:spacing w:val="34"/>
          <w:lang w:eastAsia="en-GB"/>
        </w:rPr>
        <w:t xml:space="preserve"> </w:t>
      </w:r>
      <w:r w:rsidRPr="00DB7F92">
        <w:rPr>
          <w:lang w:eastAsia="en-GB"/>
        </w:rPr>
        <w:t>includes</w:t>
      </w:r>
      <w:r w:rsidRPr="00DB7F92">
        <w:rPr>
          <w:spacing w:val="56"/>
          <w:lang w:eastAsia="en-GB"/>
        </w:rPr>
        <w:t xml:space="preserve"> </w:t>
      </w:r>
      <w:r w:rsidRPr="00DB7F92">
        <w:rPr>
          <w:lang w:eastAsia="en-GB"/>
        </w:rPr>
        <w:t>GP,</w:t>
      </w:r>
      <w:r w:rsidRPr="00DB7F92">
        <w:rPr>
          <w:spacing w:val="-8"/>
          <w:lang w:eastAsia="en-GB"/>
        </w:rPr>
        <w:t xml:space="preserve"> </w:t>
      </w:r>
      <w:r w:rsidRPr="00DB7F92">
        <w:rPr>
          <w:lang w:eastAsia="en-GB"/>
        </w:rPr>
        <w:t>dental,</w:t>
      </w:r>
      <w:r w:rsidRPr="00DB7F92">
        <w:rPr>
          <w:spacing w:val="-5"/>
          <w:lang w:eastAsia="en-GB"/>
        </w:rPr>
        <w:t xml:space="preserve"> </w:t>
      </w:r>
      <w:r w:rsidRPr="00DB7F92">
        <w:rPr>
          <w:lang w:eastAsia="en-GB"/>
        </w:rPr>
        <w:t>ophthalmic</w:t>
      </w:r>
      <w:r w:rsidRPr="00DB7F92">
        <w:rPr>
          <w:spacing w:val="-3"/>
          <w:lang w:eastAsia="en-GB"/>
        </w:rPr>
        <w:t xml:space="preserve"> </w:t>
      </w:r>
      <w:r w:rsidRPr="00DB7F92">
        <w:rPr>
          <w:lang w:eastAsia="en-GB"/>
        </w:rPr>
        <w:t>and</w:t>
      </w:r>
      <w:r w:rsidRPr="00DB7F92">
        <w:rPr>
          <w:spacing w:val="-9"/>
          <w:lang w:eastAsia="en-GB"/>
        </w:rPr>
        <w:t xml:space="preserve"> </w:t>
      </w:r>
      <w:r w:rsidRPr="00DB7F92">
        <w:rPr>
          <w:lang w:eastAsia="en-GB"/>
        </w:rPr>
        <w:t>pharmaceutical</w:t>
      </w:r>
      <w:r w:rsidRPr="00DB7F92">
        <w:rPr>
          <w:spacing w:val="-6"/>
          <w:lang w:eastAsia="en-GB"/>
        </w:rPr>
        <w:t xml:space="preserve"> </w:t>
      </w:r>
      <w:r w:rsidRPr="00DB7F92">
        <w:rPr>
          <w:lang w:eastAsia="en-GB"/>
        </w:rPr>
        <w:t xml:space="preserve">services. However, under the co-commissioning Delegation Agreement CCGs must act in a way that enables NHS England to comply with the 13Q requirements. </w:t>
      </w:r>
    </w:p>
    <w:p w14:paraId="431620FD" w14:textId="77777777" w:rsidR="00DB7F92" w:rsidRPr="00DB7F92" w:rsidRDefault="00DB7F92" w:rsidP="00DD5D2D">
      <w:pPr>
        <w:pStyle w:val="Heading3"/>
        <w:jc w:val="both"/>
        <w:rPr>
          <w:lang w:eastAsia="en-GB"/>
        </w:rPr>
      </w:pPr>
      <w:r w:rsidRPr="00DB7F92">
        <w:rPr>
          <w:lang w:eastAsia="en-GB"/>
        </w:rPr>
        <w:t xml:space="preserve">(The section 14Z2 duty applies in relation to any health services which are, or are to be, provided pursuant to arrangements made by a CCG in the exercise of the CCG's own  functions i.e. commissioning of secondary care.) </w:t>
      </w:r>
    </w:p>
    <w:p w14:paraId="42FC634D" w14:textId="77777777" w:rsidR="00DB7F92" w:rsidRPr="00884224" w:rsidRDefault="00DB7F92" w:rsidP="00884224">
      <w:pPr>
        <w:keepNext/>
        <w:keepLines/>
        <w:spacing w:before="199"/>
        <w:ind w:left="838"/>
        <w:jc w:val="both"/>
        <w:outlineLvl w:val="6"/>
        <w:rPr>
          <w:rFonts w:eastAsiaTheme="majorEastAsia" w:cs="Arial"/>
          <w:i/>
          <w:iCs/>
          <w:color w:val="404040" w:themeColor="text1" w:themeTint="BF"/>
          <w:spacing w:val="-1"/>
          <w:sz w:val="28"/>
          <w:szCs w:val="28"/>
        </w:rPr>
      </w:pPr>
      <w:r w:rsidRPr="00884224">
        <w:rPr>
          <w:rFonts w:eastAsiaTheme="majorEastAsia" w:cs="Arial"/>
          <w:i/>
          <w:iCs/>
          <w:color w:val="404040" w:themeColor="text1" w:themeTint="BF"/>
          <w:spacing w:val="-1"/>
          <w:sz w:val="28"/>
          <w:szCs w:val="28"/>
        </w:rPr>
        <w:t>The commissioners' arrangements for public involvement</w:t>
      </w:r>
    </w:p>
    <w:p w14:paraId="677A4F32" w14:textId="77777777" w:rsidR="00DB7F92" w:rsidRPr="00DB7F92" w:rsidRDefault="00DB7F92" w:rsidP="00DD5D2D">
      <w:pPr>
        <w:pStyle w:val="Heading3"/>
        <w:jc w:val="both"/>
        <w:rPr>
          <w:lang w:eastAsia="en-GB"/>
        </w:rPr>
      </w:pPr>
      <w:r w:rsidRPr="00DB7F92">
        <w:rPr>
          <w:lang w:eastAsia="en-GB"/>
        </w:rPr>
        <w:t>The</w:t>
      </w:r>
      <w:r w:rsidRPr="00DB7F92">
        <w:rPr>
          <w:spacing w:val="7"/>
          <w:lang w:eastAsia="en-GB"/>
        </w:rPr>
        <w:t xml:space="preserve"> </w:t>
      </w:r>
      <w:r w:rsidRPr="00DB7F92">
        <w:rPr>
          <w:lang w:eastAsia="en-GB"/>
        </w:rPr>
        <w:t>statutory</w:t>
      </w:r>
      <w:r w:rsidRPr="00DB7F92">
        <w:rPr>
          <w:spacing w:val="9"/>
          <w:lang w:eastAsia="en-GB"/>
        </w:rPr>
        <w:t xml:space="preserve"> </w:t>
      </w:r>
      <w:r w:rsidRPr="00DB7F92">
        <w:rPr>
          <w:lang w:eastAsia="en-GB"/>
        </w:rPr>
        <w:t>duty</w:t>
      </w:r>
      <w:r w:rsidRPr="00DB7F92">
        <w:rPr>
          <w:spacing w:val="8"/>
          <w:lang w:eastAsia="en-GB"/>
        </w:rPr>
        <w:t xml:space="preserve"> </w:t>
      </w:r>
      <w:r w:rsidRPr="00DB7F92">
        <w:rPr>
          <w:lang w:eastAsia="en-GB"/>
        </w:rPr>
        <w:t>to</w:t>
      </w:r>
      <w:r w:rsidRPr="00DB7F92">
        <w:rPr>
          <w:spacing w:val="8"/>
          <w:lang w:eastAsia="en-GB"/>
        </w:rPr>
        <w:t xml:space="preserve"> </w:t>
      </w:r>
      <w:r w:rsidRPr="00DB7F92">
        <w:rPr>
          <w:lang w:eastAsia="en-GB"/>
        </w:rPr>
        <w:t>‘make</w:t>
      </w:r>
      <w:r w:rsidRPr="00DB7F92">
        <w:rPr>
          <w:spacing w:val="7"/>
          <w:lang w:eastAsia="en-GB"/>
        </w:rPr>
        <w:t xml:space="preserve"> </w:t>
      </w:r>
      <w:r w:rsidRPr="00DB7F92">
        <w:rPr>
          <w:lang w:eastAsia="en-GB"/>
        </w:rPr>
        <w:t>arrangements’</w:t>
      </w:r>
      <w:r w:rsidRPr="00DB7F92">
        <w:rPr>
          <w:spacing w:val="8"/>
          <w:lang w:eastAsia="en-GB"/>
        </w:rPr>
        <w:t xml:space="preserve"> </w:t>
      </w:r>
      <w:r w:rsidRPr="00DB7F92">
        <w:rPr>
          <w:lang w:eastAsia="en-GB"/>
        </w:rPr>
        <w:t>under</w:t>
      </w:r>
      <w:r w:rsidRPr="00DB7F92">
        <w:rPr>
          <w:spacing w:val="8"/>
          <w:lang w:eastAsia="en-GB"/>
        </w:rPr>
        <w:t xml:space="preserve"> </w:t>
      </w:r>
      <w:r w:rsidRPr="00DB7F92">
        <w:rPr>
          <w:lang w:eastAsia="en-GB"/>
        </w:rPr>
        <w:t>section</w:t>
      </w:r>
      <w:r w:rsidRPr="00DB7F92">
        <w:rPr>
          <w:spacing w:val="8"/>
          <w:lang w:eastAsia="en-GB"/>
        </w:rPr>
        <w:t xml:space="preserve"> </w:t>
      </w:r>
      <w:r w:rsidRPr="00DB7F92">
        <w:rPr>
          <w:lang w:eastAsia="en-GB"/>
        </w:rPr>
        <w:t>13Q of</w:t>
      </w:r>
      <w:r w:rsidRPr="00DB7F92">
        <w:rPr>
          <w:spacing w:val="7"/>
          <w:lang w:eastAsia="en-GB"/>
        </w:rPr>
        <w:t xml:space="preserve"> </w:t>
      </w:r>
      <w:r w:rsidRPr="00DB7F92">
        <w:rPr>
          <w:lang w:eastAsia="en-GB"/>
        </w:rPr>
        <w:t>the</w:t>
      </w:r>
      <w:r w:rsidRPr="00DB7F92">
        <w:rPr>
          <w:spacing w:val="7"/>
          <w:lang w:eastAsia="en-GB"/>
        </w:rPr>
        <w:t xml:space="preserve"> </w:t>
      </w:r>
      <w:r w:rsidRPr="00DB7F92">
        <w:rPr>
          <w:lang w:eastAsia="en-GB"/>
        </w:rPr>
        <w:t>NHS</w:t>
      </w:r>
      <w:r w:rsidRPr="00DB7F92">
        <w:rPr>
          <w:spacing w:val="57"/>
          <w:lang w:eastAsia="en-GB"/>
        </w:rPr>
        <w:t xml:space="preserve"> </w:t>
      </w:r>
      <w:r w:rsidRPr="00DB7F92">
        <w:rPr>
          <w:lang w:eastAsia="en-GB"/>
        </w:rPr>
        <w:t>Act</w:t>
      </w:r>
      <w:r w:rsidRPr="00DB7F92">
        <w:rPr>
          <w:spacing w:val="13"/>
          <w:lang w:eastAsia="en-GB"/>
        </w:rPr>
        <w:t xml:space="preserve"> </w:t>
      </w:r>
      <w:r w:rsidRPr="00DB7F92">
        <w:rPr>
          <w:lang w:eastAsia="en-GB"/>
        </w:rPr>
        <w:t>2006</w:t>
      </w:r>
      <w:r w:rsidRPr="00DB7F92">
        <w:rPr>
          <w:spacing w:val="15"/>
          <w:lang w:eastAsia="en-GB"/>
        </w:rPr>
        <w:t xml:space="preserve"> </w:t>
      </w:r>
      <w:r w:rsidRPr="00DB7F92">
        <w:rPr>
          <w:lang w:eastAsia="en-GB"/>
        </w:rPr>
        <w:t>is</w:t>
      </w:r>
      <w:r w:rsidRPr="00DB7F92">
        <w:rPr>
          <w:spacing w:val="12"/>
          <w:lang w:eastAsia="en-GB"/>
        </w:rPr>
        <w:t xml:space="preserve"> </w:t>
      </w:r>
      <w:r w:rsidRPr="00DB7F92">
        <w:rPr>
          <w:lang w:eastAsia="en-GB"/>
        </w:rPr>
        <w:t>essentially</w:t>
      </w:r>
      <w:r w:rsidRPr="00DB7F92">
        <w:rPr>
          <w:spacing w:val="14"/>
          <w:lang w:eastAsia="en-GB"/>
        </w:rPr>
        <w:t xml:space="preserve"> </w:t>
      </w:r>
      <w:r w:rsidRPr="00DB7F92">
        <w:rPr>
          <w:lang w:eastAsia="en-GB"/>
        </w:rPr>
        <w:t>a</w:t>
      </w:r>
      <w:r w:rsidRPr="00DB7F92">
        <w:rPr>
          <w:spacing w:val="14"/>
          <w:lang w:eastAsia="en-GB"/>
        </w:rPr>
        <w:t xml:space="preserve"> </w:t>
      </w:r>
      <w:r w:rsidRPr="00DB7F92">
        <w:rPr>
          <w:lang w:eastAsia="en-GB"/>
        </w:rPr>
        <w:t>requirement</w:t>
      </w:r>
      <w:r w:rsidRPr="00DB7F92">
        <w:rPr>
          <w:spacing w:val="14"/>
          <w:lang w:eastAsia="en-GB"/>
        </w:rPr>
        <w:t xml:space="preserve"> </w:t>
      </w:r>
      <w:r w:rsidRPr="00DB7F92">
        <w:rPr>
          <w:lang w:eastAsia="en-GB"/>
        </w:rPr>
        <w:t>to</w:t>
      </w:r>
      <w:r w:rsidRPr="00DB7F92">
        <w:rPr>
          <w:spacing w:val="12"/>
          <w:lang w:eastAsia="en-GB"/>
        </w:rPr>
        <w:t xml:space="preserve"> </w:t>
      </w:r>
      <w:r w:rsidRPr="00DB7F92">
        <w:rPr>
          <w:lang w:eastAsia="en-GB"/>
        </w:rPr>
        <w:t>make</w:t>
      </w:r>
      <w:r w:rsidRPr="00DB7F92">
        <w:rPr>
          <w:spacing w:val="13"/>
          <w:lang w:eastAsia="en-GB"/>
        </w:rPr>
        <w:t xml:space="preserve"> </w:t>
      </w:r>
      <w:r w:rsidRPr="00DB7F92">
        <w:rPr>
          <w:lang w:eastAsia="en-GB"/>
        </w:rPr>
        <w:t>plans</w:t>
      </w:r>
      <w:r w:rsidRPr="00DB7F92">
        <w:rPr>
          <w:spacing w:val="15"/>
          <w:lang w:eastAsia="en-GB"/>
        </w:rPr>
        <w:t xml:space="preserve"> </w:t>
      </w:r>
      <w:r w:rsidRPr="00DB7F92">
        <w:rPr>
          <w:lang w:eastAsia="en-GB"/>
        </w:rPr>
        <w:t>and</w:t>
      </w:r>
      <w:r w:rsidRPr="00DB7F92">
        <w:rPr>
          <w:spacing w:val="13"/>
          <w:lang w:eastAsia="en-GB"/>
        </w:rPr>
        <w:t xml:space="preserve"> </w:t>
      </w:r>
      <w:r w:rsidRPr="00DB7F92">
        <w:rPr>
          <w:lang w:eastAsia="en-GB"/>
        </w:rPr>
        <w:t>preparations</w:t>
      </w:r>
      <w:r w:rsidRPr="00DB7F92">
        <w:rPr>
          <w:spacing w:val="15"/>
          <w:lang w:eastAsia="en-GB"/>
        </w:rPr>
        <w:t xml:space="preserve"> </w:t>
      </w:r>
      <w:r w:rsidRPr="00DB7F92">
        <w:rPr>
          <w:lang w:eastAsia="en-GB"/>
        </w:rPr>
        <w:t>for</w:t>
      </w:r>
      <w:r w:rsidRPr="00DB7F92">
        <w:rPr>
          <w:spacing w:val="51"/>
          <w:w w:val="99"/>
          <w:lang w:eastAsia="en-GB"/>
        </w:rPr>
        <w:t xml:space="preserve"> </w:t>
      </w:r>
      <w:r w:rsidRPr="00DB7F92">
        <w:rPr>
          <w:lang w:eastAsia="en-GB"/>
        </w:rPr>
        <w:t>public</w:t>
      </w:r>
      <w:r w:rsidRPr="00DB7F92">
        <w:rPr>
          <w:spacing w:val="-18"/>
          <w:lang w:eastAsia="en-GB"/>
        </w:rPr>
        <w:t xml:space="preserve"> </w:t>
      </w:r>
      <w:r w:rsidRPr="00DB7F92">
        <w:rPr>
          <w:lang w:eastAsia="en-GB"/>
        </w:rPr>
        <w:t>involvement.</w:t>
      </w:r>
    </w:p>
    <w:p w14:paraId="5A3D2347" w14:textId="77777777" w:rsidR="00DB7F92" w:rsidRPr="00DB7F92" w:rsidRDefault="00DB7F92" w:rsidP="00DD5D2D">
      <w:pPr>
        <w:pStyle w:val="Heading3"/>
        <w:jc w:val="both"/>
        <w:rPr>
          <w:lang w:eastAsia="en-GB"/>
        </w:rPr>
      </w:pPr>
      <w:r w:rsidRPr="00DB7F92">
        <w:rPr>
          <w:lang w:eastAsia="en-GB"/>
        </w:rPr>
        <w:lastRenderedPageBreak/>
        <w:t xml:space="preserve">NHS England has set out its plans as to how it intends to involve the public in the following publications: </w:t>
      </w:r>
    </w:p>
    <w:p w14:paraId="767F4D21" w14:textId="77777777" w:rsidR="00DB7F92" w:rsidRPr="00682EC4" w:rsidRDefault="000E7846" w:rsidP="005A7DDA">
      <w:pPr>
        <w:pStyle w:val="ListParagraph"/>
        <w:widowControl w:val="0"/>
        <w:numPr>
          <w:ilvl w:val="2"/>
          <w:numId w:val="94"/>
        </w:numPr>
        <w:tabs>
          <w:tab w:val="left" w:pos="1179"/>
        </w:tabs>
        <w:spacing w:before="120" w:after="120" w:line="360" w:lineRule="auto"/>
        <w:ind w:right="114"/>
        <w:jc w:val="both"/>
        <w:rPr>
          <w:rFonts w:cs="Arial"/>
          <w:iCs/>
          <w:szCs w:val="24"/>
          <w:lang w:eastAsia="en-GB"/>
        </w:rPr>
      </w:pPr>
      <w:hyperlink r:id="rId29" w:history="1">
        <w:r w:rsidR="00DB7F92" w:rsidRPr="00682EC4">
          <w:rPr>
            <w:bCs w:val="0"/>
            <w:iCs/>
            <w:color w:val="0000FF"/>
            <w:szCs w:val="24"/>
            <w:u w:val="single"/>
            <w:lang w:eastAsia="en-GB"/>
          </w:rPr>
          <w:t>The Patient and Public Participation Policy</w:t>
        </w:r>
      </w:hyperlink>
    </w:p>
    <w:p w14:paraId="0CBEF23D" w14:textId="77777777" w:rsidR="00DB7F92" w:rsidRPr="00682EC4" w:rsidRDefault="000E7846" w:rsidP="005A7DDA">
      <w:pPr>
        <w:pStyle w:val="ListParagraph"/>
        <w:widowControl w:val="0"/>
        <w:numPr>
          <w:ilvl w:val="2"/>
          <w:numId w:val="94"/>
        </w:numPr>
        <w:tabs>
          <w:tab w:val="left" w:pos="1179"/>
        </w:tabs>
        <w:spacing w:before="120" w:after="120" w:line="360" w:lineRule="auto"/>
        <w:ind w:right="114"/>
        <w:jc w:val="both"/>
        <w:rPr>
          <w:rFonts w:cs="Arial"/>
          <w:iCs/>
          <w:szCs w:val="24"/>
          <w:lang w:eastAsia="en-GB"/>
        </w:rPr>
      </w:pPr>
      <w:hyperlink r:id="rId30" w:history="1">
        <w:r w:rsidR="00DB7F92" w:rsidRPr="00682EC4">
          <w:rPr>
            <w:bCs w:val="0"/>
            <w:iCs/>
            <w:color w:val="0000FF"/>
            <w:szCs w:val="24"/>
            <w:u w:val="single"/>
            <w:lang w:eastAsia="en-GB"/>
          </w:rPr>
          <w:t>The Statement of Arrangements &amp; Guidance on Patient and Public Participation in Commissioning.</w:t>
        </w:r>
      </w:hyperlink>
      <w:r w:rsidR="00DB7F92" w:rsidRPr="00682EC4">
        <w:rPr>
          <w:rFonts w:cs="Arial"/>
          <w:iCs/>
          <w:szCs w:val="24"/>
          <w:lang w:eastAsia="en-GB"/>
        </w:rPr>
        <w:t xml:space="preserve"> </w:t>
      </w:r>
    </w:p>
    <w:p w14:paraId="145FBC65" w14:textId="77777777" w:rsidR="00DB7F92" w:rsidRPr="00682EC4" w:rsidRDefault="000E7846" w:rsidP="005A7DDA">
      <w:pPr>
        <w:pStyle w:val="ListParagraph"/>
        <w:widowControl w:val="0"/>
        <w:numPr>
          <w:ilvl w:val="2"/>
          <w:numId w:val="94"/>
        </w:numPr>
        <w:tabs>
          <w:tab w:val="left" w:pos="1179"/>
        </w:tabs>
        <w:spacing w:before="120" w:after="120" w:line="360" w:lineRule="auto"/>
        <w:ind w:right="114"/>
        <w:jc w:val="both"/>
        <w:rPr>
          <w:rFonts w:cs="Arial"/>
          <w:b/>
          <w:iCs/>
          <w:szCs w:val="24"/>
          <w:lang w:eastAsia="en-GB"/>
        </w:rPr>
      </w:pPr>
      <w:hyperlink r:id="rId31" w:history="1">
        <w:r w:rsidR="00DB7F92" w:rsidRPr="00682EC4">
          <w:rPr>
            <w:bCs w:val="0"/>
            <w:iCs/>
            <w:color w:val="0000FF"/>
            <w:szCs w:val="24"/>
            <w:u w:val="single"/>
            <w:lang w:eastAsia="en-GB"/>
          </w:rPr>
          <w:t>The Framework for Patient and Public Participation in Primary Care Commissioning</w:t>
        </w:r>
      </w:hyperlink>
    </w:p>
    <w:p w14:paraId="37CB24F1" w14:textId="77777777" w:rsidR="00DB7F92" w:rsidRPr="00DB7F92" w:rsidRDefault="00DB7F92" w:rsidP="00DD5D2D">
      <w:pPr>
        <w:pStyle w:val="Heading3"/>
        <w:jc w:val="both"/>
        <w:rPr>
          <w:lang w:eastAsia="en-GB"/>
        </w:rPr>
      </w:pPr>
      <w:r w:rsidRPr="00DB7F92">
        <w:rPr>
          <w:lang w:eastAsia="en-GB"/>
        </w:rPr>
        <w:t>These publications set</w:t>
      </w:r>
      <w:r w:rsidRPr="00DB7F92">
        <w:rPr>
          <w:spacing w:val="30"/>
          <w:lang w:eastAsia="en-GB"/>
        </w:rPr>
        <w:t xml:space="preserve"> </w:t>
      </w:r>
      <w:r w:rsidRPr="00DB7F92">
        <w:rPr>
          <w:lang w:eastAsia="en-GB"/>
        </w:rPr>
        <w:t>out</w:t>
      </w:r>
      <w:r w:rsidRPr="00DB7F92">
        <w:rPr>
          <w:spacing w:val="29"/>
          <w:lang w:eastAsia="en-GB"/>
        </w:rPr>
        <w:t xml:space="preserve"> </w:t>
      </w:r>
      <w:r w:rsidRPr="00DB7F92">
        <w:rPr>
          <w:lang w:eastAsia="en-GB"/>
        </w:rPr>
        <w:t>and</w:t>
      </w:r>
      <w:r w:rsidRPr="00DB7F92">
        <w:rPr>
          <w:spacing w:val="33"/>
          <w:lang w:eastAsia="en-GB"/>
        </w:rPr>
        <w:t xml:space="preserve"> </w:t>
      </w:r>
      <w:r w:rsidRPr="00DB7F92">
        <w:rPr>
          <w:lang w:eastAsia="en-GB"/>
        </w:rPr>
        <w:t>explain</w:t>
      </w:r>
      <w:r w:rsidRPr="00DB7F92">
        <w:rPr>
          <w:spacing w:val="29"/>
          <w:lang w:eastAsia="en-GB"/>
        </w:rPr>
        <w:t xml:space="preserve"> </w:t>
      </w:r>
      <w:r w:rsidRPr="00DB7F92">
        <w:rPr>
          <w:lang w:eastAsia="en-GB"/>
        </w:rPr>
        <w:t>the</w:t>
      </w:r>
      <w:r w:rsidRPr="00DB7F92">
        <w:rPr>
          <w:spacing w:val="28"/>
          <w:lang w:eastAsia="en-GB"/>
        </w:rPr>
        <w:t xml:space="preserve"> </w:t>
      </w:r>
      <w:r w:rsidRPr="00DB7F92">
        <w:rPr>
          <w:lang w:eastAsia="en-GB"/>
        </w:rPr>
        <w:t>arrangements</w:t>
      </w:r>
      <w:r w:rsidRPr="00DB7F92">
        <w:rPr>
          <w:spacing w:val="67"/>
          <w:lang w:eastAsia="en-GB"/>
        </w:rPr>
        <w:t xml:space="preserve"> </w:t>
      </w:r>
      <w:r w:rsidRPr="00DB7F92">
        <w:rPr>
          <w:lang w:eastAsia="en-GB"/>
        </w:rPr>
        <w:t>NHS</w:t>
      </w:r>
      <w:r w:rsidRPr="00DB7F92">
        <w:rPr>
          <w:spacing w:val="-6"/>
          <w:lang w:eastAsia="en-GB"/>
        </w:rPr>
        <w:t xml:space="preserve"> </w:t>
      </w:r>
      <w:r w:rsidRPr="00DB7F92">
        <w:rPr>
          <w:lang w:eastAsia="en-GB"/>
        </w:rPr>
        <w:t>England</w:t>
      </w:r>
      <w:r w:rsidRPr="00DB7F92">
        <w:rPr>
          <w:spacing w:val="-6"/>
          <w:lang w:eastAsia="en-GB"/>
        </w:rPr>
        <w:t xml:space="preserve"> </w:t>
      </w:r>
      <w:r w:rsidRPr="00DB7F92">
        <w:rPr>
          <w:lang w:eastAsia="en-GB"/>
        </w:rPr>
        <w:t>has</w:t>
      </w:r>
      <w:r w:rsidRPr="00DB7F92">
        <w:rPr>
          <w:spacing w:val="-2"/>
          <w:lang w:eastAsia="en-GB"/>
        </w:rPr>
        <w:t xml:space="preserve"> </w:t>
      </w:r>
      <w:r w:rsidRPr="00DB7F92">
        <w:rPr>
          <w:lang w:eastAsia="en-GB"/>
        </w:rPr>
        <w:t>in</w:t>
      </w:r>
      <w:r w:rsidRPr="00DB7F92">
        <w:rPr>
          <w:spacing w:val="-6"/>
          <w:lang w:eastAsia="en-GB"/>
        </w:rPr>
        <w:t xml:space="preserve"> </w:t>
      </w:r>
      <w:r w:rsidRPr="00DB7F92">
        <w:rPr>
          <w:lang w:eastAsia="en-GB"/>
        </w:rPr>
        <w:t>place:</w:t>
      </w:r>
    </w:p>
    <w:p w14:paraId="0754F883" w14:textId="77777777" w:rsidR="00DB7F92" w:rsidRPr="00682EC4" w:rsidRDefault="00DB7F92" w:rsidP="005A7DDA">
      <w:pPr>
        <w:pStyle w:val="ListParagraph"/>
        <w:widowControl w:val="0"/>
        <w:numPr>
          <w:ilvl w:val="0"/>
          <w:numId w:val="94"/>
        </w:numPr>
        <w:tabs>
          <w:tab w:val="left" w:pos="2007"/>
        </w:tabs>
        <w:spacing w:before="120" w:after="120" w:line="360" w:lineRule="auto"/>
        <w:ind w:right="116"/>
        <w:jc w:val="both"/>
        <w:rPr>
          <w:rFonts w:cs="Arial"/>
          <w:bCs w:val="0"/>
          <w:szCs w:val="24"/>
          <w:lang w:eastAsia="en-GB"/>
        </w:rPr>
      </w:pPr>
      <w:r w:rsidRPr="00682EC4">
        <w:rPr>
          <w:rFonts w:cs="Arial"/>
          <w:bCs w:val="0"/>
          <w:spacing w:val="-1"/>
          <w:szCs w:val="24"/>
          <w:lang w:eastAsia="en-GB"/>
        </w:rPr>
        <w:t>Corporate</w:t>
      </w:r>
      <w:r w:rsidRPr="00682EC4">
        <w:rPr>
          <w:rFonts w:cs="Arial"/>
          <w:bCs w:val="0"/>
          <w:spacing w:val="25"/>
          <w:szCs w:val="24"/>
          <w:lang w:eastAsia="en-GB"/>
        </w:rPr>
        <w:t xml:space="preserve"> </w:t>
      </w:r>
      <w:r w:rsidRPr="00682EC4">
        <w:rPr>
          <w:rFonts w:cs="Arial"/>
          <w:bCs w:val="0"/>
          <w:spacing w:val="-1"/>
          <w:szCs w:val="24"/>
          <w:lang w:eastAsia="en-GB"/>
        </w:rPr>
        <w:t>infrastructure</w:t>
      </w:r>
      <w:r w:rsidRPr="00682EC4">
        <w:rPr>
          <w:rFonts w:cs="Arial"/>
          <w:bCs w:val="0"/>
          <w:spacing w:val="24"/>
          <w:szCs w:val="24"/>
          <w:lang w:eastAsia="en-GB"/>
        </w:rPr>
        <w:t xml:space="preserve"> </w:t>
      </w:r>
      <w:r w:rsidRPr="00682EC4">
        <w:rPr>
          <w:rFonts w:cs="Arial"/>
          <w:bCs w:val="0"/>
          <w:szCs w:val="24"/>
          <w:lang w:eastAsia="en-GB"/>
        </w:rPr>
        <w:t>–</w:t>
      </w:r>
      <w:r w:rsidRPr="00682EC4">
        <w:rPr>
          <w:rFonts w:cs="Arial"/>
          <w:bCs w:val="0"/>
          <w:spacing w:val="24"/>
          <w:szCs w:val="24"/>
          <w:lang w:eastAsia="en-GB"/>
        </w:rPr>
        <w:t xml:space="preserve"> </w:t>
      </w:r>
      <w:r w:rsidRPr="00682EC4">
        <w:rPr>
          <w:rFonts w:cs="Arial"/>
          <w:bCs w:val="0"/>
          <w:spacing w:val="-1"/>
          <w:szCs w:val="24"/>
          <w:lang w:eastAsia="en-GB"/>
        </w:rPr>
        <w:t>how</w:t>
      </w:r>
      <w:r w:rsidRPr="00682EC4">
        <w:rPr>
          <w:rFonts w:cs="Arial"/>
          <w:bCs w:val="0"/>
          <w:spacing w:val="27"/>
          <w:szCs w:val="24"/>
          <w:lang w:eastAsia="en-GB"/>
        </w:rPr>
        <w:t xml:space="preserve"> </w:t>
      </w:r>
      <w:r w:rsidRPr="00682EC4">
        <w:rPr>
          <w:rFonts w:cs="Arial"/>
          <w:bCs w:val="0"/>
          <w:szCs w:val="24"/>
          <w:lang w:eastAsia="en-GB"/>
        </w:rPr>
        <w:t>public</w:t>
      </w:r>
      <w:r w:rsidRPr="00682EC4">
        <w:rPr>
          <w:rFonts w:cs="Arial"/>
          <w:bCs w:val="0"/>
          <w:spacing w:val="23"/>
          <w:szCs w:val="24"/>
          <w:lang w:eastAsia="en-GB"/>
        </w:rPr>
        <w:t xml:space="preserve"> </w:t>
      </w:r>
      <w:r w:rsidRPr="00682EC4">
        <w:rPr>
          <w:rFonts w:cs="Arial"/>
          <w:bCs w:val="0"/>
          <w:spacing w:val="-1"/>
          <w:szCs w:val="24"/>
          <w:lang w:eastAsia="en-GB"/>
        </w:rPr>
        <w:t>involvement</w:t>
      </w:r>
      <w:r w:rsidRPr="00682EC4">
        <w:rPr>
          <w:rFonts w:cs="Arial"/>
          <w:bCs w:val="0"/>
          <w:spacing w:val="25"/>
          <w:szCs w:val="24"/>
          <w:lang w:eastAsia="en-GB"/>
        </w:rPr>
        <w:t xml:space="preserve"> </w:t>
      </w:r>
      <w:r w:rsidRPr="00682EC4">
        <w:rPr>
          <w:rFonts w:cs="Arial"/>
          <w:bCs w:val="0"/>
          <w:spacing w:val="-1"/>
          <w:szCs w:val="24"/>
          <w:lang w:eastAsia="en-GB"/>
        </w:rPr>
        <w:t>is</w:t>
      </w:r>
      <w:r w:rsidRPr="00682EC4">
        <w:rPr>
          <w:rFonts w:cs="Arial"/>
          <w:bCs w:val="0"/>
          <w:spacing w:val="25"/>
          <w:szCs w:val="24"/>
          <w:lang w:eastAsia="en-GB"/>
        </w:rPr>
        <w:t xml:space="preserve"> </w:t>
      </w:r>
      <w:r w:rsidRPr="00682EC4">
        <w:rPr>
          <w:rFonts w:cs="Arial"/>
          <w:bCs w:val="0"/>
          <w:spacing w:val="-1"/>
          <w:szCs w:val="24"/>
          <w:lang w:eastAsia="en-GB"/>
        </w:rPr>
        <w:t>embedded</w:t>
      </w:r>
      <w:r w:rsidRPr="00682EC4">
        <w:rPr>
          <w:rFonts w:cs="Arial"/>
          <w:bCs w:val="0"/>
          <w:spacing w:val="58"/>
          <w:w w:val="99"/>
          <w:szCs w:val="24"/>
          <w:lang w:eastAsia="en-GB"/>
        </w:rPr>
        <w:t xml:space="preserve"> </w:t>
      </w:r>
      <w:r w:rsidRPr="00682EC4">
        <w:rPr>
          <w:rFonts w:cs="Arial"/>
          <w:bCs w:val="0"/>
          <w:spacing w:val="-1"/>
          <w:szCs w:val="24"/>
          <w:lang w:eastAsia="en-GB"/>
        </w:rPr>
        <w:t>in</w:t>
      </w:r>
      <w:r w:rsidRPr="00682EC4">
        <w:rPr>
          <w:rFonts w:cs="Arial"/>
          <w:bCs w:val="0"/>
          <w:spacing w:val="43"/>
          <w:szCs w:val="24"/>
          <w:lang w:eastAsia="en-GB"/>
        </w:rPr>
        <w:t xml:space="preserve"> </w:t>
      </w:r>
      <w:r w:rsidRPr="00682EC4">
        <w:rPr>
          <w:rFonts w:cs="Arial"/>
          <w:bCs w:val="0"/>
          <w:spacing w:val="-1"/>
          <w:szCs w:val="24"/>
          <w:lang w:eastAsia="en-GB"/>
        </w:rPr>
        <w:t>the</w:t>
      </w:r>
      <w:r w:rsidRPr="00682EC4">
        <w:rPr>
          <w:rFonts w:cs="Arial"/>
          <w:bCs w:val="0"/>
          <w:spacing w:val="43"/>
          <w:szCs w:val="24"/>
          <w:lang w:eastAsia="en-GB"/>
        </w:rPr>
        <w:t xml:space="preserve"> </w:t>
      </w:r>
      <w:r w:rsidRPr="00682EC4">
        <w:rPr>
          <w:rFonts w:cs="Arial"/>
          <w:bCs w:val="0"/>
          <w:spacing w:val="-1"/>
          <w:szCs w:val="24"/>
          <w:lang w:eastAsia="en-GB"/>
        </w:rPr>
        <w:t>way</w:t>
      </w:r>
      <w:r w:rsidRPr="00682EC4">
        <w:rPr>
          <w:rFonts w:cs="Arial"/>
          <w:bCs w:val="0"/>
          <w:spacing w:val="44"/>
          <w:szCs w:val="24"/>
          <w:lang w:eastAsia="en-GB"/>
        </w:rPr>
        <w:t xml:space="preserve"> </w:t>
      </w:r>
      <w:r w:rsidRPr="00682EC4">
        <w:rPr>
          <w:rFonts w:cs="Arial"/>
          <w:bCs w:val="0"/>
          <w:spacing w:val="-1"/>
          <w:szCs w:val="24"/>
          <w:lang w:eastAsia="en-GB"/>
        </w:rPr>
        <w:t>that</w:t>
      </w:r>
      <w:r w:rsidRPr="00682EC4">
        <w:rPr>
          <w:rFonts w:cs="Arial"/>
          <w:bCs w:val="0"/>
          <w:spacing w:val="43"/>
          <w:szCs w:val="24"/>
          <w:lang w:eastAsia="en-GB"/>
        </w:rPr>
        <w:t xml:space="preserve"> </w:t>
      </w:r>
      <w:r w:rsidRPr="00682EC4">
        <w:rPr>
          <w:rFonts w:cs="Arial"/>
          <w:bCs w:val="0"/>
          <w:szCs w:val="24"/>
          <w:lang w:eastAsia="en-GB"/>
        </w:rPr>
        <w:t>NHS</w:t>
      </w:r>
      <w:r w:rsidRPr="00682EC4">
        <w:rPr>
          <w:rFonts w:cs="Arial"/>
          <w:bCs w:val="0"/>
          <w:spacing w:val="45"/>
          <w:szCs w:val="24"/>
          <w:lang w:eastAsia="en-GB"/>
        </w:rPr>
        <w:t xml:space="preserve"> </w:t>
      </w:r>
      <w:r w:rsidRPr="00682EC4">
        <w:rPr>
          <w:rFonts w:cs="Arial"/>
          <w:bCs w:val="0"/>
          <w:spacing w:val="-1"/>
          <w:szCs w:val="24"/>
          <w:lang w:eastAsia="en-GB"/>
        </w:rPr>
        <w:t>England</w:t>
      </w:r>
      <w:r w:rsidRPr="00682EC4">
        <w:rPr>
          <w:rFonts w:cs="Arial"/>
          <w:bCs w:val="0"/>
          <w:spacing w:val="43"/>
          <w:szCs w:val="24"/>
          <w:lang w:eastAsia="en-GB"/>
        </w:rPr>
        <w:t xml:space="preserve"> </w:t>
      </w:r>
      <w:r w:rsidRPr="00682EC4">
        <w:rPr>
          <w:rFonts w:cs="Arial"/>
          <w:bCs w:val="0"/>
          <w:spacing w:val="-1"/>
          <w:szCs w:val="24"/>
          <w:lang w:eastAsia="en-GB"/>
        </w:rPr>
        <w:t>is</w:t>
      </w:r>
      <w:r w:rsidRPr="00682EC4">
        <w:rPr>
          <w:rFonts w:cs="Arial"/>
          <w:bCs w:val="0"/>
          <w:spacing w:val="44"/>
          <w:szCs w:val="24"/>
          <w:lang w:eastAsia="en-GB"/>
        </w:rPr>
        <w:t xml:space="preserve"> </w:t>
      </w:r>
      <w:r w:rsidRPr="00682EC4">
        <w:rPr>
          <w:rFonts w:cs="Arial"/>
          <w:bCs w:val="0"/>
          <w:spacing w:val="-1"/>
          <w:szCs w:val="24"/>
          <w:lang w:eastAsia="en-GB"/>
        </w:rPr>
        <w:t>constituted</w:t>
      </w:r>
      <w:r w:rsidRPr="00682EC4">
        <w:rPr>
          <w:rFonts w:cs="Arial"/>
          <w:bCs w:val="0"/>
          <w:spacing w:val="45"/>
          <w:szCs w:val="24"/>
          <w:lang w:eastAsia="en-GB"/>
        </w:rPr>
        <w:t xml:space="preserve"> </w:t>
      </w:r>
      <w:r w:rsidRPr="00682EC4">
        <w:rPr>
          <w:rFonts w:cs="Arial"/>
          <w:bCs w:val="0"/>
          <w:spacing w:val="-1"/>
          <w:szCs w:val="24"/>
          <w:lang w:eastAsia="en-GB"/>
        </w:rPr>
        <w:t>and</w:t>
      </w:r>
      <w:r w:rsidRPr="00682EC4">
        <w:rPr>
          <w:rFonts w:cs="Arial"/>
          <w:bCs w:val="0"/>
          <w:spacing w:val="43"/>
          <w:szCs w:val="24"/>
          <w:lang w:eastAsia="en-GB"/>
        </w:rPr>
        <w:t xml:space="preserve"> </w:t>
      </w:r>
      <w:r w:rsidRPr="00682EC4">
        <w:rPr>
          <w:rFonts w:cs="Arial"/>
          <w:bCs w:val="0"/>
          <w:spacing w:val="-1"/>
          <w:szCs w:val="24"/>
          <w:lang w:eastAsia="en-GB"/>
        </w:rPr>
        <w:t>carries</w:t>
      </w:r>
      <w:r w:rsidRPr="00682EC4">
        <w:rPr>
          <w:rFonts w:cs="Arial"/>
          <w:bCs w:val="0"/>
          <w:spacing w:val="45"/>
          <w:szCs w:val="24"/>
          <w:lang w:eastAsia="en-GB"/>
        </w:rPr>
        <w:t xml:space="preserve"> </w:t>
      </w:r>
      <w:r w:rsidRPr="00682EC4">
        <w:rPr>
          <w:rFonts w:cs="Arial"/>
          <w:bCs w:val="0"/>
          <w:spacing w:val="-1"/>
          <w:szCs w:val="24"/>
          <w:lang w:eastAsia="en-GB"/>
        </w:rPr>
        <w:t>out</w:t>
      </w:r>
      <w:r w:rsidRPr="00682EC4">
        <w:rPr>
          <w:rFonts w:cs="Arial"/>
          <w:bCs w:val="0"/>
          <w:spacing w:val="46"/>
          <w:szCs w:val="24"/>
          <w:lang w:eastAsia="en-GB"/>
        </w:rPr>
        <w:t xml:space="preserve"> </w:t>
      </w:r>
      <w:r w:rsidRPr="00682EC4">
        <w:rPr>
          <w:rFonts w:cs="Arial"/>
          <w:bCs w:val="0"/>
          <w:spacing w:val="-1"/>
          <w:szCs w:val="24"/>
          <w:lang w:eastAsia="en-GB"/>
        </w:rPr>
        <w:t>its</w:t>
      </w:r>
      <w:r w:rsidRPr="00682EC4">
        <w:rPr>
          <w:rFonts w:cs="Arial"/>
          <w:bCs w:val="0"/>
          <w:spacing w:val="59"/>
          <w:szCs w:val="24"/>
          <w:lang w:eastAsia="en-GB"/>
        </w:rPr>
        <w:t xml:space="preserve"> </w:t>
      </w:r>
      <w:r w:rsidRPr="00682EC4">
        <w:rPr>
          <w:rFonts w:cs="Arial"/>
          <w:bCs w:val="0"/>
          <w:spacing w:val="-1"/>
          <w:szCs w:val="24"/>
          <w:lang w:eastAsia="en-GB"/>
        </w:rPr>
        <w:t>business</w:t>
      </w:r>
    </w:p>
    <w:p w14:paraId="61CE6D97" w14:textId="77777777" w:rsidR="00DB7F92" w:rsidRPr="00682EC4" w:rsidRDefault="00DB7F92" w:rsidP="005A7DDA">
      <w:pPr>
        <w:pStyle w:val="ListParagraph"/>
        <w:widowControl w:val="0"/>
        <w:numPr>
          <w:ilvl w:val="0"/>
          <w:numId w:val="94"/>
        </w:numPr>
        <w:tabs>
          <w:tab w:val="left" w:pos="2007"/>
        </w:tabs>
        <w:spacing w:before="120" w:after="120" w:line="360" w:lineRule="auto"/>
        <w:ind w:right="116"/>
        <w:jc w:val="both"/>
        <w:rPr>
          <w:rFonts w:cs="Arial"/>
          <w:bCs w:val="0"/>
          <w:szCs w:val="24"/>
          <w:lang w:eastAsia="en-GB"/>
        </w:rPr>
      </w:pPr>
      <w:r w:rsidRPr="00682EC4">
        <w:rPr>
          <w:rFonts w:cs="Arial"/>
          <w:bCs w:val="0"/>
          <w:spacing w:val="-1"/>
          <w:szCs w:val="24"/>
          <w:lang w:eastAsia="en-GB"/>
        </w:rPr>
        <w:t>Involvement</w:t>
      </w:r>
      <w:r w:rsidRPr="00682EC4">
        <w:rPr>
          <w:rFonts w:cs="Arial"/>
          <w:bCs w:val="0"/>
          <w:spacing w:val="13"/>
          <w:szCs w:val="24"/>
          <w:lang w:eastAsia="en-GB"/>
        </w:rPr>
        <w:t xml:space="preserve"> </w:t>
      </w:r>
      <w:r w:rsidRPr="00682EC4">
        <w:rPr>
          <w:rFonts w:cs="Arial"/>
          <w:bCs w:val="0"/>
          <w:spacing w:val="-1"/>
          <w:szCs w:val="24"/>
          <w:lang w:eastAsia="en-GB"/>
        </w:rPr>
        <w:t>initiatives</w:t>
      </w:r>
      <w:r w:rsidRPr="00682EC4">
        <w:rPr>
          <w:rFonts w:cs="Arial"/>
          <w:bCs w:val="0"/>
          <w:spacing w:val="15"/>
          <w:szCs w:val="24"/>
          <w:lang w:eastAsia="en-GB"/>
        </w:rPr>
        <w:t xml:space="preserve"> </w:t>
      </w:r>
      <w:r w:rsidRPr="00682EC4">
        <w:rPr>
          <w:rFonts w:cs="Arial"/>
          <w:bCs w:val="0"/>
          <w:szCs w:val="24"/>
          <w:lang w:eastAsia="en-GB"/>
        </w:rPr>
        <w:t>–</w:t>
      </w:r>
      <w:r w:rsidRPr="00682EC4">
        <w:rPr>
          <w:rFonts w:cs="Arial"/>
          <w:bCs w:val="0"/>
          <w:spacing w:val="13"/>
          <w:szCs w:val="24"/>
          <w:lang w:eastAsia="en-GB"/>
        </w:rPr>
        <w:t xml:space="preserve"> </w:t>
      </w:r>
      <w:r w:rsidRPr="00682EC4">
        <w:rPr>
          <w:rFonts w:cs="Arial"/>
          <w:bCs w:val="0"/>
          <w:spacing w:val="-1"/>
          <w:szCs w:val="24"/>
          <w:lang w:eastAsia="en-GB"/>
        </w:rPr>
        <w:t>initiatives</w:t>
      </w:r>
      <w:r w:rsidRPr="00682EC4">
        <w:rPr>
          <w:rFonts w:cs="Arial"/>
          <w:bCs w:val="0"/>
          <w:spacing w:val="14"/>
          <w:szCs w:val="24"/>
          <w:lang w:eastAsia="en-GB"/>
        </w:rPr>
        <w:t xml:space="preserve"> </w:t>
      </w:r>
      <w:r w:rsidRPr="00682EC4">
        <w:rPr>
          <w:rFonts w:cs="Arial"/>
          <w:bCs w:val="0"/>
          <w:spacing w:val="-1"/>
          <w:szCs w:val="24"/>
          <w:lang w:eastAsia="en-GB"/>
        </w:rPr>
        <w:t>designed</w:t>
      </w:r>
      <w:r w:rsidRPr="00682EC4">
        <w:rPr>
          <w:rFonts w:cs="Arial"/>
          <w:bCs w:val="0"/>
          <w:spacing w:val="14"/>
          <w:szCs w:val="24"/>
          <w:lang w:eastAsia="en-GB"/>
        </w:rPr>
        <w:t xml:space="preserve"> </w:t>
      </w:r>
      <w:r w:rsidRPr="00682EC4">
        <w:rPr>
          <w:rFonts w:cs="Arial"/>
          <w:bCs w:val="0"/>
          <w:spacing w:val="1"/>
          <w:szCs w:val="24"/>
          <w:lang w:eastAsia="en-GB"/>
        </w:rPr>
        <w:t>to</w:t>
      </w:r>
      <w:r w:rsidRPr="00682EC4">
        <w:rPr>
          <w:rFonts w:cs="Arial"/>
          <w:bCs w:val="0"/>
          <w:spacing w:val="12"/>
          <w:szCs w:val="24"/>
          <w:lang w:eastAsia="en-GB"/>
        </w:rPr>
        <w:t xml:space="preserve"> </w:t>
      </w:r>
      <w:r w:rsidRPr="00682EC4">
        <w:rPr>
          <w:rFonts w:cs="Arial"/>
          <w:bCs w:val="0"/>
          <w:spacing w:val="-1"/>
          <w:szCs w:val="24"/>
          <w:lang w:eastAsia="en-GB"/>
        </w:rPr>
        <w:t>involve</w:t>
      </w:r>
      <w:r w:rsidRPr="00682EC4">
        <w:rPr>
          <w:rFonts w:cs="Arial"/>
          <w:bCs w:val="0"/>
          <w:spacing w:val="14"/>
          <w:szCs w:val="24"/>
          <w:lang w:eastAsia="en-GB"/>
        </w:rPr>
        <w:t xml:space="preserve"> </w:t>
      </w:r>
      <w:r w:rsidRPr="00682EC4">
        <w:rPr>
          <w:rFonts w:cs="Arial"/>
          <w:bCs w:val="0"/>
          <w:spacing w:val="-1"/>
          <w:szCs w:val="24"/>
          <w:lang w:eastAsia="en-GB"/>
        </w:rPr>
        <w:t>the</w:t>
      </w:r>
      <w:r w:rsidRPr="00682EC4">
        <w:rPr>
          <w:rFonts w:cs="Arial"/>
          <w:bCs w:val="0"/>
          <w:spacing w:val="14"/>
          <w:szCs w:val="24"/>
          <w:lang w:eastAsia="en-GB"/>
        </w:rPr>
        <w:t xml:space="preserve"> </w:t>
      </w:r>
      <w:r w:rsidRPr="00682EC4">
        <w:rPr>
          <w:rFonts w:cs="Arial"/>
          <w:bCs w:val="0"/>
          <w:spacing w:val="-1"/>
          <w:szCs w:val="24"/>
          <w:lang w:eastAsia="en-GB"/>
        </w:rPr>
        <w:t>public</w:t>
      </w:r>
      <w:r w:rsidRPr="00682EC4">
        <w:rPr>
          <w:rFonts w:cs="Arial"/>
          <w:bCs w:val="0"/>
          <w:spacing w:val="68"/>
          <w:w w:val="99"/>
          <w:szCs w:val="24"/>
          <w:lang w:eastAsia="en-GB"/>
        </w:rPr>
        <w:t xml:space="preserve"> </w:t>
      </w:r>
      <w:r w:rsidRPr="00682EC4">
        <w:rPr>
          <w:rFonts w:cs="Arial"/>
          <w:bCs w:val="0"/>
          <w:spacing w:val="-1"/>
          <w:szCs w:val="24"/>
          <w:lang w:eastAsia="en-GB"/>
        </w:rPr>
        <w:t>in</w:t>
      </w:r>
      <w:r w:rsidRPr="00682EC4">
        <w:rPr>
          <w:rFonts w:cs="Arial"/>
          <w:bCs w:val="0"/>
          <w:spacing w:val="61"/>
          <w:szCs w:val="24"/>
          <w:lang w:eastAsia="en-GB"/>
        </w:rPr>
        <w:t xml:space="preserve"> </w:t>
      </w:r>
      <w:r w:rsidRPr="00682EC4">
        <w:rPr>
          <w:rFonts w:cs="Arial"/>
          <w:bCs w:val="0"/>
          <w:spacing w:val="-1"/>
          <w:szCs w:val="24"/>
          <w:lang w:eastAsia="en-GB"/>
        </w:rPr>
        <w:t>strategic</w:t>
      </w:r>
      <w:r w:rsidRPr="00682EC4">
        <w:rPr>
          <w:rFonts w:cs="Arial"/>
          <w:bCs w:val="0"/>
          <w:spacing w:val="61"/>
          <w:szCs w:val="24"/>
          <w:lang w:eastAsia="en-GB"/>
        </w:rPr>
        <w:t xml:space="preserve"> </w:t>
      </w:r>
      <w:r w:rsidRPr="00682EC4">
        <w:rPr>
          <w:rFonts w:cs="Arial"/>
          <w:bCs w:val="0"/>
          <w:spacing w:val="-1"/>
          <w:szCs w:val="24"/>
          <w:lang w:eastAsia="en-GB"/>
        </w:rPr>
        <w:t>planning</w:t>
      </w:r>
      <w:r w:rsidRPr="00682EC4">
        <w:rPr>
          <w:rFonts w:cs="Arial"/>
          <w:bCs w:val="0"/>
          <w:spacing w:val="63"/>
          <w:szCs w:val="24"/>
          <w:lang w:eastAsia="en-GB"/>
        </w:rPr>
        <w:t xml:space="preserve"> </w:t>
      </w:r>
      <w:r w:rsidRPr="00682EC4">
        <w:rPr>
          <w:rFonts w:cs="Arial"/>
          <w:bCs w:val="0"/>
          <w:spacing w:val="-1"/>
          <w:szCs w:val="24"/>
          <w:lang w:eastAsia="en-GB"/>
        </w:rPr>
        <w:t>and</w:t>
      </w:r>
      <w:r w:rsidRPr="00682EC4">
        <w:rPr>
          <w:rFonts w:cs="Arial"/>
          <w:bCs w:val="0"/>
          <w:spacing w:val="61"/>
          <w:szCs w:val="24"/>
          <w:lang w:eastAsia="en-GB"/>
        </w:rPr>
        <w:t xml:space="preserve"> </w:t>
      </w:r>
      <w:r w:rsidRPr="00682EC4">
        <w:rPr>
          <w:rFonts w:cs="Arial"/>
          <w:bCs w:val="0"/>
          <w:spacing w:val="-1"/>
          <w:szCs w:val="24"/>
          <w:lang w:eastAsia="en-GB"/>
        </w:rPr>
        <w:t>the</w:t>
      </w:r>
      <w:r w:rsidRPr="00682EC4">
        <w:rPr>
          <w:rFonts w:cs="Arial"/>
          <w:bCs w:val="0"/>
          <w:spacing w:val="61"/>
          <w:szCs w:val="24"/>
          <w:lang w:eastAsia="en-GB"/>
        </w:rPr>
        <w:t xml:space="preserve"> </w:t>
      </w:r>
      <w:r w:rsidRPr="00682EC4">
        <w:rPr>
          <w:rFonts w:cs="Arial"/>
          <w:bCs w:val="0"/>
          <w:spacing w:val="-1"/>
          <w:szCs w:val="24"/>
          <w:lang w:eastAsia="en-GB"/>
        </w:rPr>
        <w:t>development</w:t>
      </w:r>
      <w:r w:rsidRPr="00682EC4">
        <w:rPr>
          <w:rFonts w:cs="Arial"/>
          <w:bCs w:val="0"/>
          <w:szCs w:val="24"/>
          <w:lang w:eastAsia="en-GB"/>
        </w:rPr>
        <w:t xml:space="preserve">  </w:t>
      </w:r>
      <w:r w:rsidRPr="00682EC4">
        <w:rPr>
          <w:rFonts w:cs="Arial"/>
          <w:bCs w:val="0"/>
          <w:spacing w:val="-1"/>
          <w:szCs w:val="24"/>
          <w:lang w:eastAsia="en-GB"/>
        </w:rPr>
        <w:t>of</w:t>
      </w:r>
      <w:r w:rsidRPr="00682EC4">
        <w:rPr>
          <w:rFonts w:cs="Arial"/>
          <w:bCs w:val="0"/>
          <w:spacing w:val="61"/>
          <w:szCs w:val="24"/>
          <w:lang w:eastAsia="en-GB"/>
        </w:rPr>
        <w:t xml:space="preserve"> </w:t>
      </w:r>
      <w:r w:rsidRPr="00682EC4">
        <w:rPr>
          <w:rFonts w:cs="Arial"/>
          <w:bCs w:val="0"/>
          <w:spacing w:val="-1"/>
          <w:szCs w:val="24"/>
          <w:lang w:eastAsia="en-GB"/>
        </w:rPr>
        <w:t>policy</w:t>
      </w:r>
      <w:r w:rsidRPr="00682EC4">
        <w:rPr>
          <w:rFonts w:cs="Arial"/>
          <w:bCs w:val="0"/>
          <w:spacing w:val="62"/>
          <w:szCs w:val="24"/>
          <w:lang w:eastAsia="en-GB"/>
        </w:rPr>
        <w:t xml:space="preserve"> </w:t>
      </w:r>
      <w:r w:rsidRPr="00682EC4">
        <w:rPr>
          <w:rFonts w:cs="Arial"/>
          <w:bCs w:val="0"/>
          <w:spacing w:val="-1"/>
          <w:szCs w:val="24"/>
          <w:lang w:eastAsia="en-GB"/>
        </w:rPr>
        <w:t>or</w:t>
      </w:r>
      <w:r w:rsidRPr="00682EC4">
        <w:rPr>
          <w:rFonts w:cs="Arial"/>
          <w:bCs w:val="0"/>
          <w:spacing w:val="61"/>
          <w:szCs w:val="24"/>
          <w:lang w:eastAsia="en-GB"/>
        </w:rPr>
        <w:t xml:space="preserve"> </w:t>
      </w:r>
      <w:r w:rsidRPr="00682EC4">
        <w:rPr>
          <w:rFonts w:cs="Arial"/>
          <w:bCs w:val="0"/>
          <w:spacing w:val="-1"/>
          <w:szCs w:val="24"/>
          <w:lang w:eastAsia="en-GB"/>
        </w:rPr>
        <w:t>other</w:t>
      </w:r>
      <w:r w:rsidRPr="00682EC4">
        <w:rPr>
          <w:rFonts w:cs="Arial"/>
          <w:bCs w:val="0"/>
          <w:spacing w:val="48"/>
          <w:w w:val="99"/>
          <w:szCs w:val="24"/>
          <w:lang w:eastAsia="en-GB"/>
        </w:rPr>
        <w:t xml:space="preserve"> </w:t>
      </w:r>
      <w:r w:rsidRPr="00682EC4">
        <w:rPr>
          <w:rFonts w:cs="Arial"/>
          <w:bCs w:val="0"/>
          <w:spacing w:val="-1"/>
          <w:szCs w:val="24"/>
          <w:lang w:eastAsia="en-GB"/>
        </w:rPr>
        <w:t>aspects</w:t>
      </w:r>
      <w:r w:rsidRPr="00682EC4">
        <w:rPr>
          <w:rFonts w:cs="Arial"/>
          <w:bCs w:val="0"/>
          <w:spacing w:val="-6"/>
          <w:szCs w:val="24"/>
          <w:lang w:eastAsia="en-GB"/>
        </w:rPr>
        <w:t xml:space="preserve"> </w:t>
      </w:r>
      <w:r w:rsidRPr="00682EC4">
        <w:rPr>
          <w:rFonts w:cs="Arial"/>
          <w:bCs w:val="0"/>
          <w:spacing w:val="-1"/>
          <w:szCs w:val="24"/>
          <w:lang w:eastAsia="en-GB"/>
        </w:rPr>
        <w:t>of</w:t>
      </w:r>
      <w:r w:rsidRPr="00682EC4">
        <w:rPr>
          <w:rFonts w:cs="Arial"/>
          <w:bCs w:val="0"/>
          <w:spacing w:val="-5"/>
          <w:szCs w:val="24"/>
          <w:lang w:eastAsia="en-GB"/>
        </w:rPr>
        <w:t xml:space="preserve"> </w:t>
      </w:r>
      <w:r w:rsidRPr="00682EC4">
        <w:rPr>
          <w:rFonts w:cs="Arial"/>
          <w:bCs w:val="0"/>
          <w:spacing w:val="-1"/>
          <w:szCs w:val="24"/>
          <w:lang w:eastAsia="en-GB"/>
        </w:rPr>
        <w:t>NHS</w:t>
      </w:r>
      <w:r w:rsidRPr="00682EC4">
        <w:rPr>
          <w:rFonts w:cs="Arial"/>
          <w:bCs w:val="0"/>
          <w:spacing w:val="-5"/>
          <w:szCs w:val="24"/>
          <w:lang w:eastAsia="en-GB"/>
        </w:rPr>
        <w:t xml:space="preserve"> </w:t>
      </w:r>
      <w:r w:rsidRPr="00682EC4">
        <w:rPr>
          <w:rFonts w:cs="Arial"/>
          <w:bCs w:val="0"/>
          <w:spacing w:val="-1"/>
          <w:szCs w:val="24"/>
          <w:lang w:eastAsia="en-GB"/>
        </w:rPr>
        <w:t>England’s</w:t>
      </w:r>
      <w:r w:rsidRPr="00682EC4">
        <w:rPr>
          <w:rFonts w:cs="Arial"/>
          <w:bCs w:val="0"/>
          <w:spacing w:val="-6"/>
          <w:szCs w:val="24"/>
          <w:lang w:eastAsia="en-GB"/>
        </w:rPr>
        <w:t xml:space="preserve"> </w:t>
      </w:r>
      <w:r w:rsidRPr="00682EC4">
        <w:rPr>
          <w:rFonts w:cs="Arial"/>
          <w:bCs w:val="0"/>
          <w:spacing w:val="-1"/>
          <w:szCs w:val="24"/>
          <w:lang w:eastAsia="en-GB"/>
        </w:rPr>
        <w:t>activities</w:t>
      </w:r>
    </w:p>
    <w:p w14:paraId="474F15F1" w14:textId="77777777" w:rsidR="00DB7F92" w:rsidRPr="00682EC4" w:rsidRDefault="00DB7F92" w:rsidP="005A7DDA">
      <w:pPr>
        <w:pStyle w:val="ListParagraph"/>
        <w:widowControl w:val="0"/>
        <w:numPr>
          <w:ilvl w:val="0"/>
          <w:numId w:val="94"/>
        </w:numPr>
        <w:tabs>
          <w:tab w:val="left" w:pos="2007"/>
        </w:tabs>
        <w:spacing w:before="120" w:after="120" w:line="360" w:lineRule="auto"/>
        <w:ind w:right="117"/>
        <w:jc w:val="both"/>
        <w:rPr>
          <w:rFonts w:cs="Arial"/>
          <w:bCs w:val="0"/>
          <w:szCs w:val="24"/>
          <w:lang w:eastAsia="en-GB"/>
        </w:rPr>
      </w:pPr>
      <w:r w:rsidRPr="00682EC4">
        <w:rPr>
          <w:rFonts w:cs="Arial"/>
          <w:bCs w:val="0"/>
          <w:spacing w:val="-1"/>
          <w:szCs w:val="24"/>
          <w:lang w:eastAsia="en-GB"/>
        </w:rPr>
        <w:t>Monitoring</w:t>
      </w:r>
      <w:r w:rsidRPr="00682EC4">
        <w:rPr>
          <w:rFonts w:cs="Arial"/>
          <w:bCs w:val="0"/>
          <w:spacing w:val="37"/>
          <w:szCs w:val="24"/>
          <w:lang w:eastAsia="en-GB"/>
        </w:rPr>
        <w:t xml:space="preserve"> </w:t>
      </w:r>
      <w:r w:rsidRPr="00682EC4">
        <w:rPr>
          <w:rFonts w:cs="Arial"/>
          <w:bCs w:val="0"/>
          <w:szCs w:val="24"/>
          <w:lang w:eastAsia="en-GB"/>
        </w:rPr>
        <w:t>arrangements</w:t>
      </w:r>
      <w:r w:rsidRPr="00682EC4">
        <w:rPr>
          <w:rFonts w:cs="Arial"/>
          <w:bCs w:val="0"/>
          <w:spacing w:val="39"/>
          <w:szCs w:val="24"/>
          <w:lang w:eastAsia="en-GB"/>
        </w:rPr>
        <w:t xml:space="preserve"> </w:t>
      </w:r>
      <w:r w:rsidRPr="00682EC4">
        <w:rPr>
          <w:rFonts w:cs="Arial"/>
          <w:bCs w:val="0"/>
          <w:szCs w:val="24"/>
          <w:lang w:eastAsia="en-GB"/>
        </w:rPr>
        <w:t>–</w:t>
      </w:r>
      <w:r w:rsidRPr="00682EC4">
        <w:rPr>
          <w:rFonts w:cs="Arial"/>
          <w:bCs w:val="0"/>
          <w:spacing w:val="39"/>
          <w:szCs w:val="24"/>
          <w:lang w:eastAsia="en-GB"/>
        </w:rPr>
        <w:t xml:space="preserve"> </w:t>
      </w:r>
      <w:r w:rsidRPr="00682EC4">
        <w:rPr>
          <w:rFonts w:cs="Arial"/>
          <w:bCs w:val="0"/>
          <w:szCs w:val="24"/>
          <w:lang w:eastAsia="en-GB"/>
        </w:rPr>
        <w:t>a</w:t>
      </w:r>
      <w:r w:rsidRPr="00682EC4">
        <w:rPr>
          <w:rFonts w:cs="Arial"/>
          <w:bCs w:val="0"/>
          <w:spacing w:val="38"/>
          <w:szCs w:val="24"/>
          <w:lang w:eastAsia="en-GB"/>
        </w:rPr>
        <w:t xml:space="preserve"> </w:t>
      </w:r>
      <w:r w:rsidRPr="00682EC4">
        <w:rPr>
          <w:rFonts w:cs="Arial"/>
          <w:bCs w:val="0"/>
          <w:spacing w:val="-1"/>
          <w:szCs w:val="24"/>
          <w:lang w:eastAsia="en-GB"/>
        </w:rPr>
        <w:t>step-by-step</w:t>
      </w:r>
      <w:r w:rsidRPr="00682EC4">
        <w:rPr>
          <w:rFonts w:cs="Arial"/>
          <w:bCs w:val="0"/>
          <w:spacing w:val="38"/>
          <w:szCs w:val="24"/>
          <w:lang w:eastAsia="en-GB"/>
        </w:rPr>
        <w:t xml:space="preserve"> </w:t>
      </w:r>
      <w:r w:rsidRPr="00682EC4">
        <w:rPr>
          <w:rFonts w:cs="Arial"/>
          <w:bCs w:val="0"/>
          <w:spacing w:val="-1"/>
          <w:szCs w:val="24"/>
          <w:lang w:eastAsia="en-GB"/>
        </w:rPr>
        <w:t>process</w:t>
      </w:r>
      <w:r w:rsidRPr="00682EC4">
        <w:rPr>
          <w:rFonts w:cs="Arial"/>
          <w:bCs w:val="0"/>
          <w:spacing w:val="39"/>
          <w:szCs w:val="24"/>
          <w:lang w:eastAsia="en-GB"/>
        </w:rPr>
        <w:t xml:space="preserve"> </w:t>
      </w:r>
      <w:r w:rsidRPr="00682EC4">
        <w:rPr>
          <w:rFonts w:cs="Arial"/>
          <w:bCs w:val="0"/>
          <w:szCs w:val="24"/>
          <w:lang w:eastAsia="en-GB"/>
        </w:rPr>
        <w:t>to</w:t>
      </w:r>
      <w:r w:rsidRPr="00682EC4">
        <w:rPr>
          <w:rFonts w:cs="Arial"/>
          <w:bCs w:val="0"/>
          <w:spacing w:val="39"/>
          <w:szCs w:val="24"/>
          <w:lang w:eastAsia="en-GB"/>
        </w:rPr>
        <w:t xml:space="preserve"> </w:t>
      </w:r>
      <w:r w:rsidRPr="00682EC4">
        <w:rPr>
          <w:rFonts w:cs="Arial"/>
          <w:bCs w:val="0"/>
          <w:spacing w:val="-1"/>
          <w:szCs w:val="24"/>
          <w:lang w:eastAsia="en-GB"/>
        </w:rPr>
        <w:t>help</w:t>
      </w:r>
      <w:r w:rsidRPr="00682EC4">
        <w:rPr>
          <w:rFonts w:cs="Arial"/>
          <w:bCs w:val="0"/>
          <w:spacing w:val="38"/>
          <w:w w:val="99"/>
          <w:szCs w:val="24"/>
          <w:lang w:eastAsia="en-GB"/>
        </w:rPr>
        <w:t xml:space="preserve"> </w:t>
      </w:r>
      <w:r w:rsidRPr="00682EC4">
        <w:rPr>
          <w:rFonts w:cs="Arial"/>
          <w:bCs w:val="0"/>
          <w:spacing w:val="-1"/>
          <w:szCs w:val="24"/>
          <w:lang w:eastAsia="en-GB"/>
        </w:rPr>
        <w:t>commissioners</w:t>
      </w:r>
      <w:r w:rsidRPr="00682EC4">
        <w:rPr>
          <w:rFonts w:cs="Arial"/>
          <w:bCs w:val="0"/>
          <w:spacing w:val="22"/>
          <w:szCs w:val="24"/>
          <w:lang w:eastAsia="en-GB"/>
        </w:rPr>
        <w:t xml:space="preserve"> </w:t>
      </w:r>
      <w:r w:rsidRPr="00682EC4">
        <w:rPr>
          <w:rFonts w:cs="Arial"/>
          <w:bCs w:val="0"/>
          <w:spacing w:val="-1"/>
          <w:szCs w:val="24"/>
          <w:lang w:eastAsia="en-GB"/>
        </w:rPr>
        <w:t>identify</w:t>
      </w:r>
      <w:r w:rsidRPr="00682EC4">
        <w:rPr>
          <w:rFonts w:cs="Arial"/>
          <w:bCs w:val="0"/>
          <w:spacing w:val="24"/>
          <w:szCs w:val="24"/>
          <w:lang w:eastAsia="en-GB"/>
        </w:rPr>
        <w:t xml:space="preserve"> </w:t>
      </w:r>
      <w:r w:rsidRPr="00682EC4">
        <w:rPr>
          <w:rFonts w:cs="Arial"/>
          <w:bCs w:val="0"/>
          <w:spacing w:val="-1"/>
          <w:szCs w:val="24"/>
          <w:lang w:eastAsia="en-GB"/>
        </w:rPr>
        <w:t>whether</w:t>
      </w:r>
      <w:r w:rsidRPr="00682EC4">
        <w:rPr>
          <w:rFonts w:cs="Arial"/>
          <w:bCs w:val="0"/>
          <w:spacing w:val="23"/>
          <w:szCs w:val="24"/>
          <w:lang w:eastAsia="en-GB"/>
        </w:rPr>
        <w:t xml:space="preserve"> </w:t>
      </w:r>
      <w:r w:rsidRPr="00682EC4">
        <w:rPr>
          <w:rFonts w:cs="Arial"/>
          <w:bCs w:val="0"/>
          <w:spacing w:val="-1"/>
          <w:szCs w:val="24"/>
          <w:lang w:eastAsia="en-GB"/>
        </w:rPr>
        <w:t>the</w:t>
      </w:r>
      <w:r w:rsidRPr="00682EC4">
        <w:rPr>
          <w:rFonts w:cs="Arial"/>
          <w:bCs w:val="0"/>
          <w:spacing w:val="21"/>
          <w:szCs w:val="24"/>
          <w:lang w:eastAsia="en-GB"/>
        </w:rPr>
        <w:t xml:space="preserve"> </w:t>
      </w:r>
      <w:r w:rsidRPr="00682EC4">
        <w:rPr>
          <w:rFonts w:cs="Arial"/>
          <w:bCs w:val="0"/>
          <w:spacing w:val="-1"/>
          <w:szCs w:val="24"/>
          <w:lang w:eastAsia="en-GB"/>
        </w:rPr>
        <w:t>section</w:t>
      </w:r>
      <w:r w:rsidRPr="00682EC4">
        <w:rPr>
          <w:rFonts w:cs="Arial"/>
          <w:bCs w:val="0"/>
          <w:spacing w:val="24"/>
          <w:szCs w:val="24"/>
          <w:lang w:eastAsia="en-GB"/>
        </w:rPr>
        <w:t xml:space="preserve"> </w:t>
      </w:r>
      <w:r w:rsidRPr="00682EC4">
        <w:rPr>
          <w:rFonts w:cs="Arial"/>
          <w:bCs w:val="0"/>
          <w:szCs w:val="24"/>
          <w:lang w:eastAsia="en-GB"/>
        </w:rPr>
        <w:t>13Q</w:t>
      </w:r>
      <w:r w:rsidRPr="00682EC4">
        <w:rPr>
          <w:rFonts w:cs="Arial"/>
          <w:bCs w:val="0"/>
          <w:spacing w:val="23"/>
          <w:szCs w:val="24"/>
          <w:lang w:eastAsia="en-GB"/>
        </w:rPr>
        <w:t xml:space="preserve"> </w:t>
      </w:r>
      <w:r w:rsidRPr="00682EC4">
        <w:rPr>
          <w:rFonts w:cs="Arial"/>
          <w:bCs w:val="0"/>
          <w:spacing w:val="-1"/>
          <w:szCs w:val="24"/>
          <w:lang w:eastAsia="en-GB"/>
        </w:rPr>
        <w:t>applies</w:t>
      </w:r>
      <w:r w:rsidRPr="00682EC4">
        <w:rPr>
          <w:rFonts w:cs="Arial"/>
          <w:bCs w:val="0"/>
          <w:spacing w:val="22"/>
          <w:szCs w:val="24"/>
          <w:lang w:eastAsia="en-GB"/>
        </w:rPr>
        <w:t xml:space="preserve"> </w:t>
      </w:r>
      <w:r w:rsidRPr="00682EC4">
        <w:rPr>
          <w:rFonts w:cs="Arial"/>
          <w:bCs w:val="0"/>
          <w:spacing w:val="-1"/>
          <w:szCs w:val="24"/>
          <w:lang w:eastAsia="en-GB"/>
        </w:rPr>
        <w:t>and</w:t>
      </w:r>
      <w:r w:rsidRPr="00682EC4">
        <w:rPr>
          <w:rFonts w:cs="Arial"/>
          <w:bCs w:val="0"/>
          <w:spacing w:val="40"/>
          <w:szCs w:val="24"/>
          <w:lang w:eastAsia="en-GB"/>
        </w:rPr>
        <w:t xml:space="preserve"> </w:t>
      </w:r>
      <w:r w:rsidRPr="00682EC4">
        <w:rPr>
          <w:rFonts w:cs="Arial"/>
          <w:bCs w:val="0"/>
          <w:spacing w:val="-1"/>
          <w:szCs w:val="24"/>
          <w:lang w:eastAsia="en-GB"/>
        </w:rPr>
        <w:t>decide</w:t>
      </w:r>
      <w:r w:rsidRPr="00682EC4">
        <w:rPr>
          <w:rFonts w:cs="Arial"/>
          <w:bCs w:val="0"/>
          <w:spacing w:val="13"/>
          <w:szCs w:val="24"/>
          <w:lang w:eastAsia="en-GB"/>
        </w:rPr>
        <w:t xml:space="preserve"> </w:t>
      </w:r>
      <w:r w:rsidRPr="00682EC4">
        <w:rPr>
          <w:rFonts w:cs="Arial"/>
          <w:bCs w:val="0"/>
          <w:spacing w:val="-1"/>
          <w:szCs w:val="24"/>
          <w:lang w:eastAsia="en-GB"/>
        </w:rPr>
        <w:t>whether</w:t>
      </w:r>
      <w:r w:rsidRPr="00682EC4">
        <w:rPr>
          <w:rFonts w:cs="Arial"/>
          <w:bCs w:val="0"/>
          <w:spacing w:val="15"/>
          <w:szCs w:val="24"/>
          <w:lang w:eastAsia="en-GB"/>
        </w:rPr>
        <w:t xml:space="preserve"> </w:t>
      </w:r>
      <w:r w:rsidRPr="00682EC4">
        <w:rPr>
          <w:rFonts w:cs="Arial"/>
          <w:bCs w:val="0"/>
          <w:spacing w:val="-1"/>
          <w:szCs w:val="24"/>
          <w:lang w:eastAsia="en-GB"/>
        </w:rPr>
        <w:t>sufficient</w:t>
      </w:r>
      <w:r w:rsidRPr="00682EC4">
        <w:rPr>
          <w:rFonts w:cs="Arial"/>
          <w:bCs w:val="0"/>
          <w:spacing w:val="16"/>
          <w:szCs w:val="24"/>
          <w:lang w:eastAsia="en-GB"/>
        </w:rPr>
        <w:t xml:space="preserve"> </w:t>
      </w:r>
      <w:r w:rsidRPr="00682EC4">
        <w:rPr>
          <w:rFonts w:cs="Arial"/>
          <w:bCs w:val="0"/>
          <w:spacing w:val="-1"/>
          <w:szCs w:val="24"/>
          <w:lang w:eastAsia="en-GB"/>
        </w:rPr>
        <w:t>public</w:t>
      </w:r>
      <w:r w:rsidRPr="00682EC4">
        <w:rPr>
          <w:rFonts w:cs="Arial"/>
          <w:bCs w:val="0"/>
          <w:spacing w:val="15"/>
          <w:szCs w:val="24"/>
          <w:lang w:eastAsia="en-GB"/>
        </w:rPr>
        <w:t xml:space="preserve"> </w:t>
      </w:r>
      <w:r w:rsidRPr="00682EC4">
        <w:rPr>
          <w:rFonts w:cs="Arial"/>
          <w:bCs w:val="0"/>
          <w:spacing w:val="-1"/>
          <w:szCs w:val="24"/>
          <w:lang w:eastAsia="en-GB"/>
        </w:rPr>
        <w:t>involvement</w:t>
      </w:r>
      <w:r w:rsidRPr="00682EC4">
        <w:rPr>
          <w:rFonts w:cs="Arial"/>
          <w:bCs w:val="0"/>
          <w:spacing w:val="15"/>
          <w:szCs w:val="24"/>
          <w:lang w:eastAsia="en-GB"/>
        </w:rPr>
        <w:t xml:space="preserve"> </w:t>
      </w:r>
      <w:r w:rsidRPr="00682EC4">
        <w:rPr>
          <w:rFonts w:cs="Arial"/>
          <w:bCs w:val="0"/>
          <w:spacing w:val="-1"/>
          <w:szCs w:val="24"/>
          <w:lang w:eastAsia="en-GB"/>
        </w:rPr>
        <w:t>activity</w:t>
      </w:r>
      <w:r w:rsidRPr="00682EC4">
        <w:rPr>
          <w:rFonts w:cs="Arial"/>
          <w:bCs w:val="0"/>
          <w:spacing w:val="16"/>
          <w:szCs w:val="24"/>
          <w:lang w:eastAsia="en-GB"/>
        </w:rPr>
        <w:t xml:space="preserve"> </w:t>
      </w:r>
      <w:r w:rsidRPr="00682EC4">
        <w:rPr>
          <w:rFonts w:cs="Arial"/>
          <w:bCs w:val="0"/>
          <w:spacing w:val="-1"/>
          <w:szCs w:val="24"/>
          <w:lang w:eastAsia="en-GB"/>
        </w:rPr>
        <w:t>is</w:t>
      </w:r>
      <w:r w:rsidRPr="00682EC4">
        <w:rPr>
          <w:rFonts w:cs="Arial"/>
          <w:bCs w:val="0"/>
          <w:spacing w:val="16"/>
          <w:szCs w:val="24"/>
          <w:lang w:eastAsia="en-GB"/>
        </w:rPr>
        <w:t xml:space="preserve"> </w:t>
      </w:r>
      <w:r w:rsidRPr="00682EC4">
        <w:rPr>
          <w:rFonts w:cs="Arial"/>
          <w:bCs w:val="0"/>
          <w:spacing w:val="-1"/>
          <w:szCs w:val="24"/>
          <w:lang w:eastAsia="en-GB"/>
        </w:rPr>
        <w:t>already</w:t>
      </w:r>
      <w:r w:rsidRPr="00682EC4">
        <w:rPr>
          <w:rFonts w:cs="Arial"/>
          <w:bCs w:val="0"/>
          <w:spacing w:val="16"/>
          <w:szCs w:val="24"/>
          <w:lang w:eastAsia="en-GB"/>
        </w:rPr>
        <w:t xml:space="preserve"> </w:t>
      </w:r>
      <w:r w:rsidRPr="00682EC4">
        <w:rPr>
          <w:rFonts w:cs="Arial"/>
          <w:bCs w:val="0"/>
          <w:spacing w:val="-1"/>
          <w:szCs w:val="24"/>
          <w:lang w:eastAsia="en-GB"/>
        </w:rPr>
        <w:t>in</w:t>
      </w:r>
      <w:r w:rsidRPr="00682EC4">
        <w:rPr>
          <w:rFonts w:cs="Arial"/>
          <w:bCs w:val="0"/>
          <w:spacing w:val="56"/>
          <w:w w:val="99"/>
          <w:szCs w:val="24"/>
          <w:lang w:eastAsia="en-GB"/>
        </w:rPr>
        <w:t xml:space="preserve"> </w:t>
      </w:r>
      <w:r w:rsidRPr="00682EC4">
        <w:rPr>
          <w:rFonts w:cs="Arial"/>
          <w:bCs w:val="0"/>
          <w:spacing w:val="-1"/>
          <w:szCs w:val="24"/>
          <w:lang w:eastAsia="en-GB"/>
        </w:rPr>
        <w:t>place</w:t>
      </w:r>
      <w:r w:rsidRPr="00682EC4">
        <w:rPr>
          <w:rFonts w:cs="Arial"/>
          <w:bCs w:val="0"/>
          <w:spacing w:val="-7"/>
          <w:szCs w:val="24"/>
          <w:lang w:eastAsia="en-GB"/>
        </w:rPr>
        <w:t xml:space="preserve"> </w:t>
      </w:r>
      <w:r w:rsidRPr="00682EC4">
        <w:rPr>
          <w:rFonts w:cs="Arial"/>
          <w:bCs w:val="0"/>
          <w:spacing w:val="-1"/>
          <w:szCs w:val="24"/>
          <w:lang w:eastAsia="en-GB"/>
        </w:rPr>
        <w:t>or</w:t>
      </w:r>
      <w:r w:rsidRPr="00682EC4">
        <w:rPr>
          <w:rFonts w:cs="Arial"/>
          <w:bCs w:val="0"/>
          <w:spacing w:val="-7"/>
          <w:szCs w:val="24"/>
          <w:lang w:eastAsia="en-GB"/>
        </w:rPr>
        <w:t xml:space="preserve"> </w:t>
      </w:r>
      <w:r w:rsidRPr="00682EC4">
        <w:rPr>
          <w:rFonts w:cs="Arial"/>
          <w:bCs w:val="0"/>
          <w:spacing w:val="-1"/>
          <w:szCs w:val="24"/>
          <w:lang w:eastAsia="en-GB"/>
        </w:rPr>
        <w:t>whether</w:t>
      </w:r>
      <w:r w:rsidRPr="00682EC4">
        <w:rPr>
          <w:rFonts w:cs="Arial"/>
          <w:bCs w:val="0"/>
          <w:spacing w:val="-7"/>
          <w:szCs w:val="24"/>
          <w:lang w:eastAsia="en-GB"/>
        </w:rPr>
        <w:t xml:space="preserve"> </w:t>
      </w:r>
      <w:r w:rsidRPr="00682EC4">
        <w:rPr>
          <w:rFonts w:cs="Arial"/>
          <w:bCs w:val="0"/>
          <w:spacing w:val="-1"/>
          <w:szCs w:val="24"/>
          <w:lang w:eastAsia="en-GB"/>
        </w:rPr>
        <w:t>additional</w:t>
      </w:r>
      <w:r w:rsidRPr="00682EC4">
        <w:rPr>
          <w:rFonts w:cs="Arial"/>
          <w:bCs w:val="0"/>
          <w:spacing w:val="-6"/>
          <w:szCs w:val="24"/>
          <w:lang w:eastAsia="en-GB"/>
        </w:rPr>
        <w:t xml:space="preserve"> </w:t>
      </w:r>
      <w:r w:rsidRPr="00682EC4">
        <w:rPr>
          <w:rFonts w:cs="Arial"/>
          <w:bCs w:val="0"/>
          <w:spacing w:val="-1"/>
          <w:szCs w:val="24"/>
          <w:lang w:eastAsia="en-GB"/>
        </w:rPr>
        <w:t>public</w:t>
      </w:r>
      <w:r w:rsidRPr="00682EC4">
        <w:rPr>
          <w:rFonts w:cs="Arial"/>
          <w:bCs w:val="0"/>
          <w:spacing w:val="-6"/>
          <w:szCs w:val="24"/>
          <w:lang w:eastAsia="en-GB"/>
        </w:rPr>
        <w:t xml:space="preserve"> </w:t>
      </w:r>
      <w:r w:rsidRPr="00682EC4">
        <w:rPr>
          <w:rFonts w:cs="Arial"/>
          <w:bCs w:val="0"/>
          <w:spacing w:val="-1"/>
          <w:szCs w:val="24"/>
          <w:lang w:eastAsia="en-GB"/>
        </w:rPr>
        <w:t>involvement</w:t>
      </w:r>
      <w:r w:rsidRPr="00682EC4">
        <w:rPr>
          <w:rFonts w:cs="Arial"/>
          <w:bCs w:val="0"/>
          <w:spacing w:val="-7"/>
          <w:szCs w:val="24"/>
          <w:lang w:eastAsia="en-GB"/>
        </w:rPr>
        <w:t xml:space="preserve"> </w:t>
      </w:r>
      <w:r w:rsidRPr="00682EC4">
        <w:rPr>
          <w:rFonts w:cs="Arial"/>
          <w:bCs w:val="0"/>
          <w:spacing w:val="-1"/>
          <w:szCs w:val="24"/>
          <w:lang w:eastAsia="en-GB"/>
        </w:rPr>
        <w:t>is</w:t>
      </w:r>
      <w:r w:rsidRPr="00682EC4">
        <w:rPr>
          <w:rFonts w:cs="Arial"/>
          <w:bCs w:val="0"/>
          <w:spacing w:val="-8"/>
          <w:szCs w:val="24"/>
          <w:lang w:eastAsia="en-GB"/>
        </w:rPr>
        <w:t xml:space="preserve"> </w:t>
      </w:r>
      <w:r w:rsidRPr="00682EC4">
        <w:rPr>
          <w:rFonts w:cs="Arial"/>
          <w:bCs w:val="0"/>
          <w:spacing w:val="-1"/>
          <w:szCs w:val="24"/>
          <w:lang w:eastAsia="en-GB"/>
        </w:rPr>
        <w:t>required</w:t>
      </w:r>
    </w:p>
    <w:p w14:paraId="4009A175" w14:textId="77777777" w:rsidR="00DB7F92" w:rsidRPr="00682EC4" w:rsidRDefault="00DB7F92" w:rsidP="005A7DDA">
      <w:pPr>
        <w:pStyle w:val="ListParagraph"/>
        <w:widowControl w:val="0"/>
        <w:numPr>
          <w:ilvl w:val="0"/>
          <w:numId w:val="94"/>
        </w:numPr>
        <w:tabs>
          <w:tab w:val="left" w:pos="2007"/>
        </w:tabs>
        <w:spacing w:before="120" w:after="120" w:line="360" w:lineRule="auto"/>
        <w:ind w:right="116"/>
        <w:jc w:val="both"/>
        <w:rPr>
          <w:rFonts w:cs="Arial"/>
          <w:bCs w:val="0"/>
          <w:szCs w:val="24"/>
          <w:lang w:eastAsia="en-GB"/>
        </w:rPr>
      </w:pPr>
      <w:r w:rsidRPr="00682EC4">
        <w:rPr>
          <w:rFonts w:cs="Arial"/>
          <w:bCs w:val="0"/>
          <w:spacing w:val="-1"/>
          <w:szCs w:val="24"/>
          <w:lang w:eastAsia="en-GB"/>
        </w:rPr>
        <w:t>Responsive</w:t>
      </w:r>
      <w:r w:rsidRPr="00682EC4">
        <w:rPr>
          <w:rFonts w:cs="Arial"/>
          <w:bCs w:val="0"/>
          <w:spacing w:val="29"/>
          <w:szCs w:val="24"/>
          <w:lang w:eastAsia="en-GB"/>
        </w:rPr>
        <w:t xml:space="preserve"> </w:t>
      </w:r>
      <w:r w:rsidRPr="00682EC4">
        <w:rPr>
          <w:rFonts w:cs="Arial"/>
          <w:bCs w:val="0"/>
          <w:spacing w:val="-1"/>
          <w:szCs w:val="24"/>
          <w:lang w:eastAsia="en-GB"/>
        </w:rPr>
        <w:t>arrangements</w:t>
      </w:r>
      <w:r w:rsidRPr="00682EC4">
        <w:rPr>
          <w:rFonts w:cs="Arial"/>
          <w:bCs w:val="0"/>
          <w:spacing w:val="32"/>
          <w:szCs w:val="24"/>
          <w:lang w:eastAsia="en-GB"/>
        </w:rPr>
        <w:t xml:space="preserve"> </w:t>
      </w:r>
      <w:r w:rsidRPr="00682EC4">
        <w:rPr>
          <w:rFonts w:cs="Arial"/>
          <w:bCs w:val="0"/>
          <w:szCs w:val="24"/>
          <w:lang w:eastAsia="en-GB"/>
        </w:rPr>
        <w:t>–</w:t>
      </w:r>
      <w:r w:rsidRPr="00682EC4">
        <w:rPr>
          <w:rFonts w:cs="Arial"/>
          <w:bCs w:val="0"/>
          <w:spacing w:val="30"/>
          <w:szCs w:val="24"/>
          <w:lang w:eastAsia="en-GB"/>
        </w:rPr>
        <w:t xml:space="preserve"> </w:t>
      </w:r>
      <w:r w:rsidRPr="00682EC4">
        <w:rPr>
          <w:rFonts w:cs="Arial"/>
          <w:bCs w:val="0"/>
          <w:spacing w:val="-1"/>
          <w:szCs w:val="24"/>
          <w:lang w:eastAsia="en-GB"/>
        </w:rPr>
        <w:t>guidance</w:t>
      </w:r>
      <w:r w:rsidRPr="00682EC4">
        <w:rPr>
          <w:rFonts w:cs="Arial"/>
          <w:bCs w:val="0"/>
          <w:spacing w:val="30"/>
          <w:szCs w:val="24"/>
          <w:lang w:eastAsia="en-GB"/>
        </w:rPr>
        <w:t xml:space="preserve"> </w:t>
      </w:r>
      <w:r w:rsidRPr="00682EC4">
        <w:rPr>
          <w:rFonts w:cs="Arial"/>
          <w:bCs w:val="0"/>
          <w:spacing w:val="1"/>
          <w:szCs w:val="24"/>
          <w:lang w:eastAsia="en-GB"/>
        </w:rPr>
        <w:t>to</w:t>
      </w:r>
      <w:r w:rsidRPr="00682EC4">
        <w:rPr>
          <w:rFonts w:cs="Arial"/>
          <w:bCs w:val="0"/>
          <w:spacing w:val="30"/>
          <w:szCs w:val="24"/>
          <w:lang w:eastAsia="en-GB"/>
        </w:rPr>
        <w:t xml:space="preserve"> </w:t>
      </w:r>
      <w:r w:rsidRPr="00682EC4">
        <w:rPr>
          <w:rFonts w:cs="Arial"/>
          <w:bCs w:val="0"/>
          <w:spacing w:val="-1"/>
          <w:szCs w:val="24"/>
          <w:lang w:eastAsia="en-GB"/>
        </w:rPr>
        <w:t>commissioners</w:t>
      </w:r>
      <w:r w:rsidRPr="00682EC4">
        <w:rPr>
          <w:rFonts w:cs="Arial"/>
          <w:bCs w:val="0"/>
          <w:spacing w:val="31"/>
          <w:szCs w:val="24"/>
          <w:lang w:eastAsia="en-GB"/>
        </w:rPr>
        <w:t xml:space="preserve"> </w:t>
      </w:r>
      <w:r w:rsidRPr="00682EC4">
        <w:rPr>
          <w:rFonts w:cs="Arial"/>
          <w:bCs w:val="0"/>
          <w:spacing w:val="-1"/>
          <w:szCs w:val="24"/>
          <w:lang w:eastAsia="en-GB"/>
        </w:rPr>
        <w:t>on</w:t>
      </w:r>
      <w:r w:rsidRPr="00682EC4">
        <w:rPr>
          <w:rFonts w:cs="Arial"/>
          <w:bCs w:val="0"/>
          <w:spacing w:val="31"/>
          <w:szCs w:val="24"/>
          <w:lang w:eastAsia="en-GB"/>
        </w:rPr>
        <w:t xml:space="preserve"> </w:t>
      </w:r>
      <w:r w:rsidRPr="00682EC4">
        <w:rPr>
          <w:rFonts w:cs="Arial"/>
          <w:bCs w:val="0"/>
          <w:szCs w:val="24"/>
          <w:lang w:eastAsia="en-GB"/>
        </w:rPr>
        <w:t>how</w:t>
      </w:r>
      <w:r w:rsidRPr="00682EC4">
        <w:rPr>
          <w:rFonts w:cs="Arial"/>
          <w:bCs w:val="0"/>
          <w:spacing w:val="57"/>
          <w:w w:val="99"/>
          <w:szCs w:val="24"/>
          <w:lang w:eastAsia="en-GB"/>
        </w:rPr>
        <w:t xml:space="preserve"> </w:t>
      </w:r>
      <w:r w:rsidRPr="00682EC4">
        <w:rPr>
          <w:rFonts w:cs="Arial"/>
          <w:bCs w:val="0"/>
          <w:szCs w:val="24"/>
          <w:lang w:eastAsia="en-GB"/>
        </w:rPr>
        <w:t>to</w:t>
      </w:r>
      <w:r w:rsidRPr="00682EC4">
        <w:rPr>
          <w:rFonts w:cs="Arial"/>
          <w:bCs w:val="0"/>
          <w:spacing w:val="22"/>
          <w:szCs w:val="24"/>
          <w:lang w:eastAsia="en-GB"/>
        </w:rPr>
        <w:t xml:space="preserve"> </w:t>
      </w:r>
      <w:r w:rsidRPr="00682EC4">
        <w:rPr>
          <w:rFonts w:cs="Arial"/>
          <w:bCs w:val="0"/>
          <w:spacing w:val="-1"/>
          <w:szCs w:val="24"/>
          <w:lang w:eastAsia="en-GB"/>
        </w:rPr>
        <w:t>make</w:t>
      </w:r>
      <w:r w:rsidRPr="00682EC4">
        <w:rPr>
          <w:rFonts w:cs="Arial"/>
          <w:bCs w:val="0"/>
          <w:spacing w:val="21"/>
          <w:szCs w:val="24"/>
          <w:lang w:eastAsia="en-GB"/>
        </w:rPr>
        <w:t xml:space="preserve"> </w:t>
      </w:r>
      <w:r w:rsidRPr="00682EC4">
        <w:rPr>
          <w:rFonts w:cs="Arial"/>
          <w:bCs w:val="0"/>
          <w:spacing w:val="-1"/>
          <w:szCs w:val="24"/>
          <w:lang w:eastAsia="en-GB"/>
        </w:rPr>
        <w:t>arrangements</w:t>
      </w:r>
      <w:r w:rsidRPr="00682EC4">
        <w:rPr>
          <w:rFonts w:cs="Arial"/>
          <w:bCs w:val="0"/>
          <w:spacing w:val="23"/>
          <w:szCs w:val="24"/>
          <w:lang w:eastAsia="en-GB"/>
        </w:rPr>
        <w:t xml:space="preserve"> </w:t>
      </w:r>
      <w:r w:rsidRPr="00682EC4">
        <w:rPr>
          <w:rFonts w:cs="Arial"/>
          <w:bCs w:val="0"/>
          <w:spacing w:val="-1"/>
          <w:szCs w:val="24"/>
          <w:lang w:eastAsia="en-GB"/>
        </w:rPr>
        <w:t>for</w:t>
      </w:r>
      <w:r w:rsidRPr="00682EC4">
        <w:rPr>
          <w:rFonts w:cs="Arial"/>
          <w:bCs w:val="0"/>
          <w:spacing w:val="26"/>
          <w:szCs w:val="24"/>
          <w:lang w:eastAsia="en-GB"/>
        </w:rPr>
        <w:t xml:space="preserve"> </w:t>
      </w:r>
      <w:r w:rsidRPr="00682EC4">
        <w:rPr>
          <w:rFonts w:cs="Arial"/>
          <w:bCs w:val="0"/>
          <w:spacing w:val="-1"/>
          <w:szCs w:val="24"/>
          <w:lang w:eastAsia="en-GB"/>
        </w:rPr>
        <w:t>public</w:t>
      </w:r>
      <w:r w:rsidRPr="00682EC4">
        <w:rPr>
          <w:rFonts w:cs="Arial"/>
          <w:bCs w:val="0"/>
          <w:spacing w:val="24"/>
          <w:szCs w:val="24"/>
          <w:lang w:eastAsia="en-GB"/>
        </w:rPr>
        <w:t xml:space="preserve"> </w:t>
      </w:r>
      <w:r w:rsidRPr="00682EC4">
        <w:rPr>
          <w:rFonts w:cs="Arial"/>
          <w:bCs w:val="0"/>
          <w:spacing w:val="-1"/>
          <w:szCs w:val="24"/>
          <w:lang w:eastAsia="en-GB"/>
        </w:rPr>
        <w:t>involvement</w:t>
      </w:r>
      <w:r w:rsidRPr="00682EC4">
        <w:rPr>
          <w:rFonts w:cs="Arial"/>
          <w:bCs w:val="0"/>
          <w:spacing w:val="23"/>
          <w:szCs w:val="24"/>
          <w:lang w:eastAsia="en-GB"/>
        </w:rPr>
        <w:t xml:space="preserve"> </w:t>
      </w:r>
      <w:r w:rsidRPr="00682EC4">
        <w:rPr>
          <w:rFonts w:cs="Arial"/>
          <w:bCs w:val="0"/>
          <w:spacing w:val="-1"/>
          <w:szCs w:val="24"/>
          <w:lang w:eastAsia="en-GB"/>
        </w:rPr>
        <w:t>where</w:t>
      </w:r>
      <w:r w:rsidRPr="00682EC4">
        <w:rPr>
          <w:rFonts w:cs="Arial"/>
          <w:bCs w:val="0"/>
          <w:spacing w:val="22"/>
          <w:szCs w:val="24"/>
          <w:lang w:eastAsia="en-GB"/>
        </w:rPr>
        <w:t xml:space="preserve"> </w:t>
      </w:r>
      <w:r w:rsidRPr="00682EC4">
        <w:rPr>
          <w:rFonts w:cs="Arial"/>
          <w:bCs w:val="0"/>
          <w:spacing w:val="-1"/>
          <w:szCs w:val="24"/>
          <w:lang w:eastAsia="en-GB"/>
        </w:rPr>
        <w:t>monitoring</w:t>
      </w:r>
      <w:r w:rsidRPr="00682EC4">
        <w:rPr>
          <w:rFonts w:cs="Arial"/>
          <w:bCs w:val="0"/>
          <w:spacing w:val="69"/>
          <w:szCs w:val="24"/>
          <w:lang w:eastAsia="en-GB"/>
        </w:rPr>
        <w:t xml:space="preserve"> </w:t>
      </w:r>
      <w:r w:rsidRPr="00682EC4">
        <w:rPr>
          <w:rFonts w:cs="Arial"/>
          <w:bCs w:val="0"/>
          <w:spacing w:val="-1"/>
          <w:szCs w:val="24"/>
          <w:lang w:eastAsia="en-GB"/>
        </w:rPr>
        <w:t>has</w:t>
      </w:r>
      <w:r w:rsidRPr="00682EC4">
        <w:rPr>
          <w:rFonts w:cs="Arial"/>
          <w:bCs w:val="0"/>
          <w:spacing w:val="-6"/>
          <w:szCs w:val="24"/>
          <w:lang w:eastAsia="en-GB"/>
        </w:rPr>
        <w:t xml:space="preserve"> </w:t>
      </w:r>
      <w:r w:rsidRPr="00682EC4">
        <w:rPr>
          <w:rFonts w:cs="Arial"/>
          <w:bCs w:val="0"/>
          <w:spacing w:val="-1"/>
          <w:szCs w:val="24"/>
          <w:lang w:eastAsia="en-GB"/>
        </w:rPr>
        <w:t>indicated</w:t>
      </w:r>
      <w:r w:rsidRPr="00682EC4">
        <w:rPr>
          <w:rFonts w:cs="Arial"/>
          <w:bCs w:val="0"/>
          <w:spacing w:val="-5"/>
          <w:szCs w:val="24"/>
          <w:lang w:eastAsia="en-GB"/>
        </w:rPr>
        <w:t xml:space="preserve"> </w:t>
      </w:r>
      <w:r w:rsidRPr="00682EC4">
        <w:rPr>
          <w:rFonts w:cs="Arial"/>
          <w:bCs w:val="0"/>
          <w:spacing w:val="-1"/>
          <w:szCs w:val="24"/>
          <w:lang w:eastAsia="en-GB"/>
        </w:rPr>
        <w:t>that</w:t>
      </w:r>
      <w:r w:rsidRPr="00682EC4">
        <w:rPr>
          <w:rFonts w:cs="Arial"/>
          <w:bCs w:val="0"/>
          <w:spacing w:val="-6"/>
          <w:szCs w:val="24"/>
          <w:lang w:eastAsia="en-GB"/>
        </w:rPr>
        <w:t xml:space="preserve"> </w:t>
      </w:r>
      <w:r w:rsidRPr="00682EC4">
        <w:rPr>
          <w:rFonts w:cs="Arial"/>
          <w:bCs w:val="0"/>
          <w:spacing w:val="-1"/>
          <w:szCs w:val="24"/>
          <w:lang w:eastAsia="en-GB"/>
        </w:rPr>
        <w:t>such</w:t>
      </w:r>
      <w:r w:rsidRPr="00682EC4">
        <w:rPr>
          <w:rFonts w:cs="Arial"/>
          <w:bCs w:val="0"/>
          <w:spacing w:val="-4"/>
          <w:szCs w:val="24"/>
          <w:lang w:eastAsia="en-GB"/>
        </w:rPr>
        <w:t xml:space="preserve"> </w:t>
      </w:r>
      <w:r w:rsidRPr="00682EC4">
        <w:rPr>
          <w:rFonts w:cs="Arial"/>
          <w:bCs w:val="0"/>
          <w:spacing w:val="-1"/>
          <w:szCs w:val="24"/>
          <w:lang w:eastAsia="en-GB"/>
        </w:rPr>
        <w:t>arrangements</w:t>
      </w:r>
      <w:r w:rsidRPr="00682EC4">
        <w:rPr>
          <w:rFonts w:cs="Arial"/>
          <w:bCs w:val="0"/>
          <w:spacing w:val="-6"/>
          <w:szCs w:val="24"/>
          <w:lang w:eastAsia="en-GB"/>
        </w:rPr>
        <w:t xml:space="preserve"> </w:t>
      </w:r>
      <w:r w:rsidRPr="00682EC4">
        <w:rPr>
          <w:rFonts w:cs="Arial"/>
          <w:bCs w:val="0"/>
          <w:szCs w:val="24"/>
          <w:lang w:eastAsia="en-GB"/>
        </w:rPr>
        <w:t>are</w:t>
      </w:r>
      <w:r w:rsidRPr="00682EC4">
        <w:rPr>
          <w:rFonts w:cs="Arial"/>
          <w:bCs w:val="0"/>
          <w:spacing w:val="-7"/>
          <w:szCs w:val="24"/>
          <w:lang w:eastAsia="en-GB"/>
        </w:rPr>
        <w:t xml:space="preserve"> </w:t>
      </w:r>
      <w:r w:rsidRPr="00682EC4">
        <w:rPr>
          <w:rFonts w:cs="Arial"/>
          <w:bCs w:val="0"/>
          <w:spacing w:val="-1"/>
          <w:szCs w:val="24"/>
          <w:lang w:eastAsia="en-GB"/>
        </w:rPr>
        <w:t>required.</w:t>
      </w:r>
    </w:p>
    <w:p w14:paraId="4C83D65A" w14:textId="77777777" w:rsidR="00DB7F92" w:rsidRPr="00DB7F92" w:rsidRDefault="00DB7F92" w:rsidP="00DD5D2D">
      <w:pPr>
        <w:pStyle w:val="Heading3"/>
        <w:jc w:val="both"/>
        <w:rPr>
          <w:lang w:eastAsia="en-GB"/>
        </w:rPr>
      </w:pPr>
      <w:r w:rsidRPr="00DB7F92">
        <w:rPr>
          <w:lang w:eastAsia="en-GB"/>
        </w:rPr>
        <w:t>As</w:t>
      </w:r>
      <w:r w:rsidRPr="00DB7F92">
        <w:rPr>
          <w:spacing w:val="6"/>
          <w:lang w:eastAsia="en-GB"/>
        </w:rPr>
        <w:t xml:space="preserve"> </w:t>
      </w:r>
      <w:r w:rsidRPr="00DB7F92">
        <w:rPr>
          <w:lang w:eastAsia="en-GB"/>
        </w:rPr>
        <w:t>well</w:t>
      </w:r>
      <w:r w:rsidRPr="00DB7F92">
        <w:rPr>
          <w:spacing w:val="6"/>
          <w:lang w:eastAsia="en-GB"/>
        </w:rPr>
        <w:t xml:space="preserve"> </w:t>
      </w:r>
      <w:r w:rsidRPr="00DB7F92">
        <w:rPr>
          <w:lang w:eastAsia="en-GB"/>
        </w:rPr>
        <w:t>as</w:t>
      </w:r>
      <w:r w:rsidRPr="00DB7F92">
        <w:rPr>
          <w:spacing w:val="6"/>
          <w:lang w:eastAsia="en-GB"/>
        </w:rPr>
        <w:t xml:space="preserve"> </w:t>
      </w:r>
      <w:r w:rsidRPr="00DB7F92">
        <w:rPr>
          <w:lang w:eastAsia="en-GB"/>
        </w:rPr>
        <w:t>setting</w:t>
      </w:r>
      <w:r w:rsidRPr="00DB7F92">
        <w:rPr>
          <w:spacing w:val="6"/>
          <w:lang w:eastAsia="en-GB"/>
        </w:rPr>
        <w:t xml:space="preserve"> </w:t>
      </w:r>
      <w:r w:rsidRPr="00DB7F92">
        <w:rPr>
          <w:spacing w:val="-2"/>
          <w:lang w:eastAsia="en-GB"/>
        </w:rPr>
        <w:t>out</w:t>
      </w:r>
      <w:r w:rsidRPr="00DB7F92">
        <w:rPr>
          <w:spacing w:val="6"/>
          <w:lang w:eastAsia="en-GB"/>
        </w:rPr>
        <w:t xml:space="preserve"> </w:t>
      </w:r>
      <w:r w:rsidRPr="00DB7F92">
        <w:rPr>
          <w:lang w:eastAsia="en-GB"/>
        </w:rPr>
        <w:t>the</w:t>
      </w:r>
      <w:r w:rsidRPr="00DB7F92">
        <w:rPr>
          <w:spacing w:val="6"/>
          <w:lang w:eastAsia="en-GB"/>
        </w:rPr>
        <w:t xml:space="preserve"> </w:t>
      </w:r>
      <w:r w:rsidRPr="00DB7F92">
        <w:rPr>
          <w:lang w:eastAsia="en-GB"/>
        </w:rPr>
        <w:t>above</w:t>
      </w:r>
      <w:r w:rsidRPr="00DB7F92">
        <w:rPr>
          <w:spacing w:val="5"/>
          <w:lang w:eastAsia="en-GB"/>
        </w:rPr>
        <w:t xml:space="preserve"> </w:t>
      </w:r>
      <w:r w:rsidRPr="00DB7F92">
        <w:rPr>
          <w:lang w:eastAsia="en-GB"/>
        </w:rPr>
        <w:t>arrangements,</w:t>
      </w:r>
      <w:r w:rsidRPr="00DB7F92">
        <w:rPr>
          <w:spacing w:val="7"/>
          <w:lang w:eastAsia="en-GB"/>
        </w:rPr>
        <w:t xml:space="preserve"> </w:t>
      </w:r>
      <w:r w:rsidRPr="00DB7F92">
        <w:rPr>
          <w:lang w:eastAsia="en-GB"/>
        </w:rPr>
        <w:t>which</w:t>
      </w:r>
      <w:r w:rsidRPr="00DB7F92">
        <w:rPr>
          <w:spacing w:val="6"/>
          <w:lang w:eastAsia="en-GB"/>
        </w:rPr>
        <w:t xml:space="preserve"> </w:t>
      </w:r>
      <w:r w:rsidRPr="00DB7F92">
        <w:rPr>
          <w:lang w:eastAsia="en-GB"/>
        </w:rPr>
        <w:t>commissioners</w:t>
      </w:r>
      <w:r w:rsidRPr="00DB7F92">
        <w:rPr>
          <w:spacing w:val="56"/>
          <w:lang w:eastAsia="en-GB"/>
        </w:rPr>
        <w:t xml:space="preserve"> </w:t>
      </w:r>
      <w:r w:rsidRPr="00DB7F92">
        <w:rPr>
          <w:lang w:eastAsia="en-GB"/>
        </w:rPr>
        <w:t>should</w:t>
      </w:r>
      <w:r w:rsidRPr="00DB7F92">
        <w:rPr>
          <w:spacing w:val="58"/>
          <w:lang w:eastAsia="en-GB"/>
        </w:rPr>
        <w:t xml:space="preserve"> </w:t>
      </w:r>
      <w:r w:rsidRPr="00DB7F92">
        <w:rPr>
          <w:lang w:eastAsia="en-GB"/>
        </w:rPr>
        <w:t>follow,</w:t>
      </w:r>
      <w:r w:rsidRPr="00DB7F92">
        <w:rPr>
          <w:spacing w:val="56"/>
          <w:lang w:eastAsia="en-GB"/>
        </w:rPr>
        <w:t xml:space="preserve"> </w:t>
      </w:r>
      <w:r w:rsidRPr="00DB7F92">
        <w:rPr>
          <w:lang w:eastAsia="en-GB"/>
        </w:rPr>
        <w:t>the</w:t>
      </w:r>
      <w:r w:rsidRPr="00DB7F92">
        <w:rPr>
          <w:spacing w:val="58"/>
          <w:lang w:eastAsia="en-GB"/>
        </w:rPr>
        <w:t xml:space="preserve"> </w:t>
      </w:r>
      <w:r w:rsidRPr="00DB7F92">
        <w:rPr>
          <w:lang w:eastAsia="en-GB"/>
        </w:rPr>
        <w:t>documentation</w:t>
      </w:r>
      <w:r w:rsidRPr="00DB7F92">
        <w:rPr>
          <w:spacing w:val="59"/>
          <w:lang w:eastAsia="en-GB"/>
        </w:rPr>
        <w:t xml:space="preserve"> </w:t>
      </w:r>
      <w:r w:rsidRPr="00DB7F92">
        <w:rPr>
          <w:lang w:eastAsia="en-GB"/>
        </w:rPr>
        <w:t>is</w:t>
      </w:r>
      <w:r w:rsidRPr="00DB7F92">
        <w:rPr>
          <w:spacing w:val="57"/>
          <w:lang w:eastAsia="en-GB"/>
        </w:rPr>
        <w:t xml:space="preserve"> </w:t>
      </w:r>
      <w:r w:rsidRPr="00DB7F92">
        <w:rPr>
          <w:lang w:eastAsia="en-GB"/>
        </w:rPr>
        <w:t>regularly</w:t>
      </w:r>
      <w:r w:rsidRPr="00DB7F92">
        <w:rPr>
          <w:spacing w:val="57"/>
          <w:lang w:eastAsia="en-GB"/>
        </w:rPr>
        <w:t xml:space="preserve"> </w:t>
      </w:r>
      <w:r w:rsidRPr="00DB7F92">
        <w:rPr>
          <w:lang w:eastAsia="en-GB"/>
        </w:rPr>
        <w:t>reviewed</w:t>
      </w:r>
      <w:r w:rsidRPr="00DB7F92">
        <w:rPr>
          <w:spacing w:val="58"/>
          <w:lang w:eastAsia="en-GB"/>
        </w:rPr>
        <w:t xml:space="preserve"> </w:t>
      </w:r>
      <w:r w:rsidRPr="00DB7F92">
        <w:rPr>
          <w:lang w:eastAsia="en-GB"/>
        </w:rPr>
        <w:t>and</w:t>
      </w:r>
      <w:r w:rsidRPr="00DB7F92">
        <w:rPr>
          <w:spacing w:val="65"/>
          <w:lang w:eastAsia="en-GB"/>
        </w:rPr>
        <w:t xml:space="preserve"> </w:t>
      </w:r>
      <w:r w:rsidRPr="00DB7F92">
        <w:rPr>
          <w:lang w:eastAsia="en-GB"/>
        </w:rPr>
        <w:t>updated</w:t>
      </w:r>
      <w:r w:rsidRPr="00DB7F92">
        <w:rPr>
          <w:spacing w:val="-8"/>
          <w:lang w:eastAsia="en-GB"/>
        </w:rPr>
        <w:t xml:space="preserve"> </w:t>
      </w:r>
      <w:r w:rsidRPr="00DB7F92">
        <w:rPr>
          <w:lang w:eastAsia="en-GB"/>
        </w:rPr>
        <w:t>and</w:t>
      </w:r>
      <w:r w:rsidRPr="00DB7F92">
        <w:rPr>
          <w:spacing w:val="-8"/>
          <w:lang w:eastAsia="en-GB"/>
        </w:rPr>
        <w:t xml:space="preserve"> </w:t>
      </w:r>
      <w:r w:rsidRPr="00DB7F92">
        <w:rPr>
          <w:lang w:eastAsia="en-GB"/>
        </w:rPr>
        <w:t>contains</w:t>
      </w:r>
      <w:r w:rsidRPr="00DB7F92">
        <w:rPr>
          <w:spacing w:val="-7"/>
          <w:lang w:eastAsia="en-GB"/>
        </w:rPr>
        <w:t xml:space="preserve"> </w:t>
      </w:r>
      <w:r w:rsidRPr="00DB7F92">
        <w:rPr>
          <w:lang w:eastAsia="en-GB"/>
        </w:rPr>
        <w:t>useful</w:t>
      </w:r>
      <w:r w:rsidRPr="00DB7F92">
        <w:rPr>
          <w:spacing w:val="-8"/>
          <w:lang w:eastAsia="en-GB"/>
        </w:rPr>
        <w:t xml:space="preserve"> </w:t>
      </w:r>
      <w:r w:rsidRPr="00DB7F92">
        <w:rPr>
          <w:lang w:eastAsia="en-GB"/>
        </w:rPr>
        <w:t>resources</w:t>
      </w:r>
      <w:r w:rsidRPr="00DB7F92">
        <w:rPr>
          <w:spacing w:val="-4"/>
          <w:lang w:eastAsia="en-GB"/>
        </w:rPr>
        <w:t xml:space="preserve"> </w:t>
      </w:r>
      <w:r w:rsidRPr="00DB7F92">
        <w:rPr>
          <w:lang w:eastAsia="en-GB"/>
        </w:rPr>
        <w:t>for</w:t>
      </w:r>
      <w:r w:rsidRPr="00DB7F92">
        <w:rPr>
          <w:spacing w:val="-7"/>
          <w:lang w:eastAsia="en-GB"/>
        </w:rPr>
        <w:t xml:space="preserve"> </w:t>
      </w:r>
      <w:r w:rsidRPr="00DB7F92">
        <w:rPr>
          <w:lang w:eastAsia="en-GB"/>
        </w:rPr>
        <w:t>commissioners,</w:t>
      </w:r>
      <w:r w:rsidRPr="00DB7F92">
        <w:rPr>
          <w:spacing w:val="-6"/>
          <w:lang w:eastAsia="en-GB"/>
        </w:rPr>
        <w:t xml:space="preserve"> </w:t>
      </w:r>
      <w:r w:rsidRPr="00DB7F92">
        <w:rPr>
          <w:lang w:eastAsia="en-GB"/>
        </w:rPr>
        <w:t>including:</w:t>
      </w:r>
    </w:p>
    <w:p w14:paraId="6EE93E16" w14:textId="145EC09D" w:rsidR="00DB7F92" w:rsidRPr="00682EC4" w:rsidRDefault="00DB7F92" w:rsidP="005A7DDA">
      <w:pPr>
        <w:pStyle w:val="ListParagraph"/>
        <w:widowControl w:val="0"/>
        <w:numPr>
          <w:ilvl w:val="0"/>
          <w:numId w:val="94"/>
        </w:numPr>
        <w:tabs>
          <w:tab w:val="left" w:pos="2007"/>
        </w:tabs>
        <w:spacing w:before="120" w:after="120" w:line="360" w:lineRule="auto"/>
        <w:ind w:left="850" w:right="115"/>
        <w:jc w:val="both"/>
        <w:rPr>
          <w:rFonts w:cs="Arial"/>
          <w:bCs w:val="0"/>
          <w:szCs w:val="24"/>
          <w:lang w:eastAsia="en-GB"/>
        </w:rPr>
      </w:pPr>
      <w:r w:rsidRPr="00682EC4">
        <w:rPr>
          <w:rFonts w:cs="Arial"/>
          <w:bCs w:val="0"/>
          <w:spacing w:val="-1"/>
          <w:szCs w:val="24"/>
          <w:lang w:eastAsia="en-GB"/>
        </w:rPr>
        <w:t>Details</w:t>
      </w:r>
      <w:r w:rsidRPr="00682EC4">
        <w:rPr>
          <w:rFonts w:cs="Arial"/>
          <w:bCs w:val="0"/>
          <w:spacing w:val="47"/>
          <w:szCs w:val="24"/>
          <w:lang w:eastAsia="en-GB"/>
        </w:rPr>
        <w:t xml:space="preserve"> </w:t>
      </w:r>
      <w:r w:rsidRPr="00682EC4">
        <w:rPr>
          <w:rFonts w:cs="Arial"/>
          <w:bCs w:val="0"/>
          <w:spacing w:val="-1"/>
          <w:szCs w:val="24"/>
          <w:lang w:eastAsia="en-GB"/>
        </w:rPr>
        <w:t>of</w:t>
      </w:r>
      <w:r w:rsidRPr="00682EC4">
        <w:rPr>
          <w:rFonts w:cs="Arial"/>
          <w:bCs w:val="0"/>
          <w:spacing w:val="45"/>
          <w:szCs w:val="24"/>
          <w:lang w:eastAsia="en-GB"/>
        </w:rPr>
        <w:t xml:space="preserve"> </w:t>
      </w:r>
      <w:r w:rsidRPr="00682EC4">
        <w:rPr>
          <w:rFonts w:cs="Arial"/>
          <w:bCs w:val="0"/>
          <w:spacing w:val="-1"/>
          <w:szCs w:val="24"/>
          <w:lang w:eastAsia="en-GB"/>
        </w:rPr>
        <w:t>existing</w:t>
      </w:r>
      <w:r w:rsidRPr="00682EC4">
        <w:rPr>
          <w:rFonts w:cs="Arial"/>
          <w:bCs w:val="0"/>
          <w:spacing w:val="45"/>
          <w:szCs w:val="24"/>
          <w:lang w:eastAsia="en-GB"/>
        </w:rPr>
        <w:t xml:space="preserve"> </w:t>
      </w:r>
      <w:r w:rsidRPr="00682EC4">
        <w:rPr>
          <w:rFonts w:cs="Arial"/>
          <w:bCs w:val="0"/>
          <w:spacing w:val="-1"/>
          <w:szCs w:val="24"/>
          <w:lang w:eastAsia="en-GB"/>
        </w:rPr>
        <w:t>corporate</w:t>
      </w:r>
      <w:r w:rsidRPr="00682EC4">
        <w:rPr>
          <w:rFonts w:cs="Arial"/>
          <w:bCs w:val="0"/>
          <w:spacing w:val="45"/>
          <w:szCs w:val="24"/>
          <w:lang w:eastAsia="en-GB"/>
        </w:rPr>
        <w:t xml:space="preserve"> </w:t>
      </w:r>
      <w:r w:rsidRPr="00682EC4">
        <w:rPr>
          <w:rFonts w:cs="Arial"/>
          <w:bCs w:val="0"/>
          <w:spacing w:val="-1"/>
          <w:szCs w:val="24"/>
          <w:lang w:eastAsia="en-GB"/>
        </w:rPr>
        <w:t>infrastructure</w:t>
      </w:r>
      <w:r w:rsidRPr="00682EC4">
        <w:rPr>
          <w:rFonts w:cs="Arial"/>
          <w:bCs w:val="0"/>
          <w:spacing w:val="45"/>
          <w:szCs w:val="24"/>
          <w:lang w:eastAsia="en-GB"/>
        </w:rPr>
        <w:t xml:space="preserve"> </w:t>
      </w:r>
      <w:r w:rsidRPr="00682EC4">
        <w:rPr>
          <w:rFonts w:cs="Arial"/>
          <w:bCs w:val="0"/>
          <w:spacing w:val="-1"/>
          <w:szCs w:val="24"/>
          <w:lang w:eastAsia="en-GB"/>
        </w:rPr>
        <w:t>and</w:t>
      </w:r>
      <w:r w:rsidRPr="00682EC4">
        <w:rPr>
          <w:rFonts w:cs="Arial"/>
          <w:bCs w:val="0"/>
          <w:spacing w:val="45"/>
          <w:szCs w:val="24"/>
          <w:lang w:eastAsia="en-GB"/>
        </w:rPr>
        <w:t xml:space="preserve"> </w:t>
      </w:r>
      <w:r w:rsidRPr="00682EC4">
        <w:rPr>
          <w:rFonts w:cs="Arial"/>
          <w:bCs w:val="0"/>
          <w:spacing w:val="-1"/>
          <w:szCs w:val="24"/>
          <w:lang w:eastAsia="en-GB"/>
        </w:rPr>
        <w:t>involvement</w:t>
      </w:r>
      <w:r w:rsidRPr="00682EC4">
        <w:rPr>
          <w:rFonts w:cs="Arial"/>
          <w:bCs w:val="0"/>
          <w:spacing w:val="63"/>
          <w:w w:val="99"/>
          <w:szCs w:val="24"/>
          <w:lang w:eastAsia="en-GB"/>
        </w:rPr>
        <w:t xml:space="preserve"> </w:t>
      </w:r>
      <w:r w:rsidRPr="00682EC4">
        <w:rPr>
          <w:rFonts w:cs="Arial"/>
          <w:bCs w:val="0"/>
          <w:spacing w:val="-1"/>
          <w:szCs w:val="24"/>
          <w:lang w:eastAsia="en-GB"/>
        </w:rPr>
        <w:t>initiatives</w:t>
      </w:r>
      <w:r w:rsidRPr="00682EC4">
        <w:rPr>
          <w:rFonts w:cs="Arial"/>
          <w:bCs w:val="0"/>
          <w:spacing w:val="22"/>
          <w:szCs w:val="24"/>
          <w:lang w:eastAsia="en-GB"/>
        </w:rPr>
        <w:t xml:space="preserve"> </w:t>
      </w:r>
      <w:r w:rsidRPr="00682EC4">
        <w:rPr>
          <w:rFonts w:cs="Arial"/>
          <w:bCs w:val="0"/>
          <w:spacing w:val="-1"/>
          <w:szCs w:val="24"/>
          <w:lang w:eastAsia="en-GB"/>
        </w:rPr>
        <w:t>which</w:t>
      </w:r>
      <w:r w:rsidRPr="00682EC4">
        <w:rPr>
          <w:rFonts w:cs="Arial"/>
          <w:bCs w:val="0"/>
          <w:spacing w:val="22"/>
          <w:szCs w:val="24"/>
          <w:lang w:eastAsia="en-GB"/>
        </w:rPr>
        <w:t xml:space="preserve"> that </w:t>
      </w:r>
      <w:r w:rsidRPr="00682EC4">
        <w:rPr>
          <w:rFonts w:cs="Arial"/>
          <w:bCs w:val="0"/>
          <w:spacing w:val="-1"/>
          <w:szCs w:val="24"/>
          <w:lang w:eastAsia="en-GB"/>
        </w:rPr>
        <w:t>could</w:t>
      </w:r>
      <w:r w:rsidRPr="00682EC4">
        <w:rPr>
          <w:rFonts w:cs="Arial"/>
          <w:bCs w:val="0"/>
          <w:spacing w:val="24"/>
          <w:szCs w:val="24"/>
          <w:lang w:eastAsia="en-GB"/>
        </w:rPr>
        <w:t xml:space="preserve"> </w:t>
      </w:r>
      <w:r w:rsidRPr="00682EC4">
        <w:rPr>
          <w:rFonts w:cs="Arial"/>
          <w:bCs w:val="0"/>
          <w:spacing w:val="-1"/>
          <w:szCs w:val="24"/>
          <w:lang w:eastAsia="en-GB"/>
        </w:rPr>
        <w:t>be</w:t>
      </w:r>
      <w:r w:rsidRPr="00682EC4">
        <w:rPr>
          <w:rFonts w:cs="Arial"/>
          <w:bCs w:val="0"/>
          <w:spacing w:val="21"/>
          <w:szCs w:val="24"/>
          <w:lang w:eastAsia="en-GB"/>
        </w:rPr>
        <w:t xml:space="preserve"> </w:t>
      </w:r>
      <w:r w:rsidRPr="00682EC4">
        <w:rPr>
          <w:rFonts w:cs="Arial"/>
          <w:bCs w:val="0"/>
          <w:spacing w:val="-1"/>
          <w:szCs w:val="24"/>
          <w:lang w:eastAsia="en-GB"/>
        </w:rPr>
        <w:t>drawn</w:t>
      </w:r>
      <w:r w:rsidRPr="00682EC4">
        <w:rPr>
          <w:rFonts w:cs="Arial"/>
          <w:bCs w:val="0"/>
          <w:spacing w:val="22"/>
          <w:szCs w:val="24"/>
          <w:lang w:eastAsia="en-GB"/>
        </w:rPr>
        <w:t xml:space="preserve"> </w:t>
      </w:r>
      <w:r w:rsidRPr="00682EC4">
        <w:rPr>
          <w:rFonts w:cs="Arial"/>
          <w:bCs w:val="0"/>
          <w:spacing w:val="-1"/>
          <w:szCs w:val="24"/>
          <w:lang w:eastAsia="en-GB"/>
        </w:rPr>
        <w:t>upon</w:t>
      </w:r>
      <w:r w:rsidRPr="00682EC4">
        <w:rPr>
          <w:rFonts w:cs="Arial"/>
          <w:bCs w:val="0"/>
          <w:spacing w:val="22"/>
          <w:szCs w:val="24"/>
          <w:lang w:eastAsia="en-GB"/>
        </w:rPr>
        <w:t xml:space="preserve"> </w:t>
      </w:r>
      <w:r w:rsidRPr="00682EC4">
        <w:rPr>
          <w:rFonts w:cs="Arial"/>
          <w:bCs w:val="0"/>
          <w:spacing w:val="-1"/>
          <w:szCs w:val="24"/>
          <w:lang w:eastAsia="en-GB"/>
        </w:rPr>
        <w:t>by</w:t>
      </w:r>
      <w:r w:rsidRPr="00682EC4">
        <w:rPr>
          <w:rFonts w:cs="Arial"/>
          <w:bCs w:val="0"/>
          <w:spacing w:val="23"/>
          <w:szCs w:val="24"/>
          <w:lang w:eastAsia="en-GB"/>
        </w:rPr>
        <w:t xml:space="preserve"> </w:t>
      </w:r>
      <w:r w:rsidRPr="00682EC4">
        <w:rPr>
          <w:rFonts w:cs="Arial"/>
          <w:bCs w:val="0"/>
          <w:spacing w:val="-1"/>
          <w:szCs w:val="24"/>
          <w:lang w:eastAsia="en-GB"/>
        </w:rPr>
        <w:t>commissioners</w:t>
      </w:r>
      <w:r w:rsidRPr="00682EC4">
        <w:rPr>
          <w:rFonts w:cs="Arial"/>
          <w:bCs w:val="0"/>
          <w:spacing w:val="22"/>
          <w:szCs w:val="24"/>
          <w:lang w:eastAsia="en-GB"/>
        </w:rPr>
        <w:t xml:space="preserve"> </w:t>
      </w:r>
      <w:r w:rsidRPr="00682EC4">
        <w:rPr>
          <w:rFonts w:cs="Arial"/>
          <w:bCs w:val="0"/>
          <w:szCs w:val="24"/>
          <w:lang w:eastAsia="en-GB"/>
        </w:rPr>
        <w:t>to</w:t>
      </w:r>
      <w:r w:rsidRPr="00682EC4">
        <w:rPr>
          <w:rFonts w:cs="Arial"/>
          <w:bCs w:val="0"/>
          <w:spacing w:val="41"/>
          <w:szCs w:val="24"/>
          <w:lang w:eastAsia="en-GB"/>
        </w:rPr>
        <w:t xml:space="preserve"> </w:t>
      </w:r>
      <w:r w:rsidRPr="00682EC4">
        <w:rPr>
          <w:rFonts w:cs="Arial"/>
          <w:bCs w:val="0"/>
          <w:spacing w:val="-1"/>
          <w:szCs w:val="24"/>
          <w:lang w:eastAsia="en-GB"/>
        </w:rPr>
        <w:t>involve</w:t>
      </w:r>
      <w:r w:rsidRPr="00682EC4">
        <w:rPr>
          <w:rFonts w:cs="Arial"/>
          <w:bCs w:val="0"/>
          <w:spacing w:val="-8"/>
          <w:szCs w:val="24"/>
          <w:lang w:eastAsia="en-GB"/>
        </w:rPr>
        <w:t xml:space="preserve"> </w:t>
      </w:r>
      <w:r w:rsidRPr="00682EC4">
        <w:rPr>
          <w:rFonts w:cs="Arial"/>
          <w:bCs w:val="0"/>
          <w:spacing w:val="-1"/>
          <w:szCs w:val="24"/>
          <w:lang w:eastAsia="en-GB"/>
        </w:rPr>
        <w:t>the</w:t>
      </w:r>
      <w:r w:rsidRPr="00682EC4">
        <w:rPr>
          <w:rFonts w:cs="Arial"/>
          <w:bCs w:val="0"/>
          <w:spacing w:val="-6"/>
          <w:szCs w:val="24"/>
          <w:lang w:eastAsia="en-GB"/>
        </w:rPr>
        <w:t xml:space="preserve"> </w:t>
      </w:r>
      <w:r w:rsidRPr="00682EC4">
        <w:rPr>
          <w:rFonts w:cs="Arial"/>
          <w:bCs w:val="0"/>
          <w:spacing w:val="-1"/>
          <w:szCs w:val="24"/>
          <w:lang w:eastAsia="en-GB"/>
        </w:rPr>
        <w:t>public</w:t>
      </w:r>
      <w:r w:rsidRPr="00682EC4">
        <w:rPr>
          <w:rFonts w:cs="Arial"/>
          <w:bCs w:val="0"/>
          <w:spacing w:val="-6"/>
          <w:szCs w:val="24"/>
          <w:lang w:eastAsia="en-GB"/>
        </w:rPr>
        <w:t xml:space="preserve"> </w:t>
      </w:r>
      <w:r w:rsidRPr="00682EC4">
        <w:rPr>
          <w:rFonts w:cs="Arial"/>
          <w:bCs w:val="0"/>
          <w:spacing w:val="-1"/>
          <w:szCs w:val="24"/>
          <w:lang w:eastAsia="en-GB"/>
        </w:rPr>
        <w:t>in</w:t>
      </w:r>
      <w:r w:rsidRPr="00682EC4">
        <w:rPr>
          <w:rFonts w:cs="Arial"/>
          <w:bCs w:val="0"/>
          <w:spacing w:val="-4"/>
          <w:szCs w:val="24"/>
          <w:lang w:eastAsia="en-GB"/>
        </w:rPr>
        <w:t xml:space="preserve"> </w:t>
      </w:r>
      <w:r w:rsidRPr="00682EC4">
        <w:rPr>
          <w:rFonts w:cs="Arial"/>
          <w:bCs w:val="0"/>
          <w:spacing w:val="-1"/>
          <w:szCs w:val="24"/>
          <w:lang w:eastAsia="en-GB"/>
        </w:rPr>
        <w:t>their</w:t>
      </w:r>
      <w:r w:rsidRPr="00682EC4">
        <w:rPr>
          <w:rFonts w:cs="Arial"/>
          <w:bCs w:val="0"/>
          <w:spacing w:val="-7"/>
          <w:szCs w:val="24"/>
          <w:lang w:eastAsia="en-GB"/>
        </w:rPr>
        <w:t xml:space="preserve"> </w:t>
      </w:r>
      <w:r w:rsidRPr="00682EC4">
        <w:rPr>
          <w:rFonts w:cs="Arial"/>
          <w:bCs w:val="0"/>
          <w:spacing w:val="-1"/>
          <w:szCs w:val="24"/>
          <w:lang w:eastAsia="en-GB"/>
        </w:rPr>
        <w:t>commissioning</w:t>
      </w:r>
      <w:r w:rsidRPr="00682EC4">
        <w:rPr>
          <w:rFonts w:cs="Arial"/>
          <w:bCs w:val="0"/>
          <w:spacing w:val="-6"/>
          <w:szCs w:val="24"/>
          <w:lang w:eastAsia="en-GB"/>
        </w:rPr>
        <w:t xml:space="preserve"> </w:t>
      </w:r>
      <w:r w:rsidRPr="00682EC4">
        <w:rPr>
          <w:rFonts w:cs="Arial"/>
          <w:bCs w:val="0"/>
          <w:spacing w:val="-1"/>
          <w:szCs w:val="24"/>
          <w:lang w:eastAsia="en-GB"/>
        </w:rPr>
        <w:t>activities.</w:t>
      </w:r>
    </w:p>
    <w:p w14:paraId="04FFC011" w14:textId="77777777" w:rsidR="00DB7F92" w:rsidRPr="00682EC4" w:rsidRDefault="00DB7F92" w:rsidP="005A7DDA">
      <w:pPr>
        <w:pStyle w:val="ListParagraph"/>
        <w:widowControl w:val="0"/>
        <w:numPr>
          <w:ilvl w:val="0"/>
          <w:numId w:val="94"/>
        </w:numPr>
        <w:tabs>
          <w:tab w:val="left" w:pos="2007"/>
        </w:tabs>
        <w:spacing w:before="120" w:after="120" w:line="360" w:lineRule="auto"/>
        <w:ind w:right="115"/>
        <w:jc w:val="both"/>
        <w:rPr>
          <w:rFonts w:cs="Arial"/>
          <w:bCs w:val="0"/>
          <w:szCs w:val="24"/>
          <w:lang w:eastAsia="en-GB"/>
        </w:rPr>
      </w:pPr>
      <w:r w:rsidRPr="00682EC4">
        <w:rPr>
          <w:rFonts w:cs="Arial"/>
          <w:bCs w:val="0"/>
          <w:spacing w:val="-1"/>
          <w:szCs w:val="24"/>
          <w:lang w:eastAsia="en-GB"/>
        </w:rPr>
        <w:t>Reference</w:t>
      </w:r>
      <w:r w:rsidRPr="00682EC4">
        <w:rPr>
          <w:rFonts w:cs="Arial"/>
          <w:bCs w:val="0"/>
          <w:spacing w:val="3"/>
          <w:szCs w:val="24"/>
          <w:lang w:eastAsia="en-GB"/>
        </w:rPr>
        <w:t xml:space="preserve"> </w:t>
      </w:r>
      <w:r w:rsidRPr="00682EC4">
        <w:rPr>
          <w:rFonts w:cs="Arial"/>
          <w:bCs w:val="0"/>
          <w:szCs w:val="24"/>
          <w:lang w:eastAsia="en-GB"/>
        </w:rPr>
        <w:t>to</w:t>
      </w:r>
      <w:r w:rsidRPr="00682EC4">
        <w:rPr>
          <w:rFonts w:cs="Arial"/>
          <w:bCs w:val="0"/>
          <w:spacing w:val="3"/>
          <w:szCs w:val="24"/>
          <w:lang w:eastAsia="en-GB"/>
        </w:rPr>
        <w:t xml:space="preserve"> </w:t>
      </w:r>
      <w:r w:rsidRPr="00682EC4">
        <w:rPr>
          <w:rFonts w:cs="Arial"/>
          <w:bCs w:val="0"/>
          <w:szCs w:val="24"/>
          <w:lang w:eastAsia="en-GB"/>
        </w:rPr>
        <w:t>NHS</w:t>
      </w:r>
      <w:r w:rsidRPr="00682EC4">
        <w:rPr>
          <w:rFonts w:cs="Arial"/>
          <w:bCs w:val="0"/>
          <w:spacing w:val="3"/>
          <w:szCs w:val="24"/>
          <w:lang w:eastAsia="en-GB"/>
        </w:rPr>
        <w:t xml:space="preserve"> </w:t>
      </w:r>
      <w:r w:rsidRPr="00682EC4">
        <w:rPr>
          <w:rFonts w:cs="Arial"/>
          <w:bCs w:val="0"/>
          <w:spacing w:val="-1"/>
          <w:szCs w:val="24"/>
          <w:lang w:eastAsia="en-GB"/>
        </w:rPr>
        <w:t>England’s</w:t>
      </w:r>
      <w:r w:rsidRPr="00682EC4">
        <w:rPr>
          <w:rFonts w:cs="Arial"/>
          <w:bCs w:val="0"/>
          <w:spacing w:val="5"/>
          <w:szCs w:val="24"/>
          <w:lang w:eastAsia="en-GB"/>
        </w:rPr>
        <w:t xml:space="preserve"> </w:t>
      </w:r>
      <w:r w:rsidRPr="00682EC4">
        <w:rPr>
          <w:rFonts w:cs="Arial"/>
          <w:bCs w:val="0"/>
          <w:spacing w:val="-1"/>
          <w:szCs w:val="24"/>
          <w:lang w:eastAsia="en-GB"/>
        </w:rPr>
        <w:t>framework</w:t>
      </w:r>
      <w:r w:rsidRPr="00682EC4">
        <w:rPr>
          <w:rFonts w:cs="Arial"/>
          <w:bCs w:val="0"/>
          <w:spacing w:val="4"/>
          <w:szCs w:val="24"/>
          <w:lang w:eastAsia="en-GB"/>
        </w:rPr>
        <w:t xml:space="preserve"> </w:t>
      </w:r>
      <w:r w:rsidRPr="00682EC4">
        <w:rPr>
          <w:rFonts w:cs="Arial"/>
          <w:bCs w:val="0"/>
          <w:spacing w:val="-1"/>
          <w:szCs w:val="24"/>
          <w:lang w:eastAsia="en-GB"/>
        </w:rPr>
        <w:t>for</w:t>
      </w:r>
      <w:r w:rsidRPr="00682EC4">
        <w:rPr>
          <w:rFonts w:cs="Arial"/>
          <w:bCs w:val="0"/>
          <w:spacing w:val="7"/>
          <w:szCs w:val="24"/>
          <w:lang w:eastAsia="en-GB"/>
        </w:rPr>
        <w:t xml:space="preserve"> </w:t>
      </w:r>
      <w:r w:rsidRPr="00682EC4">
        <w:rPr>
          <w:rFonts w:cs="Arial"/>
          <w:bCs w:val="0"/>
          <w:spacing w:val="-1"/>
          <w:szCs w:val="24"/>
          <w:lang w:eastAsia="en-GB"/>
        </w:rPr>
        <w:t>involving</w:t>
      </w:r>
      <w:r w:rsidRPr="00682EC4">
        <w:rPr>
          <w:rFonts w:cs="Arial"/>
          <w:bCs w:val="0"/>
          <w:spacing w:val="6"/>
          <w:szCs w:val="24"/>
          <w:lang w:eastAsia="en-GB"/>
        </w:rPr>
        <w:t xml:space="preserve"> </w:t>
      </w:r>
      <w:r w:rsidRPr="00682EC4">
        <w:rPr>
          <w:rFonts w:cs="Arial"/>
          <w:bCs w:val="0"/>
          <w:spacing w:val="-1"/>
          <w:szCs w:val="24"/>
          <w:lang w:eastAsia="en-GB"/>
        </w:rPr>
        <w:t>patients</w:t>
      </w:r>
      <w:r w:rsidRPr="00682EC4">
        <w:rPr>
          <w:rFonts w:cs="Arial"/>
          <w:bCs w:val="0"/>
          <w:spacing w:val="5"/>
          <w:szCs w:val="24"/>
          <w:lang w:eastAsia="en-GB"/>
        </w:rPr>
        <w:t xml:space="preserve"> </w:t>
      </w:r>
      <w:r w:rsidRPr="00682EC4">
        <w:rPr>
          <w:rFonts w:cs="Arial"/>
          <w:bCs w:val="0"/>
          <w:spacing w:val="-1"/>
          <w:szCs w:val="24"/>
          <w:lang w:eastAsia="en-GB"/>
        </w:rPr>
        <w:t>and</w:t>
      </w:r>
      <w:r w:rsidRPr="00682EC4">
        <w:rPr>
          <w:rFonts w:cs="Arial"/>
          <w:bCs w:val="0"/>
          <w:spacing w:val="51"/>
          <w:szCs w:val="24"/>
          <w:lang w:eastAsia="en-GB"/>
        </w:rPr>
        <w:t xml:space="preserve"> </w:t>
      </w:r>
      <w:r w:rsidRPr="00682EC4">
        <w:rPr>
          <w:rFonts w:cs="Arial"/>
          <w:bCs w:val="0"/>
          <w:spacing w:val="-1"/>
          <w:szCs w:val="24"/>
          <w:lang w:eastAsia="en-GB"/>
        </w:rPr>
        <w:t>the</w:t>
      </w:r>
      <w:r w:rsidRPr="00682EC4">
        <w:rPr>
          <w:rFonts w:cs="Arial"/>
          <w:bCs w:val="0"/>
          <w:spacing w:val="63"/>
          <w:szCs w:val="24"/>
          <w:lang w:eastAsia="en-GB"/>
        </w:rPr>
        <w:t xml:space="preserve"> </w:t>
      </w:r>
      <w:r w:rsidRPr="00682EC4">
        <w:rPr>
          <w:rFonts w:cs="Arial"/>
          <w:bCs w:val="0"/>
          <w:spacing w:val="-1"/>
          <w:szCs w:val="24"/>
          <w:lang w:eastAsia="en-GB"/>
        </w:rPr>
        <w:t>public</w:t>
      </w:r>
      <w:r w:rsidRPr="00682EC4">
        <w:rPr>
          <w:rFonts w:cs="Arial"/>
          <w:bCs w:val="0"/>
          <w:spacing w:val="64"/>
          <w:szCs w:val="24"/>
          <w:lang w:eastAsia="en-GB"/>
        </w:rPr>
        <w:t xml:space="preserve"> </w:t>
      </w:r>
      <w:r w:rsidRPr="00682EC4">
        <w:rPr>
          <w:rFonts w:cs="Arial"/>
          <w:bCs w:val="0"/>
          <w:spacing w:val="-1"/>
          <w:szCs w:val="24"/>
          <w:lang w:eastAsia="en-GB"/>
        </w:rPr>
        <w:t>in</w:t>
      </w:r>
      <w:r w:rsidRPr="00682EC4">
        <w:rPr>
          <w:rFonts w:cs="Arial"/>
          <w:bCs w:val="0"/>
          <w:spacing w:val="65"/>
          <w:szCs w:val="24"/>
          <w:lang w:eastAsia="en-GB"/>
        </w:rPr>
        <w:t xml:space="preserve"> </w:t>
      </w:r>
      <w:r w:rsidRPr="00682EC4">
        <w:rPr>
          <w:rFonts w:cs="Arial"/>
          <w:bCs w:val="0"/>
          <w:szCs w:val="24"/>
          <w:lang w:eastAsia="en-GB"/>
        </w:rPr>
        <w:t>primary</w:t>
      </w:r>
      <w:r w:rsidRPr="00682EC4">
        <w:rPr>
          <w:rFonts w:cs="Arial"/>
          <w:bCs w:val="0"/>
          <w:spacing w:val="65"/>
          <w:szCs w:val="24"/>
          <w:lang w:eastAsia="en-GB"/>
        </w:rPr>
        <w:t xml:space="preserve"> </w:t>
      </w:r>
      <w:r w:rsidRPr="00682EC4">
        <w:rPr>
          <w:rFonts w:cs="Arial"/>
          <w:bCs w:val="0"/>
          <w:spacing w:val="-1"/>
          <w:szCs w:val="24"/>
          <w:lang w:eastAsia="en-GB"/>
        </w:rPr>
        <w:t>care</w:t>
      </w:r>
      <w:r w:rsidRPr="00682EC4">
        <w:rPr>
          <w:rFonts w:cs="Arial"/>
          <w:bCs w:val="0"/>
          <w:spacing w:val="64"/>
          <w:szCs w:val="24"/>
          <w:lang w:eastAsia="en-GB"/>
        </w:rPr>
        <w:t xml:space="preserve"> </w:t>
      </w:r>
      <w:r w:rsidRPr="00682EC4">
        <w:rPr>
          <w:rFonts w:cs="Arial"/>
          <w:bCs w:val="0"/>
          <w:spacing w:val="-1"/>
          <w:szCs w:val="24"/>
          <w:lang w:eastAsia="en-GB"/>
        </w:rPr>
        <w:t>commissioning,</w:t>
      </w:r>
      <w:r w:rsidRPr="00682EC4">
        <w:rPr>
          <w:rFonts w:cs="Arial"/>
          <w:bCs w:val="0"/>
          <w:spacing w:val="65"/>
          <w:szCs w:val="24"/>
          <w:lang w:eastAsia="en-GB"/>
        </w:rPr>
        <w:t xml:space="preserve"> </w:t>
      </w:r>
      <w:r w:rsidRPr="00682EC4">
        <w:rPr>
          <w:rFonts w:cs="Arial"/>
          <w:bCs w:val="0"/>
          <w:spacing w:val="-1"/>
          <w:szCs w:val="24"/>
          <w:lang w:eastAsia="en-GB"/>
        </w:rPr>
        <w:t>which</w:t>
      </w:r>
      <w:r w:rsidRPr="00682EC4">
        <w:rPr>
          <w:rFonts w:cs="Arial"/>
          <w:bCs w:val="0"/>
          <w:spacing w:val="65"/>
          <w:szCs w:val="24"/>
          <w:lang w:eastAsia="en-GB"/>
        </w:rPr>
        <w:t xml:space="preserve"> </w:t>
      </w:r>
      <w:r w:rsidRPr="00682EC4">
        <w:rPr>
          <w:rFonts w:cs="Arial"/>
          <w:bCs w:val="0"/>
          <w:spacing w:val="-1"/>
          <w:szCs w:val="24"/>
          <w:lang w:eastAsia="en-GB"/>
        </w:rPr>
        <w:t>includes</w:t>
      </w:r>
      <w:r w:rsidRPr="00682EC4">
        <w:rPr>
          <w:rFonts w:cs="Arial"/>
          <w:bCs w:val="0"/>
          <w:spacing w:val="46"/>
          <w:w w:val="99"/>
          <w:szCs w:val="24"/>
          <w:lang w:eastAsia="en-GB"/>
        </w:rPr>
        <w:t xml:space="preserve"> </w:t>
      </w:r>
      <w:r w:rsidRPr="00682EC4">
        <w:rPr>
          <w:rFonts w:cs="Arial"/>
          <w:bCs w:val="0"/>
          <w:spacing w:val="-1"/>
          <w:szCs w:val="24"/>
          <w:lang w:eastAsia="en-GB"/>
        </w:rPr>
        <w:t>resources</w:t>
      </w:r>
      <w:r w:rsidRPr="00682EC4">
        <w:rPr>
          <w:rFonts w:cs="Arial"/>
          <w:bCs w:val="0"/>
          <w:spacing w:val="-9"/>
          <w:szCs w:val="24"/>
          <w:lang w:eastAsia="en-GB"/>
        </w:rPr>
        <w:t xml:space="preserve"> </w:t>
      </w:r>
      <w:r w:rsidRPr="00682EC4">
        <w:rPr>
          <w:rFonts w:cs="Arial"/>
          <w:bCs w:val="0"/>
          <w:spacing w:val="-1"/>
          <w:szCs w:val="24"/>
          <w:lang w:eastAsia="en-GB"/>
        </w:rPr>
        <w:t>developed</w:t>
      </w:r>
      <w:r w:rsidRPr="00682EC4">
        <w:rPr>
          <w:rFonts w:cs="Arial"/>
          <w:bCs w:val="0"/>
          <w:spacing w:val="-8"/>
          <w:szCs w:val="24"/>
          <w:lang w:eastAsia="en-GB"/>
        </w:rPr>
        <w:t xml:space="preserve"> </w:t>
      </w:r>
      <w:r w:rsidRPr="00682EC4">
        <w:rPr>
          <w:rFonts w:cs="Arial"/>
          <w:bCs w:val="0"/>
          <w:spacing w:val="-1"/>
          <w:szCs w:val="24"/>
          <w:lang w:eastAsia="en-GB"/>
        </w:rPr>
        <w:t>especially</w:t>
      </w:r>
      <w:r w:rsidRPr="00682EC4">
        <w:rPr>
          <w:rFonts w:cs="Arial"/>
          <w:bCs w:val="0"/>
          <w:spacing w:val="-7"/>
          <w:szCs w:val="24"/>
          <w:lang w:eastAsia="en-GB"/>
        </w:rPr>
        <w:t xml:space="preserve"> </w:t>
      </w:r>
      <w:r w:rsidRPr="00682EC4">
        <w:rPr>
          <w:rFonts w:cs="Arial"/>
          <w:bCs w:val="0"/>
          <w:spacing w:val="-1"/>
          <w:szCs w:val="24"/>
          <w:lang w:eastAsia="en-GB"/>
        </w:rPr>
        <w:t>for</w:t>
      </w:r>
      <w:r w:rsidRPr="00682EC4">
        <w:rPr>
          <w:rFonts w:cs="Arial"/>
          <w:bCs w:val="0"/>
          <w:spacing w:val="-8"/>
          <w:szCs w:val="24"/>
          <w:lang w:eastAsia="en-GB"/>
        </w:rPr>
        <w:t xml:space="preserve"> </w:t>
      </w:r>
      <w:r w:rsidRPr="00682EC4">
        <w:rPr>
          <w:rFonts w:cs="Arial"/>
          <w:bCs w:val="0"/>
          <w:spacing w:val="-1"/>
          <w:szCs w:val="24"/>
          <w:lang w:eastAsia="en-GB"/>
        </w:rPr>
        <w:t>primary</w:t>
      </w:r>
      <w:r w:rsidRPr="00682EC4">
        <w:rPr>
          <w:rFonts w:cs="Arial"/>
          <w:bCs w:val="0"/>
          <w:spacing w:val="-7"/>
          <w:szCs w:val="24"/>
          <w:lang w:eastAsia="en-GB"/>
        </w:rPr>
        <w:t xml:space="preserve"> </w:t>
      </w:r>
      <w:r w:rsidRPr="00682EC4">
        <w:rPr>
          <w:rFonts w:cs="Arial"/>
          <w:bCs w:val="0"/>
          <w:spacing w:val="-1"/>
          <w:szCs w:val="24"/>
          <w:lang w:eastAsia="en-GB"/>
        </w:rPr>
        <w:t>care.</w:t>
      </w:r>
    </w:p>
    <w:p w14:paraId="6277F935" w14:textId="77777777" w:rsidR="00DB7F92" w:rsidRPr="00682EC4" w:rsidRDefault="00DB7F92" w:rsidP="005A7DDA">
      <w:pPr>
        <w:pStyle w:val="ListParagraph"/>
        <w:widowControl w:val="0"/>
        <w:numPr>
          <w:ilvl w:val="0"/>
          <w:numId w:val="94"/>
        </w:numPr>
        <w:tabs>
          <w:tab w:val="left" w:pos="2007"/>
        </w:tabs>
        <w:spacing w:before="120" w:after="120" w:line="360" w:lineRule="auto"/>
        <w:ind w:right="115"/>
        <w:jc w:val="both"/>
        <w:rPr>
          <w:rFonts w:cs="Arial"/>
          <w:bCs w:val="0"/>
          <w:spacing w:val="-1"/>
          <w:szCs w:val="24"/>
          <w:lang w:eastAsia="en-GB"/>
        </w:rPr>
      </w:pPr>
      <w:r w:rsidRPr="00682EC4">
        <w:rPr>
          <w:rFonts w:cs="Arial"/>
          <w:bCs w:val="0"/>
          <w:spacing w:val="-1"/>
          <w:szCs w:val="24"/>
          <w:lang w:eastAsia="en-GB"/>
        </w:rPr>
        <w:t>Resources to help commissioners identify whether the section 13Q applies, put in place appropriate arrangements for public involvement and avoid legal challenge.</w:t>
      </w:r>
    </w:p>
    <w:p w14:paraId="2FA04677" w14:textId="77777777" w:rsidR="00DB7F92" w:rsidRPr="00682EC4" w:rsidRDefault="00DB7F92" w:rsidP="005A7DDA">
      <w:pPr>
        <w:pStyle w:val="ListParagraph"/>
        <w:widowControl w:val="0"/>
        <w:numPr>
          <w:ilvl w:val="0"/>
          <w:numId w:val="94"/>
        </w:numPr>
        <w:tabs>
          <w:tab w:val="left" w:pos="2007"/>
        </w:tabs>
        <w:spacing w:before="120" w:after="120" w:line="360" w:lineRule="auto"/>
        <w:ind w:right="115"/>
        <w:jc w:val="both"/>
        <w:rPr>
          <w:rFonts w:cs="Arial"/>
          <w:bCs w:val="0"/>
          <w:spacing w:val="-1"/>
          <w:szCs w:val="24"/>
          <w:lang w:eastAsia="en-GB"/>
        </w:rPr>
      </w:pPr>
      <w:r w:rsidRPr="00682EC4">
        <w:rPr>
          <w:rFonts w:cs="Arial"/>
          <w:bCs w:val="0"/>
          <w:spacing w:val="-1"/>
          <w:szCs w:val="24"/>
          <w:lang w:eastAsia="en-GB"/>
        </w:rPr>
        <w:t xml:space="preserve">Guidance on a variety of topics that often arise, such as what ‘public </w:t>
      </w:r>
      <w:r w:rsidRPr="00682EC4">
        <w:rPr>
          <w:rFonts w:cs="Arial"/>
          <w:bCs w:val="0"/>
          <w:spacing w:val="-1"/>
          <w:szCs w:val="24"/>
          <w:lang w:eastAsia="en-GB"/>
        </w:rPr>
        <w:lastRenderedPageBreak/>
        <w:t>involvement’ means, how to involve the public, who to involve, when involvement should take place, urgent decisions and joint involvement exercises</w:t>
      </w:r>
    </w:p>
    <w:p w14:paraId="32BBFF66" w14:textId="77777777" w:rsidR="00DB7F92" w:rsidRPr="00682EC4" w:rsidRDefault="00DB7F92" w:rsidP="005A7DDA">
      <w:pPr>
        <w:pStyle w:val="ListParagraph"/>
        <w:widowControl w:val="0"/>
        <w:numPr>
          <w:ilvl w:val="0"/>
          <w:numId w:val="94"/>
        </w:numPr>
        <w:tabs>
          <w:tab w:val="left" w:pos="2007"/>
        </w:tabs>
        <w:spacing w:before="120" w:after="120" w:line="360" w:lineRule="auto"/>
        <w:ind w:right="115"/>
        <w:jc w:val="both"/>
        <w:rPr>
          <w:rFonts w:cs="Arial"/>
          <w:bCs w:val="0"/>
          <w:spacing w:val="-1"/>
          <w:szCs w:val="24"/>
          <w:lang w:eastAsia="en-GB"/>
        </w:rPr>
      </w:pPr>
      <w:r w:rsidRPr="00682EC4">
        <w:rPr>
          <w:rFonts w:cs="Arial"/>
          <w:bCs w:val="0"/>
          <w:spacing w:val="-1"/>
          <w:szCs w:val="24"/>
          <w:lang w:eastAsia="en-GB"/>
        </w:rPr>
        <w:t>Case studies based upon primary care scenarios</w:t>
      </w:r>
    </w:p>
    <w:p w14:paraId="7141C06C" w14:textId="77777777" w:rsidR="00DB7F92" w:rsidRPr="00682EC4" w:rsidRDefault="00DB7F92" w:rsidP="005A7DDA">
      <w:pPr>
        <w:pStyle w:val="ListParagraph"/>
        <w:widowControl w:val="0"/>
        <w:numPr>
          <w:ilvl w:val="0"/>
          <w:numId w:val="94"/>
        </w:numPr>
        <w:tabs>
          <w:tab w:val="left" w:pos="2007"/>
        </w:tabs>
        <w:spacing w:before="120" w:after="120" w:line="360" w:lineRule="auto"/>
        <w:ind w:right="115"/>
        <w:jc w:val="both"/>
        <w:rPr>
          <w:rFonts w:cs="Arial"/>
          <w:bCs w:val="0"/>
          <w:spacing w:val="-1"/>
          <w:szCs w:val="24"/>
          <w:lang w:eastAsia="en-GB"/>
        </w:rPr>
      </w:pPr>
      <w:r w:rsidRPr="00682EC4">
        <w:rPr>
          <w:rFonts w:cs="Arial"/>
          <w:bCs w:val="0"/>
          <w:spacing w:val="-1"/>
          <w:szCs w:val="24"/>
          <w:lang w:eastAsia="en-GB"/>
        </w:rPr>
        <w:t>Summaries of related legal duties</w:t>
      </w:r>
    </w:p>
    <w:p w14:paraId="027FDD4F" w14:textId="77777777" w:rsidR="00DB7F92" w:rsidRPr="00682EC4" w:rsidRDefault="00DB7F92" w:rsidP="005A7DDA">
      <w:pPr>
        <w:pStyle w:val="ListParagraph"/>
        <w:widowControl w:val="0"/>
        <w:numPr>
          <w:ilvl w:val="0"/>
          <w:numId w:val="94"/>
        </w:numPr>
        <w:tabs>
          <w:tab w:val="left" w:pos="2007"/>
        </w:tabs>
        <w:spacing w:before="120" w:after="120" w:line="360" w:lineRule="auto"/>
        <w:ind w:right="115"/>
        <w:jc w:val="both"/>
        <w:rPr>
          <w:rFonts w:cs="Arial"/>
          <w:bCs w:val="0"/>
          <w:spacing w:val="-1"/>
          <w:szCs w:val="24"/>
          <w:lang w:eastAsia="en-GB"/>
        </w:rPr>
      </w:pPr>
      <w:r w:rsidRPr="00682EC4">
        <w:rPr>
          <w:rFonts w:cs="Arial"/>
          <w:bCs w:val="0"/>
          <w:spacing w:val="-1"/>
          <w:szCs w:val="24"/>
          <w:lang w:eastAsia="en-GB"/>
        </w:rPr>
        <w:t>Details of how to seek further advice if needed.</w:t>
      </w:r>
    </w:p>
    <w:p w14:paraId="7E59CCBA" w14:textId="77777777" w:rsidR="00DB7F92" w:rsidRPr="00DB7F92" w:rsidRDefault="00DB7F92" w:rsidP="00DD5D2D">
      <w:pPr>
        <w:pStyle w:val="Heading3"/>
        <w:jc w:val="both"/>
        <w:rPr>
          <w:lang w:eastAsia="en-GB"/>
        </w:rPr>
      </w:pPr>
      <w:r w:rsidRPr="00DB7F92">
        <w:rPr>
          <w:lang w:eastAsia="en-GB"/>
        </w:rPr>
        <w:t>The</w:t>
      </w:r>
      <w:r w:rsidRPr="00DB7F92">
        <w:rPr>
          <w:spacing w:val="28"/>
          <w:lang w:eastAsia="en-GB"/>
        </w:rPr>
        <w:t xml:space="preserve"> </w:t>
      </w:r>
      <w:r w:rsidRPr="00DB7F92">
        <w:rPr>
          <w:lang w:eastAsia="en-GB"/>
        </w:rPr>
        <w:t>documentation</w:t>
      </w:r>
      <w:r w:rsidRPr="00DB7F92">
        <w:rPr>
          <w:spacing w:val="31"/>
          <w:lang w:eastAsia="en-GB"/>
        </w:rPr>
        <w:t xml:space="preserve"> </w:t>
      </w:r>
      <w:r w:rsidRPr="00DB7F92">
        <w:rPr>
          <w:lang w:eastAsia="en-GB"/>
        </w:rPr>
        <w:t>is</w:t>
      </w:r>
      <w:r w:rsidRPr="00DB7F92">
        <w:rPr>
          <w:spacing w:val="30"/>
          <w:lang w:eastAsia="en-GB"/>
        </w:rPr>
        <w:t xml:space="preserve"> </w:t>
      </w:r>
      <w:r w:rsidRPr="00DB7F92">
        <w:rPr>
          <w:lang w:eastAsia="en-GB"/>
        </w:rPr>
        <w:t>intended</w:t>
      </w:r>
      <w:r w:rsidRPr="00DB7F92">
        <w:rPr>
          <w:spacing w:val="31"/>
          <w:lang w:eastAsia="en-GB"/>
        </w:rPr>
        <w:t xml:space="preserve"> </w:t>
      </w:r>
      <w:r w:rsidRPr="00DB7F92">
        <w:rPr>
          <w:lang w:eastAsia="en-GB"/>
        </w:rPr>
        <w:t>to</w:t>
      </w:r>
      <w:r w:rsidRPr="00DB7F92">
        <w:rPr>
          <w:spacing w:val="28"/>
          <w:lang w:eastAsia="en-GB"/>
        </w:rPr>
        <w:t xml:space="preserve"> </w:t>
      </w:r>
      <w:r w:rsidRPr="00DB7F92">
        <w:rPr>
          <w:lang w:eastAsia="en-GB"/>
        </w:rPr>
        <w:t>be</w:t>
      </w:r>
      <w:r w:rsidRPr="00DB7F92">
        <w:rPr>
          <w:spacing w:val="28"/>
          <w:lang w:eastAsia="en-GB"/>
        </w:rPr>
        <w:t xml:space="preserve"> </w:t>
      </w:r>
      <w:r w:rsidRPr="00DB7F92">
        <w:rPr>
          <w:lang w:eastAsia="en-GB"/>
        </w:rPr>
        <w:t>used</w:t>
      </w:r>
      <w:r w:rsidRPr="00DB7F92">
        <w:rPr>
          <w:spacing w:val="31"/>
          <w:lang w:eastAsia="en-GB"/>
        </w:rPr>
        <w:t xml:space="preserve"> </w:t>
      </w:r>
      <w:r w:rsidRPr="00DB7F92">
        <w:rPr>
          <w:lang w:eastAsia="en-GB"/>
        </w:rPr>
        <w:t>by</w:t>
      </w:r>
      <w:r w:rsidRPr="00DB7F92">
        <w:rPr>
          <w:spacing w:val="30"/>
          <w:lang w:eastAsia="en-GB"/>
        </w:rPr>
        <w:t xml:space="preserve"> </w:t>
      </w:r>
      <w:r w:rsidRPr="00DB7F92">
        <w:rPr>
          <w:lang w:eastAsia="en-GB"/>
        </w:rPr>
        <w:t>both commissioners (who</w:t>
      </w:r>
      <w:r w:rsidRPr="00DB7F92">
        <w:rPr>
          <w:spacing w:val="39"/>
          <w:lang w:eastAsia="en-GB"/>
        </w:rPr>
        <w:t xml:space="preserve"> </w:t>
      </w:r>
      <w:r w:rsidRPr="00DB7F92">
        <w:rPr>
          <w:lang w:eastAsia="en-GB"/>
        </w:rPr>
        <w:t>need</w:t>
      </w:r>
      <w:r w:rsidRPr="00DB7F92">
        <w:rPr>
          <w:spacing w:val="27"/>
          <w:lang w:eastAsia="en-GB"/>
        </w:rPr>
        <w:t xml:space="preserve"> </w:t>
      </w:r>
      <w:r w:rsidRPr="00DB7F92">
        <w:rPr>
          <w:lang w:eastAsia="en-GB"/>
        </w:rPr>
        <w:t>to</w:t>
      </w:r>
      <w:r w:rsidRPr="00DB7F92">
        <w:rPr>
          <w:spacing w:val="28"/>
          <w:lang w:eastAsia="en-GB"/>
        </w:rPr>
        <w:t xml:space="preserve"> </w:t>
      </w:r>
      <w:r w:rsidRPr="00DB7F92">
        <w:rPr>
          <w:lang w:eastAsia="en-GB"/>
        </w:rPr>
        <w:t>understand</w:t>
      </w:r>
      <w:r w:rsidRPr="00DB7F92">
        <w:rPr>
          <w:spacing w:val="30"/>
          <w:lang w:eastAsia="en-GB"/>
        </w:rPr>
        <w:t xml:space="preserve"> </w:t>
      </w:r>
      <w:r w:rsidRPr="00DB7F92">
        <w:rPr>
          <w:lang w:eastAsia="en-GB"/>
        </w:rPr>
        <w:t>and</w:t>
      </w:r>
      <w:r w:rsidRPr="00DB7F92">
        <w:rPr>
          <w:spacing w:val="28"/>
          <w:lang w:eastAsia="en-GB"/>
        </w:rPr>
        <w:t xml:space="preserve"> </w:t>
      </w:r>
      <w:r w:rsidRPr="00DB7F92">
        <w:rPr>
          <w:lang w:eastAsia="en-GB"/>
        </w:rPr>
        <w:t>comply</w:t>
      </w:r>
      <w:r w:rsidRPr="00DB7F92">
        <w:rPr>
          <w:spacing w:val="29"/>
          <w:lang w:eastAsia="en-GB"/>
        </w:rPr>
        <w:t xml:space="preserve"> </w:t>
      </w:r>
      <w:r w:rsidRPr="00DB7F92">
        <w:rPr>
          <w:lang w:eastAsia="en-GB"/>
        </w:rPr>
        <w:t>with</w:t>
      </w:r>
      <w:r w:rsidRPr="00DB7F92">
        <w:rPr>
          <w:spacing w:val="31"/>
          <w:lang w:eastAsia="en-GB"/>
        </w:rPr>
        <w:t xml:space="preserve"> </w:t>
      </w:r>
      <w:r w:rsidRPr="00DB7F92">
        <w:rPr>
          <w:lang w:eastAsia="en-GB"/>
        </w:rPr>
        <w:t>the</w:t>
      </w:r>
      <w:r w:rsidRPr="00DB7F92">
        <w:rPr>
          <w:spacing w:val="28"/>
          <w:lang w:eastAsia="en-GB"/>
        </w:rPr>
        <w:t xml:space="preserve"> </w:t>
      </w:r>
      <w:r w:rsidRPr="00DB7F92">
        <w:rPr>
          <w:lang w:eastAsia="en-GB"/>
        </w:rPr>
        <w:t>arrangements</w:t>
      </w:r>
      <w:r w:rsidRPr="00DB7F92">
        <w:rPr>
          <w:spacing w:val="30"/>
          <w:lang w:eastAsia="en-GB"/>
        </w:rPr>
        <w:t xml:space="preserve"> </w:t>
      </w:r>
      <w:r w:rsidRPr="00DB7F92">
        <w:rPr>
          <w:lang w:eastAsia="en-GB"/>
        </w:rPr>
        <w:t>when</w:t>
      </w:r>
      <w:r w:rsidRPr="00DB7F92">
        <w:rPr>
          <w:spacing w:val="50"/>
          <w:w w:val="99"/>
          <w:lang w:eastAsia="en-GB"/>
        </w:rPr>
        <w:t xml:space="preserve"> </w:t>
      </w:r>
      <w:r w:rsidRPr="00DB7F92">
        <w:rPr>
          <w:lang w:eastAsia="en-GB"/>
        </w:rPr>
        <w:t>commissioning</w:t>
      </w:r>
      <w:r w:rsidRPr="00DB7F92">
        <w:rPr>
          <w:spacing w:val="6"/>
          <w:lang w:eastAsia="en-GB"/>
        </w:rPr>
        <w:t xml:space="preserve"> </w:t>
      </w:r>
      <w:r w:rsidRPr="00DB7F92">
        <w:rPr>
          <w:lang w:eastAsia="en-GB"/>
        </w:rPr>
        <w:t>services)</w:t>
      </w:r>
      <w:r w:rsidRPr="00DB7F92">
        <w:rPr>
          <w:spacing w:val="6"/>
          <w:lang w:eastAsia="en-GB"/>
        </w:rPr>
        <w:t xml:space="preserve"> </w:t>
      </w:r>
      <w:r w:rsidRPr="00DB7F92">
        <w:rPr>
          <w:lang w:eastAsia="en-GB"/>
        </w:rPr>
        <w:t>and</w:t>
      </w:r>
      <w:r w:rsidRPr="00DB7F92">
        <w:rPr>
          <w:spacing w:val="6"/>
          <w:lang w:eastAsia="en-GB"/>
        </w:rPr>
        <w:t xml:space="preserve"> </w:t>
      </w:r>
      <w:r w:rsidRPr="00DB7F92">
        <w:rPr>
          <w:lang w:eastAsia="en-GB"/>
        </w:rPr>
        <w:t>the</w:t>
      </w:r>
      <w:r w:rsidRPr="00DB7F92">
        <w:rPr>
          <w:spacing w:val="7"/>
          <w:lang w:eastAsia="en-GB"/>
        </w:rPr>
        <w:t xml:space="preserve"> </w:t>
      </w:r>
      <w:r w:rsidRPr="00DB7F92">
        <w:rPr>
          <w:lang w:eastAsia="en-GB"/>
        </w:rPr>
        <w:t>public</w:t>
      </w:r>
      <w:r w:rsidRPr="00DB7F92">
        <w:rPr>
          <w:spacing w:val="6"/>
          <w:lang w:eastAsia="en-GB"/>
        </w:rPr>
        <w:t xml:space="preserve"> </w:t>
      </w:r>
      <w:r w:rsidRPr="00DB7F92">
        <w:rPr>
          <w:lang w:eastAsia="en-GB"/>
        </w:rPr>
        <w:t>(to</w:t>
      </w:r>
      <w:r w:rsidRPr="00DB7F92">
        <w:rPr>
          <w:spacing w:val="6"/>
          <w:lang w:eastAsia="en-GB"/>
        </w:rPr>
        <w:t xml:space="preserve"> </w:t>
      </w:r>
      <w:r w:rsidRPr="00DB7F92">
        <w:rPr>
          <w:lang w:eastAsia="en-GB"/>
        </w:rPr>
        <w:t>understand</w:t>
      </w:r>
      <w:r w:rsidRPr="00DB7F92">
        <w:rPr>
          <w:spacing w:val="6"/>
          <w:lang w:eastAsia="en-GB"/>
        </w:rPr>
        <w:t xml:space="preserve"> </w:t>
      </w:r>
      <w:r w:rsidRPr="00DB7F92">
        <w:rPr>
          <w:lang w:eastAsia="en-GB"/>
        </w:rPr>
        <w:t>how</w:t>
      </w:r>
      <w:r w:rsidRPr="00DB7F92">
        <w:rPr>
          <w:spacing w:val="8"/>
          <w:lang w:eastAsia="en-GB"/>
        </w:rPr>
        <w:t xml:space="preserve"> </w:t>
      </w:r>
      <w:r w:rsidRPr="00DB7F92">
        <w:rPr>
          <w:lang w:eastAsia="en-GB"/>
        </w:rPr>
        <w:t>NHS</w:t>
      </w:r>
      <w:r w:rsidRPr="00DB7F92">
        <w:rPr>
          <w:spacing w:val="6"/>
          <w:lang w:eastAsia="en-GB"/>
        </w:rPr>
        <w:t xml:space="preserve"> </w:t>
      </w:r>
      <w:r w:rsidRPr="00DB7F92">
        <w:rPr>
          <w:lang w:eastAsia="en-GB"/>
        </w:rPr>
        <w:t>England</w:t>
      </w:r>
      <w:r w:rsidRPr="00DB7F92">
        <w:rPr>
          <w:spacing w:val="48"/>
          <w:lang w:eastAsia="en-GB"/>
        </w:rPr>
        <w:t xml:space="preserve"> </w:t>
      </w:r>
      <w:r w:rsidRPr="00DB7F92">
        <w:rPr>
          <w:lang w:eastAsia="en-GB"/>
        </w:rPr>
        <w:t>involves</w:t>
      </w:r>
      <w:r w:rsidRPr="00DB7F92">
        <w:rPr>
          <w:spacing w:val="4"/>
          <w:lang w:eastAsia="en-GB"/>
        </w:rPr>
        <w:t xml:space="preserve"> </w:t>
      </w:r>
      <w:r w:rsidRPr="00DB7F92">
        <w:rPr>
          <w:lang w:eastAsia="en-GB"/>
        </w:rPr>
        <w:t>the</w:t>
      </w:r>
      <w:r w:rsidRPr="00DB7F92">
        <w:rPr>
          <w:spacing w:val="2"/>
          <w:lang w:eastAsia="en-GB"/>
        </w:rPr>
        <w:t xml:space="preserve"> </w:t>
      </w:r>
      <w:r w:rsidRPr="00DB7F92">
        <w:rPr>
          <w:lang w:eastAsia="en-GB"/>
        </w:rPr>
        <w:t>public</w:t>
      </w:r>
      <w:r w:rsidRPr="00DB7F92">
        <w:rPr>
          <w:spacing w:val="2"/>
          <w:lang w:eastAsia="en-GB"/>
        </w:rPr>
        <w:t xml:space="preserve"> </w:t>
      </w:r>
      <w:r w:rsidRPr="00DB7F92">
        <w:rPr>
          <w:lang w:eastAsia="en-GB"/>
        </w:rPr>
        <w:t>in</w:t>
      </w:r>
      <w:r w:rsidRPr="00DB7F92">
        <w:rPr>
          <w:spacing w:val="3"/>
          <w:lang w:eastAsia="en-GB"/>
        </w:rPr>
        <w:t xml:space="preserve"> </w:t>
      </w:r>
      <w:r w:rsidRPr="00DB7F92">
        <w:rPr>
          <w:lang w:eastAsia="en-GB"/>
        </w:rPr>
        <w:t>its</w:t>
      </w:r>
      <w:r w:rsidRPr="00DB7F92">
        <w:rPr>
          <w:spacing w:val="4"/>
          <w:lang w:eastAsia="en-GB"/>
        </w:rPr>
        <w:t xml:space="preserve"> </w:t>
      </w:r>
      <w:r w:rsidRPr="00DB7F92">
        <w:rPr>
          <w:lang w:eastAsia="en-GB"/>
        </w:rPr>
        <w:t>commissioning</w:t>
      </w:r>
      <w:r w:rsidRPr="00DB7F92">
        <w:rPr>
          <w:spacing w:val="4"/>
          <w:lang w:eastAsia="en-GB"/>
        </w:rPr>
        <w:t xml:space="preserve"> </w:t>
      </w:r>
      <w:r w:rsidRPr="00DB7F92">
        <w:rPr>
          <w:lang w:eastAsia="en-GB"/>
        </w:rPr>
        <w:t>of</w:t>
      </w:r>
      <w:r w:rsidRPr="00DB7F92">
        <w:rPr>
          <w:spacing w:val="2"/>
          <w:lang w:eastAsia="en-GB"/>
        </w:rPr>
        <w:t xml:space="preserve"> </w:t>
      </w:r>
      <w:r w:rsidRPr="00DB7F92">
        <w:rPr>
          <w:lang w:eastAsia="en-GB"/>
        </w:rPr>
        <w:t>services).</w:t>
      </w:r>
      <w:r w:rsidRPr="00DB7F92">
        <w:rPr>
          <w:spacing w:val="7"/>
          <w:lang w:eastAsia="en-GB"/>
        </w:rPr>
        <w:t xml:space="preserve"> As noted, for CCGs co-commissioning under delegated authority from NHS England, these arrangements are supplementary to their own requirement to have in place arrangements for public involvement under section 14Z2 of the NHS Act 2006.</w:t>
      </w:r>
    </w:p>
    <w:p w14:paraId="56100225" w14:textId="77777777" w:rsidR="00DB7F92" w:rsidRPr="00DB7F92" w:rsidRDefault="00DB7F92" w:rsidP="00DB7F92">
      <w:pPr>
        <w:spacing w:before="11"/>
        <w:jc w:val="both"/>
        <w:rPr>
          <w:rFonts w:eastAsia="Segoe UI Semilight" w:cs="Arial"/>
          <w:sz w:val="20"/>
          <w:szCs w:val="20"/>
        </w:rPr>
      </w:pPr>
    </w:p>
    <w:p w14:paraId="0CD2EA36" w14:textId="6A231D02" w:rsidR="00DB7F92" w:rsidRPr="00DB7F92" w:rsidRDefault="00D32C7A" w:rsidP="00DB7F92">
      <w:pPr>
        <w:pStyle w:val="Heading2"/>
        <w:rPr>
          <w:rFonts w:eastAsiaTheme="majorEastAsia"/>
        </w:rPr>
      </w:pPr>
      <w:bookmarkStart w:id="98" w:name="_Toc498495322"/>
      <w:r w:rsidRPr="00DB7F92">
        <w:rPr>
          <w:rFonts w:eastAsiaTheme="majorEastAsia"/>
        </w:rPr>
        <w:t>Duty</w:t>
      </w:r>
      <w:r w:rsidRPr="00DB7F92">
        <w:rPr>
          <w:rFonts w:eastAsiaTheme="majorEastAsia"/>
          <w:spacing w:val="-4"/>
        </w:rPr>
        <w:t xml:space="preserve"> </w:t>
      </w:r>
      <w:r>
        <w:rPr>
          <w:rFonts w:eastAsiaTheme="majorEastAsia"/>
        </w:rPr>
        <w:t>t</w:t>
      </w:r>
      <w:r w:rsidRPr="00DB7F92">
        <w:rPr>
          <w:rFonts w:eastAsiaTheme="majorEastAsia"/>
        </w:rPr>
        <w:t>o</w:t>
      </w:r>
      <w:r w:rsidRPr="00DB7F92">
        <w:rPr>
          <w:rFonts w:eastAsiaTheme="majorEastAsia"/>
          <w:spacing w:val="-2"/>
        </w:rPr>
        <w:t xml:space="preserve"> </w:t>
      </w:r>
      <w:r w:rsidRPr="00DB7F92">
        <w:rPr>
          <w:rFonts w:eastAsiaTheme="majorEastAsia"/>
        </w:rPr>
        <w:t>Act</w:t>
      </w:r>
      <w:r w:rsidRPr="00DB7F92">
        <w:rPr>
          <w:rFonts w:eastAsiaTheme="majorEastAsia"/>
          <w:spacing w:val="-2"/>
        </w:rPr>
        <w:t xml:space="preserve"> </w:t>
      </w:r>
      <w:r w:rsidRPr="00DB7F92">
        <w:rPr>
          <w:rFonts w:eastAsiaTheme="majorEastAsia"/>
        </w:rPr>
        <w:t>Fairly &amp; Reasonably</w:t>
      </w:r>
      <w:bookmarkEnd w:id="98"/>
    </w:p>
    <w:p w14:paraId="126FDE08" w14:textId="77777777" w:rsidR="00DB7F92" w:rsidRPr="00DB7F92" w:rsidRDefault="00DB7F92" w:rsidP="00DD5D2D">
      <w:pPr>
        <w:pStyle w:val="Heading3"/>
        <w:jc w:val="both"/>
        <w:rPr>
          <w:lang w:eastAsia="en-GB"/>
        </w:rPr>
      </w:pPr>
      <w:r w:rsidRPr="00DB7F92">
        <w:rPr>
          <w:lang w:eastAsia="en-GB"/>
        </w:rPr>
        <w:t>Commissioners have</w:t>
      </w:r>
      <w:r w:rsidRPr="00DB7F92">
        <w:rPr>
          <w:spacing w:val="43"/>
          <w:lang w:eastAsia="en-GB"/>
        </w:rPr>
        <w:t xml:space="preserve"> </w:t>
      </w:r>
      <w:r w:rsidRPr="00DB7F92">
        <w:rPr>
          <w:lang w:eastAsia="en-GB"/>
        </w:rPr>
        <w:t>a duty</w:t>
      </w:r>
      <w:r w:rsidRPr="00DB7F92">
        <w:rPr>
          <w:spacing w:val="44"/>
          <w:lang w:eastAsia="en-GB"/>
        </w:rPr>
        <w:t xml:space="preserve"> </w:t>
      </w:r>
      <w:r w:rsidRPr="00DB7F92">
        <w:rPr>
          <w:lang w:eastAsia="en-GB"/>
        </w:rPr>
        <w:t>to</w:t>
      </w:r>
      <w:r w:rsidRPr="00DB7F92">
        <w:rPr>
          <w:spacing w:val="43"/>
          <w:lang w:eastAsia="en-GB"/>
        </w:rPr>
        <w:t xml:space="preserve"> </w:t>
      </w:r>
      <w:r w:rsidRPr="00DB7F92">
        <w:rPr>
          <w:lang w:eastAsia="en-GB"/>
        </w:rPr>
        <w:t>act</w:t>
      </w:r>
      <w:r w:rsidRPr="00DB7F92">
        <w:rPr>
          <w:spacing w:val="44"/>
          <w:lang w:eastAsia="en-GB"/>
        </w:rPr>
        <w:t xml:space="preserve"> </w:t>
      </w:r>
      <w:r w:rsidRPr="00DB7F92">
        <w:rPr>
          <w:lang w:eastAsia="en-GB"/>
        </w:rPr>
        <w:t>fairly</w:t>
      </w:r>
      <w:r w:rsidRPr="00DB7F92">
        <w:rPr>
          <w:spacing w:val="45"/>
          <w:lang w:eastAsia="en-GB"/>
        </w:rPr>
        <w:t xml:space="preserve"> </w:t>
      </w:r>
      <w:r w:rsidRPr="00DB7F92">
        <w:rPr>
          <w:lang w:eastAsia="en-GB"/>
        </w:rPr>
        <w:t>and</w:t>
      </w:r>
      <w:r w:rsidRPr="00DB7F92">
        <w:rPr>
          <w:spacing w:val="43"/>
          <w:lang w:eastAsia="en-GB"/>
        </w:rPr>
        <w:t xml:space="preserve"> </w:t>
      </w:r>
      <w:r w:rsidRPr="00DB7F92">
        <w:rPr>
          <w:lang w:eastAsia="en-GB"/>
        </w:rPr>
        <w:t>reasonably</w:t>
      </w:r>
      <w:r w:rsidRPr="00DB7F92">
        <w:rPr>
          <w:spacing w:val="44"/>
          <w:lang w:eastAsia="en-GB"/>
        </w:rPr>
        <w:t xml:space="preserve"> </w:t>
      </w:r>
      <w:r w:rsidRPr="00DB7F92">
        <w:rPr>
          <w:lang w:eastAsia="en-GB"/>
        </w:rPr>
        <w:t>when</w:t>
      </w:r>
      <w:r w:rsidRPr="00DB7F92">
        <w:rPr>
          <w:spacing w:val="44"/>
          <w:lang w:eastAsia="en-GB"/>
        </w:rPr>
        <w:t xml:space="preserve"> </w:t>
      </w:r>
      <w:r w:rsidRPr="00DB7F92">
        <w:rPr>
          <w:lang w:eastAsia="en-GB"/>
        </w:rPr>
        <w:t>making</w:t>
      </w:r>
      <w:r w:rsidRPr="00DB7F92">
        <w:rPr>
          <w:spacing w:val="43"/>
          <w:lang w:eastAsia="en-GB"/>
        </w:rPr>
        <w:t xml:space="preserve"> </w:t>
      </w:r>
      <w:r w:rsidRPr="00DB7F92">
        <w:rPr>
          <w:lang w:eastAsia="en-GB"/>
        </w:rPr>
        <w:t>its</w:t>
      </w:r>
      <w:r w:rsidRPr="00DB7F92">
        <w:rPr>
          <w:spacing w:val="39"/>
          <w:lang w:eastAsia="en-GB"/>
        </w:rPr>
        <w:t xml:space="preserve"> </w:t>
      </w:r>
      <w:r w:rsidRPr="00DB7F92">
        <w:rPr>
          <w:lang w:eastAsia="en-GB"/>
        </w:rPr>
        <w:t>decisions.</w:t>
      </w:r>
      <w:r w:rsidRPr="00DB7F92">
        <w:rPr>
          <w:spacing w:val="21"/>
          <w:lang w:eastAsia="en-GB"/>
        </w:rPr>
        <w:t xml:space="preserve"> </w:t>
      </w:r>
      <w:r w:rsidRPr="00DB7F92">
        <w:rPr>
          <w:lang w:eastAsia="en-GB"/>
        </w:rPr>
        <w:t>These</w:t>
      </w:r>
      <w:r w:rsidRPr="00DB7F92">
        <w:rPr>
          <w:spacing w:val="44"/>
          <w:lang w:eastAsia="en-GB"/>
        </w:rPr>
        <w:t xml:space="preserve"> </w:t>
      </w:r>
      <w:r w:rsidRPr="00DB7F92">
        <w:rPr>
          <w:lang w:eastAsia="en-GB"/>
        </w:rPr>
        <w:t>duties</w:t>
      </w:r>
      <w:r w:rsidRPr="00DB7F92">
        <w:rPr>
          <w:spacing w:val="45"/>
          <w:lang w:eastAsia="en-GB"/>
        </w:rPr>
        <w:t xml:space="preserve"> </w:t>
      </w:r>
      <w:r w:rsidRPr="00DB7F92">
        <w:rPr>
          <w:lang w:eastAsia="en-GB"/>
        </w:rPr>
        <w:t>come</w:t>
      </w:r>
      <w:r w:rsidRPr="00DB7F92">
        <w:rPr>
          <w:spacing w:val="42"/>
          <w:lang w:eastAsia="en-GB"/>
        </w:rPr>
        <w:t xml:space="preserve"> </w:t>
      </w:r>
      <w:r w:rsidRPr="00DB7F92">
        <w:rPr>
          <w:lang w:eastAsia="en-GB"/>
        </w:rPr>
        <w:t>from</w:t>
      </w:r>
      <w:r w:rsidRPr="00DB7F92">
        <w:rPr>
          <w:spacing w:val="46"/>
          <w:lang w:eastAsia="en-GB"/>
        </w:rPr>
        <w:t xml:space="preserve"> </w:t>
      </w:r>
      <w:r w:rsidRPr="00DB7F92">
        <w:rPr>
          <w:lang w:eastAsia="en-GB"/>
        </w:rPr>
        <w:t>case</w:t>
      </w:r>
      <w:r w:rsidRPr="00DB7F92">
        <w:rPr>
          <w:spacing w:val="42"/>
          <w:lang w:eastAsia="en-GB"/>
        </w:rPr>
        <w:t xml:space="preserve"> </w:t>
      </w:r>
      <w:r w:rsidRPr="00DB7F92">
        <w:rPr>
          <w:spacing w:val="1"/>
          <w:lang w:eastAsia="en-GB"/>
        </w:rPr>
        <w:t>law</w:t>
      </w:r>
      <w:r w:rsidRPr="00DB7F92">
        <w:rPr>
          <w:spacing w:val="44"/>
          <w:lang w:eastAsia="en-GB"/>
        </w:rPr>
        <w:t xml:space="preserve"> </w:t>
      </w:r>
      <w:r w:rsidRPr="00DB7F92">
        <w:rPr>
          <w:lang w:eastAsia="en-GB"/>
        </w:rPr>
        <w:t>that</w:t>
      </w:r>
      <w:r w:rsidRPr="00DB7F92">
        <w:rPr>
          <w:spacing w:val="43"/>
          <w:lang w:eastAsia="en-GB"/>
        </w:rPr>
        <w:t xml:space="preserve"> </w:t>
      </w:r>
      <w:r w:rsidRPr="00DB7F92">
        <w:rPr>
          <w:lang w:eastAsia="en-GB"/>
        </w:rPr>
        <w:t>applies</w:t>
      </w:r>
      <w:r w:rsidRPr="00DB7F92">
        <w:rPr>
          <w:spacing w:val="44"/>
          <w:lang w:eastAsia="en-GB"/>
        </w:rPr>
        <w:t xml:space="preserve"> </w:t>
      </w:r>
      <w:r w:rsidRPr="00DB7F92">
        <w:rPr>
          <w:lang w:eastAsia="en-GB"/>
        </w:rPr>
        <w:t>to</w:t>
      </w:r>
      <w:r w:rsidRPr="00DB7F92">
        <w:rPr>
          <w:spacing w:val="43"/>
          <w:lang w:eastAsia="en-GB"/>
        </w:rPr>
        <w:t xml:space="preserve"> </w:t>
      </w:r>
      <w:r w:rsidRPr="00DB7F92">
        <w:rPr>
          <w:lang w:eastAsia="en-GB"/>
        </w:rPr>
        <w:t>all</w:t>
      </w:r>
      <w:r w:rsidRPr="00DB7F92">
        <w:rPr>
          <w:spacing w:val="44"/>
          <w:lang w:eastAsia="en-GB"/>
        </w:rPr>
        <w:t xml:space="preserve"> </w:t>
      </w:r>
      <w:r w:rsidRPr="00DB7F92">
        <w:rPr>
          <w:lang w:eastAsia="en-GB"/>
        </w:rPr>
        <w:t>public</w:t>
      </w:r>
      <w:r w:rsidRPr="00DB7F92">
        <w:rPr>
          <w:spacing w:val="46"/>
          <w:w w:val="99"/>
          <w:lang w:eastAsia="en-GB"/>
        </w:rPr>
        <w:t xml:space="preserve"> </w:t>
      </w:r>
      <w:r w:rsidRPr="00DB7F92">
        <w:rPr>
          <w:lang w:eastAsia="en-GB"/>
        </w:rPr>
        <w:t>bodies.</w:t>
      </w:r>
    </w:p>
    <w:p w14:paraId="68A58629" w14:textId="77777777" w:rsidR="00DB7F92" w:rsidRPr="00884224" w:rsidRDefault="00DB7F92" w:rsidP="00884224">
      <w:pPr>
        <w:keepNext/>
        <w:keepLines/>
        <w:spacing w:before="199"/>
        <w:ind w:left="838"/>
        <w:jc w:val="both"/>
        <w:outlineLvl w:val="6"/>
        <w:rPr>
          <w:rFonts w:eastAsiaTheme="majorEastAsia" w:cs="Arial"/>
          <w:i/>
          <w:iCs/>
          <w:color w:val="404040" w:themeColor="text1" w:themeTint="BF"/>
          <w:spacing w:val="-1"/>
          <w:sz w:val="28"/>
          <w:szCs w:val="28"/>
        </w:rPr>
      </w:pPr>
      <w:r w:rsidRPr="00884224">
        <w:rPr>
          <w:rFonts w:eastAsiaTheme="majorEastAsia" w:cs="Arial"/>
          <w:i/>
          <w:iCs/>
          <w:color w:val="404040" w:themeColor="text1" w:themeTint="BF"/>
          <w:spacing w:val="-1"/>
          <w:sz w:val="28"/>
          <w:szCs w:val="28"/>
        </w:rPr>
        <w:t>Acting fairly</w:t>
      </w:r>
    </w:p>
    <w:p w14:paraId="3118C802" w14:textId="77777777" w:rsidR="00DB7F92" w:rsidRPr="00DB7F92" w:rsidRDefault="00DB7F92" w:rsidP="00DD5D2D">
      <w:pPr>
        <w:pStyle w:val="Heading3"/>
        <w:jc w:val="both"/>
        <w:rPr>
          <w:lang w:eastAsia="en-GB"/>
        </w:rPr>
      </w:pPr>
      <w:r w:rsidRPr="00DB7F92">
        <w:rPr>
          <w:lang w:eastAsia="en-GB"/>
        </w:rPr>
        <w:t>Normally,</w:t>
      </w:r>
      <w:r w:rsidRPr="00DB7F92">
        <w:rPr>
          <w:spacing w:val="3"/>
          <w:lang w:eastAsia="en-GB"/>
        </w:rPr>
        <w:t xml:space="preserve"> </w:t>
      </w:r>
      <w:r w:rsidRPr="00DB7F92">
        <w:rPr>
          <w:lang w:eastAsia="en-GB"/>
        </w:rPr>
        <w:t>to</w:t>
      </w:r>
      <w:r w:rsidRPr="00DB7F92">
        <w:rPr>
          <w:spacing w:val="4"/>
          <w:lang w:eastAsia="en-GB"/>
        </w:rPr>
        <w:t xml:space="preserve"> </w:t>
      </w:r>
      <w:r w:rsidRPr="00DB7F92">
        <w:rPr>
          <w:lang w:eastAsia="en-GB"/>
        </w:rPr>
        <w:t>act</w:t>
      </w:r>
      <w:r w:rsidRPr="00DB7F92">
        <w:rPr>
          <w:spacing w:val="3"/>
          <w:lang w:eastAsia="en-GB"/>
        </w:rPr>
        <w:t xml:space="preserve"> </w:t>
      </w:r>
      <w:r w:rsidRPr="00DB7F92">
        <w:rPr>
          <w:lang w:eastAsia="en-GB"/>
        </w:rPr>
        <w:t>fairly</w:t>
      </w:r>
      <w:r w:rsidRPr="00DB7F92">
        <w:rPr>
          <w:spacing w:val="6"/>
          <w:lang w:eastAsia="en-GB"/>
        </w:rPr>
        <w:t xml:space="preserve"> </w:t>
      </w:r>
      <w:r w:rsidRPr="00DB7F92">
        <w:rPr>
          <w:lang w:eastAsia="en-GB"/>
        </w:rPr>
        <w:t>a commissioner</w:t>
      </w:r>
      <w:r w:rsidRPr="00DB7F92">
        <w:rPr>
          <w:spacing w:val="2"/>
          <w:lang w:eastAsia="en-GB"/>
        </w:rPr>
        <w:t xml:space="preserve"> </w:t>
      </w:r>
      <w:r w:rsidRPr="00DB7F92">
        <w:rPr>
          <w:lang w:eastAsia="en-GB"/>
        </w:rPr>
        <w:t>will</w:t>
      </w:r>
      <w:r w:rsidRPr="00DB7F92">
        <w:rPr>
          <w:spacing w:val="2"/>
          <w:lang w:eastAsia="en-GB"/>
        </w:rPr>
        <w:t xml:space="preserve"> </w:t>
      </w:r>
      <w:r w:rsidRPr="00DB7F92">
        <w:rPr>
          <w:lang w:eastAsia="en-GB"/>
        </w:rPr>
        <w:t>need</w:t>
      </w:r>
      <w:r w:rsidRPr="00DB7F92">
        <w:rPr>
          <w:spacing w:val="4"/>
          <w:lang w:eastAsia="en-GB"/>
        </w:rPr>
        <w:t xml:space="preserve"> </w:t>
      </w:r>
      <w:r w:rsidRPr="00DB7F92">
        <w:rPr>
          <w:lang w:eastAsia="en-GB"/>
        </w:rPr>
        <w:t>to</w:t>
      </w:r>
      <w:r w:rsidRPr="00DB7F92">
        <w:rPr>
          <w:spacing w:val="2"/>
          <w:lang w:eastAsia="en-GB"/>
        </w:rPr>
        <w:t xml:space="preserve"> </w:t>
      </w:r>
      <w:r w:rsidRPr="00DB7F92">
        <w:rPr>
          <w:lang w:eastAsia="en-GB"/>
        </w:rPr>
        <w:t>act</w:t>
      </w:r>
      <w:r w:rsidRPr="00DB7F92">
        <w:rPr>
          <w:spacing w:val="3"/>
          <w:lang w:eastAsia="en-GB"/>
        </w:rPr>
        <w:t xml:space="preserve"> </w:t>
      </w:r>
      <w:r w:rsidRPr="00DB7F92">
        <w:rPr>
          <w:lang w:eastAsia="en-GB"/>
        </w:rPr>
        <w:t>in</w:t>
      </w:r>
      <w:r w:rsidRPr="00DB7F92">
        <w:rPr>
          <w:spacing w:val="5"/>
          <w:lang w:eastAsia="en-GB"/>
        </w:rPr>
        <w:t xml:space="preserve"> </w:t>
      </w:r>
      <w:r w:rsidRPr="00DB7F92">
        <w:rPr>
          <w:lang w:eastAsia="en-GB"/>
        </w:rPr>
        <w:t>accordance</w:t>
      </w:r>
      <w:r w:rsidRPr="00DB7F92">
        <w:rPr>
          <w:spacing w:val="2"/>
          <w:lang w:eastAsia="en-GB"/>
        </w:rPr>
        <w:t xml:space="preserve"> </w:t>
      </w:r>
      <w:r w:rsidRPr="00DB7F92">
        <w:rPr>
          <w:lang w:eastAsia="en-GB"/>
        </w:rPr>
        <w:t>with</w:t>
      </w:r>
      <w:r w:rsidRPr="00DB7F92">
        <w:rPr>
          <w:spacing w:val="3"/>
          <w:lang w:eastAsia="en-GB"/>
        </w:rPr>
        <w:t xml:space="preserve"> </w:t>
      </w:r>
      <w:r w:rsidRPr="00DB7F92">
        <w:rPr>
          <w:lang w:eastAsia="en-GB"/>
        </w:rPr>
        <w:t>its</w:t>
      </w:r>
      <w:r w:rsidRPr="00DB7F92">
        <w:rPr>
          <w:spacing w:val="49"/>
          <w:lang w:eastAsia="en-GB"/>
        </w:rPr>
        <w:t xml:space="preserve"> </w:t>
      </w:r>
      <w:r w:rsidRPr="00DB7F92">
        <w:rPr>
          <w:lang w:eastAsia="en-GB"/>
        </w:rPr>
        <w:t>own</w:t>
      </w:r>
      <w:r w:rsidRPr="00DB7F92">
        <w:rPr>
          <w:spacing w:val="17"/>
          <w:lang w:eastAsia="en-GB"/>
        </w:rPr>
        <w:t xml:space="preserve"> </w:t>
      </w:r>
      <w:r w:rsidRPr="00DB7F92">
        <w:rPr>
          <w:lang w:eastAsia="en-GB"/>
        </w:rPr>
        <w:t>policies. and relevant policies published by NHS England.</w:t>
      </w:r>
      <w:r w:rsidRPr="00DB7F92">
        <w:rPr>
          <w:spacing w:val="37"/>
          <w:lang w:eastAsia="en-GB"/>
        </w:rPr>
        <w:t xml:space="preserve"> </w:t>
      </w:r>
      <w:r w:rsidRPr="00DB7F92">
        <w:rPr>
          <w:lang w:eastAsia="en-GB"/>
        </w:rPr>
        <w:t>For CCGs co-commissioning under delegated authority from NHS England, this will include NHS England policies concerned with the commissioning of primary care.  A commissioner can</w:t>
      </w:r>
      <w:r w:rsidRPr="00DB7F92">
        <w:rPr>
          <w:spacing w:val="20"/>
          <w:lang w:eastAsia="en-GB"/>
        </w:rPr>
        <w:t xml:space="preserve"> </w:t>
      </w:r>
      <w:r w:rsidRPr="00DB7F92">
        <w:rPr>
          <w:lang w:eastAsia="en-GB"/>
        </w:rPr>
        <w:t>depart</w:t>
      </w:r>
      <w:r w:rsidRPr="00DB7F92">
        <w:rPr>
          <w:spacing w:val="19"/>
          <w:lang w:eastAsia="en-GB"/>
        </w:rPr>
        <w:t xml:space="preserve"> </w:t>
      </w:r>
      <w:r w:rsidRPr="00DB7F92">
        <w:rPr>
          <w:lang w:eastAsia="en-GB"/>
        </w:rPr>
        <w:t>from</w:t>
      </w:r>
      <w:r w:rsidRPr="00DB7F92">
        <w:rPr>
          <w:spacing w:val="20"/>
          <w:lang w:eastAsia="en-GB"/>
        </w:rPr>
        <w:t xml:space="preserve"> </w:t>
      </w:r>
      <w:r w:rsidRPr="00DB7F92">
        <w:rPr>
          <w:lang w:eastAsia="en-GB"/>
        </w:rPr>
        <w:t>guidance</w:t>
      </w:r>
      <w:r w:rsidRPr="00DB7F92">
        <w:rPr>
          <w:spacing w:val="17"/>
          <w:lang w:eastAsia="en-GB"/>
        </w:rPr>
        <w:t xml:space="preserve"> </w:t>
      </w:r>
      <w:r w:rsidRPr="00DB7F92">
        <w:rPr>
          <w:lang w:eastAsia="en-GB"/>
        </w:rPr>
        <w:t>if</w:t>
      </w:r>
      <w:r w:rsidRPr="00DB7F92">
        <w:rPr>
          <w:spacing w:val="17"/>
          <w:lang w:eastAsia="en-GB"/>
        </w:rPr>
        <w:t xml:space="preserve"> </w:t>
      </w:r>
      <w:r w:rsidRPr="00DB7F92">
        <w:rPr>
          <w:lang w:eastAsia="en-GB"/>
        </w:rPr>
        <w:t>there</w:t>
      </w:r>
      <w:r w:rsidRPr="00DB7F92">
        <w:rPr>
          <w:spacing w:val="17"/>
          <w:lang w:eastAsia="en-GB"/>
        </w:rPr>
        <w:t xml:space="preserve"> </w:t>
      </w:r>
      <w:r w:rsidRPr="00DB7F92">
        <w:rPr>
          <w:lang w:eastAsia="en-GB"/>
        </w:rPr>
        <w:t>is</w:t>
      </w:r>
      <w:r w:rsidRPr="00DB7F92">
        <w:rPr>
          <w:spacing w:val="21"/>
          <w:lang w:eastAsia="en-GB"/>
        </w:rPr>
        <w:t xml:space="preserve"> </w:t>
      </w:r>
      <w:r w:rsidRPr="00DB7F92">
        <w:rPr>
          <w:lang w:eastAsia="en-GB"/>
        </w:rPr>
        <w:t>good</w:t>
      </w:r>
      <w:r w:rsidRPr="00DB7F92">
        <w:rPr>
          <w:spacing w:val="17"/>
          <w:lang w:eastAsia="en-GB"/>
        </w:rPr>
        <w:t xml:space="preserve"> </w:t>
      </w:r>
      <w:r w:rsidRPr="00DB7F92">
        <w:rPr>
          <w:lang w:eastAsia="en-GB"/>
        </w:rPr>
        <w:t>reason</w:t>
      </w:r>
      <w:r w:rsidRPr="00DB7F92">
        <w:rPr>
          <w:spacing w:val="20"/>
          <w:lang w:eastAsia="en-GB"/>
        </w:rPr>
        <w:t xml:space="preserve"> </w:t>
      </w:r>
      <w:r w:rsidRPr="00DB7F92">
        <w:rPr>
          <w:lang w:eastAsia="en-GB"/>
        </w:rPr>
        <w:t>to</w:t>
      </w:r>
      <w:r w:rsidRPr="00DB7F92">
        <w:rPr>
          <w:spacing w:val="20"/>
          <w:lang w:eastAsia="en-GB"/>
        </w:rPr>
        <w:t xml:space="preserve"> </w:t>
      </w:r>
      <w:r w:rsidRPr="00DB7F92">
        <w:rPr>
          <w:lang w:eastAsia="en-GB"/>
        </w:rPr>
        <w:t>do</w:t>
      </w:r>
      <w:r w:rsidRPr="00DB7F92">
        <w:rPr>
          <w:spacing w:val="46"/>
          <w:lang w:eastAsia="en-GB"/>
        </w:rPr>
        <w:t xml:space="preserve"> </w:t>
      </w:r>
      <w:r w:rsidRPr="00DB7F92">
        <w:rPr>
          <w:lang w:eastAsia="en-GB"/>
        </w:rPr>
        <w:t>so.</w:t>
      </w:r>
      <w:r w:rsidRPr="00DB7F92">
        <w:rPr>
          <w:spacing w:val="6"/>
          <w:lang w:eastAsia="en-GB"/>
        </w:rPr>
        <w:t xml:space="preserve"> </w:t>
      </w:r>
      <w:r w:rsidRPr="00DB7F92">
        <w:rPr>
          <w:lang w:eastAsia="en-GB"/>
        </w:rPr>
        <w:t>In</w:t>
      </w:r>
      <w:r w:rsidRPr="00DB7F92">
        <w:rPr>
          <w:spacing w:val="4"/>
          <w:lang w:eastAsia="en-GB"/>
        </w:rPr>
        <w:t xml:space="preserve"> </w:t>
      </w:r>
      <w:r w:rsidRPr="00DB7F92">
        <w:rPr>
          <w:lang w:eastAsia="en-GB"/>
        </w:rPr>
        <w:t>this</w:t>
      </w:r>
      <w:r w:rsidRPr="00DB7F92">
        <w:rPr>
          <w:spacing w:val="4"/>
          <w:lang w:eastAsia="en-GB"/>
        </w:rPr>
        <w:t xml:space="preserve"> </w:t>
      </w:r>
      <w:r w:rsidRPr="00DB7F92">
        <w:rPr>
          <w:lang w:eastAsia="en-GB"/>
        </w:rPr>
        <w:t>scenario</w:t>
      </w:r>
      <w:r w:rsidRPr="00DB7F92">
        <w:rPr>
          <w:spacing w:val="2"/>
          <w:lang w:eastAsia="en-GB"/>
        </w:rPr>
        <w:t xml:space="preserve"> </w:t>
      </w:r>
      <w:r w:rsidRPr="00DB7F92">
        <w:rPr>
          <w:lang w:eastAsia="en-GB"/>
        </w:rPr>
        <w:t>the commissioner</w:t>
      </w:r>
      <w:r w:rsidRPr="00DB7F92">
        <w:rPr>
          <w:spacing w:val="2"/>
          <w:lang w:eastAsia="en-GB"/>
        </w:rPr>
        <w:t xml:space="preserve"> </w:t>
      </w:r>
      <w:r w:rsidRPr="00DB7F92">
        <w:rPr>
          <w:lang w:eastAsia="en-GB"/>
        </w:rPr>
        <w:t>will</w:t>
      </w:r>
      <w:r w:rsidRPr="00DB7F92">
        <w:rPr>
          <w:spacing w:val="3"/>
          <w:lang w:eastAsia="en-GB"/>
        </w:rPr>
        <w:t xml:space="preserve"> </w:t>
      </w:r>
      <w:r w:rsidRPr="00DB7F92">
        <w:rPr>
          <w:lang w:eastAsia="en-GB"/>
        </w:rPr>
        <w:t>need</w:t>
      </w:r>
      <w:r w:rsidRPr="00DB7F92">
        <w:rPr>
          <w:spacing w:val="2"/>
          <w:lang w:eastAsia="en-GB"/>
        </w:rPr>
        <w:t xml:space="preserve"> </w:t>
      </w:r>
      <w:r w:rsidRPr="00DB7F92">
        <w:rPr>
          <w:lang w:eastAsia="en-GB"/>
        </w:rPr>
        <w:t>to</w:t>
      </w:r>
      <w:r w:rsidRPr="00DB7F92">
        <w:rPr>
          <w:spacing w:val="4"/>
          <w:lang w:eastAsia="en-GB"/>
        </w:rPr>
        <w:t xml:space="preserve"> </w:t>
      </w:r>
      <w:r w:rsidRPr="00DB7F92">
        <w:rPr>
          <w:lang w:eastAsia="en-GB"/>
        </w:rPr>
        <w:t>explain</w:t>
      </w:r>
      <w:r w:rsidRPr="00DB7F92">
        <w:rPr>
          <w:spacing w:val="4"/>
          <w:lang w:eastAsia="en-GB"/>
        </w:rPr>
        <w:t xml:space="preserve"> </w:t>
      </w:r>
      <w:r w:rsidRPr="00DB7F92">
        <w:rPr>
          <w:lang w:eastAsia="en-GB"/>
        </w:rPr>
        <w:t>the</w:t>
      </w:r>
      <w:r w:rsidRPr="00DB7F92">
        <w:rPr>
          <w:spacing w:val="2"/>
          <w:lang w:eastAsia="en-GB"/>
        </w:rPr>
        <w:t xml:space="preserve"> </w:t>
      </w:r>
      <w:r w:rsidRPr="00DB7F92">
        <w:rPr>
          <w:lang w:eastAsia="en-GB"/>
        </w:rPr>
        <w:t>situation</w:t>
      </w:r>
      <w:r w:rsidRPr="00DB7F92">
        <w:rPr>
          <w:spacing w:val="5"/>
          <w:lang w:eastAsia="en-GB"/>
        </w:rPr>
        <w:t xml:space="preserve"> </w:t>
      </w:r>
      <w:r w:rsidRPr="00DB7F92">
        <w:rPr>
          <w:lang w:eastAsia="en-GB"/>
        </w:rPr>
        <w:t>fully</w:t>
      </w:r>
      <w:r w:rsidRPr="00DB7F92">
        <w:rPr>
          <w:spacing w:val="4"/>
          <w:lang w:eastAsia="en-GB"/>
        </w:rPr>
        <w:t xml:space="preserve"> </w:t>
      </w:r>
      <w:r w:rsidRPr="00DB7F92">
        <w:rPr>
          <w:lang w:eastAsia="en-GB"/>
        </w:rPr>
        <w:t>to</w:t>
      </w:r>
      <w:r w:rsidRPr="00DB7F92">
        <w:rPr>
          <w:spacing w:val="55"/>
          <w:lang w:eastAsia="en-GB"/>
        </w:rPr>
        <w:t xml:space="preserve"> </w:t>
      </w:r>
      <w:r w:rsidRPr="00DB7F92">
        <w:rPr>
          <w:lang w:eastAsia="en-GB"/>
        </w:rPr>
        <w:t>the</w:t>
      </w:r>
      <w:r w:rsidRPr="00DB7F92">
        <w:rPr>
          <w:spacing w:val="20"/>
          <w:lang w:eastAsia="en-GB"/>
        </w:rPr>
        <w:t xml:space="preserve"> </w:t>
      </w:r>
      <w:r w:rsidRPr="00DB7F92">
        <w:rPr>
          <w:lang w:eastAsia="en-GB"/>
        </w:rPr>
        <w:t>people</w:t>
      </w:r>
      <w:r w:rsidRPr="00DB7F92">
        <w:rPr>
          <w:spacing w:val="20"/>
          <w:lang w:eastAsia="en-GB"/>
        </w:rPr>
        <w:t xml:space="preserve"> </w:t>
      </w:r>
      <w:r w:rsidRPr="00DB7F92">
        <w:rPr>
          <w:lang w:eastAsia="en-GB"/>
        </w:rPr>
        <w:t>&amp;</w:t>
      </w:r>
      <w:r w:rsidRPr="00DB7F92">
        <w:rPr>
          <w:spacing w:val="24"/>
          <w:lang w:eastAsia="en-GB"/>
        </w:rPr>
        <w:t xml:space="preserve"> </w:t>
      </w:r>
      <w:r w:rsidRPr="00DB7F92">
        <w:rPr>
          <w:lang w:eastAsia="en-GB"/>
        </w:rPr>
        <w:t>organisations</w:t>
      </w:r>
      <w:r w:rsidRPr="00DB7F92">
        <w:rPr>
          <w:spacing w:val="22"/>
          <w:lang w:eastAsia="en-GB"/>
        </w:rPr>
        <w:t xml:space="preserve"> </w:t>
      </w:r>
      <w:r w:rsidRPr="00DB7F92">
        <w:rPr>
          <w:lang w:eastAsia="en-GB"/>
        </w:rPr>
        <w:t>affected</w:t>
      </w:r>
      <w:r w:rsidRPr="00DB7F92">
        <w:rPr>
          <w:spacing w:val="23"/>
          <w:lang w:eastAsia="en-GB"/>
        </w:rPr>
        <w:t xml:space="preserve"> </w:t>
      </w:r>
      <w:r w:rsidRPr="00DB7F92">
        <w:rPr>
          <w:lang w:eastAsia="en-GB"/>
        </w:rPr>
        <w:t>and</w:t>
      </w:r>
      <w:r w:rsidRPr="00DB7F92">
        <w:rPr>
          <w:spacing w:val="22"/>
          <w:lang w:eastAsia="en-GB"/>
        </w:rPr>
        <w:t xml:space="preserve"> </w:t>
      </w:r>
      <w:r w:rsidRPr="00DB7F92">
        <w:rPr>
          <w:lang w:eastAsia="en-GB"/>
        </w:rPr>
        <w:t>give</w:t>
      </w:r>
      <w:r w:rsidRPr="00DB7F92">
        <w:rPr>
          <w:spacing w:val="25"/>
          <w:lang w:eastAsia="en-GB"/>
        </w:rPr>
        <w:t xml:space="preserve"> </w:t>
      </w:r>
      <w:r w:rsidRPr="00DB7F92">
        <w:rPr>
          <w:lang w:eastAsia="en-GB"/>
        </w:rPr>
        <w:t>them</w:t>
      </w:r>
      <w:r w:rsidRPr="00DB7F92">
        <w:rPr>
          <w:spacing w:val="22"/>
          <w:lang w:eastAsia="en-GB"/>
        </w:rPr>
        <w:t xml:space="preserve"> </w:t>
      </w:r>
      <w:r w:rsidRPr="00DB7F92">
        <w:rPr>
          <w:lang w:eastAsia="en-GB"/>
        </w:rPr>
        <w:t>a</w:t>
      </w:r>
      <w:r w:rsidRPr="00DB7F92">
        <w:rPr>
          <w:spacing w:val="23"/>
          <w:lang w:eastAsia="en-GB"/>
        </w:rPr>
        <w:t xml:space="preserve"> </w:t>
      </w:r>
      <w:r w:rsidRPr="00DB7F92">
        <w:rPr>
          <w:lang w:eastAsia="en-GB"/>
        </w:rPr>
        <w:t>chance</w:t>
      </w:r>
      <w:r w:rsidRPr="00DB7F92">
        <w:rPr>
          <w:spacing w:val="22"/>
          <w:lang w:eastAsia="en-GB"/>
        </w:rPr>
        <w:t xml:space="preserve"> </w:t>
      </w:r>
      <w:r w:rsidRPr="00DB7F92">
        <w:rPr>
          <w:lang w:eastAsia="en-GB"/>
        </w:rPr>
        <w:t>to</w:t>
      </w:r>
      <w:r w:rsidRPr="00DB7F92">
        <w:rPr>
          <w:spacing w:val="24"/>
          <w:lang w:eastAsia="en-GB"/>
        </w:rPr>
        <w:t xml:space="preserve"> </w:t>
      </w:r>
      <w:r w:rsidRPr="00DB7F92">
        <w:rPr>
          <w:lang w:eastAsia="en-GB"/>
        </w:rPr>
        <w:t>provide</w:t>
      </w:r>
      <w:r w:rsidRPr="00DB7F92">
        <w:rPr>
          <w:spacing w:val="62"/>
          <w:w w:val="99"/>
          <w:lang w:eastAsia="en-GB"/>
        </w:rPr>
        <w:t xml:space="preserve"> </w:t>
      </w:r>
      <w:r w:rsidRPr="00DB7F92">
        <w:rPr>
          <w:lang w:eastAsia="en-GB"/>
        </w:rPr>
        <w:t>their</w:t>
      </w:r>
      <w:r w:rsidRPr="00DB7F92">
        <w:rPr>
          <w:spacing w:val="-4"/>
          <w:lang w:eastAsia="en-GB"/>
        </w:rPr>
        <w:t xml:space="preserve"> </w:t>
      </w:r>
      <w:r w:rsidRPr="00DB7F92">
        <w:rPr>
          <w:lang w:eastAsia="en-GB"/>
        </w:rPr>
        <w:t>views on</w:t>
      </w:r>
      <w:r w:rsidRPr="00DB7F92">
        <w:rPr>
          <w:spacing w:val="-5"/>
          <w:lang w:eastAsia="en-GB"/>
        </w:rPr>
        <w:t xml:space="preserve"> </w:t>
      </w:r>
      <w:r w:rsidRPr="00DB7F92">
        <w:rPr>
          <w:lang w:eastAsia="en-GB"/>
        </w:rPr>
        <w:t>the</w:t>
      </w:r>
      <w:r w:rsidRPr="00DB7F92">
        <w:rPr>
          <w:spacing w:val="-3"/>
          <w:lang w:eastAsia="en-GB"/>
        </w:rPr>
        <w:t xml:space="preserve"> </w:t>
      </w:r>
      <w:r w:rsidRPr="00DB7F92">
        <w:rPr>
          <w:lang w:eastAsia="en-GB"/>
        </w:rPr>
        <w:t>procedure</w:t>
      </w:r>
      <w:r w:rsidRPr="00DB7F92">
        <w:rPr>
          <w:spacing w:val="-3"/>
          <w:lang w:eastAsia="en-GB"/>
        </w:rPr>
        <w:t xml:space="preserve"> </w:t>
      </w:r>
      <w:r w:rsidRPr="00DB7F92">
        <w:rPr>
          <w:lang w:eastAsia="en-GB"/>
        </w:rPr>
        <w:t>to</w:t>
      </w:r>
      <w:r w:rsidRPr="00DB7F92">
        <w:rPr>
          <w:spacing w:val="-4"/>
          <w:lang w:eastAsia="en-GB"/>
        </w:rPr>
        <w:t xml:space="preserve"> </w:t>
      </w:r>
      <w:r w:rsidRPr="00DB7F92">
        <w:rPr>
          <w:lang w:eastAsia="en-GB"/>
        </w:rPr>
        <w:t>be</w:t>
      </w:r>
      <w:r w:rsidRPr="00DB7F92">
        <w:rPr>
          <w:spacing w:val="-3"/>
          <w:lang w:eastAsia="en-GB"/>
        </w:rPr>
        <w:t xml:space="preserve"> </w:t>
      </w:r>
      <w:r w:rsidRPr="00DB7F92">
        <w:rPr>
          <w:lang w:eastAsia="en-GB"/>
        </w:rPr>
        <w:t>followed.</w:t>
      </w:r>
      <w:r w:rsidRPr="00DB7F92">
        <w:rPr>
          <w:spacing w:val="63"/>
          <w:lang w:eastAsia="en-GB"/>
        </w:rPr>
        <w:t xml:space="preserve"> </w:t>
      </w:r>
      <w:r w:rsidRPr="00DB7F92">
        <w:rPr>
          <w:lang w:eastAsia="en-GB"/>
        </w:rPr>
        <w:t>This</w:t>
      </w:r>
      <w:r w:rsidRPr="00DB7F92">
        <w:rPr>
          <w:spacing w:val="-4"/>
          <w:lang w:eastAsia="en-GB"/>
        </w:rPr>
        <w:t xml:space="preserve"> </w:t>
      </w:r>
      <w:r w:rsidRPr="00DB7F92">
        <w:rPr>
          <w:lang w:eastAsia="en-GB"/>
        </w:rPr>
        <w:t>will</w:t>
      </w:r>
      <w:r w:rsidRPr="00DB7F92">
        <w:rPr>
          <w:spacing w:val="-3"/>
          <w:lang w:eastAsia="en-GB"/>
        </w:rPr>
        <w:t xml:space="preserve"> </w:t>
      </w:r>
      <w:r w:rsidRPr="00DB7F92">
        <w:rPr>
          <w:lang w:eastAsia="en-GB"/>
        </w:rPr>
        <w:t>include</w:t>
      </w:r>
      <w:r w:rsidRPr="00DB7F92">
        <w:rPr>
          <w:spacing w:val="-5"/>
          <w:lang w:eastAsia="en-GB"/>
        </w:rPr>
        <w:t xml:space="preserve"> </w:t>
      </w:r>
      <w:r w:rsidRPr="00DB7F92">
        <w:rPr>
          <w:lang w:eastAsia="en-GB"/>
        </w:rPr>
        <w:t>why</w:t>
      </w:r>
      <w:r w:rsidRPr="00DB7F92">
        <w:rPr>
          <w:spacing w:val="-2"/>
          <w:lang w:eastAsia="en-GB"/>
        </w:rPr>
        <w:t xml:space="preserve"> </w:t>
      </w:r>
      <w:r w:rsidRPr="00DB7F92">
        <w:rPr>
          <w:lang w:eastAsia="en-GB"/>
        </w:rPr>
        <w:t>it</w:t>
      </w:r>
      <w:r w:rsidRPr="00DB7F92">
        <w:rPr>
          <w:spacing w:val="-2"/>
          <w:lang w:eastAsia="en-GB"/>
        </w:rPr>
        <w:t xml:space="preserve"> </w:t>
      </w:r>
      <w:r w:rsidRPr="00DB7F92">
        <w:rPr>
          <w:lang w:eastAsia="en-GB"/>
        </w:rPr>
        <w:t>wants</w:t>
      </w:r>
      <w:r w:rsidRPr="00DB7F92">
        <w:rPr>
          <w:spacing w:val="67"/>
          <w:lang w:eastAsia="en-GB"/>
        </w:rPr>
        <w:t xml:space="preserve"> </w:t>
      </w:r>
      <w:r w:rsidRPr="00DB7F92">
        <w:rPr>
          <w:lang w:eastAsia="en-GB"/>
        </w:rPr>
        <w:t>to</w:t>
      </w:r>
      <w:r w:rsidRPr="00DB7F92">
        <w:rPr>
          <w:spacing w:val="-5"/>
          <w:lang w:eastAsia="en-GB"/>
        </w:rPr>
        <w:t xml:space="preserve"> </w:t>
      </w:r>
      <w:r w:rsidRPr="00DB7F92">
        <w:rPr>
          <w:lang w:eastAsia="en-GB"/>
        </w:rPr>
        <w:t>depart</w:t>
      </w:r>
      <w:r w:rsidRPr="00DB7F92">
        <w:rPr>
          <w:spacing w:val="-4"/>
          <w:lang w:eastAsia="en-GB"/>
        </w:rPr>
        <w:t xml:space="preserve"> </w:t>
      </w:r>
      <w:r w:rsidRPr="00DB7F92">
        <w:rPr>
          <w:lang w:eastAsia="en-GB"/>
        </w:rPr>
        <w:t>from</w:t>
      </w:r>
      <w:r w:rsidRPr="00DB7F92">
        <w:rPr>
          <w:spacing w:val="-5"/>
          <w:lang w:eastAsia="en-GB"/>
        </w:rPr>
        <w:t xml:space="preserve"> </w:t>
      </w:r>
      <w:r w:rsidRPr="00DB7F92">
        <w:rPr>
          <w:lang w:eastAsia="en-GB"/>
        </w:rPr>
        <w:t>the</w:t>
      </w:r>
      <w:r w:rsidRPr="00DB7F92">
        <w:rPr>
          <w:spacing w:val="-3"/>
          <w:lang w:eastAsia="en-GB"/>
        </w:rPr>
        <w:t xml:space="preserve"> </w:t>
      </w:r>
      <w:r w:rsidRPr="00DB7F92">
        <w:rPr>
          <w:lang w:eastAsia="en-GB"/>
        </w:rPr>
        <w:t>usual</w:t>
      </w:r>
      <w:r w:rsidRPr="00DB7F92">
        <w:rPr>
          <w:spacing w:val="-5"/>
          <w:lang w:eastAsia="en-GB"/>
        </w:rPr>
        <w:t xml:space="preserve"> </w:t>
      </w:r>
      <w:r w:rsidRPr="00DB7F92">
        <w:rPr>
          <w:lang w:eastAsia="en-GB"/>
        </w:rPr>
        <w:t>policy</w:t>
      </w:r>
      <w:r w:rsidRPr="00DB7F92">
        <w:rPr>
          <w:spacing w:val="-4"/>
          <w:lang w:eastAsia="en-GB"/>
        </w:rPr>
        <w:t xml:space="preserve"> </w:t>
      </w:r>
      <w:r w:rsidRPr="00DB7F92">
        <w:rPr>
          <w:lang w:eastAsia="en-GB"/>
        </w:rPr>
        <w:t>and</w:t>
      </w:r>
      <w:r w:rsidRPr="00DB7F92">
        <w:rPr>
          <w:spacing w:val="-3"/>
          <w:lang w:eastAsia="en-GB"/>
        </w:rPr>
        <w:t xml:space="preserve"> </w:t>
      </w:r>
      <w:r w:rsidRPr="00DB7F92">
        <w:rPr>
          <w:lang w:eastAsia="en-GB"/>
        </w:rPr>
        <w:t>what</w:t>
      </w:r>
      <w:r w:rsidRPr="00DB7F92">
        <w:rPr>
          <w:spacing w:val="-4"/>
          <w:lang w:eastAsia="en-GB"/>
        </w:rPr>
        <w:t xml:space="preserve"> </w:t>
      </w:r>
      <w:r w:rsidRPr="00DB7F92">
        <w:rPr>
          <w:lang w:eastAsia="en-GB"/>
        </w:rPr>
        <w:t>it</w:t>
      </w:r>
      <w:r w:rsidRPr="00DB7F92">
        <w:rPr>
          <w:spacing w:val="-2"/>
          <w:lang w:eastAsia="en-GB"/>
        </w:rPr>
        <w:t xml:space="preserve"> </w:t>
      </w:r>
      <w:r w:rsidRPr="00DB7F92">
        <w:rPr>
          <w:lang w:eastAsia="en-GB"/>
        </w:rPr>
        <w:t>will</w:t>
      </w:r>
      <w:r w:rsidRPr="00DB7F92">
        <w:rPr>
          <w:spacing w:val="-2"/>
          <w:lang w:eastAsia="en-GB"/>
        </w:rPr>
        <w:t xml:space="preserve"> </w:t>
      </w:r>
      <w:r w:rsidRPr="00DB7F92">
        <w:rPr>
          <w:lang w:eastAsia="en-GB"/>
        </w:rPr>
        <w:t>do</w:t>
      </w:r>
      <w:r w:rsidRPr="00DB7F92">
        <w:rPr>
          <w:spacing w:val="-3"/>
          <w:lang w:eastAsia="en-GB"/>
        </w:rPr>
        <w:t xml:space="preserve"> </w:t>
      </w:r>
      <w:r w:rsidRPr="00DB7F92">
        <w:rPr>
          <w:lang w:eastAsia="en-GB"/>
        </w:rPr>
        <w:t>instead.</w:t>
      </w:r>
    </w:p>
    <w:p w14:paraId="1EBDCAE5" w14:textId="77777777" w:rsidR="00DB7F92" w:rsidRPr="00DB7F92" w:rsidRDefault="00DB7F92" w:rsidP="00DD5D2D">
      <w:pPr>
        <w:pStyle w:val="Heading3"/>
        <w:jc w:val="both"/>
        <w:rPr>
          <w:lang w:eastAsia="en-GB"/>
        </w:rPr>
      </w:pPr>
      <w:r w:rsidRPr="00DB7F92">
        <w:rPr>
          <w:lang w:eastAsia="en-GB"/>
        </w:rPr>
        <w:t>Commissioners</w:t>
      </w:r>
      <w:r w:rsidRPr="00DB7F92">
        <w:rPr>
          <w:spacing w:val="20"/>
          <w:lang w:eastAsia="en-GB"/>
        </w:rPr>
        <w:t xml:space="preserve"> </w:t>
      </w:r>
      <w:r w:rsidRPr="00DB7F92">
        <w:rPr>
          <w:lang w:eastAsia="en-GB"/>
        </w:rPr>
        <w:t>also</w:t>
      </w:r>
      <w:r w:rsidRPr="00DB7F92">
        <w:rPr>
          <w:spacing w:val="21"/>
          <w:lang w:eastAsia="en-GB"/>
        </w:rPr>
        <w:t xml:space="preserve"> </w:t>
      </w:r>
      <w:r w:rsidRPr="00DB7F92">
        <w:rPr>
          <w:lang w:eastAsia="en-GB"/>
        </w:rPr>
        <w:t>need</w:t>
      </w:r>
      <w:r w:rsidRPr="00DB7F92">
        <w:rPr>
          <w:spacing w:val="22"/>
          <w:lang w:eastAsia="en-GB"/>
        </w:rPr>
        <w:t xml:space="preserve"> </w:t>
      </w:r>
      <w:r w:rsidRPr="00DB7F92">
        <w:rPr>
          <w:lang w:eastAsia="en-GB"/>
        </w:rPr>
        <w:t>to</w:t>
      </w:r>
      <w:r w:rsidRPr="00DB7F92">
        <w:rPr>
          <w:spacing w:val="20"/>
          <w:lang w:eastAsia="en-GB"/>
        </w:rPr>
        <w:t xml:space="preserve"> </w:t>
      </w:r>
      <w:r w:rsidRPr="00DB7F92">
        <w:rPr>
          <w:lang w:eastAsia="en-GB"/>
        </w:rPr>
        <w:t>be</w:t>
      </w:r>
      <w:r w:rsidRPr="00DB7F92">
        <w:rPr>
          <w:spacing w:val="21"/>
          <w:lang w:eastAsia="en-GB"/>
        </w:rPr>
        <w:t xml:space="preserve"> </w:t>
      </w:r>
      <w:r w:rsidRPr="00DB7F92">
        <w:rPr>
          <w:lang w:eastAsia="en-GB"/>
        </w:rPr>
        <w:t>careful</w:t>
      </w:r>
      <w:r w:rsidRPr="00DB7F92">
        <w:rPr>
          <w:spacing w:val="20"/>
          <w:lang w:eastAsia="en-GB"/>
        </w:rPr>
        <w:t xml:space="preserve"> </w:t>
      </w:r>
      <w:r w:rsidRPr="00DB7F92">
        <w:rPr>
          <w:lang w:eastAsia="en-GB"/>
        </w:rPr>
        <w:t>about</w:t>
      </w:r>
      <w:r w:rsidRPr="00DB7F92">
        <w:rPr>
          <w:spacing w:val="24"/>
          <w:lang w:eastAsia="en-GB"/>
        </w:rPr>
        <w:t xml:space="preserve"> </w:t>
      </w:r>
      <w:r w:rsidRPr="00DB7F92">
        <w:rPr>
          <w:lang w:eastAsia="en-GB"/>
        </w:rPr>
        <w:t>keeping</w:t>
      </w:r>
      <w:r w:rsidRPr="00DB7F92">
        <w:rPr>
          <w:spacing w:val="21"/>
          <w:lang w:eastAsia="en-GB"/>
        </w:rPr>
        <w:t xml:space="preserve"> </w:t>
      </w:r>
      <w:r w:rsidRPr="00DB7F92">
        <w:rPr>
          <w:lang w:eastAsia="en-GB"/>
        </w:rPr>
        <w:t>to</w:t>
      </w:r>
      <w:r w:rsidRPr="00DB7F92">
        <w:rPr>
          <w:spacing w:val="20"/>
          <w:lang w:eastAsia="en-GB"/>
        </w:rPr>
        <w:t xml:space="preserve"> </w:t>
      </w:r>
      <w:r w:rsidRPr="00DB7F92">
        <w:rPr>
          <w:lang w:eastAsia="en-GB"/>
        </w:rPr>
        <w:t>promises</w:t>
      </w:r>
      <w:r w:rsidRPr="00DB7F92">
        <w:rPr>
          <w:spacing w:val="23"/>
          <w:lang w:eastAsia="en-GB"/>
        </w:rPr>
        <w:t xml:space="preserve"> </w:t>
      </w:r>
      <w:r w:rsidRPr="00DB7F92">
        <w:rPr>
          <w:lang w:eastAsia="en-GB"/>
        </w:rPr>
        <w:t>made</w:t>
      </w:r>
      <w:r w:rsidRPr="00DB7F92">
        <w:rPr>
          <w:spacing w:val="43"/>
          <w:w w:val="99"/>
          <w:lang w:eastAsia="en-GB"/>
        </w:rPr>
        <w:t xml:space="preserve"> </w:t>
      </w:r>
      <w:r w:rsidRPr="00DB7F92">
        <w:rPr>
          <w:lang w:eastAsia="en-GB"/>
        </w:rPr>
        <w:t>to</w:t>
      </w:r>
      <w:r w:rsidRPr="00DB7F92">
        <w:rPr>
          <w:spacing w:val="27"/>
          <w:lang w:eastAsia="en-GB"/>
        </w:rPr>
        <w:t xml:space="preserve"> </w:t>
      </w:r>
      <w:r w:rsidRPr="00DB7F92">
        <w:rPr>
          <w:lang w:eastAsia="en-GB"/>
        </w:rPr>
        <w:t>contractors</w:t>
      </w:r>
      <w:r w:rsidRPr="00DB7F92">
        <w:rPr>
          <w:spacing w:val="29"/>
          <w:lang w:eastAsia="en-GB"/>
        </w:rPr>
        <w:t xml:space="preserve"> </w:t>
      </w:r>
      <w:r w:rsidRPr="00DB7F92">
        <w:rPr>
          <w:lang w:eastAsia="en-GB"/>
        </w:rPr>
        <w:t>or</w:t>
      </w:r>
      <w:r w:rsidRPr="00DB7F92">
        <w:rPr>
          <w:spacing w:val="30"/>
          <w:lang w:eastAsia="en-GB"/>
        </w:rPr>
        <w:t xml:space="preserve"> </w:t>
      </w:r>
      <w:r w:rsidRPr="00DB7F92">
        <w:rPr>
          <w:lang w:eastAsia="en-GB"/>
        </w:rPr>
        <w:t>the</w:t>
      </w:r>
      <w:r w:rsidRPr="00DB7F92">
        <w:rPr>
          <w:spacing w:val="30"/>
          <w:lang w:eastAsia="en-GB"/>
        </w:rPr>
        <w:t xml:space="preserve"> </w:t>
      </w:r>
      <w:r w:rsidRPr="00DB7F92">
        <w:rPr>
          <w:lang w:eastAsia="en-GB"/>
        </w:rPr>
        <w:t>public</w:t>
      </w:r>
      <w:r w:rsidRPr="00DB7F92">
        <w:rPr>
          <w:spacing w:val="30"/>
          <w:lang w:eastAsia="en-GB"/>
        </w:rPr>
        <w:t xml:space="preserve"> </w:t>
      </w:r>
      <w:r w:rsidRPr="00DB7F92">
        <w:rPr>
          <w:lang w:eastAsia="en-GB"/>
        </w:rPr>
        <w:t>e.g.</w:t>
      </w:r>
      <w:r w:rsidRPr="00DB7F92">
        <w:rPr>
          <w:spacing w:val="28"/>
          <w:lang w:eastAsia="en-GB"/>
        </w:rPr>
        <w:t xml:space="preserve"> </w:t>
      </w:r>
      <w:r w:rsidRPr="00DB7F92">
        <w:rPr>
          <w:lang w:eastAsia="en-GB"/>
        </w:rPr>
        <w:t>that</w:t>
      </w:r>
      <w:r w:rsidRPr="00DB7F92">
        <w:rPr>
          <w:spacing w:val="30"/>
          <w:lang w:eastAsia="en-GB"/>
        </w:rPr>
        <w:t xml:space="preserve"> </w:t>
      </w:r>
      <w:r w:rsidRPr="00DB7F92">
        <w:rPr>
          <w:lang w:eastAsia="en-GB"/>
        </w:rPr>
        <w:t>there</w:t>
      </w:r>
      <w:r w:rsidRPr="00DB7F92">
        <w:rPr>
          <w:spacing w:val="27"/>
          <w:lang w:eastAsia="en-GB"/>
        </w:rPr>
        <w:t xml:space="preserve"> </w:t>
      </w:r>
      <w:r w:rsidRPr="00DB7F92">
        <w:rPr>
          <w:lang w:eastAsia="en-GB"/>
        </w:rPr>
        <w:t>will</w:t>
      </w:r>
      <w:r w:rsidRPr="00DB7F92">
        <w:rPr>
          <w:spacing w:val="28"/>
          <w:lang w:eastAsia="en-GB"/>
        </w:rPr>
        <w:t xml:space="preserve"> </w:t>
      </w:r>
      <w:r w:rsidRPr="00DB7F92">
        <w:rPr>
          <w:lang w:eastAsia="en-GB"/>
        </w:rPr>
        <w:t>be</w:t>
      </w:r>
      <w:r w:rsidRPr="00DB7F92">
        <w:rPr>
          <w:spacing w:val="27"/>
          <w:lang w:eastAsia="en-GB"/>
        </w:rPr>
        <w:t xml:space="preserve"> </w:t>
      </w:r>
      <w:r w:rsidRPr="00DB7F92">
        <w:rPr>
          <w:lang w:eastAsia="en-GB"/>
        </w:rPr>
        <w:t>a</w:t>
      </w:r>
      <w:r w:rsidRPr="00DB7F92">
        <w:rPr>
          <w:spacing w:val="29"/>
          <w:lang w:eastAsia="en-GB"/>
        </w:rPr>
        <w:t xml:space="preserve"> </w:t>
      </w:r>
      <w:r w:rsidRPr="00DB7F92">
        <w:rPr>
          <w:lang w:eastAsia="en-GB"/>
        </w:rPr>
        <w:t>public</w:t>
      </w:r>
      <w:r w:rsidRPr="00DB7F92">
        <w:rPr>
          <w:spacing w:val="28"/>
          <w:lang w:eastAsia="en-GB"/>
        </w:rPr>
        <w:t xml:space="preserve"> </w:t>
      </w:r>
      <w:r w:rsidRPr="00DB7F92">
        <w:rPr>
          <w:lang w:eastAsia="en-GB"/>
        </w:rPr>
        <w:t>consultation</w:t>
      </w:r>
      <w:r w:rsidRPr="00DB7F92">
        <w:rPr>
          <w:spacing w:val="57"/>
          <w:lang w:eastAsia="en-GB"/>
        </w:rPr>
        <w:t xml:space="preserve"> </w:t>
      </w:r>
      <w:r w:rsidRPr="00DB7F92">
        <w:rPr>
          <w:lang w:eastAsia="en-GB"/>
        </w:rPr>
        <w:t>before</w:t>
      </w:r>
      <w:r w:rsidRPr="00DB7F92">
        <w:rPr>
          <w:spacing w:val="11"/>
          <w:lang w:eastAsia="en-GB"/>
        </w:rPr>
        <w:t xml:space="preserve"> </w:t>
      </w:r>
      <w:r w:rsidRPr="00DB7F92">
        <w:rPr>
          <w:lang w:eastAsia="en-GB"/>
        </w:rPr>
        <w:t>any</w:t>
      </w:r>
      <w:r w:rsidRPr="00DB7F92">
        <w:rPr>
          <w:spacing w:val="16"/>
          <w:lang w:eastAsia="en-GB"/>
        </w:rPr>
        <w:t xml:space="preserve"> </w:t>
      </w:r>
      <w:r w:rsidRPr="00DB7F92">
        <w:rPr>
          <w:lang w:eastAsia="en-GB"/>
        </w:rPr>
        <w:t>final</w:t>
      </w:r>
      <w:r w:rsidRPr="00DB7F92">
        <w:rPr>
          <w:spacing w:val="11"/>
          <w:lang w:eastAsia="en-GB"/>
        </w:rPr>
        <w:t xml:space="preserve"> </w:t>
      </w:r>
      <w:r w:rsidRPr="00DB7F92">
        <w:rPr>
          <w:lang w:eastAsia="en-GB"/>
        </w:rPr>
        <w:t>decision</w:t>
      </w:r>
      <w:r w:rsidRPr="00DB7F92">
        <w:rPr>
          <w:spacing w:val="13"/>
          <w:lang w:eastAsia="en-GB"/>
        </w:rPr>
        <w:t xml:space="preserve"> </w:t>
      </w:r>
      <w:r w:rsidRPr="00DB7F92">
        <w:rPr>
          <w:lang w:eastAsia="en-GB"/>
        </w:rPr>
        <w:t>is</w:t>
      </w:r>
      <w:r w:rsidRPr="00DB7F92">
        <w:rPr>
          <w:spacing w:val="13"/>
          <w:lang w:eastAsia="en-GB"/>
        </w:rPr>
        <w:t xml:space="preserve"> </w:t>
      </w:r>
      <w:r w:rsidRPr="00DB7F92">
        <w:rPr>
          <w:lang w:eastAsia="en-GB"/>
        </w:rPr>
        <w:t>made</w:t>
      </w:r>
      <w:r w:rsidRPr="00DB7F92">
        <w:rPr>
          <w:spacing w:val="12"/>
          <w:lang w:eastAsia="en-GB"/>
        </w:rPr>
        <w:t xml:space="preserve"> </w:t>
      </w:r>
      <w:r w:rsidRPr="00DB7F92">
        <w:rPr>
          <w:lang w:eastAsia="en-GB"/>
        </w:rPr>
        <w:t>on</w:t>
      </w:r>
      <w:r w:rsidRPr="00DB7F92">
        <w:rPr>
          <w:spacing w:val="15"/>
          <w:lang w:eastAsia="en-GB"/>
        </w:rPr>
        <w:t xml:space="preserve"> </w:t>
      </w:r>
      <w:r w:rsidRPr="00DB7F92">
        <w:rPr>
          <w:lang w:eastAsia="en-GB"/>
        </w:rPr>
        <w:t>closing</w:t>
      </w:r>
      <w:r w:rsidRPr="00DB7F92">
        <w:rPr>
          <w:spacing w:val="12"/>
          <w:lang w:eastAsia="en-GB"/>
        </w:rPr>
        <w:t xml:space="preserve"> </w:t>
      </w:r>
      <w:r w:rsidRPr="00DB7F92">
        <w:rPr>
          <w:lang w:eastAsia="en-GB"/>
        </w:rPr>
        <w:t>a</w:t>
      </w:r>
      <w:r w:rsidRPr="00DB7F92">
        <w:rPr>
          <w:spacing w:val="15"/>
          <w:lang w:eastAsia="en-GB"/>
        </w:rPr>
        <w:t xml:space="preserve"> </w:t>
      </w:r>
      <w:r w:rsidRPr="00DB7F92">
        <w:rPr>
          <w:lang w:eastAsia="en-GB"/>
        </w:rPr>
        <w:t>particular</w:t>
      </w:r>
      <w:r w:rsidRPr="00DB7F92">
        <w:rPr>
          <w:spacing w:val="14"/>
          <w:lang w:eastAsia="en-GB"/>
        </w:rPr>
        <w:t xml:space="preserve"> </w:t>
      </w:r>
      <w:r w:rsidRPr="00DB7F92">
        <w:rPr>
          <w:lang w:eastAsia="en-GB"/>
        </w:rPr>
        <w:t>pharmacy.</w:t>
      </w:r>
      <w:r w:rsidRPr="00DB7F92">
        <w:rPr>
          <w:spacing w:val="42"/>
          <w:lang w:eastAsia="en-GB"/>
        </w:rPr>
        <w:t xml:space="preserve"> </w:t>
      </w:r>
      <w:r w:rsidRPr="00DB7F92">
        <w:rPr>
          <w:lang w:eastAsia="en-GB"/>
        </w:rPr>
        <w:t>It</w:t>
      </w:r>
      <w:r w:rsidRPr="00DB7F92">
        <w:rPr>
          <w:spacing w:val="14"/>
          <w:lang w:eastAsia="en-GB"/>
        </w:rPr>
        <w:t xml:space="preserve"> </w:t>
      </w:r>
      <w:r w:rsidRPr="00DB7F92">
        <w:rPr>
          <w:lang w:eastAsia="en-GB"/>
        </w:rPr>
        <w:t>is</w:t>
      </w:r>
      <w:r w:rsidRPr="00DB7F92">
        <w:rPr>
          <w:spacing w:val="58"/>
          <w:w w:val="99"/>
          <w:lang w:eastAsia="en-GB"/>
        </w:rPr>
        <w:t xml:space="preserve"> </w:t>
      </w:r>
      <w:r w:rsidRPr="00DB7F92">
        <w:rPr>
          <w:lang w:eastAsia="en-GB"/>
        </w:rPr>
        <w:t>sometimes</w:t>
      </w:r>
      <w:r w:rsidRPr="00DB7F92">
        <w:rPr>
          <w:spacing w:val="59"/>
          <w:lang w:eastAsia="en-GB"/>
        </w:rPr>
        <w:t xml:space="preserve"> </w:t>
      </w:r>
      <w:r w:rsidRPr="00DB7F92">
        <w:rPr>
          <w:lang w:eastAsia="en-GB"/>
        </w:rPr>
        <w:t>(but</w:t>
      </w:r>
      <w:r w:rsidRPr="00DB7F92">
        <w:rPr>
          <w:spacing w:val="58"/>
          <w:lang w:eastAsia="en-GB"/>
        </w:rPr>
        <w:t xml:space="preserve"> </w:t>
      </w:r>
      <w:r w:rsidRPr="00DB7F92">
        <w:rPr>
          <w:lang w:eastAsia="en-GB"/>
        </w:rPr>
        <w:t>not</w:t>
      </w:r>
      <w:r w:rsidRPr="00DB7F92">
        <w:rPr>
          <w:spacing w:val="61"/>
          <w:lang w:eastAsia="en-GB"/>
        </w:rPr>
        <w:t xml:space="preserve"> </w:t>
      </w:r>
      <w:r w:rsidRPr="00DB7F92">
        <w:rPr>
          <w:lang w:eastAsia="en-GB"/>
        </w:rPr>
        <w:t>always)</w:t>
      </w:r>
      <w:r w:rsidRPr="00DB7F92">
        <w:rPr>
          <w:spacing w:val="57"/>
          <w:lang w:eastAsia="en-GB"/>
        </w:rPr>
        <w:t xml:space="preserve"> </w:t>
      </w:r>
      <w:r w:rsidRPr="00DB7F92">
        <w:rPr>
          <w:lang w:eastAsia="en-GB"/>
        </w:rPr>
        <w:t>possible</w:t>
      </w:r>
      <w:r w:rsidRPr="00DB7F92">
        <w:rPr>
          <w:spacing w:val="60"/>
          <w:lang w:eastAsia="en-GB"/>
        </w:rPr>
        <w:t xml:space="preserve"> </w:t>
      </w:r>
      <w:r w:rsidRPr="00DB7F92">
        <w:rPr>
          <w:lang w:eastAsia="en-GB"/>
        </w:rPr>
        <w:t>depart</w:t>
      </w:r>
      <w:r w:rsidRPr="00DB7F92">
        <w:rPr>
          <w:spacing w:val="58"/>
          <w:lang w:eastAsia="en-GB"/>
        </w:rPr>
        <w:t xml:space="preserve"> </w:t>
      </w:r>
      <w:r w:rsidRPr="00DB7F92">
        <w:rPr>
          <w:lang w:eastAsia="en-GB"/>
        </w:rPr>
        <w:t>from</w:t>
      </w:r>
      <w:r w:rsidRPr="00DB7F92">
        <w:rPr>
          <w:spacing w:val="57"/>
          <w:lang w:eastAsia="en-GB"/>
        </w:rPr>
        <w:t xml:space="preserve"> </w:t>
      </w:r>
      <w:r w:rsidRPr="00DB7F92">
        <w:rPr>
          <w:lang w:eastAsia="en-GB"/>
        </w:rPr>
        <w:t>such</w:t>
      </w:r>
      <w:r w:rsidRPr="00DB7F92">
        <w:rPr>
          <w:spacing w:val="58"/>
          <w:lang w:eastAsia="en-GB"/>
        </w:rPr>
        <w:t xml:space="preserve"> </w:t>
      </w:r>
      <w:r w:rsidRPr="00DB7F92">
        <w:rPr>
          <w:lang w:eastAsia="en-GB"/>
        </w:rPr>
        <w:t>promises.</w:t>
      </w:r>
      <w:r w:rsidRPr="00DB7F92">
        <w:rPr>
          <w:spacing w:val="51"/>
          <w:lang w:eastAsia="en-GB"/>
        </w:rPr>
        <w:t xml:space="preserve"> </w:t>
      </w:r>
      <w:r w:rsidRPr="00DB7F92">
        <w:rPr>
          <w:lang w:eastAsia="en-GB"/>
        </w:rPr>
        <w:t>Therefore</w:t>
      </w:r>
      <w:r w:rsidRPr="00DB7F92">
        <w:rPr>
          <w:spacing w:val="8"/>
          <w:lang w:eastAsia="en-GB"/>
        </w:rPr>
        <w:t xml:space="preserve"> </w:t>
      </w:r>
      <w:r w:rsidRPr="00DB7F92">
        <w:rPr>
          <w:lang w:eastAsia="en-GB"/>
        </w:rPr>
        <w:t>care</w:t>
      </w:r>
      <w:r w:rsidRPr="00DB7F92">
        <w:rPr>
          <w:spacing w:val="9"/>
          <w:lang w:eastAsia="en-GB"/>
        </w:rPr>
        <w:t xml:space="preserve"> </w:t>
      </w:r>
      <w:r w:rsidRPr="00DB7F92">
        <w:rPr>
          <w:lang w:eastAsia="en-GB"/>
        </w:rPr>
        <w:t>should</w:t>
      </w:r>
      <w:r w:rsidRPr="00DB7F92">
        <w:rPr>
          <w:spacing w:val="9"/>
          <w:lang w:eastAsia="en-GB"/>
        </w:rPr>
        <w:t xml:space="preserve"> </w:t>
      </w:r>
      <w:r w:rsidRPr="00DB7F92">
        <w:rPr>
          <w:lang w:eastAsia="en-GB"/>
        </w:rPr>
        <w:t>be</w:t>
      </w:r>
      <w:r w:rsidRPr="00DB7F92">
        <w:rPr>
          <w:spacing w:val="6"/>
          <w:lang w:eastAsia="en-GB"/>
        </w:rPr>
        <w:t xml:space="preserve"> </w:t>
      </w:r>
      <w:r w:rsidRPr="00DB7F92">
        <w:rPr>
          <w:lang w:eastAsia="en-GB"/>
        </w:rPr>
        <w:t>taken</w:t>
      </w:r>
      <w:r w:rsidRPr="00DB7F92">
        <w:rPr>
          <w:spacing w:val="10"/>
          <w:lang w:eastAsia="en-GB"/>
        </w:rPr>
        <w:t xml:space="preserve"> </w:t>
      </w:r>
      <w:r w:rsidRPr="00DB7F92">
        <w:rPr>
          <w:lang w:eastAsia="en-GB"/>
        </w:rPr>
        <w:t>about</w:t>
      </w:r>
      <w:r w:rsidRPr="00DB7F92">
        <w:rPr>
          <w:spacing w:val="8"/>
          <w:lang w:eastAsia="en-GB"/>
        </w:rPr>
        <w:t xml:space="preserve"> </w:t>
      </w:r>
      <w:r w:rsidRPr="00DB7F92">
        <w:rPr>
          <w:lang w:eastAsia="en-GB"/>
        </w:rPr>
        <w:t>giving</w:t>
      </w:r>
      <w:r w:rsidRPr="00DB7F92">
        <w:rPr>
          <w:spacing w:val="10"/>
          <w:lang w:eastAsia="en-GB"/>
        </w:rPr>
        <w:t xml:space="preserve"> </w:t>
      </w:r>
      <w:r w:rsidRPr="00DB7F92">
        <w:rPr>
          <w:lang w:eastAsia="en-GB"/>
        </w:rPr>
        <w:t>any</w:t>
      </w:r>
      <w:r w:rsidRPr="00DB7F92">
        <w:rPr>
          <w:spacing w:val="8"/>
          <w:lang w:eastAsia="en-GB"/>
        </w:rPr>
        <w:t xml:space="preserve"> </w:t>
      </w:r>
      <w:r w:rsidRPr="00DB7F92">
        <w:rPr>
          <w:lang w:eastAsia="en-GB"/>
        </w:rPr>
        <w:t>clear</w:t>
      </w:r>
      <w:r w:rsidRPr="00DB7F92">
        <w:rPr>
          <w:spacing w:val="10"/>
          <w:lang w:eastAsia="en-GB"/>
        </w:rPr>
        <w:t xml:space="preserve"> </w:t>
      </w:r>
      <w:r w:rsidRPr="00DB7F92">
        <w:rPr>
          <w:lang w:eastAsia="en-GB"/>
        </w:rPr>
        <w:t>commitments</w:t>
      </w:r>
      <w:r w:rsidRPr="00DB7F92">
        <w:rPr>
          <w:spacing w:val="10"/>
          <w:lang w:eastAsia="en-GB"/>
        </w:rPr>
        <w:t xml:space="preserve"> </w:t>
      </w:r>
      <w:r w:rsidRPr="00DB7F92">
        <w:rPr>
          <w:lang w:eastAsia="en-GB"/>
        </w:rPr>
        <w:t>to</w:t>
      </w:r>
      <w:r w:rsidRPr="00DB7F92">
        <w:rPr>
          <w:spacing w:val="7"/>
          <w:lang w:eastAsia="en-GB"/>
        </w:rPr>
        <w:t xml:space="preserve"> </w:t>
      </w:r>
      <w:r w:rsidRPr="00DB7F92">
        <w:rPr>
          <w:lang w:eastAsia="en-GB"/>
        </w:rPr>
        <w:t>a</w:t>
      </w:r>
      <w:r w:rsidRPr="00DB7F92">
        <w:rPr>
          <w:spacing w:val="59"/>
          <w:w w:val="99"/>
          <w:lang w:eastAsia="en-GB"/>
        </w:rPr>
        <w:t xml:space="preserve"> </w:t>
      </w:r>
      <w:r w:rsidRPr="00DB7F92">
        <w:rPr>
          <w:lang w:eastAsia="en-GB"/>
        </w:rPr>
        <w:t>particular</w:t>
      </w:r>
      <w:r w:rsidRPr="00DB7F92">
        <w:rPr>
          <w:spacing w:val="48"/>
          <w:lang w:eastAsia="en-GB"/>
        </w:rPr>
        <w:t xml:space="preserve"> </w:t>
      </w:r>
      <w:r w:rsidRPr="00DB7F92">
        <w:rPr>
          <w:lang w:eastAsia="en-GB"/>
        </w:rPr>
        <w:t>course</w:t>
      </w:r>
      <w:r w:rsidRPr="00DB7F92">
        <w:rPr>
          <w:spacing w:val="45"/>
          <w:lang w:eastAsia="en-GB"/>
        </w:rPr>
        <w:t xml:space="preserve"> </w:t>
      </w:r>
      <w:r w:rsidRPr="00DB7F92">
        <w:rPr>
          <w:lang w:eastAsia="en-GB"/>
        </w:rPr>
        <w:t>of</w:t>
      </w:r>
      <w:r w:rsidRPr="00DB7F92">
        <w:rPr>
          <w:spacing w:val="44"/>
          <w:lang w:eastAsia="en-GB"/>
        </w:rPr>
        <w:t xml:space="preserve"> </w:t>
      </w:r>
      <w:r w:rsidRPr="00DB7F92">
        <w:rPr>
          <w:lang w:eastAsia="en-GB"/>
        </w:rPr>
        <w:t>action</w:t>
      </w:r>
      <w:r w:rsidRPr="00DB7F92">
        <w:rPr>
          <w:spacing w:val="46"/>
          <w:lang w:eastAsia="en-GB"/>
        </w:rPr>
        <w:t xml:space="preserve"> </w:t>
      </w:r>
      <w:r w:rsidRPr="00DB7F92">
        <w:rPr>
          <w:lang w:eastAsia="en-GB"/>
        </w:rPr>
        <w:t>until</w:t>
      </w:r>
      <w:r w:rsidRPr="00DB7F92">
        <w:rPr>
          <w:spacing w:val="45"/>
          <w:lang w:eastAsia="en-GB"/>
        </w:rPr>
        <w:t xml:space="preserve"> </w:t>
      </w:r>
      <w:r w:rsidRPr="00DB7F92">
        <w:rPr>
          <w:lang w:eastAsia="en-GB"/>
        </w:rPr>
        <w:t>the commissioner</w:t>
      </w:r>
      <w:r w:rsidRPr="00DB7F92">
        <w:rPr>
          <w:spacing w:val="45"/>
          <w:lang w:eastAsia="en-GB"/>
        </w:rPr>
        <w:t xml:space="preserve"> </w:t>
      </w:r>
      <w:r w:rsidRPr="00DB7F92">
        <w:rPr>
          <w:lang w:eastAsia="en-GB"/>
        </w:rPr>
        <w:t>is</w:t>
      </w:r>
      <w:r w:rsidRPr="00DB7F92">
        <w:rPr>
          <w:spacing w:val="46"/>
          <w:lang w:eastAsia="en-GB"/>
        </w:rPr>
        <w:t xml:space="preserve"> </w:t>
      </w:r>
      <w:r w:rsidRPr="00DB7F92">
        <w:rPr>
          <w:lang w:eastAsia="en-GB"/>
        </w:rPr>
        <w:t>sure</w:t>
      </w:r>
      <w:r w:rsidRPr="00DB7F92">
        <w:rPr>
          <w:spacing w:val="45"/>
          <w:lang w:eastAsia="en-GB"/>
        </w:rPr>
        <w:t xml:space="preserve"> </w:t>
      </w:r>
      <w:r w:rsidRPr="00DB7F92">
        <w:rPr>
          <w:lang w:eastAsia="en-GB"/>
        </w:rPr>
        <w:t>that</w:t>
      </w:r>
      <w:r w:rsidRPr="00DB7F92">
        <w:rPr>
          <w:spacing w:val="47"/>
          <w:lang w:eastAsia="en-GB"/>
        </w:rPr>
        <w:t xml:space="preserve"> </w:t>
      </w:r>
      <w:r w:rsidRPr="00DB7F92">
        <w:rPr>
          <w:lang w:eastAsia="en-GB"/>
        </w:rPr>
        <w:t>it</w:t>
      </w:r>
      <w:r w:rsidRPr="00DB7F92">
        <w:rPr>
          <w:spacing w:val="46"/>
          <w:lang w:eastAsia="en-GB"/>
        </w:rPr>
        <w:t xml:space="preserve"> </w:t>
      </w:r>
      <w:r w:rsidRPr="00DB7F92">
        <w:rPr>
          <w:lang w:eastAsia="en-GB"/>
        </w:rPr>
        <w:t>is</w:t>
      </w:r>
      <w:r w:rsidRPr="00DB7F92">
        <w:rPr>
          <w:spacing w:val="47"/>
          <w:lang w:eastAsia="en-GB"/>
        </w:rPr>
        <w:t xml:space="preserve"> </w:t>
      </w:r>
      <w:r w:rsidRPr="00DB7F92">
        <w:rPr>
          <w:lang w:eastAsia="en-GB"/>
        </w:rPr>
        <w:t>what</w:t>
      </w:r>
      <w:r w:rsidRPr="00DB7F92">
        <w:rPr>
          <w:spacing w:val="46"/>
          <w:lang w:eastAsia="en-GB"/>
        </w:rPr>
        <w:t xml:space="preserve"> </w:t>
      </w:r>
      <w:r w:rsidRPr="00DB7F92">
        <w:rPr>
          <w:lang w:eastAsia="en-GB"/>
        </w:rPr>
        <w:t>it</w:t>
      </w:r>
      <w:r w:rsidRPr="00DB7F92">
        <w:rPr>
          <w:spacing w:val="46"/>
          <w:w w:val="99"/>
          <w:lang w:eastAsia="en-GB"/>
        </w:rPr>
        <w:t xml:space="preserve"> </w:t>
      </w:r>
      <w:r w:rsidRPr="00DB7F92">
        <w:rPr>
          <w:lang w:eastAsia="en-GB"/>
        </w:rPr>
        <w:t>wants</w:t>
      </w:r>
      <w:r w:rsidRPr="00DB7F92">
        <w:rPr>
          <w:spacing w:val="13"/>
          <w:lang w:eastAsia="en-GB"/>
        </w:rPr>
        <w:t xml:space="preserve"> </w:t>
      </w:r>
      <w:r w:rsidRPr="00DB7F92">
        <w:rPr>
          <w:lang w:eastAsia="en-GB"/>
        </w:rPr>
        <w:t>to</w:t>
      </w:r>
      <w:r w:rsidRPr="00DB7F92">
        <w:rPr>
          <w:spacing w:val="13"/>
          <w:lang w:eastAsia="en-GB"/>
        </w:rPr>
        <w:t xml:space="preserve"> </w:t>
      </w:r>
      <w:r w:rsidRPr="00DB7F92">
        <w:rPr>
          <w:lang w:eastAsia="en-GB"/>
        </w:rPr>
        <w:t>do.</w:t>
      </w:r>
      <w:r w:rsidRPr="00DB7F92">
        <w:rPr>
          <w:spacing w:val="13"/>
          <w:lang w:eastAsia="en-GB"/>
        </w:rPr>
        <w:t xml:space="preserve"> </w:t>
      </w:r>
      <w:r w:rsidRPr="00DB7F92">
        <w:rPr>
          <w:lang w:eastAsia="en-GB"/>
        </w:rPr>
        <w:t>If</w:t>
      </w:r>
      <w:r w:rsidRPr="00DB7F92">
        <w:rPr>
          <w:spacing w:val="15"/>
          <w:lang w:eastAsia="en-GB"/>
        </w:rPr>
        <w:t xml:space="preserve"> </w:t>
      </w:r>
      <w:r w:rsidRPr="00DB7F92">
        <w:rPr>
          <w:lang w:eastAsia="en-GB"/>
        </w:rPr>
        <w:t>a commissioner</w:t>
      </w:r>
      <w:r w:rsidRPr="00DB7F92">
        <w:rPr>
          <w:spacing w:val="15"/>
          <w:lang w:eastAsia="en-GB"/>
        </w:rPr>
        <w:t xml:space="preserve"> </w:t>
      </w:r>
      <w:r w:rsidRPr="00DB7F92">
        <w:rPr>
          <w:lang w:eastAsia="en-GB"/>
        </w:rPr>
        <w:t>is</w:t>
      </w:r>
      <w:r w:rsidRPr="00DB7F92">
        <w:rPr>
          <w:spacing w:val="13"/>
          <w:lang w:eastAsia="en-GB"/>
        </w:rPr>
        <w:t xml:space="preserve"> </w:t>
      </w:r>
      <w:r w:rsidRPr="00DB7F92">
        <w:rPr>
          <w:lang w:eastAsia="en-GB"/>
        </w:rPr>
        <w:t>considering</w:t>
      </w:r>
      <w:r w:rsidRPr="00DB7F92">
        <w:rPr>
          <w:spacing w:val="15"/>
          <w:lang w:eastAsia="en-GB"/>
        </w:rPr>
        <w:t xml:space="preserve"> </w:t>
      </w:r>
      <w:r w:rsidRPr="00DB7F92">
        <w:rPr>
          <w:lang w:eastAsia="en-GB"/>
        </w:rPr>
        <w:t>departing</w:t>
      </w:r>
      <w:r w:rsidRPr="00DB7F92">
        <w:rPr>
          <w:spacing w:val="13"/>
          <w:lang w:eastAsia="en-GB"/>
        </w:rPr>
        <w:t xml:space="preserve"> </w:t>
      </w:r>
      <w:r w:rsidRPr="00DB7F92">
        <w:rPr>
          <w:lang w:eastAsia="en-GB"/>
        </w:rPr>
        <w:t>from</w:t>
      </w:r>
      <w:r w:rsidRPr="00DB7F92">
        <w:rPr>
          <w:spacing w:val="15"/>
          <w:lang w:eastAsia="en-GB"/>
        </w:rPr>
        <w:t xml:space="preserve"> </w:t>
      </w:r>
      <w:r w:rsidRPr="00DB7F92">
        <w:rPr>
          <w:lang w:eastAsia="en-GB"/>
        </w:rPr>
        <w:t>a</w:t>
      </w:r>
      <w:r w:rsidRPr="00DB7F92">
        <w:rPr>
          <w:spacing w:val="12"/>
          <w:lang w:eastAsia="en-GB"/>
        </w:rPr>
        <w:t xml:space="preserve"> </w:t>
      </w:r>
      <w:r w:rsidRPr="00DB7F92">
        <w:rPr>
          <w:lang w:eastAsia="en-GB"/>
        </w:rPr>
        <w:t>commitment</w:t>
      </w:r>
      <w:r w:rsidRPr="00DB7F92">
        <w:rPr>
          <w:spacing w:val="14"/>
          <w:lang w:eastAsia="en-GB"/>
        </w:rPr>
        <w:t xml:space="preserve"> </w:t>
      </w:r>
      <w:r w:rsidRPr="00DB7F92">
        <w:rPr>
          <w:lang w:eastAsia="en-GB"/>
        </w:rPr>
        <w:t>it</w:t>
      </w:r>
      <w:r w:rsidRPr="00DB7F92">
        <w:rPr>
          <w:spacing w:val="58"/>
          <w:w w:val="99"/>
          <w:lang w:eastAsia="en-GB"/>
        </w:rPr>
        <w:t xml:space="preserve"> </w:t>
      </w:r>
      <w:r w:rsidRPr="00DB7F92">
        <w:rPr>
          <w:lang w:eastAsia="en-GB"/>
        </w:rPr>
        <w:t>has</w:t>
      </w:r>
      <w:r w:rsidRPr="00DB7F92">
        <w:rPr>
          <w:spacing w:val="22"/>
          <w:lang w:eastAsia="en-GB"/>
        </w:rPr>
        <w:t xml:space="preserve"> </w:t>
      </w:r>
      <w:r w:rsidRPr="00DB7F92">
        <w:rPr>
          <w:lang w:eastAsia="en-GB"/>
        </w:rPr>
        <w:t>given</w:t>
      </w:r>
      <w:r w:rsidRPr="00DB7F92">
        <w:rPr>
          <w:spacing w:val="22"/>
          <w:lang w:eastAsia="en-GB"/>
        </w:rPr>
        <w:t xml:space="preserve"> </w:t>
      </w:r>
      <w:r w:rsidRPr="00DB7F92">
        <w:rPr>
          <w:lang w:eastAsia="en-GB"/>
        </w:rPr>
        <w:t>to</w:t>
      </w:r>
      <w:r w:rsidRPr="00DB7F92">
        <w:rPr>
          <w:spacing w:val="24"/>
          <w:lang w:eastAsia="en-GB"/>
        </w:rPr>
        <w:t xml:space="preserve"> </w:t>
      </w:r>
      <w:r w:rsidRPr="00DB7F92">
        <w:rPr>
          <w:lang w:eastAsia="en-GB"/>
        </w:rPr>
        <w:t>do</w:t>
      </w:r>
      <w:r w:rsidRPr="00DB7F92">
        <w:rPr>
          <w:spacing w:val="24"/>
          <w:lang w:eastAsia="en-GB"/>
        </w:rPr>
        <w:t xml:space="preserve"> </w:t>
      </w:r>
      <w:r w:rsidRPr="00DB7F92">
        <w:rPr>
          <w:lang w:eastAsia="en-GB"/>
        </w:rPr>
        <w:t>a</w:t>
      </w:r>
      <w:r w:rsidRPr="00DB7F92">
        <w:rPr>
          <w:spacing w:val="21"/>
          <w:lang w:eastAsia="en-GB"/>
        </w:rPr>
        <w:t xml:space="preserve"> </w:t>
      </w:r>
      <w:r w:rsidRPr="00DB7F92">
        <w:rPr>
          <w:lang w:eastAsia="en-GB"/>
        </w:rPr>
        <w:t>particular</w:t>
      </w:r>
      <w:r w:rsidRPr="00DB7F92">
        <w:rPr>
          <w:spacing w:val="22"/>
          <w:lang w:eastAsia="en-GB"/>
        </w:rPr>
        <w:t xml:space="preserve"> </w:t>
      </w:r>
      <w:r w:rsidRPr="00DB7F92">
        <w:rPr>
          <w:lang w:eastAsia="en-GB"/>
        </w:rPr>
        <w:t>thing</w:t>
      </w:r>
      <w:r w:rsidRPr="00DB7F92">
        <w:rPr>
          <w:spacing w:val="21"/>
          <w:lang w:eastAsia="en-GB"/>
        </w:rPr>
        <w:t xml:space="preserve"> </w:t>
      </w:r>
      <w:r w:rsidRPr="00DB7F92">
        <w:rPr>
          <w:lang w:eastAsia="en-GB"/>
        </w:rPr>
        <w:t>or</w:t>
      </w:r>
      <w:r w:rsidRPr="00DB7F92">
        <w:rPr>
          <w:spacing w:val="25"/>
          <w:lang w:eastAsia="en-GB"/>
        </w:rPr>
        <w:t xml:space="preserve"> </w:t>
      </w:r>
      <w:r w:rsidRPr="00DB7F92">
        <w:rPr>
          <w:lang w:eastAsia="en-GB"/>
        </w:rPr>
        <w:t>follow</w:t>
      </w:r>
      <w:r w:rsidRPr="00DB7F92">
        <w:rPr>
          <w:spacing w:val="23"/>
          <w:lang w:eastAsia="en-GB"/>
        </w:rPr>
        <w:t xml:space="preserve"> </w:t>
      </w:r>
      <w:r w:rsidRPr="00DB7F92">
        <w:rPr>
          <w:lang w:eastAsia="en-GB"/>
        </w:rPr>
        <w:t>a</w:t>
      </w:r>
      <w:r w:rsidRPr="00DB7F92">
        <w:rPr>
          <w:spacing w:val="24"/>
          <w:lang w:eastAsia="en-GB"/>
        </w:rPr>
        <w:t xml:space="preserve"> </w:t>
      </w:r>
      <w:r w:rsidRPr="00DB7F92">
        <w:rPr>
          <w:lang w:eastAsia="en-GB"/>
        </w:rPr>
        <w:t>particular</w:t>
      </w:r>
      <w:r w:rsidRPr="00DB7F92">
        <w:rPr>
          <w:spacing w:val="25"/>
          <w:lang w:eastAsia="en-GB"/>
        </w:rPr>
        <w:t xml:space="preserve"> </w:t>
      </w:r>
      <w:r w:rsidRPr="00DB7F92">
        <w:rPr>
          <w:lang w:eastAsia="en-GB"/>
        </w:rPr>
        <w:t>type</w:t>
      </w:r>
      <w:r w:rsidRPr="00DB7F92">
        <w:rPr>
          <w:spacing w:val="23"/>
          <w:lang w:eastAsia="en-GB"/>
        </w:rPr>
        <w:t xml:space="preserve"> </w:t>
      </w:r>
      <w:r w:rsidRPr="00DB7F92">
        <w:rPr>
          <w:lang w:eastAsia="en-GB"/>
        </w:rPr>
        <w:t>of</w:t>
      </w:r>
      <w:r w:rsidRPr="00DB7F92">
        <w:rPr>
          <w:spacing w:val="22"/>
          <w:lang w:eastAsia="en-GB"/>
        </w:rPr>
        <w:t xml:space="preserve"> </w:t>
      </w:r>
      <w:r w:rsidRPr="00DB7F92">
        <w:rPr>
          <w:lang w:eastAsia="en-GB"/>
        </w:rPr>
        <w:t>process,</w:t>
      </w:r>
      <w:r w:rsidRPr="00DB7F92">
        <w:rPr>
          <w:spacing w:val="57"/>
          <w:lang w:eastAsia="en-GB"/>
        </w:rPr>
        <w:t xml:space="preserve"> then</w:t>
      </w:r>
      <w:r w:rsidRPr="00DB7F92">
        <w:rPr>
          <w:lang w:eastAsia="en-GB"/>
        </w:rPr>
        <w:t xml:space="preserve">, if the decision is being </w:t>
      </w:r>
      <w:r w:rsidRPr="00DB7F92">
        <w:rPr>
          <w:lang w:eastAsia="en-GB"/>
        </w:rPr>
        <w:lastRenderedPageBreak/>
        <w:t>made by NHS England or by a CCG on NHS England's behalf as part of co-commissioning, the NHS England legal team should be contacted for further guidance.</w:t>
      </w:r>
      <w:r w:rsidRPr="00DB7F92">
        <w:rPr>
          <w:spacing w:val="49"/>
          <w:lang w:eastAsia="en-GB"/>
        </w:rPr>
        <w:t xml:space="preserve"> </w:t>
      </w:r>
    </w:p>
    <w:p w14:paraId="721D88AF" w14:textId="77777777" w:rsidR="00DB7F92" w:rsidRPr="00DB7F92" w:rsidRDefault="00DB7F92" w:rsidP="00DD5D2D">
      <w:pPr>
        <w:pStyle w:val="Heading3"/>
        <w:jc w:val="both"/>
        <w:sectPr w:rsidR="00DB7F92" w:rsidRPr="00DB7F92" w:rsidSect="00DD7D4A">
          <w:footerReference w:type="first" r:id="rId32"/>
          <w:pgSz w:w="11910" w:h="16840"/>
          <w:pgMar w:top="980" w:right="1300" w:bottom="880" w:left="1300" w:header="490" w:footer="420" w:gutter="0"/>
          <w:cols w:space="720"/>
          <w:titlePg/>
          <w:docGrid w:linePitch="326"/>
        </w:sectPr>
      </w:pPr>
    </w:p>
    <w:p w14:paraId="72118514" w14:textId="77777777" w:rsidR="00DB7F92" w:rsidRPr="00DB7F92" w:rsidRDefault="00DB7F92" w:rsidP="00DB7F92">
      <w:pPr>
        <w:spacing w:before="12"/>
        <w:jc w:val="both"/>
        <w:rPr>
          <w:rFonts w:eastAsia="Segoe UI Semilight" w:cs="Arial"/>
          <w:sz w:val="20"/>
          <w:szCs w:val="20"/>
        </w:rPr>
      </w:pPr>
    </w:p>
    <w:p w14:paraId="252B3280" w14:textId="77777777" w:rsidR="00DB7F92" w:rsidRPr="00DB7F92" w:rsidRDefault="00DB7F92" w:rsidP="00DD5D2D">
      <w:pPr>
        <w:pStyle w:val="Heading3"/>
        <w:jc w:val="both"/>
        <w:rPr>
          <w:lang w:eastAsia="en-GB"/>
        </w:rPr>
      </w:pPr>
      <w:r w:rsidRPr="00DB7F92">
        <w:rPr>
          <w:lang w:eastAsia="en-GB"/>
        </w:rPr>
        <w:t>It</w:t>
      </w:r>
      <w:r w:rsidRPr="00DB7F92">
        <w:rPr>
          <w:spacing w:val="-3"/>
          <w:lang w:eastAsia="en-GB"/>
        </w:rPr>
        <w:t xml:space="preserve"> </w:t>
      </w:r>
      <w:r w:rsidRPr="00DB7F92">
        <w:rPr>
          <w:lang w:eastAsia="en-GB"/>
        </w:rPr>
        <w:t>is also</w:t>
      </w:r>
      <w:r w:rsidRPr="00DB7F92">
        <w:rPr>
          <w:spacing w:val="-4"/>
          <w:lang w:eastAsia="en-GB"/>
        </w:rPr>
        <w:t xml:space="preserve"> </w:t>
      </w:r>
      <w:r w:rsidRPr="00DB7F92">
        <w:rPr>
          <w:lang w:eastAsia="en-GB"/>
        </w:rPr>
        <w:t>important</w:t>
      </w:r>
      <w:r w:rsidRPr="00DB7F92">
        <w:rPr>
          <w:spacing w:val="-2"/>
          <w:lang w:eastAsia="en-GB"/>
        </w:rPr>
        <w:t xml:space="preserve"> </w:t>
      </w:r>
      <w:r w:rsidRPr="00DB7F92">
        <w:rPr>
          <w:lang w:eastAsia="en-GB"/>
        </w:rPr>
        <w:t>to</w:t>
      </w:r>
      <w:r w:rsidRPr="00DB7F92">
        <w:rPr>
          <w:spacing w:val="-4"/>
          <w:lang w:eastAsia="en-GB"/>
        </w:rPr>
        <w:t xml:space="preserve"> </w:t>
      </w:r>
      <w:r w:rsidRPr="00DB7F92">
        <w:rPr>
          <w:lang w:eastAsia="en-GB"/>
        </w:rPr>
        <w:t>act</w:t>
      </w:r>
      <w:r w:rsidRPr="00DB7F92">
        <w:rPr>
          <w:spacing w:val="-2"/>
          <w:lang w:eastAsia="en-GB"/>
        </w:rPr>
        <w:t xml:space="preserve"> </w:t>
      </w:r>
      <w:r w:rsidRPr="00DB7F92">
        <w:rPr>
          <w:lang w:eastAsia="en-GB"/>
        </w:rPr>
        <w:t>proportionately,</w:t>
      </w:r>
      <w:r w:rsidRPr="00DB7F92">
        <w:rPr>
          <w:spacing w:val="-3"/>
          <w:lang w:eastAsia="en-GB"/>
        </w:rPr>
        <w:t xml:space="preserve"> </w:t>
      </w:r>
      <w:r w:rsidRPr="00DB7F92">
        <w:rPr>
          <w:lang w:eastAsia="en-GB"/>
        </w:rPr>
        <w:t>taking</w:t>
      </w:r>
      <w:r w:rsidRPr="00DB7F92">
        <w:rPr>
          <w:spacing w:val="-3"/>
          <w:lang w:eastAsia="en-GB"/>
        </w:rPr>
        <w:t xml:space="preserve"> </w:t>
      </w:r>
      <w:r w:rsidRPr="00DB7F92">
        <w:rPr>
          <w:lang w:eastAsia="en-GB"/>
        </w:rPr>
        <w:t>into</w:t>
      </w:r>
      <w:r w:rsidRPr="00DB7F92">
        <w:rPr>
          <w:spacing w:val="-3"/>
          <w:lang w:eastAsia="en-GB"/>
        </w:rPr>
        <w:t xml:space="preserve"> </w:t>
      </w:r>
      <w:r w:rsidRPr="00DB7F92">
        <w:rPr>
          <w:lang w:eastAsia="en-GB"/>
        </w:rPr>
        <w:t>account</w:t>
      </w:r>
      <w:r w:rsidRPr="00DB7F92">
        <w:rPr>
          <w:spacing w:val="-3"/>
          <w:lang w:eastAsia="en-GB"/>
        </w:rPr>
        <w:t xml:space="preserve"> </w:t>
      </w:r>
      <w:r w:rsidRPr="00DB7F92">
        <w:rPr>
          <w:lang w:eastAsia="en-GB"/>
        </w:rPr>
        <w:t>any</w:t>
      </w:r>
      <w:r w:rsidRPr="00DB7F92">
        <w:rPr>
          <w:spacing w:val="-2"/>
          <w:lang w:eastAsia="en-GB"/>
        </w:rPr>
        <w:t xml:space="preserve"> </w:t>
      </w:r>
      <w:r w:rsidRPr="00DB7F92">
        <w:rPr>
          <w:lang w:eastAsia="en-GB"/>
        </w:rPr>
        <w:t>adverse</w:t>
      </w:r>
      <w:r w:rsidRPr="00DB7F92">
        <w:rPr>
          <w:spacing w:val="51"/>
          <w:w w:val="99"/>
          <w:lang w:eastAsia="en-GB"/>
        </w:rPr>
        <w:t xml:space="preserve"> </w:t>
      </w:r>
      <w:r w:rsidRPr="00DB7F92">
        <w:rPr>
          <w:lang w:eastAsia="en-GB"/>
        </w:rPr>
        <w:t>impact</w:t>
      </w:r>
      <w:r w:rsidRPr="00DB7F92">
        <w:rPr>
          <w:spacing w:val="-4"/>
          <w:lang w:eastAsia="en-GB"/>
        </w:rPr>
        <w:t xml:space="preserve"> </w:t>
      </w:r>
      <w:r w:rsidRPr="00DB7F92">
        <w:rPr>
          <w:lang w:eastAsia="en-GB"/>
        </w:rPr>
        <w:t>on</w:t>
      </w:r>
      <w:r w:rsidRPr="00DB7F92">
        <w:rPr>
          <w:spacing w:val="-3"/>
          <w:lang w:eastAsia="en-GB"/>
        </w:rPr>
        <w:t xml:space="preserve"> </w:t>
      </w:r>
      <w:r w:rsidRPr="00DB7F92">
        <w:rPr>
          <w:lang w:eastAsia="en-GB"/>
        </w:rPr>
        <w:t>patients</w:t>
      </w:r>
      <w:r w:rsidRPr="00DB7F92">
        <w:rPr>
          <w:spacing w:val="-6"/>
          <w:lang w:eastAsia="en-GB"/>
        </w:rPr>
        <w:t xml:space="preserve"> </w:t>
      </w:r>
      <w:r w:rsidRPr="00DB7F92">
        <w:rPr>
          <w:lang w:eastAsia="en-GB"/>
        </w:rPr>
        <w:t>and/or</w:t>
      </w:r>
      <w:r w:rsidRPr="00DB7F92">
        <w:rPr>
          <w:spacing w:val="-5"/>
          <w:lang w:eastAsia="en-GB"/>
        </w:rPr>
        <w:t xml:space="preserve"> </w:t>
      </w:r>
      <w:r w:rsidRPr="00DB7F92">
        <w:rPr>
          <w:lang w:eastAsia="en-GB"/>
        </w:rPr>
        <w:t>contractors.</w:t>
      </w:r>
    </w:p>
    <w:p w14:paraId="053D1113" w14:textId="77777777" w:rsidR="00DB7F92" w:rsidRPr="00884224" w:rsidRDefault="00DB7F92" w:rsidP="00884224">
      <w:pPr>
        <w:keepNext/>
        <w:keepLines/>
        <w:spacing w:before="199"/>
        <w:ind w:left="838"/>
        <w:jc w:val="both"/>
        <w:outlineLvl w:val="6"/>
        <w:rPr>
          <w:rFonts w:eastAsiaTheme="majorEastAsia" w:cs="Arial"/>
          <w:i/>
          <w:iCs/>
          <w:color w:val="404040" w:themeColor="text1" w:themeTint="BF"/>
          <w:spacing w:val="-1"/>
          <w:sz w:val="28"/>
          <w:szCs w:val="28"/>
        </w:rPr>
      </w:pPr>
      <w:r w:rsidRPr="00884224">
        <w:rPr>
          <w:rFonts w:eastAsiaTheme="majorEastAsia" w:cs="Arial"/>
          <w:i/>
          <w:iCs/>
          <w:color w:val="404040" w:themeColor="text1" w:themeTint="BF"/>
          <w:spacing w:val="-1"/>
          <w:sz w:val="28"/>
          <w:szCs w:val="28"/>
        </w:rPr>
        <w:t>Acting reasonably</w:t>
      </w:r>
    </w:p>
    <w:p w14:paraId="12C4BEB3" w14:textId="77777777" w:rsidR="00DB7F92" w:rsidRPr="00DB7F92" w:rsidRDefault="00DB7F92" w:rsidP="00DD5D2D">
      <w:pPr>
        <w:pStyle w:val="Heading3"/>
        <w:jc w:val="both"/>
        <w:rPr>
          <w:lang w:eastAsia="en-GB"/>
        </w:rPr>
      </w:pPr>
      <w:r w:rsidRPr="00DB7F92">
        <w:rPr>
          <w:lang w:eastAsia="en-GB"/>
        </w:rPr>
        <w:t>The Commissioner has</w:t>
      </w:r>
      <w:r w:rsidRPr="00DB7F92">
        <w:rPr>
          <w:spacing w:val="1"/>
          <w:lang w:eastAsia="en-GB"/>
        </w:rPr>
        <w:t xml:space="preserve"> </w:t>
      </w:r>
      <w:r w:rsidRPr="00DB7F92">
        <w:rPr>
          <w:lang w:eastAsia="en-GB"/>
        </w:rPr>
        <w:t>to take all relevant</w:t>
      </w:r>
      <w:r w:rsidRPr="00DB7F92">
        <w:rPr>
          <w:spacing w:val="2"/>
          <w:lang w:eastAsia="en-GB"/>
        </w:rPr>
        <w:t xml:space="preserve"> </w:t>
      </w:r>
      <w:r w:rsidRPr="00DB7F92">
        <w:rPr>
          <w:lang w:eastAsia="en-GB"/>
        </w:rPr>
        <w:t>factors</w:t>
      </w:r>
      <w:r w:rsidRPr="00DB7F92">
        <w:rPr>
          <w:spacing w:val="1"/>
          <w:lang w:eastAsia="en-GB"/>
        </w:rPr>
        <w:t xml:space="preserve"> </w:t>
      </w:r>
      <w:r w:rsidRPr="00DB7F92">
        <w:rPr>
          <w:lang w:eastAsia="en-GB"/>
        </w:rPr>
        <w:t>into account</w:t>
      </w:r>
      <w:r w:rsidRPr="00DB7F92">
        <w:rPr>
          <w:spacing w:val="1"/>
          <w:lang w:eastAsia="en-GB"/>
        </w:rPr>
        <w:t xml:space="preserve"> </w:t>
      </w:r>
      <w:r w:rsidRPr="00DB7F92">
        <w:rPr>
          <w:lang w:eastAsia="en-GB"/>
        </w:rPr>
        <w:t>when making its</w:t>
      </w:r>
      <w:r w:rsidRPr="00DB7F92">
        <w:rPr>
          <w:spacing w:val="57"/>
          <w:lang w:eastAsia="en-GB"/>
        </w:rPr>
        <w:t xml:space="preserve"> </w:t>
      </w:r>
      <w:r w:rsidRPr="00DB7F92">
        <w:rPr>
          <w:lang w:eastAsia="en-GB"/>
        </w:rPr>
        <w:t>decisions</w:t>
      </w:r>
      <w:r w:rsidRPr="00DB7F92">
        <w:rPr>
          <w:spacing w:val="40"/>
          <w:lang w:eastAsia="en-GB"/>
        </w:rPr>
        <w:t xml:space="preserve"> </w:t>
      </w:r>
      <w:r w:rsidRPr="00DB7F92">
        <w:rPr>
          <w:lang w:eastAsia="en-GB"/>
        </w:rPr>
        <w:t>and</w:t>
      </w:r>
      <w:r w:rsidRPr="00DB7F92">
        <w:rPr>
          <w:spacing w:val="40"/>
          <w:lang w:eastAsia="en-GB"/>
        </w:rPr>
        <w:t xml:space="preserve"> </w:t>
      </w:r>
      <w:r w:rsidRPr="00DB7F92">
        <w:rPr>
          <w:lang w:eastAsia="en-GB"/>
        </w:rPr>
        <w:t>exclude</w:t>
      </w:r>
      <w:r w:rsidRPr="00DB7F92">
        <w:rPr>
          <w:spacing w:val="41"/>
          <w:lang w:eastAsia="en-GB"/>
        </w:rPr>
        <w:t xml:space="preserve"> </w:t>
      </w:r>
      <w:r w:rsidRPr="00DB7F92">
        <w:rPr>
          <w:lang w:eastAsia="en-GB"/>
        </w:rPr>
        <w:t>irrelevant</w:t>
      </w:r>
      <w:r w:rsidRPr="00DB7F92">
        <w:rPr>
          <w:spacing w:val="42"/>
          <w:lang w:eastAsia="en-GB"/>
        </w:rPr>
        <w:t xml:space="preserve"> </w:t>
      </w:r>
      <w:r w:rsidRPr="00DB7F92">
        <w:rPr>
          <w:lang w:eastAsia="en-GB"/>
        </w:rPr>
        <w:t>factors.</w:t>
      </w:r>
      <w:r w:rsidRPr="00DB7F92">
        <w:rPr>
          <w:spacing w:val="13"/>
          <w:lang w:eastAsia="en-GB"/>
        </w:rPr>
        <w:t xml:space="preserve"> </w:t>
      </w:r>
      <w:r w:rsidRPr="00DB7F92">
        <w:rPr>
          <w:lang w:eastAsia="en-GB"/>
        </w:rPr>
        <w:t>It</w:t>
      </w:r>
      <w:r w:rsidRPr="00DB7F92">
        <w:rPr>
          <w:spacing w:val="40"/>
          <w:lang w:eastAsia="en-GB"/>
        </w:rPr>
        <w:t xml:space="preserve"> </w:t>
      </w:r>
      <w:r w:rsidRPr="00DB7F92">
        <w:rPr>
          <w:lang w:eastAsia="en-GB"/>
        </w:rPr>
        <w:t>is</w:t>
      </w:r>
      <w:r w:rsidRPr="00DB7F92">
        <w:rPr>
          <w:spacing w:val="42"/>
          <w:lang w:eastAsia="en-GB"/>
        </w:rPr>
        <w:t xml:space="preserve"> </w:t>
      </w:r>
      <w:r w:rsidRPr="00DB7F92">
        <w:rPr>
          <w:lang w:eastAsia="en-GB"/>
        </w:rPr>
        <w:t>up</w:t>
      </w:r>
      <w:r w:rsidRPr="00DB7F92">
        <w:rPr>
          <w:spacing w:val="38"/>
          <w:lang w:eastAsia="en-GB"/>
        </w:rPr>
        <w:t xml:space="preserve"> </w:t>
      </w:r>
      <w:r w:rsidRPr="00DB7F92">
        <w:rPr>
          <w:lang w:eastAsia="en-GB"/>
        </w:rPr>
        <w:t>to</w:t>
      </w:r>
      <w:r w:rsidRPr="00DB7F92">
        <w:rPr>
          <w:spacing w:val="38"/>
          <w:lang w:eastAsia="en-GB"/>
        </w:rPr>
        <w:t xml:space="preserve"> </w:t>
      </w:r>
      <w:r w:rsidRPr="00DB7F92">
        <w:rPr>
          <w:lang w:eastAsia="en-GB"/>
        </w:rPr>
        <w:t>the commissioner</w:t>
      </w:r>
      <w:r w:rsidRPr="00DB7F92">
        <w:rPr>
          <w:spacing w:val="30"/>
          <w:lang w:eastAsia="en-GB"/>
        </w:rPr>
        <w:t xml:space="preserve"> </w:t>
      </w:r>
      <w:r w:rsidRPr="00DB7F92">
        <w:rPr>
          <w:lang w:eastAsia="en-GB"/>
        </w:rPr>
        <w:t>how</w:t>
      </w:r>
      <w:r w:rsidRPr="00DB7F92">
        <w:rPr>
          <w:spacing w:val="51"/>
          <w:w w:val="99"/>
          <w:lang w:eastAsia="en-GB"/>
        </w:rPr>
        <w:t xml:space="preserve"> </w:t>
      </w:r>
      <w:r w:rsidRPr="00DB7F92">
        <w:rPr>
          <w:lang w:eastAsia="en-GB"/>
        </w:rPr>
        <w:t>much</w:t>
      </w:r>
      <w:r w:rsidRPr="00DB7F92">
        <w:rPr>
          <w:spacing w:val="9"/>
          <w:lang w:eastAsia="en-GB"/>
        </w:rPr>
        <w:t xml:space="preserve"> </w:t>
      </w:r>
      <w:r w:rsidRPr="00DB7F92">
        <w:rPr>
          <w:lang w:eastAsia="en-GB"/>
        </w:rPr>
        <w:t>weight</w:t>
      </w:r>
      <w:r w:rsidRPr="00DB7F92">
        <w:rPr>
          <w:spacing w:val="10"/>
          <w:lang w:eastAsia="en-GB"/>
        </w:rPr>
        <w:t xml:space="preserve"> </w:t>
      </w:r>
      <w:r w:rsidRPr="00DB7F92">
        <w:rPr>
          <w:lang w:eastAsia="en-GB"/>
        </w:rPr>
        <w:t>it</w:t>
      </w:r>
      <w:r w:rsidRPr="00DB7F92">
        <w:rPr>
          <w:spacing w:val="13"/>
          <w:lang w:eastAsia="en-GB"/>
        </w:rPr>
        <w:t xml:space="preserve"> </w:t>
      </w:r>
      <w:r w:rsidRPr="00DB7F92">
        <w:rPr>
          <w:lang w:eastAsia="en-GB"/>
        </w:rPr>
        <w:t>gives</w:t>
      </w:r>
      <w:r w:rsidRPr="00DB7F92">
        <w:rPr>
          <w:spacing w:val="11"/>
          <w:lang w:eastAsia="en-GB"/>
        </w:rPr>
        <w:t xml:space="preserve"> </w:t>
      </w:r>
      <w:r w:rsidRPr="00DB7F92">
        <w:rPr>
          <w:lang w:eastAsia="en-GB"/>
        </w:rPr>
        <w:t>competing</w:t>
      </w:r>
      <w:r w:rsidRPr="00DB7F92">
        <w:rPr>
          <w:spacing w:val="9"/>
          <w:lang w:eastAsia="en-GB"/>
        </w:rPr>
        <w:t xml:space="preserve"> </w:t>
      </w:r>
      <w:r w:rsidRPr="00DB7F92">
        <w:rPr>
          <w:lang w:eastAsia="en-GB"/>
        </w:rPr>
        <w:t>considerations</w:t>
      </w:r>
      <w:r w:rsidRPr="00DB7F92">
        <w:rPr>
          <w:spacing w:val="11"/>
          <w:lang w:eastAsia="en-GB"/>
        </w:rPr>
        <w:t xml:space="preserve"> </w:t>
      </w:r>
      <w:r w:rsidRPr="00DB7F92">
        <w:rPr>
          <w:lang w:eastAsia="en-GB"/>
        </w:rPr>
        <w:t>and</w:t>
      </w:r>
      <w:r w:rsidRPr="00DB7F92">
        <w:rPr>
          <w:spacing w:val="9"/>
          <w:lang w:eastAsia="en-GB"/>
        </w:rPr>
        <w:t xml:space="preserve"> </w:t>
      </w:r>
      <w:r w:rsidRPr="00DB7F92">
        <w:rPr>
          <w:lang w:eastAsia="en-GB"/>
        </w:rPr>
        <w:t>may</w:t>
      </w:r>
      <w:r w:rsidRPr="00DB7F92">
        <w:rPr>
          <w:spacing w:val="10"/>
          <w:lang w:eastAsia="en-GB"/>
        </w:rPr>
        <w:t xml:space="preserve"> </w:t>
      </w:r>
      <w:r w:rsidRPr="00DB7F92">
        <w:rPr>
          <w:lang w:eastAsia="en-GB"/>
        </w:rPr>
        <w:t>give</w:t>
      </w:r>
      <w:r w:rsidRPr="00DB7F92">
        <w:rPr>
          <w:spacing w:val="9"/>
          <w:lang w:eastAsia="en-GB"/>
        </w:rPr>
        <w:t xml:space="preserve"> </w:t>
      </w:r>
      <w:r w:rsidRPr="00DB7F92">
        <w:rPr>
          <w:lang w:eastAsia="en-GB"/>
        </w:rPr>
        <w:t>a</w:t>
      </w:r>
      <w:r w:rsidRPr="00DB7F92">
        <w:rPr>
          <w:spacing w:val="12"/>
          <w:lang w:eastAsia="en-GB"/>
        </w:rPr>
        <w:t xml:space="preserve"> </w:t>
      </w:r>
      <w:r w:rsidRPr="00DB7F92">
        <w:rPr>
          <w:lang w:eastAsia="en-GB"/>
        </w:rPr>
        <w:t>factor</w:t>
      </w:r>
      <w:r w:rsidRPr="00DB7F92">
        <w:rPr>
          <w:spacing w:val="10"/>
          <w:lang w:eastAsia="en-GB"/>
        </w:rPr>
        <w:t xml:space="preserve"> </w:t>
      </w:r>
      <w:r w:rsidRPr="00DB7F92">
        <w:rPr>
          <w:lang w:eastAsia="en-GB"/>
        </w:rPr>
        <w:t>no</w:t>
      </w:r>
      <w:r w:rsidRPr="00DB7F92">
        <w:rPr>
          <w:spacing w:val="67"/>
          <w:lang w:eastAsia="en-GB"/>
        </w:rPr>
        <w:t xml:space="preserve"> </w:t>
      </w:r>
      <w:r w:rsidRPr="00DB7F92">
        <w:rPr>
          <w:lang w:eastAsia="en-GB"/>
        </w:rPr>
        <w:t>weight</w:t>
      </w:r>
      <w:r w:rsidRPr="00DB7F92">
        <w:rPr>
          <w:spacing w:val="21"/>
          <w:lang w:eastAsia="en-GB"/>
        </w:rPr>
        <w:t xml:space="preserve"> </w:t>
      </w:r>
      <w:r w:rsidRPr="00DB7F92">
        <w:rPr>
          <w:lang w:eastAsia="en-GB"/>
        </w:rPr>
        <w:t>at</w:t>
      </w:r>
      <w:r w:rsidRPr="00DB7F92">
        <w:rPr>
          <w:spacing w:val="22"/>
          <w:lang w:eastAsia="en-GB"/>
        </w:rPr>
        <w:t xml:space="preserve"> </w:t>
      </w:r>
      <w:r w:rsidRPr="00DB7F92">
        <w:rPr>
          <w:lang w:eastAsia="en-GB"/>
        </w:rPr>
        <w:t>all.</w:t>
      </w:r>
      <w:r w:rsidRPr="00DB7F92">
        <w:rPr>
          <w:spacing w:val="45"/>
          <w:lang w:eastAsia="en-GB"/>
        </w:rPr>
        <w:t xml:space="preserve"> </w:t>
      </w:r>
      <w:r w:rsidRPr="00DB7F92">
        <w:rPr>
          <w:lang w:eastAsia="en-GB"/>
        </w:rPr>
        <w:t>The</w:t>
      </w:r>
      <w:r w:rsidRPr="00DB7F92">
        <w:rPr>
          <w:spacing w:val="21"/>
          <w:lang w:eastAsia="en-GB"/>
        </w:rPr>
        <w:t xml:space="preserve"> </w:t>
      </w:r>
      <w:r w:rsidRPr="00DB7F92">
        <w:rPr>
          <w:lang w:eastAsia="en-GB"/>
        </w:rPr>
        <w:t>key</w:t>
      </w:r>
      <w:r w:rsidRPr="00DB7F92">
        <w:rPr>
          <w:spacing w:val="24"/>
          <w:lang w:eastAsia="en-GB"/>
        </w:rPr>
        <w:t xml:space="preserve"> </w:t>
      </w:r>
      <w:r w:rsidRPr="00DB7F92">
        <w:rPr>
          <w:lang w:eastAsia="en-GB"/>
        </w:rPr>
        <w:t>point</w:t>
      </w:r>
      <w:r w:rsidRPr="00DB7F92">
        <w:rPr>
          <w:spacing w:val="22"/>
          <w:lang w:eastAsia="en-GB"/>
        </w:rPr>
        <w:t xml:space="preserve"> </w:t>
      </w:r>
      <w:r w:rsidRPr="00DB7F92">
        <w:rPr>
          <w:lang w:eastAsia="en-GB"/>
        </w:rPr>
        <w:t>is</w:t>
      </w:r>
      <w:r w:rsidRPr="00DB7F92">
        <w:rPr>
          <w:spacing w:val="23"/>
          <w:lang w:eastAsia="en-GB"/>
        </w:rPr>
        <w:t xml:space="preserve"> </w:t>
      </w:r>
      <w:r w:rsidRPr="00DB7F92">
        <w:rPr>
          <w:lang w:eastAsia="en-GB"/>
        </w:rPr>
        <w:t>that</w:t>
      </w:r>
      <w:r w:rsidRPr="00DB7F92">
        <w:rPr>
          <w:spacing w:val="22"/>
          <w:lang w:eastAsia="en-GB"/>
        </w:rPr>
        <w:t xml:space="preserve"> </w:t>
      </w:r>
      <w:r w:rsidRPr="00DB7F92">
        <w:rPr>
          <w:lang w:eastAsia="en-GB"/>
        </w:rPr>
        <w:t>all</w:t>
      </w:r>
      <w:r w:rsidRPr="00DB7F92">
        <w:rPr>
          <w:spacing w:val="21"/>
          <w:lang w:eastAsia="en-GB"/>
        </w:rPr>
        <w:t xml:space="preserve"> </w:t>
      </w:r>
      <w:r w:rsidRPr="00DB7F92">
        <w:rPr>
          <w:lang w:eastAsia="en-GB"/>
        </w:rPr>
        <w:t>the</w:t>
      </w:r>
      <w:r w:rsidRPr="00DB7F92">
        <w:rPr>
          <w:spacing w:val="21"/>
          <w:lang w:eastAsia="en-GB"/>
        </w:rPr>
        <w:t xml:space="preserve"> </w:t>
      </w:r>
      <w:r w:rsidRPr="00DB7F92">
        <w:rPr>
          <w:lang w:eastAsia="en-GB"/>
        </w:rPr>
        <w:t>relevant</w:t>
      </w:r>
      <w:r w:rsidRPr="00DB7F92">
        <w:rPr>
          <w:spacing w:val="22"/>
          <w:lang w:eastAsia="en-GB"/>
        </w:rPr>
        <w:t xml:space="preserve"> </w:t>
      </w:r>
      <w:r w:rsidRPr="00DB7F92">
        <w:rPr>
          <w:lang w:eastAsia="en-GB"/>
        </w:rPr>
        <w:t>factors</w:t>
      </w:r>
      <w:r w:rsidRPr="00DB7F92">
        <w:rPr>
          <w:spacing w:val="22"/>
          <w:lang w:eastAsia="en-GB"/>
        </w:rPr>
        <w:t xml:space="preserve"> </w:t>
      </w:r>
      <w:r w:rsidRPr="00DB7F92">
        <w:rPr>
          <w:lang w:eastAsia="en-GB"/>
        </w:rPr>
        <w:t>are</w:t>
      </w:r>
      <w:r w:rsidRPr="00DB7F92">
        <w:rPr>
          <w:spacing w:val="21"/>
          <w:lang w:eastAsia="en-GB"/>
        </w:rPr>
        <w:t xml:space="preserve"> </w:t>
      </w:r>
      <w:r w:rsidRPr="00DB7F92">
        <w:rPr>
          <w:lang w:eastAsia="en-GB"/>
        </w:rPr>
        <w:t>identified</w:t>
      </w:r>
      <w:r w:rsidRPr="00DB7F92">
        <w:rPr>
          <w:spacing w:val="47"/>
          <w:lang w:eastAsia="en-GB"/>
        </w:rPr>
        <w:t xml:space="preserve"> </w:t>
      </w:r>
      <w:r w:rsidRPr="00DB7F92">
        <w:rPr>
          <w:lang w:eastAsia="en-GB"/>
        </w:rPr>
        <w:t>and</w:t>
      </w:r>
      <w:r w:rsidRPr="00DB7F92">
        <w:rPr>
          <w:spacing w:val="-9"/>
          <w:lang w:eastAsia="en-GB"/>
        </w:rPr>
        <w:t xml:space="preserve"> </w:t>
      </w:r>
      <w:r w:rsidRPr="00DB7F92">
        <w:rPr>
          <w:lang w:eastAsia="en-GB"/>
        </w:rPr>
        <w:t>documented.</w:t>
      </w:r>
    </w:p>
    <w:p w14:paraId="20D4A6BB" w14:textId="77777777" w:rsidR="00DB7F92" w:rsidRPr="00DB7F92" w:rsidRDefault="00DB7F92" w:rsidP="00DB7F92">
      <w:pPr>
        <w:jc w:val="both"/>
        <w:rPr>
          <w:rFonts w:eastAsia="Segoe UI Semilight" w:cs="Arial"/>
          <w:sz w:val="20"/>
          <w:szCs w:val="20"/>
        </w:rPr>
      </w:pPr>
    </w:p>
    <w:p w14:paraId="190D1546" w14:textId="77777777" w:rsidR="00DB7F92" w:rsidRPr="00DB7F92" w:rsidRDefault="00DB7F92" w:rsidP="00DB7F92">
      <w:pPr>
        <w:spacing w:before="8"/>
        <w:jc w:val="both"/>
        <w:rPr>
          <w:rFonts w:eastAsia="Segoe UI Semilight" w:cs="Arial"/>
          <w:sz w:val="20"/>
          <w:szCs w:val="20"/>
        </w:rPr>
      </w:pPr>
    </w:p>
    <w:p w14:paraId="25F5E0E5" w14:textId="77777777" w:rsidR="00DB7F92" w:rsidRPr="00DB7F92" w:rsidRDefault="00DB7F92" w:rsidP="00DB7F92">
      <w:pPr>
        <w:ind w:left="1536"/>
        <w:jc w:val="both"/>
        <w:rPr>
          <w:rFonts w:eastAsia="Segoe UI Semilight" w:cs="Arial"/>
          <w:sz w:val="20"/>
          <w:szCs w:val="20"/>
        </w:rPr>
      </w:pPr>
      <w:r w:rsidRPr="00DB7F92">
        <w:rPr>
          <w:rFonts w:eastAsia="Segoe UI Semilight" w:cs="Arial"/>
          <w:noProof/>
          <w:sz w:val="20"/>
          <w:szCs w:val="20"/>
          <w:lang w:eastAsia="en-GB"/>
        </w:rPr>
        <mc:AlternateContent>
          <mc:Choice Requires="wps">
            <w:drawing>
              <wp:inline distT="0" distB="0" distL="0" distR="0" wp14:anchorId="2E6D4289" wp14:editId="309E53AB">
                <wp:extent cx="4860290" cy="1933575"/>
                <wp:effectExtent l="0" t="0" r="0" b="9525"/>
                <wp:docPr id="1970" name="Text Box 18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0290" cy="1933575"/>
                        </a:xfrm>
                        <a:prstGeom prst="rect">
                          <a:avLst/>
                        </a:prstGeom>
                        <a:solidFill>
                          <a:srgbClr val="1C6CB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ECCAE9" w14:textId="77777777" w:rsidR="00622FF2" w:rsidRPr="004E0302" w:rsidRDefault="00622FF2" w:rsidP="00DB7F92">
                            <w:pPr>
                              <w:spacing w:before="213"/>
                              <w:ind w:left="225"/>
                              <w:jc w:val="both"/>
                              <w:rPr>
                                <w:rFonts w:cs="Arial"/>
                                <w:b/>
                                <w:color w:val="FFFFFF"/>
                                <w:sz w:val="20"/>
                              </w:rPr>
                            </w:pPr>
                            <w:r w:rsidRPr="004E0302">
                              <w:rPr>
                                <w:rFonts w:cs="Arial"/>
                                <w:b/>
                                <w:color w:val="FFFFFF"/>
                                <w:sz w:val="20"/>
                              </w:rPr>
                              <w:t>Example:</w:t>
                            </w:r>
                          </w:p>
                          <w:p w14:paraId="763136D1" w14:textId="77777777" w:rsidR="00622FF2" w:rsidRPr="004E0302" w:rsidRDefault="00622FF2" w:rsidP="00DB7F92">
                            <w:pPr>
                              <w:ind w:left="225" w:right="225"/>
                              <w:jc w:val="both"/>
                              <w:rPr>
                                <w:rFonts w:eastAsia="Segoe UI Semilight" w:cs="Arial"/>
                                <w:sz w:val="20"/>
                                <w:szCs w:val="24"/>
                              </w:rPr>
                            </w:pPr>
                            <w:r w:rsidRPr="004E0302">
                              <w:rPr>
                                <w:rFonts w:cs="Arial"/>
                                <w:color w:val="FFFFFF"/>
                                <w:spacing w:val="48"/>
                                <w:sz w:val="20"/>
                              </w:rPr>
                              <w:t xml:space="preserve">The Commissioner </w:t>
                            </w:r>
                            <w:r w:rsidRPr="004E0302">
                              <w:rPr>
                                <w:rFonts w:cs="Arial"/>
                                <w:color w:val="FFFFFF"/>
                                <w:spacing w:val="-1"/>
                                <w:sz w:val="20"/>
                              </w:rPr>
                              <w:t>has</w:t>
                            </w:r>
                            <w:r w:rsidRPr="004E0302">
                              <w:rPr>
                                <w:rFonts w:cs="Arial"/>
                                <w:color w:val="FFFFFF"/>
                                <w:spacing w:val="50"/>
                                <w:sz w:val="20"/>
                              </w:rPr>
                              <w:t xml:space="preserve"> </w:t>
                            </w:r>
                            <w:r w:rsidRPr="004E0302">
                              <w:rPr>
                                <w:rFonts w:cs="Arial"/>
                                <w:color w:val="FFFFFF"/>
                                <w:sz w:val="20"/>
                              </w:rPr>
                              <w:t>to</w:t>
                            </w:r>
                            <w:r w:rsidRPr="004E0302">
                              <w:rPr>
                                <w:rFonts w:cs="Arial"/>
                                <w:color w:val="FFFFFF"/>
                                <w:spacing w:val="50"/>
                                <w:sz w:val="20"/>
                              </w:rPr>
                              <w:t xml:space="preserve"> </w:t>
                            </w:r>
                            <w:r w:rsidRPr="004E0302">
                              <w:rPr>
                                <w:rFonts w:cs="Arial"/>
                                <w:color w:val="FFFFFF"/>
                                <w:spacing w:val="-1"/>
                                <w:sz w:val="20"/>
                              </w:rPr>
                              <w:t>decide</w:t>
                            </w:r>
                            <w:r w:rsidRPr="004E0302">
                              <w:rPr>
                                <w:rFonts w:cs="Arial"/>
                                <w:color w:val="FFFFFF"/>
                                <w:spacing w:val="48"/>
                                <w:sz w:val="20"/>
                              </w:rPr>
                              <w:t xml:space="preserve"> </w:t>
                            </w:r>
                            <w:r w:rsidRPr="004E0302">
                              <w:rPr>
                                <w:rFonts w:cs="Arial"/>
                                <w:color w:val="FFFFFF"/>
                                <w:spacing w:val="-1"/>
                                <w:sz w:val="20"/>
                              </w:rPr>
                              <w:t>whether</w:t>
                            </w:r>
                            <w:r w:rsidRPr="004E0302">
                              <w:rPr>
                                <w:rFonts w:cs="Arial"/>
                                <w:color w:val="FFFFFF"/>
                                <w:spacing w:val="49"/>
                                <w:sz w:val="20"/>
                              </w:rPr>
                              <w:t xml:space="preserve"> </w:t>
                            </w:r>
                            <w:r w:rsidRPr="004E0302">
                              <w:rPr>
                                <w:rFonts w:cs="Arial"/>
                                <w:color w:val="FFFFFF"/>
                                <w:sz w:val="20"/>
                              </w:rPr>
                              <w:t>to</w:t>
                            </w:r>
                            <w:r w:rsidRPr="004E0302">
                              <w:rPr>
                                <w:rFonts w:cs="Arial"/>
                                <w:color w:val="FFFFFF"/>
                                <w:spacing w:val="51"/>
                                <w:sz w:val="20"/>
                              </w:rPr>
                              <w:t xml:space="preserve"> </w:t>
                            </w:r>
                            <w:r w:rsidRPr="004E0302">
                              <w:rPr>
                                <w:rFonts w:cs="Arial"/>
                                <w:color w:val="FFFFFF"/>
                                <w:spacing w:val="-1"/>
                                <w:sz w:val="20"/>
                              </w:rPr>
                              <w:t>approve</w:t>
                            </w:r>
                            <w:r w:rsidRPr="004E0302">
                              <w:rPr>
                                <w:rFonts w:cs="Arial"/>
                                <w:color w:val="FFFFFF"/>
                                <w:spacing w:val="47"/>
                                <w:sz w:val="20"/>
                              </w:rPr>
                              <w:t xml:space="preserve"> </w:t>
                            </w:r>
                            <w:r w:rsidRPr="004E0302">
                              <w:rPr>
                                <w:rFonts w:cs="Arial"/>
                                <w:color w:val="FFFFFF"/>
                                <w:sz w:val="20"/>
                              </w:rPr>
                              <w:t>a</w:t>
                            </w:r>
                            <w:r w:rsidRPr="004E0302">
                              <w:rPr>
                                <w:rFonts w:cs="Arial"/>
                                <w:color w:val="FFFFFF"/>
                                <w:spacing w:val="51"/>
                                <w:sz w:val="20"/>
                              </w:rPr>
                              <w:t xml:space="preserve"> </w:t>
                            </w:r>
                            <w:r w:rsidRPr="004E0302">
                              <w:rPr>
                                <w:rFonts w:cs="Arial"/>
                                <w:color w:val="FFFFFF"/>
                                <w:spacing w:val="-1"/>
                                <w:sz w:val="20"/>
                              </w:rPr>
                              <w:t>practice's</w:t>
                            </w:r>
                            <w:r w:rsidRPr="004E0302">
                              <w:rPr>
                                <w:rFonts w:cs="Arial"/>
                                <w:color w:val="FFFFFF"/>
                                <w:spacing w:val="57"/>
                                <w:sz w:val="20"/>
                              </w:rPr>
                              <w:t xml:space="preserve"> </w:t>
                            </w:r>
                            <w:r w:rsidRPr="004E0302">
                              <w:rPr>
                                <w:rFonts w:cs="Arial"/>
                                <w:color w:val="FFFFFF"/>
                                <w:spacing w:val="-1"/>
                                <w:sz w:val="20"/>
                              </w:rPr>
                              <w:t>application</w:t>
                            </w:r>
                            <w:r w:rsidRPr="004E0302">
                              <w:rPr>
                                <w:rFonts w:cs="Arial"/>
                                <w:color w:val="FFFFFF"/>
                                <w:spacing w:val="50"/>
                                <w:sz w:val="20"/>
                              </w:rPr>
                              <w:t xml:space="preserve"> </w:t>
                            </w:r>
                            <w:r w:rsidRPr="004E0302">
                              <w:rPr>
                                <w:rFonts w:cs="Arial"/>
                                <w:color w:val="FFFFFF"/>
                                <w:sz w:val="20"/>
                              </w:rPr>
                              <w:t>to</w:t>
                            </w:r>
                            <w:r w:rsidRPr="004E0302">
                              <w:rPr>
                                <w:rFonts w:cs="Arial"/>
                                <w:color w:val="FFFFFF"/>
                                <w:spacing w:val="49"/>
                                <w:sz w:val="20"/>
                              </w:rPr>
                              <w:t xml:space="preserve"> </w:t>
                            </w:r>
                            <w:r w:rsidRPr="004E0302">
                              <w:rPr>
                                <w:rFonts w:cs="Arial"/>
                                <w:color w:val="FFFFFF"/>
                                <w:spacing w:val="-1"/>
                                <w:sz w:val="20"/>
                              </w:rPr>
                              <w:t>stop</w:t>
                            </w:r>
                            <w:r w:rsidRPr="004E0302">
                              <w:rPr>
                                <w:rFonts w:cs="Arial"/>
                                <w:color w:val="FFFFFF"/>
                                <w:spacing w:val="49"/>
                                <w:sz w:val="20"/>
                              </w:rPr>
                              <w:t xml:space="preserve"> </w:t>
                            </w:r>
                            <w:r w:rsidRPr="004E0302">
                              <w:rPr>
                                <w:rFonts w:cs="Arial"/>
                                <w:color w:val="FFFFFF"/>
                                <w:spacing w:val="-1"/>
                                <w:sz w:val="20"/>
                              </w:rPr>
                              <w:t>opening</w:t>
                            </w:r>
                            <w:r w:rsidRPr="004E0302">
                              <w:rPr>
                                <w:rFonts w:cs="Arial"/>
                                <w:color w:val="FFFFFF"/>
                                <w:spacing w:val="49"/>
                                <w:sz w:val="20"/>
                              </w:rPr>
                              <w:t xml:space="preserve"> </w:t>
                            </w:r>
                            <w:r w:rsidRPr="004E0302">
                              <w:rPr>
                                <w:rFonts w:cs="Arial"/>
                                <w:color w:val="FFFFFF"/>
                                <w:spacing w:val="-1"/>
                                <w:sz w:val="20"/>
                              </w:rPr>
                              <w:t>on</w:t>
                            </w:r>
                            <w:r w:rsidRPr="004E0302">
                              <w:rPr>
                                <w:rFonts w:cs="Arial"/>
                                <w:color w:val="FFFFFF"/>
                                <w:spacing w:val="50"/>
                                <w:sz w:val="20"/>
                              </w:rPr>
                              <w:t xml:space="preserve"> </w:t>
                            </w:r>
                            <w:r w:rsidRPr="004E0302">
                              <w:rPr>
                                <w:rFonts w:cs="Arial"/>
                                <w:color w:val="FFFFFF"/>
                                <w:spacing w:val="-1"/>
                                <w:sz w:val="20"/>
                              </w:rPr>
                              <w:t>Wednesday</w:t>
                            </w:r>
                            <w:r w:rsidRPr="004E0302">
                              <w:rPr>
                                <w:rFonts w:cs="Arial"/>
                                <w:color w:val="FFFFFF"/>
                                <w:spacing w:val="51"/>
                                <w:sz w:val="20"/>
                              </w:rPr>
                              <w:t xml:space="preserve"> </w:t>
                            </w:r>
                            <w:r w:rsidRPr="004E0302">
                              <w:rPr>
                                <w:rFonts w:cs="Arial"/>
                                <w:color w:val="FFFFFF"/>
                                <w:spacing w:val="-1"/>
                                <w:sz w:val="20"/>
                              </w:rPr>
                              <w:t>evening</w:t>
                            </w:r>
                            <w:r w:rsidRPr="004E0302">
                              <w:rPr>
                                <w:rFonts w:cs="Arial"/>
                                <w:color w:val="FFFFFF"/>
                                <w:spacing w:val="49"/>
                                <w:sz w:val="20"/>
                              </w:rPr>
                              <w:t xml:space="preserve"> </w:t>
                            </w:r>
                            <w:r w:rsidRPr="004E0302">
                              <w:rPr>
                                <w:rFonts w:cs="Arial"/>
                                <w:color w:val="FFFFFF"/>
                                <w:spacing w:val="-1"/>
                                <w:sz w:val="20"/>
                              </w:rPr>
                              <w:t>and</w:t>
                            </w:r>
                            <w:r w:rsidRPr="004E0302">
                              <w:rPr>
                                <w:rFonts w:cs="Arial"/>
                                <w:color w:val="FFFFFF"/>
                                <w:spacing w:val="49"/>
                                <w:sz w:val="20"/>
                              </w:rPr>
                              <w:t xml:space="preserve"> </w:t>
                            </w:r>
                            <w:r w:rsidRPr="004E0302">
                              <w:rPr>
                                <w:rFonts w:cs="Arial"/>
                                <w:color w:val="FFFFFF"/>
                                <w:spacing w:val="-1"/>
                                <w:sz w:val="20"/>
                              </w:rPr>
                              <w:t>open</w:t>
                            </w:r>
                            <w:r w:rsidRPr="004E0302">
                              <w:rPr>
                                <w:rFonts w:cs="Arial"/>
                                <w:color w:val="FFFFFF"/>
                                <w:spacing w:val="50"/>
                                <w:sz w:val="20"/>
                              </w:rPr>
                              <w:t xml:space="preserve"> </w:t>
                            </w:r>
                            <w:r w:rsidRPr="004E0302">
                              <w:rPr>
                                <w:rFonts w:cs="Arial"/>
                                <w:color w:val="FFFFFF"/>
                                <w:spacing w:val="-1"/>
                                <w:sz w:val="20"/>
                              </w:rPr>
                              <w:t>on</w:t>
                            </w:r>
                            <w:r w:rsidRPr="004E0302">
                              <w:rPr>
                                <w:rFonts w:cs="Arial"/>
                                <w:color w:val="FFFFFF"/>
                                <w:spacing w:val="57"/>
                                <w:sz w:val="20"/>
                              </w:rPr>
                              <w:t xml:space="preserve"> </w:t>
                            </w:r>
                            <w:r w:rsidRPr="004E0302">
                              <w:rPr>
                                <w:rFonts w:cs="Arial"/>
                                <w:color w:val="FFFFFF"/>
                                <w:spacing w:val="-1"/>
                                <w:sz w:val="20"/>
                              </w:rPr>
                              <w:t>Saturday</w:t>
                            </w:r>
                            <w:r w:rsidRPr="004E0302">
                              <w:rPr>
                                <w:rFonts w:cs="Arial"/>
                                <w:color w:val="FFFFFF"/>
                                <w:spacing w:val="43"/>
                                <w:sz w:val="20"/>
                              </w:rPr>
                              <w:t xml:space="preserve"> </w:t>
                            </w:r>
                            <w:r w:rsidRPr="004E0302">
                              <w:rPr>
                                <w:rFonts w:cs="Arial"/>
                                <w:color w:val="FFFFFF"/>
                                <w:spacing w:val="-1"/>
                                <w:sz w:val="20"/>
                              </w:rPr>
                              <w:t>morning</w:t>
                            </w:r>
                            <w:r w:rsidRPr="004E0302">
                              <w:rPr>
                                <w:rFonts w:cs="Arial"/>
                                <w:color w:val="FFFFFF"/>
                                <w:spacing w:val="42"/>
                                <w:sz w:val="20"/>
                              </w:rPr>
                              <w:t xml:space="preserve"> </w:t>
                            </w:r>
                            <w:r w:rsidRPr="004E0302">
                              <w:rPr>
                                <w:rFonts w:cs="Arial"/>
                                <w:color w:val="FFFFFF"/>
                                <w:spacing w:val="-1"/>
                                <w:sz w:val="20"/>
                              </w:rPr>
                              <w:t>instead.</w:t>
                            </w:r>
                            <w:r w:rsidRPr="004E0302">
                              <w:rPr>
                                <w:rFonts w:cs="Arial"/>
                                <w:color w:val="FFFFFF"/>
                                <w:spacing w:val="44"/>
                                <w:sz w:val="20"/>
                              </w:rPr>
                              <w:t xml:space="preserve"> </w:t>
                            </w:r>
                            <w:r w:rsidRPr="004E0302">
                              <w:rPr>
                                <w:rFonts w:cs="Arial"/>
                                <w:color w:val="FFFFFF"/>
                                <w:spacing w:val="-1"/>
                                <w:sz w:val="20"/>
                              </w:rPr>
                              <w:t>The</w:t>
                            </w:r>
                            <w:r w:rsidRPr="004E0302">
                              <w:rPr>
                                <w:rFonts w:cs="Arial"/>
                                <w:color w:val="FFFFFF"/>
                                <w:spacing w:val="42"/>
                                <w:sz w:val="20"/>
                              </w:rPr>
                              <w:t xml:space="preserve"> </w:t>
                            </w:r>
                            <w:r w:rsidRPr="004E0302">
                              <w:rPr>
                                <w:rFonts w:cs="Arial"/>
                                <w:color w:val="FFFFFF"/>
                                <w:spacing w:val="-1"/>
                                <w:sz w:val="20"/>
                              </w:rPr>
                              <w:t>practice</w:t>
                            </w:r>
                            <w:r w:rsidRPr="004E0302">
                              <w:rPr>
                                <w:rFonts w:cs="Arial"/>
                                <w:color w:val="FFFFFF"/>
                                <w:spacing w:val="43"/>
                                <w:sz w:val="20"/>
                              </w:rPr>
                              <w:t xml:space="preserve"> </w:t>
                            </w:r>
                            <w:r w:rsidRPr="004E0302">
                              <w:rPr>
                                <w:rFonts w:cs="Arial"/>
                                <w:color w:val="FFFFFF"/>
                                <w:spacing w:val="-1"/>
                                <w:sz w:val="20"/>
                              </w:rPr>
                              <w:t>is</w:t>
                            </w:r>
                            <w:r w:rsidRPr="004E0302">
                              <w:rPr>
                                <w:rFonts w:cs="Arial"/>
                                <w:color w:val="FFFFFF"/>
                                <w:spacing w:val="44"/>
                                <w:sz w:val="20"/>
                              </w:rPr>
                              <w:t xml:space="preserve"> </w:t>
                            </w:r>
                            <w:r w:rsidRPr="004E0302">
                              <w:rPr>
                                <w:rFonts w:cs="Arial"/>
                                <w:color w:val="FFFFFF"/>
                                <w:spacing w:val="-1"/>
                                <w:sz w:val="20"/>
                              </w:rPr>
                              <w:t>based</w:t>
                            </w:r>
                            <w:r w:rsidRPr="004E0302">
                              <w:rPr>
                                <w:rFonts w:cs="Arial"/>
                                <w:color w:val="FFFFFF"/>
                                <w:spacing w:val="42"/>
                                <w:sz w:val="20"/>
                              </w:rPr>
                              <w:t xml:space="preserve"> </w:t>
                            </w:r>
                            <w:r w:rsidRPr="004E0302">
                              <w:rPr>
                                <w:rFonts w:cs="Arial"/>
                                <w:color w:val="FFFFFF"/>
                                <w:spacing w:val="-1"/>
                                <w:sz w:val="20"/>
                              </w:rPr>
                              <w:t>in</w:t>
                            </w:r>
                            <w:r w:rsidRPr="004E0302">
                              <w:rPr>
                                <w:rFonts w:cs="Arial"/>
                                <w:color w:val="FFFFFF"/>
                                <w:spacing w:val="44"/>
                                <w:sz w:val="20"/>
                              </w:rPr>
                              <w:t xml:space="preserve"> </w:t>
                            </w:r>
                            <w:r w:rsidRPr="004E0302">
                              <w:rPr>
                                <w:rFonts w:cs="Arial"/>
                                <w:color w:val="FFFFFF"/>
                                <w:spacing w:val="-1"/>
                                <w:sz w:val="20"/>
                              </w:rPr>
                              <w:t>an</w:t>
                            </w:r>
                            <w:r w:rsidRPr="004E0302">
                              <w:rPr>
                                <w:rFonts w:cs="Arial"/>
                                <w:color w:val="FFFFFF"/>
                                <w:spacing w:val="43"/>
                                <w:sz w:val="20"/>
                              </w:rPr>
                              <w:t xml:space="preserve"> </w:t>
                            </w:r>
                            <w:r w:rsidRPr="004E0302">
                              <w:rPr>
                                <w:rFonts w:cs="Arial"/>
                                <w:color w:val="FFFFFF"/>
                                <w:spacing w:val="-1"/>
                                <w:sz w:val="20"/>
                              </w:rPr>
                              <w:t>area</w:t>
                            </w:r>
                            <w:r w:rsidRPr="004E0302">
                              <w:rPr>
                                <w:rFonts w:cs="Arial"/>
                                <w:color w:val="FFFFFF"/>
                                <w:spacing w:val="44"/>
                                <w:sz w:val="20"/>
                              </w:rPr>
                              <w:t xml:space="preserve"> </w:t>
                            </w:r>
                            <w:r w:rsidRPr="004E0302">
                              <w:rPr>
                                <w:rFonts w:cs="Arial"/>
                                <w:color w:val="FFFFFF"/>
                                <w:spacing w:val="-1"/>
                                <w:sz w:val="20"/>
                              </w:rPr>
                              <w:t>with</w:t>
                            </w:r>
                            <w:r w:rsidRPr="004E0302">
                              <w:rPr>
                                <w:rFonts w:cs="Arial"/>
                                <w:color w:val="FFFFFF"/>
                                <w:spacing w:val="45"/>
                                <w:sz w:val="20"/>
                              </w:rPr>
                              <w:t xml:space="preserve"> </w:t>
                            </w:r>
                            <w:r w:rsidRPr="004E0302">
                              <w:rPr>
                                <w:rFonts w:cs="Arial"/>
                                <w:color w:val="FFFFFF"/>
                                <w:sz w:val="20"/>
                              </w:rPr>
                              <w:t>a</w:t>
                            </w:r>
                            <w:r w:rsidRPr="004E0302">
                              <w:rPr>
                                <w:rFonts w:cs="Arial"/>
                                <w:color w:val="FFFFFF"/>
                                <w:spacing w:val="61"/>
                                <w:w w:val="99"/>
                                <w:sz w:val="20"/>
                              </w:rPr>
                              <w:t xml:space="preserve"> </w:t>
                            </w:r>
                            <w:r w:rsidRPr="004E0302">
                              <w:rPr>
                                <w:rFonts w:cs="Arial"/>
                                <w:color w:val="FFFFFF"/>
                                <w:spacing w:val="-1"/>
                                <w:sz w:val="20"/>
                              </w:rPr>
                              <w:t>high</w:t>
                            </w:r>
                            <w:r w:rsidRPr="004E0302">
                              <w:rPr>
                                <w:rFonts w:cs="Arial"/>
                                <w:color w:val="FFFFFF"/>
                                <w:spacing w:val="14"/>
                                <w:sz w:val="20"/>
                              </w:rPr>
                              <w:t xml:space="preserve"> </w:t>
                            </w:r>
                            <w:r w:rsidRPr="004E0302">
                              <w:rPr>
                                <w:rFonts w:cs="Arial"/>
                                <w:color w:val="FFFFFF"/>
                                <w:sz w:val="20"/>
                              </w:rPr>
                              <w:t>Jewish</w:t>
                            </w:r>
                            <w:r w:rsidRPr="004E0302">
                              <w:rPr>
                                <w:rFonts w:cs="Arial"/>
                                <w:color w:val="FFFFFF"/>
                                <w:spacing w:val="14"/>
                                <w:sz w:val="20"/>
                              </w:rPr>
                              <w:t xml:space="preserve"> </w:t>
                            </w:r>
                            <w:r w:rsidRPr="004E0302">
                              <w:rPr>
                                <w:rFonts w:cs="Arial"/>
                                <w:color w:val="FFFFFF"/>
                                <w:spacing w:val="-1"/>
                                <w:sz w:val="20"/>
                              </w:rPr>
                              <w:t>population.</w:t>
                            </w:r>
                            <w:r w:rsidRPr="004E0302">
                              <w:rPr>
                                <w:rFonts w:cs="Arial"/>
                                <w:color w:val="FFFFFF"/>
                                <w:spacing w:val="14"/>
                                <w:sz w:val="20"/>
                              </w:rPr>
                              <w:t xml:space="preserve"> </w:t>
                            </w:r>
                            <w:r w:rsidRPr="004E0302">
                              <w:rPr>
                                <w:rFonts w:cs="Arial"/>
                                <w:color w:val="FFFFFF"/>
                                <w:spacing w:val="-1"/>
                                <w:sz w:val="20"/>
                              </w:rPr>
                              <w:t>Relevant</w:t>
                            </w:r>
                            <w:r w:rsidRPr="004E0302">
                              <w:rPr>
                                <w:rFonts w:cs="Arial"/>
                                <w:color w:val="FFFFFF"/>
                                <w:spacing w:val="15"/>
                                <w:sz w:val="20"/>
                              </w:rPr>
                              <w:t xml:space="preserve"> </w:t>
                            </w:r>
                            <w:r w:rsidRPr="004E0302">
                              <w:rPr>
                                <w:rFonts w:cs="Arial"/>
                                <w:color w:val="FFFFFF"/>
                                <w:spacing w:val="-1"/>
                                <w:sz w:val="20"/>
                              </w:rPr>
                              <w:t>factors</w:t>
                            </w:r>
                            <w:r w:rsidRPr="004E0302">
                              <w:rPr>
                                <w:rFonts w:cs="Arial"/>
                                <w:color w:val="FFFFFF"/>
                                <w:spacing w:val="15"/>
                                <w:sz w:val="20"/>
                              </w:rPr>
                              <w:t xml:space="preserve"> </w:t>
                            </w:r>
                            <w:r w:rsidRPr="004E0302">
                              <w:rPr>
                                <w:rFonts w:cs="Arial"/>
                                <w:color w:val="FFFFFF"/>
                                <w:spacing w:val="-1"/>
                                <w:sz w:val="20"/>
                              </w:rPr>
                              <w:t>in</w:t>
                            </w:r>
                            <w:r w:rsidRPr="004E0302">
                              <w:rPr>
                                <w:rFonts w:cs="Arial"/>
                                <w:color w:val="FFFFFF"/>
                                <w:spacing w:val="18"/>
                                <w:sz w:val="20"/>
                              </w:rPr>
                              <w:t xml:space="preserve"> </w:t>
                            </w:r>
                            <w:r w:rsidRPr="004E0302">
                              <w:rPr>
                                <w:rFonts w:cs="Arial"/>
                                <w:color w:val="FFFFFF"/>
                                <w:spacing w:val="-1"/>
                                <w:sz w:val="20"/>
                              </w:rPr>
                              <w:t>this</w:t>
                            </w:r>
                            <w:r w:rsidRPr="004E0302">
                              <w:rPr>
                                <w:rFonts w:cs="Arial"/>
                                <w:color w:val="FFFFFF"/>
                                <w:spacing w:val="15"/>
                                <w:sz w:val="20"/>
                              </w:rPr>
                              <w:t xml:space="preserve"> </w:t>
                            </w:r>
                            <w:r w:rsidRPr="004E0302">
                              <w:rPr>
                                <w:rFonts w:cs="Arial"/>
                                <w:color w:val="FFFFFF"/>
                                <w:spacing w:val="-1"/>
                                <w:sz w:val="20"/>
                              </w:rPr>
                              <w:t>decision</w:t>
                            </w:r>
                            <w:r w:rsidRPr="004E0302">
                              <w:rPr>
                                <w:rFonts w:cs="Arial"/>
                                <w:color w:val="FFFFFF"/>
                                <w:spacing w:val="17"/>
                                <w:sz w:val="20"/>
                              </w:rPr>
                              <w:t xml:space="preserve"> </w:t>
                            </w:r>
                            <w:r w:rsidRPr="004E0302">
                              <w:rPr>
                                <w:rFonts w:cs="Arial"/>
                                <w:color w:val="FFFFFF"/>
                                <w:spacing w:val="-1"/>
                                <w:sz w:val="20"/>
                              </w:rPr>
                              <w:t>include</w:t>
                            </w:r>
                            <w:r w:rsidRPr="004E0302">
                              <w:rPr>
                                <w:rFonts w:cs="Arial"/>
                                <w:color w:val="FFFFFF"/>
                                <w:spacing w:val="54"/>
                                <w:w w:val="99"/>
                                <w:sz w:val="20"/>
                              </w:rPr>
                              <w:t xml:space="preserve"> </w:t>
                            </w:r>
                            <w:r w:rsidRPr="004E0302">
                              <w:rPr>
                                <w:rFonts w:cs="Arial"/>
                                <w:color w:val="FFFFFF"/>
                                <w:spacing w:val="-1"/>
                                <w:sz w:val="20"/>
                              </w:rPr>
                              <w:t>whether</w:t>
                            </w:r>
                            <w:r w:rsidRPr="004E0302">
                              <w:rPr>
                                <w:rFonts w:cs="Arial"/>
                                <w:color w:val="FFFFFF"/>
                                <w:spacing w:val="-3"/>
                                <w:sz w:val="20"/>
                              </w:rPr>
                              <w:t xml:space="preserve"> </w:t>
                            </w:r>
                            <w:r w:rsidRPr="004E0302">
                              <w:rPr>
                                <w:rFonts w:cs="Arial"/>
                                <w:color w:val="FFFFFF"/>
                                <w:spacing w:val="-1"/>
                                <w:sz w:val="20"/>
                              </w:rPr>
                              <w:t>services will</w:t>
                            </w:r>
                            <w:r w:rsidRPr="004E0302">
                              <w:rPr>
                                <w:rFonts w:cs="Arial"/>
                                <w:color w:val="FFFFFF"/>
                                <w:spacing w:val="-2"/>
                                <w:sz w:val="20"/>
                              </w:rPr>
                              <w:t xml:space="preserve"> </w:t>
                            </w:r>
                            <w:r w:rsidRPr="004E0302">
                              <w:rPr>
                                <w:rFonts w:cs="Arial"/>
                                <w:color w:val="FFFFFF"/>
                                <w:spacing w:val="-1"/>
                                <w:sz w:val="20"/>
                              </w:rPr>
                              <w:t>become</w:t>
                            </w:r>
                            <w:r w:rsidRPr="004E0302">
                              <w:rPr>
                                <w:rFonts w:cs="Arial"/>
                                <w:color w:val="FFFFFF"/>
                                <w:spacing w:val="-3"/>
                                <w:sz w:val="20"/>
                              </w:rPr>
                              <w:t xml:space="preserve"> </w:t>
                            </w:r>
                            <w:r w:rsidRPr="004E0302">
                              <w:rPr>
                                <w:rFonts w:cs="Arial"/>
                                <w:color w:val="FFFFFF"/>
                                <w:sz w:val="20"/>
                              </w:rPr>
                              <w:t>more</w:t>
                            </w:r>
                            <w:r w:rsidRPr="004E0302">
                              <w:rPr>
                                <w:rFonts w:cs="Arial"/>
                                <w:color w:val="FFFFFF"/>
                                <w:spacing w:val="-3"/>
                                <w:sz w:val="20"/>
                              </w:rPr>
                              <w:t xml:space="preserve"> </w:t>
                            </w:r>
                            <w:r w:rsidRPr="004E0302">
                              <w:rPr>
                                <w:rFonts w:cs="Arial"/>
                                <w:color w:val="FFFFFF"/>
                                <w:spacing w:val="-1"/>
                                <w:sz w:val="20"/>
                              </w:rPr>
                              <w:t>or</w:t>
                            </w:r>
                            <w:r w:rsidRPr="004E0302">
                              <w:rPr>
                                <w:rFonts w:cs="Arial"/>
                                <w:color w:val="FFFFFF"/>
                                <w:spacing w:val="-2"/>
                                <w:sz w:val="20"/>
                              </w:rPr>
                              <w:t xml:space="preserve"> </w:t>
                            </w:r>
                            <w:r w:rsidRPr="004E0302">
                              <w:rPr>
                                <w:rFonts w:cs="Arial"/>
                                <w:color w:val="FFFFFF"/>
                                <w:sz w:val="20"/>
                              </w:rPr>
                              <w:t>less</w:t>
                            </w:r>
                            <w:r w:rsidRPr="004E0302">
                              <w:rPr>
                                <w:rFonts w:cs="Arial"/>
                                <w:color w:val="FFFFFF"/>
                                <w:spacing w:val="-2"/>
                                <w:sz w:val="20"/>
                              </w:rPr>
                              <w:t xml:space="preserve"> </w:t>
                            </w:r>
                            <w:r w:rsidRPr="004E0302">
                              <w:rPr>
                                <w:rFonts w:cs="Arial"/>
                                <w:color w:val="FFFFFF"/>
                                <w:spacing w:val="-1"/>
                                <w:sz w:val="20"/>
                              </w:rPr>
                              <w:t>accessible</w:t>
                            </w:r>
                            <w:r w:rsidRPr="004E0302">
                              <w:rPr>
                                <w:rFonts w:cs="Arial"/>
                                <w:color w:val="FFFFFF"/>
                                <w:spacing w:val="-3"/>
                                <w:sz w:val="20"/>
                              </w:rPr>
                              <w:t xml:space="preserve"> </w:t>
                            </w:r>
                            <w:r w:rsidRPr="004E0302">
                              <w:rPr>
                                <w:rFonts w:cs="Arial"/>
                                <w:color w:val="FFFFFF"/>
                                <w:spacing w:val="-1"/>
                                <w:sz w:val="20"/>
                              </w:rPr>
                              <w:t>as</w:t>
                            </w:r>
                            <w:r w:rsidRPr="004E0302">
                              <w:rPr>
                                <w:rFonts w:cs="Arial"/>
                                <w:color w:val="FFFFFF"/>
                                <w:spacing w:val="-2"/>
                                <w:sz w:val="20"/>
                              </w:rPr>
                              <w:t xml:space="preserve"> </w:t>
                            </w:r>
                            <w:r w:rsidRPr="004E0302">
                              <w:rPr>
                                <w:rFonts w:cs="Arial"/>
                                <w:color w:val="FFFFFF"/>
                                <w:sz w:val="20"/>
                              </w:rPr>
                              <w:t>a</w:t>
                            </w:r>
                            <w:r w:rsidRPr="004E0302">
                              <w:rPr>
                                <w:rFonts w:cs="Arial"/>
                                <w:color w:val="FFFFFF"/>
                                <w:spacing w:val="-2"/>
                                <w:sz w:val="20"/>
                              </w:rPr>
                              <w:t xml:space="preserve"> </w:t>
                            </w:r>
                            <w:r w:rsidRPr="004E0302">
                              <w:rPr>
                                <w:rFonts w:cs="Arial"/>
                                <w:color w:val="FFFFFF"/>
                                <w:spacing w:val="-1"/>
                                <w:sz w:val="20"/>
                              </w:rPr>
                              <w:t>result</w:t>
                            </w:r>
                            <w:r w:rsidRPr="004E0302">
                              <w:rPr>
                                <w:rFonts w:cs="Arial"/>
                                <w:color w:val="FFFFFF"/>
                                <w:spacing w:val="-2"/>
                                <w:sz w:val="20"/>
                              </w:rPr>
                              <w:t xml:space="preserve"> </w:t>
                            </w:r>
                            <w:r w:rsidRPr="004E0302">
                              <w:rPr>
                                <w:rFonts w:cs="Arial"/>
                                <w:color w:val="FFFFFF"/>
                                <w:spacing w:val="-1"/>
                                <w:sz w:val="20"/>
                              </w:rPr>
                              <w:t>of</w:t>
                            </w:r>
                            <w:r w:rsidRPr="004E0302">
                              <w:rPr>
                                <w:rFonts w:cs="Arial"/>
                                <w:color w:val="FFFFFF"/>
                                <w:spacing w:val="-3"/>
                                <w:sz w:val="20"/>
                              </w:rPr>
                              <w:t xml:space="preserve"> </w:t>
                            </w:r>
                            <w:r w:rsidRPr="004E0302">
                              <w:rPr>
                                <w:rFonts w:cs="Arial"/>
                                <w:color w:val="FFFFFF"/>
                                <w:spacing w:val="-1"/>
                                <w:sz w:val="20"/>
                              </w:rPr>
                              <w:t>the</w:t>
                            </w:r>
                            <w:r w:rsidRPr="004E0302">
                              <w:rPr>
                                <w:rFonts w:cs="Arial"/>
                                <w:color w:val="FFFFFF"/>
                                <w:spacing w:val="53"/>
                                <w:w w:val="99"/>
                                <w:sz w:val="20"/>
                              </w:rPr>
                              <w:t xml:space="preserve"> </w:t>
                            </w:r>
                            <w:r w:rsidRPr="004E0302">
                              <w:rPr>
                                <w:rFonts w:cs="Arial"/>
                                <w:color w:val="FFFFFF"/>
                                <w:spacing w:val="-1"/>
                                <w:sz w:val="20"/>
                              </w:rPr>
                              <w:t>change,</w:t>
                            </w:r>
                            <w:r w:rsidRPr="004E0302">
                              <w:rPr>
                                <w:rFonts w:cs="Arial"/>
                                <w:color w:val="FFFFFF"/>
                                <w:spacing w:val="15"/>
                                <w:sz w:val="20"/>
                              </w:rPr>
                              <w:t xml:space="preserve"> </w:t>
                            </w:r>
                            <w:r w:rsidRPr="004E0302">
                              <w:rPr>
                                <w:rFonts w:cs="Arial"/>
                                <w:color w:val="FFFFFF"/>
                                <w:spacing w:val="-1"/>
                                <w:sz w:val="20"/>
                              </w:rPr>
                              <w:t>any</w:t>
                            </w:r>
                            <w:r w:rsidRPr="004E0302">
                              <w:rPr>
                                <w:rFonts w:cs="Arial"/>
                                <w:color w:val="FFFFFF"/>
                                <w:spacing w:val="13"/>
                                <w:sz w:val="20"/>
                              </w:rPr>
                              <w:t xml:space="preserve"> </w:t>
                            </w:r>
                            <w:r w:rsidRPr="004E0302">
                              <w:rPr>
                                <w:rFonts w:cs="Arial"/>
                                <w:color w:val="FFFFFF"/>
                                <w:sz w:val="20"/>
                              </w:rPr>
                              <w:t>adverse</w:t>
                            </w:r>
                            <w:r w:rsidRPr="004E0302">
                              <w:rPr>
                                <w:rFonts w:cs="Arial"/>
                                <w:color w:val="FFFFFF"/>
                                <w:spacing w:val="13"/>
                                <w:sz w:val="20"/>
                              </w:rPr>
                              <w:t xml:space="preserve"> </w:t>
                            </w:r>
                            <w:r w:rsidRPr="004E0302">
                              <w:rPr>
                                <w:rFonts w:cs="Arial"/>
                                <w:color w:val="FFFFFF"/>
                                <w:spacing w:val="-1"/>
                                <w:sz w:val="20"/>
                              </w:rPr>
                              <w:t>impact</w:t>
                            </w:r>
                            <w:r w:rsidRPr="004E0302">
                              <w:rPr>
                                <w:rFonts w:cs="Arial"/>
                                <w:color w:val="FFFFFF"/>
                                <w:spacing w:val="13"/>
                                <w:sz w:val="20"/>
                              </w:rPr>
                              <w:t xml:space="preserve"> </w:t>
                            </w:r>
                            <w:r w:rsidRPr="004E0302">
                              <w:rPr>
                                <w:rFonts w:cs="Arial"/>
                                <w:color w:val="FFFFFF"/>
                                <w:spacing w:val="-1"/>
                                <w:sz w:val="20"/>
                              </w:rPr>
                              <w:t>on</w:t>
                            </w:r>
                            <w:r w:rsidRPr="004E0302">
                              <w:rPr>
                                <w:rFonts w:cs="Arial"/>
                                <w:color w:val="FFFFFF"/>
                                <w:spacing w:val="15"/>
                                <w:sz w:val="20"/>
                              </w:rPr>
                              <w:t xml:space="preserve"> </w:t>
                            </w:r>
                            <w:r w:rsidRPr="004E0302">
                              <w:rPr>
                                <w:rFonts w:cs="Arial"/>
                                <w:color w:val="FFFFFF"/>
                                <w:spacing w:val="-1"/>
                                <w:sz w:val="20"/>
                              </w:rPr>
                              <w:t>people</w:t>
                            </w:r>
                            <w:r w:rsidRPr="004E0302">
                              <w:rPr>
                                <w:rFonts w:cs="Arial"/>
                                <w:color w:val="FFFFFF"/>
                                <w:spacing w:val="15"/>
                                <w:sz w:val="20"/>
                              </w:rPr>
                              <w:t xml:space="preserve"> </w:t>
                            </w:r>
                            <w:r w:rsidRPr="004E0302">
                              <w:rPr>
                                <w:rFonts w:cs="Arial"/>
                                <w:color w:val="FFFFFF"/>
                                <w:spacing w:val="-1"/>
                                <w:sz w:val="20"/>
                              </w:rPr>
                              <w:t>with</w:t>
                            </w:r>
                            <w:r w:rsidRPr="004E0302">
                              <w:rPr>
                                <w:rFonts w:cs="Arial"/>
                                <w:color w:val="FFFFFF"/>
                                <w:spacing w:val="15"/>
                                <w:sz w:val="20"/>
                              </w:rPr>
                              <w:t xml:space="preserve"> </w:t>
                            </w:r>
                            <w:r w:rsidRPr="004E0302">
                              <w:rPr>
                                <w:rFonts w:cs="Arial"/>
                                <w:color w:val="FFFFFF"/>
                                <w:spacing w:val="-1"/>
                                <w:sz w:val="20"/>
                              </w:rPr>
                              <w:t>protected</w:t>
                            </w:r>
                            <w:r w:rsidRPr="004E0302">
                              <w:rPr>
                                <w:rFonts w:cs="Arial"/>
                                <w:color w:val="FFFFFF"/>
                                <w:spacing w:val="13"/>
                                <w:sz w:val="20"/>
                              </w:rPr>
                              <w:t xml:space="preserve"> </w:t>
                            </w:r>
                            <w:r w:rsidRPr="004E0302">
                              <w:rPr>
                                <w:rFonts w:cs="Arial"/>
                                <w:color w:val="FFFFFF"/>
                                <w:spacing w:val="-1"/>
                                <w:sz w:val="20"/>
                              </w:rPr>
                              <w:t>characteristics</w:t>
                            </w:r>
                            <w:r w:rsidRPr="004E0302">
                              <w:rPr>
                                <w:rFonts w:cs="Arial"/>
                                <w:color w:val="FFFFFF"/>
                                <w:spacing w:val="65"/>
                                <w:sz w:val="20"/>
                              </w:rPr>
                              <w:t xml:space="preserve"> </w:t>
                            </w:r>
                            <w:r w:rsidRPr="004E0302">
                              <w:rPr>
                                <w:rFonts w:cs="Arial"/>
                                <w:color w:val="FFFFFF"/>
                                <w:spacing w:val="-1"/>
                                <w:sz w:val="20"/>
                              </w:rPr>
                              <w:t>(is</w:t>
                            </w:r>
                            <w:r w:rsidRPr="004E0302">
                              <w:rPr>
                                <w:rFonts w:cs="Arial"/>
                                <w:color w:val="FFFFFF"/>
                                <w:spacing w:val="4"/>
                                <w:sz w:val="20"/>
                              </w:rPr>
                              <w:t xml:space="preserve"> </w:t>
                            </w:r>
                            <w:r w:rsidRPr="004E0302">
                              <w:rPr>
                                <w:rFonts w:cs="Arial"/>
                                <w:color w:val="FFFFFF"/>
                                <w:spacing w:val="-1"/>
                                <w:sz w:val="20"/>
                              </w:rPr>
                              <w:t>the</w:t>
                            </w:r>
                            <w:r w:rsidRPr="004E0302">
                              <w:rPr>
                                <w:rFonts w:cs="Arial"/>
                                <w:color w:val="FFFFFF"/>
                                <w:spacing w:val="3"/>
                                <w:sz w:val="20"/>
                              </w:rPr>
                              <w:t xml:space="preserve"> </w:t>
                            </w:r>
                            <w:r w:rsidRPr="004E0302">
                              <w:rPr>
                                <w:rFonts w:cs="Arial"/>
                                <w:color w:val="FFFFFF"/>
                                <w:spacing w:val="-1"/>
                                <w:sz w:val="20"/>
                              </w:rPr>
                              <w:t>Jewish</w:t>
                            </w:r>
                            <w:r w:rsidRPr="004E0302">
                              <w:rPr>
                                <w:rFonts w:cs="Arial"/>
                                <w:color w:val="FFFFFF"/>
                                <w:spacing w:val="3"/>
                                <w:sz w:val="20"/>
                              </w:rPr>
                              <w:t xml:space="preserve"> </w:t>
                            </w:r>
                            <w:r w:rsidRPr="004E0302">
                              <w:rPr>
                                <w:rFonts w:cs="Arial"/>
                                <w:color w:val="FFFFFF"/>
                                <w:spacing w:val="-1"/>
                                <w:sz w:val="20"/>
                              </w:rPr>
                              <w:t>population</w:t>
                            </w:r>
                            <w:r w:rsidRPr="004E0302">
                              <w:rPr>
                                <w:rFonts w:cs="Arial"/>
                                <w:color w:val="FFFFFF"/>
                                <w:spacing w:val="4"/>
                                <w:sz w:val="20"/>
                              </w:rPr>
                              <w:t xml:space="preserve"> </w:t>
                            </w:r>
                            <w:r w:rsidRPr="004E0302">
                              <w:rPr>
                                <w:rFonts w:cs="Arial"/>
                                <w:color w:val="FFFFFF"/>
                                <w:spacing w:val="-1"/>
                                <w:sz w:val="20"/>
                              </w:rPr>
                              <w:t>disadvantaged</w:t>
                            </w:r>
                            <w:r w:rsidRPr="004E0302">
                              <w:rPr>
                                <w:rFonts w:cs="Arial"/>
                                <w:color w:val="FFFFFF"/>
                                <w:spacing w:val="2"/>
                                <w:sz w:val="20"/>
                              </w:rPr>
                              <w:t xml:space="preserve"> </w:t>
                            </w:r>
                            <w:r w:rsidRPr="004E0302">
                              <w:rPr>
                                <w:rFonts w:cs="Arial"/>
                                <w:color w:val="FFFFFF"/>
                                <w:spacing w:val="-1"/>
                                <w:sz w:val="20"/>
                              </w:rPr>
                              <w:t>as</w:t>
                            </w:r>
                            <w:r w:rsidRPr="004E0302">
                              <w:rPr>
                                <w:rFonts w:cs="Arial"/>
                                <w:color w:val="FFFFFF"/>
                                <w:spacing w:val="7"/>
                                <w:sz w:val="20"/>
                              </w:rPr>
                              <w:t xml:space="preserve"> </w:t>
                            </w:r>
                            <w:r w:rsidRPr="004E0302">
                              <w:rPr>
                                <w:rFonts w:cs="Arial"/>
                                <w:color w:val="FFFFFF"/>
                                <w:spacing w:val="-1"/>
                                <w:sz w:val="20"/>
                              </w:rPr>
                              <w:t>Saturday</w:t>
                            </w:r>
                            <w:r w:rsidRPr="004E0302">
                              <w:rPr>
                                <w:rFonts w:cs="Arial"/>
                                <w:color w:val="FFFFFF"/>
                                <w:spacing w:val="4"/>
                                <w:sz w:val="20"/>
                              </w:rPr>
                              <w:t xml:space="preserve"> </w:t>
                            </w:r>
                            <w:r w:rsidRPr="004E0302">
                              <w:rPr>
                                <w:rFonts w:cs="Arial"/>
                                <w:color w:val="FFFFFF"/>
                                <w:spacing w:val="-1"/>
                                <w:sz w:val="20"/>
                              </w:rPr>
                              <w:t>falls</w:t>
                            </w:r>
                            <w:r w:rsidRPr="004E0302">
                              <w:rPr>
                                <w:rFonts w:cs="Arial"/>
                                <w:color w:val="FFFFFF"/>
                                <w:spacing w:val="5"/>
                                <w:sz w:val="20"/>
                              </w:rPr>
                              <w:t xml:space="preserve"> </w:t>
                            </w:r>
                            <w:r w:rsidRPr="004E0302">
                              <w:rPr>
                                <w:rFonts w:cs="Arial"/>
                                <w:color w:val="FFFFFF"/>
                                <w:spacing w:val="-1"/>
                                <w:sz w:val="20"/>
                              </w:rPr>
                              <w:t>on</w:t>
                            </w:r>
                            <w:r w:rsidRPr="004E0302">
                              <w:rPr>
                                <w:rFonts w:cs="Arial"/>
                                <w:color w:val="FFFFFF"/>
                                <w:sz w:val="20"/>
                              </w:rPr>
                              <w:t xml:space="preserve"> </w:t>
                            </w:r>
                            <w:r w:rsidRPr="004E0302">
                              <w:rPr>
                                <w:rFonts w:cs="Arial"/>
                                <w:color w:val="FFFFFF"/>
                                <w:spacing w:val="3"/>
                                <w:sz w:val="20"/>
                              </w:rPr>
                              <w:t xml:space="preserve"> </w:t>
                            </w:r>
                            <w:r w:rsidRPr="004E0302">
                              <w:rPr>
                                <w:rFonts w:cs="Arial"/>
                                <w:color w:val="FFFFFF"/>
                                <w:spacing w:val="-1"/>
                                <w:sz w:val="20"/>
                              </w:rPr>
                              <w:t>the</w:t>
                            </w:r>
                            <w:r w:rsidRPr="004E0302">
                              <w:rPr>
                                <w:rFonts w:cs="Arial"/>
                                <w:color w:val="FFFFFF"/>
                                <w:spacing w:val="53"/>
                                <w:w w:val="99"/>
                                <w:sz w:val="20"/>
                              </w:rPr>
                              <w:t xml:space="preserve"> </w:t>
                            </w:r>
                            <w:r w:rsidRPr="004E0302">
                              <w:rPr>
                                <w:rFonts w:cs="Arial"/>
                                <w:color w:val="FFFFFF"/>
                                <w:spacing w:val="-1"/>
                                <w:sz w:val="20"/>
                              </w:rPr>
                              <w:t>Jewish</w:t>
                            </w:r>
                            <w:r w:rsidRPr="004E0302">
                              <w:rPr>
                                <w:rFonts w:cs="Arial"/>
                                <w:color w:val="FFFFFF"/>
                                <w:spacing w:val="39"/>
                                <w:sz w:val="20"/>
                              </w:rPr>
                              <w:t xml:space="preserve"> </w:t>
                            </w:r>
                            <w:r w:rsidRPr="004E0302">
                              <w:rPr>
                                <w:rFonts w:cs="Arial"/>
                                <w:color w:val="FFFFFF"/>
                                <w:spacing w:val="-1"/>
                                <w:sz w:val="20"/>
                              </w:rPr>
                              <w:t>rest</w:t>
                            </w:r>
                            <w:r w:rsidRPr="004E0302">
                              <w:rPr>
                                <w:rFonts w:cs="Arial"/>
                                <w:color w:val="FFFFFF"/>
                                <w:spacing w:val="40"/>
                                <w:sz w:val="20"/>
                              </w:rPr>
                              <w:t xml:space="preserve"> </w:t>
                            </w:r>
                            <w:r w:rsidRPr="004E0302">
                              <w:rPr>
                                <w:rFonts w:cs="Arial"/>
                                <w:color w:val="FFFFFF"/>
                                <w:spacing w:val="-1"/>
                                <w:sz w:val="20"/>
                              </w:rPr>
                              <w:t>day?)</w:t>
                            </w:r>
                            <w:r w:rsidRPr="004E0302">
                              <w:rPr>
                                <w:rFonts w:cs="Arial"/>
                                <w:color w:val="FFFFFF"/>
                                <w:spacing w:val="39"/>
                                <w:sz w:val="20"/>
                              </w:rPr>
                              <w:t xml:space="preserve"> </w:t>
                            </w:r>
                            <w:r w:rsidRPr="004E0302">
                              <w:rPr>
                                <w:rFonts w:cs="Arial"/>
                                <w:color w:val="FFFFFF"/>
                                <w:sz w:val="20"/>
                              </w:rPr>
                              <w:t>and</w:t>
                            </w:r>
                            <w:r w:rsidRPr="004E0302">
                              <w:rPr>
                                <w:rFonts w:cs="Arial"/>
                                <w:color w:val="FFFFFF"/>
                                <w:spacing w:val="40"/>
                                <w:sz w:val="20"/>
                              </w:rPr>
                              <w:t xml:space="preserve"> </w:t>
                            </w:r>
                            <w:r w:rsidRPr="004E0302">
                              <w:rPr>
                                <w:rFonts w:cs="Arial"/>
                                <w:color w:val="FFFFFF"/>
                                <w:spacing w:val="-1"/>
                                <w:sz w:val="20"/>
                              </w:rPr>
                              <w:t>any</w:t>
                            </w:r>
                            <w:r w:rsidRPr="004E0302">
                              <w:rPr>
                                <w:rFonts w:cs="Arial"/>
                                <w:color w:val="FFFFFF"/>
                                <w:spacing w:val="40"/>
                                <w:sz w:val="20"/>
                              </w:rPr>
                              <w:t xml:space="preserve"> </w:t>
                            </w:r>
                            <w:r w:rsidRPr="004E0302">
                              <w:rPr>
                                <w:rFonts w:cs="Arial"/>
                                <w:color w:val="FFFFFF"/>
                                <w:spacing w:val="-1"/>
                                <w:sz w:val="20"/>
                              </w:rPr>
                              <w:t>costs</w:t>
                            </w:r>
                            <w:r w:rsidRPr="004E0302">
                              <w:rPr>
                                <w:rFonts w:cs="Arial"/>
                                <w:color w:val="FFFFFF"/>
                                <w:spacing w:val="40"/>
                                <w:sz w:val="20"/>
                              </w:rPr>
                              <w:t xml:space="preserve"> </w:t>
                            </w:r>
                            <w:r w:rsidRPr="004E0302">
                              <w:rPr>
                                <w:rFonts w:cs="Arial"/>
                                <w:color w:val="FFFFFF"/>
                                <w:spacing w:val="-1"/>
                                <w:sz w:val="20"/>
                              </w:rPr>
                              <w:t>implications</w:t>
                            </w:r>
                            <w:r w:rsidRPr="004E0302">
                              <w:rPr>
                                <w:rFonts w:cs="Arial"/>
                                <w:color w:val="FFFFFF"/>
                                <w:spacing w:val="42"/>
                                <w:sz w:val="20"/>
                              </w:rPr>
                              <w:t xml:space="preserve"> </w:t>
                            </w:r>
                            <w:r w:rsidRPr="004E0302">
                              <w:rPr>
                                <w:rFonts w:cs="Arial"/>
                                <w:color w:val="FFFFFF"/>
                                <w:spacing w:val="-1"/>
                                <w:sz w:val="20"/>
                              </w:rPr>
                              <w:t>for</w:t>
                            </w:r>
                            <w:r w:rsidRPr="004E0302">
                              <w:rPr>
                                <w:rFonts w:cs="Arial"/>
                                <w:color w:val="FFFFFF"/>
                                <w:spacing w:val="39"/>
                                <w:sz w:val="20"/>
                              </w:rPr>
                              <w:t xml:space="preserve"> </w:t>
                            </w:r>
                            <w:r w:rsidRPr="004E0302">
                              <w:rPr>
                                <w:rFonts w:cs="Arial"/>
                                <w:color w:val="FFFFFF"/>
                                <w:sz w:val="20"/>
                              </w:rPr>
                              <w:t>the commissioner</w:t>
                            </w:r>
                            <w:r w:rsidRPr="004E0302">
                              <w:rPr>
                                <w:rFonts w:cs="Arial"/>
                                <w:color w:val="FFFFFF"/>
                                <w:spacing w:val="-1"/>
                                <w:sz w:val="20"/>
                              </w:rPr>
                              <w:t>.</w:t>
                            </w:r>
                            <w:r w:rsidRPr="004E0302">
                              <w:rPr>
                                <w:rFonts w:cs="Arial"/>
                                <w:color w:val="FFFFFF"/>
                                <w:spacing w:val="16"/>
                                <w:sz w:val="20"/>
                              </w:rPr>
                              <w:t xml:space="preserve"> </w:t>
                            </w:r>
                            <w:r w:rsidRPr="004E0302">
                              <w:rPr>
                                <w:rFonts w:cs="Arial"/>
                                <w:color w:val="FFFFFF"/>
                                <w:sz w:val="20"/>
                              </w:rPr>
                              <w:t>An</w:t>
                            </w:r>
                            <w:r w:rsidRPr="004E0302">
                              <w:rPr>
                                <w:rFonts w:cs="Arial"/>
                                <w:color w:val="FFFFFF"/>
                                <w:spacing w:val="51"/>
                                <w:sz w:val="20"/>
                              </w:rPr>
                              <w:t xml:space="preserve"> </w:t>
                            </w:r>
                            <w:r w:rsidRPr="004E0302">
                              <w:rPr>
                                <w:rFonts w:cs="Arial"/>
                                <w:color w:val="FFFFFF"/>
                                <w:spacing w:val="-1"/>
                                <w:sz w:val="20"/>
                              </w:rPr>
                              <w:t>example</w:t>
                            </w:r>
                            <w:r w:rsidRPr="004E0302">
                              <w:rPr>
                                <w:rFonts w:cs="Arial"/>
                                <w:color w:val="FFFFFF"/>
                                <w:spacing w:val="25"/>
                                <w:sz w:val="20"/>
                              </w:rPr>
                              <w:t xml:space="preserve"> </w:t>
                            </w:r>
                            <w:r w:rsidRPr="004E0302">
                              <w:rPr>
                                <w:rFonts w:cs="Arial"/>
                                <w:color w:val="FFFFFF"/>
                                <w:spacing w:val="-1"/>
                                <w:sz w:val="20"/>
                              </w:rPr>
                              <w:t>of</w:t>
                            </w:r>
                            <w:r w:rsidRPr="004E0302">
                              <w:rPr>
                                <w:rFonts w:cs="Arial"/>
                                <w:color w:val="FFFFFF"/>
                                <w:spacing w:val="25"/>
                                <w:sz w:val="20"/>
                              </w:rPr>
                              <w:t xml:space="preserve"> </w:t>
                            </w:r>
                            <w:r w:rsidRPr="004E0302">
                              <w:rPr>
                                <w:rFonts w:cs="Arial"/>
                                <w:color w:val="FFFFFF"/>
                                <w:spacing w:val="-1"/>
                                <w:sz w:val="20"/>
                              </w:rPr>
                              <w:t>an</w:t>
                            </w:r>
                            <w:r w:rsidRPr="004E0302">
                              <w:rPr>
                                <w:rFonts w:cs="Arial"/>
                                <w:color w:val="FFFFFF"/>
                                <w:spacing w:val="26"/>
                                <w:sz w:val="20"/>
                              </w:rPr>
                              <w:t xml:space="preserve"> </w:t>
                            </w:r>
                            <w:r w:rsidRPr="004E0302">
                              <w:rPr>
                                <w:rFonts w:cs="Arial"/>
                                <w:color w:val="FFFFFF"/>
                                <w:spacing w:val="-1"/>
                                <w:sz w:val="20"/>
                              </w:rPr>
                              <w:t>irrelevant</w:t>
                            </w:r>
                            <w:r w:rsidRPr="004E0302">
                              <w:rPr>
                                <w:rFonts w:cs="Arial"/>
                                <w:color w:val="FFFFFF"/>
                                <w:spacing w:val="26"/>
                                <w:sz w:val="20"/>
                              </w:rPr>
                              <w:t xml:space="preserve"> </w:t>
                            </w:r>
                            <w:r w:rsidRPr="004E0302">
                              <w:rPr>
                                <w:rFonts w:cs="Arial"/>
                                <w:color w:val="FFFFFF"/>
                                <w:spacing w:val="-1"/>
                                <w:sz w:val="20"/>
                              </w:rPr>
                              <w:t>factor</w:t>
                            </w:r>
                            <w:r w:rsidRPr="004E0302">
                              <w:rPr>
                                <w:rFonts w:cs="Arial"/>
                                <w:color w:val="FFFFFF"/>
                                <w:spacing w:val="26"/>
                                <w:sz w:val="20"/>
                              </w:rPr>
                              <w:t xml:space="preserve"> </w:t>
                            </w:r>
                            <w:r w:rsidRPr="004E0302">
                              <w:rPr>
                                <w:rFonts w:cs="Arial"/>
                                <w:color w:val="FFFFFF"/>
                                <w:spacing w:val="-1"/>
                                <w:sz w:val="20"/>
                              </w:rPr>
                              <w:t>is</w:t>
                            </w:r>
                            <w:r w:rsidRPr="004E0302">
                              <w:rPr>
                                <w:rFonts w:cs="Arial"/>
                                <w:color w:val="FFFFFF"/>
                                <w:spacing w:val="27"/>
                                <w:sz w:val="20"/>
                              </w:rPr>
                              <w:t xml:space="preserve"> </w:t>
                            </w:r>
                            <w:r w:rsidRPr="004E0302">
                              <w:rPr>
                                <w:rFonts w:cs="Arial"/>
                                <w:color w:val="FFFFFF"/>
                                <w:spacing w:val="-1"/>
                                <w:sz w:val="20"/>
                              </w:rPr>
                              <w:t>that</w:t>
                            </w:r>
                            <w:r w:rsidRPr="004E0302">
                              <w:rPr>
                                <w:rFonts w:cs="Arial"/>
                                <w:color w:val="FFFFFF"/>
                                <w:spacing w:val="26"/>
                                <w:sz w:val="20"/>
                              </w:rPr>
                              <w:t xml:space="preserve"> </w:t>
                            </w:r>
                            <w:r w:rsidRPr="004E0302">
                              <w:rPr>
                                <w:rFonts w:cs="Arial"/>
                                <w:color w:val="FFFFFF"/>
                                <w:spacing w:val="-2"/>
                                <w:sz w:val="20"/>
                              </w:rPr>
                              <w:t>the commissioner</w:t>
                            </w:r>
                            <w:r w:rsidRPr="004E0302">
                              <w:rPr>
                                <w:rFonts w:cs="Arial"/>
                                <w:color w:val="FFFFFF"/>
                                <w:spacing w:val="25"/>
                                <w:sz w:val="20"/>
                              </w:rPr>
                              <w:t xml:space="preserve"> </w:t>
                            </w:r>
                            <w:r w:rsidRPr="004E0302">
                              <w:rPr>
                                <w:rFonts w:cs="Arial"/>
                                <w:color w:val="FFFFFF"/>
                                <w:spacing w:val="-1"/>
                                <w:sz w:val="20"/>
                              </w:rPr>
                              <w:t>has</w:t>
                            </w:r>
                            <w:r w:rsidRPr="004E0302">
                              <w:rPr>
                                <w:rFonts w:cs="Arial"/>
                                <w:color w:val="FFFFFF"/>
                                <w:spacing w:val="28"/>
                                <w:sz w:val="20"/>
                              </w:rPr>
                              <w:t xml:space="preserve"> </w:t>
                            </w:r>
                            <w:r w:rsidRPr="004E0302">
                              <w:rPr>
                                <w:rFonts w:cs="Arial"/>
                                <w:color w:val="FFFFFF"/>
                                <w:spacing w:val="-1"/>
                                <w:sz w:val="20"/>
                              </w:rPr>
                              <w:t>been</w:t>
                            </w:r>
                            <w:r w:rsidRPr="004E0302">
                              <w:rPr>
                                <w:rFonts w:cs="Arial"/>
                                <w:color w:val="FFFFFF"/>
                                <w:spacing w:val="55"/>
                                <w:sz w:val="20"/>
                              </w:rPr>
                              <w:t xml:space="preserve"> </w:t>
                            </w:r>
                            <w:r w:rsidRPr="004E0302">
                              <w:rPr>
                                <w:rFonts w:cs="Arial"/>
                                <w:color w:val="FFFFFF"/>
                                <w:spacing w:val="-1"/>
                                <w:sz w:val="20"/>
                              </w:rPr>
                              <w:t>promised</w:t>
                            </w:r>
                            <w:r w:rsidRPr="004E0302">
                              <w:rPr>
                                <w:rFonts w:cs="Arial"/>
                                <w:color w:val="FFFFFF"/>
                                <w:spacing w:val="54"/>
                                <w:sz w:val="20"/>
                              </w:rPr>
                              <w:t xml:space="preserve"> </w:t>
                            </w:r>
                            <w:r w:rsidRPr="004E0302">
                              <w:rPr>
                                <w:rFonts w:cs="Arial"/>
                                <w:color w:val="FFFFFF"/>
                                <w:spacing w:val="-1"/>
                                <w:sz w:val="20"/>
                              </w:rPr>
                              <w:t>some</w:t>
                            </w:r>
                            <w:r w:rsidRPr="004E0302">
                              <w:rPr>
                                <w:rFonts w:cs="Arial"/>
                                <w:color w:val="FFFFFF"/>
                                <w:spacing w:val="57"/>
                                <w:sz w:val="20"/>
                              </w:rPr>
                              <w:t xml:space="preserve"> </w:t>
                            </w:r>
                            <w:r w:rsidRPr="004E0302">
                              <w:rPr>
                                <w:rFonts w:cs="Arial"/>
                                <w:color w:val="FFFFFF"/>
                                <w:spacing w:val="-1"/>
                                <w:sz w:val="20"/>
                              </w:rPr>
                              <w:t>good</w:t>
                            </w:r>
                            <w:r w:rsidRPr="004E0302">
                              <w:rPr>
                                <w:rFonts w:cs="Arial"/>
                                <w:color w:val="FFFFFF"/>
                                <w:spacing w:val="57"/>
                                <w:sz w:val="20"/>
                              </w:rPr>
                              <w:t xml:space="preserve"> </w:t>
                            </w:r>
                            <w:r w:rsidRPr="004E0302">
                              <w:rPr>
                                <w:rFonts w:cs="Arial"/>
                                <w:color w:val="FFFFFF"/>
                                <w:spacing w:val="-1"/>
                                <w:sz w:val="20"/>
                              </w:rPr>
                              <w:t>publicity</w:t>
                            </w:r>
                            <w:r w:rsidRPr="004E0302">
                              <w:rPr>
                                <w:rFonts w:cs="Arial"/>
                                <w:color w:val="FFFFFF"/>
                                <w:spacing w:val="58"/>
                                <w:sz w:val="20"/>
                              </w:rPr>
                              <w:t xml:space="preserve"> </w:t>
                            </w:r>
                            <w:r w:rsidRPr="004E0302">
                              <w:rPr>
                                <w:rFonts w:cs="Arial"/>
                                <w:color w:val="FFFFFF"/>
                                <w:spacing w:val="-1"/>
                                <w:sz w:val="20"/>
                              </w:rPr>
                              <w:t>by</w:t>
                            </w:r>
                            <w:r w:rsidRPr="004E0302">
                              <w:rPr>
                                <w:rFonts w:cs="Arial"/>
                                <w:color w:val="FFFFFF"/>
                                <w:spacing w:val="56"/>
                                <w:sz w:val="20"/>
                              </w:rPr>
                              <w:t xml:space="preserve"> </w:t>
                            </w:r>
                            <w:r w:rsidRPr="004E0302">
                              <w:rPr>
                                <w:rFonts w:cs="Arial"/>
                                <w:color w:val="FFFFFF"/>
                                <w:spacing w:val="-1"/>
                                <w:sz w:val="20"/>
                              </w:rPr>
                              <w:t>the</w:t>
                            </w:r>
                            <w:r w:rsidRPr="004E0302">
                              <w:rPr>
                                <w:rFonts w:cs="Arial"/>
                                <w:color w:val="FFFFFF"/>
                                <w:spacing w:val="55"/>
                                <w:sz w:val="20"/>
                              </w:rPr>
                              <w:t xml:space="preserve"> </w:t>
                            </w:r>
                            <w:r w:rsidRPr="004E0302">
                              <w:rPr>
                                <w:rFonts w:cs="Arial"/>
                                <w:color w:val="FFFFFF"/>
                                <w:sz w:val="20"/>
                              </w:rPr>
                              <w:t>practice</w:t>
                            </w:r>
                            <w:r w:rsidRPr="004E0302">
                              <w:rPr>
                                <w:rFonts w:cs="Arial"/>
                                <w:color w:val="FFFFFF"/>
                                <w:spacing w:val="54"/>
                                <w:sz w:val="20"/>
                              </w:rPr>
                              <w:t xml:space="preserve"> </w:t>
                            </w:r>
                            <w:r w:rsidRPr="004E0302">
                              <w:rPr>
                                <w:rFonts w:cs="Arial"/>
                                <w:color w:val="FFFFFF"/>
                                <w:sz w:val="20"/>
                              </w:rPr>
                              <w:t>if</w:t>
                            </w:r>
                            <w:r w:rsidRPr="004E0302">
                              <w:rPr>
                                <w:rFonts w:cs="Arial"/>
                                <w:color w:val="FFFFFF"/>
                                <w:spacing w:val="55"/>
                                <w:sz w:val="20"/>
                              </w:rPr>
                              <w:t xml:space="preserve"> </w:t>
                            </w:r>
                            <w:r w:rsidRPr="004E0302">
                              <w:rPr>
                                <w:rFonts w:cs="Arial"/>
                                <w:color w:val="FFFFFF"/>
                                <w:spacing w:val="-1"/>
                                <w:sz w:val="20"/>
                              </w:rPr>
                              <w:t>it</w:t>
                            </w:r>
                            <w:r w:rsidRPr="004E0302">
                              <w:rPr>
                                <w:rFonts w:cs="Arial"/>
                                <w:color w:val="FFFFFF"/>
                                <w:spacing w:val="56"/>
                                <w:sz w:val="20"/>
                              </w:rPr>
                              <w:t xml:space="preserve"> </w:t>
                            </w:r>
                            <w:r w:rsidRPr="004E0302">
                              <w:rPr>
                                <w:rFonts w:cs="Arial"/>
                                <w:color w:val="FFFFFF"/>
                                <w:spacing w:val="-1"/>
                                <w:sz w:val="20"/>
                              </w:rPr>
                              <w:t>agrees</w:t>
                            </w:r>
                            <w:r w:rsidRPr="004E0302">
                              <w:rPr>
                                <w:rFonts w:cs="Arial"/>
                                <w:color w:val="FFFFFF"/>
                                <w:spacing w:val="57"/>
                                <w:sz w:val="20"/>
                              </w:rPr>
                              <w:t xml:space="preserve"> </w:t>
                            </w:r>
                            <w:r w:rsidRPr="004E0302">
                              <w:rPr>
                                <w:rFonts w:cs="Arial"/>
                                <w:color w:val="FFFFFF"/>
                                <w:sz w:val="20"/>
                              </w:rPr>
                              <w:t>to</w:t>
                            </w:r>
                            <w:r w:rsidRPr="004E0302">
                              <w:rPr>
                                <w:rFonts w:cs="Arial"/>
                                <w:color w:val="FFFFFF"/>
                                <w:spacing w:val="56"/>
                                <w:sz w:val="20"/>
                              </w:rPr>
                              <w:t xml:space="preserve"> </w:t>
                            </w:r>
                            <w:r w:rsidRPr="004E0302">
                              <w:rPr>
                                <w:rFonts w:cs="Arial"/>
                                <w:color w:val="FFFFFF"/>
                                <w:spacing w:val="-1"/>
                                <w:sz w:val="20"/>
                              </w:rPr>
                              <w:t>the</w:t>
                            </w:r>
                            <w:r w:rsidRPr="004E0302">
                              <w:rPr>
                                <w:rFonts w:cs="Arial"/>
                                <w:color w:val="FFFFFF"/>
                                <w:spacing w:val="53"/>
                                <w:w w:val="99"/>
                                <w:sz w:val="20"/>
                              </w:rPr>
                              <w:t xml:space="preserve"> </w:t>
                            </w:r>
                            <w:r w:rsidRPr="004E0302">
                              <w:rPr>
                                <w:rFonts w:cs="Arial"/>
                                <w:color w:val="FFFFFF"/>
                                <w:spacing w:val="-1"/>
                                <w:sz w:val="20"/>
                              </w:rPr>
                              <w:t>change.</w:t>
                            </w:r>
                          </w:p>
                        </w:txbxContent>
                      </wps:txbx>
                      <wps:bodyPr rot="0" vert="horz" wrap="square" lIns="0" tIns="0" rIns="0" bIns="0" anchor="t" anchorCtr="0" upright="1">
                        <a:noAutofit/>
                      </wps:bodyPr>
                    </wps:wsp>
                  </a:graphicData>
                </a:graphic>
              </wp:inline>
            </w:drawing>
          </mc:Choice>
          <mc:Fallback>
            <w:pict>
              <v:shape id="Text Box 1888" o:spid="_x0000_s1032" type="#_x0000_t202" style="width:382.7pt;height:15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" fillcolor="#1c6cb4" stroked="f">
                <v:textbox inset="0,0,0,0">
                  <w:txbxContent>
                    <w:p w14:paraId="6BECCAE9" w14:textId="77777777" w:rsidR="00622FF2" w:rsidRPr="004E0302" w:rsidRDefault="00622FF2" w:rsidP="00DB7F92">
                      <w:pPr>
                        <w:spacing w:before="213"/>
                        <w:ind w:left="225"/>
                        <w:jc w:val="both"/>
                        <w:rPr>
                          <w:rFonts w:cs="Arial"/>
                          <w:b/>
                          <w:color w:val="FFFFFF"/>
                          <w:sz w:val="20"/>
                        </w:rPr>
                      </w:pPr>
                      <w:r w:rsidRPr="004E0302">
                        <w:rPr>
                          <w:rFonts w:cs="Arial"/>
                          <w:b/>
                          <w:color w:val="FFFFFF"/>
                          <w:sz w:val="20"/>
                        </w:rPr>
                        <w:t>Example:</w:t>
                      </w:r>
                    </w:p>
                    <w:p w14:paraId="763136D1" w14:textId="77777777" w:rsidR="00622FF2" w:rsidRPr="004E0302" w:rsidRDefault="00622FF2" w:rsidP="00DB7F92">
                      <w:pPr>
                        <w:ind w:left="225" w:right="225"/>
                        <w:jc w:val="both"/>
                        <w:rPr>
                          <w:rFonts w:eastAsia="Segoe UI Semilight" w:cs="Arial"/>
                          <w:sz w:val="20"/>
                          <w:szCs w:val="24"/>
                        </w:rPr>
                      </w:pPr>
                      <w:r w:rsidRPr="004E0302">
                        <w:rPr>
                          <w:rFonts w:cs="Arial"/>
                          <w:color w:val="FFFFFF"/>
                          <w:spacing w:val="48"/>
                          <w:sz w:val="20"/>
                        </w:rPr>
                        <w:t xml:space="preserve">The Commissioner </w:t>
                      </w:r>
                      <w:r w:rsidRPr="004E0302">
                        <w:rPr>
                          <w:rFonts w:cs="Arial"/>
                          <w:color w:val="FFFFFF"/>
                          <w:spacing w:val="-1"/>
                          <w:sz w:val="20"/>
                        </w:rPr>
                        <w:t>has</w:t>
                      </w:r>
                      <w:r w:rsidRPr="004E0302">
                        <w:rPr>
                          <w:rFonts w:cs="Arial"/>
                          <w:color w:val="FFFFFF"/>
                          <w:spacing w:val="50"/>
                          <w:sz w:val="20"/>
                        </w:rPr>
                        <w:t xml:space="preserve"> </w:t>
                      </w:r>
                      <w:r w:rsidRPr="004E0302">
                        <w:rPr>
                          <w:rFonts w:cs="Arial"/>
                          <w:color w:val="FFFFFF"/>
                          <w:sz w:val="20"/>
                        </w:rPr>
                        <w:t>to</w:t>
                      </w:r>
                      <w:r w:rsidRPr="004E0302">
                        <w:rPr>
                          <w:rFonts w:cs="Arial"/>
                          <w:color w:val="FFFFFF"/>
                          <w:spacing w:val="50"/>
                          <w:sz w:val="20"/>
                        </w:rPr>
                        <w:t xml:space="preserve"> </w:t>
                      </w:r>
                      <w:r w:rsidRPr="004E0302">
                        <w:rPr>
                          <w:rFonts w:cs="Arial"/>
                          <w:color w:val="FFFFFF"/>
                          <w:spacing w:val="-1"/>
                          <w:sz w:val="20"/>
                        </w:rPr>
                        <w:t>decide</w:t>
                      </w:r>
                      <w:r w:rsidRPr="004E0302">
                        <w:rPr>
                          <w:rFonts w:cs="Arial"/>
                          <w:color w:val="FFFFFF"/>
                          <w:spacing w:val="48"/>
                          <w:sz w:val="20"/>
                        </w:rPr>
                        <w:t xml:space="preserve"> </w:t>
                      </w:r>
                      <w:r w:rsidRPr="004E0302">
                        <w:rPr>
                          <w:rFonts w:cs="Arial"/>
                          <w:color w:val="FFFFFF"/>
                          <w:spacing w:val="-1"/>
                          <w:sz w:val="20"/>
                        </w:rPr>
                        <w:t>whether</w:t>
                      </w:r>
                      <w:r w:rsidRPr="004E0302">
                        <w:rPr>
                          <w:rFonts w:cs="Arial"/>
                          <w:color w:val="FFFFFF"/>
                          <w:spacing w:val="49"/>
                          <w:sz w:val="20"/>
                        </w:rPr>
                        <w:t xml:space="preserve"> </w:t>
                      </w:r>
                      <w:r w:rsidRPr="004E0302">
                        <w:rPr>
                          <w:rFonts w:cs="Arial"/>
                          <w:color w:val="FFFFFF"/>
                          <w:sz w:val="20"/>
                        </w:rPr>
                        <w:t>to</w:t>
                      </w:r>
                      <w:r w:rsidRPr="004E0302">
                        <w:rPr>
                          <w:rFonts w:cs="Arial"/>
                          <w:color w:val="FFFFFF"/>
                          <w:spacing w:val="51"/>
                          <w:sz w:val="20"/>
                        </w:rPr>
                        <w:t xml:space="preserve"> </w:t>
                      </w:r>
                      <w:r w:rsidRPr="004E0302">
                        <w:rPr>
                          <w:rFonts w:cs="Arial"/>
                          <w:color w:val="FFFFFF"/>
                          <w:spacing w:val="-1"/>
                          <w:sz w:val="20"/>
                        </w:rPr>
                        <w:t>approve</w:t>
                      </w:r>
                      <w:r w:rsidRPr="004E0302">
                        <w:rPr>
                          <w:rFonts w:cs="Arial"/>
                          <w:color w:val="FFFFFF"/>
                          <w:spacing w:val="47"/>
                          <w:sz w:val="20"/>
                        </w:rPr>
                        <w:t xml:space="preserve"> </w:t>
                      </w:r>
                      <w:r w:rsidRPr="004E0302">
                        <w:rPr>
                          <w:rFonts w:cs="Arial"/>
                          <w:color w:val="FFFFFF"/>
                          <w:sz w:val="20"/>
                        </w:rPr>
                        <w:t>a</w:t>
                      </w:r>
                      <w:r w:rsidRPr="004E0302">
                        <w:rPr>
                          <w:rFonts w:cs="Arial"/>
                          <w:color w:val="FFFFFF"/>
                          <w:spacing w:val="51"/>
                          <w:sz w:val="20"/>
                        </w:rPr>
                        <w:t xml:space="preserve"> </w:t>
                      </w:r>
                      <w:r w:rsidRPr="004E0302">
                        <w:rPr>
                          <w:rFonts w:cs="Arial"/>
                          <w:color w:val="FFFFFF"/>
                          <w:spacing w:val="-1"/>
                          <w:sz w:val="20"/>
                        </w:rPr>
                        <w:t>practice's</w:t>
                      </w:r>
                      <w:r w:rsidRPr="004E0302">
                        <w:rPr>
                          <w:rFonts w:cs="Arial"/>
                          <w:color w:val="FFFFFF"/>
                          <w:spacing w:val="57"/>
                          <w:sz w:val="20"/>
                        </w:rPr>
                        <w:t xml:space="preserve"> </w:t>
                      </w:r>
                      <w:r w:rsidRPr="004E0302">
                        <w:rPr>
                          <w:rFonts w:cs="Arial"/>
                          <w:color w:val="FFFFFF"/>
                          <w:spacing w:val="-1"/>
                          <w:sz w:val="20"/>
                        </w:rPr>
                        <w:t>application</w:t>
                      </w:r>
                      <w:r w:rsidRPr="004E0302">
                        <w:rPr>
                          <w:rFonts w:cs="Arial"/>
                          <w:color w:val="FFFFFF"/>
                          <w:spacing w:val="50"/>
                          <w:sz w:val="20"/>
                        </w:rPr>
                        <w:t xml:space="preserve"> </w:t>
                      </w:r>
                      <w:r w:rsidRPr="004E0302">
                        <w:rPr>
                          <w:rFonts w:cs="Arial"/>
                          <w:color w:val="FFFFFF"/>
                          <w:sz w:val="20"/>
                        </w:rPr>
                        <w:t>to</w:t>
                      </w:r>
                      <w:r w:rsidRPr="004E0302">
                        <w:rPr>
                          <w:rFonts w:cs="Arial"/>
                          <w:color w:val="FFFFFF"/>
                          <w:spacing w:val="49"/>
                          <w:sz w:val="20"/>
                        </w:rPr>
                        <w:t xml:space="preserve"> </w:t>
                      </w:r>
                      <w:r w:rsidRPr="004E0302">
                        <w:rPr>
                          <w:rFonts w:cs="Arial"/>
                          <w:color w:val="FFFFFF"/>
                          <w:spacing w:val="-1"/>
                          <w:sz w:val="20"/>
                        </w:rPr>
                        <w:t>stop</w:t>
                      </w:r>
                      <w:r w:rsidRPr="004E0302">
                        <w:rPr>
                          <w:rFonts w:cs="Arial"/>
                          <w:color w:val="FFFFFF"/>
                          <w:spacing w:val="49"/>
                          <w:sz w:val="20"/>
                        </w:rPr>
                        <w:t xml:space="preserve"> </w:t>
                      </w:r>
                      <w:r w:rsidRPr="004E0302">
                        <w:rPr>
                          <w:rFonts w:cs="Arial"/>
                          <w:color w:val="FFFFFF"/>
                          <w:spacing w:val="-1"/>
                          <w:sz w:val="20"/>
                        </w:rPr>
                        <w:t>opening</w:t>
                      </w:r>
                      <w:r w:rsidRPr="004E0302">
                        <w:rPr>
                          <w:rFonts w:cs="Arial"/>
                          <w:color w:val="FFFFFF"/>
                          <w:spacing w:val="49"/>
                          <w:sz w:val="20"/>
                        </w:rPr>
                        <w:t xml:space="preserve"> </w:t>
                      </w:r>
                      <w:r w:rsidRPr="004E0302">
                        <w:rPr>
                          <w:rFonts w:cs="Arial"/>
                          <w:color w:val="FFFFFF"/>
                          <w:spacing w:val="-1"/>
                          <w:sz w:val="20"/>
                        </w:rPr>
                        <w:t>on</w:t>
                      </w:r>
                      <w:r w:rsidRPr="004E0302">
                        <w:rPr>
                          <w:rFonts w:cs="Arial"/>
                          <w:color w:val="FFFFFF"/>
                          <w:spacing w:val="50"/>
                          <w:sz w:val="20"/>
                        </w:rPr>
                        <w:t xml:space="preserve"> </w:t>
                      </w:r>
                      <w:r w:rsidRPr="004E0302">
                        <w:rPr>
                          <w:rFonts w:cs="Arial"/>
                          <w:color w:val="FFFFFF"/>
                          <w:spacing w:val="-1"/>
                          <w:sz w:val="20"/>
                        </w:rPr>
                        <w:t>Wednesday</w:t>
                      </w:r>
                      <w:r w:rsidRPr="004E0302">
                        <w:rPr>
                          <w:rFonts w:cs="Arial"/>
                          <w:color w:val="FFFFFF"/>
                          <w:spacing w:val="51"/>
                          <w:sz w:val="20"/>
                        </w:rPr>
                        <w:t xml:space="preserve"> </w:t>
                      </w:r>
                      <w:r w:rsidRPr="004E0302">
                        <w:rPr>
                          <w:rFonts w:cs="Arial"/>
                          <w:color w:val="FFFFFF"/>
                          <w:spacing w:val="-1"/>
                          <w:sz w:val="20"/>
                        </w:rPr>
                        <w:t>evening</w:t>
                      </w:r>
                      <w:r w:rsidRPr="004E0302">
                        <w:rPr>
                          <w:rFonts w:cs="Arial"/>
                          <w:color w:val="FFFFFF"/>
                          <w:spacing w:val="49"/>
                          <w:sz w:val="20"/>
                        </w:rPr>
                        <w:t xml:space="preserve"> </w:t>
                      </w:r>
                      <w:r w:rsidRPr="004E0302">
                        <w:rPr>
                          <w:rFonts w:cs="Arial"/>
                          <w:color w:val="FFFFFF"/>
                          <w:spacing w:val="-1"/>
                          <w:sz w:val="20"/>
                        </w:rPr>
                        <w:t>and</w:t>
                      </w:r>
                      <w:r w:rsidRPr="004E0302">
                        <w:rPr>
                          <w:rFonts w:cs="Arial"/>
                          <w:color w:val="FFFFFF"/>
                          <w:spacing w:val="49"/>
                          <w:sz w:val="20"/>
                        </w:rPr>
                        <w:t xml:space="preserve"> </w:t>
                      </w:r>
                      <w:r w:rsidRPr="004E0302">
                        <w:rPr>
                          <w:rFonts w:cs="Arial"/>
                          <w:color w:val="FFFFFF"/>
                          <w:spacing w:val="-1"/>
                          <w:sz w:val="20"/>
                        </w:rPr>
                        <w:t>open</w:t>
                      </w:r>
                      <w:r w:rsidRPr="004E0302">
                        <w:rPr>
                          <w:rFonts w:cs="Arial"/>
                          <w:color w:val="FFFFFF"/>
                          <w:spacing w:val="50"/>
                          <w:sz w:val="20"/>
                        </w:rPr>
                        <w:t xml:space="preserve"> </w:t>
                      </w:r>
                      <w:r w:rsidRPr="004E0302">
                        <w:rPr>
                          <w:rFonts w:cs="Arial"/>
                          <w:color w:val="FFFFFF"/>
                          <w:spacing w:val="-1"/>
                          <w:sz w:val="20"/>
                        </w:rPr>
                        <w:t>on</w:t>
                      </w:r>
                      <w:r w:rsidRPr="004E0302">
                        <w:rPr>
                          <w:rFonts w:cs="Arial"/>
                          <w:color w:val="FFFFFF"/>
                          <w:spacing w:val="57"/>
                          <w:sz w:val="20"/>
                        </w:rPr>
                        <w:t xml:space="preserve"> </w:t>
                      </w:r>
                      <w:r w:rsidRPr="004E0302">
                        <w:rPr>
                          <w:rFonts w:cs="Arial"/>
                          <w:color w:val="FFFFFF"/>
                          <w:spacing w:val="-1"/>
                          <w:sz w:val="20"/>
                        </w:rPr>
                        <w:t>Saturday</w:t>
                      </w:r>
                      <w:r w:rsidRPr="004E0302">
                        <w:rPr>
                          <w:rFonts w:cs="Arial"/>
                          <w:color w:val="FFFFFF"/>
                          <w:spacing w:val="43"/>
                          <w:sz w:val="20"/>
                        </w:rPr>
                        <w:t xml:space="preserve"> </w:t>
                      </w:r>
                      <w:r w:rsidRPr="004E0302">
                        <w:rPr>
                          <w:rFonts w:cs="Arial"/>
                          <w:color w:val="FFFFFF"/>
                          <w:spacing w:val="-1"/>
                          <w:sz w:val="20"/>
                        </w:rPr>
                        <w:t>morning</w:t>
                      </w:r>
                      <w:r w:rsidRPr="004E0302">
                        <w:rPr>
                          <w:rFonts w:cs="Arial"/>
                          <w:color w:val="FFFFFF"/>
                          <w:spacing w:val="42"/>
                          <w:sz w:val="20"/>
                        </w:rPr>
                        <w:t xml:space="preserve"> </w:t>
                      </w:r>
                      <w:r w:rsidRPr="004E0302">
                        <w:rPr>
                          <w:rFonts w:cs="Arial"/>
                          <w:color w:val="FFFFFF"/>
                          <w:spacing w:val="-1"/>
                          <w:sz w:val="20"/>
                        </w:rPr>
                        <w:t>instead.</w:t>
                      </w:r>
                      <w:r w:rsidRPr="004E0302">
                        <w:rPr>
                          <w:rFonts w:cs="Arial"/>
                          <w:color w:val="FFFFFF"/>
                          <w:spacing w:val="44"/>
                          <w:sz w:val="20"/>
                        </w:rPr>
                        <w:t xml:space="preserve"> </w:t>
                      </w:r>
                      <w:r w:rsidRPr="004E0302">
                        <w:rPr>
                          <w:rFonts w:cs="Arial"/>
                          <w:color w:val="FFFFFF"/>
                          <w:spacing w:val="-1"/>
                          <w:sz w:val="20"/>
                        </w:rPr>
                        <w:t>The</w:t>
                      </w:r>
                      <w:r w:rsidRPr="004E0302">
                        <w:rPr>
                          <w:rFonts w:cs="Arial"/>
                          <w:color w:val="FFFFFF"/>
                          <w:spacing w:val="42"/>
                          <w:sz w:val="20"/>
                        </w:rPr>
                        <w:t xml:space="preserve"> </w:t>
                      </w:r>
                      <w:r w:rsidRPr="004E0302">
                        <w:rPr>
                          <w:rFonts w:cs="Arial"/>
                          <w:color w:val="FFFFFF"/>
                          <w:spacing w:val="-1"/>
                          <w:sz w:val="20"/>
                        </w:rPr>
                        <w:t>practice</w:t>
                      </w:r>
                      <w:r w:rsidRPr="004E0302">
                        <w:rPr>
                          <w:rFonts w:cs="Arial"/>
                          <w:color w:val="FFFFFF"/>
                          <w:spacing w:val="43"/>
                          <w:sz w:val="20"/>
                        </w:rPr>
                        <w:t xml:space="preserve"> </w:t>
                      </w:r>
                      <w:r w:rsidRPr="004E0302">
                        <w:rPr>
                          <w:rFonts w:cs="Arial"/>
                          <w:color w:val="FFFFFF"/>
                          <w:spacing w:val="-1"/>
                          <w:sz w:val="20"/>
                        </w:rPr>
                        <w:t>is</w:t>
                      </w:r>
                      <w:r w:rsidRPr="004E0302">
                        <w:rPr>
                          <w:rFonts w:cs="Arial"/>
                          <w:color w:val="FFFFFF"/>
                          <w:spacing w:val="44"/>
                          <w:sz w:val="20"/>
                        </w:rPr>
                        <w:t xml:space="preserve"> </w:t>
                      </w:r>
                      <w:r w:rsidRPr="004E0302">
                        <w:rPr>
                          <w:rFonts w:cs="Arial"/>
                          <w:color w:val="FFFFFF"/>
                          <w:spacing w:val="-1"/>
                          <w:sz w:val="20"/>
                        </w:rPr>
                        <w:t>based</w:t>
                      </w:r>
                      <w:r w:rsidRPr="004E0302">
                        <w:rPr>
                          <w:rFonts w:cs="Arial"/>
                          <w:color w:val="FFFFFF"/>
                          <w:spacing w:val="42"/>
                          <w:sz w:val="20"/>
                        </w:rPr>
                        <w:t xml:space="preserve"> </w:t>
                      </w:r>
                      <w:r w:rsidRPr="004E0302">
                        <w:rPr>
                          <w:rFonts w:cs="Arial"/>
                          <w:color w:val="FFFFFF"/>
                          <w:spacing w:val="-1"/>
                          <w:sz w:val="20"/>
                        </w:rPr>
                        <w:t>in</w:t>
                      </w:r>
                      <w:r w:rsidRPr="004E0302">
                        <w:rPr>
                          <w:rFonts w:cs="Arial"/>
                          <w:color w:val="FFFFFF"/>
                          <w:spacing w:val="44"/>
                          <w:sz w:val="20"/>
                        </w:rPr>
                        <w:t xml:space="preserve"> </w:t>
                      </w:r>
                      <w:r w:rsidRPr="004E0302">
                        <w:rPr>
                          <w:rFonts w:cs="Arial"/>
                          <w:color w:val="FFFFFF"/>
                          <w:spacing w:val="-1"/>
                          <w:sz w:val="20"/>
                        </w:rPr>
                        <w:t>an</w:t>
                      </w:r>
                      <w:r w:rsidRPr="004E0302">
                        <w:rPr>
                          <w:rFonts w:cs="Arial"/>
                          <w:color w:val="FFFFFF"/>
                          <w:spacing w:val="43"/>
                          <w:sz w:val="20"/>
                        </w:rPr>
                        <w:t xml:space="preserve"> </w:t>
                      </w:r>
                      <w:r w:rsidRPr="004E0302">
                        <w:rPr>
                          <w:rFonts w:cs="Arial"/>
                          <w:color w:val="FFFFFF"/>
                          <w:spacing w:val="-1"/>
                          <w:sz w:val="20"/>
                        </w:rPr>
                        <w:t>area</w:t>
                      </w:r>
                      <w:r w:rsidRPr="004E0302">
                        <w:rPr>
                          <w:rFonts w:cs="Arial"/>
                          <w:color w:val="FFFFFF"/>
                          <w:spacing w:val="44"/>
                          <w:sz w:val="20"/>
                        </w:rPr>
                        <w:t xml:space="preserve"> </w:t>
                      </w:r>
                      <w:r w:rsidRPr="004E0302">
                        <w:rPr>
                          <w:rFonts w:cs="Arial"/>
                          <w:color w:val="FFFFFF"/>
                          <w:spacing w:val="-1"/>
                          <w:sz w:val="20"/>
                        </w:rPr>
                        <w:t>with</w:t>
                      </w:r>
                      <w:r w:rsidRPr="004E0302">
                        <w:rPr>
                          <w:rFonts w:cs="Arial"/>
                          <w:color w:val="FFFFFF"/>
                          <w:spacing w:val="45"/>
                          <w:sz w:val="20"/>
                        </w:rPr>
                        <w:t xml:space="preserve"> </w:t>
                      </w:r>
                      <w:r w:rsidRPr="004E0302">
                        <w:rPr>
                          <w:rFonts w:cs="Arial"/>
                          <w:color w:val="FFFFFF"/>
                          <w:sz w:val="20"/>
                        </w:rPr>
                        <w:t>a</w:t>
                      </w:r>
                      <w:r w:rsidRPr="004E0302">
                        <w:rPr>
                          <w:rFonts w:cs="Arial"/>
                          <w:color w:val="FFFFFF"/>
                          <w:spacing w:val="61"/>
                          <w:w w:val="99"/>
                          <w:sz w:val="20"/>
                        </w:rPr>
                        <w:t xml:space="preserve"> </w:t>
                      </w:r>
                      <w:r w:rsidRPr="004E0302">
                        <w:rPr>
                          <w:rFonts w:cs="Arial"/>
                          <w:color w:val="FFFFFF"/>
                          <w:spacing w:val="-1"/>
                          <w:sz w:val="20"/>
                        </w:rPr>
                        <w:t>high</w:t>
                      </w:r>
                      <w:r w:rsidRPr="004E0302">
                        <w:rPr>
                          <w:rFonts w:cs="Arial"/>
                          <w:color w:val="FFFFFF"/>
                          <w:spacing w:val="14"/>
                          <w:sz w:val="20"/>
                        </w:rPr>
                        <w:t xml:space="preserve"> </w:t>
                      </w:r>
                      <w:r w:rsidRPr="004E0302">
                        <w:rPr>
                          <w:rFonts w:cs="Arial"/>
                          <w:color w:val="FFFFFF"/>
                          <w:sz w:val="20"/>
                        </w:rPr>
                        <w:t>Jewish</w:t>
                      </w:r>
                      <w:r w:rsidRPr="004E0302">
                        <w:rPr>
                          <w:rFonts w:cs="Arial"/>
                          <w:color w:val="FFFFFF"/>
                          <w:spacing w:val="14"/>
                          <w:sz w:val="20"/>
                        </w:rPr>
                        <w:t xml:space="preserve"> </w:t>
                      </w:r>
                      <w:r w:rsidRPr="004E0302">
                        <w:rPr>
                          <w:rFonts w:cs="Arial"/>
                          <w:color w:val="FFFFFF"/>
                          <w:spacing w:val="-1"/>
                          <w:sz w:val="20"/>
                        </w:rPr>
                        <w:t>population.</w:t>
                      </w:r>
                      <w:r w:rsidRPr="004E0302">
                        <w:rPr>
                          <w:rFonts w:cs="Arial"/>
                          <w:color w:val="FFFFFF"/>
                          <w:spacing w:val="14"/>
                          <w:sz w:val="20"/>
                        </w:rPr>
                        <w:t xml:space="preserve"> </w:t>
                      </w:r>
                      <w:r w:rsidRPr="004E0302">
                        <w:rPr>
                          <w:rFonts w:cs="Arial"/>
                          <w:color w:val="FFFFFF"/>
                          <w:spacing w:val="-1"/>
                          <w:sz w:val="20"/>
                        </w:rPr>
                        <w:t>Relevant</w:t>
                      </w:r>
                      <w:r w:rsidRPr="004E0302">
                        <w:rPr>
                          <w:rFonts w:cs="Arial"/>
                          <w:color w:val="FFFFFF"/>
                          <w:spacing w:val="15"/>
                          <w:sz w:val="20"/>
                        </w:rPr>
                        <w:t xml:space="preserve"> </w:t>
                      </w:r>
                      <w:r w:rsidRPr="004E0302">
                        <w:rPr>
                          <w:rFonts w:cs="Arial"/>
                          <w:color w:val="FFFFFF"/>
                          <w:spacing w:val="-1"/>
                          <w:sz w:val="20"/>
                        </w:rPr>
                        <w:t>factors</w:t>
                      </w:r>
                      <w:r w:rsidRPr="004E0302">
                        <w:rPr>
                          <w:rFonts w:cs="Arial"/>
                          <w:color w:val="FFFFFF"/>
                          <w:spacing w:val="15"/>
                          <w:sz w:val="20"/>
                        </w:rPr>
                        <w:t xml:space="preserve"> </w:t>
                      </w:r>
                      <w:r w:rsidRPr="004E0302">
                        <w:rPr>
                          <w:rFonts w:cs="Arial"/>
                          <w:color w:val="FFFFFF"/>
                          <w:spacing w:val="-1"/>
                          <w:sz w:val="20"/>
                        </w:rPr>
                        <w:t>in</w:t>
                      </w:r>
                      <w:r w:rsidRPr="004E0302">
                        <w:rPr>
                          <w:rFonts w:cs="Arial"/>
                          <w:color w:val="FFFFFF"/>
                          <w:spacing w:val="18"/>
                          <w:sz w:val="20"/>
                        </w:rPr>
                        <w:t xml:space="preserve"> </w:t>
                      </w:r>
                      <w:r w:rsidRPr="004E0302">
                        <w:rPr>
                          <w:rFonts w:cs="Arial"/>
                          <w:color w:val="FFFFFF"/>
                          <w:spacing w:val="-1"/>
                          <w:sz w:val="20"/>
                        </w:rPr>
                        <w:t>this</w:t>
                      </w:r>
                      <w:r w:rsidRPr="004E0302">
                        <w:rPr>
                          <w:rFonts w:cs="Arial"/>
                          <w:color w:val="FFFFFF"/>
                          <w:spacing w:val="15"/>
                          <w:sz w:val="20"/>
                        </w:rPr>
                        <w:t xml:space="preserve"> </w:t>
                      </w:r>
                      <w:r w:rsidRPr="004E0302">
                        <w:rPr>
                          <w:rFonts w:cs="Arial"/>
                          <w:color w:val="FFFFFF"/>
                          <w:spacing w:val="-1"/>
                          <w:sz w:val="20"/>
                        </w:rPr>
                        <w:t>decision</w:t>
                      </w:r>
                      <w:r w:rsidRPr="004E0302">
                        <w:rPr>
                          <w:rFonts w:cs="Arial"/>
                          <w:color w:val="FFFFFF"/>
                          <w:spacing w:val="17"/>
                          <w:sz w:val="20"/>
                        </w:rPr>
                        <w:t xml:space="preserve"> </w:t>
                      </w:r>
                      <w:r w:rsidRPr="004E0302">
                        <w:rPr>
                          <w:rFonts w:cs="Arial"/>
                          <w:color w:val="FFFFFF"/>
                          <w:spacing w:val="-1"/>
                          <w:sz w:val="20"/>
                        </w:rPr>
                        <w:t>include</w:t>
                      </w:r>
                      <w:r w:rsidRPr="004E0302">
                        <w:rPr>
                          <w:rFonts w:cs="Arial"/>
                          <w:color w:val="FFFFFF"/>
                          <w:spacing w:val="54"/>
                          <w:w w:val="99"/>
                          <w:sz w:val="20"/>
                        </w:rPr>
                        <w:t xml:space="preserve"> </w:t>
                      </w:r>
                      <w:r w:rsidRPr="004E0302">
                        <w:rPr>
                          <w:rFonts w:cs="Arial"/>
                          <w:color w:val="FFFFFF"/>
                          <w:spacing w:val="-1"/>
                          <w:sz w:val="20"/>
                        </w:rPr>
                        <w:t>whether</w:t>
                      </w:r>
                      <w:r w:rsidRPr="004E0302">
                        <w:rPr>
                          <w:rFonts w:cs="Arial"/>
                          <w:color w:val="FFFFFF"/>
                          <w:spacing w:val="-3"/>
                          <w:sz w:val="20"/>
                        </w:rPr>
                        <w:t xml:space="preserve"> </w:t>
                      </w:r>
                      <w:r w:rsidRPr="004E0302">
                        <w:rPr>
                          <w:rFonts w:cs="Arial"/>
                          <w:color w:val="FFFFFF"/>
                          <w:spacing w:val="-1"/>
                          <w:sz w:val="20"/>
                        </w:rPr>
                        <w:t>services will</w:t>
                      </w:r>
                      <w:r w:rsidRPr="004E0302">
                        <w:rPr>
                          <w:rFonts w:cs="Arial"/>
                          <w:color w:val="FFFFFF"/>
                          <w:spacing w:val="-2"/>
                          <w:sz w:val="20"/>
                        </w:rPr>
                        <w:t xml:space="preserve"> </w:t>
                      </w:r>
                      <w:r w:rsidRPr="004E0302">
                        <w:rPr>
                          <w:rFonts w:cs="Arial"/>
                          <w:color w:val="FFFFFF"/>
                          <w:spacing w:val="-1"/>
                          <w:sz w:val="20"/>
                        </w:rPr>
                        <w:t>become</w:t>
                      </w:r>
                      <w:r w:rsidRPr="004E0302">
                        <w:rPr>
                          <w:rFonts w:cs="Arial"/>
                          <w:color w:val="FFFFFF"/>
                          <w:spacing w:val="-3"/>
                          <w:sz w:val="20"/>
                        </w:rPr>
                        <w:t xml:space="preserve"> </w:t>
                      </w:r>
                      <w:r w:rsidRPr="004E0302">
                        <w:rPr>
                          <w:rFonts w:cs="Arial"/>
                          <w:color w:val="FFFFFF"/>
                          <w:sz w:val="20"/>
                        </w:rPr>
                        <w:t>more</w:t>
                      </w:r>
                      <w:r w:rsidRPr="004E0302">
                        <w:rPr>
                          <w:rFonts w:cs="Arial"/>
                          <w:color w:val="FFFFFF"/>
                          <w:spacing w:val="-3"/>
                          <w:sz w:val="20"/>
                        </w:rPr>
                        <w:t xml:space="preserve"> </w:t>
                      </w:r>
                      <w:r w:rsidRPr="004E0302">
                        <w:rPr>
                          <w:rFonts w:cs="Arial"/>
                          <w:color w:val="FFFFFF"/>
                          <w:spacing w:val="-1"/>
                          <w:sz w:val="20"/>
                        </w:rPr>
                        <w:t>or</w:t>
                      </w:r>
                      <w:r w:rsidRPr="004E0302">
                        <w:rPr>
                          <w:rFonts w:cs="Arial"/>
                          <w:color w:val="FFFFFF"/>
                          <w:spacing w:val="-2"/>
                          <w:sz w:val="20"/>
                        </w:rPr>
                        <w:t xml:space="preserve"> </w:t>
                      </w:r>
                      <w:r w:rsidRPr="004E0302">
                        <w:rPr>
                          <w:rFonts w:cs="Arial"/>
                          <w:color w:val="FFFFFF"/>
                          <w:sz w:val="20"/>
                        </w:rPr>
                        <w:t>less</w:t>
                      </w:r>
                      <w:r w:rsidRPr="004E0302">
                        <w:rPr>
                          <w:rFonts w:cs="Arial"/>
                          <w:color w:val="FFFFFF"/>
                          <w:spacing w:val="-2"/>
                          <w:sz w:val="20"/>
                        </w:rPr>
                        <w:t xml:space="preserve"> </w:t>
                      </w:r>
                      <w:r w:rsidRPr="004E0302">
                        <w:rPr>
                          <w:rFonts w:cs="Arial"/>
                          <w:color w:val="FFFFFF"/>
                          <w:spacing w:val="-1"/>
                          <w:sz w:val="20"/>
                        </w:rPr>
                        <w:t>accessible</w:t>
                      </w:r>
                      <w:r w:rsidRPr="004E0302">
                        <w:rPr>
                          <w:rFonts w:cs="Arial"/>
                          <w:color w:val="FFFFFF"/>
                          <w:spacing w:val="-3"/>
                          <w:sz w:val="20"/>
                        </w:rPr>
                        <w:t xml:space="preserve"> </w:t>
                      </w:r>
                      <w:r w:rsidRPr="004E0302">
                        <w:rPr>
                          <w:rFonts w:cs="Arial"/>
                          <w:color w:val="FFFFFF"/>
                          <w:spacing w:val="-1"/>
                          <w:sz w:val="20"/>
                        </w:rPr>
                        <w:t>as</w:t>
                      </w:r>
                      <w:r w:rsidRPr="004E0302">
                        <w:rPr>
                          <w:rFonts w:cs="Arial"/>
                          <w:color w:val="FFFFFF"/>
                          <w:spacing w:val="-2"/>
                          <w:sz w:val="20"/>
                        </w:rPr>
                        <w:t xml:space="preserve"> </w:t>
                      </w:r>
                      <w:r w:rsidRPr="004E0302">
                        <w:rPr>
                          <w:rFonts w:cs="Arial"/>
                          <w:color w:val="FFFFFF"/>
                          <w:sz w:val="20"/>
                        </w:rPr>
                        <w:t>a</w:t>
                      </w:r>
                      <w:r w:rsidRPr="004E0302">
                        <w:rPr>
                          <w:rFonts w:cs="Arial"/>
                          <w:color w:val="FFFFFF"/>
                          <w:spacing w:val="-2"/>
                          <w:sz w:val="20"/>
                        </w:rPr>
                        <w:t xml:space="preserve"> </w:t>
                      </w:r>
                      <w:r w:rsidRPr="004E0302">
                        <w:rPr>
                          <w:rFonts w:cs="Arial"/>
                          <w:color w:val="FFFFFF"/>
                          <w:spacing w:val="-1"/>
                          <w:sz w:val="20"/>
                        </w:rPr>
                        <w:t>result</w:t>
                      </w:r>
                      <w:r w:rsidRPr="004E0302">
                        <w:rPr>
                          <w:rFonts w:cs="Arial"/>
                          <w:color w:val="FFFFFF"/>
                          <w:spacing w:val="-2"/>
                          <w:sz w:val="20"/>
                        </w:rPr>
                        <w:t xml:space="preserve"> </w:t>
                      </w:r>
                      <w:r w:rsidRPr="004E0302">
                        <w:rPr>
                          <w:rFonts w:cs="Arial"/>
                          <w:color w:val="FFFFFF"/>
                          <w:spacing w:val="-1"/>
                          <w:sz w:val="20"/>
                        </w:rPr>
                        <w:t>of</w:t>
                      </w:r>
                      <w:r w:rsidRPr="004E0302">
                        <w:rPr>
                          <w:rFonts w:cs="Arial"/>
                          <w:color w:val="FFFFFF"/>
                          <w:spacing w:val="-3"/>
                          <w:sz w:val="20"/>
                        </w:rPr>
                        <w:t xml:space="preserve"> </w:t>
                      </w:r>
                      <w:r w:rsidRPr="004E0302">
                        <w:rPr>
                          <w:rFonts w:cs="Arial"/>
                          <w:color w:val="FFFFFF"/>
                          <w:spacing w:val="-1"/>
                          <w:sz w:val="20"/>
                        </w:rPr>
                        <w:t>the</w:t>
                      </w:r>
                      <w:r w:rsidRPr="004E0302">
                        <w:rPr>
                          <w:rFonts w:cs="Arial"/>
                          <w:color w:val="FFFFFF"/>
                          <w:spacing w:val="53"/>
                          <w:w w:val="99"/>
                          <w:sz w:val="20"/>
                        </w:rPr>
                        <w:t xml:space="preserve"> </w:t>
                      </w:r>
                      <w:r w:rsidRPr="004E0302">
                        <w:rPr>
                          <w:rFonts w:cs="Arial"/>
                          <w:color w:val="FFFFFF"/>
                          <w:spacing w:val="-1"/>
                          <w:sz w:val="20"/>
                        </w:rPr>
                        <w:t>change,</w:t>
                      </w:r>
                      <w:r w:rsidRPr="004E0302">
                        <w:rPr>
                          <w:rFonts w:cs="Arial"/>
                          <w:color w:val="FFFFFF"/>
                          <w:spacing w:val="15"/>
                          <w:sz w:val="20"/>
                        </w:rPr>
                        <w:t xml:space="preserve"> </w:t>
                      </w:r>
                      <w:r w:rsidRPr="004E0302">
                        <w:rPr>
                          <w:rFonts w:cs="Arial"/>
                          <w:color w:val="FFFFFF"/>
                          <w:spacing w:val="-1"/>
                          <w:sz w:val="20"/>
                        </w:rPr>
                        <w:t>any</w:t>
                      </w:r>
                      <w:r w:rsidRPr="004E0302">
                        <w:rPr>
                          <w:rFonts w:cs="Arial"/>
                          <w:color w:val="FFFFFF"/>
                          <w:spacing w:val="13"/>
                          <w:sz w:val="20"/>
                        </w:rPr>
                        <w:t xml:space="preserve"> </w:t>
                      </w:r>
                      <w:r w:rsidRPr="004E0302">
                        <w:rPr>
                          <w:rFonts w:cs="Arial"/>
                          <w:color w:val="FFFFFF"/>
                          <w:sz w:val="20"/>
                        </w:rPr>
                        <w:t>adverse</w:t>
                      </w:r>
                      <w:r w:rsidRPr="004E0302">
                        <w:rPr>
                          <w:rFonts w:cs="Arial"/>
                          <w:color w:val="FFFFFF"/>
                          <w:spacing w:val="13"/>
                          <w:sz w:val="20"/>
                        </w:rPr>
                        <w:t xml:space="preserve"> </w:t>
                      </w:r>
                      <w:r w:rsidRPr="004E0302">
                        <w:rPr>
                          <w:rFonts w:cs="Arial"/>
                          <w:color w:val="FFFFFF"/>
                          <w:spacing w:val="-1"/>
                          <w:sz w:val="20"/>
                        </w:rPr>
                        <w:t>impact</w:t>
                      </w:r>
                      <w:r w:rsidRPr="004E0302">
                        <w:rPr>
                          <w:rFonts w:cs="Arial"/>
                          <w:color w:val="FFFFFF"/>
                          <w:spacing w:val="13"/>
                          <w:sz w:val="20"/>
                        </w:rPr>
                        <w:t xml:space="preserve"> </w:t>
                      </w:r>
                      <w:r w:rsidRPr="004E0302">
                        <w:rPr>
                          <w:rFonts w:cs="Arial"/>
                          <w:color w:val="FFFFFF"/>
                          <w:spacing w:val="-1"/>
                          <w:sz w:val="20"/>
                        </w:rPr>
                        <w:t>on</w:t>
                      </w:r>
                      <w:r w:rsidRPr="004E0302">
                        <w:rPr>
                          <w:rFonts w:cs="Arial"/>
                          <w:color w:val="FFFFFF"/>
                          <w:spacing w:val="15"/>
                          <w:sz w:val="20"/>
                        </w:rPr>
                        <w:t xml:space="preserve"> </w:t>
                      </w:r>
                      <w:r w:rsidRPr="004E0302">
                        <w:rPr>
                          <w:rFonts w:cs="Arial"/>
                          <w:color w:val="FFFFFF"/>
                          <w:spacing w:val="-1"/>
                          <w:sz w:val="20"/>
                        </w:rPr>
                        <w:t>people</w:t>
                      </w:r>
                      <w:r w:rsidRPr="004E0302">
                        <w:rPr>
                          <w:rFonts w:cs="Arial"/>
                          <w:color w:val="FFFFFF"/>
                          <w:spacing w:val="15"/>
                          <w:sz w:val="20"/>
                        </w:rPr>
                        <w:t xml:space="preserve"> </w:t>
                      </w:r>
                      <w:r w:rsidRPr="004E0302">
                        <w:rPr>
                          <w:rFonts w:cs="Arial"/>
                          <w:color w:val="FFFFFF"/>
                          <w:spacing w:val="-1"/>
                          <w:sz w:val="20"/>
                        </w:rPr>
                        <w:t>with</w:t>
                      </w:r>
                      <w:r w:rsidRPr="004E0302">
                        <w:rPr>
                          <w:rFonts w:cs="Arial"/>
                          <w:color w:val="FFFFFF"/>
                          <w:spacing w:val="15"/>
                          <w:sz w:val="20"/>
                        </w:rPr>
                        <w:t xml:space="preserve"> </w:t>
                      </w:r>
                      <w:r w:rsidRPr="004E0302">
                        <w:rPr>
                          <w:rFonts w:cs="Arial"/>
                          <w:color w:val="FFFFFF"/>
                          <w:spacing w:val="-1"/>
                          <w:sz w:val="20"/>
                        </w:rPr>
                        <w:t>protected</w:t>
                      </w:r>
                      <w:r w:rsidRPr="004E0302">
                        <w:rPr>
                          <w:rFonts w:cs="Arial"/>
                          <w:color w:val="FFFFFF"/>
                          <w:spacing w:val="13"/>
                          <w:sz w:val="20"/>
                        </w:rPr>
                        <w:t xml:space="preserve"> </w:t>
                      </w:r>
                      <w:r w:rsidRPr="004E0302">
                        <w:rPr>
                          <w:rFonts w:cs="Arial"/>
                          <w:color w:val="FFFFFF"/>
                          <w:spacing w:val="-1"/>
                          <w:sz w:val="20"/>
                        </w:rPr>
                        <w:t>characteristics</w:t>
                      </w:r>
                      <w:r w:rsidRPr="004E0302">
                        <w:rPr>
                          <w:rFonts w:cs="Arial"/>
                          <w:color w:val="FFFFFF"/>
                          <w:spacing w:val="65"/>
                          <w:sz w:val="20"/>
                        </w:rPr>
                        <w:t xml:space="preserve"> </w:t>
                      </w:r>
                      <w:r w:rsidRPr="004E0302">
                        <w:rPr>
                          <w:rFonts w:cs="Arial"/>
                          <w:color w:val="FFFFFF"/>
                          <w:spacing w:val="-1"/>
                          <w:sz w:val="20"/>
                        </w:rPr>
                        <w:t>(is</w:t>
                      </w:r>
                      <w:r w:rsidRPr="004E0302">
                        <w:rPr>
                          <w:rFonts w:cs="Arial"/>
                          <w:color w:val="FFFFFF"/>
                          <w:spacing w:val="4"/>
                          <w:sz w:val="20"/>
                        </w:rPr>
                        <w:t xml:space="preserve"> </w:t>
                      </w:r>
                      <w:r w:rsidRPr="004E0302">
                        <w:rPr>
                          <w:rFonts w:cs="Arial"/>
                          <w:color w:val="FFFFFF"/>
                          <w:spacing w:val="-1"/>
                          <w:sz w:val="20"/>
                        </w:rPr>
                        <w:t>the</w:t>
                      </w:r>
                      <w:r w:rsidRPr="004E0302">
                        <w:rPr>
                          <w:rFonts w:cs="Arial"/>
                          <w:color w:val="FFFFFF"/>
                          <w:spacing w:val="3"/>
                          <w:sz w:val="20"/>
                        </w:rPr>
                        <w:t xml:space="preserve"> </w:t>
                      </w:r>
                      <w:r w:rsidRPr="004E0302">
                        <w:rPr>
                          <w:rFonts w:cs="Arial"/>
                          <w:color w:val="FFFFFF"/>
                          <w:spacing w:val="-1"/>
                          <w:sz w:val="20"/>
                        </w:rPr>
                        <w:t>Jewish</w:t>
                      </w:r>
                      <w:r w:rsidRPr="004E0302">
                        <w:rPr>
                          <w:rFonts w:cs="Arial"/>
                          <w:color w:val="FFFFFF"/>
                          <w:spacing w:val="3"/>
                          <w:sz w:val="20"/>
                        </w:rPr>
                        <w:t xml:space="preserve"> </w:t>
                      </w:r>
                      <w:r w:rsidRPr="004E0302">
                        <w:rPr>
                          <w:rFonts w:cs="Arial"/>
                          <w:color w:val="FFFFFF"/>
                          <w:spacing w:val="-1"/>
                          <w:sz w:val="20"/>
                        </w:rPr>
                        <w:t>population</w:t>
                      </w:r>
                      <w:r w:rsidRPr="004E0302">
                        <w:rPr>
                          <w:rFonts w:cs="Arial"/>
                          <w:color w:val="FFFFFF"/>
                          <w:spacing w:val="4"/>
                          <w:sz w:val="20"/>
                        </w:rPr>
                        <w:t xml:space="preserve"> </w:t>
                      </w:r>
                      <w:r w:rsidRPr="004E0302">
                        <w:rPr>
                          <w:rFonts w:cs="Arial"/>
                          <w:color w:val="FFFFFF"/>
                          <w:spacing w:val="-1"/>
                          <w:sz w:val="20"/>
                        </w:rPr>
                        <w:t>disadvantaged</w:t>
                      </w:r>
                      <w:r w:rsidRPr="004E0302">
                        <w:rPr>
                          <w:rFonts w:cs="Arial"/>
                          <w:color w:val="FFFFFF"/>
                          <w:spacing w:val="2"/>
                          <w:sz w:val="20"/>
                        </w:rPr>
                        <w:t xml:space="preserve"> </w:t>
                      </w:r>
                      <w:r w:rsidRPr="004E0302">
                        <w:rPr>
                          <w:rFonts w:cs="Arial"/>
                          <w:color w:val="FFFFFF"/>
                          <w:spacing w:val="-1"/>
                          <w:sz w:val="20"/>
                        </w:rPr>
                        <w:t>as</w:t>
                      </w:r>
                      <w:r w:rsidRPr="004E0302">
                        <w:rPr>
                          <w:rFonts w:cs="Arial"/>
                          <w:color w:val="FFFFFF"/>
                          <w:spacing w:val="7"/>
                          <w:sz w:val="20"/>
                        </w:rPr>
                        <w:t xml:space="preserve"> </w:t>
                      </w:r>
                      <w:r w:rsidRPr="004E0302">
                        <w:rPr>
                          <w:rFonts w:cs="Arial"/>
                          <w:color w:val="FFFFFF"/>
                          <w:spacing w:val="-1"/>
                          <w:sz w:val="20"/>
                        </w:rPr>
                        <w:t>Saturday</w:t>
                      </w:r>
                      <w:r w:rsidRPr="004E0302">
                        <w:rPr>
                          <w:rFonts w:cs="Arial"/>
                          <w:color w:val="FFFFFF"/>
                          <w:spacing w:val="4"/>
                          <w:sz w:val="20"/>
                        </w:rPr>
                        <w:t xml:space="preserve"> </w:t>
                      </w:r>
                      <w:r w:rsidRPr="004E0302">
                        <w:rPr>
                          <w:rFonts w:cs="Arial"/>
                          <w:color w:val="FFFFFF"/>
                          <w:spacing w:val="-1"/>
                          <w:sz w:val="20"/>
                        </w:rPr>
                        <w:t>falls</w:t>
                      </w:r>
                      <w:r w:rsidRPr="004E0302">
                        <w:rPr>
                          <w:rFonts w:cs="Arial"/>
                          <w:color w:val="FFFFFF"/>
                          <w:spacing w:val="5"/>
                          <w:sz w:val="20"/>
                        </w:rPr>
                        <w:t xml:space="preserve"> </w:t>
                      </w:r>
                      <w:r w:rsidRPr="004E0302">
                        <w:rPr>
                          <w:rFonts w:cs="Arial"/>
                          <w:color w:val="FFFFFF"/>
                          <w:spacing w:val="-1"/>
                          <w:sz w:val="20"/>
                        </w:rPr>
                        <w:t>on</w:t>
                      </w:r>
                      <w:r w:rsidRPr="004E0302">
                        <w:rPr>
                          <w:rFonts w:cs="Arial"/>
                          <w:color w:val="FFFFFF"/>
                          <w:sz w:val="20"/>
                        </w:rPr>
                        <w:t xml:space="preserve"> </w:t>
                      </w:r>
                      <w:r w:rsidRPr="004E0302">
                        <w:rPr>
                          <w:rFonts w:cs="Arial"/>
                          <w:color w:val="FFFFFF"/>
                          <w:spacing w:val="3"/>
                          <w:sz w:val="20"/>
                        </w:rPr>
                        <w:t xml:space="preserve"> </w:t>
                      </w:r>
                      <w:r w:rsidRPr="004E0302">
                        <w:rPr>
                          <w:rFonts w:cs="Arial"/>
                          <w:color w:val="FFFFFF"/>
                          <w:spacing w:val="-1"/>
                          <w:sz w:val="20"/>
                        </w:rPr>
                        <w:t>the</w:t>
                      </w:r>
                      <w:r w:rsidRPr="004E0302">
                        <w:rPr>
                          <w:rFonts w:cs="Arial"/>
                          <w:color w:val="FFFFFF"/>
                          <w:spacing w:val="53"/>
                          <w:w w:val="99"/>
                          <w:sz w:val="20"/>
                        </w:rPr>
                        <w:t xml:space="preserve"> </w:t>
                      </w:r>
                      <w:r w:rsidRPr="004E0302">
                        <w:rPr>
                          <w:rFonts w:cs="Arial"/>
                          <w:color w:val="FFFFFF"/>
                          <w:spacing w:val="-1"/>
                          <w:sz w:val="20"/>
                        </w:rPr>
                        <w:t>Jewish</w:t>
                      </w:r>
                      <w:r w:rsidRPr="004E0302">
                        <w:rPr>
                          <w:rFonts w:cs="Arial"/>
                          <w:color w:val="FFFFFF"/>
                          <w:spacing w:val="39"/>
                          <w:sz w:val="20"/>
                        </w:rPr>
                        <w:t xml:space="preserve"> </w:t>
                      </w:r>
                      <w:r w:rsidRPr="004E0302">
                        <w:rPr>
                          <w:rFonts w:cs="Arial"/>
                          <w:color w:val="FFFFFF"/>
                          <w:spacing w:val="-1"/>
                          <w:sz w:val="20"/>
                        </w:rPr>
                        <w:t>rest</w:t>
                      </w:r>
                      <w:r w:rsidRPr="004E0302">
                        <w:rPr>
                          <w:rFonts w:cs="Arial"/>
                          <w:color w:val="FFFFFF"/>
                          <w:spacing w:val="40"/>
                          <w:sz w:val="20"/>
                        </w:rPr>
                        <w:t xml:space="preserve"> </w:t>
                      </w:r>
                      <w:r w:rsidRPr="004E0302">
                        <w:rPr>
                          <w:rFonts w:cs="Arial"/>
                          <w:color w:val="FFFFFF"/>
                          <w:spacing w:val="-1"/>
                          <w:sz w:val="20"/>
                        </w:rPr>
                        <w:t>day?)</w:t>
                      </w:r>
                      <w:r w:rsidRPr="004E0302">
                        <w:rPr>
                          <w:rFonts w:cs="Arial"/>
                          <w:color w:val="FFFFFF"/>
                          <w:spacing w:val="39"/>
                          <w:sz w:val="20"/>
                        </w:rPr>
                        <w:t xml:space="preserve"> </w:t>
                      </w:r>
                      <w:r w:rsidRPr="004E0302">
                        <w:rPr>
                          <w:rFonts w:cs="Arial"/>
                          <w:color w:val="FFFFFF"/>
                          <w:sz w:val="20"/>
                        </w:rPr>
                        <w:t>and</w:t>
                      </w:r>
                      <w:r w:rsidRPr="004E0302">
                        <w:rPr>
                          <w:rFonts w:cs="Arial"/>
                          <w:color w:val="FFFFFF"/>
                          <w:spacing w:val="40"/>
                          <w:sz w:val="20"/>
                        </w:rPr>
                        <w:t xml:space="preserve"> </w:t>
                      </w:r>
                      <w:r w:rsidRPr="004E0302">
                        <w:rPr>
                          <w:rFonts w:cs="Arial"/>
                          <w:color w:val="FFFFFF"/>
                          <w:spacing w:val="-1"/>
                          <w:sz w:val="20"/>
                        </w:rPr>
                        <w:t>any</w:t>
                      </w:r>
                      <w:r w:rsidRPr="004E0302">
                        <w:rPr>
                          <w:rFonts w:cs="Arial"/>
                          <w:color w:val="FFFFFF"/>
                          <w:spacing w:val="40"/>
                          <w:sz w:val="20"/>
                        </w:rPr>
                        <w:t xml:space="preserve"> </w:t>
                      </w:r>
                      <w:r w:rsidRPr="004E0302">
                        <w:rPr>
                          <w:rFonts w:cs="Arial"/>
                          <w:color w:val="FFFFFF"/>
                          <w:spacing w:val="-1"/>
                          <w:sz w:val="20"/>
                        </w:rPr>
                        <w:t>costs</w:t>
                      </w:r>
                      <w:r w:rsidRPr="004E0302">
                        <w:rPr>
                          <w:rFonts w:cs="Arial"/>
                          <w:color w:val="FFFFFF"/>
                          <w:spacing w:val="40"/>
                          <w:sz w:val="20"/>
                        </w:rPr>
                        <w:t xml:space="preserve"> </w:t>
                      </w:r>
                      <w:r w:rsidRPr="004E0302">
                        <w:rPr>
                          <w:rFonts w:cs="Arial"/>
                          <w:color w:val="FFFFFF"/>
                          <w:spacing w:val="-1"/>
                          <w:sz w:val="20"/>
                        </w:rPr>
                        <w:t>implications</w:t>
                      </w:r>
                      <w:r w:rsidRPr="004E0302">
                        <w:rPr>
                          <w:rFonts w:cs="Arial"/>
                          <w:color w:val="FFFFFF"/>
                          <w:spacing w:val="42"/>
                          <w:sz w:val="20"/>
                        </w:rPr>
                        <w:t xml:space="preserve"> </w:t>
                      </w:r>
                      <w:r w:rsidRPr="004E0302">
                        <w:rPr>
                          <w:rFonts w:cs="Arial"/>
                          <w:color w:val="FFFFFF"/>
                          <w:spacing w:val="-1"/>
                          <w:sz w:val="20"/>
                        </w:rPr>
                        <w:t>for</w:t>
                      </w:r>
                      <w:r w:rsidRPr="004E0302">
                        <w:rPr>
                          <w:rFonts w:cs="Arial"/>
                          <w:color w:val="FFFFFF"/>
                          <w:spacing w:val="39"/>
                          <w:sz w:val="20"/>
                        </w:rPr>
                        <w:t xml:space="preserve"> </w:t>
                      </w:r>
                      <w:r w:rsidRPr="004E0302">
                        <w:rPr>
                          <w:rFonts w:cs="Arial"/>
                          <w:color w:val="FFFFFF"/>
                          <w:sz w:val="20"/>
                        </w:rPr>
                        <w:t>the commissioner</w:t>
                      </w:r>
                      <w:r w:rsidRPr="004E0302">
                        <w:rPr>
                          <w:rFonts w:cs="Arial"/>
                          <w:color w:val="FFFFFF"/>
                          <w:spacing w:val="-1"/>
                          <w:sz w:val="20"/>
                        </w:rPr>
                        <w:t>.</w:t>
                      </w:r>
                      <w:r w:rsidRPr="004E0302">
                        <w:rPr>
                          <w:rFonts w:cs="Arial"/>
                          <w:color w:val="FFFFFF"/>
                          <w:spacing w:val="16"/>
                          <w:sz w:val="20"/>
                        </w:rPr>
                        <w:t xml:space="preserve"> </w:t>
                      </w:r>
                      <w:r w:rsidRPr="004E0302">
                        <w:rPr>
                          <w:rFonts w:cs="Arial"/>
                          <w:color w:val="FFFFFF"/>
                          <w:sz w:val="20"/>
                        </w:rPr>
                        <w:t>An</w:t>
                      </w:r>
                      <w:r w:rsidRPr="004E0302">
                        <w:rPr>
                          <w:rFonts w:cs="Arial"/>
                          <w:color w:val="FFFFFF"/>
                          <w:spacing w:val="51"/>
                          <w:sz w:val="20"/>
                        </w:rPr>
                        <w:t xml:space="preserve"> </w:t>
                      </w:r>
                      <w:r w:rsidRPr="004E0302">
                        <w:rPr>
                          <w:rFonts w:cs="Arial"/>
                          <w:color w:val="FFFFFF"/>
                          <w:spacing w:val="-1"/>
                          <w:sz w:val="20"/>
                        </w:rPr>
                        <w:t>example</w:t>
                      </w:r>
                      <w:r w:rsidRPr="004E0302">
                        <w:rPr>
                          <w:rFonts w:cs="Arial"/>
                          <w:color w:val="FFFFFF"/>
                          <w:spacing w:val="25"/>
                          <w:sz w:val="20"/>
                        </w:rPr>
                        <w:t xml:space="preserve"> </w:t>
                      </w:r>
                      <w:r w:rsidRPr="004E0302">
                        <w:rPr>
                          <w:rFonts w:cs="Arial"/>
                          <w:color w:val="FFFFFF"/>
                          <w:spacing w:val="-1"/>
                          <w:sz w:val="20"/>
                        </w:rPr>
                        <w:t>of</w:t>
                      </w:r>
                      <w:r w:rsidRPr="004E0302">
                        <w:rPr>
                          <w:rFonts w:cs="Arial"/>
                          <w:color w:val="FFFFFF"/>
                          <w:spacing w:val="25"/>
                          <w:sz w:val="20"/>
                        </w:rPr>
                        <w:t xml:space="preserve"> </w:t>
                      </w:r>
                      <w:r w:rsidRPr="004E0302">
                        <w:rPr>
                          <w:rFonts w:cs="Arial"/>
                          <w:color w:val="FFFFFF"/>
                          <w:spacing w:val="-1"/>
                          <w:sz w:val="20"/>
                        </w:rPr>
                        <w:t>an</w:t>
                      </w:r>
                      <w:r w:rsidRPr="004E0302">
                        <w:rPr>
                          <w:rFonts w:cs="Arial"/>
                          <w:color w:val="FFFFFF"/>
                          <w:spacing w:val="26"/>
                          <w:sz w:val="20"/>
                        </w:rPr>
                        <w:t xml:space="preserve"> </w:t>
                      </w:r>
                      <w:r w:rsidRPr="004E0302">
                        <w:rPr>
                          <w:rFonts w:cs="Arial"/>
                          <w:color w:val="FFFFFF"/>
                          <w:spacing w:val="-1"/>
                          <w:sz w:val="20"/>
                        </w:rPr>
                        <w:t>irrelevant</w:t>
                      </w:r>
                      <w:r w:rsidRPr="004E0302">
                        <w:rPr>
                          <w:rFonts w:cs="Arial"/>
                          <w:color w:val="FFFFFF"/>
                          <w:spacing w:val="26"/>
                          <w:sz w:val="20"/>
                        </w:rPr>
                        <w:t xml:space="preserve"> </w:t>
                      </w:r>
                      <w:r w:rsidRPr="004E0302">
                        <w:rPr>
                          <w:rFonts w:cs="Arial"/>
                          <w:color w:val="FFFFFF"/>
                          <w:spacing w:val="-1"/>
                          <w:sz w:val="20"/>
                        </w:rPr>
                        <w:t>factor</w:t>
                      </w:r>
                      <w:r w:rsidRPr="004E0302">
                        <w:rPr>
                          <w:rFonts w:cs="Arial"/>
                          <w:color w:val="FFFFFF"/>
                          <w:spacing w:val="26"/>
                          <w:sz w:val="20"/>
                        </w:rPr>
                        <w:t xml:space="preserve"> </w:t>
                      </w:r>
                      <w:r w:rsidRPr="004E0302">
                        <w:rPr>
                          <w:rFonts w:cs="Arial"/>
                          <w:color w:val="FFFFFF"/>
                          <w:spacing w:val="-1"/>
                          <w:sz w:val="20"/>
                        </w:rPr>
                        <w:t>is</w:t>
                      </w:r>
                      <w:r w:rsidRPr="004E0302">
                        <w:rPr>
                          <w:rFonts w:cs="Arial"/>
                          <w:color w:val="FFFFFF"/>
                          <w:spacing w:val="27"/>
                          <w:sz w:val="20"/>
                        </w:rPr>
                        <w:t xml:space="preserve"> </w:t>
                      </w:r>
                      <w:r w:rsidRPr="004E0302">
                        <w:rPr>
                          <w:rFonts w:cs="Arial"/>
                          <w:color w:val="FFFFFF"/>
                          <w:spacing w:val="-1"/>
                          <w:sz w:val="20"/>
                        </w:rPr>
                        <w:t>that</w:t>
                      </w:r>
                      <w:r w:rsidRPr="004E0302">
                        <w:rPr>
                          <w:rFonts w:cs="Arial"/>
                          <w:color w:val="FFFFFF"/>
                          <w:spacing w:val="26"/>
                          <w:sz w:val="20"/>
                        </w:rPr>
                        <w:t xml:space="preserve"> </w:t>
                      </w:r>
                      <w:r w:rsidRPr="004E0302">
                        <w:rPr>
                          <w:rFonts w:cs="Arial"/>
                          <w:color w:val="FFFFFF"/>
                          <w:spacing w:val="-2"/>
                          <w:sz w:val="20"/>
                        </w:rPr>
                        <w:t>the commissioner</w:t>
                      </w:r>
                      <w:r w:rsidRPr="004E0302">
                        <w:rPr>
                          <w:rFonts w:cs="Arial"/>
                          <w:color w:val="FFFFFF"/>
                          <w:spacing w:val="25"/>
                          <w:sz w:val="20"/>
                        </w:rPr>
                        <w:t xml:space="preserve"> </w:t>
                      </w:r>
                      <w:r w:rsidRPr="004E0302">
                        <w:rPr>
                          <w:rFonts w:cs="Arial"/>
                          <w:color w:val="FFFFFF"/>
                          <w:spacing w:val="-1"/>
                          <w:sz w:val="20"/>
                        </w:rPr>
                        <w:t>has</w:t>
                      </w:r>
                      <w:r w:rsidRPr="004E0302">
                        <w:rPr>
                          <w:rFonts w:cs="Arial"/>
                          <w:color w:val="FFFFFF"/>
                          <w:spacing w:val="28"/>
                          <w:sz w:val="20"/>
                        </w:rPr>
                        <w:t xml:space="preserve"> </w:t>
                      </w:r>
                      <w:r w:rsidRPr="004E0302">
                        <w:rPr>
                          <w:rFonts w:cs="Arial"/>
                          <w:color w:val="FFFFFF"/>
                          <w:spacing w:val="-1"/>
                          <w:sz w:val="20"/>
                        </w:rPr>
                        <w:t>been</w:t>
                      </w:r>
                      <w:r w:rsidRPr="004E0302">
                        <w:rPr>
                          <w:rFonts w:cs="Arial"/>
                          <w:color w:val="FFFFFF"/>
                          <w:spacing w:val="55"/>
                          <w:sz w:val="20"/>
                        </w:rPr>
                        <w:t xml:space="preserve"> </w:t>
                      </w:r>
                      <w:r w:rsidRPr="004E0302">
                        <w:rPr>
                          <w:rFonts w:cs="Arial"/>
                          <w:color w:val="FFFFFF"/>
                          <w:spacing w:val="-1"/>
                          <w:sz w:val="20"/>
                        </w:rPr>
                        <w:t>promised</w:t>
                      </w:r>
                      <w:r w:rsidRPr="004E0302">
                        <w:rPr>
                          <w:rFonts w:cs="Arial"/>
                          <w:color w:val="FFFFFF"/>
                          <w:spacing w:val="54"/>
                          <w:sz w:val="20"/>
                        </w:rPr>
                        <w:t xml:space="preserve"> </w:t>
                      </w:r>
                      <w:r w:rsidRPr="004E0302">
                        <w:rPr>
                          <w:rFonts w:cs="Arial"/>
                          <w:color w:val="FFFFFF"/>
                          <w:spacing w:val="-1"/>
                          <w:sz w:val="20"/>
                        </w:rPr>
                        <w:t>some</w:t>
                      </w:r>
                      <w:r w:rsidRPr="004E0302">
                        <w:rPr>
                          <w:rFonts w:cs="Arial"/>
                          <w:color w:val="FFFFFF"/>
                          <w:spacing w:val="57"/>
                          <w:sz w:val="20"/>
                        </w:rPr>
                        <w:t xml:space="preserve"> </w:t>
                      </w:r>
                      <w:r w:rsidRPr="004E0302">
                        <w:rPr>
                          <w:rFonts w:cs="Arial"/>
                          <w:color w:val="FFFFFF"/>
                          <w:spacing w:val="-1"/>
                          <w:sz w:val="20"/>
                        </w:rPr>
                        <w:t>good</w:t>
                      </w:r>
                      <w:r w:rsidRPr="004E0302">
                        <w:rPr>
                          <w:rFonts w:cs="Arial"/>
                          <w:color w:val="FFFFFF"/>
                          <w:spacing w:val="57"/>
                          <w:sz w:val="20"/>
                        </w:rPr>
                        <w:t xml:space="preserve"> </w:t>
                      </w:r>
                      <w:r w:rsidRPr="004E0302">
                        <w:rPr>
                          <w:rFonts w:cs="Arial"/>
                          <w:color w:val="FFFFFF"/>
                          <w:spacing w:val="-1"/>
                          <w:sz w:val="20"/>
                        </w:rPr>
                        <w:t>publicity</w:t>
                      </w:r>
                      <w:r w:rsidRPr="004E0302">
                        <w:rPr>
                          <w:rFonts w:cs="Arial"/>
                          <w:color w:val="FFFFFF"/>
                          <w:spacing w:val="58"/>
                          <w:sz w:val="20"/>
                        </w:rPr>
                        <w:t xml:space="preserve"> </w:t>
                      </w:r>
                      <w:r w:rsidRPr="004E0302">
                        <w:rPr>
                          <w:rFonts w:cs="Arial"/>
                          <w:color w:val="FFFFFF"/>
                          <w:spacing w:val="-1"/>
                          <w:sz w:val="20"/>
                        </w:rPr>
                        <w:t>by</w:t>
                      </w:r>
                      <w:r w:rsidRPr="004E0302">
                        <w:rPr>
                          <w:rFonts w:cs="Arial"/>
                          <w:color w:val="FFFFFF"/>
                          <w:spacing w:val="56"/>
                          <w:sz w:val="20"/>
                        </w:rPr>
                        <w:t xml:space="preserve"> </w:t>
                      </w:r>
                      <w:r w:rsidRPr="004E0302">
                        <w:rPr>
                          <w:rFonts w:cs="Arial"/>
                          <w:color w:val="FFFFFF"/>
                          <w:spacing w:val="-1"/>
                          <w:sz w:val="20"/>
                        </w:rPr>
                        <w:t>the</w:t>
                      </w:r>
                      <w:r w:rsidRPr="004E0302">
                        <w:rPr>
                          <w:rFonts w:cs="Arial"/>
                          <w:color w:val="FFFFFF"/>
                          <w:spacing w:val="55"/>
                          <w:sz w:val="20"/>
                        </w:rPr>
                        <w:t xml:space="preserve"> </w:t>
                      </w:r>
                      <w:r w:rsidRPr="004E0302">
                        <w:rPr>
                          <w:rFonts w:cs="Arial"/>
                          <w:color w:val="FFFFFF"/>
                          <w:sz w:val="20"/>
                        </w:rPr>
                        <w:t>practice</w:t>
                      </w:r>
                      <w:r w:rsidRPr="004E0302">
                        <w:rPr>
                          <w:rFonts w:cs="Arial"/>
                          <w:color w:val="FFFFFF"/>
                          <w:spacing w:val="54"/>
                          <w:sz w:val="20"/>
                        </w:rPr>
                        <w:t xml:space="preserve"> </w:t>
                      </w:r>
                      <w:r w:rsidRPr="004E0302">
                        <w:rPr>
                          <w:rFonts w:cs="Arial"/>
                          <w:color w:val="FFFFFF"/>
                          <w:sz w:val="20"/>
                        </w:rPr>
                        <w:t>if</w:t>
                      </w:r>
                      <w:r w:rsidRPr="004E0302">
                        <w:rPr>
                          <w:rFonts w:cs="Arial"/>
                          <w:color w:val="FFFFFF"/>
                          <w:spacing w:val="55"/>
                          <w:sz w:val="20"/>
                        </w:rPr>
                        <w:t xml:space="preserve"> </w:t>
                      </w:r>
                      <w:r w:rsidRPr="004E0302">
                        <w:rPr>
                          <w:rFonts w:cs="Arial"/>
                          <w:color w:val="FFFFFF"/>
                          <w:spacing w:val="-1"/>
                          <w:sz w:val="20"/>
                        </w:rPr>
                        <w:t>it</w:t>
                      </w:r>
                      <w:r w:rsidRPr="004E0302">
                        <w:rPr>
                          <w:rFonts w:cs="Arial"/>
                          <w:color w:val="FFFFFF"/>
                          <w:spacing w:val="56"/>
                          <w:sz w:val="20"/>
                        </w:rPr>
                        <w:t xml:space="preserve"> </w:t>
                      </w:r>
                      <w:r w:rsidRPr="004E0302">
                        <w:rPr>
                          <w:rFonts w:cs="Arial"/>
                          <w:color w:val="FFFFFF"/>
                          <w:spacing w:val="-1"/>
                          <w:sz w:val="20"/>
                        </w:rPr>
                        <w:t>agrees</w:t>
                      </w:r>
                      <w:r w:rsidRPr="004E0302">
                        <w:rPr>
                          <w:rFonts w:cs="Arial"/>
                          <w:color w:val="FFFFFF"/>
                          <w:spacing w:val="57"/>
                          <w:sz w:val="20"/>
                        </w:rPr>
                        <w:t xml:space="preserve"> </w:t>
                      </w:r>
                      <w:r w:rsidRPr="004E0302">
                        <w:rPr>
                          <w:rFonts w:cs="Arial"/>
                          <w:color w:val="FFFFFF"/>
                          <w:sz w:val="20"/>
                        </w:rPr>
                        <w:t>to</w:t>
                      </w:r>
                      <w:r w:rsidRPr="004E0302">
                        <w:rPr>
                          <w:rFonts w:cs="Arial"/>
                          <w:color w:val="FFFFFF"/>
                          <w:spacing w:val="56"/>
                          <w:sz w:val="20"/>
                        </w:rPr>
                        <w:t xml:space="preserve"> </w:t>
                      </w:r>
                      <w:r w:rsidRPr="004E0302">
                        <w:rPr>
                          <w:rFonts w:cs="Arial"/>
                          <w:color w:val="FFFFFF"/>
                          <w:spacing w:val="-1"/>
                          <w:sz w:val="20"/>
                        </w:rPr>
                        <w:t>the</w:t>
                      </w:r>
                      <w:r w:rsidRPr="004E0302">
                        <w:rPr>
                          <w:rFonts w:cs="Arial"/>
                          <w:color w:val="FFFFFF"/>
                          <w:spacing w:val="53"/>
                          <w:w w:val="99"/>
                          <w:sz w:val="20"/>
                        </w:rPr>
                        <w:t xml:space="preserve"> </w:t>
                      </w:r>
                      <w:r w:rsidRPr="004E0302">
                        <w:rPr>
                          <w:rFonts w:cs="Arial"/>
                          <w:color w:val="FFFFFF"/>
                          <w:spacing w:val="-1"/>
                          <w:sz w:val="20"/>
                        </w:rPr>
                        <w:t>change.</w:t>
                      </w:r>
                    </w:p>
                  </w:txbxContent>
                </v:textbox>
                <w10:anchorlock/>
              </v:shape>
            </w:pict>
          </mc:Fallback>
        </mc:AlternateContent>
      </w:r>
    </w:p>
    <w:p w14:paraId="64C16916" w14:textId="77777777" w:rsidR="00DB7F92" w:rsidRPr="00DB7F92" w:rsidRDefault="00DB7F92" w:rsidP="00DB7F92">
      <w:pPr>
        <w:spacing w:before="2"/>
        <w:jc w:val="both"/>
        <w:rPr>
          <w:rFonts w:eastAsia="Segoe UI Semilight" w:cs="Arial"/>
          <w:sz w:val="20"/>
          <w:szCs w:val="20"/>
        </w:rPr>
      </w:pPr>
    </w:p>
    <w:p w14:paraId="6AE95E29" w14:textId="77777777" w:rsidR="00DB7F92" w:rsidRPr="00DB7F92" w:rsidRDefault="00DB7F92" w:rsidP="00DD5D2D">
      <w:pPr>
        <w:pStyle w:val="Heading3"/>
        <w:jc w:val="both"/>
        <w:rPr>
          <w:lang w:eastAsia="en-GB"/>
        </w:rPr>
      </w:pPr>
      <w:r w:rsidRPr="00DB7F92">
        <w:rPr>
          <w:lang w:eastAsia="en-GB"/>
        </w:rPr>
        <w:t>The</w:t>
      </w:r>
      <w:r w:rsidRPr="00DB7F92">
        <w:rPr>
          <w:spacing w:val="33"/>
          <w:lang w:eastAsia="en-GB"/>
        </w:rPr>
        <w:t xml:space="preserve"> </w:t>
      </w:r>
      <w:r w:rsidRPr="00DB7F92">
        <w:rPr>
          <w:lang w:eastAsia="en-GB"/>
        </w:rPr>
        <w:t>reasons</w:t>
      </w:r>
      <w:r w:rsidRPr="00DB7F92">
        <w:rPr>
          <w:spacing w:val="35"/>
          <w:lang w:eastAsia="en-GB"/>
        </w:rPr>
        <w:t xml:space="preserve"> </w:t>
      </w:r>
      <w:r w:rsidRPr="00DB7F92">
        <w:rPr>
          <w:lang w:eastAsia="en-GB"/>
        </w:rPr>
        <w:t>for</w:t>
      </w:r>
      <w:r w:rsidRPr="00DB7F92">
        <w:rPr>
          <w:spacing w:val="34"/>
          <w:lang w:eastAsia="en-GB"/>
        </w:rPr>
        <w:t xml:space="preserve"> </w:t>
      </w:r>
      <w:r w:rsidRPr="00DB7F92">
        <w:rPr>
          <w:lang w:eastAsia="en-GB"/>
        </w:rPr>
        <w:t>the commissioner's</w:t>
      </w:r>
      <w:r w:rsidRPr="00DB7F92">
        <w:rPr>
          <w:spacing w:val="35"/>
          <w:lang w:eastAsia="en-GB"/>
        </w:rPr>
        <w:t xml:space="preserve"> </w:t>
      </w:r>
      <w:r w:rsidRPr="00DB7F92">
        <w:rPr>
          <w:lang w:eastAsia="en-GB"/>
        </w:rPr>
        <w:t>decisions</w:t>
      </w:r>
      <w:r w:rsidRPr="00DB7F92">
        <w:rPr>
          <w:spacing w:val="36"/>
          <w:lang w:eastAsia="en-GB"/>
        </w:rPr>
        <w:t xml:space="preserve"> </w:t>
      </w:r>
      <w:r w:rsidRPr="00DB7F92">
        <w:rPr>
          <w:lang w:eastAsia="en-GB"/>
        </w:rPr>
        <w:t>also</w:t>
      </w:r>
      <w:r w:rsidRPr="00DB7F92">
        <w:rPr>
          <w:spacing w:val="33"/>
          <w:lang w:eastAsia="en-GB"/>
        </w:rPr>
        <w:t xml:space="preserve"> </w:t>
      </w:r>
      <w:r w:rsidRPr="00DB7F92">
        <w:rPr>
          <w:lang w:eastAsia="en-GB"/>
        </w:rPr>
        <w:t>need</w:t>
      </w:r>
      <w:r w:rsidRPr="00DB7F92">
        <w:rPr>
          <w:spacing w:val="33"/>
          <w:lang w:eastAsia="en-GB"/>
        </w:rPr>
        <w:t xml:space="preserve"> </w:t>
      </w:r>
      <w:r w:rsidRPr="00DB7F92">
        <w:rPr>
          <w:lang w:eastAsia="en-GB"/>
        </w:rPr>
        <w:t>to</w:t>
      </w:r>
      <w:r w:rsidRPr="00DB7F92">
        <w:rPr>
          <w:spacing w:val="33"/>
          <w:lang w:eastAsia="en-GB"/>
        </w:rPr>
        <w:t xml:space="preserve"> </w:t>
      </w:r>
      <w:r w:rsidRPr="00DB7F92">
        <w:rPr>
          <w:lang w:eastAsia="en-GB"/>
        </w:rPr>
        <w:t>"stack</w:t>
      </w:r>
      <w:r w:rsidRPr="00DB7F92">
        <w:rPr>
          <w:spacing w:val="35"/>
          <w:lang w:eastAsia="en-GB"/>
        </w:rPr>
        <w:t xml:space="preserve"> </w:t>
      </w:r>
      <w:r w:rsidRPr="00DB7F92">
        <w:rPr>
          <w:lang w:eastAsia="en-GB"/>
        </w:rPr>
        <w:t>up".</w:t>
      </w:r>
      <w:r w:rsidRPr="00DB7F92">
        <w:rPr>
          <w:spacing w:val="5"/>
          <w:lang w:eastAsia="en-GB"/>
        </w:rPr>
        <w:t xml:space="preserve"> </w:t>
      </w:r>
      <w:r w:rsidRPr="00DB7F92">
        <w:rPr>
          <w:lang w:eastAsia="en-GB"/>
        </w:rPr>
        <w:t>It</w:t>
      </w:r>
      <w:r w:rsidRPr="00DB7F92">
        <w:rPr>
          <w:spacing w:val="36"/>
          <w:lang w:eastAsia="en-GB"/>
        </w:rPr>
        <w:t xml:space="preserve"> </w:t>
      </w:r>
      <w:r w:rsidRPr="00DB7F92">
        <w:rPr>
          <w:lang w:eastAsia="en-GB"/>
        </w:rPr>
        <w:t>is</w:t>
      </w:r>
      <w:r w:rsidRPr="00DB7F92">
        <w:rPr>
          <w:spacing w:val="50"/>
          <w:w w:val="99"/>
          <w:lang w:eastAsia="en-GB"/>
        </w:rPr>
        <w:t xml:space="preserve"> </w:t>
      </w:r>
      <w:r w:rsidRPr="00DB7F92">
        <w:rPr>
          <w:lang w:eastAsia="en-GB"/>
        </w:rPr>
        <w:t>important</w:t>
      </w:r>
      <w:r w:rsidRPr="00DB7F92">
        <w:rPr>
          <w:spacing w:val="-2"/>
          <w:lang w:eastAsia="en-GB"/>
        </w:rPr>
        <w:t xml:space="preserve"> </w:t>
      </w:r>
      <w:r w:rsidRPr="00DB7F92">
        <w:rPr>
          <w:lang w:eastAsia="en-GB"/>
        </w:rPr>
        <w:t>for</w:t>
      </w:r>
      <w:r w:rsidRPr="00DB7F92">
        <w:rPr>
          <w:spacing w:val="-2"/>
          <w:lang w:eastAsia="en-GB"/>
        </w:rPr>
        <w:t xml:space="preserve"> </w:t>
      </w:r>
      <w:r w:rsidRPr="00DB7F92">
        <w:rPr>
          <w:lang w:eastAsia="en-GB"/>
        </w:rPr>
        <w:t>the commissioner</w:t>
      </w:r>
      <w:r w:rsidRPr="00DB7F92">
        <w:rPr>
          <w:spacing w:val="-3"/>
          <w:lang w:eastAsia="en-GB"/>
        </w:rPr>
        <w:t xml:space="preserve"> </w:t>
      </w:r>
      <w:r w:rsidRPr="00DB7F92">
        <w:rPr>
          <w:lang w:eastAsia="en-GB"/>
        </w:rPr>
        <w:t>to</w:t>
      </w:r>
      <w:r w:rsidRPr="00DB7F92">
        <w:rPr>
          <w:spacing w:val="-3"/>
          <w:lang w:eastAsia="en-GB"/>
        </w:rPr>
        <w:t xml:space="preserve"> </w:t>
      </w:r>
      <w:r w:rsidRPr="00DB7F92">
        <w:rPr>
          <w:lang w:eastAsia="en-GB"/>
        </w:rPr>
        <w:t>document</w:t>
      </w:r>
      <w:r w:rsidRPr="00DB7F92">
        <w:rPr>
          <w:spacing w:val="1"/>
          <w:lang w:eastAsia="en-GB"/>
        </w:rPr>
        <w:t xml:space="preserve"> </w:t>
      </w:r>
      <w:r w:rsidRPr="00DB7F92">
        <w:rPr>
          <w:lang w:eastAsia="en-GB"/>
        </w:rPr>
        <w:t>its reasons for a</w:t>
      </w:r>
      <w:r w:rsidRPr="00DB7F92">
        <w:rPr>
          <w:spacing w:val="-2"/>
          <w:lang w:eastAsia="en-GB"/>
        </w:rPr>
        <w:t xml:space="preserve"> </w:t>
      </w:r>
      <w:r w:rsidRPr="00DB7F92">
        <w:rPr>
          <w:lang w:eastAsia="en-GB"/>
        </w:rPr>
        <w:t>decision as the commissioner</w:t>
      </w:r>
      <w:r w:rsidRPr="00DB7F92">
        <w:rPr>
          <w:spacing w:val="7"/>
          <w:lang w:eastAsia="en-GB"/>
        </w:rPr>
        <w:t xml:space="preserve"> </w:t>
      </w:r>
      <w:r w:rsidRPr="00DB7F92">
        <w:rPr>
          <w:lang w:eastAsia="en-GB"/>
        </w:rPr>
        <w:t>needs</w:t>
      </w:r>
      <w:r w:rsidRPr="00DB7F92">
        <w:rPr>
          <w:spacing w:val="8"/>
          <w:lang w:eastAsia="en-GB"/>
        </w:rPr>
        <w:t xml:space="preserve"> </w:t>
      </w:r>
      <w:r w:rsidRPr="00DB7F92">
        <w:rPr>
          <w:lang w:eastAsia="en-GB"/>
        </w:rPr>
        <w:t>not</w:t>
      </w:r>
      <w:r w:rsidRPr="00DB7F92">
        <w:rPr>
          <w:spacing w:val="9"/>
          <w:lang w:eastAsia="en-GB"/>
        </w:rPr>
        <w:t xml:space="preserve"> </w:t>
      </w:r>
      <w:r w:rsidRPr="00DB7F92">
        <w:rPr>
          <w:lang w:eastAsia="en-GB"/>
        </w:rPr>
        <w:t>only</w:t>
      </w:r>
      <w:r w:rsidRPr="00DB7F92">
        <w:rPr>
          <w:spacing w:val="8"/>
          <w:lang w:eastAsia="en-GB"/>
        </w:rPr>
        <w:t xml:space="preserve"> </w:t>
      </w:r>
      <w:r w:rsidRPr="00DB7F92">
        <w:rPr>
          <w:lang w:eastAsia="en-GB"/>
        </w:rPr>
        <w:t>to</w:t>
      </w:r>
      <w:r w:rsidRPr="00DB7F92">
        <w:rPr>
          <w:spacing w:val="8"/>
          <w:lang w:eastAsia="en-GB"/>
        </w:rPr>
        <w:t xml:space="preserve"> </w:t>
      </w:r>
      <w:r w:rsidRPr="00DB7F92">
        <w:rPr>
          <w:lang w:eastAsia="en-GB"/>
        </w:rPr>
        <w:t>act</w:t>
      </w:r>
      <w:r w:rsidRPr="00DB7F92">
        <w:rPr>
          <w:spacing w:val="8"/>
          <w:lang w:eastAsia="en-GB"/>
        </w:rPr>
        <w:t xml:space="preserve"> </w:t>
      </w:r>
      <w:r w:rsidRPr="00DB7F92">
        <w:rPr>
          <w:lang w:eastAsia="en-GB"/>
        </w:rPr>
        <w:t>reasonably</w:t>
      </w:r>
      <w:r w:rsidRPr="00DB7F92">
        <w:rPr>
          <w:spacing w:val="8"/>
          <w:lang w:eastAsia="en-GB"/>
        </w:rPr>
        <w:t xml:space="preserve"> </w:t>
      </w:r>
      <w:r w:rsidRPr="00DB7F92">
        <w:rPr>
          <w:lang w:eastAsia="en-GB"/>
        </w:rPr>
        <w:t>but</w:t>
      </w:r>
      <w:r w:rsidRPr="00DB7F92">
        <w:rPr>
          <w:spacing w:val="11"/>
          <w:lang w:eastAsia="en-GB"/>
        </w:rPr>
        <w:t xml:space="preserve"> </w:t>
      </w:r>
      <w:r w:rsidRPr="00DB7F92">
        <w:rPr>
          <w:lang w:eastAsia="en-GB"/>
        </w:rPr>
        <w:t>be</w:t>
      </w:r>
      <w:r w:rsidRPr="00DB7F92">
        <w:rPr>
          <w:spacing w:val="9"/>
          <w:lang w:eastAsia="en-GB"/>
        </w:rPr>
        <w:t xml:space="preserve"> </w:t>
      </w:r>
      <w:r w:rsidRPr="00DB7F92">
        <w:rPr>
          <w:lang w:eastAsia="en-GB"/>
        </w:rPr>
        <w:t>able</w:t>
      </w:r>
      <w:r w:rsidRPr="00DB7F92">
        <w:rPr>
          <w:spacing w:val="8"/>
          <w:lang w:eastAsia="en-GB"/>
        </w:rPr>
        <w:t xml:space="preserve"> </w:t>
      </w:r>
      <w:r w:rsidRPr="00DB7F92">
        <w:rPr>
          <w:lang w:eastAsia="en-GB"/>
        </w:rPr>
        <w:t>to</w:t>
      </w:r>
      <w:r w:rsidRPr="00DB7F92">
        <w:rPr>
          <w:spacing w:val="9"/>
          <w:lang w:eastAsia="en-GB"/>
        </w:rPr>
        <w:t xml:space="preserve"> </w:t>
      </w:r>
      <w:r w:rsidRPr="00DB7F92">
        <w:rPr>
          <w:lang w:eastAsia="en-GB"/>
        </w:rPr>
        <w:t>show</w:t>
      </w:r>
      <w:r w:rsidRPr="00DB7F92">
        <w:rPr>
          <w:spacing w:val="8"/>
          <w:lang w:eastAsia="en-GB"/>
        </w:rPr>
        <w:t xml:space="preserve"> </w:t>
      </w:r>
      <w:r w:rsidRPr="00DB7F92">
        <w:rPr>
          <w:lang w:eastAsia="en-GB"/>
        </w:rPr>
        <w:t>that</w:t>
      </w:r>
      <w:r w:rsidRPr="00DB7F92">
        <w:rPr>
          <w:spacing w:val="11"/>
          <w:lang w:eastAsia="en-GB"/>
        </w:rPr>
        <w:t xml:space="preserve"> </w:t>
      </w:r>
      <w:r w:rsidRPr="00DB7F92">
        <w:rPr>
          <w:lang w:eastAsia="en-GB"/>
        </w:rPr>
        <w:t>it</w:t>
      </w:r>
      <w:r w:rsidRPr="00DB7F92">
        <w:rPr>
          <w:spacing w:val="8"/>
          <w:lang w:eastAsia="en-GB"/>
        </w:rPr>
        <w:t xml:space="preserve"> </w:t>
      </w:r>
      <w:r w:rsidRPr="00DB7F92">
        <w:rPr>
          <w:lang w:eastAsia="en-GB"/>
        </w:rPr>
        <w:t>has</w:t>
      </w:r>
      <w:r w:rsidRPr="00DB7F92">
        <w:rPr>
          <w:spacing w:val="61"/>
          <w:lang w:eastAsia="en-GB"/>
        </w:rPr>
        <w:t xml:space="preserve"> </w:t>
      </w:r>
      <w:r w:rsidRPr="00DB7F92">
        <w:rPr>
          <w:lang w:eastAsia="en-GB"/>
        </w:rPr>
        <w:t>acted</w:t>
      </w:r>
      <w:r w:rsidRPr="00DB7F92">
        <w:rPr>
          <w:spacing w:val="57"/>
          <w:lang w:eastAsia="en-GB"/>
        </w:rPr>
        <w:t xml:space="preserve"> </w:t>
      </w:r>
      <w:r w:rsidRPr="00DB7F92">
        <w:rPr>
          <w:lang w:eastAsia="en-GB"/>
        </w:rPr>
        <w:t>reasonably</w:t>
      </w:r>
      <w:r w:rsidRPr="00DB7F92">
        <w:rPr>
          <w:spacing w:val="58"/>
          <w:lang w:eastAsia="en-GB"/>
        </w:rPr>
        <w:t xml:space="preserve"> </w:t>
      </w:r>
      <w:r w:rsidRPr="00DB7F92">
        <w:rPr>
          <w:lang w:eastAsia="en-GB"/>
        </w:rPr>
        <w:t>by</w:t>
      </w:r>
      <w:r w:rsidRPr="00DB7F92">
        <w:rPr>
          <w:spacing w:val="58"/>
          <w:lang w:eastAsia="en-GB"/>
        </w:rPr>
        <w:t xml:space="preserve"> </w:t>
      </w:r>
      <w:r w:rsidRPr="00DB7F92">
        <w:rPr>
          <w:lang w:eastAsia="en-GB"/>
        </w:rPr>
        <w:t>reference</w:t>
      </w:r>
      <w:r w:rsidRPr="00DB7F92">
        <w:rPr>
          <w:spacing w:val="58"/>
          <w:lang w:eastAsia="en-GB"/>
        </w:rPr>
        <w:t xml:space="preserve"> </w:t>
      </w:r>
      <w:r w:rsidRPr="00DB7F92">
        <w:rPr>
          <w:lang w:eastAsia="en-GB"/>
        </w:rPr>
        <w:t>to</w:t>
      </w:r>
      <w:r w:rsidRPr="00DB7F92">
        <w:rPr>
          <w:spacing w:val="57"/>
          <w:lang w:eastAsia="en-GB"/>
        </w:rPr>
        <w:t xml:space="preserve"> </w:t>
      </w:r>
      <w:r w:rsidRPr="00DB7F92">
        <w:rPr>
          <w:lang w:eastAsia="en-GB"/>
        </w:rPr>
        <w:t>contemporaneous</w:t>
      </w:r>
      <w:r w:rsidRPr="00DB7F92">
        <w:rPr>
          <w:spacing w:val="58"/>
          <w:lang w:eastAsia="en-GB"/>
        </w:rPr>
        <w:t xml:space="preserve"> </w:t>
      </w:r>
      <w:r w:rsidRPr="00DB7F92">
        <w:rPr>
          <w:lang w:eastAsia="en-GB"/>
        </w:rPr>
        <w:t>documents.</w:t>
      </w:r>
      <w:r w:rsidRPr="00DB7F92">
        <w:rPr>
          <w:spacing w:val="48"/>
          <w:lang w:eastAsia="en-GB"/>
        </w:rPr>
        <w:t xml:space="preserve"> </w:t>
      </w:r>
      <w:r w:rsidRPr="00DB7F92">
        <w:rPr>
          <w:lang w:eastAsia="en-GB"/>
        </w:rPr>
        <w:t>This</w:t>
      </w:r>
      <w:r w:rsidRPr="00DB7F92">
        <w:rPr>
          <w:spacing w:val="58"/>
          <w:w w:val="99"/>
          <w:lang w:eastAsia="en-GB"/>
        </w:rPr>
        <w:t xml:space="preserve"> </w:t>
      </w:r>
      <w:r w:rsidRPr="00DB7F92">
        <w:rPr>
          <w:lang w:eastAsia="en-GB"/>
        </w:rPr>
        <w:t>means</w:t>
      </w:r>
      <w:r w:rsidRPr="00DB7F92">
        <w:rPr>
          <w:spacing w:val="16"/>
          <w:lang w:eastAsia="en-GB"/>
        </w:rPr>
        <w:t xml:space="preserve"> </w:t>
      </w:r>
      <w:r w:rsidRPr="00DB7F92">
        <w:rPr>
          <w:lang w:eastAsia="en-GB"/>
        </w:rPr>
        <w:t>that</w:t>
      </w:r>
      <w:r w:rsidRPr="00DB7F92">
        <w:rPr>
          <w:spacing w:val="17"/>
          <w:lang w:eastAsia="en-GB"/>
        </w:rPr>
        <w:t xml:space="preserve"> </w:t>
      </w:r>
      <w:r w:rsidRPr="00DB7F92">
        <w:rPr>
          <w:lang w:eastAsia="en-GB"/>
        </w:rPr>
        <w:t>particularly</w:t>
      </w:r>
      <w:r w:rsidRPr="00DB7F92">
        <w:rPr>
          <w:spacing w:val="18"/>
          <w:lang w:eastAsia="en-GB"/>
        </w:rPr>
        <w:t xml:space="preserve"> </w:t>
      </w:r>
      <w:r w:rsidRPr="00DB7F92">
        <w:rPr>
          <w:lang w:eastAsia="en-GB"/>
        </w:rPr>
        <w:t>where</w:t>
      </w:r>
      <w:r w:rsidRPr="00DB7F92">
        <w:rPr>
          <w:spacing w:val="15"/>
          <w:lang w:eastAsia="en-GB"/>
        </w:rPr>
        <w:t xml:space="preserve"> </w:t>
      </w:r>
      <w:r w:rsidRPr="00DB7F92">
        <w:rPr>
          <w:lang w:eastAsia="en-GB"/>
        </w:rPr>
        <w:t>a</w:t>
      </w:r>
      <w:r w:rsidRPr="00DB7F92">
        <w:rPr>
          <w:spacing w:val="16"/>
          <w:lang w:eastAsia="en-GB"/>
        </w:rPr>
        <w:t xml:space="preserve"> </w:t>
      </w:r>
      <w:r w:rsidRPr="00DB7F92">
        <w:rPr>
          <w:lang w:eastAsia="en-GB"/>
        </w:rPr>
        <w:t>controversial</w:t>
      </w:r>
      <w:r w:rsidRPr="00DB7F92">
        <w:rPr>
          <w:spacing w:val="17"/>
          <w:lang w:eastAsia="en-GB"/>
        </w:rPr>
        <w:t xml:space="preserve"> </w:t>
      </w:r>
      <w:r w:rsidRPr="00DB7F92">
        <w:rPr>
          <w:lang w:eastAsia="en-GB"/>
        </w:rPr>
        <w:t>decision</w:t>
      </w:r>
      <w:r w:rsidRPr="00DB7F92">
        <w:rPr>
          <w:spacing w:val="16"/>
          <w:lang w:eastAsia="en-GB"/>
        </w:rPr>
        <w:t xml:space="preserve"> </w:t>
      </w:r>
      <w:r w:rsidRPr="00DB7F92">
        <w:rPr>
          <w:lang w:eastAsia="en-GB"/>
        </w:rPr>
        <w:t>is</w:t>
      </w:r>
      <w:r w:rsidRPr="00DB7F92">
        <w:rPr>
          <w:spacing w:val="17"/>
          <w:lang w:eastAsia="en-GB"/>
        </w:rPr>
        <w:t xml:space="preserve"> </w:t>
      </w:r>
      <w:r w:rsidRPr="00DB7F92">
        <w:rPr>
          <w:lang w:eastAsia="en-GB"/>
        </w:rPr>
        <w:t>being</w:t>
      </w:r>
      <w:r w:rsidRPr="00DB7F92">
        <w:rPr>
          <w:spacing w:val="15"/>
          <w:lang w:eastAsia="en-GB"/>
        </w:rPr>
        <w:t xml:space="preserve"> </w:t>
      </w:r>
      <w:r w:rsidRPr="00DB7F92">
        <w:rPr>
          <w:lang w:eastAsia="en-GB"/>
        </w:rPr>
        <w:t>made</w:t>
      </w:r>
      <w:r w:rsidRPr="00DB7F92">
        <w:rPr>
          <w:spacing w:val="17"/>
          <w:lang w:eastAsia="en-GB"/>
        </w:rPr>
        <w:t xml:space="preserve"> </w:t>
      </w:r>
      <w:r w:rsidRPr="00DB7F92">
        <w:rPr>
          <w:lang w:eastAsia="en-GB"/>
        </w:rPr>
        <w:t>the</w:t>
      </w:r>
      <w:r w:rsidRPr="00DB7F92">
        <w:rPr>
          <w:spacing w:val="55"/>
          <w:w w:val="99"/>
          <w:lang w:eastAsia="en-GB"/>
        </w:rPr>
        <w:t xml:space="preserve"> </w:t>
      </w:r>
      <w:r w:rsidRPr="00DB7F92">
        <w:rPr>
          <w:lang w:eastAsia="en-GB"/>
        </w:rPr>
        <w:t>thinking</w:t>
      </w:r>
      <w:r w:rsidRPr="00DB7F92">
        <w:rPr>
          <w:spacing w:val="-5"/>
          <w:lang w:eastAsia="en-GB"/>
        </w:rPr>
        <w:t xml:space="preserve"> </w:t>
      </w:r>
      <w:r w:rsidRPr="00DB7F92">
        <w:rPr>
          <w:lang w:eastAsia="en-GB"/>
        </w:rPr>
        <w:t>behind</w:t>
      </w:r>
      <w:r w:rsidRPr="00DB7F92">
        <w:rPr>
          <w:spacing w:val="-7"/>
          <w:lang w:eastAsia="en-GB"/>
        </w:rPr>
        <w:t xml:space="preserve"> </w:t>
      </w:r>
      <w:r w:rsidRPr="00DB7F92">
        <w:rPr>
          <w:lang w:eastAsia="en-GB"/>
        </w:rPr>
        <w:t>the</w:t>
      </w:r>
      <w:r w:rsidRPr="00DB7F92">
        <w:rPr>
          <w:spacing w:val="-7"/>
          <w:lang w:eastAsia="en-GB"/>
        </w:rPr>
        <w:t xml:space="preserve"> </w:t>
      </w:r>
      <w:r w:rsidRPr="00DB7F92">
        <w:rPr>
          <w:lang w:eastAsia="en-GB"/>
        </w:rPr>
        <w:t>decision</w:t>
      </w:r>
      <w:r w:rsidRPr="00DB7F92">
        <w:rPr>
          <w:spacing w:val="-7"/>
          <w:lang w:eastAsia="en-GB"/>
        </w:rPr>
        <w:t xml:space="preserve"> </w:t>
      </w:r>
      <w:r w:rsidRPr="00DB7F92">
        <w:rPr>
          <w:lang w:eastAsia="en-GB"/>
        </w:rPr>
        <w:t>needs</w:t>
      </w:r>
      <w:r w:rsidRPr="00DB7F92">
        <w:rPr>
          <w:spacing w:val="-6"/>
          <w:lang w:eastAsia="en-GB"/>
        </w:rPr>
        <w:t xml:space="preserve"> </w:t>
      </w:r>
      <w:r w:rsidRPr="00DB7F92">
        <w:rPr>
          <w:lang w:eastAsia="en-GB"/>
        </w:rPr>
        <w:t>to</w:t>
      </w:r>
      <w:r w:rsidRPr="00DB7F92">
        <w:rPr>
          <w:spacing w:val="-4"/>
          <w:lang w:eastAsia="en-GB"/>
        </w:rPr>
        <w:t xml:space="preserve"> </w:t>
      </w:r>
      <w:r w:rsidRPr="00DB7F92">
        <w:rPr>
          <w:lang w:eastAsia="en-GB"/>
        </w:rPr>
        <w:t>be</w:t>
      </w:r>
      <w:r w:rsidRPr="00DB7F92">
        <w:rPr>
          <w:spacing w:val="-7"/>
          <w:lang w:eastAsia="en-GB"/>
        </w:rPr>
        <w:t xml:space="preserve"> </w:t>
      </w:r>
      <w:r w:rsidRPr="00DB7F92">
        <w:rPr>
          <w:lang w:eastAsia="en-GB"/>
        </w:rPr>
        <w:t>carefully</w:t>
      </w:r>
      <w:r w:rsidRPr="00DB7F92">
        <w:rPr>
          <w:spacing w:val="-6"/>
          <w:lang w:eastAsia="en-GB"/>
        </w:rPr>
        <w:t xml:space="preserve"> </w:t>
      </w:r>
      <w:r w:rsidRPr="00DB7F92">
        <w:rPr>
          <w:lang w:eastAsia="en-GB"/>
        </w:rPr>
        <w:t>documented.</w:t>
      </w:r>
    </w:p>
    <w:p w14:paraId="15CE3DB0" w14:textId="77777777" w:rsidR="00DB7F92" w:rsidRPr="00DB7F92" w:rsidRDefault="00DB7F92" w:rsidP="00DB7F92">
      <w:pPr>
        <w:jc w:val="both"/>
        <w:rPr>
          <w:rFonts w:eastAsia="Segoe UI Semilight" w:cs="Arial"/>
          <w:sz w:val="20"/>
          <w:szCs w:val="20"/>
        </w:rPr>
      </w:pPr>
    </w:p>
    <w:p w14:paraId="242146E8" w14:textId="77777777" w:rsidR="00DB7F92" w:rsidRPr="00DB7F92" w:rsidRDefault="00DB7F92" w:rsidP="00DB7F92">
      <w:pPr>
        <w:spacing w:before="12"/>
        <w:jc w:val="both"/>
        <w:rPr>
          <w:rFonts w:eastAsia="Segoe UI Semilight" w:cs="Arial"/>
          <w:sz w:val="20"/>
          <w:szCs w:val="20"/>
        </w:rPr>
      </w:pPr>
    </w:p>
    <w:p w14:paraId="2BA9EE13" w14:textId="7BA67F58" w:rsidR="00DB7F92" w:rsidRDefault="00D32C7A" w:rsidP="00DB7F92">
      <w:pPr>
        <w:pStyle w:val="Heading2"/>
        <w:rPr>
          <w:rFonts w:eastAsiaTheme="majorEastAsia"/>
        </w:rPr>
      </w:pPr>
      <w:bookmarkStart w:id="99" w:name="_Toc498495323"/>
      <w:r w:rsidRPr="00DB7F92">
        <w:rPr>
          <w:rFonts w:eastAsiaTheme="majorEastAsia"/>
        </w:rPr>
        <w:t>The Duty</w:t>
      </w:r>
      <w:r w:rsidRPr="00DB7F92">
        <w:rPr>
          <w:rFonts w:eastAsiaTheme="majorEastAsia"/>
          <w:spacing w:val="-4"/>
        </w:rPr>
        <w:t xml:space="preserve"> </w:t>
      </w:r>
      <w:r>
        <w:rPr>
          <w:rFonts w:eastAsiaTheme="majorEastAsia"/>
        </w:rPr>
        <w:t>t</w:t>
      </w:r>
      <w:r w:rsidRPr="00DB7F92">
        <w:rPr>
          <w:rFonts w:eastAsiaTheme="majorEastAsia"/>
        </w:rPr>
        <w:t>o</w:t>
      </w:r>
      <w:r w:rsidRPr="00DB7F92">
        <w:rPr>
          <w:rFonts w:eastAsiaTheme="majorEastAsia"/>
          <w:spacing w:val="1"/>
        </w:rPr>
        <w:t xml:space="preserve"> </w:t>
      </w:r>
      <w:r w:rsidRPr="00DB7F92">
        <w:rPr>
          <w:rFonts w:eastAsiaTheme="majorEastAsia"/>
        </w:rPr>
        <w:t>Obtain Advice</w:t>
      </w:r>
      <w:bookmarkEnd w:id="99"/>
    </w:p>
    <w:p w14:paraId="12101557" w14:textId="77777777" w:rsidR="00682EC4" w:rsidRPr="00682EC4" w:rsidRDefault="00682EC4" w:rsidP="00682EC4">
      <w:pPr>
        <w:rPr>
          <w:rFonts w:eastAsiaTheme="majorEastAsia"/>
        </w:rPr>
      </w:pPr>
    </w:p>
    <w:p w14:paraId="311F26CB" w14:textId="77777777" w:rsidR="00DB7F92" w:rsidRPr="00DB7F92" w:rsidRDefault="00DB7F92" w:rsidP="00DD5D2D">
      <w:pPr>
        <w:pStyle w:val="Heading3"/>
        <w:jc w:val="both"/>
        <w:rPr>
          <w:lang w:eastAsia="en-GB"/>
        </w:rPr>
      </w:pPr>
      <w:r w:rsidRPr="00DB7F92">
        <w:rPr>
          <w:lang w:eastAsia="en-GB"/>
        </w:rPr>
        <w:t>A commissioner</w:t>
      </w:r>
      <w:r w:rsidRPr="00DB7F92">
        <w:rPr>
          <w:spacing w:val="32"/>
          <w:lang w:eastAsia="en-GB"/>
        </w:rPr>
        <w:t xml:space="preserve"> </w:t>
      </w:r>
      <w:r w:rsidRPr="00DB7F92">
        <w:rPr>
          <w:lang w:eastAsia="en-GB"/>
        </w:rPr>
        <w:t>has</w:t>
      </w:r>
      <w:r w:rsidRPr="00DB7F92">
        <w:rPr>
          <w:spacing w:val="33"/>
          <w:lang w:eastAsia="en-GB"/>
        </w:rPr>
        <w:t xml:space="preserve"> </w:t>
      </w:r>
      <w:r w:rsidRPr="00DB7F92">
        <w:rPr>
          <w:lang w:eastAsia="en-GB"/>
        </w:rPr>
        <w:t>a</w:t>
      </w:r>
      <w:r w:rsidRPr="00DB7F92">
        <w:rPr>
          <w:spacing w:val="35"/>
          <w:lang w:eastAsia="en-GB"/>
        </w:rPr>
        <w:t xml:space="preserve"> </w:t>
      </w:r>
      <w:r w:rsidRPr="00DB7F92">
        <w:rPr>
          <w:lang w:eastAsia="en-GB"/>
        </w:rPr>
        <w:t>duty</w:t>
      </w:r>
      <w:r w:rsidRPr="00DB7F92">
        <w:rPr>
          <w:spacing w:val="33"/>
          <w:lang w:eastAsia="en-GB"/>
        </w:rPr>
        <w:t xml:space="preserve"> </w:t>
      </w:r>
      <w:r w:rsidRPr="00DB7F92">
        <w:rPr>
          <w:lang w:eastAsia="en-GB"/>
        </w:rPr>
        <w:t>to</w:t>
      </w:r>
      <w:r w:rsidRPr="00DB7F92">
        <w:rPr>
          <w:spacing w:val="31"/>
          <w:lang w:eastAsia="en-GB"/>
        </w:rPr>
        <w:t xml:space="preserve"> </w:t>
      </w:r>
      <w:r w:rsidRPr="00DB7F92">
        <w:rPr>
          <w:lang w:eastAsia="en-GB"/>
        </w:rPr>
        <w:t>"obtain</w:t>
      </w:r>
      <w:r w:rsidRPr="00DB7F92">
        <w:rPr>
          <w:spacing w:val="33"/>
          <w:lang w:eastAsia="en-GB"/>
        </w:rPr>
        <w:t xml:space="preserve"> </w:t>
      </w:r>
      <w:r w:rsidRPr="00DB7F92">
        <w:rPr>
          <w:lang w:eastAsia="en-GB"/>
        </w:rPr>
        <w:t>appropriate</w:t>
      </w:r>
      <w:r w:rsidRPr="00DB7F92">
        <w:rPr>
          <w:spacing w:val="33"/>
          <w:lang w:eastAsia="en-GB"/>
        </w:rPr>
        <w:t xml:space="preserve"> </w:t>
      </w:r>
      <w:r w:rsidRPr="00DB7F92">
        <w:rPr>
          <w:lang w:eastAsia="en-GB"/>
        </w:rPr>
        <w:t>advice"</w:t>
      </w:r>
      <w:r w:rsidRPr="00DB7F92">
        <w:rPr>
          <w:spacing w:val="15"/>
          <w:lang w:eastAsia="en-GB"/>
        </w:rPr>
        <w:t xml:space="preserve"> </w:t>
      </w:r>
      <w:r w:rsidRPr="00DB7F92">
        <w:rPr>
          <w:lang w:eastAsia="en-GB"/>
        </w:rPr>
        <w:t>from</w:t>
      </w:r>
      <w:r w:rsidRPr="00DB7F92">
        <w:rPr>
          <w:spacing w:val="32"/>
          <w:lang w:eastAsia="en-GB"/>
        </w:rPr>
        <w:t xml:space="preserve"> </w:t>
      </w:r>
      <w:r w:rsidRPr="00DB7F92">
        <w:rPr>
          <w:lang w:eastAsia="en-GB"/>
        </w:rPr>
        <w:t>persons</w:t>
      </w:r>
      <w:r w:rsidRPr="00DB7F92">
        <w:rPr>
          <w:spacing w:val="53"/>
          <w:lang w:eastAsia="en-GB"/>
        </w:rPr>
        <w:t xml:space="preserve"> </w:t>
      </w:r>
      <w:r w:rsidRPr="00DB7F92">
        <w:rPr>
          <w:lang w:eastAsia="en-GB"/>
        </w:rPr>
        <w:t>with</w:t>
      </w:r>
      <w:r w:rsidRPr="00DB7F92">
        <w:rPr>
          <w:spacing w:val="19"/>
          <w:lang w:eastAsia="en-GB"/>
        </w:rPr>
        <w:t xml:space="preserve"> </w:t>
      </w:r>
      <w:r w:rsidRPr="00DB7F92">
        <w:rPr>
          <w:lang w:eastAsia="en-GB"/>
        </w:rPr>
        <w:t>a</w:t>
      </w:r>
      <w:r w:rsidRPr="00DB7F92">
        <w:rPr>
          <w:spacing w:val="19"/>
          <w:lang w:eastAsia="en-GB"/>
        </w:rPr>
        <w:t xml:space="preserve"> </w:t>
      </w:r>
      <w:r w:rsidRPr="00DB7F92">
        <w:rPr>
          <w:lang w:eastAsia="en-GB"/>
        </w:rPr>
        <w:t>broad</w:t>
      </w:r>
      <w:r w:rsidRPr="00DB7F92">
        <w:rPr>
          <w:spacing w:val="19"/>
          <w:lang w:eastAsia="en-GB"/>
        </w:rPr>
        <w:t xml:space="preserve"> </w:t>
      </w:r>
      <w:r w:rsidRPr="00DB7F92">
        <w:rPr>
          <w:lang w:eastAsia="en-GB"/>
        </w:rPr>
        <w:t>range</w:t>
      </w:r>
      <w:r w:rsidRPr="00DB7F92">
        <w:rPr>
          <w:spacing w:val="19"/>
          <w:lang w:eastAsia="en-GB"/>
        </w:rPr>
        <w:t xml:space="preserve"> </w:t>
      </w:r>
      <w:r w:rsidRPr="00DB7F92">
        <w:rPr>
          <w:lang w:eastAsia="en-GB"/>
        </w:rPr>
        <w:t>of</w:t>
      </w:r>
      <w:r w:rsidRPr="00DB7F92">
        <w:rPr>
          <w:spacing w:val="21"/>
          <w:lang w:eastAsia="en-GB"/>
        </w:rPr>
        <w:t xml:space="preserve"> </w:t>
      </w:r>
      <w:r w:rsidRPr="00DB7F92">
        <w:rPr>
          <w:lang w:eastAsia="en-GB"/>
        </w:rPr>
        <w:t>professional</w:t>
      </w:r>
      <w:r w:rsidRPr="00DB7F92">
        <w:rPr>
          <w:spacing w:val="19"/>
          <w:lang w:eastAsia="en-GB"/>
        </w:rPr>
        <w:t xml:space="preserve"> </w:t>
      </w:r>
      <w:r w:rsidRPr="00DB7F92">
        <w:rPr>
          <w:lang w:eastAsia="en-GB"/>
        </w:rPr>
        <w:t>expertise</w:t>
      </w:r>
      <w:r w:rsidRPr="00DB7F92">
        <w:rPr>
          <w:spacing w:val="19"/>
          <w:lang w:eastAsia="en-GB"/>
        </w:rPr>
        <w:t xml:space="preserve"> </w:t>
      </w:r>
      <w:r w:rsidRPr="00DB7F92">
        <w:rPr>
          <w:lang w:eastAsia="en-GB"/>
        </w:rPr>
        <w:t>(in respect of NHS England, see section 13J of the NHS Act 2006; and, in respect of CCGs, see section 14W of the NHS Act 2006)</w:t>
      </w:r>
    </w:p>
    <w:p w14:paraId="13201610" w14:textId="77777777" w:rsidR="00DB7F92" w:rsidRPr="00DB7F92" w:rsidRDefault="00DB7F92" w:rsidP="00DD5D2D">
      <w:pPr>
        <w:pStyle w:val="Heading3"/>
        <w:jc w:val="both"/>
        <w:rPr>
          <w:lang w:eastAsia="en-GB"/>
        </w:rPr>
      </w:pPr>
      <w:r w:rsidRPr="00DB7F92">
        <w:rPr>
          <w:lang w:eastAsia="en-GB"/>
        </w:rPr>
        <w:t>This</w:t>
      </w:r>
      <w:r w:rsidRPr="00DB7F92">
        <w:rPr>
          <w:spacing w:val="13"/>
          <w:lang w:eastAsia="en-GB"/>
        </w:rPr>
        <w:t xml:space="preserve"> </w:t>
      </w:r>
      <w:r w:rsidRPr="00DB7F92">
        <w:rPr>
          <w:lang w:eastAsia="en-GB"/>
        </w:rPr>
        <w:t>means</w:t>
      </w:r>
      <w:r w:rsidRPr="00DB7F92">
        <w:rPr>
          <w:spacing w:val="14"/>
          <w:lang w:eastAsia="en-GB"/>
        </w:rPr>
        <w:t xml:space="preserve"> </w:t>
      </w:r>
      <w:r w:rsidRPr="00DB7F92">
        <w:rPr>
          <w:lang w:eastAsia="en-GB"/>
        </w:rPr>
        <w:t>that</w:t>
      </w:r>
      <w:r w:rsidRPr="00DB7F92">
        <w:rPr>
          <w:spacing w:val="13"/>
          <w:lang w:eastAsia="en-GB"/>
        </w:rPr>
        <w:t xml:space="preserve"> </w:t>
      </w:r>
      <w:r w:rsidRPr="00DB7F92">
        <w:rPr>
          <w:lang w:eastAsia="en-GB"/>
        </w:rPr>
        <w:t>decision-makers</w:t>
      </w:r>
      <w:r w:rsidRPr="00DB7F92">
        <w:rPr>
          <w:spacing w:val="14"/>
          <w:lang w:eastAsia="en-GB"/>
        </w:rPr>
        <w:t xml:space="preserve"> </w:t>
      </w:r>
      <w:r w:rsidRPr="00DB7F92">
        <w:rPr>
          <w:lang w:eastAsia="en-GB"/>
        </w:rPr>
        <w:t>need</w:t>
      </w:r>
      <w:r w:rsidRPr="00DB7F92">
        <w:rPr>
          <w:spacing w:val="12"/>
          <w:lang w:eastAsia="en-GB"/>
        </w:rPr>
        <w:t xml:space="preserve"> </w:t>
      </w:r>
      <w:r w:rsidRPr="00DB7F92">
        <w:rPr>
          <w:lang w:eastAsia="en-GB"/>
        </w:rPr>
        <w:t>to</w:t>
      </w:r>
      <w:r w:rsidRPr="00DB7F92">
        <w:rPr>
          <w:spacing w:val="12"/>
          <w:lang w:eastAsia="en-GB"/>
        </w:rPr>
        <w:t xml:space="preserve"> </w:t>
      </w:r>
      <w:r w:rsidRPr="00DB7F92">
        <w:rPr>
          <w:lang w:eastAsia="en-GB"/>
        </w:rPr>
        <w:t>collect</w:t>
      </w:r>
      <w:r w:rsidRPr="00DB7F92">
        <w:rPr>
          <w:spacing w:val="13"/>
          <w:lang w:eastAsia="en-GB"/>
        </w:rPr>
        <w:t xml:space="preserve"> </w:t>
      </w:r>
      <w:r w:rsidRPr="00DB7F92">
        <w:rPr>
          <w:lang w:eastAsia="en-GB"/>
        </w:rPr>
        <w:t>appropriate</w:t>
      </w:r>
      <w:r w:rsidRPr="00DB7F92">
        <w:rPr>
          <w:spacing w:val="12"/>
          <w:lang w:eastAsia="en-GB"/>
        </w:rPr>
        <w:t xml:space="preserve"> </w:t>
      </w:r>
      <w:r w:rsidRPr="00DB7F92">
        <w:rPr>
          <w:lang w:eastAsia="en-GB"/>
        </w:rPr>
        <w:t>information</w:t>
      </w:r>
      <w:r w:rsidRPr="00DB7F92">
        <w:rPr>
          <w:spacing w:val="51"/>
          <w:lang w:eastAsia="en-GB"/>
        </w:rPr>
        <w:t xml:space="preserve"> </w:t>
      </w:r>
      <w:r w:rsidRPr="00DB7F92">
        <w:rPr>
          <w:lang w:eastAsia="en-GB"/>
        </w:rPr>
        <w:t>before</w:t>
      </w:r>
      <w:r w:rsidRPr="00DB7F92">
        <w:rPr>
          <w:spacing w:val="14"/>
          <w:lang w:eastAsia="en-GB"/>
        </w:rPr>
        <w:t xml:space="preserve"> </w:t>
      </w:r>
      <w:r w:rsidRPr="00DB7F92">
        <w:rPr>
          <w:lang w:eastAsia="en-GB"/>
        </w:rPr>
        <w:t>making</w:t>
      </w:r>
      <w:r w:rsidRPr="00DB7F92">
        <w:rPr>
          <w:spacing w:val="14"/>
          <w:lang w:eastAsia="en-GB"/>
        </w:rPr>
        <w:t xml:space="preserve"> </w:t>
      </w:r>
      <w:r w:rsidRPr="00DB7F92">
        <w:rPr>
          <w:lang w:eastAsia="en-GB"/>
        </w:rPr>
        <w:t xml:space="preserve">decisions. </w:t>
      </w:r>
      <w:r w:rsidRPr="00DB7F92">
        <w:rPr>
          <w:spacing w:val="29"/>
          <w:lang w:eastAsia="en-GB"/>
        </w:rPr>
        <w:t xml:space="preserve"> </w:t>
      </w:r>
      <w:r w:rsidRPr="00DB7F92">
        <w:rPr>
          <w:lang w:eastAsia="en-GB"/>
        </w:rPr>
        <w:t>If</w:t>
      </w:r>
      <w:r w:rsidRPr="00DB7F92">
        <w:rPr>
          <w:spacing w:val="15"/>
          <w:lang w:eastAsia="en-GB"/>
        </w:rPr>
        <w:t xml:space="preserve"> </w:t>
      </w:r>
      <w:r w:rsidRPr="00DB7F92">
        <w:rPr>
          <w:lang w:eastAsia="en-GB"/>
        </w:rPr>
        <w:t>the commissioner</w:t>
      </w:r>
      <w:r w:rsidRPr="00DB7F92">
        <w:rPr>
          <w:spacing w:val="14"/>
          <w:lang w:eastAsia="en-GB"/>
        </w:rPr>
        <w:t xml:space="preserve"> </w:t>
      </w:r>
      <w:r w:rsidRPr="00DB7F92">
        <w:rPr>
          <w:lang w:eastAsia="en-GB"/>
        </w:rPr>
        <w:t>does</w:t>
      </w:r>
      <w:r w:rsidRPr="00DB7F92">
        <w:rPr>
          <w:spacing w:val="16"/>
          <w:lang w:eastAsia="en-GB"/>
        </w:rPr>
        <w:t xml:space="preserve"> </w:t>
      </w:r>
      <w:r w:rsidRPr="00DB7F92">
        <w:rPr>
          <w:lang w:eastAsia="en-GB"/>
        </w:rPr>
        <w:t>not</w:t>
      </w:r>
      <w:r w:rsidRPr="00DB7F92">
        <w:rPr>
          <w:spacing w:val="15"/>
          <w:lang w:eastAsia="en-GB"/>
        </w:rPr>
        <w:t xml:space="preserve"> </w:t>
      </w:r>
      <w:r w:rsidRPr="00DB7F92">
        <w:rPr>
          <w:lang w:eastAsia="en-GB"/>
        </w:rPr>
        <w:t>have</w:t>
      </w:r>
      <w:r w:rsidRPr="00DB7F92">
        <w:rPr>
          <w:spacing w:val="14"/>
          <w:lang w:eastAsia="en-GB"/>
        </w:rPr>
        <w:t xml:space="preserve"> </w:t>
      </w:r>
      <w:r w:rsidRPr="00DB7F92">
        <w:rPr>
          <w:lang w:eastAsia="en-GB"/>
        </w:rPr>
        <w:t>the</w:t>
      </w:r>
      <w:r w:rsidRPr="00DB7F92">
        <w:rPr>
          <w:spacing w:val="14"/>
          <w:lang w:eastAsia="en-GB"/>
        </w:rPr>
        <w:t xml:space="preserve"> </w:t>
      </w:r>
      <w:r w:rsidRPr="00DB7F92">
        <w:rPr>
          <w:lang w:eastAsia="en-GB"/>
        </w:rPr>
        <w:t>information</w:t>
      </w:r>
      <w:r w:rsidRPr="00DB7F92">
        <w:rPr>
          <w:spacing w:val="57"/>
          <w:lang w:eastAsia="en-GB"/>
        </w:rPr>
        <w:t xml:space="preserve"> </w:t>
      </w:r>
      <w:r w:rsidRPr="00DB7F92">
        <w:rPr>
          <w:lang w:eastAsia="en-GB"/>
        </w:rPr>
        <w:lastRenderedPageBreak/>
        <w:t>it</w:t>
      </w:r>
      <w:r w:rsidRPr="00DB7F92">
        <w:rPr>
          <w:spacing w:val="10"/>
          <w:lang w:eastAsia="en-GB"/>
        </w:rPr>
        <w:t xml:space="preserve"> </w:t>
      </w:r>
      <w:r w:rsidRPr="00DB7F92">
        <w:rPr>
          <w:lang w:eastAsia="en-GB"/>
        </w:rPr>
        <w:t>needs</w:t>
      </w:r>
      <w:r w:rsidRPr="00DB7F92">
        <w:rPr>
          <w:spacing w:val="11"/>
          <w:lang w:eastAsia="en-GB"/>
        </w:rPr>
        <w:t xml:space="preserve"> </w:t>
      </w:r>
      <w:r w:rsidRPr="00DB7F92">
        <w:rPr>
          <w:lang w:eastAsia="en-GB"/>
        </w:rPr>
        <w:t>then</w:t>
      </w:r>
      <w:r w:rsidRPr="00DB7F92">
        <w:rPr>
          <w:spacing w:val="12"/>
          <w:lang w:eastAsia="en-GB"/>
        </w:rPr>
        <w:t xml:space="preserve"> </w:t>
      </w:r>
      <w:r w:rsidRPr="00DB7F92">
        <w:rPr>
          <w:lang w:eastAsia="en-GB"/>
        </w:rPr>
        <w:t>it</w:t>
      </w:r>
      <w:r w:rsidRPr="00DB7F92">
        <w:rPr>
          <w:spacing w:val="11"/>
          <w:lang w:eastAsia="en-GB"/>
        </w:rPr>
        <w:t xml:space="preserve"> </w:t>
      </w:r>
      <w:r w:rsidRPr="00DB7F92">
        <w:rPr>
          <w:lang w:eastAsia="en-GB"/>
        </w:rPr>
        <w:t>should</w:t>
      </w:r>
      <w:r w:rsidRPr="00DB7F92">
        <w:rPr>
          <w:spacing w:val="11"/>
          <w:lang w:eastAsia="en-GB"/>
        </w:rPr>
        <w:t xml:space="preserve"> </w:t>
      </w:r>
      <w:r w:rsidRPr="00DB7F92">
        <w:rPr>
          <w:lang w:eastAsia="en-GB"/>
        </w:rPr>
        <w:t>seek</w:t>
      </w:r>
      <w:r w:rsidRPr="00DB7F92">
        <w:rPr>
          <w:spacing w:val="10"/>
          <w:lang w:eastAsia="en-GB"/>
        </w:rPr>
        <w:t xml:space="preserve"> </w:t>
      </w:r>
      <w:r w:rsidRPr="00DB7F92">
        <w:rPr>
          <w:lang w:eastAsia="en-GB"/>
        </w:rPr>
        <w:t>out</w:t>
      </w:r>
      <w:r w:rsidRPr="00DB7F92">
        <w:rPr>
          <w:spacing w:val="11"/>
          <w:lang w:eastAsia="en-GB"/>
        </w:rPr>
        <w:t xml:space="preserve"> </w:t>
      </w:r>
      <w:r w:rsidRPr="00DB7F92">
        <w:rPr>
          <w:lang w:eastAsia="en-GB"/>
        </w:rPr>
        <w:t>appropriate</w:t>
      </w:r>
      <w:r w:rsidRPr="00DB7F92">
        <w:rPr>
          <w:spacing w:val="11"/>
          <w:lang w:eastAsia="en-GB"/>
        </w:rPr>
        <w:t xml:space="preserve"> </w:t>
      </w:r>
      <w:r w:rsidRPr="00DB7F92">
        <w:rPr>
          <w:lang w:eastAsia="en-GB"/>
        </w:rPr>
        <w:t>advice.</w:t>
      </w:r>
      <w:r w:rsidRPr="00DB7F92">
        <w:rPr>
          <w:spacing w:val="23"/>
          <w:lang w:eastAsia="en-GB"/>
        </w:rPr>
        <w:t xml:space="preserve"> </w:t>
      </w:r>
      <w:r w:rsidRPr="00DB7F92">
        <w:rPr>
          <w:lang w:eastAsia="en-GB"/>
        </w:rPr>
        <w:t>In</w:t>
      </w:r>
      <w:r w:rsidRPr="00DB7F92">
        <w:rPr>
          <w:spacing w:val="11"/>
          <w:lang w:eastAsia="en-GB"/>
        </w:rPr>
        <w:t xml:space="preserve"> </w:t>
      </w:r>
      <w:r w:rsidRPr="00DB7F92">
        <w:rPr>
          <w:lang w:eastAsia="en-GB"/>
        </w:rPr>
        <w:t>many</w:t>
      </w:r>
      <w:r w:rsidRPr="00DB7F92">
        <w:rPr>
          <w:spacing w:val="10"/>
          <w:lang w:eastAsia="en-GB"/>
        </w:rPr>
        <w:t xml:space="preserve"> </w:t>
      </w:r>
      <w:r w:rsidRPr="00DB7F92">
        <w:rPr>
          <w:lang w:eastAsia="en-GB"/>
        </w:rPr>
        <w:t>cases</w:t>
      </w:r>
      <w:r w:rsidRPr="00DB7F92">
        <w:rPr>
          <w:spacing w:val="13"/>
          <w:lang w:eastAsia="en-GB"/>
        </w:rPr>
        <w:t xml:space="preserve"> </w:t>
      </w:r>
      <w:r w:rsidRPr="00DB7F92">
        <w:rPr>
          <w:lang w:eastAsia="en-GB"/>
        </w:rPr>
        <w:t>it</w:t>
      </w:r>
      <w:r w:rsidRPr="00DB7F92">
        <w:rPr>
          <w:spacing w:val="14"/>
          <w:lang w:eastAsia="en-GB"/>
        </w:rPr>
        <w:t xml:space="preserve"> </w:t>
      </w:r>
      <w:r w:rsidRPr="00DB7F92">
        <w:rPr>
          <w:lang w:eastAsia="en-GB"/>
        </w:rPr>
        <w:t>will</w:t>
      </w:r>
      <w:r w:rsidRPr="00DB7F92">
        <w:rPr>
          <w:spacing w:val="68"/>
          <w:w w:val="99"/>
          <w:lang w:eastAsia="en-GB"/>
        </w:rPr>
        <w:t xml:space="preserve"> </w:t>
      </w:r>
      <w:r w:rsidRPr="00DB7F92">
        <w:rPr>
          <w:lang w:eastAsia="en-GB"/>
        </w:rPr>
        <w:t>not</w:t>
      </w:r>
      <w:r w:rsidRPr="00DB7F92">
        <w:rPr>
          <w:spacing w:val="30"/>
          <w:lang w:eastAsia="en-GB"/>
        </w:rPr>
        <w:t xml:space="preserve"> </w:t>
      </w:r>
      <w:r w:rsidRPr="00DB7F92">
        <w:rPr>
          <w:lang w:eastAsia="en-GB"/>
        </w:rPr>
        <w:t>be</w:t>
      </w:r>
      <w:r w:rsidRPr="00DB7F92">
        <w:rPr>
          <w:spacing w:val="28"/>
          <w:lang w:eastAsia="en-GB"/>
        </w:rPr>
        <w:t xml:space="preserve"> </w:t>
      </w:r>
      <w:r w:rsidRPr="00DB7F92">
        <w:rPr>
          <w:lang w:eastAsia="en-GB"/>
        </w:rPr>
        <w:t>necessary</w:t>
      </w:r>
      <w:r w:rsidRPr="00DB7F92">
        <w:rPr>
          <w:spacing w:val="30"/>
          <w:lang w:eastAsia="en-GB"/>
        </w:rPr>
        <w:t xml:space="preserve"> </w:t>
      </w:r>
      <w:r w:rsidRPr="00DB7F92">
        <w:rPr>
          <w:lang w:eastAsia="en-GB"/>
        </w:rPr>
        <w:t>to</w:t>
      </w:r>
      <w:r w:rsidRPr="00DB7F92">
        <w:rPr>
          <w:spacing w:val="28"/>
          <w:lang w:eastAsia="en-GB"/>
        </w:rPr>
        <w:t xml:space="preserve"> </w:t>
      </w:r>
      <w:r w:rsidRPr="00DB7F92">
        <w:rPr>
          <w:lang w:eastAsia="en-GB"/>
        </w:rPr>
        <w:t>do</w:t>
      </w:r>
      <w:r w:rsidRPr="00DB7F92">
        <w:rPr>
          <w:spacing w:val="29"/>
          <w:lang w:eastAsia="en-GB"/>
        </w:rPr>
        <w:t xml:space="preserve"> </w:t>
      </w:r>
      <w:r w:rsidRPr="00DB7F92">
        <w:rPr>
          <w:lang w:eastAsia="en-GB"/>
        </w:rPr>
        <w:t>this</w:t>
      </w:r>
      <w:r w:rsidRPr="00DB7F92">
        <w:rPr>
          <w:spacing w:val="30"/>
          <w:lang w:eastAsia="en-GB"/>
        </w:rPr>
        <w:t xml:space="preserve"> </w:t>
      </w:r>
      <w:r w:rsidRPr="00DB7F92">
        <w:rPr>
          <w:lang w:eastAsia="en-GB"/>
        </w:rPr>
        <w:t>as</w:t>
      </w:r>
      <w:r w:rsidRPr="00DB7F92">
        <w:rPr>
          <w:spacing w:val="30"/>
          <w:lang w:eastAsia="en-GB"/>
        </w:rPr>
        <w:t xml:space="preserve"> </w:t>
      </w:r>
      <w:r w:rsidRPr="00DB7F92">
        <w:rPr>
          <w:lang w:eastAsia="en-GB"/>
        </w:rPr>
        <w:t>all</w:t>
      </w:r>
      <w:r w:rsidRPr="00DB7F92">
        <w:rPr>
          <w:spacing w:val="28"/>
          <w:lang w:eastAsia="en-GB"/>
        </w:rPr>
        <w:t xml:space="preserve"> </w:t>
      </w:r>
      <w:r w:rsidRPr="00DB7F92">
        <w:rPr>
          <w:lang w:eastAsia="en-GB"/>
        </w:rPr>
        <w:t>the</w:t>
      </w:r>
      <w:r w:rsidRPr="00DB7F92">
        <w:rPr>
          <w:spacing w:val="28"/>
          <w:lang w:eastAsia="en-GB"/>
        </w:rPr>
        <w:t xml:space="preserve"> </w:t>
      </w:r>
      <w:r w:rsidRPr="00DB7F92">
        <w:rPr>
          <w:lang w:eastAsia="en-GB"/>
        </w:rPr>
        <w:t>necessary</w:t>
      </w:r>
      <w:r w:rsidRPr="00DB7F92">
        <w:rPr>
          <w:spacing w:val="30"/>
          <w:lang w:eastAsia="en-GB"/>
        </w:rPr>
        <w:t xml:space="preserve"> </w:t>
      </w:r>
      <w:r w:rsidRPr="00DB7F92">
        <w:rPr>
          <w:lang w:eastAsia="en-GB"/>
        </w:rPr>
        <w:t>information</w:t>
      </w:r>
      <w:r w:rsidRPr="00DB7F92">
        <w:rPr>
          <w:spacing w:val="30"/>
          <w:lang w:eastAsia="en-GB"/>
        </w:rPr>
        <w:t xml:space="preserve"> </w:t>
      </w:r>
      <w:r w:rsidRPr="00DB7F92">
        <w:rPr>
          <w:lang w:eastAsia="en-GB"/>
        </w:rPr>
        <w:t>is</w:t>
      </w:r>
      <w:r w:rsidRPr="00DB7F92">
        <w:rPr>
          <w:spacing w:val="30"/>
          <w:lang w:eastAsia="en-GB"/>
        </w:rPr>
        <w:t xml:space="preserve"> </w:t>
      </w:r>
      <w:r w:rsidRPr="00DB7F92">
        <w:rPr>
          <w:lang w:eastAsia="en-GB"/>
        </w:rPr>
        <w:t>to</w:t>
      </w:r>
      <w:r w:rsidRPr="00DB7F92">
        <w:rPr>
          <w:spacing w:val="28"/>
          <w:lang w:eastAsia="en-GB"/>
        </w:rPr>
        <w:t xml:space="preserve"> </w:t>
      </w:r>
      <w:r w:rsidRPr="00DB7F92">
        <w:rPr>
          <w:lang w:eastAsia="en-GB"/>
        </w:rPr>
        <w:t>hand.</w:t>
      </w:r>
    </w:p>
    <w:p w14:paraId="50FB0EE5" w14:textId="77777777" w:rsidR="00DB7F92" w:rsidRPr="00DB7F92" w:rsidRDefault="00DB7F92" w:rsidP="00DD5D2D">
      <w:pPr>
        <w:pStyle w:val="Heading3"/>
        <w:jc w:val="both"/>
        <w:rPr>
          <w:lang w:eastAsia="en-GB"/>
        </w:rPr>
      </w:pPr>
      <w:r w:rsidRPr="00DB7F92">
        <w:rPr>
          <w:lang w:eastAsia="en-GB"/>
        </w:rPr>
        <w:t>The</w:t>
      </w:r>
      <w:r w:rsidRPr="00DB7F92">
        <w:rPr>
          <w:spacing w:val="8"/>
          <w:lang w:eastAsia="en-GB"/>
        </w:rPr>
        <w:t xml:space="preserve"> </w:t>
      </w:r>
      <w:r w:rsidRPr="00DB7F92">
        <w:rPr>
          <w:lang w:eastAsia="en-GB"/>
        </w:rPr>
        <w:t>duty</w:t>
      </w:r>
      <w:r w:rsidRPr="00DB7F92">
        <w:rPr>
          <w:spacing w:val="9"/>
          <w:lang w:eastAsia="en-GB"/>
        </w:rPr>
        <w:t xml:space="preserve"> </w:t>
      </w:r>
      <w:r w:rsidRPr="00DB7F92">
        <w:rPr>
          <w:lang w:eastAsia="en-GB"/>
        </w:rPr>
        <w:t>is</w:t>
      </w:r>
      <w:r w:rsidRPr="00DB7F92">
        <w:rPr>
          <w:spacing w:val="10"/>
          <w:lang w:eastAsia="en-GB"/>
        </w:rPr>
        <w:t xml:space="preserve"> </w:t>
      </w:r>
      <w:r w:rsidRPr="00DB7F92">
        <w:rPr>
          <w:lang w:eastAsia="en-GB"/>
        </w:rPr>
        <w:t>most</w:t>
      </w:r>
      <w:r w:rsidRPr="00DB7F92">
        <w:rPr>
          <w:spacing w:val="9"/>
          <w:lang w:eastAsia="en-GB"/>
        </w:rPr>
        <w:t xml:space="preserve"> </w:t>
      </w:r>
      <w:r w:rsidRPr="00DB7F92">
        <w:rPr>
          <w:lang w:eastAsia="en-GB"/>
        </w:rPr>
        <w:t>relevant</w:t>
      </w:r>
      <w:r w:rsidRPr="00DB7F92">
        <w:rPr>
          <w:spacing w:val="9"/>
          <w:lang w:eastAsia="en-GB"/>
        </w:rPr>
        <w:t xml:space="preserve"> </w:t>
      </w:r>
      <w:r w:rsidRPr="00DB7F92">
        <w:rPr>
          <w:lang w:eastAsia="en-GB"/>
        </w:rPr>
        <w:t>to</w:t>
      </w:r>
      <w:r w:rsidRPr="00DB7F92">
        <w:rPr>
          <w:spacing w:val="9"/>
          <w:lang w:eastAsia="en-GB"/>
        </w:rPr>
        <w:t xml:space="preserve"> </w:t>
      </w:r>
      <w:r w:rsidRPr="00DB7F92">
        <w:rPr>
          <w:lang w:eastAsia="en-GB"/>
        </w:rPr>
        <w:t>strategic</w:t>
      </w:r>
      <w:r w:rsidRPr="00DB7F92">
        <w:rPr>
          <w:spacing w:val="8"/>
          <w:lang w:eastAsia="en-GB"/>
        </w:rPr>
        <w:t xml:space="preserve"> </w:t>
      </w:r>
      <w:r w:rsidRPr="00DB7F92">
        <w:rPr>
          <w:lang w:eastAsia="en-GB"/>
        </w:rPr>
        <w:t>decisions</w:t>
      </w:r>
      <w:r w:rsidRPr="00DB7F92">
        <w:rPr>
          <w:spacing w:val="10"/>
          <w:lang w:eastAsia="en-GB"/>
        </w:rPr>
        <w:t xml:space="preserve"> </w:t>
      </w:r>
      <w:r w:rsidRPr="00DB7F92">
        <w:rPr>
          <w:lang w:eastAsia="en-GB"/>
        </w:rPr>
        <w:t>taken</w:t>
      </w:r>
      <w:r w:rsidRPr="00DB7F92">
        <w:rPr>
          <w:spacing w:val="9"/>
          <w:lang w:eastAsia="en-GB"/>
        </w:rPr>
        <w:t xml:space="preserve"> </w:t>
      </w:r>
      <w:r w:rsidRPr="00DB7F92">
        <w:rPr>
          <w:lang w:eastAsia="en-GB"/>
        </w:rPr>
        <w:t>at</w:t>
      </w:r>
      <w:r w:rsidRPr="00DB7F92">
        <w:rPr>
          <w:spacing w:val="9"/>
          <w:lang w:eastAsia="en-GB"/>
        </w:rPr>
        <w:t xml:space="preserve"> </w:t>
      </w:r>
      <w:r w:rsidRPr="00DB7F92">
        <w:rPr>
          <w:lang w:eastAsia="en-GB"/>
        </w:rPr>
        <w:t>directorate</w:t>
      </w:r>
      <w:r w:rsidRPr="00DB7F92">
        <w:rPr>
          <w:spacing w:val="9"/>
          <w:lang w:eastAsia="en-GB"/>
        </w:rPr>
        <w:t xml:space="preserve"> </w:t>
      </w:r>
      <w:r w:rsidRPr="00DB7F92">
        <w:rPr>
          <w:lang w:eastAsia="en-GB"/>
        </w:rPr>
        <w:t>level within NHS England,</w:t>
      </w:r>
      <w:r w:rsidRPr="00DB7F92">
        <w:rPr>
          <w:spacing w:val="54"/>
          <w:w w:val="99"/>
          <w:lang w:eastAsia="en-GB"/>
        </w:rPr>
        <w:t xml:space="preserve"> </w:t>
      </w:r>
      <w:r w:rsidRPr="00DB7F92">
        <w:rPr>
          <w:lang w:eastAsia="en-GB"/>
        </w:rPr>
        <w:t>where</w:t>
      </w:r>
      <w:r w:rsidRPr="00DB7F92">
        <w:rPr>
          <w:spacing w:val="42"/>
          <w:lang w:eastAsia="en-GB"/>
        </w:rPr>
        <w:t xml:space="preserve"> </w:t>
      </w:r>
      <w:r w:rsidRPr="00DB7F92">
        <w:rPr>
          <w:lang w:eastAsia="en-GB"/>
        </w:rPr>
        <w:t>decision-makers</w:t>
      </w:r>
      <w:r w:rsidRPr="00DB7F92">
        <w:rPr>
          <w:spacing w:val="45"/>
          <w:lang w:eastAsia="en-GB"/>
        </w:rPr>
        <w:t xml:space="preserve"> </w:t>
      </w:r>
      <w:r w:rsidRPr="00DB7F92">
        <w:rPr>
          <w:lang w:eastAsia="en-GB"/>
        </w:rPr>
        <w:t>will</w:t>
      </w:r>
      <w:r w:rsidRPr="00DB7F92">
        <w:rPr>
          <w:spacing w:val="44"/>
          <w:lang w:eastAsia="en-GB"/>
        </w:rPr>
        <w:t xml:space="preserve"> </w:t>
      </w:r>
      <w:r w:rsidRPr="00DB7F92">
        <w:rPr>
          <w:lang w:eastAsia="en-GB"/>
        </w:rPr>
        <w:t>need</w:t>
      </w:r>
      <w:r w:rsidRPr="00DB7F92">
        <w:rPr>
          <w:spacing w:val="42"/>
          <w:lang w:eastAsia="en-GB"/>
        </w:rPr>
        <w:t xml:space="preserve"> </w:t>
      </w:r>
      <w:r w:rsidRPr="00DB7F92">
        <w:rPr>
          <w:lang w:eastAsia="en-GB"/>
        </w:rPr>
        <w:t>to</w:t>
      </w:r>
      <w:r w:rsidRPr="00DB7F92">
        <w:rPr>
          <w:spacing w:val="44"/>
          <w:lang w:eastAsia="en-GB"/>
        </w:rPr>
        <w:t xml:space="preserve"> </w:t>
      </w:r>
      <w:r w:rsidRPr="00DB7F92">
        <w:rPr>
          <w:lang w:eastAsia="en-GB"/>
        </w:rPr>
        <w:t>document</w:t>
      </w:r>
      <w:r w:rsidRPr="00DB7F92">
        <w:rPr>
          <w:spacing w:val="43"/>
          <w:lang w:eastAsia="en-GB"/>
        </w:rPr>
        <w:t xml:space="preserve"> </w:t>
      </w:r>
      <w:r w:rsidRPr="00DB7F92">
        <w:rPr>
          <w:lang w:eastAsia="en-GB"/>
        </w:rPr>
        <w:t>how</w:t>
      </w:r>
      <w:r w:rsidRPr="00DB7F92">
        <w:rPr>
          <w:spacing w:val="43"/>
          <w:lang w:eastAsia="en-GB"/>
        </w:rPr>
        <w:t xml:space="preserve"> </w:t>
      </w:r>
      <w:r w:rsidRPr="00DB7F92">
        <w:rPr>
          <w:lang w:eastAsia="en-GB"/>
        </w:rPr>
        <w:t>they</w:t>
      </w:r>
      <w:r w:rsidRPr="00DB7F92">
        <w:rPr>
          <w:spacing w:val="43"/>
          <w:lang w:eastAsia="en-GB"/>
        </w:rPr>
        <w:t xml:space="preserve"> </w:t>
      </w:r>
      <w:r w:rsidRPr="00DB7F92">
        <w:rPr>
          <w:lang w:eastAsia="en-GB"/>
        </w:rPr>
        <w:t>obtain</w:t>
      </w:r>
      <w:r w:rsidRPr="00DB7F92">
        <w:rPr>
          <w:spacing w:val="43"/>
          <w:lang w:eastAsia="en-GB"/>
        </w:rPr>
        <w:t xml:space="preserve"> </w:t>
      </w:r>
      <w:r w:rsidRPr="00DB7F92">
        <w:rPr>
          <w:lang w:eastAsia="en-GB"/>
        </w:rPr>
        <w:t>advice</w:t>
      </w:r>
      <w:r w:rsidRPr="00DB7F92">
        <w:rPr>
          <w:spacing w:val="57"/>
          <w:w w:val="99"/>
          <w:lang w:eastAsia="en-GB"/>
        </w:rPr>
        <w:t xml:space="preserve"> </w:t>
      </w:r>
      <w:r w:rsidRPr="00DB7F92">
        <w:rPr>
          <w:lang w:eastAsia="en-GB"/>
        </w:rPr>
        <w:t>from</w:t>
      </w:r>
      <w:r w:rsidRPr="00DB7F92">
        <w:rPr>
          <w:spacing w:val="65"/>
          <w:lang w:eastAsia="en-GB"/>
        </w:rPr>
        <w:t xml:space="preserve"> </w:t>
      </w:r>
      <w:r w:rsidRPr="00DB7F92">
        <w:rPr>
          <w:lang w:eastAsia="en-GB"/>
        </w:rPr>
        <w:t>those</w:t>
      </w:r>
      <w:r w:rsidRPr="00DB7F92">
        <w:rPr>
          <w:spacing w:val="65"/>
          <w:lang w:eastAsia="en-GB"/>
        </w:rPr>
        <w:t xml:space="preserve"> </w:t>
      </w:r>
      <w:r w:rsidRPr="00DB7F92">
        <w:rPr>
          <w:lang w:eastAsia="en-GB"/>
        </w:rPr>
        <w:t>with</w:t>
      </w:r>
      <w:r w:rsidRPr="00DB7F92">
        <w:rPr>
          <w:spacing w:val="65"/>
          <w:lang w:eastAsia="en-GB"/>
        </w:rPr>
        <w:t xml:space="preserve"> </w:t>
      </w:r>
      <w:r w:rsidRPr="00DB7F92">
        <w:rPr>
          <w:lang w:eastAsia="en-GB"/>
        </w:rPr>
        <w:t>professional expertise</w:t>
      </w:r>
      <w:r w:rsidRPr="00DB7F92">
        <w:rPr>
          <w:spacing w:val="65"/>
          <w:lang w:eastAsia="en-GB"/>
        </w:rPr>
        <w:t xml:space="preserve"> </w:t>
      </w:r>
      <w:r w:rsidRPr="00DB7F92">
        <w:rPr>
          <w:lang w:eastAsia="en-GB"/>
        </w:rPr>
        <w:t>(some</w:t>
      </w:r>
      <w:r w:rsidRPr="00DB7F92">
        <w:rPr>
          <w:spacing w:val="65"/>
          <w:lang w:eastAsia="en-GB"/>
        </w:rPr>
        <w:t xml:space="preserve"> </w:t>
      </w:r>
      <w:r w:rsidRPr="00DB7F92">
        <w:rPr>
          <w:lang w:eastAsia="en-GB"/>
        </w:rPr>
        <w:t>of</w:t>
      </w:r>
      <w:r w:rsidRPr="00DB7F92">
        <w:rPr>
          <w:spacing w:val="64"/>
          <w:lang w:eastAsia="en-GB"/>
        </w:rPr>
        <w:t xml:space="preserve"> </w:t>
      </w:r>
      <w:r w:rsidRPr="00DB7F92">
        <w:rPr>
          <w:lang w:eastAsia="en-GB"/>
        </w:rPr>
        <w:t>whom may be  employees</w:t>
      </w:r>
      <w:r w:rsidRPr="00DB7F92">
        <w:rPr>
          <w:spacing w:val="-4"/>
          <w:lang w:eastAsia="en-GB"/>
        </w:rPr>
        <w:t xml:space="preserve"> </w:t>
      </w:r>
      <w:r w:rsidRPr="00DB7F92">
        <w:rPr>
          <w:lang w:eastAsia="en-GB"/>
        </w:rPr>
        <w:t>or</w:t>
      </w:r>
      <w:r w:rsidRPr="00DB7F92">
        <w:rPr>
          <w:spacing w:val="-6"/>
          <w:lang w:eastAsia="en-GB"/>
        </w:rPr>
        <w:t xml:space="preserve"> </w:t>
      </w:r>
      <w:r w:rsidRPr="00DB7F92">
        <w:rPr>
          <w:lang w:eastAsia="en-GB"/>
        </w:rPr>
        <w:t>secondees).</w:t>
      </w:r>
    </w:p>
    <w:p w14:paraId="4A77520A" w14:textId="77777777" w:rsidR="00DB7F92" w:rsidRPr="00DB7F92" w:rsidRDefault="00DB7F92" w:rsidP="00DB7F92">
      <w:pPr>
        <w:jc w:val="both"/>
        <w:rPr>
          <w:rFonts w:eastAsia="Segoe UI Semilight" w:cs="Arial"/>
          <w:sz w:val="20"/>
          <w:szCs w:val="20"/>
        </w:rPr>
      </w:pPr>
    </w:p>
    <w:p w14:paraId="5E932438" w14:textId="77777777" w:rsidR="00DB7F92" w:rsidRPr="00DB7F92" w:rsidRDefault="00DB7F92" w:rsidP="00DB7F92">
      <w:pPr>
        <w:spacing w:before="12"/>
        <w:jc w:val="both"/>
        <w:rPr>
          <w:rFonts w:eastAsia="Segoe UI Semilight" w:cs="Arial"/>
          <w:sz w:val="20"/>
          <w:szCs w:val="20"/>
        </w:rPr>
      </w:pPr>
    </w:p>
    <w:p w14:paraId="4DE16956" w14:textId="2F119A18" w:rsidR="00DB7F92" w:rsidRPr="00DB7F92" w:rsidRDefault="00D32C7A" w:rsidP="00DB7F92">
      <w:pPr>
        <w:pStyle w:val="Heading2"/>
        <w:rPr>
          <w:rFonts w:eastAsiaTheme="majorEastAsia"/>
        </w:rPr>
      </w:pPr>
      <w:bookmarkStart w:id="100" w:name="_Toc498495324"/>
      <w:r w:rsidRPr="00DB7F92">
        <w:rPr>
          <w:rFonts w:eastAsiaTheme="majorEastAsia"/>
        </w:rPr>
        <w:t>The Duty</w:t>
      </w:r>
      <w:r w:rsidRPr="00DB7F92">
        <w:rPr>
          <w:rFonts w:eastAsiaTheme="majorEastAsia"/>
          <w:spacing w:val="-4"/>
        </w:rPr>
        <w:t xml:space="preserve"> </w:t>
      </w:r>
      <w:r>
        <w:rPr>
          <w:rFonts w:eastAsiaTheme="majorEastAsia"/>
        </w:rPr>
        <w:t>t</w:t>
      </w:r>
      <w:r w:rsidRPr="00DB7F92">
        <w:rPr>
          <w:rFonts w:eastAsiaTheme="majorEastAsia"/>
        </w:rPr>
        <w:t>o</w:t>
      </w:r>
      <w:r w:rsidRPr="00DB7F92">
        <w:rPr>
          <w:rFonts w:eastAsiaTheme="majorEastAsia"/>
          <w:spacing w:val="1"/>
        </w:rPr>
        <w:t xml:space="preserve"> </w:t>
      </w:r>
      <w:r w:rsidRPr="00DB7F92">
        <w:rPr>
          <w:rFonts w:eastAsiaTheme="majorEastAsia"/>
        </w:rPr>
        <w:t>Exercise</w:t>
      </w:r>
      <w:r w:rsidRPr="00DB7F92">
        <w:rPr>
          <w:rFonts w:eastAsiaTheme="majorEastAsia"/>
          <w:spacing w:val="-3"/>
        </w:rPr>
        <w:t xml:space="preserve"> </w:t>
      </w:r>
      <w:r w:rsidRPr="00DB7F92">
        <w:rPr>
          <w:rFonts w:eastAsiaTheme="majorEastAsia"/>
        </w:rPr>
        <w:t>Functions Effectively</w:t>
      </w:r>
      <w:bookmarkEnd w:id="100"/>
    </w:p>
    <w:p w14:paraId="2C7996FE" w14:textId="77777777" w:rsidR="00DB7F92" w:rsidRPr="00DB7F92" w:rsidRDefault="00DB7F92" w:rsidP="00DD5D2D">
      <w:pPr>
        <w:pStyle w:val="Heading3"/>
        <w:jc w:val="both"/>
        <w:rPr>
          <w:lang w:eastAsia="en-GB"/>
        </w:rPr>
      </w:pPr>
      <w:r w:rsidRPr="00DB7F92">
        <w:rPr>
          <w:lang w:eastAsia="en-GB"/>
        </w:rPr>
        <w:t>The commissioner</w:t>
      </w:r>
      <w:r w:rsidRPr="00DB7F92">
        <w:rPr>
          <w:spacing w:val="32"/>
          <w:lang w:eastAsia="en-GB"/>
        </w:rPr>
        <w:t xml:space="preserve"> </w:t>
      </w:r>
      <w:r w:rsidRPr="00DB7F92">
        <w:rPr>
          <w:lang w:eastAsia="en-GB"/>
        </w:rPr>
        <w:t>has</w:t>
      </w:r>
      <w:r w:rsidRPr="00DB7F92">
        <w:rPr>
          <w:spacing w:val="33"/>
          <w:lang w:eastAsia="en-GB"/>
        </w:rPr>
        <w:t xml:space="preserve"> </w:t>
      </w:r>
      <w:r w:rsidRPr="00DB7F92">
        <w:rPr>
          <w:lang w:eastAsia="en-GB"/>
        </w:rPr>
        <w:t>a</w:t>
      </w:r>
      <w:r w:rsidRPr="00DB7F92">
        <w:rPr>
          <w:spacing w:val="32"/>
          <w:lang w:eastAsia="en-GB"/>
        </w:rPr>
        <w:t xml:space="preserve"> </w:t>
      </w:r>
      <w:r w:rsidRPr="00DB7F92">
        <w:rPr>
          <w:lang w:eastAsia="en-GB"/>
        </w:rPr>
        <w:t>duty</w:t>
      </w:r>
      <w:r w:rsidRPr="00DB7F92">
        <w:rPr>
          <w:spacing w:val="33"/>
          <w:lang w:eastAsia="en-GB"/>
        </w:rPr>
        <w:t xml:space="preserve"> </w:t>
      </w:r>
      <w:r w:rsidRPr="00DB7F92">
        <w:rPr>
          <w:lang w:eastAsia="en-GB"/>
        </w:rPr>
        <w:t>to</w:t>
      </w:r>
      <w:r w:rsidRPr="00DB7F92">
        <w:rPr>
          <w:spacing w:val="31"/>
          <w:lang w:eastAsia="en-GB"/>
        </w:rPr>
        <w:t xml:space="preserve"> </w:t>
      </w:r>
      <w:r w:rsidRPr="00DB7F92">
        <w:rPr>
          <w:lang w:eastAsia="en-GB"/>
        </w:rPr>
        <w:t>exercise</w:t>
      </w:r>
      <w:r w:rsidRPr="00DB7F92">
        <w:rPr>
          <w:spacing w:val="32"/>
          <w:lang w:eastAsia="en-GB"/>
        </w:rPr>
        <w:t xml:space="preserve"> </w:t>
      </w:r>
      <w:r w:rsidRPr="00DB7F92">
        <w:rPr>
          <w:lang w:eastAsia="en-GB"/>
        </w:rPr>
        <w:t>its</w:t>
      </w:r>
      <w:r w:rsidRPr="00DB7F92">
        <w:rPr>
          <w:spacing w:val="33"/>
          <w:lang w:eastAsia="en-GB"/>
        </w:rPr>
        <w:t xml:space="preserve"> </w:t>
      </w:r>
      <w:r w:rsidRPr="00DB7F92">
        <w:rPr>
          <w:lang w:eastAsia="en-GB"/>
        </w:rPr>
        <w:t>functions</w:t>
      </w:r>
      <w:r w:rsidRPr="00DB7F92">
        <w:rPr>
          <w:spacing w:val="34"/>
          <w:lang w:eastAsia="en-GB"/>
        </w:rPr>
        <w:t xml:space="preserve"> </w:t>
      </w:r>
      <w:r w:rsidRPr="00DB7F92">
        <w:rPr>
          <w:lang w:eastAsia="en-GB"/>
        </w:rPr>
        <w:t>effectively,</w:t>
      </w:r>
      <w:r w:rsidRPr="00DB7F92">
        <w:rPr>
          <w:spacing w:val="32"/>
          <w:lang w:eastAsia="en-GB"/>
        </w:rPr>
        <w:t xml:space="preserve"> </w:t>
      </w:r>
      <w:r w:rsidRPr="00DB7F92">
        <w:rPr>
          <w:lang w:eastAsia="en-GB"/>
        </w:rPr>
        <w:t>efficiently</w:t>
      </w:r>
      <w:r w:rsidRPr="00DB7F92">
        <w:rPr>
          <w:spacing w:val="53"/>
          <w:w w:val="99"/>
          <w:lang w:eastAsia="en-GB"/>
        </w:rPr>
        <w:t xml:space="preserve"> </w:t>
      </w:r>
      <w:r w:rsidRPr="00DB7F92">
        <w:rPr>
          <w:lang w:eastAsia="en-GB"/>
        </w:rPr>
        <w:t>and</w:t>
      </w:r>
      <w:r w:rsidRPr="00DB7F92">
        <w:rPr>
          <w:spacing w:val="-5"/>
          <w:lang w:eastAsia="en-GB"/>
        </w:rPr>
        <w:t xml:space="preserve"> </w:t>
      </w:r>
      <w:r w:rsidRPr="00DB7F92">
        <w:rPr>
          <w:lang w:eastAsia="en-GB"/>
        </w:rPr>
        <w:t>economically</w:t>
      </w:r>
      <w:r w:rsidRPr="00DB7F92">
        <w:rPr>
          <w:spacing w:val="-24"/>
          <w:lang w:eastAsia="en-GB"/>
        </w:rPr>
        <w:t xml:space="preserve"> </w:t>
      </w:r>
      <w:r w:rsidRPr="00DB7F92">
        <w:rPr>
          <w:lang w:eastAsia="en-GB"/>
        </w:rPr>
        <w:t>(in respect of NHS England, see</w:t>
      </w:r>
      <w:r w:rsidRPr="00DB7F92">
        <w:rPr>
          <w:spacing w:val="-5"/>
          <w:lang w:eastAsia="en-GB"/>
        </w:rPr>
        <w:t xml:space="preserve"> </w:t>
      </w:r>
      <w:r w:rsidRPr="00DB7F92">
        <w:rPr>
          <w:lang w:eastAsia="en-GB"/>
        </w:rPr>
        <w:t>section</w:t>
      </w:r>
      <w:r w:rsidRPr="00DB7F92">
        <w:rPr>
          <w:spacing w:val="-2"/>
          <w:lang w:eastAsia="en-GB"/>
        </w:rPr>
        <w:t xml:space="preserve"> </w:t>
      </w:r>
      <w:r w:rsidRPr="00DB7F92">
        <w:rPr>
          <w:lang w:eastAsia="en-GB"/>
        </w:rPr>
        <w:t>13D</w:t>
      </w:r>
      <w:r w:rsidRPr="00DB7F92">
        <w:rPr>
          <w:spacing w:val="-4"/>
          <w:lang w:eastAsia="en-GB"/>
        </w:rPr>
        <w:t xml:space="preserve"> </w:t>
      </w:r>
      <w:r w:rsidRPr="00DB7F92">
        <w:rPr>
          <w:lang w:eastAsia="en-GB"/>
        </w:rPr>
        <w:t>of</w:t>
      </w:r>
      <w:r w:rsidRPr="00DB7F92">
        <w:rPr>
          <w:spacing w:val="-6"/>
          <w:lang w:eastAsia="en-GB"/>
        </w:rPr>
        <w:t xml:space="preserve"> </w:t>
      </w:r>
      <w:r w:rsidRPr="00DB7F92">
        <w:rPr>
          <w:lang w:eastAsia="en-GB"/>
        </w:rPr>
        <w:t>the</w:t>
      </w:r>
      <w:r w:rsidRPr="00DB7F92">
        <w:rPr>
          <w:spacing w:val="-4"/>
          <w:lang w:eastAsia="en-GB"/>
        </w:rPr>
        <w:t xml:space="preserve"> </w:t>
      </w:r>
      <w:r w:rsidRPr="00DB7F92">
        <w:rPr>
          <w:lang w:eastAsia="en-GB"/>
        </w:rPr>
        <w:t>NHS</w:t>
      </w:r>
      <w:r w:rsidRPr="00DB7F92">
        <w:rPr>
          <w:spacing w:val="-3"/>
          <w:lang w:eastAsia="en-GB"/>
        </w:rPr>
        <w:t xml:space="preserve"> </w:t>
      </w:r>
      <w:r w:rsidRPr="00DB7F92">
        <w:rPr>
          <w:lang w:eastAsia="en-GB"/>
        </w:rPr>
        <w:t>Act</w:t>
      </w:r>
      <w:r w:rsidRPr="00DB7F92">
        <w:rPr>
          <w:spacing w:val="-4"/>
          <w:lang w:eastAsia="en-GB"/>
        </w:rPr>
        <w:t xml:space="preserve"> </w:t>
      </w:r>
      <w:r w:rsidRPr="00DB7F92">
        <w:rPr>
          <w:lang w:eastAsia="en-GB"/>
        </w:rPr>
        <w:t>2006; and, in respect of CCGs, see section 14Q of the NHS Act 2006) .</w:t>
      </w:r>
    </w:p>
    <w:p w14:paraId="4FA25D2C" w14:textId="77777777" w:rsidR="00DB7F92" w:rsidRPr="00DB7F92" w:rsidRDefault="00DB7F92" w:rsidP="00DB7F92">
      <w:pPr>
        <w:widowControl w:val="0"/>
        <w:tabs>
          <w:tab w:val="left" w:pos="1559"/>
        </w:tabs>
        <w:spacing w:before="12" w:after="120"/>
        <w:ind w:right="114"/>
        <w:jc w:val="both"/>
        <w:rPr>
          <w:rFonts w:cs="Arial"/>
          <w:bCs w:val="0"/>
          <w:sz w:val="20"/>
          <w:szCs w:val="20"/>
          <w:lang w:eastAsia="en-GB"/>
        </w:rPr>
      </w:pPr>
    </w:p>
    <w:p w14:paraId="7E34257F" w14:textId="03054CCC" w:rsidR="00DB7F92" w:rsidRPr="00682EC4" w:rsidRDefault="00DB7F92" w:rsidP="00DB7F92">
      <w:pPr>
        <w:pStyle w:val="Heading3"/>
        <w:jc w:val="both"/>
        <w:rPr>
          <w:rFonts w:eastAsia="Segoe UI Semilight" w:cs="Arial"/>
          <w:sz w:val="20"/>
          <w:szCs w:val="20"/>
        </w:rPr>
      </w:pPr>
      <w:r w:rsidRPr="00DB7F92">
        <w:rPr>
          <w:lang w:eastAsia="en-GB"/>
        </w:rPr>
        <w:t>This</w:t>
      </w:r>
      <w:r w:rsidRPr="00682EC4">
        <w:rPr>
          <w:spacing w:val="36"/>
          <w:lang w:eastAsia="en-GB"/>
        </w:rPr>
        <w:t xml:space="preserve"> </w:t>
      </w:r>
      <w:r w:rsidRPr="00DB7F92">
        <w:rPr>
          <w:lang w:eastAsia="en-GB"/>
        </w:rPr>
        <w:t>is</w:t>
      </w:r>
      <w:r w:rsidRPr="00682EC4">
        <w:rPr>
          <w:spacing w:val="37"/>
          <w:lang w:eastAsia="en-GB"/>
        </w:rPr>
        <w:t xml:space="preserve"> </w:t>
      </w:r>
      <w:r w:rsidRPr="00DB7F92">
        <w:rPr>
          <w:lang w:eastAsia="en-GB"/>
        </w:rPr>
        <w:t>a</w:t>
      </w:r>
      <w:r w:rsidRPr="00682EC4">
        <w:rPr>
          <w:spacing w:val="36"/>
          <w:lang w:eastAsia="en-GB"/>
        </w:rPr>
        <w:t xml:space="preserve"> </w:t>
      </w:r>
      <w:r w:rsidRPr="00DB7F92">
        <w:rPr>
          <w:lang w:eastAsia="en-GB"/>
        </w:rPr>
        <w:t>statutory</w:t>
      </w:r>
      <w:r w:rsidRPr="00682EC4">
        <w:rPr>
          <w:spacing w:val="37"/>
          <w:lang w:eastAsia="en-GB"/>
        </w:rPr>
        <w:t xml:space="preserve"> </w:t>
      </w:r>
      <w:r w:rsidRPr="00DB7F92">
        <w:rPr>
          <w:lang w:eastAsia="en-GB"/>
        </w:rPr>
        <w:t>reformulation</w:t>
      </w:r>
      <w:r w:rsidRPr="00682EC4">
        <w:rPr>
          <w:spacing w:val="39"/>
          <w:lang w:eastAsia="en-GB"/>
        </w:rPr>
        <w:t xml:space="preserve"> </w:t>
      </w:r>
      <w:r w:rsidRPr="00DB7F92">
        <w:rPr>
          <w:lang w:eastAsia="en-GB"/>
        </w:rPr>
        <w:t>of</w:t>
      </w:r>
      <w:r w:rsidRPr="00682EC4">
        <w:rPr>
          <w:spacing w:val="36"/>
          <w:lang w:eastAsia="en-GB"/>
        </w:rPr>
        <w:t xml:space="preserve"> </w:t>
      </w:r>
      <w:r w:rsidRPr="00DB7F92">
        <w:rPr>
          <w:lang w:eastAsia="en-GB"/>
        </w:rPr>
        <w:t>a</w:t>
      </w:r>
      <w:r w:rsidRPr="00682EC4">
        <w:rPr>
          <w:spacing w:val="39"/>
          <w:lang w:eastAsia="en-GB"/>
        </w:rPr>
        <w:t xml:space="preserve"> </w:t>
      </w:r>
      <w:r w:rsidRPr="00DB7F92">
        <w:rPr>
          <w:lang w:eastAsia="en-GB"/>
        </w:rPr>
        <w:t>duty</w:t>
      </w:r>
      <w:r w:rsidRPr="00682EC4">
        <w:rPr>
          <w:spacing w:val="37"/>
          <w:lang w:eastAsia="en-GB"/>
        </w:rPr>
        <w:t xml:space="preserve"> </w:t>
      </w:r>
      <w:r w:rsidRPr="00DB7F92">
        <w:rPr>
          <w:lang w:eastAsia="en-GB"/>
        </w:rPr>
        <w:t>that</w:t>
      </w:r>
      <w:r w:rsidRPr="00682EC4">
        <w:rPr>
          <w:spacing w:val="37"/>
          <w:lang w:eastAsia="en-GB"/>
        </w:rPr>
        <w:t xml:space="preserve"> </w:t>
      </w:r>
      <w:r w:rsidRPr="00DB7F92">
        <w:rPr>
          <w:lang w:eastAsia="en-GB"/>
        </w:rPr>
        <w:t>has</w:t>
      </w:r>
      <w:r w:rsidRPr="00682EC4">
        <w:rPr>
          <w:spacing w:val="37"/>
          <w:lang w:eastAsia="en-GB"/>
        </w:rPr>
        <w:t xml:space="preserve"> </w:t>
      </w:r>
      <w:r w:rsidRPr="00DB7F92">
        <w:rPr>
          <w:lang w:eastAsia="en-GB"/>
        </w:rPr>
        <w:t>been</w:t>
      </w:r>
      <w:r w:rsidRPr="00682EC4">
        <w:rPr>
          <w:spacing w:val="37"/>
          <w:lang w:eastAsia="en-GB"/>
        </w:rPr>
        <w:t xml:space="preserve"> </w:t>
      </w:r>
      <w:r w:rsidRPr="00DB7F92">
        <w:rPr>
          <w:lang w:eastAsia="en-GB"/>
        </w:rPr>
        <w:t>contained</w:t>
      </w:r>
      <w:r w:rsidRPr="00682EC4">
        <w:rPr>
          <w:spacing w:val="38"/>
          <w:lang w:eastAsia="en-GB"/>
        </w:rPr>
        <w:t xml:space="preserve"> </w:t>
      </w:r>
      <w:r w:rsidRPr="00DB7F92">
        <w:rPr>
          <w:lang w:eastAsia="en-GB"/>
        </w:rPr>
        <w:t>for</w:t>
      </w:r>
      <w:r w:rsidRPr="00682EC4">
        <w:rPr>
          <w:spacing w:val="57"/>
          <w:w w:val="99"/>
          <w:lang w:eastAsia="en-GB"/>
        </w:rPr>
        <w:t xml:space="preserve"> </w:t>
      </w:r>
      <w:r w:rsidRPr="00DB7F92">
        <w:rPr>
          <w:lang w:eastAsia="en-GB"/>
        </w:rPr>
        <w:t>many</w:t>
      </w:r>
      <w:r w:rsidRPr="00682EC4">
        <w:rPr>
          <w:spacing w:val="53"/>
          <w:lang w:eastAsia="en-GB"/>
        </w:rPr>
        <w:t xml:space="preserve"> </w:t>
      </w:r>
      <w:r w:rsidRPr="00DB7F92">
        <w:rPr>
          <w:lang w:eastAsia="en-GB"/>
        </w:rPr>
        <w:t>years</w:t>
      </w:r>
      <w:r w:rsidRPr="00682EC4">
        <w:rPr>
          <w:spacing w:val="54"/>
          <w:lang w:eastAsia="en-GB"/>
        </w:rPr>
        <w:t xml:space="preserve"> </w:t>
      </w:r>
      <w:r w:rsidRPr="00DB7F92">
        <w:rPr>
          <w:lang w:eastAsia="en-GB"/>
        </w:rPr>
        <w:t>in</w:t>
      </w:r>
      <w:r w:rsidRPr="00682EC4">
        <w:rPr>
          <w:spacing w:val="56"/>
          <w:lang w:eastAsia="en-GB"/>
        </w:rPr>
        <w:t xml:space="preserve"> </w:t>
      </w:r>
      <w:r w:rsidRPr="00DB7F92">
        <w:rPr>
          <w:lang w:eastAsia="en-GB"/>
        </w:rPr>
        <w:t>Managing</w:t>
      </w:r>
      <w:r w:rsidRPr="00682EC4">
        <w:rPr>
          <w:spacing w:val="52"/>
          <w:lang w:eastAsia="en-GB"/>
        </w:rPr>
        <w:t xml:space="preserve"> </w:t>
      </w:r>
      <w:r w:rsidRPr="00DB7F92">
        <w:rPr>
          <w:lang w:eastAsia="en-GB"/>
        </w:rPr>
        <w:t>Public</w:t>
      </w:r>
      <w:r w:rsidRPr="00682EC4">
        <w:rPr>
          <w:spacing w:val="53"/>
          <w:lang w:eastAsia="en-GB"/>
        </w:rPr>
        <w:t xml:space="preserve"> </w:t>
      </w:r>
      <w:r w:rsidRPr="00DB7F92">
        <w:rPr>
          <w:lang w:eastAsia="en-GB"/>
        </w:rPr>
        <w:t>Money</w:t>
      </w:r>
      <w:r w:rsidRPr="00682EC4">
        <w:rPr>
          <w:spacing w:val="56"/>
          <w:lang w:eastAsia="en-GB"/>
        </w:rPr>
        <w:t xml:space="preserve"> </w:t>
      </w:r>
      <w:r w:rsidRPr="00DB7F92">
        <w:rPr>
          <w:lang w:eastAsia="en-GB"/>
        </w:rPr>
        <w:t>and</w:t>
      </w:r>
      <w:r w:rsidRPr="00682EC4">
        <w:rPr>
          <w:spacing w:val="55"/>
          <w:lang w:eastAsia="en-GB"/>
        </w:rPr>
        <w:t xml:space="preserve"> </w:t>
      </w:r>
      <w:r w:rsidRPr="00DB7F92">
        <w:rPr>
          <w:lang w:eastAsia="en-GB"/>
        </w:rPr>
        <w:t>its</w:t>
      </w:r>
      <w:r w:rsidRPr="00682EC4">
        <w:rPr>
          <w:spacing w:val="54"/>
          <w:lang w:eastAsia="en-GB"/>
        </w:rPr>
        <w:t xml:space="preserve"> </w:t>
      </w:r>
      <w:r w:rsidRPr="00DB7F92">
        <w:rPr>
          <w:lang w:eastAsia="en-GB"/>
        </w:rPr>
        <w:t>predecessors.</w:t>
      </w:r>
      <w:r w:rsidRPr="00682EC4">
        <w:rPr>
          <w:spacing w:val="41"/>
          <w:lang w:eastAsia="en-GB"/>
        </w:rPr>
        <w:t xml:space="preserve"> </w:t>
      </w:r>
      <w:r w:rsidRPr="00DB7F92">
        <w:rPr>
          <w:lang w:eastAsia="en-GB"/>
        </w:rPr>
        <w:t>If</w:t>
      </w:r>
      <w:r w:rsidRPr="00682EC4">
        <w:rPr>
          <w:spacing w:val="55"/>
          <w:lang w:eastAsia="en-GB"/>
        </w:rPr>
        <w:t xml:space="preserve"> </w:t>
      </w:r>
      <w:r w:rsidRPr="00DB7F92">
        <w:rPr>
          <w:lang w:eastAsia="en-GB"/>
        </w:rPr>
        <w:t>the commissioner</w:t>
      </w:r>
      <w:r w:rsidRPr="00682EC4">
        <w:rPr>
          <w:spacing w:val="57"/>
          <w:lang w:eastAsia="en-GB"/>
        </w:rPr>
        <w:t xml:space="preserve"> </w:t>
      </w:r>
      <w:r w:rsidRPr="00DB7F92">
        <w:rPr>
          <w:lang w:eastAsia="en-GB"/>
        </w:rPr>
        <w:t>has complied with</w:t>
      </w:r>
      <w:r w:rsidRPr="00682EC4">
        <w:rPr>
          <w:spacing w:val="-3"/>
          <w:lang w:eastAsia="en-GB"/>
        </w:rPr>
        <w:t xml:space="preserve"> </w:t>
      </w:r>
      <w:r w:rsidRPr="00DB7F92">
        <w:rPr>
          <w:lang w:eastAsia="en-GB"/>
        </w:rPr>
        <w:t>the</w:t>
      </w:r>
      <w:r w:rsidRPr="00682EC4">
        <w:rPr>
          <w:spacing w:val="-3"/>
          <w:lang w:eastAsia="en-GB"/>
        </w:rPr>
        <w:t xml:space="preserve"> </w:t>
      </w:r>
      <w:r w:rsidRPr="00DB7F92">
        <w:rPr>
          <w:lang w:eastAsia="en-GB"/>
        </w:rPr>
        <w:t>other</w:t>
      </w:r>
      <w:r w:rsidRPr="00682EC4">
        <w:rPr>
          <w:spacing w:val="-2"/>
          <w:lang w:eastAsia="en-GB"/>
        </w:rPr>
        <w:t xml:space="preserve"> </w:t>
      </w:r>
      <w:r w:rsidRPr="00DB7F92">
        <w:rPr>
          <w:lang w:eastAsia="en-GB"/>
        </w:rPr>
        <w:t>duties in</w:t>
      </w:r>
      <w:r w:rsidRPr="00682EC4">
        <w:rPr>
          <w:spacing w:val="-3"/>
          <w:lang w:eastAsia="en-GB"/>
        </w:rPr>
        <w:t xml:space="preserve"> </w:t>
      </w:r>
      <w:r w:rsidRPr="00DB7F92">
        <w:rPr>
          <w:lang w:eastAsia="en-GB"/>
        </w:rPr>
        <w:t>this guidance</w:t>
      </w:r>
      <w:r w:rsidRPr="00682EC4">
        <w:rPr>
          <w:spacing w:val="-3"/>
          <w:lang w:eastAsia="en-GB"/>
        </w:rPr>
        <w:t xml:space="preserve"> </w:t>
      </w:r>
      <w:r w:rsidRPr="00DB7F92">
        <w:rPr>
          <w:lang w:eastAsia="en-GB"/>
        </w:rPr>
        <w:t>–</w:t>
      </w:r>
      <w:r w:rsidRPr="00682EC4">
        <w:rPr>
          <w:spacing w:val="-2"/>
          <w:lang w:eastAsia="en-GB"/>
        </w:rPr>
        <w:t xml:space="preserve"> </w:t>
      </w:r>
      <w:r w:rsidRPr="00DB7F92">
        <w:rPr>
          <w:lang w:eastAsia="en-GB"/>
        </w:rPr>
        <w:t>in</w:t>
      </w:r>
      <w:r w:rsidRPr="00682EC4">
        <w:rPr>
          <w:spacing w:val="-3"/>
          <w:lang w:eastAsia="en-GB"/>
        </w:rPr>
        <w:t xml:space="preserve"> </w:t>
      </w:r>
      <w:r w:rsidRPr="00DB7F92">
        <w:rPr>
          <w:lang w:eastAsia="en-GB"/>
        </w:rPr>
        <w:t>particular</w:t>
      </w:r>
      <w:r w:rsidRPr="00682EC4">
        <w:rPr>
          <w:spacing w:val="59"/>
          <w:w w:val="99"/>
          <w:lang w:eastAsia="en-GB"/>
        </w:rPr>
        <w:t xml:space="preserve"> </w:t>
      </w:r>
      <w:r w:rsidRPr="00DB7F92">
        <w:rPr>
          <w:lang w:eastAsia="en-GB"/>
        </w:rPr>
        <w:t>the</w:t>
      </w:r>
      <w:r w:rsidRPr="00682EC4">
        <w:rPr>
          <w:spacing w:val="36"/>
          <w:lang w:eastAsia="en-GB"/>
        </w:rPr>
        <w:t xml:space="preserve"> </w:t>
      </w:r>
      <w:r w:rsidRPr="00DB7F92">
        <w:rPr>
          <w:lang w:eastAsia="en-GB"/>
        </w:rPr>
        <w:t>duty</w:t>
      </w:r>
      <w:r w:rsidRPr="00682EC4">
        <w:rPr>
          <w:spacing w:val="37"/>
          <w:lang w:eastAsia="en-GB"/>
        </w:rPr>
        <w:t xml:space="preserve"> </w:t>
      </w:r>
      <w:r w:rsidRPr="00DB7F92">
        <w:rPr>
          <w:lang w:eastAsia="en-GB"/>
        </w:rPr>
        <w:t>to</w:t>
      </w:r>
      <w:r w:rsidRPr="00682EC4">
        <w:rPr>
          <w:spacing w:val="36"/>
          <w:lang w:eastAsia="en-GB"/>
        </w:rPr>
        <w:t xml:space="preserve"> </w:t>
      </w:r>
      <w:r w:rsidRPr="00DB7F92">
        <w:rPr>
          <w:lang w:eastAsia="en-GB"/>
        </w:rPr>
        <w:t>act</w:t>
      </w:r>
      <w:r w:rsidRPr="00682EC4">
        <w:rPr>
          <w:spacing w:val="38"/>
          <w:lang w:eastAsia="en-GB"/>
        </w:rPr>
        <w:t xml:space="preserve"> </w:t>
      </w:r>
      <w:r w:rsidRPr="00DB7F92">
        <w:rPr>
          <w:lang w:eastAsia="en-GB"/>
        </w:rPr>
        <w:t>reasonably</w:t>
      </w:r>
      <w:r w:rsidRPr="00682EC4">
        <w:rPr>
          <w:spacing w:val="37"/>
          <w:lang w:eastAsia="en-GB"/>
        </w:rPr>
        <w:t xml:space="preserve"> </w:t>
      </w:r>
      <w:r w:rsidRPr="00DB7F92">
        <w:rPr>
          <w:lang w:eastAsia="en-GB"/>
        </w:rPr>
        <w:t>–</w:t>
      </w:r>
      <w:r w:rsidRPr="00682EC4">
        <w:rPr>
          <w:spacing w:val="37"/>
          <w:lang w:eastAsia="en-GB"/>
        </w:rPr>
        <w:t xml:space="preserve"> </w:t>
      </w:r>
      <w:r w:rsidRPr="00DB7F92">
        <w:rPr>
          <w:lang w:eastAsia="en-GB"/>
        </w:rPr>
        <w:t>it</w:t>
      </w:r>
      <w:r w:rsidRPr="00682EC4">
        <w:rPr>
          <w:spacing w:val="37"/>
          <w:lang w:eastAsia="en-GB"/>
        </w:rPr>
        <w:t xml:space="preserve"> </w:t>
      </w:r>
      <w:r w:rsidRPr="00DB7F92">
        <w:rPr>
          <w:lang w:eastAsia="en-GB"/>
        </w:rPr>
        <w:t>is</w:t>
      </w:r>
      <w:r w:rsidRPr="00682EC4">
        <w:rPr>
          <w:spacing w:val="38"/>
          <w:lang w:eastAsia="en-GB"/>
        </w:rPr>
        <w:t xml:space="preserve"> </w:t>
      </w:r>
      <w:r w:rsidRPr="00DB7F92">
        <w:rPr>
          <w:lang w:eastAsia="en-GB"/>
        </w:rPr>
        <w:t>highly</w:t>
      </w:r>
      <w:r w:rsidRPr="00682EC4">
        <w:rPr>
          <w:spacing w:val="37"/>
          <w:lang w:eastAsia="en-GB"/>
        </w:rPr>
        <w:t xml:space="preserve"> </w:t>
      </w:r>
      <w:r w:rsidRPr="00DB7F92">
        <w:rPr>
          <w:lang w:eastAsia="en-GB"/>
        </w:rPr>
        <w:t>unlikely</w:t>
      </w:r>
      <w:r w:rsidRPr="00682EC4">
        <w:rPr>
          <w:spacing w:val="37"/>
          <w:lang w:eastAsia="en-GB"/>
        </w:rPr>
        <w:t xml:space="preserve"> </w:t>
      </w:r>
      <w:r w:rsidRPr="00DB7F92">
        <w:rPr>
          <w:lang w:eastAsia="en-GB"/>
        </w:rPr>
        <w:t>that</w:t>
      </w:r>
      <w:r w:rsidRPr="00682EC4">
        <w:rPr>
          <w:spacing w:val="38"/>
          <w:lang w:eastAsia="en-GB"/>
        </w:rPr>
        <w:t xml:space="preserve"> </w:t>
      </w:r>
      <w:r w:rsidRPr="00DB7F92">
        <w:rPr>
          <w:lang w:eastAsia="en-GB"/>
        </w:rPr>
        <w:t>it</w:t>
      </w:r>
      <w:r w:rsidRPr="00682EC4">
        <w:rPr>
          <w:spacing w:val="37"/>
          <w:lang w:eastAsia="en-GB"/>
        </w:rPr>
        <w:t xml:space="preserve"> </w:t>
      </w:r>
      <w:r w:rsidRPr="00DB7F92">
        <w:rPr>
          <w:lang w:eastAsia="en-GB"/>
        </w:rPr>
        <w:t>will</w:t>
      </w:r>
      <w:r w:rsidRPr="00682EC4">
        <w:rPr>
          <w:spacing w:val="36"/>
          <w:lang w:eastAsia="en-GB"/>
        </w:rPr>
        <w:t xml:space="preserve"> </w:t>
      </w:r>
      <w:r w:rsidRPr="00DB7F92">
        <w:rPr>
          <w:lang w:eastAsia="en-GB"/>
        </w:rPr>
        <w:t>breach</w:t>
      </w:r>
      <w:r w:rsidRPr="00682EC4">
        <w:rPr>
          <w:spacing w:val="39"/>
          <w:lang w:eastAsia="en-GB"/>
        </w:rPr>
        <w:t xml:space="preserve"> </w:t>
      </w:r>
      <w:r w:rsidRPr="00DB7F92">
        <w:rPr>
          <w:lang w:eastAsia="en-GB"/>
        </w:rPr>
        <w:t>this</w:t>
      </w:r>
      <w:r w:rsidRPr="00682EC4">
        <w:rPr>
          <w:spacing w:val="62"/>
          <w:w w:val="99"/>
          <w:lang w:eastAsia="en-GB"/>
        </w:rPr>
        <w:t xml:space="preserve"> </w:t>
      </w:r>
      <w:r w:rsidRPr="00DB7F92">
        <w:rPr>
          <w:lang w:eastAsia="en-GB"/>
        </w:rPr>
        <w:t>duty.</w:t>
      </w:r>
    </w:p>
    <w:p w14:paraId="318F7B83" w14:textId="77777777" w:rsidR="00DB7F92" w:rsidRPr="00DB7F92" w:rsidRDefault="00DB7F92" w:rsidP="00DB7F92">
      <w:pPr>
        <w:spacing w:before="1"/>
        <w:jc w:val="both"/>
        <w:rPr>
          <w:rFonts w:eastAsia="Segoe UI Semilight" w:cs="Arial"/>
          <w:sz w:val="20"/>
          <w:szCs w:val="20"/>
        </w:rPr>
      </w:pPr>
    </w:p>
    <w:p w14:paraId="68822C86" w14:textId="4229E896" w:rsidR="00DB7F92" w:rsidRDefault="00D32C7A" w:rsidP="00DB7F92">
      <w:pPr>
        <w:pStyle w:val="Heading2"/>
        <w:rPr>
          <w:rFonts w:eastAsiaTheme="majorEastAsia"/>
        </w:rPr>
      </w:pPr>
      <w:bookmarkStart w:id="101" w:name="_Toc498495325"/>
      <w:r w:rsidRPr="00DB7F92">
        <w:rPr>
          <w:rFonts w:eastAsiaTheme="majorEastAsia"/>
        </w:rPr>
        <w:t>The Duty</w:t>
      </w:r>
      <w:r w:rsidRPr="00DB7F92">
        <w:rPr>
          <w:rFonts w:eastAsiaTheme="majorEastAsia"/>
          <w:spacing w:val="-3"/>
        </w:rPr>
        <w:t xml:space="preserve"> </w:t>
      </w:r>
      <w:r>
        <w:rPr>
          <w:rFonts w:eastAsiaTheme="majorEastAsia"/>
        </w:rPr>
        <w:t>Not t</w:t>
      </w:r>
      <w:r w:rsidRPr="00DB7F92">
        <w:rPr>
          <w:rFonts w:eastAsiaTheme="majorEastAsia"/>
        </w:rPr>
        <w:t>o</w:t>
      </w:r>
      <w:r w:rsidRPr="00DB7F92">
        <w:rPr>
          <w:rFonts w:eastAsiaTheme="majorEastAsia"/>
          <w:spacing w:val="-2"/>
        </w:rPr>
        <w:t xml:space="preserve"> </w:t>
      </w:r>
      <w:r w:rsidRPr="00DB7F92">
        <w:rPr>
          <w:rFonts w:eastAsiaTheme="majorEastAsia"/>
        </w:rPr>
        <w:t>Prefer</w:t>
      </w:r>
      <w:r w:rsidRPr="00DB7F92">
        <w:rPr>
          <w:rFonts w:eastAsiaTheme="majorEastAsia"/>
          <w:spacing w:val="-5"/>
        </w:rPr>
        <w:t xml:space="preserve"> </w:t>
      </w:r>
      <w:r w:rsidRPr="00DB7F92">
        <w:rPr>
          <w:rFonts w:eastAsiaTheme="majorEastAsia"/>
        </w:rPr>
        <w:t>One Type</w:t>
      </w:r>
      <w:r w:rsidRPr="00DB7F92">
        <w:rPr>
          <w:rFonts w:eastAsiaTheme="majorEastAsia"/>
          <w:spacing w:val="-2"/>
        </w:rPr>
        <w:t xml:space="preserve"> </w:t>
      </w:r>
      <w:r>
        <w:rPr>
          <w:rFonts w:eastAsiaTheme="majorEastAsia"/>
          <w:spacing w:val="-2"/>
        </w:rPr>
        <w:t>o</w:t>
      </w:r>
      <w:r w:rsidRPr="00DB7F92">
        <w:rPr>
          <w:rFonts w:eastAsiaTheme="majorEastAsia"/>
        </w:rPr>
        <w:t>f</w:t>
      </w:r>
      <w:r w:rsidRPr="00DB7F92">
        <w:rPr>
          <w:rFonts w:eastAsiaTheme="majorEastAsia"/>
          <w:spacing w:val="-3"/>
        </w:rPr>
        <w:t xml:space="preserve"> </w:t>
      </w:r>
      <w:r w:rsidRPr="00DB7F92">
        <w:rPr>
          <w:rFonts w:eastAsiaTheme="majorEastAsia"/>
        </w:rPr>
        <w:t>Provider</w:t>
      </w:r>
      <w:bookmarkEnd w:id="101"/>
    </w:p>
    <w:p w14:paraId="7D5FE27B" w14:textId="77777777" w:rsidR="00682EC4" w:rsidRPr="00682EC4" w:rsidRDefault="00682EC4" w:rsidP="00682EC4">
      <w:pPr>
        <w:rPr>
          <w:rFonts w:eastAsiaTheme="majorEastAsia"/>
        </w:rPr>
      </w:pPr>
    </w:p>
    <w:p w14:paraId="64F30C02" w14:textId="77777777" w:rsidR="00DB7F92" w:rsidRPr="00DB7F92" w:rsidRDefault="00DB7F92" w:rsidP="00DD5D2D">
      <w:pPr>
        <w:pStyle w:val="Heading3"/>
        <w:jc w:val="both"/>
        <w:rPr>
          <w:lang w:eastAsia="en-GB"/>
        </w:rPr>
      </w:pPr>
      <w:r w:rsidRPr="00DB7F92">
        <w:rPr>
          <w:lang w:eastAsia="en-GB"/>
        </w:rPr>
        <w:t>NHS England must</w:t>
      </w:r>
      <w:r w:rsidRPr="00DB7F92">
        <w:rPr>
          <w:spacing w:val="22"/>
          <w:lang w:eastAsia="en-GB"/>
        </w:rPr>
        <w:t xml:space="preserve"> </w:t>
      </w:r>
      <w:r w:rsidRPr="00DB7F92">
        <w:rPr>
          <w:lang w:eastAsia="en-GB"/>
        </w:rPr>
        <w:t>not</w:t>
      </w:r>
      <w:r w:rsidRPr="00DB7F92">
        <w:rPr>
          <w:spacing w:val="21"/>
          <w:lang w:eastAsia="en-GB"/>
        </w:rPr>
        <w:t xml:space="preserve"> </w:t>
      </w:r>
      <w:r w:rsidRPr="00DB7F92">
        <w:rPr>
          <w:lang w:eastAsia="en-GB"/>
        </w:rPr>
        <w:t>try</w:t>
      </w:r>
      <w:r w:rsidRPr="00DB7F92">
        <w:rPr>
          <w:spacing w:val="22"/>
          <w:lang w:eastAsia="en-GB"/>
        </w:rPr>
        <w:t xml:space="preserve"> </w:t>
      </w:r>
      <w:r w:rsidRPr="00DB7F92">
        <w:rPr>
          <w:lang w:eastAsia="en-GB"/>
        </w:rPr>
        <w:t>and</w:t>
      </w:r>
      <w:r w:rsidRPr="00DB7F92">
        <w:rPr>
          <w:spacing w:val="20"/>
          <w:lang w:eastAsia="en-GB"/>
        </w:rPr>
        <w:t xml:space="preserve"> </w:t>
      </w:r>
      <w:r w:rsidRPr="00DB7F92">
        <w:rPr>
          <w:lang w:eastAsia="en-GB"/>
        </w:rPr>
        <w:t>vary</w:t>
      </w:r>
      <w:r w:rsidRPr="00DB7F92">
        <w:rPr>
          <w:spacing w:val="20"/>
          <w:lang w:eastAsia="en-GB"/>
        </w:rPr>
        <w:t xml:space="preserve"> </w:t>
      </w:r>
      <w:r w:rsidRPr="00DB7F92">
        <w:rPr>
          <w:lang w:eastAsia="en-GB"/>
        </w:rPr>
        <w:t>the</w:t>
      </w:r>
      <w:r w:rsidRPr="00DB7F92">
        <w:rPr>
          <w:spacing w:val="21"/>
          <w:lang w:eastAsia="en-GB"/>
        </w:rPr>
        <w:t xml:space="preserve"> </w:t>
      </w:r>
      <w:r w:rsidRPr="00DB7F92">
        <w:rPr>
          <w:lang w:eastAsia="en-GB"/>
        </w:rPr>
        <w:t>proportion</w:t>
      </w:r>
      <w:r w:rsidRPr="00DB7F92">
        <w:rPr>
          <w:spacing w:val="21"/>
          <w:lang w:eastAsia="en-GB"/>
        </w:rPr>
        <w:t xml:space="preserve"> </w:t>
      </w:r>
      <w:r w:rsidRPr="00DB7F92">
        <w:rPr>
          <w:lang w:eastAsia="en-GB"/>
        </w:rPr>
        <w:t>of</w:t>
      </w:r>
      <w:r w:rsidRPr="00DB7F92">
        <w:rPr>
          <w:spacing w:val="21"/>
          <w:lang w:eastAsia="en-GB"/>
        </w:rPr>
        <w:t xml:space="preserve"> </w:t>
      </w:r>
      <w:r w:rsidRPr="00DB7F92">
        <w:rPr>
          <w:lang w:eastAsia="en-GB"/>
        </w:rPr>
        <w:t>services</w:t>
      </w:r>
      <w:r w:rsidRPr="00DB7F92">
        <w:rPr>
          <w:spacing w:val="23"/>
          <w:lang w:eastAsia="en-GB"/>
        </w:rPr>
        <w:t xml:space="preserve"> </w:t>
      </w:r>
      <w:r w:rsidRPr="00DB7F92">
        <w:rPr>
          <w:lang w:eastAsia="en-GB"/>
        </w:rPr>
        <w:t>delivered</w:t>
      </w:r>
      <w:r w:rsidRPr="00DB7F92">
        <w:rPr>
          <w:spacing w:val="56"/>
          <w:w w:val="99"/>
          <w:lang w:eastAsia="en-GB"/>
        </w:rPr>
        <w:t xml:space="preserve"> </w:t>
      </w:r>
      <w:r w:rsidRPr="00DB7F92">
        <w:rPr>
          <w:lang w:eastAsia="en-GB"/>
        </w:rPr>
        <w:t>by</w:t>
      </w:r>
      <w:r w:rsidRPr="00DB7F92">
        <w:rPr>
          <w:spacing w:val="9"/>
          <w:lang w:eastAsia="en-GB"/>
        </w:rPr>
        <w:t xml:space="preserve"> </w:t>
      </w:r>
      <w:r w:rsidRPr="00DB7F92">
        <w:rPr>
          <w:lang w:eastAsia="en-GB"/>
        </w:rPr>
        <w:t>providers</w:t>
      </w:r>
      <w:r w:rsidRPr="00DB7F92">
        <w:rPr>
          <w:spacing w:val="10"/>
          <w:lang w:eastAsia="en-GB"/>
        </w:rPr>
        <w:t xml:space="preserve"> </w:t>
      </w:r>
      <w:r w:rsidRPr="00DB7F92">
        <w:rPr>
          <w:lang w:eastAsia="en-GB"/>
        </w:rPr>
        <w:t>according</w:t>
      </w:r>
      <w:r w:rsidRPr="00DB7F92">
        <w:rPr>
          <w:spacing w:val="10"/>
          <w:lang w:eastAsia="en-GB"/>
        </w:rPr>
        <w:t xml:space="preserve"> </w:t>
      </w:r>
      <w:r w:rsidRPr="00DB7F92">
        <w:rPr>
          <w:lang w:eastAsia="en-GB"/>
        </w:rPr>
        <w:t>to</w:t>
      </w:r>
      <w:r w:rsidRPr="00DB7F92">
        <w:rPr>
          <w:spacing w:val="9"/>
          <w:lang w:eastAsia="en-GB"/>
        </w:rPr>
        <w:t xml:space="preserve"> </w:t>
      </w:r>
      <w:r w:rsidRPr="00DB7F92">
        <w:rPr>
          <w:lang w:eastAsia="en-GB"/>
        </w:rPr>
        <w:t>whether</w:t>
      </w:r>
      <w:r w:rsidRPr="00DB7F92">
        <w:rPr>
          <w:spacing w:val="9"/>
          <w:lang w:eastAsia="en-GB"/>
        </w:rPr>
        <w:t xml:space="preserve"> </w:t>
      </w:r>
      <w:r w:rsidRPr="00DB7F92">
        <w:rPr>
          <w:lang w:eastAsia="en-GB"/>
        </w:rPr>
        <w:t>the</w:t>
      </w:r>
      <w:r w:rsidRPr="00DB7F92">
        <w:rPr>
          <w:spacing w:val="8"/>
          <w:lang w:eastAsia="en-GB"/>
        </w:rPr>
        <w:t xml:space="preserve"> </w:t>
      </w:r>
      <w:r w:rsidRPr="00DB7F92">
        <w:rPr>
          <w:lang w:eastAsia="en-GB"/>
        </w:rPr>
        <w:t>provider</w:t>
      </w:r>
      <w:r w:rsidRPr="00DB7F92">
        <w:rPr>
          <w:spacing w:val="9"/>
          <w:lang w:eastAsia="en-GB"/>
        </w:rPr>
        <w:t xml:space="preserve"> </w:t>
      </w:r>
      <w:r w:rsidRPr="00DB7F92">
        <w:rPr>
          <w:lang w:eastAsia="en-GB"/>
        </w:rPr>
        <w:t>is</w:t>
      </w:r>
      <w:r w:rsidRPr="00DB7F92">
        <w:rPr>
          <w:spacing w:val="11"/>
          <w:lang w:eastAsia="en-GB"/>
        </w:rPr>
        <w:t xml:space="preserve"> </w:t>
      </w:r>
      <w:r w:rsidRPr="00DB7F92">
        <w:rPr>
          <w:lang w:eastAsia="en-GB"/>
        </w:rPr>
        <w:t>in</w:t>
      </w:r>
      <w:r w:rsidRPr="00DB7F92">
        <w:rPr>
          <w:spacing w:val="9"/>
          <w:lang w:eastAsia="en-GB"/>
        </w:rPr>
        <w:t xml:space="preserve"> </w:t>
      </w:r>
      <w:r w:rsidRPr="00DB7F92">
        <w:rPr>
          <w:lang w:eastAsia="en-GB"/>
        </w:rPr>
        <w:t>the</w:t>
      </w:r>
      <w:r w:rsidRPr="00DB7F92">
        <w:rPr>
          <w:spacing w:val="8"/>
          <w:lang w:eastAsia="en-GB"/>
        </w:rPr>
        <w:t xml:space="preserve"> </w:t>
      </w:r>
      <w:r w:rsidRPr="00DB7F92">
        <w:rPr>
          <w:lang w:eastAsia="en-GB"/>
        </w:rPr>
        <w:t>public</w:t>
      </w:r>
      <w:r w:rsidRPr="00DB7F92">
        <w:rPr>
          <w:spacing w:val="9"/>
          <w:lang w:eastAsia="en-GB"/>
        </w:rPr>
        <w:t xml:space="preserve"> </w:t>
      </w:r>
      <w:r w:rsidRPr="00DB7F92">
        <w:rPr>
          <w:lang w:eastAsia="en-GB"/>
        </w:rPr>
        <w:t>or</w:t>
      </w:r>
      <w:r w:rsidRPr="00DB7F92">
        <w:rPr>
          <w:spacing w:val="9"/>
          <w:lang w:eastAsia="en-GB"/>
        </w:rPr>
        <w:t xml:space="preserve"> </w:t>
      </w:r>
      <w:r w:rsidRPr="00DB7F92">
        <w:rPr>
          <w:lang w:eastAsia="en-GB"/>
        </w:rPr>
        <w:t>private</w:t>
      </w:r>
      <w:r w:rsidRPr="00DB7F92">
        <w:rPr>
          <w:spacing w:val="53"/>
          <w:w w:val="99"/>
          <w:lang w:eastAsia="en-GB"/>
        </w:rPr>
        <w:t xml:space="preserve"> </w:t>
      </w:r>
      <w:r w:rsidRPr="00DB7F92">
        <w:rPr>
          <w:lang w:eastAsia="en-GB"/>
        </w:rPr>
        <w:t>sector,</w:t>
      </w:r>
      <w:r w:rsidRPr="00DB7F92">
        <w:rPr>
          <w:spacing w:val="-5"/>
          <w:lang w:eastAsia="en-GB"/>
        </w:rPr>
        <w:t xml:space="preserve"> </w:t>
      </w:r>
      <w:r w:rsidRPr="00DB7F92">
        <w:rPr>
          <w:lang w:eastAsia="en-GB"/>
        </w:rPr>
        <w:t>or</w:t>
      </w:r>
      <w:r w:rsidRPr="00DB7F92">
        <w:rPr>
          <w:spacing w:val="-4"/>
          <w:lang w:eastAsia="en-GB"/>
        </w:rPr>
        <w:t xml:space="preserve"> </w:t>
      </w:r>
      <w:r w:rsidRPr="00DB7F92">
        <w:rPr>
          <w:lang w:eastAsia="en-GB"/>
        </w:rPr>
        <w:t>some</w:t>
      </w:r>
      <w:r w:rsidRPr="00DB7F92">
        <w:rPr>
          <w:spacing w:val="-5"/>
          <w:lang w:eastAsia="en-GB"/>
        </w:rPr>
        <w:t xml:space="preserve"> </w:t>
      </w:r>
      <w:r w:rsidRPr="00DB7F92">
        <w:rPr>
          <w:lang w:eastAsia="en-GB"/>
        </w:rPr>
        <w:t>other</w:t>
      </w:r>
      <w:r w:rsidRPr="00DB7F92">
        <w:rPr>
          <w:spacing w:val="-4"/>
          <w:lang w:eastAsia="en-GB"/>
        </w:rPr>
        <w:t xml:space="preserve"> </w:t>
      </w:r>
      <w:r w:rsidRPr="00DB7F92">
        <w:rPr>
          <w:lang w:eastAsia="en-GB"/>
        </w:rPr>
        <w:t>aspect</w:t>
      </w:r>
      <w:r w:rsidRPr="00DB7F92">
        <w:rPr>
          <w:spacing w:val="-4"/>
          <w:lang w:eastAsia="en-GB"/>
        </w:rPr>
        <w:t xml:space="preserve"> </w:t>
      </w:r>
      <w:r w:rsidRPr="00DB7F92">
        <w:rPr>
          <w:lang w:eastAsia="en-GB"/>
        </w:rPr>
        <w:t>of</w:t>
      </w:r>
      <w:r w:rsidRPr="00DB7F92">
        <w:rPr>
          <w:spacing w:val="-6"/>
          <w:lang w:eastAsia="en-GB"/>
        </w:rPr>
        <w:t xml:space="preserve"> </w:t>
      </w:r>
      <w:r w:rsidRPr="00DB7F92">
        <w:rPr>
          <w:lang w:eastAsia="en-GB"/>
        </w:rPr>
        <w:t>their</w:t>
      </w:r>
      <w:r w:rsidRPr="00DB7F92">
        <w:rPr>
          <w:spacing w:val="-4"/>
          <w:lang w:eastAsia="en-GB"/>
        </w:rPr>
        <w:t xml:space="preserve"> </w:t>
      </w:r>
      <w:r w:rsidRPr="00DB7F92">
        <w:rPr>
          <w:lang w:eastAsia="en-GB"/>
        </w:rPr>
        <w:t>status (section 13P).  CCGs must also act in accordance with this duty when they are co-commissioning under delegated authority from NHS England.</w:t>
      </w:r>
    </w:p>
    <w:p w14:paraId="5B20A82E" w14:textId="77777777" w:rsidR="00DB7F92" w:rsidRPr="00DB7F92" w:rsidRDefault="00DB7F92" w:rsidP="00DD5D2D">
      <w:pPr>
        <w:pStyle w:val="Heading3"/>
        <w:jc w:val="both"/>
        <w:rPr>
          <w:lang w:eastAsia="en-GB"/>
        </w:rPr>
      </w:pPr>
      <w:r w:rsidRPr="00DB7F92">
        <w:rPr>
          <w:lang w:eastAsia="en-GB"/>
        </w:rPr>
        <w:t>This</w:t>
      </w:r>
      <w:r w:rsidRPr="00DB7F92">
        <w:rPr>
          <w:spacing w:val="10"/>
          <w:lang w:eastAsia="en-GB"/>
        </w:rPr>
        <w:t xml:space="preserve"> </w:t>
      </w:r>
      <w:r w:rsidRPr="00DB7F92">
        <w:rPr>
          <w:lang w:eastAsia="en-GB"/>
        </w:rPr>
        <w:t>means</w:t>
      </w:r>
      <w:r w:rsidRPr="00DB7F92">
        <w:rPr>
          <w:spacing w:val="11"/>
          <w:lang w:eastAsia="en-GB"/>
        </w:rPr>
        <w:t xml:space="preserve"> </w:t>
      </w:r>
      <w:r w:rsidRPr="00DB7F92">
        <w:rPr>
          <w:lang w:eastAsia="en-GB"/>
        </w:rPr>
        <w:t>that</w:t>
      </w:r>
      <w:r w:rsidRPr="00DB7F92">
        <w:rPr>
          <w:spacing w:val="10"/>
          <w:lang w:eastAsia="en-GB"/>
        </w:rPr>
        <w:t xml:space="preserve"> </w:t>
      </w:r>
      <w:r w:rsidRPr="00DB7F92">
        <w:rPr>
          <w:lang w:eastAsia="en-GB"/>
        </w:rPr>
        <w:t>the commissioner</w:t>
      </w:r>
      <w:r w:rsidRPr="00DB7F92">
        <w:rPr>
          <w:spacing w:val="9"/>
          <w:lang w:eastAsia="en-GB"/>
        </w:rPr>
        <w:t xml:space="preserve"> </w:t>
      </w:r>
      <w:r w:rsidRPr="00DB7F92">
        <w:rPr>
          <w:lang w:eastAsia="en-GB"/>
        </w:rPr>
        <w:t>must</w:t>
      </w:r>
      <w:r w:rsidRPr="00DB7F92">
        <w:rPr>
          <w:spacing w:val="10"/>
          <w:lang w:eastAsia="en-GB"/>
        </w:rPr>
        <w:t xml:space="preserve"> </w:t>
      </w:r>
      <w:r w:rsidRPr="00DB7F92">
        <w:rPr>
          <w:lang w:eastAsia="en-GB"/>
        </w:rPr>
        <w:t>focus</w:t>
      </w:r>
      <w:r w:rsidRPr="00DB7F92">
        <w:rPr>
          <w:spacing w:val="11"/>
          <w:lang w:eastAsia="en-GB"/>
        </w:rPr>
        <w:t xml:space="preserve"> </w:t>
      </w:r>
      <w:r w:rsidRPr="00DB7F92">
        <w:rPr>
          <w:lang w:eastAsia="en-GB"/>
        </w:rPr>
        <w:t>on</w:t>
      </w:r>
      <w:r w:rsidRPr="00DB7F92">
        <w:rPr>
          <w:spacing w:val="10"/>
          <w:lang w:eastAsia="en-GB"/>
        </w:rPr>
        <w:t xml:space="preserve"> </w:t>
      </w:r>
      <w:r w:rsidRPr="00DB7F92">
        <w:rPr>
          <w:lang w:eastAsia="en-GB"/>
        </w:rPr>
        <w:t>the</w:t>
      </w:r>
      <w:r w:rsidRPr="00DB7F92">
        <w:rPr>
          <w:spacing w:val="9"/>
          <w:lang w:eastAsia="en-GB"/>
        </w:rPr>
        <w:t xml:space="preserve"> </w:t>
      </w:r>
      <w:r w:rsidRPr="00DB7F92">
        <w:rPr>
          <w:lang w:eastAsia="en-GB"/>
        </w:rPr>
        <w:t>services</w:t>
      </w:r>
      <w:r w:rsidRPr="00DB7F92">
        <w:rPr>
          <w:spacing w:val="11"/>
          <w:lang w:eastAsia="en-GB"/>
        </w:rPr>
        <w:t xml:space="preserve"> </w:t>
      </w:r>
      <w:r w:rsidRPr="00DB7F92">
        <w:rPr>
          <w:lang w:eastAsia="en-GB"/>
        </w:rPr>
        <w:t>delivered</w:t>
      </w:r>
      <w:r w:rsidRPr="00DB7F92">
        <w:rPr>
          <w:spacing w:val="9"/>
          <w:lang w:eastAsia="en-GB"/>
        </w:rPr>
        <w:t xml:space="preserve"> </w:t>
      </w:r>
      <w:r w:rsidRPr="00DB7F92">
        <w:rPr>
          <w:lang w:eastAsia="en-GB"/>
        </w:rPr>
        <w:t>by</w:t>
      </w:r>
      <w:r w:rsidRPr="00DB7F92">
        <w:rPr>
          <w:spacing w:val="10"/>
          <w:lang w:eastAsia="en-GB"/>
        </w:rPr>
        <w:t xml:space="preserve"> </w:t>
      </w:r>
      <w:r w:rsidRPr="00DB7F92">
        <w:rPr>
          <w:lang w:eastAsia="en-GB"/>
        </w:rPr>
        <w:t>an</w:t>
      </w:r>
      <w:r w:rsidRPr="00DB7F92">
        <w:rPr>
          <w:spacing w:val="57"/>
          <w:lang w:eastAsia="en-GB"/>
        </w:rPr>
        <w:t xml:space="preserve"> </w:t>
      </w:r>
      <w:r w:rsidRPr="00DB7F92">
        <w:rPr>
          <w:lang w:eastAsia="en-GB"/>
        </w:rPr>
        <w:t>organisation</w:t>
      </w:r>
      <w:r w:rsidRPr="00DB7F92">
        <w:rPr>
          <w:spacing w:val="57"/>
          <w:lang w:eastAsia="en-GB"/>
        </w:rPr>
        <w:t xml:space="preserve"> </w:t>
      </w:r>
      <w:r w:rsidRPr="00DB7F92">
        <w:rPr>
          <w:lang w:eastAsia="en-GB"/>
        </w:rPr>
        <w:t>and</w:t>
      </w:r>
      <w:r w:rsidRPr="00DB7F92">
        <w:rPr>
          <w:spacing w:val="56"/>
          <w:lang w:eastAsia="en-GB"/>
        </w:rPr>
        <w:t xml:space="preserve"> </w:t>
      </w:r>
      <w:r w:rsidRPr="00DB7F92">
        <w:rPr>
          <w:lang w:eastAsia="en-GB"/>
        </w:rPr>
        <w:t>its</w:t>
      </w:r>
      <w:r w:rsidRPr="00DB7F92">
        <w:rPr>
          <w:spacing w:val="59"/>
          <w:lang w:eastAsia="en-GB"/>
        </w:rPr>
        <w:t xml:space="preserve"> </w:t>
      </w:r>
      <w:r w:rsidRPr="00DB7F92">
        <w:rPr>
          <w:lang w:eastAsia="en-GB"/>
        </w:rPr>
        <w:t>sustainability.</w:t>
      </w:r>
      <w:r w:rsidRPr="00DB7F92">
        <w:rPr>
          <w:spacing w:val="50"/>
          <w:lang w:eastAsia="en-GB"/>
        </w:rPr>
        <w:t xml:space="preserve"> </w:t>
      </w:r>
      <w:r w:rsidRPr="00DB7F92">
        <w:rPr>
          <w:lang w:eastAsia="en-GB"/>
        </w:rPr>
        <w:t>It</w:t>
      </w:r>
      <w:r w:rsidRPr="00DB7F92">
        <w:rPr>
          <w:spacing w:val="58"/>
          <w:lang w:eastAsia="en-GB"/>
        </w:rPr>
        <w:t xml:space="preserve"> </w:t>
      </w:r>
      <w:r w:rsidRPr="00DB7F92">
        <w:rPr>
          <w:spacing w:val="-2"/>
          <w:lang w:eastAsia="en-GB"/>
        </w:rPr>
        <w:t>should</w:t>
      </w:r>
      <w:r w:rsidRPr="00DB7F92">
        <w:rPr>
          <w:spacing w:val="57"/>
          <w:lang w:eastAsia="en-GB"/>
        </w:rPr>
        <w:t xml:space="preserve"> </w:t>
      </w:r>
      <w:r w:rsidRPr="00DB7F92">
        <w:rPr>
          <w:lang w:eastAsia="en-GB"/>
        </w:rPr>
        <w:t>not</w:t>
      </w:r>
      <w:r w:rsidRPr="00DB7F92">
        <w:rPr>
          <w:spacing w:val="58"/>
          <w:lang w:eastAsia="en-GB"/>
        </w:rPr>
        <w:t xml:space="preserve"> </w:t>
      </w:r>
      <w:r w:rsidRPr="00DB7F92">
        <w:rPr>
          <w:lang w:eastAsia="en-GB"/>
        </w:rPr>
        <w:t>make</w:t>
      </w:r>
      <w:r w:rsidRPr="00DB7F92">
        <w:rPr>
          <w:spacing w:val="57"/>
          <w:lang w:eastAsia="en-GB"/>
        </w:rPr>
        <w:t xml:space="preserve"> </w:t>
      </w:r>
      <w:r w:rsidRPr="00DB7F92">
        <w:rPr>
          <w:lang w:eastAsia="en-GB"/>
        </w:rPr>
        <w:t>choices</w:t>
      </w:r>
      <w:r w:rsidRPr="00DB7F92">
        <w:rPr>
          <w:spacing w:val="58"/>
          <w:lang w:eastAsia="en-GB"/>
        </w:rPr>
        <w:t xml:space="preserve"> </w:t>
      </w:r>
      <w:r w:rsidRPr="00DB7F92">
        <w:rPr>
          <w:lang w:eastAsia="en-GB"/>
        </w:rPr>
        <w:t>about</w:t>
      </w:r>
      <w:r w:rsidRPr="00DB7F92">
        <w:rPr>
          <w:spacing w:val="59"/>
          <w:w w:val="99"/>
          <w:lang w:eastAsia="en-GB"/>
        </w:rPr>
        <w:t xml:space="preserve"> </w:t>
      </w:r>
      <w:r w:rsidRPr="00DB7F92">
        <w:rPr>
          <w:lang w:eastAsia="en-GB"/>
        </w:rPr>
        <w:t>contractors</w:t>
      </w:r>
      <w:r w:rsidRPr="00DB7F92">
        <w:rPr>
          <w:spacing w:val="56"/>
          <w:lang w:eastAsia="en-GB"/>
        </w:rPr>
        <w:t xml:space="preserve"> </w:t>
      </w:r>
      <w:r w:rsidRPr="00DB7F92">
        <w:rPr>
          <w:lang w:eastAsia="en-GB"/>
        </w:rPr>
        <w:t>based</w:t>
      </w:r>
      <w:r w:rsidRPr="00DB7F92">
        <w:rPr>
          <w:spacing w:val="56"/>
          <w:lang w:eastAsia="en-GB"/>
        </w:rPr>
        <w:t xml:space="preserve"> </w:t>
      </w:r>
      <w:r w:rsidRPr="00DB7F92">
        <w:rPr>
          <w:lang w:eastAsia="en-GB"/>
        </w:rPr>
        <w:t>solely</w:t>
      </w:r>
      <w:r w:rsidRPr="00DB7F92">
        <w:rPr>
          <w:spacing w:val="55"/>
          <w:lang w:eastAsia="en-GB"/>
        </w:rPr>
        <w:t xml:space="preserve"> </w:t>
      </w:r>
      <w:r w:rsidRPr="00DB7F92">
        <w:rPr>
          <w:lang w:eastAsia="en-GB"/>
        </w:rPr>
        <w:t>on</w:t>
      </w:r>
      <w:r w:rsidRPr="00DB7F92">
        <w:rPr>
          <w:spacing w:val="55"/>
          <w:lang w:eastAsia="en-GB"/>
        </w:rPr>
        <w:t xml:space="preserve"> </w:t>
      </w:r>
      <w:r w:rsidRPr="00DB7F92">
        <w:rPr>
          <w:lang w:eastAsia="en-GB"/>
        </w:rPr>
        <w:t>their</w:t>
      </w:r>
      <w:r w:rsidRPr="00DB7F92">
        <w:rPr>
          <w:spacing w:val="56"/>
          <w:lang w:eastAsia="en-GB"/>
        </w:rPr>
        <w:t xml:space="preserve"> </w:t>
      </w:r>
      <w:r w:rsidRPr="00DB7F92">
        <w:rPr>
          <w:lang w:eastAsia="en-GB"/>
        </w:rPr>
        <w:t>status</w:t>
      </w:r>
      <w:r w:rsidRPr="00DB7F92">
        <w:rPr>
          <w:spacing w:val="56"/>
          <w:lang w:eastAsia="en-GB"/>
        </w:rPr>
        <w:t xml:space="preserve"> </w:t>
      </w:r>
      <w:r w:rsidRPr="00DB7F92">
        <w:rPr>
          <w:lang w:eastAsia="en-GB"/>
        </w:rPr>
        <w:t>as</w:t>
      </w:r>
      <w:r w:rsidRPr="00DB7F92">
        <w:rPr>
          <w:spacing w:val="56"/>
          <w:lang w:eastAsia="en-GB"/>
        </w:rPr>
        <w:t xml:space="preserve"> </w:t>
      </w:r>
      <w:r w:rsidRPr="00DB7F92">
        <w:rPr>
          <w:lang w:eastAsia="en-GB"/>
        </w:rPr>
        <w:t>e.g.</w:t>
      </w:r>
      <w:r w:rsidRPr="00DB7F92">
        <w:rPr>
          <w:spacing w:val="55"/>
          <w:lang w:eastAsia="en-GB"/>
        </w:rPr>
        <w:t xml:space="preserve"> </w:t>
      </w:r>
      <w:r w:rsidRPr="00DB7F92">
        <w:rPr>
          <w:lang w:eastAsia="en-GB"/>
        </w:rPr>
        <w:t>company,</w:t>
      </w:r>
      <w:r w:rsidRPr="00DB7F92">
        <w:rPr>
          <w:spacing w:val="57"/>
          <w:lang w:eastAsia="en-GB"/>
        </w:rPr>
        <w:t xml:space="preserve"> </w:t>
      </w:r>
      <w:r w:rsidRPr="00DB7F92">
        <w:rPr>
          <w:lang w:eastAsia="en-GB"/>
        </w:rPr>
        <w:t>partnership,</w:t>
      </w:r>
      <w:r w:rsidRPr="00DB7F92">
        <w:rPr>
          <w:spacing w:val="66"/>
          <w:w w:val="99"/>
          <w:lang w:eastAsia="en-GB"/>
        </w:rPr>
        <w:t xml:space="preserve"> </w:t>
      </w:r>
      <w:r w:rsidRPr="00DB7F92">
        <w:rPr>
          <w:lang w:eastAsia="en-GB"/>
        </w:rPr>
        <w:t>public</w:t>
      </w:r>
      <w:r w:rsidRPr="00DB7F92">
        <w:rPr>
          <w:spacing w:val="-7"/>
          <w:lang w:eastAsia="en-GB"/>
        </w:rPr>
        <w:t xml:space="preserve"> </w:t>
      </w:r>
      <w:r w:rsidRPr="00DB7F92">
        <w:rPr>
          <w:lang w:eastAsia="en-GB"/>
        </w:rPr>
        <w:t>sector,</w:t>
      </w:r>
      <w:r w:rsidRPr="00DB7F92">
        <w:rPr>
          <w:spacing w:val="-5"/>
          <w:lang w:eastAsia="en-GB"/>
        </w:rPr>
        <w:t xml:space="preserve"> </w:t>
      </w:r>
      <w:r w:rsidRPr="00DB7F92">
        <w:rPr>
          <w:lang w:eastAsia="en-GB"/>
        </w:rPr>
        <w:t>private</w:t>
      </w:r>
      <w:r w:rsidRPr="00DB7F92">
        <w:rPr>
          <w:spacing w:val="-4"/>
          <w:lang w:eastAsia="en-GB"/>
        </w:rPr>
        <w:t xml:space="preserve"> </w:t>
      </w:r>
      <w:r w:rsidRPr="00DB7F92">
        <w:rPr>
          <w:lang w:eastAsia="en-GB"/>
        </w:rPr>
        <w:t>sector,</w:t>
      </w:r>
      <w:r w:rsidRPr="00DB7F92">
        <w:rPr>
          <w:spacing w:val="-5"/>
          <w:lang w:eastAsia="en-GB"/>
        </w:rPr>
        <w:t xml:space="preserve"> </w:t>
      </w:r>
      <w:r w:rsidRPr="00DB7F92">
        <w:rPr>
          <w:lang w:eastAsia="en-GB"/>
        </w:rPr>
        <w:t>charity</w:t>
      </w:r>
      <w:r w:rsidRPr="00DB7F92">
        <w:rPr>
          <w:spacing w:val="-4"/>
          <w:lang w:eastAsia="en-GB"/>
        </w:rPr>
        <w:t xml:space="preserve"> </w:t>
      </w:r>
      <w:r w:rsidRPr="00DB7F92">
        <w:rPr>
          <w:lang w:eastAsia="en-GB"/>
        </w:rPr>
        <w:t>or</w:t>
      </w:r>
      <w:r w:rsidRPr="00DB7F92">
        <w:rPr>
          <w:spacing w:val="-5"/>
          <w:lang w:eastAsia="en-GB"/>
        </w:rPr>
        <w:t xml:space="preserve"> </w:t>
      </w:r>
      <w:r w:rsidRPr="00DB7F92">
        <w:rPr>
          <w:lang w:eastAsia="en-GB"/>
        </w:rPr>
        <w:t>not</w:t>
      </w:r>
      <w:r w:rsidRPr="00DB7F92">
        <w:rPr>
          <w:spacing w:val="-3"/>
          <w:lang w:eastAsia="en-GB"/>
        </w:rPr>
        <w:t xml:space="preserve"> </w:t>
      </w:r>
      <w:r w:rsidRPr="00DB7F92">
        <w:rPr>
          <w:lang w:eastAsia="en-GB"/>
        </w:rPr>
        <w:t>for</w:t>
      </w:r>
      <w:r w:rsidRPr="00DB7F92">
        <w:rPr>
          <w:spacing w:val="-3"/>
          <w:lang w:eastAsia="en-GB"/>
        </w:rPr>
        <w:t xml:space="preserve"> </w:t>
      </w:r>
      <w:r w:rsidRPr="00DB7F92">
        <w:rPr>
          <w:lang w:eastAsia="en-GB"/>
        </w:rPr>
        <w:t>profit</w:t>
      </w:r>
      <w:r w:rsidRPr="00DB7F92">
        <w:rPr>
          <w:spacing w:val="-3"/>
          <w:lang w:eastAsia="en-GB"/>
        </w:rPr>
        <w:t xml:space="preserve"> </w:t>
      </w:r>
      <w:r w:rsidRPr="00DB7F92">
        <w:rPr>
          <w:lang w:eastAsia="en-GB"/>
        </w:rPr>
        <w:t>organisation.</w:t>
      </w:r>
    </w:p>
    <w:p w14:paraId="0EE0C56E" w14:textId="77777777" w:rsidR="00DB7F92" w:rsidRPr="00DB7F92" w:rsidRDefault="00DB7F92" w:rsidP="00DB7F92">
      <w:pPr>
        <w:jc w:val="both"/>
        <w:rPr>
          <w:rFonts w:eastAsia="Segoe UI Semilight" w:cs="Arial"/>
          <w:sz w:val="20"/>
          <w:szCs w:val="20"/>
        </w:rPr>
      </w:pPr>
    </w:p>
    <w:p w14:paraId="6002C2D5" w14:textId="77777777" w:rsidR="00DB7F92" w:rsidRPr="00DB7F92" w:rsidRDefault="00DB7F92" w:rsidP="00DB7F92">
      <w:pPr>
        <w:spacing w:before="9"/>
        <w:jc w:val="both"/>
        <w:rPr>
          <w:rFonts w:eastAsia="Segoe UI Semilight" w:cs="Arial"/>
          <w:sz w:val="20"/>
          <w:szCs w:val="20"/>
        </w:rPr>
      </w:pPr>
    </w:p>
    <w:p w14:paraId="64F95638" w14:textId="77777777" w:rsidR="00DB7F92" w:rsidRPr="00DB7F92" w:rsidRDefault="00DB7F92" w:rsidP="00DB7F92">
      <w:pPr>
        <w:ind w:left="1536"/>
        <w:jc w:val="both"/>
        <w:rPr>
          <w:rFonts w:cs="Arial"/>
          <w:sz w:val="20"/>
          <w:szCs w:val="20"/>
        </w:rPr>
      </w:pPr>
      <w:r w:rsidRPr="00DB7F92">
        <w:rPr>
          <w:rFonts w:eastAsia="Segoe UI Semilight" w:cs="Arial"/>
          <w:noProof/>
          <w:sz w:val="20"/>
          <w:szCs w:val="20"/>
          <w:lang w:eastAsia="en-GB"/>
        </w:rPr>
        <w:lastRenderedPageBreak/>
        <mc:AlternateContent>
          <mc:Choice Requires="wpg">
            <w:drawing>
              <wp:inline distT="0" distB="0" distL="0" distR="0" wp14:anchorId="44FC8F0D" wp14:editId="60A74C1E">
                <wp:extent cx="4860290" cy="2076450"/>
                <wp:effectExtent l="0" t="0" r="16510" b="0"/>
                <wp:docPr id="1936" name="Group 1854" descr="Example" title="Exampl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60290" cy="2076450"/>
                          <a:chOff x="0" y="0"/>
                          <a:chExt cx="7654" cy="3910"/>
                        </a:xfrm>
                      </wpg:grpSpPr>
                      <wpg:grpSp>
                        <wpg:cNvPr id="1937" name="Group 1886"/>
                        <wpg:cNvGrpSpPr>
                          <a:grpSpLocks/>
                        </wpg:cNvGrpSpPr>
                        <wpg:grpSpPr bwMode="auto">
                          <a:xfrm>
                            <a:off x="0" y="0"/>
                            <a:ext cx="7654" cy="3"/>
                            <a:chOff x="0" y="0"/>
                            <a:chExt cx="7654" cy="3"/>
                          </a:xfrm>
                        </wpg:grpSpPr>
                        <wps:wsp>
                          <wps:cNvPr id="1938" name="Freeform 1887"/>
                          <wps:cNvSpPr>
                            <a:spLocks/>
                          </wps:cNvSpPr>
                          <wps:spPr bwMode="auto">
                            <a:xfrm>
                              <a:off x="0" y="0"/>
                              <a:ext cx="7654" cy="3"/>
                            </a:xfrm>
                            <a:custGeom>
                              <a:avLst/>
                              <a:gdLst>
                                <a:gd name="T0" fmla="*/ 0 w 7654"/>
                                <a:gd name="T1" fmla="*/ 2 h 3"/>
                                <a:gd name="T2" fmla="*/ 7654 w 7654"/>
                                <a:gd name="T3" fmla="*/ 2 h 3"/>
                                <a:gd name="T4" fmla="*/ 7654 w 7654"/>
                                <a:gd name="T5" fmla="*/ 0 h 3"/>
                                <a:gd name="T6" fmla="*/ 0 w 7654"/>
                                <a:gd name="T7" fmla="*/ 0 h 3"/>
                                <a:gd name="T8" fmla="*/ 0 w 7654"/>
                                <a:gd name="T9" fmla="*/ 2 h 3"/>
                              </a:gdLst>
                              <a:ahLst/>
                              <a:cxnLst>
                                <a:cxn ang="0">
                                  <a:pos x="T0" y="T1"/>
                                </a:cxn>
                                <a:cxn ang="0">
                                  <a:pos x="T2" y="T3"/>
                                </a:cxn>
                                <a:cxn ang="0">
                                  <a:pos x="T4" y="T5"/>
                                </a:cxn>
                                <a:cxn ang="0">
                                  <a:pos x="T6" y="T7"/>
                                </a:cxn>
                                <a:cxn ang="0">
                                  <a:pos x="T8" y="T9"/>
                                </a:cxn>
                              </a:cxnLst>
                              <a:rect l="0" t="0" r="r" b="b"/>
                              <a:pathLst>
                                <a:path w="7654" h="3">
                                  <a:moveTo>
                                    <a:pt x="0" y="2"/>
                                  </a:moveTo>
                                  <a:lnTo>
                                    <a:pt x="7654" y="2"/>
                                  </a:lnTo>
                                  <a:lnTo>
                                    <a:pt x="7654" y="0"/>
                                  </a:lnTo>
                                  <a:lnTo>
                                    <a:pt x="0" y="0"/>
                                  </a:lnTo>
                                  <a:lnTo>
                                    <a:pt x="0" y="2"/>
                                  </a:lnTo>
                                  <a:close/>
                                </a:path>
                              </a:pathLst>
                            </a:custGeom>
                            <a:solidFill>
                              <a:srgbClr val="1C6C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39" name="Group 1884"/>
                        <wpg:cNvGrpSpPr>
                          <a:grpSpLocks/>
                        </wpg:cNvGrpSpPr>
                        <wpg:grpSpPr bwMode="auto">
                          <a:xfrm>
                            <a:off x="0" y="230"/>
                            <a:ext cx="7654" cy="3449"/>
                            <a:chOff x="0" y="230"/>
                            <a:chExt cx="7654" cy="3449"/>
                          </a:xfrm>
                        </wpg:grpSpPr>
                        <wps:wsp>
                          <wps:cNvPr id="1940" name="Freeform 1885"/>
                          <wps:cNvSpPr>
                            <a:spLocks/>
                          </wps:cNvSpPr>
                          <wps:spPr bwMode="auto">
                            <a:xfrm>
                              <a:off x="0" y="230"/>
                              <a:ext cx="7654" cy="3449"/>
                            </a:xfrm>
                            <a:custGeom>
                              <a:avLst/>
                              <a:gdLst>
                                <a:gd name="T0" fmla="*/ 0 w 7654"/>
                                <a:gd name="T1" fmla="+- 0 3679 230"/>
                                <a:gd name="T2" fmla="*/ 3679 h 3449"/>
                                <a:gd name="T3" fmla="*/ 7654 w 7654"/>
                                <a:gd name="T4" fmla="+- 0 3679 230"/>
                                <a:gd name="T5" fmla="*/ 3679 h 3449"/>
                                <a:gd name="T6" fmla="*/ 7654 w 7654"/>
                                <a:gd name="T7" fmla="+- 0 230 230"/>
                                <a:gd name="T8" fmla="*/ 230 h 3449"/>
                                <a:gd name="T9" fmla="*/ 0 w 7654"/>
                                <a:gd name="T10" fmla="+- 0 230 230"/>
                                <a:gd name="T11" fmla="*/ 230 h 3449"/>
                                <a:gd name="T12" fmla="*/ 0 w 7654"/>
                                <a:gd name="T13" fmla="+- 0 3679 230"/>
                                <a:gd name="T14" fmla="*/ 3679 h 3449"/>
                              </a:gdLst>
                              <a:ahLst/>
                              <a:cxnLst>
                                <a:cxn ang="0">
                                  <a:pos x="T0" y="T2"/>
                                </a:cxn>
                                <a:cxn ang="0">
                                  <a:pos x="T3" y="T5"/>
                                </a:cxn>
                                <a:cxn ang="0">
                                  <a:pos x="T6" y="T8"/>
                                </a:cxn>
                                <a:cxn ang="0">
                                  <a:pos x="T9" y="T11"/>
                                </a:cxn>
                                <a:cxn ang="0">
                                  <a:pos x="T12" y="T14"/>
                                </a:cxn>
                              </a:cxnLst>
                              <a:rect l="0" t="0" r="r" b="b"/>
                              <a:pathLst>
                                <a:path w="7654" h="3449">
                                  <a:moveTo>
                                    <a:pt x="0" y="3449"/>
                                  </a:moveTo>
                                  <a:lnTo>
                                    <a:pt x="7654" y="3449"/>
                                  </a:lnTo>
                                  <a:lnTo>
                                    <a:pt x="7654" y="0"/>
                                  </a:lnTo>
                                  <a:lnTo>
                                    <a:pt x="0" y="0"/>
                                  </a:lnTo>
                                  <a:lnTo>
                                    <a:pt x="0" y="3449"/>
                                  </a:lnTo>
                                  <a:close/>
                                </a:path>
                              </a:pathLst>
                            </a:custGeom>
                            <a:solidFill>
                              <a:srgbClr val="1C6C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1" name="Group 1882"/>
                        <wpg:cNvGrpSpPr>
                          <a:grpSpLocks/>
                        </wpg:cNvGrpSpPr>
                        <wpg:grpSpPr bwMode="auto">
                          <a:xfrm>
                            <a:off x="226" y="228"/>
                            <a:ext cx="7200" cy="260"/>
                            <a:chOff x="226" y="228"/>
                            <a:chExt cx="7200" cy="260"/>
                          </a:xfrm>
                        </wpg:grpSpPr>
                        <wps:wsp>
                          <wps:cNvPr id="1942" name="Freeform 1883"/>
                          <wps:cNvSpPr>
                            <a:spLocks/>
                          </wps:cNvSpPr>
                          <wps:spPr bwMode="auto">
                            <a:xfrm>
                              <a:off x="226" y="228"/>
                              <a:ext cx="7200" cy="260"/>
                            </a:xfrm>
                            <a:custGeom>
                              <a:avLst/>
                              <a:gdLst>
                                <a:gd name="T0" fmla="+- 0 226 226"/>
                                <a:gd name="T1" fmla="*/ T0 w 7200"/>
                                <a:gd name="T2" fmla="+- 0 487 228"/>
                                <a:gd name="T3" fmla="*/ 487 h 260"/>
                                <a:gd name="T4" fmla="+- 0 7426 226"/>
                                <a:gd name="T5" fmla="*/ T4 w 7200"/>
                                <a:gd name="T6" fmla="+- 0 487 228"/>
                                <a:gd name="T7" fmla="*/ 487 h 260"/>
                                <a:gd name="T8" fmla="+- 0 7426 226"/>
                                <a:gd name="T9" fmla="*/ T8 w 7200"/>
                                <a:gd name="T10" fmla="+- 0 228 228"/>
                                <a:gd name="T11" fmla="*/ 228 h 260"/>
                                <a:gd name="T12" fmla="+- 0 226 226"/>
                                <a:gd name="T13" fmla="*/ T12 w 7200"/>
                                <a:gd name="T14" fmla="+- 0 228 228"/>
                                <a:gd name="T15" fmla="*/ 228 h 260"/>
                                <a:gd name="T16" fmla="+- 0 226 226"/>
                                <a:gd name="T17" fmla="*/ T16 w 7200"/>
                                <a:gd name="T18" fmla="+- 0 487 228"/>
                                <a:gd name="T19" fmla="*/ 487 h 260"/>
                              </a:gdLst>
                              <a:ahLst/>
                              <a:cxnLst>
                                <a:cxn ang="0">
                                  <a:pos x="T1" y="T3"/>
                                </a:cxn>
                                <a:cxn ang="0">
                                  <a:pos x="T5" y="T7"/>
                                </a:cxn>
                                <a:cxn ang="0">
                                  <a:pos x="T9" y="T11"/>
                                </a:cxn>
                                <a:cxn ang="0">
                                  <a:pos x="T13" y="T15"/>
                                </a:cxn>
                                <a:cxn ang="0">
                                  <a:pos x="T17" y="T19"/>
                                </a:cxn>
                              </a:cxnLst>
                              <a:rect l="0" t="0" r="r" b="b"/>
                              <a:pathLst>
                                <a:path w="7200" h="260">
                                  <a:moveTo>
                                    <a:pt x="0" y="259"/>
                                  </a:moveTo>
                                  <a:lnTo>
                                    <a:pt x="7200" y="259"/>
                                  </a:lnTo>
                                  <a:lnTo>
                                    <a:pt x="7200" y="0"/>
                                  </a:lnTo>
                                  <a:lnTo>
                                    <a:pt x="0" y="0"/>
                                  </a:lnTo>
                                  <a:lnTo>
                                    <a:pt x="0" y="259"/>
                                  </a:lnTo>
                                  <a:close/>
                                </a:path>
                              </a:pathLst>
                            </a:custGeom>
                            <a:solidFill>
                              <a:srgbClr val="1C6C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3" name="Group 1880"/>
                        <wpg:cNvGrpSpPr>
                          <a:grpSpLocks/>
                        </wpg:cNvGrpSpPr>
                        <wpg:grpSpPr bwMode="auto">
                          <a:xfrm>
                            <a:off x="226" y="487"/>
                            <a:ext cx="7200" cy="320"/>
                            <a:chOff x="226" y="487"/>
                            <a:chExt cx="7200" cy="320"/>
                          </a:xfrm>
                        </wpg:grpSpPr>
                        <wps:wsp>
                          <wps:cNvPr id="1944" name="Freeform 1881"/>
                          <wps:cNvSpPr>
                            <a:spLocks/>
                          </wps:cNvSpPr>
                          <wps:spPr bwMode="auto">
                            <a:xfrm>
                              <a:off x="226" y="487"/>
                              <a:ext cx="7200" cy="320"/>
                            </a:xfrm>
                            <a:custGeom>
                              <a:avLst/>
                              <a:gdLst>
                                <a:gd name="T0" fmla="+- 0 226 226"/>
                                <a:gd name="T1" fmla="*/ T0 w 7200"/>
                                <a:gd name="T2" fmla="+- 0 806 487"/>
                                <a:gd name="T3" fmla="*/ 806 h 320"/>
                                <a:gd name="T4" fmla="+- 0 7426 226"/>
                                <a:gd name="T5" fmla="*/ T4 w 7200"/>
                                <a:gd name="T6" fmla="+- 0 806 487"/>
                                <a:gd name="T7" fmla="*/ 806 h 320"/>
                                <a:gd name="T8" fmla="+- 0 7426 226"/>
                                <a:gd name="T9" fmla="*/ T8 w 7200"/>
                                <a:gd name="T10" fmla="+- 0 487 487"/>
                                <a:gd name="T11" fmla="*/ 487 h 320"/>
                                <a:gd name="T12" fmla="+- 0 226 226"/>
                                <a:gd name="T13" fmla="*/ T12 w 7200"/>
                                <a:gd name="T14" fmla="+- 0 487 487"/>
                                <a:gd name="T15" fmla="*/ 487 h 320"/>
                                <a:gd name="T16" fmla="+- 0 226 226"/>
                                <a:gd name="T17" fmla="*/ T16 w 7200"/>
                                <a:gd name="T18" fmla="+- 0 806 487"/>
                                <a:gd name="T19" fmla="*/ 806 h 320"/>
                              </a:gdLst>
                              <a:ahLst/>
                              <a:cxnLst>
                                <a:cxn ang="0">
                                  <a:pos x="T1" y="T3"/>
                                </a:cxn>
                                <a:cxn ang="0">
                                  <a:pos x="T5" y="T7"/>
                                </a:cxn>
                                <a:cxn ang="0">
                                  <a:pos x="T9" y="T11"/>
                                </a:cxn>
                                <a:cxn ang="0">
                                  <a:pos x="T13" y="T15"/>
                                </a:cxn>
                                <a:cxn ang="0">
                                  <a:pos x="T17" y="T19"/>
                                </a:cxn>
                              </a:cxnLst>
                              <a:rect l="0" t="0" r="r" b="b"/>
                              <a:pathLst>
                                <a:path w="7200" h="320">
                                  <a:moveTo>
                                    <a:pt x="0" y="319"/>
                                  </a:moveTo>
                                  <a:lnTo>
                                    <a:pt x="7200" y="319"/>
                                  </a:lnTo>
                                  <a:lnTo>
                                    <a:pt x="7200" y="0"/>
                                  </a:lnTo>
                                  <a:lnTo>
                                    <a:pt x="0" y="0"/>
                                  </a:lnTo>
                                  <a:lnTo>
                                    <a:pt x="0" y="319"/>
                                  </a:lnTo>
                                  <a:close/>
                                </a:path>
                              </a:pathLst>
                            </a:custGeom>
                            <a:solidFill>
                              <a:srgbClr val="1C6C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5" name="Group 1878"/>
                        <wpg:cNvGrpSpPr>
                          <a:grpSpLocks/>
                        </wpg:cNvGrpSpPr>
                        <wpg:grpSpPr bwMode="auto">
                          <a:xfrm>
                            <a:off x="226" y="806"/>
                            <a:ext cx="7200" cy="320"/>
                            <a:chOff x="226" y="806"/>
                            <a:chExt cx="7200" cy="320"/>
                          </a:xfrm>
                        </wpg:grpSpPr>
                        <wps:wsp>
                          <wps:cNvPr id="1946" name="Freeform 1879"/>
                          <wps:cNvSpPr>
                            <a:spLocks/>
                          </wps:cNvSpPr>
                          <wps:spPr bwMode="auto">
                            <a:xfrm>
                              <a:off x="226" y="806"/>
                              <a:ext cx="7200" cy="320"/>
                            </a:xfrm>
                            <a:custGeom>
                              <a:avLst/>
                              <a:gdLst>
                                <a:gd name="T0" fmla="+- 0 226 226"/>
                                <a:gd name="T1" fmla="*/ T0 w 7200"/>
                                <a:gd name="T2" fmla="+- 0 1126 806"/>
                                <a:gd name="T3" fmla="*/ 1126 h 320"/>
                                <a:gd name="T4" fmla="+- 0 7426 226"/>
                                <a:gd name="T5" fmla="*/ T4 w 7200"/>
                                <a:gd name="T6" fmla="+- 0 1126 806"/>
                                <a:gd name="T7" fmla="*/ 1126 h 320"/>
                                <a:gd name="T8" fmla="+- 0 7426 226"/>
                                <a:gd name="T9" fmla="*/ T8 w 7200"/>
                                <a:gd name="T10" fmla="+- 0 806 806"/>
                                <a:gd name="T11" fmla="*/ 806 h 320"/>
                                <a:gd name="T12" fmla="+- 0 226 226"/>
                                <a:gd name="T13" fmla="*/ T12 w 7200"/>
                                <a:gd name="T14" fmla="+- 0 806 806"/>
                                <a:gd name="T15" fmla="*/ 806 h 320"/>
                                <a:gd name="T16" fmla="+- 0 226 226"/>
                                <a:gd name="T17" fmla="*/ T16 w 7200"/>
                                <a:gd name="T18" fmla="+- 0 1126 806"/>
                                <a:gd name="T19" fmla="*/ 1126 h 320"/>
                              </a:gdLst>
                              <a:ahLst/>
                              <a:cxnLst>
                                <a:cxn ang="0">
                                  <a:pos x="T1" y="T3"/>
                                </a:cxn>
                                <a:cxn ang="0">
                                  <a:pos x="T5" y="T7"/>
                                </a:cxn>
                                <a:cxn ang="0">
                                  <a:pos x="T9" y="T11"/>
                                </a:cxn>
                                <a:cxn ang="0">
                                  <a:pos x="T13" y="T15"/>
                                </a:cxn>
                                <a:cxn ang="0">
                                  <a:pos x="T17" y="T19"/>
                                </a:cxn>
                              </a:cxnLst>
                              <a:rect l="0" t="0" r="r" b="b"/>
                              <a:pathLst>
                                <a:path w="7200" h="320">
                                  <a:moveTo>
                                    <a:pt x="0" y="320"/>
                                  </a:moveTo>
                                  <a:lnTo>
                                    <a:pt x="7200" y="320"/>
                                  </a:lnTo>
                                  <a:lnTo>
                                    <a:pt x="7200" y="0"/>
                                  </a:lnTo>
                                  <a:lnTo>
                                    <a:pt x="0" y="0"/>
                                  </a:lnTo>
                                  <a:lnTo>
                                    <a:pt x="0" y="320"/>
                                  </a:lnTo>
                                  <a:close/>
                                </a:path>
                              </a:pathLst>
                            </a:custGeom>
                            <a:solidFill>
                              <a:srgbClr val="1C6C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7" name="Group 1876"/>
                        <wpg:cNvGrpSpPr>
                          <a:grpSpLocks/>
                        </wpg:cNvGrpSpPr>
                        <wpg:grpSpPr bwMode="auto">
                          <a:xfrm>
                            <a:off x="226" y="1126"/>
                            <a:ext cx="7200" cy="320"/>
                            <a:chOff x="226" y="1126"/>
                            <a:chExt cx="7200" cy="320"/>
                          </a:xfrm>
                        </wpg:grpSpPr>
                        <wps:wsp>
                          <wps:cNvPr id="1948" name="Freeform 1877"/>
                          <wps:cNvSpPr>
                            <a:spLocks/>
                          </wps:cNvSpPr>
                          <wps:spPr bwMode="auto">
                            <a:xfrm>
                              <a:off x="226" y="1126"/>
                              <a:ext cx="7200" cy="320"/>
                            </a:xfrm>
                            <a:custGeom>
                              <a:avLst/>
                              <a:gdLst>
                                <a:gd name="T0" fmla="+- 0 226 226"/>
                                <a:gd name="T1" fmla="*/ T0 w 7200"/>
                                <a:gd name="T2" fmla="+- 0 1445 1126"/>
                                <a:gd name="T3" fmla="*/ 1445 h 320"/>
                                <a:gd name="T4" fmla="+- 0 7426 226"/>
                                <a:gd name="T5" fmla="*/ T4 w 7200"/>
                                <a:gd name="T6" fmla="+- 0 1445 1126"/>
                                <a:gd name="T7" fmla="*/ 1445 h 320"/>
                                <a:gd name="T8" fmla="+- 0 7426 226"/>
                                <a:gd name="T9" fmla="*/ T8 w 7200"/>
                                <a:gd name="T10" fmla="+- 0 1126 1126"/>
                                <a:gd name="T11" fmla="*/ 1126 h 320"/>
                                <a:gd name="T12" fmla="+- 0 226 226"/>
                                <a:gd name="T13" fmla="*/ T12 w 7200"/>
                                <a:gd name="T14" fmla="+- 0 1126 1126"/>
                                <a:gd name="T15" fmla="*/ 1126 h 320"/>
                                <a:gd name="T16" fmla="+- 0 226 226"/>
                                <a:gd name="T17" fmla="*/ T16 w 7200"/>
                                <a:gd name="T18" fmla="+- 0 1445 1126"/>
                                <a:gd name="T19" fmla="*/ 1445 h 320"/>
                              </a:gdLst>
                              <a:ahLst/>
                              <a:cxnLst>
                                <a:cxn ang="0">
                                  <a:pos x="T1" y="T3"/>
                                </a:cxn>
                                <a:cxn ang="0">
                                  <a:pos x="T5" y="T7"/>
                                </a:cxn>
                                <a:cxn ang="0">
                                  <a:pos x="T9" y="T11"/>
                                </a:cxn>
                                <a:cxn ang="0">
                                  <a:pos x="T13" y="T15"/>
                                </a:cxn>
                                <a:cxn ang="0">
                                  <a:pos x="T17" y="T19"/>
                                </a:cxn>
                              </a:cxnLst>
                              <a:rect l="0" t="0" r="r" b="b"/>
                              <a:pathLst>
                                <a:path w="7200" h="320">
                                  <a:moveTo>
                                    <a:pt x="0" y="319"/>
                                  </a:moveTo>
                                  <a:lnTo>
                                    <a:pt x="7200" y="319"/>
                                  </a:lnTo>
                                  <a:lnTo>
                                    <a:pt x="7200" y="0"/>
                                  </a:lnTo>
                                  <a:lnTo>
                                    <a:pt x="0" y="0"/>
                                  </a:lnTo>
                                  <a:lnTo>
                                    <a:pt x="0" y="319"/>
                                  </a:lnTo>
                                  <a:close/>
                                </a:path>
                              </a:pathLst>
                            </a:custGeom>
                            <a:solidFill>
                              <a:srgbClr val="1C6C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9" name="Group 1874"/>
                        <wpg:cNvGrpSpPr>
                          <a:grpSpLocks/>
                        </wpg:cNvGrpSpPr>
                        <wpg:grpSpPr bwMode="auto">
                          <a:xfrm>
                            <a:off x="226" y="1445"/>
                            <a:ext cx="7200" cy="320"/>
                            <a:chOff x="226" y="1445"/>
                            <a:chExt cx="7200" cy="320"/>
                          </a:xfrm>
                        </wpg:grpSpPr>
                        <wps:wsp>
                          <wps:cNvPr id="1950" name="Freeform 1875"/>
                          <wps:cNvSpPr>
                            <a:spLocks/>
                          </wps:cNvSpPr>
                          <wps:spPr bwMode="auto">
                            <a:xfrm>
                              <a:off x="226" y="1445"/>
                              <a:ext cx="7200" cy="320"/>
                            </a:xfrm>
                            <a:custGeom>
                              <a:avLst/>
                              <a:gdLst>
                                <a:gd name="T0" fmla="+- 0 226 226"/>
                                <a:gd name="T1" fmla="*/ T0 w 7200"/>
                                <a:gd name="T2" fmla="+- 0 1764 1445"/>
                                <a:gd name="T3" fmla="*/ 1764 h 320"/>
                                <a:gd name="T4" fmla="+- 0 7426 226"/>
                                <a:gd name="T5" fmla="*/ T4 w 7200"/>
                                <a:gd name="T6" fmla="+- 0 1764 1445"/>
                                <a:gd name="T7" fmla="*/ 1764 h 320"/>
                                <a:gd name="T8" fmla="+- 0 7426 226"/>
                                <a:gd name="T9" fmla="*/ T8 w 7200"/>
                                <a:gd name="T10" fmla="+- 0 1445 1445"/>
                                <a:gd name="T11" fmla="*/ 1445 h 320"/>
                                <a:gd name="T12" fmla="+- 0 226 226"/>
                                <a:gd name="T13" fmla="*/ T12 w 7200"/>
                                <a:gd name="T14" fmla="+- 0 1445 1445"/>
                                <a:gd name="T15" fmla="*/ 1445 h 320"/>
                                <a:gd name="T16" fmla="+- 0 226 226"/>
                                <a:gd name="T17" fmla="*/ T16 w 7200"/>
                                <a:gd name="T18" fmla="+- 0 1764 1445"/>
                                <a:gd name="T19" fmla="*/ 1764 h 320"/>
                              </a:gdLst>
                              <a:ahLst/>
                              <a:cxnLst>
                                <a:cxn ang="0">
                                  <a:pos x="T1" y="T3"/>
                                </a:cxn>
                                <a:cxn ang="0">
                                  <a:pos x="T5" y="T7"/>
                                </a:cxn>
                                <a:cxn ang="0">
                                  <a:pos x="T9" y="T11"/>
                                </a:cxn>
                                <a:cxn ang="0">
                                  <a:pos x="T13" y="T15"/>
                                </a:cxn>
                                <a:cxn ang="0">
                                  <a:pos x="T17" y="T19"/>
                                </a:cxn>
                              </a:cxnLst>
                              <a:rect l="0" t="0" r="r" b="b"/>
                              <a:pathLst>
                                <a:path w="7200" h="320">
                                  <a:moveTo>
                                    <a:pt x="0" y="319"/>
                                  </a:moveTo>
                                  <a:lnTo>
                                    <a:pt x="7200" y="319"/>
                                  </a:lnTo>
                                  <a:lnTo>
                                    <a:pt x="7200" y="0"/>
                                  </a:lnTo>
                                  <a:lnTo>
                                    <a:pt x="0" y="0"/>
                                  </a:lnTo>
                                  <a:lnTo>
                                    <a:pt x="0" y="319"/>
                                  </a:lnTo>
                                  <a:close/>
                                </a:path>
                              </a:pathLst>
                            </a:custGeom>
                            <a:solidFill>
                              <a:srgbClr val="1C6C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1" name="Group 1872"/>
                        <wpg:cNvGrpSpPr>
                          <a:grpSpLocks/>
                        </wpg:cNvGrpSpPr>
                        <wpg:grpSpPr bwMode="auto">
                          <a:xfrm>
                            <a:off x="226" y="1764"/>
                            <a:ext cx="7200" cy="322"/>
                            <a:chOff x="226" y="1764"/>
                            <a:chExt cx="7200" cy="322"/>
                          </a:xfrm>
                        </wpg:grpSpPr>
                        <wps:wsp>
                          <wps:cNvPr id="1952" name="Freeform 1873"/>
                          <wps:cNvSpPr>
                            <a:spLocks/>
                          </wps:cNvSpPr>
                          <wps:spPr bwMode="auto">
                            <a:xfrm>
                              <a:off x="226" y="1764"/>
                              <a:ext cx="7200" cy="322"/>
                            </a:xfrm>
                            <a:custGeom>
                              <a:avLst/>
                              <a:gdLst>
                                <a:gd name="T0" fmla="+- 0 226 226"/>
                                <a:gd name="T1" fmla="*/ T0 w 7200"/>
                                <a:gd name="T2" fmla="+- 0 2086 1764"/>
                                <a:gd name="T3" fmla="*/ 2086 h 322"/>
                                <a:gd name="T4" fmla="+- 0 7426 226"/>
                                <a:gd name="T5" fmla="*/ T4 w 7200"/>
                                <a:gd name="T6" fmla="+- 0 2086 1764"/>
                                <a:gd name="T7" fmla="*/ 2086 h 322"/>
                                <a:gd name="T8" fmla="+- 0 7426 226"/>
                                <a:gd name="T9" fmla="*/ T8 w 7200"/>
                                <a:gd name="T10" fmla="+- 0 1764 1764"/>
                                <a:gd name="T11" fmla="*/ 1764 h 322"/>
                                <a:gd name="T12" fmla="+- 0 226 226"/>
                                <a:gd name="T13" fmla="*/ T12 w 7200"/>
                                <a:gd name="T14" fmla="+- 0 1764 1764"/>
                                <a:gd name="T15" fmla="*/ 1764 h 322"/>
                                <a:gd name="T16" fmla="+- 0 226 226"/>
                                <a:gd name="T17" fmla="*/ T16 w 7200"/>
                                <a:gd name="T18" fmla="+- 0 2086 1764"/>
                                <a:gd name="T19" fmla="*/ 2086 h 322"/>
                              </a:gdLst>
                              <a:ahLst/>
                              <a:cxnLst>
                                <a:cxn ang="0">
                                  <a:pos x="T1" y="T3"/>
                                </a:cxn>
                                <a:cxn ang="0">
                                  <a:pos x="T5" y="T7"/>
                                </a:cxn>
                                <a:cxn ang="0">
                                  <a:pos x="T9" y="T11"/>
                                </a:cxn>
                                <a:cxn ang="0">
                                  <a:pos x="T13" y="T15"/>
                                </a:cxn>
                                <a:cxn ang="0">
                                  <a:pos x="T17" y="T19"/>
                                </a:cxn>
                              </a:cxnLst>
                              <a:rect l="0" t="0" r="r" b="b"/>
                              <a:pathLst>
                                <a:path w="7200" h="322">
                                  <a:moveTo>
                                    <a:pt x="0" y="322"/>
                                  </a:moveTo>
                                  <a:lnTo>
                                    <a:pt x="7200" y="322"/>
                                  </a:lnTo>
                                  <a:lnTo>
                                    <a:pt x="7200" y="0"/>
                                  </a:lnTo>
                                  <a:lnTo>
                                    <a:pt x="0" y="0"/>
                                  </a:lnTo>
                                  <a:lnTo>
                                    <a:pt x="0" y="322"/>
                                  </a:lnTo>
                                  <a:close/>
                                </a:path>
                              </a:pathLst>
                            </a:custGeom>
                            <a:solidFill>
                              <a:srgbClr val="1C6C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3" name="Group 1870"/>
                        <wpg:cNvGrpSpPr>
                          <a:grpSpLocks/>
                        </wpg:cNvGrpSpPr>
                        <wpg:grpSpPr bwMode="auto">
                          <a:xfrm>
                            <a:off x="226" y="2086"/>
                            <a:ext cx="7200" cy="320"/>
                            <a:chOff x="226" y="2086"/>
                            <a:chExt cx="7200" cy="320"/>
                          </a:xfrm>
                        </wpg:grpSpPr>
                        <wps:wsp>
                          <wps:cNvPr id="1954" name="Freeform 1871"/>
                          <wps:cNvSpPr>
                            <a:spLocks/>
                          </wps:cNvSpPr>
                          <wps:spPr bwMode="auto">
                            <a:xfrm>
                              <a:off x="226" y="2086"/>
                              <a:ext cx="7200" cy="320"/>
                            </a:xfrm>
                            <a:custGeom>
                              <a:avLst/>
                              <a:gdLst>
                                <a:gd name="T0" fmla="+- 0 226 226"/>
                                <a:gd name="T1" fmla="*/ T0 w 7200"/>
                                <a:gd name="T2" fmla="+- 0 2405 2086"/>
                                <a:gd name="T3" fmla="*/ 2405 h 320"/>
                                <a:gd name="T4" fmla="+- 0 7426 226"/>
                                <a:gd name="T5" fmla="*/ T4 w 7200"/>
                                <a:gd name="T6" fmla="+- 0 2405 2086"/>
                                <a:gd name="T7" fmla="*/ 2405 h 320"/>
                                <a:gd name="T8" fmla="+- 0 7426 226"/>
                                <a:gd name="T9" fmla="*/ T8 w 7200"/>
                                <a:gd name="T10" fmla="+- 0 2086 2086"/>
                                <a:gd name="T11" fmla="*/ 2086 h 320"/>
                                <a:gd name="T12" fmla="+- 0 226 226"/>
                                <a:gd name="T13" fmla="*/ T12 w 7200"/>
                                <a:gd name="T14" fmla="+- 0 2086 2086"/>
                                <a:gd name="T15" fmla="*/ 2086 h 320"/>
                                <a:gd name="T16" fmla="+- 0 226 226"/>
                                <a:gd name="T17" fmla="*/ T16 w 7200"/>
                                <a:gd name="T18" fmla="+- 0 2405 2086"/>
                                <a:gd name="T19" fmla="*/ 2405 h 320"/>
                              </a:gdLst>
                              <a:ahLst/>
                              <a:cxnLst>
                                <a:cxn ang="0">
                                  <a:pos x="T1" y="T3"/>
                                </a:cxn>
                                <a:cxn ang="0">
                                  <a:pos x="T5" y="T7"/>
                                </a:cxn>
                                <a:cxn ang="0">
                                  <a:pos x="T9" y="T11"/>
                                </a:cxn>
                                <a:cxn ang="0">
                                  <a:pos x="T13" y="T15"/>
                                </a:cxn>
                                <a:cxn ang="0">
                                  <a:pos x="T17" y="T19"/>
                                </a:cxn>
                              </a:cxnLst>
                              <a:rect l="0" t="0" r="r" b="b"/>
                              <a:pathLst>
                                <a:path w="7200" h="320">
                                  <a:moveTo>
                                    <a:pt x="0" y="319"/>
                                  </a:moveTo>
                                  <a:lnTo>
                                    <a:pt x="7200" y="319"/>
                                  </a:lnTo>
                                  <a:lnTo>
                                    <a:pt x="7200" y="0"/>
                                  </a:lnTo>
                                  <a:lnTo>
                                    <a:pt x="0" y="0"/>
                                  </a:lnTo>
                                  <a:lnTo>
                                    <a:pt x="0" y="319"/>
                                  </a:lnTo>
                                  <a:close/>
                                </a:path>
                              </a:pathLst>
                            </a:custGeom>
                            <a:solidFill>
                              <a:srgbClr val="1C6C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5" name="Group 1868"/>
                        <wpg:cNvGrpSpPr>
                          <a:grpSpLocks/>
                        </wpg:cNvGrpSpPr>
                        <wpg:grpSpPr bwMode="auto">
                          <a:xfrm>
                            <a:off x="226" y="2405"/>
                            <a:ext cx="7200" cy="320"/>
                            <a:chOff x="226" y="2405"/>
                            <a:chExt cx="7200" cy="320"/>
                          </a:xfrm>
                        </wpg:grpSpPr>
                        <wps:wsp>
                          <wps:cNvPr id="1956" name="Freeform 1869"/>
                          <wps:cNvSpPr>
                            <a:spLocks/>
                          </wps:cNvSpPr>
                          <wps:spPr bwMode="auto">
                            <a:xfrm>
                              <a:off x="226" y="2405"/>
                              <a:ext cx="7200" cy="320"/>
                            </a:xfrm>
                            <a:custGeom>
                              <a:avLst/>
                              <a:gdLst>
                                <a:gd name="T0" fmla="+- 0 226 226"/>
                                <a:gd name="T1" fmla="*/ T0 w 7200"/>
                                <a:gd name="T2" fmla="+- 0 2724 2405"/>
                                <a:gd name="T3" fmla="*/ 2724 h 320"/>
                                <a:gd name="T4" fmla="+- 0 7426 226"/>
                                <a:gd name="T5" fmla="*/ T4 w 7200"/>
                                <a:gd name="T6" fmla="+- 0 2724 2405"/>
                                <a:gd name="T7" fmla="*/ 2724 h 320"/>
                                <a:gd name="T8" fmla="+- 0 7426 226"/>
                                <a:gd name="T9" fmla="*/ T8 w 7200"/>
                                <a:gd name="T10" fmla="+- 0 2405 2405"/>
                                <a:gd name="T11" fmla="*/ 2405 h 320"/>
                                <a:gd name="T12" fmla="+- 0 226 226"/>
                                <a:gd name="T13" fmla="*/ T12 w 7200"/>
                                <a:gd name="T14" fmla="+- 0 2405 2405"/>
                                <a:gd name="T15" fmla="*/ 2405 h 320"/>
                                <a:gd name="T16" fmla="+- 0 226 226"/>
                                <a:gd name="T17" fmla="*/ T16 w 7200"/>
                                <a:gd name="T18" fmla="+- 0 2724 2405"/>
                                <a:gd name="T19" fmla="*/ 2724 h 320"/>
                              </a:gdLst>
                              <a:ahLst/>
                              <a:cxnLst>
                                <a:cxn ang="0">
                                  <a:pos x="T1" y="T3"/>
                                </a:cxn>
                                <a:cxn ang="0">
                                  <a:pos x="T5" y="T7"/>
                                </a:cxn>
                                <a:cxn ang="0">
                                  <a:pos x="T9" y="T11"/>
                                </a:cxn>
                                <a:cxn ang="0">
                                  <a:pos x="T13" y="T15"/>
                                </a:cxn>
                                <a:cxn ang="0">
                                  <a:pos x="T17" y="T19"/>
                                </a:cxn>
                              </a:cxnLst>
                              <a:rect l="0" t="0" r="r" b="b"/>
                              <a:pathLst>
                                <a:path w="7200" h="320">
                                  <a:moveTo>
                                    <a:pt x="0" y="319"/>
                                  </a:moveTo>
                                  <a:lnTo>
                                    <a:pt x="7200" y="319"/>
                                  </a:lnTo>
                                  <a:lnTo>
                                    <a:pt x="7200" y="0"/>
                                  </a:lnTo>
                                  <a:lnTo>
                                    <a:pt x="0" y="0"/>
                                  </a:lnTo>
                                  <a:lnTo>
                                    <a:pt x="0" y="319"/>
                                  </a:lnTo>
                                  <a:close/>
                                </a:path>
                              </a:pathLst>
                            </a:custGeom>
                            <a:solidFill>
                              <a:srgbClr val="1C6C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7" name="Group 1866"/>
                        <wpg:cNvGrpSpPr>
                          <a:grpSpLocks/>
                        </wpg:cNvGrpSpPr>
                        <wpg:grpSpPr bwMode="auto">
                          <a:xfrm>
                            <a:off x="226" y="2724"/>
                            <a:ext cx="7200" cy="320"/>
                            <a:chOff x="226" y="2724"/>
                            <a:chExt cx="7200" cy="320"/>
                          </a:xfrm>
                        </wpg:grpSpPr>
                        <wps:wsp>
                          <wps:cNvPr id="1958" name="Freeform 1867"/>
                          <wps:cNvSpPr>
                            <a:spLocks/>
                          </wps:cNvSpPr>
                          <wps:spPr bwMode="auto">
                            <a:xfrm>
                              <a:off x="226" y="2724"/>
                              <a:ext cx="7200" cy="320"/>
                            </a:xfrm>
                            <a:custGeom>
                              <a:avLst/>
                              <a:gdLst>
                                <a:gd name="T0" fmla="+- 0 226 226"/>
                                <a:gd name="T1" fmla="*/ T0 w 7200"/>
                                <a:gd name="T2" fmla="+- 0 3043 2724"/>
                                <a:gd name="T3" fmla="*/ 3043 h 320"/>
                                <a:gd name="T4" fmla="+- 0 7426 226"/>
                                <a:gd name="T5" fmla="*/ T4 w 7200"/>
                                <a:gd name="T6" fmla="+- 0 3043 2724"/>
                                <a:gd name="T7" fmla="*/ 3043 h 320"/>
                                <a:gd name="T8" fmla="+- 0 7426 226"/>
                                <a:gd name="T9" fmla="*/ T8 w 7200"/>
                                <a:gd name="T10" fmla="+- 0 2724 2724"/>
                                <a:gd name="T11" fmla="*/ 2724 h 320"/>
                                <a:gd name="T12" fmla="+- 0 226 226"/>
                                <a:gd name="T13" fmla="*/ T12 w 7200"/>
                                <a:gd name="T14" fmla="+- 0 2724 2724"/>
                                <a:gd name="T15" fmla="*/ 2724 h 320"/>
                                <a:gd name="T16" fmla="+- 0 226 226"/>
                                <a:gd name="T17" fmla="*/ T16 w 7200"/>
                                <a:gd name="T18" fmla="+- 0 3043 2724"/>
                                <a:gd name="T19" fmla="*/ 3043 h 320"/>
                              </a:gdLst>
                              <a:ahLst/>
                              <a:cxnLst>
                                <a:cxn ang="0">
                                  <a:pos x="T1" y="T3"/>
                                </a:cxn>
                                <a:cxn ang="0">
                                  <a:pos x="T5" y="T7"/>
                                </a:cxn>
                                <a:cxn ang="0">
                                  <a:pos x="T9" y="T11"/>
                                </a:cxn>
                                <a:cxn ang="0">
                                  <a:pos x="T13" y="T15"/>
                                </a:cxn>
                                <a:cxn ang="0">
                                  <a:pos x="T17" y="T19"/>
                                </a:cxn>
                              </a:cxnLst>
                              <a:rect l="0" t="0" r="r" b="b"/>
                              <a:pathLst>
                                <a:path w="7200" h="320">
                                  <a:moveTo>
                                    <a:pt x="0" y="319"/>
                                  </a:moveTo>
                                  <a:lnTo>
                                    <a:pt x="7200" y="319"/>
                                  </a:lnTo>
                                  <a:lnTo>
                                    <a:pt x="7200" y="0"/>
                                  </a:lnTo>
                                  <a:lnTo>
                                    <a:pt x="0" y="0"/>
                                  </a:lnTo>
                                  <a:lnTo>
                                    <a:pt x="0" y="319"/>
                                  </a:lnTo>
                                  <a:close/>
                                </a:path>
                              </a:pathLst>
                            </a:custGeom>
                            <a:solidFill>
                              <a:srgbClr val="1C6C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59" name="Group 1864"/>
                        <wpg:cNvGrpSpPr>
                          <a:grpSpLocks/>
                        </wpg:cNvGrpSpPr>
                        <wpg:grpSpPr bwMode="auto">
                          <a:xfrm>
                            <a:off x="226" y="3043"/>
                            <a:ext cx="7200" cy="320"/>
                            <a:chOff x="226" y="3043"/>
                            <a:chExt cx="7200" cy="320"/>
                          </a:xfrm>
                        </wpg:grpSpPr>
                        <wps:wsp>
                          <wps:cNvPr id="1960" name="Freeform 1865"/>
                          <wps:cNvSpPr>
                            <a:spLocks/>
                          </wps:cNvSpPr>
                          <wps:spPr bwMode="auto">
                            <a:xfrm>
                              <a:off x="226" y="3043"/>
                              <a:ext cx="7200" cy="320"/>
                            </a:xfrm>
                            <a:custGeom>
                              <a:avLst/>
                              <a:gdLst>
                                <a:gd name="T0" fmla="+- 0 226 226"/>
                                <a:gd name="T1" fmla="*/ T0 w 7200"/>
                                <a:gd name="T2" fmla="+- 0 3362 3043"/>
                                <a:gd name="T3" fmla="*/ 3362 h 320"/>
                                <a:gd name="T4" fmla="+- 0 7426 226"/>
                                <a:gd name="T5" fmla="*/ T4 w 7200"/>
                                <a:gd name="T6" fmla="+- 0 3362 3043"/>
                                <a:gd name="T7" fmla="*/ 3362 h 320"/>
                                <a:gd name="T8" fmla="+- 0 7426 226"/>
                                <a:gd name="T9" fmla="*/ T8 w 7200"/>
                                <a:gd name="T10" fmla="+- 0 3043 3043"/>
                                <a:gd name="T11" fmla="*/ 3043 h 320"/>
                                <a:gd name="T12" fmla="+- 0 226 226"/>
                                <a:gd name="T13" fmla="*/ T12 w 7200"/>
                                <a:gd name="T14" fmla="+- 0 3043 3043"/>
                                <a:gd name="T15" fmla="*/ 3043 h 320"/>
                                <a:gd name="T16" fmla="+- 0 226 226"/>
                                <a:gd name="T17" fmla="*/ T16 w 7200"/>
                                <a:gd name="T18" fmla="+- 0 3362 3043"/>
                                <a:gd name="T19" fmla="*/ 3362 h 320"/>
                              </a:gdLst>
                              <a:ahLst/>
                              <a:cxnLst>
                                <a:cxn ang="0">
                                  <a:pos x="T1" y="T3"/>
                                </a:cxn>
                                <a:cxn ang="0">
                                  <a:pos x="T5" y="T7"/>
                                </a:cxn>
                                <a:cxn ang="0">
                                  <a:pos x="T9" y="T11"/>
                                </a:cxn>
                                <a:cxn ang="0">
                                  <a:pos x="T13" y="T15"/>
                                </a:cxn>
                                <a:cxn ang="0">
                                  <a:pos x="T17" y="T19"/>
                                </a:cxn>
                              </a:cxnLst>
                              <a:rect l="0" t="0" r="r" b="b"/>
                              <a:pathLst>
                                <a:path w="7200" h="320">
                                  <a:moveTo>
                                    <a:pt x="0" y="319"/>
                                  </a:moveTo>
                                  <a:lnTo>
                                    <a:pt x="7200" y="319"/>
                                  </a:lnTo>
                                  <a:lnTo>
                                    <a:pt x="7200" y="0"/>
                                  </a:lnTo>
                                  <a:lnTo>
                                    <a:pt x="0" y="0"/>
                                  </a:lnTo>
                                  <a:lnTo>
                                    <a:pt x="0" y="319"/>
                                  </a:lnTo>
                                  <a:close/>
                                </a:path>
                              </a:pathLst>
                            </a:custGeom>
                            <a:solidFill>
                              <a:srgbClr val="1C6C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1" name="Group 1862"/>
                        <wpg:cNvGrpSpPr>
                          <a:grpSpLocks/>
                        </wpg:cNvGrpSpPr>
                        <wpg:grpSpPr bwMode="auto">
                          <a:xfrm>
                            <a:off x="226" y="3362"/>
                            <a:ext cx="7200" cy="320"/>
                            <a:chOff x="226" y="3362"/>
                            <a:chExt cx="7200" cy="320"/>
                          </a:xfrm>
                        </wpg:grpSpPr>
                        <wps:wsp>
                          <wps:cNvPr id="1962" name="Freeform 1863"/>
                          <wps:cNvSpPr>
                            <a:spLocks/>
                          </wps:cNvSpPr>
                          <wps:spPr bwMode="auto">
                            <a:xfrm>
                              <a:off x="226" y="3362"/>
                              <a:ext cx="7200" cy="320"/>
                            </a:xfrm>
                            <a:custGeom>
                              <a:avLst/>
                              <a:gdLst>
                                <a:gd name="T0" fmla="+- 0 226 226"/>
                                <a:gd name="T1" fmla="*/ T0 w 7200"/>
                                <a:gd name="T2" fmla="+- 0 3682 3362"/>
                                <a:gd name="T3" fmla="*/ 3682 h 320"/>
                                <a:gd name="T4" fmla="+- 0 7426 226"/>
                                <a:gd name="T5" fmla="*/ T4 w 7200"/>
                                <a:gd name="T6" fmla="+- 0 3682 3362"/>
                                <a:gd name="T7" fmla="*/ 3682 h 320"/>
                                <a:gd name="T8" fmla="+- 0 7426 226"/>
                                <a:gd name="T9" fmla="*/ T8 w 7200"/>
                                <a:gd name="T10" fmla="+- 0 3362 3362"/>
                                <a:gd name="T11" fmla="*/ 3362 h 320"/>
                                <a:gd name="T12" fmla="+- 0 226 226"/>
                                <a:gd name="T13" fmla="*/ T12 w 7200"/>
                                <a:gd name="T14" fmla="+- 0 3362 3362"/>
                                <a:gd name="T15" fmla="*/ 3362 h 320"/>
                                <a:gd name="T16" fmla="+- 0 226 226"/>
                                <a:gd name="T17" fmla="*/ T16 w 7200"/>
                                <a:gd name="T18" fmla="+- 0 3682 3362"/>
                                <a:gd name="T19" fmla="*/ 3682 h 320"/>
                              </a:gdLst>
                              <a:ahLst/>
                              <a:cxnLst>
                                <a:cxn ang="0">
                                  <a:pos x="T1" y="T3"/>
                                </a:cxn>
                                <a:cxn ang="0">
                                  <a:pos x="T5" y="T7"/>
                                </a:cxn>
                                <a:cxn ang="0">
                                  <a:pos x="T9" y="T11"/>
                                </a:cxn>
                                <a:cxn ang="0">
                                  <a:pos x="T13" y="T15"/>
                                </a:cxn>
                                <a:cxn ang="0">
                                  <a:pos x="T17" y="T19"/>
                                </a:cxn>
                              </a:cxnLst>
                              <a:rect l="0" t="0" r="r" b="b"/>
                              <a:pathLst>
                                <a:path w="7200" h="320">
                                  <a:moveTo>
                                    <a:pt x="0" y="320"/>
                                  </a:moveTo>
                                  <a:lnTo>
                                    <a:pt x="7200" y="320"/>
                                  </a:lnTo>
                                  <a:lnTo>
                                    <a:pt x="7200" y="0"/>
                                  </a:lnTo>
                                  <a:lnTo>
                                    <a:pt x="0" y="0"/>
                                  </a:lnTo>
                                  <a:lnTo>
                                    <a:pt x="0" y="320"/>
                                  </a:lnTo>
                                  <a:close/>
                                </a:path>
                              </a:pathLst>
                            </a:custGeom>
                            <a:solidFill>
                              <a:srgbClr val="1C6C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3" name="Group 1860"/>
                        <wpg:cNvGrpSpPr>
                          <a:grpSpLocks/>
                        </wpg:cNvGrpSpPr>
                        <wpg:grpSpPr bwMode="auto">
                          <a:xfrm>
                            <a:off x="0" y="2"/>
                            <a:ext cx="7654" cy="228"/>
                            <a:chOff x="0" y="2"/>
                            <a:chExt cx="7654" cy="228"/>
                          </a:xfrm>
                        </wpg:grpSpPr>
                        <wps:wsp>
                          <wps:cNvPr id="1964" name="Freeform 1861"/>
                          <wps:cNvSpPr>
                            <a:spLocks/>
                          </wps:cNvSpPr>
                          <wps:spPr bwMode="auto">
                            <a:xfrm>
                              <a:off x="0" y="2"/>
                              <a:ext cx="7654" cy="228"/>
                            </a:xfrm>
                            <a:custGeom>
                              <a:avLst/>
                              <a:gdLst>
                                <a:gd name="T0" fmla="*/ 0 w 7654"/>
                                <a:gd name="T1" fmla="+- 0 230 2"/>
                                <a:gd name="T2" fmla="*/ 230 h 228"/>
                                <a:gd name="T3" fmla="*/ 7654 w 7654"/>
                                <a:gd name="T4" fmla="+- 0 230 2"/>
                                <a:gd name="T5" fmla="*/ 230 h 228"/>
                                <a:gd name="T6" fmla="*/ 7654 w 7654"/>
                                <a:gd name="T7" fmla="+- 0 2 2"/>
                                <a:gd name="T8" fmla="*/ 2 h 228"/>
                                <a:gd name="T9" fmla="*/ 0 w 7654"/>
                                <a:gd name="T10" fmla="+- 0 2 2"/>
                                <a:gd name="T11" fmla="*/ 2 h 228"/>
                                <a:gd name="T12" fmla="*/ 0 w 7654"/>
                                <a:gd name="T13" fmla="+- 0 230 2"/>
                                <a:gd name="T14" fmla="*/ 230 h 228"/>
                              </a:gdLst>
                              <a:ahLst/>
                              <a:cxnLst>
                                <a:cxn ang="0">
                                  <a:pos x="T0" y="T2"/>
                                </a:cxn>
                                <a:cxn ang="0">
                                  <a:pos x="T3" y="T5"/>
                                </a:cxn>
                                <a:cxn ang="0">
                                  <a:pos x="T6" y="T8"/>
                                </a:cxn>
                                <a:cxn ang="0">
                                  <a:pos x="T9" y="T11"/>
                                </a:cxn>
                                <a:cxn ang="0">
                                  <a:pos x="T12" y="T14"/>
                                </a:cxn>
                              </a:cxnLst>
                              <a:rect l="0" t="0" r="r" b="b"/>
                              <a:pathLst>
                                <a:path w="7654" h="228">
                                  <a:moveTo>
                                    <a:pt x="0" y="228"/>
                                  </a:moveTo>
                                  <a:lnTo>
                                    <a:pt x="7654" y="228"/>
                                  </a:lnTo>
                                  <a:lnTo>
                                    <a:pt x="7654" y="0"/>
                                  </a:lnTo>
                                  <a:lnTo>
                                    <a:pt x="0" y="0"/>
                                  </a:lnTo>
                                  <a:lnTo>
                                    <a:pt x="0" y="228"/>
                                  </a:lnTo>
                                  <a:close/>
                                </a:path>
                              </a:pathLst>
                            </a:custGeom>
                            <a:solidFill>
                              <a:srgbClr val="1C6C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5" name="Group 1858"/>
                        <wpg:cNvGrpSpPr>
                          <a:grpSpLocks/>
                        </wpg:cNvGrpSpPr>
                        <wpg:grpSpPr bwMode="auto">
                          <a:xfrm>
                            <a:off x="0" y="3907"/>
                            <a:ext cx="7654" cy="3"/>
                            <a:chOff x="0" y="3907"/>
                            <a:chExt cx="7654" cy="3"/>
                          </a:xfrm>
                        </wpg:grpSpPr>
                        <wps:wsp>
                          <wps:cNvPr id="1966" name="Freeform 1859"/>
                          <wps:cNvSpPr>
                            <a:spLocks/>
                          </wps:cNvSpPr>
                          <wps:spPr bwMode="auto">
                            <a:xfrm>
                              <a:off x="0" y="3907"/>
                              <a:ext cx="7654" cy="3"/>
                            </a:xfrm>
                            <a:custGeom>
                              <a:avLst/>
                              <a:gdLst>
                                <a:gd name="T0" fmla="*/ 0 w 7654"/>
                                <a:gd name="T1" fmla="+- 0 3910 3907"/>
                                <a:gd name="T2" fmla="*/ 3910 h 3"/>
                                <a:gd name="T3" fmla="*/ 7654 w 7654"/>
                                <a:gd name="T4" fmla="+- 0 3910 3907"/>
                                <a:gd name="T5" fmla="*/ 3910 h 3"/>
                                <a:gd name="T6" fmla="*/ 7654 w 7654"/>
                                <a:gd name="T7" fmla="+- 0 3907 3907"/>
                                <a:gd name="T8" fmla="*/ 3907 h 3"/>
                                <a:gd name="T9" fmla="*/ 0 w 7654"/>
                                <a:gd name="T10" fmla="+- 0 3907 3907"/>
                                <a:gd name="T11" fmla="*/ 3907 h 3"/>
                                <a:gd name="T12" fmla="*/ 0 w 7654"/>
                                <a:gd name="T13" fmla="+- 0 3910 3907"/>
                                <a:gd name="T14" fmla="*/ 3910 h 3"/>
                              </a:gdLst>
                              <a:ahLst/>
                              <a:cxnLst>
                                <a:cxn ang="0">
                                  <a:pos x="T0" y="T2"/>
                                </a:cxn>
                                <a:cxn ang="0">
                                  <a:pos x="T3" y="T5"/>
                                </a:cxn>
                                <a:cxn ang="0">
                                  <a:pos x="T6" y="T8"/>
                                </a:cxn>
                                <a:cxn ang="0">
                                  <a:pos x="T9" y="T11"/>
                                </a:cxn>
                                <a:cxn ang="0">
                                  <a:pos x="T12" y="T14"/>
                                </a:cxn>
                              </a:cxnLst>
                              <a:rect l="0" t="0" r="r" b="b"/>
                              <a:pathLst>
                                <a:path w="7654" h="3">
                                  <a:moveTo>
                                    <a:pt x="0" y="3"/>
                                  </a:moveTo>
                                  <a:lnTo>
                                    <a:pt x="7654" y="3"/>
                                  </a:lnTo>
                                  <a:lnTo>
                                    <a:pt x="7654" y="0"/>
                                  </a:lnTo>
                                  <a:lnTo>
                                    <a:pt x="0" y="0"/>
                                  </a:lnTo>
                                  <a:lnTo>
                                    <a:pt x="0" y="3"/>
                                  </a:lnTo>
                                  <a:close/>
                                </a:path>
                              </a:pathLst>
                            </a:custGeom>
                            <a:solidFill>
                              <a:srgbClr val="1C6C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67" name="Group 1855"/>
                        <wpg:cNvGrpSpPr>
                          <a:grpSpLocks/>
                        </wpg:cNvGrpSpPr>
                        <wpg:grpSpPr bwMode="auto">
                          <a:xfrm>
                            <a:off x="0" y="1"/>
                            <a:ext cx="7654" cy="3906"/>
                            <a:chOff x="0" y="1"/>
                            <a:chExt cx="7654" cy="3906"/>
                          </a:xfrm>
                        </wpg:grpSpPr>
                        <wps:wsp>
                          <wps:cNvPr id="1968" name="Freeform 1857"/>
                          <wps:cNvSpPr>
                            <a:spLocks/>
                          </wps:cNvSpPr>
                          <wps:spPr bwMode="auto">
                            <a:xfrm>
                              <a:off x="0" y="3679"/>
                              <a:ext cx="7654" cy="228"/>
                            </a:xfrm>
                            <a:custGeom>
                              <a:avLst/>
                              <a:gdLst>
                                <a:gd name="T0" fmla="*/ 0 w 7654"/>
                                <a:gd name="T1" fmla="+- 0 3907 3679"/>
                                <a:gd name="T2" fmla="*/ 3907 h 228"/>
                                <a:gd name="T3" fmla="*/ 7654 w 7654"/>
                                <a:gd name="T4" fmla="+- 0 3907 3679"/>
                                <a:gd name="T5" fmla="*/ 3907 h 228"/>
                                <a:gd name="T6" fmla="*/ 7654 w 7654"/>
                                <a:gd name="T7" fmla="+- 0 3679 3679"/>
                                <a:gd name="T8" fmla="*/ 3679 h 228"/>
                                <a:gd name="T9" fmla="*/ 0 w 7654"/>
                                <a:gd name="T10" fmla="+- 0 3679 3679"/>
                                <a:gd name="T11" fmla="*/ 3679 h 228"/>
                                <a:gd name="T12" fmla="*/ 0 w 7654"/>
                                <a:gd name="T13" fmla="+- 0 3907 3679"/>
                                <a:gd name="T14" fmla="*/ 3907 h 228"/>
                              </a:gdLst>
                              <a:ahLst/>
                              <a:cxnLst>
                                <a:cxn ang="0">
                                  <a:pos x="T0" y="T2"/>
                                </a:cxn>
                                <a:cxn ang="0">
                                  <a:pos x="T3" y="T5"/>
                                </a:cxn>
                                <a:cxn ang="0">
                                  <a:pos x="T6" y="T8"/>
                                </a:cxn>
                                <a:cxn ang="0">
                                  <a:pos x="T9" y="T11"/>
                                </a:cxn>
                                <a:cxn ang="0">
                                  <a:pos x="T12" y="T14"/>
                                </a:cxn>
                              </a:cxnLst>
                              <a:rect l="0" t="0" r="r" b="b"/>
                              <a:pathLst>
                                <a:path w="7654" h="228">
                                  <a:moveTo>
                                    <a:pt x="0" y="228"/>
                                  </a:moveTo>
                                  <a:lnTo>
                                    <a:pt x="7654" y="228"/>
                                  </a:lnTo>
                                  <a:lnTo>
                                    <a:pt x="7654" y="0"/>
                                  </a:lnTo>
                                  <a:lnTo>
                                    <a:pt x="0" y="0"/>
                                  </a:lnTo>
                                  <a:lnTo>
                                    <a:pt x="0" y="228"/>
                                  </a:lnTo>
                                  <a:close/>
                                </a:path>
                              </a:pathLst>
                            </a:custGeom>
                            <a:solidFill>
                              <a:srgbClr val="1C6CB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9" name="Text Box 1856"/>
                          <wps:cNvSpPr txBox="1">
                            <a:spLocks noChangeArrowheads="1"/>
                          </wps:cNvSpPr>
                          <wps:spPr bwMode="auto">
                            <a:xfrm>
                              <a:off x="0" y="1"/>
                              <a:ext cx="7654" cy="30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C91FF" w14:textId="77777777" w:rsidR="00622FF2" w:rsidRDefault="00622FF2"/>
                            </w:txbxContent>
                          </wps:txbx>
                          <wps:bodyPr rot="0" vert="horz" wrap="square" lIns="0" tIns="0" rIns="0" bIns="0" anchor="t" anchorCtr="0" upright="1">
                            <a:noAutofit/>
                          </wps:bodyPr>
                        </wps:wsp>
                      </wpg:grpSp>
                    </wpg:wgp>
                  </a:graphicData>
                </a:graphic>
              </wp:inline>
            </w:drawing>
          </mc:Choice>
          <mc:Fallback>
            <w:pict>
              <v:group id="Group 1854" o:spid="_x0000_s1033" alt="Title: Example - Description: Example" style="width:382.7pt;height:163.5pt;mso-position-horizontal-relative:char;mso-position-vertical-relative:line" coordsize="7654,3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">
                <v:group id="Group 1886" o:spid="_x0000_s1034" style="position:absolute;width:7654;height:3" coordsize="76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BtBMQAAADdAAAADwAAAGRycy9kb3ducmV2LnhtbERPTWvCQBC9F/wPywje&#10;dBPFaqOriKh4kEK1UHobsmMSzM6G7JrEf+8WhN7m8T5nue5MKRqqXWFZQTyKQBCnVhecKfi+7Idz&#10;EM4jaywtk4IHOVivem9LTLRt+Yuas89ECGGXoILc+yqR0qU5GXQjWxEH7mprgz7AOpO6xjaEm1KO&#10;o+hdGiw4NORY0Tan9Ha+GwWHFtvNJN41p9t1+/i9TD9/TjEpNeh3mwUIT53/F7/cRx3mf0xm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uBtBMQAAADdAAAA&#10;DwAAAAAAAAAAAAAAAACqAgAAZHJzL2Rvd25yZXYueG1sUEsFBgAAAAAEAAQA+gAAAJsDAAAAAA==&#10;">
                  <v:shape id="Freeform 1887" o:spid="_x0000_s1035" style="position:absolute;width:7654;height:3;visibility:visible;mso-wrap-style:square;v-text-anchor:top" coordsize="76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XnZMcA&#10;AADdAAAADwAAAGRycy9kb3ducmV2LnhtbESPQW/CMAyF75P2HyIj7TZSNmmCQkAT0xCc0ChsV6sx&#10;bbXG6ZIMOn49PkziZus9v/d5tuhdq04UYuPZwGiYgSIuvW24MrAv3h/HoGJCtth6JgN/FGExv7+b&#10;YW79mT/otEuVkhCOORqoU+pyrWNZk8M49B2xaEcfHCZZQ6VtwLOEu1Y/ZdmLdtiwNNTY0bKm8nv3&#10;6wx8fRbbwyp0hx+/WRbZ6lL6t+3YmIdB/zoFlahPN/P/9doK/uRZcOUbGUH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52THAAAA3QAAAA8AAAAAAAAAAAAAAAAAmAIAAGRy&#10;cy9kb3ducmV2LnhtbFBLBQYAAAAABAAEAPUAAACMAwAAAAA=&#10;" path="m,2r7654,l7654,,,,,2xe" fillcolor="#1c6cb4" stroked="f">
                    <v:path arrowok="t" o:connecttype="custom" o:connectlocs="0,2;7654,2;7654,0;0,0;0,2" o:connectangles="0,0,0,0,0"/>
                  </v:shape>
                </v:group>
                <v:group id="Group 1884" o:spid="_x0000_s1036" style="position:absolute;top:230;width:7654;height:3449" coordorigin=",230" coordsize="7654,34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AzXO3FAAAA3QAA&#10;AA8AAAAAAAAAAAAAAAAAqgIAAGRycy9kb3ducmV2LnhtbFBLBQYAAAAABAAEAPoAAACcAwAAAAA=&#10;">
                  <v:shape id="Freeform 1885" o:spid="_x0000_s1037" style="position:absolute;top:230;width:7654;height:3449;visibility:visible;mso-wrap-style:square;v-text-anchor:top" coordsize="7654,34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4LMYA&#10;AADdAAAADwAAAGRycy9kb3ducmV2LnhtbESPQUsDMRCF74L/IYzQi9hsSxFdmxapyJberCJ6G5Ix&#10;u7iZbDdpd/33zqHQ2wzvzXvfLNdjaNWJ+tRENjCbFqCIbXQNewMf7693D6BSRnbYRiYDf5Rgvbq+&#10;WmLp4sBvdNpnrySEU4kG6py7UutkawqYprEjFu0n9gGzrL3XrsdBwkOr50VxrwM2LA01drSpyf7u&#10;j8FAVd1Wh923b18+51Z795VmOFhjJjfj8xOoTGO+mM/XWyf4jwvhl29kBL3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4LMYAAADdAAAADwAAAAAAAAAAAAAAAACYAgAAZHJz&#10;L2Rvd25yZXYueG1sUEsFBgAAAAAEAAQA9QAAAIsDAAAAAA==&#10;" path="m,3449r7654,l7654,,,,,3449xe" fillcolor="#1c6cb4" stroked="f">
                    <v:path arrowok="t" o:connecttype="custom" o:connectlocs="0,3679;7654,3679;7654,230;0,230;0,3679" o:connectangles="0,0,0,0,0"/>
                  </v:shape>
                </v:group>
                <v:group id="Group 1882" o:spid="_x0000_s1038" style="position:absolute;left:226;top:228;width:7200;height:260" coordorigin="226,228" coordsize="7200,2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kMjlsQAAADdAAAADwAAAGRycy9kb3ducmV2LnhtbERPTWvCQBC9F/wPywje&#10;dBNtpY2uIqLFgwhqoXgbsmMSzM6G7JrEf+8WhN7m8T5nvuxMKRqqXWFZQTyKQBCnVhecKfg5b4ef&#10;IJxH1lhaJgUPcrBc9N7mmGjb8pGak89ECGGXoILc+yqR0qU5GXQjWxEH7mprgz7AOpO6xjaEm1KO&#10;o2gqDRYcGnKsaJ1TejvdjYLvFtvVJN40+9t1/bicPw6/+5iUGvS71QyEp87/i1/unQ7zv95j+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kMjlsQAAADdAAAA&#10;DwAAAAAAAAAAAAAAAACqAgAAZHJzL2Rvd25yZXYueG1sUEsFBgAAAAAEAAQA+gAAAJsDAAAAAA==&#10;">
                  <v:shape id="Freeform 1883" o:spid="_x0000_s1039" style="position:absolute;left:226;top:228;width:7200;height:260;visibility:visible;mso-wrap-style:square;v-text-anchor:top" coordsize="7200,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erKb8A&#10;AADdAAAADwAAAGRycy9kb3ducmV2LnhtbERPTYvCMBC9C/6HMMLeNK24otUoriB4W6z2PjRjW2wm&#10;Jclq998bQfA2j/c5621vWnEn5xvLCtJJAoK4tLrhSsHlfBgvQPiArLG1TAr+ycN2MxysMdP2wSe6&#10;56ESMYR9hgrqELpMSl/WZNBPbEccuat1BkOErpLa4SOGm1ZOk2QuDTYcG2rsaF9Tecv/jIKkatOS&#10;9+ntYgrXHPOf4vebCqW+Rv1uBSJQHz7it/uo4/zlbAqvb+IJcvM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cV6spvwAAAN0AAAAPAAAAAAAAAAAAAAAAAJgCAABkcnMvZG93bnJl&#10;di54bWxQSwUGAAAAAAQABAD1AAAAhAMAAAAA&#10;" path="m,259r7200,l7200,,,,,259xe" fillcolor="#1c6cb4" stroked="f">
                    <v:path arrowok="t" o:connecttype="custom" o:connectlocs="0,487;7200,487;7200,228;0,228;0,487" o:connectangles="0,0,0,0,0"/>
                  </v:shape>
                </v:group>
                <v:group id="Group 1880" o:spid="_x0000_s1040" style="position:absolute;left:226;top:487;width:7200;height:320" coordorigin="226,487" coordsize="7200,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d0YesQAAADdAAAA&#10;DwAAAAAAAAAAAAAAAACqAgAAZHJzL2Rvd25yZXYueG1sUEsFBgAAAAAEAAQA+gAAAJsDAAAAAA==&#10;">
                  <v:shape id="Freeform 1881" o:spid="_x0000_s1041" style="position:absolute;left:226;top:487;width:7200;height:320;visibility:visible;mso-wrap-style:square;v-text-anchor:top" coordsize="720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VTGMMA&#10;AADdAAAADwAAAGRycy9kb3ducmV2LnhtbERPyWrDMBC9F/oPYgq9NXKLKakTJZQQlx5yyULPE2ti&#10;O7FGwlK85OurQKG3ebx15svBNKKj1teWFbxOEhDEhdU1lwoO+/xlCsIHZI2NZVIwkofl4vFhjpm2&#10;PW+p24VSxBD2GSqoQnCZlL6oyKCfWEccuZNtDYYI21LqFvsYbhr5liTv0mDNsaFCR6uKisvuahRs&#10;HDYnR9OR8/r2E/IvOq7PV6Wen4bPGYhAQ/gX/7m/dZz/kaZw/yaeIB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VTGMMAAADdAAAADwAAAAAAAAAAAAAAAACYAgAAZHJzL2Rv&#10;d25yZXYueG1sUEsFBgAAAAAEAAQA9QAAAIgDAAAAAA==&#10;" path="m,319r7200,l7200,,,,,319xe" fillcolor="#1c6cb4" stroked="f">
                    <v:path arrowok="t" o:connecttype="custom" o:connectlocs="0,806;7200,806;7200,487;0,487;0,806" o:connectangles="0,0,0,0,0"/>
                  </v:shape>
                </v:group>
                <v:group id="Group 1878" o:spid="_x0000_s1042" style="position:absolute;left:226;top:806;width:7200;height:320" coordorigin="226,806" coordsize="7200,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XgllcQAAADdAAAADwAAAGRycy9kb3ducmV2LnhtbERPTWvCQBC9C/0PyxR6&#10;003aWmrqKiJVPIhgFMTbkB2TYHY2ZLdJ/PddQfA2j/c503lvKtFS40rLCuJRBII4s7rkXMHxsBp+&#10;g3AeWWNlmRTcyMF89jKYYqJtx3tqU5+LEMIuQQWF93UipcsKMuhGtiYO3MU2Bn2ATS51g10IN5V8&#10;j6IvabDk0FBgTcuCsmv6ZxSsO+wWH/Fvu71elrfzYbw7bWNS6u21X/yA8NT7p/jh3ugwf/I5h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XgllcQAAADdAAAA&#10;DwAAAAAAAAAAAAAAAACqAgAAZHJzL2Rvd25yZXYueG1sUEsFBgAAAAAEAAQA+gAAAJsDAAAAAA==&#10;">
                  <v:shape id="Freeform 1879" o:spid="_x0000_s1043" style="position:absolute;left:226;top:806;width:7200;height:320;visibility:visible;mso-wrap-style:square;v-text-anchor:top" coordsize="720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to9MEA&#10;AADdAAAADwAAAGRycy9kb3ducmV2LnhtbERPTYvCMBC9C/6HMII3TV1EtGsUEbt48KK7eJ5txra7&#10;zSQ0Uau/3giCt3m8z5kvW1OLCzW+sqxgNExAEOdWV1wo+PnOBlMQPiBrrC2Tght5WC66nTmm2l55&#10;T5dDKEQMYZ+igjIEl0rp85IM+qF1xJE72cZgiLAppG7wGsNNLT+SZCINVhwbSnS0Lin/P5yNgp3D&#10;+uRoeuOsuh9D9kW/m7+zUv1eu/oEEagNb/HLvdVx/mw8gec38QS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SLaPTBAAAA3QAAAA8AAAAAAAAAAAAAAAAAmAIAAGRycy9kb3du&#10;cmV2LnhtbFBLBQYAAAAABAAEAPUAAACGAwAAAAA=&#10;" path="m,320r7200,l7200,,,,,320xe" fillcolor="#1c6cb4" stroked="f">
                    <v:path arrowok="t" o:connecttype="custom" o:connectlocs="0,1126;7200,1126;7200,806;0,806;0,1126" o:connectangles="0,0,0,0,0"/>
                  </v:shape>
                </v:group>
                <v:group id="Group 1876" o:spid="_x0000_s1044" style="position:absolute;left:226;top:1126;width:7200;height:320" coordorigin="226,1126" coordsize="7200,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mHnnFAAAA3QAA&#10;AA8AAAAAAAAAAAAAAAAAqgIAAGRycy9kb3ducmV2LnhtbFBLBQYAAAAABAAEAPoAAACcAwAAAAA=&#10;">
                  <v:shape id="Freeform 1877" o:spid="_x0000_s1045" style="position:absolute;left:226;top:1126;width:7200;height:320;visibility:visible;mso-wrap-style:square;v-text-anchor:top" coordsize="720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ZHcUA&#10;AADdAAAADwAAAGRycy9kb3ducmV2LnhtbESPQW/CMAyF75P4D5GRuI10CE2sI6BpWhGHXQZoZ68x&#10;baFxoiZA4dfPByRutt7ze5/ny9616kxdbDwbeBlnoIhLbxuuDOy2xfMMVEzIFlvPZOBKEZaLwdMc&#10;c+sv/EPnTaqUhHDM0UCdUsi1jmVNDuPYB2LR9r5zmGTtKm07vEi4a/Uky161w4alocZAnzWVx83J&#10;GfgO2O4Dza5cNLffVKzo7+twMmY07D/eQSXq08N8v15bwX+bCq58IyP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FkdxQAAAN0AAAAPAAAAAAAAAAAAAAAAAJgCAABkcnMv&#10;ZG93bnJldi54bWxQSwUGAAAAAAQABAD1AAAAigMAAAAA&#10;" path="m,319r7200,l7200,,,,,319xe" fillcolor="#1c6cb4" stroked="f">
                    <v:path arrowok="t" o:connecttype="custom" o:connectlocs="0,1445;7200,1445;7200,1126;0,1126;0,1445" o:connectangles="0,0,0,0,0"/>
                  </v:shape>
                </v:group>
                <v:group id="Group 1874" o:spid="_x0000_s1046" style="position:absolute;left:226;top:1445;width:7200;height:320" coordorigin="226,1445" coordsize="7200,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DUvkMQAAADdAAAADwAAAGRycy9kb3ducmV2LnhtbERPTWvCQBC9F/oflil4&#10;001qLTW6ikhbPIhgFMTbkB2TYHY2ZLdJ/PeuIPQ2j/c582VvKtFS40rLCuJRBII4s7rkXMHx8DP8&#10;AuE8ssbKMim4kYPl4vVljom2He+pTX0uQgi7BBUU3teJlC4ryKAb2Zo4cBfbGPQBNrnUDXYh3FTy&#10;PYo+pcGSQ0OBNa0Lyq7pn1Hw22G3Gsff7fZ6Wd/Oh8nutI1JqcFbv5qB8NT7f/HTvdFh/vRj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DUvkMQAAADdAAAA&#10;DwAAAAAAAAAAAAAAAACqAgAAZHJzL2Rvd25yZXYueG1sUEsFBgAAAAAEAAQA+gAAAJsDAAAAAA==&#10;">
                  <v:shape id="Freeform 1875" o:spid="_x0000_s1047" style="position:absolute;left:226;top:1445;width:7200;height:320;visibility:visible;mso-wrap-style:square;v-text-anchor:top" coordsize="720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fDxsUA&#10;AADdAAAADwAAAGRycy9kb3ducmV2LnhtbESPQW/CMAyF75P4D5GRuI10SEysI6BpWhGHXQZoZ68x&#10;baFxoiZA4dfPByRutt7ze5/ny9616kxdbDwbeBlnoIhLbxuuDOy2xfMMVEzIFlvPZOBKEZaLwdMc&#10;c+sv/EPnTaqUhHDM0UCdUsi1jmVNDuPYB2LR9r5zmGTtKm07vEi4a/Uky161w4alocZAnzWVx83J&#10;GfgO2O4Dza5cNLffVKzo7+twMmY07D/eQSXq08N8v15bwX+bCr98IyP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98PGxQAAAN0AAAAPAAAAAAAAAAAAAAAAAJgCAABkcnMv&#10;ZG93bnJldi54bWxQSwUGAAAAAAQABAD1AAAAigMAAAAA&#10;" path="m,319r7200,l7200,,,,,319xe" fillcolor="#1c6cb4" stroked="f">
                    <v:path arrowok="t" o:connecttype="custom" o:connectlocs="0,1764;7200,1764;7200,1445;0,1445;0,1764" o:connectangles="0,0,0,0,0"/>
                  </v:shape>
                </v:group>
                <v:group id="Group 1872" o:spid="_x0000_s1048" style="position:absolute;left:226;top:1764;width:7200;height:322" coordorigin="226,1764" coordsize="7200,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5q1S8MAAADdAAAADwAAAGRycy9kb3ducmV2LnhtbERPS4vCMBC+L/gfwgje&#10;NK2iuF2jiKh4EMEHLHsbmrEtNpPSxLb++82CsLf5+J6zWHWmFA3VrrCsIB5FIIhTqwvOFNyuu+Ec&#10;hPPIGkvLpOBFDlbL3scCE21bPlNz8ZkIIewSVJB7XyVSujQng25kK+LA3W1t0AdYZ1LX2IZwU8px&#10;FM2kwYJDQ44VbXJKH5enUbBvsV1P4m1zfNw3r5/r9PR9jEmpQb9bf4Hw1Pl/8dt90GH+5zS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mrVLwwAAAN0AAAAP&#10;AAAAAAAAAAAAAAAAAKoCAABkcnMvZG93bnJldi54bWxQSwUGAAAAAAQABAD6AAAAmgMAAAAA&#10;">
                  <v:shape id="Freeform 1873" o:spid="_x0000_s1049" style="position:absolute;left:226;top:1764;width:7200;height:322;visibility:visible;mso-wrap-style:square;v-text-anchor:top" coordsize="7200,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HcscAA&#10;AADdAAAADwAAAGRycy9kb3ducmV2LnhtbERPTYvCMBC9L/gfwgh7W1NddtHaKCIIerQWz2MytqXN&#10;pDRR6783wsLe5vE+J1sPthV36n3tWMF0koAg1s7UXCooTruvOQgfkA22jknBkzysV6OPDFPjHnyk&#10;ex5KEUPYp6igCqFLpfS6Iot+4jriyF1dbzFE2JfS9PiI4baVsyT5lRZrjg0VdrStSDf5zSrQhybX&#10;592TuuKk5ff10g4JTZX6HA+bJYhAQ/gX/7n3Js5f/Mzg/U08Qa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tHcscAAAADdAAAADwAAAAAAAAAAAAAAAACYAgAAZHJzL2Rvd25y&#10;ZXYueG1sUEsFBgAAAAAEAAQA9QAAAIUDAAAAAA==&#10;" path="m,322r7200,l7200,,,,,322xe" fillcolor="#1c6cb4" stroked="f">
                    <v:path arrowok="t" o:connecttype="custom" o:connectlocs="0,2086;7200,2086;7200,1764;0,1764;0,2086" o:connectangles="0,0,0,0,0"/>
                  </v:shape>
                </v:group>
                <v:group id="Group 1870" o:spid="_x0000_s1050" style="position:absolute;left:226;top:2086;width:7200;height:320" coordorigin="226,2086" coordsize="7200,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ASOp8UAAADdAAAADwAAAGRycy9kb3ducmV2LnhtbERPTWvCQBC9F/wPyxS8&#10;NZsoKTXNKiJVPIRCVSi9DdkxCWZnQ3abxH/fLRR6m8f7nHwzmVYM1LvGsoIkikEQl1Y3XCm4nPdP&#10;LyCcR9bYWiYFd3KwWc8ecsy0HfmDhpOvRAhhl6GC2vsuk9KVNRl0ke2IA3e1vUEfYF9J3eMYwk0r&#10;F3H8LA02HBpq7GhXU3k7fRsFhxHH7TJ5G4rbdXf/Oqf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EjqfFAAAA3QAA&#10;AA8AAAAAAAAAAAAAAAAAqgIAAGRycy9kb3ducmV2LnhtbFBLBQYAAAAABAAEAPoAAACcAwAAAAA=&#10;">
                  <v:shape id="Freeform 1871" o:spid="_x0000_s1051" style="position:absolute;left:226;top:2086;width:7200;height:320;visibility:visible;mso-wrap-style:square;v-text-anchor:top" coordsize="720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zFxcIA&#10;AADdAAAADwAAAGRycy9kb3ducmV2LnhtbERPTYvCMBC9C/6HMII3TRV3catRROyyBy/qsufZZmyr&#10;zSQ0Uev+eiMseJvH+5z5sjW1uFLjK8sKRsMEBHFudcWFgu9DNpiC8AFZY22ZFNzJw3LR7cwx1fbG&#10;O7ruQyFiCPsUFZQhuFRKn5dk0A+tI47c0TYGQ4RNIXWDtxhuajlOkndpsOLYUKKjdUn5eX8xCrYO&#10;66Oj6Z2z6u8nZJ/0uzldlOr32tUMRKA2vMT/7i8d53+8TeD5TTx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zMXFwgAAAN0AAAAPAAAAAAAAAAAAAAAAAJgCAABkcnMvZG93&#10;bnJldi54bWxQSwUGAAAAAAQABAD1AAAAhwMAAAAA&#10;" path="m,319r7200,l7200,,,,,319xe" fillcolor="#1c6cb4" stroked="f">
                    <v:path arrowok="t" o:connecttype="custom" o:connectlocs="0,2405;7200,2405;7200,2086;0,2086;0,2405" o:connectangles="0,0,0,0,0"/>
                  </v:shape>
                </v:group>
                <v:group id="Group 1868" o:spid="_x0000_s1052" style="position:absolute;left:226;top:2405;width:7200;height:320" coordorigin="226,2405" coordsize="7200,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GzSMQAAADdAAAADwAAAGRycy9kb3ducmV2LnhtbERPS2vCQBC+F/wPywi9&#10;1U0sKRpdRUTFgxR8gHgbsmMSzM6G7JrEf98tFHqbj+8582VvKtFS40rLCuJRBII4s7rkXMHlvP2Y&#10;gHAeWWNlmRS8yMFyMXibY6ptx0dqTz4XIYRdigoK7+tUSpcVZNCNbE0cuLttDPoAm1zqBrsQbio5&#10;jqIvabDk0FBgTeuCssfpaRTsOuxWn/GmPTzu69ftnHx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KGzSMQAAADdAAAA&#10;DwAAAAAAAAAAAAAAAACqAgAAZHJzL2Rvd25yZXYueG1sUEsFBgAAAAAEAAQA+gAAAJsDAAAAAA==&#10;">
                  <v:shape id="Freeform 1869" o:spid="_x0000_s1053" style="position:absolute;left:226;top:2405;width:7200;height:320;visibility:visible;mso-wrap-style:square;v-text-anchor:top" coordsize="720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L+KcEA&#10;AADdAAAADwAAAGRycy9kb3ducmV2LnhtbERPTYvCMBC9C/6HMII3TV1QtGsUEbt48KK7eJ5txra7&#10;zSQ0Uau/3giCt3m8z5kvW1OLCzW+sqxgNExAEOdWV1wo+PnOBlMQPiBrrC2Tght5WC66nTmm2l55&#10;T5dDKEQMYZ+igjIEl0rp85IM+qF1xJE72cZgiLAppG7wGsNNLT+SZCINVhwbSnS0Lin/P5yNgp3D&#10;+uRoeuOsuh9D9kW/m7+zUv1eu/oEEagNb/HLvdVx/mw8gec38QS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S/inBAAAA3QAAAA8AAAAAAAAAAAAAAAAAmAIAAGRycy9kb3du&#10;cmV2LnhtbFBLBQYAAAAABAAEAPUAAACGAwAAAAA=&#10;" path="m,319r7200,l7200,,,,,319xe" fillcolor="#1c6cb4" stroked="f">
                    <v:path arrowok="t" o:connecttype="custom" o:connectlocs="0,2724;7200,2724;7200,2405;0,2405;0,2724" o:connectangles="0,0,0,0,0"/>
                  </v:shape>
                </v:group>
                <v:group id="Group 1866" o:spid="_x0000_s1054" style="position:absolute;left:226;top:2724;width:7200;height:320" coordorigin="226,2724" coordsize="7200,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z+IpMQAAADdAAAA&#10;DwAAAAAAAAAAAAAAAACqAgAAZHJzL2Rvd25yZXYueG1sUEsFBgAAAAAEAAQA+gAAAJsDAAAAAA==&#10;">
                  <v:shape id="Freeform 1867" o:spid="_x0000_s1055" style="position:absolute;left:226;top:2724;width:7200;height:320;visibility:visible;mso-wrap-style:square;v-text-anchor:top" coordsize="720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HPwMUA&#10;AADdAAAADwAAAGRycy9kb3ducmV2LnhtbESPQW/CMAyF75P4D5GRuI10SEysI6BpWhGHXQZoZ68x&#10;baFxoiZA4dfPByRutt7ze5/ny9616kxdbDwbeBlnoIhLbxuuDOy2xfMMVEzIFlvPZOBKEZaLwdMc&#10;c+sv/EPnTaqUhHDM0UCdUsi1jmVNDuPYB2LR9r5zmGTtKm07vEi4a/Uky161w4alocZAnzWVx83J&#10;GfgO2O4Dza5cNLffVKzo7+twMmY07D/eQSXq08N8v15bwX+bCq58IyPox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gc/AxQAAAN0AAAAPAAAAAAAAAAAAAAAAAJgCAABkcnMv&#10;ZG93bnJldi54bWxQSwUGAAAAAAQABAD1AAAAigMAAAAA&#10;" path="m,319r7200,l7200,,,,,319xe" fillcolor="#1c6cb4" stroked="f">
                    <v:path arrowok="t" o:connecttype="custom" o:connectlocs="0,3043;7200,3043;7200,2724;0,2724;0,3043" o:connectangles="0,0,0,0,0"/>
                  </v:shape>
                </v:group>
                <v:group id="Group 1864" o:spid="_x0000_s1056" style="position:absolute;left:226;top:3043;width:7200;height:320" coordorigin="226,3043" coordsize="7200,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ey5TcUAAADdAAAADwAAAGRycy9kb3ducmV2LnhtbERPTWvCQBC9F/wPywi9&#10;1U0slpq6CUFUPEihWii9DdkxCcnOhuyaxH/fLRR6m8f7nE02mVYM1LvasoJ4EYEgLqyuuVTwedk/&#10;vYJwHllja5kU3MlBls4eNphoO/IHDWdfihDCLkEFlfddIqUrKjLoFrYjDtzV9gZ9gH0pdY9jCDet&#10;XEbRizRYc2iosKNtRUVzvhkFhxHH/DneDafmur1/X1bvX6eYlHqcT/kbCE+T/xf/uY86zF+v1v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3suU3FAAAA3QAA&#10;AA8AAAAAAAAAAAAAAAAAqgIAAGRycy9kb3ducmV2LnhtbFBLBQYAAAAABAAEAPoAAACcAwAAAAA=&#10;">
                  <v:shape id="Freeform 1865" o:spid="_x0000_s1057" style="position:absolute;left:226;top:3043;width:7200;height:320;visibility:visible;mso-wrap-style:square;v-text-anchor:top" coordsize="720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Je8QA&#10;AADdAAAADwAAAGRycy9kb3ducmV2LnhtbESPQW/CMAyF75P4D5EncRvpOCDoCGiaKOLAZYA4e41p&#10;C40TNQEKv34+TNrN1nt+7/N82btW3aiLjWcD76MMFHHpbcOVgcO+eJuCignZYuuZDDwownIxeJlj&#10;bv2dv+m2S5WSEI45GqhTCrnWsazJYRz5QCzayXcOk6xdpW2Hdwl3rR5n2UQ7bFgaagz0VVN52V2d&#10;gW3A9hRo+uCieR5Tsaaf1flqzPC1//wAlahP/+a/640V/NlE+OUbGUE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CXvEAAAA3QAAAA8AAAAAAAAAAAAAAAAAmAIAAGRycy9k&#10;b3ducmV2LnhtbFBLBQYAAAAABAAEAPUAAACJAwAAAAA=&#10;" path="m,319r7200,l7200,,,,,319xe" fillcolor="#1c6cb4" stroked="f">
                    <v:path arrowok="t" o:connecttype="custom" o:connectlocs="0,3362;7200,3362;7200,3043;0,3043;0,3362" o:connectangles="0,0,0,0,0"/>
                  </v:shape>
                </v:group>
                <v:group id="Group 1862" o:spid="_x0000_s1058" style="position:absolute;left:226;top:3362;width:7200;height:320" coordorigin="226,3362" coordsize="7200,3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fZ/9sMAAADdAAAADwAAAGRycy9kb3ducmV2LnhtbERPS4vCMBC+C/6HMIK3&#10;Na2y4naNIqLiQRZ8wLK3oRnbYjMpTWzrv98Igrf5+J4zX3amFA3VrrCsIB5FIIhTqwvOFFzO248Z&#10;COeRNZaWScGDHCwX/d4cE21bPlJz8pkIIewSVJB7XyVSujQng25kK+LAXW1t0AdYZ1LX2IZwU8px&#10;FE2lwYJDQ44VrXNKb6e7UbBrsV1N4k1zuF3Xj7/z58/vISalhoNu9Q3CU+ff4pd7r8P8r2kM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9n/2wwAAAN0AAAAP&#10;AAAAAAAAAAAAAAAAAKoCAABkcnMvZG93bnJldi54bWxQSwUGAAAAAAQABAD6AAAAmgMAAAAA&#10;">
                  <v:shape id="Freeform 1863" o:spid="_x0000_s1059" style="position:absolute;left:226;top:3362;width:7200;height:320;visibility:visible;mso-wrap-style:square;v-text-anchor:top" coordsize="7200,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Uyl8EA&#10;AADdAAAADwAAAGRycy9kb3ducmV2LnhtbERPS4vCMBC+C/6HMMLebKoH0a5RlsUue9iLDzzPNmNb&#10;bSahiVr99UYQvM3H95z5sjONuFDra8sKRkkKgriwuuZSwW6bD6cgfEDW2FgmBTfysFz0e3PMtL3y&#10;mi6bUIoYwj5DBVUILpPSFxUZ9Il1xJE72NZgiLAtpW7xGsNNI8dpOpEGa44NFTr6rqg4bc5GwZ/D&#10;5uBoeuO8vu9D/kP/q+NZqY9B9/UJIlAX3uKX+1fH+bPJGJ7fxBPk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FMpfBAAAA3QAAAA8AAAAAAAAAAAAAAAAAmAIAAGRycy9kb3du&#10;cmV2LnhtbFBLBQYAAAAABAAEAPUAAACGAwAAAAA=&#10;" path="m,320r7200,l7200,,,,,320xe" fillcolor="#1c6cb4" stroked="f">
                    <v:path arrowok="t" o:connecttype="custom" o:connectlocs="0,3682;7200,3682;7200,3362;0,3362;0,3682" o:connectangles="0,0,0,0,0"/>
                  </v:shape>
                </v:group>
                <v:group id="Group 1860" o:spid="_x0000_s1060" style="position:absolute;top:2;width:7654;height:228" coordorigin=",2" coordsize="7654,2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hEGsUAAADdAAAADwAAAGRycy9kb3ducmV2LnhtbERPTWvCQBC9F/wPyxS8&#10;NZsoDTXNKiJVPIRCVSi9DdkxCWZnQ3abxH/fLRR6m8f7nHwzmVYM1LvGsoIkikEQl1Y3XCm4nPdP&#10;LyCcR9bYWiYFd3KwWc8ecsy0HfmDhpOvRAhhl6GC2vsuk9KVNRl0ke2IA3e1vUEfYF9J3eMYwk0r&#10;F3GcSoMNh4YaO9rVVN5O30bBYcRxu0zehuJ23d2/zs/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oRBrFAAAA3QAA&#10;AA8AAAAAAAAAAAAAAAAAqgIAAGRycy9kb3ducmV2LnhtbFBLBQYAAAAABAAEAPoAAACcAwAAAAA=&#10;">
                  <v:shape id="Freeform 1861" o:spid="_x0000_s1061" style="position:absolute;top:2;width:7654;height:228;visibility:visible;mso-wrap-style:square;v-text-anchor:top" coordsize="7654,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qNQcMA&#10;AADdAAAADwAAAGRycy9kb3ducmV2LnhtbERPTWvCQBC9C/6HZQq9mU1LCRpdRYSWUKRg9OBxzI5J&#10;THY2ZLea/nu3IHibx/ucxWowrbhS72rLCt6iGARxYXXNpYLD/nMyBeE8ssbWMin4Iwer5Xi0wFTb&#10;G+/omvtShBB2KSqovO9SKV1RkUEX2Y44cGfbG/QB9qXUPd5CuGnlexwn0mDNoaHCjjYVFU3+axQk&#10;7nv7o9mcsux4nn5lvkkueaPU68uwnoPwNPin+OHOdJg/Sz7g/5twgl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yqNQcMAAADdAAAADwAAAAAAAAAAAAAAAACYAgAAZHJzL2Rv&#10;d25yZXYueG1sUEsFBgAAAAAEAAQA9QAAAIgDAAAAAA==&#10;" path="m,228r7654,l7654,,,,,228xe" fillcolor="#1c6cb4" stroked="f">
                    <v:path arrowok="t" o:connecttype="custom" o:connectlocs="0,230;7654,230;7654,2;0,2;0,230" o:connectangles="0,0,0,0,0"/>
                  </v:shape>
                </v:group>
                <v:group id="Group 1858" o:spid="_x0000_s1062" style="position:absolute;top:3907;width:7654;height:3" coordorigin=",3907" coordsize="765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159cUAAADdAAAADwAAAGRycy9kb3ducmV2LnhtbERPS2vCQBC+F/wPyxS8&#10;1U2UhJq6ikiVHkKhKpTehuyYBLOzIbvN4993C4Xe5uN7zmY3mkb01LnasoJ4EYEgLqyuuVRwvRyf&#10;nkE4j6yxsUwKJnKw284eNphpO/AH9WdfihDCLkMFlfdtJqUrKjLoFrYlDtzNdgZ9gF0pdYdDCDeN&#10;XEZRKg3WHBoqbOlQUXE/fxsFpwGH/Sp+7fP77TB9XZL3zzwmpeaP4/4FhKfR/4v/3G86zF+n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NefXFAAAA3QAA&#10;AA8AAAAAAAAAAAAAAAAAqgIAAGRycy9kb3ducmV2LnhtbFBLBQYAAAAABAAEAPoAAACcAwAAAAA=&#10;">
                  <v:shape id="Freeform 1859" o:spid="_x0000_s1063" style="position:absolute;top:3907;width:7654;height:3;visibility:visible;mso-wrap-style:square;v-text-anchor:top" coordsize="76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X5kMMA&#10;AADdAAAADwAAAGRycy9kb3ducmV2LnhtbERPTWvCQBC9C/0PyxS86aYegk1dRSyKnqRG63XIjkkw&#10;Oxt3V4399d1Cwds83udMZp1pxI2cry0reBsmIIgLq2suFezz5WAMwgdkjY1lUvAgD7PpS2+CmbZ3&#10;/qLbLpQihrDPUEEVQptJ6YuKDPqhbYkjd7LOYIjQlVI7vMdw08hRkqTSYM2xocKWFhUV593VKDh+&#10;59vDyrWHi90s8mT1U9jP7Vip/ms3/wARqAtP8b97reP89zSFv2/iCXL6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X5kMMAAADdAAAADwAAAAAAAAAAAAAAAACYAgAAZHJzL2Rv&#10;d25yZXYueG1sUEsFBgAAAAAEAAQA9QAAAIgDAAAAAA==&#10;" path="m,3r7654,l7654,,,,,3xe" fillcolor="#1c6cb4" stroked="f">
                    <v:path arrowok="t" o:connecttype="custom" o:connectlocs="0,3910;7654,3910;7654,3907;0,3907;0,3910" o:connectangles="0,0,0,0,0"/>
                  </v:shape>
                </v:group>
                <v:group id="Group 1855" o:spid="_x0000_s1064" style="position:absolute;top:1;width:7654;height:3906" coordorigin=",1" coordsize="7654,39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NCGcQAAADdAAAADwAAAGRycy9kb3ducmV2LnhtbERPTWvCQBC9C/0PyxR6&#10;001aamvqKiJVPIhgFMTbkB2TYHY2ZLdJ/PddQfA2j/c503lvKtFS40rLCuJRBII4s7rkXMHxsBp+&#10;g3AeWWNlmRTcyMF89jKYYqJtx3tqU5+LEMIuQQWF93UipcsKMuhGtiYO3MU2Bn2ATS51g10IN5V8&#10;j6KxNFhyaCiwpmVB2TX9MwrWHXaLj/i33V4vy9v58Lk7bWNS6u21X/yA8NT7p/jh3ugwfzL+gv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VNCGcQAAADdAAAA&#10;DwAAAAAAAAAAAAAAAACqAgAAZHJzL2Rvd25yZXYueG1sUEsFBgAAAAAEAAQA+gAAAJsDAAAAAA==&#10;">
                  <v:shape id="Freeform 1857" o:spid="_x0000_s1065" style="position:absolute;top:3679;width:7654;height:228;visibility:visible;mso-wrap-style:square;v-text-anchor:top" coordsize="7654,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eHRMYA&#10;AADdAAAADwAAAGRycy9kb3ducmV2LnhtbESPQWvCQBCF70L/wzKF3szGHoKNriJCSyil0OjB45gd&#10;k5jsbMhuNf33nUOhtxnem/e+WW8n16sbjaH1bGCRpKCIK29brg0cD6/zJagQkS32nsnADwXYbh5m&#10;a8ytv/MX3cpYKwnhkKOBJsYh1zpUDTkMiR+IRbv40WGUday1HfEu4a7Xz2maaYctS0ODA+0bqrry&#10;2xnIwvvHp2V3LorTZflWxC67lp0xT4/TbgUq0hT/zX/XhRX8l0xw5RsZQ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eHRMYAAADdAAAADwAAAAAAAAAAAAAAAACYAgAAZHJz&#10;L2Rvd25yZXYueG1sUEsFBgAAAAAEAAQA9QAAAIsDAAAAAA==&#10;" path="m,228r7654,l7654,,,,,228xe" fillcolor="#1c6cb4" stroked="f">
                    <v:path arrowok="t" o:connecttype="custom" o:connectlocs="0,3907;7654,3907;7654,3679;0,3679;0,3907" o:connectangles="0,0,0,0,0"/>
                  </v:shape>
                  <v:shape id="Text Box 1856" o:spid="_x0000_s1066" type="#_x0000_t202" style="position:absolute;top:1;width:7654;height:3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J7K8QA&#10;AADdAAAADwAAAGRycy9kb3ducmV2LnhtbERPTWvCQBC9F/oflin0Vjf2EJrUjYhYEArFGA8ep9lJ&#10;spidjdlV03/vFgq9zeN9zmI52V5cafTGsYL5LAFBXDttuFVwqD5e3kD4gKyxd0wKfsjDsnh8WGCu&#10;3Y1Luu5DK2II+xwVdCEMuZS+7siin7mBOHKNGy2GCMdW6hFvMdz28jVJUmnRcGzocKB1R/Vpf7EK&#10;VkcuN+b89b0rm9JUVZbwZ3pS6vlpWr2DCDSFf/Gfe6vj/CzN4PebeIIs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eyvEAAAA3QAAAA8AAAAAAAAAAAAAAAAAmAIAAGRycy9k&#10;b3ducmV2LnhtbFBLBQYAAAAABAAEAPUAAACJAwAAAAA=&#10;" filled="f" stroked="f">
                    <v:textbox inset="0,0,0,0">
                      <w:txbxContent>
                        <w:p w14:paraId="58CC91FF" w14:textId="77777777" w:rsidR="00622FF2" w:rsidRDefault="00622FF2"/>
                      </w:txbxContent>
                    </v:textbox>
                  </v:shape>
                </v:group>
                <w10:anchorlock/>
              </v:group>
            </w:pict>
          </mc:Fallback>
        </mc:AlternateContent>
      </w:r>
    </w:p>
    <w:p w14:paraId="4C6D9150" w14:textId="77777777" w:rsidR="00DB7F92" w:rsidRPr="00DB7F92" w:rsidRDefault="00DB7F92" w:rsidP="003331F2">
      <w:pPr>
        <w:pStyle w:val="BodyText"/>
      </w:pPr>
    </w:p>
    <w:p w14:paraId="226C8447" w14:textId="77777777" w:rsidR="00DB7F92" w:rsidRPr="00DB7F92" w:rsidRDefault="00DB7F92" w:rsidP="003331F2">
      <w:pPr>
        <w:pStyle w:val="BodyText"/>
      </w:pPr>
    </w:p>
    <w:bookmarkEnd w:id="92"/>
    <w:p w14:paraId="381B65F2" w14:textId="77777777" w:rsidR="00DB7F92" w:rsidRPr="00DB7F92" w:rsidRDefault="00DB7F92" w:rsidP="00DB7F92">
      <w:pPr>
        <w:spacing w:line="360" w:lineRule="auto"/>
        <w:jc w:val="center"/>
        <w:rPr>
          <w:rFonts w:cs="Arial"/>
          <w:caps/>
          <w:sz w:val="28"/>
          <w:szCs w:val="28"/>
        </w:rPr>
      </w:pPr>
      <w:r w:rsidRPr="00DB7F92">
        <w:rPr>
          <w:rFonts w:cs="Arial"/>
          <w:sz w:val="28"/>
          <w:szCs w:val="28"/>
        </w:rPr>
        <w:t>Annex 1</w:t>
      </w:r>
    </w:p>
    <w:p w14:paraId="0E22B9B4" w14:textId="77777777" w:rsidR="00DB7F92" w:rsidRPr="00DB7F92" w:rsidRDefault="00DB7F92" w:rsidP="00DB7F92">
      <w:pPr>
        <w:spacing w:line="360" w:lineRule="auto"/>
        <w:jc w:val="center"/>
        <w:rPr>
          <w:rFonts w:cs="Arial"/>
          <w:caps/>
          <w:sz w:val="32"/>
          <w:szCs w:val="32"/>
        </w:rPr>
      </w:pPr>
      <w:r w:rsidRPr="00DB7F92">
        <w:rPr>
          <w:rFonts w:cs="Arial"/>
          <w:sz w:val="32"/>
          <w:szCs w:val="32"/>
        </w:rPr>
        <w:t>Extracts from Legislation</w:t>
      </w:r>
    </w:p>
    <w:p w14:paraId="653AD820" w14:textId="77777777" w:rsidR="00DB7F92" w:rsidRPr="00DB7F92" w:rsidRDefault="00DB7F92" w:rsidP="00DB7F92">
      <w:pPr>
        <w:spacing w:line="360" w:lineRule="auto"/>
        <w:jc w:val="center"/>
        <w:rPr>
          <w:rFonts w:cs="Arial"/>
          <w:b/>
          <w:caps/>
          <w:szCs w:val="24"/>
        </w:rPr>
      </w:pPr>
    </w:p>
    <w:p w14:paraId="1D822423" w14:textId="77777777" w:rsidR="00DB7F92" w:rsidRPr="00DB7F92" w:rsidRDefault="00DB7F92" w:rsidP="00DB7F92">
      <w:pPr>
        <w:spacing w:line="360" w:lineRule="auto"/>
        <w:jc w:val="center"/>
        <w:rPr>
          <w:rFonts w:cs="Arial"/>
          <w:szCs w:val="24"/>
        </w:rPr>
      </w:pPr>
      <w:r w:rsidRPr="00DB7F92">
        <w:rPr>
          <w:rFonts w:cs="Arial"/>
          <w:szCs w:val="24"/>
        </w:rPr>
        <w:t>The NHS ACT 2006 – SECTIONS 13C – 13Q</w:t>
      </w:r>
    </w:p>
    <w:p w14:paraId="24B10465" w14:textId="77777777" w:rsidR="00DB7F92" w:rsidRPr="00DB7F92" w:rsidRDefault="00DB7F92" w:rsidP="00DB7F92">
      <w:pPr>
        <w:spacing w:line="360" w:lineRule="auto"/>
        <w:jc w:val="center"/>
        <w:rPr>
          <w:rFonts w:cs="Arial"/>
          <w:szCs w:val="24"/>
        </w:rPr>
      </w:pPr>
      <w:r w:rsidRPr="00DB7F92">
        <w:rPr>
          <w:rFonts w:cs="Arial"/>
          <w:szCs w:val="24"/>
        </w:rPr>
        <w:t>General duties of the Board</w:t>
      </w:r>
    </w:p>
    <w:p w14:paraId="36025A94" w14:textId="77777777" w:rsidR="00DB7F92" w:rsidRPr="00DB7F92" w:rsidRDefault="00DB7F92" w:rsidP="00DB7F92">
      <w:pPr>
        <w:spacing w:line="360" w:lineRule="auto"/>
        <w:rPr>
          <w:rFonts w:cs="Arial"/>
          <w:szCs w:val="24"/>
        </w:rPr>
      </w:pPr>
    </w:p>
    <w:p w14:paraId="1359A8F9" w14:textId="5A0C538D" w:rsidR="00DB7F92" w:rsidRPr="00DB7F92" w:rsidRDefault="00DB7F92" w:rsidP="00DB7F92">
      <w:pPr>
        <w:spacing w:line="360" w:lineRule="auto"/>
        <w:rPr>
          <w:rFonts w:cs="Arial"/>
          <w:szCs w:val="24"/>
        </w:rPr>
      </w:pPr>
      <w:r w:rsidRPr="00DB7F92">
        <w:rPr>
          <w:rFonts w:cs="Arial"/>
          <w:szCs w:val="24"/>
        </w:rPr>
        <w:t xml:space="preserve">[References to "the Board" are to NHS England and CCGs with delegated authority, by virtue of the terms and conditions laid out the </w:t>
      </w:r>
      <w:hyperlink r:id="rId33" w:history="1">
        <w:r w:rsidRPr="00C26739">
          <w:rPr>
            <w:rFonts w:cs="Arial"/>
            <w:color w:val="0000FF"/>
            <w:szCs w:val="24"/>
            <w:u w:val="single"/>
          </w:rPr>
          <w:t>delegation agreement</w:t>
        </w:r>
      </w:hyperlink>
      <w:r w:rsidRPr="00DB7F92">
        <w:rPr>
          <w:rFonts w:cs="Arial"/>
          <w:szCs w:val="24"/>
        </w:rPr>
        <w:t xml:space="preserve"> </w:t>
      </w:r>
    </w:p>
    <w:p w14:paraId="71B41DB0" w14:textId="77777777" w:rsidR="00DB7F92" w:rsidRPr="00DB7F92" w:rsidRDefault="00DB7F92" w:rsidP="00DB7F92">
      <w:pPr>
        <w:spacing w:line="360" w:lineRule="auto"/>
        <w:rPr>
          <w:rFonts w:cs="Arial"/>
          <w:szCs w:val="24"/>
        </w:rPr>
      </w:pPr>
    </w:p>
    <w:p w14:paraId="25E3E2D9" w14:textId="77777777" w:rsidR="00DB7F92" w:rsidRPr="00DB7F92" w:rsidRDefault="00DB7F92" w:rsidP="00DB7F92">
      <w:pPr>
        <w:spacing w:line="360" w:lineRule="auto"/>
        <w:rPr>
          <w:rFonts w:cs="Arial"/>
          <w:szCs w:val="24"/>
        </w:rPr>
      </w:pPr>
      <w:r w:rsidRPr="00DB7F92">
        <w:rPr>
          <w:rFonts w:cs="Arial"/>
          <w:szCs w:val="24"/>
        </w:rPr>
        <w:t>13C  Duty to promote NHS Constitution</w:t>
      </w:r>
    </w:p>
    <w:p w14:paraId="328266B0" w14:textId="77777777" w:rsidR="00DB7F92" w:rsidRPr="00DB7F92" w:rsidRDefault="00DB7F92" w:rsidP="00836ECF">
      <w:pPr>
        <w:numPr>
          <w:ilvl w:val="0"/>
          <w:numId w:val="36"/>
        </w:numPr>
        <w:tabs>
          <w:tab w:val="left" w:pos="709"/>
        </w:tabs>
        <w:spacing w:line="360" w:lineRule="auto"/>
        <w:contextualSpacing/>
        <w:jc w:val="both"/>
        <w:rPr>
          <w:rFonts w:cs="Arial"/>
          <w:szCs w:val="24"/>
        </w:rPr>
      </w:pPr>
      <w:r w:rsidRPr="00DB7F92">
        <w:rPr>
          <w:rFonts w:cs="Arial"/>
          <w:szCs w:val="24"/>
        </w:rPr>
        <w:t>The Board must, in the exercise of its functions--</w:t>
      </w:r>
    </w:p>
    <w:p w14:paraId="4FAA4F32" w14:textId="77777777" w:rsidR="00DB7F92" w:rsidRPr="00DB7F92" w:rsidRDefault="00DB7F92" w:rsidP="00DB7F92">
      <w:pPr>
        <w:spacing w:line="360" w:lineRule="auto"/>
        <w:ind w:left="1276" w:hanging="567"/>
        <w:rPr>
          <w:rFonts w:cs="Arial"/>
          <w:szCs w:val="24"/>
        </w:rPr>
      </w:pPr>
      <w:r w:rsidRPr="00DB7F92">
        <w:rPr>
          <w:rFonts w:cs="Arial"/>
          <w:szCs w:val="24"/>
        </w:rPr>
        <w:t>(a)</w:t>
      </w:r>
      <w:r w:rsidRPr="00DB7F92">
        <w:rPr>
          <w:rFonts w:cs="Arial"/>
          <w:szCs w:val="24"/>
        </w:rPr>
        <w:tab/>
        <w:t>act with a view to securing that health services are provided in a way which promotes the NHS Constitution, and</w:t>
      </w:r>
    </w:p>
    <w:p w14:paraId="53AD0229" w14:textId="77777777" w:rsidR="00DB7F92" w:rsidRPr="00DB7F92" w:rsidRDefault="00DB7F92" w:rsidP="00DB7F92">
      <w:pPr>
        <w:tabs>
          <w:tab w:val="left" w:pos="1276"/>
        </w:tabs>
        <w:spacing w:line="360" w:lineRule="auto"/>
        <w:ind w:left="1276" w:hanging="567"/>
        <w:rPr>
          <w:rFonts w:cs="Arial"/>
          <w:szCs w:val="24"/>
        </w:rPr>
      </w:pPr>
      <w:r w:rsidRPr="00DB7F92">
        <w:rPr>
          <w:rFonts w:cs="Arial"/>
          <w:szCs w:val="24"/>
        </w:rPr>
        <w:t>(b)</w:t>
      </w:r>
      <w:r w:rsidRPr="00DB7F92">
        <w:rPr>
          <w:rFonts w:cs="Arial"/>
          <w:szCs w:val="24"/>
        </w:rPr>
        <w:tab/>
        <w:t>promote awareness of the NHS Constitution among patients, staff and members of the public.</w:t>
      </w:r>
    </w:p>
    <w:p w14:paraId="2F38C64C" w14:textId="77777777" w:rsidR="00DB7F92" w:rsidRPr="00DB7F92" w:rsidRDefault="00DB7F92" w:rsidP="00836ECF">
      <w:pPr>
        <w:numPr>
          <w:ilvl w:val="0"/>
          <w:numId w:val="36"/>
        </w:numPr>
        <w:tabs>
          <w:tab w:val="left" w:pos="709"/>
        </w:tabs>
        <w:spacing w:line="360" w:lineRule="auto"/>
        <w:contextualSpacing/>
        <w:jc w:val="both"/>
        <w:rPr>
          <w:rFonts w:cs="Arial"/>
          <w:szCs w:val="24"/>
        </w:rPr>
      </w:pPr>
      <w:r w:rsidRPr="00DB7F92">
        <w:rPr>
          <w:rFonts w:cs="Arial"/>
          <w:szCs w:val="24"/>
        </w:rPr>
        <w:t>In this section, "patients" and "staff" have the same meaning as in Chapter 1 of Part 1 of the Health Act 2009 (see section 3(7) of that Act).</w:t>
      </w:r>
      <w:bookmarkStart w:id="102" w:name="DOC_ID_0_1"/>
      <w:bookmarkEnd w:id="102"/>
    </w:p>
    <w:p w14:paraId="301C1E90" w14:textId="77777777" w:rsidR="00DB7F92" w:rsidRPr="00DB7F92" w:rsidRDefault="00DB7F92" w:rsidP="00DB7F92">
      <w:pPr>
        <w:spacing w:line="360" w:lineRule="auto"/>
        <w:ind w:left="240"/>
        <w:rPr>
          <w:rFonts w:cs="Arial"/>
          <w:szCs w:val="24"/>
        </w:rPr>
      </w:pPr>
    </w:p>
    <w:p w14:paraId="41CD42B2" w14:textId="77777777" w:rsidR="00DB7F92" w:rsidRPr="00DB7F92" w:rsidRDefault="00DB7F92" w:rsidP="00DB7F92">
      <w:pPr>
        <w:spacing w:line="360" w:lineRule="auto"/>
        <w:rPr>
          <w:rFonts w:cs="Arial"/>
          <w:szCs w:val="24"/>
        </w:rPr>
      </w:pPr>
      <w:r w:rsidRPr="00DB7F92">
        <w:rPr>
          <w:rFonts w:cs="Arial"/>
          <w:szCs w:val="24"/>
        </w:rPr>
        <w:t>13D Duty as to effectiveness, efficiency etc</w:t>
      </w:r>
    </w:p>
    <w:p w14:paraId="7A846BF8" w14:textId="77777777" w:rsidR="00DB7F92" w:rsidRPr="00DB7F92" w:rsidRDefault="00DB7F92" w:rsidP="00DB7F92">
      <w:pPr>
        <w:spacing w:line="360" w:lineRule="auto"/>
        <w:rPr>
          <w:rFonts w:cs="Arial"/>
          <w:szCs w:val="24"/>
        </w:rPr>
      </w:pPr>
      <w:r w:rsidRPr="00DB7F92">
        <w:rPr>
          <w:rFonts w:cs="Arial"/>
          <w:szCs w:val="24"/>
        </w:rPr>
        <w:t>The Board must exercise its functions effectively, efficiently and economically.</w:t>
      </w:r>
    </w:p>
    <w:p w14:paraId="452F09F8" w14:textId="77777777" w:rsidR="00DB7F92" w:rsidRPr="00DB7F92" w:rsidRDefault="00DB7F92" w:rsidP="00DB7F92">
      <w:pPr>
        <w:spacing w:line="360" w:lineRule="auto"/>
        <w:rPr>
          <w:rFonts w:cs="Arial"/>
          <w:szCs w:val="24"/>
        </w:rPr>
      </w:pPr>
      <w:bookmarkStart w:id="103" w:name="DOC_ID_0_2"/>
      <w:bookmarkEnd w:id="103"/>
    </w:p>
    <w:p w14:paraId="389E591E" w14:textId="77777777" w:rsidR="00DB7F92" w:rsidRPr="00DB7F92" w:rsidRDefault="00DB7F92" w:rsidP="00DB7F92">
      <w:pPr>
        <w:spacing w:line="360" w:lineRule="auto"/>
        <w:rPr>
          <w:rFonts w:cs="Arial"/>
          <w:szCs w:val="24"/>
        </w:rPr>
      </w:pPr>
      <w:r w:rsidRPr="00DB7F92">
        <w:rPr>
          <w:rFonts w:cs="Arial"/>
          <w:szCs w:val="24"/>
        </w:rPr>
        <w:t>13E  Duty as to improvement in quality of services</w:t>
      </w:r>
    </w:p>
    <w:p w14:paraId="2DCDAE90" w14:textId="77777777" w:rsidR="00DB7F92" w:rsidRPr="00DB7F92" w:rsidRDefault="00DB7F92" w:rsidP="00836ECF">
      <w:pPr>
        <w:numPr>
          <w:ilvl w:val="0"/>
          <w:numId w:val="37"/>
        </w:numPr>
        <w:spacing w:line="360" w:lineRule="auto"/>
        <w:contextualSpacing/>
        <w:jc w:val="both"/>
        <w:rPr>
          <w:rFonts w:cs="Arial"/>
          <w:szCs w:val="24"/>
        </w:rPr>
      </w:pPr>
      <w:r w:rsidRPr="00DB7F92">
        <w:rPr>
          <w:rFonts w:cs="Arial"/>
          <w:szCs w:val="24"/>
        </w:rPr>
        <w:lastRenderedPageBreak/>
        <w:t>The Board must exercise its functions with a view to securing continuous improvement in the quality of services provided to individuals for or in connection with--</w:t>
      </w:r>
    </w:p>
    <w:p w14:paraId="46AE9BE9" w14:textId="77777777" w:rsidR="00DB7F92" w:rsidRPr="00DB7F92" w:rsidRDefault="00DB7F92" w:rsidP="00836ECF">
      <w:pPr>
        <w:widowControl w:val="0"/>
        <w:numPr>
          <w:ilvl w:val="5"/>
          <w:numId w:val="44"/>
        </w:numPr>
        <w:tabs>
          <w:tab w:val="left" w:pos="6096"/>
        </w:tabs>
        <w:spacing w:line="360" w:lineRule="auto"/>
        <w:ind w:left="1276" w:hanging="567"/>
        <w:jc w:val="both"/>
        <w:outlineLvl w:val="5"/>
        <w:rPr>
          <w:rFonts w:eastAsiaTheme="majorEastAsia" w:cs="Arial"/>
          <w:i/>
          <w:iCs/>
          <w:szCs w:val="24"/>
        </w:rPr>
      </w:pPr>
      <w:r w:rsidRPr="00DB7F92">
        <w:rPr>
          <w:rFonts w:eastAsiaTheme="majorEastAsia" w:cs="Arial"/>
          <w:i/>
          <w:iCs/>
          <w:szCs w:val="24"/>
        </w:rPr>
        <w:t>the prevention, diagnosis or treatment of illness, or</w:t>
      </w:r>
    </w:p>
    <w:p w14:paraId="33A00C11" w14:textId="77777777" w:rsidR="00DB7F92" w:rsidRPr="00DB7F92" w:rsidRDefault="00DB7F92" w:rsidP="00836ECF">
      <w:pPr>
        <w:widowControl w:val="0"/>
        <w:numPr>
          <w:ilvl w:val="5"/>
          <w:numId w:val="44"/>
        </w:numPr>
        <w:tabs>
          <w:tab w:val="left" w:pos="6096"/>
        </w:tabs>
        <w:spacing w:line="360" w:lineRule="auto"/>
        <w:ind w:left="1276" w:hanging="567"/>
        <w:jc w:val="both"/>
        <w:outlineLvl w:val="5"/>
        <w:rPr>
          <w:rFonts w:eastAsiaTheme="majorEastAsia" w:cs="Arial"/>
          <w:i/>
          <w:iCs/>
          <w:szCs w:val="24"/>
        </w:rPr>
      </w:pPr>
      <w:r w:rsidRPr="00DB7F92">
        <w:rPr>
          <w:rFonts w:eastAsiaTheme="majorEastAsia" w:cs="Arial"/>
          <w:i/>
          <w:iCs/>
          <w:szCs w:val="24"/>
        </w:rPr>
        <w:t>the protection or improvement of public health.</w:t>
      </w:r>
    </w:p>
    <w:p w14:paraId="1DFBBA86" w14:textId="77777777" w:rsidR="00DB7F92" w:rsidRPr="00DB7F92" w:rsidRDefault="00DB7F92" w:rsidP="00836ECF">
      <w:pPr>
        <w:numPr>
          <w:ilvl w:val="0"/>
          <w:numId w:val="37"/>
        </w:numPr>
        <w:spacing w:line="360" w:lineRule="auto"/>
        <w:contextualSpacing/>
        <w:jc w:val="both"/>
        <w:rPr>
          <w:rFonts w:cs="Arial"/>
          <w:szCs w:val="24"/>
        </w:rPr>
      </w:pPr>
      <w:r w:rsidRPr="00DB7F92">
        <w:rPr>
          <w:rFonts w:cs="Arial"/>
          <w:szCs w:val="24"/>
        </w:rPr>
        <w:t>In discharging its duty under subsection (1), the Board must, in particular, act with a view to securing continuous improvement in the outcomes that are achieved from the provision of the services.</w:t>
      </w:r>
    </w:p>
    <w:p w14:paraId="5D2F720E" w14:textId="77777777" w:rsidR="00DB7F92" w:rsidRPr="00DB7F92" w:rsidRDefault="00DB7F92" w:rsidP="00836ECF">
      <w:pPr>
        <w:numPr>
          <w:ilvl w:val="0"/>
          <w:numId w:val="37"/>
        </w:numPr>
        <w:spacing w:line="360" w:lineRule="auto"/>
        <w:contextualSpacing/>
        <w:jc w:val="both"/>
        <w:rPr>
          <w:rFonts w:cs="Arial"/>
          <w:szCs w:val="24"/>
        </w:rPr>
      </w:pPr>
      <w:r w:rsidRPr="00DB7F92">
        <w:rPr>
          <w:rFonts w:cs="Arial"/>
          <w:szCs w:val="24"/>
        </w:rPr>
        <w:t>The outcomes relevant for the purposes of subsection (2) include, in particular, outcomes which show--</w:t>
      </w:r>
    </w:p>
    <w:p w14:paraId="003778F4" w14:textId="77777777" w:rsidR="00DB7F92" w:rsidRPr="00DB7F92" w:rsidRDefault="00DB7F92" w:rsidP="00836ECF">
      <w:pPr>
        <w:widowControl w:val="0"/>
        <w:numPr>
          <w:ilvl w:val="5"/>
          <w:numId w:val="45"/>
        </w:numPr>
        <w:tabs>
          <w:tab w:val="left" w:pos="6096"/>
        </w:tabs>
        <w:spacing w:line="360" w:lineRule="auto"/>
        <w:ind w:left="1276" w:hanging="567"/>
        <w:jc w:val="both"/>
        <w:outlineLvl w:val="5"/>
        <w:rPr>
          <w:rFonts w:eastAsiaTheme="majorEastAsia" w:cs="Arial"/>
          <w:i/>
          <w:iCs/>
          <w:szCs w:val="24"/>
        </w:rPr>
      </w:pPr>
      <w:r w:rsidRPr="00DB7F92">
        <w:rPr>
          <w:rFonts w:eastAsiaTheme="majorEastAsia" w:cs="Arial"/>
          <w:i/>
          <w:iCs/>
          <w:szCs w:val="24"/>
        </w:rPr>
        <w:t>the effectiveness of the services,</w:t>
      </w:r>
    </w:p>
    <w:p w14:paraId="6B27D166" w14:textId="77777777" w:rsidR="00DB7F92" w:rsidRPr="00DB7F92" w:rsidRDefault="00DB7F92" w:rsidP="00836ECF">
      <w:pPr>
        <w:widowControl w:val="0"/>
        <w:numPr>
          <w:ilvl w:val="5"/>
          <w:numId w:val="45"/>
        </w:numPr>
        <w:tabs>
          <w:tab w:val="left" w:pos="6096"/>
        </w:tabs>
        <w:spacing w:line="360" w:lineRule="auto"/>
        <w:ind w:left="1276" w:hanging="567"/>
        <w:jc w:val="both"/>
        <w:outlineLvl w:val="5"/>
        <w:rPr>
          <w:rFonts w:eastAsiaTheme="majorEastAsia" w:cs="Arial"/>
          <w:i/>
          <w:iCs/>
          <w:szCs w:val="24"/>
        </w:rPr>
      </w:pPr>
      <w:r w:rsidRPr="00DB7F92">
        <w:rPr>
          <w:rFonts w:eastAsiaTheme="majorEastAsia" w:cs="Arial"/>
          <w:i/>
          <w:iCs/>
          <w:szCs w:val="24"/>
        </w:rPr>
        <w:t>the safety of the services, and</w:t>
      </w:r>
    </w:p>
    <w:p w14:paraId="71992F10" w14:textId="77777777" w:rsidR="00DB7F92" w:rsidRPr="00DB7F92" w:rsidRDefault="00DB7F92" w:rsidP="00836ECF">
      <w:pPr>
        <w:widowControl w:val="0"/>
        <w:numPr>
          <w:ilvl w:val="5"/>
          <w:numId w:val="45"/>
        </w:numPr>
        <w:tabs>
          <w:tab w:val="left" w:pos="6096"/>
        </w:tabs>
        <w:spacing w:line="360" w:lineRule="auto"/>
        <w:ind w:left="1276" w:hanging="567"/>
        <w:jc w:val="both"/>
        <w:outlineLvl w:val="5"/>
        <w:rPr>
          <w:rFonts w:eastAsiaTheme="majorEastAsia" w:cs="Arial"/>
          <w:i/>
          <w:iCs/>
          <w:szCs w:val="24"/>
        </w:rPr>
      </w:pPr>
      <w:r w:rsidRPr="00DB7F92">
        <w:rPr>
          <w:rFonts w:eastAsiaTheme="majorEastAsia" w:cs="Arial"/>
          <w:i/>
          <w:iCs/>
          <w:szCs w:val="24"/>
        </w:rPr>
        <w:t>the quality of the experience undergone by patients.</w:t>
      </w:r>
    </w:p>
    <w:p w14:paraId="1CAF6E87" w14:textId="77777777" w:rsidR="00DB7F92" w:rsidRPr="00DB7F92" w:rsidRDefault="00DB7F92" w:rsidP="00836ECF">
      <w:pPr>
        <w:numPr>
          <w:ilvl w:val="0"/>
          <w:numId w:val="37"/>
        </w:numPr>
        <w:spacing w:line="360" w:lineRule="auto"/>
        <w:contextualSpacing/>
        <w:jc w:val="both"/>
        <w:rPr>
          <w:rFonts w:cs="Arial"/>
          <w:szCs w:val="24"/>
        </w:rPr>
      </w:pPr>
      <w:r w:rsidRPr="00DB7F92">
        <w:rPr>
          <w:rFonts w:cs="Arial"/>
          <w:szCs w:val="24"/>
        </w:rPr>
        <w:t>In discharging its duty under subsection (1), the Board must have regard to--</w:t>
      </w:r>
    </w:p>
    <w:p w14:paraId="112FF24F" w14:textId="77777777" w:rsidR="00DB7F92" w:rsidRPr="00DB7F92" w:rsidRDefault="00DB7F92" w:rsidP="00DB7F92">
      <w:pPr>
        <w:spacing w:line="360" w:lineRule="auto"/>
        <w:ind w:left="1276" w:hanging="567"/>
        <w:rPr>
          <w:rFonts w:cs="Arial"/>
          <w:szCs w:val="24"/>
        </w:rPr>
      </w:pPr>
      <w:r w:rsidRPr="00DB7F92">
        <w:rPr>
          <w:rFonts w:cs="Arial"/>
          <w:szCs w:val="24"/>
        </w:rPr>
        <w:t>(a)</w:t>
      </w:r>
      <w:r w:rsidRPr="00DB7F92">
        <w:rPr>
          <w:rFonts w:cs="Arial"/>
          <w:szCs w:val="24"/>
        </w:rPr>
        <w:tab/>
        <w:t xml:space="preserve">any document published by the Secretary of State for the purposes of </w:t>
      </w:r>
      <w:r w:rsidRPr="00DB7F92">
        <w:rPr>
          <w:rFonts w:cs="Arial"/>
          <w:szCs w:val="24"/>
        </w:rPr>
        <w:tab/>
        <w:t>this section, and</w:t>
      </w:r>
    </w:p>
    <w:p w14:paraId="776F7C30" w14:textId="77777777" w:rsidR="00DB7F92" w:rsidRPr="00DB7F92" w:rsidRDefault="00DB7F92" w:rsidP="00DB7F92">
      <w:pPr>
        <w:spacing w:line="360" w:lineRule="auto"/>
        <w:ind w:left="1276" w:hanging="567"/>
        <w:rPr>
          <w:rFonts w:cs="Arial"/>
          <w:szCs w:val="24"/>
        </w:rPr>
      </w:pPr>
      <w:r w:rsidRPr="00DB7F92">
        <w:rPr>
          <w:rFonts w:cs="Arial"/>
          <w:szCs w:val="24"/>
        </w:rPr>
        <w:t>(b)</w:t>
      </w:r>
      <w:r w:rsidRPr="00DB7F92">
        <w:rPr>
          <w:rFonts w:cs="Arial"/>
          <w:szCs w:val="24"/>
        </w:rPr>
        <w:tab/>
        <w:t>the quality standards prepared by NICE under section 234 of the Health and Social Care Act 2012.</w:t>
      </w:r>
      <w:bookmarkStart w:id="104" w:name="DOC_ID_0_3"/>
      <w:bookmarkEnd w:id="104"/>
    </w:p>
    <w:p w14:paraId="0AFC462F" w14:textId="77777777" w:rsidR="00DB7F92" w:rsidRPr="00DB7F92" w:rsidRDefault="00DB7F92" w:rsidP="00DB7F92">
      <w:pPr>
        <w:spacing w:line="360" w:lineRule="auto"/>
        <w:rPr>
          <w:rFonts w:cs="Arial"/>
          <w:szCs w:val="24"/>
        </w:rPr>
      </w:pPr>
    </w:p>
    <w:p w14:paraId="0B1D3F96" w14:textId="77777777" w:rsidR="00DB7F92" w:rsidRPr="00DB7F92" w:rsidRDefault="00DB7F92" w:rsidP="00DB7F92">
      <w:pPr>
        <w:spacing w:line="360" w:lineRule="auto"/>
        <w:rPr>
          <w:rFonts w:cs="Arial"/>
          <w:szCs w:val="24"/>
        </w:rPr>
      </w:pPr>
      <w:r w:rsidRPr="00DB7F92">
        <w:rPr>
          <w:rFonts w:cs="Arial"/>
          <w:szCs w:val="24"/>
        </w:rPr>
        <w:t>13F  Duty as to promoting autonomy</w:t>
      </w:r>
    </w:p>
    <w:p w14:paraId="7C1D0E0B" w14:textId="77777777" w:rsidR="00DB7F92" w:rsidRPr="00DB7F92" w:rsidRDefault="00DB7F92" w:rsidP="00836ECF">
      <w:pPr>
        <w:numPr>
          <w:ilvl w:val="0"/>
          <w:numId w:val="38"/>
        </w:numPr>
        <w:spacing w:line="360" w:lineRule="auto"/>
        <w:ind w:left="709" w:hanging="709"/>
        <w:contextualSpacing/>
        <w:jc w:val="both"/>
        <w:rPr>
          <w:rFonts w:cs="Arial"/>
          <w:szCs w:val="24"/>
        </w:rPr>
      </w:pPr>
      <w:r w:rsidRPr="00DB7F92">
        <w:rPr>
          <w:rFonts w:cs="Arial"/>
          <w:szCs w:val="24"/>
        </w:rPr>
        <w:t>In exercising its functions, the Board must have regard to the desirability of securing, so far as consistent with the interests of the health service--</w:t>
      </w:r>
    </w:p>
    <w:p w14:paraId="01B0B0D0" w14:textId="77777777" w:rsidR="00DB7F92" w:rsidRPr="00DB7F92" w:rsidRDefault="00DB7F92" w:rsidP="00DB7F92">
      <w:pPr>
        <w:spacing w:line="360" w:lineRule="auto"/>
        <w:ind w:left="1276" w:hanging="567"/>
        <w:rPr>
          <w:rFonts w:cs="Arial"/>
          <w:szCs w:val="24"/>
        </w:rPr>
      </w:pPr>
      <w:r w:rsidRPr="00DB7F92">
        <w:rPr>
          <w:rFonts w:cs="Arial"/>
          <w:szCs w:val="24"/>
        </w:rPr>
        <w:t>(a)</w:t>
      </w:r>
      <w:r w:rsidRPr="00DB7F92">
        <w:rPr>
          <w:rFonts w:cs="Arial"/>
          <w:szCs w:val="24"/>
        </w:rPr>
        <w:tab/>
        <w:t>that any other person exercising functions in relation to the health service or providing services for its purposes is free to exercise those functions or provide those services in the manner it considers most appropriate, and</w:t>
      </w:r>
    </w:p>
    <w:p w14:paraId="727BD5EE" w14:textId="77777777" w:rsidR="00DB7F92" w:rsidRPr="00DB7F92" w:rsidRDefault="00DB7F92" w:rsidP="00DB7F92">
      <w:pPr>
        <w:spacing w:line="360" w:lineRule="auto"/>
        <w:ind w:left="1276" w:hanging="567"/>
        <w:rPr>
          <w:rFonts w:cs="Arial"/>
          <w:szCs w:val="24"/>
        </w:rPr>
      </w:pPr>
      <w:r w:rsidRPr="00DB7F92">
        <w:rPr>
          <w:rFonts w:cs="Arial"/>
          <w:szCs w:val="24"/>
        </w:rPr>
        <w:t>(b)</w:t>
      </w:r>
      <w:r w:rsidRPr="00DB7F92">
        <w:rPr>
          <w:rFonts w:cs="Arial"/>
          <w:szCs w:val="24"/>
        </w:rPr>
        <w:tab/>
        <w:t>that unnecessary burdens are not imposed on any such person.</w:t>
      </w:r>
    </w:p>
    <w:p w14:paraId="13CAF869" w14:textId="77777777" w:rsidR="00DB7F92" w:rsidRPr="00DB7F92" w:rsidRDefault="00DB7F92" w:rsidP="00836ECF">
      <w:pPr>
        <w:numPr>
          <w:ilvl w:val="0"/>
          <w:numId w:val="38"/>
        </w:numPr>
        <w:spacing w:line="360" w:lineRule="auto"/>
        <w:ind w:left="709" w:hanging="709"/>
        <w:contextualSpacing/>
        <w:jc w:val="both"/>
        <w:rPr>
          <w:rFonts w:cs="Arial"/>
          <w:szCs w:val="24"/>
        </w:rPr>
      </w:pPr>
      <w:r w:rsidRPr="00DB7F92">
        <w:rPr>
          <w:rFonts w:cs="Arial"/>
          <w:szCs w:val="24"/>
        </w:rPr>
        <w:t>If, in the case of any exercise of functions, the Board considers that there is a conflict between the matters mentioned in subsection (1) and the discharge by the Board of its duties under sections 1(1) and 1H(3)(b), the Board must give priority to those duties.</w:t>
      </w:r>
    </w:p>
    <w:p w14:paraId="6CA8A2BE" w14:textId="77777777" w:rsidR="00DB7F92" w:rsidRPr="00DB7F92" w:rsidRDefault="00DB7F92" w:rsidP="00DB7F92">
      <w:pPr>
        <w:spacing w:line="360" w:lineRule="auto"/>
        <w:rPr>
          <w:rFonts w:cs="Arial"/>
          <w:szCs w:val="24"/>
        </w:rPr>
      </w:pPr>
      <w:bookmarkStart w:id="105" w:name="DOC_ID_0_4"/>
      <w:bookmarkEnd w:id="105"/>
    </w:p>
    <w:p w14:paraId="1C78419F" w14:textId="77777777" w:rsidR="00DB7F92" w:rsidRPr="00DB7F92" w:rsidRDefault="00DB7F92" w:rsidP="00DB7F92">
      <w:pPr>
        <w:spacing w:line="360" w:lineRule="auto"/>
        <w:rPr>
          <w:rFonts w:cs="Arial"/>
          <w:szCs w:val="24"/>
        </w:rPr>
      </w:pPr>
      <w:r w:rsidRPr="00DB7F92">
        <w:rPr>
          <w:rFonts w:cs="Arial"/>
          <w:szCs w:val="24"/>
        </w:rPr>
        <w:t>13G  Duty as to reducing inequalities</w:t>
      </w:r>
    </w:p>
    <w:p w14:paraId="4C7A2822" w14:textId="77777777" w:rsidR="00DB7F92" w:rsidRPr="00DB7F92" w:rsidRDefault="00DB7F92" w:rsidP="00DB7F92">
      <w:pPr>
        <w:spacing w:line="360" w:lineRule="auto"/>
        <w:rPr>
          <w:rFonts w:cs="Arial"/>
          <w:szCs w:val="24"/>
        </w:rPr>
      </w:pPr>
      <w:r w:rsidRPr="00DB7F92">
        <w:rPr>
          <w:rFonts w:cs="Arial"/>
          <w:szCs w:val="24"/>
        </w:rPr>
        <w:t>The Board must, in the exercise of its functions, have regard to the need to--</w:t>
      </w:r>
    </w:p>
    <w:p w14:paraId="0562831C" w14:textId="77777777" w:rsidR="00DB7F92" w:rsidRPr="00DB7F92" w:rsidRDefault="00DB7F92" w:rsidP="00DB7F92">
      <w:pPr>
        <w:spacing w:line="360" w:lineRule="auto"/>
        <w:ind w:left="1276" w:hanging="567"/>
        <w:rPr>
          <w:rFonts w:cs="Arial"/>
          <w:szCs w:val="24"/>
        </w:rPr>
      </w:pPr>
      <w:r w:rsidRPr="00DB7F92">
        <w:rPr>
          <w:rFonts w:cs="Arial"/>
          <w:szCs w:val="24"/>
        </w:rPr>
        <w:lastRenderedPageBreak/>
        <w:t>(a)</w:t>
      </w:r>
      <w:r w:rsidRPr="00DB7F92">
        <w:rPr>
          <w:rFonts w:cs="Arial"/>
          <w:szCs w:val="24"/>
        </w:rPr>
        <w:tab/>
        <w:t>reduce inequalities between patients with respect to their ability to access health services, and</w:t>
      </w:r>
    </w:p>
    <w:p w14:paraId="2F4C8C16" w14:textId="77777777" w:rsidR="00DB7F92" w:rsidRPr="00DB7F92" w:rsidRDefault="00DB7F92" w:rsidP="00DB7F92">
      <w:pPr>
        <w:spacing w:line="360" w:lineRule="auto"/>
        <w:ind w:left="1276" w:hanging="567"/>
        <w:rPr>
          <w:rFonts w:cs="Arial"/>
          <w:szCs w:val="24"/>
        </w:rPr>
      </w:pPr>
      <w:r w:rsidRPr="00DB7F92">
        <w:rPr>
          <w:rFonts w:cs="Arial"/>
          <w:szCs w:val="24"/>
        </w:rPr>
        <w:t>(b)</w:t>
      </w:r>
      <w:r w:rsidRPr="00DB7F92">
        <w:rPr>
          <w:rFonts w:cs="Arial"/>
          <w:szCs w:val="24"/>
        </w:rPr>
        <w:tab/>
        <w:t>reduce inequalities between patients with respect to the outcomes achieved for them by the provision of health services.</w:t>
      </w:r>
      <w:bookmarkStart w:id="106" w:name="DOC_ID_0_5"/>
      <w:bookmarkEnd w:id="106"/>
    </w:p>
    <w:p w14:paraId="26A6E356" w14:textId="77777777" w:rsidR="00DB7F92" w:rsidRPr="00DB7F92" w:rsidRDefault="00DB7F92" w:rsidP="00DB7F92">
      <w:pPr>
        <w:spacing w:line="360" w:lineRule="auto"/>
        <w:ind w:left="240"/>
        <w:rPr>
          <w:rFonts w:cs="Arial"/>
          <w:b/>
          <w:bCs w:val="0"/>
          <w:szCs w:val="24"/>
        </w:rPr>
      </w:pPr>
    </w:p>
    <w:p w14:paraId="6B6C2EAF" w14:textId="77777777" w:rsidR="00DB7F92" w:rsidRPr="00DB7F92" w:rsidRDefault="00DB7F92" w:rsidP="00DB7F92">
      <w:pPr>
        <w:spacing w:line="360" w:lineRule="auto"/>
        <w:rPr>
          <w:rFonts w:cs="Arial"/>
          <w:szCs w:val="24"/>
        </w:rPr>
      </w:pPr>
      <w:r w:rsidRPr="00DB7F92">
        <w:rPr>
          <w:rFonts w:cs="Arial"/>
          <w:szCs w:val="24"/>
        </w:rPr>
        <w:t>13H  Duty to promote involvement of each patient</w:t>
      </w:r>
    </w:p>
    <w:p w14:paraId="3047E49D" w14:textId="77777777" w:rsidR="00DB7F92" w:rsidRPr="00DB7F92" w:rsidRDefault="00DB7F92" w:rsidP="00DB7F92">
      <w:pPr>
        <w:spacing w:line="360" w:lineRule="auto"/>
        <w:rPr>
          <w:rFonts w:cs="Arial"/>
          <w:szCs w:val="24"/>
        </w:rPr>
      </w:pPr>
      <w:r w:rsidRPr="00DB7F92">
        <w:rPr>
          <w:rFonts w:cs="Arial"/>
          <w:szCs w:val="24"/>
        </w:rPr>
        <w:t>The Board must, in the exercise of its functions, promote the involvement of patients, and their carers and representatives (if any), in decisions which relate to--</w:t>
      </w:r>
    </w:p>
    <w:p w14:paraId="511A2A62" w14:textId="77777777" w:rsidR="00DB7F92" w:rsidRPr="00DB7F92" w:rsidRDefault="00DB7F92" w:rsidP="00DB7F92">
      <w:pPr>
        <w:spacing w:line="360" w:lineRule="auto"/>
        <w:ind w:left="1276" w:hanging="567"/>
        <w:rPr>
          <w:rFonts w:cs="Arial"/>
          <w:szCs w:val="24"/>
        </w:rPr>
      </w:pPr>
      <w:r w:rsidRPr="00DB7F92">
        <w:rPr>
          <w:rFonts w:cs="Arial"/>
          <w:szCs w:val="24"/>
        </w:rPr>
        <w:t>(a)     the prevention or diagnosis of illness in the patients, or</w:t>
      </w:r>
    </w:p>
    <w:p w14:paraId="73D8D926" w14:textId="77777777" w:rsidR="00DB7F92" w:rsidRPr="00DB7F92" w:rsidRDefault="00DB7F92" w:rsidP="00DB7F92">
      <w:pPr>
        <w:spacing w:line="360" w:lineRule="auto"/>
        <w:ind w:left="1276" w:hanging="567"/>
        <w:rPr>
          <w:rFonts w:cs="Arial"/>
          <w:szCs w:val="24"/>
        </w:rPr>
      </w:pPr>
      <w:r w:rsidRPr="00DB7F92">
        <w:rPr>
          <w:rFonts w:cs="Arial"/>
          <w:szCs w:val="24"/>
        </w:rPr>
        <w:t>(b)     their care or treatment.</w:t>
      </w:r>
    </w:p>
    <w:p w14:paraId="610F880E" w14:textId="77777777" w:rsidR="00DB7F92" w:rsidRPr="00DB7F92" w:rsidRDefault="00DB7F92" w:rsidP="00DB7F92">
      <w:pPr>
        <w:spacing w:line="360" w:lineRule="auto"/>
        <w:rPr>
          <w:rFonts w:cs="Arial"/>
          <w:szCs w:val="24"/>
        </w:rPr>
      </w:pPr>
      <w:bookmarkStart w:id="107" w:name="DOC_ID_0_6"/>
      <w:bookmarkEnd w:id="107"/>
    </w:p>
    <w:p w14:paraId="2BE367AA" w14:textId="77777777" w:rsidR="00DB7F92" w:rsidRPr="00DB7F92" w:rsidRDefault="00DB7F92" w:rsidP="00DB7F92">
      <w:pPr>
        <w:spacing w:line="360" w:lineRule="auto"/>
        <w:rPr>
          <w:rFonts w:cs="Arial"/>
          <w:szCs w:val="24"/>
        </w:rPr>
      </w:pPr>
      <w:r w:rsidRPr="00DB7F92">
        <w:rPr>
          <w:rFonts w:cs="Arial"/>
          <w:szCs w:val="24"/>
        </w:rPr>
        <w:t>13I  Duty as to patient choice</w:t>
      </w:r>
    </w:p>
    <w:p w14:paraId="4E0CB1C9" w14:textId="77777777" w:rsidR="00DB7F92" w:rsidRPr="00DB7F92" w:rsidRDefault="00DB7F92" w:rsidP="00DB7F92">
      <w:pPr>
        <w:spacing w:line="360" w:lineRule="auto"/>
        <w:rPr>
          <w:rFonts w:cs="Arial"/>
          <w:szCs w:val="24"/>
        </w:rPr>
      </w:pPr>
      <w:r w:rsidRPr="00DB7F92">
        <w:rPr>
          <w:rFonts w:cs="Arial"/>
          <w:szCs w:val="24"/>
        </w:rPr>
        <w:t>The Board must, in the exercise of its functions, act with a view to enabling patients to make choices with respect to aspects of health services provided to them.</w:t>
      </w:r>
    </w:p>
    <w:p w14:paraId="580D3B5E" w14:textId="77777777" w:rsidR="00DB7F92" w:rsidRPr="00DB7F92" w:rsidRDefault="00DB7F92" w:rsidP="00DB7F92">
      <w:pPr>
        <w:spacing w:line="360" w:lineRule="auto"/>
        <w:rPr>
          <w:rFonts w:cs="Arial"/>
          <w:szCs w:val="24"/>
        </w:rPr>
      </w:pPr>
    </w:p>
    <w:p w14:paraId="0EAB6CB4" w14:textId="77777777" w:rsidR="00DB7F92" w:rsidRPr="00DB7F92" w:rsidRDefault="00DB7F92" w:rsidP="00DB7F92">
      <w:pPr>
        <w:spacing w:line="360" w:lineRule="auto"/>
        <w:rPr>
          <w:rFonts w:cs="Arial"/>
          <w:szCs w:val="24"/>
        </w:rPr>
      </w:pPr>
      <w:bookmarkStart w:id="108" w:name="DOC_ID_0_7"/>
      <w:bookmarkEnd w:id="108"/>
      <w:r w:rsidRPr="00DB7F92">
        <w:rPr>
          <w:rFonts w:cs="Arial"/>
          <w:szCs w:val="24"/>
        </w:rPr>
        <w:t>13J  Duty to obtain appropriate advice</w:t>
      </w:r>
    </w:p>
    <w:p w14:paraId="6175E9EA" w14:textId="77777777" w:rsidR="00DB7F92" w:rsidRPr="00DB7F92" w:rsidRDefault="00DB7F92" w:rsidP="00DB7F92">
      <w:pPr>
        <w:spacing w:line="360" w:lineRule="auto"/>
        <w:rPr>
          <w:rFonts w:cs="Arial"/>
          <w:szCs w:val="24"/>
        </w:rPr>
      </w:pPr>
      <w:r w:rsidRPr="00DB7F92">
        <w:rPr>
          <w:rFonts w:cs="Arial"/>
          <w:szCs w:val="24"/>
        </w:rPr>
        <w:t>The Board must obtain advice appropriate for enabling it effectively to discharge its functions from persons who (taken together) have a broad range of professional expertise in--</w:t>
      </w:r>
    </w:p>
    <w:p w14:paraId="039B9C84" w14:textId="77777777" w:rsidR="00DB7F92" w:rsidRPr="00DB7F92" w:rsidRDefault="00DB7F92" w:rsidP="00DB7F92">
      <w:pPr>
        <w:spacing w:line="360" w:lineRule="auto"/>
        <w:ind w:left="1276" w:hanging="567"/>
        <w:rPr>
          <w:rFonts w:cs="Arial"/>
          <w:szCs w:val="24"/>
        </w:rPr>
      </w:pPr>
      <w:r w:rsidRPr="00DB7F92">
        <w:rPr>
          <w:rFonts w:cs="Arial"/>
          <w:szCs w:val="24"/>
        </w:rPr>
        <w:t>(a)     the prevention, diagnosis or treatment of illness, and</w:t>
      </w:r>
    </w:p>
    <w:p w14:paraId="03D013A7" w14:textId="77777777" w:rsidR="00DB7F92" w:rsidRPr="00DB7F92" w:rsidRDefault="00DB7F92" w:rsidP="00DB7F92">
      <w:pPr>
        <w:spacing w:line="360" w:lineRule="auto"/>
        <w:ind w:left="1276" w:hanging="567"/>
        <w:rPr>
          <w:rFonts w:cs="Arial"/>
          <w:szCs w:val="24"/>
        </w:rPr>
      </w:pPr>
      <w:r w:rsidRPr="00DB7F92">
        <w:rPr>
          <w:rFonts w:cs="Arial"/>
          <w:szCs w:val="24"/>
        </w:rPr>
        <w:t>(b)     the protection or improvement of public health.</w:t>
      </w:r>
      <w:bookmarkStart w:id="109" w:name="DOC_ID_0_8"/>
      <w:bookmarkEnd w:id="109"/>
    </w:p>
    <w:p w14:paraId="608E9AC6" w14:textId="77777777" w:rsidR="00DB7F92" w:rsidRPr="00DB7F92" w:rsidRDefault="00DB7F92" w:rsidP="00DB7F92">
      <w:pPr>
        <w:spacing w:line="360" w:lineRule="auto"/>
        <w:ind w:left="480"/>
        <w:rPr>
          <w:rFonts w:cs="Arial"/>
          <w:szCs w:val="24"/>
        </w:rPr>
      </w:pPr>
    </w:p>
    <w:p w14:paraId="59D4851B" w14:textId="77777777" w:rsidR="00DB7F92" w:rsidRPr="00DB7F92" w:rsidRDefault="00DB7F92" w:rsidP="00DB7F92">
      <w:pPr>
        <w:spacing w:line="360" w:lineRule="auto"/>
        <w:rPr>
          <w:rFonts w:cs="Arial"/>
          <w:szCs w:val="24"/>
        </w:rPr>
      </w:pPr>
      <w:r w:rsidRPr="00DB7F92">
        <w:rPr>
          <w:rFonts w:cs="Arial"/>
          <w:szCs w:val="24"/>
        </w:rPr>
        <w:t>13K  Duty to promote innovation</w:t>
      </w:r>
    </w:p>
    <w:p w14:paraId="49033B38" w14:textId="77777777" w:rsidR="00DB7F92" w:rsidRPr="00DB7F92" w:rsidRDefault="00DB7F92" w:rsidP="00836ECF">
      <w:pPr>
        <w:numPr>
          <w:ilvl w:val="0"/>
          <w:numId w:val="39"/>
        </w:numPr>
        <w:autoSpaceDE w:val="0"/>
        <w:autoSpaceDN w:val="0"/>
        <w:adjustRightInd w:val="0"/>
        <w:spacing w:line="360" w:lineRule="auto"/>
        <w:ind w:left="709" w:hanging="709"/>
        <w:rPr>
          <w:rFonts w:cs="Arial"/>
          <w:szCs w:val="24"/>
        </w:rPr>
      </w:pPr>
      <w:r w:rsidRPr="00DB7F92">
        <w:rPr>
          <w:rFonts w:cs="Arial"/>
          <w:szCs w:val="24"/>
        </w:rPr>
        <w:t>The Board must, in the exercise of its functions, promote innovation in the provision of health services (including innovation in the arrangements made for their provision).</w:t>
      </w:r>
    </w:p>
    <w:p w14:paraId="1C03A817" w14:textId="77777777" w:rsidR="00DB7F92" w:rsidRPr="00DB7F92" w:rsidRDefault="00DB7F92" w:rsidP="00836ECF">
      <w:pPr>
        <w:numPr>
          <w:ilvl w:val="0"/>
          <w:numId w:val="39"/>
        </w:numPr>
        <w:autoSpaceDE w:val="0"/>
        <w:autoSpaceDN w:val="0"/>
        <w:adjustRightInd w:val="0"/>
        <w:spacing w:line="360" w:lineRule="auto"/>
        <w:ind w:left="709" w:hanging="709"/>
        <w:rPr>
          <w:rFonts w:cs="Arial"/>
          <w:szCs w:val="24"/>
        </w:rPr>
      </w:pPr>
      <w:r w:rsidRPr="00DB7F92">
        <w:rPr>
          <w:rFonts w:cs="Arial"/>
          <w:szCs w:val="24"/>
        </w:rPr>
        <w:t>The Board may make payments as prizes to promote innovation in the provision of health services.</w:t>
      </w:r>
    </w:p>
    <w:p w14:paraId="53543E8A" w14:textId="77777777" w:rsidR="00DB7F92" w:rsidRPr="00DB7F92" w:rsidRDefault="00DB7F92" w:rsidP="00836ECF">
      <w:pPr>
        <w:numPr>
          <w:ilvl w:val="0"/>
          <w:numId w:val="39"/>
        </w:numPr>
        <w:spacing w:line="360" w:lineRule="auto"/>
        <w:ind w:left="709" w:hanging="709"/>
        <w:contextualSpacing/>
        <w:jc w:val="both"/>
        <w:rPr>
          <w:rFonts w:cs="Arial"/>
          <w:szCs w:val="24"/>
        </w:rPr>
      </w:pPr>
      <w:r w:rsidRPr="00DB7F92">
        <w:rPr>
          <w:rFonts w:cs="Arial"/>
          <w:szCs w:val="24"/>
        </w:rPr>
        <w:t>A prize may relate to--</w:t>
      </w:r>
    </w:p>
    <w:p w14:paraId="61F01936" w14:textId="77777777" w:rsidR="00DB7F92" w:rsidRPr="00DB7F92" w:rsidRDefault="00DB7F92" w:rsidP="00DB7F92">
      <w:pPr>
        <w:spacing w:line="360" w:lineRule="auto"/>
        <w:ind w:left="1276" w:hanging="556"/>
        <w:rPr>
          <w:rFonts w:cs="Arial"/>
          <w:szCs w:val="24"/>
        </w:rPr>
      </w:pPr>
      <w:r w:rsidRPr="00DB7F92">
        <w:rPr>
          <w:rFonts w:cs="Arial"/>
          <w:szCs w:val="24"/>
        </w:rPr>
        <w:t>(a)</w:t>
      </w:r>
      <w:r w:rsidRPr="00DB7F92">
        <w:rPr>
          <w:rFonts w:cs="Arial"/>
          <w:szCs w:val="24"/>
        </w:rPr>
        <w:tab/>
        <w:t>work at any stage of innovation (including research);</w:t>
      </w:r>
    </w:p>
    <w:p w14:paraId="530407BB" w14:textId="77777777" w:rsidR="00DB7F92" w:rsidRPr="00DB7F92" w:rsidRDefault="00DB7F92" w:rsidP="00DB7F92">
      <w:pPr>
        <w:spacing w:line="360" w:lineRule="auto"/>
        <w:ind w:left="1276" w:hanging="556"/>
        <w:rPr>
          <w:rFonts w:cs="Arial"/>
          <w:szCs w:val="24"/>
        </w:rPr>
      </w:pPr>
      <w:r w:rsidRPr="00DB7F92">
        <w:rPr>
          <w:rFonts w:cs="Arial"/>
          <w:szCs w:val="24"/>
        </w:rPr>
        <w:t>(b)</w:t>
      </w:r>
      <w:r w:rsidRPr="00DB7F92">
        <w:rPr>
          <w:rFonts w:cs="Arial"/>
          <w:szCs w:val="24"/>
        </w:rPr>
        <w:tab/>
        <w:t>work done at any time (including work before the commencement of section 23 of the Health and Social Care Act 2012).</w:t>
      </w:r>
    </w:p>
    <w:p w14:paraId="5CA965FA" w14:textId="77777777" w:rsidR="00DB7F92" w:rsidRPr="00DB7F92" w:rsidRDefault="00DB7F92" w:rsidP="00DB7F92">
      <w:pPr>
        <w:spacing w:line="360" w:lineRule="auto"/>
        <w:ind w:left="240"/>
        <w:rPr>
          <w:rFonts w:cs="Arial"/>
          <w:b/>
          <w:bCs w:val="0"/>
          <w:szCs w:val="24"/>
        </w:rPr>
      </w:pPr>
      <w:bookmarkStart w:id="110" w:name="DOC_ID_0_9"/>
      <w:bookmarkEnd w:id="110"/>
    </w:p>
    <w:p w14:paraId="69BA07E0" w14:textId="77777777" w:rsidR="00DB7F92" w:rsidRPr="00DB7F92" w:rsidRDefault="00DB7F92" w:rsidP="00DB7F92">
      <w:pPr>
        <w:spacing w:line="360" w:lineRule="auto"/>
        <w:rPr>
          <w:rFonts w:cs="Arial"/>
          <w:szCs w:val="24"/>
        </w:rPr>
      </w:pPr>
      <w:r w:rsidRPr="00DB7F92">
        <w:rPr>
          <w:rFonts w:cs="Arial"/>
          <w:szCs w:val="24"/>
        </w:rPr>
        <w:t>13L  Duty in respect of research</w:t>
      </w:r>
    </w:p>
    <w:p w14:paraId="20CD1756" w14:textId="77777777" w:rsidR="00DB7F92" w:rsidRPr="00DB7F92" w:rsidRDefault="00DB7F92" w:rsidP="00DB7F92">
      <w:pPr>
        <w:spacing w:line="360" w:lineRule="auto"/>
        <w:rPr>
          <w:rFonts w:cs="Arial"/>
          <w:szCs w:val="24"/>
        </w:rPr>
      </w:pPr>
      <w:r w:rsidRPr="00DB7F92">
        <w:rPr>
          <w:rFonts w:cs="Arial"/>
          <w:szCs w:val="24"/>
        </w:rPr>
        <w:lastRenderedPageBreak/>
        <w:t>The Board must, in the exercise of its functions, promote--</w:t>
      </w:r>
    </w:p>
    <w:p w14:paraId="7704F47D" w14:textId="77777777" w:rsidR="00DB7F92" w:rsidRPr="00DB7F92" w:rsidRDefault="00DB7F92" w:rsidP="00DB7F92">
      <w:pPr>
        <w:spacing w:line="360" w:lineRule="auto"/>
        <w:ind w:left="1276" w:hanging="556"/>
        <w:rPr>
          <w:rFonts w:cs="Arial"/>
          <w:szCs w:val="24"/>
        </w:rPr>
      </w:pPr>
      <w:r w:rsidRPr="00DB7F92">
        <w:rPr>
          <w:rFonts w:cs="Arial"/>
          <w:szCs w:val="24"/>
        </w:rPr>
        <w:t>(a)     research on matters relevant to the health service, and</w:t>
      </w:r>
    </w:p>
    <w:p w14:paraId="14244CBC" w14:textId="77777777" w:rsidR="00DB7F92" w:rsidRPr="00DB7F92" w:rsidRDefault="00DB7F92" w:rsidP="00DB7F92">
      <w:pPr>
        <w:spacing w:line="360" w:lineRule="auto"/>
        <w:ind w:left="1276" w:hanging="556"/>
        <w:rPr>
          <w:rFonts w:cs="Arial"/>
          <w:szCs w:val="24"/>
        </w:rPr>
      </w:pPr>
      <w:r w:rsidRPr="00DB7F92">
        <w:rPr>
          <w:rFonts w:cs="Arial"/>
          <w:szCs w:val="24"/>
        </w:rPr>
        <w:t>(b)     the use in the health service of evidence obtained from research.</w:t>
      </w:r>
    </w:p>
    <w:p w14:paraId="4FA07C5F" w14:textId="77777777" w:rsidR="00DB7F92" w:rsidRPr="00DB7F92" w:rsidRDefault="00DB7F92" w:rsidP="00DB7F92">
      <w:pPr>
        <w:spacing w:line="360" w:lineRule="auto"/>
        <w:rPr>
          <w:rFonts w:cs="Arial"/>
          <w:szCs w:val="24"/>
        </w:rPr>
      </w:pPr>
    </w:p>
    <w:p w14:paraId="5AD02B91" w14:textId="77777777" w:rsidR="00DB7F92" w:rsidRPr="00DB7F92" w:rsidRDefault="00DB7F92" w:rsidP="00DB7F92">
      <w:pPr>
        <w:spacing w:line="360" w:lineRule="auto"/>
        <w:rPr>
          <w:rFonts w:cs="Arial"/>
          <w:szCs w:val="24"/>
        </w:rPr>
      </w:pPr>
      <w:bookmarkStart w:id="111" w:name="DOC_ID_0_10"/>
      <w:bookmarkEnd w:id="111"/>
      <w:r w:rsidRPr="00DB7F92">
        <w:rPr>
          <w:rFonts w:cs="Arial"/>
          <w:szCs w:val="24"/>
        </w:rPr>
        <w:t>13M  Duty as to promoting education and training</w:t>
      </w:r>
    </w:p>
    <w:p w14:paraId="7F243875" w14:textId="77777777" w:rsidR="00DB7F92" w:rsidRPr="00DB7F92" w:rsidRDefault="00DB7F92" w:rsidP="00DB7F92">
      <w:pPr>
        <w:spacing w:line="360" w:lineRule="auto"/>
        <w:rPr>
          <w:rFonts w:cs="Arial"/>
          <w:szCs w:val="24"/>
        </w:rPr>
      </w:pPr>
      <w:r w:rsidRPr="00DB7F92">
        <w:rPr>
          <w:rFonts w:cs="Arial"/>
          <w:szCs w:val="24"/>
        </w:rPr>
        <w:t>The Board must, in exercising its functions, have regard to the need to promote education and training for the persons mentioned in section 1F(1) so as to assist the Secretary of State in the discharge of the duty under that section.</w:t>
      </w:r>
    </w:p>
    <w:p w14:paraId="2B96D817" w14:textId="77777777" w:rsidR="00DB7F92" w:rsidRPr="00DB7F92" w:rsidRDefault="00DB7F92" w:rsidP="00DB7F92">
      <w:pPr>
        <w:spacing w:line="360" w:lineRule="auto"/>
        <w:rPr>
          <w:rFonts w:cs="Arial"/>
          <w:szCs w:val="24"/>
        </w:rPr>
      </w:pPr>
      <w:bookmarkStart w:id="112" w:name="DOC_ID_0_11"/>
      <w:bookmarkEnd w:id="112"/>
    </w:p>
    <w:p w14:paraId="54ECC04C" w14:textId="77777777" w:rsidR="00DB7F92" w:rsidRPr="00DB7F92" w:rsidRDefault="00DB7F92" w:rsidP="00DB7F92">
      <w:pPr>
        <w:spacing w:line="360" w:lineRule="auto"/>
        <w:rPr>
          <w:rFonts w:cs="Arial"/>
          <w:szCs w:val="24"/>
        </w:rPr>
      </w:pPr>
      <w:r w:rsidRPr="00DB7F92">
        <w:rPr>
          <w:rFonts w:cs="Arial"/>
          <w:szCs w:val="24"/>
        </w:rPr>
        <w:t>13N  Duty as to promoting integration</w:t>
      </w:r>
    </w:p>
    <w:p w14:paraId="199A0A90" w14:textId="77777777" w:rsidR="00DB7F92" w:rsidRPr="00DB7F92" w:rsidRDefault="00DB7F92" w:rsidP="00836ECF">
      <w:pPr>
        <w:numPr>
          <w:ilvl w:val="0"/>
          <w:numId w:val="40"/>
        </w:numPr>
        <w:spacing w:line="360" w:lineRule="auto"/>
        <w:ind w:left="709" w:hanging="709"/>
        <w:contextualSpacing/>
        <w:jc w:val="both"/>
        <w:rPr>
          <w:rFonts w:cs="Arial"/>
          <w:szCs w:val="24"/>
        </w:rPr>
      </w:pPr>
      <w:r w:rsidRPr="00DB7F92">
        <w:rPr>
          <w:rFonts w:cs="Arial"/>
          <w:szCs w:val="24"/>
        </w:rPr>
        <w:t>The Board must exercise its functions with a view to securing that health services are provided in an integrated way where it considers that this would--</w:t>
      </w:r>
    </w:p>
    <w:p w14:paraId="4593FFD1" w14:textId="77777777" w:rsidR="00DB7F92" w:rsidRPr="00DB7F92" w:rsidRDefault="00DB7F92" w:rsidP="00DB7F92">
      <w:pPr>
        <w:spacing w:line="360" w:lineRule="auto"/>
        <w:ind w:left="1440" w:hanging="720"/>
        <w:rPr>
          <w:rFonts w:cs="Arial"/>
          <w:szCs w:val="24"/>
        </w:rPr>
      </w:pPr>
      <w:r w:rsidRPr="00DB7F92">
        <w:rPr>
          <w:rFonts w:cs="Arial"/>
          <w:szCs w:val="24"/>
        </w:rPr>
        <w:t xml:space="preserve">(a)     </w:t>
      </w:r>
      <w:r w:rsidRPr="00DB7F92">
        <w:rPr>
          <w:rFonts w:cs="Arial"/>
          <w:szCs w:val="24"/>
        </w:rPr>
        <w:tab/>
        <w:t>improve the quality of those services (including the outcomes that are achieved from their provision),</w:t>
      </w:r>
    </w:p>
    <w:p w14:paraId="59C9D608" w14:textId="77777777" w:rsidR="00DB7F92" w:rsidRPr="00DB7F92" w:rsidRDefault="00DB7F92" w:rsidP="00DB7F92">
      <w:pPr>
        <w:spacing w:line="360" w:lineRule="auto"/>
        <w:ind w:left="1440" w:hanging="720"/>
        <w:rPr>
          <w:rFonts w:cs="Arial"/>
          <w:szCs w:val="24"/>
        </w:rPr>
      </w:pPr>
      <w:r w:rsidRPr="00DB7F92">
        <w:rPr>
          <w:rFonts w:cs="Arial"/>
          <w:szCs w:val="24"/>
        </w:rPr>
        <w:t xml:space="preserve">(b)   </w:t>
      </w:r>
      <w:r w:rsidRPr="00DB7F92">
        <w:rPr>
          <w:rFonts w:cs="Arial"/>
          <w:szCs w:val="24"/>
        </w:rPr>
        <w:tab/>
        <w:t>reduce inequalities between persons with respect to their ability to access those services, or</w:t>
      </w:r>
    </w:p>
    <w:p w14:paraId="2F24DA55" w14:textId="77777777" w:rsidR="00DB7F92" w:rsidRPr="00DB7F92" w:rsidRDefault="00DB7F92" w:rsidP="00DB7F92">
      <w:pPr>
        <w:spacing w:line="360" w:lineRule="auto"/>
        <w:ind w:left="1440" w:hanging="720"/>
        <w:rPr>
          <w:rFonts w:cs="Arial"/>
          <w:szCs w:val="24"/>
        </w:rPr>
      </w:pPr>
      <w:r w:rsidRPr="00DB7F92">
        <w:rPr>
          <w:rFonts w:cs="Arial"/>
          <w:szCs w:val="24"/>
        </w:rPr>
        <w:t>(c)     reduce inequalities between persons with respect to the outcomes achieved for them by the provision of those services.</w:t>
      </w:r>
    </w:p>
    <w:p w14:paraId="33D8B829" w14:textId="77777777" w:rsidR="00DB7F92" w:rsidRPr="00DB7F92" w:rsidRDefault="00DB7F92" w:rsidP="00836ECF">
      <w:pPr>
        <w:numPr>
          <w:ilvl w:val="0"/>
          <w:numId w:val="40"/>
        </w:numPr>
        <w:spacing w:line="360" w:lineRule="auto"/>
        <w:ind w:left="709" w:hanging="709"/>
        <w:contextualSpacing/>
        <w:jc w:val="both"/>
        <w:rPr>
          <w:rFonts w:cs="Arial"/>
          <w:szCs w:val="24"/>
        </w:rPr>
      </w:pPr>
      <w:r w:rsidRPr="00DB7F92">
        <w:rPr>
          <w:rFonts w:cs="Arial"/>
          <w:szCs w:val="24"/>
        </w:rPr>
        <w:t>The Board must exercise its functions with a view to securing that the provision of health services is integrated with the provision of health-related services or social care services where it considers that this would--</w:t>
      </w:r>
    </w:p>
    <w:p w14:paraId="1C1DC919" w14:textId="77777777" w:rsidR="00DB7F92" w:rsidRPr="00DB7F92" w:rsidRDefault="00DB7F92" w:rsidP="00DB7F92">
      <w:pPr>
        <w:spacing w:line="360" w:lineRule="auto"/>
        <w:ind w:left="1440" w:hanging="720"/>
        <w:rPr>
          <w:rFonts w:cs="Arial"/>
          <w:szCs w:val="24"/>
        </w:rPr>
      </w:pPr>
      <w:r w:rsidRPr="00DB7F92">
        <w:rPr>
          <w:rFonts w:cs="Arial"/>
          <w:szCs w:val="24"/>
        </w:rPr>
        <w:t xml:space="preserve">(a)   </w:t>
      </w:r>
      <w:r w:rsidRPr="00DB7F92">
        <w:rPr>
          <w:rFonts w:cs="Arial"/>
          <w:szCs w:val="24"/>
        </w:rPr>
        <w:tab/>
        <w:t>improve the quality of the health services (including the outcomes that are achieved from the provision of those services),</w:t>
      </w:r>
    </w:p>
    <w:p w14:paraId="3DB89382" w14:textId="77777777" w:rsidR="00DB7F92" w:rsidRPr="00DB7F92" w:rsidRDefault="00DB7F92" w:rsidP="00DB7F92">
      <w:pPr>
        <w:spacing w:line="360" w:lineRule="auto"/>
        <w:ind w:left="1440" w:hanging="720"/>
        <w:rPr>
          <w:rFonts w:cs="Arial"/>
          <w:szCs w:val="24"/>
        </w:rPr>
      </w:pPr>
      <w:r w:rsidRPr="00DB7F92">
        <w:rPr>
          <w:rFonts w:cs="Arial"/>
          <w:szCs w:val="24"/>
        </w:rPr>
        <w:t xml:space="preserve">(b)   </w:t>
      </w:r>
      <w:r w:rsidRPr="00DB7F92">
        <w:rPr>
          <w:rFonts w:cs="Arial"/>
          <w:szCs w:val="24"/>
        </w:rPr>
        <w:tab/>
        <w:t>reduce inequalities between persons with respect to their ability to access those services, or</w:t>
      </w:r>
    </w:p>
    <w:p w14:paraId="6CFFAA61" w14:textId="77777777" w:rsidR="00DB7F92" w:rsidRPr="00DB7F92" w:rsidRDefault="00DB7F92" w:rsidP="00DB7F92">
      <w:pPr>
        <w:spacing w:line="360" w:lineRule="auto"/>
        <w:ind w:left="1440" w:hanging="720"/>
        <w:rPr>
          <w:rFonts w:cs="Arial"/>
          <w:szCs w:val="24"/>
        </w:rPr>
      </w:pPr>
      <w:r w:rsidRPr="00DB7F92">
        <w:rPr>
          <w:rFonts w:cs="Arial"/>
          <w:szCs w:val="24"/>
        </w:rPr>
        <w:t>(c)     reduce inequalities between persons with respect to the outcomes achieved for them by the provision of those services.</w:t>
      </w:r>
    </w:p>
    <w:p w14:paraId="2738485F" w14:textId="77777777" w:rsidR="00DB7F92" w:rsidRPr="00DB7F92" w:rsidRDefault="00DB7F92" w:rsidP="00836ECF">
      <w:pPr>
        <w:numPr>
          <w:ilvl w:val="0"/>
          <w:numId w:val="40"/>
        </w:numPr>
        <w:spacing w:line="360" w:lineRule="auto"/>
        <w:ind w:left="709" w:hanging="709"/>
        <w:contextualSpacing/>
        <w:jc w:val="both"/>
        <w:rPr>
          <w:rFonts w:cs="Arial"/>
          <w:szCs w:val="24"/>
        </w:rPr>
      </w:pPr>
      <w:r w:rsidRPr="00DB7F92">
        <w:rPr>
          <w:rFonts w:cs="Arial"/>
          <w:szCs w:val="24"/>
        </w:rPr>
        <w:t>The Board must encourage clinical commissioning groups to enter into arrangements with local authorities in pursuance of regulations under section 75 where it considers that this would secure--</w:t>
      </w:r>
    </w:p>
    <w:p w14:paraId="353D252D" w14:textId="77777777" w:rsidR="00DB7F92" w:rsidRPr="00DB7F92" w:rsidRDefault="00DB7F92" w:rsidP="00DB7F92">
      <w:pPr>
        <w:spacing w:line="360" w:lineRule="auto"/>
        <w:ind w:left="1440" w:hanging="720"/>
        <w:rPr>
          <w:rFonts w:cs="Arial"/>
          <w:szCs w:val="24"/>
        </w:rPr>
      </w:pPr>
      <w:r w:rsidRPr="00DB7F92">
        <w:rPr>
          <w:rFonts w:cs="Arial"/>
          <w:szCs w:val="24"/>
        </w:rPr>
        <w:t xml:space="preserve">(a)     </w:t>
      </w:r>
      <w:r w:rsidRPr="00DB7F92">
        <w:rPr>
          <w:rFonts w:cs="Arial"/>
          <w:szCs w:val="24"/>
        </w:rPr>
        <w:tab/>
        <w:t>that health services are provided in an integrated way and that this would have any of the effects mentioned in subsection (1)(a) to (c), or</w:t>
      </w:r>
    </w:p>
    <w:p w14:paraId="05C7FFD3" w14:textId="77777777" w:rsidR="00DB7F92" w:rsidRPr="00DB7F92" w:rsidRDefault="00DB7F92" w:rsidP="00DB7F92">
      <w:pPr>
        <w:spacing w:line="360" w:lineRule="auto"/>
        <w:ind w:left="1440" w:hanging="720"/>
        <w:rPr>
          <w:rFonts w:cs="Arial"/>
          <w:szCs w:val="24"/>
        </w:rPr>
      </w:pPr>
      <w:r w:rsidRPr="00DB7F92">
        <w:rPr>
          <w:rFonts w:cs="Arial"/>
          <w:szCs w:val="24"/>
        </w:rPr>
        <w:lastRenderedPageBreak/>
        <w:t xml:space="preserve">(b)   </w:t>
      </w:r>
      <w:r w:rsidRPr="00DB7F92">
        <w:rPr>
          <w:rFonts w:cs="Arial"/>
          <w:szCs w:val="24"/>
        </w:rPr>
        <w:tab/>
        <w:t>that the provision of health services is integrated with the provision of health-related services or social care services and that this would have any of the effects mentioned in subsection (2)(a) to (c).</w:t>
      </w:r>
    </w:p>
    <w:p w14:paraId="64ADF846" w14:textId="77777777" w:rsidR="00DB7F92" w:rsidRPr="00DB7F92" w:rsidRDefault="00DB7F92" w:rsidP="00836ECF">
      <w:pPr>
        <w:numPr>
          <w:ilvl w:val="0"/>
          <w:numId w:val="40"/>
        </w:numPr>
        <w:spacing w:line="360" w:lineRule="auto"/>
        <w:ind w:left="709" w:hanging="709"/>
        <w:contextualSpacing/>
        <w:jc w:val="both"/>
        <w:rPr>
          <w:rFonts w:cs="Arial"/>
          <w:szCs w:val="24"/>
        </w:rPr>
      </w:pPr>
      <w:r w:rsidRPr="00DB7F92">
        <w:rPr>
          <w:rFonts w:cs="Arial"/>
          <w:szCs w:val="24"/>
        </w:rPr>
        <w:t>In this section--</w:t>
      </w:r>
    </w:p>
    <w:p w14:paraId="011A7F3C" w14:textId="77777777" w:rsidR="00DB7F92" w:rsidRPr="00DB7F92" w:rsidRDefault="00DB7F92" w:rsidP="00DB7F92">
      <w:pPr>
        <w:spacing w:line="360" w:lineRule="auto"/>
        <w:ind w:left="709"/>
        <w:rPr>
          <w:rFonts w:cs="Arial"/>
          <w:szCs w:val="24"/>
        </w:rPr>
      </w:pPr>
      <w:r w:rsidRPr="00DB7F92">
        <w:rPr>
          <w:rFonts w:cs="Arial"/>
          <w:szCs w:val="24"/>
        </w:rPr>
        <w:t>"health-related services" means services that may have an effect on the health of individuals but are not health services or social care services;</w:t>
      </w:r>
    </w:p>
    <w:p w14:paraId="708FC030" w14:textId="77777777" w:rsidR="00DB7F92" w:rsidRPr="00DB7F92" w:rsidRDefault="00DB7F92" w:rsidP="00DB7F92">
      <w:pPr>
        <w:spacing w:line="360" w:lineRule="auto"/>
        <w:ind w:left="709"/>
        <w:rPr>
          <w:rFonts w:cs="Arial"/>
          <w:szCs w:val="24"/>
        </w:rPr>
      </w:pPr>
      <w:r w:rsidRPr="00DB7F92">
        <w:rPr>
          <w:rFonts w:cs="Arial"/>
          <w:szCs w:val="24"/>
        </w:rPr>
        <w:t>"social care services" means services that are provided in pursuance of the social services functions of local authorities (within the meaning of the Local Authority Social Services Act 1970).</w:t>
      </w:r>
    </w:p>
    <w:p w14:paraId="55CCF5C3" w14:textId="77777777" w:rsidR="00DB7F92" w:rsidRPr="00DB7F92" w:rsidRDefault="00DB7F92" w:rsidP="00DB7F92">
      <w:pPr>
        <w:spacing w:line="360" w:lineRule="auto"/>
        <w:rPr>
          <w:rFonts w:cs="Arial"/>
          <w:szCs w:val="24"/>
        </w:rPr>
      </w:pPr>
      <w:bookmarkStart w:id="113" w:name="DOC_ID_0_12"/>
      <w:bookmarkEnd w:id="113"/>
    </w:p>
    <w:p w14:paraId="32FD16AD" w14:textId="77777777" w:rsidR="00DB7F92" w:rsidRPr="00DB7F92" w:rsidRDefault="00DB7F92" w:rsidP="00DB7F92">
      <w:pPr>
        <w:spacing w:line="360" w:lineRule="auto"/>
        <w:rPr>
          <w:rFonts w:cs="Arial"/>
          <w:szCs w:val="24"/>
        </w:rPr>
      </w:pPr>
      <w:r w:rsidRPr="00DB7F92">
        <w:rPr>
          <w:rFonts w:cs="Arial"/>
          <w:szCs w:val="24"/>
        </w:rPr>
        <w:t>13O  Duty to have regard to impact on services in certain areas</w:t>
      </w:r>
    </w:p>
    <w:p w14:paraId="325BC6B6" w14:textId="77777777" w:rsidR="00DB7F92" w:rsidRPr="00DB7F92" w:rsidRDefault="00DB7F92" w:rsidP="00836ECF">
      <w:pPr>
        <w:numPr>
          <w:ilvl w:val="0"/>
          <w:numId w:val="41"/>
        </w:numPr>
        <w:spacing w:line="360" w:lineRule="auto"/>
        <w:ind w:left="709" w:hanging="709"/>
        <w:contextualSpacing/>
        <w:jc w:val="both"/>
        <w:rPr>
          <w:rFonts w:cs="Arial"/>
          <w:szCs w:val="24"/>
        </w:rPr>
      </w:pPr>
      <w:r w:rsidRPr="00DB7F92">
        <w:rPr>
          <w:rFonts w:cs="Arial"/>
          <w:szCs w:val="24"/>
        </w:rPr>
        <w:t>In making commissioning decisions, the Board must have regard to the likely impact of those decisions on the provision of health services to persons who reside in an area of Wales or Scotland that is close to the border with England.</w:t>
      </w:r>
    </w:p>
    <w:p w14:paraId="05E3021F" w14:textId="77777777" w:rsidR="00DB7F92" w:rsidRPr="00DB7F92" w:rsidRDefault="00DB7F92" w:rsidP="00836ECF">
      <w:pPr>
        <w:numPr>
          <w:ilvl w:val="0"/>
          <w:numId w:val="41"/>
        </w:numPr>
        <w:spacing w:line="360" w:lineRule="auto"/>
        <w:ind w:left="709" w:hanging="709"/>
        <w:contextualSpacing/>
        <w:jc w:val="both"/>
        <w:rPr>
          <w:rFonts w:cs="Arial"/>
          <w:szCs w:val="24"/>
        </w:rPr>
      </w:pPr>
      <w:r w:rsidRPr="00DB7F92">
        <w:rPr>
          <w:rFonts w:cs="Arial"/>
          <w:szCs w:val="24"/>
        </w:rPr>
        <w:t>In this section, "commissioning decisions", in relation to the Board, means decisions about the carrying out of its functions in arranging for the provision of health services.</w:t>
      </w:r>
    </w:p>
    <w:p w14:paraId="70D5161B" w14:textId="77777777" w:rsidR="00DB7F92" w:rsidRPr="00DB7F92" w:rsidRDefault="00DB7F92" w:rsidP="00DB7F92">
      <w:pPr>
        <w:spacing w:line="360" w:lineRule="auto"/>
        <w:ind w:left="240"/>
        <w:rPr>
          <w:rFonts w:cs="Arial"/>
          <w:b/>
          <w:szCs w:val="24"/>
        </w:rPr>
      </w:pPr>
    </w:p>
    <w:p w14:paraId="39BE0883" w14:textId="77777777" w:rsidR="00DB7F92" w:rsidRPr="00DB7F92" w:rsidRDefault="00DB7F92" w:rsidP="00DB7F92">
      <w:pPr>
        <w:spacing w:line="360" w:lineRule="auto"/>
        <w:ind w:right="139"/>
        <w:rPr>
          <w:rFonts w:cs="Arial"/>
          <w:bCs w:val="0"/>
          <w:szCs w:val="24"/>
        </w:rPr>
      </w:pPr>
      <w:r w:rsidRPr="00DB7F92">
        <w:rPr>
          <w:rFonts w:cs="Arial"/>
          <w:szCs w:val="24"/>
        </w:rPr>
        <w:t>13P</w:t>
      </w:r>
      <w:r w:rsidRPr="00DB7F92">
        <w:rPr>
          <w:rFonts w:cs="Arial"/>
          <w:bCs w:val="0"/>
          <w:szCs w:val="24"/>
        </w:rPr>
        <w:t xml:space="preserve"> </w:t>
      </w:r>
      <w:r w:rsidRPr="00DB7F92">
        <w:rPr>
          <w:rFonts w:cs="Arial"/>
          <w:szCs w:val="24"/>
        </w:rPr>
        <w:t>Duty as respects variation in provision of health services</w:t>
      </w:r>
    </w:p>
    <w:p w14:paraId="4A59696C" w14:textId="77777777" w:rsidR="00DB7F92" w:rsidRPr="00DB7F92" w:rsidRDefault="00DB7F92" w:rsidP="00DB7F92">
      <w:pPr>
        <w:spacing w:line="360" w:lineRule="auto"/>
        <w:ind w:right="139"/>
        <w:rPr>
          <w:rFonts w:cs="Arial"/>
          <w:szCs w:val="24"/>
        </w:rPr>
      </w:pPr>
      <w:r w:rsidRPr="00DB7F92">
        <w:rPr>
          <w:rFonts w:cs="Arial"/>
          <w:szCs w:val="24"/>
        </w:rPr>
        <w:t>The Board must not exercise its functions for the purpose of causing a variation in the proportion of services provided as part of the health service that is provided by persons of a particular description if that description is by reference to—</w:t>
      </w:r>
    </w:p>
    <w:p w14:paraId="632E3A49" w14:textId="77777777" w:rsidR="00DB7F92" w:rsidRPr="00DB7F92" w:rsidRDefault="00DB7F92" w:rsidP="00DB7F92">
      <w:pPr>
        <w:spacing w:line="360" w:lineRule="auto"/>
        <w:ind w:left="1440" w:hanging="720"/>
        <w:rPr>
          <w:rFonts w:cs="Arial"/>
          <w:szCs w:val="24"/>
        </w:rPr>
      </w:pPr>
      <w:r w:rsidRPr="00DB7F92">
        <w:rPr>
          <w:rFonts w:cs="Arial"/>
          <w:szCs w:val="24"/>
        </w:rPr>
        <w:t xml:space="preserve">(a) </w:t>
      </w:r>
      <w:r w:rsidRPr="00DB7F92">
        <w:rPr>
          <w:rFonts w:cs="Arial"/>
          <w:szCs w:val="24"/>
        </w:rPr>
        <w:tab/>
        <w:t>whether the persons in question are in the public or (as the case may be) private sector, or</w:t>
      </w:r>
    </w:p>
    <w:p w14:paraId="7F7EEB7E" w14:textId="77777777" w:rsidR="00DB7F92" w:rsidRPr="00DB7F92" w:rsidRDefault="00DB7F92" w:rsidP="00DB7F92">
      <w:pPr>
        <w:spacing w:line="360" w:lineRule="auto"/>
        <w:ind w:left="1440" w:hanging="720"/>
        <w:rPr>
          <w:rFonts w:cs="Arial"/>
          <w:szCs w:val="24"/>
        </w:rPr>
      </w:pPr>
      <w:r w:rsidRPr="00DB7F92">
        <w:rPr>
          <w:rFonts w:cs="Arial"/>
          <w:szCs w:val="24"/>
        </w:rPr>
        <w:t xml:space="preserve">(b) </w:t>
      </w:r>
      <w:r w:rsidRPr="00DB7F92">
        <w:rPr>
          <w:rFonts w:cs="Arial"/>
          <w:szCs w:val="24"/>
        </w:rPr>
        <w:tab/>
        <w:t>some other aspect of their status.</w:t>
      </w:r>
    </w:p>
    <w:p w14:paraId="431D2CF8" w14:textId="77777777" w:rsidR="00DB7F92" w:rsidRPr="00DB7F92" w:rsidRDefault="00DB7F92" w:rsidP="00DB7F92">
      <w:pPr>
        <w:spacing w:line="360" w:lineRule="auto"/>
        <w:rPr>
          <w:rFonts w:cs="Arial"/>
          <w:szCs w:val="24"/>
        </w:rPr>
      </w:pPr>
    </w:p>
    <w:p w14:paraId="51530B05" w14:textId="77777777" w:rsidR="00DB7F92" w:rsidRPr="00DB7F92" w:rsidRDefault="00DB7F92" w:rsidP="00DB7F92">
      <w:pPr>
        <w:spacing w:line="360" w:lineRule="auto"/>
        <w:rPr>
          <w:rFonts w:cs="Arial"/>
          <w:szCs w:val="24"/>
        </w:rPr>
      </w:pPr>
      <w:r w:rsidRPr="00DB7F92">
        <w:rPr>
          <w:rFonts w:cs="Arial"/>
          <w:szCs w:val="24"/>
        </w:rPr>
        <w:t>13Q  Public involvement and consultation by the Board</w:t>
      </w:r>
    </w:p>
    <w:p w14:paraId="79DAB25A" w14:textId="77777777" w:rsidR="00DB7F92" w:rsidRPr="00DB7F92" w:rsidRDefault="00DB7F92" w:rsidP="00DB7F92">
      <w:pPr>
        <w:spacing w:line="360" w:lineRule="auto"/>
        <w:rPr>
          <w:rFonts w:cs="Arial"/>
          <w:b/>
          <w:bCs w:val="0"/>
          <w:szCs w:val="24"/>
        </w:rPr>
      </w:pPr>
    </w:p>
    <w:p w14:paraId="55F92A58" w14:textId="77777777" w:rsidR="00DB7F92" w:rsidRPr="00DB7F92" w:rsidRDefault="00DB7F92" w:rsidP="00836ECF">
      <w:pPr>
        <w:numPr>
          <w:ilvl w:val="0"/>
          <w:numId w:val="42"/>
        </w:numPr>
        <w:spacing w:line="360" w:lineRule="auto"/>
        <w:ind w:left="851" w:hanging="851"/>
        <w:contextualSpacing/>
        <w:jc w:val="both"/>
        <w:rPr>
          <w:rFonts w:cs="Arial"/>
          <w:szCs w:val="24"/>
        </w:rPr>
      </w:pPr>
      <w:r w:rsidRPr="00DB7F92">
        <w:rPr>
          <w:rFonts w:cs="Arial"/>
          <w:szCs w:val="24"/>
        </w:rPr>
        <w:t>This section applies in relation to any health services which are, or are to be, provided pursuant to arrangements made by the Board in the exercise of its functions ("commissioning arrangements").</w:t>
      </w:r>
    </w:p>
    <w:p w14:paraId="52DA515A" w14:textId="77777777" w:rsidR="00DB7F92" w:rsidRPr="00DB7F92" w:rsidRDefault="00DB7F92" w:rsidP="00836ECF">
      <w:pPr>
        <w:numPr>
          <w:ilvl w:val="0"/>
          <w:numId w:val="42"/>
        </w:numPr>
        <w:spacing w:line="360" w:lineRule="auto"/>
        <w:ind w:left="851" w:hanging="851"/>
        <w:contextualSpacing/>
        <w:jc w:val="both"/>
        <w:rPr>
          <w:rFonts w:cs="Arial"/>
          <w:szCs w:val="24"/>
        </w:rPr>
      </w:pPr>
      <w:r w:rsidRPr="00DB7F92">
        <w:rPr>
          <w:rFonts w:cs="Arial"/>
          <w:szCs w:val="24"/>
        </w:rPr>
        <w:t xml:space="preserve">The Board must make arrangements to secure that individuals to whom the services are being or may be provided are involved (whether by being consulted or provided with information or in other ways) – </w:t>
      </w:r>
    </w:p>
    <w:p w14:paraId="1C6FCC4E" w14:textId="77777777" w:rsidR="00DB7F92" w:rsidRPr="00DB7F92" w:rsidRDefault="00DB7F92" w:rsidP="00DB7F92">
      <w:pPr>
        <w:spacing w:line="360" w:lineRule="auto"/>
        <w:ind w:left="1440" w:hanging="720"/>
        <w:rPr>
          <w:rFonts w:cs="Arial"/>
          <w:szCs w:val="24"/>
        </w:rPr>
      </w:pPr>
      <w:r w:rsidRPr="00DB7F92">
        <w:rPr>
          <w:rFonts w:cs="Arial"/>
          <w:szCs w:val="24"/>
        </w:rPr>
        <w:lastRenderedPageBreak/>
        <w:t xml:space="preserve">(a)    </w:t>
      </w:r>
      <w:r w:rsidRPr="00DB7F92">
        <w:rPr>
          <w:rFonts w:cs="Arial"/>
          <w:szCs w:val="24"/>
        </w:rPr>
        <w:tab/>
        <w:t>in the planning of the commissioning arrangements by the Board,</w:t>
      </w:r>
    </w:p>
    <w:p w14:paraId="07FD8150" w14:textId="77777777" w:rsidR="00DB7F92" w:rsidRPr="00DB7F92" w:rsidRDefault="00DB7F92" w:rsidP="00DB7F92">
      <w:pPr>
        <w:spacing w:line="360" w:lineRule="auto"/>
        <w:ind w:left="1440" w:hanging="720"/>
        <w:rPr>
          <w:rFonts w:cs="Arial"/>
          <w:szCs w:val="24"/>
        </w:rPr>
      </w:pPr>
      <w:r w:rsidRPr="00DB7F92">
        <w:rPr>
          <w:rFonts w:cs="Arial"/>
          <w:szCs w:val="24"/>
        </w:rPr>
        <w:t xml:space="preserve">(b)   </w:t>
      </w:r>
      <w:r w:rsidRPr="00DB7F92">
        <w:rPr>
          <w:rFonts w:cs="Arial"/>
          <w:szCs w:val="24"/>
        </w:rPr>
        <w:tab/>
        <w:t>in the development and consideration of proposals by the Board for changes in the commissioning arrangements where the implementation of the proposals would have an impact on the manner in which the services are delivered to the individuals or the range of health services available to them, and</w:t>
      </w:r>
    </w:p>
    <w:p w14:paraId="23569DA6" w14:textId="77777777" w:rsidR="00DB7F92" w:rsidRPr="00DB7F92" w:rsidRDefault="00DB7F92" w:rsidP="00DB7F92">
      <w:pPr>
        <w:spacing w:line="360" w:lineRule="auto"/>
        <w:ind w:left="1440" w:hanging="720"/>
        <w:rPr>
          <w:rFonts w:cs="Arial"/>
          <w:szCs w:val="24"/>
        </w:rPr>
      </w:pPr>
      <w:r w:rsidRPr="00DB7F92">
        <w:rPr>
          <w:rFonts w:cs="Arial"/>
          <w:szCs w:val="24"/>
        </w:rPr>
        <w:t xml:space="preserve">(c) </w:t>
      </w:r>
      <w:r w:rsidRPr="00DB7F92">
        <w:rPr>
          <w:rFonts w:cs="Arial"/>
          <w:szCs w:val="24"/>
        </w:rPr>
        <w:tab/>
        <w:t>in decisions of the Board affecting the operation of the commissioning arrangements where the implementation of the decisions would (if made) have such an impact.</w:t>
      </w:r>
    </w:p>
    <w:p w14:paraId="4CEABD00" w14:textId="77777777" w:rsidR="00DB7F92" w:rsidRPr="00DB7F92" w:rsidRDefault="00DB7F92" w:rsidP="00836ECF">
      <w:pPr>
        <w:numPr>
          <w:ilvl w:val="0"/>
          <w:numId w:val="42"/>
        </w:numPr>
        <w:spacing w:line="360" w:lineRule="auto"/>
        <w:ind w:left="851" w:hanging="851"/>
        <w:contextualSpacing/>
        <w:jc w:val="both"/>
        <w:rPr>
          <w:rFonts w:cs="Arial"/>
          <w:szCs w:val="24"/>
        </w:rPr>
      </w:pPr>
      <w:r w:rsidRPr="00DB7F92">
        <w:rPr>
          <w:rFonts w:cs="Arial"/>
          <w:szCs w:val="24"/>
        </w:rPr>
        <w:t>The reference in subsection (2)(b) to the delivery of services is a reference to their delivery at the point when they are received by users.</w:t>
      </w:r>
    </w:p>
    <w:p w14:paraId="64617EB7" w14:textId="77777777" w:rsidR="00DB7F92" w:rsidRPr="00DB7F92" w:rsidRDefault="00DB7F92" w:rsidP="00836ECF">
      <w:pPr>
        <w:numPr>
          <w:ilvl w:val="0"/>
          <w:numId w:val="42"/>
        </w:numPr>
        <w:spacing w:line="360" w:lineRule="auto"/>
        <w:ind w:left="851" w:hanging="851"/>
        <w:contextualSpacing/>
        <w:jc w:val="both"/>
        <w:rPr>
          <w:rFonts w:cs="Arial"/>
          <w:szCs w:val="24"/>
        </w:rPr>
      </w:pPr>
      <w:r w:rsidRPr="00DB7F92">
        <w:rPr>
          <w:rFonts w:cs="Arial"/>
          <w:szCs w:val="24"/>
        </w:rPr>
        <w:t>This section does not require the Board to make arrangements in relation to matters to which a trust special administrator's report or draft report under section 65F or 65I relates before the Secretary of State makes a decision under section 65K(1), is satisfied as mentioned in section 65KB(1) or 65KD(1) or makes a decision under section 65KD(9) (as the case may be).</w:t>
      </w:r>
    </w:p>
    <w:p w14:paraId="2C3EF8FB" w14:textId="77777777" w:rsidR="00332153" w:rsidRDefault="00332153" w:rsidP="00DB7F92">
      <w:pPr>
        <w:spacing w:line="360" w:lineRule="auto"/>
        <w:jc w:val="center"/>
        <w:rPr>
          <w:rFonts w:cs="Arial"/>
          <w:szCs w:val="24"/>
        </w:rPr>
      </w:pPr>
    </w:p>
    <w:p w14:paraId="0B472AE5" w14:textId="77777777" w:rsidR="00DB7F92" w:rsidRPr="00DB7F92" w:rsidRDefault="00DB7F92" w:rsidP="00DB7F92">
      <w:pPr>
        <w:spacing w:line="360" w:lineRule="auto"/>
        <w:jc w:val="center"/>
        <w:rPr>
          <w:rFonts w:cs="Arial"/>
          <w:szCs w:val="24"/>
        </w:rPr>
      </w:pPr>
      <w:r w:rsidRPr="00DB7F92">
        <w:rPr>
          <w:rFonts w:cs="Arial"/>
          <w:szCs w:val="24"/>
        </w:rPr>
        <w:t>THE EQUALITY ACT 2010 - SECTION 149</w:t>
      </w:r>
    </w:p>
    <w:p w14:paraId="444542B2" w14:textId="77777777" w:rsidR="00DB7F92" w:rsidRPr="00DB7F92" w:rsidRDefault="00DB7F92" w:rsidP="00DB7F92">
      <w:pPr>
        <w:spacing w:line="360" w:lineRule="auto"/>
        <w:jc w:val="center"/>
        <w:rPr>
          <w:rFonts w:cs="Arial"/>
          <w:szCs w:val="24"/>
        </w:rPr>
      </w:pPr>
      <w:r w:rsidRPr="00DB7F92">
        <w:rPr>
          <w:rFonts w:cs="Arial"/>
          <w:szCs w:val="24"/>
        </w:rPr>
        <w:t>Advancement of equality</w:t>
      </w:r>
    </w:p>
    <w:p w14:paraId="301C86A6" w14:textId="77777777" w:rsidR="00DB7F92" w:rsidRPr="00DB7F92" w:rsidRDefault="00DB7F92" w:rsidP="00DB7F92">
      <w:pPr>
        <w:spacing w:line="360" w:lineRule="auto"/>
        <w:jc w:val="center"/>
        <w:rPr>
          <w:rFonts w:cs="Arial"/>
          <w:b/>
          <w:szCs w:val="24"/>
        </w:rPr>
      </w:pPr>
    </w:p>
    <w:p w14:paraId="51665BEE" w14:textId="77777777" w:rsidR="00DB7F92" w:rsidRPr="00DB7F92" w:rsidRDefault="00DB7F92" w:rsidP="00DB7F92">
      <w:pPr>
        <w:spacing w:line="360" w:lineRule="auto"/>
        <w:rPr>
          <w:rFonts w:cs="Arial"/>
          <w:szCs w:val="24"/>
        </w:rPr>
      </w:pPr>
      <w:r w:rsidRPr="00DB7F92">
        <w:rPr>
          <w:rFonts w:cs="Arial"/>
          <w:szCs w:val="24"/>
        </w:rPr>
        <w:t xml:space="preserve"> 149   Public sector equality duty</w:t>
      </w:r>
    </w:p>
    <w:p w14:paraId="5EE19A31" w14:textId="77777777" w:rsidR="00DB7F92" w:rsidRPr="00DB7F92" w:rsidRDefault="00DB7F92" w:rsidP="00836ECF">
      <w:pPr>
        <w:numPr>
          <w:ilvl w:val="0"/>
          <w:numId w:val="43"/>
        </w:numPr>
        <w:shd w:val="clear" w:color="auto" w:fill="FFFFFF"/>
        <w:spacing w:line="360" w:lineRule="auto"/>
        <w:ind w:left="851" w:hanging="760"/>
        <w:contextualSpacing/>
        <w:jc w:val="both"/>
        <w:rPr>
          <w:rFonts w:eastAsia="Calibri" w:cs="Arial"/>
          <w:szCs w:val="24"/>
        </w:rPr>
      </w:pPr>
      <w:r w:rsidRPr="00DB7F92">
        <w:rPr>
          <w:rFonts w:eastAsia="Calibri" w:cs="Arial"/>
          <w:szCs w:val="24"/>
        </w:rPr>
        <w:t>A public authority must, in the exercise of its functions, have due regard to the need to—</w:t>
      </w:r>
    </w:p>
    <w:p w14:paraId="0FE536C0" w14:textId="77777777" w:rsidR="00DB7F92" w:rsidRPr="00DB7F92" w:rsidRDefault="00DB7F92" w:rsidP="00DB7F92">
      <w:pPr>
        <w:shd w:val="clear" w:color="auto" w:fill="FFFFFF"/>
        <w:spacing w:line="360" w:lineRule="auto"/>
        <w:ind w:left="1418" w:hanging="567"/>
        <w:rPr>
          <w:rFonts w:eastAsia="Calibri" w:cs="Arial"/>
          <w:szCs w:val="24"/>
        </w:rPr>
      </w:pPr>
      <w:r w:rsidRPr="00DB7F92">
        <w:rPr>
          <w:rFonts w:eastAsia="Calibri" w:cs="Arial"/>
          <w:szCs w:val="24"/>
        </w:rPr>
        <w:t>(a)</w:t>
      </w:r>
      <w:r w:rsidRPr="00DB7F92">
        <w:rPr>
          <w:rFonts w:eastAsia="Calibri" w:cs="Arial"/>
          <w:szCs w:val="24"/>
        </w:rPr>
        <w:tab/>
        <w:t>eliminate discrimination, harassment, victimisation and any other conduct that is prohibited by or  under this Act;</w:t>
      </w:r>
    </w:p>
    <w:p w14:paraId="67721B45" w14:textId="77777777" w:rsidR="00DB7F92" w:rsidRPr="00DB7F92" w:rsidRDefault="00DB7F92" w:rsidP="00DB7F92">
      <w:pPr>
        <w:shd w:val="clear" w:color="auto" w:fill="FFFFFF"/>
        <w:spacing w:line="360" w:lineRule="auto"/>
        <w:ind w:left="1418" w:hanging="567"/>
        <w:rPr>
          <w:rFonts w:eastAsia="Calibri" w:cs="Arial"/>
          <w:szCs w:val="24"/>
        </w:rPr>
      </w:pPr>
      <w:r w:rsidRPr="00DB7F92">
        <w:rPr>
          <w:rFonts w:eastAsia="Calibri" w:cs="Arial"/>
          <w:szCs w:val="24"/>
        </w:rPr>
        <w:t>(b)</w:t>
      </w:r>
      <w:r w:rsidRPr="00DB7F92">
        <w:rPr>
          <w:rFonts w:eastAsia="Calibri" w:cs="Arial"/>
          <w:szCs w:val="24"/>
        </w:rPr>
        <w:tab/>
        <w:t>advance equality of opportunity between persons who share a relevant protected characteristic and persons who do not share it;</w:t>
      </w:r>
    </w:p>
    <w:p w14:paraId="1F8D16C3" w14:textId="77777777" w:rsidR="00DB7F92" w:rsidRPr="00DB7F92" w:rsidRDefault="00DB7F92" w:rsidP="00DB7F92">
      <w:pPr>
        <w:shd w:val="clear" w:color="auto" w:fill="FFFFFF"/>
        <w:spacing w:line="360" w:lineRule="auto"/>
        <w:ind w:left="1418" w:hanging="567"/>
        <w:rPr>
          <w:rFonts w:eastAsia="Calibri" w:cs="Arial"/>
        </w:rPr>
      </w:pPr>
      <w:r w:rsidRPr="00DB7F92">
        <w:rPr>
          <w:rFonts w:eastAsia="Calibri" w:cs="Arial"/>
          <w:szCs w:val="24"/>
        </w:rPr>
        <w:t xml:space="preserve">(c) </w:t>
      </w:r>
      <w:r w:rsidRPr="00DB7F92">
        <w:rPr>
          <w:rFonts w:eastAsia="Calibri" w:cs="Arial"/>
          <w:szCs w:val="24"/>
        </w:rPr>
        <w:tab/>
        <w:t>foster good relations between persons who share a relevant protected characteristic and persons who do not share it.</w:t>
      </w:r>
    </w:p>
    <w:p w14:paraId="02AEF183" w14:textId="77777777" w:rsidR="00DB7F92" w:rsidRPr="00DB7F92" w:rsidRDefault="00DB7F92" w:rsidP="00836ECF">
      <w:pPr>
        <w:numPr>
          <w:ilvl w:val="0"/>
          <w:numId w:val="43"/>
        </w:numPr>
        <w:shd w:val="clear" w:color="auto" w:fill="FFFFFF"/>
        <w:spacing w:line="360" w:lineRule="auto"/>
        <w:ind w:left="851" w:hanging="760"/>
        <w:contextualSpacing/>
        <w:jc w:val="both"/>
        <w:rPr>
          <w:rFonts w:cs="Arial"/>
          <w:szCs w:val="24"/>
        </w:rPr>
      </w:pPr>
      <w:r w:rsidRPr="00DB7F92">
        <w:rPr>
          <w:rFonts w:cs="Arial"/>
          <w:szCs w:val="24"/>
        </w:rPr>
        <w:t>A person who is not a public authority but who exercises public functions must, in the exercise of those functions, have due regard to the matters mentioned in subsection (1).</w:t>
      </w:r>
    </w:p>
    <w:p w14:paraId="0C73EAB0" w14:textId="77777777" w:rsidR="00DB7F92" w:rsidRPr="00DB7F92" w:rsidRDefault="00DB7F92" w:rsidP="00836ECF">
      <w:pPr>
        <w:numPr>
          <w:ilvl w:val="0"/>
          <w:numId w:val="43"/>
        </w:numPr>
        <w:shd w:val="clear" w:color="auto" w:fill="FFFFFF"/>
        <w:spacing w:line="360" w:lineRule="auto"/>
        <w:ind w:left="851" w:hanging="760"/>
        <w:contextualSpacing/>
        <w:jc w:val="both"/>
        <w:rPr>
          <w:rFonts w:cs="Arial"/>
          <w:szCs w:val="24"/>
        </w:rPr>
      </w:pPr>
      <w:r w:rsidRPr="00DB7F92">
        <w:rPr>
          <w:rFonts w:cs="Arial"/>
          <w:szCs w:val="24"/>
        </w:rPr>
        <w:lastRenderedPageBreak/>
        <w:t>Having due regard to the need to advance equality of opportunity between persons who share a relevant protected characteristic and persons who do not share it involves having due regard, in particular, to the need to—</w:t>
      </w:r>
    </w:p>
    <w:p w14:paraId="55FF08FA" w14:textId="77777777" w:rsidR="00DB7F92" w:rsidRPr="00DB7F92" w:rsidRDefault="00DB7F92" w:rsidP="00DB7F92">
      <w:pPr>
        <w:shd w:val="clear" w:color="auto" w:fill="FFFFFF"/>
        <w:spacing w:line="360" w:lineRule="auto"/>
        <w:ind w:left="1418" w:hanging="567"/>
        <w:rPr>
          <w:rFonts w:cs="Arial"/>
          <w:szCs w:val="24"/>
        </w:rPr>
      </w:pPr>
      <w:r w:rsidRPr="00DB7F92">
        <w:rPr>
          <w:rFonts w:cs="Arial"/>
          <w:szCs w:val="24"/>
        </w:rPr>
        <w:t xml:space="preserve"> (a)    </w:t>
      </w:r>
      <w:r w:rsidRPr="00DB7F92">
        <w:rPr>
          <w:rFonts w:eastAsia="Calibri" w:cs="Arial"/>
          <w:szCs w:val="24"/>
        </w:rPr>
        <w:t>remove</w:t>
      </w:r>
      <w:r w:rsidRPr="00DB7F92">
        <w:rPr>
          <w:rFonts w:cs="Arial"/>
          <w:szCs w:val="24"/>
        </w:rPr>
        <w:t xml:space="preserve"> or minimise disadvantages suffered by persons who share a relevant protected characteristic that are connected to that characteristic;</w:t>
      </w:r>
    </w:p>
    <w:p w14:paraId="340841A4" w14:textId="77777777" w:rsidR="00DB7F92" w:rsidRPr="00DB7F92" w:rsidRDefault="00DB7F92" w:rsidP="00DB7F92">
      <w:pPr>
        <w:shd w:val="clear" w:color="auto" w:fill="FFFFFF"/>
        <w:spacing w:line="360" w:lineRule="auto"/>
        <w:ind w:left="1418" w:hanging="567"/>
        <w:rPr>
          <w:rFonts w:cs="Arial"/>
          <w:szCs w:val="24"/>
        </w:rPr>
      </w:pPr>
      <w:r w:rsidRPr="00DB7F92">
        <w:rPr>
          <w:rFonts w:cs="Arial"/>
          <w:szCs w:val="24"/>
        </w:rPr>
        <w:t>(b)     take steps to meet the needs of persons who share a relevant protected characteristic that are different from the needs of persons who do not share it;</w:t>
      </w:r>
    </w:p>
    <w:p w14:paraId="3BCB1189" w14:textId="77777777" w:rsidR="00DB7F92" w:rsidRPr="00DB7F92" w:rsidRDefault="00DB7F92" w:rsidP="00DB7F92">
      <w:pPr>
        <w:shd w:val="clear" w:color="auto" w:fill="FFFFFF"/>
        <w:spacing w:line="360" w:lineRule="auto"/>
        <w:ind w:left="1418" w:hanging="567"/>
        <w:rPr>
          <w:rFonts w:cs="Arial"/>
          <w:szCs w:val="24"/>
        </w:rPr>
      </w:pPr>
      <w:r w:rsidRPr="00DB7F92">
        <w:rPr>
          <w:rFonts w:cs="Arial"/>
          <w:szCs w:val="24"/>
        </w:rPr>
        <w:t>(c)     encourage persons who share a relevant protected characteristic to participate in public life or in any other activity in which participation by such persons is disproportionately low.</w:t>
      </w:r>
    </w:p>
    <w:p w14:paraId="786C9041" w14:textId="77777777" w:rsidR="00DB7F92" w:rsidRPr="00DB7F92" w:rsidRDefault="00DB7F92" w:rsidP="00836ECF">
      <w:pPr>
        <w:numPr>
          <w:ilvl w:val="0"/>
          <w:numId w:val="43"/>
        </w:numPr>
        <w:shd w:val="clear" w:color="auto" w:fill="FFFFFF"/>
        <w:spacing w:line="360" w:lineRule="auto"/>
        <w:ind w:left="851" w:hanging="760"/>
        <w:contextualSpacing/>
        <w:jc w:val="both"/>
        <w:rPr>
          <w:rFonts w:cs="Arial"/>
          <w:szCs w:val="24"/>
        </w:rPr>
      </w:pPr>
      <w:r w:rsidRPr="00DB7F92">
        <w:rPr>
          <w:rFonts w:cs="Arial"/>
          <w:szCs w:val="24"/>
        </w:rPr>
        <w:t>The steps involved in meeting the needs of disabled persons that are different from the needs of persons who are not disabled include, in particular, steps to take account of disabled persons' disabilities.</w:t>
      </w:r>
    </w:p>
    <w:p w14:paraId="77E7057F" w14:textId="77777777" w:rsidR="00DB7F92" w:rsidRPr="00DB7F92" w:rsidRDefault="00DB7F92" w:rsidP="00836ECF">
      <w:pPr>
        <w:numPr>
          <w:ilvl w:val="0"/>
          <w:numId w:val="43"/>
        </w:numPr>
        <w:shd w:val="clear" w:color="auto" w:fill="FFFFFF"/>
        <w:spacing w:line="360" w:lineRule="auto"/>
        <w:ind w:left="851" w:hanging="760"/>
        <w:contextualSpacing/>
        <w:jc w:val="both"/>
        <w:rPr>
          <w:rFonts w:cs="Arial"/>
          <w:szCs w:val="24"/>
        </w:rPr>
      </w:pPr>
      <w:r w:rsidRPr="00DB7F92">
        <w:rPr>
          <w:rFonts w:cs="Arial"/>
          <w:szCs w:val="24"/>
        </w:rPr>
        <w:t>Having due regard to the need to foster good relations between persons who share a relevant protected characteristic and persons who do not share it involves having due regard, in particular, to the need to—</w:t>
      </w:r>
    </w:p>
    <w:p w14:paraId="74CACAF3" w14:textId="77777777" w:rsidR="00DB7F92" w:rsidRPr="00DB7F92" w:rsidRDefault="00DB7F92" w:rsidP="00DB7F92">
      <w:pPr>
        <w:shd w:val="clear" w:color="auto" w:fill="FFFFFF"/>
        <w:spacing w:line="360" w:lineRule="auto"/>
        <w:ind w:left="1418" w:hanging="567"/>
        <w:rPr>
          <w:rFonts w:eastAsia="Calibri" w:cs="Arial"/>
          <w:szCs w:val="24"/>
        </w:rPr>
      </w:pPr>
      <w:r w:rsidRPr="00DB7F92">
        <w:rPr>
          <w:rFonts w:cs="Arial"/>
          <w:szCs w:val="24"/>
        </w:rPr>
        <w:t xml:space="preserve">(a)     </w:t>
      </w:r>
      <w:r w:rsidRPr="00DB7F92">
        <w:rPr>
          <w:rFonts w:eastAsia="Calibri" w:cs="Arial"/>
          <w:szCs w:val="24"/>
        </w:rPr>
        <w:t>tackle prejudice, and</w:t>
      </w:r>
    </w:p>
    <w:p w14:paraId="22D8C92F" w14:textId="77777777" w:rsidR="00DB7F92" w:rsidRPr="00DB7F92" w:rsidRDefault="00DB7F92" w:rsidP="00DB7F92">
      <w:pPr>
        <w:shd w:val="clear" w:color="auto" w:fill="FFFFFF"/>
        <w:spacing w:line="360" w:lineRule="auto"/>
        <w:ind w:left="1418" w:hanging="567"/>
        <w:rPr>
          <w:rFonts w:eastAsia="Calibri" w:cs="Arial"/>
          <w:szCs w:val="24"/>
        </w:rPr>
      </w:pPr>
      <w:r w:rsidRPr="00DB7F92">
        <w:rPr>
          <w:rFonts w:eastAsia="Calibri" w:cs="Arial"/>
          <w:szCs w:val="24"/>
        </w:rPr>
        <w:t>(b)     promote understanding.</w:t>
      </w:r>
    </w:p>
    <w:p w14:paraId="71AAE21E" w14:textId="77777777" w:rsidR="00DB7F92" w:rsidRPr="00DB7F92" w:rsidRDefault="00DB7F92" w:rsidP="00836ECF">
      <w:pPr>
        <w:numPr>
          <w:ilvl w:val="0"/>
          <w:numId w:val="43"/>
        </w:numPr>
        <w:shd w:val="clear" w:color="auto" w:fill="FFFFFF"/>
        <w:spacing w:line="360" w:lineRule="auto"/>
        <w:ind w:left="851" w:hanging="760"/>
        <w:contextualSpacing/>
        <w:jc w:val="both"/>
        <w:rPr>
          <w:rFonts w:cs="Arial"/>
          <w:szCs w:val="24"/>
        </w:rPr>
      </w:pPr>
      <w:r w:rsidRPr="00DB7F92">
        <w:rPr>
          <w:rFonts w:cs="Arial"/>
          <w:szCs w:val="24"/>
        </w:rPr>
        <w:t>Compliance with the duties in this section may involve treating some persons more favourably than others; but that is not to be taken as permitting conduct that would otherwise be prohibited by or under this Act.</w:t>
      </w:r>
    </w:p>
    <w:p w14:paraId="43B19521" w14:textId="77777777" w:rsidR="00DB7F92" w:rsidRPr="00DB7F92" w:rsidRDefault="00DB7F92" w:rsidP="00836ECF">
      <w:pPr>
        <w:numPr>
          <w:ilvl w:val="0"/>
          <w:numId w:val="43"/>
        </w:numPr>
        <w:shd w:val="clear" w:color="auto" w:fill="FFFFFF"/>
        <w:spacing w:line="360" w:lineRule="auto"/>
        <w:ind w:left="851" w:hanging="760"/>
        <w:contextualSpacing/>
        <w:jc w:val="both"/>
        <w:rPr>
          <w:rFonts w:cs="Arial"/>
          <w:szCs w:val="24"/>
        </w:rPr>
      </w:pPr>
      <w:r w:rsidRPr="00DB7F92">
        <w:rPr>
          <w:rFonts w:cs="Arial"/>
          <w:szCs w:val="24"/>
        </w:rPr>
        <w:t>The relevant protected characteristics are—</w:t>
      </w:r>
    </w:p>
    <w:p w14:paraId="0EB2F320" w14:textId="77777777" w:rsidR="00DB7F92" w:rsidRPr="00DB7F92" w:rsidRDefault="00DB7F92" w:rsidP="00DB7F92">
      <w:pPr>
        <w:spacing w:line="360" w:lineRule="auto"/>
        <w:ind w:left="760"/>
        <w:contextualSpacing/>
        <w:rPr>
          <w:rFonts w:cs="Arial"/>
          <w:szCs w:val="24"/>
        </w:rPr>
      </w:pPr>
      <w:r w:rsidRPr="00DB7F92">
        <w:rPr>
          <w:rFonts w:cs="Arial"/>
          <w:szCs w:val="24"/>
        </w:rPr>
        <w:t xml:space="preserve">  age;</w:t>
      </w:r>
    </w:p>
    <w:p w14:paraId="0225C7D4" w14:textId="77777777" w:rsidR="00DB7F92" w:rsidRPr="00DB7F92" w:rsidRDefault="00DB7F92" w:rsidP="00DB7F92">
      <w:pPr>
        <w:spacing w:line="360" w:lineRule="auto"/>
        <w:ind w:left="760"/>
        <w:contextualSpacing/>
        <w:rPr>
          <w:rFonts w:cs="Arial"/>
          <w:szCs w:val="24"/>
        </w:rPr>
      </w:pPr>
      <w:r w:rsidRPr="00DB7F92">
        <w:rPr>
          <w:rFonts w:cs="Arial"/>
          <w:szCs w:val="24"/>
        </w:rPr>
        <w:t xml:space="preserve">  disability;</w:t>
      </w:r>
    </w:p>
    <w:p w14:paraId="7E6FC224" w14:textId="77777777" w:rsidR="00DB7F92" w:rsidRPr="00DB7F92" w:rsidRDefault="00DB7F92" w:rsidP="00DB7F92">
      <w:pPr>
        <w:spacing w:line="360" w:lineRule="auto"/>
        <w:ind w:left="760"/>
        <w:contextualSpacing/>
        <w:rPr>
          <w:rFonts w:cs="Arial"/>
          <w:szCs w:val="24"/>
        </w:rPr>
      </w:pPr>
      <w:r w:rsidRPr="00DB7F92">
        <w:rPr>
          <w:rFonts w:cs="Arial"/>
          <w:szCs w:val="24"/>
        </w:rPr>
        <w:t xml:space="preserve">  gender reassignment;</w:t>
      </w:r>
    </w:p>
    <w:p w14:paraId="2077CCC7" w14:textId="77777777" w:rsidR="00DB7F92" w:rsidRPr="00DB7F92" w:rsidRDefault="00DB7F92" w:rsidP="00DB7F92">
      <w:pPr>
        <w:spacing w:line="360" w:lineRule="auto"/>
        <w:ind w:left="760"/>
        <w:contextualSpacing/>
        <w:rPr>
          <w:rFonts w:cs="Arial"/>
          <w:szCs w:val="24"/>
        </w:rPr>
      </w:pPr>
      <w:r w:rsidRPr="00DB7F92">
        <w:rPr>
          <w:rFonts w:cs="Arial"/>
          <w:szCs w:val="24"/>
        </w:rPr>
        <w:t xml:space="preserve">  pregnancy and maternity;</w:t>
      </w:r>
    </w:p>
    <w:p w14:paraId="2EF7B5DA" w14:textId="77777777" w:rsidR="00DB7F92" w:rsidRPr="00DB7F92" w:rsidRDefault="00DB7F92" w:rsidP="00DB7F92">
      <w:pPr>
        <w:spacing w:line="360" w:lineRule="auto"/>
        <w:ind w:left="760"/>
        <w:contextualSpacing/>
        <w:rPr>
          <w:rFonts w:cs="Arial"/>
          <w:szCs w:val="24"/>
        </w:rPr>
      </w:pPr>
      <w:r w:rsidRPr="00DB7F92">
        <w:rPr>
          <w:rFonts w:cs="Arial"/>
          <w:szCs w:val="24"/>
        </w:rPr>
        <w:t xml:space="preserve">  race;</w:t>
      </w:r>
    </w:p>
    <w:p w14:paraId="70083194" w14:textId="77777777" w:rsidR="00DB7F92" w:rsidRPr="00DB7F92" w:rsidRDefault="00DB7F92" w:rsidP="00DB7F92">
      <w:pPr>
        <w:spacing w:line="360" w:lineRule="auto"/>
        <w:ind w:left="760"/>
        <w:contextualSpacing/>
        <w:rPr>
          <w:rFonts w:cs="Arial"/>
          <w:szCs w:val="24"/>
        </w:rPr>
      </w:pPr>
      <w:r w:rsidRPr="00DB7F92">
        <w:rPr>
          <w:rFonts w:cs="Arial"/>
          <w:szCs w:val="24"/>
        </w:rPr>
        <w:t xml:space="preserve">  religion or belief;</w:t>
      </w:r>
    </w:p>
    <w:p w14:paraId="0562DC40" w14:textId="77777777" w:rsidR="00DB7F92" w:rsidRPr="00DB7F92" w:rsidRDefault="00DB7F92" w:rsidP="00DB7F92">
      <w:pPr>
        <w:spacing w:line="360" w:lineRule="auto"/>
        <w:ind w:left="760"/>
        <w:contextualSpacing/>
        <w:rPr>
          <w:rFonts w:cs="Arial"/>
          <w:szCs w:val="24"/>
        </w:rPr>
      </w:pPr>
      <w:r w:rsidRPr="00DB7F92">
        <w:rPr>
          <w:rFonts w:cs="Arial"/>
          <w:szCs w:val="24"/>
        </w:rPr>
        <w:t xml:space="preserve">  sex;</w:t>
      </w:r>
    </w:p>
    <w:p w14:paraId="3CA842DD" w14:textId="77777777" w:rsidR="00DB7F92" w:rsidRPr="00DB7F92" w:rsidRDefault="00DB7F92" w:rsidP="00DB7F92">
      <w:pPr>
        <w:spacing w:line="360" w:lineRule="auto"/>
        <w:ind w:left="760"/>
        <w:contextualSpacing/>
        <w:rPr>
          <w:rFonts w:cs="Arial"/>
          <w:szCs w:val="24"/>
        </w:rPr>
      </w:pPr>
      <w:r w:rsidRPr="00DB7F92">
        <w:rPr>
          <w:rFonts w:cs="Arial"/>
          <w:szCs w:val="24"/>
        </w:rPr>
        <w:t xml:space="preserve">  sexual orientation.</w:t>
      </w:r>
    </w:p>
    <w:p w14:paraId="1E19FA4B" w14:textId="77777777" w:rsidR="00DB7F92" w:rsidRPr="00DB7F92" w:rsidRDefault="00DB7F92" w:rsidP="00836ECF">
      <w:pPr>
        <w:numPr>
          <w:ilvl w:val="0"/>
          <w:numId w:val="43"/>
        </w:numPr>
        <w:shd w:val="clear" w:color="auto" w:fill="FFFFFF"/>
        <w:spacing w:line="360" w:lineRule="auto"/>
        <w:ind w:left="851" w:hanging="760"/>
        <w:contextualSpacing/>
        <w:jc w:val="both"/>
        <w:rPr>
          <w:rFonts w:cs="Arial"/>
          <w:szCs w:val="24"/>
        </w:rPr>
      </w:pPr>
      <w:r w:rsidRPr="00DB7F92">
        <w:rPr>
          <w:rFonts w:cs="Arial"/>
          <w:szCs w:val="24"/>
        </w:rPr>
        <w:t>A reference to conduct that is prohibited by or under this Act includes a reference to—</w:t>
      </w:r>
    </w:p>
    <w:p w14:paraId="65A3D933" w14:textId="77777777" w:rsidR="00DB7F92" w:rsidRPr="00DB7F92" w:rsidRDefault="00DB7F92" w:rsidP="00DB7F92">
      <w:pPr>
        <w:shd w:val="clear" w:color="auto" w:fill="FFFFFF"/>
        <w:spacing w:line="360" w:lineRule="auto"/>
        <w:ind w:left="1418" w:hanging="567"/>
        <w:rPr>
          <w:rFonts w:cs="Arial"/>
          <w:szCs w:val="24"/>
        </w:rPr>
      </w:pPr>
      <w:r w:rsidRPr="00DB7F92">
        <w:rPr>
          <w:rFonts w:cs="Arial"/>
          <w:szCs w:val="24"/>
        </w:rPr>
        <w:lastRenderedPageBreak/>
        <w:t>(a)     a breach of an equality clause or rule;</w:t>
      </w:r>
    </w:p>
    <w:p w14:paraId="59D05E14" w14:textId="77777777" w:rsidR="00DB7F92" w:rsidRPr="00DB7F92" w:rsidRDefault="00DB7F92" w:rsidP="00DB7F92">
      <w:pPr>
        <w:shd w:val="clear" w:color="auto" w:fill="FFFFFF"/>
        <w:spacing w:line="360" w:lineRule="auto"/>
        <w:ind w:left="1418" w:hanging="567"/>
        <w:rPr>
          <w:rFonts w:cs="Arial"/>
          <w:szCs w:val="24"/>
        </w:rPr>
      </w:pPr>
      <w:r w:rsidRPr="00DB7F92">
        <w:rPr>
          <w:rFonts w:cs="Arial"/>
          <w:szCs w:val="24"/>
        </w:rPr>
        <w:t>(b)     a breach of a non-discrimination rule.</w:t>
      </w:r>
    </w:p>
    <w:p w14:paraId="29B61C54" w14:textId="77777777" w:rsidR="00DB7F92" w:rsidRPr="00DB7F92" w:rsidRDefault="00DB7F92" w:rsidP="00DB7F92">
      <w:pPr>
        <w:shd w:val="clear" w:color="auto" w:fill="FFFFFF"/>
        <w:spacing w:line="360" w:lineRule="auto"/>
        <w:ind w:left="1418" w:hanging="567"/>
        <w:rPr>
          <w:rFonts w:cs="Arial"/>
          <w:szCs w:val="24"/>
        </w:rPr>
      </w:pPr>
      <w:r w:rsidRPr="00DB7F92">
        <w:rPr>
          <w:rFonts w:cs="Arial"/>
          <w:szCs w:val="24"/>
        </w:rPr>
        <w:t>(9)     Schedule 18 (exceptions) has effect.</w:t>
      </w:r>
    </w:p>
    <w:p w14:paraId="5C12AB5F" w14:textId="6280879D" w:rsidR="0015247B" w:rsidRPr="00410495" w:rsidRDefault="00B42132" w:rsidP="00682EC4">
      <w:pPr>
        <w:pStyle w:val="Heading1"/>
      </w:pPr>
      <w:r>
        <w:br w:type="page"/>
      </w:r>
      <w:bookmarkStart w:id="114" w:name="_Toc498495326"/>
      <w:r w:rsidR="0015247B" w:rsidRPr="00410495">
        <w:lastRenderedPageBreak/>
        <w:t>Working Together – Commissioning and Regulating</w:t>
      </w:r>
      <w:bookmarkEnd w:id="114"/>
    </w:p>
    <w:p w14:paraId="6CFCF7FF" w14:textId="77777777" w:rsidR="0015247B" w:rsidRPr="0015247B" w:rsidRDefault="0015247B" w:rsidP="0015247B"/>
    <w:p w14:paraId="2C6E6720" w14:textId="77777777" w:rsidR="00410495" w:rsidRPr="00410495" w:rsidRDefault="00410495" w:rsidP="00410495">
      <w:pPr>
        <w:pStyle w:val="Heading2"/>
      </w:pPr>
      <w:bookmarkStart w:id="115" w:name="_Toc498495327"/>
      <w:r w:rsidRPr="00410495">
        <w:t>Introduction</w:t>
      </w:r>
      <w:bookmarkEnd w:id="115"/>
    </w:p>
    <w:p w14:paraId="687F8F85" w14:textId="66CDE7C9" w:rsidR="00410495" w:rsidRDefault="00410495" w:rsidP="000433F3">
      <w:pPr>
        <w:pStyle w:val="Heading3"/>
        <w:rPr>
          <w:lang w:eastAsia="en-GB"/>
        </w:rPr>
      </w:pPr>
      <w:r>
        <w:rPr>
          <w:lang w:eastAsia="en-GB"/>
        </w:rPr>
        <w:t>This chapter is intended to inform commissioners of existing and ongoing work to establish a robust and practical joint working framework by CQC and NHS England, with wider clinical commissioners, in light 85% of CCGs taking on delegation from 01</w:t>
      </w:r>
      <w:r w:rsidRPr="000433F3">
        <w:rPr>
          <w:vertAlign w:val="superscript"/>
          <w:lang w:eastAsia="en-GB"/>
        </w:rPr>
        <w:t xml:space="preserve"> </w:t>
      </w:r>
      <w:r>
        <w:rPr>
          <w:lang w:eastAsia="en-GB"/>
        </w:rPr>
        <w:t>April 2017 and as CQC moves to its next phase of inspection process.</w:t>
      </w:r>
    </w:p>
    <w:p w14:paraId="00B1CB92" w14:textId="77777777" w:rsidR="00410495" w:rsidRDefault="00410495" w:rsidP="000433F3">
      <w:pPr>
        <w:pStyle w:val="Heading3"/>
        <w:rPr>
          <w:lang w:eastAsia="en-GB"/>
        </w:rPr>
      </w:pPr>
      <w:r w:rsidRPr="000253EE">
        <w:rPr>
          <w:lang w:eastAsia="en-GB"/>
        </w:rPr>
        <w:t xml:space="preserve">In recognition of the Regulation of </w:t>
      </w:r>
      <w:r w:rsidRPr="00EC5EE1">
        <w:rPr>
          <w:lang w:eastAsia="en-GB"/>
        </w:rPr>
        <w:t>General Practice</w:t>
      </w:r>
      <w:r w:rsidRPr="000253EE">
        <w:rPr>
          <w:lang w:eastAsia="en-GB"/>
        </w:rPr>
        <w:t xml:space="preserve"> Programme Board’s ambition to reduce the burden of regulation and assurance on GP providers, we </w:t>
      </w:r>
      <w:r>
        <w:rPr>
          <w:lang w:eastAsia="en-GB"/>
        </w:rPr>
        <w:t xml:space="preserve">are carrying </w:t>
      </w:r>
      <w:r w:rsidRPr="000253EE">
        <w:rPr>
          <w:lang w:eastAsia="en-GB"/>
        </w:rPr>
        <w:t xml:space="preserve">out a programme of work to consider ways in which NHS England, clinical commissioners (CCGs) and </w:t>
      </w:r>
      <w:r>
        <w:rPr>
          <w:lang w:eastAsia="en-GB"/>
        </w:rPr>
        <w:t>CQC</w:t>
      </w:r>
      <w:r w:rsidRPr="000253EE">
        <w:rPr>
          <w:lang w:eastAsia="en-GB"/>
        </w:rPr>
        <w:t xml:space="preserve"> can work in a more aligned </w:t>
      </w:r>
      <w:r>
        <w:rPr>
          <w:lang w:eastAsia="en-GB"/>
        </w:rPr>
        <w:t>way</w:t>
      </w:r>
      <w:r w:rsidRPr="000253EE">
        <w:rPr>
          <w:lang w:eastAsia="en-GB"/>
        </w:rPr>
        <w:t xml:space="preserve"> at regional</w:t>
      </w:r>
      <w:r>
        <w:rPr>
          <w:lang w:eastAsia="en-GB"/>
        </w:rPr>
        <w:t xml:space="preserve"> and local</w:t>
      </w:r>
      <w:r w:rsidRPr="000253EE">
        <w:rPr>
          <w:lang w:eastAsia="en-GB"/>
        </w:rPr>
        <w:t xml:space="preserve"> level. </w:t>
      </w:r>
    </w:p>
    <w:p w14:paraId="3B2F7047" w14:textId="77777777" w:rsidR="00332153" w:rsidRPr="00332153" w:rsidRDefault="00332153" w:rsidP="00332153">
      <w:pPr>
        <w:rPr>
          <w:lang w:eastAsia="en-GB"/>
        </w:rPr>
      </w:pPr>
    </w:p>
    <w:p w14:paraId="0441FFE3" w14:textId="45A7495E" w:rsidR="000433F3" w:rsidRPr="000433F3" w:rsidRDefault="00410495" w:rsidP="000433F3">
      <w:pPr>
        <w:pStyle w:val="Heading2"/>
      </w:pPr>
      <w:bookmarkStart w:id="116" w:name="_Toc498495328"/>
      <w:r w:rsidRPr="00410495">
        <w:t>Background</w:t>
      </w:r>
      <w:bookmarkEnd w:id="116"/>
    </w:p>
    <w:p w14:paraId="1A0B3C61" w14:textId="0AAFF222" w:rsidR="00410495" w:rsidRDefault="00410495" w:rsidP="000433F3">
      <w:pPr>
        <w:pStyle w:val="Heading3"/>
        <w:rPr>
          <w:lang w:eastAsia="en-GB"/>
        </w:rPr>
      </w:pPr>
      <w:r w:rsidRPr="00E64E2F">
        <w:rPr>
          <w:lang w:eastAsia="en-GB"/>
        </w:rPr>
        <w:t xml:space="preserve">Alongside the publication of the GP Forward View (NHS England, 2016), a </w:t>
      </w:r>
      <w:hyperlink r:id="rId34" w:history="1">
        <w:r w:rsidRPr="00272DF9">
          <w:rPr>
            <w:rStyle w:val="Hyperlink"/>
            <w:lang w:eastAsia="en-GB"/>
          </w:rPr>
          <w:t>statement of intent</w:t>
        </w:r>
      </w:hyperlink>
      <w:r w:rsidRPr="00E64E2F">
        <w:rPr>
          <w:lang w:eastAsia="en-GB"/>
        </w:rPr>
        <w:t xml:space="preserve"> was published by the main national regulatory and assurance bodies, committing to working together with professional bodies and those using services in the development of a shared view of quality in general practice. This would provide the basis of a joined up approach to monitoring and improvement of quality. </w:t>
      </w:r>
    </w:p>
    <w:p w14:paraId="3C181ED2" w14:textId="77777777" w:rsidR="00410495" w:rsidRPr="003F3BC3" w:rsidRDefault="00410495" w:rsidP="000433F3">
      <w:pPr>
        <w:pStyle w:val="Heading3"/>
        <w:rPr>
          <w:lang w:eastAsia="en-GB"/>
        </w:rPr>
      </w:pPr>
      <w:r w:rsidRPr="003F3BC3">
        <w:rPr>
          <w:lang w:eastAsia="en-GB"/>
        </w:rPr>
        <w:t xml:space="preserve">The Regulation of General Practice Programme Board was established in </w:t>
      </w:r>
      <w:r>
        <w:rPr>
          <w:lang w:eastAsia="en-GB"/>
        </w:rPr>
        <w:t>June 2016 to take forward this commitment.</w:t>
      </w:r>
    </w:p>
    <w:p w14:paraId="04632001" w14:textId="77777777" w:rsidR="00410495" w:rsidRPr="003F3BC3" w:rsidRDefault="00410495" w:rsidP="000433F3">
      <w:pPr>
        <w:pStyle w:val="Heading3"/>
        <w:rPr>
          <w:lang w:eastAsia="en-GB"/>
        </w:rPr>
      </w:pPr>
      <w:r w:rsidRPr="003F3BC3">
        <w:rPr>
          <w:lang w:eastAsia="en-GB"/>
        </w:rPr>
        <w:t>The purpose of the Board is to:</w:t>
      </w:r>
    </w:p>
    <w:p w14:paraId="69CF854D" w14:textId="77777777" w:rsidR="00410495" w:rsidRDefault="00410495" w:rsidP="005A7DDA">
      <w:pPr>
        <w:pStyle w:val="ListParagraph"/>
        <w:numPr>
          <w:ilvl w:val="0"/>
          <w:numId w:val="60"/>
        </w:numPr>
        <w:spacing w:before="120" w:after="60" w:line="360" w:lineRule="auto"/>
        <w:rPr>
          <w:rFonts w:cstheme="minorHAnsi"/>
          <w:szCs w:val="24"/>
          <w:lang w:eastAsia="en-GB"/>
        </w:rPr>
      </w:pPr>
      <w:r w:rsidRPr="003F3BC3">
        <w:rPr>
          <w:rFonts w:cstheme="minorHAnsi"/>
          <w:szCs w:val="24"/>
          <w:lang w:eastAsia="en-GB"/>
        </w:rPr>
        <w:t>Coordinate and improve the overall approach to the regulation of general practice in England by bringing together the main statutory oversight and regulatory bodies and delivering a programme of work which will streamline working arrangements and minimise duplication.</w:t>
      </w:r>
    </w:p>
    <w:p w14:paraId="5939CAFD" w14:textId="77777777" w:rsidR="00410495" w:rsidRPr="003F3BC3" w:rsidRDefault="00410495" w:rsidP="005A7DDA">
      <w:pPr>
        <w:pStyle w:val="ListParagraph"/>
        <w:numPr>
          <w:ilvl w:val="0"/>
          <w:numId w:val="60"/>
        </w:numPr>
        <w:spacing w:before="120" w:after="60" w:line="360" w:lineRule="auto"/>
        <w:rPr>
          <w:rFonts w:cstheme="minorHAnsi"/>
          <w:szCs w:val="24"/>
          <w:lang w:eastAsia="en-GB"/>
        </w:rPr>
      </w:pPr>
      <w:r w:rsidRPr="003F3BC3">
        <w:rPr>
          <w:rFonts w:cstheme="minorHAnsi"/>
          <w:szCs w:val="24"/>
          <w:lang w:eastAsia="en-GB"/>
        </w:rPr>
        <w:t>Provide a forum for sign-up by statutory bodies to a common framework – a shared view of quality – which will be co-produced with the professions and the public.</w:t>
      </w:r>
    </w:p>
    <w:p w14:paraId="3B2E2AE2" w14:textId="77777777" w:rsidR="000433F3" w:rsidRDefault="000433F3" w:rsidP="00410495">
      <w:pPr>
        <w:pStyle w:val="Heading2"/>
        <w:sectPr w:rsidR="000433F3" w:rsidSect="006C49D5">
          <w:headerReference w:type="default" r:id="rId35"/>
          <w:footerReference w:type="default" r:id="rId36"/>
          <w:pgSz w:w="11906" w:h="16838"/>
          <w:pgMar w:top="1418" w:right="1418" w:bottom="1418" w:left="1418" w:header="720" w:footer="720" w:gutter="0"/>
          <w:cols w:space="720"/>
          <w:docGrid w:linePitch="272"/>
        </w:sectPr>
      </w:pPr>
    </w:p>
    <w:p w14:paraId="773B83D2" w14:textId="368F86AB" w:rsidR="00410495" w:rsidRPr="00410495" w:rsidRDefault="00410495" w:rsidP="00410495">
      <w:pPr>
        <w:pStyle w:val="Heading2"/>
      </w:pPr>
      <w:bookmarkStart w:id="117" w:name="_Toc498495329"/>
      <w:r w:rsidRPr="00410495">
        <w:lastRenderedPageBreak/>
        <w:t>Implementation</w:t>
      </w:r>
      <w:bookmarkEnd w:id="117"/>
    </w:p>
    <w:p w14:paraId="5C29A1BB" w14:textId="3DA2A29E" w:rsidR="00410495" w:rsidRDefault="00410495" w:rsidP="000433F3">
      <w:pPr>
        <w:pStyle w:val="Heading3"/>
        <w:rPr>
          <w:lang w:eastAsia="en-GB"/>
        </w:rPr>
      </w:pPr>
      <w:r w:rsidRPr="00E64E2F">
        <w:rPr>
          <w:lang w:eastAsia="en-GB"/>
        </w:rPr>
        <w:t xml:space="preserve">The Care Quality Commission (CQC), NHS England, and NHS Clinical Commissioners (NHSCC), with the support of the General Medical Council (GMC), </w:t>
      </w:r>
      <w:r>
        <w:rPr>
          <w:lang w:eastAsia="en-GB"/>
        </w:rPr>
        <w:t>will publish</w:t>
      </w:r>
      <w:r w:rsidRPr="00E64E2F">
        <w:rPr>
          <w:lang w:eastAsia="en-GB"/>
        </w:rPr>
        <w:t xml:space="preserve"> </w:t>
      </w:r>
      <w:r>
        <w:rPr>
          <w:lang w:eastAsia="en-GB"/>
        </w:rPr>
        <w:t>the joint working framework in Autumn 2017</w:t>
      </w:r>
      <w:r w:rsidR="00C5508F">
        <w:rPr>
          <w:lang w:eastAsia="en-GB"/>
        </w:rPr>
        <w:t>, which will be further refined and strengthened over time</w:t>
      </w:r>
      <w:r>
        <w:rPr>
          <w:lang w:eastAsia="en-GB"/>
        </w:rPr>
        <w:t>.</w:t>
      </w:r>
    </w:p>
    <w:p w14:paraId="739EAF64" w14:textId="7D2A36E3" w:rsidR="00410495" w:rsidRDefault="00964909" w:rsidP="000433F3">
      <w:pPr>
        <w:pStyle w:val="Heading3"/>
        <w:rPr>
          <w:lang w:eastAsia="en-GB"/>
        </w:rPr>
      </w:pPr>
      <w:r>
        <w:rPr>
          <w:lang w:eastAsia="en-GB"/>
        </w:rPr>
        <w:t xml:space="preserve">The framework recognises that </w:t>
      </w:r>
      <w:r w:rsidR="00410495" w:rsidRPr="0017143E">
        <w:rPr>
          <w:lang w:eastAsia="en-GB"/>
        </w:rPr>
        <w:t xml:space="preserve"> in many areas relationships </w:t>
      </w:r>
      <w:r w:rsidR="00410495">
        <w:rPr>
          <w:lang w:eastAsia="en-GB"/>
        </w:rPr>
        <w:t xml:space="preserve">between commissioners and CQC </w:t>
      </w:r>
      <w:r w:rsidR="00410495" w:rsidRPr="0017143E">
        <w:rPr>
          <w:lang w:eastAsia="en-GB"/>
        </w:rPr>
        <w:t>are w</w:t>
      </w:r>
      <w:r w:rsidR="00410495">
        <w:rPr>
          <w:lang w:eastAsia="en-GB"/>
        </w:rPr>
        <w:t>orking well; in other areas the</w:t>
      </w:r>
      <w:r w:rsidR="00410495" w:rsidRPr="0017143E">
        <w:rPr>
          <w:lang w:eastAsia="en-GB"/>
        </w:rPr>
        <w:t xml:space="preserve"> framework is intended to help provide structure and support for new relationships with examples of good practice.</w:t>
      </w:r>
    </w:p>
    <w:p w14:paraId="1AD1ADEA" w14:textId="77777777" w:rsidR="00410495" w:rsidRPr="00410495" w:rsidRDefault="00410495" w:rsidP="00410495">
      <w:pPr>
        <w:pStyle w:val="Heading2"/>
      </w:pPr>
      <w:bookmarkStart w:id="118" w:name="_Toc498495330"/>
      <w:r w:rsidRPr="00410495">
        <w:t>Existing Good Practice and Interim principles</w:t>
      </w:r>
      <w:bookmarkEnd w:id="118"/>
    </w:p>
    <w:p w14:paraId="0474E6FC" w14:textId="77777777" w:rsidR="00410495" w:rsidRDefault="00410495" w:rsidP="000433F3">
      <w:pPr>
        <w:pStyle w:val="Heading3"/>
        <w:rPr>
          <w:lang w:eastAsia="en-GB"/>
        </w:rPr>
      </w:pPr>
      <w:r>
        <w:rPr>
          <w:lang w:eastAsia="en-GB"/>
        </w:rPr>
        <w:t>Significant steps have already been made to streamline processes and share information:</w:t>
      </w:r>
    </w:p>
    <w:p w14:paraId="6283BEC3" w14:textId="77777777" w:rsidR="00410495" w:rsidRDefault="00410495" w:rsidP="00836ECF">
      <w:pPr>
        <w:pStyle w:val="ListParagraph"/>
        <w:numPr>
          <w:ilvl w:val="0"/>
          <w:numId w:val="46"/>
        </w:numPr>
        <w:spacing w:before="120" w:after="60" w:line="360" w:lineRule="auto"/>
        <w:rPr>
          <w:rFonts w:cstheme="minorHAnsi"/>
          <w:szCs w:val="24"/>
          <w:lang w:eastAsia="en-GB"/>
        </w:rPr>
      </w:pPr>
      <w:r>
        <w:rPr>
          <w:rFonts w:cstheme="minorHAnsi"/>
          <w:szCs w:val="24"/>
          <w:lang w:eastAsia="en-GB"/>
        </w:rPr>
        <w:t>NHS England regularly share eDec data and information with CQC</w:t>
      </w:r>
    </w:p>
    <w:p w14:paraId="733A300E" w14:textId="77777777" w:rsidR="00410495" w:rsidRPr="003D0978" w:rsidRDefault="00410495" w:rsidP="00836ECF">
      <w:pPr>
        <w:pStyle w:val="ListParagraph"/>
        <w:numPr>
          <w:ilvl w:val="0"/>
          <w:numId w:val="46"/>
        </w:numPr>
        <w:spacing w:before="120" w:after="60" w:line="360" w:lineRule="auto"/>
        <w:rPr>
          <w:rFonts w:cstheme="minorHAnsi"/>
          <w:szCs w:val="24"/>
          <w:lang w:eastAsia="en-GB"/>
        </w:rPr>
      </w:pPr>
      <w:r>
        <w:rPr>
          <w:rFonts w:cstheme="minorHAnsi"/>
          <w:szCs w:val="24"/>
          <w:lang w:eastAsia="en-GB"/>
        </w:rPr>
        <w:t>NHS England will share eDec data with all commissioners including analysis and outlier reports to help commissioners target support locally.</w:t>
      </w:r>
    </w:p>
    <w:p w14:paraId="1A527489" w14:textId="77777777" w:rsidR="00410495" w:rsidRDefault="00410495" w:rsidP="00836ECF">
      <w:pPr>
        <w:pStyle w:val="ListParagraph"/>
        <w:numPr>
          <w:ilvl w:val="0"/>
          <w:numId w:val="46"/>
        </w:numPr>
        <w:spacing w:before="120" w:after="60" w:line="360" w:lineRule="auto"/>
        <w:rPr>
          <w:rFonts w:cstheme="minorHAnsi"/>
          <w:szCs w:val="24"/>
          <w:lang w:eastAsia="en-GB"/>
        </w:rPr>
      </w:pPr>
      <w:r>
        <w:rPr>
          <w:rFonts w:cstheme="minorHAnsi"/>
          <w:szCs w:val="24"/>
          <w:lang w:eastAsia="en-GB"/>
        </w:rPr>
        <w:t>CQC share inspection rating updates every week with NHS England</w:t>
      </w:r>
    </w:p>
    <w:p w14:paraId="684D7187" w14:textId="77777777" w:rsidR="00410495" w:rsidRDefault="00410495" w:rsidP="00836ECF">
      <w:pPr>
        <w:pStyle w:val="ListParagraph"/>
        <w:numPr>
          <w:ilvl w:val="0"/>
          <w:numId w:val="46"/>
        </w:numPr>
        <w:spacing w:before="120" w:after="60" w:line="360" w:lineRule="auto"/>
        <w:rPr>
          <w:rFonts w:cstheme="minorHAnsi"/>
          <w:szCs w:val="24"/>
          <w:lang w:eastAsia="en-GB"/>
        </w:rPr>
      </w:pPr>
      <w:r>
        <w:rPr>
          <w:rFonts w:cstheme="minorHAnsi"/>
          <w:szCs w:val="24"/>
          <w:lang w:eastAsia="en-GB"/>
        </w:rPr>
        <w:t>CQC share inspection schedules with commissioners wherever possible</w:t>
      </w:r>
    </w:p>
    <w:p w14:paraId="7E092600" w14:textId="77777777" w:rsidR="00410495" w:rsidRDefault="00410495" w:rsidP="00836ECF">
      <w:pPr>
        <w:pStyle w:val="ListParagraph"/>
        <w:numPr>
          <w:ilvl w:val="0"/>
          <w:numId w:val="46"/>
        </w:numPr>
        <w:spacing w:before="120" w:after="60" w:line="360" w:lineRule="auto"/>
        <w:rPr>
          <w:rFonts w:cstheme="minorHAnsi"/>
          <w:szCs w:val="24"/>
          <w:lang w:eastAsia="en-GB"/>
        </w:rPr>
      </w:pPr>
      <w:r>
        <w:rPr>
          <w:rFonts w:cstheme="minorHAnsi"/>
          <w:szCs w:val="24"/>
          <w:lang w:eastAsia="en-GB"/>
        </w:rPr>
        <w:t>Commissioners share local information and intelligence with CQC and NHS England</w:t>
      </w:r>
    </w:p>
    <w:p w14:paraId="4003C5A9" w14:textId="77777777" w:rsidR="00410495" w:rsidRPr="00FC0A5B" w:rsidRDefault="00410495" w:rsidP="00836ECF">
      <w:pPr>
        <w:pStyle w:val="ListParagraph"/>
        <w:numPr>
          <w:ilvl w:val="0"/>
          <w:numId w:val="46"/>
        </w:numPr>
        <w:spacing w:before="120" w:after="60" w:line="360" w:lineRule="auto"/>
        <w:rPr>
          <w:rFonts w:cstheme="minorHAnsi"/>
          <w:szCs w:val="24"/>
          <w:lang w:eastAsia="en-GB"/>
        </w:rPr>
      </w:pPr>
      <w:r>
        <w:rPr>
          <w:rFonts w:cstheme="minorHAnsi"/>
          <w:szCs w:val="24"/>
          <w:lang w:eastAsia="en-GB"/>
        </w:rPr>
        <w:t>In some areas commissioners work closely with GP practices prior to inspections to support them.</w:t>
      </w:r>
    </w:p>
    <w:p w14:paraId="5CCC9630" w14:textId="7C767852" w:rsidR="00D32C7A" w:rsidRPr="000433F3" w:rsidRDefault="00410495" w:rsidP="000433F3">
      <w:pPr>
        <w:pStyle w:val="Heading3"/>
        <w:rPr>
          <w:lang w:eastAsia="en-GB"/>
        </w:rPr>
      </w:pPr>
      <w:r w:rsidRPr="00DE2D5D">
        <w:rPr>
          <w:lang w:eastAsia="en-GB"/>
        </w:rPr>
        <w:t>Collaborative working arrangements</w:t>
      </w:r>
      <w:r>
        <w:rPr>
          <w:lang w:eastAsia="en-GB"/>
        </w:rPr>
        <w:t>:</w:t>
      </w:r>
    </w:p>
    <w:p w14:paraId="3B92FB4A" w14:textId="77777777" w:rsidR="00410495" w:rsidRDefault="00410495" w:rsidP="000433F3">
      <w:pPr>
        <w:pStyle w:val="Heading3"/>
        <w:rPr>
          <w:lang w:eastAsia="en-GB"/>
        </w:rPr>
      </w:pPr>
      <w:r w:rsidRPr="00987E66">
        <w:rPr>
          <w:lang w:eastAsia="en-GB"/>
        </w:rPr>
        <w:t>Positive working relationships are critical for ensuring successful partnership working. Commissioners and CQC have established some formal mechanisms for ensuring successful collaborative working but these should not be seen the only means by which those relationships can be developed. We also recognise the role of Quality Surveillance Groups and other forums which have been established for information sharing in some areas of the country.</w:t>
      </w:r>
    </w:p>
    <w:p w14:paraId="10BF172F" w14:textId="77777777" w:rsidR="00410495" w:rsidRPr="00DE2D5D" w:rsidRDefault="00410495" w:rsidP="00410495">
      <w:pPr>
        <w:pStyle w:val="ListParagraph"/>
        <w:spacing w:before="120" w:after="60" w:line="360" w:lineRule="auto"/>
        <w:ind w:left="1080"/>
        <w:rPr>
          <w:rFonts w:cstheme="minorHAnsi"/>
          <w:szCs w:val="24"/>
          <w:lang w:eastAsia="en-GB"/>
        </w:rPr>
      </w:pPr>
    </w:p>
    <w:p w14:paraId="42FBE298" w14:textId="2E319EC0" w:rsidR="00410495" w:rsidRPr="000433F3" w:rsidRDefault="00410495" w:rsidP="000433F3">
      <w:pPr>
        <w:pStyle w:val="Heading3"/>
      </w:pPr>
      <w:r w:rsidRPr="000433F3">
        <w:t xml:space="preserve">It is recognised that telephoning the right person at the right organisation at the right time is the best means of both developing those relationships and </w:t>
      </w:r>
      <w:r w:rsidRPr="000433F3">
        <w:lastRenderedPageBreak/>
        <w:t xml:space="preserve">avoiding duplication wherever possible. </w:t>
      </w:r>
      <w:r w:rsidR="00C5508F">
        <w:t xml:space="preserve">It is important that commissioners engage with and know their </w:t>
      </w:r>
      <w:r w:rsidRPr="000433F3">
        <w:t>local contacts.</w:t>
      </w:r>
    </w:p>
    <w:p w14:paraId="6A20BBAA" w14:textId="443E903C" w:rsidR="00410495" w:rsidRPr="000433F3" w:rsidRDefault="00410495" w:rsidP="000433F3">
      <w:pPr>
        <w:pStyle w:val="Heading3"/>
      </w:pPr>
      <w:r w:rsidRPr="000433F3">
        <w:t xml:space="preserve">Existing good practice: </w:t>
      </w:r>
    </w:p>
    <w:p w14:paraId="04CC63F2" w14:textId="77777777" w:rsidR="00410495" w:rsidRDefault="00410495" w:rsidP="00836ECF">
      <w:pPr>
        <w:pStyle w:val="ListParagraph"/>
        <w:numPr>
          <w:ilvl w:val="0"/>
          <w:numId w:val="47"/>
        </w:numPr>
        <w:spacing w:before="120" w:after="60" w:line="360" w:lineRule="auto"/>
        <w:rPr>
          <w:rFonts w:cstheme="minorHAnsi"/>
          <w:szCs w:val="24"/>
          <w:lang w:eastAsia="en-GB"/>
        </w:rPr>
      </w:pPr>
      <w:r w:rsidRPr="005513CE">
        <w:rPr>
          <w:rFonts w:cstheme="minorHAnsi"/>
          <w:szCs w:val="24"/>
          <w:lang w:eastAsia="en-GB"/>
        </w:rPr>
        <w:t>All parties will be transparent and we will ensure information governance and data protection principles are adhered to without exception</w:t>
      </w:r>
      <w:r>
        <w:rPr>
          <w:rFonts w:cstheme="minorHAnsi"/>
          <w:szCs w:val="24"/>
          <w:lang w:eastAsia="en-GB"/>
        </w:rPr>
        <w:t xml:space="preserve"> and w</w:t>
      </w:r>
      <w:r w:rsidRPr="005513CE">
        <w:rPr>
          <w:rFonts w:cstheme="minorHAnsi"/>
          <w:szCs w:val="24"/>
          <w:lang w:eastAsia="en-GB"/>
        </w:rPr>
        <w:t xml:space="preserve">e will ensure GP practices are fully </w:t>
      </w:r>
      <w:r>
        <w:rPr>
          <w:rFonts w:cstheme="minorHAnsi"/>
          <w:szCs w:val="24"/>
          <w:lang w:eastAsia="en-GB"/>
        </w:rPr>
        <w:t>sighted on this.</w:t>
      </w:r>
    </w:p>
    <w:p w14:paraId="3022DFB5" w14:textId="77777777" w:rsidR="00410495" w:rsidRPr="003D0978" w:rsidRDefault="00410495" w:rsidP="00836ECF">
      <w:pPr>
        <w:pStyle w:val="ListParagraph"/>
        <w:numPr>
          <w:ilvl w:val="0"/>
          <w:numId w:val="47"/>
        </w:numPr>
        <w:spacing w:before="120" w:after="60" w:line="360" w:lineRule="auto"/>
        <w:rPr>
          <w:rFonts w:cstheme="minorHAnsi"/>
          <w:szCs w:val="24"/>
          <w:lang w:eastAsia="en-GB"/>
        </w:rPr>
      </w:pPr>
      <w:r>
        <w:rPr>
          <w:rFonts w:cstheme="minorHAnsi"/>
          <w:szCs w:val="24"/>
          <w:lang w:eastAsia="en-GB"/>
        </w:rPr>
        <w:t>Commissioners should actively and effectively communicate with each other and CQC to ensure GP practices are not overburdened e.g. to avoid the situation whereby a commissioner contract visit overlaps with a CQC inspection.</w:t>
      </w:r>
    </w:p>
    <w:p w14:paraId="44ECDD59" w14:textId="77777777" w:rsidR="00410495" w:rsidRPr="003D0978" w:rsidRDefault="00410495" w:rsidP="00836ECF">
      <w:pPr>
        <w:pStyle w:val="ListParagraph"/>
        <w:numPr>
          <w:ilvl w:val="0"/>
          <w:numId w:val="47"/>
        </w:numPr>
        <w:spacing w:before="120" w:after="60" w:line="360" w:lineRule="auto"/>
        <w:rPr>
          <w:rFonts w:cstheme="minorHAnsi"/>
          <w:szCs w:val="24"/>
          <w:lang w:eastAsia="en-GB"/>
        </w:rPr>
      </w:pPr>
      <w:r>
        <w:rPr>
          <w:rFonts w:cstheme="minorHAnsi"/>
          <w:szCs w:val="24"/>
          <w:lang w:eastAsia="en-GB"/>
        </w:rPr>
        <w:t>Commissioners should keep in regular contact with CQC throughout the year and more targeted and regular communication on the run up to inspection or annual review.</w:t>
      </w:r>
    </w:p>
    <w:p w14:paraId="4DF47AD2" w14:textId="77777777" w:rsidR="00410495" w:rsidRDefault="00410495" w:rsidP="00836ECF">
      <w:pPr>
        <w:pStyle w:val="ListParagraph"/>
        <w:numPr>
          <w:ilvl w:val="0"/>
          <w:numId w:val="47"/>
        </w:numPr>
        <w:spacing w:before="120" w:after="60" w:line="360" w:lineRule="auto"/>
        <w:rPr>
          <w:rFonts w:cstheme="minorHAnsi"/>
          <w:szCs w:val="24"/>
          <w:lang w:eastAsia="en-GB"/>
        </w:rPr>
      </w:pPr>
      <w:r>
        <w:rPr>
          <w:rFonts w:cstheme="minorHAnsi"/>
          <w:szCs w:val="24"/>
          <w:lang w:eastAsia="en-GB"/>
        </w:rPr>
        <w:t>Commissioners should actively engage with and support GP Practices pre and post inspection.</w:t>
      </w:r>
    </w:p>
    <w:p w14:paraId="2531E324" w14:textId="77777777" w:rsidR="000433F3" w:rsidRDefault="000433F3" w:rsidP="00410495">
      <w:pPr>
        <w:pStyle w:val="Heading2"/>
        <w:sectPr w:rsidR="000433F3" w:rsidSect="006C49D5">
          <w:pgSz w:w="11906" w:h="16838"/>
          <w:pgMar w:top="1418" w:right="1418" w:bottom="1418" w:left="1418" w:header="720" w:footer="720" w:gutter="0"/>
          <w:cols w:space="720"/>
          <w:docGrid w:linePitch="272"/>
        </w:sectPr>
      </w:pPr>
    </w:p>
    <w:p w14:paraId="37189BD0" w14:textId="229ABC2E" w:rsidR="00410495" w:rsidRPr="00410495" w:rsidRDefault="00410495" w:rsidP="00410495">
      <w:pPr>
        <w:pStyle w:val="Heading2"/>
      </w:pPr>
      <w:bookmarkStart w:id="119" w:name="_Toc498495331"/>
      <w:r w:rsidRPr="00410495">
        <w:lastRenderedPageBreak/>
        <w:t>Why:</w:t>
      </w:r>
      <w:bookmarkEnd w:id="119"/>
    </w:p>
    <w:p w14:paraId="4E9504D6" w14:textId="3B717A93" w:rsidR="001B14F9" w:rsidRPr="003E46C0" w:rsidRDefault="001B14F9" w:rsidP="0000534D">
      <w:pPr>
        <w:pStyle w:val="Heading3"/>
        <w:spacing w:before="240" w:after="240" w:line="276" w:lineRule="auto"/>
        <w:rPr>
          <w:lang w:eastAsia="en-GB"/>
        </w:rPr>
      </w:pPr>
      <w:r w:rsidRPr="003E46C0">
        <w:rPr>
          <w:lang w:eastAsia="en-GB"/>
        </w:rPr>
        <w:t>The system of medical regulation has evolved over time rather than having been designed from a single, agreed blueprint. There is a perception within the medical profession that it is over-regulated, with too many bodies setting standards and imposing requirements with potential for regulatory overlap. A lack of clarity about which body is responsible for which areas of monitoring and regulation carries a risk of duplication but also of potential gaps in the system which is designed to ensure</w:t>
      </w:r>
      <w:r w:rsidR="003E46C0" w:rsidRPr="003E46C0">
        <w:rPr>
          <w:lang w:eastAsia="en-GB"/>
        </w:rPr>
        <w:t xml:space="preserve"> </w:t>
      </w:r>
      <w:r w:rsidR="003E46C0">
        <w:rPr>
          <w:b/>
          <w:iCs/>
          <w:lang w:eastAsia="en-GB"/>
        </w:rPr>
        <w:t xml:space="preserve"> </w:t>
      </w:r>
      <w:r w:rsidRPr="003E46C0">
        <w:rPr>
          <w:lang w:eastAsia="en-GB"/>
        </w:rPr>
        <w:t>patient safety.</w:t>
      </w:r>
    </w:p>
    <w:p w14:paraId="45E77011" w14:textId="77777777" w:rsidR="001B14F9" w:rsidRPr="0000534D" w:rsidRDefault="001B14F9" w:rsidP="0000534D">
      <w:pPr>
        <w:pStyle w:val="Heading3"/>
        <w:spacing w:before="240" w:after="240" w:line="276" w:lineRule="auto"/>
      </w:pPr>
      <w:r w:rsidRPr="0000534D">
        <w:t>These overlaps exist:</w:t>
      </w:r>
    </w:p>
    <w:p w14:paraId="5AC30C59" w14:textId="18F96591" w:rsidR="001B14F9" w:rsidRPr="0000534D" w:rsidRDefault="001B14F9" w:rsidP="005A7DDA">
      <w:pPr>
        <w:pStyle w:val="ListParagraph"/>
        <w:numPr>
          <w:ilvl w:val="0"/>
          <w:numId w:val="146"/>
        </w:numPr>
        <w:spacing w:before="240" w:after="240" w:line="276" w:lineRule="auto"/>
      </w:pPr>
      <w:r w:rsidRPr="0000534D">
        <w:t>between CQC GP practice requirements and GMC revalidation requirements</w:t>
      </w:r>
    </w:p>
    <w:p w14:paraId="0FC26E1F" w14:textId="56F762B5" w:rsidR="001B14F9" w:rsidRPr="0000534D" w:rsidRDefault="001B14F9" w:rsidP="005A7DDA">
      <w:pPr>
        <w:pStyle w:val="ListParagraph"/>
        <w:numPr>
          <w:ilvl w:val="0"/>
          <w:numId w:val="146"/>
        </w:numPr>
        <w:spacing w:before="240" w:after="240" w:line="276" w:lineRule="auto"/>
      </w:pPr>
      <w:r w:rsidRPr="0000534D">
        <w:t>between evidence sought by NHS England for contract compliance and CQC’s</w:t>
      </w:r>
      <w:r w:rsidR="003E46C0" w:rsidRPr="0000534D">
        <w:t xml:space="preserve"> </w:t>
      </w:r>
      <w:r w:rsidRPr="0000534D">
        <w:t>regulatory requirements</w:t>
      </w:r>
    </w:p>
    <w:p w14:paraId="02E85D5E" w14:textId="6B92A3B3" w:rsidR="001B14F9" w:rsidRPr="0000534D" w:rsidRDefault="001B14F9" w:rsidP="005A7DDA">
      <w:pPr>
        <w:pStyle w:val="ListParagraph"/>
        <w:numPr>
          <w:ilvl w:val="0"/>
          <w:numId w:val="146"/>
        </w:numPr>
        <w:spacing w:before="240" w:after="240" w:line="276" w:lineRule="auto"/>
      </w:pPr>
      <w:r w:rsidRPr="0000534D">
        <w:t>between NHS England in its oversight role of the National Performers List (NPL)</w:t>
      </w:r>
      <w:r w:rsidR="003E46C0" w:rsidRPr="0000534D">
        <w:t xml:space="preserve"> </w:t>
      </w:r>
      <w:r w:rsidRPr="0000534D">
        <w:t>and GMC’s regulation of GPs on the GP register, and</w:t>
      </w:r>
    </w:p>
    <w:p w14:paraId="25629AB7" w14:textId="739F0415" w:rsidR="001B14F9" w:rsidRPr="0000534D" w:rsidRDefault="001B14F9" w:rsidP="005A7DDA">
      <w:pPr>
        <w:pStyle w:val="ListParagraph"/>
        <w:numPr>
          <w:ilvl w:val="0"/>
          <w:numId w:val="146"/>
        </w:numPr>
        <w:spacing w:before="240" w:after="240" w:line="276" w:lineRule="auto"/>
      </w:pPr>
      <w:r w:rsidRPr="0000534D">
        <w:t>between NHS England in its oversight of national contracts and CCGs in their</w:t>
      </w:r>
      <w:r w:rsidR="003E46C0" w:rsidRPr="0000534D">
        <w:t xml:space="preserve"> </w:t>
      </w:r>
      <w:r w:rsidRPr="0000534D">
        <w:t>oversight of local contracts and accountability for system performance.</w:t>
      </w:r>
    </w:p>
    <w:p w14:paraId="461E4604" w14:textId="40A3FFF8" w:rsidR="00410495" w:rsidRPr="003E46C0" w:rsidRDefault="001B14F9" w:rsidP="0000534D">
      <w:pPr>
        <w:pStyle w:val="Heading3"/>
        <w:spacing w:before="240" w:after="240" w:line="276" w:lineRule="auto"/>
        <w:rPr>
          <w:lang w:eastAsia="en-GB"/>
        </w:rPr>
      </w:pPr>
      <w:r w:rsidRPr="003E46C0">
        <w:rPr>
          <w:lang w:eastAsia="en-GB"/>
        </w:rPr>
        <w:t>NHS England, CQC and GMC already work closely together to share data but there</w:t>
      </w:r>
      <w:r w:rsidR="003E46C0" w:rsidRPr="003E46C0">
        <w:rPr>
          <w:lang w:eastAsia="en-GB"/>
        </w:rPr>
        <w:t xml:space="preserve"> </w:t>
      </w:r>
      <w:r w:rsidRPr="003E46C0">
        <w:rPr>
          <w:lang w:eastAsia="en-GB"/>
        </w:rPr>
        <w:t>is more work to be done to align our processes and minimise the workload for</w:t>
      </w:r>
      <w:r w:rsidR="003E46C0" w:rsidRPr="003E46C0">
        <w:rPr>
          <w:lang w:eastAsia="en-GB"/>
        </w:rPr>
        <w:t xml:space="preserve"> </w:t>
      </w:r>
      <w:r w:rsidRPr="003E46C0">
        <w:rPr>
          <w:lang w:eastAsia="en-GB"/>
        </w:rPr>
        <w:t xml:space="preserve">general practice. </w:t>
      </w:r>
    </w:p>
    <w:p w14:paraId="525E32AE" w14:textId="7EC565A1" w:rsidR="00410495" w:rsidRPr="00410495" w:rsidRDefault="003E46C0" w:rsidP="00410495">
      <w:pPr>
        <w:pStyle w:val="Heading2"/>
      </w:pPr>
      <w:bookmarkStart w:id="120" w:name="_Toc498495332"/>
      <w:r>
        <w:t>The</w:t>
      </w:r>
      <w:r w:rsidRPr="00410495">
        <w:t xml:space="preserve"> </w:t>
      </w:r>
      <w:r>
        <w:t>a</w:t>
      </w:r>
      <w:r w:rsidR="00410495" w:rsidRPr="00410495">
        <w:t>mbition</w:t>
      </w:r>
      <w:r>
        <w:t xml:space="preserve"> being delivered</w:t>
      </w:r>
      <w:r w:rsidR="00410495" w:rsidRPr="00410495">
        <w:t>:</w:t>
      </w:r>
      <w:bookmarkEnd w:id="120"/>
    </w:p>
    <w:p w14:paraId="0F9E79F4" w14:textId="77777777" w:rsidR="003E46C0" w:rsidRDefault="003E46C0" w:rsidP="0000534D">
      <w:pPr>
        <w:spacing w:line="360" w:lineRule="auto"/>
        <w:rPr>
          <w:lang w:eastAsia="en-GB"/>
        </w:rPr>
      </w:pPr>
    </w:p>
    <w:p w14:paraId="195CB21B" w14:textId="2633DF49" w:rsidR="003E46C0" w:rsidRDefault="003E46C0" w:rsidP="003E46C0">
      <w:pPr>
        <w:spacing w:line="360" w:lineRule="auto"/>
        <w:rPr>
          <w:lang w:eastAsia="en-GB"/>
        </w:rPr>
      </w:pPr>
      <w:r>
        <w:rPr>
          <w:lang w:eastAsia="en-GB"/>
        </w:rPr>
        <w:t>NHS England, CQC and GMC committed to;</w:t>
      </w:r>
    </w:p>
    <w:p w14:paraId="1598F199" w14:textId="4A21EBDD" w:rsidR="003E46C0" w:rsidRDefault="003E46C0" w:rsidP="005A7DDA">
      <w:pPr>
        <w:pStyle w:val="ListParagraph"/>
        <w:numPr>
          <w:ilvl w:val="0"/>
          <w:numId w:val="146"/>
        </w:numPr>
        <w:spacing w:line="360" w:lineRule="auto"/>
        <w:rPr>
          <w:lang w:eastAsia="en-GB"/>
        </w:rPr>
      </w:pPr>
      <w:r>
        <w:rPr>
          <w:lang w:eastAsia="en-GB"/>
        </w:rPr>
        <w:t>identifying immediate actions to support GPs and GP practices to reduce the workload associated with regulation</w:t>
      </w:r>
    </w:p>
    <w:p w14:paraId="6F30A3E3" w14:textId="76005BD2" w:rsidR="003E46C0" w:rsidRDefault="003E46C0" w:rsidP="005A7DDA">
      <w:pPr>
        <w:pStyle w:val="ListParagraph"/>
        <w:numPr>
          <w:ilvl w:val="0"/>
          <w:numId w:val="146"/>
        </w:numPr>
        <w:spacing w:line="360" w:lineRule="auto"/>
        <w:rPr>
          <w:lang w:eastAsia="en-GB"/>
        </w:rPr>
      </w:pPr>
      <w:r>
        <w:rPr>
          <w:lang w:eastAsia="en-GB"/>
        </w:rPr>
        <w:t>align and streamline regulatory and commissioning processes taking a more targeted and risk based approach to regulation and contract management;</w:t>
      </w:r>
    </w:p>
    <w:p w14:paraId="72E5B9E8" w14:textId="1E753E36" w:rsidR="003E46C0" w:rsidRDefault="003E46C0" w:rsidP="005A7DDA">
      <w:pPr>
        <w:pStyle w:val="ListParagraph"/>
        <w:numPr>
          <w:ilvl w:val="0"/>
          <w:numId w:val="146"/>
        </w:numPr>
        <w:spacing w:line="360" w:lineRule="auto"/>
        <w:rPr>
          <w:lang w:eastAsia="en-GB"/>
        </w:rPr>
      </w:pPr>
      <w:r>
        <w:rPr>
          <w:lang w:eastAsia="en-GB"/>
        </w:rPr>
        <w:t>improved information gathering and intelligence about services - We need to ensure that the data and information we identify to collect, measure, and monitor, is clear and consistent, and proportionate to risk</w:t>
      </w:r>
    </w:p>
    <w:p w14:paraId="02CB20F2" w14:textId="75D8D07D" w:rsidR="00410495" w:rsidRPr="004418AC" w:rsidRDefault="003E46C0" w:rsidP="005A7DDA">
      <w:pPr>
        <w:pStyle w:val="ListParagraph"/>
        <w:numPr>
          <w:ilvl w:val="0"/>
          <w:numId w:val="146"/>
        </w:numPr>
        <w:spacing w:line="360" w:lineRule="auto"/>
        <w:rPr>
          <w:lang w:eastAsia="en-GB"/>
        </w:rPr>
      </w:pPr>
      <w:r>
        <w:rPr>
          <w:lang w:eastAsia="en-GB"/>
        </w:rPr>
        <w:t>make it easier for commissioners and regulators to access and use shared information about quality, giving GPs time to focus on improving quality of care at the frontline</w:t>
      </w:r>
    </w:p>
    <w:p w14:paraId="4F0C7842" w14:textId="77777777" w:rsidR="00410495" w:rsidRPr="0015247B" w:rsidRDefault="00410495" w:rsidP="0015247B"/>
    <w:p w14:paraId="4ABF7885" w14:textId="4A6C3060" w:rsidR="006B1FFD" w:rsidRDefault="003E46C0" w:rsidP="0015247B">
      <w:pPr>
        <w:pStyle w:val="Title"/>
        <w:rPr>
          <w:sz w:val="48"/>
          <w:szCs w:val="48"/>
          <w:lang w:eastAsia="en-GB"/>
        </w:rPr>
      </w:pPr>
      <w:r>
        <w:rPr>
          <w:sz w:val="48"/>
          <w:szCs w:val="48"/>
          <w:lang w:eastAsia="en-GB"/>
        </w:rPr>
        <w:br w:type="page"/>
      </w:r>
    </w:p>
    <w:p w14:paraId="2E7F5F08" w14:textId="77777777" w:rsidR="006B1FFD" w:rsidRDefault="006B1FFD" w:rsidP="0015247B">
      <w:pPr>
        <w:pStyle w:val="Title"/>
        <w:rPr>
          <w:sz w:val="48"/>
          <w:szCs w:val="48"/>
          <w:lang w:eastAsia="en-GB"/>
        </w:rPr>
      </w:pPr>
    </w:p>
    <w:p w14:paraId="676D9224" w14:textId="77777777" w:rsidR="006B1FFD" w:rsidRDefault="006B1FFD" w:rsidP="0015247B">
      <w:pPr>
        <w:pStyle w:val="Title"/>
        <w:rPr>
          <w:sz w:val="48"/>
          <w:szCs w:val="48"/>
          <w:lang w:eastAsia="en-GB"/>
        </w:rPr>
      </w:pPr>
    </w:p>
    <w:p w14:paraId="718C5FEB" w14:textId="77777777" w:rsidR="006B1FFD" w:rsidRDefault="006B1FFD" w:rsidP="0015247B">
      <w:pPr>
        <w:pStyle w:val="Title"/>
        <w:rPr>
          <w:sz w:val="48"/>
          <w:szCs w:val="48"/>
          <w:lang w:eastAsia="en-GB"/>
        </w:rPr>
      </w:pPr>
    </w:p>
    <w:p w14:paraId="3148A957" w14:textId="77777777" w:rsidR="006B1FFD" w:rsidRDefault="006B1FFD" w:rsidP="0015247B">
      <w:pPr>
        <w:pStyle w:val="Title"/>
        <w:rPr>
          <w:sz w:val="48"/>
          <w:szCs w:val="48"/>
          <w:lang w:eastAsia="en-GB"/>
        </w:rPr>
      </w:pPr>
    </w:p>
    <w:p w14:paraId="4B9548E5" w14:textId="77777777" w:rsidR="006B1FFD" w:rsidRDefault="006B1FFD" w:rsidP="0015247B">
      <w:pPr>
        <w:pStyle w:val="Title"/>
        <w:rPr>
          <w:sz w:val="48"/>
          <w:szCs w:val="48"/>
          <w:lang w:eastAsia="en-GB"/>
        </w:rPr>
      </w:pPr>
    </w:p>
    <w:p w14:paraId="25AB9ADD" w14:textId="40E65DCA" w:rsidR="0015247B" w:rsidRPr="006B0F43" w:rsidRDefault="0066107F" w:rsidP="006B0F43">
      <w:pPr>
        <w:pStyle w:val="Heading1"/>
        <w:numPr>
          <w:ilvl w:val="0"/>
          <w:numId w:val="0"/>
        </w:numPr>
        <w:ind w:left="432" w:hanging="432"/>
        <w:rPr>
          <w:sz w:val="96"/>
          <w:szCs w:val="96"/>
          <w:lang w:eastAsia="en-GB"/>
        </w:rPr>
      </w:pPr>
      <w:bookmarkStart w:id="121" w:name="_Toc498495333"/>
      <w:r>
        <w:rPr>
          <w:sz w:val="96"/>
          <w:szCs w:val="96"/>
          <w:lang w:eastAsia="en-GB"/>
        </w:rPr>
        <w:t xml:space="preserve">Part B – General </w:t>
      </w:r>
      <w:r w:rsidR="0015247B" w:rsidRPr="006B0F43">
        <w:rPr>
          <w:sz w:val="96"/>
          <w:szCs w:val="96"/>
          <w:lang w:eastAsia="en-GB"/>
        </w:rPr>
        <w:t>Contract Management</w:t>
      </w:r>
      <w:bookmarkEnd w:id="121"/>
    </w:p>
    <w:p w14:paraId="4360D226" w14:textId="77777777" w:rsidR="0015247B" w:rsidRDefault="0015247B" w:rsidP="0015247B">
      <w:pPr>
        <w:rPr>
          <w:lang w:eastAsia="en-GB"/>
        </w:rPr>
      </w:pPr>
      <w:r>
        <w:rPr>
          <w:lang w:eastAsia="en-GB"/>
        </w:rPr>
        <w:t> </w:t>
      </w:r>
    </w:p>
    <w:p w14:paraId="746AC8AE" w14:textId="2242C2EB" w:rsidR="0015247B" w:rsidRDefault="006B1FFD" w:rsidP="003331F2">
      <w:pPr>
        <w:pStyle w:val="Heading1"/>
        <w:numPr>
          <w:ilvl w:val="0"/>
          <w:numId w:val="3"/>
        </w:numPr>
        <w:rPr>
          <w:lang w:eastAsia="en-GB"/>
        </w:rPr>
      </w:pPr>
      <w:r>
        <w:rPr>
          <w:lang w:eastAsia="en-GB"/>
        </w:rPr>
        <w:br w:type="page"/>
      </w:r>
      <w:bookmarkStart w:id="122" w:name="_Toc498495334"/>
      <w:r w:rsidR="0015247B">
        <w:rPr>
          <w:lang w:eastAsia="en-GB"/>
        </w:rPr>
        <w:lastRenderedPageBreak/>
        <w:t>Contracts Described</w:t>
      </w:r>
      <w:bookmarkEnd w:id="122"/>
    </w:p>
    <w:p w14:paraId="78112194" w14:textId="77777777" w:rsidR="0015247B" w:rsidRPr="0015247B" w:rsidRDefault="0015247B" w:rsidP="0015247B">
      <w:pPr>
        <w:rPr>
          <w:lang w:eastAsia="en-GB"/>
        </w:rPr>
      </w:pPr>
    </w:p>
    <w:p w14:paraId="6FFE6A72" w14:textId="77777777" w:rsidR="004A1E13" w:rsidRPr="00CE0885" w:rsidRDefault="004A1E13" w:rsidP="004A1E13">
      <w:pPr>
        <w:pStyle w:val="Heading2"/>
      </w:pPr>
      <w:bookmarkStart w:id="123" w:name="_Toc498495335"/>
      <w:r w:rsidRPr="009055A7">
        <w:t>Comparison of Contract Types (Standard Medical and as part of models</w:t>
      </w:r>
      <w:r w:rsidRPr="00CE0885">
        <w:t xml:space="preserve"> i.e. MCPs / PACS)</w:t>
      </w:r>
      <w:bookmarkEnd w:id="123"/>
    </w:p>
    <w:p w14:paraId="7D09B5AF" w14:textId="08BDD833" w:rsidR="00546912" w:rsidRDefault="00546912" w:rsidP="0000534D">
      <w:pPr>
        <w:pStyle w:val="Heading3"/>
        <w:spacing w:before="120" w:after="120" w:line="276" w:lineRule="auto"/>
      </w:pPr>
      <w:r w:rsidRPr="004A1E13">
        <w:t>Throughout this document there are many references to standard contracts GMS, PMS and APMS. As new business models and related legislation are developed, this policy and guidance will be updated.</w:t>
      </w:r>
    </w:p>
    <w:p w14:paraId="5569A363" w14:textId="50CDAAB2" w:rsidR="00546912" w:rsidRDefault="00546912" w:rsidP="00546912">
      <w:pPr>
        <w:pStyle w:val="Heading4"/>
      </w:pPr>
      <w:r>
        <w:t>The GMS and PMS Consolidated Regulations 2015 can be viewed here:</w:t>
      </w:r>
    </w:p>
    <w:p w14:paraId="5997BAEF" w14:textId="32CF2A5B" w:rsidR="00546912" w:rsidRDefault="00546912" w:rsidP="005A7DDA">
      <w:pPr>
        <w:pStyle w:val="ListParagraph"/>
        <w:numPr>
          <w:ilvl w:val="0"/>
          <w:numId w:val="145"/>
        </w:numPr>
      </w:pPr>
      <w:r>
        <w:t xml:space="preserve">GMS: </w:t>
      </w:r>
      <w:hyperlink r:id="rId37" w:history="1">
        <w:r w:rsidRPr="00CE13A6">
          <w:rPr>
            <w:rStyle w:val="Hyperlink"/>
          </w:rPr>
          <w:t>https://www.legislation.gov.uk/uksi/2015/1862/contents/made</w:t>
        </w:r>
      </w:hyperlink>
    </w:p>
    <w:p w14:paraId="2C0F267F" w14:textId="4C40D43D" w:rsidR="00546912" w:rsidRDefault="00546912" w:rsidP="005A7DDA">
      <w:pPr>
        <w:pStyle w:val="ListParagraph"/>
        <w:numPr>
          <w:ilvl w:val="0"/>
          <w:numId w:val="145"/>
        </w:numPr>
      </w:pPr>
      <w:r>
        <w:t xml:space="preserve">PMS: </w:t>
      </w:r>
      <w:hyperlink r:id="rId38" w:history="1">
        <w:r w:rsidRPr="00CE13A6">
          <w:rPr>
            <w:rStyle w:val="Hyperlink"/>
          </w:rPr>
          <w:t>http://www.legislation.gov.uk/uksi/2015/1879/contents/made</w:t>
        </w:r>
      </w:hyperlink>
      <w:r>
        <w:t xml:space="preserve"> </w:t>
      </w:r>
    </w:p>
    <w:p w14:paraId="0770BAE3" w14:textId="77777777" w:rsidR="00546912" w:rsidRPr="00546912" w:rsidRDefault="00546912" w:rsidP="0000534D"/>
    <w:p w14:paraId="43B7EB37" w14:textId="77777777" w:rsidR="004A1E13" w:rsidRDefault="004A1E13" w:rsidP="0000534D">
      <w:pPr>
        <w:pStyle w:val="Heading3"/>
        <w:spacing w:before="120" w:after="120" w:line="276" w:lineRule="auto"/>
      </w:pPr>
      <w:r w:rsidRPr="00CE0885">
        <w:t>Accountable Care Organisations (MCPs and PACS)</w:t>
      </w:r>
    </w:p>
    <w:p w14:paraId="01C7843C" w14:textId="77777777" w:rsidR="004A1E13" w:rsidRPr="004A1E13" w:rsidRDefault="004A1E13" w:rsidP="0000534D">
      <w:pPr>
        <w:pStyle w:val="Heading4"/>
        <w:spacing w:before="120" w:after="120" w:line="276" w:lineRule="auto"/>
      </w:pPr>
      <w:r w:rsidRPr="004A1E13">
        <w:t xml:space="preserve">MCPs and PACSs are integrated delivery models which bring providers together to deliver services for a whole population. These models will be commissioned through a new ACO(MCP/PACS) contract. The contract will either require the holder to integrate its services with "core" primary medical services providers via an integration agreement (a “partially integrated” model), or may include those "core" services in its scope (a “fully integrated” model). With new legislation, GPs will have the opportunity to suspend their current "core" contracts for a period of time if they wish to join a fully integrated MCP or PACS, at which point the GPs may join the provider either as an employee or become a subcontractor to it whilst remaining in their practice.  </w:t>
      </w:r>
    </w:p>
    <w:p w14:paraId="5A13EC30" w14:textId="49C01714" w:rsidR="004A1E13" w:rsidRPr="00CE0885" w:rsidRDefault="004A1E13" w:rsidP="004A1E13">
      <w:pPr>
        <w:pStyle w:val="Body1"/>
        <w:spacing w:before="0" w:after="0" w:line="360" w:lineRule="auto"/>
        <w:rPr>
          <w:rFonts w:cs="Arial"/>
          <w:sz w:val="24"/>
          <w:szCs w:val="24"/>
        </w:rPr>
      </w:pPr>
    </w:p>
    <w:p w14:paraId="4958C900" w14:textId="3142161E" w:rsidR="004A1E13" w:rsidRPr="00D75573" w:rsidRDefault="004A1E13" w:rsidP="00D75573">
      <w:pPr>
        <w:pStyle w:val="BodyText"/>
        <w:spacing w:before="120" w:line="360" w:lineRule="auto"/>
        <w:jc w:val="left"/>
        <w:rPr>
          <w:rStyle w:val="Hyperlink"/>
          <w:sz w:val="24"/>
          <w:szCs w:val="24"/>
        </w:rPr>
      </w:pPr>
      <w:r w:rsidRPr="00D75573">
        <w:rPr>
          <w:b/>
          <w:sz w:val="24"/>
          <w:szCs w:val="24"/>
        </w:rPr>
        <w:t xml:space="preserve">Further information regarding MCPs can be found here </w:t>
      </w:r>
      <w:hyperlink r:id="rId39" w:history="1">
        <w:r w:rsidRPr="00D75573">
          <w:rPr>
            <w:rStyle w:val="Hyperlink"/>
            <w:sz w:val="24"/>
            <w:szCs w:val="24"/>
          </w:rPr>
          <w:t>https://www.england.nhs.uk/wp-content/uploads/2016/07/mcp-care-model-frmwrk.pdf</w:t>
        </w:r>
      </w:hyperlink>
      <w:r w:rsidR="00D75573" w:rsidRPr="00D75573">
        <w:rPr>
          <w:rStyle w:val="Hyperlink"/>
          <w:sz w:val="24"/>
          <w:szCs w:val="24"/>
        </w:rPr>
        <w:t xml:space="preserve"> </w:t>
      </w:r>
    </w:p>
    <w:p w14:paraId="2F9BAD5F" w14:textId="77777777" w:rsidR="00D32C7A" w:rsidRPr="00D32C7A" w:rsidRDefault="00D32C7A" w:rsidP="00D32C7A"/>
    <w:p w14:paraId="6E23DD7D" w14:textId="77777777" w:rsidR="004A1E13" w:rsidRPr="00CE0885" w:rsidRDefault="004A1E13" w:rsidP="004A1E13">
      <w:pPr>
        <w:spacing w:line="360" w:lineRule="auto"/>
        <w:ind w:left="284"/>
        <w:rPr>
          <w:rFonts w:cs="Arial"/>
          <w:szCs w:val="24"/>
        </w:rPr>
      </w:pPr>
      <w:r w:rsidRPr="00CE0885">
        <w:rPr>
          <w:rFonts w:cs="Arial"/>
          <w:szCs w:val="24"/>
        </w:rPr>
        <w:t xml:space="preserve">Further information regarding MCPs can be found here </w:t>
      </w:r>
      <w:hyperlink r:id="rId40" w:history="1">
        <w:r w:rsidRPr="00137449">
          <w:rPr>
            <w:rStyle w:val="Hyperlink"/>
            <w:rFonts w:cs="Arial"/>
          </w:rPr>
          <w:t>https://www.england.nhs.uk/wp-content/uploads/2016/09/pacs-framework.pdf</w:t>
        </w:r>
      </w:hyperlink>
    </w:p>
    <w:p w14:paraId="7FF8CCA6" w14:textId="77777777" w:rsidR="004A1E13" w:rsidRPr="009055A7" w:rsidRDefault="004A1E13" w:rsidP="004A1E13">
      <w:pPr>
        <w:pStyle w:val="Body1"/>
        <w:spacing w:before="0" w:after="0" w:line="360" w:lineRule="auto"/>
        <w:ind w:left="284"/>
        <w:rPr>
          <w:rFonts w:cs="Arial"/>
        </w:rPr>
      </w:pPr>
    </w:p>
    <w:p w14:paraId="22E618D2" w14:textId="77777777" w:rsidR="004A1E13" w:rsidRDefault="004A1E13" w:rsidP="004A1E13">
      <w:pPr>
        <w:spacing w:line="360" w:lineRule="auto"/>
        <w:rPr>
          <w:rFonts w:cs="Arial"/>
          <w:b/>
          <w:szCs w:val="24"/>
        </w:rPr>
        <w:sectPr w:rsidR="004A1E13" w:rsidSect="006C49D5">
          <w:pgSz w:w="11906" w:h="16838"/>
          <w:pgMar w:top="1418" w:right="1418" w:bottom="1418" w:left="1418" w:header="720" w:footer="720" w:gutter="0"/>
          <w:cols w:space="720"/>
          <w:docGrid w:linePitch="272"/>
        </w:sectPr>
      </w:pPr>
    </w:p>
    <w:p w14:paraId="06CFEA3A" w14:textId="0AB37D99" w:rsidR="004A1E13" w:rsidRPr="009055A7" w:rsidRDefault="004A1E13" w:rsidP="004A1E13">
      <w:pPr>
        <w:spacing w:line="360" w:lineRule="auto"/>
        <w:rPr>
          <w:rFonts w:cs="Arial"/>
          <w:b/>
          <w:szCs w:val="24"/>
        </w:rPr>
      </w:pPr>
    </w:p>
    <w:tbl>
      <w:tblPr>
        <w:tblStyle w:val="TableGrid"/>
        <w:tblW w:w="14319" w:type="dxa"/>
        <w:tblBorders>
          <w:top w:val="single" w:sz="4" w:space="0" w:color="1C6CB4"/>
          <w:left w:val="single" w:sz="4" w:space="0" w:color="1C6CB4"/>
          <w:bottom w:val="single" w:sz="4" w:space="0" w:color="1C6CB4"/>
          <w:right w:val="single" w:sz="4" w:space="0" w:color="1C6CB4"/>
          <w:insideH w:val="single" w:sz="4" w:space="0" w:color="1C6CB4"/>
          <w:insideV w:val="single" w:sz="4" w:space="0" w:color="1C6CB4"/>
        </w:tblBorders>
        <w:tblCellMar>
          <w:top w:w="142" w:type="dxa"/>
          <w:left w:w="142" w:type="dxa"/>
          <w:bottom w:w="142" w:type="dxa"/>
          <w:right w:w="142" w:type="dxa"/>
        </w:tblCellMar>
        <w:tblLook w:val="04A0" w:firstRow="1" w:lastRow="0" w:firstColumn="1" w:lastColumn="0" w:noHBand="0" w:noVBand="1"/>
        <w:tblCaption w:val="A table"/>
        <w:tblDescription w:val="A table"/>
      </w:tblPr>
      <w:tblGrid>
        <w:gridCol w:w="2427"/>
        <w:gridCol w:w="3952"/>
        <w:gridCol w:w="3969"/>
        <w:gridCol w:w="3971"/>
      </w:tblGrid>
      <w:tr w:rsidR="004A1E13" w:rsidRPr="004A1E13" w14:paraId="04DE73A9" w14:textId="77777777" w:rsidTr="0000534D">
        <w:trPr>
          <w:cantSplit/>
          <w:trHeight w:val="430"/>
          <w:tblHeader/>
        </w:trPr>
        <w:tc>
          <w:tcPr>
            <w:tcW w:w="0" w:type="auto"/>
            <w:tcBorders>
              <w:left w:val="nil"/>
              <w:bottom w:val="single" w:sz="4" w:space="0" w:color="FFFFFF" w:themeColor="background1"/>
              <w:right w:val="single" w:sz="4" w:space="0" w:color="FFFFFF" w:themeColor="background1"/>
            </w:tcBorders>
            <w:shd w:val="clear" w:color="auto" w:fill="1C6CB4"/>
          </w:tcPr>
          <w:p w14:paraId="71597887" w14:textId="77777777" w:rsidR="004A1E13" w:rsidRPr="004A1E13" w:rsidRDefault="004A1E13" w:rsidP="006C49D5">
            <w:pPr>
              <w:spacing w:line="360" w:lineRule="auto"/>
              <w:rPr>
                <w:rFonts w:cs="Arial"/>
              </w:rPr>
            </w:pPr>
          </w:p>
        </w:tc>
        <w:tc>
          <w:tcPr>
            <w:tcW w:w="3952" w:type="dxa"/>
            <w:tcBorders>
              <w:left w:val="single" w:sz="4" w:space="0" w:color="FFFFFF" w:themeColor="background1"/>
              <w:right w:val="single" w:sz="4" w:space="0" w:color="FFFFFF" w:themeColor="background1"/>
            </w:tcBorders>
            <w:shd w:val="clear" w:color="auto" w:fill="1C6CB4"/>
          </w:tcPr>
          <w:p w14:paraId="1071BB7F" w14:textId="77777777" w:rsidR="004A1E13" w:rsidRPr="004A1E13" w:rsidRDefault="004A1E13" w:rsidP="006C49D5">
            <w:pPr>
              <w:spacing w:line="360" w:lineRule="auto"/>
              <w:rPr>
                <w:rFonts w:cs="Arial"/>
              </w:rPr>
            </w:pPr>
            <w:r w:rsidRPr="004A1E13">
              <w:rPr>
                <w:rFonts w:cs="Arial"/>
              </w:rPr>
              <w:t>GMS Contract</w:t>
            </w:r>
          </w:p>
        </w:tc>
        <w:tc>
          <w:tcPr>
            <w:tcW w:w="3969" w:type="dxa"/>
            <w:tcBorders>
              <w:left w:val="single" w:sz="4" w:space="0" w:color="FFFFFF" w:themeColor="background1"/>
              <w:right w:val="single" w:sz="4" w:space="0" w:color="FFFFFF" w:themeColor="background1"/>
            </w:tcBorders>
            <w:shd w:val="clear" w:color="auto" w:fill="1C6CB4"/>
          </w:tcPr>
          <w:p w14:paraId="11FE8CBE" w14:textId="650A03AE" w:rsidR="004A1E13" w:rsidRPr="004A1E13" w:rsidRDefault="004A1E13" w:rsidP="004A1E13">
            <w:pPr>
              <w:spacing w:line="360" w:lineRule="auto"/>
              <w:rPr>
                <w:rFonts w:cs="Arial"/>
              </w:rPr>
            </w:pPr>
            <w:r w:rsidRPr="004A1E13">
              <w:rPr>
                <w:rFonts w:cs="Arial"/>
              </w:rPr>
              <w:t>PMS Agreement</w:t>
            </w:r>
          </w:p>
        </w:tc>
        <w:tc>
          <w:tcPr>
            <w:tcW w:w="3971" w:type="dxa"/>
            <w:tcBorders>
              <w:left w:val="single" w:sz="4" w:space="0" w:color="FFFFFF" w:themeColor="background1"/>
            </w:tcBorders>
            <w:shd w:val="clear" w:color="auto" w:fill="1C6CB4"/>
          </w:tcPr>
          <w:p w14:paraId="1A13CE4F" w14:textId="26033B63" w:rsidR="004A1E13" w:rsidRPr="004A1E13" w:rsidRDefault="004A1E13" w:rsidP="004A1E13">
            <w:pPr>
              <w:spacing w:line="360" w:lineRule="auto"/>
              <w:rPr>
                <w:rFonts w:cs="Arial"/>
              </w:rPr>
            </w:pPr>
            <w:r w:rsidRPr="004A1E13">
              <w:rPr>
                <w:rFonts w:cs="Arial"/>
              </w:rPr>
              <w:t>APMS Contract</w:t>
            </w:r>
          </w:p>
        </w:tc>
      </w:tr>
      <w:tr w:rsidR="004A1E13" w:rsidRPr="004A1E13" w14:paraId="3EBFF1C0" w14:textId="77777777" w:rsidTr="0000534D">
        <w:trPr>
          <w:cantSplit/>
          <w:trHeight w:val="367"/>
        </w:trPr>
        <w:tc>
          <w:tcPr>
            <w:tcW w:w="0" w:type="auto"/>
            <w:tcBorders>
              <w:top w:val="single" w:sz="4" w:space="0" w:color="FFFFFF" w:themeColor="background1"/>
              <w:left w:val="nil"/>
              <w:bottom w:val="single" w:sz="4" w:space="0" w:color="FFFFFF" w:themeColor="background1"/>
            </w:tcBorders>
            <w:shd w:val="clear" w:color="auto" w:fill="1C6CB4"/>
          </w:tcPr>
          <w:p w14:paraId="6507CE65" w14:textId="77777777" w:rsidR="004A1E13" w:rsidRPr="004A1E13" w:rsidRDefault="004A1E13" w:rsidP="006C49D5">
            <w:pPr>
              <w:spacing w:line="360" w:lineRule="auto"/>
              <w:rPr>
                <w:rFonts w:cs="Arial"/>
              </w:rPr>
            </w:pPr>
            <w:r w:rsidRPr="004A1E13">
              <w:rPr>
                <w:rFonts w:cs="Arial"/>
              </w:rPr>
              <w:t>Who can hold the contract?</w:t>
            </w:r>
          </w:p>
        </w:tc>
        <w:tc>
          <w:tcPr>
            <w:tcW w:w="3952" w:type="dxa"/>
          </w:tcPr>
          <w:p w14:paraId="7785D4C6" w14:textId="77777777" w:rsidR="004A1E13" w:rsidRPr="004A1E13" w:rsidRDefault="004A1E13" w:rsidP="00836ECF">
            <w:pPr>
              <w:pStyle w:val="ListParagraph"/>
              <w:numPr>
                <w:ilvl w:val="0"/>
                <w:numId w:val="51"/>
              </w:numPr>
              <w:spacing w:line="360" w:lineRule="auto"/>
              <w:ind w:left="459" w:hanging="403"/>
              <w:contextualSpacing w:val="0"/>
              <w:rPr>
                <w:rFonts w:cs="Arial"/>
              </w:rPr>
            </w:pPr>
            <w:r w:rsidRPr="004A1E13">
              <w:rPr>
                <w:rFonts w:cs="Arial"/>
              </w:rPr>
              <w:t>Individual medical practitioner</w:t>
            </w:r>
          </w:p>
          <w:p w14:paraId="6440B932" w14:textId="77777777" w:rsidR="004A1E13" w:rsidRPr="004A1E13" w:rsidRDefault="004A1E13" w:rsidP="00836ECF">
            <w:pPr>
              <w:pStyle w:val="ListParagraph"/>
              <w:numPr>
                <w:ilvl w:val="0"/>
                <w:numId w:val="51"/>
              </w:numPr>
              <w:spacing w:line="360" w:lineRule="auto"/>
              <w:ind w:left="459" w:hanging="403"/>
              <w:contextualSpacing w:val="0"/>
              <w:rPr>
                <w:rFonts w:cs="Arial"/>
              </w:rPr>
            </w:pPr>
            <w:r w:rsidRPr="004A1E13">
              <w:rPr>
                <w:rFonts w:cs="Arial"/>
              </w:rPr>
              <w:t>Two or more individuals practising in partnership where:</w:t>
            </w:r>
          </w:p>
          <w:p w14:paraId="220DAA61" w14:textId="77777777" w:rsidR="004A1E13" w:rsidRPr="004A1E13" w:rsidRDefault="004A1E13" w:rsidP="00836ECF">
            <w:pPr>
              <w:pStyle w:val="ListParagraph"/>
              <w:numPr>
                <w:ilvl w:val="1"/>
                <w:numId w:val="51"/>
              </w:numPr>
              <w:spacing w:line="360" w:lineRule="auto"/>
              <w:ind w:left="884" w:hanging="425"/>
              <w:contextualSpacing w:val="0"/>
              <w:rPr>
                <w:rFonts w:cs="Arial"/>
              </w:rPr>
            </w:pPr>
            <w:r w:rsidRPr="004A1E13">
              <w:rPr>
                <w:rFonts w:cs="Arial"/>
              </w:rPr>
              <w:t>at least one partner is a medical practitioner, and</w:t>
            </w:r>
          </w:p>
          <w:p w14:paraId="014DFE58" w14:textId="77777777" w:rsidR="004A1E13" w:rsidRPr="004A1E13" w:rsidRDefault="004A1E13" w:rsidP="00836ECF">
            <w:pPr>
              <w:pStyle w:val="ListParagraph"/>
              <w:numPr>
                <w:ilvl w:val="1"/>
                <w:numId w:val="51"/>
              </w:numPr>
              <w:spacing w:line="360" w:lineRule="auto"/>
              <w:ind w:left="884" w:hanging="425"/>
              <w:contextualSpacing w:val="0"/>
              <w:rPr>
                <w:rFonts w:cs="Arial"/>
              </w:rPr>
            </w:pPr>
            <w:r w:rsidRPr="004A1E13">
              <w:rPr>
                <w:rFonts w:cs="Arial"/>
              </w:rPr>
              <w:t xml:space="preserve">any other partner is either an NHS employee; or an individual eligible under s88 of the NHS Act </w:t>
            </w:r>
          </w:p>
          <w:p w14:paraId="282324CD" w14:textId="77777777" w:rsidR="004A1E13" w:rsidRPr="004A1E13" w:rsidRDefault="004A1E13" w:rsidP="00836ECF">
            <w:pPr>
              <w:pStyle w:val="ListParagraph"/>
              <w:numPr>
                <w:ilvl w:val="0"/>
                <w:numId w:val="51"/>
              </w:numPr>
              <w:spacing w:line="360" w:lineRule="auto"/>
              <w:ind w:left="459" w:hanging="403"/>
              <w:contextualSpacing w:val="0"/>
              <w:rPr>
                <w:rFonts w:cs="Arial"/>
              </w:rPr>
            </w:pPr>
            <w:r w:rsidRPr="004A1E13">
              <w:rPr>
                <w:rFonts w:cs="Arial"/>
              </w:rPr>
              <w:t>A company limited by shares</w:t>
            </w:r>
          </w:p>
          <w:p w14:paraId="6747941A" w14:textId="77777777" w:rsidR="004A1E13" w:rsidRPr="004A1E13" w:rsidRDefault="004A1E13" w:rsidP="006C49D5">
            <w:pPr>
              <w:spacing w:line="360" w:lineRule="auto"/>
              <w:ind w:left="34"/>
              <w:rPr>
                <w:rFonts w:cs="Arial"/>
              </w:rPr>
            </w:pPr>
            <w:r w:rsidRPr="004A1E13">
              <w:rPr>
                <w:rFonts w:cs="Arial"/>
              </w:rPr>
              <w:t>The above is a summary only. Please refer to Annex 1 for more detail.</w:t>
            </w:r>
          </w:p>
        </w:tc>
        <w:tc>
          <w:tcPr>
            <w:tcW w:w="3969" w:type="dxa"/>
          </w:tcPr>
          <w:p w14:paraId="4009A7AA" w14:textId="77777777" w:rsidR="004A1E13" w:rsidRPr="004A1E13" w:rsidRDefault="004A1E13" w:rsidP="00836ECF">
            <w:pPr>
              <w:pStyle w:val="Heading3"/>
              <w:numPr>
                <w:ilvl w:val="0"/>
                <w:numId w:val="50"/>
              </w:numPr>
              <w:ind w:left="270" w:hanging="270"/>
              <w:rPr>
                <w:rFonts w:cs="Arial"/>
              </w:rPr>
            </w:pPr>
            <w:bookmarkStart w:id="124" w:name="_Toc440981634"/>
            <w:r w:rsidRPr="004A1E13">
              <w:rPr>
                <w:rFonts w:cs="Arial"/>
              </w:rPr>
              <w:t>Medical practitioner</w:t>
            </w:r>
            <w:bookmarkEnd w:id="124"/>
          </w:p>
          <w:p w14:paraId="4D71EA71" w14:textId="77777777" w:rsidR="004A1E13" w:rsidRPr="00C367EB" w:rsidRDefault="004A1E13" w:rsidP="0000534D">
            <w:pPr>
              <w:pStyle w:val="Heading3"/>
              <w:numPr>
                <w:ilvl w:val="0"/>
                <w:numId w:val="50"/>
              </w:numPr>
              <w:ind w:left="270" w:hanging="270"/>
              <w:rPr>
                <w:rFonts w:cs="Arial"/>
              </w:rPr>
            </w:pPr>
            <w:bookmarkStart w:id="125" w:name="_Toc440981635"/>
            <w:r w:rsidRPr="00C367EB">
              <w:rPr>
                <w:rFonts w:cs="Arial"/>
              </w:rPr>
              <w:t>NHS employee</w:t>
            </w:r>
            <w:bookmarkEnd w:id="125"/>
          </w:p>
          <w:p w14:paraId="263BC80B" w14:textId="77777777" w:rsidR="004A1E13" w:rsidRPr="004A1E13" w:rsidRDefault="004A1E13" w:rsidP="00836ECF">
            <w:pPr>
              <w:pStyle w:val="Heading3"/>
              <w:numPr>
                <w:ilvl w:val="0"/>
                <w:numId w:val="50"/>
              </w:numPr>
              <w:ind w:left="270" w:hanging="270"/>
              <w:rPr>
                <w:rFonts w:cs="Arial"/>
              </w:rPr>
            </w:pPr>
            <w:bookmarkStart w:id="126" w:name="_Toc440981636"/>
            <w:r w:rsidRPr="004A1E13">
              <w:rPr>
                <w:rFonts w:cs="Arial"/>
              </w:rPr>
              <w:t>Health care professional</w:t>
            </w:r>
            <w:bookmarkEnd w:id="126"/>
            <w:r w:rsidRPr="004A1E13">
              <w:rPr>
                <w:rFonts w:cs="Arial"/>
              </w:rPr>
              <w:t xml:space="preserve"> </w:t>
            </w:r>
          </w:p>
          <w:p w14:paraId="5E76236A" w14:textId="77777777" w:rsidR="004A1E13" w:rsidRPr="004A1E13" w:rsidRDefault="004A1E13" w:rsidP="00836ECF">
            <w:pPr>
              <w:pStyle w:val="Heading3"/>
              <w:numPr>
                <w:ilvl w:val="0"/>
                <w:numId w:val="50"/>
              </w:numPr>
              <w:ind w:left="270" w:hanging="270"/>
              <w:rPr>
                <w:rFonts w:cs="Arial"/>
              </w:rPr>
            </w:pPr>
            <w:bookmarkStart w:id="127" w:name="_Toc440981637"/>
            <w:r w:rsidRPr="004A1E13">
              <w:rPr>
                <w:rFonts w:cs="Arial"/>
              </w:rPr>
              <w:t>Individuals already providing services under a GMS, or GDS contract or equivalent (UK)</w:t>
            </w:r>
            <w:bookmarkEnd w:id="127"/>
          </w:p>
          <w:p w14:paraId="7539760B" w14:textId="77777777" w:rsidR="004A1E13" w:rsidRPr="004A1E13" w:rsidRDefault="004A1E13" w:rsidP="00836ECF">
            <w:pPr>
              <w:pStyle w:val="Heading3"/>
              <w:numPr>
                <w:ilvl w:val="0"/>
                <w:numId w:val="50"/>
              </w:numPr>
              <w:ind w:left="270" w:hanging="270"/>
              <w:rPr>
                <w:rFonts w:cs="Arial"/>
              </w:rPr>
            </w:pPr>
            <w:bookmarkStart w:id="128" w:name="_Toc440981638"/>
            <w:r w:rsidRPr="004A1E13">
              <w:rPr>
                <w:rFonts w:cs="Arial"/>
              </w:rPr>
              <w:t>Individuals eligible under s93 of the NHS Act</w:t>
            </w:r>
            <w:bookmarkEnd w:id="128"/>
          </w:p>
          <w:p w14:paraId="38726A59" w14:textId="77777777" w:rsidR="004A1E13" w:rsidRPr="004A1E13" w:rsidRDefault="004A1E13" w:rsidP="00836ECF">
            <w:pPr>
              <w:pStyle w:val="Heading3"/>
              <w:numPr>
                <w:ilvl w:val="0"/>
                <w:numId w:val="50"/>
              </w:numPr>
              <w:ind w:left="270" w:hanging="270"/>
              <w:rPr>
                <w:rFonts w:cs="Arial"/>
              </w:rPr>
            </w:pPr>
            <w:bookmarkStart w:id="129" w:name="_Toc440981639"/>
            <w:r w:rsidRPr="004A1E13">
              <w:rPr>
                <w:rFonts w:cs="Arial"/>
              </w:rPr>
              <w:t>Qualifying body (which is a company limited by shares with restrictions on share ownership)</w:t>
            </w:r>
            <w:bookmarkEnd w:id="129"/>
            <w:r w:rsidRPr="004A1E13">
              <w:rPr>
                <w:rFonts w:cs="Arial"/>
              </w:rPr>
              <w:t xml:space="preserve"> </w:t>
            </w:r>
          </w:p>
          <w:p w14:paraId="1866B6F8" w14:textId="77777777" w:rsidR="004A1E13" w:rsidRPr="004A1E13" w:rsidRDefault="004A1E13" w:rsidP="00836ECF">
            <w:pPr>
              <w:pStyle w:val="Heading3"/>
              <w:numPr>
                <w:ilvl w:val="0"/>
                <w:numId w:val="50"/>
              </w:numPr>
              <w:ind w:left="270" w:hanging="270"/>
              <w:rPr>
                <w:rFonts w:cs="Arial"/>
              </w:rPr>
            </w:pPr>
            <w:bookmarkStart w:id="130" w:name="_Toc440981640"/>
            <w:r w:rsidRPr="004A1E13">
              <w:rPr>
                <w:rFonts w:cs="Arial"/>
              </w:rPr>
              <w:t>NHS trust or foundation trust</w:t>
            </w:r>
            <w:bookmarkEnd w:id="130"/>
          </w:p>
          <w:p w14:paraId="37860B61" w14:textId="77777777" w:rsidR="004A1E13" w:rsidRPr="004A1E13" w:rsidRDefault="004A1E13" w:rsidP="006C49D5">
            <w:pPr>
              <w:pStyle w:val="Body3"/>
              <w:spacing w:before="0" w:after="0" w:line="360" w:lineRule="auto"/>
              <w:ind w:left="0"/>
              <w:jc w:val="left"/>
              <w:rPr>
                <w:rFonts w:cs="Arial"/>
              </w:rPr>
            </w:pPr>
            <w:r w:rsidRPr="004A1E13">
              <w:rPr>
                <w:rFonts w:cs="Arial"/>
              </w:rPr>
              <w:t>The above is a summary only. Please refer to Annex 2 for more detail.</w:t>
            </w:r>
          </w:p>
        </w:tc>
        <w:tc>
          <w:tcPr>
            <w:tcW w:w="3971" w:type="dxa"/>
          </w:tcPr>
          <w:p w14:paraId="2C6F666D" w14:textId="77777777" w:rsidR="004A1E13" w:rsidRPr="004A1E13" w:rsidRDefault="004A1E13" w:rsidP="006C49D5">
            <w:pPr>
              <w:pStyle w:val="Heading3"/>
              <w:numPr>
                <w:ilvl w:val="0"/>
                <w:numId w:val="0"/>
              </w:numPr>
              <w:rPr>
                <w:rFonts w:cs="Arial"/>
              </w:rPr>
            </w:pPr>
            <w:bookmarkStart w:id="131" w:name="_Toc440981641"/>
            <w:r w:rsidRPr="004A1E13">
              <w:rPr>
                <w:rFonts w:cs="Arial"/>
              </w:rPr>
              <w:t>The APMS Directions do not state who can hold a contract.</w:t>
            </w:r>
            <w:bookmarkEnd w:id="131"/>
            <w:r w:rsidRPr="004A1E13">
              <w:rPr>
                <w:rFonts w:cs="Arial"/>
              </w:rPr>
              <w:t xml:space="preserve"> </w:t>
            </w:r>
          </w:p>
          <w:p w14:paraId="48B92370" w14:textId="77777777" w:rsidR="004A1E13" w:rsidRPr="004A1E13" w:rsidRDefault="004A1E13" w:rsidP="006C49D5">
            <w:pPr>
              <w:pStyle w:val="Heading3"/>
              <w:numPr>
                <w:ilvl w:val="0"/>
                <w:numId w:val="0"/>
              </w:numPr>
              <w:rPr>
                <w:rFonts w:cs="Arial"/>
              </w:rPr>
            </w:pPr>
            <w:bookmarkStart w:id="132" w:name="_Toc440981642"/>
            <w:r w:rsidRPr="004A1E13">
              <w:rPr>
                <w:rFonts w:cs="Arial"/>
              </w:rPr>
              <w:t>Instead it states that particular types of persons cannot hold a contract if they are not eligible.</w:t>
            </w:r>
            <w:bookmarkEnd w:id="132"/>
            <w:r w:rsidRPr="004A1E13">
              <w:rPr>
                <w:rFonts w:cs="Arial"/>
              </w:rPr>
              <w:t xml:space="preserve"> </w:t>
            </w:r>
          </w:p>
          <w:p w14:paraId="0191503D" w14:textId="77777777" w:rsidR="004A1E13" w:rsidRPr="004A1E13" w:rsidRDefault="004A1E13" w:rsidP="006C49D5">
            <w:pPr>
              <w:pStyle w:val="Heading3"/>
              <w:numPr>
                <w:ilvl w:val="0"/>
                <w:numId w:val="0"/>
              </w:numPr>
              <w:rPr>
                <w:rFonts w:cs="Arial"/>
              </w:rPr>
            </w:pPr>
            <w:bookmarkStart w:id="133" w:name="_Toc440981643"/>
            <w:r w:rsidRPr="004A1E13">
              <w:rPr>
                <w:rFonts w:cs="Arial"/>
              </w:rPr>
              <w:t>Please refer to Annex 3 for more detail.</w:t>
            </w:r>
            <w:bookmarkEnd w:id="133"/>
          </w:p>
        </w:tc>
      </w:tr>
      <w:tr w:rsidR="004A1E13" w:rsidRPr="004A1E13" w14:paraId="5D74524C" w14:textId="77777777" w:rsidTr="0000534D">
        <w:trPr>
          <w:cantSplit/>
          <w:trHeight w:val="367"/>
        </w:trPr>
        <w:tc>
          <w:tcPr>
            <w:tcW w:w="0" w:type="auto"/>
            <w:tcBorders>
              <w:top w:val="single" w:sz="4" w:space="0" w:color="FFFFFF" w:themeColor="background1"/>
              <w:left w:val="nil"/>
              <w:bottom w:val="single" w:sz="4" w:space="0" w:color="FFFFFF" w:themeColor="background1"/>
            </w:tcBorders>
            <w:shd w:val="clear" w:color="auto" w:fill="1C6CB4"/>
          </w:tcPr>
          <w:p w14:paraId="64AA386D" w14:textId="77777777" w:rsidR="004A1E13" w:rsidRPr="004A1E13" w:rsidRDefault="004A1E13" w:rsidP="006C49D5">
            <w:pPr>
              <w:spacing w:line="360" w:lineRule="auto"/>
              <w:rPr>
                <w:rFonts w:cs="Arial"/>
              </w:rPr>
            </w:pPr>
            <w:r w:rsidRPr="004A1E13">
              <w:rPr>
                <w:rFonts w:cs="Arial"/>
              </w:rPr>
              <w:lastRenderedPageBreak/>
              <w:t>Where two or more individuals are practising in partnership, is the contract treated as being made with the partnership?</w:t>
            </w:r>
          </w:p>
        </w:tc>
        <w:tc>
          <w:tcPr>
            <w:tcW w:w="3952" w:type="dxa"/>
          </w:tcPr>
          <w:p w14:paraId="7143A58E" w14:textId="77777777" w:rsidR="004A1E13" w:rsidRPr="004A1E13" w:rsidRDefault="004A1E13" w:rsidP="006C49D5">
            <w:pPr>
              <w:spacing w:line="360" w:lineRule="auto"/>
              <w:rPr>
                <w:rFonts w:cs="Arial"/>
              </w:rPr>
            </w:pPr>
            <w:r w:rsidRPr="004A1E13">
              <w:rPr>
                <w:rFonts w:cs="Arial"/>
              </w:rPr>
              <w:t>Yes</w:t>
            </w:r>
          </w:p>
        </w:tc>
        <w:tc>
          <w:tcPr>
            <w:tcW w:w="3969" w:type="dxa"/>
          </w:tcPr>
          <w:p w14:paraId="4B33315F" w14:textId="77777777" w:rsidR="004A1E13" w:rsidRPr="004A1E13" w:rsidRDefault="004A1E13" w:rsidP="006C49D5">
            <w:pPr>
              <w:pStyle w:val="Heading3"/>
              <w:numPr>
                <w:ilvl w:val="0"/>
                <w:numId w:val="0"/>
              </w:numPr>
              <w:rPr>
                <w:rFonts w:cs="Arial"/>
              </w:rPr>
            </w:pPr>
            <w:bookmarkStart w:id="134" w:name="_Toc440981644"/>
            <w:r w:rsidRPr="004A1E13">
              <w:rPr>
                <w:rFonts w:cs="Arial"/>
              </w:rPr>
              <w:t>No</w:t>
            </w:r>
            <w:bookmarkEnd w:id="134"/>
          </w:p>
        </w:tc>
        <w:tc>
          <w:tcPr>
            <w:tcW w:w="3971" w:type="dxa"/>
          </w:tcPr>
          <w:p w14:paraId="05F9DBDD" w14:textId="77777777" w:rsidR="004A1E13" w:rsidRPr="004A1E13" w:rsidRDefault="004A1E13" w:rsidP="006C49D5">
            <w:pPr>
              <w:spacing w:line="360" w:lineRule="auto"/>
              <w:rPr>
                <w:rFonts w:cs="Arial"/>
              </w:rPr>
            </w:pPr>
            <w:r w:rsidRPr="004A1E13">
              <w:rPr>
                <w:rFonts w:cs="Arial"/>
              </w:rPr>
              <w:t>No</w:t>
            </w:r>
          </w:p>
        </w:tc>
      </w:tr>
      <w:tr w:rsidR="004A1E13" w:rsidRPr="004A1E13" w14:paraId="6599BD54" w14:textId="77777777" w:rsidTr="0000534D">
        <w:trPr>
          <w:cantSplit/>
          <w:trHeight w:val="367"/>
        </w:trPr>
        <w:tc>
          <w:tcPr>
            <w:tcW w:w="0" w:type="auto"/>
            <w:tcBorders>
              <w:top w:val="single" w:sz="4" w:space="0" w:color="FFFFFF" w:themeColor="background1"/>
              <w:left w:val="nil"/>
              <w:bottom w:val="single" w:sz="4" w:space="0" w:color="FFFFFF" w:themeColor="background1"/>
            </w:tcBorders>
            <w:shd w:val="clear" w:color="auto" w:fill="1C6CB4"/>
          </w:tcPr>
          <w:p w14:paraId="52862379" w14:textId="77777777" w:rsidR="004A1E13" w:rsidRPr="004A1E13" w:rsidRDefault="004A1E13" w:rsidP="006C49D5">
            <w:pPr>
              <w:spacing w:line="360" w:lineRule="auto"/>
              <w:rPr>
                <w:rFonts w:cs="Arial"/>
              </w:rPr>
            </w:pPr>
            <w:r w:rsidRPr="004A1E13">
              <w:rPr>
                <w:rFonts w:cs="Arial"/>
              </w:rPr>
              <w:t>Is the contract time limited?</w:t>
            </w:r>
          </w:p>
        </w:tc>
        <w:tc>
          <w:tcPr>
            <w:tcW w:w="3952" w:type="dxa"/>
          </w:tcPr>
          <w:p w14:paraId="7F0BA814" w14:textId="77777777" w:rsidR="004A1E13" w:rsidRPr="004A1E13" w:rsidRDefault="004A1E13" w:rsidP="006C49D5">
            <w:pPr>
              <w:spacing w:line="360" w:lineRule="auto"/>
              <w:rPr>
                <w:rFonts w:cs="Arial"/>
              </w:rPr>
            </w:pPr>
            <w:r w:rsidRPr="004A1E13">
              <w:rPr>
                <w:rFonts w:cs="Arial"/>
              </w:rPr>
              <w:t>No</w:t>
            </w:r>
          </w:p>
          <w:p w14:paraId="7D3C0045" w14:textId="77777777" w:rsidR="004A1E13" w:rsidRPr="004A1E13" w:rsidRDefault="004A1E13" w:rsidP="006C49D5">
            <w:pPr>
              <w:spacing w:line="360" w:lineRule="auto"/>
              <w:rPr>
                <w:rFonts w:cs="Arial"/>
              </w:rPr>
            </w:pPr>
            <w:r w:rsidRPr="004A1E13">
              <w:rPr>
                <w:rFonts w:cs="Arial"/>
              </w:rPr>
              <w:t>Except in certain circumstances when a temporary GMS contract can be used – see Urgent Contracts below</w:t>
            </w:r>
          </w:p>
        </w:tc>
        <w:tc>
          <w:tcPr>
            <w:tcW w:w="3969" w:type="dxa"/>
          </w:tcPr>
          <w:p w14:paraId="01E364C3" w14:textId="77777777" w:rsidR="004A1E13" w:rsidRPr="004A1E13" w:rsidRDefault="004A1E13" w:rsidP="006C49D5">
            <w:pPr>
              <w:spacing w:line="360" w:lineRule="auto"/>
              <w:rPr>
                <w:rFonts w:cs="Arial"/>
              </w:rPr>
            </w:pPr>
            <w:r w:rsidRPr="004A1E13">
              <w:rPr>
                <w:rFonts w:cs="Arial"/>
              </w:rPr>
              <w:t>Yes</w:t>
            </w:r>
          </w:p>
          <w:p w14:paraId="0B9D2C8A" w14:textId="77777777" w:rsidR="004A1E13" w:rsidRPr="004A1E13" w:rsidRDefault="004A1E13" w:rsidP="006C49D5">
            <w:pPr>
              <w:spacing w:line="360" w:lineRule="auto"/>
              <w:rPr>
                <w:rFonts w:cs="Arial"/>
              </w:rPr>
            </w:pPr>
            <w:r w:rsidRPr="004A1E13">
              <w:rPr>
                <w:rFonts w:cs="Arial"/>
              </w:rPr>
              <w:t>Note that a PMS contractor providing essential services may apply for a GMS contract any time prior to the end of the PMS agreement</w:t>
            </w:r>
          </w:p>
        </w:tc>
        <w:tc>
          <w:tcPr>
            <w:tcW w:w="3971" w:type="dxa"/>
          </w:tcPr>
          <w:p w14:paraId="27C2573E" w14:textId="77777777" w:rsidR="004A1E13" w:rsidRPr="004A1E13" w:rsidRDefault="004A1E13" w:rsidP="006C49D5">
            <w:pPr>
              <w:spacing w:line="360" w:lineRule="auto"/>
              <w:rPr>
                <w:rFonts w:cs="Arial"/>
              </w:rPr>
            </w:pPr>
            <w:r w:rsidRPr="004A1E13">
              <w:rPr>
                <w:rFonts w:cs="Arial"/>
              </w:rPr>
              <w:t>Yes</w:t>
            </w:r>
          </w:p>
        </w:tc>
      </w:tr>
      <w:tr w:rsidR="004A1E13" w:rsidRPr="004A1E13" w14:paraId="56C88615" w14:textId="77777777" w:rsidTr="0000534D">
        <w:trPr>
          <w:cantSplit/>
          <w:trHeight w:val="367"/>
        </w:trPr>
        <w:tc>
          <w:tcPr>
            <w:tcW w:w="0" w:type="auto"/>
            <w:tcBorders>
              <w:top w:val="single" w:sz="4" w:space="0" w:color="FFFFFF" w:themeColor="background1"/>
              <w:left w:val="nil"/>
              <w:bottom w:val="single" w:sz="4" w:space="0" w:color="FFFFFF" w:themeColor="background1"/>
            </w:tcBorders>
            <w:shd w:val="clear" w:color="auto" w:fill="1C6CB4"/>
          </w:tcPr>
          <w:p w14:paraId="56012BF9" w14:textId="77777777" w:rsidR="004A1E13" w:rsidRPr="004A1E13" w:rsidRDefault="004A1E13" w:rsidP="006C49D5">
            <w:pPr>
              <w:spacing w:line="360" w:lineRule="auto"/>
              <w:rPr>
                <w:rFonts w:cs="Arial"/>
              </w:rPr>
            </w:pPr>
            <w:r w:rsidRPr="004A1E13">
              <w:rPr>
                <w:rFonts w:cs="Arial"/>
              </w:rPr>
              <w:t>Can the Commissioner terminate at will?</w:t>
            </w:r>
          </w:p>
        </w:tc>
        <w:tc>
          <w:tcPr>
            <w:tcW w:w="3952" w:type="dxa"/>
          </w:tcPr>
          <w:p w14:paraId="0600D98F" w14:textId="77777777" w:rsidR="004A1E13" w:rsidRPr="004A1E13" w:rsidRDefault="004A1E13" w:rsidP="006C49D5">
            <w:pPr>
              <w:spacing w:line="360" w:lineRule="auto"/>
              <w:rPr>
                <w:rFonts w:cs="Arial"/>
              </w:rPr>
            </w:pPr>
            <w:r w:rsidRPr="004A1E13">
              <w:rPr>
                <w:rFonts w:cs="Arial"/>
              </w:rPr>
              <w:t>No</w:t>
            </w:r>
          </w:p>
        </w:tc>
        <w:tc>
          <w:tcPr>
            <w:tcW w:w="3969" w:type="dxa"/>
          </w:tcPr>
          <w:p w14:paraId="69A6FE37" w14:textId="77777777" w:rsidR="004A1E13" w:rsidRPr="004A1E13" w:rsidRDefault="004A1E13" w:rsidP="006C49D5">
            <w:pPr>
              <w:spacing w:line="360" w:lineRule="auto"/>
              <w:rPr>
                <w:rFonts w:cs="Arial"/>
              </w:rPr>
            </w:pPr>
            <w:r w:rsidRPr="004A1E13">
              <w:rPr>
                <w:rFonts w:cs="Arial"/>
              </w:rPr>
              <w:t>Yes</w:t>
            </w:r>
          </w:p>
        </w:tc>
        <w:tc>
          <w:tcPr>
            <w:tcW w:w="3971" w:type="dxa"/>
          </w:tcPr>
          <w:p w14:paraId="467377D2" w14:textId="77777777" w:rsidR="004A1E13" w:rsidRPr="004A1E13" w:rsidRDefault="004A1E13" w:rsidP="006C49D5">
            <w:pPr>
              <w:spacing w:line="360" w:lineRule="auto"/>
              <w:rPr>
                <w:rFonts w:cs="Arial"/>
              </w:rPr>
            </w:pPr>
            <w:r w:rsidRPr="004A1E13">
              <w:rPr>
                <w:rFonts w:cs="Arial"/>
              </w:rPr>
              <w:t>If agreed by the parties and contained within the contract</w:t>
            </w:r>
          </w:p>
        </w:tc>
      </w:tr>
      <w:tr w:rsidR="004A1E13" w:rsidRPr="004A1E13" w14:paraId="34920718" w14:textId="77777777" w:rsidTr="0000534D">
        <w:trPr>
          <w:cantSplit/>
          <w:trHeight w:val="367"/>
        </w:trPr>
        <w:tc>
          <w:tcPr>
            <w:tcW w:w="0" w:type="auto"/>
            <w:tcBorders>
              <w:top w:val="single" w:sz="4" w:space="0" w:color="FFFFFF" w:themeColor="background1"/>
              <w:left w:val="nil"/>
              <w:bottom w:val="single" w:sz="4" w:space="0" w:color="FFFFFF" w:themeColor="background1"/>
            </w:tcBorders>
            <w:shd w:val="clear" w:color="auto" w:fill="1C6CB4"/>
          </w:tcPr>
          <w:p w14:paraId="65CCC8D1" w14:textId="77777777" w:rsidR="004A1E13" w:rsidRPr="004A1E13" w:rsidRDefault="004A1E13" w:rsidP="006C49D5">
            <w:pPr>
              <w:spacing w:line="360" w:lineRule="auto"/>
              <w:rPr>
                <w:rFonts w:cs="Arial"/>
              </w:rPr>
            </w:pPr>
            <w:r w:rsidRPr="004A1E13">
              <w:rPr>
                <w:rFonts w:cs="Arial"/>
              </w:rPr>
              <w:lastRenderedPageBreak/>
              <w:t>Must the contractor provide essential services?</w:t>
            </w:r>
          </w:p>
        </w:tc>
        <w:tc>
          <w:tcPr>
            <w:tcW w:w="3952" w:type="dxa"/>
          </w:tcPr>
          <w:p w14:paraId="7C40D70F" w14:textId="77777777" w:rsidR="004A1E13" w:rsidRPr="004A1E13" w:rsidRDefault="004A1E13" w:rsidP="006C49D5">
            <w:pPr>
              <w:spacing w:line="360" w:lineRule="auto"/>
              <w:rPr>
                <w:rFonts w:cs="Arial"/>
              </w:rPr>
            </w:pPr>
            <w:r w:rsidRPr="004A1E13">
              <w:rPr>
                <w:rFonts w:cs="Arial"/>
              </w:rPr>
              <w:t>Yes</w:t>
            </w:r>
          </w:p>
        </w:tc>
        <w:tc>
          <w:tcPr>
            <w:tcW w:w="3969" w:type="dxa"/>
          </w:tcPr>
          <w:p w14:paraId="5E87522F" w14:textId="77777777" w:rsidR="004A1E13" w:rsidRPr="004A1E13" w:rsidRDefault="004A1E13" w:rsidP="006C49D5">
            <w:pPr>
              <w:spacing w:line="360" w:lineRule="auto"/>
              <w:rPr>
                <w:rFonts w:cs="Arial"/>
              </w:rPr>
            </w:pPr>
            <w:r w:rsidRPr="004A1E13">
              <w:rPr>
                <w:rFonts w:cs="Arial"/>
              </w:rPr>
              <w:t>No</w:t>
            </w:r>
          </w:p>
        </w:tc>
        <w:tc>
          <w:tcPr>
            <w:tcW w:w="3971" w:type="dxa"/>
          </w:tcPr>
          <w:p w14:paraId="0868B91B" w14:textId="77777777" w:rsidR="004A1E13" w:rsidRPr="004A1E13" w:rsidRDefault="004A1E13" w:rsidP="006C49D5">
            <w:pPr>
              <w:spacing w:line="360" w:lineRule="auto"/>
              <w:rPr>
                <w:rFonts w:cs="Arial"/>
              </w:rPr>
            </w:pPr>
            <w:r w:rsidRPr="004A1E13">
              <w:rPr>
                <w:rFonts w:cs="Arial"/>
              </w:rPr>
              <w:t>No</w:t>
            </w:r>
          </w:p>
        </w:tc>
      </w:tr>
      <w:tr w:rsidR="004A1E13" w:rsidRPr="004A1E13" w14:paraId="46C2521A" w14:textId="77777777" w:rsidTr="0000534D">
        <w:trPr>
          <w:cantSplit/>
          <w:trHeight w:val="367"/>
        </w:trPr>
        <w:tc>
          <w:tcPr>
            <w:tcW w:w="0" w:type="auto"/>
            <w:tcBorders>
              <w:top w:val="single" w:sz="4" w:space="0" w:color="FFFFFF" w:themeColor="background1"/>
              <w:left w:val="nil"/>
              <w:bottom w:val="single" w:sz="4" w:space="0" w:color="FFFFFF" w:themeColor="background1"/>
            </w:tcBorders>
            <w:shd w:val="clear" w:color="auto" w:fill="1C6CB4"/>
          </w:tcPr>
          <w:p w14:paraId="6126E5BB" w14:textId="77777777" w:rsidR="004A1E13" w:rsidRPr="004A1E13" w:rsidRDefault="004A1E13" w:rsidP="006C49D5">
            <w:pPr>
              <w:spacing w:line="360" w:lineRule="auto"/>
              <w:rPr>
                <w:rFonts w:cs="Arial"/>
              </w:rPr>
            </w:pPr>
            <w:r w:rsidRPr="004A1E13">
              <w:rPr>
                <w:rFonts w:cs="Arial"/>
              </w:rPr>
              <w:t>Is there a standard form contract?</w:t>
            </w:r>
          </w:p>
        </w:tc>
        <w:tc>
          <w:tcPr>
            <w:tcW w:w="3952" w:type="dxa"/>
          </w:tcPr>
          <w:p w14:paraId="2C4811C0" w14:textId="77777777" w:rsidR="004A1E13" w:rsidRPr="004A1E13" w:rsidRDefault="004A1E13" w:rsidP="006C49D5">
            <w:pPr>
              <w:spacing w:line="360" w:lineRule="auto"/>
              <w:rPr>
                <w:rFonts w:cs="Arial"/>
              </w:rPr>
            </w:pPr>
            <w:r w:rsidRPr="004A1E13">
              <w:rPr>
                <w:rFonts w:cs="Arial"/>
              </w:rPr>
              <w:t>Yes</w:t>
            </w:r>
          </w:p>
        </w:tc>
        <w:tc>
          <w:tcPr>
            <w:tcW w:w="3969" w:type="dxa"/>
          </w:tcPr>
          <w:p w14:paraId="63DDABEB" w14:textId="77777777" w:rsidR="004A1E13" w:rsidRPr="004A1E13" w:rsidRDefault="004A1E13" w:rsidP="006C49D5">
            <w:pPr>
              <w:spacing w:line="360" w:lineRule="auto"/>
              <w:rPr>
                <w:rFonts w:cs="Arial"/>
              </w:rPr>
            </w:pPr>
            <w:r w:rsidRPr="004A1E13">
              <w:rPr>
                <w:rFonts w:cs="Arial"/>
              </w:rPr>
              <w:t>Yes</w:t>
            </w:r>
          </w:p>
        </w:tc>
        <w:tc>
          <w:tcPr>
            <w:tcW w:w="3971" w:type="dxa"/>
          </w:tcPr>
          <w:p w14:paraId="4A1946EA" w14:textId="77777777" w:rsidR="004A1E13" w:rsidRPr="004A1E13" w:rsidRDefault="004A1E13" w:rsidP="006C49D5">
            <w:pPr>
              <w:spacing w:line="360" w:lineRule="auto"/>
              <w:rPr>
                <w:rFonts w:cs="Arial"/>
              </w:rPr>
            </w:pPr>
            <w:r w:rsidRPr="004A1E13">
              <w:rPr>
                <w:rFonts w:cs="Arial"/>
              </w:rPr>
              <w:t>Yes</w:t>
            </w:r>
          </w:p>
        </w:tc>
      </w:tr>
      <w:tr w:rsidR="004A1E13" w:rsidRPr="004A1E13" w14:paraId="21120C52" w14:textId="77777777" w:rsidTr="0000534D">
        <w:trPr>
          <w:cantSplit/>
          <w:trHeight w:val="367"/>
        </w:trPr>
        <w:tc>
          <w:tcPr>
            <w:tcW w:w="0" w:type="auto"/>
            <w:tcBorders>
              <w:top w:val="single" w:sz="4" w:space="0" w:color="FFFFFF" w:themeColor="background1"/>
              <w:left w:val="nil"/>
              <w:bottom w:val="single" w:sz="4" w:space="0" w:color="FFFFFF" w:themeColor="background1"/>
            </w:tcBorders>
            <w:shd w:val="clear" w:color="auto" w:fill="1C6CB4"/>
          </w:tcPr>
          <w:p w14:paraId="27D49A25" w14:textId="77777777" w:rsidR="004A1E13" w:rsidRPr="004A1E13" w:rsidRDefault="004A1E13" w:rsidP="006C49D5">
            <w:pPr>
              <w:spacing w:line="360" w:lineRule="auto"/>
              <w:rPr>
                <w:rFonts w:cs="Arial"/>
              </w:rPr>
            </w:pPr>
            <w:r w:rsidRPr="004A1E13">
              <w:rPr>
                <w:rFonts w:cs="Arial"/>
              </w:rPr>
              <w:t>Does the standard form contract contain KPIs?</w:t>
            </w:r>
          </w:p>
        </w:tc>
        <w:tc>
          <w:tcPr>
            <w:tcW w:w="3952" w:type="dxa"/>
          </w:tcPr>
          <w:p w14:paraId="222A4A18" w14:textId="77777777" w:rsidR="004A1E13" w:rsidRPr="004A1E13" w:rsidRDefault="004A1E13" w:rsidP="006C49D5">
            <w:pPr>
              <w:spacing w:line="360" w:lineRule="auto"/>
              <w:rPr>
                <w:rFonts w:cs="Arial"/>
              </w:rPr>
            </w:pPr>
            <w:r w:rsidRPr="004A1E13">
              <w:rPr>
                <w:rFonts w:cs="Arial"/>
              </w:rPr>
              <w:t>No</w:t>
            </w:r>
          </w:p>
        </w:tc>
        <w:tc>
          <w:tcPr>
            <w:tcW w:w="3969" w:type="dxa"/>
          </w:tcPr>
          <w:p w14:paraId="4B694D97" w14:textId="77777777" w:rsidR="004A1E13" w:rsidRPr="004A1E13" w:rsidRDefault="004A1E13" w:rsidP="006C49D5">
            <w:pPr>
              <w:spacing w:line="360" w:lineRule="auto"/>
              <w:rPr>
                <w:rFonts w:cs="Arial"/>
              </w:rPr>
            </w:pPr>
            <w:r w:rsidRPr="004A1E13">
              <w:rPr>
                <w:rFonts w:cs="Arial"/>
              </w:rPr>
              <w:t>No</w:t>
            </w:r>
          </w:p>
        </w:tc>
        <w:tc>
          <w:tcPr>
            <w:tcW w:w="3971" w:type="dxa"/>
          </w:tcPr>
          <w:p w14:paraId="21D26FA7" w14:textId="77777777" w:rsidR="004A1E13" w:rsidRPr="004A1E13" w:rsidRDefault="004A1E13" w:rsidP="006C49D5">
            <w:pPr>
              <w:spacing w:line="360" w:lineRule="auto"/>
              <w:rPr>
                <w:rFonts w:cs="Arial"/>
              </w:rPr>
            </w:pPr>
            <w:r w:rsidRPr="004A1E13">
              <w:rPr>
                <w:rFonts w:cs="Arial"/>
              </w:rPr>
              <w:t>No</w:t>
            </w:r>
          </w:p>
        </w:tc>
      </w:tr>
      <w:tr w:rsidR="004A1E13" w:rsidRPr="004A1E13" w14:paraId="747D4C28" w14:textId="77777777" w:rsidTr="0000534D">
        <w:trPr>
          <w:cantSplit/>
          <w:trHeight w:val="367"/>
        </w:trPr>
        <w:tc>
          <w:tcPr>
            <w:tcW w:w="0" w:type="auto"/>
            <w:tcBorders>
              <w:top w:val="single" w:sz="4" w:space="0" w:color="FFFFFF" w:themeColor="background1"/>
              <w:left w:val="nil"/>
              <w:bottom w:val="single" w:sz="4" w:space="0" w:color="FFFFFF" w:themeColor="background1"/>
            </w:tcBorders>
            <w:shd w:val="clear" w:color="auto" w:fill="1C6CB4"/>
          </w:tcPr>
          <w:p w14:paraId="4C6F7789" w14:textId="77777777" w:rsidR="004A1E13" w:rsidRPr="004A1E13" w:rsidRDefault="004A1E13" w:rsidP="006C49D5">
            <w:pPr>
              <w:spacing w:line="360" w:lineRule="auto"/>
              <w:rPr>
                <w:rFonts w:cs="Arial"/>
              </w:rPr>
            </w:pPr>
            <w:r w:rsidRPr="004A1E13">
              <w:rPr>
                <w:rFonts w:cs="Arial"/>
              </w:rPr>
              <w:t>Can KPIs be added?</w:t>
            </w:r>
          </w:p>
        </w:tc>
        <w:tc>
          <w:tcPr>
            <w:tcW w:w="3952" w:type="dxa"/>
          </w:tcPr>
          <w:p w14:paraId="6B49A320" w14:textId="77777777" w:rsidR="004A1E13" w:rsidRPr="004A1E13" w:rsidRDefault="004A1E13" w:rsidP="006C49D5">
            <w:pPr>
              <w:spacing w:line="360" w:lineRule="auto"/>
              <w:rPr>
                <w:rFonts w:cs="Arial"/>
              </w:rPr>
            </w:pPr>
            <w:r w:rsidRPr="004A1E13">
              <w:rPr>
                <w:rFonts w:cs="Arial"/>
              </w:rPr>
              <w:t>KPIs can be agreed between the parties in relation to supplementary quality based services</w:t>
            </w:r>
          </w:p>
        </w:tc>
        <w:tc>
          <w:tcPr>
            <w:tcW w:w="3969" w:type="dxa"/>
          </w:tcPr>
          <w:p w14:paraId="0303F319" w14:textId="77777777" w:rsidR="004A1E13" w:rsidRPr="004A1E13" w:rsidRDefault="004A1E13" w:rsidP="006C49D5">
            <w:pPr>
              <w:spacing w:line="360" w:lineRule="auto"/>
              <w:rPr>
                <w:rFonts w:cs="Arial"/>
              </w:rPr>
            </w:pPr>
            <w:r w:rsidRPr="004A1E13">
              <w:rPr>
                <w:rFonts w:cs="Arial"/>
              </w:rPr>
              <w:t>Yes</w:t>
            </w:r>
          </w:p>
        </w:tc>
        <w:tc>
          <w:tcPr>
            <w:tcW w:w="3971" w:type="dxa"/>
          </w:tcPr>
          <w:p w14:paraId="4991ABEC" w14:textId="77777777" w:rsidR="004A1E13" w:rsidRPr="004A1E13" w:rsidRDefault="004A1E13" w:rsidP="006C49D5">
            <w:pPr>
              <w:spacing w:line="360" w:lineRule="auto"/>
              <w:rPr>
                <w:rFonts w:cs="Arial"/>
              </w:rPr>
            </w:pPr>
            <w:r w:rsidRPr="004A1E13">
              <w:rPr>
                <w:rFonts w:cs="Arial"/>
              </w:rPr>
              <w:t>Yes</w:t>
            </w:r>
          </w:p>
        </w:tc>
      </w:tr>
      <w:tr w:rsidR="004A1E13" w:rsidRPr="004A1E13" w14:paraId="15DD6188" w14:textId="77777777" w:rsidTr="0000534D">
        <w:trPr>
          <w:cantSplit/>
          <w:trHeight w:val="367"/>
        </w:trPr>
        <w:tc>
          <w:tcPr>
            <w:tcW w:w="0" w:type="auto"/>
            <w:tcBorders>
              <w:top w:val="single" w:sz="4" w:space="0" w:color="FFFFFF" w:themeColor="background1"/>
              <w:left w:val="nil"/>
            </w:tcBorders>
            <w:shd w:val="clear" w:color="auto" w:fill="1C6CB4"/>
          </w:tcPr>
          <w:p w14:paraId="05DFA00F" w14:textId="77777777" w:rsidR="004A1E13" w:rsidRPr="004A1E13" w:rsidRDefault="004A1E13" w:rsidP="006C49D5">
            <w:pPr>
              <w:spacing w:line="360" w:lineRule="auto"/>
              <w:rPr>
                <w:rFonts w:cs="Arial"/>
              </w:rPr>
            </w:pPr>
            <w:r w:rsidRPr="004A1E13">
              <w:rPr>
                <w:rFonts w:cs="Arial"/>
              </w:rPr>
              <w:t>Payment arrangements</w:t>
            </w:r>
          </w:p>
        </w:tc>
        <w:tc>
          <w:tcPr>
            <w:tcW w:w="3952" w:type="dxa"/>
          </w:tcPr>
          <w:p w14:paraId="6F0C06EF" w14:textId="77777777" w:rsidR="004A1E13" w:rsidRPr="004A1E13" w:rsidRDefault="004A1E13" w:rsidP="006C49D5">
            <w:pPr>
              <w:spacing w:line="360" w:lineRule="auto"/>
              <w:rPr>
                <w:rFonts w:cs="Arial"/>
              </w:rPr>
            </w:pPr>
            <w:r w:rsidRPr="004A1E13">
              <w:rPr>
                <w:rFonts w:cs="Arial"/>
              </w:rPr>
              <w:t>GMS SFE</w:t>
            </w:r>
          </w:p>
        </w:tc>
        <w:tc>
          <w:tcPr>
            <w:tcW w:w="3969" w:type="dxa"/>
          </w:tcPr>
          <w:p w14:paraId="3B72F476" w14:textId="77777777" w:rsidR="004A1E13" w:rsidRPr="004A1E13" w:rsidRDefault="004A1E13" w:rsidP="006C49D5">
            <w:pPr>
              <w:spacing w:line="360" w:lineRule="auto"/>
              <w:rPr>
                <w:rFonts w:cs="Arial"/>
              </w:rPr>
            </w:pPr>
            <w:r w:rsidRPr="004A1E13">
              <w:rPr>
                <w:rFonts w:cs="Arial"/>
              </w:rPr>
              <w:t>As agreed by the parties and contained within the agreement – there may be reference to the GMS SFE</w:t>
            </w:r>
          </w:p>
        </w:tc>
        <w:tc>
          <w:tcPr>
            <w:tcW w:w="3971" w:type="dxa"/>
          </w:tcPr>
          <w:p w14:paraId="4419339A" w14:textId="77777777" w:rsidR="004A1E13" w:rsidRPr="004A1E13" w:rsidRDefault="004A1E13" w:rsidP="006C49D5">
            <w:pPr>
              <w:spacing w:line="360" w:lineRule="auto"/>
              <w:rPr>
                <w:rFonts w:cs="Arial"/>
              </w:rPr>
            </w:pPr>
            <w:r w:rsidRPr="004A1E13">
              <w:rPr>
                <w:rFonts w:cs="Arial"/>
              </w:rPr>
              <w:t>As agreed by the parties and contained within the contract</w:t>
            </w:r>
          </w:p>
        </w:tc>
      </w:tr>
    </w:tbl>
    <w:p w14:paraId="68F355ED" w14:textId="77777777" w:rsidR="004A1E13" w:rsidRPr="00CE0885" w:rsidRDefault="004A1E13" w:rsidP="004A1E13">
      <w:pPr>
        <w:pStyle w:val="Body2"/>
        <w:spacing w:before="0" w:after="0" w:line="360" w:lineRule="auto"/>
        <w:rPr>
          <w:rFonts w:cs="Arial"/>
          <w:sz w:val="24"/>
          <w:szCs w:val="24"/>
        </w:rPr>
      </w:pPr>
    </w:p>
    <w:p w14:paraId="5A3455CA" w14:textId="77777777" w:rsidR="004A1E13" w:rsidRPr="00CE0885" w:rsidRDefault="004A1E13" w:rsidP="003331F2">
      <w:pPr>
        <w:pStyle w:val="BodyText"/>
      </w:pPr>
    </w:p>
    <w:p w14:paraId="24CC076B" w14:textId="77777777" w:rsidR="004A1E13" w:rsidRPr="00CE0885" w:rsidRDefault="004A1E13" w:rsidP="003331F2">
      <w:pPr>
        <w:pStyle w:val="BodyText"/>
      </w:pPr>
    </w:p>
    <w:p w14:paraId="42454FF7" w14:textId="77777777" w:rsidR="004A1E13" w:rsidRPr="00CE0885" w:rsidRDefault="004A1E13" w:rsidP="00836ECF">
      <w:pPr>
        <w:pStyle w:val="Heading1"/>
        <w:numPr>
          <w:ilvl w:val="0"/>
          <w:numId w:val="49"/>
        </w:numPr>
        <w:tabs>
          <w:tab w:val="left" w:pos="720"/>
        </w:tabs>
        <w:spacing w:line="360" w:lineRule="auto"/>
        <w:jc w:val="both"/>
        <w:rPr>
          <w:color w:val="auto"/>
          <w:sz w:val="24"/>
          <w:szCs w:val="24"/>
        </w:rPr>
        <w:sectPr w:rsidR="004A1E13" w:rsidRPr="00CE0885" w:rsidSect="004A1E13">
          <w:pgSz w:w="16838" w:h="11906" w:orient="landscape"/>
          <w:pgMar w:top="1418" w:right="1418" w:bottom="1418" w:left="1418" w:header="720" w:footer="720" w:gutter="0"/>
          <w:cols w:space="720"/>
          <w:docGrid w:linePitch="272"/>
        </w:sectPr>
      </w:pPr>
    </w:p>
    <w:p w14:paraId="78198421" w14:textId="77777777" w:rsidR="004A1E13" w:rsidRPr="00CE0885" w:rsidRDefault="004A1E13" w:rsidP="002A140D">
      <w:pPr>
        <w:pStyle w:val="Heading2"/>
      </w:pPr>
      <w:bookmarkStart w:id="135" w:name="_Urgent_Contracts"/>
      <w:bookmarkStart w:id="136" w:name="_Toc440981645"/>
      <w:bookmarkStart w:id="137" w:name="_Toc498495336"/>
      <w:bookmarkEnd w:id="135"/>
      <w:r w:rsidRPr="00CE0885">
        <w:lastRenderedPageBreak/>
        <w:t>Urgent Contracts</w:t>
      </w:r>
      <w:bookmarkEnd w:id="136"/>
      <w:bookmarkEnd w:id="137"/>
    </w:p>
    <w:p w14:paraId="05EED82F" w14:textId="77777777" w:rsidR="004A1E13" w:rsidRPr="00CE0885" w:rsidRDefault="004A1E13" w:rsidP="000433F3">
      <w:pPr>
        <w:pStyle w:val="Heading3"/>
      </w:pPr>
      <w:bookmarkStart w:id="138" w:name="_Toc440981646"/>
      <w:r w:rsidRPr="00CE0885">
        <w:t>Circumstances may arise that require the Commissioner to put in place an urgent contract. Such circumstances may include:</w:t>
      </w:r>
      <w:bookmarkEnd w:id="138"/>
    </w:p>
    <w:p w14:paraId="36E82FA8" w14:textId="77777777" w:rsidR="004A1E13" w:rsidRPr="009055A7" w:rsidRDefault="004A1E13" w:rsidP="005A7DDA">
      <w:pPr>
        <w:pStyle w:val="Heading3"/>
        <w:numPr>
          <w:ilvl w:val="0"/>
          <w:numId w:val="98"/>
        </w:numPr>
        <w:jc w:val="both"/>
        <w:rPr>
          <w:rFonts w:cs="Arial"/>
          <w:szCs w:val="24"/>
        </w:rPr>
      </w:pPr>
      <w:bookmarkStart w:id="139" w:name="_Toc440981647"/>
      <w:r w:rsidRPr="009055A7">
        <w:rPr>
          <w:rFonts w:cs="Arial"/>
          <w:szCs w:val="24"/>
        </w:rPr>
        <w:t>the death of a contractor;</w:t>
      </w:r>
      <w:bookmarkEnd w:id="139"/>
    </w:p>
    <w:p w14:paraId="04791CCC" w14:textId="77777777" w:rsidR="004A1E13" w:rsidRPr="009055A7" w:rsidRDefault="004A1E13" w:rsidP="005A7DDA">
      <w:pPr>
        <w:pStyle w:val="Heading3"/>
        <w:numPr>
          <w:ilvl w:val="0"/>
          <w:numId w:val="98"/>
        </w:numPr>
        <w:jc w:val="both"/>
        <w:rPr>
          <w:rFonts w:cs="Arial"/>
          <w:szCs w:val="24"/>
        </w:rPr>
      </w:pPr>
      <w:bookmarkStart w:id="140" w:name="_Toc440981648"/>
      <w:r w:rsidRPr="009055A7">
        <w:rPr>
          <w:rFonts w:cs="Arial"/>
          <w:szCs w:val="24"/>
        </w:rPr>
        <w:t>the bankruptcy or insolvency of a contractor; or</w:t>
      </w:r>
      <w:bookmarkEnd w:id="140"/>
    </w:p>
    <w:p w14:paraId="35526CA4" w14:textId="77777777" w:rsidR="004A1E13" w:rsidRPr="00CE0885" w:rsidRDefault="004A1E13" w:rsidP="005A7DDA">
      <w:pPr>
        <w:pStyle w:val="Heading3"/>
        <w:numPr>
          <w:ilvl w:val="0"/>
          <w:numId w:val="98"/>
        </w:numPr>
        <w:jc w:val="both"/>
        <w:rPr>
          <w:rFonts w:cs="Arial"/>
          <w:szCs w:val="24"/>
        </w:rPr>
      </w:pPr>
      <w:bookmarkStart w:id="141" w:name="_Toc440981649"/>
      <w:r w:rsidRPr="00CE0885">
        <w:rPr>
          <w:rFonts w:cs="Arial"/>
          <w:szCs w:val="24"/>
        </w:rPr>
        <w:t>termination of an existing contract due to patient safety.</w:t>
      </w:r>
      <w:bookmarkEnd w:id="141"/>
    </w:p>
    <w:p w14:paraId="361EA1B3" w14:textId="5C552107" w:rsidR="004A1E13" w:rsidRPr="00CE0885" w:rsidRDefault="004A1E13" w:rsidP="000433F3">
      <w:pPr>
        <w:pStyle w:val="Heading3"/>
      </w:pPr>
      <w:bookmarkStart w:id="142" w:name="_Toc440981650"/>
      <w:r w:rsidRPr="00CE0885">
        <w:t xml:space="preserve">Where continuity of services to patients is required, the short timescales involved may not allow the Commissioner to undertake a managed closedown and transfer to a new provider (details of which are set out in the </w:t>
      </w:r>
      <w:r w:rsidR="00965C81">
        <w:t>chapters</w:t>
      </w:r>
      <w:r w:rsidR="00965C81" w:rsidRPr="00CE0885">
        <w:t xml:space="preserve"> </w:t>
      </w:r>
      <w:r w:rsidRPr="00CE0885">
        <w:t xml:space="preserve">on </w:t>
      </w:r>
      <w:r w:rsidR="00965C81">
        <w:t xml:space="preserve">planned and unplanned </w:t>
      </w:r>
      <w:r w:rsidRPr="00CE0885">
        <w:t>practice closedown. Additional information can also be found the Unplanned Closures</w:t>
      </w:r>
      <w:r w:rsidR="00965C81">
        <w:t xml:space="preserve"> </w:t>
      </w:r>
      <w:r w:rsidRPr="00CE0885">
        <w:t>chapter. The Commissioner may therefore look to award a contract to a specific party that is able to provide the services to patients at short notice.</w:t>
      </w:r>
      <w:bookmarkEnd w:id="142"/>
      <w:r w:rsidRPr="00CE0885">
        <w:t xml:space="preserve"> </w:t>
      </w:r>
    </w:p>
    <w:p w14:paraId="502E2CDD" w14:textId="77777777" w:rsidR="004A1E13" w:rsidRPr="00CE0885" w:rsidRDefault="004A1E13" w:rsidP="000433F3">
      <w:pPr>
        <w:pStyle w:val="Heading3"/>
      </w:pPr>
      <w:bookmarkStart w:id="143" w:name="_Toc440981651"/>
      <w:r w:rsidRPr="00CE0885">
        <w:t>Prior to awarding a contract in this scenario, the Commissioner should consider a number of factors which are set out in the paragraphs below.</w:t>
      </w:r>
      <w:bookmarkEnd w:id="143"/>
      <w:r w:rsidRPr="00CE0885">
        <w:t xml:space="preserve"> </w:t>
      </w:r>
    </w:p>
    <w:p w14:paraId="167BF626" w14:textId="77777777" w:rsidR="004A1E13" w:rsidRPr="00422A0E" w:rsidRDefault="004A1E13" w:rsidP="00422A0E">
      <w:pPr>
        <w:pStyle w:val="Heading3"/>
      </w:pPr>
      <w:bookmarkStart w:id="144" w:name="_Toc440981652"/>
      <w:r w:rsidRPr="00422A0E">
        <w:t>Procurement</w:t>
      </w:r>
      <w:bookmarkEnd w:id="144"/>
    </w:p>
    <w:p w14:paraId="2C9EDDCE" w14:textId="77777777" w:rsidR="004A1E13" w:rsidRPr="00CE0885" w:rsidRDefault="004A1E13" w:rsidP="000433F3">
      <w:pPr>
        <w:pStyle w:val="Heading4"/>
      </w:pPr>
      <w:bookmarkStart w:id="145" w:name="_Toc440981653"/>
      <w:r w:rsidRPr="00CE0885">
        <w:t>A direct award of a contract, without considering whether a competitive process is required to determine the new contractor, risks being a breach of procurement law, in which case the Commissioner could be challenged in Court or could be the subject of a complaint to Monitor.</w:t>
      </w:r>
      <w:bookmarkEnd w:id="145"/>
    </w:p>
    <w:p w14:paraId="65B0050B" w14:textId="77777777" w:rsidR="004A1E13" w:rsidRPr="00CE0885" w:rsidRDefault="004A1E13" w:rsidP="000433F3">
      <w:pPr>
        <w:pStyle w:val="Heading4"/>
      </w:pPr>
      <w:bookmarkStart w:id="146" w:name="_Toc440981654"/>
      <w:r w:rsidRPr="00CE0885">
        <w:t>The following factors will be relevant in determining the extent of the risk:</w:t>
      </w:r>
      <w:bookmarkEnd w:id="146"/>
    </w:p>
    <w:p w14:paraId="2CBE75B4" w14:textId="77777777" w:rsidR="004A1E13" w:rsidRPr="009055A7" w:rsidRDefault="004A1E13" w:rsidP="005A7DDA">
      <w:pPr>
        <w:pStyle w:val="Heading3"/>
        <w:numPr>
          <w:ilvl w:val="0"/>
          <w:numId w:val="98"/>
        </w:numPr>
        <w:jc w:val="both"/>
        <w:rPr>
          <w:rFonts w:cs="Arial"/>
          <w:szCs w:val="24"/>
        </w:rPr>
      </w:pPr>
      <w:bookmarkStart w:id="147" w:name="_Toc440981655"/>
      <w:r w:rsidRPr="009055A7">
        <w:rPr>
          <w:rFonts w:cs="Arial"/>
          <w:szCs w:val="24"/>
        </w:rPr>
        <w:t>value of the new contract and whether it is best value for money;</w:t>
      </w:r>
      <w:bookmarkEnd w:id="147"/>
    </w:p>
    <w:p w14:paraId="21B633CA" w14:textId="77777777" w:rsidR="004A1E13" w:rsidRPr="00CE0885" w:rsidRDefault="004A1E13" w:rsidP="005A7DDA">
      <w:pPr>
        <w:pStyle w:val="Heading3"/>
        <w:numPr>
          <w:ilvl w:val="0"/>
          <w:numId w:val="98"/>
        </w:numPr>
        <w:jc w:val="both"/>
        <w:rPr>
          <w:rFonts w:cs="Arial"/>
          <w:szCs w:val="24"/>
        </w:rPr>
      </w:pPr>
      <w:bookmarkStart w:id="148" w:name="_Toc440981656"/>
      <w:r w:rsidRPr="00CE0885">
        <w:rPr>
          <w:rFonts w:cs="Arial"/>
          <w:szCs w:val="24"/>
        </w:rPr>
        <w:t>duration of the new contract (a shorter contract period would allow for a full competitive procurement to happen later, mitigating the risk) ;</w:t>
      </w:r>
      <w:bookmarkEnd w:id="148"/>
    </w:p>
    <w:p w14:paraId="65ED851A" w14:textId="77777777" w:rsidR="004A1E13" w:rsidRPr="00CE0885" w:rsidRDefault="004A1E13" w:rsidP="005A7DDA">
      <w:pPr>
        <w:pStyle w:val="Heading3"/>
        <w:numPr>
          <w:ilvl w:val="0"/>
          <w:numId w:val="98"/>
        </w:numPr>
        <w:jc w:val="both"/>
        <w:rPr>
          <w:rFonts w:cs="Arial"/>
          <w:szCs w:val="24"/>
        </w:rPr>
      </w:pPr>
      <w:bookmarkStart w:id="149" w:name="_Toc440981657"/>
      <w:r w:rsidRPr="00CE0885">
        <w:rPr>
          <w:rFonts w:cs="Arial"/>
          <w:szCs w:val="24"/>
        </w:rPr>
        <w:t>identity of the new contractor and whether it can be argued that the new contractor is the only provider capable of providing the services;</w:t>
      </w:r>
      <w:bookmarkEnd w:id="149"/>
    </w:p>
    <w:p w14:paraId="6418238A" w14:textId="77777777" w:rsidR="004A1E13" w:rsidRPr="00CE0885" w:rsidRDefault="004A1E13" w:rsidP="005A7DDA">
      <w:pPr>
        <w:pStyle w:val="Heading3"/>
        <w:numPr>
          <w:ilvl w:val="0"/>
          <w:numId w:val="98"/>
        </w:numPr>
        <w:jc w:val="both"/>
        <w:rPr>
          <w:rFonts w:cs="Arial"/>
          <w:szCs w:val="24"/>
        </w:rPr>
      </w:pPr>
      <w:bookmarkStart w:id="150" w:name="_Toc440981658"/>
      <w:r w:rsidRPr="00CE0885">
        <w:rPr>
          <w:rFonts w:cs="Arial"/>
          <w:szCs w:val="24"/>
        </w:rPr>
        <w:t>number of potential new contractors;</w:t>
      </w:r>
      <w:bookmarkEnd w:id="150"/>
    </w:p>
    <w:p w14:paraId="0D1850F5" w14:textId="77777777" w:rsidR="004A1E13" w:rsidRPr="00CE0885" w:rsidRDefault="004A1E13" w:rsidP="005A7DDA">
      <w:pPr>
        <w:pStyle w:val="Heading3"/>
        <w:numPr>
          <w:ilvl w:val="0"/>
          <w:numId w:val="98"/>
        </w:numPr>
        <w:jc w:val="both"/>
        <w:rPr>
          <w:rFonts w:cs="Arial"/>
          <w:szCs w:val="24"/>
        </w:rPr>
      </w:pPr>
      <w:bookmarkStart w:id="151" w:name="_Toc440981659"/>
      <w:r w:rsidRPr="00CE0885">
        <w:rPr>
          <w:rFonts w:cs="Arial"/>
          <w:szCs w:val="24"/>
        </w:rPr>
        <w:t>cross-border interest of the new contract;</w:t>
      </w:r>
      <w:bookmarkEnd w:id="151"/>
    </w:p>
    <w:p w14:paraId="78E68916" w14:textId="77777777" w:rsidR="004A1E13" w:rsidRPr="00CE0885" w:rsidRDefault="004A1E13" w:rsidP="005A7DDA">
      <w:pPr>
        <w:pStyle w:val="Heading3"/>
        <w:numPr>
          <w:ilvl w:val="0"/>
          <w:numId w:val="98"/>
        </w:numPr>
        <w:jc w:val="both"/>
        <w:rPr>
          <w:rFonts w:cs="Arial"/>
          <w:szCs w:val="24"/>
        </w:rPr>
      </w:pPr>
      <w:bookmarkStart w:id="152" w:name="_Toc440981660"/>
      <w:r w:rsidRPr="00CE0885">
        <w:rPr>
          <w:rFonts w:cs="Arial"/>
          <w:szCs w:val="24"/>
        </w:rPr>
        <w:t>extent to which the need to procure a new contract was foreseeable.</w:t>
      </w:r>
      <w:bookmarkEnd w:id="152"/>
    </w:p>
    <w:p w14:paraId="3F261923" w14:textId="77777777" w:rsidR="004A1E13" w:rsidRPr="00CE0885" w:rsidRDefault="004A1E13" w:rsidP="000433F3">
      <w:pPr>
        <w:pStyle w:val="Heading4"/>
      </w:pPr>
      <w:bookmarkStart w:id="153" w:name="_Toc440981661"/>
      <w:r w:rsidRPr="00CE0885">
        <w:lastRenderedPageBreak/>
        <w:t>Where the Commissioner determines that a contract for the immediate provision of services is required but time does not allow full consideration of the above factors (or for a competitive procurement process if required), the procurement risks can be mitigated by entering into a temporary contract that provides time for the proper action to be arranged and followed.</w:t>
      </w:r>
      <w:bookmarkEnd w:id="153"/>
      <w:r w:rsidRPr="00CE0885">
        <w:t xml:space="preserve">  </w:t>
      </w:r>
    </w:p>
    <w:p w14:paraId="339F2F34" w14:textId="77777777" w:rsidR="004A1E13" w:rsidRPr="00CE0885" w:rsidRDefault="004A1E13" w:rsidP="000433F3">
      <w:pPr>
        <w:pStyle w:val="Heading4"/>
      </w:pPr>
      <w:bookmarkStart w:id="154" w:name="_Toc440981662"/>
      <w:r w:rsidRPr="00CE0885">
        <w:t>Having awarded a contract, the Commissioner must maintain a record of how, in awarding the contract, it complied with its duties in relation to effectiveness, efficiency, improvement in the quality of the services and promoting integration. Commissioners must also act in accordance with any national procurement protocol issued by NHS England, or other local protocol.</w:t>
      </w:r>
      <w:bookmarkEnd w:id="154"/>
      <w:r w:rsidRPr="00CE0885">
        <w:t xml:space="preserve">  CCGs with delegated authority should however have due regard to their obligations as set out within the delegation agreement in regard to adherence with policies and guidance issued by NHS England.</w:t>
      </w:r>
    </w:p>
    <w:p w14:paraId="7CE2AF69" w14:textId="77777777" w:rsidR="004A1E13" w:rsidRPr="00CE0885" w:rsidRDefault="004A1E13" w:rsidP="000433F3">
      <w:pPr>
        <w:pStyle w:val="Heading3"/>
      </w:pPr>
      <w:bookmarkStart w:id="155" w:name="_Toc440981663"/>
      <w:r w:rsidRPr="00CE0885">
        <w:t>Premises</w:t>
      </w:r>
      <w:bookmarkEnd w:id="155"/>
    </w:p>
    <w:p w14:paraId="1F7040F7" w14:textId="77777777" w:rsidR="004A1E13" w:rsidRPr="00CE0885" w:rsidRDefault="004A1E13" w:rsidP="000433F3">
      <w:pPr>
        <w:pStyle w:val="Heading4"/>
      </w:pPr>
      <w:bookmarkStart w:id="156" w:name="_Toc440981664"/>
      <w:r w:rsidRPr="00CE0885">
        <w:t>The previous contractor may own or lease the premises which, as a result, may not be available for the provision of the services under a new contract. The availability of the premises must be ascertained before entering into a temporary contract.</w:t>
      </w:r>
      <w:bookmarkEnd w:id="156"/>
    </w:p>
    <w:p w14:paraId="3078F3E9" w14:textId="77777777" w:rsidR="004A1E13" w:rsidRPr="00CE0885" w:rsidRDefault="004A1E13" w:rsidP="00836ECF">
      <w:pPr>
        <w:pStyle w:val="Heading2"/>
        <w:numPr>
          <w:ilvl w:val="1"/>
          <w:numId w:val="34"/>
        </w:numPr>
        <w:ind w:left="1414" w:hanging="714"/>
        <w:rPr>
          <w:rFonts w:cs="Arial"/>
          <w:color w:val="auto"/>
          <w:sz w:val="24"/>
          <w:szCs w:val="24"/>
        </w:rPr>
      </w:pPr>
      <w:bookmarkStart w:id="157" w:name="_Toc440981665"/>
      <w:bookmarkStart w:id="158" w:name="_Toc498495337"/>
      <w:r w:rsidRPr="00CE0885">
        <w:rPr>
          <w:rFonts w:cs="Arial"/>
          <w:color w:val="auto"/>
          <w:sz w:val="24"/>
          <w:szCs w:val="24"/>
        </w:rPr>
        <w:t>Public Involvement</w:t>
      </w:r>
      <w:bookmarkEnd w:id="157"/>
      <w:bookmarkEnd w:id="158"/>
    </w:p>
    <w:p w14:paraId="2B32039E" w14:textId="77777777" w:rsidR="004A1E13" w:rsidRPr="00CE0885" w:rsidRDefault="004A1E13" w:rsidP="000433F3">
      <w:pPr>
        <w:pStyle w:val="Heading4"/>
      </w:pPr>
      <w:bookmarkStart w:id="159" w:name="_Toc440981666"/>
      <w:r w:rsidRPr="00CE0885">
        <w:t>One of the general duties of Commissioners is to ensure there is public involvement where a decision leads to an impact on the provision of primary care services. If, under a new contract, services are provided from a different location, this will be an impact on the services which may trigger the need to undertake a public involvement exercise.</w:t>
      </w:r>
      <w:bookmarkEnd w:id="159"/>
      <w:r w:rsidRPr="00CE0885">
        <w:t xml:space="preserve"> </w:t>
      </w:r>
    </w:p>
    <w:p w14:paraId="38C1934C" w14:textId="77777777" w:rsidR="004A1E13" w:rsidRPr="00CE0885" w:rsidRDefault="004A1E13" w:rsidP="000433F3">
      <w:pPr>
        <w:pStyle w:val="Heading4"/>
      </w:pPr>
      <w:bookmarkStart w:id="160" w:name="_Toc440981667"/>
      <w:r w:rsidRPr="00CE0885">
        <w:t>Where there is no time for undertaking an exercise prior to entering into the contract, the Commissioner should ensure that, as soon as possible after the contract is entered into, it arranges for such an exercise to be undertaken prior to the Commissioner making any decisions about the long term provision of services.</w:t>
      </w:r>
      <w:bookmarkEnd w:id="160"/>
      <w:r w:rsidRPr="00CE0885">
        <w:t xml:space="preserve"> </w:t>
      </w:r>
    </w:p>
    <w:p w14:paraId="753CAEB6" w14:textId="77777777" w:rsidR="004A1E13" w:rsidRPr="00CE0885" w:rsidRDefault="004A1E13" w:rsidP="000433F3">
      <w:pPr>
        <w:pStyle w:val="Heading3"/>
      </w:pPr>
      <w:bookmarkStart w:id="161" w:name="_Toc440981668"/>
      <w:r w:rsidRPr="00CE0885">
        <w:t>Commissioner SOs and SFIs</w:t>
      </w:r>
      <w:bookmarkEnd w:id="161"/>
    </w:p>
    <w:p w14:paraId="34076FBC" w14:textId="77777777" w:rsidR="004A1E13" w:rsidRPr="00CE0885" w:rsidRDefault="004A1E13" w:rsidP="000433F3">
      <w:pPr>
        <w:pStyle w:val="Heading4"/>
      </w:pPr>
      <w:bookmarkStart w:id="162" w:name="_Toc440981669"/>
      <w:r w:rsidRPr="00CE0885">
        <w:lastRenderedPageBreak/>
        <w:t>The Commissioner may have organisational standing orders and standing financial instructions that require contracts to be procured in certain ways, e.g. securing three quotes for contracts up to a certain financial value. Where time does not allow the rules to be followed, there may be an emergency process that must be followed.</w:t>
      </w:r>
      <w:bookmarkEnd w:id="162"/>
      <w:r w:rsidRPr="00CE0885">
        <w:t xml:space="preserve"> </w:t>
      </w:r>
    </w:p>
    <w:p w14:paraId="1C563D44" w14:textId="77777777" w:rsidR="004A1E13" w:rsidRPr="00CE0885" w:rsidRDefault="004A1E13" w:rsidP="000433F3">
      <w:pPr>
        <w:pStyle w:val="Heading3"/>
      </w:pPr>
      <w:bookmarkStart w:id="163" w:name="_Toc440981670"/>
      <w:r w:rsidRPr="00CE0885">
        <w:t>Other factors</w:t>
      </w:r>
      <w:bookmarkEnd w:id="163"/>
    </w:p>
    <w:p w14:paraId="3379157F" w14:textId="3D2EF482" w:rsidR="004A1E13" w:rsidRDefault="004A1E13" w:rsidP="000433F3">
      <w:pPr>
        <w:pStyle w:val="Heading4"/>
      </w:pPr>
      <w:bookmarkStart w:id="164" w:name="_Toc440981671"/>
      <w:r w:rsidRPr="00CE0885">
        <w:t xml:space="preserve">Further factors may be relevant depending on the circumstances of the matter. Please refer to the </w:t>
      </w:r>
      <w:r w:rsidR="00E5058C">
        <w:t>chapters</w:t>
      </w:r>
      <w:r w:rsidRPr="00CE0885">
        <w:t xml:space="preserve"> on </w:t>
      </w:r>
      <w:r w:rsidR="00E5058C">
        <w:t xml:space="preserve">planned and unplanned </w:t>
      </w:r>
      <w:r w:rsidRPr="00CE0885">
        <w:t xml:space="preserve">practice </w:t>
      </w:r>
      <w:r w:rsidR="00E5058C">
        <w:t xml:space="preserve">closures </w:t>
      </w:r>
      <w:r w:rsidRPr="00CE0885">
        <w:t>for a list of all factors that may be relevant.</w:t>
      </w:r>
      <w:bookmarkEnd w:id="164"/>
    </w:p>
    <w:p w14:paraId="3C1211B4" w14:textId="1F290A51" w:rsidR="00C367EB" w:rsidRDefault="00C367EB" w:rsidP="008927E5">
      <w:pPr>
        <w:pStyle w:val="Heading4"/>
      </w:pPr>
      <w:r>
        <w:t xml:space="preserve">Commissioners should also </w:t>
      </w:r>
      <w:r w:rsidR="008927E5" w:rsidRPr="00C367EB">
        <w:t>consider</w:t>
      </w:r>
      <w:r>
        <w:t xml:space="preserve"> that </w:t>
      </w:r>
      <w:r w:rsidRPr="00C367EB">
        <w:t xml:space="preserve">if a practice has closed because of concerns </w:t>
      </w:r>
      <w:r>
        <w:t xml:space="preserve">in relation to </w:t>
      </w:r>
      <w:r w:rsidRPr="00C367EB">
        <w:t>patient safety</w:t>
      </w:r>
      <w:r w:rsidR="008927E5">
        <w:t>, t</w:t>
      </w:r>
      <w:r w:rsidRPr="00C367EB">
        <w:t>he incoming provider may need to be commissioned to undertake a review of systems and processes</w:t>
      </w:r>
      <w:r>
        <w:t xml:space="preserve">. This should include but </w:t>
      </w:r>
      <w:r w:rsidR="008927E5">
        <w:t xml:space="preserve">is not </w:t>
      </w:r>
      <w:r>
        <w:t>limited to,</w:t>
      </w:r>
      <w:r w:rsidRPr="00C367EB">
        <w:t xml:space="preserve"> undertaking audits to provide assurance </w:t>
      </w:r>
      <w:r>
        <w:t xml:space="preserve">around </w:t>
      </w:r>
      <w:r w:rsidRPr="00C367EB">
        <w:t>patient safety</w:t>
      </w:r>
      <w:r>
        <w:t xml:space="preserve">.  This recognises </w:t>
      </w:r>
      <w:r w:rsidR="008927E5">
        <w:t xml:space="preserve">the </w:t>
      </w:r>
      <w:r w:rsidRPr="00C367EB">
        <w:t xml:space="preserve">additional work that commissioners may need to </w:t>
      </w:r>
      <w:r w:rsidR="008927E5">
        <w:t xml:space="preserve">reflect </w:t>
      </w:r>
      <w:r w:rsidRPr="00C367EB">
        <w:t xml:space="preserve">in the contract  </w:t>
      </w:r>
      <w:r w:rsidR="008927E5">
        <w:t>to provide assurance with regard to</w:t>
      </w:r>
      <w:r w:rsidRPr="00C367EB">
        <w:t>patient safety and public confidence</w:t>
      </w:r>
    </w:p>
    <w:p w14:paraId="0747D8AF" w14:textId="77777777" w:rsidR="008927E5" w:rsidRPr="00F17535" w:rsidRDefault="008927E5" w:rsidP="0000534D"/>
    <w:p w14:paraId="473A8107" w14:textId="77777777" w:rsidR="004A1E13" w:rsidRPr="00CE0885" w:rsidRDefault="004A1E13" w:rsidP="000433F3">
      <w:pPr>
        <w:pStyle w:val="Heading3"/>
      </w:pPr>
      <w:bookmarkStart w:id="165" w:name="_Toc440981672"/>
      <w:r w:rsidRPr="00CE0885">
        <w:t>Which contract form?</w:t>
      </w:r>
      <w:bookmarkEnd w:id="165"/>
    </w:p>
    <w:p w14:paraId="2A74C5DB" w14:textId="77777777" w:rsidR="004A1E13" w:rsidRPr="00CE0885" w:rsidRDefault="004A1E13" w:rsidP="000433F3">
      <w:pPr>
        <w:pStyle w:val="Heading4"/>
      </w:pPr>
      <w:bookmarkStart w:id="166" w:name="_Toc440981673"/>
      <w:r w:rsidRPr="00CE0885">
        <w:t>A GMS contract can be used where the Commissioner has terminated a contract of another provider of primary medical services, and as a result of that termination, it wishes to enter into a temporary contract for a period specified in the contract for the provision of services.</w:t>
      </w:r>
      <w:bookmarkEnd w:id="166"/>
    </w:p>
    <w:p w14:paraId="5CD73401" w14:textId="77777777" w:rsidR="004A1E13" w:rsidRPr="00CE0885" w:rsidRDefault="004A1E13" w:rsidP="000433F3">
      <w:pPr>
        <w:pStyle w:val="Heading4"/>
      </w:pPr>
      <w:bookmarkStart w:id="167" w:name="_Toc440981674"/>
      <w:r w:rsidRPr="00CE0885">
        <w:t>A time limited PMS agreement may not be attractive in this scenario as the PMS contractor, if providing essential services, can request a non-time limited GMS contract at any time.</w:t>
      </w:r>
      <w:bookmarkEnd w:id="167"/>
    </w:p>
    <w:p w14:paraId="46F2F536" w14:textId="77777777" w:rsidR="004A1E13" w:rsidRPr="00CE0885" w:rsidRDefault="004A1E13" w:rsidP="000433F3">
      <w:pPr>
        <w:pStyle w:val="Heading4"/>
      </w:pPr>
      <w:bookmarkStart w:id="168" w:name="_Toc440981675"/>
      <w:r w:rsidRPr="00CE0885">
        <w:t>It is common for APMS contracts to be used in such a scenario due to the flexibility of:</w:t>
      </w:r>
      <w:bookmarkEnd w:id="168"/>
    </w:p>
    <w:p w14:paraId="71B5F334" w14:textId="77777777" w:rsidR="004A1E13" w:rsidRPr="009055A7" w:rsidRDefault="004A1E13" w:rsidP="005A7DDA">
      <w:pPr>
        <w:pStyle w:val="Heading3"/>
        <w:numPr>
          <w:ilvl w:val="0"/>
          <w:numId w:val="98"/>
        </w:numPr>
        <w:jc w:val="both"/>
        <w:rPr>
          <w:rFonts w:cs="Arial"/>
          <w:szCs w:val="24"/>
        </w:rPr>
      </w:pPr>
      <w:bookmarkStart w:id="169" w:name="_Toc440981676"/>
      <w:r w:rsidRPr="009055A7">
        <w:rPr>
          <w:rFonts w:cs="Arial"/>
          <w:szCs w:val="24"/>
        </w:rPr>
        <w:t>types of organisations that can enter into APMS contracts;</w:t>
      </w:r>
      <w:bookmarkEnd w:id="169"/>
      <w:r w:rsidRPr="009055A7">
        <w:rPr>
          <w:rFonts w:cs="Arial"/>
          <w:szCs w:val="24"/>
        </w:rPr>
        <w:t xml:space="preserve"> </w:t>
      </w:r>
    </w:p>
    <w:p w14:paraId="6C4002E1" w14:textId="77777777" w:rsidR="004A1E13" w:rsidRPr="00CE0885" w:rsidRDefault="004A1E13" w:rsidP="005A7DDA">
      <w:pPr>
        <w:pStyle w:val="Heading3"/>
        <w:numPr>
          <w:ilvl w:val="0"/>
          <w:numId w:val="98"/>
        </w:numPr>
        <w:jc w:val="both"/>
        <w:rPr>
          <w:rFonts w:cs="Arial"/>
          <w:szCs w:val="24"/>
        </w:rPr>
      </w:pPr>
      <w:bookmarkStart w:id="170" w:name="_Toc440981677"/>
      <w:r w:rsidRPr="00CE0885">
        <w:rPr>
          <w:rFonts w:cs="Arial"/>
          <w:szCs w:val="24"/>
        </w:rPr>
        <w:t>flexibility of types of services and payment mechanism that can be agreed; and</w:t>
      </w:r>
      <w:bookmarkEnd w:id="170"/>
      <w:r w:rsidRPr="00CE0885">
        <w:rPr>
          <w:rFonts w:cs="Arial"/>
          <w:szCs w:val="24"/>
        </w:rPr>
        <w:t xml:space="preserve"> </w:t>
      </w:r>
    </w:p>
    <w:p w14:paraId="6EBB6EA4" w14:textId="77777777" w:rsidR="004A1E13" w:rsidRPr="00CE0885" w:rsidRDefault="004A1E13" w:rsidP="005A7DDA">
      <w:pPr>
        <w:pStyle w:val="Heading3"/>
        <w:numPr>
          <w:ilvl w:val="0"/>
          <w:numId w:val="98"/>
        </w:numPr>
        <w:jc w:val="both"/>
        <w:rPr>
          <w:rFonts w:cs="Arial"/>
          <w:szCs w:val="24"/>
        </w:rPr>
      </w:pPr>
      <w:bookmarkStart w:id="171" w:name="_Toc440981678"/>
      <w:r w:rsidRPr="00CE0885">
        <w:rPr>
          <w:rFonts w:cs="Arial"/>
          <w:szCs w:val="24"/>
        </w:rPr>
        <w:t>flexibility around duration and termination provisions.</w:t>
      </w:r>
      <w:bookmarkEnd w:id="171"/>
      <w:r w:rsidRPr="00CE0885">
        <w:rPr>
          <w:rFonts w:cs="Arial"/>
          <w:szCs w:val="24"/>
        </w:rPr>
        <w:t xml:space="preserve"> </w:t>
      </w:r>
    </w:p>
    <w:p w14:paraId="279081FD" w14:textId="77777777" w:rsidR="004A1E13" w:rsidRPr="00CE0885" w:rsidRDefault="004A1E13" w:rsidP="000433F3">
      <w:pPr>
        <w:pStyle w:val="Heading4"/>
      </w:pPr>
      <w:bookmarkStart w:id="172" w:name="_Toc440981679"/>
      <w:r w:rsidRPr="00CE0885">
        <w:lastRenderedPageBreak/>
        <w:t>The Commissioner should therefore consider what services and duration is required and whether there are any restrictions on the proposed contractor entering into different contract types to meet local diverse health needs.</w:t>
      </w:r>
      <w:bookmarkEnd w:id="172"/>
      <w:r w:rsidRPr="00CE0885">
        <w:t xml:space="preserve">   </w:t>
      </w:r>
    </w:p>
    <w:p w14:paraId="6DD79CDA" w14:textId="77777777" w:rsidR="004A1E13" w:rsidRPr="009055A7" w:rsidRDefault="004A1E13" w:rsidP="004A1E13">
      <w:pPr>
        <w:pStyle w:val="Body2"/>
        <w:spacing w:before="0" w:after="0" w:line="360" w:lineRule="auto"/>
        <w:rPr>
          <w:rFonts w:cs="Arial"/>
          <w:sz w:val="24"/>
          <w:szCs w:val="24"/>
        </w:rPr>
      </w:pPr>
    </w:p>
    <w:p w14:paraId="03A93E27" w14:textId="77777777" w:rsidR="004A1E13" w:rsidRPr="009055A7" w:rsidRDefault="004A1E13" w:rsidP="004A1E13">
      <w:pPr>
        <w:spacing w:line="360" w:lineRule="auto"/>
        <w:rPr>
          <w:rFonts w:cs="Arial"/>
          <w:b/>
          <w:szCs w:val="24"/>
        </w:rPr>
      </w:pPr>
      <w:r w:rsidRPr="009055A7">
        <w:rPr>
          <w:rFonts w:cs="Arial"/>
          <w:b/>
          <w:szCs w:val="24"/>
        </w:rPr>
        <w:br w:type="page"/>
      </w:r>
    </w:p>
    <w:p w14:paraId="43BED48C" w14:textId="1147B5DA" w:rsidR="004A1E13" w:rsidRPr="00CE0885" w:rsidRDefault="004A1E13" w:rsidP="002A140D">
      <w:pPr>
        <w:pStyle w:val="Heading2"/>
      </w:pPr>
      <w:bookmarkStart w:id="173" w:name="_Toc498495338"/>
      <w:r w:rsidRPr="00CE0885">
        <w:t>Annex 1</w:t>
      </w:r>
      <w:r w:rsidR="002A140D">
        <w:t xml:space="preserve"> </w:t>
      </w:r>
      <w:r w:rsidRPr="00CE0885">
        <w:t>Persons Eligible to Enter into a GMS Contract</w:t>
      </w:r>
      <w:bookmarkEnd w:id="173"/>
    </w:p>
    <w:p w14:paraId="0AECE00C" w14:textId="77777777" w:rsidR="004A1E13" w:rsidRPr="009055A7" w:rsidRDefault="004A1E13" w:rsidP="004A1E13">
      <w:pPr>
        <w:pStyle w:val="Body2"/>
        <w:spacing w:before="0" w:after="0" w:line="360" w:lineRule="auto"/>
        <w:rPr>
          <w:rFonts w:cs="Arial"/>
          <w:sz w:val="24"/>
          <w:szCs w:val="24"/>
        </w:rPr>
      </w:pPr>
    </w:p>
    <w:p w14:paraId="3C5BD007" w14:textId="77777777" w:rsidR="004A1E13" w:rsidRPr="00CE0885" w:rsidRDefault="004A1E13" w:rsidP="000433F3">
      <w:pPr>
        <w:pStyle w:val="Heading3"/>
      </w:pPr>
      <w:bookmarkStart w:id="174" w:name="_Toc440981680"/>
      <w:r w:rsidRPr="00CE0885">
        <w:t>Statutory Provisions</w:t>
      </w:r>
      <w:bookmarkEnd w:id="174"/>
    </w:p>
    <w:p w14:paraId="294861B4" w14:textId="77777777" w:rsidR="004A1E13" w:rsidRPr="00CE0885" w:rsidRDefault="004A1E13" w:rsidP="000433F3">
      <w:pPr>
        <w:pStyle w:val="Heading4"/>
      </w:pPr>
      <w:bookmarkStart w:id="175" w:name="_Toc440981681"/>
      <w:r w:rsidRPr="00CE0885">
        <w:t>Section 86 of the NHS Act (extracted in paragraph 2 below) sets out the types of persons (including organisation types) that may enter into a GMS contract.</w:t>
      </w:r>
      <w:bookmarkEnd w:id="175"/>
    </w:p>
    <w:p w14:paraId="58D902F7" w14:textId="77777777" w:rsidR="004A1E13" w:rsidRPr="00CE0885" w:rsidRDefault="004A1E13" w:rsidP="000433F3">
      <w:pPr>
        <w:pStyle w:val="Heading4"/>
      </w:pPr>
      <w:bookmarkStart w:id="176" w:name="_Toc440981682"/>
      <w:r w:rsidRPr="00CE0885">
        <w:t>Regulations 3 to 5 of the GMS Regulations (extracted in paragraph 3 below) sets out the eligibility criteria that must be satisfied before any of the types of persons set out in Section 86 of the NHS Act can enter into the GMS contract.</w:t>
      </w:r>
      <w:bookmarkEnd w:id="176"/>
    </w:p>
    <w:p w14:paraId="1853B000" w14:textId="77777777" w:rsidR="004A1E13" w:rsidRPr="00CE0885" w:rsidRDefault="004A1E13" w:rsidP="000433F3">
      <w:pPr>
        <w:pStyle w:val="Heading4"/>
      </w:pPr>
      <w:bookmarkStart w:id="177" w:name="_Toc440981683"/>
      <w:r w:rsidRPr="00CE0885">
        <w:t>The extracted legislation below is correct as of 1 July 2017.</w:t>
      </w:r>
    </w:p>
    <w:p w14:paraId="5D93A38D" w14:textId="77777777" w:rsidR="004A1E13" w:rsidRPr="00CE0885" w:rsidRDefault="004A1E13" w:rsidP="000433F3">
      <w:pPr>
        <w:pStyle w:val="Heading4"/>
      </w:pPr>
      <w:r w:rsidRPr="00CE0885">
        <w:t xml:space="preserve">By virtue of the delegation agreement, all references in legislation should be assumed to apply also to ‘The Commissioner’, </w:t>
      </w:r>
      <w:bookmarkEnd w:id="177"/>
    </w:p>
    <w:p w14:paraId="03F630DE" w14:textId="77777777" w:rsidR="004A1E13" w:rsidRPr="009055A7" w:rsidRDefault="004A1E13" w:rsidP="004A1E13">
      <w:pPr>
        <w:pStyle w:val="Body2"/>
        <w:spacing w:before="0" w:after="0" w:line="360" w:lineRule="auto"/>
        <w:ind w:left="0"/>
        <w:rPr>
          <w:rFonts w:cs="Arial"/>
        </w:rPr>
      </w:pPr>
    </w:p>
    <w:p w14:paraId="16BD638E" w14:textId="77777777" w:rsidR="004A1E13" w:rsidRPr="00CE0885" w:rsidRDefault="004A1E13" w:rsidP="000433F3">
      <w:pPr>
        <w:pStyle w:val="Heading3"/>
      </w:pPr>
      <w:bookmarkStart w:id="178" w:name="_Toc440981684"/>
      <w:r w:rsidRPr="00CE0885">
        <w:t>Section 86 of the NHS Act 2006</w:t>
      </w:r>
      <w:bookmarkEnd w:id="178"/>
    </w:p>
    <w:p w14:paraId="7AA10D2F" w14:textId="77777777" w:rsidR="004A1E13" w:rsidRPr="009055A7" w:rsidRDefault="004A1E13" w:rsidP="004A1E13">
      <w:pPr>
        <w:spacing w:line="360" w:lineRule="auto"/>
        <w:ind w:firstLine="720"/>
        <w:rPr>
          <w:rFonts w:cs="Arial"/>
          <w:szCs w:val="24"/>
        </w:rPr>
      </w:pPr>
      <w:r w:rsidRPr="009055A7">
        <w:rPr>
          <w:rFonts w:cs="Arial"/>
          <w:szCs w:val="24"/>
        </w:rPr>
        <w:t>86 Persons eligible to enter into GMS contracts</w:t>
      </w:r>
    </w:p>
    <w:p w14:paraId="0F83B2AC" w14:textId="77777777" w:rsidR="004A1E13" w:rsidRPr="009055A7" w:rsidRDefault="004A1E13" w:rsidP="004A1E13">
      <w:pPr>
        <w:spacing w:line="360" w:lineRule="auto"/>
        <w:ind w:left="1418" w:hanging="698"/>
        <w:rPr>
          <w:rFonts w:cs="Arial"/>
          <w:szCs w:val="24"/>
        </w:rPr>
      </w:pPr>
      <w:r w:rsidRPr="009055A7">
        <w:rPr>
          <w:rFonts w:cs="Arial"/>
          <w:szCs w:val="24"/>
        </w:rPr>
        <w:t xml:space="preserve">(1) </w:t>
      </w:r>
      <w:r w:rsidRPr="009055A7">
        <w:rPr>
          <w:rFonts w:cs="Arial"/>
          <w:szCs w:val="24"/>
        </w:rPr>
        <w:tab/>
        <w:t xml:space="preserve">The Board may, subject to such conditions as may be prescribed, enter into a general medical services contract with– </w:t>
      </w:r>
    </w:p>
    <w:p w14:paraId="4A6A27DB" w14:textId="77777777" w:rsidR="004A1E13" w:rsidRPr="00CE0885" w:rsidRDefault="004A1E13" w:rsidP="004A1E13">
      <w:pPr>
        <w:spacing w:line="360" w:lineRule="auto"/>
        <w:ind w:left="720" w:firstLine="720"/>
        <w:rPr>
          <w:rFonts w:cs="Arial"/>
          <w:szCs w:val="24"/>
        </w:rPr>
      </w:pPr>
      <w:r w:rsidRPr="00CE0885">
        <w:rPr>
          <w:rFonts w:cs="Arial"/>
          <w:szCs w:val="24"/>
        </w:rPr>
        <w:t>(a)</w:t>
      </w:r>
      <w:r w:rsidRPr="00CE0885">
        <w:rPr>
          <w:rFonts w:cs="Arial"/>
          <w:szCs w:val="24"/>
        </w:rPr>
        <w:tab/>
        <w:t>a medical practitioner,</w:t>
      </w:r>
    </w:p>
    <w:p w14:paraId="6587DF50" w14:textId="77777777" w:rsidR="004A1E13" w:rsidRPr="00CE0885" w:rsidRDefault="004A1E13" w:rsidP="004A1E13">
      <w:pPr>
        <w:spacing w:line="360" w:lineRule="auto"/>
        <w:ind w:left="2127" w:hanging="687"/>
        <w:rPr>
          <w:rFonts w:cs="Arial"/>
          <w:szCs w:val="24"/>
        </w:rPr>
      </w:pPr>
      <w:r w:rsidRPr="00CE0885">
        <w:rPr>
          <w:rFonts w:cs="Arial"/>
          <w:szCs w:val="24"/>
        </w:rPr>
        <w:t>(b)</w:t>
      </w:r>
      <w:r w:rsidRPr="00CE0885">
        <w:rPr>
          <w:rFonts w:cs="Arial"/>
          <w:szCs w:val="24"/>
        </w:rPr>
        <w:tab/>
        <w:t>two or more individuals practising in partnership where the conditions in subsection (2) are satisfied, or</w:t>
      </w:r>
    </w:p>
    <w:p w14:paraId="288EE957" w14:textId="77777777" w:rsidR="004A1E13" w:rsidRPr="00CE0885" w:rsidRDefault="004A1E13" w:rsidP="004A1E13">
      <w:pPr>
        <w:spacing w:line="360" w:lineRule="auto"/>
        <w:ind w:left="2127" w:hanging="687"/>
        <w:rPr>
          <w:rFonts w:cs="Arial"/>
          <w:szCs w:val="24"/>
        </w:rPr>
      </w:pPr>
      <w:r w:rsidRPr="00CE0885">
        <w:rPr>
          <w:rFonts w:cs="Arial"/>
          <w:szCs w:val="24"/>
        </w:rPr>
        <w:t>(c)</w:t>
      </w:r>
      <w:r w:rsidRPr="00CE0885">
        <w:rPr>
          <w:rFonts w:cs="Arial"/>
          <w:szCs w:val="24"/>
        </w:rPr>
        <w:tab/>
        <w:t>a company limited by shares where the conditions in subsection (3) are satisfied.</w:t>
      </w:r>
    </w:p>
    <w:p w14:paraId="0D9A69F4" w14:textId="77777777" w:rsidR="004A1E13" w:rsidRPr="00CE0885" w:rsidRDefault="004A1E13" w:rsidP="004A1E13">
      <w:pPr>
        <w:spacing w:line="360" w:lineRule="auto"/>
        <w:ind w:firstLine="720"/>
        <w:rPr>
          <w:rFonts w:cs="Arial"/>
          <w:szCs w:val="24"/>
        </w:rPr>
      </w:pPr>
      <w:r w:rsidRPr="00CE0885">
        <w:rPr>
          <w:rFonts w:cs="Arial"/>
          <w:szCs w:val="24"/>
        </w:rPr>
        <w:t>(2)</w:t>
      </w:r>
      <w:r w:rsidRPr="00CE0885">
        <w:rPr>
          <w:rFonts w:cs="Arial"/>
          <w:szCs w:val="24"/>
        </w:rPr>
        <w:tab/>
        <w:t>The conditions referred to in subsection (1)(b) are that–</w:t>
      </w:r>
    </w:p>
    <w:p w14:paraId="77DF63B8" w14:textId="77777777" w:rsidR="004A1E13" w:rsidRPr="00CE0885" w:rsidRDefault="004A1E13" w:rsidP="004A1E13">
      <w:pPr>
        <w:spacing w:line="360" w:lineRule="auto"/>
        <w:ind w:left="720" w:firstLine="720"/>
        <w:rPr>
          <w:rFonts w:cs="Arial"/>
          <w:szCs w:val="24"/>
        </w:rPr>
      </w:pPr>
      <w:r w:rsidRPr="00CE0885">
        <w:rPr>
          <w:rFonts w:cs="Arial"/>
          <w:szCs w:val="24"/>
        </w:rPr>
        <w:t>(a)</w:t>
      </w:r>
      <w:r w:rsidRPr="00CE0885">
        <w:rPr>
          <w:rFonts w:cs="Arial"/>
          <w:szCs w:val="24"/>
        </w:rPr>
        <w:tab/>
        <w:t>at least one partner is a medical practitioner, and</w:t>
      </w:r>
    </w:p>
    <w:p w14:paraId="50017EE2" w14:textId="77777777" w:rsidR="004A1E13" w:rsidRPr="00CE0885" w:rsidRDefault="004A1E13" w:rsidP="004A1E13">
      <w:pPr>
        <w:spacing w:line="360" w:lineRule="auto"/>
        <w:ind w:left="720" w:firstLine="720"/>
        <w:rPr>
          <w:rFonts w:cs="Arial"/>
          <w:szCs w:val="24"/>
        </w:rPr>
      </w:pPr>
      <w:r w:rsidRPr="00CE0885">
        <w:rPr>
          <w:rFonts w:cs="Arial"/>
          <w:szCs w:val="24"/>
        </w:rPr>
        <w:t>(b)</w:t>
      </w:r>
      <w:r w:rsidRPr="00CE0885">
        <w:rPr>
          <w:rFonts w:cs="Arial"/>
          <w:szCs w:val="24"/>
        </w:rPr>
        <w:tab/>
        <w:t>any partner who is not a medical practitioner is either–</w:t>
      </w:r>
    </w:p>
    <w:p w14:paraId="646D7373" w14:textId="77777777" w:rsidR="004A1E13" w:rsidRPr="00CE0885" w:rsidRDefault="004A1E13" w:rsidP="004A1E13">
      <w:pPr>
        <w:spacing w:line="360" w:lineRule="auto"/>
        <w:ind w:left="1440" w:firstLine="720"/>
        <w:rPr>
          <w:rFonts w:cs="Arial"/>
          <w:szCs w:val="24"/>
        </w:rPr>
      </w:pPr>
      <w:r w:rsidRPr="00CE0885">
        <w:rPr>
          <w:rFonts w:cs="Arial"/>
          <w:szCs w:val="24"/>
        </w:rPr>
        <w:t>(i)</w:t>
      </w:r>
      <w:r w:rsidRPr="00CE0885">
        <w:rPr>
          <w:rFonts w:cs="Arial"/>
          <w:szCs w:val="24"/>
        </w:rPr>
        <w:tab/>
        <w:t>an NHS employee,</w:t>
      </w:r>
    </w:p>
    <w:p w14:paraId="55F2EA54" w14:textId="77777777" w:rsidR="004A1E13" w:rsidRPr="00CE0885" w:rsidRDefault="004A1E13" w:rsidP="004A1E13">
      <w:pPr>
        <w:spacing w:line="360" w:lineRule="auto"/>
        <w:ind w:left="2880" w:hanging="720"/>
        <w:rPr>
          <w:rFonts w:cs="Arial"/>
          <w:szCs w:val="24"/>
        </w:rPr>
      </w:pPr>
      <w:r w:rsidRPr="00CE0885">
        <w:rPr>
          <w:rFonts w:cs="Arial"/>
          <w:szCs w:val="24"/>
        </w:rPr>
        <w:t>(ii)</w:t>
      </w:r>
      <w:r w:rsidRPr="00CE0885">
        <w:rPr>
          <w:rFonts w:cs="Arial"/>
          <w:szCs w:val="24"/>
        </w:rPr>
        <w:tab/>
        <w:t>a section 92 employee, section 107 employee, section 50 employee, section 64 employee, section 17C employee or Article 15B employee,</w:t>
      </w:r>
    </w:p>
    <w:p w14:paraId="63147367" w14:textId="77777777" w:rsidR="004A1E13" w:rsidRPr="00CE0885" w:rsidRDefault="004A1E13" w:rsidP="004A1E13">
      <w:pPr>
        <w:spacing w:line="360" w:lineRule="auto"/>
        <w:ind w:left="2880" w:hanging="720"/>
        <w:rPr>
          <w:rFonts w:cs="Arial"/>
          <w:szCs w:val="24"/>
        </w:rPr>
      </w:pPr>
      <w:r w:rsidRPr="00CE0885">
        <w:rPr>
          <w:rFonts w:cs="Arial"/>
          <w:szCs w:val="24"/>
        </w:rPr>
        <w:lastRenderedPageBreak/>
        <w:t>(iii)</w:t>
      </w:r>
      <w:r w:rsidRPr="00CE0885">
        <w:rPr>
          <w:rFonts w:cs="Arial"/>
          <w:szCs w:val="24"/>
        </w:rPr>
        <w:tab/>
        <w:t>a health care professional who is engaged in the provision of services under this Act or the National Health Service (Wales) Act 2006 (c. 42), or</w:t>
      </w:r>
    </w:p>
    <w:p w14:paraId="229C1CEC" w14:textId="77777777" w:rsidR="004A1E13" w:rsidRPr="00CE0885" w:rsidRDefault="004A1E13" w:rsidP="004A1E13">
      <w:pPr>
        <w:spacing w:line="360" w:lineRule="auto"/>
        <w:ind w:left="1440" w:firstLine="720"/>
        <w:rPr>
          <w:rFonts w:cs="Arial"/>
          <w:szCs w:val="24"/>
        </w:rPr>
      </w:pPr>
      <w:r w:rsidRPr="00CE0885">
        <w:rPr>
          <w:rFonts w:cs="Arial"/>
          <w:szCs w:val="24"/>
        </w:rPr>
        <w:t>(iv)</w:t>
      </w:r>
      <w:r w:rsidRPr="00CE0885">
        <w:rPr>
          <w:rFonts w:cs="Arial"/>
          <w:szCs w:val="24"/>
        </w:rPr>
        <w:tab/>
        <w:t>an individual falling within section 93(1)(d).</w:t>
      </w:r>
    </w:p>
    <w:p w14:paraId="5A0E4FCB" w14:textId="77777777" w:rsidR="004A1E13" w:rsidRPr="00CE0885" w:rsidRDefault="004A1E13" w:rsidP="004A1E13">
      <w:pPr>
        <w:spacing w:line="360" w:lineRule="auto"/>
        <w:ind w:firstLine="720"/>
        <w:rPr>
          <w:rFonts w:cs="Arial"/>
          <w:szCs w:val="24"/>
        </w:rPr>
      </w:pPr>
      <w:r w:rsidRPr="00CE0885">
        <w:rPr>
          <w:rFonts w:cs="Arial"/>
          <w:szCs w:val="24"/>
        </w:rPr>
        <w:t>(3)</w:t>
      </w:r>
      <w:r w:rsidRPr="00CE0885">
        <w:rPr>
          <w:rFonts w:cs="Arial"/>
          <w:szCs w:val="24"/>
        </w:rPr>
        <w:tab/>
        <w:t>The conditions referred to in subsection (1)(c) are that–</w:t>
      </w:r>
    </w:p>
    <w:p w14:paraId="7217F237" w14:textId="77777777" w:rsidR="004A1E13" w:rsidRPr="00CE0885" w:rsidRDefault="004A1E13" w:rsidP="004A1E13">
      <w:pPr>
        <w:spacing w:line="360" w:lineRule="auto"/>
        <w:ind w:left="2127" w:hanging="687"/>
        <w:rPr>
          <w:rFonts w:cs="Arial"/>
          <w:szCs w:val="24"/>
        </w:rPr>
      </w:pPr>
      <w:r w:rsidRPr="00CE0885">
        <w:rPr>
          <w:rFonts w:cs="Arial"/>
          <w:szCs w:val="24"/>
        </w:rPr>
        <w:t>(a)</w:t>
      </w:r>
      <w:r w:rsidRPr="00CE0885">
        <w:rPr>
          <w:rFonts w:cs="Arial"/>
          <w:szCs w:val="24"/>
        </w:rPr>
        <w:tab/>
        <w:t xml:space="preserve">at least one share in the company is both legally and beneficially owned by a medical practitioner, and </w:t>
      </w:r>
    </w:p>
    <w:p w14:paraId="1BB40F29" w14:textId="77777777" w:rsidR="004A1E13" w:rsidRPr="00CE0885" w:rsidRDefault="004A1E13" w:rsidP="004A1E13">
      <w:pPr>
        <w:spacing w:line="360" w:lineRule="auto"/>
        <w:ind w:left="2127" w:hanging="687"/>
        <w:rPr>
          <w:rFonts w:cs="Arial"/>
          <w:szCs w:val="24"/>
        </w:rPr>
      </w:pPr>
      <w:r w:rsidRPr="00CE0885">
        <w:rPr>
          <w:rFonts w:cs="Arial"/>
          <w:szCs w:val="24"/>
        </w:rPr>
        <w:t>(b)</w:t>
      </w:r>
      <w:r w:rsidRPr="00CE0885">
        <w:rPr>
          <w:rFonts w:cs="Arial"/>
          <w:szCs w:val="24"/>
        </w:rPr>
        <w:tab/>
        <w:t xml:space="preserve">any share which is not so owned is both legally and beneficially owned by a person referred to in subsection (2)(b). </w:t>
      </w:r>
    </w:p>
    <w:p w14:paraId="65B65004" w14:textId="77777777" w:rsidR="004A1E13" w:rsidRPr="00CE0885" w:rsidRDefault="004A1E13" w:rsidP="004A1E13">
      <w:pPr>
        <w:spacing w:line="360" w:lineRule="auto"/>
        <w:ind w:left="1440" w:hanging="720"/>
        <w:rPr>
          <w:rFonts w:cs="Arial"/>
          <w:szCs w:val="24"/>
        </w:rPr>
      </w:pPr>
      <w:r w:rsidRPr="00CE0885">
        <w:rPr>
          <w:rFonts w:cs="Arial"/>
          <w:szCs w:val="24"/>
        </w:rPr>
        <w:t>(4)</w:t>
      </w:r>
      <w:r w:rsidRPr="00CE0885">
        <w:rPr>
          <w:rFonts w:cs="Arial"/>
          <w:szCs w:val="24"/>
        </w:rPr>
        <w:tab/>
        <w:t>Regulations may make provision as to the effect, in relation to a general medical services contract entered into by individuals practising in partnership, of a change in the membership of the partnership.</w:t>
      </w:r>
    </w:p>
    <w:p w14:paraId="1E28852B" w14:textId="77777777" w:rsidR="004A1E13" w:rsidRPr="00CE0885" w:rsidRDefault="004A1E13" w:rsidP="004A1E13">
      <w:pPr>
        <w:spacing w:line="360" w:lineRule="auto"/>
        <w:ind w:firstLine="720"/>
        <w:rPr>
          <w:rFonts w:cs="Arial"/>
          <w:szCs w:val="24"/>
        </w:rPr>
      </w:pPr>
      <w:r w:rsidRPr="00CE0885">
        <w:rPr>
          <w:rFonts w:cs="Arial"/>
          <w:szCs w:val="24"/>
        </w:rPr>
        <w:t>(5)</w:t>
      </w:r>
      <w:r w:rsidRPr="00CE0885">
        <w:rPr>
          <w:rFonts w:cs="Arial"/>
          <w:szCs w:val="24"/>
        </w:rPr>
        <w:tab/>
        <w:t>In this section–</w:t>
      </w:r>
    </w:p>
    <w:p w14:paraId="138982B0" w14:textId="77777777" w:rsidR="004A1E13" w:rsidRPr="00846153" w:rsidRDefault="004A1E13" w:rsidP="00846153">
      <w:pPr>
        <w:pStyle w:val="BodyText"/>
        <w:ind w:left="1440"/>
        <w:rPr>
          <w:b/>
          <w:sz w:val="24"/>
          <w:szCs w:val="24"/>
        </w:rPr>
      </w:pPr>
      <w:bookmarkStart w:id="179" w:name="_Toc440981685"/>
      <w:r w:rsidRPr="00846153">
        <w:rPr>
          <w:b/>
          <w:sz w:val="24"/>
          <w:szCs w:val="24"/>
        </w:rPr>
        <w:t>“health care professional”, “NHS employee”, “section 92 employee”, “section 107 employee”, “section 50 employee”, “section 64 employee”, “section 17C employee” and “Article 15B employee” have the meaning given by section 93.</w:t>
      </w:r>
      <w:bookmarkEnd w:id="179"/>
    </w:p>
    <w:p w14:paraId="1D675908" w14:textId="77777777" w:rsidR="004A1E13" w:rsidRPr="009055A7" w:rsidRDefault="004A1E13" w:rsidP="004A1E13">
      <w:pPr>
        <w:pStyle w:val="Body2"/>
        <w:spacing w:before="0" w:after="0" w:line="360" w:lineRule="auto"/>
        <w:rPr>
          <w:rFonts w:cs="Arial"/>
        </w:rPr>
      </w:pPr>
    </w:p>
    <w:p w14:paraId="20CF3923" w14:textId="77777777" w:rsidR="004A1E13" w:rsidRPr="00CE0885" w:rsidRDefault="004A1E13" w:rsidP="000433F3">
      <w:pPr>
        <w:pStyle w:val="Heading3"/>
      </w:pPr>
      <w:bookmarkStart w:id="180" w:name="_Toc440981686"/>
      <w:r w:rsidRPr="00CE0885">
        <w:t>Regulations 4, 5 and 6 of the GMS Regulations</w:t>
      </w:r>
      <w:bookmarkEnd w:id="180"/>
      <w:r w:rsidRPr="00CE0885">
        <w:t xml:space="preserve"> (2015) </w:t>
      </w:r>
    </w:p>
    <w:p w14:paraId="48CFB427" w14:textId="77777777" w:rsidR="004A1E13" w:rsidRPr="009055A7" w:rsidRDefault="004A1E13" w:rsidP="004A1E13">
      <w:pPr>
        <w:pStyle w:val="Body1"/>
        <w:spacing w:before="0" w:after="0" w:line="360" w:lineRule="auto"/>
        <w:rPr>
          <w:rFonts w:cs="Arial"/>
          <w:sz w:val="24"/>
          <w:szCs w:val="24"/>
        </w:rPr>
      </w:pPr>
      <w:r w:rsidRPr="009055A7">
        <w:rPr>
          <w:rFonts w:cs="Arial"/>
          <w:sz w:val="24"/>
          <w:szCs w:val="24"/>
        </w:rPr>
        <w:t xml:space="preserve">4. Conditions: general </w:t>
      </w:r>
    </w:p>
    <w:p w14:paraId="633F1E19" w14:textId="77777777" w:rsidR="004A1E13" w:rsidRPr="009055A7" w:rsidRDefault="004A1E13" w:rsidP="004A1E13">
      <w:pPr>
        <w:pStyle w:val="Body1"/>
        <w:spacing w:before="0" w:after="0" w:line="360" w:lineRule="auto"/>
        <w:jc w:val="left"/>
        <w:rPr>
          <w:rFonts w:cs="Arial"/>
          <w:sz w:val="24"/>
          <w:szCs w:val="24"/>
        </w:rPr>
      </w:pPr>
      <w:r w:rsidRPr="009055A7">
        <w:rPr>
          <w:rFonts w:cs="Arial"/>
          <w:sz w:val="24"/>
          <w:szCs w:val="24"/>
        </w:rPr>
        <w:t>4.—(1) The Board may only enter into a contract if the conditions specified in regulations 5 and 6 are met.</w:t>
      </w:r>
    </w:p>
    <w:p w14:paraId="07728E6F" w14:textId="77777777" w:rsidR="004A1E13" w:rsidRPr="00CE0885" w:rsidRDefault="004A1E13" w:rsidP="004A1E13">
      <w:pPr>
        <w:pStyle w:val="Body1"/>
        <w:spacing w:before="0" w:after="0" w:line="360" w:lineRule="auto"/>
        <w:jc w:val="left"/>
        <w:rPr>
          <w:rFonts w:cs="Arial"/>
          <w:sz w:val="24"/>
          <w:szCs w:val="24"/>
        </w:rPr>
      </w:pPr>
      <w:r w:rsidRPr="00CE0885">
        <w:rPr>
          <w:rFonts w:cs="Arial"/>
          <w:sz w:val="24"/>
          <w:szCs w:val="24"/>
        </w:rPr>
        <w:t>(2) Paragraph (1) is subject to the provisions of any scheme made by the Secretary of State under section 300 (transfer schemes) and section 303 (power to make consequential provision) of the Health and Social Care Act 2012(a).</w:t>
      </w:r>
      <w:r w:rsidRPr="00CE0885" w:rsidDel="00F769FD">
        <w:rPr>
          <w:rFonts w:cs="Arial"/>
          <w:sz w:val="24"/>
          <w:szCs w:val="24"/>
        </w:rPr>
        <w:t xml:space="preserve"> </w:t>
      </w:r>
    </w:p>
    <w:p w14:paraId="50CEFAA3" w14:textId="77777777" w:rsidR="004A1E13" w:rsidRPr="00CE0885" w:rsidRDefault="004A1E13" w:rsidP="004A1E13">
      <w:pPr>
        <w:pStyle w:val="Body1"/>
        <w:spacing w:before="0" w:after="0" w:line="360" w:lineRule="auto"/>
        <w:jc w:val="left"/>
        <w:rPr>
          <w:rFonts w:cs="Arial"/>
          <w:sz w:val="24"/>
          <w:szCs w:val="24"/>
        </w:rPr>
      </w:pPr>
      <w:r w:rsidRPr="00CE0885">
        <w:rPr>
          <w:rFonts w:cs="Arial"/>
          <w:sz w:val="24"/>
          <w:szCs w:val="24"/>
        </w:rPr>
        <w:br/>
        <w:t xml:space="preserve">5. Conditions relating solely to medical practitioners </w:t>
      </w:r>
    </w:p>
    <w:p w14:paraId="2F720F8A" w14:textId="77777777" w:rsidR="004A1E13" w:rsidRPr="00CE0885" w:rsidRDefault="004A1E13" w:rsidP="004A1E13">
      <w:pPr>
        <w:pStyle w:val="Body1"/>
        <w:spacing w:before="0" w:after="0" w:line="360" w:lineRule="auto"/>
        <w:jc w:val="left"/>
        <w:rPr>
          <w:rFonts w:cs="Arial"/>
          <w:sz w:val="24"/>
          <w:szCs w:val="24"/>
        </w:rPr>
      </w:pPr>
      <w:r w:rsidRPr="00CE0885">
        <w:rPr>
          <w:rFonts w:cs="Arial"/>
          <w:sz w:val="24"/>
          <w:szCs w:val="24"/>
        </w:rPr>
        <w:t>5.—(1) Where the Board enters, or is proposing to enter, into a contract with—</w:t>
      </w:r>
    </w:p>
    <w:p w14:paraId="45CAF02F" w14:textId="77777777" w:rsidR="004A1E13" w:rsidRPr="00CE0885" w:rsidRDefault="004A1E13" w:rsidP="004A1E13">
      <w:pPr>
        <w:pStyle w:val="Body1"/>
        <w:spacing w:before="0" w:after="0" w:line="360" w:lineRule="auto"/>
        <w:ind w:left="1440"/>
        <w:jc w:val="left"/>
        <w:rPr>
          <w:rFonts w:cs="Arial"/>
          <w:sz w:val="24"/>
          <w:szCs w:val="24"/>
        </w:rPr>
      </w:pPr>
      <w:r w:rsidRPr="00CE0885">
        <w:rPr>
          <w:rFonts w:cs="Arial"/>
          <w:sz w:val="24"/>
          <w:szCs w:val="24"/>
        </w:rPr>
        <w:t>(a) a medical practitioner, that medical practitioner must be a general medical practitioner;</w:t>
      </w:r>
    </w:p>
    <w:p w14:paraId="156D06C1" w14:textId="77777777" w:rsidR="004A1E13" w:rsidRPr="00CE0885" w:rsidRDefault="004A1E13" w:rsidP="004A1E13">
      <w:pPr>
        <w:pStyle w:val="Body1"/>
        <w:spacing w:before="0" w:after="0" w:line="360" w:lineRule="auto"/>
        <w:ind w:left="1440"/>
        <w:jc w:val="left"/>
        <w:rPr>
          <w:rFonts w:cs="Arial"/>
          <w:sz w:val="24"/>
          <w:szCs w:val="24"/>
        </w:rPr>
      </w:pPr>
      <w:r w:rsidRPr="00CE0885">
        <w:rPr>
          <w:rFonts w:cs="Arial"/>
          <w:sz w:val="24"/>
          <w:szCs w:val="24"/>
        </w:rPr>
        <w:t>(b) two or more persons practising in partnership—</w:t>
      </w:r>
    </w:p>
    <w:p w14:paraId="12A8DF20" w14:textId="77777777" w:rsidR="004A1E13" w:rsidRPr="00CE0885" w:rsidRDefault="004A1E13" w:rsidP="004A1E13">
      <w:pPr>
        <w:pStyle w:val="Body1"/>
        <w:spacing w:before="0" w:after="0" w:line="360" w:lineRule="auto"/>
        <w:ind w:left="2160"/>
        <w:jc w:val="left"/>
        <w:rPr>
          <w:rFonts w:cs="Arial"/>
          <w:sz w:val="24"/>
          <w:szCs w:val="24"/>
        </w:rPr>
      </w:pPr>
      <w:r w:rsidRPr="00CE0885">
        <w:rPr>
          <w:rFonts w:cs="Arial"/>
          <w:sz w:val="24"/>
          <w:szCs w:val="24"/>
        </w:rPr>
        <w:t>(i) at least one partner (who must not be a limited partner) must be a general medical practitioner, and</w:t>
      </w:r>
    </w:p>
    <w:p w14:paraId="73848D43" w14:textId="77777777" w:rsidR="004A1E13" w:rsidRPr="00CE0885" w:rsidRDefault="004A1E13" w:rsidP="004A1E13">
      <w:pPr>
        <w:pStyle w:val="Body1"/>
        <w:spacing w:before="0" w:after="0" w:line="360" w:lineRule="auto"/>
        <w:ind w:left="2160"/>
        <w:jc w:val="left"/>
        <w:rPr>
          <w:rFonts w:cs="Arial"/>
          <w:sz w:val="24"/>
          <w:szCs w:val="24"/>
        </w:rPr>
      </w:pPr>
      <w:r w:rsidRPr="00CE0885">
        <w:rPr>
          <w:rFonts w:cs="Arial"/>
          <w:sz w:val="24"/>
          <w:szCs w:val="24"/>
        </w:rPr>
        <w:t>(ii) any other partner who is a medical practitioner must be—</w:t>
      </w:r>
    </w:p>
    <w:p w14:paraId="3F2C3DD9" w14:textId="77777777" w:rsidR="004A1E13" w:rsidRPr="00CE0885" w:rsidRDefault="004A1E13" w:rsidP="004A1E13">
      <w:pPr>
        <w:pStyle w:val="Body1"/>
        <w:spacing w:before="0" w:after="0" w:line="360" w:lineRule="auto"/>
        <w:ind w:left="2880"/>
        <w:jc w:val="left"/>
        <w:rPr>
          <w:rFonts w:cs="Arial"/>
          <w:sz w:val="24"/>
          <w:szCs w:val="24"/>
        </w:rPr>
      </w:pPr>
      <w:r w:rsidRPr="00CE0885">
        <w:rPr>
          <w:rFonts w:cs="Arial"/>
          <w:sz w:val="24"/>
          <w:szCs w:val="24"/>
        </w:rPr>
        <w:lastRenderedPageBreak/>
        <w:t>(aa) a general medical practitioner, or</w:t>
      </w:r>
    </w:p>
    <w:p w14:paraId="1F4D8713" w14:textId="77777777" w:rsidR="004A1E13" w:rsidRPr="00CE0885" w:rsidRDefault="004A1E13" w:rsidP="004A1E13">
      <w:pPr>
        <w:pStyle w:val="Body1"/>
        <w:spacing w:before="0" w:after="0" w:line="360" w:lineRule="auto"/>
        <w:ind w:left="2880"/>
        <w:jc w:val="left"/>
        <w:rPr>
          <w:rFonts w:cs="Arial"/>
          <w:sz w:val="24"/>
          <w:szCs w:val="24"/>
        </w:rPr>
      </w:pPr>
      <w:r w:rsidRPr="00CE0885">
        <w:rPr>
          <w:rFonts w:cs="Arial"/>
          <w:sz w:val="24"/>
          <w:szCs w:val="24"/>
        </w:rPr>
        <w:t>(bb) employed by a Local Health Board, (in England and Wales and Scotland) an NHS trust, an NHS foundation trust, (in Scotland) a Health Board, or (in Northern Ireland) a Health and Social Services Trust; or (c) a company limited by shares—</w:t>
      </w:r>
    </w:p>
    <w:p w14:paraId="7C43A430" w14:textId="77777777" w:rsidR="004A1E13" w:rsidRPr="00CE0885" w:rsidRDefault="004A1E13" w:rsidP="004A1E13">
      <w:pPr>
        <w:pStyle w:val="Body1"/>
        <w:spacing w:before="0" w:after="0" w:line="360" w:lineRule="auto"/>
        <w:ind w:left="2160"/>
        <w:jc w:val="left"/>
        <w:rPr>
          <w:rFonts w:cs="Arial"/>
          <w:sz w:val="24"/>
          <w:szCs w:val="24"/>
        </w:rPr>
      </w:pPr>
      <w:r w:rsidRPr="00CE0885">
        <w:rPr>
          <w:rFonts w:cs="Arial"/>
          <w:sz w:val="24"/>
          <w:szCs w:val="24"/>
        </w:rPr>
        <w:t>(i) at least one share in the company must be both legally and beneficially owned by a general medical practitioner, and</w:t>
      </w:r>
    </w:p>
    <w:p w14:paraId="49FEBFCC" w14:textId="77777777" w:rsidR="004A1E13" w:rsidRPr="00CE0885" w:rsidRDefault="004A1E13" w:rsidP="004A1E13">
      <w:pPr>
        <w:pStyle w:val="Body1"/>
        <w:spacing w:before="0" w:after="0" w:line="360" w:lineRule="auto"/>
        <w:ind w:left="2160"/>
        <w:jc w:val="left"/>
        <w:rPr>
          <w:rFonts w:cs="Arial"/>
          <w:sz w:val="24"/>
          <w:szCs w:val="24"/>
        </w:rPr>
      </w:pPr>
      <w:r w:rsidRPr="00CE0885">
        <w:rPr>
          <w:rFonts w:cs="Arial"/>
          <w:sz w:val="24"/>
          <w:szCs w:val="24"/>
        </w:rPr>
        <w:t>(ii) any other share or shares in the company that are both legally and beneficially owned by a medical practitioner must be so owned by—</w:t>
      </w:r>
    </w:p>
    <w:p w14:paraId="4D10C069" w14:textId="77777777" w:rsidR="004A1E13" w:rsidRPr="00CE0885" w:rsidRDefault="004A1E13" w:rsidP="004A1E13">
      <w:pPr>
        <w:pStyle w:val="Body1"/>
        <w:spacing w:before="0" w:after="0" w:line="360" w:lineRule="auto"/>
        <w:ind w:left="2880"/>
        <w:jc w:val="left"/>
        <w:rPr>
          <w:rFonts w:cs="Arial"/>
          <w:sz w:val="24"/>
          <w:szCs w:val="24"/>
        </w:rPr>
      </w:pPr>
      <w:r w:rsidRPr="00CE0885">
        <w:rPr>
          <w:rFonts w:cs="Arial"/>
          <w:sz w:val="24"/>
          <w:szCs w:val="24"/>
        </w:rPr>
        <w:t>(aa) a general medical practitioner, or</w:t>
      </w:r>
    </w:p>
    <w:p w14:paraId="16B26B0B" w14:textId="77777777" w:rsidR="004A1E13" w:rsidRPr="00CE0885" w:rsidRDefault="004A1E13" w:rsidP="004A1E13">
      <w:pPr>
        <w:pStyle w:val="Body1"/>
        <w:spacing w:before="0" w:after="0" w:line="360" w:lineRule="auto"/>
        <w:ind w:left="2880"/>
        <w:jc w:val="left"/>
        <w:rPr>
          <w:rFonts w:cs="Arial"/>
          <w:sz w:val="24"/>
          <w:szCs w:val="24"/>
        </w:rPr>
      </w:pPr>
      <w:r w:rsidRPr="00CE0885">
        <w:rPr>
          <w:rFonts w:cs="Arial"/>
          <w:sz w:val="24"/>
          <w:szCs w:val="24"/>
        </w:rPr>
        <w:t>(bb) a medical practitioner who is employed by a Local Health Board, (in England and Wales and Scotland) an NHS Trust, an NHS foundation trust, (in Scotland) a Health Board, or (in Northern Ireland) a Health and Social Services Trust.</w:t>
      </w:r>
    </w:p>
    <w:p w14:paraId="55C131E1" w14:textId="77777777" w:rsidR="004A1E13" w:rsidRPr="00CE0885" w:rsidRDefault="004A1E13" w:rsidP="004A1E13">
      <w:pPr>
        <w:pStyle w:val="Body1"/>
        <w:spacing w:before="0" w:after="0" w:line="360" w:lineRule="auto"/>
        <w:jc w:val="left"/>
        <w:rPr>
          <w:rFonts w:cs="Arial"/>
          <w:sz w:val="24"/>
          <w:szCs w:val="24"/>
        </w:rPr>
      </w:pPr>
      <w:r w:rsidRPr="00CE0885">
        <w:rPr>
          <w:rFonts w:cs="Arial"/>
          <w:sz w:val="24"/>
          <w:szCs w:val="24"/>
        </w:rPr>
        <w:t>(2) In paragraph (1)(a), (b)(i) and (c)(i) “general medical practitioner” does not include a medical practitioner whose name is included in the General Practitioner Register by virtue of being a medical practitioner to whom paragraph (3), (4) or (5) applies.</w:t>
      </w:r>
    </w:p>
    <w:p w14:paraId="6FA35702" w14:textId="77777777" w:rsidR="004A1E13" w:rsidRPr="00CE0885" w:rsidRDefault="004A1E13" w:rsidP="004A1E13">
      <w:pPr>
        <w:pStyle w:val="Body1"/>
        <w:spacing w:before="0" w:after="0" w:line="360" w:lineRule="auto"/>
        <w:jc w:val="left"/>
        <w:rPr>
          <w:rFonts w:cs="Arial"/>
          <w:sz w:val="24"/>
          <w:szCs w:val="24"/>
        </w:rPr>
      </w:pPr>
      <w:r w:rsidRPr="00CE0885">
        <w:rPr>
          <w:rFonts w:cs="Arial"/>
          <w:sz w:val="24"/>
          <w:szCs w:val="24"/>
        </w:rPr>
        <w:t>(3) This paragraph applies to a medical practitioner referred to in article 4(3) of the 2010 Order (general practitioners eligible for entry in the General Practitioner Register) who was exempt from the requirement to have the prescribed experience under—</w:t>
      </w:r>
    </w:p>
    <w:p w14:paraId="684DD27F" w14:textId="77777777" w:rsidR="004A1E13" w:rsidRPr="00CE0885" w:rsidRDefault="004A1E13" w:rsidP="004A1E13">
      <w:pPr>
        <w:pStyle w:val="Body1"/>
        <w:spacing w:before="0" w:after="0" w:line="360" w:lineRule="auto"/>
        <w:ind w:left="1440"/>
        <w:jc w:val="left"/>
        <w:rPr>
          <w:rFonts w:cs="Arial"/>
          <w:sz w:val="24"/>
          <w:szCs w:val="24"/>
        </w:rPr>
      </w:pPr>
      <w:r w:rsidRPr="00CE0885">
        <w:rPr>
          <w:rFonts w:cs="Arial"/>
          <w:sz w:val="24"/>
          <w:szCs w:val="24"/>
        </w:rPr>
        <w:t>(a) regulation 5(1)(d) of the National Health Service (Vocational Training for General Medical Practice) Regulations 1997(b);</w:t>
      </w:r>
    </w:p>
    <w:p w14:paraId="0C914C33" w14:textId="77777777" w:rsidR="004A1E13" w:rsidRPr="00CE0885" w:rsidRDefault="004A1E13" w:rsidP="004A1E13">
      <w:pPr>
        <w:pStyle w:val="Body1"/>
        <w:spacing w:before="0" w:after="0" w:line="360" w:lineRule="auto"/>
        <w:ind w:left="1440"/>
        <w:jc w:val="left"/>
        <w:rPr>
          <w:rFonts w:cs="Arial"/>
          <w:sz w:val="24"/>
          <w:szCs w:val="24"/>
        </w:rPr>
      </w:pPr>
      <w:r w:rsidRPr="00CE0885">
        <w:rPr>
          <w:rFonts w:cs="Arial"/>
          <w:sz w:val="24"/>
          <w:szCs w:val="24"/>
        </w:rPr>
        <w:t>(b) regulation 5(1)(d) of the National Health Service (Vocational Training for General Medical Practice) (Scotland) Regulations 1998(c); or</w:t>
      </w:r>
    </w:p>
    <w:p w14:paraId="3D24EFE2" w14:textId="77777777" w:rsidR="004A1E13" w:rsidRPr="00CE0885" w:rsidRDefault="004A1E13" w:rsidP="004A1E13">
      <w:pPr>
        <w:pStyle w:val="Body1"/>
        <w:spacing w:before="0" w:after="0" w:line="360" w:lineRule="auto"/>
        <w:ind w:left="1440"/>
        <w:jc w:val="left"/>
        <w:rPr>
          <w:rFonts w:cs="Arial"/>
          <w:sz w:val="24"/>
          <w:szCs w:val="24"/>
        </w:rPr>
      </w:pPr>
      <w:r w:rsidRPr="00CE0885">
        <w:rPr>
          <w:rFonts w:cs="Arial"/>
          <w:sz w:val="24"/>
          <w:szCs w:val="24"/>
        </w:rPr>
        <w:t>(c) regulation 5(1)(d) of the Medical Practitioners (Vocational Training) Regulations (Northern Ireland) 1998(d).</w:t>
      </w:r>
    </w:p>
    <w:p w14:paraId="4D138326" w14:textId="77777777" w:rsidR="004A1E13" w:rsidRPr="00CE0885" w:rsidRDefault="004A1E13" w:rsidP="004A1E13">
      <w:pPr>
        <w:pStyle w:val="Body1"/>
        <w:spacing w:before="0" w:after="0" w:line="360" w:lineRule="auto"/>
        <w:jc w:val="left"/>
        <w:rPr>
          <w:rFonts w:cs="Arial"/>
          <w:sz w:val="24"/>
          <w:szCs w:val="24"/>
        </w:rPr>
      </w:pPr>
      <w:r w:rsidRPr="00CE0885">
        <w:rPr>
          <w:rFonts w:cs="Arial"/>
          <w:sz w:val="24"/>
          <w:szCs w:val="24"/>
        </w:rPr>
        <w:t xml:space="preserve">(4) This paragraph applies to a medical practitioner who has an acquired right for the purposes of article 6(2) of the 2010 Order (persons with acquired </w:t>
      </w:r>
      <w:r w:rsidRPr="00CE0885">
        <w:rPr>
          <w:rFonts w:cs="Arial"/>
          <w:sz w:val="24"/>
          <w:szCs w:val="24"/>
        </w:rPr>
        <w:lastRenderedPageBreak/>
        <w:t>rights) by virtue of—</w:t>
      </w:r>
    </w:p>
    <w:p w14:paraId="009B1EAD" w14:textId="77777777" w:rsidR="004A1E13" w:rsidRPr="00CE0885" w:rsidRDefault="004A1E13" w:rsidP="004A1E13">
      <w:pPr>
        <w:pStyle w:val="Body1"/>
        <w:spacing w:before="0" w:after="0" w:line="360" w:lineRule="auto"/>
        <w:ind w:left="1440"/>
        <w:jc w:val="left"/>
        <w:rPr>
          <w:rFonts w:cs="Arial"/>
          <w:sz w:val="24"/>
          <w:szCs w:val="24"/>
        </w:rPr>
      </w:pPr>
      <w:r w:rsidRPr="00CE0885">
        <w:rPr>
          <w:rFonts w:cs="Arial"/>
          <w:sz w:val="24"/>
          <w:szCs w:val="24"/>
        </w:rPr>
        <w:t>(a) having been a restricted services principal; and</w:t>
      </w:r>
    </w:p>
    <w:p w14:paraId="59F48C77" w14:textId="77777777" w:rsidR="004A1E13" w:rsidRPr="00CE0885" w:rsidRDefault="004A1E13" w:rsidP="004A1E13">
      <w:pPr>
        <w:pStyle w:val="Body1"/>
        <w:spacing w:before="0" w:after="0" w:line="360" w:lineRule="auto"/>
        <w:ind w:left="1440"/>
        <w:jc w:val="left"/>
        <w:rPr>
          <w:rFonts w:cs="Arial"/>
          <w:sz w:val="24"/>
          <w:szCs w:val="24"/>
        </w:rPr>
      </w:pPr>
      <w:r w:rsidRPr="00CE0885">
        <w:rPr>
          <w:rFonts w:cs="Arial"/>
          <w:sz w:val="24"/>
          <w:szCs w:val="24"/>
        </w:rPr>
        <w:t>(b) that medical practitioner’s name being included, as at 31st December 1994, in—</w:t>
      </w:r>
    </w:p>
    <w:p w14:paraId="15BDA539" w14:textId="77777777" w:rsidR="004A1E13" w:rsidRPr="00CE0885" w:rsidRDefault="004A1E13" w:rsidP="004A1E13">
      <w:pPr>
        <w:pStyle w:val="Body1"/>
        <w:spacing w:before="0" w:after="0" w:line="360" w:lineRule="auto"/>
        <w:ind w:left="2160"/>
        <w:jc w:val="left"/>
        <w:rPr>
          <w:rFonts w:cs="Arial"/>
          <w:sz w:val="24"/>
          <w:szCs w:val="24"/>
        </w:rPr>
      </w:pPr>
      <w:r w:rsidRPr="00CE0885">
        <w:rPr>
          <w:rFonts w:cs="Arial"/>
          <w:sz w:val="24"/>
          <w:szCs w:val="24"/>
        </w:rPr>
        <w:t>(i) a medical list which was, at that date, kept by a Family Health Services Authority(e), or</w:t>
      </w:r>
      <w:r w:rsidRPr="00CE0885" w:rsidDel="00F769FD">
        <w:rPr>
          <w:rFonts w:cs="Arial"/>
          <w:sz w:val="24"/>
          <w:szCs w:val="24"/>
        </w:rPr>
        <w:t xml:space="preserve"> </w:t>
      </w:r>
    </w:p>
    <w:p w14:paraId="2778418B" w14:textId="77777777" w:rsidR="004A1E13" w:rsidRPr="00CE0885" w:rsidRDefault="004A1E13" w:rsidP="004A1E13">
      <w:pPr>
        <w:spacing w:line="360" w:lineRule="auto"/>
        <w:ind w:left="2880" w:hanging="720"/>
        <w:rPr>
          <w:rFonts w:cs="Arial"/>
          <w:szCs w:val="24"/>
        </w:rPr>
      </w:pPr>
      <w:r w:rsidRPr="00CE0885">
        <w:rPr>
          <w:rFonts w:cs="Arial"/>
          <w:szCs w:val="24"/>
        </w:rPr>
        <w:t>(ii) any corresponding list which was, at that date, kept by a Health Board or by the Northern Ireland Central Services Agency for the Health and Social Services in Northern Ireland.</w:t>
      </w:r>
    </w:p>
    <w:p w14:paraId="4B773010" w14:textId="77777777" w:rsidR="004A1E13" w:rsidRPr="00CE0885" w:rsidRDefault="004A1E13" w:rsidP="004A1E13">
      <w:pPr>
        <w:spacing w:line="360" w:lineRule="auto"/>
        <w:ind w:left="1440" w:hanging="720"/>
        <w:rPr>
          <w:rFonts w:cs="Arial"/>
          <w:szCs w:val="24"/>
        </w:rPr>
      </w:pPr>
      <w:r w:rsidRPr="00CE0885">
        <w:rPr>
          <w:rFonts w:cs="Arial"/>
          <w:szCs w:val="24"/>
        </w:rPr>
        <w:t>(5) This paragraph applies to a medical practitioner who has an acquired right for the purposes of article 6(6) of the 2010 Order (which relates to persons engaged or provided as a deputy or employed as an assistant) because, on at least ten days in the period of four years ending with 31</w:t>
      </w:r>
      <w:r w:rsidRPr="00CE0885">
        <w:rPr>
          <w:rFonts w:cs="Arial"/>
          <w:szCs w:val="24"/>
          <w:vertAlign w:val="superscript"/>
        </w:rPr>
        <w:t>st</w:t>
      </w:r>
      <w:r w:rsidRPr="00CE0885">
        <w:rPr>
          <w:rFonts w:cs="Arial"/>
          <w:szCs w:val="24"/>
        </w:rPr>
        <w:t xml:space="preserve"> December 1994, or on at least 40 days in the period of ten years ending with that date, that medical practitioner was—</w:t>
      </w:r>
    </w:p>
    <w:p w14:paraId="367BA2FD" w14:textId="77777777" w:rsidR="004A1E13" w:rsidRPr="00CE0885" w:rsidRDefault="004A1E13" w:rsidP="004A1E13">
      <w:pPr>
        <w:spacing w:line="360" w:lineRule="auto"/>
        <w:ind w:left="2160" w:hanging="720"/>
        <w:rPr>
          <w:rFonts w:cs="Arial"/>
          <w:szCs w:val="24"/>
        </w:rPr>
      </w:pPr>
      <w:r w:rsidRPr="00CE0885">
        <w:rPr>
          <w:rFonts w:cs="Arial"/>
          <w:szCs w:val="24"/>
        </w:rPr>
        <w:t>(a) engaged as a deputy by, or provided as a deputy to, a medical practitioner whose name was included in—</w:t>
      </w:r>
    </w:p>
    <w:p w14:paraId="4028A132" w14:textId="77777777" w:rsidR="004A1E13" w:rsidRPr="00CE0885" w:rsidRDefault="004A1E13" w:rsidP="004A1E13">
      <w:pPr>
        <w:spacing w:line="360" w:lineRule="auto"/>
        <w:ind w:left="2880" w:hanging="720"/>
        <w:rPr>
          <w:rFonts w:cs="Arial"/>
          <w:szCs w:val="24"/>
        </w:rPr>
      </w:pPr>
      <w:r w:rsidRPr="00CE0885">
        <w:rPr>
          <w:rFonts w:cs="Arial"/>
          <w:szCs w:val="24"/>
        </w:rPr>
        <w:t>(i) the medical list which was, at that date, kept by a Family Health Services Authority, or</w:t>
      </w:r>
    </w:p>
    <w:p w14:paraId="71BCDA78" w14:textId="77777777" w:rsidR="004A1E13" w:rsidRPr="00CE0885" w:rsidRDefault="004A1E13" w:rsidP="004A1E13">
      <w:pPr>
        <w:spacing w:line="360" w:lineRule="auto"/>
        <w:ind w:left="2880" w:hanging="720"/>
        <w:rPr>
          <w:rFonts w:cs="Arial"/>
          <w:szCs w:val="24"/>
        </w:rPr>
      </w:pPr>
      <w:r w:rsidRPr="00CE0885">
        <w:rPr>
          <w:rFonts w:cs="Arial"/>
          <w:szCs w:val="24"/>
        </w:rPr>
        <w:t>(ii) any corresponding list kept, at that date, by a Health Board or by the Northern Ireland Central Services Agency for the Health and Social Services in Northern Ireland; or</w:t>
      </w:r>
    </w:p>
    <w:p w14:paraId="75162F97" w14:textId="77777777" w:rsidR="004A1E13" w:rsidRPr="00CE0885" w:rsidRDefault="004A1E13" w:rsidP="004A1E13">
      <w:pPr>
        <w:spacing w:line="360" w:lineRule="auto"/>
        <w:ind w:left="2160" w:hanging="720"/>
        <w:rPr>
          <w:rFonts w:cs="Arial"/>
          <w:szCs w:val="24"/>
        </w:rPr>
      </w:pPr>
      <w:r w:rsidRPr="00CE0885">
        <w:rPr>
          <w:rFonts w:cs="Arial"/>
          <w:szCs w:val="24"/>
        </w:rPr>
        <w:t>(b) employed as an assistant (other than as a trainee general practitioner) by such a medical practitioner.</w:t>
      </w:r>
    </w:p>
    <w:p w14:paraId="6F2CB9C0" w14:textId="77777777" w:rsidR="004A1E13" w:rsidRPr="00CE0885" w:rsidRDefault="004A1E13" w:rsidP="004A1E13">
      <w:pPr>
        <w:spacing w:line="360" w:lineRule="auto"/>
        <w:ind w:left="1440" w:hanging="720"/>
        <w:rPr>
          <w:rFonts w:cs="Arial"/>
          <w:b/>
          <w:szCs w:val="24"/>
        </w:rPr>
      </w:pPr>
      <w:r w:rsidRPr="00CE0885">
        <w:rPr>
          <w:rFonts w:cs="Arial"/>
          <w:szCs w:val="24"/>
        </w:rPr>
        <w:t>(6) In paragraph (4)(a), “restricted services principal” means a medical practitioner who provided general medical services limited to child health surveillance, contraceptive services, maternity medical services or minor surgery.</w:t>
      </w:r>
      <w:r w:rsidRPr="00CE0885" w:rsidDel="00F769FD">
        <w:rPr>
          <w:rFonts w:cs="Arial"/>
          <w:szCs w:val="24"/>
        </w:rPr>
        <w:t xml:space="preserve"> </w:t>
      </w:r>
    </w:p>
    <w:p w14:paraId="21DEEB5F" w14:textId="77777777" w:rsidR="004A1E13" w:rsidRPr="00CE0885" w:rsidRDefault="004A1E13" w:rsidP="004A1E13">
      <w:pPr>
        <w:pStyle w:val="Body1"/>
        <w:spacing w:before="0" w:after="0" w:line="360" w:lineRule="auto"/>
        <w:jc w:val="left"/>
        <w:rPr>
          <w:rFonts w:cs="Arial"/>
          <w:sz w:val="24"/>
          <w:szCs w:val="24"/>
        </w:rPr>
      </w:pPr>
      <w:r w:rsidRPr="00CE0885">
        <w:rPr>
          <w:rFonts w:cs="Arial"/>
          <w:sz w:val="24"/>
          <w:szCs w:val="24"/>
        </w:rPr>
        <w:t xml:space="preserve">6. General condition relating to all contracts </w:t>
      </w:r>
    </w:p>
    <w:p w14:paraId="7FF84F49" w14:textId="77777777" w:rsidR="004A1E13" w:rsidRPr="00CE0885" w:rsidRDefault="004A1E13" w:rsidP="004A1E13">
      <w:pPr>
        <w:spacing w:line="360" w:lineRule="auto"/>
        <w:ind w:left="714"/>
        <w:rPr>
          <w:rFonts w:cs="Arial"/>
          <w:szCs w:val="24"/>
        </w:rPr>
      </w:pPr>
      <w:r w:rsidRPr="00CE0885">
        <w:rPr>
          <w:rFonts w:cs="Arial"/>
          <w:szCs w:val="24"/>
        </w:rPr>
        <w:t>6.—(1) The Board must not enter into a contract with—</w:t>
      </w:r>
    </w:p>
    <w:p w14:paraId="74069110" w14:textId="77777777" w:rsidR="004A1E13" w:rsidRPr="00CE0885" w:rsidRDefault="004A1E13" w:rsidP="004A1E13">
      <w:pPr>
        <w:spacing w:line="360" w:lineRule="auto"/>
        <w:ind w:left="2160"/>
        <w:rPr>
          <w:rFonts w:cs="Arial"/>
          <w:szCs w:val="24"/>
        </w:rPr>
      </w:pPr>
      <w:r w:rsidRPr="00CE0885">
        <w:rPr>
          <w:rFonts w:cs="Arial"/>
          <w:szCs w:val="24"/>
        </w:rPr>
        <w:t>(a) a medical practitioner to whom paragraph (2) applies; or</w:t>
      </w:r>
    </w:p>
    <w:p w14:paraId="3AF8023B" w14:textId="77777777" w:rsidR="004A1E13" w:rsidRPr="00CE0885" w:rsidRDefault="004A1E13" w:rsidP="004A1E13">
      <w:pPr>
        <w:spacing w:line="360" w:lineRule="auto"/>
        <w:ind w:left="2160"/>
        <w:rPr>
          <w:rFonts w:cs="Arial"/>
          <w:szCs w:val="24"/>
        </w:rPr>
      </w:pPr>
      <w:r w:rsidRPr="00CE0885">
        <w:rPr>
          <w:rFonts w:cs="Arial"/>
          <w:szCs w:val="24"/>
        </w:rPr>
        <w:lastRenderedPageBreak/>
        <w:t>(b) two or more persons practising in partnership, where paragraph (2) applies to any person who is a partner in the partnership; or</w:t>
      </w:r>
    </w:p>
    <w:p w14:paraId="577A6F2B" w14:textId="77777777" w:rsidR="004A1E13" w:rsidRPr="00CE0885" w:rsidRDefault="004A1E13" w:rsidP="004A1E13">
      <w:pPr>
        <w:spacing w:line="360" w:lineRule="auto"/>
        <w:ind w:left="2160"/>
        <w:rPr>
          <w:rFonts w:cs="Arial"/>
          <w:szCs w:val="24"/>
        </w:rPr>
      </w:pPr>
      <w:r w:rsidRPr="00CE0885">
        <w:rPr>
          <w:rFonts w:cs="Arial"/>
          <w:szCs w:val="24"/>
        </w:rPr>
        <w:t>(c) a company limited by shares where paragraph (2) applies to—</w:t>
      </w:r>
    </w:p>
    <w:p w14:paraId="0F07A761" w14:textId="77777777" w:rsidR="004A1E13" w:rsidRPr="00CE0885" w:rsidRDefault="004A1E13" w:rsidP="004A1E13">
      <w:pPr>
        <w:spacing w:line="360" w:lineRule="auto"/>
        <w:ind w:left="2880"/>
        <w:rPr>
          <w:rFonts w:cs="Arial"/>
          <w:szCs w:val="24"/>
        </w:rPr>
      </w:pPr>
      <w:r w:rsidRPr="00CE0885">
        <w:rPr>
          <w:rFonts w:cs="Arial"/>
          <w:szCs w:val="24"/>
        </w:rPr>
        <w:t>(i) the company,</w:t>
      </w:r>
    </w:p>
    <w:p w14:paraId="33ACF726" w14:textId="77777777" w:rsidR="004A1E13" w:rsidRPr="00CE0885" w:rsidRDefault="004A1E13" w:rsidP="004A1E13">
      <w:pPr>
        <w:spacing w:line="360" w:lineRule="auto"/>
        <w:ind w:left="2880"/>
        <w:rPr>
          <w:rFonts w:cs="Arial"/>
          <w:szCs w:val="24"/>
        </w:rPr>
      </w:pPr>
      <w:r w:rsidRPr="00CE0885">
        <w:rPr>
          <w:rFonts w:cs="Arial"/>
          <w:szCs w:val="24"/>
        </w:rPr>
        <w:t>(ii) any person both legally and beneficially owning a share in the company, or</w:t>
      </w:r>
    </w:p>
    <w:p w14:paraId="0D924E84" w14:textId="77777777" w:rsidR="004A1E13" w:rsidRPr="00CE0885" w:rsidRDefault="004A1E13" w:rsidP="004A1E13">
      <w:pPr>
        <w:spacing w:line="360" w:lineRule="auto"/>
        <w:ind w:left="2880"/>
        <w:rPr>
          <w:rFonts w:cs="Arial"/>
          <w:szCs w:val="24"/>
        </w:rPr>
      </w:pPr>
      <w:r w:rsidRPr="00CE0885">
        <w:rPr>
          <w:rFonts w:cs="Arial"/>
          <w:szCs w:val="24"/>
        </w:rPr>
        <w:t>(iii) any director or secretary of the company.</w:t>
      </w:r>
    </w:p>
    <w:p w14:paraId="40DACC09" w14:textId="77777777" w:rsidR="004A1E13" w:rsidRPr="00CE0885" w:rsidRDefault="004A1E13" w:rsidP="004A1E13">
      <w:pPr>
        <w:spacing w:line="360" w:lineRule="auto"/>
        <w:ind w:firstLine="720"/>
        <w:rPr>
          <w:rFonts w:cs="Arial"/>
          <w:szCs w:val="24"/>
        </w:rPr>
      </w:pPr>
      <w:r w:rsidRPr="00CE0885">
        <w:rPr>
          <w:rFonts w:cs="Arial"/>
          <w:szCs w:val="24"/>
        </w:rPr>
        <w:t>(2) This paragraph applies if—</w:t>
      </w:r>
    </w:p>
    <w:p w14:paraId="24D243F2" w14:textId="77777777" w:rsidR="004A1E13" w:rsidRPr="00CE0885" w:rsidRDefault="004A1E13" w:rsidP="004A1E13">
      <w:pPr>
        <w:spacing w:line="360" w:lineRule="auto"/>
        <w:ind w:left="1440"/>
        <w:rPr>
          <w:rFonts w:cs="Arial"/>
          <w:szCs w:val="24"/>
        </w:rPr>
      </w:pPr>
      <w:r w:rsidRPr="00CE0885">
        <w:rPr>
          <w:rFonts w:cs="Arial"/>
          <w:szCs w:val="24"/>
        </w:rPr>
        <w:t>(a) the contractor is the subject of a national disqualification;</w:t>
      </w:r>
    </w:p>
    <w:p w14:paraId="31856A1D" w14:textId="77777777" w:rsidR="004A1E13" w:rsidRPr="00CE0885" w:rsidRDefault="004A1E13" w:rsidP="004A1E13">
      <w:pPr>
        <w:spacing w:line="360" w:lineRule="auto"/>
        <w:ind w:left="1440"/>
        <w:rPr>
          <w:rFonts w:cs="Arial"/>
          <w:szCs w:val="24"/>
        </w:rPr>
      </w:pPr>
      <w:r w:rsidRPr="00CE0885">
        <w:rPr>
          <w:rFonts w:cs="Arial"/>
          <w:szCs w:val="24"/>
        </w:rPr>
        <w:t>(b) subject to paragraph (3), the contractor is disqualified or suspended (other than by interim suspension order or direction pending an investigation) from practising by any licensing body anywhere in the world;</w:t>
      </w:r>
    </w:p>
    <w:p w14:paraId="6644B426" w14:textId="77777777" w:rsidR="004A1E13" w:rsidRPr="00CE0885" w:rsidRDefault="004A1E13" w:rsidP="004A1E13">
      <w:pPr>
        <w:spacing w:line="360" w:lineRule="auto"/>
        <w:ind w:left="1440"/>
        <w:rPr>
          <w:rFonts w:cs="Arial"/>
          <w:szCs w:val="24"/>
        </w:rPr>
      </w:pPr>
      <w:r w:rsidRPr="00CE0885">
        <w:rPr>
          <w:rFonts w:cs="Arial"/>
          <w:szCs w:val="24"/>
        </w:rPr>
        <w:t>(c) the contractor has, within the period of five years before the signing of the contract or commencement of the contract (whichever is the earlier), been dismissed (otherwise than by reason of redundancy) from any employment by a health service body, unless—</w:t>
      </w:r>
    </w:p>
    <w:p w14:paraId="74BFF8EF" w14:textId="77777777" w:rsidR="004A1E13" w:rsidRPr="00CE0885" w:rsidRDefault="004A1E13" w:rsidP="004A1E13">
      <w:pPr>
        <w:spacing w:line="360" w:lineRule="auto"/>
        <w:ind w:left="2160"/>
        <w:rPr>
          <w:rFonts w:cs="Arial"/>
          <w:szCs w:val="24"/>
        </w:rPr>
      </w:pPr>
      <w:r w:rsidRPr="00CE0885">
        <w:rPr>
          <w:rFonts w:cs="Arial"/>
          <w:szCs w:val="24"/>
        </w:rPr>
        <w:t>(i) if the contractor was employed as a member of a health care profession at the time of the dismissal, the contractor has not subsequently been employed by that health service body or by another health service body, and</w:t>
      </w:r>
    </w:p>
    <w:p w14:paraId="03BDCE95" w14:textId="77777777" w:rsidR="004A1E13" w:rsidRPr="00CE0885" w:rsidRDefault="004A1E13" w:rsidP="004A1E13">
      <w:pPr>
        <w:spacing w:line="360" w:lineRule="auto"/>
        <w:ind w:left="2160"/>
        <w:rPr>
          <w:rFonts w:cs="Arial"/>
          <w:szCs w:val="24"/>
        </w:rPr>
      </w:pPr>
      <w:r w:rsidRPr="00CE0885">
        <w:rPr>
          <w:rFonts w:cs="Arial"/>
          <w:szCs w:val="24"/>
        </w:rPr>
        <w:t>(ii) the dismissal was the subject of a finding of unfair dismissal by any competent tribunal or a court;</w:t>
      </w:r>
    </w:p>
    <w:p w14:paraId="23AAD105" w14:textId="77777777" w:rsidR="004A1E13" w:rsidRPr="00CE0885" w:rsidRDefault="004A1E13" w:rsidP="004A1E13">
      <w:pPr>
        <w:spacing w:line="360" w:lineRule="auto"/>
        <w:ind w:left="1440"/>
        <w:rPr>
          <w:rFonts w:cs="Arial"/>
          <w:szCs w:val="24"/>
        </w:rPr>
      </w:pPr>
      <w:r w:rsidRPr="00CE0885">
        <w:rPr>
          <w:rFonts w:cs="Arial"/>
          <w:szCs w:val="24"/>
        </w:rPr>
        <w:t>(d) the contractor has, within the period of five years before the signing of the contract or commencement of the contract (whichever is the earlier), been removed from, or refused admission to, a primary care list by reason of inefficiency, fraud or unsuitability (within the meaning of section 151(2), (3) and (4) of the Act(a) (disqualification of</w:t>
      </w:r>
      <w:r w:rsidRPr="00CE0885" w:rsidDel="00DF2E74">
        <w:rPr>
          <w:rFonts w:cs="Arial"/>
          <w:szCs w:val="24"/>
        </w:rPr>
        <w:t xml:space="preserve"> </w:t>
      </w:r>
      <w:r w:rsidRPr="00CE0885">
        <w:rPr>
          <w:rFonts w:cs="Arial"/>
          <w:szCs w:val="24"/>
        </w:rPr>
        <w:t>practitioners)), or a performers list held by the Board by virtue of regulations made under section 91(3) (persons performing primary medical services) of the Act, unless the contractor’s name has subsequently been included in such a list;</w:t>
      </w:r>
    </w:p>
    <w:p w14:paraId="6B216AB4" w14:textId="77777777" w:rsidR="004A1E13" w:rsidRPr="00CE0885" w:rsidRDefault="004A1E13" w:rsidP="004A1E13">
      <w:pPr>
        <w:spacing w:line="360" w:lineRule="auto"/>
        <w:ind w:left="1440"/>
        <w:rPr>
          <w:rFonts w:cs="Arial"/>
          <w:szCs w:val="24"/>
        </w:rPr>
      </w:pPr>
      <w:r w:rsidRPr="00CE0885">
        <w:rPr>
          <w:rFonts w:cs="Arial"/>
          <w:szCs w:val="24"/>
        </w:rPr>
        <w:lastRenderedPageBreak/>
        <w:t>(e) the contractor has been convicted in the United Kingdom of murder;</w:t>
      </w:r>
    </w:p>
    <w:p w14:paraId="7C077CF0" w14:textId="77777777" w:rsidR="004A1E13" w:rsidRPr="00CE0885" w:rsidRDefault="004A1E13" w:rsidP="004A1E13">
      <w:pPr>
        <w:spacing w:line="360" w:lineRule="auto"/>
        <w:ind w:left="1440"/>
        <w:rPr>
          <w:rFonts w:cs="Arial"/>
          <w:szCs w:val="24"/>
        </w:rPr>
      </w:pPr>
      <w:r w:rsidRPr="00CE0885">
        <w:rPr>
          <w:rFonts w:cs="Arial"/>
          <w:szCs w:val="24"/>
        </w:rPr>
        <w:t>(f) the contractor has been convicted in the United Kingdom of a criminal offence other than murder committed on or after 14th December 2001 and has been sentenced to a term of imprisonment of longer than six months;</w:t>
      </w:r>
    </w:p>
    <w:p w14:paraId="465105A3" w14:textId="77777777" w:rsidR="004A1E13" w:rsidRPr="00CE0885" w:rsidRDefault="004A1E13" w:rsidP="004A1E13">
      <w:pPr>
        <w:spacing w:line="360" w:lineRule="auto"/>
        <w:ind w:left="1440"/>
        <w:rPr>
          <w:rFonts w:cs="Arial"/>
          <w:szCs w:val="24"/>
        </w:rPr>
      </w:pPr>
      <w:r w:rsidRPr="00CE0885">
        <w:rPr>
          <w:rFonts w:cs="Arial"/>
          <w:szCs w:val="24"/>
        </w:rPr>
        <w:t>(g) subject to paragraph (3), the contractor has been convicted outside of the United Kingdom of an offence which would, if committed in England and Wales, constitute murder and—</w:t>
      </w:r>
    </w:p>
    <w:p w14:paraId="2D522132" w14:textId="77777777" w:rsidR="004A1E13" w:rsidRPr="00CE0885" w:rsidRDefault="004A1E13" w:rsidP="004A1E13">
      <w:pPr>
        <w:spacing w:line="360" w:lineRule="auto"/>
        <w:ind w:left="2160"/>
        <w:rPr>
          <w:rFonts w:cs="Arial"/>
          <w:szCs w:val="24"/>
        </w:rPr>
      </w:pPr>
      <w:r w:rsidRPr="00CE0885">
        <w:rPr>
          <w:rFonts w:cs="Arial"/>
          <w:szCs w:val="24"/>
        </w:rPr>
        <w:t>(i) the offence was committed on or after 14th December 2001, and</w:t>
      </w:r>
    </w:p>
    <w:p w14:paraId="42D052FB" w14:textId="77777777" w:rsidR="004A1E13" w:rsidRPr="00CE0885" w:rsidRDefault="004A1E13" w:rsidP="004A1E13">
      <w:pPr>
        <w:spacing w:line="360" w:lineRule="auto"/>
        <w:ind w:left="2160"/>
        <w:rPr>
          <w:rFonts w:cs="Arial"/>
          <w:szCs w:val="24"/>
        </w:rPr>
      </w:pPr>
      <w:r w:rsidRPr="00CE0885">
        <w:rPr>
          <w:rFonts w:cs="Arial"/>
          <w:szCs w:val="24"/>
        </w:rPr>
        <w:t>(ii) the contractor was sentenced to a term of imprisonment of longer than six months;</w:t>
      </w:r>
    </w:p>
    <w:p w14:paraId="4D0C3C87" w14:textId="77777777" w:rsidR="004A1E13" w:rsidRPr="00CE0885" w:rsidRDefault="004A1E13" w:rsidP="004A1E13">
      <w:pPr>
        <w:spacing w:line="360" w:lineRule="auto"/>
        <w:ind w:left="1440"/>
        <w:rPr>
          <w:rFonts w:cs="Arial"/>
          <w:szCs w:val="24"/>
        </w:rPr>
      </w:pPr>
      <w:r w:rsidRPr="00CE0885">
        <w:rPr>
          <w:rFonts w:cs="Arial"/>
          <w:szCs w:val="24"/>
        </w:rPr>
        <w:t>(h) the contractor has been convicted of an offence, referred to in Schedule 1 to the Children and Young Persons Act 1933(a) (offences against children and young persons, with respect to which special provisions of this Act apply), or in Schedule 1 to the Criminal Procedure (Scotland) Act 1995(b) (offences against children under the age of 17 years to which special provisions apply), committed on or after 1st March 2004;</w:t>
      </w:r>
    </w:p>
    <w:p w14:paraId="697ADC9C" w14:textId="77777777" w:rsidR="004A1E13" w:rsidRPr="00CE0885" w:rsidRDefault="004A1E13" w:rsidP="004A1E13">
      <w:pPr>
        <w:spacing w:line="360" w:lineRule="auto"/>
        <w:ind w:left="2160"/>
        <w:rPr>
          <w:rFonts w:cs="Arial"/>
          <w:szCs w:val="24"/>
        </w:rPr>
      </w:pPr>
      <w:r w:rsidRPr="00CE0885">
        <w:rPr>
          <w:rFonts w:cs="Arial"/>
          <w:szCs w:val="24"/>
        </w:rPr>
        <w:t>(i) the contractor has at any time been included in—</w:t>
      </w:r>
    </w:p>
    <w:p w14:paraId="296E3726" w14:textId="77777777" w:rsidR="004A1E13" w:rsidRPr="00CE0885" w:rsidRDefault="004A1E13" w:rsidP="004A1E13">
      <w:pPr>
        <w:spacing w:line="360" w:lineRule="auto"/>
        <w:ind w:left="2160"/>
        <w:rPr>
          <w:rFonts w:cs="Arial"/>
          <w:szCs w:val="24"/>
        </w:rPr>
      </w:pPr>
      <w:r w:rsidRPr="00CE0885">
        <w:rPr>
          <w:rFonts w:cs="Arial"/>
          <w:szCs w:val="24"/>
        </w:rPr>
        <w:t>(i) any barred list within the meaning of section 2 of the Safeguarding Vulnerable Groups Act 2006(c) (barred lists), or</w:t>
      </w:r>
    </w:p>
    <w:p w14:paraId="0446648E" w14:textId="77777777" w:rsidR="004A1E13" w:rsidRPr="00CE0885" w:rsidRDefault="004A1E13" w:rsidP="004A1E13">
      <w:pPr>
        <w:spacing w:line="360" w:lineRule="auto"/>
        <w:ind w:left="2160"/>
        <w:rPr>
          <w:rFonts w:cs="Arial"/>
          <w:szCs w:val="24"/>
        </w:rPr>
      </w:pPr>
      <w:r w:rsidRPr="00CE0885">
        <w:rPr>
          <w:rFonts w:cs="Arial"/>
          <w:szCs w:val="24"/>
        </w:rPr>
        <w:t>(ii) any barred list within the meaning of article 6 of the Safeguarding Vulnerable Groups (Northern Ireland) Order 2007(d) (barred lists), unless the contractor was removed from the list either on the grounds that it was not appropriate for the contractor to have been included in it or as the result of a successful appeal;</w:t>
      </w:r>
    </w:p>
    <w:p w14:paraId="1B8C5476" w14:textId="77777777" w:rsidR="004A1E13" w:rsidRPr="00CE0885" w:rsidRDefault="004A1E13" w:rsidP="004A1E13">
      <w:pPr>
        <w:spacing w:line="360" w:lineRule="auto"/>
        <w:ind w:left="1440"/>
        <w:rPr>
          <w:rFonts w:cs="Arial"/>
          <w:szCs w:val="24"/>
        </w:rPr>
      </w:pPr>
      <w:r w:rsidRPr="00CE0885">
        <w:rPr>
          <w:rFonts w:cs="Arial"/>
          <w:szCs w:val="24"/>
        </w:rPr>
        <w:t xml:space="preserve">(j) the contractor has, within the period of five years before the signing of the contract or commencement of the contract (whichever is the earlier), been removed from the office of charity trustee or trustee for a charity by an order made by the Charity Commission, the Charity Commission for Northern Ireland or the High Court, and that order was made on the grounds of misconduct or mismanagement in the </w:t>
      </w:r>
      <w:r w:rsidRPr="00CE0885">
        <w:rPr>
          <w:rFonts w:cs="Arial"/>
          <w:szCs w:val="24"/>
        </w:rPr>
        <w:lastRenderedPageBreak/>
        <w:t>administration of a charity for which the contractor was responsible or to which the contractor was privy, or which was contributed to, or facilitated by, the contractor’s conduct;</w:t>
      </w:r>
    </w:p>
    <w:p w14:paraId="7190E12C" w14:textId="77777777" w:rsidR="004A1E13" w:rsidRPr="00CE0885" w:rsidRDefault="004A1E13" w:rsidP="004A1E13">
      <w:pPr>
        <w:spacing w:line="360" w:lineRule="auto"/>
        <w:ind w:left="1440"/>
        <w:rPr>
          <w:rFonts w:cs="Arial"/>
          <w:szCs w:val="24"/>
        </w:rPr>
      </w:pPr>
      <w:r w:rsidRPr="00CE0885">
        <w:rPr>
          <w:rFonts w:cs="Arial"/>
          <w:szCs w:val="24"/>
        </w:rPr>
        <w:t>(k) the contractor has, within the period of five years before the signing of the contract or commencement of the contract (whichever is the earlier), been removed from being concerned with the management or control of any body in a case where the removal was by virtue of section 34(5)(e) of the Charities and Trustee Investment (Scotland) Act 2005(e) (powers of Court of Session);</w:t>
      </w:r>
    </w:p>
    <w:p w14:paraId="5E1B3890" w14:textId="77777777" w:rsidR="004A1E13" w:rsidRPr="00CE0885" w:rsidRDefault="004A1E13" w:rsidP="004A1E13">
      <w:pPr>
        <w:spacing w:line="360" w:lineRule="auto"/>
        <w:ind w:left="2160"/>
        <w:rPr>
          <w:rFonts w:cs="Arial"/>
          <w:szCs w:val="24"/>
        </w:rPr>
      </w:pPr>
      <w:r w:rsidRPr="00CE0885">
        <w:rPr>
          <w:rFonts w:cs="Arial"/>
          <w:szCs w:val="24"/>
        </w:rPr>
        <w:t>(l) the contractor—</w:t>
      </w:r>
    </w:p>
    <w:p w14:paraId="5555D596" w14:textId="77777777" w:rsidR="004A1E13" w:rsidRPr="00CE0885" w:rsidRDefault="004A1E13" w:rsidP="004A1E13">
      <w:pPr>
        <w:spacing w:line="360" w:lineRule="auto"/>
        <w:ind w:left="2160"/>
        <w:rPr>
          <w:rFonts w:cs="Arial"/>
          <w:szCs w:val="24"/>
        </w:rPr>
      </w:pPr>
      <w:r w:rsidRPr="00CE0885">
        <w:rPr>
          <w:rFonts w:cs="Arial"/>
          <w:szCs w:val="24"/>
        </w:rPr>
        <w:t>(i) has been adjudged bankrupt and has not been discharged from the bankruptcy or the bankruptcy order has not been annulled, or</w:t>
      </w:r>
    </w:p>
    <w:p w14:paraId="58EFBD33" w14:textId="77777777" w:rsidR="004A1E13" w:rsidRPr="00CE0885" w:rsidRDefault="004A1E13" w:rsidP="004A1E13">
      <w:pPr>
        <w:spacing w:line="360" w:lineRule="auto"/>
        <w:ind w:left="2160"/>
        <w:rPr>
          <w:rFonts w:cs="Arial"/>
          <w:szCs w:val="24"/>
        </w:rPr>
      </w:pPr>
      <w:r w:rsidRPr="00CE0885">
        <w:rPr>
          <w:rFonts w:cs="Arial"/>
          <w:szCs w:val="24"/>
        </w:rPr>
        <w:t>(ii) has had sequestration of the contractor’s estate awarded and has not been discharged from the sequestration;</w:t>
      </w:r>
    </w:p>
    <w:p w14:paraId="003A21FA" w14:textId="77777777" w:rsidR="004A1E13" w:rsidRPr="00CE0885" w:rsidRDefault="004A1E13" w:rsidP="004A1E13">
      <w:pPr>
        <w:spacing w:line="360" w:lineRule="auto"/>
        <w:ind w:left="1440"/>
        <w:rPr>
          <w:rFonts w:cs="Arial"/>
          <w:szCs w:val="24"/>
        </w:rPr>
      </w:pPr>
      <w:r w:rsidRPr="00CE0885">
        <w:rPr>
          <w:rFonts w:cs="Arial"/>
          <w:szCs w:val="24"/>
        </w:rPr>
        <w:t>(m) the contractor is the subject of a bankruptcy restrictions order or an interim bankruptcy restrictions order under Schedule 4A to the Insolvency Act 1986(a) (bankruptcy restrictions order and undertaking), Schedule 2A to the Insolvency (Northern Ireland) Order 1989(b) (bankruptcy restrictions order and undertaking), or sections 56A to 56K of the Bankruptcy (Scotland) Act 1985(c) (bankruptcy restrictions order, interim bankruptcy restrictions order and bankruptcy restrictions undertaking), unless the contractor has been discharged from that order or that order has been annulled; (n) the contractor—</w:t>
      </w:r>
    </w:p>
    <w:p w14:paraId="51361C22" w14:textId="77777777" w:rsidR="004A1E13" w:rsidRPr="00CE0885" w:rsidRDefault="004A1E13" w:rsidP="004A1E13">
      <w:pPr>
        <w:spacing w:line="360" w:lineRule="auto"/>
        <w:ind w:left="2160"/>
        <w:rPr>
          <w:rFonts w:cs="Arial"/>
          <w:szCs w:val="24"/>
        </w:rPr>
      </w:pPr>
      <w:r w:rsidRPr="00CE0885">
        <w:rPr>
          <w:rFonts w:cs="Arial"/>
          <w:szCs w:val="24"/>
        </w:rPr>
        <w:t>(i) is subject to moratorium period under a debt relief order under Part VIIA of the Insolvency Act 1986(d) (debt relief orders), or</w:t>
      </w:r>
    </w:p>
    <w:p w14:paraId="23E2138E" w14:textId="77777777" w:rsidR="004A1E13" w:rsidRPr="00CE0885" w:rsidRDefault="004A1E13" w:rsidP="004A1E13">
      <w:pPr>
        <w:spacing w:line="360" w:lineRule="auto"/>
        <w:ind w:left="2160"/>
        <w:rPr>
          <w:rFonts w:cs="Arial"/>
          <w:szCs w:val="24"/>
        </w:rPr>
      </w:pPr>
      <w:r w:rsidRPr="00CE0885">
        <w:rPr>
          <w:rFonts w:cs="Arial"/>
          <w:szCs w:val="24"/>
        </w:rPr>
        <w:t>(ii) is the subject of a debt relief restrictions order or an interim debt relief restrictions order under Schedule 4ZB to that Act(e) (debt relief restrictions orders and undertakings);</w:t>
      </w:r>
    </w:p>
    <w:p w14:paraId="3314F039" w14:textId="77777777" w:rsidR="004A1E13" w:rsidRPr="00CE0885" w:rsidRDefault="004A1E13" w:rsidP="004A1E13">
      <w:pPr>
        <w:spacing w:line="360" w:lineRule="auto"/>
        <w:ind w:left="1440"/>
        <w:rPr>
          <w:rFonts w:cs="Arial"/>
          <w:szCs w:val="24"/>
        </w:rPr>
      </w:pPr>
      <w:r w:rsidRPr="00CE0885">
        <w:rPr>
          <w:rFonts w:cs="Arial"/>
          <w:szCs w:val="24"/>
        </w:rPr>
        <w:t>(o) the contractor has made a composition agreement or arrangement with, or granted a trust deed for, the contractor’s creditors and the contractor has not been discharged in respect of it;</w:t>
      </w:r>
    </w:p>
    <w:p w14:paraId="4550990B" w14:textId="77777777" w:rsidR="004A1E13" w:rsidRPr="00CE0885" w:rsidRDefault="004A1E13" w:rsidP="004A1E13">
      <w:pPr>
        <w:spacing w:line="360" w:lineRule="auto"/>
        <w:ind w:left="1440"/>
        <w:rPr>
          <w:rFonts w:cs="Arial"/>
          <w:szCs w:val="24"/>
        </w:rPr>
      </w:pPr>
      <w:r w:rsidRPr="00CE0885">
        <w:rPr>
          <w:rFonts w:cs="Arial"/>
          <w:szCs w:val="24"/>
        </w:rPr>
        <w:t>(p) the contractor is subject to—</w:t>
      </w:r>
    </w:p>
    <w:p w14:paraId="400C08C6" w14:textId="77777777" w:rsidR="004A1E13" w:rsidRPr="00CE0885" w:rsidRDefault="004A1E13" w:rsidP="004A1E13">
      <w:pPr>
        <w:spacing w:line="360" w:lineRule="auto"/>
        <w:ind w:left="2160"/>
        <w:rPr>
          <w:rFonts w:cs="Arial"/>
          <w:szCs w:val="24"/>
        </w:rPr>
      </w:pPr>
      <w:r w:rsidRPr="00CE0885">
        <w:rPr>
          <w:rFonts w:cs="Arial"/>
          <w:szCs w:val="24"/>
        </w:rPr>
        <w:lastRenderedPageBreak/>
        <w:t>(i) a disqualification order under section 1 of the Company Directors Disqualification Act 1986(f) (disqualification orders: general) or a disqualification undertaking under section 1A of that Act(g) (disqualification undertakings: general),</w:t>
      </w:r>
    </w:p>
    <w:p w14:paraId="28B95C3D" w14:textId="77777777" w:rsidR="004A1E13" w:rsidRPr="00CE0885" w:rsidRDefault="004A1E13" w:rsidP="004A1E13">
      <w:pPr>
        <w:spacing w:line="360" w:lineRule="auto"/>
        <w:ind w:left="2160"/>
        <w:rPr>
          <w:rFonts w:cs="Arial"/>
          <w:szCs w:val="24"/>
        </w:rPr>
      </w:pPr>
      <w:r w:rsidRPr="00CE0885">
        <w:rPr>
          <w:rFonts w:cs="Arial"/>
          <w:szCs w:val="24"/>
        </w:rPr>
        <w:t>(ii) a disqualification order or disqualification undertaking under article 3 (disqualification orders: general ) or article 4 (disqualification undertakings: general) of the Company Directors Disqualification (Northern Ireland) Order 2002(h), or</w:t>
      </w:r>
    </w:p>
    <w:p w14:paraId="6A144E80" w14:textId="77777777" w:rsidR="004A1E13" w:rsidRPr="00CE0885" w:rsidRDefault="004A1E13" w:rsidP="004A1E13">
      <w:pPr>
        <w:spacing w:line="360" w:lineRule="auto"/>
        <w:ind w:left="2160"/>
        <w:rPr>
          <w:rFonts w:cs="Arial"/>
          <w:szCs w:val="24"/>
        </w:rPr>
      </w:pPr>
      <w:r w:rsidRPr="00CE0885">
        <w:rPr>
          <w:rFonts w:cs="Arial"/>
          <w:szCs w:val="24"/>
        </w:rPr>
        <w:t>(iii) a disqualification order under section 429(2) of the Insolvency Act 1986(i) (disabilities on revocation of an administration order against an individual);</w:t>
      </w:r>
    </w:p>
    <w:p w14:paraId="28146323" w14:textId="77777777" w:rsidR="004A1E13" w:rsidRPr="00CE0885" w:rsidRDefault="004A1E13" w:rsidP="004A1E13">
      <w:pPr>
        <w:spacing w:line="360" w:lineRule="auto"/>
        <w:ind w:left="1440"/>
        <w:rPr>
          <w:rFonts w:cs="Arial"/>
          <w:szCs w:val="24"/>
        </w:rPr>
      </w:pPr>
      <w:r w:rsidRPr="00CE0885">
        <w:rPr>
          <w:rFonts w:cs="Arial"/>
          <w:szCs w:val="24"/>
        </w:rPr>
        <w:t>(q) the contractor has had an administrator, administrative receiver or receiver appointed in respect of the contractor;</w:t>
      </w:r>
    </w:p>
    <w:p w14:paraId="312BF900" w14:textId="77777777" w:rsidR="004A1E13" w:rsidRPr="00CE0885" w:rsidRDefault="004A1E13" w:rsidP="004A1E13">
      <w:pPr>
        <w:spacing w:line="360" w:lineRule="auto"/>
        <w:ind w:left="1440"/>
        <w:rPr>
          <w:rFonts w:cs="Arial"/>
          <w:szCs w:val="24"/>
        </w:rPr>
      </w:pPr>
      <w:r w:rsidRPr="00CE0885">
        <w:rPr>
          <w:rFonts w:cs="Arial"/>
          <w:szCs w:val="24"/>
        </w:rPr>
        <w:t>(r) the contractor has had an administration order made in respect of the contractor under Schedule B1 to the Insolvency Act 1986(j) (administration); or</w:t>
      </w:r>
    </w:p>
    <w:p w14:paraId="7EFC532E" w14:textId="77777777" w:rsidR="004A1E13" w:rsidRPr="00CE0885" w:rsidRDefault="004A1E13" w:rsidP="004A1E13">
      <w:pPr>
        <w:spacing w:line="360" w:lineRule="auto"/>
        <w:ind w:left="720" w:firstLine="720"/>
        <w:rPr>
          <w:rFonts w:cs="Arial"/>
          <w:szCs w:val="24"/>
        </w:rPr>
      </w:pPr>
      <w:r w:rsidRPr="00CE0885">
        <w:rPr>
          <w:rFonts w:cs="Arial"/>
          <w:szCs w:val="24"/>
        </w:rPr>
        <w:t>(s) the contractor is a partnership and—</w:t>
      </w:r>
    </w:p>
    <w:p w14:paraId="31101847" w14:textId="77777777" w:rsidR="004A1E13" w:rsidRPr="00CE0885" w:rsidRDefault="004A1E13" w:rsidP="004A1E13">
      <w:pPr>
        <w:spacing w:line="360" w:lineRule="auto"/>
        <w:ind w:left="2160"/>
        <w:rPr>
          <w:rFonts w:cs="Arial"/>
          <w:szCs w:val="24"/>
        </w:rPr>
      </w:pPr>
      <w:r w:rsidRPr="00CE0885">
        <w:rPr>
          <w:rFonts w:cs="Arial"/>
          <w:szCs w:val="24"/>
        </w:rPr>
        <w:t>(i) a dissolution of the partnership is ordered by any competent court, tribunal or arbitrator, or</w:t>
      </w:r>
    </w:p>
    <w:p w14:paraId="51802C57" w14:textId="77777777" w:rsidR="004A1E13" w:rsidRPr="00CE0885" w:rsidRDefault="004A1E13" w:rsidP="004A1E13">
      <w:pPr>
        <w:spacing w:line="360" w:lineRule="auto"/>
        <w:ind w:left="2160"/>
        <w:rPr>
          <w:rFonts w:cs="Arial"/>
          <w:szCs w:val="24"/>
        </w:rPr>
      </w:pPr>
      <w:r w:rsidRPr="00CE0885">
        <w:rPr>
          <w:rFonts w:cs="Arial"/>
          <w:szCs w:val="24"/>
        </w:rPr>
        <w:t>(ii) an event happens that makes it unlawful for the business of the partnership to continue, or for members of the partnership to carry on in partnership.</w:t>
      </w:r>
    </w:p>
    <w:p w14:paraId="3D31E98F" w14:textId="77777777" w:rsidR="004A1E13" w:rsidRPr="00CE0885" w:rsidRDefault="004A1E13" w:rsidP="004A1E13">
      <w:pPr>
        <w:spacing w:line="360" w:lineRule="auto"/>
        <w:ind w:left="720"/>
        <w:rPr>
          <w:rFonts w:cs="Arial"/>
          <w:szCs w:val="24"/>
        </w:rPr>
      </w:pPr>
      <w:r w:rsidRPr="00CE0885">
        <w:rPr>
          <w:rFonts w:cs="Arial"/>
          <w:szCs w:val="24"/>
        </w:rPr>
        <w:t>(3) Paragraph (2)(b) or, as the case may be, paragraph (2)(g), does not apply to a person where—</w:t>
      </w:r>
    </w:p>
    <w:p w14:paraId="3ED9F8A1" w14:textId="77777777" w:rsidR="004A1E13" w:rsidRPr="00CE0885" w:rsidRDefault="004A1E13" w:rsidP="004A1E13">
      <w:pPr>
        <w:spacing w:line="360" w:lineRule="auto"/>
        <w:ind w:left="720" w:firstLine="720"/>
        <w:rPr>
          <w:rFonts w:cs="Arial"/>
          <w:szCs w:val="24"/>
        </w:rPr>
      </w:pPr>
      <w:r w:rsidRPr="00CE0885">
        <w:rPr>
          <w:rFonts w:cs="Arial"/>
          <w:szCs w:val="24"/>
        </w:rPr>
        <w:t>(a) that person—</w:t>
      </w:r>
    </w:p>
    <w:p w14:paraId="4B23FE9F" w14:textId="77777777" w:rsidR="004A1E13" w:rsidRPr="00CE0885" w:rsidRDefault="004A1E13" w:rsidP="004A1E13">
      <w:pPr>
        <w:spacing w:line="360" w:lineRule="auto"/>
        <w:ind w:left="2160"/>
        <w:rPr>
          <w:rFonts w:cs="Arial"/>
          <w:szCs w:val="24"/>
        </w:rPr>
      </w:pPr>
      <w:r w:rsidRPr="00CE0885">
        <w:rPr>
          <w:rFonts w:cs="Arial"/>
          <w:szCs w:val="24"/>
        </w:rPr>
        <w:t>(i) has been disqualified or suspended from practising by a licensing body outside of the United Kingdom, or</w:t>
      </w:r>
    </w:p>
    <w:p w14:paraId="3EEBF433" w14:textId="77777777" w:rsidR="004A1E13" w:rsidRPr="00CE0885" w:rsidRDefault="004A1E13" w:rsidP="004A1E13">
      <w:pPr>
        <w:spacing w:line="360" w:lineRule="auto"/>
        <w:ind w:left="2160"/>
        <w:rPr>
          <w:rFonts w:cs="Arial"/>
          <w:szCs w:val="24"/>
        </w:rPr>
      </w:pPr>
      <w:r w:rsidRPr="00CE0885">
        <w:rPr>
          <w:rFonts w:cs="Arial"/>
          <w:szCs w:val="24"/>
        </w:rPr>
        <w:t>(ii) has been convicted outside of the United Kingdom of a criminal offence; and</w:t>
      </w:r>
    </w:p>
    <w:p w14:paraId="7D042B94" w14:textId="77777777" w:rsidR="004A1E13" w:rsidRPr="00CE0885" w:rsidRDefault="004A1E13" w:rsidP="004A1E13">
      <w:pPr>
        <w:spacing w:line="360" w:lineRule="auto"/>
        <w:ind w:left="1440"/>
        <w:rPr>
          <w:rFonts w:cs="Arial"/>
          <w:szCs w:val="24"/>
        </w:rPr>
      </w:pPr>
      <w:r w:rsidRPr="00CE0885">
        <w:rPr>
          <w:rFonts w:cs="Arial"/>
          <w:szCs w:val="24"/>
        </w:rPr>
        <w:t>(b) the Board is satisfied that the disqualification, suspension or, as the case may be, the conviction does not make that person unsuitable to be—</w:t>
      </w:r>
    </w:p>
    <w:p w14:paraId="2408D1EA" w14:textId="77777777" w:rsidR="004A1E13" w:rsidRPr="00CE0885" w:rsidRDefault="004A1E13" w:rsidP="004A1E13">
      <w:pPr>
        <w:spacing w:line="360" w:lineRule="auto"/>
        <w:ind w:left="2160"/>
        <w:rPr>
          <w:rFonts w:cs="Arial"/>
          <w:szCs w:val="24"/>
        </w:rPr>
      </w:pPr>
      <w:r w:rsidRPr="00CE0885">
        <w:rPr>
          <w:rFonts w:cs="Arial"/>
          <w:szCs w:val="24"/>
        </w:rPr>
        <w:t>(i) a contractor,</w:t>
      </w:r>
    </w:p>
    <w:p w14:paraId="0169CF4F" w14:textId="77777777" w:rsidR="004A1E13" w:rsidRPr="00CE0885" w:rsidRDefault="004A1E13" w:rsidP="004A1E13">
      <w:pPr>
        <w:spacing w:line="360" w:lineRule="auto"/>
        <w:ind w:left="2160"/>
        <w:rPr>
          <w:rFonts w:cs="Arial"/>
          <w:szCs w:val="24"/>
        </w:rPr>
      </w:pPr>
      <w:r w:rsidRPr="00CE0885">
        <w:rPr>
          <w:rFonts w:cs="Arial"/>
          <w:szCs w:val="24"/>
        </w:rPr>
        <w:lastRenderedPageBreak/>
        <w:t>(ii) a partner, in the case of a contract with two or more persons practising in partnership, or</w:t>
      </w:r>
    </w:p>
    <w:p w14:paraId="5342C03F" w14:textId="77777777" w:rsidR="004A1E13" w:rsidRPr="00CE0885" w:rsidRDefault="004A1E13" w:rsidP="004A1E13">
      <w:pPr>
        <w:spacing w:line="360" w:lineRule="auto"/>
        <w:ind w:left="2160"/>
        <w:rPr>
          <w:rFonts w:cs="Arial"/>
          <w:szCs w:val="24"/>
        </w:rPr>
      </w:pPr>
      <w:r w:rsidRPr="00CE0885">
        <w:rPr>
          <w:rFonts w:cs="Arial"/>
          <w:szCs w:val="24"/>
        </w:rPr>
        <w:t>(iii) in the case of a company limited by shares—</w:t>
      </w:r>
    </w:p>
    <w:p w14:paraId="42D613B8" w14:textId="77777777" w:rsidR="004A1E13" w:rsidRPr="00CE0885" w:rsidRDefault="004A1E13" w:rsidP="004A1E13">
      <w:pPr>
        <w:spacing w:line="360" w:lineRule="auto"/>
        <w:ind w:left="2880"/>
        <w:rPr>
          <w:rFonts w:cs="Arial"/>
          <w:szCs w:val="24"/>
        </w:rPr>
      </w:pPr>
      <w:r w:rsidRPr="00CE0885">
        <w:rPr>
          <w:rFonts w:cs="Arial"/>
          <w:szCs w:val="24"/>
        </w:rPr>
        <w:t>(aa) a person who both legally and beneficially owns a share in the company, or</w:t>
      </w:r>
    </w:p>
    <w:p w14:paraId="29BF4F30" w14:textId="77777777" w:rsidR="004A1E13" w:rsidRPr="00CE0885" w:rsidRDefault="004A1E13" w:rsidP="004A1E13">
      <w:pPr>
        <w:spacing w:line="360" w:lineRule="auto"/>
        <w:ind w:left="2880"/>
        <w:rPr>
          <w:rFonts w:cs="Arial"/>
          <w:szCs w:val="24"/>
        </w:rPr>
      </w:pPr>
      <w:r w:rsidRPr="00CE0885">
        <w:rPr>
          <w:rFonts w:cs="Arial"/>
          <w:szCs w:val="24"/>
        </w:rPr>
        <w:t>(bb) a director or secretary of the company.</w:t>
      </w:r>
    </w:p>
    <w:p w14:paraId="2B4DBA02" w14:textId="77777777" w:rsidR="004A1E13" w:rsidRPr="00CE0885" w:rsidRDefault="004A1E13" w:rsidP="004A1E13">
      <w:pPr>
        <w:spacing w:line="360" w:lineRule="auto"/>
        <w:ind w:firstLine="720"/>
        <w:rPr>
          <w:rFonts w:cs="Arial"/>
          <w:szCs w:val="24"/>
        </w:rPr>
      </w:pPr>
      <w:r w:rsidRPr="00CE0885">
        <w:rPr>
          <w:rFonts w:cs="Arial"/>
          <w:szCs w:val="24"/>
        </w:rPr>
        <w:t>(4) For the purposes of paragraph (2)(c)—</w:t>
      </w:r>
    </w:p>
    <w:p w14:paraId="5FE5A2D6" w14:textId="77777777" w:rsidR="004A1E13" w:rsidRPr="00CE0885" w:rsidRDefault="004A1E13" w:rsidP="004A1E13">
      <w:pPr>
        <w:spacing w:line="360" w:lineRule="auto"/>
        <w:ind w:left="1440"/>
        <w:rPr>
          <w:rFonts w:cs="Arial"/>
          <w:szCs w:val="24"/>
        </w:rPr>
      </w:pPr>
      <w:r w:rsidRPr="00CE0885">
        <w:rPr>
          <w:rFonts w:cs="Arial"/>
          <w:szCs w:val="24"/>
        </w:rPr>
        <w:t>(a) where a person has been employed as a member of a health care profession, any subsequent employment must also be as a member of that profession; and</w:t>
      </w:r>
    </w:p>
    <w:p w14:paraId="07A4C9DB" w14:textId="77777777" w:rsidR="004A1E13" w:rsidRPr="00CE0885" w:rsidRDefault="004A1E13" w:rsidP="004A1E13">
      <w:pPr>
        <w:spacing w:line="360" w:lineRule="auto"/>
        <w:ind w:left="1440"/>
        <w:rPr>
          <w:rFonts w:cs="Arial"/>
          <w:szCs w:val="24"/>
        </w:rPr>
      </w:pPr>
      <w:r w:rsidRPr="00CE0885">
        <w:rPr>
          <w:rFonts w:cs="Arial"/>
          <w:szCs w:val="24"/>
        </w:rPr>
        <w:t>(b) a health service body includes a Strategic Health Authority or a Primary Care Trust which was established before the coming into force of section 33 (abolition of Strategic Health Authorities) or 34 (abolition of Primary Care Trusts) of the Health and Social Care Act 2012(a).</w:t>
      </w:r>
    </w:p>
    <w:p w14:paraId="57E08F6E" w14:textId="77777777" w:rsidR="004A1E13" w:rsidRPr="00CE0885" w:rsidRDefault="004A1E13" w:rsidP="004A1E13">
      <w:pPr>
        <w:spacing w:line="360" w:lineRule="auto"/>
        <w:ind w:left="720"/>
        <w:rPr>
          <w:rFonts w:cs="Arial"/>
          <w:szCs w:val="24"/>
        </w:rPr>
      </w:pPr>
      <w:r w:rsidRPr="00CE0885">
        <w:rPr>
          <w:rFonts w:cs="Arial"/>
          <w:szCs w:val="24"/>
        </w:rPr>
        <w:t>(5) In this regulation, “contractor” includes a person with whom the Board is proposing to enter into a contract with.</w:t>
      </w:r>
    </w:p>
    <w:p w14:paraId="5CEB43A1" w14:textId="77777777" w:rsidR="004A1E13" w:rsidRPr="00CE0885" w:rsidRDefault="004A1E13" w:rsidP="004A1E13">
      <w:pPr>
        <w:spacing w:line="360" w:lineRule="auto"/>
        <w:ind w:left="1429" w:hanging="709"/>
        <w:rPr>
          <w:rFonts w:cs="Arial"/>
          <w:b/>
          <w:szCs w:val="24"/>
        </w:rPr>
      </w:pPr>
      <w:r w:rsidRPr="00CE0885">
        <w:rPr>
          <w:rFonts w:cs="Arial"/>
          <w:szCs w:val="24"/>
        </w:rPr>
        <w:br w:type="page"/>
      </w:r>
    </w:p>
    <w:p w14:paraId="18488461" w14:textId="449AAE9D" w:rsidR="004A1E13" w:rsidRPr="00CE0885" w:rsidRDefault="004A1E13" w:rsidP="002A140D">
      <w:pPr>
        <w:pStyle w:val="Heading2"/>
      </w:pPr>
      <w:bookmarkStart w:id="181" w:name="_Toc498495339"/>
      <w:r w:rsidRPr="00CE0885">
        <w:t>Annex 2</w:t>
      </w:r>
      <w:r w:rsidR="002A140D">
        <w:t xml:space="preserve"> </w:t>
      </w:r>
      <w:r w:rsidRPr="00CE0885">
        <w:t>Persons eligible to enter into a PMS Agreement</w:t>
      </w:r>
      <w:bookmarkEnd w:id="181"/>
    </w:p>
    <w:p w14:paraId="310B319D" w14:textId="77777777" w:rsidR="004A1E13" w:rsidRPr="00CE0885" w:rsidRDefault="004A1E13" w:rsidP="000433F3">
      <w:pPr>
        <w:pStyle w:val="Heading3"/>
      </w:pPr>
      <w:bookmarkStart w:id="182" w:name="_Toc440981687"/>
      <w:r w:rsidRPr="00CE0885">
        <w:t>Statutory Provisions</w:t>
      </w:r>
      <w:bookmarkEnd w:id="182"/>
    </w:p>
    <w:p w14:paraId="157B2C9A" w14:textId="77777777" w:rsidR="004A1E13" w:rsidRPr="00CE0885" w:rsidRDefault="004A1E13" w:rsidP="000433F3">
      <w:pPr>
        <w:pStyle w:val="Heading4"/>
      </w:pPr>
      <w:bookmarkStart w:id="183" w:name="_Toc440981688"/>
      <w:r w:rsidRPr="00CE0885">
        <w:t>Section 93 of the NHS Act (extracted in paragraph 2 below) sets out the types of persons (including organisation types) that may enter into a PMS agreement (referred to in the Act as section 92 agreements).</w:t>
      </w:r>
      <w:bookmarkEnd w:id="183"/>
    </w:p>
    <w:p w14:paraId="316ADE3F" w14:textId="77777777" w:rsidR="004A1E13" w:rsidRPr="00CE0885" w:rsidRDefault="004A1E13" w:rsidP="000433F3">
      <w:pPr>
        <w:pStyle w:val="Heading4"/>
      </w:pPr>
      <w:bookmarkStart w:id="184" w:name="_Toc440981689"/>
      <w:r w:rsidRPr="00CE0885">
        <w:t>Regulations 3 and 5 of the PMS Regulations (extracted in paragraph 3 below) sets out the eligibility criteria that must be satisfied before any of the types of persons set out in section 93 of the NHS Act can enter into a PMS agreement.</w:t>
      </w:r>
      <w:bookmarkEnd w:id="184"/>
    </w:p>
    <w:p w14:paraId="6BDCE99B" w14:textId="77777777" w:rsidR="004A1E13" w:rsidRPr="00CE0885" w:rsidRDefault="004A1E13" w:rsidP="000433F3">
      <w:pPr>
        <w:pStyle w:val="Heading4"/>
      </w:pPr>
      <w:bookmarkStart w:id="185" w:name="_Toc440981690"/>
      <w:r w:rsidRPr="00CE0885">
        <w:t>The extracted legislation below is correct as of 1 July 2017.</w:t>
      </w:r>
      <w:bookmarkEnd w:id="185"/>
    </w:p>
    <w:p w14:paraId="14FACD88" w14:textId="77777777" w:rsidR="004A1E13" w:rsidRPr="00CE0885" w:rsidRDefault="004A1E13" w:rsidP="000433F3">
      <w:pPr>
        <w:pStyle w:val="Heading4"/>
      </w:pPr>
      <w:r w:rsidRPr="00CE0885">
        <w:t xml:space="preserve">By virtue of the delegation agreement, all references in legislation should be assumed to apple also to ‘The Commissioner’, </w:t>
      </w:r>
    </w:p>
    <w:p w14:paraId="74AB955F" w14:textId="77777777" w:rsidR="004A1E13" w:rsidRPr="00CE0885" w:rsidRDefault="004A1E13" w:rsidP="000433F3">
      <w:pPr>
        <w:pStyle w:val="Heading3"/>
      </w:pPr>
      <w:bookmarkStart w:id="186" w:name="_Toc440981691"/>
      <w:r w:rsidRPr="00CE0885">
        <w:t>Section 93 of the NHS Act 2006</w:t>
      </w:r>
      <w:bookmarkEnd w:id="186"/>
    </w:p>
    <w:p w14:paraId="758E5BD6" w14:textId="77777777" w:rsidR="004A1E13" w:rsidRPr="009055A7" w:rsidRDefault="004A1E13" w:rsidP="004A1E13">
      <w:pPr>
        <w:spacing w:line="360" w:lineRule="auto"/>
        <w:ind w:firstLine="720"/>
        <w:rPr>
          <w:rFonts w:cs="Arial"/>
          <w:szCs w:val="24"/>
        </w:rPr>
      </w:pPr>
      <w:r w:rsidRPr="009055A7">
        <w:rPr>
          <w:rFonts w:cs="Arial"/>
          <w:szCs w:val="24"/>
        </w:rPr>
        <w:t>93 Persons with whom agreements may be made under section 92</w:t>
      </w:r>
    </w:p>
    <w:p w14:paraId="71662A88" w14:textId="77777777" w:rsidR="004A1E13" w:rsidRPr="00CE0885" w:rsidRDefault="004A1E13" w:rsidP="00836ECF">
      <w:pPr>
        <w:pStyle w:val="ListParagraph"/>
        <w:numPr>
          <w:ilvl w:val="0"/>
          <w:numId w:val="48"/>
        </w:numPr>
        <w:spacing w:line="360" w:lineRule="auto"/>
        <w:ind w:left="1418" w:hanging="698"/>
        <w:jc w:val="both"/>
        <w:rPr>
          <w:rFonts w:cs="Arial"/>
          <w:szCs w:val="24"/>
        </w:rPr>
      </w:pPr>
      <w:r w:rsidRPr="009055A7">
        <w:rPr>
          <w:rFonts w:cs="Arial"/>
          <w:szCs w:val="24"/>
        </w:rPr>
        <w:tab/>
        <w:t>The Board may</w:t>
      </w:r>
      <w:r w:rsidRPr="00CE0885">
        <w:rPr>
          <w:rFonts w:cs="Arial"/>
          <w:szCs w:val="24"/>
        </w:rPr>
        <w:t xml:space="preserve"> make an agreement under section 92 only with one or more of the following–</w:t>
      </w:r>
    </w:p>
    <w:p w14:paraId="777AA51B" w14:textId="77777777" w:rsidR="004A1E13" w:rsidRPr="00CE0885" w:rsidRDefault="004A1E13" w:rsidP="004A1E13">
      <w:pPr>
        <w:spacing w:line="360" w:lineRule="auto"/>
        <w:ind w:left="720" w:firstLine="720"/>
        <w:rPr>
          <w:rFonts w:cs="Arial"/>
          <w:szCs w:val="24"/>
        </w:rPr>
      </w:pPr>
      <w:r w:rsidRPr="00CE0885">
        <w:rPr>
          <w:rFonts w:cs="Arial"/>
          <w:szCs w:val="24"/>
        </w:rPr>
        <w:t>(a)</w:t>
      </w:r>
      <w:r w:rsidRPr="00CE0885">
        <w:rPr>
          <w:rFonts w:cs="Arial"/>
          <w:szCs w:val="24"/>
        </w:rPr>
        <w:tab/>
        <w:t>an NHS trust or an NHS foundation trust,</w:t>
      </w:r>
    </w:p>
    <w:p w14:paraId="371CE6D5" w14:textId="77777777" w:rsidR="004A1E13" w:rsidRPr="00CE0885" w:rsidRDefault="004A1E13" w:rsidP="004A1E13">
      <w:pPr>
        <w:spacing w:line="360" w:lineRule="auto"/>
        <w:ind w:left="720" w:firstLine="720"/>
        <w:rPr>
          <w:rFonts w:cs="Arial"/>
          <w:szCs w:val="24"/>
        </w:rPr>
      </w:pPr>
      <w:r w:rsidRPr="00CE0885">
        <w:rPr>
          <w:rFonts w:cs="Arial"/>
          <w:szCs w:val="24"/>
        </w:rPr>
        <w:t>(b)</w:t>
      </w:r>
      <w:r w:rsidRPr="00CE0885">
        <w:rPr>
          <w:rFonts w:cs="Arial"/>
          <w:szCs w:val="24"/>
        </w:rPr>
        <w:tab/>
        <w:t>a medical practitioner who meets the prescribed conditions,</w:t>
      </w:r>
    </w:p>
    <w:p w14:paraId="6AD0541D" w14:textId="77777777" w:rsidR="004A1E13" w:rsidRPr="00CE0885" w:rsidRDefault="004A1E13" w:rsidP="004A1E13">
      <w:pPr>
        <w:spacing w:line="360" w:lineRule="auto"/>
        <w:ind w:left="720" w:firstLine="720"/>
        <w:rPr>
          <w:rFonts w:cs="Arial"/>
          <w:szCs w:val="24"/>
        </w:rPr>
      </w:pPr>
      <w:r w:rsidRPr="00CE0885">
        <w:rPr>
          <w:rFonts w:cs="Arial"/>
          <w:szCs w:val="24"/>
        </w:rPr>
        <w:t>(c)</w:t>
      </w:r>
      <w:r w:rsidRPr="00CE0885">
        <w:rPr>
          <w:rFonts w:cs="Arial"/>
          <w:szCs w:val="24"/>
        </w:rPr>
        <w:tab/>
        <w:t>a health care professional who meets the prescribed conditions,</w:t>
      </w:r>
    </w:p>
    <w:p w14:paraId="5537DB76" w14:textId="77777777" w:rsidR="004A1E13" w:rsidRPr="00CE0885" w:rsidRDefault="004A1E13" w:rsidP="004A1E13">
      <w:pPr>
        <w:spacing w:line="360" w:lineRule="auto"/>
        <w:ind w:left="720" w:firstLine="720"/>
        <w:rPr>
          <w:rFonts w:cs="Arial"/>
          <w:szCs w:val="24"/>
        </w:rPr>
      </w:pPr>
      <w:r w:rsidRPr="00CE0885">
        <w:rPr>
          <w:rFonts w:cs="Arial"/>
          <w:szCs w:val="24"/>
        </w:rPr>
        <w:t>(d)</w:t>
      </w:r>
      <w:r w:rsidRPr="00CE0885">
        <w:rPr>
          <w:rFonts w:cs="Arial"/>
          <w:szCs w:val="24"/>
        </w:rPr>
        <w:tab/>
        <w:t>an individual who is providing services–</w:t>
      </w:r>
    </w:p>
    <w:p w14:paraId="5AEB32AE" w14:textId="77777777" w:rsidR="004A1E13" w:rsidRPr="00CE0885" w:rsidRDefault="004A1E13" w:rsidP="004A1E13">
      <w:pPr>
        <w:spacing w:line="360" w:lineRule="auto"/>
        <w:ind w:left="2880" w:hanging="720"/>
        <w:rPr>
          <w:rFonts w:cs="Arial"/>
          <w:szCs w:val="24"/>
        </w:rPr>
      </w:pPr>
      <w:r w:rsidRPr="00CE0885">
        <w:rPr>
          <w:rFonts w:cs="Arial"/>
          <w:szCs w:val="24"/>
        </w:rPr>
        <w:t>(i)</w:t>
      </w:r>
      <w:r w:rsidRPr="00CE0885">
        <w:rPr>
          <w:rFonts w:cs="Arial"/>
          <w:szCs w:val="24"/>
        </w:rPr>
        <w:tab/>
        <w:t>under a general medical services contract or a general dental services contract or a Welsh general medical services contract or a Welsh general dental services contract,</w:t>
      </w:r>
    </w:p>
    <w:p w14:paraId="0C041DDF" w14:textId="77777777" w:rsidR="004A1E13" w:rsidRPr="00CE0885" w:rsidRDefault="004A1E13" w:rsidP="004A1E13">
      <w:pPr>
        <w:spacing w:line="360" w:lineRule="auto"/>
        <w:ind w:left="2880" w:hanging="720"/>
        <w:rPr>
          <w:rFonts w:cs="Arial"/>
          <w:szCs w:val="24"/>
        </w:rPr>
      </w:pPr>
      <w:r w:rsidRPr="00CE0885">
        <w:rPr>
          <w:rFonts w:cs="Arial"/>
          <w:szCs w:val="24"/>
        </w:rPr>
        <w:t>(ii)</w:t>
      </w:r>
      <w:r w:rsidRPr="00CE0885">
        <w:rPr>
          <w:rFonts w:cs="Arial"/>
          <w:szCs w:val="24"/>
        </w:rPr>
        <w:tab/>
        <w:t>in accordance with section 92 arrangements, section 107 arrangements, section 50 arrangements, section 64 arrangements, section 17C arrangements or Article 15B arrangements, or</w:t>
      </w:r>
    </w:p>
    <w:p w14:paraId="14FAB3A1" w14:textId="77777777" w:rsidR="004A1E13" w:rsidRPr="00CE0885" w:rsidRDefault="004A1E13" w:rsidP="004A1E13">
      <w:pPr>
        <w:spacing w:line="360" w:lineRule="auto"/>
        <w:ind w:left="2880" w:hanging="720"/>
        <w:rPr>
          <w:rFonts w:cs="Arial"/>
          <w:szCs w:val="24"/>
        </w:rPr>
      </w:pPr>
      <w:r w:rsidRPr="00CE0885">
        <w:rPr>
          <w:rFonts w:cs="Arial"/>
          <w:szCs w:val="24"/>
        </w:rPr>
        <w:t>(iii)</w:t>
      </w:r>
      <w:r w:rsidRPr="00CE0885">
        <w:rPr>
          <w:rFonts w:cs="Arial"/>
          <w:szCs w:val="24"/>
        </w:rPr>
        <w:tab/>
        <w:t>under section 17J or 25 of the 1978 Act or Article 57 or 61 of the Health and Personal Social Services (Northern Ireland) Order 1972 (S.I. 1972/1265 (N.I.14)),</w:t>
      </w:r>
    </w:p>
    <w:p w14:paraId="70C9E321" w14:textId="77777777" w:rsidR="004A1E13" w:rsidRPr="00CE0885" w:rsidRDefault="004A1E13" w:rsidP="004A1E13">
      <w:pPr>
        <w:spacing w:line="360" w:lineRule="auto"/>
        <w:ind w:left="2127" w:firstLine="33"/>
        <w:rPr>
          <w:rFonts w:cs="Arial"/>
          <w:szCs w:val="24"/>
        </w:rPr>
      </w:pPr>
      <w:r w:rsidRPr="00CE0885">
        <w:rPr>
          <w:rFonts w:cs="Arial"/>
          <w:szCs w:val="24"/>
        </w:rPr>
        <w:lastRenderedPageBreak/>
        <w:t>or has so provided them within such period as may be prescribed,</w:t>
      </w:r>
    </w:p>
    <w:p w14:paraId="0C1B594F" w14:textId="77777777" w:rsidR="004A1E13" w:rsidRPr="00CE0885" w:rsidRDefault="004A1E13" w:rsidP="004A1E13">
      <w:pPr>
        <w:spacing w:line="360" w:lineRule="auto"/>
        <w:ind w:left="2160" w:hanging="720"/>
        <w:rPr>
          <w:rFonts w:cs="Arial"/>
          <w:szCs w:val="24"/>
        </w:rPr>
      </w:pPr>
      <w:r w:rsidRPr="00CE0885">
        <w:rPr>
          <w:rFonts w:cs="Arial"/>
          <w:szCs w:val="24"/>
        </w:rPr>
        <w:t>(e)</w:t>
      </w:r>
      <w:r w:rsidRPr="00CE0885">
        <w:rPr>
          <w:rFonts w:cs="Arial"/>
          <w:szCs w:val="24"/>
        </w:rPr>
        <w:tab/>
        <w:t>an NHS employee, a section 92 employee, a section 107 employee, a section 50 employee, a section 64 employee, a section 17C employee or an Article 15B employee,</w:t>
      </w:r>
    </w:p>
    <w:p w14:paraId="103DE9F8" w14:textId="77777777" w:rsidR="004A1E13" w:rsidRPr="00CE0885" w:rsidRDefault="004A1E13" w:rsidP="004A1E13">
      <w:pPr>
        <w:spacing w:line="360" w:lineRule="auto"/>
        <w:ind w:left="720" w:firstLine="720"/>
        <w:rPr>
          <w:rFonts w:cs="Arial"/>
          <w:szCs w:val="24"/>
        </w:rPr>
      </w:pPr>
      <w:r w:rsidRPr="00CE0885">
        <w:rPr>
          <w:rFonts w:cs="Arial"/>
          <w:szCs w:val="24"/>
        </w:rPr>
        <w:t>(f)</w:t>
      </w:r>
      <w:r w:rsidRPr="00CE0885">
        <w:rPr>
          <w:rFonts w:cs="Arial"/>
          <w:szCs w:val="24"/>
        </w:rPr>
        <w:tab/>
        <w:t>a qualifying body.</w:t>
      </w:r>
    </w:p>
    <w:p w14:paraId="32458066" w14:textId="77777777" w:rsidR="004A1E13" w:rsidRPr="00CE0885" w:rsidRDefault="004A1E13" w:rsidP="004A1E13">
      <w:pPr>
        <w:spacing w:line="360" w:lineRule="auto"/>
        <w:ind w:left="1440" w:hanging="720"/>
        <w:rPr>
          <w:rFonts w:cs="Arial"/>
          <w:szCs w:val="24"/>
        </w:rPr>
      </w:pPr>
      <w:r w:rsidRPr="00CE0885">
        <w:rPr>
          <w:rFonts w:cs="Arial"/>
          <w:szCs w:val="24"/>
        </w:rPr>
        <w:t>(2)</w:t>
      </w:r>
      <w:r w:rsidRPr="00CE0885">
        <w:rPr>
          <w:rFonts w:cs="Arial"/>
          <w:szCs w:val="24"/>
        </w:rPr>
        <w:tab/>
        <w:t>The power under subsection (1) to make an agreement with a person falling within paragraph (d) or (e) of that subsection is subject to such conditions as may be prescribed.</w:t>
      </w:r>
    </w:p>
    <w:p w14:paraId="2F5B9076" w14:textId="77777777" w:rsidR="004A1E13" w:rsidRPr="00CE0885" w:rsidRDefault="004A1E13" w:rsidP="004A1E13">
      <w:pPr>
        <w:spacing w:line="360" w:lineRule="auto"/>
        <w:ind w:firstLine="720"/>
        <w:rPr>
          <w:rFonts w:cs="Arial"/>
          <w:szCs w:val="24"/>
        </w:rPr>
      </w:pPr>
      <w:r w:rsidRPr="00CE0885">
        <w:rPr>
          <w:rFonts w:cs="Arial"/>
          <w:szCs w:val="24"/>
        </w:rPr>
        <w:t>(3)</w:t>
      </w:r>
      <w:r w:rsidRPr="00CE0885">
        <w:rPr>
          <w:rFonts w:cs="Arial"/>
          <w:szCs w:val="24"/>
        </w:rPr>
        <w:tab/>
        <w:t>In this section–</w:t>
      </w:r>
    </w:p>
    <w:p w14:paraId="66C1DCAD" w14:textId="77777777" w:rsidR="004A1E13" w:rsidRPr="00CE0885" w:rsidRDefault="004A1E13" w:rsidP="004A1E13">
      <w:pPr>
        <w:spacing w:line="360" w:lineRule="auto"/>
        <w:ind w:left="1418" w:firstLine="22"/>
        <w:rPr>
          <w:rFonts w:cs="Arial"/>
          <w:szCs w:val="24"/>
        </w:rPr>
      </w:pPr>
      <w:r w:rsidRPr="00CE0885">
        <w:rPr>
          <w:rFonts w:cs="Arial"/>
          <w:szCs w:val="24"/>
        </w:rPr>
        <w:t>“the 1978 Act” means the National Health Service (Scotland) Act 1978 (c. 29),</w:t>
      </w:r>
    </w:p>
    <w:p w14:paraId="363BC293" w14:textId="77777777" w:rsidR="004A1E13" w:rsidRPr="00CE0885" w:rsidRDefault="004A1E13" w:rsidP="004A1E13">
      <w:pPr>
        <w:spacing w:line="360" w:lineRule="auto"/>
        <w:ind w:left="1440"/>
        <w:rPr>
          <w:rFonts w:cs="Arial"/>
          <w:szCs w:val="24"/>
        </w:rPr>
      </w:pPr>
      <w:r w:rsidRPr="00CE0885">
        <w:rPr>
          <w:rFonts w:cs="Arial"/>
          <w:szCs w:val="24"/>
        </w:rPr>
        <w:t>“Article 15B arrangements” means arrangements for the provision of services made under Article 15B of the Health and Personal Social Services (Northern Ireland) Order 1972 (S.I. 1972/1265 (N.I.14)),</w:t>
      </w:r>
    </w:p>
    <w:p w14:paraId="2DA44032" w14:textId="77777777" w:rsidR="004A1E13" w:rsidRPr="00CE0885" w:rsidRDefault="004A1E13" w:rsidP="004A1E13">
      <w:pPr>
        <w:spacing w:line="360" w:lineRule="auto"/>
        <w:ind w:left="1440"/>
        <w:rPr>
          <w:rFonts w:cs="Arial"/>
          <w:szCs w:val="24"/>
        </w:rPr>
      </w:pPr>
      <w:r w:rsidRPr="00CE0885">
        <w:rPr>
          <w:rFonts w:cs="Arial"/>
          <w:szCs w:val="24"/>
        </w:rPr>
        <w:t>“Article 15B employee” means an individual who, in connection with the provision of services in accordance with Article 15B arrangements, is employed by a person providing or performing those services,</w:t>
      </w:r>
    </w:p>
    <w:p w14:paraId="113F79E3" w14:textId="77777777" w:rsidR="004A1E13" w:rsidRPr="00CE0885" w:rsidRDefault="004A1E13" w:rsidP="004A1E13">
      <w:pPr>
        <w:spacing w:line="360" w:lineRule="auto"/>
        <w:ind w:left="1440"/>
        <w:rPr>
          <w:rFonts w:cs="Arial"/>
          <w:szCs w:val="24"/>
        </w:rPr>
      </w:pPr>
      <w:r w:rsidRPr="00CE0885">
        <w:rPr>
          <w:rFonts w:cs="Arial"/>
          <w:szCs w:val="24"/>
        </w:rPr>
        <w:t>“health care professional” means a person who is a member of a profession regulated by a body mentioned (at the time the agreement in question is made) in section 25(3) of the National Health Service Reform and Health Care Professions Act 2002 (c. 17),</w:t>
      </w:r>
    </w:p>
    <w:p w14:paraId="4B33A406" w14:textId="77777777" w:rsidR="004A1E13" w:rsidRPr="00CE0885" w:rsidRDefault="004A1E13" w:rsidP="004A1E13">
      <w:pPr>
        <w:spacing w:line="360" w:lineRule="auto"/>
        <w:ind w:left="1440"/>
        <w:rPr>
          <w:rFonts w:cs="Arial"/>
          <w:szCs w:val="24"/>
        </w:rPr>
      </w:pPr>
      <w:r w:rsidRPr="00CE0885">
        <w:rPr>
          <w:rFonts w:cs="Arial"/>
          <w:szCs w:val="24"/>
        </w:rPr>
        <w:t>“NHS employee” means an individual who, in connection with the provision of services in the health service, the Scottish health service or the Northern Ireland health service, is employed by–</w:t>
      </w:r>
    </w:p>
    <w:p w14:paraId="17285A9D" w14:textId="77777777" w:rsidR="004A1E13" w:rsidRPr="00CE0885" w:rsidRDefault="004A1E13" w:rsidP="004A1E13">
      <w:pPr>
        <w:spacing w:line="360" w:lineRule="auto"/>
        <w:ind w:left="2127" w:hanging="687"/>
        <w:rPr>
          <w:rFonts w:cs="Arial"/>
          <w:szCs w:val="24"/>
        </w:rPr>
      </w:pPr>
      <w:r w:rsidRPr="00CE0885">
        <w:rPr>
          <w:rFonts w:cs="Arial"/>
          <w:szCs w:val="24"/>
        </w:rPr>
        <w:t>(a)</w:t>
      </w:r>
      <w:r w:rsidRPr="00CE0885">
        <w:rPr>
          <w:rFonts w:cs="Arial"/>
          <w:szCs w:val="24"/>
        </w:rPr>
        <w:tab/>
        <w:t>an NHS trust, an NHS foundation trust or (in Northern Ireland) a Health and Social Services Trust,</w:t>
      </w:r>
    </w:p>
    <w:p w14:paraId="02290A1D" w14:textId="77777777" w:rsidR="004A1E13" w:rsidRPr="00CE0885" w:rsidRDefault="004A1E13" w:rsidP="004A1E13">
      <w:pPr>
        <w:spacing w:line="360" w:lineRule="auto"/>
        <w:ind w:left="720" w:firstLine="720"/>
        <w:rPr>
          <w:rFonts w:cs="Arial"/>
          <w:szCs w:val="24"/>
        </w:rPr>
      </w:pPr>
      <w:r w:rsidRPr="00CE0885">
        <w:rPr>
          <w:rFonts w:cs="Arial"/>
          <w:szCs w:val="24"/>
        </w:rPr>
        <w:t>(b)</w:t>
      </w:r>
      <w:r w:rsidRPr="00CE0885">
        <w:rPr>
          <w:rFonts w:cs="Arial"/>
          <w:szCs w:val="24"/>
        </w:rPr>
        <w:tab/>
        <w:t xml:space="preserve">a Local Health Board, </w:t>
      </w:r>
    </w:p>
    <w:p w14:paraId="7B759C2D" w14:textId="77777777" w:rsidR="004A1E13" w:rsidRPr="00CE0885" w:rsidRDefault="004A1E13" w:rsidP="004A1E13">
      <w:pPr>
        <w:spacing w:line="360" w:lineRule="auto"/>
        <w:ind w:left="2160" w:hanging="720"/>
        <w:rPr>
          <w:rFonts w:cs="Arial"/>
          <w:szCs w:val="24"/>
        </w:rPr>
      </w:pPr>
      <w:r w:rsidRPr="00CE0885">
        <w:rPr>
          <w:rFonts w:cs="Arial"/>
          <w:szCs w:val="24"/>
        </w:rPr>
        <w:t>(c)</w:t>
      </w:r>
      <w:r w:rsidRPr="00CE0885">
        <w:rPr>
          <w:rFonts w:cs="Arial"/>
          <w:szCs w:val="24"/>
        </w:rPr>
        <w:tab/>
        <w:t>a person who is providing services under a general medical services contract or a general dental services contract or a Welsh general medical services contract or a Welsh general dental services contract,</w:t>
      </w:r>
    </w:p>
    <w:p w14:paraId="69F5598B" w14:textId="77777777" w:rsidR="004A1E13" w:rsidRPr="00CE0885" w:rsidRDefault="004A1E13" w:rsidP="004A1E13">
      <w:pPr>
        <w:spacing w:line="360" w:lineRule="auto"/>
        <w:ind w:left="2127" w:hanging="687"/>
        <w:rPr>
          <w:rFonts w:cs="Arial"/>
          <w:szCs w:val="24"/>
        </w:rPr>
      </w:pPr>
      <w:r w:rsidRPr="00CE0885">
        <w:rPr>
          <w:rFonts w:cs="Arial"/>
          <w:szCs w:val="24"/>
        </w:rPr>
        <w:t>(d)</w:t>
      </w:r>
      <w:r w:rsidRPr="00CE0885">
        <w:rPr>
          <w:rFonts w:cs="Arial"/>
          <w:szCs w:val="24"/>
        </w:rPr>
        <w:tab/>
        <w:t>an individual who is providing services as specified in subsection (1)(d)(iii),</w:t>
      </w:r>
    </w:p>
    <w:p w14:paraId="04790955" w14:textId="77777777" w:rsidR="004A1E13" w:rsidRPr="00CE0885" w:rsidRDefault="004A1E13" w:rsidP="004A1E13">
      <w:pPr>
        <w:spacing w:line="360" w:lineRule="auto"/>
        <w:ind w:left="1440"/>
        <w:rPr>
          <w:rFonts w:cs="Arial"/>
          <w:szCs w:val="24"/>
        </w:rPr>
      </w:pPr>
      <w:r w:rsidRPr="00CE0885">
        <w:rPr>
          <w:rFonts w:cs="Arial"/>
          <w:szCs w:val="24"/>
        </w:rPr>
        <w:lastRenderedPageBreak/>
        <w:t>“the Northern Ireland health service” means the health service within the meaning of the Health and Personal Social Services (Northern Ireland) Order 1972,</w:t>
      </w:r>
    </w:p>
    <w:p w14:paraId="3267C192" w14:textId="77777777" w:rsidR="004A1E13" w:rsidRPr="00CE0885" w:rsidRDefault="004A1E13" w:rsidP="004A1E13">
      <w:pPr>
        <w:spacing w:line="360" w:lineRule="auto"/>
        <w:ind w:left="1440"/>
        <w:rPr>
          <w:rFonts w:cs="Arial"/>
          <w:szCs w:val="24"/>
        </w:rPr>
      </w:pPr>
      <w:r w:rsidRPr="00CE0885">
        <w:rPr>
          <w:rFonts w:cs="Arial"/>
          <w:szCs w:val="24"/>
        </w:rPr>
        <w:t>“qualifying body” means a company which is limited by shares all of which are both legally and beneficially owned by persons falling within paragraph (a), (b), (c), (d), or (e) of subsection (1) ,</w:t>
      </w:r>
    </w:p>
    <w:p w14:paraId="5179C0A6" w14:textId="77777777" w:rsidR="004A1E13" w:rsidRPr="00CE0885" w:rsidRDefault="004A1E13" w:rsidP="004A1E13">
      <w:pPr>
        <w:spacing w:line="360" w:lineRule="auto"/>
        <w:ind w:left="1418"/>
        <w:rPr>
          <w:rFonts w:cs="Arial"/>
          <w:szCs w:val="24"/>
        </w:rPr>
      </w:pPr>
      <w:r w:rsidRPr="00CE0885">
        <w:rPr>
          <w:rFonts w:cs="Arial"/>
          <w:szCs w:val="24"/>
        </w:rPr>
        <w:t>“the Scottish health service” means the health service within the meaning of the National Health Service (Scotland) Act 1978,</w:t>
      </w:r>
    </w:p>
    <w:p w14:paraId="46E08C80" w14:textId="77777777" w:rsidR="004A1E13" w:rsidRPr="00CE0885" w:rsidRDefault="004A1E13" w:rsidP="004A1E13">
      <w:pPr>
        <w:spacing w:line="360" w:lineRule="auto"/>
        <w:ind w:left="1418" w:firstLine="22"/>
        <w:rPr>
          <w:rFonts w:cs="Arial"/>
          <w:szCs w:val="24"/>
        </w:rPr>
      </w:pPr>
      <w:r w:rsidRPr="00CE0885">
        <w:rPr>
          <w:rFonts w:cs="Arial"/>
          <w:szCs w:val="24"/>
        </w:rPr>
        <w:t>“section 17C arrangements” means arrangements for the provision of services made under section 17C of the 1978 Act,</w:t>
      </w:r>
    </w:p>
    <w:p w14:paraId="2F7AEF6E" w14:textId="77777777" w:rsidR="004A1E13" w:rsidRPr="00CE0885" w:rsidRDefault="004A1E13" w:rsidP="004A1E13">
      <w:pPr>
        <w:spacing w:line="360" w:lineRule="auto"/>
        <w:ind w:left="1440"/>
        <w:rPr>
          <w:rFonts w:cs="Arial"/>
          <w:szCs w:val="24"/>
        </w:rPr>
      </w:pPr>
      <w:r w:rsidRPr="00CE0885">
        <w:rPr>
          <w:rFonts w:cs="Arial"/>
          <w:szCs w:val="24"/>
        </w:rPr>
        <w:t>“section 17C employee” means an individual who, in connection with the provision of services in accordance with section 17C arrangements, is employed by a person providing or performing those services,</w:t>
      </w:r>
    </w:p>
    <w:p w14:paraId="1A401C24" w14:textId="77777777" w:rsidR="004A1E13" w:rsidRPr="00CE0885" w:rsidRDefault="004A1E13" w:rsidP="004A1E13">
      <w:pPr>
        <w:spacing w:line="360" w:lineRule="auto"/>
        <w:ind w:left="1440"/>
        <w:rPr>
          <w:rFonts w:cs="Arial"/>
          <w:szCs w:val="24"/>
        </w:rPr>
      </w:pPr>
      <w:r w:rsidRPr="00CE0885">
        <w:rPr>
          <w:rFonts w:cs="Arial"/>
          <w:szCs w:val="24"/>
        </w:rPr>
        <w:t>“section 50 arrangements” means arrangements for the provision of services made under section 50 of the National Health Service (Wales) Act 2006 (c. 42),</w:t>
      </w:r>
    </w:p>
    <w:p w14:paraId="28844801" w14:textId="77777777" w:rsidR="004A1E13" w:rsidRPr="00CE0885" w:rsidRDefault="004A1E13" w:rsidP="004A1E13">
      <w:pPr>
        <w:spacing w:line="360" w:lineRule="auto"/>
        <w:ind w:left="1418" w:firstLine="22"/>
        <w:rPr>
          <w:rFonts w:cs="Arial"/>
          <w:szCs w:val="24"/>
        </w:rPr>
      </w:pPr>
      <w:r w:rsidRPr="00CE0885">
        <w:rPr>
          <w:rFonts w:cs="Arial"/>
          <w:szCs w:val="24"/>
        </w:rPr>
        <w:t>“section 64 arrangements” means arrangements for the provision of services made under section 64 of that Act,</w:t>
      </w:r>
    </w:p>
    <w:p w14:paraId="75CB074E" w14:textId="77777777" w:rsidR="004A1E13" w:rsidRPr="00CE0885" w:rsidRDefault="004A1E13" w:rsidP="004A1E13">
      <w:pPr>
        <w:spacing w:line="360" w:lineRule="auto"/>
        <w:ind w:left="1440"/>
        <w:rPr>
          <w:rFonts w:cs="Arial"/>
          <w:szCs w:val="24"/>
        </w:rPr>
      </w:pPr>
      <w:r w:rsidRPr="00CE0885">
        <w:rPr>
          <w:rFonts w:cs="Arial"/>
          <w:szCs w:val="24"/>
        </w:rPr>
        <w:t>“section 107 employee” means an individual who, in connection with the provision of services in accordance with section 107 arrangements, is employed by a person providing or performing those services,</w:t>
      </w:r>
    </w:p>
    <w:p w14:paraId="08E43D57" w14:textId="77777777" w:rsidR="004A1E13" w:rsidRPr="00CE0885" w:rsidRDefault="004A1E13" w:rsidP="004A1E13">
      <w:pPr>
        <w:spacing w:line="360" w:lineRule="auto"/>
        <w:ind w:left="1440"/>
        <w:rPr>
          <w:rFonts w:cs="Arial"/>
          <w:szCs w:val="24"/>
        </w:rPr>
      </w:pPr>
      <w:r w:rsidRPr="00CE0885">
        <w:rPr>
          <w:rFonts w:cs="Arial"/>
          <w:szCs w:val="24"/>
        </w:rPr>
        <w:t>“section 92 employee” means an individual who, in connection with the provision of services in accordance with section 92 arrangements, is employed by a person providing or performing those services,</w:t>
      </w:r>
    </w:p>
    <w:p w14:paraId="3711EBC7" w14:textId="77777777" w:rsidR="004A1E13" w:rsidRPr="00CE0885" w:rsidRDefault="004A1E13" w:rsidP="004A1E13">
      <w:pPr>
        <w:spacing w:line="360" w:lineRule="auto"/>
        <w:ind w:left="1440"/>
        <w:rPr>
          <w:rFonts w:cs="Arial"/>
          <w:szCs w:val="24"/>
        </w:rPr>
      </w:pPr>
      <w:r w:rsidRPr="00CE0885">
        <w:rPr>
          <w:rFonts w:cs="Arial"/>
          <w:szCs w:val="24"/>
        </w:rPr>
        <w:t>“section 50 employee” means an individual who, in connection with the provision of services in accordance with section 50 arrangements, is employed by a person providing or performing those services,</w:t>
      </w:r>
    </w:p>
    <w:p w14:paraId="458EFB79" w14:textId="77777777" w:rsidR="004A1E13" w:rsidRPr="00CE0885" w:rsidRDefault="004A1E13" w:rsidP="004A1E13">
      <w:pPr>
        <w:spacing w:line="360" w:lineRule="auto"/>
        <w:ind w:left="1440"/>
        <w:rPr>
          <w:rFonts w:cs="Arial"/>
          <w:szCs w:val="24"/>
        </w:rPr>
      </w:pPr>
      <w:r w:rsidRPr="00CE0885">
        <w:rPr>
          <w:rFonts w:cs="Arial"/>
          <w:szCs w:val="24"/>
        </w:rPr>
        <w:t>“section 64 employee” means an individual who, in connection with the provision of services in accordance with section 64 arrangements, is employed by a person providing or performing those services,</w:t>
      </w:r>
    </w:p>
    <w:p w14:paraId="1952240E" w14:textId="77777777" w:rsidR="004A1E13" w:rsidRPr="00CE0885" w:rsidRDefault="004A1E13" w:rsidP="004A1E13">
      <w:pPr>
        <w:spacing w:line="360" w:lineRule="auto"/>
        <w:ind w:left="1418" w:right="-2" w:firstLine="22"/>
        <w:rPr>
          <w:rFonts w:cs="Arial"/>
          <w:szCs w:val="24"/>
        </w:rPr>
      </w:pPr>
      <w:r w:rsidRPr="00CE0885">
        <w:rPr>
          <w:rFonts w:cs="Arial"/>
          <w:szCs w:val="24"/>
        </w:rPr>
        <w:t>“Welsh general medical services contract” means a contract under section 42(2) of the National Health Service (Wales) Act 2006 (c. 42), and</w:t>
      </w:r>
    </w:p>
    <w:p w14:paraId="7F3DF16B" w14:textId="77777777" w:rsidR="004A1E13" w:rsidRPr="00CE0885" w:rsidRDefault="004A1E13" w:rsidP="004A1E13">
      <w:pPr>
        <w:pStyle w:val="Body1"/>
        <w:spacing w:before="0" w:after="0" w:line="360" w:lineRule="auto"/>
        <w:ind w:left="1418" w:firstLine="22"/>
        <w:rPr>
          <w:rFonts w:cs="Arial"/>
          <w:sz w:val="24"/>
          <w:szCs w:val="24"/>
        </w:rPr>
      </w:pPr>
      <w:r w:rsidRPr="00CE0885">
        <w:rPr>
          <w:rFonts w:cs="Arial"/>
          <w:sz w:val="24"/>
          <w:szCs w:val="24"/>
        </w:rPr>
        <w:t xml:space="preserve">“Welsh general dental services contract” means a contract under </w:t>
      </w:r>
      <w:r w:rsidRPr="00CE0885">
        <w:rPr>
          <w:rFonts w:cs="Arial"/>
          <w:sz w:val="24"/>
          <w:szCs w:val="24"/>
        </w:rPr>
        <w:lastRenderedPageBreak/>
        <w:t>section 57(2) of that Act.</w:t>
      </w:r>
    </w:p>
    <w:p w14:paraId="066388E4" w14:textId="77777777" w:rsidR="004A1E13" w:rsidRPr="00CE0885" w:rsidRDefault="004A1E13" w:rsidP="004A1E13">
      <w:pPr>
        <w:pStyle w:val="Body1"/>
        <w:spacing w:before="0" w:after="0" w:line="360" w:lineRule="auto"/>
        <w:ind w:left="1418" w:firstLine="22"/>
        <w:rPr>
          <w:rFonts w:cs="Arial"/>
          <w:b/>
          <w:sz w:val="24"/>
          <w:szCs w:val="24"/>
        </w:rPr>
      </w:pPr>
    </w:p>
    <w:p w14:paraId="33873F69" w14:textId="77777777" w:rsidR="004A1E13" w:rsidRPr="00CE0885" w:rsidRDefault="004A1E13" w:rsidP="000433F3">
      <w:pPr>
        <w:pStyle w:val="Heading3"/>
      </w:pPr>
      <w:bookmarkStart w:id="187" w:name="_Toc440981692"/>
      <w:r w:rsidRPr="00CE0885">
        <w:t>Regulations 4 and 5 of the PMS Regulations</w:t>
      </w:r>
      <w:bookmarkEnd w:id="187"/>
      <w:r w:rsidRPr="00CE0885">
        <w:t xml:space="preserve"> (2015) </w:t>
      </w:r>
    </w:p>
    <w:p w14:paraId="66987BE7" w14:textId="77777777" w:rsidR="004A1E13" w:rsidRDefault="004A1E13" w:rsidP="000433F3">
      <w:r w:rsidRPr="000433F3">
        <w:t>3. Conditions: general</w:t>
      </w:r>
    </w:p>
    <w:p w14:paraId="1AF6470C" w14:textId="77777777" w:rsidR="000433F3" w:rsidRPr="000433F3" w:rsidRDefault="000433F3" w:rsidP="000433F3"/>
    <w:p w14:paraId="02D6482E" w14:textId="77777777" w:rsidR="004A1E13" w:rsidRPr="00CE0885" w:rsidRDefault="004A1E13" w:rsidP="004A1E13">
      <w:pPr>
        <w:spacing w:line="360" w:lineRule="auto"/>
        <w:ind w:left="709"/>
        <w:rPr>
          <w:rFonts w:cs="Arial"/>
          <w:szCs w:val="24"/>
        </w:rPr>
      </w:pPr>
      <w:r w:rsidRPr="009055A7">
        <w:rPr>
          <w:rFonts w:cs="Arial"/>
          <w:szCs w:val="24"/>
        </w:rPr>
        <w:t>4.—(1) The Board may only enter into an agreement if the conditions specified</w:t>
      </w:r>
      <w:r w:rsidRPr="00CE0885">
        <w:rPr>
          <w:rFonts w:cs="Arial"/>
          <w:szCs w:val="24"/>
        </w:rPr>
        <w:t xml:space="preserve"> in regulation 5 are met.</w:t>
      </w:r>
    </w:p>
    <w:p w14:paraId="719BB877" w14:textId="77777777" w:rsidR="004A1E13" w:rsidRPr="00CE0885" w:rsidRDefault="004A1E13" w:rsidP="004A1E13">
      <w:pPr>
        <w:spacing w:line="360" w:lineRule="auto"/>
        <w:ind w:left="709"/>
        <w:rPr>
          <w:rFonts w:cs="Arial"/>
          <w:szCs w:val="24"/>
        </w:rPr>
      </w:pPr>
      <w:r w:rsidRPr="00CE0885">
        <w:rPr>
          <w:rFonts w:cs="Arial"/>
          <w:szCs w:val="24"/>
        </w:rPr>
        <w:t>(2) Paragraph (1) is subject to the provisions of any scheme made by the Secretary of State under section 300 (transfer schemes) and section 303 (power to make consequential provision) of the Health and Social Care Act 2012(d).</w:t>
      </w:r>
      <w:r w:rsidRPr="00CE0885">
        <w:rPr>
          <w:rFonts w:cs="Arial"/>
          <w:szCs w:val="24"/>
        </w:rPr>
        <w:br/>
      </w:r>
    </w:p>
    <w:p w14:paraId="7E00B06E" w14:textId="77777777" w:rsidR="004A1E13" w:rsidRDefault="004A1E13" w:rsidP="000433F3">
      <w:r w:rsidRPr="000433F3">
        <w:t>5. General condition relating to all agreements</w:t>
      </w:r>
    </w:p>
    <w:p w14:paraId="13202E02" w14:textId="77777777" w:rsidR="003E284C" w:rsidRPr="000433F3" w:rsidRDefault="003E284C" w:rsidP="000433F3"/>
    <w:p w14:paraId="7B7D5ED3" w14:textId="77777777" w:rsidR="004A1E13" w:rsidRPr="00CE0885" w:rsidRDefault="004A1E13" w:rsidP="004A1E13">
      <w:pPr>
        <w:spacing w:line="360" w:lineRule="auto"/>
        <w:ind w:left="720" w:firstLine="11"/>
        <w:rPr>
          <w:rFonts w:cs="Arial"/>
          <w:szCs w:val="24"/>
        </w:rPr>
      </w:pPr>
      <w:r w:rsidRPr="00CE0885">
        <w:rPr>
          <w:rFonts w:cs="Arial"/>
          <w:szCs w:val="24"/>
        </w:rPr>
        <w:t>5.—(1) The Board must not enter into an agreement with—</w:t>
      </w:r>
    </w:p>
    <w:p w14:paraId="13ABB007" w14:textId="77777777" w:rsidR="004A1E13" w:rsidRPr="00CE0885" w:rsidRDefault="004A1E13" w:rsidP="004A1E13">
      <w:pPr>
        <w:spacing w:line="360" w:lineRule="auto"/>
        <w:ind w:left="1440"/>
        <w:rPr>
          <w:rFonts w:cs="Arial"/>
          <w:szCs w:val="24"/>
        </w:rPr>
      </w:pPr>
      <w:r w:rsidRPr="00CE0885">
        <w:rPr>
          <w:rFonts w:cs="Arial"/>
          <w:szCs w:val="24"/>
        </w:rPr>
        <w:t>(a) a person falling within section 93(1)(b) to (d) of the Act (persons with whom agreements may be made under section 92), to whom paragraph (2) applies;</w:t>
      </w:r>
    </w:p>
    <w:p w14:paraId="3C8CBB42" w14:textId="77777777" w:rsidR="004A1E13" w:rsidRPr="00CE0885" w:rsidRDefault="004A1E13" w:rsidP="004A1E13">
      <w:pPr>
        <w:spacing w:line="360" w:lineRule="auto"/>
        <w:ind w:left="1440"/>
        <w:rPr>
          <w:rFonts w:cs="Arial"/>
          <w:szCs w:val="24"/>
        </w:rPr>
      </w:pPr>
      <w:r w:rsidRPr="00CE0885">
        <w:rPr>
          <w:rFonts w:cs="Arial"/>
          <w:szCs w:val="24"/>
        </w:rPr>
        <w:t>(b) a qualifying body if paragraph (2) applies to—</w:t>
      </w:r>
    </w:p>
    <w:p w14:paraId="7DF8AE16" w14:textId="77777777" w:rsidR="004A1E13" w:rsidRPr="00CE0885" w:rsidRDefault="004A1E13" w:rsidP="004A1E13">
      <w:pPr>
        <w:spacing w:line="360" w:lineRule="auto"/>
        <w:ind w:left="1470" w:firstLine="690"/>
        <w:rPr>
          <w:rFonts w:cs="Arial"/>
          <w:szCs w:val="24"/>
        </w:rPr>
      </w:pPr>
      <w:r w:rsidRPr="00CE0885">
        <w:rPr>
          <w:rFonts w:cs="Arial"/>
          <w:szCs w:val="24"/>
        </w:rPr>
        <w:t>(i) the qualifying body,</w:t>
      </w:r>
    </w:p>
    <w:p w14:paraId="483B7D66" w14:textId="77777777" w:rsidR="004A1E13" w:rsidRPr="00CE0885" w:rsidRDefault="004A1E13" w:rsidP="004A1E13">
      <w:pPr>
        <w:pStyle w:val="Body1"/>
        <w:spacing w:before="0" w:after="0" w:line="360" w:lineRule="auto"/>
        <w:ind w:left="2160"/>
        <w:rPr>
          <w:rFonts w:cs="Arial"/>
          <w:sz w:val="24"/>
          <w:szCs w:val="24"/>
        </w:rPr>
      </w:pPr>
      <w:r w:rsidRPr="00CE0885">
        <w:rPr>
          <w:rFonts w:cs="Arial"/>
          <w:sz w:val="24"/>
          <w:szCs w:val="24"/>
        </w:rPr>
        <w:t>(ii) any person both legally and beneficially owning a share in the qualifying body, and</w:t>
      </w:r>
    </w:p>
    <w:p w14:paraId="2D469230" w14:textId="77777777" w:rsidR="004A1E13" w:rsidRPr="00CE0885" w:rsidRDefault="004A1E13" w:rsidP="004A1E13">
      <w:pPr>
        <w:pStyle w:val="Body1"/>
        <w:spacing w:before="0" w:after="0" w:line="360" w:lineRule="auto"/>
        <w:ind w:left="1475" w:firstLine="685"/>
        <w:rPr>
          <w:rFonts w:cs="Arial"/>
          <w:sz w:val="24"/>
          <w:szCs w:val="24"/>
        </w:rPr>
      </w:pPr>
      <w:r w:rsidRPr="00CE0885">
        <w:rPr>
          <w:rFonts w:cs="Arial"/>
          <w:sz w:val="24"/>
          <w:szCs w:val="24"/>
        </w:rPr>
        <w:t>(iii) any director or secretary of the qualifying body.</w:t>
      </w:r>
    </w:p>
    <w:p w14:paraId="07631701" w14:textId="77777777" w:rsidR="004A1E13" w:rsidRPr="00CE0885" w:rsidRDefault="004A1E13" w:rsidP="004A1E13">
      <w:pPr>
        <w:pStyle w:val="Body1"/>
        <w:spacing w:before="0" w:after="0" w:line="360" w:lineRule="auto"/>
        <w:rPr>
          <w:rFonts w:cs="Arial"/>
          <w:sz w:val="24"/>
          <w:szCs w:val="24"/>
        </w:rPr>
      </w:pPr>
      <w:r w:rsidRPr="00CE0885">
        <w:rPr>
          <w:rFonts w:cs="Arial"/>
          <w:sz w:val="24"/>
          <w:szCs w:val="24"/>
        </w:rPr>
        <w:t>(2) This paragraph applies if—</w:t>
      </w:r>
    </w:p>
    <w:p w14:paraId="7F76337D" w14:textId="77777777" w:rsidR="004A1E13" w:rsidRPr="00CE0885" w:rsidRDefault="004A1E13" w:rsidP="004A1E13">
      <w:pPr>
        <w:pStyle w:val="Body1"/>
        <w:spacing w:before="0" w:after="0" w:line="360" w:lineRule="auto"/>
        <w:ind w:left="1440"/>
        <w:rPr>
          <w:rFonts w:cs="Arial"/>
          <w:sz w:val="24"/>
          <w:szCs w:val="24"/>
        </w:rPr>
      </w:pPr>
      <w:r w:rsidRPr="00CE0885">
        <w:rPr>
          <w:rFonts w:cs="Arial"/>
          <w:sz w:val="24"/>
          <w:szCs w:val="24"/>
        </w:rPr>
        <w:t>(a) the contractor is the subject of a national disqualification;</w:t>
      </w:r>
    </w:p>
    <w:p w14:paraId="74A2301A" w14:textId="77777777" w:rsidR="004A1E13" w:rsidRPr="00CE0885" w:rsidRDefault="004A1E13" w:rsidP="004A1E13">
      <w:pPr>
        <w:pStyle w:val="Body1"/>
        <w:spacing w:before="0" w:after="0" w:line="360" w:lineRule="auto"/>
        <w:ind w:left="1440"/>
        <w:rPr>
          <w:rFonts w:cs="Arial"/>
          <w:sz w:val="24"/>
          <w:szCs w:val="24"/>
        </w:rPr>
      </w:pPr>
      <w:r w:rsidRPr="00CE0885">
        <w:rPr>
          <w:rFonts w:cs="Arial"/>
          <w:sz w:val="24"/>
          <w:szCs w:val="24"/>
        </w:rPr>
        <w:t>(b) subject to paragraph (3), the contractor is disqualified or suspended (other than by interim suspension order or direction pending an investigation) from practising by a licensing body anywhere in the world; (c) the contractor has, within the period of five years before the signing of the agreement or commencement of the agreement (whichever is the earlier) been dismissed (otherwise than by reason of redundancy) from any employment with a health service body, unless—</w:t>
      </w:r>
    </w:p>
    <w:p w14:paraId="0D1C52A7" w14:textId="77777777" w:rsidR="004A1E13" w:rsidRPr="00CE0885" w:rsidRDefault="004A1E13" w:rsidP="004A1E13">
      <w:pPr>
        <w:pStyle w:val="Body1"/>
        <w:spacing w:before="0" w:after="0" w:line="360" w:lineRule="auto"/>
        <w:ind w:left="2160"/>
        <w:rPr>
          <w:rFonts w:cs="Arial"/>
          <w:sz w:val="24"/>
          <w:szCs w:val="24"/>
        </w:rPr>
      </w:pPr>
      <w:r w:rsidRPr="00CE0885">
        <w:rPr>
          <w:rFonts w:cs="Arial"/>
          <w:sz w:val="24"/>
          <w:szCs w:val="24"/>
        </w:rPr>
        <w:t xml:space="preserve">(i) if the contractor was employed as a member of a health care profession at the time of the dismissal, the contractor has not subsequently been employed by that health service body or by </w:t>
      </w:r>
      <w:r w:rsidRPr="00CE0885">
        <w:rPr>
          <w:rFonts w:cs="Arial"/>
          <w:sz w:val="24"/>
          <w:szCs w:val="24"/>
        </w:rPr>
        <w:lastRenderedPageBreak/>
        <w:t>another health service body, and</w:t>
      </w:r>
    </w:p>
    <w:p w14:paraId="129B983A" w14:textId="77777777" w:rsidR="004A1E13" w:rsidRPr="00CE0885" w:rsidRDefault="004A1E13" w:rsidP="004A1E13">
      <w:pPr>
        <w:pStyle w:val="Body1"/>
        <w:spacing w:before="0" w:after="0" w:line="360" w:lineRule="auto"/>
        <w:ind w:left="2160"/>
        <w:rPr>
          <w:rFonts w:cs="Arial"/>
          <w:sz w:val="24"/>
          <w:szCs w:val="24"/>
        </w:rPr>
      </w:pPr>
      <w:r w:rsidRPr="00CE0885">
        <w:rPr>
          <w:rFonts w:cs="Arial"/>
          <w:sz w:val="24"/>
          <w:szCs w:val="24"/>
        </w:rPr>
        <w:t>(ii) the dismissal was the subject of a finding of unfair dismissal by any competent tribunal or a court;</w:t>
      </w:r>
    </w:p>
    <w:p w14:paraId="762BAE73" w14:textId="77777777" w:rsidR="004A1E13" w:rsidRPr="00CE0885" w:rsidRDefault="004A1E13" w:rsidP="004A1E13">
      <w:pPr>
        <w:pStyle w:val="Body1"/>
        <w:spacing w:before="0" w:after="0" w:line="360" w:lineRule="auto"/>
        <w:ind w:left="1440"/>
        <w:rPr>
          <w:rFonts w:cs="Arial"/>
          <w:sz w:val="24"/>
          <w:szCs w:val="24"/>
        </w:rPr>
      </w:pPr>
      <w:r w:rsidRPr="00CE0885">
        <w:rPr>
          <w:rFonts w:cs="Arial"/>
          <w:sz w:val="24"/>
          <w:szCs w:val="24"/>
        </w:rPr>
        <w:t>(d) the contractor has, within the period of five years before the signing of the agreement or commencement of the agreement (whichever is the earlier), been removed from, or refused admission to, a primary care list by reason of inefficiency, fraud or unsuitability (within the meaning of section 151(2), (3) and (4) of the Act(a) (disqualification of practitioners)), or a performers list held by the Board by virtue of regulations made under section 91(3) (persons performing primary medical services) of the Act, unless the contractor’s name has subsequently been included in such a list;</w:t>
      </w:r>
    </w:p>
    <w:p w14:paraId="04D079A0" w14:textId="77777777" w:rsidR="004A1E13" w:rsidRPr="00CE0885" w:rsidRDefault="004A1E13" w:rsidP="004A1E13">
      <w:pPr>
        <w:pStyle w:val="Body1"/>
        <w:spacing w:before="0" w:after="0" w:line="360" w:lineRule="auto"/>
        <w:ind w:left="1440"/>
        <w:rPr>
          <w:rFonts w:cs="Arial"/>
          <w:sz w:val="24"/>
          <w:szCs w:val="24"/>
        </w:rPr>
      </w:pPr>
      <w:r w:rsidRPr="00CE0885">
        <w:rPr>
          <w:rFonts w:cs="Arial"/>
          <w:sz w:val="24"/>
          <w:szCs w:val="24"/>
        </w:rPr>
        <w:t>(e) the contractor has been convicted in the United Kingdom of murder;</w:t>
      </w:r>
    </w:p>
    <w:p w14:paraId="4CD6AEBD" w14:textId="77777777" w:rsidR="004A1E13" w:rsidRPr="00CE0885" w:rsidRDefault="004A1E13" w:rsidP="004A1E13">
      <w:pPr>
        <w:pStyle w:val="Body1"/>
        <w:spacing w:before="0" w:after="0" w:line="360" w:lineRule="auto"/>
        <w:ind w:left="1440"/>
        <w:rPr>
          <w:rFonts w:cs="Arial"/>
          <w:sz w:val="24"/>
          <w:szCs w:val="24"/>
        </w:rPr>
      </w:pPr>
      <w:r w:rsidRPr="00CE0885">
        <w:rPr>
          <w:rFonts w:cs="Arial"/>
          <w:sz w:val="24"/>
          <w:szCs w:val="24"/>
        </w:rPr>
        <w:t>(f) the contractor has been convicted in the United Kingdom of a criminal offence other than murder committed on or after 1st April 2002 and has been sentenced to a term of imprisonment of longer than six months;</w:t>
      </w:r>
    </w:p>
    <w:p w14:paraId="62FA6AAA" w14:textId="4A107EBB" w:rsidR="004A1E13" w:rsidRPr="00CE0885" w:rsidRDefault="004A1E13" w:rsidP="004A1E13">
      <w:pPr>
        <w:pStyle w:val="Body1"/>
        <w:spacing w:before="0" w:after="0" w:line="360" w:lineRule="auto"/>
        <w:ind w:left="1440"/>
        <w:rPr>
          <w:rFonts w:cs="Arial"/>
          <w:sz w:val="24"/>
          <w:szCs w:val="24"/>
        </w:rPr>
      </w:pPr>
      <w:r w:rsidRPr="00CE0885">
        <w:rPr>
          <w:rFonts w:cs="Arial"/>
          <w:sz w:val="24"/>
          <w:szCs w:val="24"/>
        </w:rPr>
        <w:t xml:space="preserve">(g) subject to paragraph (3), the contractor has been convicted outside of the </w:t>
      </w:r>
      <w:r w:rsidR="00BC5F9C" w:rsidRPr="00CE0885">
        <w:rPr>
          <w:rFonts w:cs="Arial"/>
          <w:sz w:val="24"/>
          <w:szCs w:val="24"/>
        </w:rPr>
        <w:t>United Kingdom</w:t>
      </w:r>
      <w:r w:rsidRPr="00CE0885">
        <w:rPr>
          <w:rFonts w:cs="Arial"/>
          <w:sz w:val="24"/>
          <w:szCs w:val="24"/>
        </w:rPr>
        <w:t xml:space="preserve"> of an offence which would, if committed in England and Wales, constitute murder and—</w:t>
      </w:r>
    </w:p>
    <w:p w14:paraId="3BDAEC13" w14:textId="77777777" w:rsidR="004A1E13" w:rsidRPr="00CE0885" w:rsidRDefault="004A1E13" w:rsidP="004A1E13">
      <w:pPr>
        <w:pStyle w:val="Body1"/>
        <w:spacing w:before="0" w:after="0" w:line="360" w:lineRule="auto"/>
        <w:ind w:left="2160"/>
        <w:rPr>
          <w:rFonts w:cs="Arial"/>
          <w:sz w:val="24"/>
          <w:szCs w:val="24"/>
        </w:rPr>
      </w:pPr>
      <w:r w:rsidRPr="00CE0885">
        <w:rPr>
          <w:rFonts w:cs="Arial"/>
          <w:sz w:val="24"/>
          <w:szCs w:val="24"/>
        </w:rPr>
        <w:t>(i) the offence was committed on or after 3rd November 2003; and</w:t>
      </w:r>
    </w:p>
    <w:p w14:paraId="589F7974" w14:textId="77777777" w:rsidR="004A1E13" w:rsidRPr="00CE0885" w:rsidRDefault="004A1E13" w:rsidP="004A1E13">
      <w:pPr>
        <w:pStyle w:val="Body1"/>
        <w:spacing w:before="0" w:after="0" w:line="360" w:lineRule="auto"/>
        <w:ind w:left="2160"/>
        <w:rPr>
          <w:rFonts w:cs="Arial"/>
          <w:sz w:val="24"/>
          <w:szCs w:val="24"/>
        </w:rPr>
      </w:pPr>
      <w:r w:rsidRPr="00CE0885">
        <w:rPr>
          <w:rFonts w:cs="Arial"/>
          <w:sz w:val="24"/>
          <w:szCs w:val="24"/>
        </w:rPr>
        <w:t>(ii) the contractor was sentenced to a term of imprisonment of longer than six months;</w:t>
      </w:r>
    </w:p>
    <w:p w14:paraId="79034E33" w14:textId="77777777" w:rsidR="004A1E13" w:rsidRPr="00CE0885" w:rsidRDefault="004A1E13" w:rsidP="004A1E13">
      <w:pPr>
        <w:pStyle w:val="Body1"/>
        <w:spacing w:before="0" w:after="0" w:line="360" w:lineRule="auto"/>
        <w:ind w:left="1440"/>
        <w:rPr>
          <w:rFonts w:cs="Arial"/>
          <w:sz w:val="24"/>
          <w:szCs w:val="24"/>
        </w:rPr>
      </w:pPr>
      <w:r w:rsidRPr="00CE0885">
        <w:rPr>
          <w:rFonts w:cs="Arial"/>
          <w:sz w:val="24"/>
          <w:szCs w:val="24"/>
        </w:rPr>
        <w:t>(h) the contractor has been convicted of an offence referred to in Schedule 1 to the Children and Young Persons Act 1933(b) (offences against children and young persons, with respect to which special provisions of this Act apply), or in Schedule 1 to the Criminal Procedure (Scotland) Act 1995(c) (offences against children under the age of 17 years to which special provisions apply) committed on or after 1st April 2004;</w:t>
      </w:r>
    </w:p>
    <w:p w14:paraId="0EDBEC6C" w14:textId="77777777" w:rsidR="004A1E13" w:rsidRPr="00CE0885" w:rsidRDefault="004A1E13" w:rsidP="004A1E13">
      <w:pPr>
        <w:pStyle w:val="Body1"/>
        <w:spacing w:before="0" w:after="0" w:line="360" w:lineRule="auto"/>
        <w:ind w:left="2160"/>
        <w:rPr>
          <w:rFonts w:cs="Arial"/>
          <w:sz w:val="24"/>
          <w:szCs w:val="24"/>
        </w:rPr>
      </w:pPr>
      <w:r w:rsidRPr="00CE0885">
        <w:rPr>
          <w:rFonts w:cs="Arial"/>
          <w:sz w:val="24"/>
          <w:szCs w:val="24"/>
        </w:rPr>
        <w:t>(i) the contractor has at any time been included in—</w:t>
      </w:r>
    </w:p>
    <w:p w14:paraId="2609A24F" w14:textId="77777777" w:rsidR="004A1E13" w:rsidRPr="00CE0885" w:rsidRDefault="004A1E13" w:rsidP="004A1E13">
      <w:pPr>
        <w:pStyle w:val="Body1"/>
        <w:spacing w:before="0" w:after="0" w:line="360" w:lineRule="auto"/>
        <w:ind w:left="2160"/>
        <w:rPr>
          <w:rFonts w:cs="Arial"/>
          <w:sz w:val="24"/>
          <w:szCs w:val="24"/>
        </w:rPr>
      </w:pPr>
      <w:r w:rsidRPr="00CE0885">
        <w:rPr>
          <w:rFonts w:cs="Arial"/>
          <w:sz w:val="24"/>
          <w:szCs w:val="24"/>
        </w:rPr>
        <w:t>(i) any barred list within the meaning of section 2 of the Safeguarding Vulnerable Groups Act 2006(d) (barred lists), or</w:t>
      </w:r>
    </w:p>
    <w:p w14:paraId="5AA47795" w14:textId="77777777" w:rsidR="004A1E13" w:rsidRPr="00CE0885" w:rsidRDefault="004A1E13" w:rsidP="004A1E13">
      <w:pPr>
        <w:pStyle w:val="Body1"/>
        <w:spacing w:before="0" w:after="0" w:line="360" w:lineRule="auto"/>
        <w:ind w:left="2160"/>
        <w:rPr>
          <w:rFonts w:cs="Arial"/>
          <w:sz w:val="24"/>
          <w:szCs w:val="24"/>
        </w:rPr>
      </w:pPr>
      <w:r w:rsidRPr="00CE0885">
        <w:rPr>
          <w:rFonts w:cs="Arial"/>
          <w:sz w:val="24"/>
          <w:szCs w:val="24"/>
        </w:rPr>
        <w:lastRenderedPageBreak/>
        <w:t>(ii) any barred list within the meaning of article 6 of the Safeguarding Vulnerable Groups (Northern Ireland) Order 2007(e) (barred lists), unless the contractor was removed from the list either on the grounds that it was not appropriate for the contractor to have been included in it or as the result of a successful appeal;</w:t>
      </w:r>
    </w:p>
    <w:p w14:paraId="728C6285" w14:textId="77777777" w:rsidR="004A1E13" w:rsidRPr="00CE0885" w:rsidRDefault="004A1E13" w:rsidP="004A1E13">
      <w:pPr>
        <w:pStyle w:val="Body1"/>
        <w:spacing w:before="0" w:after="0" w:line="360" w:lineRule="auto"/>
        <w:ind w:left="1440"/>
        <w:rPr>
          <w:rFonts w:cs="Arial"/>
          <w:sz w:val="24"/>
          <w:szCs w:val="24"/>
        </w:rPr>
      </w:pPr>
      <w:r w:rsidRPr="00CE0885">
        <w:rPr>
          <w:rFonts w:cs="Arial"/>
          <w:sz w:val="24"/>
          <w:szCs w:val="24"/>
        </w:rPr>
        <w:t>(j) the contractor has, within the period of five years before the signing of the agreement or commencement of the agreement (whichever is the earlier), been removed from the office of charity trustee or trustee for a charity by an order made by the Charity Commission, the Charity Commission for Northern Ireland or the High Court, and that order was made on the grounds of misconduct or mismanagement in the administration of a charity for which the contractor was responsible or to which the contractor was privy, or which was contributed to, or facilitated by, the contractor’s conduct;</w:t>
      </w:r>
    </w:p>
    <w:p w14:paraId="0EAC8EE4" w14:textId="5EAC3EE5" w:rsidR="004A1E13" w:rsidRPr="00CE0885" w:rsidRDefault="004A1E13" w:rsidP="004A1E13">
      <w:pPr>
        <w:pStyle w:val="Body1"/>
        <w:spacing w:before="0" w:after="0" w:line="360" w:lineRule="auto"/>
        <w:ind w:left="1440"/>
        <w:rPr>
          <w:rFonts w:cs="Arial"/>
          <w:sz w:val="24"/>
          <w:szCs w:val="24"/>
        </w:rPr>
      </w:pPr>
      <w:r w:rsidRPr="00CE0885">
        <w:rPr>
          <w:rFonts w:cs="Arial"/>
          <w:sz w:val="24"/>
          <w:szCs w:val="24"/>
        </w:rPr>
        <w:t xml:space="preserve">(k) the contractor has, within the period of five years before the signing of the agreement or commencement of the agreement (whichever is the earlier), been removed from being concerned with the management or control of </w:t>
      </w:r>
      <w:r w:rsidR="00BC5F9C" w:rsidRPr="00CE0885">
        <w:rPr>
          <w:rFonts w:cs="Arial"/>
          <w:sz w:val="24"/>
          <w:szCs w:val="24"/>
        </w:rPr>
        <w:t>anybody</w:t>
      </w:r>
      <w:r w:rsidRPr="00CE0885">
        <w:rPr>
          <w:rFonts w:cs="Arial"/>
          <w:sz w:val="24"/>
          <w:szCs w:val="24"/>
        </w:rPr>
        <w:t xml:space="preserve"> in any case where removal was by virtue of section 34(5)(e) of the Charities and Trustees Investment (Scotland) Act 2005(a) (powers of Court of Session);</w:t>
      </w:r>
    </w:p>
    <w:p w14:paraId="0CF27D00" w14:textId="77777777" w:rsidR="004A1E13" w:rsidRPr="00CE0885" w:rsidRDefault="004A1E13" w:rsidP="004A1E13">
      <w:pPr>
        <w:pStyle w:val="Body1"/>
        <w:spacing w:before="0" w:after="0" w:line="360" w:lineRule="auto"/>
        <w:ind w:left="1440"/>
        <w:rPr>
          <w:rFonts w:cs="Arial"/>
          <w:sz w:val="24"/>
          <w:szCs w:val="24"/>
        </w:rPr>
      </w:pPr>
      <w:r w:rsidRPr="00CE0885">
        <w:rPr>
          <w:rFonts w:cs="Arial"/>
          <w:sz w:val="24"/>
          <w:szCs w:val="24"/>
        </w:rPr>
        <w:t>(l) the contractor—</w:t>
      </w:r>
    </w:p>
    <w:p w14:paraId="4DB21701" w14:textId="77777777" w:rsidR="004A1E13" w:rsidRPr="00CE0885" w:rsidRDefault="004A1E13" w:rsidP="004A1E13">
      <w:pPr>
        <w:pStyle w:val="Body1"/>
        <w:spacing w:before="0" w:after="0" w:line="360" w:lineRule="auto"/>
        <w:ind w:left="2160"/>
        <w:rPr>
          <w:rFonts w:cs="Arial"/>
          <w:sz w:val="24"/>
          <w:szCs w:val="24"/>
        </w:rPr>
      </w:pPr>
      <w:r w:rsidRPr="00CE0885">
        <w:rPr>
          <w:rFonts w:cs="Arial"/>
          <w:sz w:val="24"/>
          <w:szCs w:val="24"/>
        </w:rPr>
        <w:t>(i) has been adjudged bankrupt and has not been discharged from the bankruptcy or the bankruptcy order has not been annulled, or</w:t>
      </w:r>
    </w:p>
    <w:p w14:paraId="44296F6F" w14:textId="77777777" w:rsidR="004A1E13" w:rsidRPr="00CE0885" w:rsidRDefault="004A1E13" w:rsidP="004A1E13">
      <w:pPr>
        <w:pStyle w:val="Body1"/>
        <w:spacing w:before="0" w:after="0" w:line="360" w:lineRule="auto"/>
        <w:ind w:left="2160"/>
        <w:rPr>
          <w:rFonts w:cs="Arial"/>
          <w:sz w:val="24"/>
          <w:szCs w:val="24"/>
        </w:rPr>
      </w:pPr>
      <w:r w:rsidRPr="00CE0885">
        <w:rPr>
          <w:rFonts w:cs="Arial"/>
          <w:sz w:val="24"/>
          <w:szCs w:val="24"/>
        </w:rPr>
        <w:t>(ii) has had sequestration of the contractor’s estate awarded and has not been discharged from the sequestration;</w:t>
      </w:r>
    </w:p>
    <w:p w14:paraId="04A4C8A6" w14:textId="77777777" w:rsidR="004A1E13" w:rsidRPr="00CE0885" w:rsidRDefault="004A1E13" w:rsidP="004A1E13">
      <w:pPr>
        <w:pStyle w:val="Body1"/>
        <w:spacing w:before="0" w:after="0" w:line="360" w:lineRule="auto"/>
        <w:ind w:left="1440"/>
        <w:rPr>
          <w:rFonts w:cs="Arial"/>
          <w:sz w:val="24"/>
          <w:szCs w:val="24"/>
        </w:rPr>
      </w:pPr>
      <w:r w:rsidRPr="00CE0885">
        <w:rPr>
          <w:rFonts w:cs="Arial"/>
          <w:sz w:val="24"/>
          <w:szCs w:val="24"/>
        </w:rPr>
        <w:t xml:space="preserve">(m) the contractor is the subject of a bankruptcy restrictions order or an interim bankruptcy restrictions order under Schedule 4A to the Insolvency Act 1986(b) (bankruptcy restrictions order and undertaking), or Schedule 2A to the Insolvency (Northern Ireland) Order 1989(c) (bankruptcy restrictions order and undertaking), or sections 56A to 56K of the Bankruptcy (Scotland) Act 1985(d) (bankruptcy restrictions order, interim bankruptcy restrictions order and bankruptcy restrictions </w:t>
      </w:r>
      <w:r w:rsidRPr="00CE0885">
        <w:rPr>
          <w:rFonts w:cs="Arial"/>
          <w:sz w:val="24"/>
          <w:szCs w:val="24"/>
        </w:rPr>
        <w:lastRenderedPageBreak/>
        <w:t>undertaking), unless the contractor has been discharged from that order or that order has been annulled;</w:t>
      </w:r>
    </w:p>
    <w:p w14:paraId="40B23B2E" w14:textId="77777777" w:rsidR="004A1E13" w:rsidRPr="00CE0885" w:rsidRDefault="004A1E13" w:rsidP="004A1E13">
      <w:pPr>
        <w:pStyle w:val="Body1"/>
        <w:spacing w:before="0" w:after="0" w:line="360" w:lineRule="auto"/>
        <w:ind w:left="1440"/>
        <w:rPr>
          <w:rFonts w:cs="Arial"/>
          <w:sz w:val="24"/>
          <w:szCs w:val="24"/>
        </w:rPr>
      </w:pPr>
      <w:r w:rsidRPr="00CE0885">
        <w:rPr>
          <w:rFonts w:cs="Arial"/>
          <w:sz w:val="24"/>
          <w:szCs w:val="24"/>
        </w:rPr>
        <w:t>(n) the contractor—</w:t>
      </w:r>
    </w:p>
    <w:p w14:paraId="10953A5E" w14:textId="77777777" w:rsidR="004A1E13" w:rsidRPr="00CE0885" w:rsidRDefault="004A1E13" w:rsidP="004A1E13">
      <w:pPr>
        <w:pStyle w:val="Body1"/>
        <w:spacing w:before="0" w:after="0" w:line="360" w:lineRule="auto"/>
        <w:ind w:left="2160"/>
        <w:rPr>
          <w:rFonts w:cs="Arial"/>
          <w:sz w:val="24"/>
          <w:szCs w:val="24"/>
        </w:rPr>
      </w:pPr>
      <w:r w:rsidRPr="00CE0885">
        <w:rPr>
          <w:rFonts w:cs="Arial"/>
          <w:sz w:val="24"/>
          <w:szCs w:val="24"/>
        </w:rPr>
        <w:t>(i) is subject to a moratorium period under a debt relief order under Part VIIA of the Insolvency Act 1986(e) (debt relief orders), or</w:t>
      </w:r>
    </w:p>
    <w:p w14:paraId="47ECD5C8" w14:textId="77777777" w:rsidR="004A1E13" w:rsidRPr="00CE0885" w:rsidRDefault="004A1E13" w:rsidP="004A1E13">
      <w:pPr>
        <w:pStyle w:val="Body1"/>
        <w:spacing w:before="0" w:after="0" w:line="360" w:lineRule="auto"/>
        <w:ind w:left="2160"/>
        <w:rPr>
          <w:rFonts w:cs="Arial"/>
          <w:sz w:val="24"/>
          <w:szCs w:val="24"/>
        </w:rPr>
      </w:pPr>
      <w:r w:rsidRPr="00CE0885">
        <w:rPr>
          <w:rFonts w:cs="Arial"/>
          <w:sz w:val="24"/>
          <w:szCs w:val="24"/>
        </w:rPr>
        <w:t>(ii) is the subject of a debt relief restrictions order or an interim debt relief restrictions order under Schedule 4ZB to that Act(f) (debt relief restrictions orders and undertakings);</w:t>
      </w:r>
    </w:p>
    <w:p w14:paraId="63D224E2" w14:textId="77777777" w:rsidR="004A1E13" w:rsidRPr="00CE0885" w:rsidRDefault="004A1E13" w:rsidP="004A1E13">
      <w:pPr>
        <w:pStyle w:val="Body1"/>
        <w:spacing w:before="0" w:after="0" w:line="360" w:lineRule="auto"/>
        <w:ind w:left="1440"/>
        <w:rPr>
          <w:rFonts w:cs="Arial"/>
          <w:sz w:val="24"/>
          <w:szCs w:val="24"/>
        </w:rPr>
      </w:pPr>
      <w:r w:rsidRPr="00CE0885">
        <w:rPr>
          <w:rFonts w:cs="Arial"/>
          <w:sz w:val="24"/>
          <w:szCs w:val="24"/>
        </w:rPr>
        <w:t>(o) the contractor has made a composition agreement or arrangement with, or granted a trust deed for, the contractor’s creditors and the contractor has not been discharged in respect of it;</w:t>
      </w:r>
    </w:p>
    <w:p w14:paraId="0FDDDA08" w14:textId="77777777" w:rsidR="004A1E13" w:rsidRPr="00CE0885" w:rsidRDefault="004A1E13" w:rsidP="004A1E13">
      <w:pPr>
        <w:pStyle w:val="Body1"/>
        <w:spacing w:before="0" w:after="0" w:line="360" w:lineRule="auto"/>
        <w:ind w:left="1440"/>
        <w:rPr>
          <w:rFonts w:cs="Arial"/>
          <w:sz w:val="24"/>
          <w:szCs w:val="24"/>
        </w:rPr>
      </w:pPr>
      <w:r w:rsidRPr="00CE0885">
        <w:rPr>
          <w:rFonts w:cs="Arial"/>
          <w:sz w:val="24"/>
          <w:szCs w:val="24"/>
        </w:rPr>
        <w:t>(p) the contractor is subject to—</w:t>
      </w:r>
    </w:p>
    <w:p w14:paraId="4D0215E9" w14:textId="77777777" w:rsidR="004A1E13" w:rsidRPr="00CE0885" w:rsidRDefault="004A1E13" w:rsidP="004A1E13">
      <w:pPr>
        <w:pStyle w:val="Body1"/>
        <w:spacing w:before="0" w:after="0" w:line="360" w:lineRule="auto"/>
        <w:ind w:left="2160"/>
        <w:rPr>
          <w:rFonts w:cs="Arial"/>
          <w:sz w:val="24"/>
          <w:szCs w:val="24"/>
        </w:rPr>
      </w:pPr>
      <w:r w:rsidRPr="00CE0885">
        <w:rPr>
          <w:rFonts w:cs="Arial"/>
          <w:sz w:val="24"/>
          <w:szCs w:val="24"/>
        </w:rPr>
        <w:t>(i) a disqualification order under section 1 of the Company Directors Disqualification Act 1986(g) (disqualification orders: general) or a disqualification undertaking under section 1A of that Act(h) (disqualification undertakings: general),</w:t>
      </w:r>
    </w:p>
    <w:p w14:paraId="640F5D8A" w14:textId="77777777" w:rsidR="004A1E13" w:rsidRPr="00CE0885" w:rsidRDefault="004A1E13" w:rsidP="004A1E13">
      <w:pPr>
        <w:pStyle w:val="Body1"/>
        <w:spacing w:before="0" w:after="0" w:line="360" w:lineRule="auto"/>
        <w:ind w:left="2160"/>
        <w:rPr>
          <w:rFonts w:cs="Arial"/>
          <w:sz w:val="24"/>
          <w:szCs w:val="24"/>
        </w:rPr>
      </w:pPr>
      <w:r w:rsidRPr="00CE0885">
        <w:rPr>
          <w:rFonts w:cs="Arial"/>
          <w:sz w:val="24"/>
          <w:szCs w:val="24"/>
        </w:rPr>
        <w:t>(ii) a disqualification order or disqualification undertaking under article 3  (disqualification orders: general) or article 4 (disqualification undertakings: general) of the Company Directors Disqualification (Northern Ireland) Order 2002(a), or</w:t>
      </w:r>
    </w:p>
    <w:p w14:paraId="3C84656E" w14:textId="77777777" w:rsidR="004A1E13" w:rsidRPr="00CE0885" w:rsidRDefault="004A1E13" w:rsidP="004A1E13">
      <w:pPr>
        <w:pStyle w:val="Body1"/>
        <w:spacing w:before="0" w:after="0" w:line="360" w:lineRule="auto"/>
        <w:ind w:left="2160"/>
        <w:rPr>
          <w:rFonts w:cs="Arial"/>
          <w:sz w:val="24"/>
          <w:szCs w:val="24"/>
        </w:rPr>
      </w:pPr>
      <w:r w:rsidRPr="00CE0885">
        <w:rPr>
          <w:rFonts w:cs="Arial"/>
          <w:sz w:val="24"/>
          <w:szCs w:val="24"/>
        </w:rPr>
        <w:t>(iii) a disqualification order under section 429(2) of the Insolvency Act 1986(b) (disabilities on revocation of an administration order against an individual);</w:t>
      </w:r>
    </w:p>
    <w:p w14:paraId="3E33EED3" w14:textId="77777777" w:rsidR="004A1E13" w:rsidRPr="00CE0885" w:rsidRDefault="004A1E13" w:rsidP="004A1E13">
      <w:pPr>
        <w:pStyle w:val="Body1"/>
        <w:spacing w:before="0" w:after="0" w:line="360" w:lineRule="auto"/>
        <w:ind w:left="1440"/>
        <w:rPr>
          <w:rFonts w:cs="Arial"/>
          <w:sz w:val="24"/>
          <w:szCs w:val="24"/>
        </w:rPr>
      </w:pPr>
      <w:r w:rsidRPr="00CE0885">
        <w:rPr>
          <w:rFonts w:cs="Arial"/>
          <w:sz w:val="24"/>
          <w:szCs w:val="24"/>
        </w:rPr>
        <w:t>(q) the contractor has had an administrator, administrative receiver or receiver appointed in respect of the contractor; or</w:t>
      </w:r>
    </w:p>
    <w:p w14:paraId="695DE187" w14:textId="77777777" w:rsidR="004A1E13" w:rsidRPr="00CE0885" w:rsidRDefault="004A1E13" w:rsidP="004A1E13">
      <w:pPr>
        <w:pStyle w:val="Body1"/>
        <w:spacing w:before="0" w:after="0" w:line="360" w:lineRule="auto"/>
        <w:ind w:left="1440"/>
        <w:rPr>
          <w:rFonts w:cs="Arial"/>
          <w:sz w:val="24"/>
          <w:szCs w:val="24"/>
        </w:rPr>
      </w:pPr>
      <w:r w:rsidRPr="00CE0885">
        <w:rPr>
          <w:rFonts w:cs="Arial"/>
          <w:sz w:val="24"/>
          <w:szCs w:val="24"/>
        </w:rPr>
        <w:t>(r) the contractor has had an administration order made in respect of the contractor under Schedule B1 to the Insolvency Act 1986(c) (administration).</w:t>
      </w:r>
    </w:p>
    <w:p w14:paraId="51A1DFD1" w14:textId="77777777" w:rsidR="004A1E13" w:rsidRPr="00CE0885" w:rsidRDefault="004A1E13" w:rsidP="004A1E13">
      <w:pPr>
        <w:pStyle w:val="Body1"/>
        <w:spacing w:before="0" w:after="0" w:line="360" w:lineRule="auto"/>
        <w:rPr>
          <w:rFonts w:cs="Arial"/>
          <w:sz w:val="24"/>
          <w:szCs w:val="24"/>
        </w:rPr>
      </w:pPr>
      <w:r w:rsidRPr="00CE0885">
        <w:rPr>
          <w:rFonts w:cs="Arial"/>
          <w:sz w:val="24"/>
          <w:szCs w:val="24"/>
        </w:rPr>
        <w:t>(3) Paragraph (2)(b) or, as the case may be, paragraph (2)(g), does not apply to a person where—</w:t>
      </w:r>
    </w:p>
    <w:p w14:paraId="4A1444B8" w14:textId="77777777" w:rsidR="004A1E13" w:rsidRPr="00CE0885" w:rsidRDefault="004A1E13" w:rsidP="004A1E13">
      <w:pPr>
        <w:pStyle w:val="Body1"/>
        <w:spacing w:before="0" w:after="0" w:line="360" w:lineRule="auto"/>
        <w:ind w:left="1434" w:firstLine="6"/>
        <w:rPr>
          <w:rFonts w:cs="Arial"/>
          <w:sz w:val="24"/>
          <w:szCs w:val="24"/>
        </w:rPr>
      </w:pPr>
      <w:r w:rsidRPr="00CE0885">
        <w:rPr>
          <w:rFonts w:cs="Arial"/>
          <w:sz w:val="24"/>
          <w:szCs w:val="24"/>
        </w:rPr>
        <w:t>(a) that person—</w:t>
      </w:r>
    </w:p>
    <w:p w14:paraId="069D20FC" w14:textId="77777777" w:rsidR="004A1E13" w:rsidRPr="00CE0885" w:rsidRDefault="004A1E13" w:rsidP="004A1E13">
      <w:pPr>
        <w:pStyle w:val="Body1"/>
        <w:spacing w:before="0" w:after="0" w:line="360" w:lineRule="auto"/>
        <w:ind w:left="2160"/>
        <w:rPr>
          <w:rFonts w:cs="Arial"/>
          <w:sz w:val="24"/>
          <w:szCs w:val="24"/>
        </w:rPr>
      </w:pPr>
      <w:r w:rsidRPr="00CE0885">
        <w:rPr>
          <w:rFonts w:cs="Arial"/>
          <w:sz w:val="24"/>
          <w:szCs w:val="24"/>
        </w:rPr>
        <w:t>(i) has been disqualified or suspended from practising by a licensing body outside of the United Kingdom, or</w:t>
      </w:r>
    </w:p>
    <w:p w14:paraId="55072ABA" w14:textId="77777777" w:rsidR="004A1E13" w:rsidRPr="00CE0885" w:rsidRDefault="004A1E13" w:rsidP="004A1E13">
      <w:pPr>
        <w:pStyle w:val="Body1"/>
        <w:spacing w:before="0" w:after="0" w:line="360" w:lineRule="auto"/>
        <w:ind w:left="2160"/>
        <w:rPr>
          <w:rFonts w:cs="Arial"/>
          <w:sz w:val="24"/>
          <w:szCs w:val="24"/>
        </w:rPr>
      </w:pPr>
      <w:r w:rsidRPr="00CE0885">
        <w:rPr>
          <w:rFonts w:cs="Arial"/>
          <w:sz w:val="24"/>
          <w:szCs w:val="24"/>
        </w:rPr>
        <w:lastRenderedPageBreak/>
        <w:t>(ii) has been convicted outside of the United Kingdom of a criminal offence; and</w:t>
      </w:r>
    </w:p>
    <w:p w14:paraId="0EFF10D8" w14:textId="77777777" w:rsidR="004A1E13" w:rsidRPr="00CE0885" w:rsidRDefault="004A1E13" w:rsidP="004A1E13">
      <w:pPr>
        <w:pStyle w:val="Body1"/>
        <w:spacing w:before="0" w:after="0" w:line="360" w:lineRule="auto"/>
        <w:ind w:left="1440"/>
        <w:rPr>
          <w:rFonts w:cs="Arial"/>
          <w:sz w:val="24"/>
          <w:szCs w:val="24"/>
        </w:rPr>
      </w:pPr>
      <w:r w:rsidRPr="00CE0885">
        <w:rPr>
          <w:rFonts w:cs="Arial"/>
          <w:sz w:val="24"/>
          <w:szCs w:val="24"/>
        </w:rPr>
        <w:t>(b) the Board is satisfied that the disqualification, suspension or, as the case may be, the conviction does not make the person unsuitable to be—</w:t>
      </w:r>
    </w:p>
    <w:p w14:paraId="6A35D7D4" w14:textId="77777777" w:rsidR="004A1E13" w:rsidRPr="00CE0885" w:rsidRDefault="004A1E13" w:rsidP="004A1E13">
      <w:pPr>
        <w:pStyle w:val="Body1"/>
        <w:spacing w:before="0" w:after="0" w:line="360" w:lineRule="auto"/>
        <w:ind w:left="2160"/>
        <w:rPr>
          <w:rFonts w:cs="Arial"/>
          <w:sz w:val="24"/>
          <w:szCs w:val="24"/>
        </w:rPr>
      </w:pPr>
      <w:r w:rsidRPr="00CE0885">
        <w:rPr>
          <w:rFonts w:cs="Arial"/>
          <w:sz w:val="24"/>
          <w:szCs w:val="24"/>
        </w:rPr>
        <w:t>(i) a party to the agreement; or</w:t>
      </w:r>
    </w:p>
    <w:p w14:paraId="2EA5C40C" w14:textId="77777777" w:rsidR="004A1E13" w:rsidRPr="00CE0885" w:rsidRDefault="004A1E13" w:rsidP="004A1E13">
      <w:pPr>
        <w:pStyle w:val="Body1"/>
        <w:spacing w:before="0" w:after="0" w:line="360" w:lineRule="auto"/>
        <w:ind w:left="2160"/>
        <w:rPr>
          <w:rFonts w:cs="Arial"/>
          <w:sz w:val="24"/>
          <w:szCs w:val="24"/>
        </w:rPr>
      </w:pPr>
      <w:r w:rsidRPr="00CE0885">
        <w:rPr>
          <w:rFonts w:cs="Arial"/>
          <w:sz w:val="24"/>
          <w:szCs w:val="24"/>
        </w:rPr>
        <w:t>(ii) in the case of an agreement with a qualifying body—</w:t>
      </w:r>
    </w:p>
    <w:p w14:paraId="285EC6A5" w14:textId="77777777" w:rsidR="004A1E13" w:rsidRPr="00CE0885" w:rsidRDefault="004A1E13" w:rsidP="004A1E13">
      <w:pPr>
        <w:pStyle w:val="Body1"/>
        <w:spacing w:before="0" w:after="0" w:line="360" w:lineRule="auto"/>
        <w:ind w:left="2880"/>
        <w:rPr>
          <w:rFonts w:cs="Arial"/>
          <w:sz w:val="24"/>
          <w:szCs w:val="24"/>
        </w:rPr>
      </w:pPr>
      <w:r w:rsidRPr="00CE0885">
        <w:rPr>
          <w:rFonts w:cs="Arial"/>
          <w:sz w:val="24"/>
          <w:szCs w:val="24"/>
        </w:rPr>
        <w:t>(aa) a person who both legally and beneficially owns a share in the qualifying body, or</w:t>
      </w:r>
    </w:p>
    <w:p w14:paraId="56F769F4" w14:textId="77777777" w:rsidR="004A1E13" w:rsidRPr="00CE0885" w:rsidRDefault="004A1E13" w:rsidP="004A1E13">
      <w:pPr>
        <w:pStyle w:val="Body1"/>
        <w:spacing w:before="0" w:after="0" w:line="360" w:lineRule="auto"/>
        <w:ind w:left="2880"/>
        <w:rPr>
          <w:rFonts w:cs="Arial"/>
          <w:sz w:val="24"/>
          <w:szCs w:val="24"/>
        </w:rPr>
      </w:pPr>
      <w:r w:rsidRPr="00CE0885">
        <w:rPr>
          <w:rFonts w:cs="Arial"/>
          <w:sz w:val="24"/>
          <w:szCs w:val="24"/>
        </w:rPr>
        <w:t>(bb) a director or secretary of the qualifying body.</w:t>
      </w:r>
    </w:p>
    <w:p w14:paraId="6CA89074" w14:textId="77777777" w:rsidR="004A1E13" w:rsidRPr="00CE0885" w:rsidRDefault="004A1E13" w:rsidP="004A1E13">
      <w:pPr>
        <w:pStyle w:val="Body1"/>
        <w:spacing w:before="0" w:after="0" w:line="360" w:lineRule="auto"/>
        <w:rPr>
          <w:rFonts w:cs="Arial"/>
          <w:sz w:val="24"/>
          <w:szCs w:val="24"/>
        </w:rPr>
      </w:pPr>
      <w:r w:rsidRPr="00CE0885">
        <w:rPr>
          <w:rFonts w:cs="Arial"/>
          <w:sz w:val="24"/>
          <w:szCs w:val="24"/>
        </w:rPr>
        <w:t>(4) For the purposes of paragraph (2)(c)—</w:t>
      </w:r>
    </w:p>
    <w:p w14:paraId="19BA91AD" w14:textId="77777777" w:rsidR="004A1E13" w:rsidRPr="00CE0885" w:rsidRDefault="004A1E13" w:rsidP="004A1E13">
      <w:pPr>
        <w:pStyle w:val="Body1"/>
        <w:spacing w:before="0" w:after="0" w:line="360" w:lineRule="auto"/>
        <w:ind w:left="1440"/>
        <w:rPr>
          <w:rFonts w:cs="Arial"/>
          <w:sz w:val="24"/>
          <w:szCs w:val="24"/>
        </w:rPr>
      </w:pPr>
      <w:r w:rsidRPr="00CE0885">
        <w:rPr>
          <w:rFonts w:cs="Arial"/>
          <w:sz w:val="24"/>
          <w:szCs w:val="24"/>
        </w:rPr>
        <w:t>(a) where a person has been employed as a member of a health care profession, any subsequent employment must also be as a member of that profession; and</w:t>
      </w:r>
    </w:p>
    <w:p w14:paraId="2573641B" w14:textId="77777777" w:rsidR="004A1E13" w:rsidRPr="00CE0885" w:rsidRDefault="004A1E13" w:rsidP="004A1E13">
      <w:pPr>
        <w:pStyle w:val="Body1"/>
        <w:spacing w:before="0" w:after="0" w:line="360" w:lineRule="auto"/>
        <w:ind w:left="1440"/>
        <w:rPr>
          <w:rFonts w:cs="Arial"/>
          <w:sz w:val="24"/>
          <w:szCs w:val="24"/>
        </w:rPr>
      </w:pPr>
      <w:r w:rsidRPr="00CE0885">
        <w:rPr>
          <w:rFonts w:cs="Arial"/>
          <w:sz w:val="24"/>
          <w:szCs w:val="24"/>
        </w:rPr>
        <w:t>(b) a health service body includes a Strategic Health Authority or a Primary Care Trust which was established before the coming into force of section 33 (abolition of Strategic Health Authorities) or section 34 (abolition of Primary Care Trusts) of the Health and Social Care Act 2012(d).</w:t>
      </w:r>
    </w:p>
    <w:p w14:paraId="56D41382" w14:textId="77777777" w:rsidR="004A1E13" w:rsidRPr="00CE0885" w:rsidRDefault="004A1E13" w:rsidP="004A1E13">
      <w:pPr>
        <w:pStyle w:val="Body1"/>
        <w:spacing w:before="0" w:after="0" w:line="360" w:lineRule="auto"/>
        <w:rPr>
          <w:rFonts w:cs="Arial"/>
          <w:sz w:val="24"/>
          <w:szCs w:val="24"/>
        </w:rPr>
      </w:pPr>
      <w:r w:rsidRPr="00CE0885">
        <w:rPr>
          <w:rFonts w:cs="Arial"/>
          <w:sz w:val="24"/>
          <w:szCs w:val="24"/>
        </w:rPr>
        <w:t xml:space="preserve">(5) In this regulation, “contractor” includes a person with whom the Board is proposing to enter into an agreement. </w:t>
      </w:r>
    </w:p>
    <w:p w14:paraId="20FD48CE" w14:textId="77777777" w:rsidR="004A1E13" w:rsidRPr="00CE0885" w:rsidRDefault="004A1E13" w:rsidP="004A1E13">
      <w:pPr>
        <w:pStyle w:val="Body1"/>
        <w:spacing w:before="0" w:after="0" w:line="360" w:lineRule="auto"/>
        <w:rPr>
          <w:rFonts w:cs="Arial"/>
          <w:sz w:val="24"/>
          <w:szCs w:val="24"/>
        </w:rPr>
      </w:pPr>
    </w:p>
    <w:p w14:paraId="127294A3" w14:textId="47EDA664" w:rsidR="004A1E13" w:rsidRPr="00CE0885" w:rsidRDefault="004A1E13" w:rsidP="004A1E13">
      <w:pPr>
        <w:spacing w:line="360" w:lineRule="auto"/>
        <w:rPr>
          <w:rFonts w:cs="Arial"/>
          <w:szCs w:val="24"/>
        </w:rPr>
      </w:pPr>
      <w:r w:rsidRPr="00CE0885">
        <w:rPr>
          <w:rFonts w:cs="Arial"/>
          <w:szCs w:val="24"/>
        </w:rPr>
        <w:br w:type="page"/>
      </w:r>
    </w:p>
    <w:p w14:paraId="7BAC344D" w14:textId="3D129DA1" w:rsidR="004A1E13" w:rsidRPr="00CE0885" w:rsidRDefault="004A1E13" w:rsidP="002A140D">
      <w:pPr>
        <w:pStyle w:val="Heading2"/>
      </w:pPr>
      <w:bookmarkStart w:id="188" w:name="_Toc498495340"/>
      <w:r w:rsidRPr="00CE0885">
        <w:t>Annex 3</w:t>
      </w:r>
      <w:r w:rsidR="002A140D">
        <w:t xml:space="preserve"> </w:t>
      </w:r>
      <w:r w:rsidRPr="00CE0885">
        <w:t>Persons Eligible to Enter into an APMS Contract</w:t>
      </w:r>
      <w:bookmarkEnd w:id="188"/>
    </w:p>
    <w:p w14:paraId="185F7AD7" w14:textId="77777777" w:rsidR="004A1E13" w:rsidRPr="009055A7" w:rsidRDefault="004A1E13" w:rsidP="004A1E13">
      <w:pPr>
        <w:pStyle w:val="Body1"/>
        <w:spacing w:before="0" w:after="0" w:line="360" w:lineRule="auto"/>
        <w:jc w:val="center"/>
        <w:rPr>
          <w:rFonts w:cs="Arial"/>
          <w:b/>
          <w:sz w:val="24"/>
          <w:szCs w:val="24"/>
        </w:rPr>
      </w:pPr>
    </w:p>
    <w:p w14:paraId="21F8502A" w14:textId="77777777" w:rsidR="004A1E13" w:rsidRPr="00CE0885" w:rsidRDefault="004A1E13" w:rsidP="000433F3">
      <w:pPr>
        <w:pStyle w:val="Heading3"/>
      </w:pPr>
      <w:bookmarkStart w:id="189" w:name="_Toc440981693"/>
      <w:r w:rsidRPr="00CE0885">
        <w:t>Statutory Provisions</w:t>
      </w:r>
      <w:bookmarkEnd w:id="189"/>
    </w:p>
    <w:p w14:paraId="4E282EBA" w14:textId="77777777" w:rsidR="004A1E13" w:rsidRPr="00CE0885" w:rsidRDefault="004A1E13" w:rsidP="003E284C">
      <w:pPr>
        <w:pStyle w:val="Heading4"/>
      </w:pPr>
      <w:bookmarkStart w:id="190" w:name="_Toc440981694"/>
      <w:r w:rsidRPr="00CE0885">
        <w:t>The NHS Act does not list persons who may (or may not) enter into an APMS contract.</w:t>
      </w:r>
      <w:bookmarkEnd w:id="190"/>
    </w:p>
    <w:p w14:paraId="76957CBE" w14:textId="77777777" w:rsidR="004A1E13" w:rsidRPr="00CE0885" w:rsidRDefault="004A1E13" w:rsidP="003E284C">
      <w:pPr>
        <w:pStyle w:val="Heading4"/>
      </w:pPr>
      <w:bookmarkStart w:id="191" w:name="_Toc440981695"/>
      <w:r w:rsidRPr="00CE0885">
        <w:t>The APMS Directions contain provisions relating to circumstances in which certain types of persons or organisation may not enter into an APMS contract (Direction 4 – extracted below). Provided Direction does not apply, any person or organisation may enter into an APMS contract.</w:t>
      </w:r>
      <w:bookmarkEnd w:id="191"/>
    </w:p>
    <w:p w14:paraId="5FDF89CB" w14:textId="77777777" w:rsidR="004A1E13" w:rsidRPr="00CE0885" w:rsidRDefault="004A1E13" w:rsidP="003E284C">
      <w:pPr>
        <w:pStyle w:val="Heading4"/>
      </w:pPr>
      <w:bookmarkStart w:id="192" w:name="_Toc440981696"/>
      <w:r w:rsidRPr="00CE0885">
        <w:t>The extracted legislation below is correct as of 1 July 2017.</w:t>
      </w:r>
      <w:bookmarkEnd w:id="192"/>
    </w:p>
    <w:p w14:paraId="1DB62BDB" w14:textId="77777777" w:rsidR="004A1E13" w:rsidRPr="009055A7" w:rsidRDefault="004A1E13" w:rsidP="004A1E13">
      <w:pPr>
        <w:pStyle w:val="Body2"/>
        <w:spacing w:before="0" w:after="0" w:line="360" w:lineRule="auto"/>
        <w:rPr>
          <w:rFonts w:cs="Arial"/>
        </w:rPr>
      </w:pPr>
    </w:p>
    <w:p w14:paraId="70BD34BE" w14:textId="77777777" w:rsidR="004A1E13" w:rsidRPr="00CE0885" w:rsidRDefault="004A1E13" w:rsidP="000433F3">
      <w:pPr>
        <w:pStyle w:val="Heading3"/>
      </w:pPr>
      <w:bookmarkStart w:id="193" w:name="_Toc440981697"/>
      <w:r w:rsidRPr="00CE0885">
        <w:t>Direction 4 and 5 of the APMS Directions</w:t>
      </w:r>
      <w:bookmarkEnd w:id="193"/>
    </w:p>
    <w:p w14:paraId="259D421B" w14:textId="4B969EF0" w:rsidR="004A1E13" w:rsidRPr="009055A7" w:rsidRDefault="004A1E13" w:rsidP="004A1E13">
      <w:pPr>
        <w:spacing w:line="360" w:lineRule="auto"/>
        <w:ind w:firstLine="720"/>
        <w:rPr>
          <w:rFonts w:cs="Arial"/>
          <w:szCs w:val="24"/>
        </w:rPr>
      </w:pPr>
      <w:r w:rsidRPr="009055A7">
        <w:rPr>
          <w:rFonts w:cs="Arial"/>
          <w:szCs w:val="24"/>
        </w:rPr>
        <w:t>General conditions</w:t>
      </w:r>
    </w:p>
    <w:p w14:paraId="1CFDBAA3" w14:textId="77777777" w:rsidR="004A1E13" w:rsidRPr="00CE0885" w:rsidRDefault="004A1E13" w:rsidP="004A1E13">
      <w:pPr>
        <w:spacing w:line="360" w:lineRule="auto"/>
        <w:ind w:left="720"/>
        <w:rPr>
          <w:rFonts w:cs="Arial"/>
          <w:szCs w:val="24"/>
        </w:rPr>
      </w:pPr>
      <w:r w:rsidRPr="009055A7">
        <w:rPr>
          <w:rFonts w:cs="Arial"/>
          <w:szCs w:val="24"/>
        </w:rPr>
        <w:t>4.The Boar</w:t>
      </w:r>
      <w:r w:rsidRPr="00CE0885">
        <w:rPr>
          <w:rFonts w:cs="Arial"/>
          <w:szCs w:val="24"/>
        </w:rPr>
        <w:t>d may only enter into an APMS contract if the conditions specified in direction 5 are met.</w:t>
      </w:r>
    </w:p>
    <w:p w14:paraId="4CEDB4DD" w14:textId="0BC636DC" w:rsidR="004A1E13" w:rsidRPr="00CE0885" w:rsidRDefault="004A1E13" w:rsidP="004A1E13">
      <w:pPr>
        <w:spacing w:line="360" w:lineRule="auto"/>
        <w:ind w:firstLine="720"/>
        <w:rPr>
          <w:rFonts w:cs="Arial"/>
          <w:szCs w:val="24"/>
        </w:rPr>
      </w:pPr>
      <w:r w:rsidRPr="00CE0885">
        <w:rPr>
          <w:rFonts w:cs="Arial"/>
          <w:szCs w:val="24"/>
        </w:rPr>
        <w:t>Provider conditions</w:t>
      </w:r>
    </w:p>
    <w:p w14:paraId="56405E39" w14:textId="77777777" w:rsidR="004A1E13" w:rsidRPr="00CE0885" w:rsidRDefault="004A1E13" w:rsidP="004A1E13">
      <w:pPr>
        <w:spacing w:line="360" w:lineRule="auto"/>
        <w:ind w:firstLine="720"/>
        <w:rPr>
          <w:rFonts w:cs="Arial"/>
          <w:szCs w:val="24"/>
        </w:rPr>
      </w:pPr>
      <w:r w:rsidRPr="00CE0885">
        <w:rPr>
          <w:rFonts w:cs="Arial"/>
          <w:szCs w:val="24"/>
        </w:rPr>
        <w:t>5.—(1) The Board must not enter into an APMS contract with—</w:t>
      </w:r>
    </w:p>
    <w:p w14:paraId="7E6B85AC" w14:textId="77777777" w:rsidR="004A1E13" w:rsidRPr="00CE0885" w:rsidRDefault="004A1E13" w:rsidP="004A1E13">
      <w:pPr>
        <w:spacing w:line="360" w:lineRule="auto"/>
        <w:ind w:left="720" w:firstLine="720"/>
        <w:rPr>
          <w:rFonts w:cs="Arial"/>
          <w:szCs w:val="24"/>
        </w:rPr>
      </w:pPr>
      <w:r w:rsidRPr="00CE0885">
        <w:rPr>
          <w:rFonts w:cs="Arial"/>
          <w:szCs w:val="24"/>
        </w:rPr>
        <w:t>(a) an individual, where paragraph (2) applies to that individual;</w:t>
      </w:r>
    </w:p>
    <w:p w14:paraId="7DF416EF" w14:textId="77777777" w:rsidR="004A1E13" w:rsidRPr="00CE0885" w:rsidRDefault="004A1E13" w:rsidP="004A1E13">
      <w:pPr>
        <w:spacing w:line="360" w:lineRule="auto"/>
        <w:ind w:left="720" w:firstLine="720"/>
        <w:rPr>
          <w:rFonts w:cs="Arial"/>
          <w:szCs w:val="24"/>
        </w:rPr>
      </w:pPr>
      <w:r w:rsidRPr="00CE0885">
        <w:rPr>
          <w:rFonts w:cs="Arial"/>
          <w:szCs w:val="24"/>
        </w:rPr>
        <w:t>(b) a company, where paragraph (2) applies to—</w:t>
      </w:r>
    </w:p>
    <w:p w14:paraId="1820CDFB" w14:textId="77777777" w:rsidR="004A1E13" w:rsidRPr="00CE0885" w:rsidRDefault="004A1E13" w:rsidP="004A1E13">
      <w:pPr>
        <w:spacing w:line="360" w:lineRule="auto"/>
        <w:ind w:left="1440" w:firstLine="720"/>
        <w:rPr>
          <w:rFonts w:cs="Arial"/>
          <w:szCs w:val="24"/>
        </w:rPr>
      </w:pPr>
      <w:r w:rsidRPr="00CE0885">
        <w:rPr>
          <w:rFonts w:cs="Arial"/>
          <w:szCs w:val="24"/>
        </w:rPr>
        <w:t>(i) the company, or</w:t>
      </w:r>
    </w:p>
    <w:p w14:paraId="3D8AD31A" w14:textId="77777777" w:rsidR="004A1E13" w:rsidRPr="00CE0885" w:rsidRDefault="004A1E13" w:rsidP="004A1E13">
      <w:pPr>
        <w:spacing w:line="360" w:lineRule="auto"/>
        <w:ind w:left="1440" w:firstLine="720"/>
        <w:rPr>
          <w:rFonts w:cs="Arial"/>
          <w:szCs w:val="24"/>
        </w:rPr>
      </w:pPr>
      <w:r w:rsidRPr="00CE0885">
        <w:rPr>
          <w:rFonts w:cs="Arial"/>
          <w:szCs w:val="24"/>
        </w:rPr>
        <w:t>(ii) a director or secretary of the company;</w:t>
      </w:r>
    </w:p>
    <w:p w14:paraId="11D159C6" w14:textId="77777777" w:rsidR="004A1E13" w:rsidRPr="00CE0885" w:rsidRDefault="004A1E13" w:rsidP="004A1E13">
      <w:pPr>
        <w:spacing w:line="360" w:lineRule="auto"/>
        <w:ind w:left="1440"/>
        <w:rPr>
          <w:rFonts w:cs="Arial"/>
          <w:szCs w:val="24"/>
        </w:rPr>
      </w:pPr>
      <w:r w:rsidRPr="00CE0885">
        <w:rPr>
          <w:rFonts w:cs="Arial"/>
          <w:szCs w:val="24"/>
        </w:rPr>
        <w:t>(c) two or more persons practising in a partnership, where paragraph (2) applies to—</w:t>
      </w:r>
    </w:p>
    <w:p w14:paraId="276DC5CA" w14:textId="77777777" w:rsidR="004A1E13" w:rsidRPr="00CE0885" w:rsidRDefault="004A1E13" w:rsidP="004A1E13">
      <w:pPr>
        <w:spacing w:line="360" w:lineRule="auto"/>
        <w:ind w:left="1440" w:firstLine="720"/>
        <w:rPr>
          <w:rFonts w:cs="Arial"/>
          <w:szCs w:val="24"/>
        </w:rPr>
      </w:pPr>
      <w:r w:rsidRPr="00CE0885">
        <w:rPr>
          <w:rFonts w:cs="Arial"/>
          <w:szCs w:val="24"/>
        </w:rPr>
        <w:t>(i) the partnership, or</w:t>
      </w:r>
    </w:p>
    <w:p w14:paraId="3949AD73" w14:textId="77777777" w:rsidR="004A1E13" w:rsidRPr="00CE0885" w:rsidRDefault="004A1E13" w:rsidP="004A1E13">
      <w:pPr>
        <w:spacing w:line="360" w:lineRule="auto"/>
        <w:ind w:left="1440" w:firstLine="720"/>
        <w:rPr>
          <w:rFonts w:cs="Arial"/>
          <w:szCs w:val="24"/>
        </w:rPr>
      </w:pPr>
      <w:r w:rsidRPr="00CE0885">
        <w:rPr>
          <w:rFonts w:cs="Arial"/>
          <w:szCs w:val="24"/>
        </w:rPr>
        <w:t>(ii) any person who is a partner in the partnership;</w:t>
      </w:r>
    </w:p>
    <w:p w14:paraId="5A8FF12A" w14:textId="77777777" w:rsidR="004A1E13" w:rsidRPr="00CE0885" w:rsidRDefault="004A1E13" w:rsidP="004A1E13">
      <w:pPr>
        <w:spacing w:line="360" w:lineRule="auto"/>
        <w:ind w:left="1440"/>
        <w:rPr>
          <w:rFonts w:cs="Arial"/>
          <w:szCs w:val="24"/>
        </w:rPr>
      </w:pPr>
      <w:r w:rsidRPr="00CE0885">
        <w:rPr>
          <w:rFonts w:cs="Arial"/>
          <w:szCs w:val="24"/>
        </w:rPr>
        <w:t>(d) an industrial and provident society(a), a friendly society, a voluntary organisation(b) or any other body where paragraph (2) applies to—</w:t>
      </w:r>
    </w:p>
    <w:p w14:paraId="5F23B0AC" w14:textId="77777777" w:rsidR="004A1E13" w:rsidRPr="00CE0885" w:rsidRDefault="004A1E13" w:rsidP="004A1E13">
      <w:pPr>
        <w:spacing w:line="360" w:lineRule="auto"/>
        <w:ind w:left="1440" w:firstLine="720"/>
        <w:rPr>
          <w:rFonts w:cs="Arial"/>
          <w:szCs w:val="24"/>
        </w:rPr>
      </w:pPr>
      <w:r w:rsidRPr="00CE0885">
        <w:rPr>
          <w:rFonts w:cs="Arial"/>
          <w:szCs w:val="24"/>
        </w:rPr>
        <w:t>(i) the society, organisation or body, or</w:t>
      </w:r>
    </w:p>
    <w:p w14:paraId="773D9D35" w14:textId="77777777" w:rsidR="004A1E13" w:rsidRPr="00CE0885" w:rsidRDefault="004A1E13" w:rsidP="004A1E13">
      <w:pPr>
        <w:spacing w:line="360" w:lineRule="auto"/>
        <w:ind w:left="2160"/>
        <w:rPr>
          <w:rFonts w:cs="Arial"/>
          <w:szCs w:val="24"/>
        </w:rPr>
      </w:pPr>
      <w:r w:rsidRPr="00CE0885">
        <w:rPr>
          <w:rFonts w:cs="Arial"/>
          <w:szCs w:val="24"/>
        </w:rPr>
        <w:t>(ii) an officer, trustee or any other person concerned with the management of the society, organisation or body.</w:t>
      </w:r>
    </w:p>
    <w:p w14:paraId="11C4FB95" w14:textId="77777777" w:rsidR="004A1E13" w:rsidRPr="00CE0885" w:rsidRDefault="004A1E13" w:rsidP="004A1E13">
      <w:pPr>
        <w:spacing w:line="360" w:lineRule="auto"/>
        <w:ind w:firstLine="720"/>
        <w:rPr>
          <w:rFonts w:cs="Arial"/>
          <w:szCs w:val="24"/>
        </w:rPr>
      </w:pPr>
      <w:r w:rsidRPr="00CE0885">
        <w:rPr>
          <w:rFonts w:cs="Arial"/>
          <w:szCs w:val="24"/>
        </w:rPr>
        <w:t>(2) This paragraph applies if—</w:t>
      </w:r>
    </w:p>
    <w:p w14:paraId="4CF44A63" w14:textId="77777777" w:rsidR="004A1E13" w:rsidRPr="00CE0885" w:rsidRDefault="004A1E13" w:rsidP="004A1E13">
      <w:pPr>
        <w:spacing w:line="360" w:lineRule="auto"/>
        <w:ind w:left="720" w:firstLine="720"/>
        <w:rPr>
          <w:rFonts w:cs="Arial"/>
          <w:szCs w:val="24"/>
        </w:rPr>
      </w:pPr>
      <w:r w:rsidRPr="00CE0885">
        <w:rPr>
          <w:rFonts w:cs="Arial"/>
          <w:szCs w:val="24"/>
        </w:rPr>
        <w:lastRenderedPageBreak/>
        <w:t>(a) the APMS contractor is the subject of a national disqualification;</w:t>
      </w:r>
    </w:p>
    <w:p w14:paraId="52D687D6" w14:textId="77777777" w:rsidR="004A1E13" w:rsidRPr="00CE0885" w:rsidRDefault="004A1E13" w:rsidP="004A1E13">
      <w:pPr>
        <w:spacing w:line="360" w:lineRule="auto"/>
        <w:ind w:left="1440"/>
        <w:rPr>
          <w:rFonts w:cs="Arial"/>
          <w:szCs w:val="24"/>
        </w:rPr>
      </w:pPr>
      <w:r w:rsidRPr="00CE0885">
        <w:rPr>
          <w:rFonts w:cs="Arial"/>
          <w:szCs w:val="24"/>
        </w:rPr>
        <w:t>(b) subject to paragraph (3), the APMS contractor is disqualified or suspended (other than by an interim suspension order or direction pending an investigation) from practising by a licensing body anywhere in the world;</w:t>
      </w:r>
    </w:p>
    <w:p w14:paraId="0B260EB6"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(c) the APMS contractor has, within the period of five years before the signing of the APMS contract or the commencement of the APMS contract (whichever is the earlier) been  dismissed (otherwise than by reason of redundancy) from any employment with a health service body, unless—</w:t>
      </w:r>
    </w:p>
    <w:p w14:paraId="4E0F1A28"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 xml:space="preserve">(i) if the APMS contractor was employed as a member of a health care profession at the time of the dismissal, the APMS contractor has not subsequently been employed by that health service body or by another health service body, and </w:t>
      </w:r>
    </w:p>
    <w:p w14:paraId="346B59A8"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(ii) the dismissal was the subject of a finding of unfair dismissal by any competent tribunal or court;</w:t>
      </w:r>
    </w:p>
    <w:p w14:paraId="155B55CE"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(d) the APMS contractor has, within the period of five years before the signing of the APMS contract or the commencement of the APMS contract (whichever is the earlier), been removed from, or refused admission to, a primary care list by reason of inefficiency, fraud or unsuitability (within the meaning given by section 151(2), (3) and (4) of the Act(a) (disqualification of practitioners)), or a performers list held by the Board by virtue of regulations made under section 91(3) (persons performing primary medical services) of the Act, unless the APMS contractor’s name has subsequently been included in such a list;</w:t>
      </w:r>
    </w:p>
    <w:p w14:paraId="6BF77628"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(e) the APMS contractor has been convicted in the United Kingdom of murder;</w:t>
      </w:r>
    </w:p>
    <w:p w14:paraId="0F7CD0D3"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(f) the APMS contractor has been convicted in the United Kingdom of a criminal offence other than murder, committed on or after 1st April 2002, and has been sentenced to a term of imprisonment of longer than six months;</w:t>
      </w:r>
    </w:p>
    <w:p w14:paraId="4263DE88"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(g) subject to paragraph (3), the APMS contractor has been convicted outside of the United Kingdom of an offence which would, if committed in England and Wales, constitute murder, and—</w:t>
      </w:r>
    </w:p>
    <w:p w14:paraId="0C5CE3DF"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lastRenderedPageBreak/>
        <w:t>(i) the offence was committed on or after 3rd November 2003, and</w:t>
      </w:r>
    </w:p>
    <w:p w14:paraId="629E9B08"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(ii) the APMS contractor was sentenced to a term of imprisonment of longer than six months;</w:t>
      </w:r>
    </w:p>
    <w:p w14:paraId="79AE6482"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(h) the APMS contractor has been convicted of an offence referred to in Schedule 1 to the Children and Young Persons Act 1933(b) (offences against children and young persons, with respect to which special provisions of this Act apply), or in Schedule 1 to the Criminal Procedure (Scotland) Act 1995(c) (offences against children under the age of 17 years to which special provisions apply) committed on or after 1st April 2004;</w:t>
      </w:r>
    </w:p>
    <w:p w14:paraId="3252D0EE"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(i) the APMS contractor has at any time been included in—</w:t>
      </w:r>
    </w:p>
    <w:p w14:paraId="2E25FE1F"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(i) any barred list within the meaning of section 2 of the Safeguarding Vulnerable Groups Act 2006(d) (barred lists), or</w:t>
      </w:r>
    </w:p>
    <w:p w14:paraId="0292C5EE"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(ii) any barred list within the meaning of article 6 of the Safeguarding Vulnerable Groups (Northern Ireland) Order 2007(e) (barred lists), unless the APMS contractor was removed from the list either on the grounds that it was not appropriate for the APMS contractor to have been included in it or as the result of a successful appeal;</w:t>
      </w:r>
    </w:p>
    <w:p w14:paraId="53BFE6B2"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 xml:space="preserve">(j) the APMS contractor has, within the period of five years before the signing of the APMS contract or the commencement of the APMS contract (whichever is the earlier), been removed from the office of charity trustee or trustee for a charity by an order made by the </w:t>
      </w:r>
      <w:r w:rsidRPr="00CE0885">
        <w:rPr>
          <w:rFonts w:cs="Arial"/>
        </w:rPr>
        <w:t xml:space="preserve"> </w:t>
      </w:r>
      <w:r w:rsidRPr="00CE0885">
        <w:rPr>
          <w:rFonts w:cs="Arial"/>
          <w:sz w:val="24"/>
          <w:szCs w:val="24"/>
        </w:rPr>
        <w:t>Charity Commission, the Charity Commission for Northern Ireland or the High Court, and that order was made on the grounds of misconduct or mismanagement in the administration of the charity for which the APMS contractor was responsible or to which the APMS contractor was privy, or which was contributed to, or facilitated, by the APMS contractor’s conduct;</w:t>
      </w:r>
    </w:p>
    <w:p w14:paraId="04020D17" w14:textId="3F97AEEB" w:rsidR="004A1E13" w:rsidRPr="00CE0885" w:rsidRDefault="004A1E13" w:rsidP="004A1E13">
      <w:pPr>
        <w:pStyle w:val="Body2"/>
        <w:spacing w:before="0" w:after="0" w:line="360" w:lineRule="auto"/>
        <w:rPr>
          <w:rFonts w:cs="Arial"/>
          <w:sz w:val="24"/>
          <w:szCs w:val="24"/>
        </w:rPr>
      </w:pPr>
      <w:r w:rsidRPr="00CE0885">
        <w:rPr>
          <w:rFonts w:cs="Arial"/>
          <w:sz w:val="24"/>
          <w:szCs w:val="24"/>
        </w:rPr>
        <w:t xml:space="preserve">(k) the APMS contractor has, within the period of five years before the signing of the APMS contract or the commencement of the APMS contract (whichever is the earlier), been removed from being concerned with the management or control of </w:t>
      </w:r>
      <w:r w:rsidR="00BC5F9C" w:rsidRPr="00CE0885">
        <w:rPr>
          <w:rFonts w:cs="Arial"/>
          <w:sz w:val="24"/>
          <w:szCs w:val="24"/>
        </w:rPr>
        <w:t>anybody</w:t>
      </w:r>
      <w:r w:rsidRPr="00CE0885">
        <w:rPr>
          <w:rFonts w:cs="Arial"/>
          <w:sz w:val="24"/>
          <w:szCs w:val="24"/>
        </w:rPr>
        <w:t xml:space="preserve"> in any case where removal </w:t>
      </w:r>
      <w:r w:rsidRPr="00CE0885">
        <w:rPr>
          <w:rFonts w:cs="Arial"/>
          <w:sz w:val="24"/>
          <w:szCs w:val="24"/>
        </w:rPr>
        <w:lastRenderedPageBreak/>
        <w:t>was by virtue of section 34(5)(e) of the Charities and Trustees Investment (Scotland) Act 2005(a) (powers of the Court of Session);</w:t>
      </w:r>
    </w:p>
    <w:p w14:paraId="5DBCEE57"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(l) the APMS contractor has—</w:t>
      </w:r>
    </w:p>
    <w:p w14:paraId="34106848"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(i) been adjudged bankrupt and has not been discharged from the bankruptcy or the bankruptcy order has not been annulled, or</w:t>
      </w:r>
    </w:p>
    <w:p w14:paraId="747D627A"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(ii) had sequestration of the APMS contractor’s estate awarded and has not been discharged from the sequestration;</w:t>
      </w:r>
    </w:p>
    <w:p w14:paraId="0937D7BD"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(m) the APMS contractor is the subject of a bankruptcy restrictions order or an interim bankruptcy restrictions order under Schedule 4A to the Insolvency Act 1986(b) (bankruptcy restrictions order and undertaking), or Schedule 2A to the Insolvency (Northern Ireland) Order 1989(c) (bankruptcy restrictions order and undertaking), or sections 56A to 56K of the Bankruptcy (Scotland) Act 1985(d) (bankruptcy restrictions order, interim bankruptcy restrictions order and bankruptcy restrictions undertaking), unless the APMS contractor has been discharged from that order or that order has been annulled;</w:t>
      </w:r>
    </w:p>
    <w:p w14:paraId="3E5C130D"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(n) the APMS contractor—</w:t>
      </w:r>
    </w:p>
    <w:p w14:paraId="6D53A5B3"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(i) is subject to a moratorium period under a debt relief order under Part VIIA of the Insolvency Act 1986(e) (debt relief orders), or</w:t>
      </w:r>
    </w:p>
    <w:p w14:paraId="3D08A4E9"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(ii) is the subject of a debt relief restrictions order or an interim debt relief restrictions order under Schedule 4ZB to that Act(f) (debt relief restrictions orders and undertakings);</w:t>
      </w:r>
    </w:p>
    <w:p w14:paraId="0FAB533E"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(o) the APMS contractor has made a composition agreement or arrangement with, or has granted a trust deed for, the APMS contractor’s creditors and the APMS contractor has not been discharged in respect of it;</w:t>
      </w:r>
    </w:p>
    <w:p w14:paraId="3AA527C6"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(p) the APMS contractor is subject to—</w:t>
      </w:r>
    </w:p>
    <w:p w14:paraId="6CF39DE2"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(i) a disqualification order or a disqualification undertaking under section 1 of the Company Directors Disqualification Act 1986(g) (disqualification orders: general),</w:t>
      </w:r>
    </w:p>
    <w:p w14:paraId="58FCE7D4"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 xml:space="preserve">(ii) a disqualification order or a disqualification undertaking under article 3 (disqualification orders: general), or article 4 (disqualification undertakings: general) of the Company Directors </w:t>
      </w:r>
      <w:r w:rsidRPr="00CE0885">
        <w:rPr>
          <w:rFonts w:cs="Arial"/>
          <w:sz w:val="24"/>
          <w:szCs w:val="24"/>
        </w:rPr>
        <w:lastRenderedPageBreak/>
        <w:t>Disqualification (Northern Ireland) Order 2002(h), or</w:t>
      </w:r>
    </w:p>
    <w:p w14:paraId="79568C40"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(iii) a disqualification order under section 429(2) of the Insolvency Act 1986(i) (disabilities on revocation of an administration order against an individual);</w:t>
      </w:r>
    </w:p>
    <w:p w14:paraId="084F6419"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(q) an administrator, administrative receiver or receiver has been appointed in respect of the APMS contractor;</w:t>
      </w:r>
    </w:p>
    <w:p w14:paraId="68BFB579"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(r) an administration order has been made in respect of the APMS contractor under Schedule B1 to the Insolvency Act 1986(a) (administration);</w:t>
      </w:r>
    </w:p>
    <w:p w14:paraId="1DA1CB1C"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(s) the APMS contractor is a partnership and—</w:t>
      </w:r>
    </w:p>
    <w:p w14:paraId="62F9B714"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(i) a dissolution of the partnership is ordered by any competent court, tribunal or arbitrator, or</w:t>
      </w:r>
    </w:p>
    <w:p w14:paraId="20F1662A"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(ii) an event happens that makes it unlawful for the business of the partnership to continue, or for members of the partnership to carry on in partnership.</w:t>
      </w:r>
    </w:p>
    <w:p w14:paraId="67E92250"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(3) Paragraph (2)(b) or, as the case may be, paragraph (2)(g), does not apply to a person where—</w:t>
      </w:r>
    </w:p>
    <w:p w14:paraId="75D634B8"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(a) that person—</w:t>
      </w:r>
    </w:p>
    <w:p w14:paraId="35B178FF"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(i) has been disqualified or suspended from practising by a licensing body outside of the United Kingdom, or</w:t>
      </w:r>
    </w:p>
    <w:p w14:paraId="747B95BE"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(ii) has been convicted outside of the United Kingdom of a criminal offence; and</w:t>
      </w:r>
    </w:p>
    <w:p w14:paraId="442C8253"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(b) the Board is satisfied that the disqualification or suspension or, as the case may be, the conviction, does not make the person unsuitable to be—</w:t>
      </w:r>
    </w:p>
    <w:p w14:paraId="7A907DFE"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(i) a party to an APMS contract;</w:t>
      </w:r>
    </w:p>
    <w:p w14:paraId="143E834B"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(ii) in the case of an APMS contract with a company, a director or secretary of a company entering into an APMS contract; or</w:t>
      </w:r>
    </w:p>
    <w:p w14:paraId="3D3F9E33" w14:textId="77777777" w:rsidR="004A1E13" w:rsidRPr="00CE0885" w:rsidRDefault="004A1E13" w:rsidP="004A1E13">
      <w:pPr>
        <w:pStyle w:val="Body2"/>
        <w:spacing w:before="0" w:after="0" w:line="360" w:lineRule="auto"/>
        <w:ind w:left="2160"/>
        <w:rPr>
          <w:rFonts w:cs="Arial"/>
          <w:sz w:val="24"/>
          <w:szCs w:val="24"/>
        </w:rPr>
      </w:pPr>
      <w:r w:rsidRPr="00CE0885">
        <w:rPr>
          <w:rFonts w:cs="Arial"/>
          <w:sz w:val="24"/>
          <w:szCs w:val="24"/>
        </w:rPr>
        <w:t>(iii) in the case of an APMS contract with—</w:t>
      </w:r>
    </w:p>
    <w:p w14:paraId="4CA4EF15" w14:textId="77777777" w:rsidR="004A1E13" w:rsidRPr="00CE0885" w:rsidRDefault="004A1E13" w:rsidP="004A1E13">
      <w:pPr>
        <w:pStyle w:val="Body2"/>
        <w:spacing w:before="0" w:after="0" w:line="360" w:lineRule="auto"/>
        <w:ind w:left="2880"/>
        <w:rPr>
          <w:rFonts w:cs="Arial"/>
          <w:sz w:val="24"/>
          <w:szCs w:val="24"/>
        </w:rPr>
      </w:pPr>
      <w:r w:rsidRPr="00CE0885">
        <w:rPr>
          <w:rFonts w:cs="Arial"/>
          <w:sz w:val="24"/>
          <w:szCs w:val="24"/>
        </w:rPr>
        <w:t>(aa) an industrial or provident society,</w:t>
      </w:r>
    </w:p>
    <w:p w14:paraId="6E74C953" w14:textId="77777777" w:rsidR="004A1E13" w:rsidRPr="00CE0885" w:rsidRDefault="004A1E13" w:rsidP="004A1E13">
      <w:pPr>
        <w:pStyle w:val="Body2"/>
        <w:spacing w:before="0" w:after="0" w:line="360" w:lineRule="auto"/>
        <w:ind w:left="2880"/>
        <w:rPr>
          <w:rFonts w:cs="Arial"/>
          <w:sz w:val="24"/>
          <w:szCs w:val="24"/>
        </w:rPr>
      </w:pPr>
      <w:r w:rsidRPr="00CE0885">
        <w:rPr>
          <w:rFonts w:cs="Arial"/>
          <w:sz w:val="24"/>
          <w:szCs w:val="24"/>
        </w:rPr>
        <w:t>(bb) a friendly society,</w:t>
      </w:r>
    </w:p>
    <w:p w14:paraId="115C670C" w14:textId="77777777" w:rsidR="004A1E13" w:rsidRPr="00CE0885" w:rsidRDefault="004A1E13" w:rsidP="004A1E13">
      <w:pPr>
        <w:pStyle w:val="Body2"/>
        <w:spacing w:before="0" w:after="0" w:line="360" w:lineRule="auto"/>
        <w:ind w:left="2880"/>
        <w:rPr>
          <w:rFonts w:cs="Arial"/>
          <w:sz w:val="24"/>
          <w:szCs w:val="24"/>
        </w:rPr>
      </w:pPr>
      <w:r w:rsidRPr="00CE0885">
        <w:rPr>
          <w:rFonts w:cs="Arial"/>
          <w:sz w:val="24"/>
          <w:szCs w:val="24"/>
        </w:rPr>
        <w:t>(cc) a voluntary organisation, or</w:t>
      </w:r>
    </w:p>
    <w:p w14:paraId="20E9EE6F" w14:textId="77777777" w:rsidR="004A1E13" w:rsidRPr="00CE0885" w:rsidRDefault="004A1E13" w:rsidP="004A1E13">
      <w:pPr>
        <w:pStyle w:val="Body2"/>
        <w:spacing w:before="0" w:after="0" w:line="360" w:lineRule="auto"/>
        <w:ind w:left="2880"/>
        <w:rPr>
          <w:rFonts w:cs="Arial"/>
          <w:sz w:val="24"/>
          <w:szCs w:val="24"/>
        </w:rPr>
      </w:pPr>
      <w:r w:rsidRPr="00CE0885">
        <w:rPr>
          <w:rFonts w:cs="Arial"/>
          <w:sz w:val="24"/>
          <w:szCs w:val="24"/>
        </w:rPr>
        <w:t xml:space="preserve">(dd) another body, an officer, trustee or other person concerned with the management of such a society, </w:t>
      </w:r>
      <w:r w:rsidRPr="00CE0885">
        <w:rPr>
          <w:rFonts w:cs="Arial"/>
          <w:sz w:val="24"/>
          <w:szCs w:val="24"/>
        </w:rPr>
        <w:lastRenderedPageBreak/>
        <w:t>organisation or other body entering into an APMS contract.</w:t>
      </w:r>
    </w:p>
    <w:p w14:paraId="496CDF35"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(4) For the purposes of paragraph (2)(c)—</w:t>
      </w:r>
    </w:p>
    <w:p w14:paraId="70BBC7A5"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(a) where a person has been employed as a member of a health care profession, any subsequent employment must also be as a member of that profession; and</w:t>
      </w:r>
    </w:p>
    <w:p w14:paraId="6EE70B83" w14:textId="77777777" w:rsidR="004A1E13" w:rsidRPr="00CE0885" w:rsidRDefault="004A1E13" w:rsidP="004A1E13">
      <w:pPr>
        <w:pStyle w:val="Body2"/>
        <w:spacing w:before="0" w:after="0" w:line="360" w:lineRule="auto"/>
        <w:rPr>
          <w:rFonts w:cs="Arial"/>
          <w:sz w:val="24"/>
          <w:szCs w:val="24"/>
        </w:rPr>
      </w:pPr>
      <w:r w:rsidRPr="00CE0885">
        <w:rPr>
          <w:rFonts w:cs="Arial"/>
          <w:sz w:val="24"/>
          <w:szCs w:val="24"/>
        </w:rPr>
        <w:t>(b) a health service body includes a Strategic Health Authority or a Primary Care Trust which was established before the coming into force of section 33 (abolition of Strategic Health Authorities) or 34 (abolition of Primary Care Trusts) of the Health and Social Care Act 2012(b).</w:t>
      </w:r>
    </w:p>
    <w:p w14:paraId="595D6BD3" w14:textId="30B1831F" w:rsidR="004A1E13" w:rsidRPr="0015247B" w:rsidRDefault="004A1E13" w:rsidP="003E284C">
      <w:pPr>
        <w:ind w:left="720"/>
        <w:rPr>
          <w:lang w:eastAsia="en-GB"/>
        </w:rPr>
      </w:pPr>
      <w:r w:rsidRPr="00CE0885">
        <w:rPr>
          <w:rFonts w:cs="Arial"/>
          <w:szCs w:val="24"/>
        </w:rPr>
        <w:t xml:space="preserve">(5) In this direction, “APMS contractor” includes a person with whom the Board is proposing to enter into an APMS contract. </w:t>
      </w:r>
      <w:r w:rsidRPr="00CE0885">
        <w:rPr>
          <w:rFonts w:cs="Arial"/>
          <w:szCs w:val="24"/>
        </w:rPr>
        <w:cr/>
      </w:r>
    </w:p>
    <w:p w14:paraId="3FA1A2FD" w14:textId="4F35EC9B" w:rsidR="0015247B" w:rsidRPr="00670323" w:rsidRDefault="00B42132" w:rsidP="00670323">
      <w:pPr>
        <w:pStyle w:val="Heading1"/>
      </w:pPr>
      <w:r>
        <w:rPr>
          <w:lang w:eastAsia="en-GB"/>
        </w:rPr>
        <w:br w:type="page"/>
      </w:r>
      <w:bookmarkStart w:id="194" w:name="_Toc498495341"/>
      <w:r w:rsidR="00670323" w:rsidRPr="00670323">
        <w:lastRenderedPageBreak/>
        <w:t>Assurance Framework Contract Review</w:t>
      </w:r>
      <w:bookmarkEnd w:id="194"/>
    </w:p>
    <w:p w14:paraId="44421550" w14:textId="77777777" w:rsidR="0015247B" w:rsidRDefault="0015247B" w:rsidP="0015247B">
      <w:pPr>
        <w:rPr>
          <w:lang w:eastAsia="en-GB"/>
        </w:rPr>
      </w:pPr>
    </w:p>
    <w:p w14:paraId="79C60A9A" w14:textId="747499A5" w:rsidR="006C49D5" w:rsidRPr="0015247B" w:rsidRDefault="006C49D5" w:rsidP="0015247B">
      <w:pPr>
        <w:rPr>
          <w:lang w:eastAsia="en-GB"/>
        </w:rPr>
      </w:pPr>
    </w:p>
    <w:p w14:paraId="2D7A7298" w14:textId="77777777" w:rsidR="00670323" w:rsidRPr="0033393E" w:rsidRDefault="00670323" w:rsidP="00670323">
      <w:pPr>
        <w:pStyle w:val="Heading2"/>
        <w:rPr>
          <w:rFonts w:eastAsia="Calibri"/>
        </w:rPr>
      </w:pPr>
      <w:bookmarkStart w:id="195" w:name="_Toc498495342"/>
      <w:r w:rsidRPr="0033393E">
        <w:rPr>
          <w:rFonts w:eastAsia="Calibri"/>
        </w:rPr>
        <w:t>Introduction</w:t>
      </w:r>
      <w:bookmarkEnd w:id="195"/>
    </w:p>
    <w:p w14:paraId="4D8AF747" w14:textId="77777777" w:rsidR="00670323" w:rsidRPr="0033393E" w:rsidRDefault="00670323" w:rsidP="00670323">
      <w:pPr>
        <w:pStyle w:val="Heading3"/>
      </w:pPr>
      <w:r w:rsidRPr="0033393E">
        <w:t>Commissioners of Primary Medical Care are responsible for the quality, safety and performance of services delivered by providers, within their area of responsibility. This can be directly  by NHS England (NHSE) local teams or CCGs through the delegation agreement.  However, Commissioners have a statutory duty to conduct a routine annual review of every primary medical care contract it holds.  This is covered through the annual GP Practice self declaration (eDec) collection which NHS England has established with providers. Therefore commissioners should ensure they review the practices eDec returns following submission and any subsequent national analysis produced (e.g. NHS England’s eDec outlier report which will be made available 6-8 weeks following eDec close)</w:t>
      </w:r>
    </w:p>
    <w:p w14:paraId="673D3243" w14:textId="77777777" w:rsidR="00670323" w:rsidRPr="0033393E" w:rsidRDefault="00670323" w:rsidP="00670323">
      <w:pPr>
        <w:pStyle w:val="Heading3"/>
      </w:pPr>
      <w:r w:rsidRPr="0033393E">
        <w:t xml:space="preserve">It is important to note that whilst exercising of the functions passes to the CCG, the liability for the exercise of any of its functions remains with NHS England.  </w:t>
      </w:r>
    </w:p>
    <w:p w14:paraId="31BE1B84" w14:textId="77777777" w:rsidR="00670323" w:rsidRPr="0033393E" w:rsidRDefault="00670323" w:rsidP="00670323">
      <w:pPr>
        <w:pStyle w:val="Heading3"/>
      </w:pPr>
      <w:r w:rsidRPr="0033393E">
        <w:t xml:space="preserve">Assurance of CCGs commissioning of Primary Care will be covered outside of this policy and guidance. </w:t>
      </w:r>
    </w:p>
    <w:p w14:paraId="6532755C" w14:textId="77777777" w:rsidR="00670323" w:rsidRPr="0033393E" w:rsidRDefault="00670323" w:rsidP="00670323">
      <w:pPr>
        <w:pStyle w:val="Heading3"/>
      </w:pPr>
      <w:r w:rsidRPr="0033393E">
        <w:t>This chapter outlines the approach to be taken by commissioners when overseeing primary medical care contracts to ensure compliance with quality and safety standards and replaces the Primary Medical Services Assurance Management Framework guidance and policy documents first published April 2013.,</w:t>
      </w:r>
    </w:p>
    <w:p w14:paraId="5BCD4587" w14:textId="77777777" w:rsidR="00670323" w:rsidRPr="0033393E" w:rsidRDefault="00670323" w:rsidP="00670323">
      <w:pPr>
        <w:pStyle w:val="Heading3"/>
      </w:pPr>
      <w:r w:rsidRPr="0033393E">
        <w:t>Commissioners are reminded that early engagement with LMCs presents the best opportunity to support practices in making effective and sustainable changes to support service improvement, should this be found to be appropriate and necessary.</w:t>
      </w:r>
    </w:p>
    <w:p w14:paraId="6CF13697" w14:textId="77777777" w:rsidR="00670323" w:rsidRPr="0033393E" w:rsidRDefault="00670323" w:rsidP="00670323">
      <w:pPr>
        <w:pStyle w:val="Heading3"/>
      </w:pPr>
      <w:r w:rsidRPr="0033393E">
        <w:t>This guidance provides an outline for assessing general practice through the normal contractual framework (i.e. Personal Medical Services (PMS), General Medical Services (GMS) or Alternative Provider Medical Services (APMS)).</w:t>
      </w:r>
    </w:p>
    <w:p w14:paraId="25176304" w14:textId="051C31F7" w:rsidR="00670323" w:rsidRPr="00670323" w:rsidRDefault="00670323" w:rsidP="00670323">
      <w:pPr>
        <w:pStyle w:val="Heading3"/>
        <w:spacing w:before="120" w:after="120" w:line="276" w:lineRule="auto"/>
        <w:ind w:right="160"/>
        <w:rPr>
          <w:rFonts w:eastAsia="Arial" w:cs="Arial"/>
        </w:rPr>
      </w:pPr>
      <w:r w:rsidRPr="0033393E">
        <w:t xml:space="preserve">This chapter </w:t>
      </w:r>
      <w:r w:rsidRPr="00670323">
        <w:rPr>
          <w:b/>
          <w:u w:val="single"/>
        </w:rPr>
        <w:t>will not</w:t>
      </w:r>
      <w:r w:rsidRPr="0033393E">
        <w:t xml:space="preserve"> re-cover details of the various types of contract or the contractual actions available as these are covered elsewhere within this </w:t>
      </w:r>
      <w:r w:rsidRPr="0033393E">
        <w:lastRenderedPageBreak/>
        <w:t>manual. It will aim to provide practical advice and guidance to support commissioners and contract managers.</w:t>
      </w:r>
    </w:p>
    <w:p w14:paraId="0D3E462E" w14:textId="77777777" w:rsidR="00670323" w:rsidRPr="0033393E" w:rsidRDefault="00670323" w:rsidP="00670323">
      <w:pPr>
        <w:pStyle w:val="Heading2"/>
        <w:rPr>
          <w:rFonts w:eastAsia="Calibri"/>
        </w:rPr>
      </w:pPr>
      <w:bookmarkStart w:id="196" w:name="_Toc498495343"/>
      <w:r w:rsidRPr="0033393E">
        <w:rPr>
          <w:rFonts w:eastAsia="Calibri"/>
        </w:rPr>
        <w:t>Background</w:t>
      </w:r>
      <w:bookmarkEnd w:id="196"/>
    </w:p>
    <w:p w14:paraId="29170F41" w14:textId="77777777" w:rsidR="00670323" w:rsidRPr="0033393E" w:rsidRDefault="00670323" w:rsidP="00670323">
      <w:pPr>
        <w:pStyle w:val="Heading3"/>
      </w:pPr>
      <w:r w:rsidRPr="0033393E">
        <w:t>Whilst it is recognised that most health care professionals and providers of Primary Medical Care operate to a very high standard, it is essential that commissioners have robust monitoring arrangements in place.</w:t>
      </w:r>
    </w:p>
    <w:p w14:paraId="4591E555" w14:textId="708E995F" w:rsidR="00670323" w:rsidRPr="0033393E" w:rsidRDefault="00670323" w:rsidP="00670323">
      <w:pPr>
        <w:pStyle w:val="Heading3"/>
      </w:pPr>
      <w:r w:rsidRPr="0033393E">
        <w:t>Monitoring arrangements should create a balance of support, oversight and intervention where necessary.  Furthermore it should create a culture of openness and transparency and a vehicle to promote peer to peer improvement.</w:t>
      </w:r>
    </w:p>
    <w:p w14:paraId="6FA93746" w14:textId="5C6DA058" w:rsidR="00670323" w:rsidRPr="0033393E" w:rsidRDefault="00670323" w:rsidP="00670323">
      <w:pPr>
        <w:pStyle w:val="Heading3"/>
      </w:pPr>
      <w:r w:rsidRPr="0033393E">
        <w:t xml:space="preserve">From 1 April 2015 the responsibility for monitoring quality and responding to concerns arising from General Practices has been delegated to CCGs in increasing numbers. The CCGs already had a statutory duty to assist and support NHS England with quality but most now have specific delegated authority for contracting primary care medical services. </w:t>
      </w:r>
    </w:p>
    <w:p w14:paraId="0E71161B" w14:textId="4577F370" w:rsidR="00670323" w:rsidRDefault="00670323" w:rsidP="00670323">
      <w:pPr>
        <w:pStyle w:val="Heading3"/>
      </w:pPr>
      <w:r w:rsidRPr="0033393E">
        <w:t>Whilst Practices as providers are accountable for the quality of services and are required to have their own quality monitoring processes in place, NHS England and CCGs as Commissioners have a shared responsibility for quality assurance. Through the duty of candour and the contractual relationship with Commissioners, practices are required to provide information and assurance to Commissioners and engage in system wide approaches to improving quality.</w:t>
      </w:r>
    </w:p>
    <w:p w14:paraId="4C5B864A" w14:textId="77777777" w:rsidR="006E1070" w:rsidRDefault="006E1070" w:rsidP="006E1070">
      <w:pPr>
        <w:rPr>
          <w:rFonts w:eastAsia="Arial"/>
        </w:rPr>
      </w:pPr>
    </w:p>
    <w:p w14:paraId="6E3BA3AA" w14:textId="5E010DE9" w:rsidR="006E1070" w:rsidRPr="006E1070" w:rsidRDefault="006E1070" w:rsidP="006E1070">
      <w:pPr>
        <w:pStyle w:val="Heading2"/>
        <w:rPr>
          <w:rFonts w:eastAsia="Calibri"/>
        </w:rPr>
      </w:pPr>
      <w:bookmarkStart w:id="197" w:name="_Toc498495344"/>
      <w:r w:rsidRPr="006E1070">
        <w:rPr>
          <w:rFonts w:eastAsia="Calibri"/>
        </w:rPr>
        <w:t>Contract Review</w:t>
      </w:r>
      <w:bookmarkEnd w:id="197"/>
      <w:r w:rsidRPr="006E1070">
        <w:rPr>
          <w:rFonts w:eastAsia="Calibri"/>
        </w:rPr>
        <w:t xml:space="preserve"> </w:t>
      </w:r>
    </w:p>
    <w:p w14:paraId="0102A859" w14:textId="77777777" w:rsidR="006E1070" w:rsidRPr="006E1070" w:rsidRDefault="006E1070" w:rsidP="006E1070">
      <w:pPr>
        <w:rPr>
          <w:rFonts w:eastAsia="Arial"/>
        </w:rPr>
      </w:pPr>
    </w:p>
    <w:p w14:paraId="2C69B5DB" w14:textId="7392F5DD" w:rsidR="00670323" w:rsidRPr="0033393E" w:rsidRDefault="00670323" w:rsidP="00670323">
      <w:pPr>
        <w:pStyle w:val="Heading3"/>
      </w:pPr>
      <w:r w:rsidRPr="0033393E">
        <w:t xml:space="preserve">Through the publication of this guidance, NHS England is introducing a requirement on Commissioners to undertake a risk based approach to reviewing contracts, along with a rolling programme of deep dive contract reviews.  Depending on the number of practices within the commissioning area and types of contract, a rolling programme could span one to three years.  </w:t>
      </w:r>
    </w:p>
    <w:p w14:paraId="3279A77C" w14:textId="4E6E9ABF" w:rsidR="00670323" w:rsidRPr="0033393E" w:rsidRDefault="00670323" w:rsidP="00670323">
      <w:pPr>
        <w:pStyle w:val="Heading3"/>
      </w:pPr>
      <w:r w:rsidRPr="0033393E">
        <w:t>For APMS contracts this would need to be more frequent owing to the length of contract and the variable KPIs within them. It is recommended that if new information becomes available to the Commissioner  which suggests high levels of variation, a visit may be required and the contract reviewing further.</w:t>
      </w:r>
    </w:p>
    <w:p w14:paraId="27CBCD06" w14:textId="47461D26" w:rsidR="00670323" w:rsidRPr="0033393E" w:rsidRDefault="00670323" w:rsidP="00670323">
      <w:pPr>
        <w:pStyle w:val="Heading3"/>
      </w:pPr>
      <w:r w:rsidRPr="0033393E">
        <w:lastRenderedPageBreak/>
        <w:t>Commissioners will have varying resources available to effectively manage their range of contract.  Nationally, there are (as 25/08/2017) 7,360 practices in England with a prescribing cost centre ‘GP Practice’</w:t>
      </w:r>
      <w:r w:rsidRPr="0033393E">
        <w:rPr>
          <w:rStyle w:val="FootnoteReference"/>
          <w:rFonts w:cs="Arial"/>
        </w:rPr>
        <w:footnoteReference w:id="2"/>
      </w:r>
      <w:r w:rsidRPr="0033393E">
        <w:t xml:space="preserve">, but there may be additional contracts </w:t>
      </w:r>
      <w:r>
        <w:t>.</w:t>
      </w:r>
    </w:p>
    <w:p w14:paraId="508517C0" w14:textId="77777777" w:rsidR="00670323" w:rsidRPr="0033393E" w:rsidRDefault="00670323" w:rsidP="00670323">
      <w:pPr>
        <w:pStyle w:val="Heading3"/>
      </w:pPr>
      <w:r w:rsidRPr="0033393E">
        <w:t>Across these 7,360 practices, the latest NHS Payments to General Practice data</w:t>
      </w:r>
      <w:r w:rsidRPr="0033393E">
        <w:rPr>
          <w:rStyle w:val="FootnoteReference"/>
          <w:rFonts w:cs="Arial"/>
        </w:rPr>
        <w:footnoteReference w:id="3"/>
      </w:r>
      <w:r w:rsidRPr="0033393E">
        <w:t xml:space="preserve"> suggests that these break down into the following contract types</w:t>
      </w:r>
    </w:p>
    <w:p w14:paraId="36A43A5F" w14:textId="77777777" w:rsidR="00670323" w:rsidRPr="0033393E" w:rsidRDefault="00670323" w:rsidP="003331F2">
      <w:pPr>
        <w:pStyle w:val="BodyText"/>
        <w:ind w:left="720"/>
      </w:pPr>
      <w:r w:rsidRPr="0033393E">
        <w:rPr>
          <w:noProof/>
        </w:rPr>
        <w:drawing>
          <wp:inline distT="0" distB="0" distL="0" distR="0" wp14:anchorId="55601385" wp14:editId="61D9BA51">
            <wp:extent cx="2933700" cy="1533525"/>
            <wp:effectExtent l="0" t="0" r="0" b="9525"/>
            <wp:docPr id="2064" name="Picture 2064" descr="A Breakdown of contract types by number and percentage" title="Contract Type Break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33700" cy="1533525"/>
                    </a:xfrm>
                    <a:prstGeom prst="rect">
                      <a:avLst/>
                    </a:prstGeom>
                    <a:noFill/>
                    <a:ln>
                      <a:noFill/>
                    </a:ln>
                  </pic:spPr>
                </pic:pic>
              </a:graphicData>
            </a:graphic>
          </wp:inline>
        </w:drawing>
      </w:r>
    </w:p>
    <w:p w14:paraId="4D4A4284" w14:textId="77777777" w:rsidR="00670323" w:rsidRPr="0033393E" w:rsidRDefault="00670323" w:rsidP="00670323">
      <w:pPr>
        <w:pStyle w:val="Heading3"/>
      </w:pPr>
      <w:r w:rsidRPr="0033393E">
        <w:t>However, this masks a range of GP Practice numbers across CCGs.  The average number of GP Practices per CCG is c.35, however the range is currently between 5 – 109.  There are 105 CCG with Zero APMS contracts, and 27 CCG that have Zero PMS contracts.</w:t>
      </w:r>
    </w:p>
    <w:p w14:paraId="34E691AE" w14:textId="77777777" w:rsidR="00670323" w:rsidRPr="0033393E" w:rsidRDefault="00670323" w:rsidP="00670323">
      <w:pPr>
        <w:pStyle w:val="Heading3"/>
      </w:pPr>
      <w:r w:rsidRPr="0033393E">
        <w:t>Across those CCGs that have APMS contracts in place, the average number is 2.3, although one CCG currently</w:t>
      </w:r>
      <w:r w:rsidRPr="0033393E">
        <w:rPr>
          <w:rStyle w:val="FootnoteReference"/>
          <w:rFonts w:cs="Arial"/>
        </w:rPr>
        <w:footnoteReference w:id="4"/>
      </w:r>
      <w:r w:rsidRPr="0033393E">
        <w:t xml:space="preserve"> has 11 APMS contracts representing 20% of its total. </w:t>
      </w:r>
    </w:p>
    <w:p w14:paraId="2C3CE706" w14:textId="4EE03DC4" w:rsidR="00670323" w:rsidRDefault="00670323" w:rsidP="00670323">
      <w:pPr>
        <w:pStyle w:val="Heading3"/>
      </w:pPr>
      <w:r w:rsidRPr="0033393E">
        <w:t>Commissioners should maintain accurate records of all contract reviews and will be required to demonstrate if requested, evidence of compliance, or otherwise support oversight of primary medical care commissioning arrangements. This may be for example, via NHS England’s Primary Care Activity Report (PCAR) or internal and external audit functions.</w:t>
      </w:r>
    </w:p>
    <w:p w14:paraId="2F458CD1" w14:textId="77777777" w:rsidR="006E1070" w:rsidRDefault="006E1070" w:rsidP="006E1070"/>
    <w:p w14:paraId="37779331" w14:textId="4B199C8E" w:rsidR="00670323" w:rsidRPr="006E1070" w:rsidRDefault="006E1070" w:rsidP="006E1070">
      <w:pPr>
        <w:pStyle w:val="Heading2"/>
        <w:rPr>
          <w:rFonts w:eastAsia="Calibri"/>
        </w:rPr>
      </w:pPr>
      <w:bookmarkStart w:id="198" w:name="_Toc498495345"/>
      <w:r w:rsidRPr="006E1070">
        <w:rPr>
          <w:rFonts w:eastAsia="Calibri"/>
        </w:rPr>
        <w:t>Setting and Monitoring Key Performance Indicators</w:t>
      </w:r>
      <w:bookmarkEnd w:id="198"/>
    </w:p>
    <w:p w14:paraId="3C6EBA2C" w14:textId="77777777" w:rsidR="006E1070" w:rsidRDefault="006E1070" w:rsidP="006E1070">
      <w:pPr>
        <w:pStyle w:val="Heading3"/>
      </w:pPr>
      <w:r w:rsidRPr="006E1070">
        <w:t xml:space="preserve">Commissioners should ensure key performance indicators (KPIs) are negotiated into relevant contracts.  These should be  specific, measurable, achievable, relevant and time-bound (SMART) and include relevant payment thresholds.  </w:t>
      </w:r>
    </w:p>
    <w:p w14:paraId="03721844" w14:textId="7EE9046B" w:rsidR="006E1070" w:rsidRPr="006E1070" w:rsidRDefault="006E1070" w:rsidP="006E1070">
      <w:pPr>
        <w:pStyle w:val="Heading3"/>
      </w:pPr>
      <w:r w:rsidRPr="006E1070">
        <w:lastRenderedPageBreak/>
        <w:t>Primary Medical Care providers will then be required to submit evidence to the Commissioner in relation to those KPIs, against which payment will be considered.  The Commissioner should be assured that the evidence submitted by the contractor is robust, relevant and proportionate.</w:t>
      </w:r>
    </w:p>
    <w:p w14:paraId="3097C1BD" w14:textId="77777777" w:rsidR="006E1070" w:rsidRPr="0033393E" w:rsidRDefault="006E1070" w:rsidP="00670323">
      <w:pPr>
        <w:pStyle w:val="Body3"/>
        <w:spacing w:before="120" w:after="120" w:line="276" w:lineRule="auto"/>
        <w:ind w:left="0"/>
        <w:rPr>
          <w:rFonts w:cs="Arial"/>
        </w:rPr>
      </w:pPr>
    </w:p>
    <w:p w14:paraId="0156999E" w14:textId="77777777" w:rsidR="00670323" w:rsidRPr="0033393E" w:rsidRDefault="00670323" w:rsidP="00670323">
      <w:pPr>
        <w:pStyle w:val="Heading2"/>
        <w:rPr>
          <w:rFonts w:eastAsia="Calibri"/>
        </w:rPr>
      </w:pPr>
      <w:bookmarkStart w:id="199" w:name="_Toc498495346"/>
      <w:r w:rsidRPr="0033393E">
        <w:rPr>
          <w:rFonts w:eastAsia="Calibri"/>
        </w:rPr>
        <w:t>Using data and information effectively</w:t>
      </w:r>
      <w:bookmarkEnd w:id="199"/>
    </w:p>
    <w:p w14:paraId="0172DA39" w14:textId="43EA5EA3" w:rsidR="00670323" w:rsidRPr="00670323" w:rsidRDefault="00670323" w:rsidP="00670323">
      <w:pPr>
        <w:pStyle w:val="Heading3"/>
        <w:rPr>
          <w:rFonts w:eastAsia="Arial"/>
        </w:rPr>
      </w:pPr>
      <w:r w:rsidRPr="0033393E">
        <w:t>This section recognises that in a model for improvement, various data sets which are being used by commissioners to oversee delivery of services provides only one part of a large picture and used in isolation presents not only a risk of inaccuracy, but anxiety amongst those providing services or those responsible for oversight of the delivery of those services. Data must be put into the context of the particular provider practice and used alongside other intelligence to gain a full understanding of any potential risk to quality and patient safety.</w:t>
      </w:r>
    </w:p>
    <w:p w14:paraId="2E2A74FB" w14:textId="77777777" w:rsidR="00670323" w:rsidRPr="0033393E" w:rsidRDefault="00670323" w:rsidP="00670323">
      <w:pPr>
        <w:pStyle w:val="Heading3"/>
      </w:pPr>
      <w:r w:rsidRPr="0033393E">
        <w:t xml:space="preserve"> The use  of measures and indicators to assess quality should not remove or diminish or unduly influence sound, evidence based clinical decisions and judgements. Commissioners should take steps to ensure that indicators are not abused as  perverse incentives to change clinical practice or ways of working which are inconsistent with delivery of high quality patient centred care.</w:t>
      </w:r>
    </w:p>
    <w:p w14:paraId="2DD68479" w14:textId="77777777" w:rsidR="00670323" w:rsidRPr="0033393E" w:rsidRDefault="00670323" w:rsidP="00670323">
      <w:pPr>
        <w:pStyle w:val="Heading3"/>
      </w:pPr>
      <w:r w:rsidRPr="0033393E">
        <w:t>Whilst most health care professionals practise to a very high standard and it is recognised that there is excellence in general practice, it is essential that Commissioners have in place a robust assurance management programme to identify and share best practice, recognise where additional management may be needed and to highlight when things are going wrong at an early stage in primary medical service provision.</w:t>
      </w:r>
    </w:p>
    <w:p w14:paraId="64306DA4" w14:textId="791D951D" w:rsidR="00670323" w:rsidRPr="00670323" w:rsidRDefault="00670323" w:rsidP="00670323">
      <w:pPr>
        <w:pStyle w:val="Heading3"/>
        <w:rPr>
          <w:rFonts w:eastAsia="Arial"/>
        </w:rPr>
      </w:pPr>
      <w:r w:rsidRPr="0033393E">
        <w:t xml:space="preserve">Through transparent measurement across practices within a CCG and CCGs within a regional area, the practice-Commissioner relationship provides a forum for collaborative and engaging discussions. Such engagement and collaboration recognises the contribution that each practice can make to both the quality of services to their registered patients and the wider impact to service delivery across the practice and wider CCG population. </w:t>
      </w:r>
    </w:p>
    <w:p w14:paraId="47CD25B1" w14:textId="6E4B33A9" w:rsidR="00670323" w:rsidRPr="0033393E" w:rsidRDefault="00670323" w:rsidP="00670323">
      <w:pPr>
        <w:pStyle w:val="Heading3"/>
      </w:pPr>
      <w:r w:rsidRPr="0033393E">
        <w:lastRenderedPageBreak/>
        <w:t>The usage of measures and indicators is to act as a starting place for conversations, asking questions along the way as to why variation may be occurring and acknowledging that variation may be warranted or unwarranted depending on the context and wider supporting information available. A practice visit may be needed to support further understanding when high levels of variation are occurring.</w:t>
      </w:r>
    </w:p>
    <w:p w14:paraId="3EE9706D" w14:textId="71948F6A" w:rsidR="00670323" w:rsidRPr="0033393E" w:rsidRDefault="00670323" w:rsidP="00670323">
      <w:pPr>
        <w:pStyle w:val="Heading3"/>
      </w:pPr>
      <w:r w:rsidRPr="0033393E">
        <w:t>If there are greater concerns about a practice, bordering on contractual failure, this will require a more formal conversation with the practice which should be led by the Commissioner. The focus will be the same for all practices:  support to improve, with market exit as a last resort.</w:t>
      </w:r>
    </w:p>
    <w:p w14:paraId="13E1BD6F" w14:textId="20111FF9" w:rsidR="00670323" w:rsidRPr="0033393E" w:rsidRDefault="00670323" w:rsidP="00670323">
      <w:pPr>
        <w:pStyle w:val="Heading3"/>
      </w:pPr>
      <w:r w:rsidRPr="0033393E">
        <w:t xml:space="preserve">Recognising that practice specific data alone is not conclusive evidence of poor service provision and needs to be considered within the context of the practice, the Commissioner will use a collection of information including national data (clinical indicators, quality outcome standards, appraisals, complaints etc.) and local intelligence (including conferring with stakeholders) in order to assess and mitigate any potential risk to service provision and patient safety within a practice. Where a potential or actual risk is identified, the Commissioner  will be expected to take the necessary steps to assure itself that adequate and effective support is being provided to reduce the risk, identify any ongoing areas for improvement and be able to demonstrate and measure that improvement. </w:t>
      </w:r>
    </w:p>
    <w:p w14:paraId="1AD56681" w14:textId="0BC37860" w:rsidR="00670323" w:rsidRPr="0033393E" w:rsidRDefault="00670323" w:rsidP="00670323">
      <w:pPr>
        <w:pStyle w:val="Heading3"/>
      </w:pPr>
      <w:r w:rsidRPr="0033393E">
        <w:t xml:space="preserve">NHS England provides Commissioners and GP practices with a centrally available set of pre-analysed data which the Commissioner must use to as part of it assessment  of  variation in the provision of primary medical services. This information has been developed and made available through a restricted access web interface available to anyone with an NHS email address. The web interface is available through an NHS restricted access log-in at </w:t>
      </w:r>
      <w:hyperlink r:id="rId42" w:history="1">
        <w:r w:rsidRPr="00137449">
          <w:rPr>
            <w:color w:val="0000FF"/>
            <w:u w:val="single"/>
          </w:rPr>
          <w:t>www.primarycare.nhs.uk</w:t>
        </w:r>
      </w:hyperlink>
    </w:p>
    <w:p w14:paraId="71123EE4" w14:textId="51F98E54" w:rsidR="00670323" w:rsidRPr="0033393E" w:rsidRDefault="00670323" w:rsidP="00670323">
      <w:pPr>
        <w:pStyle w:val="Heading3"/>
      </w:pPr>
      <w:r w:rsidRPr="0033393E">
        <w:t>Recognising the Commissioner retains contractual accountability and relying on the Practice/Commissioner</w:t>
      </w:r>
      <w:r w:rsidRPr="0033393E" w:rsidDel="0053640F">
        <w:t xml:space="preserve"> </w:t>
      </w:r>
      <w:r w:rsidRPr="0033393E">
        <w:t>/LMC relationship, supported by a centrally provided, transparent and consistent suite of measures, in conjunction with robust, fair and consistent guidance for the management of service and performance improvement, will help to ensure risks to quality and patient safety are addressed in a timely and proportionate manner.</w:t>
      </w:r>
    </w:p>
    <w:p w14:paraId="7D188CBC" w14:textId="4A04F2F4" w:rsidR="00670323" w:rsidRPr="0033393E" w:rsidRDefault="00670323" w:rsidP="00670323">
      <w:pPr>
        <w:pStyle w:val="Heading3"/>
      </w:pPr>
      <w:r w:rsidRPr="0033393E">
        <w:lastRenderedPageBreak/>
        <w:t>The approach described above provides for the Commissioner to assure the quality, safety and performance of each practice;</w:t>
      </w:r>
    </w:p>
    <w:p w14:paraId="31DC0BDF" w14:textId="77777777" w:rsidR="00670323" w:rsidRPr="0033393E" w:rsidRDefault="00670323" w:rsidP="00670323">
      <w:pPr>
        <w:pStyle w:val="Heading3"/>
      </w:pPr>
      <w:r w:rsidRPr="0033393E">
        <w:t xml:space="preserve">The Care Quality Commission is the independent regulator of health and adult social care in England.  It seeks to ensure services are safe, effective, compassionate and of delivered to a high quality, encouraging services to improve. The inspection of general practice includes five key questions of services  i.e. whether  services are: safe, effective, caring, responsive to people’s needs and well-led. CQC rates each of the five questions to give an overall rating for a practice, the rating categories used include: Outstanding, good, requires improvement and inadequate. These ratings and practice reports are available on the CQC website. </w:t>
      </w:r>
    </w:p>
    <w:p w14:paraId="61C0425A" w14:textId="2885851F" w:rsidR="00670323" w:rsidRPr="0033393E" w:rsidRDefault="00670323" w:rsidP="00670323">
      <w:pPr>
        <w:pStyle w:val="Heading3"/>
      </w:pPr>
      <w:r w:rsidRPr="0033393E">
        <w:t>CQC’s report State of Care in General Practice 20014-2017 (</w:t>
      </w:r>
      <w:hyperlink r:id="rId43" w:history="1">
        <w:r w:rsidRPr="0076270A">
          <w:rPr>
            <w:rStyle w:val="Hyperlink"/>
          </w:rPr>
          <w:t>http://www.cqc.org.uk/publications/major-report/state-care-general-practice-2014-2017</w:t>
        </w:r>
      </w:hyperlink>
      <w:r>
        <w:t xml:space="preserve">) </w:t>
      </w:r>
      <w:r w:rsidRPr="0033393E">
        <w:t xml:space="preserve"> highlights that one of the key determinants of GP practice providing high quality care, was a practice that is proactive in identifying the needs of their patient population as well as people’s health and care needs in the wider local population. Furthermore practices which were good or outstanding proactively support people to live healthy lives, recognise social aspects such as employment, housing and finance and then target such support towards people who are vulnerable. As well as engaging with the needs of patients, meeting local needs also meant engaging with external agencies, and networks and including the voluntary sector. CQC rating data indicate</w:t>
      </w:r>
      <w:r w:rsidR="00BC5F9C">
        <w:t>s</w:t>
      </w:r>
      <w:r w:rsidRPr="0033393E">
        <w:t xml:space="preserve"> that </w:t>
      </w:r>
      <w:r w:rsidR="00BC5F9C">
        <w:t>the</w:t>
      </w:r>
      <w:r w:rsidRPr="0033393E">
        <w:t xml:space="preserve"> majority of practices in England are rated as Good or Outstanding, with pockets of poor practice. </w:t>
      </w:r>
    </w:p>
    <w:p w14:paraId="27BE5675" w14:textId="672DFB2B" w:rsidR="00670323" w:rsidRPr="0033393E" w:rsidRDefault="00670323" w:rsidP="00670323">
      <w:pPr>
        <w:pStyle w:val="Heading3"/>
      </w:pPr>
      <w:r w:rsidRPr="0033393E">
        <w:t xml:space="preserve">The standards set by the Care Quality Commission (CQC) describe the characteristics of ‘good’ quality primary medical care. These are available on the CQC website: </w:t>
      </w:r>
      <w:hyperlink r:id="rId44" w:anchor="care-standards" w:history="1">
        <w:r w:rsidRPr="00670323">
          <w:rPr>
            <w:color w:val="0000FF"/>
            <w:u w:val="single"/>
          </w:rPr>
          <w:t>http://www.cqc.org.uk/guidance-providers/gps#care-standards</w:t>
        </w:r>
      </w:hyperlink>
    </w:p>
    <w:p w14:paraId="56A89ACD" w14:textId="0086623C" w:rsidR="00670323" w:rsidRPr="0033393E" w:rsidRDefault="00670323" w:rsidP="00670323">
      <w:pPr>
        <w:pStyle w:val="Heading3"/>
      </w:pPr>
      <w:r w:rsidRPr="0033393E">
        <w:t xml:space="preserve">Other definitions of good quality primary care which may also provide the starting point for discussions between practices and the Commissioner are </w:t>
      </w:r>
      <w:r w:rsidRPr="0033393E">
        <w:lastRenderedPageBreak/>
        <w:t>outlined in the Health Foundation publication “Improving quality in general practice”</w:t>
      </w:r>
      <w:r w:rsidRPr="0033393E">
        <w:rPr>
          <w:sz w:val="20"/>
          <w:szCs w:val="20"/>
          <w:vertAlign w:val="superscript"/>
        </w:rPr>
        <w:footnoteReference w:id="5"/>
      </w:r>
    </w:p>
    <w:p w14:paraId="1D47964C" w14:textId="77777777" w:rsidR="00670323" w:rsidRPr="0033393E" w:rsidRDefault="00670323" w:rsidP="00670323">
      <w:pPr>
        <w:pStyle w:val="Heading3"/>
      </w:pPr>
      <w:r w:rsidRPr="0033393E">
        <w:t>As excellent service provision cannot be discerned from a single set of measures or indicators</w:t>
      </w:r>
      <w:r w:rsidRPr="0033393E">
        <w:rPr>
          <w:szCs w:val="24"/>
        </w:rPr>
        <w:t>, NHS England primarily provide</w:t>
      </w:r>
      <w:r w:rsidRPr="0033393E">
        <w:t xml:space="preserve"> three sources of data and intelligence</w:t>
      </w:r>
      <w:r w:rsidRPr="0033393E">
        <w:rPr>
          <w:szCs w:val="24"/>
        </w:rPr>
        <w:t>.  Used alongside local knowledge, these may</w:t>
      </w:r>
      <w:r w:rsidRPr="0033393E">
        <w:t xml:space="preserve"> assist the Commissioner in assessing risk to service provision and patient safety </w:t>
      </w:r>
      <w:r w:rsidRPr="0033393E">
        <w:rPr>
          <w:szCs w:val="24"/>
        </w:rPr>
        <w:t xml:space="preserve">and therefore adherence to the contract.  This intelligence is provided through NHS England’s Primary Care website at </w:t>
      </w:r>
      <w:hyperlink r:id="rId45" w:history="1">
        <w:r w:rsidRPr="0033393E">
          <w:rPr>
            <w:rStyle w:val="Hyperlink"/>
            <w:rFonts w:eastAsiaTheme="majorEastAsia" w:cs="Arial"/>
            <w:szCs w:val="24"/>
          </w:rPr>
          <w:t>www.primarycare.nhs.uk</w:t>
        </w:r>
      </w:hyperlink>
      <w:r w:rsidRPr="0033393E">
        <w:rPr>
          <w:szCs w:val="24"/>
        </w:rPr>
        <w:t>;</w:t>
      </w:r>
    </w:p>
    <w:p w14:paraId="495DC572" w14:textId="77777777" w:rsidR="00670323" w:rsidRPr="00670323" w:rsidRDefault="00670323" w:rsidP="005A7DDA">
      <w:pPr>
        <w:pStyle w:val="Body3"/>
        <w:widowControl/>
        <w:numPr>
          <w:ilvl w:val="0"/>
          <w:numId w:val="122"/>
        </w:numPr>
        <w:spacing w:before="120" w:after="120" w:line="276" w:lineRule="auto"/>
        <w:rPr>
          <w:rFonts w:cs="Arial"/>
          <w:sz w:val="24"/>
          <w:szCs w:val="24"/>
        </w:rPr>
      </w:pPr>
      <w:r w:rsidRPr="00670323">
        <w:rPr>
          <w:rFonts w:cs="Arial"/>
          <w:sz w:val="24"/>
          <w:szCs w:val="24"/>
        </w:rPr>
        <w:t>A Practice profile (see annex 1) which describes the characteristics of each practice e.g. the demography of the population served. This information is updated annually and whilst it is unlikely to change significantly over time, it may contain specific information which when presented alongside clinical indicators, would provide a more complete picture and potential impact on achievement of certain standards e.g. the effect of student practices or those that serve more discreet populations (homeless, high BME, highly deprived etc).</w:t>
      </w:r>
    </w:p>
    <w:p w14:paraId="2D6C81D4" w14:textId="77777777" w:rsidR="00670323" w:rsidRPr="00670323" w:rsidRDefault="00670323" w:rsidP="005A7DDA">
      <w:pPr>
        <w:pStyle w:val="Body3"/>
        <w:widowControl/>
        <w:numPr>
          <w:ilvl w:val="0"/>
          <w:numId w:val="122"/>
        </w:numPr>
        <w:spacing w:before="120" w:after="120" w:line="276" w:lineRule="auto"/>
        <w:rPr>
          <w:rFonts w:cs="Arial"/>
          <w:sz w:val="24"/>
          <w:szCs w:val="24"/>
        </w:rPr>
      </w:pPr>
      <w:r w:rsidRPr="00670323">
        <w:rPr>
          <w:rFonts w:cs="Arial"/>
          <w:sz w:val="24"/>
          <w:szCs w:val="24"/>
        </w:rPr>
        <w:t>An annual GP practice electronic self-declaration (eDec). This includes information such as, operating policies, opening times and assurance of good workforce planning. This information will link with contractual requirements and may also contain responses to ‘reasonable requests for information’ e.g. from other governmental departments and bodies, parliamentary questions or freedom of information requests [</w:t>
      </w:r>
      <w:r w:rsidRPr="00670323">
        <w:rPr>
          <w:rFonts w:cs="Arial"/>
          <w:sz w:val="24"/>
          <w:szCs w:val="24"/>
        </w:rPr>
        <w:tab/>
      </w:r>
      <w:r w:rsidRPr="00670323">
        <w:rPr>
          <w:rFonts w:cs="Arial"/>
          <w:sz w:val="24"/>
          <w:szCs w:val="24"/>
        </w:rPr>
        <w:tab/>
        <w:t xml:space="preserve">]. The information declared will be shared with CQC , reducing the burden of separate information returns across organisations e.g. as part of pre-inspection information requests. </w:t>
      </w:r>
      <w:bookmarkStart w:id="200" w:name="page13"/>
      <w:bookmarkEnd w:id="200"/>
    </w:p>
    <w:p w14:paraId="36BD6C92" w14:textId="77777777" w:rsidR="00670323" w:rsidRPr="00670323" w:rsidRDefault="00670323" w:rsidP="005A7DDA">
      <w:pPr>
        <w:pStyle w:val="Body3"/>
        <w:widowControl/>
        <w:numPr>
          <w:ilvl w:val="0"/>
          <w:numId w:val="122"/>
        </w:numPr>
        <w:spacing w:before="120" w:after="120" w:line="276" w:lineRule="auto"/>
        <w:rPr>
          <w:rFonts w:cs="Arial"/>
          <w:sz w:val="24"/>
          <w:szCs w:val="24"/>
        </w:rPr>
      </w:pPr>
      <w:r w:rsidRPr="00670323">
        <w:rPr>
          <w:rFonts w:cs="Arial"/>
          <w:sz w:val="24"/>
          <w:szCs w:val="24"/>
        </w:rPr>
        <w:t xml:space="preserve">A suite of general practice measures and indicators supporting quality improvement, assurance and enabling benchmarking as these are shared transparently with all practices. This indicator set will apply to all GP practices in England, in order to allow for benchmarking comparisons to be made, within a CCG or wider regional areas, for example by grouping practices of other similar characteristics such index of multiple deprivation and list size, etc.   </w:t>
      </w:r>
    </w:p>
    <w:p w14:paraId="04541922" w14:textId="140CA02B" w:rsidR="00670323" w:rsidRPr="0033393E" w:rsidRDefault="00670323" w:rsidP="00670323">
      <w:pPr>
        <w:pStyle w:val="Heading3"/>
      </w:pPr>
      <w:r w:rsidRPr="0033393E">
        <w:t xml:space="preserve">These data should be used by Commissioners in the first instance to identify risk.  The suite of indicators are currently under review and will shortly be refined and updated.  The methodology is also being refined and once complete in Q4 of 2017/18, using an overall assessment methodology, it will </w:t>
      </w:r>
      <w:r w:rsidRPr="0033393E">
        <w:lastRenderedPageBreak/>
        <w:t>direct commissioners to those areas where potential areas or pockets of highest risk exist</w:t>
      </w:r>
    </w:p>
    <w:p w14:paraId="368FEA37" w14:textId="115AFA89" w:rsidR="00670323" w:rsidRPr="0033393E" w:rsidRDefault="00670323" w:rsidP="00670323">
      <w:pPr>
        <w:pStyle w:val="Heading3"/>
      </w:pPr>
      <w:r w:rsidRPr="0033393E">
        <w:t xml:space="preserve">It is acknowledged that these sources of data do not capture the full range of services provided by general practice, they are however an important starting point in helping individual practices, Commissioners and </w:t>
      </w:r>
      <w:r w:rsidRPr="00670323">
        <w:rPr>
          <w:szCs w:val="24"/>
        </w:rPr>
        <w:t>other stakeholders to</w:t>
      </w:r>
      <w:r w:rsidRPr="0033393E">
        <w:t xml:space="preserve"> build a rounded view of performance with a focus on objective service improvement and outcomes.</w:t>
      </w:r>
    </w:p>
    <w:p w14:paraId="4A1921D6" w14:textId="77777777" w:rsidR="00670323" w:rsidRPr="0033393E" w:rsidRDefault="00670323" w:rsidP="00670323">
      <w:pPr>
        <w:pStyle w:val="Heading3"/>
      </w:pPr>
      <w:r w:rsidRPr="0033393E">
        <w:t xml:space="preserve">There are very few circumstances where data alone will determine Commissioner intervention. . To ensure  flexibility, Commissioners should  review these three </w:t>
      </w:r>
      <w:r w:rsidRPr="0033393E">
        <w:rPr>
          <w:szCs w:val="24"/>
        </w:rPr>
        <w:t xml:space="preserve">primary </w:t>
      </w:r>
      <w:r w:rsidRPr="0033393E">
        <w:t xml:space="preserve">sources of data in order to </w:t>
      </w:r>
      <w:r w:rsidRPr="0033393E">
        <w:rPr>
          <w:szCs w:val="24"/>
        </w:rPr>
        <w:t>understand</w:t>
      </w:r>
      <w:r w:rsidRPr="0033393E">
        <w:t xml:space="preserve"> whether a practice requires support to improve or intervention, for example if the Commissioner considers there may be a risk to quality and patient safety. If necessary the Commissioner should  provide additional appropriate and adequate support, to be agreed with the practice. If despite that support a practice is unable to demonstrate improvement within a reasonable period, the Commissioner must determine whether it considers there is an actual cause for concern. This will require scrutiny of any other relevant sources of intelligence or data for example;</w:t>
      </w:r>
    </w:p>
    <w:p w14:paraId="4133F120" w14:textId="77777777" w:rsidR="00670323" w:rsidRPr="0033393E" w:rsidRDefault="00670323" w:rsidP="00670323">
      <w:pPr>
        <w:pStyle w:val="Body3"/>
        <w:spacing w:before="120" w:after="120" w:line="276" w:lineRule="auto"/>
        <w:ind w:left="765"/>
        <w:rPr>
          <w:rFonts w:cs="Arial"/>
          <w:szCs w:val="24"/>
        </w:rPr>
      </w:pPr>
    </w:p>
    <w:p w14:paraId="00B61F10" w14:textId="77777777" w:rsidR="00670323" w:rsidRPr="0033393E" w:rsidRDefault="00670323" w:rsidP="005A7DDA">
      <w:pPr>
        <w:pStyle w:val="ListParagraph"/>
        <w:numPr>
          <w:ilvl w:val="0"/>
          <w:numId w:val="118"/>
        </w:numPr>
        <w:spacing w:before="120" w:after="120" w:line="276" w:lineRule="auto"/>
        <w:rPr>
          <w:rFonts w:eastAsia="Arial" w:cs="Arial"/>
        </w:rPr>
      </w:pPr>
      <w:r w:rsidRPr="0033393E">
        <w:rPr>
          <w:rFonts w:eastAsia="Arial" w:cs="Arial"/>
        </w:rPr>
        <w:t>Additional and detailed practice data (PCCA tool)</w:t>
      </w:r>
    </w:p>
    <w:p w14:paraId="65D25265" w14:textId="77777777" w:rsidR="00670323" w:rsidRPr="0033393E" w:rsidRDefault="00670323" w:rsidP="005A7DDA">
      <w:pPr>
        <w:pStyle w:val="ListParagraph"/>
        <w:numPr>
          <w:ilvl w:val="0"/>
          <w:numId w:val="118"/>
        </w:numPr>
        <w:spacing w:before="120" w:after="120" w:line="276" w:lineRule="auto"/>
        <w:rPr>
          <w:rFonts w:eastAsia="Arial" w:cs="Arial"/>
        </w:rPr>
      </w:pPr>
      <w:r w:rsidRPr="0033393E">
        <w:rPr>
          <w:rFonts w:eastAsia="Arial" w:cs="Arial"/>
        </w:rPr>
        <w:t xml:space="preserve">Local intelligence including </w:t>
      </w:r>
      <w:r w:rsidRPr="0033393E">
        <w:rPr>
          <w:rFonts w:eastAsia="Arial" w:cs="Arial"/>
          <w:bCs w:val="0"/>
          <w:szCs w:val="24"/>
          <w:lang w:eastAsia="en-GB"/>
        </w:rPr>
        <w:t>the annual GP</w:t>
      </w:r>
      <w:r w:rsidRPr="0033393E">
        <w:rPr>
          <w:rFonts w:eastAsia="Arial" w:cs="Arial"/>
        </w:rPr>
        <w:t xml:space="preserve"> Practice electronic </w:t>
      </w:r>
      <w:r w:rsidRPr="0033393E">
        <w:rPr>
          <w:rFonts w:eastAsia="Arial" w:cs="Arial"/>
          <w:bCs w:val="0"/>
          <w:szCs w:val="24"/>
          <w:lang w:eastAsia="en-GB"/>
        </w:rPr>
        <w:t>self-</w:t>
      </w:r>
      <w:r w:rsidRPr="0033393E">
        <w:rPr>
          <w:rFonts w:eastAsia="Arial" w:cs="Arial"/>
        </w:rPr>
        <w:t xml:space="preserve">declaration </w:t>
      </w:r>
      <w:r w:rsidRPr="0033393E">
        <w:rPr>
          <w:rFonts w:eastAsia="Arial" w:cs="Arial"/>
          <w:bCs w:val="0"/>
          <w:szCs w:val="24"/>
          <w:lang w:eastAsia="en-GB"/>
        </w:rPr>
        <w:t xml:space="preserve">(eDec) </w:t>
      </w:r>
      <w:r w:rsidRPr="0033393E">
        <w:rPr>
          <w:rFonts w:eastAsia="Arial" w:cs="Arial"/>
        </w:rPr>
        <w:t>submission.</w:t>
      </w:r>
    </w:p>
    <w:p w14:paraId="50AFE5A0" w14:textId="77777777" w:rsidR="00670323" w:rsidRPr="0033393E" w:rsidRDefault="00670323" w:rsidP="005A7DDA">
      <w:pPr>
        <w:pStyle w:val="ListParagraph"/>
        <w:numPr>
          <w:ilvl w:val="0"/>
          <w:numId w:val="118"/>
        </w:numPr>
        <w:spacing w:before="120" w:after="120" w:line="276" w:lineRule="auto"/>
        <w:rPr>
          <w:rFonts w:eastAsia="Arial" w:cs="Arial"/>
        </w:rPr>
      </w:pPr>
      <w:r w:rsidRPr="0033393E">
        <w:rPr>
          <w:rFonts w:eastAsia="Arial" w:cs="Arial"/>
        </w:rPr>
        <w:t xml:space="preserve">CQC practice reports </w:t>
      </w:r>
    </w:p>
    <w:p w14:paraId="070916E0" w14:textId="77777777" w:rsidR="00670323" w:rsidRPr="0033393E" w:rsidRDefault="00670323" w:rsidP="005A7DDA">
      <w:pPr>
        <w:pStyle w:val="ListParagraph"/>
        <w:numPr>
          <w:ilvl w:val="0"/>
          <w:numId w:val="118"/>
        </w:numPr>
        <w:spacing w:before="120" w:after="120" w:line="276" w:lineRule="auto"/>
        <w:rPr>
          <w:rFonts w:eastAsia="Arial" w:cs="Arial"/>
        </w:rPr>
      </w:pPr>
      <w:r w:rsidRPr="0033393E">
        <w:rPr>
          <w:rFonts w:eastAsia="Arial" w:cs="Arial"/>
        </w:rPr>
        <w:t xml:space="preserve">Public Health England GP practice profiles: </w:t>
      </w:r>
      <w:hyperlink r:id="rId46" w:history="1">
        <w:r w:rsidRPr="0033393E">
          <w:rPr>
            <w:rStyle w:val="Hyperlink"/>
            <w:rFonts w:eastAsia="Arial" w:cs="Arial"/>
          </w:rPr>
          <w:t>http://fingertips.phe.org.uk/profile/general-practice</w:t>
        </w:r>
      </w:hyperlink>
      <w:r w:rsidRPr="0033393E">
        <w:rPr>
          <w:rFonts w:eastAsia="Arial" w:cs="Arial"/>
        </w:rPr>
        <w:t xml:space="preserve"> </w:t>
      </w:r>
    </w:p>
    <w:p w14:paraId="02BF4A7F" w14:textId="77777777" w:rsidR="00670323" w:rsidRPr="0033393E" w:rsidRDefault="00670323" w:rsidP="005A7DDA">
      <w:pPr>
        <w:pStyle w:val="ListParagraph"/>
        <w:numPr>
          <w:ilvl w:val="0"/>
          <w:numId w:val="118"/>
        </w:numPr>
        <w:spacing w:before="120" w:after="120" w:line="276" w:lineRule="auto"/>
        <w:rPr>
          <w:rFonts w:eastAsia="Arial" w:cs="Arial"/>
        </w:rPr>
      </w:pPr>
      <w:r w:rsidRPr="0033393E">
        <w:rPr>
          <w:rFonts w:eastAsia="Arial" w:cs="Arial"/>
        </w:rPr>
        <w:t xml:space="preserve">K041b complaints indicator set made by or on behalf of patients: </w:t>
      </w:r>
      <w:hyperlink r:id="rId47" w:history="1">
        <w:r w:rsidRPr="0033393E">
          <w:rPr>
            <w:rFonts w:eastAsia="Arial" w:cs="Arial"/>
            <w:color w:val="0000FF"/>
            <w:u w:val="single"/>
          </w:rPr>
          <w:t>http://content.digital.nhs.uk/datacollections/ko41b</w:t>
        </w:r>
      </w:hyperlink>
    </w:p>
    <w:p w14:paraId="7F99A9AC" w14:textId="77777777" w:rsidR="00670323" w:rsidRPr="0033393E" w:rsidRDefault="00670323" w:rsidP="005A7DDA">
      <w:pPr>
        <w:pStyle w:val="ListParagraph"/>
        <w:numPr>
          <w:ilvl w:val="0"/>
          <w:numId w:val="118"/>
        </w:numPr>
        <w:spacing w:before="120" w:after="120" w:line="276" w:lineRule="auto"/>
        <w:rPr>
          <w:rFonts w:eastAsia="Arial" w:cs="Arial"/>
        </w:rPr>
      </w:pPr>
      <w:r w:rsidRPr="0033393E">
        <w:rPr>
          <w:rFonts w:eastAsia="Arial" w:cs="Arial"/>
        </w:rPr>
        <w:t xml:space="preserve">Friends and Family Test: </w:t>
      </w:r>
      <w:hyperlink r:id="rId48" w:history="1">
        <w:r w:rsidRPr="0033393E">
          <w:rPr>
            <w:rStyle w:val="Hyperlink"/>
            <w:rFonts w:eastAsia="Arial" w:cs="Arial"/>
          </w:rPr>
          <w:t>https://www.england.nhs.uk/ourwork/pe/fft/friends-and-family-test-data/</w:t>
        </w:r>
      </w:hyperlink>
    </w:p>
    <w:p w14:paraId="450F2CE3" w14:textId="77777777" w:rsidR="00670323" w:rsidRPr="0033393E" w:rsidRDefault="00670323" w:rsidP="005A7DDA">
      <w:pPr>
        <w:pStyle w:val="ListParagraph"/>
        <w:numPr>
          <w:ilvl w:val="0"/>
          <w:numId w:val="118"/>
        </w:numPr>
        <w:spacing w:before="120" w:after="120" w:line="276" w:lineRule="auto"/>
        <w:rPr>
          <w:rFonts w:eastAsia="Arial" w:cs="Arial"/>
        </w:rPr>
      </w:pPr>
      <w:r w:rsidRPr="0033393E">
        <w:rPr>
          <w:rFonts w:eastAsia="Arial" w:cs="Arial"/>
        </w:rPr>
        <w:t xml:space="preserve">General Practice Patient Survey: </w:t>
      </w:r>
      <w:hyperlink r:id="rId49" w:history="1">
        <w:r w:rsidRPr="0033393E">
          <w:rPr>
            <w:rFonts w:eastAsia="Arial" w:cs="Arial"/>
            <w:color w:val="0000FF"/>
            <w:u w:val="single"/>
          </w:rPr>
          <w:t>https://gp-patient.co.uk/</w:t>
        </w:r>
      </w:hyperlink>
      <w:r w:rsidRPr="0033393E">
        <w:rPr>
          <w:rFonts w:eastAsia="Arial" w:cs="Arial"/>
        </w:rPr>
        <w:t xml:space="preserve"> </w:t>
      </w:r>
    </w:p>
    <w:p w14:paraId="7239E58A" w14:textId="77777777" w:rsidR="00670323" w:rsidRPr="0033393E" w:rsidRDefault="00670323" w:rsidP="005A7DDA">
      <w:pPr>
        <w:pStyle w:val="ListParagraph"/>
        <w:numPr>
          <w:ilvl w:val="0"/>
          <w:numId w:val="118"/>
        </w:numPr>
        <w:spacing w:before="120" w:after="120" w:line="276" w:lineRule="auto"/>
        <w:rPr>
          <w:rFonts w:eastAsia="Arial" w:cs="Arial"/>
        </w:rPr>
      </w:pPr>
      <w:r w:rsidRPr="0033393E">
        <w:rPr>
          <w:rFonts w:eastAsia="Arial" w:cs="Arial"/>
        </w:rPr>
        <w:t xml:space="preserve">NHS Right Care future indicator sets for general practice:  </w:t>
      </w:r>
      <w:hyperlink r:id="rId50" w:history="1">
        <w:r w:rsidRPr="0033393E">
          <w:rPr>
            <w:rStyle w:val="Hyperlink"/>
            <w:rFonts w:eastAsia="Arial" w:cs="Arial"/>
          </w:rPr>
          <w:t>https://www.england.nhs.uk/rightcare/intel/</w:t>
        </w:r>
      </w:hyperlink>
    </w:p>
    <w:p w14:paraId="3227E09C" w14:textId="77777777" w:rsidR="00670323" w:rsidRPr="0033393E" w:rsidRDefault="00670323" w:rsidP="005A7DDA">
      <w:pPr>
        <w:pStyle w:val="ListParagraph"/>
        <w:numPr>
          <w:ilvl w:val="0"/>
          <w:numId w:val="118"/>
        </w:numPr>
        <w:spacing w:before="120" w:after="120" w:line="276" w:lineRule="auto"/>
        <w:rPr>
          <w:rFonts w:eastAsia="Arial" w:cs="Arial"/>
        </w:rPr>
      </w:pPr>
      <w:r w:rsidRPr="0033393E">
        <w:rPr>
          <w:rFonts w:eastAsia="Arial" w:cs="Arial"/>
        </w:rPr>
        <w:t>Performer performance/concerns (if appropriate)</w:t>
      </w:r>
    </w:p>
    <w:p w14:paraId="3EE095B7" w14:textId="77777777" w:rsidR="00670323" w:rsidRPr="0033393E" w:rsidRDefault="00670323" w:rsidP="005A7DDA">
      <w:pPr>
        <w:pStyle w:val="ListParagraph"/>
        <w:numPr>
          <w:ilvl w:val="0"/>
          <w:numId w:val="118"/>
        </w:numPr>
        <w:spacing w:before="120" w:after="120" w:line="276" w:lineRule="auto"/>
        <w:rPr>
          <w:rFonts w:eastAsia="Arial" w:cs="Arial"/>
        </w:rPr>
      </w:pPr>
      <w:r w:rsidRPr="0033393E">
        <w:rPr>
          <w:rFonts w:eastAsia="Arial" w:cs="Arial"/>
        </w:rPr>
        <w:t>CCG engagement and relationship</w:t>
      </w:r>
    </w:p>
    <w:p w14:paraId="48DC6D8A" w14:textId="77777777" w:rsidR="00670323" w:rsidRPr="0033393E" w:rsidRDefault="00670323" w:rsidP="005A7DDA">
      <w:pPr>
        <w:pStyle w:val="ListParagraph"/>
        <w:numPr>
          <w:ilvl w:val="0"/>
          <w:numId w:val="118"/>
        </w:numPr>
        <w:spacing w:before="120" w:after="120" w:line="276" w:lineRule="auto"/>
        <w:rPr>
          <w:rFonts w:eastAsia="Arial" w:cs="Arial"/>
        </w:rPr>
      </w:pPr>
      <w:r w:rsidRPr="0033393E">
        <w:rPr>
          <w:rFonts w:eastAsia="Arial" w:cs="Arial"/>
        </w:rPr>
        <w:t>LMC intelligence</w:t>
      </w:r>
    </w:p>
    <w:p w14:paraId="4B631BBA" w14:textId="77777777" w:rsidR="00670323" w:rsidRPr="0033393E" w:rsidRDefault="00670323" w:rsidP="005A7DDA">
      <w:pPr>
        <w:pStyle w:val="ListParagraph"/>
        <w:numPr>
          <w:ilvl w:val="0"/>
          <w:numId w:val="118"/>
        </w:numPr>
        <w:spacing w:before="120" w:after="120" w:line="276" w:lineRule="auto"/>
        <w:rPr>
          <w:rFonts w:eastAsia="Arial" w:cs="Arial"/>
        </w:rPr>
      </w:pPr>
      <w:r w:rsidRPr="0033393E">
        <w:rPr>
          <w:rFonts w:eastAsia="Arial" w:cs="Arial"/>
        </w:rPr>
        <w:t>Practice phone call or visit</w:t>
      </w:r>
    </w:p>
    <w:p w14:paraId="342B8B2F" w14:textId="77777777" w:rsidR="00670323" w:rsidRPr="0033393E" w:rsidRDefault="00670323" w:rsidP="005A7DDA">
      <w:pPr>
        <w:pStyle w:val="ListParagraph"/>
        <w:numPr>
          <w:ilvl w:val="0"/>
          <w:numId w:val="118"/>
        </w:numPr>
        <w:spacing w:before="120" w:after="120" w:line="276" w:lineRule="auto"/>
        <w:rPr>
          <w:rFonts w:eastAsia="Arial" w:cs="Arial"/>
        </w:rPr>
      </w:pPr>
      <w:r w:rsidRPr="0033393E">
        <w:rPr>
          <w:rFonts w:eastAsia="Arial" w:cs="Arial"/>
        </w:rPr>
        <w:lastRenderedPageBreak/>
        <w:t xml:space="preserve">Medicines optimisation dashboard </w:t>
      </w:r>
      <w:hyperlink r:id="rId51" w:history="1">
        <w:r w:rsidRPr="0033393E">
          <w:rPr>
            <w:rStyle w:val="Hyperlink"/>
            <w:rFonts w:eastAsiaTheme="majorEastAsia" w:cs="Arial"/>
          </w:rPr>
          <w:t>https://www.england.nhs.uk/medicines/medicines-optimisation/dashboard/</w:t>
        </w:r>
      </w:hyperlink>
    </w:p>
    <w:p w14:paraId="05875109" w14:textId="77777777" w:rsidR="00670323" w:rsidRPr="0033393E" w:rsidRDefault="00670323" w:rsidP="005A7DDA">
      <w:pPr>
        <w:pStyle w:val="ListParagraph"/>
        <w:numPr>
          <w:ilvl w:val="0"/>
          <w:numId w:val="118"/>
        </w:numPr>
        <w:spacing w:before="120" w:after="120" w:line="276" w:lineRule="auto"/>
        <w:rPr>
          <w:rFonts w:eastAsia="Arial" w:cs="Arial"/>
        </w:rPr>
      </w:pPr>
      <w:r w:rsidRPr="0033393E">
        <w:rPr>
          <w:rFonts w:eastAsia="Arial" w:cs="Arial"/>
        </w:rPr>
        <w:t>GP Workload tool and appointments data (once published)</w:t>
      </w:r>
    </w:p>
    <w:p w14:paraId="333C7A45" w14:textId="77777777" w:rsidR="00670323" w:rsidRPr="0033393E" w:rsidRDefault="00670323" w:rsidP="00670323">
      <w:pPr>
        <w:spacing w:before="120" w:after="120" w:line="276" w:lineRule="auto"/>
        <w:rPr>
          <w:rFonts w:eastAsia="Arial" w:cs="Arial"/>
        </w:rPr>
      </w:pPr>
    </w:p>
    <w:p w14:paraId="4AA00C13" w14:textId="28E2FD45" w:rsidR="00670323" w:rsidRPr="00670323" w:rsidRDefault="00670323" w:rsidP="00670323">
      <w:pPr>
        <w:pStyle w:val="Heading3"/>
        <w:rPr>
          <w:rFonts w:eastAsia="Arial"/>
          <w:szCs w:val="24"/>
          <w:lang w:eastAsia="en-GB"/>
        </w:rPr>
      </w:pPr>
      <w:r w:rsidRPr="0033393E">
        <w:t xml:space="preserve">Data alone (whether derived from the above or the three key sources) is not however a panacea. The Commissioner must consider the practice in the context of wider determining factors (eg social deprivation, health needs, population profile, resourcing, to name but a few). </w:t>
      </w:r>
    </w:p>
    <w:p w14:paraId="78FC05BF" w14:textId="77777777" w:rsidR="00670323" w:rsidRPr="0033393E" w:rsidRDefault="00670323" w:rsidP="00670323">
      <w:pPr>
        <w:pStyle w:val="Heading3"/>
        <w:rPr>
          <w:szCs w:val="24"/>
        </w:rPr>
      </w:pPr>
      <w:r w:rsidRPr="0033393E">
        <w:t>There are numerous examples of data being used inappropriately and contrary to the purpose for which it was collected; one such non healthcare related example is provided below.</w:t>
      </w:r>
      <w:r w:rsidRPr="0033393E">
        <w:rPr>
          <w:szCs w:val="24"/>
        </w:rPr>
        <w:t xml:space="preserve"> This example is intended to reinforce the concept of using data appropriately, in context and as part of a wider suite of factual intelligence to make informed decisions.</w:t>
      </w:r>
    </w:p>
    <w:p w14:paraId="77757036" w14:textId="77777777" w:rsidR="00670323" w:rsidRPr="0033393E" w:rsidRDefault="00670323" w:rsidP="00670323">
      <w:pPr>
        <w:spacing w:before="120" w:after="120" w:line="276" w:lineRule="auto"/>
        <w:rPr>
          <w:rFonts w:eastAsia="Arial" w:cs="Arial"/>
        </w:rPr>
      </w:pPr>
    </w:p>
    <w:p w14:paraId="6F5EC352" w14:textId="77777777" w:rsidR="00670323" w:rsidRPr="0033393E" w:rsidRDefault="00670323" w:rsidP="00670323">
      <w:pPr>
        <w:spacing w:before="120" w:after="120" w:line="276" w:lineRule="auto"/>
        <w:ind w:left="1440" w:right="180"/>
        <w:rPr>
          <w:rFonts w:eastAsia="Arial" w:cs="Arial"/>
          <w:i/>
        </w:rPr>
      </w:pPr>
      <w:r w:rsidRPr="0033393E">
        <w:rPr>
          <w:rFonts w:eastAsia="Arial" w:cs="Arial"/>
          <w:i/>
        </w:rPr>
        <w:t>The Bhoomi Project was an ambitious effort by the southern Indian state of Karnataka to digitize some 20 million land titles, making them more accessible. It was supposed to be a shining example of governance and open data that would benefit everyone and bring new efficiencies to the world’s largest democracy. Instead, the portal proved a boon to corporations and the wealthy, who hired lawyers and predatory land agents to challenge titles, hunt for errors in documentation, exploit gaps in records, identify targets for bribery, and snap up property. An initiative that was intended to level the playing field for small landholders ended up penalising them and bribery costs and processing time actually increased.</w:t>
      </w:r>
    </w:p>
    <w:p w14:paraId="21781CCC" w14:textId="77777777" w:rsidR="00670323" w:rsidRPr="0033393E" w:rsidRDefault="00670323" w:rsidP="00670323">
      <w:pPr>
        <w:spacing w:before="120" w:after="120" w:line="276" w:lineRule="auto"/>
        <w:rPr>
          <w:rFonts w:cs="Arial"/>
          <w:bCs w:val="0"/>
          <w:szCs w:val="24"/>
          <w:lang w:eastAsia="en-GB"/>
        </w:rPr>
      </w:pPr>
    </w:p>
    <w:p w14:paraId="17F58944" w14:textId="77777777" w:rsidR="00670323" w:rsidRPr="0033393E" w:rsidRDefault="00670323" w:rsidP="00670323">
      <w:pPr>
        <w:pStyle w:val="Heading3"/>
      </w:pPr>
      <w:r w:rsidRPr="0033393E">
        <w:t xml:space="preserve">Underlying this approach is the recognition that  the best way of ensuring  continued excellence lies in the consistent and proportionate application of </w:t>
      </w:r>
      <w:r w:rsidRPr="0033393E">
        <w:rPr>
          <w:szCs w:val="24"/>
        </w:rPr>
        <w:t>an</w:t>
      </w:r>
      <w:r w:rsidRPr="0033393E">
        <w:t xml:space="preserve"> assurance </w:t>
      </w:r>
      <w:r w:rsidRPr="0033393E">
        <w:rPr>
          <w:szCs w:val="24"/>
        </w:rPr>
        <w:t>framework</w:t>
      </w:r>
      <w:r w:rsidRPr="0033393E">
        <w:t xml:space="preserve"> which requires Commissioners to consider multiple sources of reliable and accurate information and intelligence against relevant and specific criteria. .</w:t>
      </w:r>
    </w:p>
    <w:p w14:paraId="419FB04C" w14:textId="77777777" w:rsidR="00670323" w:rsidRPr="0033393E" w:rsidRDefault="00670323" w:rsidP="00670323">
      <w:pPr>
        <w:pStyle w:val="Body3"/>
        <w:spacing w:before="120" w:after="120" w:line="276" w:lineRule="auto"/>
        <w:ind w:left="0"/>
        <w:rPr>
          <w:rFonts w:cs="Arial"/>
        </w:rPr>
      </w:pPr>
    </w:p>
    <w:p w14:paraId="263B2F19" w14:textId="77777777" w:rsidR="00670323" w:rsidRPr="0033393E" w:rsidRDefault="00670323" w:rsidP="00670323">
      <w:pPr>
        <w:pStyle w:val="Heading2"/>
      </w:pPr>
      <w:bookmarkStart w:id="201" w:name="_Toc498495347"/>
      <w:r w:rsidRPr="0033393E">
        <w:t>Practice Visit – Best Practice</w:t>
      </w:r>
      <w:bookmarkEnd w:id="201"/>
    </w:p>
    <w:p w14:paraId="478AA39B" w14:textId="77777777" w:rsidR="00670323" w:rsidRPr="0033393E" w:rsidRDefault="00670323" w:rsidP="00670323">
      <w:pPr>
        <w:spacing w:before="120" w:after="120" w:line="276" w:lineRule="auto"/>
        <w:rPr>
          <w:rFonts w:cs="Arial"/>
        </w:rPr>
      </w:pPr>
    </w:p>
    <w:p w14:paraId="732EDB4E" w14:textId="3DC62F51" w:rsidR="00670323" w:rsidRPr="00670323" w:rsidRDefault="00670323" w:rsidP="00670323">
      <w:pPr>
        <w:pStyle w:val="Heading3"/>
        <w:rPr>
          <w:szCs w:val="24"/>
          <w:lang w:eastAsia="en-GB"/>
        </w:rPr>
      </w:pPr>
      <w:r w:rsidRPr="0033393E">
        <w:lastRenderedPageBreak/>
        <w:t>The Commissioner remains accountable for contract management, a co-ordinated practice</w:t>
      </w:r>
      <w:r w:rsidRPr="00670323">
        <w:rPr>
          <w:szCs w:val="24"/>
        </w:rPr>
        <w:t xml:space="preserve"> / </w:t>
      </w:r>
      <w:r w:rsidRPr="0033393E">
        <w:t>Commissioner /</w:t>
      </w:r>
      <w:r w:rsidRPr="00670323">
        <w:rPr>
          <w:szCs w:val="24"/>
        </w:rPr>
        <w:t xml:space="preserve"> CQC / </w:t>
      </w:r>
      <w:r w:rsidRPr="0033393E">
        <w:t xml:space="preserve">LMC relationship provides an opportunity for an engaging and collaborative discussion that covers each practice’s quality and achievement across a range of agreed standards, be that in respect of the service provided by a practice or a practices use of for example, secondary care services. </w:t>
      </w:r>
    </w:p>
    <w:p w14:paraId="07793C7D" w14:textId="712B31AD" w:rsidR="00670323" w:rsidRPr="0033393E" w:rsidRDefault="00670323" w:rsidP="00670323">
      <w:pPr>
        <w:pStyle w:val="Heading3"/>
      </w:pPr>
      <w:r w:rsidRPr="0033393E">
        <w:t>By way of an example and to provide clarity, a Commissioner may have a conversation with a member practice, which from an initial view, appears to have a disproportionate number of emergency admissions for conditions usually managed in primary care. This in itself may not necessarily indicate a problem, but allows the Commissioner to understand the implications in the wider commissioning arrangements.</w:t>
      </w:r>
    </w:p>
    <w:p w14:paraId="51124BBE" w14:textId="77777777" w:rsidR="00670323" w:rsidRPr="0033393E" w:rsidRDefault="00670323" w:rsidP="00670323">
      <w:pPr>
        <w:pStyle w:val="Heading3"/>
      </w:pPr>
      <w:r w:rsidRPr="0033393E">
        <w:t xml:space="preserve">The Commissioner will  not necessarily focus solely on the contractual requirements and may include quality improvement </w:t>
      </w:r>
      <w:r w:rsidRPr="0033393E">
        <w:rPr>
          <w:szCs w:val="24"/>
        </w:rPr>
        <w:t xml:space="preserve">and health outcomes to ensure it is meeting its duties to improve quality and secure good public health in the population. . </w:t>
      </w:r>
    </w:p>
    <w:p w14:paraId="45F0AB0A" w14:textId="77777777" w:rsidR="00670323" w:rsidRPr="0033393E" w:rsidRDefault="00670323" w:rsidP="00670323">
      <w:pPr>
        <w:spacing w:before="120" w:after="120" w:line="276" w:lineRule="auto"/>
        <w:rPr>
          <w:rFonts w:cs="Arial"/>
        </w:rPr>
      </w:pPr>
    </w:p>
    <w:p w14:paraId="3CDE7181" w14:textId="77777777" w:rsidR="00670323" w:rsidRPr="00670323" w:rsidRDefault="00670323" w:rsidP="00670323">
      <w:pPr>
        <w:pStyle w:val="Heading3"/>
        <w:rPr>
          <w:b/>
          <w:u w:val="single"/>
        </w:rPr>
      </w:pPr>
      <w:r w:rsidRPr="00670323">
        <w:rPr>
          <w:b/>
          <w:u w:val="single"/>
        </w:rPr>
        <w:t>Practice Visits – Practical Support</w:t>
      </w:r>
    </w:p>
    <w:p w14:paraId="211D9F61" w14:textId="77777777" w:rsidR="00670323" w:rsidRDefault="00670323" w:rsidP="00670323">
      <w:pPr>
        <w:spacing w:before="120" w:after="120" w:line="276" w:lineRule="auto"/>
        <w:rPr>
          <w:rFonts w:cs="Arial"/>
          <w:b/>
          <w:szCs w:val="24"/>
          <w:u w:val="single"/>
        </w:rPr>
      </w:pPr>
    </w:p>
    <w:p w14:paraId="0F25010D" w14:textId="77777777" w:rsidR="00670323" w:rsidRPr="00670323" w:rsidRDefault="00670323" w:rsidP="00670323">
      <w:pPr>
        <w:pStyle w:val="Heading3"/>
        <w:rPr>
          <w:b/>
          <w:u w:val="single"/>
        </w:rPr>
      </w:pPr>
      <w:r w:rsidRPr="00670323">
        <w:rPr>
          <w:b/>
          <w:u w:val="single"/>
        </w:rPr>
        <w:t>Understand the background</w:t>
      </w:r>
    </w:p>
    <w:p w14:paraId="19A5FB1C" w14:textId="03930AB7" w:rsidR="00670323" w:rsidRPr="0033393E" w:rsidRDefault="00683EF4" w:rsidP="0000534D">
      <w:pPr>
        <w:pStyle w:val="Heading3"/>
      </w:pPr>
      <w:r>
        <w:t>To align with the commitment to reduce burden and bureaucracy</w:t>
      </w:r>
      <w:r w:rsidRPr="00683EF4">
        <w:t xml:space="preserve">, commissioners should consider whether other practice visits may be planned or recently undertaken to avoid unnecessary duplication. Such visits may be planned by </w:t>
      </w:r>
      <w:r>
        <w:t xml:space="preserve">CQC </w:t>
      </w:r>
      <w:r w:rsidRPr="00683EF4">
        <w:t xml:space="preserve">or </w:t>
      </w:r>
      <w:r>
        <w:t>H</w:t>
      </w:r>
      <w:r w:rsidRPr="00683EF4">
        <w:t xml:space="preserve">ealth </w:t>
      </w:r>
      <w:r>
        <w:t>E</w:t>
      </w:r>
      <w:r w:rsidRPr="00683EF4">
        <w:t xml:space="preserve">ducation </w:t>
      </w:r>
      <w:r>
        <w:t>E</w:t>
      </w:r>
      <w:r w:rsidRPr="00683EF4">
        <w:t>ngland in relation to regulation or educational standards</w:t>
      </w:r>
    </w:p>
    <w:p w14:paraId="0F9F1B2B" w14:textId="77777777" w:rsidR="00670323" w:rsidRPr="0033393E" w:rsidRDefault="00670323" w:rsidP="00670323">
      <w:pPr>
        <w:pStyle w:val="Heading3"/>
      </w:pPr>
      <w:r w:rsidRPr="0033393E">
        <w:t>Visits to practices may originate from many areas and may be formal or informal. The reasons for visiting a practice may be for:</w:t>
      </w:r>
    </w:p>
    <w:p w14:paraId="2BC24DB3" w14:textId="77777777" w:rsidR="00670323" w:rsidRPr="0033393E" w:rsidRDefault="00670323" w:rsidP="005A7DDA">
      <w:pPr>
        <w:pStyle w:val="ListParagraph"/>
        <w:numPr>
          <w:ilvl w:val="0"/>
          <w:numId w:val="119"/>
        </w:numPr>
        <w:spacing w:before="120" w:after="120" w:line="276" w:lineRule="auto"/>
        <w:rPr>
          <w:rFonts w:cs="Arial"/>
          <w:szCs w:val="24"/>
        </w:rPr>
      </w:pPr>
      <w:r w:rsidRPr="0033393E">
        <w:rPr>
          <w:rFonts w:cs="Arial"/>
          <w:szCs w:val="24"/>
        </w:rPr>
        <w:t>List closure application</w:t>
      </w:r>
    </w:p>
    <w:p w14:paraId="582B947B" w14:textId="77777777" w:rsidR="00670323" w:rsidRPr="0033393E" w:rsidRDefault="00670323" w:rsidP="005A7DDA">
      <w:pPr>
        <w:pStyle w:val="ListParagraph"/>
        <w:numPr>
          <w:ilvl w:val="0"/>
          <w:numId w:val="119"/>
        </w:numPr>
        <w:spacing w:before="120" w:after="120" w:line="276" w:lineRule="auto"/>
        <w:rPr>
          <w:rFonts w:cs="Arial"/>
          <w:szCs w:val="24"/>
        </w:rPr>
      </w:pPr>
      <w:r w:rsidRPr="0033393E">
        <w:rPr>
          <w:rFonts w:cs="Arial"/>
          <w:szCs w:val="24"/>
        </w:rPr>
        <w:t>CQC report</w:t>
      </w:r>
    </w:p>
    <w:p w14:paraId="1AEC2554" w14:textId="77777777" w:rsidR="00670323" w:rsidRPr="0033393E" w:rsidRDefault="00670323" w:rsidP="005A7DDA">
      <w:pPr>
        <w:pStyle w:val="ListParagraph"/>
        <w:numPr>
          <w:ilvl w:val="0"/>
          <w:numId w:val="119"/>
        </w:numPr>
        <w:spacing w:before="120" w:after="120" w:line="276" w:lineRule="auto"/>
        <w:rPr>
          <w:rFonts w:cs="Arial"/>
          <w:szCs w:val="24"/>
        </w:rPr>
      </w:pPr>
      <w:r w:rsidRPr="0033393E">
        <w:rPr>
          <w:rFonts w:cs="Arial"/>
          <w:szCs w:val="24"/>
        </w:rPr>
        <w:t>New contractor visits</w:t>
      </w:r>
    </w:p>
    <w:p w14:paraId="7060B78B" w14:textId="77777777" w:rsidR="00670323" w:rsidRPr="0033393E" w:rsidRDefault="00670323" w:rsidP="005A7DDA">
      <w:pPr>
        <w:pStyle w:val="ListParagraph"/>
        <w:numPr>
          <w:ilvl w:val="0"/>
          <w:numId w:val="119"/>
        </w:numPr>
        <w:spacing w:before="120" w:after="120" w:line="276" w:lineRule="auto"/>
        <w:rPr>
          <w:rFonts w:cs="Arial"/>
          <w:szCs w:val="24"/>
        </w:rPr>
      </w:pPr>
      <w:r w:rsidRPr="0033393E">
        <w:rPr>
          <w:rFonts w:cs="Arial"/>
          <w:szCs w:val="24"/>
        </w:rPr>
        <w:t>Practice support</w:t>
      </w:r>
    </w:p>
    <w:p w14:paraId="496E39E5" w14:textId="77777777" w:rsidR="00670323" w:rsidRPr="0033393E" w:rsidRDefault="00670323" w:rsidP="005A7DDA">
      <w:pPr>
        <w:pStyle w:val="ListParagraph"/>
        <w:numPr>
          <w:ilvl w:val="0"/>
          <w:numId w:val="119"/>
        </w:numPr>
        <w:spacing w:before="120" w:after="120" w:line="276" w:lineRule="auto"/>
        <w:rPr>
          <w:rFonts w:cs="Arial"/>
          <w:szCs w:val="24"/>
        </w:rPr>
      </w:pPr>
      <w:r w:rsidRPr="0033393E">
        <w:rPr>
          <w:rFonts w:cs="Arial"/>
          <w:szCs w:val="24"/>
        </w:rPr>
        <w:t>Investigation of concerns raised (see sample practice review template at annex 3)</w:t>
      </w:r>
    </w:p>
    <w:p w14:paraId="24AFDD56" w14:textId="77777777" w:rsidR="00670323" w:rsidRPr="0033393E" w:rsidRDefault="00670323" w:rsidP="005A7DDA">
      <w:pPr>
        <w:pStyle w:val="ListParagraph"/>
        <w:numPr>
          <w:ilvl w:val="0"/>
          <w:numId w:val="119"/>
        </w:numPr>
        <w:spacing w:before="120" w:after="120" w:line="276" w:lineRule="auto"/>
        <w:rPr>
          <w:rFonts w:cs="Arial"/>
          <w:szCs w:val="24"/>
        </w:rPr>
      </w:pPr>
      <w:r w:rsidRPr="0033393E">
        <w:rPr>
          <w:rFonts w:cs="Arial"/>
          <w:szCs w:val="24"/>
        </w:rPr>
        <w:t>Annual review of provider</w:t>
      </w:r>
    </w:p>
    <w:p w14:paraId="09CAE93D" w14:textId="77777777" w:rsidR="00670323" w:rsidRPr="0033393E" w:rsidRDefault="00670323" w:rsidP="005A7DDA">
      <w:pPr>
        <w:pStyle w:val="ListParagraph"/>
        <w:numPr>
          <w:ilvl w:val="0"/>
          <w:numId w:val="119"/>
        </w:numPr>
        <w:spacing w:before="120" w:after="120" w:line="276" w:lineRule="auto"/>
        <w:rPr>
          <w:rFonts w:cs="Arial"/>
          <w:szCs w:val="24"/>
        </w:rPr>
      </w:pPr>
      <w:r w:rsidRPr="0033393E">
        <w:rPr>
          <w:rFonts w:cs="Arial"/>
          <w:szCs w:val="24"/>
        </w:rPr>
        <w:lastRenderedPageBreak/>
        <w:t xml:space="preserve">Contractual concerns e.g. boundary changes </w:t>
      </w:r>
    </w:p>
    <w:p w14:paraId="48627717" w14:textId="77777777" w:rsidR="00670323" w:rsidRPr="0033393E" w:rsidRDefault="00670323" w:rsidP="005A7DDA">
      <w:pPr>
        <w:pStyle w:val="ListParagraph"/>
        <w:numPr>
          <w:ilvl w:val="0"/>
          <w:numId w:val="119"/>
        </w:numPr>
        <w:spacing w:before="120" w:after="120" w:line="276" w:lineRule="auto"/>
        <w:rPr>
          <w:rFonts w:cs="Arial"/>
          <w:szCs w:val="24"/>
        </w:rPr>
      </w:pPr>
      <w:r w:rsidRPr="0033393E">
        <w:rPr>
          <w:rFonts w:cs="Arial"/>
          <w:szCs w:val="24"/>
        </w:rPr>
        <w:t>Practice mergers</w:t>
      </w:r>
    </w:p>
    <w:p w14:paraId="047F9476" w14:textId="77777777" w:rsidR="00670323" w:rsidRPr="0033393E" w:rsidRDefault="00670323" w:rsidP="005A7DDA">
      <w:pPr>
        <w:pStyle w:val="ListParagraph"/>
        <w:numPr>
          <w:ilvl w:val="0"/>
          <w:numId w:val="119"/>
        </w:numPr>
        <w:spacing w:before="120" w:after="120" w:line="276" w:lineRule="auto"/>
        <w:rPr>
          <w:rFonts w:cs="Arial"/>
          <w:szCs w:val="24"/>
        </w:rPr>
      </w:pPr>
      <w:r w:rsidRPr="0033393E">
        <w:rPr>
          <w:rFonts w:cs="Arial"/>
          <w:szCs w:val="24"/>
        </w:rPr>
        <w:t>Performer concerns that may be impacting on contract</w:t>
      </w:r>
    </w:p>
    <w:p w14:paraId="2D6F23F2" w14:textId="77777777" w:rsidR="00670323" w:rsidRPr="00683EF4" w:rsidRDefault="00670323" w:rsidP="0000534D">
      <w:pPr>
        <w:pStyle w:val="Heading3"/>
        <w:numPr>
          <w:ilvl w:val="0"/>
          <w:numId w:val="0"/>
        </w:numPr>
        <w:ind w:left="720"/>
      </w:pPr>
      <w:r w:rsidRPr="00683EF4">
        <w:t>Note: In addition Commissioners should still undertake a rolling programme of review as outlined at the start of this chapter but this should include a random sample of practices not identified through other intelligence led approaches.</w:t>
      </w:r>
    </w:p>
    <w:p w14:paraId="1BC2D3C8" w14:textId="3C39AA67" w:rsidR="00670323" w:rsidRPr="0033393E" w:rsidRDefault="00670323" w:rsidP="00670323">
      <w:pPr>
        <w:spacing w:before="120" w:after="120" w:line="276" w:lineRule="auto"/>
        <w:rPr>
          <w:rFonts w:cs="Arial"/>
          <w:szCs w:val="24"/>
        </w:rPr>
      </w:pPr>
    </w:p>
    <w:p w14:paraId="1C436378" w14:textId="77777777" w:rsidR="00670323" w:rsidRPr="00670323" w:rsidRDefault="00670323" w:rsidP="00670323">
      <w:pPr>
        <w:pStyle w:val="Heading3"/>
        <w:rPr>
          <w:b/>
          <w:u w:val="single"/>
        </w:rPr>
      </w:pPr>
      <w:r w:rsidRPr="00670323">
        <w:rPr>
          <w:b/>
          <w:u w:val="single"/>
        </w:rPr>
        <w:t>Gathering information</w:t>
      </w:r>
    </w:p>
    <w:p w14:paraId="536518BC" w14:textId="77777777" w:rsidR="00670323" w:rsidRPr="0033393E" w:rsidRDefault="00670323" w:rsidP="00670323">
      <w:pPr>
        <w:pStyle w:val="Heading3"/>
      </w:pPr>
      <w:r w:rsidRPr="0033393E">
        <w:t>Before visiting the practice, collate all relevant and available data and information (examples provided below):</w:t>
      </w:r>
    </w:p>
    <w:p w14:paraId="13F541E6" w14:textId="0867A31B" w:rsidR="00670323" w:rsidRPr="0033393E" w:rsidRDefault="00670323" w:rsidP="005A7DDA">
      <w:pPr>
        <w:pStyle w:val="ListParagraph"/>
        <w:numPr>
          <w:ilvl w:val="0"/>
          <w:numId w:val="120"/>
        </w:numPr>
        <w:spacing w:before="120" w:after="120" w:line="276" w:lineRule="auto"/>
        <w:rPr>
          <w:rFonts w:cs="Arial"/>
          <w:szCs w:val="24"/>
        </w:rPr>
      </w:pPr>
      <w:r w:rsidRPr="0033393E">
        <w:rPr>
          <w:rFonts w:cs="Arial"/>
          <w:szCs w:val="24"/>
        </w:rPr>
        <w:t>CQC report if available</w:t>
      </w:r>
      <w:r w:rsidR="00162524">
        <w:rPr>
          <w:rFonts w:cs="Arial"/>
          <w:szCs w:val="24"/>
        </w:rPr>
        <w:t>, or discussion with CQC data and/or inspection team</w:t>
      </w:r>
    </w:p>
    <w:p w14:paraId="42EDDD16" w14:textId="77777777" w:rsidR="00670323" w:rsidRPr="0033393E" w:rsidRDefault="00670323" w:rsidP="005A7DDA">
      <w:pPr>
        <w:pStyle w:val="ListParagraph"/>
        <w:numPr>
          <w:ilvl w:val="0"/>
          <w:numId w:val="120"/>
        </w:numPr>
        <w:spacing w:before="120" w:after="120" w:line="276" w:lineRule="auto"/>
        <w:rPr>
          <w:rFonts w:cs="Arial"/>
          <w:szCs w:val="24"/>
        </w:rPr>
      </w:pPr>
      <w:r w:rsidRPr="0033393E">
        <w:rPr>
          <w:rFonts w:cs="Arial"/>
          <w:szCs w:val="24"/>
        </w:rPr>
        <w:t xml:space="preserve">Primary care web tool </w:t>
      </w:r>
    </w:p>
    <w:p w14:paraId="3A47683D" w14:textId="77777777" w:rsidR="00670323" w:rsidRPr="0033393E" w:rsidRDefault="00670323" w:rsidP="005A7DDA">
      <w:pPr>
        <w:pStyle w:val="ListParagraph"/>
        <w:numPr>
          <w:ilvl w:val="0"/>
          <w:numId w:val="120"/>
        </w:numPr>
        <w:spacing w:before="120" w:after="120" w:line="276" w:lineRule="auto"/>
        <w:rPr>
          <w:rFonts w:cs="Arial"/>
          <w:szCs w:val="24"/>
        </w:rPr>
      </w:pPr>
      <w:r w:rsidRPr="0033393E">
        <w:rPr>
          <w:rFonts w:cs="Arial"/>
          <w:szCs w:val="24"/>
        </w:rPr>
        <w:t>“Soft”  intelligence</w:t>
      </w:r>
    </w:p>
    <w:p w14:paraId="6076BE6E" w14:textId="77777777" w:rsidR="00670323" w:rsidRPr="0033393E" w:rsidRDefault="00670323" w:rsidP="005A7DDA">
      <w:pPr>
        <w:pStyle w:val="ListParagraph"/>
        <w:numPr>
          <w:ilvl w:val="0"/>
          <w:numId w:val="120"/>
        </w:numPr>
        <w:spacing w:before="120" w:after="120" w:line="276" w:lineRule="auto"/>
        <w:rPr>
          <w:rFonts w:cs="Arial"/>
          <w:szCs w:val="24"/>
        </w:rPr>
      </w:pPr>
      <w:r w:rsidRPr="0033393E">
        <w:rPr>
          <w:rFonts w:cs="Arial"/>
          <w:szCs w:val="24"/>
        </w:rPr>
        <w:t>QOF scores</w:t>
      </w:r>
    </w:p>
    <w:p w14:paraId="46746CBC" w14:textId="77777777" w:rsidR="00670323" w:rsidRPr="0033393E" w:rsidRDefault="00670323" w:rsidP="005A7DDA">
      <w:pPr>
        <w:pStyle w:val="ListParagraph"/>
        <w:numPr>
          <w:ilvl w:val="0"/>
          <w:numId w:val="120"/>
        </w:numPr>
        <w:spacing w:before="120" w:after="120" w:line="276" w:lineRule="auto"/>
        <w:rPr>
          <w:rFonts w:cs="Arial"/>
          <w:szCs w:val="24"/>
        </w:rPr>
      </w:pPr>
      <w:r w:rsidRPr="0033393E">
        <w:rPr>
          <w:rFonts w:cs="Arial"/>
          <w:szCs w:val="24"/>
        </w:rPr>
        <w:t xml:space="preserve">Complaints </w:t>
      </w:r>
    </w:p>
    <w:p w14:paraId="7B7C3BEA" w14:textId="77777777" w:rsidR="00670323" w:rsidRPr="0033393E" w:rsidRDefault="00670323" w:rsidP="005A7DDA">
      <w:pPr>
        <w:pStyle w:val="ListParagraph"/>
        <w:numPr>
          <w:ilvl w:val="0"/>
          <w:numId w:val="120"/>
        </w:numPr>
        <w:spacing w:before="120" w:after="120" w:line="276" w:lineRule="auto"/>
        <w:rPr>
          <w:rFonts w:cs="Arial"/>
          <w:szCs w:val="24"/>
        </w:rPr>
      </w:pPr>
      <w:r w:rsidRPr="0033393E">
        <w:rPr>
          <w:rFonts w:cs="Arial"/>
          <w:szCs w:val="24"/>
        </w:rPr>
        <w:t>Any local profiling tools or dashboards</w:t>
      </w:r>
    </w:p>
    <w:p w14:paraId="6813751E" w14:textId="77777777" w:rsidR="00670323" w:rsidRPr="0033393E" w:rsidRDefault="00670323" w:rsidP="005A7DDA">
      <w:pPr>
        <w:pStyle w:val="ListParagraph"/>
        <w:numPr>
          <w:ilvl w:val="0"/>
          <w:numId w:val="120"/>
        </w:numPr>
        <w:spacing w:before="120" w:after="120" w:line="276" w:lineRule="auto"/>
        <w:rPr>
          <w:rFonts w:cs="Arial"/>
          <w:szCs w:val="24"/>
        </w:rPr>
      </w:pPr>
      <w:r w:rsidRPr="0033393E">
        <w:rPr>
          <w:rFonts w:cs="Arial"/>
          <w:szCs w:val="24"/>
        </w:rPr>
        <w:t xml:space="preserve">Legal advice if required </w:t>
      </w:r>
    </w:p>
    <w:p w14:paraId="4D80FC81" w14:textId="0C785DD9" w:rsidR="00670323" w:rsidRDefault="00670323" w:rsidP="005A7DDA">
      <w:pPr>
        <w:pStyle w:val="ListParagraph"/>
        <w:numPr>
          <w:ilvl w:val="0"/>
          <w:numId w:val="120"/>
        </w:numPr>
        <w:spacing w:before="120" w:after="120" w:line="276" w:lineRule="auto"/>
        <w:rPr>
          <w:rFonts w:cs="Arial"/>
          <w:szCs w:val="24"/>
        </w:rPr>
      </w:pPr>
      <w:r w:rsidRPr="0033393E">
        <w:rPr>
          <w:rFonts w:cs="Arial"/>
          <w:szCs w:val="24"/>
        </w:rPr>
        <w:t xml:space="preserve">Ask </w:t>
      </w:r>
      <w:r w:rsidR="000628D0">
        <w:rPr>
          <w:rFonts w:cs="Arial"/>
          <w:szCs w:val="24"/>
        </w:rPr>
        <w:t xml:space="preserve">the </w:t>
      </w:r>
      <w:r w:rsidRPr="0033393E">
        <w:rPr>
          <w:rFonts w:cs="Arial"/>
          <w:szCs w:val="24"/>
        </w:rPr>
        <w:t>practice to complete template which may save time during your visit.</w:t>
      </w:r>
    </w:p>
    <w:p w14:paraId="1CB06E9E" w14:textId="77777777" w:rsidR="00670323" w:rsidRPr="0033393E" w:rsidRDefault="00670323" w:rsidP="000628D0">
      <w:pPr>
        <w:pStyle w:val="ListParagraph"/>
        <w:spacing w:before="120" w:after="120" w:line="276" w:lineRule="auto"/>
        <w:ind w:left="1440"/>
        <w:rPr>
          <w:rFonts w:cs="Arial"/>
          <w:szCs w:val="24"/>
        </w:rPr>
      </w:pPr>
    </w:p>
    <w:p w14:paraId="6863BD53" w14:textId="77777777" w:rsidR="00670323" w:rsidRPr="00670323" w:rsidRDefault="00670323" w:rsidP="00670323">
      <w:pPr>
        <w:pStyle w:val="Heading3"/>
        <w:rPr>
          <w:b/>
          <w:u w:val="single"/>
        </w:rPr>
      </w:pPr>
      <w:r w:rsidRPr="00670323">
        <w:rPr>
          <w:b/>
          <w:u w:val="single"/>
        </w:rPr>
        <w:t>Communications</w:t>
      </w:r>
    </w:p>
    <w:p w14:paraId="50E58260" w14:textId="3D021EEA" w:rsidR="00670323" w:rsidRPr="0033393E" w:rsidRDefault="00670323" w:rsidP="00670323">
      <w:pPr>
        <w:pStyle w:val="Heading3"/>
      </w:pPr>
      <w:r w:rsidRPr="0033393E">
        <w:t xml:space="preserve">Early communication is key to a successful visit. Always contact the practice to advise them that you will be visiting the practice and the reason why. The agreed date must be followed up in writing. Give plenty of notice unless there is a patient concern (see sample practice visit letter at annex 2). </w:t>
      </w:r>
    </w:p>
    <w:p w14:paraId="725B9990" w14:textId="77777777" w:rsidR="00670323" w:rsidRPr="0033393E" w:rsidRDefault="00670323" w:rsidP="00670323">
      <w:pPr>
        <w:spacing w:before="120" w:after="120" w:line="276" w:lineRule="auto"/>
        <w:rPr>
          <w:rFonts w:cs="Arial"/>
          <w:szCs w:val="24"/>
        </w:rPr>
      </w:pPr>
    </w:p>
    <w:p w14:paraId="3F1F235F" w14:textId="77777777" w:rsidR="00670323" w:rsidRPr="00670323" w:rsidRDefault="00670323" w:rsidP="00670323">
      <w:pPr>
        <w:pStyle w:val="Heading3"/>
        <w:rPr>
          <w:b/>
          <w:u w:val="single"/>
        </w:rPr>
      </w:pPr>
      <w:r w:rsidRPr="00670323">
        <w:rPr>
          <w:b/>
          <w:u w:val="single"/>
        </w:rPr>
        <w:t>Informal visits.</w:t>
      </w:r>
    </w:p>
    <w:p w14:paraId="21E38E5A" w14:textId="77777777" w:rsidR="00670323" w:rsidRPr="0033393E" w:rsidRDefault="00670323" w:rsidP="00670323">
      <w:pPr>
        <w:pStyle w:val="Heading3"/>
      </w:pPr>
      <w:r w:rsidRPr="0033393E">
        <w:t>If an informal visit is planned, the practice has usually instigated it themselves and therefore are aware of the reason i.e. practice merger. Ensure you have the right information available for the matter to be discussed. For example, if the visit is to discuss a list closure, ensure you know the practice list size, list variations, surrounding practice closures etc.</w:t>
      </w:r>
    </w:p>
    <w:p w14:paraId="31D8E471" w14:textId="77777777" w:rsidR="00670323" w:rsidRPr="0033393E" w:rsidRDefault="00670323" w:rsidP="00670323">
      <w:pPr>
        <w:spacing w:before="120" w:after="120" w:line="276" w:lineRule="auto"/>
        <w:rPr>
          <w:rFonts w:cs="Arial"/>
          <w:szCs w:val="24"/>
        </w:rPr>
      </w:pPr>
    </w:p>
    <w:p w14:paraId="68C0A368" w14:textId="77777777" w:rsidR="00670323" w:rsidRPr="00670323" w:rsidRDefault="00670323" w:rsidP="00670323">
      <w:pPr>
        <w:pStyle w:val="Heading3"/>
        <w:rPr>
          <w:b/>
          <w:u w:val="single"/>
        </w:rPr>
      </w:pPr>
      <w:r w:rsidRPr="00670323">
        <w:rPr>
          <w:b/>
          <w:u w:val="single"/>
        </w:rPr>
        <w:t>Formal visits</w:t>
      </w:r>
    </w:p>
    <w:p w14:paraId="44EE0C61" w14:textId="77777777" w:rsidR="00670323" w:rsidRPr="0033393E" w:rsidRDefault="00670323" w:rsidP="00670323">
      <w:pPr>
        <w:pStyle w:val="Heading3"/>
      </w:pPr>
      <w:r w:rsidRPr="0033393E">
        <w:lastRenderedPageBreak/>
        <w:t xml:space="preserve">Concerns about a practice can be raised to commissioners through various routes. Depending upon the issues raised the Commissioners will need to make an informed decision on the extent to which it need to investigate. </w:t>
      </w:r>
    </w:p>
    <w:p w14:paraId="6C9D6117" w14:textId="6FFDC177" w:rsidR="00670323" w:rsidRPr="000628D0" w:rsidRDefault="00670323" w:rsidP="00670323">
      <w:pPr>
        <w:pStyle w:val="Heading3"/>
        <w:spacing w:before="120" w:after="120" w:line="276" w:lineRule="auto"/>
        <w:rPr>
          <w:rFonts w:cs="Arial"/>
          <w:szCs w:val="24"/>
        </w:rPr>
      </w:pPr>
      <w:r w:rsidRPr="0033393E">
        <w:t xml:space="preserve">Commissioners should: </w:t>
      </w:r>
    </w:p>
    <w:p w14:paraId="6CA2A7B0" w14:textId="77777777" w:rsidR="00670323" w:rsidRPr="0033393E" w:rsidRDefault="00670323" w:rsidP="005A7DDA">
      <w:pPr>
        <w:pStyle w:val="ListParagraph"/>
        <w:numPr>
          <w:ilvl w:val="0"/>
          <w:numId w:val="121"/>
        </w:numPr>
        <w:spacing w:before="120" w:after="120" w:line="276" w:lineRule="auto"/>
        <w:rPr>
          <w:rFonts w:cs="Arial"/>
          <w:szCs w:val="24"/>
        </w:rPr>
      </w:pPr>
      <w:r w:rsidRPr="0033393E">
        <w:rPr>
          <w:rFonts w:cs="Arial"/>
          <w:szCs w:val="24"/>
        </w:rPr>
        <w:t xml:space="preserve">Establish a Task and Finish Group </w:t>
      </w:r>
    </w:p>
    <w:p w14:paraId="3708005A" w14:textId="77777777" w:rsidR="00670323" w:rsidRPr="0033393E" w:rsidRDefault="00670323" w:rsidP="005A7DDA">
      <w:pPr>
        <w:pStyle w:val="ListParagraph"/>
        <w:numPr>
          <w:ilvl w:val="0"/>
          <w:numId w:val="121"/>
        </w:numPr>
        <w:spacing w:before="120" w:after="120" w:line="276" w:lineRule="auto"/>
        <w:rPr>
          <w:rFonts w:cs="Arial"/>
          <w:szCs w:val="24"/>
        </w:rPr>
      </w:pPr>
      <w:r w:rsidRPr="0033393E">
        <w:rPr>
          <w:rFonts w:cs="Arial"/>
          <w:szCs w:val="24"/>
        </w:rPr>
        <w:t>Establish Terms of Reference for Task and Finish Group (see sample at annex 5)</w:t>
      </w:r>
    </w:p>
    <w:p w14:paraId="49024873" w14:textId="77777777" w:rsidR="00670323" w:rsidRPr="0033393E" w:rsidRDefault="00670323" w:rsidP="005A7DDA">
      <w:pPr>
        <w:pStyle w:val="ListParagraph"/>
        <w:numPr>
          <w:ilvl w:val="0"/>
          <w:numId w:val="121"/>
        </w:numPr>
        <w:spacing w:before="120" w:after="120" w:line="276" w:lineRule="auto"/>
        <w:rPr>
          <w:rFonts w:cs="Arial"/>
          <w:szCs w:val="24"/>
        </w:rPr>
      </w:pPr>
      <w:r w:rsidRPr="0033393E">
        <w:rPr>
          <w:rFonts w:cs="Arial"/>
          <w:szCs w:val="24"/>
        </w:rPr>
        <w:t xml:space="preserve">Task and Finish Group agree the actions required </w:t>
      </w:r>
    </w:p>
    <w:p w14:paraId="77A22FC0" w14:textId="77777777" w:rsidR="00670323" w:rsidRPr="0033393E" w:rsidRDefault="00670323" w:rsidP="005A7DDA">
      <w:pPr>
        <w:pStyle w:val="ListParagraph"/>
        <w:numPr>
          <w:ilvl w:val="1"/>
          <w:numId w:val="121"/>
        </w:numPr>
        <w:spacing w:before="120" w:after="120" w:line="276" w:lineRule="auto"/>
        <w:rPr>
          <w:rFonts w:cs="Arial"/>
          <w:szCs w:val="24"/>
        </w:rPr>
      </w:pPr>
      <w:r w:rsidRPr="0033393E">
        <w:rPr>
          <w:rFonts w:cs="Arial"/>
          <w:szCs w:val="24"/>
        </w:rPr>
        <w:t>Practice visit</w:t>
      </w:r>
    </w:p>
    <w:p w14:paraId="240EDFFF" w14:textId="77777777" w:rsidR="00670323" w:rsidRPr="0033393E" w:rsidRDefault="00670323" w:rsidP="005A7DDA">
      <w:pPr>
        <w:pStyle w:val="ListParagraph"/>
        <w:numPr>
          <w:ilvl w:val="1"/>
          <w:numId w:val="121"/>
        </w:numPr>
        <w:spacing w:before="120" w:after="120" w:line="276" w:lineRule="auto"/>
        <w:rPr>
          <w:rFonts w:cs="Arial"/>
          <w:szCs w:val="24"/>
        </w:rPr>
      </w:pPr>
      <w:r w:rsidRPr="0033393E">
        <w:rPr>
          <w:rFonts w:cs="Arial"/>
          <w:szCs w:val="24"/>
        </w:rPr>
        <w:t xml:space="preserve">Breach / remedial notices issued where appropriate </w:t>
      </w:r>
    </w:p>
    <w:p w14:paraId="69B40E3B" w14:textId="77777777" w:rsidR="00670323" w:rsidRPr="0033393E" w:rsidRDefault="00670323" w:rsidP="005A7DDA">
      <w:pPr>
        <w:pStyle w:val="ListParagraph"/>
        <w:numPr>
          <w:ilvl w:val="1"/>
          <w:numId w:val="121"/>
        </w:numPr>
        <w:spacing w:before="120" w:after="120" w:line="276" w:lineRule="auto"/>
        <w:rPr>
          <w:rFonts w:cs="Arial"/>
          <w:szCs w:val="24"/>
        </w:rPr>
      </w:pPr>
      <w:r w:rsidRPr="0033393E">
        <w:rPr>
          <w:rFonts w:cs="Arial"/>
          <w:szCs w:val="24"/>
        </w:rPr>
        <w:t>Contract termination</w:t>
      </w:r>
    </w:p>
    <w:p w14:paraId="3B92CA0C" w14:textId="77777777" w:rsidR="00670323" w:rsidRPr="0033393E" w:rsidRDefault="00670323" w:rsidP="005A7DDA">
      <w:pPr>
        <w:pStyle w:val="ListParagraph"/>
        <w:numPr>
          <w:ilvl w:val="1"/>
          <w:numId w:val="121"/>
        </w:numPr>
        <w:spacing w:before="120" w:after="120" w:line="276" w:lineRule="auto"/>
        <w:rPr>
          <w:rFonts w:cs="Arial"/>
          <w:szCs w:val="24"/>
        </w:rPr>
      </w:pPr>
      <w:r w:rsidRPr="0033393E">
        <w:rPr>
          <w:rFonts w:cs="Arial"/>
          <w:szCs w:val="24"/>
        </w:rPr>
        <w:t>Referral to QSAG / PAG</w:t>
      </w:r>
    </w:p>
    <w:p w14:paraId="095DF552" w14:textId="01B0C836" w:rsidR="00670323" w:rsidRPr="0033393E" w:rsidRDefault="00670323" w:rsidP="005A7DDA">
      <w:pPr>
        <w:pStyle w:val="ListParagraph"/>
        <w:numPr>
          <w:ilvl w:val="0"/>
          <w:numId w:val="121"/>
        </w:numPr>
        <w:spacing w:before="120" w:after="120" w:line="276" w:lineRule="auto"/>
        <w:rPr>
          <w:rFonts w:cs="Arial"/>
          <w:szCs w:val="24"/>
        </w:rPr>
      </w:pPr>
      <w:r w:rsidRPr="0033393E">
        <w:rPr>
          <w:rFonts w:cs="Arial"/>
          <w:szCs w:val="24"/>
        </w:rPr>
        <w:t xml:space="preserve">Agree </w:t>
      </w:r>
      <w:r w:rsidR="00CB3A60">
        <w:rPr>
          <w:rFonts w:cs="Arial"/>
          <w:szCs w:val="24"/>
        </w:rPr>
        <w:t xml:space="preserve">clear and specific </w:t>
      </w:r>
      <w:r w:rsidRPr="0033393E">
        <w:rPr>
          <w:rFonts w:cs="Arial"/>
          <w:szCs w:val="24"/>
        </w:rPr>
        <w:t xml:space="preserve">terms of reference </w:t>
      </w:r>
      <w:r w:rsidR="00CB3A60">
        <w:rPr>
          <w:rFonts w:cs="Arial"/>
          <w:szCs w:val="24"/>
        </w:rPr>
        <w:t xml:space="preserve">(ToR) </w:t>
      </w:r>
      <w:r w:rsidRPr="0033393E">
        <w:rPr>
          <w:rFonts w:cs="Arial"/>
          <w:szCs w:val="24"/>
        </w:rPr>
        <w:t xml:space="preserve">for </w:t>
      </w:r>
      <w:r w:rsidR="00CB3A60">
        <w:rPr>
          <w:rFonts w:cs="Arial"/>
          <w:szCs w:val="24"/>
        </w:rPr>
        <w:t xml:space="preserve">any </w:t>
      </w:r>
      <w:r w:rsidRPr="0033393E">
        <w:rPr>
          <w:rFonts w:cs="Arial"/>
          <w:szCs w:val="24"/>
        </w:rPr>
        <w:t>visit</w:t>
      </w:r>
      <w:r w:rsidR="00CB3A60">
        <w:rPr>
          <w:rFonts w:cs="Arial"/>
          <w:szCs w:val="24"/>
        </w:rPr>
        <w:t xml:space="preserve">, including a commitment to review / amend the ToR in light of any new / emerging evidence.  Amendments should be agreed between parties. </w:t>
      </w:r>
    </w:p>
    <w:p w14:paraId="7498FEC9" w14:textId="77777777" w:rsidR="00670323" w:rsidRPr="0033393E" w:rsidRDefault="00670323" w:rsidP="005A7DDA">
      <w:pPr>
        <w:pStyle w:val="ListParagraph"/>
        <w:numPr>
          <w:ilvl w:val="0"/>
          <w:numId w:val="121"/>
        </w:numPr>
        <w:spacing w:before="120" w:after="120" w:line="276" w:lineRule="auto"/>
        <w:rPr>
          <w:rFonts w:cs="Arial"/>
          <w:szCs w:val="24"/>
        </w:rPr>
      </w:pPr>
      <w:r w:rsidRPr="0033393E">
        <w:rPr>
          <w:rFonts w:cs="Arial"/>
          <w:szCs w:val="24"/>
        </w:rPr>
        <w:t xml:space="preserve">Investigation Team identified – to include, but inclusive of, GP, Primary Care Nurse Lead, Safeguarding Lead, Nursing and Quality Lead, Contract Manager. Admin support where appropriate. </w:t>
      </w:r>
    </w:p>
    <w:p w14:paraId="2C736779" w14:textId="77777777" w:rsidR="00670323" w:rsidRPr="0033393E" w:rsidRDefault="00670323" w:rsidP="005A7DDA">
      <w:pPr>
        <w:pStyle w:val="ListParagraph"/>
        <w:numPr>
          <w:ilvl w:val="0"/>
          <w:numId w:val="121"/>
        </w:numPr>
        <w:spacing w:before="120" w:after="120" w:line="276" w:lineRule="auto"/>
        <w:rPr>
          <w:rFonts w:cs="Arial"/>
          <w:szCs w:val="24"/>
        </w:rPr>
      </w:pPr>
      <w:r w:rsidRPr="0033393E">
        <w:rPr>
          <w:rFonts w:cs="Arial"/>
          <w:szCs w:val="24"/>
        </w:rPr>
        <w:t>Initiate formal contact with Practice</w:t>
      </w:r>
    </w:p>
    <w:p w14:paraId="62554992" w14:textId="77777777" w:rsidR="00670323" w:rsidRPr="0033393E" w:rsidRDefault="00670323" w:rsidP="005A7DDA">
      <w:pPr>
        <w:pStyle w:val="ListParagraph"/>
        <w:numPr>
          <w:ilvl w:val="0"/>
          <w:numId w:val="121"/>
        </w:numPr>
        <w:spacing w:before="120" w:after="120" w:line="276" w:lineRule="auto"/>
        <w:rPr>
          <w:rFonts w:cs="Arial"/>
          <w:szCs w:val="24"/>
        </w:rPr>
      </w:pPr>
      <w:r w:rsidRPr="0033393E">
        <w:rPr>
          <w:rFonts w:cs="Arial"/>
          <w:szCs w:val="24"/>
        </w:rPr>
        <w:t>Communication with Practice, with recommendation of inclusion of LMC</w:t>
      </w:r>
    </w:p>
    <w:p w14:paraId="7CF46437" w14:textId="77777777" w:rsidR="00670323" w:rsidRPr="0033393E" w:rsidRDefault="00670323" w:rsidP="005A7DDA">
      <w:pPr>
        <w:pStyle w:val="ListParagraph"/>
        <w:numPr>
          <w:ilvl w:val="0"/>
          <w:numId w:val="121"/>
        </w:numPr>
        <w:spacing w:before="120" w:after="120" w:line="276" w:lineRule="auto"/>
        <w:rPr>
          <w:rFonts w:cs="Arial"/>
          <w:szCs w:val="24"/>
        </w:rPr>
      </w:pPr>
      <w:r w:rsidRPr="0033393E">
        <w:rPr>
          <w:rFonts w:cs="Arial"/>
          <w:szCs w:val="24"/>
        </w:rPr>
        <w:t xml:space="preserve">Practice visit with appropriate team </w:t>
      </w:r>
    </w:p>
    <w:p w14:paraId="46B58DB0" w14:textId="77777777" w:rsidR="00670323" w:rsidRPr="0033393E" w:rsidRDefault="00670323" w:rsidP="005A7DDA">
      <w:pPr>
        <w:pStyle w:val="ListParagraph"/>
        <w:numPr>
          <w:ilvl w:val="0"/>
          <w:numId w:val="121"/>
        </w:numPr>
        <w:spacing w:before="120" w:after="120" w:line="276" w:lineRule="auto"/>
        <w:rPr>
          <w:rFonts w:cs="Arial"/>
          <w:szCs w:val="24"/>
        </w:rPr>
      </w:pPr>
      <w:r w:rsidRPr="0033393E">
        <w:rPr>
          <w:rFonts w:cs="Arial"/>
          <w:szCs w:val="24"/>
        </w:rPr>
        <w:t>Report / action plan drafted (see example at annex 4)</w:t>
      </w:r>
    </w:p>
    <w:p w14:paraId="3E096E95" w14:textId="77777777" w:rsidR="00670323" w:rsidRPr="0033393E" w:rsidRDefault="00670323" w:rsidP="005A7DDA">
      <w:pPr>
        <w:pStyle w:val="ListParagraph"/>
        <w:numPr>
          <w:ilvl w:val="0"/>
          <w:numId w:val="121"/>
        </w:numPr>
        <w:spacing w:before="120" w:after="120" w:line="276" w:lineRule="auto"/>
        <w:rPr>
          <w:rFonts w:cs="Arial"/>
          <w:szCs w:val="24"/>
        </w:rPr>
      </w:pPr>
      <w:r w:rsidRPr="0033393E">
        <w:rPr>
          <w:rFonts w:cs="Arial"/>
          <w:szCs w:val="24"/>
        </w:rPr>
        <w:t>Report / action plan submitted to Task and Finish Group</w:t>
      </w:r>
    </w:p>
    <w:p w14:paraId="0AE41536" w14:textId="77777777" w:rsidR="00670323" w:rsidRPr="0033393E" w:rsidRDefault="00670323" w:rsidP="005A7DDA">
      <w:pPr>
        <w:pStyle w:val="ListParagraph"/>
        <w:numPr>
          <w:ilvl w:val="0"/>
          <w:numId w:val="121"/>
        </w:numPr>
        <w:spacing w:before="120" w:after="120" w:line="276" w:lineRule="auto"/>
        <w:rPr>
          <w:rFonts w:cs="Arial"/>
          <w:szCs w:val="24"/>
        </w:rPr>
      </w:pPr>
      <w:r w:rsidRPr="0033393E">
        <w:rPr>
          <w:rFonts w:cs="Arial"/>
          <w:szCs w:val="24"/>
        </w:rPr>
        <w:t>Report / action plan finalised</w:t>
      </w:r>
    </w:p>
    <w:p w14:paraId="6B0E6C3E" w14:textId="77777777" w:rsidR="00670323" w:rsidRPr="0033393E" w:rsidRDefault="00670323" w:rsidP="005A7DDA">
      <w:pPr>
        <w:pStyle w:val="ListParagraph"/>
        <w:numPr>
          <w:ilvl w:val="0"/>
          <w:numId w:val="121"/>
        </w:numPr>
        <w:spacing w:before="120" w:after="120" w:line="276" w:lineRule="auto"/>
        <w:rPr>
          <w:rFonts w:cs="Arial"/>
          <w:szCs w:val="24"/>
        </w:rPr>
      </w:pPr>
      <w:r w:rsidRPr="0033393E">
        <w:rPr>
          <w:rFonts w:cs="Arial"/>
          <w:szCs w:val="24"/>
        </w:rPr>
        <w:t>Report / action plan sent to Practice for comment</w:t>
      </w:r>
    </w:p>
    <w:p w14:paraId="235B6622" w14:textId="77777777" w:rsidR="00670323" w:rsidRPr="0033393E" w:rsidRDefault="00670323" w:rsidP="005A7DDA">
      <w:pPr>
        <w:pStyle w:val="ListParagraph"/>
        <w:numPr>
          <w:ilvl w:val="0"/>
          <w:numId w:val="121"/>
        </w:numPr>
        <w:spacing w:before="120" w:after="120" w:line="276" w:lineRule="auto"/>
        <w:rPr>
          <w:rFonts w:cs="Arial"/>
          <w:szCs w:val="24"/>
        </w:rPr>
      </w:pPr>
      <w:r w:rsidRPr="0033393E">
        <w:rPr>
          <w:rFonts w:cs="Arial"/>
          <w:szCs w:val="24"/>
        </w:rPr>
        <w:t>Meeting with Practice to discuss taking action plan forward</w:t>
      </w:r>
    </w:p>
    <w:p w14:paraId="0469F781" w14:textId="77777777" w:rsidR="00670323" w:rsidRPr="0033393E" w:rsidRDefault="00670323" w:rsidP="005A7DDA">
      <w:pPr>
        <w:pStyle w:val="ListParagraph"/>
        <w:numPr>
          <w:ilvl w:val="0"/>
          <w:numId w:val="121"/>
        </w:numPr>
        <w:spacing w:before="120" w:after="120" w:line="276" w:lineRule="auto"/>
        <w:rPr>
          <w:rFonts w:cs="Arial"/>
          <w:szCs w:val="24"/>
        </w:rPr>
      </w:pPr>
      <w:r w:rsidRPr="0033393E">
        <w:rPr>
          <w:rFonts w:cs="Arial"/>
          <w:szCs w:val="24"/>
        </w:rPr>
        <w:t>Monitoring meetings to ensure targets / deadlines are met</w:t>
      </w:r>
    </w:p>
    <w:p w14:paraId="7048B879" w14:textId="77777777" w:rsidR="00670323" w:rsidRPr="0033393E" w:rsidRDefault="00670323" w:rsidP="005A7DDA">
      <w:pPr>
        <w:pStyle w:val="ListParagraph"/>
        <w:numPr>
          <w:ilvl w:val="0"/>
          <w:numId w:val="121"/>
        </w:numPr>
        <w:spacing w:before="120" w:after="120" w:line="276" w:lineRule="auto"/>
        <w:rPr>
          <w:rFonts w:cs="Arial"/>
          <w:szCs w:val="24"/>
        </w:rPr>
      </w:pPr>
      <w:r w:rsidRPr="0033393E">
        <w:rPr>
          <w:rFonts w:cs="Arial"/>
          <w:szCs w:val="24"/>
        </w:rPr>
        <w:t>Final meeting with Practice to close process</w:t>
      </w:r>
    </w:p>
    <w:p w14:paraId="30D9E508" w14:textId="77777777" w:rsidR="00670323" w:rsidRDefault="00670323" w:rsidP="005A7DDA">
      <w:pPr>
        <w:pStyle w:val="ListParagraph"/>
        <w:numPr>
          <w:ilvl w:val="0"/>
          <w:numId w:val="121"/>
        </w:numPr>
        <w:spacing w:before="120" w:after="120" w:line="276" w:lineRule="auto"/>
        <w:rPr>
          <w:rFonts w:cs="Arial"/>
          <w:szCs w:val="24"/>
        </w:rPr>
      </w:pPr>
      <w:r w:rsidRPr="0033393E">
        <w:rPr>
          <w:rFonts w:cs="Arial"/>
          <w:szCs w:val="24"/>
        </w:rPr>
        <w:t>Final Task and Finish Group to give assurance issue / concern is resolved.</w:t>
      </w:r>
    </w:p>
    <w:p w14:paraId="32342D1D" w14:textId="77777777" w:rsidR="00670323" w:rsidRPr="0033393E" w:rsidRDefault="00670323" w:rsidP="00670323">
      <w:pPr>
        <w:pStyle w:val="Heading3"/>
      </w:pPr>
      <w:r w:rsidRPr="0033393E">
        <w:t xml:space="preserve">If issues are not resolved then contract breach/termination notices may be served.  </w:t>
      </w:r>
    </w:p>
    <w:p w14:paraId="16B376C6" w14:textId="77777777" w:rsidR="00670323" w:rsidRPr="0033393E" w:rsidRDefault="00670323" w:rsidP="00670323">
      <w:pPr>
        <w:spacing w:before="120" w:after="120" w:line="276" w:lineRule="auto"/>
        <w:rPr>
          <w:rFonts w:cs="Arial"/>
        </w:rPr>
      </w:pPr>
      <w:bookmarkStart w:id="202" w:name="page20"/>
      <w:bookmarkEnd w:id="202"/>
    </w:p>
    <w:p w14:paraId="7DE0371C" w14:textId="77777777" w:rsidR="00670323" w:rsidRDefault="00670323" w:rsidP="00670323">
      <w:pPr>
        <w:pStyle w:val="Heading3"/>
        <w:rPr>
          <w:b/>
          <w:u w:val="single"/>
        </w:rPr>
      </w:pPr>
      <w:r w:rsidRPr="00670323">
        <w:rPr>
          <w:b/>
          <w:u w:val="single"/>
        </w:rPr>
        <w:t>Consultation with and support from the Local Medical Committee (LMC)</w:t>
      </w:r>
    </w:p>
    <w:p w14:paraId="633B1D57" w14:textId="569A9CF9" w:rsidR="00670323" w:rsidRPr="0033393E" w:rsidRDefault="00670323" w:rsidP="00670323">
      <w:pPr>
        <w:pStyle w:val="Heading3"/>
      </w:pPr>
      <w:r w:rsidRPr="00670323">
        <w:rPr>
          <w:rFonts w:eastAsia="Arial"/>
          <w:lang w:eastAsia="en-GB"/>
        </w:rPr>
        <w:t>If</w:t>
      </w:r>
      <w:r w:rsidRPr="00670323">
        <w:rPr>
          <w:rFonts w:eastAsia="Arial"/>
        </w:rPr>
        <w:t xml:space="preserve"> the commissioner is </w:t>
      </w:r>
      <w:r w:rsidRPr="00670323">
        <w:rPr>
          <w:rFonts w:eastAsia="Arial"/>
          <w:lang w:eastAsia="en-GB"/>
        </w:rPr>
        <w:t>undertaking a targeted visit relating to concerns raised</w:t>
      </w:r>
      <w:r w:rsidRPr="00670323">
        <w:rPr>
          <w:rFonts w:eastAsia="Arial"/>
        </w:rPr>
        <w:t xml:space="preserve"> or </w:t>
      </w:r>
      <w:r w:rsidRPr="00670323">
        <w:rPr>
          <w:rFonts w:eastAsia="Arial"/>
          <w:lang w:eastAsia="en-GB"/>
        </w:rPr>
        <w:t>known contractual underperformance, which may result in actions being imposed</w:t>
      </w:r>
      <w:r w:rsidRPr="00670323">
        <w:rPr>
          <w:rFonts w:eastAsia="Arial"/>
        </w:rPr>
        <w:t xml:space="preserve"> or </w:t>
      </w:r>
      <w:r w:rsidRPr="00670323">
        <w:rPr>
          <w:rFonts w:eastAsia="Arial"/>
          <w:lang w:eastAsia="en-GB"/>
        </w:rPr>
        <w:t>considered</w:t>
      </w:r>
      <w:r w:rsidRPr="00670323">
        <w:rPr>
          <w:rFonts w:eastAsia="Arial"/>
        </w:rPr>
        <w:t>, then it shall, whenever it is reasonably practical to do so, consult the Local Medical Committee</w:t>
      </w:r>
      <w:r w:rsidRPr="00670323">
        <w:rPr>
          <w:rFonts w:eastAsia="Arial"/>
          <w:lang w:eastAsia="en-GB"/>
        </w:rPr>
        <w:t>.</w:t>
      </w:r>
    </w:p>
    <w:p w14:paraId="7CC7DA8C" w14:textId="48E0F1EB" w:rsidR="00670323" w:rsidRPr="0033393E" w:rsidRDefault="00670323" w:rsidP="00670323">
      <w:pPr>
        <w:pStyle w:val="Heading3"/>
      </w:pPr>
      <w:r w:rsidRPr="00670323">
        <w:rPr>
          <w:rFonts w:eastAsia="Arial"/>
        </w:rPr>
        <w:lastRenderedPageBreak/>
        <w:t>The LMC has an role in supporting practices facing remedial, breach and termination notices or those undergoing performance investigations. The LMC can advise practices on how to complete actions required by remedial notices, how to address issues in order to avoid further contract breaches and how to appeal against termination notices if appropriate. The LMC can signpost practices to experts who can help, e.g. the practices’ Medical Defence Organisation or consultants who can advise on practical issues such as practice policies, etc. For those practices undergoing performance investigations, the LMC can support practices in preparatory meetings with the investigating officers and the commissioners, assist with drafting terms of reference, guide practices through the investigation process and sit in on interviews with clinicians and staff to ensure that due process is followed.</w:t>
      </w:r>
    </w:p>
    <w:p w14:paraId="1A18292B" w14:textId="77777777" w:rsidR="00670323" w:rsidRPr="0033393E" w:rsidRDefault="00670323" w:rsidP="00670323">
      <w:pPr>
        <w:pStyle w:val="Heading3"/>
        <w:rPr>
          <w:rFonts w:eastAsia="Arial"/>
        </w:rPr>
      </w:pPr>
      <w:r w:rsidRPr="0033393E">
        <w:rPr>
          <w:rFonts w:eastAsia="Arial"/>
        </w:rPr>
        <w:t>Commissioners are encouraged to advise practices in these circumstances to make contact with their LMC as early as possible to ensure they have access to expert help and advice.</w:t>
      </w:r>
    </w:p>
    <w:p w14:paraId="62D0BC42" w14:textId="6E907529" w:rsidR="00670323" w:rsidRPr="002306F3" w:rsidRDefault="00670323" w:rsidP="00A23BD5">
      <w:pPr>
        <w:spacing w:before="120" w:after="120" w:line="276" w:lineRule="auto"/>
        <w:rPr>
          <w:rFonts w:eastAsia="Arial"/>
          <w:b/>
          <w:color w:val="003D80"/>
        </w:rPr>
      </w:pPr>
      <w:r w:rsidRPr="0033393E">
        <w:rPr>
          <w:rFonts w:cs="Arial"/>
          <w:bCs w:val="0"/>
          <w:szCs w:val="24"/>
          <w:lang w:eastAsia="en-GB"/>
        </w:rPr>
        <w:br w:type="page"/>
      </w:r>
      <w:bookmarkStart w:id="203" w:name="page17"/>
      <w:bookmarkStart w:id="204" w:name="page18"/>
      <w:bookmarkEnd w:id="203"/>
      <w:bookmarkEnd w:id="204"/>
      <w:r w:rsidRPr="0033393E">
        <w:rPr>
          <w:rFonts w:eastAsia="Arial" w:cs="Arial"/>
          <w:b/>
          <w:color w:val="003D80"/>
        </w:rPr>
        <w:lastRenderedPageBreak/>
        <w:t xml:space="preserve">Annex 1: </w:t>
      </w:r>
      <w:r w:rsidR="00A23BD5">
        <w:rPr>
          <w:rFonts w:eastAsia="Arial" w:cs="Arial"/>
          <w:b/>
          <w:bCs w:val="0"/>
          <w:color w:val="003D80"/>
          <w:szCs w:val="24"/>
          <w:lang w:eastAsia="en-GB"/>
        </w:rPr>
        <w:t>PCWT -</w:t>
      </w:r>
      <w:r w:rsidRPr="0033393E">
        <w:rPr>
          <w:rFonts w:eastAsia="Arial" w:cs="Arial"/>
          <w:b/>
          <w:bCs w:val="0"/>
          <w:color w:val="003D80"/>
          <w:szCs w:val="24"/>
          <w:lang w:eastAsia="en-GB"/>
        </w:rPr>
        <w:t xml:space="preserve"> </w:t>
      </w:r>
      <w:r w:rsidRPr="0033393E">
        <w:rPr>
          <w:rFonts w:eastAsia="Arial" w:cs="Arial"/>
          <w:b/>
          <w:color w:val="003D80"/>
        </w:rPr>
        <w:t>Practice Profile</w:t>
      </w:r>
      <w:r w:rsidRPr="0033393E">
        <w:rPr>
          <w:rFonts w:eastAsia="Arial" w:cs="Arial"/>
          <w:b/>
          <w:bCs w:val="0"/>
          <w:color w:val="003D80"/>
          <w:szCs w:val="24"/>
          <w:lang w:eastAsia="en-GB"/>
        </w:rPr>
        <w:t xml:space="preserve"> </w:t>
      </w:r>
      <w:r w:rsidR="00A23BD5">
        <w:rPr>
          <w:rFonts w:eastAsia="Arial" w:cs="Arial"/>
          <w:b/>
          <w:bCs w:val="0"/>
          <w:color w:val="003D80"/>
          <w:szCs w:val="24"/>
          <w:lang w:eastAsia="en-GB"/>
        </w:rPr>
        <w:t xml:space="preserve">/ </w:t>
      </w:r>
      <w:r w:rsidRPr="0033393E">
        <w:rPr>
          <w:rFonts w:eastAsia="Arial" w:cs="Arial"/>
          <w:b/>
          <w:bCs w:val="0"/>
          <w:color w:val="003D80"/>
          <w:szCs w:val="24"/>
          <w:lang w:eastAsia="en-GB"/>
        </w:rPr>
        <w:t>Data</w:t>
      </w:r>
      <w:r w:rsidR="00A23BD5">
        <w:rPr>
          <w:rFonts w:eastAsia="Arial" w:cs="Arial"/>
          <w:b/>
          <w:bCs w:val="0"/>
          <w:color w:val="003D80"/>
          <w:szCs w:val="24"/>
          <w:lang w:eastAsia="en-GB"/>
        </w:rPr>
        <w:t xml:space="preserve"> / User Guide</w:t>
      </w:r>
    </w:p>
    <w:p w14:paraId="76E98906" w14:textId="77777777" w:rsidR="002306F3" w:rsidRPr="002306F3" w:rsidRDefault="000E7846" w:rsidP="008C6336">
      <w:pPr>
        <w:pStyle w:val="ListParagraph"/>
        <w:numPr>
          <w:ilvl w:val="0"/>
          <w:numId w:val="184"/>
        </w:numPr>
        <w:spacing w:before="120" w:after="120" w:line="276" w:lineRule="auto"/>
        <w:rPr>
          <w:rStyle w:val="Hyperlink"/>
          <w:rFonts w:eastAsia="Arial"/>
        </w:rPr>
      </w:pPr>
      <w:hyperlink r:id="rId52" w:history="1">
        <w:r w:rsidR="002B15FF" w:rsidRPr="002306F3">
          <w:rPr>
            <w:rStyle w:val="Hyperlink"/>
            <w:rFonts w:eastAsia="Arial"/>
          </w:rPr>
          <w:t>PCWT – Getting started guide</w:t>
        </w:r>
      </w:hyperlink>
      <w:bookmarkStart w:id="205" w:name="page19"/>
      <w:bookmarkEnd w:id="205"/>
    </w:p>
    <w:p w14:paraId="47BC4FBE" w14:textId="783A902E" w:rsidR="00670323" w:rsidRDefault="00670323" w:rsidP="00670323">
      <w:pPr>
        <w:spacing w:before="120" w:after="120" w:line="276" w:lineRule="auto"/>
        <w:rPr>
          <w:rFonts w:eastAsia="Arial" w:cs="Arial"/>
          <w:b/>
          <w:bCs w:val="0"/>
          <w:color w:val="003D80"/>
          <w:szCs w:val="24"/>
          <w:lang w:eastAsia="en-GB"/>
        </w:rPr>
      </w:pPr>
      <w:r w:rsidRPr="0033393E">
        <w:rPr>
          <w:rFonts w:eastAsia="Arial" w:cs="Arial"/>
          <w:b/>
          <w:color w:val="003D80"/>
        </w:rPr>
        <w:t xml:space="preserve">Annex 2 A Sample Practice Visit </w:t>
      </w:r>
      <w:r w:rsidRPr="0033393E">
        <w:rPr>
          <w:rFonts w:eastAsia="Arial" w:cs="Arial"/>
          <w:b/>
          <w:bCs w:val="0"/>
          <w:color w:val="003D80"/>
          <w:szCs w:val="24"/>
          <w:lang w:eastAsia="en-GB"/>
        </w:rPr>
        <w:t>Letter</w:t>
      </w:r>
    </w:p>
    <w:bookmarkStart w:id="206" w:name="_1563083874"/>
    <w:bookmarkEnd w:id="206"/>
    <w:p w14:paraId="7FA57B91" w14:textId="13030BD4" w:rsidR="002B15FF" w:rsidRDefault="002306F3" w:rsidP="005A7DDA">
      <w:pPr>
        <w:pStyle w:val="ListParagraph"/>
        <w:numPr>
          <w:ilvl w:val="0"/>
          <w:numId w:val="147"/>
        </w:numPr>
        <w:rPr>
          <w:rFonts w:eastAsia="Arial"/>
        </w:rPr>
      </w:pPr>
      <w:r>
        <w:fldChar w:fldCharType="begin"/>
      </w:r>
      <w:r>
        <w:instrText xml:space="preserve"> HYPERLINK "https://www.england.nhs.uk/publication/primary-medical-care-policy-and-guidance-manual-practice-visit-best-practice-annexes/" </w:instrText>
      </w:r>
      <w:r>
        <w:fldChar w:fldCharType="separate"/>
      </w:r>
      <w:r w:rsidR="002B15FF" w:rsidRPr="00BF0412">
        <w:rPr>
          <w:rStyle w:val="Hyperlink"/>
          <w:rFonts w:eastAsia="Arial"/>
        </w:rPr>
        <w:t>A Sample Practice Visit Letter</w:t>
      </w:r>
      <w:r>
        <w:rPr>
          <w:rStyle w:val="Hyperlink"/>
          <w:rFonts w:eastAsia="Arial"/>
        </w:rPr>
        <w:fldChar w:fldCharType="end"/>
      </w:r>
    </w:p>
    <w:p w14:paraId="3DED0769" w14:textId="77777777" w:rsidR="002B15FF" w:rsidRPr="002B15FF" w:rsidRDefault="002B15FF" w:rsidP="002B15FF">
      <w:pPr>
        <w:rPr>
          <w:rFonts w:eastAsia="Arial"/>
        </w:rPr>
      </w:pPr>
    </w:p>
    <w:p w14:paraId="23322EB3" w14:textId="3124744C" w:rsidR="002B15FF" w:rsidRDefault="00670323" w:rsidP="002306F3">
      <w:pPr>
        <w:rPr>
          <w:rFonts w:eastAsia="Arial" w:cs="Arial"/>
          <w:b/>
          <w:color w:val="003D80"/>
        </w:rPr>
      </w:pPr>
      <w:r w:rsidRPr="002B15FF">
        <w:rPr>
          <w:rFonts w:eastAsia="Arial" w:cs="Arial"/>
          <w:b/>
          <w:color w:val="003D80"/>
        </w:rPr>
        <w:t xml:space="preserve">Annex 3 A Sample </w:t>
      </w:r>
      <w:bookmarkStart w:id="207" w:name="_1557475174"/>
      <w:bookmarkEnd w:id="207"/>
      <w:r w:rsidRPr="002B15FF">
        <w:rPr>
          <w:rFonts w:eastAsia="Arial" w:cs="Arial"/>
          <w:b/>
          <w:color w:val="003D80"/>
        </w:rPr>
        <w:t>Clinical Governance and Practice Review</w:t>
      </w:r>
      <w:r w:rsidRPr="0033393E">
        <w:rPr>
          <w:rFonts w:eastAsia="Arial" w:cs="Arial"/>
          <w:b/>
          <w:color w:val="003D80"/>
        </w:rPr>
        <w:t xml:space="preserve"> </w:t>
      </w:r>
      <w:r w:rsidR="002B15FF">
        <w:rPr>
          <w:rFonts w:eastAsia="Arial" w:cs="Arial"/>
          <w:b/>
          <w:color w:val="003D80"/>
        </w:rPr>
        <w:br/>
      </w:r>
    </w:p>
    <w:bookmarkStart w:id="208" w:name="_1557475200"/>
    <w:bookmarkEnd w:id="208"/>
    <w:p w14:paraId="68E285EC" w14:textId="1A8C937E" w:rsidR="00670323" w:rsidRPr="002B15FF" w:rsidRDefault="002306F3" w:rsidP="005A7DDA">
      <w:pPr>
        <w:pStyle w:val="ListParagraph"/>
        <w:numPr>
          <w:ilvl w:val="0"/>
          <w:numId w:val="147"/>
        </w:numPr>
        <w:rPr>
          <w:rFonts w:eastAsia="Arial"/>
        </w:rPr>
      </w:pPr>
      <w:r>
        <w:fldChar w:fldCharType="begin"/>
      </w:r>
      <w:r>
        <w:instrText xml:space="preserve"> HYPERLINK "https://www.england.nhs.uk/publication/primary-medical-care-policy-and-guidance-manual-practice-visit-best-practice-annexes/" </w:instrText>
      </w:r>
      <w:r>
        <w:fldChar w:fldCharType="separate"/>
      </w:r>
      <w:r w:rsidR="002B15FF" w:rsidRPr="00BF0412">
        <w:rPr>
          <w:rStyle w:val="Hyperlink"/>
          <w:rFonts w:eastAsia="Arial"/>
        </w:rPr>
        <w:t>A Sample Clinical Governance and Practice Review</w:t>
      </w:r>
      <w:r>
        <w:rPr>
          <w:rStyle w:val="Hyperlink"/>
          <w:rFonts w:eastAsia="Arial"/>
        </w:rPr>
        <w:fldChar w:fldCharType="end"/>
      </w:r>
    </w:p>
    <w:p w14:paraId="21279216" w14:textId="77777777" w:rsidR="002B15FF" w:rsidRPr="002B15FF" w:rsidRDefault="002B15FF" w:rsidP="002B15FF">
      <w:pPr>
        <w:rPr>
          <w:rFonts w:eastAsia="Arial"/>
        </w:rPr>
      </w:pPr>
    </w:p>
    <w:p w14:paraId="55389E14" w14:textId="77777777" w:rsidR="00670323" w:rsidRPr="0033393E" w:rsidRDefault="00670323" w:rsidP="00670323">
      <w:pPr>
        <w:spacing w:before="120" w:after="120" w:line="276" w:lineRule="auto"/>
        <w:rPr>
          <w:rFonts w:eastAsia="Arial" w:cs="Arial"/>
          <w:b/>
          <w:color w:val="003D80"/>
        </w:rPr>
      </w:pPr>
      <w:r w:rsidRPr="0033393E">
        <w:rPr>
          <w:rFonts w:eastAsia="Arial" w:cs="Arial"/>
          <w:b/>
          <w:color w:val="003D80"/>
        </w:rPr>
        <w:t xml:space="preserve">Annex </w:t>
      </w:r>
      <w:r w:rsidRPr="0033393E">
        <w:rPr>
          <w:rFonts w:eastAsia="Arial" w:cs="Arial"/>
          <w:b/>
          <w:bCs w:val="0"/>
          <w:color w:val="003D80"/>
          <w:szCs w:val="24"/>
          <w:lang w:eastAsia="en-GB"/>
        </w:rPr>
        <w:t>4</w:t>
      </w:r>
      <w:r w:rsidRPr="0033393E">
        <w:rPr>
          <w:rFonts w:eastAsia="Arial" w:cs="Arial"/>
          <w:b/>
          <w:color w:val="003D80"/>
        </w:rPr>
        <w:t xml:space="preserve"> A Sample Overview of Concerns - Investigation Plan</w:t>
      </w:r>
    </w:p>
    <w:bookmarkStart w:id="209" w:name="_1557475222"/>
    <w:bookmarkEnd w:id="209"/>
    <w:p w14:paraId="78153BF4" w14:textId="1E030565" w:rsidR="00670323" w:rsidRDefault="002306F3" w:rsidP="005A7DDA">
      <w:pPr>
        <w:pStyle w:val="ListParagraph"/>
        <w:numPr>
          <w:ilvl w:val="0"/>
          <w:numId w:val="147"/>
        </w:numPr>
        <w:rPr>
          <w:rFonts w:eastAsia="Arial"/>
        </w:rPr>
      </w:pPr>
      <w:r>
        <w:fldChar w:fldCharType="begin"/>
      </w:r>
      <w:r>
        <w:instrText xml:space="preserve"> HYPERLINK "https://www.england.nhs.uk/publication/primary-medical-care-policy-and-guidance-manual-practice-visit-best-practice-annexes/" </w:instrText>
      </w:r>
      <w:r>
        <w:fldChar w:fldCharType="separate"/>
      </w:r>
      <w:r w:rsidR="002B15FF" w:rsidRPr="00BF0412">
        <w:rPr>
          <w:rStyle w:val="Hyperlink"/>
          <w:rFonts w:eastAsia="Arial"/>
        </w:rPr>
        <w:t>A Sample Overview of Concerns - Investigation Plan</w:t>
      </w:r>
      <w:r>
        <w:rPr>
          <w:rStyle w:val="Hyperlink"/>
          <w:rFonts w:eastAsia="Arial"/>
        </w:rPr>
        <w:fldChar w:fldCharType="end"/>
      </w:r>
    </w:p>
    <w:p w14:paraId="38F2F45E" w14:textId="77777777" w:rsidR="002B15FF" w:rsidRPr="002B15FF" w:rsidRDefault="002B15FF" w:rsidP="002B15FF">
      <w:pPr>
        <w:rPr>
          <w:rFonts w:eastAsia="Arial"/>
        </w:rPr>
      </w:pPr>
    </w:p>
    <w:p w14:paraId="61AA05E9" w14:textId="77777777" w:rsidR="00670323" w:rsidRPr="002306F3" w:rsidRDefault="00670323" w:rsidP="00670323">
      <w:pPr>
        <w:spacing w:before="120" w:after="120" w:line="276" w:lineRule="auto"/>
        <w:rPr>
          <w:rFonts w:eastAsia="Arial"/>
          <w:b/>
          <w:color w:val="003D80"/>
        </w:rPr>
      </w:pPr>
      <w:r w:rsidRPr="0033393E">
        <w:rPr>
          <w:rFonts w:eastAsia="Arial" w:cs="Arial"/>
          <w:b/>
          <w:bCs w:val="0"/>
          <w:color w:val="003D80"/>
          <w:szCs w:val="24"/>
          <w:lang w:eastAsia="en-GB"/>
        </w:rPr>
        <w:t xml:space="preserve">Annex 5 </w:t>
      </w:r>
      <w:r w:rsidRPr="0033393E">
        <w:rPr>
          <w:rFonts w:eastAsia="Arial" w:cs="Arial"/>
          <w:b/>
          <w:color w:val="003D80"/>
        </w:rPr>
        <w:t>Sample Terms of Reference (ToR) For a Task &amp; Finish Group Investigating Concerns</w:t>
      </w:r>
    </w:p>
    <w:p w14:paraId="48A4169E" w14:textId="74F2B382" w:rsidR="002B15FF" w:rsidRPr="002B15FF" w:rsidRDefault="000E7846" w:rsidP="005A7DDA">
      <w:pPr>
        <w:pStyle w:val="ListParagraph"/>
        <w:numPr>
          <w:ilvl w:val="0"/>
          <w:numId w:val="147"/>
        </w:numPr>
      </w:pPr>
      <w:hyperlink r:id="rId53" w:history="1">
        <w:r w:rsidR="002B15FF" w:rsidRPr="00BF0412">
          <w:rPr>
            <w:rStyle w:val="Hyperlink"/>
            <w:rFonts w:eastAsia="Arial"/>
          </w:rPr>
          <w:t>Sample Terms of Reference (ToR) For a Task &amp; Finish Group Investigating Concerns</w:t>
        </w:r>
      </w:hyperlink>
    </w:p>
    <w:p w14:paraId="52B1A8AA" w14:textId="77C22853" w:rsidR="00670323" w:rsidRPr="0033393E" w:rsidRDefault="00670323" w:rsidP="00670323">
      <w:pPr>
        <w:spacing w:before="120" w:after="120" w:line="276" w:lineRule="auto"/>
        <w:rPr>
          <w:rFonts w:cs="Arial"/>
          <w:szCs w:val="24"/>
        </w:rPr>
      </w:pPr>
      <w:bookmarkStart w:id="210" w:name="_1567858494"/>
      <w:bookmarkEnd w:id="210"/>
    </w:p>
    <w:p w14:paraId="04A0669E" w14:textId="77777777" w:rsidR="00670323" w:rsidRPr="0033393E" w:rsidRDefault="00670323" w:rsidP="00670323">
      <w:pPr>
        <w:spacing w:before="120" w:after="120" w:line="276" w:lineRule="auto"/>
        <w:rPr>
          <w:rFonts w:cs="Arial"/>
        </w:rPr>
      </w:pPr>
    </w:p>
    <w:p w14:paraId="188D5B3F" w14:textId="77777777" w:rsidR="00670323" w:rsidRPr="0033393E" w:rsidRDefault="00670323" w:rsidP="003331F2">
      <w:pPr>
        <w:pStyle w:val="BodyText"/>
      </w:pPr>
    </w:p>
    <w:p w14:paraId="01F23AEF" w14:textId="77777777" w:rsidR="00670323" w:rsidRPr="0033393E" w:rsidRDefault="00670323" w:rsidP="00670323">
      <w:pPr>
        <w:spacing w:before="120" w:after="120" w:line="276" w:lineRule="auto"/>
        <w:rPr>
          <w:rFonts w:cs="Arial"/>
          <w:szCs w:val="24"/>
        </w:rPr>
      </w:pPr>
    </w:p>
    <w:p w14:paraId="36F68D6A" w14:textId="4DEB0BC3" w:rsidR="0015247B" w:rsidRDefault="00B42132" w:rsidP="0015247B">
      <w:pPr>
        <w:pStyle w:val="Heading1"/>
        <w:rPr>
          <w:lang w:eastAsia="en-GB"/>
        </w:rPr>
      </w:pPr>
      <w:r>
        <w:rPr>
          <w:lang w:eastAsia="en-GB"/>
        </w:rPr>
        <w:br w:type="page"/>
      </w:r>
      <w:bookmarkStart w:id="211" w:name="_Toc498495348"/>
      <w:r w:rsidR="0015247B">
        <w:rPr>
          <w:lang w:eastAsia="en-GB"/>
        </w:rPr>
        <w:lastRenderedPageBreak/>
        <w:t>Managing Patient Lists</w:t>
      </w:r>
      <w:bookmarkEnd w:id="211"/>
    </w:p>
    <w:p w14:paraId="2A6A53A4" w14:textId="77777777" w:rsidR="0015247B" w:rsidRDefault="0015247B" w:rsidP="0015247B">
      <w:pPr>
        <w:rPr>
          <w:lang w:eastAsia="en-GB"/>
        </w:rPr>
      </w:pPr>
    </w:p>
    <w:p w14:paraId="783F4693" w14:textId="77777777" w:rsidR="003D1FAF" w:rsidRPr="00CE0885" w:rsidRDefault="003D1FAF" w:rsidP="002C0080">
      <w:pPr>
        <w:pStyle w:val="Heading2"/>
        <w:rPr>
          <w:lang w:eastAsia="en-GB"/>
        </w:rPr>
      </w:pPr>
      <w:bookmarkStart w:id="212" w:name="_Toc440982479"/>
      <w:bookmarkStart w:id="213" w:name="_Toc498495349"/>
      <w:r w:rsidRPr="00CE0885">
        <w:rPr>
          <w:lang w:eastAsia="en-GB"/>
        </w:rPr>
        <w:t>Introduction</w:t>
      </w:r>
      <w:bookmarkEnd w:id="212"/>
      <w:bookmarkEnd w:id="213"/>
    </w:p>
    <w:p w14:paraId="2E8367D2" w14:textId="77777777" w:rsidR="003D1FAF" w:rsidRPr="00CE0885" w:rsidRDefault="003D1FAF" w:rsidP="002C0080">
      <w:pPr>
        <w:pStyle w:val="Heading3"/>
        <w:rPr>
          <w:lang w:eastAsia="en-GB"/>
        </w:rPr>
      </w:pPr>
      <w:bookmarkStart w:id="214" w:name="_Toc440982480"/>
      <w:r w:rsidRPr="00CE0885">
        <w:rPr>
          <w:lang w:eastAsia="en-GB"/>
        </w:rPr>
        <w:t>Practices operate either an open or a closed list and patients have the ability to register with any local practice which operates an open list. Practices continue to have discretion over new patient registrations, although fair and reasonable grounds should be presented in the event of a refusal to accept a patient onto an open practice list.</w:t>
      </w:r>
      <w:bookmarkEnd w:id="214"/>
    </w:p>
    <w:p w14:paraId="0232A4DB" w14:textId="77777777" w:rsidR="003D1FAF" w:rsidRPr="00CE0885" w:rsidRDefault="003D1FAF" w:rsidP="002C0080">
      <w:pPr>
        <w:pStyle w:val="Heading3"/>
        <w:rPr>
          <w:lang w:eastAsia="en-GB"/>
        </w:rPr>
      </w:pPr>
      <w:bookmarkStart w:id="215" w:name="_Toc440982481"/>
      <w:r w:rsidRPr="00CE0885">
        <w:rPr>
          <w:lang w:eastAsia="en-GB"/>
        </w:rPr>
        <w:t>Practices must ensure that they meet all general legal duties and must ensure that they are not directly or indirectly in breach of the public sector equality duty.</w:t>
      </w:r>
      <w:bookmarkEnd w:id="215"/>
      <w:r w:rsidRPr="00CE0885">
        <w:rPr>
          <w:lang w:eastAsia="en-GB"/>
        </w:rPr>
        <w:t xml:space="preserve"> </w:t>
      </w:r>
    </w:p>
    <w:p w14:paraId="6BEB168F" w14:textId="77777777" w:rsidR="003D1FAF" w:rsidRPr="00CE0885" w:rsidRDefault="003D1FAF" w:rsidP="002C0080">
      <w:pPr>
        <w:pStyle w:val="Heading3"/>
        <w:rPr>
          <w:lang w:eastAsia="en-GB"/>
        </w:rPr>
      </w:pPr>
      <w:bookmarkStart w:id="216" w:name="_Toc440982482"/>
      <w:r w:rsidRPr="00CE0885">
        <w:rPr>
          <w:lang w:eastAsia="en-GB"/>
        </w:rPr>
        <w:t>The Commissioner has an obligation to prepare and keep up to date a list of patients accepted by the contractor or assigned to its list of patients and who have not been removed from that list.</w:t>
      </w:r>
      <w:bookmarkEnd w:id="216"/>
    </w:p>
    <w:p w14:paraId="34CD6436" w14:textId="77777777" w:rsidR="003D1FAF" w:rsidRPr="00CE0885" w:rsidRDefault="003D1FAF" w:rsidP="002C0080">
      <w:pPr>
        <w:pStyle w:val="Heading3"/>
        <w:rPr>
          <w:lang w:eastAsia="en-GB"/>
        </w:rPr>
      </w:pPr>
      <w:bookmarkStart w:id="217" w:name="_Toc440982483"/>
      <w:r w:rsidRPr="00CE0885">
        <w:rPr>
          <w:lang w:eastAsia="en-GB"/>
        </w:rPr>
        <w:t>This policy sets out:</w:t>
      </w:r>
      <w:bookmarkEnd w:id="217"/>
    </w:p>
    <w:p w14:paraId="468A4A8D" w14:textId="77777777" w:rsidR="003D1FAF" w:rsidRPr="00CE0885" w:rsidRDefault="003D1FAF" w:rsidP="002C0080">
      <w:pPr>
        <w:pStyle w:val="Heading3"/>
        <w:rPr>
          <w:lang w:eastAsia="en-GB"/>
        </w:rPr>
      </w:pPr>
      <w:bookmarkStart w:id="218" w:name="_Toc440982484"/>
      <w:r w:rsidRPr="00CE0885">
        <w:rPr>
          <w:lang w:eastAsia="en-GB"/>
        </w:rPr>
        <w:t>the arrangements for managing patient assignments (Part A);</w:t>
      </w:r>
      <w:bookmarkEnd w:id="218"/>
    </w:p>
    <w:p w14:paraId="425AE262" w14:textId="77777777" w:rsidR="003D1FAF" w:rsidRPr="00CE0885" w:rsidRDefault="003D1FAF" w:rsidP="002C0080">
      <w:pPr>
        <w:pStyle w:val="Heading3"/>
        <w:rPr>
          <w:lang w:eastAsia="en-GB"/>
        </w:rPr>
      </w:pPr>
      <w:bookmarkStart w:id="219" w:name="_Toc440982485"/>
      <w:r w:rsidRPr="00CE0885">
        <w:rPr>
          <w:lang w:eastAsia="en-GB"/>
        </w:rPr>
        <w:t>list maintenance for primary medical services including general list maintenance by PCSE (Part B1) and targeted list cleansing by Commissioners (Part B2); and</w:t>
      </w:r>
      <w:bookmarkEnd w:id="219"/>
    </w:p>
    <w:p w14:paraId="33AB974E" w14:textId="77777777" w:rsidR="003D1FAF" w:rsidRPr="00CE0885" w:rsidRDefault="003D1FAF" w:rsidP="002C0080">
      <w:pPr>
        <w:pStyle w:val="Heading3"/>
        <w:rPr>
          <w:lang w:eastAsia="en-GB"/>
        </w:rPr>
      </w:pPr>
      <w:bookmarkStart w:id="220" w:name="_Toc440982486"/>
      <w:r w:rsidRPr="00CE0885">
        <w:rPr>
          <w:lang w:eastAsia="en-GB"/>
        </w:rPr>
        <w:t>managing closed lists (Part C).</w:t>
      </w:r>
      <w:bookmarkStart w:id="221" w:name="_Toc150919533"/>
      <w:bookmarkEnd w:id="220"/>
    </w:p>
    <w:p w14:paraId="58D84CAC" w14:textId="77777777" w:rsidR="003D1FAF" w:rsidRPr="009055A7" w:rsidRDefault="003D1FAF" w:rsidP="003D1FAF">
      <w:pPr>
        <w:widowControl w:val="0"/>
        <w:spacing w:line="360" w:lineRule="auto"/>
        <w:ind w:left="2268"/>
        <w:jc w:val="both"/>
        <w:rPr>
          <w:rFonts w:cs="Arial"/>
          <w:bCs w:val="0"/>
          <w:sz w:val="20"/>
          <w:szCs w:val="20"/>
          <w:lang w:eastAsia="en-GB"/>
        </w:rPr>
      </w:pPr>
    </w:p>
    <w:p w14:paraId="7D024B4E" w14:textId="77777777" w:rsidR="003D1FAF" w:rsidRPr="00CE0885" w:rsidRDefault="003D1FAF" w:rsidP="002C0080">
      <w:pPr>
        <w:pStyle w:val="Heading2"/>
        <w:rPr>
          <w:lang w:eastAsia="en-GB"/>
        </w:rPr>
      </w:pPr>
      <w:bookmarkStart w:id="222" w:name="_Toc498495350"/>
      <w:r w:rsidRPr="00CE0885">
        <w:rPr>
          <w:lang w:eastAsia="en-GB"/>
        </w:rPr>
        <w:t>PART A: Managing Patient Assignments</w:t>
      </w:r>
      <w:bookmarkEnd w:id="222"/>
    </w:p>
    <w:p w14:paraId="5C0FF3F5" w14:textId="77777777" w:rsidR="003D1FAF" w:rsidRPr="002C0080" w:rsidRDefault="003D1FAF" w:rsidP="002C0080">
      <w:pPr>
        <w:pStyle w:val="Heading3"/>
        <w:rPr>
          <w:b/>
          <w:lang w:eastAsia="en-GB"/>
        </w:rPr>
      </w:pPr>
      <w:bookmarkStart w:id="223" w:name="_Toc440982487"/>
      <w:r w:rsidRPr="002C0080">
        <w:rPr>
          <w:b/>
          <w:lang w:eastAsia="en-GB"/>
        </w:rPr>
        <w:t>Scope</w:t>
      </w:r>
      <w:bookmarkEnd w:id="223"/>
    </w:p>
    <w:p w14:paraId="6B0EEB52" w14:textId="77777777" w:rsidR="003D1FAF" w:rsidRPr="002C0080" w:rsidRDefault="003D1FAF" w:rsidP="002C0080">
      <w:pPr>
        <w:pStyle w:val="Heading4"/>
      </w:pPr>
      <w:bookmarkStart w:id="224" w:name="_Toc440982488"/>
      <w:r w:rsidRPr="002C0080">
        <w:t>This Part A sets out the processes the Commissioner should follow in respect of patient assignment to practice lists. This Part A also provides information regarding the grounds for practice refusal to register a new patient and potential difficulties that may arise following removal from a practice list and the procedures that must be followed in the event that patient assignment to a practice list is required.</w:t>
      </w:r>
      <w:bookmarkEnd w:id="224"/>
    </w:p>
    <w:p w14:paraId="3666A984" w14:textId="77777777" w:rsidR="003D1FAF" w:rsidRPr="00CE0885" w:rsidRDefault="003D1FAF" w:rsidP="002C0080">
      <w:pPr>
        <w:pStyle w:val="Heading4"/>
      </w:pPr>
      <w:bookmarkStart w:id="225" w:name="_Toc344897878"/>
      <w:bookmarkStart w:id="226" w:name="_Toc440982489"/>
      <w:r w:rsidRPr="002C0080">
        <w:t>Where a practice list is open, a patient may apply for registration either in person or on behalf of another, whether or not they are resident in the practice area or are currently registered at another practice.</w:t>
      </w:r>
      <w:bookmarkEnd w:id="225"/>
      <w:bookmarkEnd w:id="226"/>
      <w:r w:rsidRPr="00CE0885">
        <w:t xml:space="preserve">  </w:t>
      </w:r>
    </w:p>
    <w:p w14:paraId="1B820931" w14:textId="77777777" w:rsidR="003D1FAF" w:rsidRPr="009055A7" w:rsidRDefault="003D1FAF" w:rsidP="003D1FAF">
      <w:pPr>
        <w:widowControl w:val="0"/>
        <w:spacing w:line="360" w:lineRule="auto"/>
        <w:ind w:left="1414"/>
        <w:jc w:val="both"/>
        <w:rPr>
          <w:rFonts w:cs="Arial"/>
          <w:bCs w:val="0"/>
          <w:sz w:val="20"/>
          <w:szCs w:val="20"/>
          <w:lang w:eastAsia="en-GB"/>
        </w:rPr>
      </w:pPr>
    </w:p>
    <w:p w14:paraId="66A76747" w14:textId="77777777" w:rsidR="003D1FAF" w:rsidRPr="002C0080" w:rsidRDefault="003D1FAF" w:rsidP="002C0080">
      <w:pPr>
        <w:pStyle w:val="Heading3"/>
        <w:rPr>
          <w:b/>
        </w:rPr>
      </w:pPr>
      <w:bookmarkStart w:id="227" w:name="_Toc440982490"/>
      <w:r w:rsidRPr="002C0080">
        <w:rPr>
          <w:b/>
        </w:rPr>
        <w:lastRenderedPageBreak/>
        <w:t>Refusing Patient Registration onto an Open List</w:t>
      </w:r>
      <w:bookmarkEnd w:id="227"/>
    </w:p>
    <w:p w14:paraId="3F31FDC3" w14:textId="77777777" w:rsidR="003D1FAF" w:rsidRPr="00CE0885" w:rsidRDefault="003D1FAF" w:rsidP="002C0080">
      <w:pPr>
        <w:pStyle w:val="Heading4"/>
        <w:rPr>
          <w:lang w:val="en-US"/>
        </w:rPr>
      </w:pPr>
      <w:bookmarkStart w:id="228" w:name="_Toc440982491"/>
      <w:r w:rsidRPr="00CE0885">
        <w:rPr>
          <w:lang w:val="en-US"/>
        </w:rPr>
        <w:t>In most circumstances, practices that are operating an open list do so effectively, and in a reasonable manner, accepting applications for new registrations on a daily basis. There are, however, a number of circumstances when a patient may find it difficult to obtain registration with their local practice and in these circumstances it is important that the Commissioner is fully aware of the grounds under which a practice may refuse registration and the processes that must be followed in order to demonstrate that this refusal has not been on prejudicial grounds.</w:t>
      </w:r>
      <w:bookmarkEnd w:id="228"/>
      <w:r w:rsidRPr="00CE0885">
        <w:rPr>
          <w:lang w:val="en-US"/>
        </w:rPr>
        <w:t xml:space="preserve"> </w:t>
      </w:r>
    </w:p>
    <w:p w14:paraId="7BE0FC0D" w14:textId="77777777" w:rsidR="003D1FAF" w:rsidRPr="00CE0885" w:rsidRDefault="003D1FAF" w:rsidP="002C0080">
      <w:pPr>
        <w:pStyle w:val="Heading4"/>
        <w:rPr>
          <w:lang w:val="en-US"/>
        </w:rPr>
      </w:pPr>
      <w:bookmarkStart w:id="229" w:name="_Toc440982492"/>
      <w:r w:rsidRPr="00CE0885">
        <w:rPr>
          <w:lang w:val="en-US"/>
        </w:rPr>
        <w:t>A practice may only refuse to accept a patient onto an open list where it has reasonable grounds for doing so. Reasonable grounds will not relate to the patients race, gender, social class, age, religion, sexual orientation, appearance, disability or medical condition.  Reasonable grounds may include that the patient does not live in the practice area. Where a practice refuses to register a patient, the reason for this refusal must be made in writing to the patient within 14 days of the request for inclusion being made. The contractor must keep a written record of applications and reasons for refusal.</w:t>
      </w:r>
      <w:bookmarkEnd w:id="229"/>
      <w:r w:rsidRPr="00CE0885">
        <w:rPr>
          <w:lang w:val="en-US"/>
        </w:rPr>
        <w:t xml:space="preserve"> </w:t>
      </w:r>
    </w:p>
    <w:p w14:paraId="0132733E" w14:textId="77777777" w:rsidR="003D1FAF" w:rsidRPr="00CE0885" w:rsidRDefault="003D1FAF" w:rsidP="002C0080">
      <w:pPr>
        <w:pStyle w:val="Heading4"/>
        <w:rPr>
          <w:rFonts w:eastAsia="MS Mincho"/>
        </w:rPr>
      </w:pPr>
      <w:bookmarkStart w:id="230" w:name="_Toc440982493"/>
      <w:r w:rsidRPr="00CE0885">
        <w:t xml:space="preserve">The operation of a waiting list for registrations is not appropriate. Where a practice feels that it cannot accept new registrations at the time of the patients’ application to join the practice, they may need to consider whether the practice list should remain open and enter into discussions in this respect with the Commissioner. </w:t>
      </w:r>
      <w:r w:rsidRPr="00CE0885">
        <w:rPr>
          <w:rFonts w:eastAsia="MS Mincho"/>
        </w:rPr>
        <w:t>See Section C for more information</w:t>
      </w:r>
      <w:r w:rsidRPr="00CE0885">
        <w:rPr>
          <w:rFonts w:eastAsia="MS Mincho"/>
          <w:i/>
        </w:rPr>
        <w:t>.</w:t>
      </w:r>
      <w:bookmarkEnd w:id="230"/>
    </w:p>
    <w:p w14:paraId="077BB006" w14:textId="77777777" w:rsidR="003D1FAF" w:rsidRPr="00CE0885" w:rsidRDefault="003D1FAF" w:rsidP="002C0080">
      <w:pPr>
        <w:pStyle w:val="Heading4"/>
      </w:pPr>
      <w:bookmarkStart w:id="231" w:name="_Toc440982494"/>
      <w:r w:rsidRPr="00CE0885">
        <w:t>In the event that the Commissioner is approached regarding any refusal of registration, it must make contact with the practice to confirm the situation and address the matter in line with the PMS Regulations, GMS Regulations or APMS Directions (as appropriate).</w:t>
      </w:r>
      <w:bookmarkEnd w:id="231"/>
    </w:p>
    <w:p w14:paraId="2F1C86E3" w14:textId="77777777" w:rsidR="003D1FAF" w:rsidRPr="002C0080" w:rsidRDefault="003D1FAF" w:rsidP="003D1FAF">
      <w:pPr>
        <w:widowControl w:val="0"/>
        <w:spacing w:line="360" w:lineRule="auto"/>
        <w:ind w:left="1414"/>
        <w:jc w:val="both"/>
        <w:rPr>
          <w:rFonts w:eastAsia="MS Mincho" w:cs="Arial"/>
          <w:bCs w:val="0"/>
          <w:sz w:val="20"/>
          <w:szCs w:val="20"/>
          <w:lang w:eastAsia="en-GB"/>
        </w:rPr>
      </w:pPr>
    </w:p>
    <w:p w14:paraId="746F73FD" w14:textId="77777777" w:rsidR="003D1FAF" w:rsidRPr="002C0080" w:rsidRDefault="003D1FAF" w:rsidP="002C0080">
      <w:pPr>
        <w:pStyle w:val="Heading3"/>
        <w:rPr>
          <w:b/>
          <w:lang w:val="en-US" w:eastAsia="en-GB"/>
        </w:rPr>
      </w:pPr>
      <w:bookmarkStart w:id="232" w:name="_Toc440982495"/>
      <w:r w:rsidRPr="002C0080">
        <w:rPr>
          <w:b/>
          <w:lang w:val="en-US" w:eastAsia="en-GB"/>
        </w:rPr>
        <w:t>Removing a Patient from a Practice List</w:t>
      </w:r>
      <w:bookmarkEnd w:id="232"/>
    </w:p>
    <w:p w14:paraId="72C197F9" w14:textId="77777777" w:rsidR="003D1FAF" w:rsidRPr="00CE0885" w:rsidRDefault="003D1FAF" w:rsidP="002C0080">
      <w:pPr>
        <w:pStyle w:val="Heading4"/>
        <w:rPr>
          <w:lang w:val="en-US"/>
        </w:rPr>
      </w:pPr>
      <w:bookmarkStart w:id="233" w:name="_Toc440982496"/>
      <w:r w:rsidRPr="00CE0885">
        <w:rPr>
          <w:lang w:val="en-US"/>
        </w:rPr>
        <w:lastRenderedPageBreak/>
        <w:t>Where a practice wishes to remove a patient from its practice list, the practice must normally provide the reason for removal in writing to the patient. Removal may normally only be requested if, within the period of 12 months prior to the date of the request, the practice has warned the patient in writing that they are at risk of removal and reasons for this have been stated.</w:t>
      </w:r>
      <w:bookmarkEnd w:id="233"/>
      <w:r w:rsidRPr="00CE0885">
        <w:rPr>
          <w:lang w:val="en-US"/>
        </w:rPr>
        <w:t xml:space="preserve">  </w:t>
      </w:r>
    </w:p>
    <w:p w14:paraId="07F012A3" w14:textId="77777777" w:rsidR="003D1FAF" w:rsidRPr="00CE0885" w:rsidRDefault="003D1FAF" w:rsidP="002C0080">
      <w:pPr>
        <w:pStyle w:val="Heading4"/>
        <w:rPr>
          <w:lang w:val="en-US"/>
        </w:rPr>
      </w:pPr>
      <w:bookmarkStart w:id="234" w:name="_Toc440982497"/>
      <w:r w:rsidRPr="00CE0885">
        <w:rPr>
          <w:lang w:val="en-US"/>
        </w:rPr>
        <w:t>It may be justified that a written warning was not possible/appropriate in the circumstances that:</w:t>
      </w:r>
      <w:bookmarkEnd w:id="234"/>
    </w:p>
    <w:p w14:paraId="2007AF57" w14:textId="77777777" w:rsidR="003D1FAF" w:rsidRPr="00F0701C" w:rsidRDefault="003D1FAF" w:rsidP="005A7DDA">
      <w:pPr>
        <w:pStyle w:val="BodyText"/>
        <w:numPr>
          <w:ilvl w:val="0"/>
          <w:numId w:val="71"/>
        </w:numPr>
        <w:spacing w:line="360" w:lineRule="auto"/>
        <w:ind w:left="714" w:hanging="357"/>
        <w:rPr>
          <w:sz w:val="24"/>
          <w:szCs w:val="24"/>
        </w:rPr>
      </w:pPr>
      <w:bookmarkStart w:id="235" w:name="_Toc440982498"/>
      <w:r w:rsidRPr="00F0701C">
        <w:rPr>
          <w:sz w:val="24"/>
          <w:szCs w:val="24"/>
        </w:rPr>
        <w:t>the reason for removal relates to a change of address outside of the practice area including where a patient has been registered as a temporary resident elsewhere and has exceeded the three-month temporary residency period;</w:t>
      </w:r>
      <w:bookmarkEnd w:id="235"/>
      <w:r w:rsidRPr="00F0701C">
        <w:rPr>
          <w:sz w:val="24"/>
          <w:szCs w:val="24"/>
        </w:rPr>
        <w:t xml:space="preserve"> </w:t>
      </w:r>
    </w:p>
    <w:p w14:paraId="61DE51F4" w14:textId="77777777" w:rsidR="003D1FAF" w:rsidRPr="00F0701C" w:rsidRDefault="003D1FAF" w:rsidP="005A7DDA">
      <w:pPr>
        <w:pStyle w:val="BodyText"/>
        <w:numPr>
          <w:ilvl w:val="0"/>
          <w:numId w:val="71"/>
        </w:numPr>
        <w:spacing w:line="360" w:lineRule="auto"/>
        <w:ind w:left="714" w:hanging="357"/>
        <w:rPr>
          <w:sz w:val="24"/>
          <w:szCs w:val="24"/>
        </w:rPr>
      </w:pPr>
      <w:bookmarkStart w:id="236" w:name="_Toc440982499"/>
      <w:r w:rsidRPr="00F0701C">
        <w:rPr>
          <w:sz w:val="24"/>
          <w:szCs w:val="24"/>
        </w:rPr>
        <w:t>the practice has reasonable grounds for believing that the issue of a warning would be harmful to the physical or mental health of the patient or put at risk one or more members of the practice team; or</w:t>
      </w:r>
      <w:bookmarkEnd w:id="236"/>
    </w:p>
    <w:p w14:paraId="28FAE412" w14:textId="52BC6C01" w:rsidR="003D1FAF" w:rsidRPr="00F0701C" w:rsidRDefault="00E05328" w:rsidP="005A7DDA">
      <w:pPr>
        <w:pStyle w:val="BodyText"/>
        <w:numPr>
          <w:ilvl w:val="0"/>
          <w:numId w:val="71"/>
        </w:numPr>
        <w:spacing w:line="360" w:lineRule="auto"/>
        <w:ind w:left="714" w:hanging="357"/>
        <w:rPr>
          <w:sz w:val="24"/>
          <w:szCs w:val="24"/>
        </w:rPr>
      </w:pPr>
      <w:bookmarkStart w:id="237" w:name="_Toc440982500"/>
      <w:r w:rsidRPr="00F0701C">
        <w:rPr>
          <w:sz w:val="24"/>
          <w:szCs w:val="24"/>
        </w:rPr>
        <w:t>It</w:t>
      </w:r>
      <w:r w:rsidR="003D1FAF" w:rsidRPr="00F0701C">
        <w:rPr>
          <w:sz w:val="24"/>
          <w:szCs w:val="24"/>
        </w:rPr>
        <w:t xml:space="preserve"> is, in the opinion of the contractor, not otherwise reasonable or practical for a warning to be given.</w:t>
      </w:r>
      <w:bookmarkEnd w:id="237"/>
      <w:r w:rsidR="003D1FAF" w:rsidRPr="00F0701C">
        <w:rPr>
          <w:sz w:val="24"/>
          <w:szCs w:val="24"/>
        </w:rPr>
        <w:t xml:space="preserve"> </w:t>
      </w:r>
    </w:p>
    <w:p w14:paraId="3C0C45A1" w14:textId="77777777" w:rsidR="003D1FAF" w:rsidRPr="00CE0885" w:rsidRDefault="003D1FAF" w:rsidP="00E05328">
      <w:pPr>
        <w:pStyle w:val="Heading4"/>
        <w:rPr>
          <w:lang w:val="en-US"/>
        </w:rPr>
      </w:pPr>
      <w:bookmarkStart w:id="238" w:name="_Toc440982501"/>
      <w:r w:rsidRPr="00CE0885">
        <w:rPr>
          <w:lang w:val="en-US"/>
        </w:rPr>
        <w:lastRenderedPageBreak/>
        <w:t>The practice must record in writing either the date of any warning given and the reasons for such a warning or the reason why no such warning was given.</w:t>
      </w:r>
      <w:bookmarkEnd w:id="238"/>
      <w:r w:rsidRPr="00CE0885">
        <w:rPr>
          <w:lang w:val="en-US"/>
        </w:rPr>
        <w:t xml:space="preserve"> </w:t>
      </w:r>
    </w:p>
    <w:p w14:paraId="3DD80914" w14:textId="77777777" w:rsidR="003D1FAF" w:rsidRPr="00CE0885" w:rsidRDefault="003D1FAF" w:rsidP="00E05328">
      <w:pPr>
        <w:pStyle w:val="Heading4"/>
        <w:rPr>
          <w:lang w:val="en-US"/>
        </w:rPr>
      </w:pPr>
      <w:bookmarkStart w:id="239" w:name="_Toc440982502"/>
      <w:r w:rsidRPr="00CE0885">
        <w:rPr>
          <w:lang w:val="en-US"/>
        </w:rPr>
        <w:t>All patient removals must be recorded by the practice, including the reasons and circumstances of the removal and this record must be made available to the Commissioner should it be requested.</w:t>
      </w:r>
      <w:bookmarkEnd w:id="239"/>
      <w:r w:rsidRPr="00CE0885">
        <w:rPr>
          <w:lang w:val="en-US"/>
        </w:rPr>
        <w:t xml:space="preserve">  </w:t>
      </w:r>
    </w:p>
    <w:p w14:paraId="23E12B12" w14:textId="2550C457" w:rsidR="003D1FAF" w:rsidRPr="00CE0885" w:rsidRDefault="003D1FAF" w:rsidP="00E05328">
      <w:pPr>
        <w:pStyle w:val="Heading4"/>
        <w:rPr>
          <w:lang w:val="en-US"/>
        </w:rPr>
      </w:pPr>
      <w:bookmarkStart w:id="240" w:name="_Toc440982503"/>
      <w:r w:rsidRPr="00CE0885">
        <w:rPr>
          <w:lang w:val="en-US"/>
        </w:rPr>
        <w:t xml:space="preserve">Notifications by the contractor to the Commissioner should be made on removals from the contractors' patient list. The Commissioner must refer to the relevant Regulations/Directions (set out at in Schedule 3 Part 3 of the GMS Regulations; </w:t>
      </w:r>
      <w:r w:rsidR="00E05328" w:rsidRPr="00CE0885">
        <w:rPr>
          <w:lang w:val="en-US"/>
        </w:rPr>
        <w:t>Schedule</w:t>
      </w:r>
      <w:r w:rsidRPr="00CE0885">
        <w:rPr>
          <w:lang w:val="en-US"/>
        </w:rPr>
        <w:t xml:space="preserve"> 2 Part 3 of the PMS Regulations; the APMS Direction do not require APMS contracts to have provisions relating to patient lists – the Commissioner should refer to the wording of the relevant APMS contract).</w:t>
      </w:r>
      <w:bookmarkEnd w:id="240"/>
    </w:p>
    <w:p w14:paraId="103E0D1C" w14:textId="057E8ACE" w:rsidR="003D1FAF" w:rsidRPr="00CE0885" w:rsidRDefault="003D1FAF" w:rsidP="00E05328">
      <w:pPr>
        <w:pStyle w:val="Heading4"/>
        <w:rPr>
          <w:lang w:val="en-US"/>
        </w:rPr>
      </w:pPr>
      <w:bookmarkStart w:id="241" w:name="_Toc440982504"/>
      <w:r w:rsidRPr="00CE0885">
        <w:rPr>
          <w:lang w:val="en-US"/>
        </w:rPr>
        <w:t xml:space="preserve">Practices may remove a patient with immediate effect where the patient has committed an act of violence or behaved in such a way that the contractor, practice staff, other patients, or those present at the place the services were provided have feared for their safety. The incident leading to the request for immediate removal must have been reported to the police. It is highly likely that there are different ways in which violent patients are managed nationally as services were commissioned in different ways under a violent patient directed enhanced service scheme. For this reason the Commissioner must refer to the relevant Regulations/Directions and </w:t>
      </w:r>
      <w:r w:rsidR="00B00DFD">
        <w:rPr>
          <w:lang w:val="en-US"/>
        </w:rPr>
        <w:t xml:space="preserve">the Special Allocation Scheme (SAS) </w:t>
      </w:r>
      <w:r w:rsidRPr="00CE0885">
        <w:rPr>
          <w:lang w:val="en-US"/>
        </w:rPr>
        <w:t>chap</w:t>
      </w:r>
      <w:r w:rsidR="00E05328">
        <w:rPr>
          <w:lang w:val="en-US"/>
        </w:rPr>
        <w:t>t</w:t>
      </w:r>
      <w:r w:rsidRPr="00CE0885">
        <w:rPr>
          <w:lang w:val="en-US"/>
        </w:rPr>
        <w:t>er</w:t>
      </w:r>
      <w:r w:rsidR="00E05328">
        <w:rPr>
          <w:lang w:val="en-US"/>
        </w:rPr>
        <w:t xml:space="preserve"> </w:t>
      </w:r>
      <w:r w:rsidRPr="00CE0885">
        <w:rPr>
          <w:lang w:val="en-US"/>
        </w:rPr>
        <w:t>.</w:t>
      </w:r>
      <w:bookmarkEnd w:id="241"/>
      <w:r w:rsidRPr="00CE0885">
        <w:rPr>
          <w:lang w:val="en-US"/>
        </w:rPr>
        <w:t xml:space="preserve"> </w:t>
      </w:r>
    </w:p>
    <w:p w14:paraId="3789AE29" w14:textId="77777777" w:rsidR="003D1FAF" w:rsidRPr="00CE0885" w:rsidRDefault="003D1FAF" w:rsidP="00E05328">
      <w:pPr>
        <w:pStyle w:val="Heading4"/>
      </w:pPr>
      <w:bookmarkStart w:id="242" w:name="_Toc440982505"/>
      <w:r w:rsidRPr="00CE0885">
        <w:t>Patients may experience difficulties in registering where they have been removed from a practice list, although, (other than on the grounds of violence or threatening behaviour), this should not ordinarily be a factor considered by practices when approached by new patients. It should also be noted that patients have the right to choose to move from one practice to another, even within the same locality, without providing grounds for doing so.</w:t>
      </w:r>
      <w:bookmarkEnd w:id="242"/>
      <w:r w:rsidRPr="00CE0885">
        <w:t xml:space="preserve">  </w:t>
      </w:r>
    </w:p>
    <w:p w14:paraId="37EB1D35" w14:textId="77777777" w:rsidR="003D1FAF" w:rsidRPr="009055A7" w:rsidRDefault="003D1FAF" w:rsidP="003D1FAF">
      <w:pPr>
        <w:widowControl w:val="0"/>
        <w:spacing w:line="360" w:lineRule="auto"/>
        <w:ind w:left="1414"/>
        <w:jc w:val="both"/>
        <w:rPr>
          <w:rFonts w:cs="Arial"/>
          <w:bCs w:val="0"/>
          <w:sz w:val="20"/>
          <w:szCs w:val="20"/>
          <w:lang w:eastAsia="en-GB"/>
        </w:rPr>
      </w:pPr>
    </w:p>
    <w:p w14:paraId="45FFEB59" w14:textId="725F4C22" w:rsidR="00E05328" w:rsidRPr="00E05328" w:rsidRDefault="003D1FAF" w:rsidP="002C0080">
      <w:pPr>
        <w:pStyle w:val="Heading3"/>
        <w:rPr>
          <w:bCs w:val="0"/>
        </w:rPr>
      </w:pPr>
      <w:bookmarkStart w:id="243" w:name="_Toc355174338"/>
      <w:bookmarkStart w:id="244" w:name="_Toc440982506"/>
      <w:r w:rsidRPr="00E05328">
        <w:rPr>
          <w:b/>
          <w:lang w:eastAsia="en-GB"/>
        </w:rPr>
        <w:t xml:space="preserve">Where Patient Assignment to a Practice List is </w:t>
      </w:r>
      <w:bookmarkEnd w:id="243"/>
      <w:bookmarkEnd w:id="244"/>
      <w:r w:rsidR="00F0701C">
        <w:rPr>
          <w:b/>
          <w:lang w:eastAsia="en-GB"/>
        </w:rPr>
        <w:t>R</w:t>
      </w:r>
      <w:r w:rsidR="00F0701C" w:rsidRPr="00E05328">
        <w:rPr>
          <w:b/>
          <w:lang w:eastAsia="en-GB"/>
        </w:rPr>
        <w:t>equired</w:t>
      </w:r>
    </w:p>
    <w:p w14:paraId="2555DED1" w14:textId="05F4A128" w:rsidR="003D1FAF" w:rsidRPr="002C0080" w:rsidRDefault="003D1FAF" w:rsidP="00E05328">
      <w:pPr>
        <w:pStyle w:val="Heading4"/>
      </w:pPr>
      <w:r w:rsidRPr="002C0080">
        <w:lastRenderedPageBreak/>
        <w:t>Assignment to an open list</w:t>
      </w:r>
    </w:p>
    <w:p w14:paraId="6A51C39A" w14:textId="77777777" w:rsidR="003D1FAF" w:rsidRPr="00E05328" w:rsidRDefault="003D1FAF" w:rsidP="00E05328">
      <w:pPr>
        <w:pStyle w:val="Heading5"/>
      </w:pPr>
      <w:bookmarkStart w:id="245" w:name="_Toc440982507"/>
      <w:r w:rsidRPr="00E05328">
        <w:t>The Commissioner may assign a new patient to a practice whose list of patients is open and in making the assignment, the Commissioner shall have regard to:</w:t>
      </w:r>
      <w:bookmarkEnd w:id="245"/>
    </w:p>
    <w:p w14:paraId="5DC9D651" w14:textId="77777777" w:rsidR="003D1FAF" w:rsidRPr="00E05328" w:rsidRDefault="003D1FAF" w:rsidP="005A7DDA">
      <w:pPr>
        <w:pStyle w:val="BodyText"/>
        <w:numPr>
          <w:ilvl w:val="0"/>
          <w:numId w:val="71"/>
        </w:numPr>
        <w:spacing w:line="360" w:lineRule="auto"/>
        <w:ind w:left="714" w:hanging="357"/>
        <w:rPr>
          <w:sz w:val="24"/>
          <w:szCs w:val="24"/>
        </w:rPr>
      </w:pPr>
      <w:bookmarkStart w:id="246" w:name="_Toc440982508"/>
      <w:r w:rsidRPr="00E05328">
        <w:rPr>
          <w:sz w:val="24"/>
          <w:szCs w:val="24"/>
        </w:rPr>
        <w:t>the wishes and circumstances of the patient to be assigned;</w:t>
      </w:r>
      <w:bookmarkEnd w:id="246"/>
    </w:p>
    <w:p w14:paraId="232FC66E" w14:textId="77777777" w:rsidR="003D1FAF" w:rsidRPr="00E05328" w:rsidRDefault="003D1FAF" w:rsidP="005A7DDA">
      <w:pPr>
        <w:pStyle w:val="BodyText"/>
        <w:numPr>
          <w:ilvl w:val="0"/>
          <w:numId w:val="71"/>
        </w:numPr>
        <w:spacing w:line="360" w:lineRule="auto"/>
        <w:ind w:left="714" w:hanging="357"/>
        <w:rPr>
          <w:sz w:val="24"/>
          <w:szCs w:val="24"/>
        </w:rPr>
      </w:pPr>
      <w:bookmarkStart w:id="247" w:name="_Toc440982509"/>
      <w:r w:rsidRPr="00E05328">
        <w:rPr>
          <w:sz w:val="24"/>
          <w:szCs w:val="24"/>
        </w:rPr>
        <w:t>the distance between the patient’s place of residence and the practice premises;</w:t>
      </w:r>
      <w:bookmarkEnd w:id="247"/>
    </w:p>
    <w:p w14:paraId="7ADC3E1A" w14:textId="77777777" w:rsidR="003D1FAF" w:rsidRPr="00E05328" w:rsidRDefault="003D1FAF" w:rsidP="005A7DDA">
      <w:pPr>
        <w:pStyle w:val="BodyText"/>
        <w:numPr>
          <w:ilvl w:val="0"/>
          <w:numId w:val="71"/>
        </w:numPr>
        <w:spacing w:line="360" w:lineRule="auto"/>
        <w:ind w:left="714" w:hanging="357"/>
        <w:rPr>
          <w:sz w:val="24"/>
          <w:szCs w:val="24"/>
        </w:rPr>
      </w:pPr>
      <w:bookmarkStart w:id="248" w:name="_Toc440982510"/>
      <w:r w:rsidRPr="00E05328">
        <w:rPr>
          <w:sz w:val="24"/>
          <w:szCs w:val="24"/>
        </w:rPr>
        <w:t>whether, during the six months ending on the date on which the application for assignment is received by the Commissioner, the patient’s name has been removed from the list of patients of any practice in the area of the Commissioner, at the request of the practice;</w:t>
      </w:r>
      <w:bookmarkEnd w:id="248"/>
    </w:p>
    <w:p w14:paraId="6E476AF9" w14:textId="77777777" w:rsidR="003D1FAF" w:rsidRPr="00E05328" w:rsidRDefault="003D1FAF" w:rsidP="005A7DDA">
      <w:pPr>
        <w:pStyle w:val="BodyText"/>
        <w:numPr>
          <w:ilvl w:val="0"/>
          <w:numId w:val="71"/>
        </w:numPr>
        <w:spacing w:line="360" w:lineRule="auto"/>
        <w:ind w:left="714" w:hanging="357"/>
        <w:rPr>
          <w:sz w:val="24"/>
          <w:szCs w:val="24"/>
        </w:rPr>
      </w:pPr>
      <w:bookmarkStart w:id="249" w:name="_Toc440982511"/>
      <w:r w:rsidRPr="00E05328">
        <w:rPr>
          <w:sz w:val="24"/>
          <w:szCs w:val="24"/>
        </w:rPr>
        <w:t>whether the patient’s name has previously been removed from the list of patients of any practice in the area of the Commissioner owing to violent behaviour and, if so, whether the practice to which the patient is to be assigned has appropriate facilities to deal with such a patient; and</w:t>
      </w:r>
      <w:bookmarkEnd w:id="249"/>
    </w:p>
    <w:p w14:paraId="44DFB24A" w14:textId="77777777" w:rsidR="003D1FAF" w:rsidRPr="00E05328" w:rsidRDefault="003D1FAF" w:rsidP="005A7DDA">
      <w:pPr>
        <w:pStyle w:val="BodyText"/>
        <w:numPr>
          <w:ilvl w:val="0"/>
          <w:numId w:val="71"/>
        </w:numPr>
        <w:spacing w:line="360" w:lineRule="auto"/>
        <w:ind w:left="714" w:hanging="357"/>
        <w:rPr>
          <w:sz w:val="24"/>
          <w:szCs w:val="24"/>
        </w:rPr>
      </w:pPr>
      <w:bookmarkStart w:id="250" w:name="_Toc440982512"/>
      <w:r w:rsidRPr="00E05328">
        <w:rPr>
          <w:sz w:val="24"/>
          <w:szCs w:val="24"/>
        </w:rPr>
        <w:t>other matters the Commissioner considers relevant.</w:t>
      </w:r>
      <w:bookmarkEnd w:id="250"/>
    </w:p>
    <w:p w14:paraId="54C7A702" w14:textId="77777777" w:rsidR="003D1FAF" w:rsidRPr="00CE0885" w:rsidRDefault="003D1FAF" w:rsidP="00E05328">
      <w:pPr>
        <w:pStyle w:val="Heading5"/>
      </w:pPr>
      <w:bookmarkStart w:id="251" w:name="_Toc440982513"/>
      <w:r w:rsidRPr="00CE0885">
        <w:t>A new patient is defined as a person who:</w:t>
      </w:r>
      <w:bookmarkEnd w:id="251"/>
    </w:p>
    <w:p w14:paraId="0A5EE7AC" w14:textId="77777777" w:rsidR="003D1FAF" w:rsidRPr="00F0701C" w:rsidRDefault="003D1FAF" w:rsidP="005A7DDA">
      <w:pPr>
        <w:pStyle w:val="BodyText"/>
        <w:numPr>
          <w:ilvl w:val="0"/>
          <w:numId w:val="71"/>
        </w:numPr>
        <w:spacing w:line="360" w:lineRule="auto"/>
        <w:ind w:left="714" w:hanging="357"/>
        <w:rPr>
          <w:sz w:val="24"/>
          <w:szCs w:val="24"/>
        </w:rPr>
      </w:pPr>
      <w:bookmarkStart w:id="252" w:name="_Toc440982514"/>
      <w:r w:rsidRPr="00F0701C">
        <w:rPr>
          <w:sz w:val="24"/>
          <w:szCs w:val="24"/>
        </w:rPr>
        <w:t>is resident (whether temporarily or permanently) within the area of the Commissioner;</w:t>
      </w:r>
      <w:bookmarkEnd w:id="252"/>
    </w:p>
    <w:p w14:paraId="75EA7332" w14:textId="77777777" w:rsidR="003D1FAF" w:rsidRPr="00F0701C" w:rsidRDefault="003D1FAF" w:rsidP="005A7DDA">
      <w:pPr>
        <w:pStyle w:val="BodyText"/>
        <w:numPr>
          <w:ilvl w:val="0"/>
          <w:numId w:val="71"/>
        </w:numPr>
        <w:spacing w:line="360" w:lineRule="auto"/>
        <w:ind w:left="714" w:hanging="357"/>
        <w:rPr>
          <w:sz w:val="24"/>
          <w:szCs w:val="24"/>
        </w:rPr>
      </w:pPr>
      <w:bookmarkStart w:id="253" w:name="_Toc440982515"/>
      <w:r w:rsidRPr="00F0701C">
        <w:rPr>
          <w:sz w:val="24"/>
          <w:szCs w:val="24"/>
        </w:rPr>
        <w:t>has been refused inclusion in a list of patients of, or has not been accepted as a temporary resident by, a practice whose premises are within such an area; and</w:t>
      </w:r>
      <w:bookmarkEnd w:id="253"/>
    </w:p>
    <w:p w14:paraId="3E522A78" w14:textId="77777777" w:rsidR="003D1FAF" w:rsidRPr="00F0701C" w:rsidRDefault="003D1FAF" w:rsidP="005A7DDA">
      <w:pPr>
        <w:pStyle w:val="BodyText"/>
        <w:numPr>
          <w:ilvl w:val="0"/>
          <w:numId w:val="71"/>
        </w:numPr>
        <w:spacing w:line="360" w:lineRule="auto"/>
        <w:ind w:left="714" w:hanging="357"/>
        <w:rPr>
          <w:sz w:val="24"/>
          <w:szCs w:val="24"/>
        </w:rPr>
      </w:pPr>
      <w:bookmarkStart w:id="254" w:name="_Toc440982516"/>
      <w:r w:rsidRPr="00F0701C">
        <w:rPr>
          <w:sz w:val="24"/>
          <w:szCs w:val="24"/>
        </w:rPr>
        <w:t>wishes to be included in the list of patients of a practice whose practice premises are within that area.</w:t>
      </w:r>
      <w:bookmarkEnd w:id="254"/>
    </w:p>
    <w:p w14:paraId="7134073F" w14:textId="5CB48C46" w:rsidR="003D1FAF" w:rsidRPr="00F0701C" w:rsidRDefault="003D1FAF" w:rsidP="00F0701C">
      <w:pPr>
        <w:pStyle w:val="Heading5"/>
        <w:ind w:left="1009" w:hanging="1009"/>
      </w:pPr>
      <w:bookmarkStart w:id="255" w:name="_Toc440982517"/>
      <w:r w:rsidRPr="00F0701C">
        <w:lastRenderedPageBreak/>
        <w:t>In making an assignment, the Commissioner will contact the practice by telephone, to which the patient is to be assigned, to inform them that an assignment is being made. Following this telephone contact, the Commissioner will send an assignment notification (Annex 1) to both the receiving practice and the PCSS provider for their information. A letter (Annex 2) will also be sent to the patient informing them of their registration and provide details as to how they may access the service. In the majority of cases this letter will be issued by the PC</w:t>
      </w:r>
      <w:r w:rsidR="00647492">
        <w:t xml:space="preserve"> </w:t>
      </w:r>
      <w:r w:rsidRPr="00F0701C">
        <w:t>SS provider; however, the Commissioner should ensure that this process is satisfied either through this mechanism or through its own local arrangements.</w:t>
      </w:r>
      <w:bookmarkEnd w:id="255"/>
    </w:p>
    <w:p w14:paraId="7406EAED" w14:textId="77777777" w:rsidR="003D1FAF" w:rsidRPr="00CE0885" w:rsidRDefault="003D1FAF" w:rsidP="003D1FAF">
      <w:pPr>
        <w:widowControl w:val="0"/>
        <w:spacing w:line="360" w:lineRule="auto"/>
        <w:ind w:left="714"/>
        <w:jc w:val="both"/>
        <w:rPr>
          <w:rFonts w:cs="Arial"/>
          <w:bCs w:val="0"/>
          <w:szCs w:val="24"/>
          <w:lang w:eastAsia="en-GB"/>
        </w:rPr>
      </w:pPr>
    </w:p>
    <w:p w14:paraId="486F8DCB" w14:textId="77777777" w:rsidR="003D1FAF" w:rsidRPr="00CE0885" w:rsidRDefault="003D1FAF" w:rsidP="00F0701C">
      <w:pPr>
        <w:pStyle w:val="Heading4"/>
      </w:pPr>
      <w:r w:rsidRPr="00CE0885">
        <w:t>Assignment to a closed list</w:t>
      </w:r>
    </w:p>
    <w:p w14:paraId="7A9F7CC9" w14:textId="77777777" w:rsidR="003D1FAF" w:rsidRPr="00CE0885" w:rsidRDefault="003D1FAF" w:rsidP="00F0701C">
      <w:pPr>
        <w:pStyle w:val="Heading5"/>
      </w:pPr>
      <w:bookmarkStart w:id="256" w:name="_Toc440982518"/>
      <w:r w:rsidRPr="00CE0885">
        <w:t>The Commissioner may not assign a new patient to a practice that has closed its list of patients except in the following circumstances:</w:t>
      </w:r>
      <w:bookmarkEnd w:id="256"/>
    </w:p>
    <w:p w14:paraId="53831544" w14:textId="77777777" w:rsidR="003D1FAF" w:rsidRPr="00F0701C" w:rsidRDefault="003D1FAF" w:rsidP="005A7DDA">
      <w:pPr>
        <w:pStyle w:val="BodyText"/>
        <w:numPr>
          <w:ilvl w:val="0"/>
          <w:numId w:val="71"/>
        </w:numPr>
        <w:spacing w:before="120" w:line="360" w:lineRule="auto"/>
        <w:ind w:left="714" w:hanging="357"/>
        <w:rPr>
          <w:sz w:val="24"/>
          <w:szCs w:val="24"/>
        </w:rPr>
      </w:pPr>
      <w:bookmarkStart w:id="257" w:name="_Toc440982519"/>
      <w:r w:rsidRPr="00F0701C">
        <w:rPr>
          <w:sz w:val="24"/>
          <w:szCs w:val="24"/>
        </w:rPr>
        <w:t>most or all of the providers of essential services (or their equivalent) whose practice premises are within the Commissioner's area have closed their lists of patients;</w:t>
      </w:r>
      <w:bookmarkEnd w:id="257"/>
    </w:p>
    <w:p w14:paraId="66D3C16B" w14:textId="04CA5351" w:rsidR="003D1FAF" w:rsidRPr="00F0701C" w:rsidRDefault="00F0701C" w:rsidP="005A7DDA">
      <w:pPr>
        <w:pStyle w:val="BodyText"/>
        <w:numPr>
          <w:ilvl w:val="0"/>
          <w:numId w:val="71"/>
        </w:numPr>
        <w:spacing w:before="120" w:line="360" w:lineRule="auto"/>
        <w:ind w:left="714" w:hanging="357"/>
        <w:rPr>
          <w:sz w:val="24"/>
          <w:szCs w:val="24"/>
        </w:rPr>
      </w:pPr>
      <w:bookmarkStart w:id="258" w:name="_Toc440982520"/>
      <w:r>
        <w:rPr>
          <w:sz w:val="24"/>
          <w:szCs w:val="24"/>
        </w:rPr>
        <w:t>the assessment panel</w:t>
      </w:r>
      <w:r w:rsidR="003D1FAF" w:rsidRPr="00F0701C">
        <w:rPr>
          <w:sz w:val="24"/>
          <w:szCs w:val="24"/>
        </w:rPr>
        <w:t xml:space="preserve"> </w:t>
      </w:r>
      <w:r>
        <w:rPr>
          <w:sz w:val="24"/>
          <w:szCs w:val="24"/>
        </w:rPr>
        <w:t>(</w:t>
      </w:r>
      <w:r w:rsidR="003D1FAF" w:rsidRPr="00F0701C">
        <w:rPr>
          <w:sz w:val="24"/>
          <w:szCs w:val="24"/>
        </w:rPr>
        <w:t>as will be detailed</w:t>
      </w:r>
      <w:r>
        <w:rPr>
          <w:sz w:val="24"/>
          <w:szCs w:val="24"/>
        </w:rPr>
        <w:t xml:space="preserve"> </w:t>
      </w:r>
      <w:r w:rsidR="003D1FAF" w:rsidRPr="00F0701C">
        <w:rPr>
          <w:sz w:val="24"/>
          <w:szCs w:val="24"/>
        </w:rPr>
        <w:t>below</w:t>
      </w:r>
      <w:r>
        <w:rPr>
          <w:sz w:val="24"/>
          <w:szCs w:val="24"/>
        </w:rPr>
        <w:t>)</w:t>
      </w:r>
      <w:r w:rsidR="003D1FAF" w:rsidRPr="00F0701C">
        <w:rPr>
          <w:sz w:val="24"/>
          <w:szCs w:val="24"/>
        </w:rPr>
        <w:t xml:space="preserve"> has determined that patients may be assigned to the practice in question, and that determination has not been overturned either by a determination of the Secretary of State or (where applicable) by a court; and</w:t>
      </w:r>
      <w:bookmarkEnd w:id="258"/>
    </w:p>
    <w:p w14:paraId="64B01F67" w14:textId="77777777" w:rsidR="003D1FAF" w:rsidRPr="00F0701C" w:rsidRDefault="003D1FAF" w:rsidP="005A7DDA">
      <w:pPr>
        <w:pStyle w:val="BodyText"/>
        <w:numPr>
          <w:ilvl w:val="0"/>
          <w:numId w:val="71"/>
        </w:numPr>
        <w:spacing w:before="120" w:line="360" w:lineRule="auto"/>
        <w:ind w:left="714" w:hanging="357"/>
        <w:rPr>
          <w:sz w:val="24"/>
          <w:szCs w:val="24"/>
        </w:rPr>
      </w:pPr>
      <w:bookmarkStart w:id="259" w:name="_Toc440982521"/>
      <w:r w:rsidRPr="00F0701C">
        <w:rPr>
          <w:sz w:val="24"/>
          <w:szCs w:val="24"/>
        </w:rPr>
        <w:t>the Commissioner has entered into discussions with the practice in question regarding the assignment of a patient, whereby additional support that the Commissioner can offer to the practice may be required. The Commissioner shall use its best endeavours to provide appropriate support and should discuss support in respect of the first assignment of a patient and any subsequent assignments made to that contractor during their list closure.</w:t>
      </w:r>
      <w:bookmarkEnd w:id="259"/>
      <w:r w:rsidRPr="00F0701C">
        <w:rPr>
          <w:sz w:val="24"/>
          <w:szCs w:val="24"/>
        </w:rPr>
        <w:t xml:space="preserve"> </w:t>
      </w:r>
    </w:p>
    <w:p w14:paraId="53B1A415" w14:textId="77777777" w:rsidR="003D1FAF" w:rsidRPr="00CE0885" w:rsidRDefault="003D1FAF" w:rsidP="003D1FAF">
      <w:pPr>
        <w:widowControl w:val="0"/>
        <w:spacing w:line="360" w:lineRule="auto"/>
        <w:ind w:left="2268"/>
        <w:jc w:val="both"/>
        <w:rPr>
          <w:rFonts w:cs="Arial"/>
          <w:bCs w:val="0"/>
          <w:szCs w:val="24"/>
          <w:lang w:eastAsia="en-GB"/>
        </w:rPr>
      </w:pPr>
    </w:p>
    <w:p w14:paraId="60F0A885" w14:textId="77777777" w:rsidR="003D1FAF" w:rsidRPr="002C0080" w:rsidRDefault="003D1FAF" w:rsidP="002C0080">
      <w:pPr>
        <w:pStyle w:val="Heading3"/>
        <w:rPr>
          <w:b/>
          <w:lang w:eastAsia="en-GB"/>
        </w:rPr>
      </w:pPr>
      <w:bookmarkStart w:id="260" w:name="_Ref408503857"/>
      <w:bookmarkStart w:id="261" w:name="_Toc440982522"/>
      <w:r w:rsidRPr="002C0080">
        <w:rPr>
          <w:b/>
          <w:lang w:eastAsia="en-GB"/>
        </w:rPr>
        <w:t>Assignment Based on the Determination of a Commissioner Assessment Panel</w:t>
      </w:r>
      <w:bookmarkEnd w:id="260"/>
      <w:bookmarkEnd w:id="261"/>
    </w:p>
    <w:p w14:paraId="0B7DEFEE" w14:textId="77777777" w:rsidR="003D1FAF" w:rsidRPr="00CE0885" w:rsidRDefault="003D1FAF" w:rsidP="00647492">
      <w:pPr>
        <w:pStyle w:val="Heading4"/>
      </w:pPr>
      <w:bookmarkStart w:id="262" w:name="_Toc440982523"/>
      <w:r w:rsidRPr="00CE0885">
        <w:lastRenderedPageBreak/>
        <w:t>Where the Commissioner has the need to assign a patient to a practice that has a closed list and most or all of the providers of essential services (or their equivalent) whose practice premises are within the locality of the Commissioner have closed their lists of patients, the Commissioner must:</w:t>
      </w:r>
      <w:bookmarkEnd w:id="262"/>
    </w:p>
    <w:p w14:paraId="796A295E" w14:textId="77777777" w:rsidR="003D1FAF" w:rsidRPr="00647492" w:rsidRDefault="003D1FAF" w:rsidP="005A7DDA">
      <w:pPr>
        <w:pStyle w:val="BodyText"/>
        <w:numPr>
          <w:ilvl w:val="0"/>
          <w:numId w:val="71"/>
        </w:numPr>
        <w:spacing w:before="120" w:line="360" w:lineRule="auto"/>
        <w:ind w:left="714" w:hanging="357"/>
        <w:rPr>
          <w:sz w:val="24"/>
          <w:szCs w:val="24"/>
        </w:rPr>
      </w:pPr>
      <w:bookmarkStart w:id="263" w:name="_Toc440982524"/>
      <w:r w:rsidRPr="00647492">
        <w:rPr>
          <w:sz w:val="24"/>
          <w:szCs w:val="24"/>
        </w:rPr>
        <w:t>prepare a proposal to be considered by the assessment panel which must include details of those practices to which the Commissioner wishes to assign patients;</w:t>
      </w:r>
      <w:bookmarkEnd w:id="263"/>
    </w:p>
    <w:p w14:paraId="78C1E5EB" w14:textId="77777777" w:rsidR="003D1FAF" w:rsidRPr="00647492" w:rsidRDefault="003D1FAF" w:rsidP="005A7DDA">
      <w:pPr>
        <w:pStyle w:val="BodyText"/>
        <w:numPr>
          <w:ilvl w:val="0"/>
          <w:numId w:val="71"/>
        </w:numPr>
        <w:spacing w:before="120" w:line="360" w:lineRule="auto"/>
        <w:ind w:left="714" w:hanging="357"/>
        <w:rPr>
          <w:sz w:val="24"/>
          <w:szCs w:val="24"/>
        </w:rPr>
      </w:pPr>
      <w:bookmarkStart w:id="264" w:name="_Toc440982525"/>
      <w:r w:rsidRPr="00647492">
        <w:rPr>
          <w:sz w:val="24"/>
          <w:szCs w:val="24"/>
        </w:rPr>
        <w:t>ensure that the assessment panel is appointed to consider and determine its proposal and the members of the assessment panel must include:</w:t>
      </w:r>
      <w:bookmarkEnd w:id="264"/>
    </w:p>
    <w:p w14:paraId="419E626E" w14:textId="77777777" w:rsidR="003D1FAF" w:rsidRPr="00647492" w:rsidRDefault="003D1FAF" w:rsidP="005A7DDA">
      <w:pPr>
        <w:pStyle w:val="BodyText"/>
        <w:numPr>
          <w:ilvl w:val="1"/>
          <w:numId w:val="71"/>
        </w:numPr>
        <w:spacing w:before="120" w:line="360" w:lineRule="auto"/>
        <w:rPr>
          <w:sz w:val="24"/>
          <w:szCs w:val="24"/>
        </w:rPr>
      </w:pPr>
      <w:r w:rsidRPr="00647492">
        <w:rPr>
          <w:sz w:val="24"/>
          <w:szCs w:val="24"/>
        </w:rPr>
        <w:t>a Commissioner director;</w:t>
      </w:r>
    </w:p>
    <w:p w14:paraId="7432EBC0" w14:textId="77777777" w:rsidR="003D1FAF" w:rsidRPr="00647492" w:rsidRDefault="003D1FAF" w:rsidP="005A7DDA">
      <w:pPr>
        <w:pStyle w:val="BodyText"/>
        <w:numPr>
          <w:ilvl w:val="1"/>
          <w:numId w:val="71"/>
        </w:numPr>
        <w:spacing w:before="120" w:line="360" w:lineRule="auto"/>
        <w:rPr>
          <w:sz w:val="24"/>
          <w:szCs w:val="24"/>
        </w:rPr>
      </w:pPr>
      <w:r w:rsidRPr="00647492">
        <w:rPr>
          <w:sz w:val="24"/>
          <w:szCs w:val="24"/>
        </w:rPr>
        <w:t xml:space="preserve">a patient representative who is a member of the local HWB or Local Healthwatch organisation; and </w:t>
      </w:r>
    </w:p>
    <w:p w14:paraId="608B2420" w14:textId="77777777" w:rsidR="003D1FAF" w:rsidRPr="00647492" w:rsidRDefault="003D1FAF" w:rsidP="005A7DDA">
      <w:pPr>
        <w:pStyle w:val="BodyText"/>
        <w:numPr>
          <w:ilvl w:val="1"/>
          <w:numId w:val="71"/>
        </w:numPr>
        <w:spacing w:before="120" w:line="360" w:lineRule="auto"/>
        <w:rPr>
          <w:sz w:val="24"/>
          <w:szCs w:val="24"/>
        </w:rPr>
      </w:pPr>
      <w:r w:rsidRPr="00647492">
        <w:rPr>
          <w:sz w:val="24"/>
          <w:szCs w:val="24"/>
        </w:rPr>
        <w:t>a member of an LMC but not a member of the LMC formed for the area in which the contractors who may be assigned patients as a consequence of the panel's determination provide services.</w:t>
      </w:r>
    </w:p>
    <w:p w14:paraId="54F5D7BC" w14:textId="77777777" w:rsidR="003D1FAF" w:rsidRPr="00647492" w:rsidRDefault="003D1FAF" w:rsidP="005A7DDA">
      <w:pPr>
        <w:pStyle w:val="BodyText"/>
        <w:numPr>
          <w:ilvl w:val="0"/>
          <w:numId w:val="71"/>
        </w:numPr>
        <w:spacing w:before="120" w:line="360" w:lineRule="auto"/>
        <w:ind w:left="714" w:hanging="357"/>
        <w:rPr>
          <w:sz w:val="24"/>
          <w:szCs w:val="24"/>
        </w:rPr>
      </w:pPr>
      <w:bookmarkStart w:id="265" w:name="_Toc440982526"/>
      <w:r w:rsidRPr="00647492">
        <w:rPr>
          <w:sz w:val="24"/>
          <w:szCs w:val="24"/>
        </w:rPr>
        <w:t>Notify in writing that it has referred the matter of patient assignment to the assessment panel to the following:</w:t>
      </w:r>
      <w:bookmarkEnd w:id="265"/>
    </w:p>
    <w:p w14:paraId="766227A7" w14:textId="77777777" w:rsidR="003D1FAF" w:rsidRPr="00647492" w:rsidRDefault="003D1FAF" w:rsidP="005A7DDA">
      <w:pPr>
        <w:pStyle w:val="BodyText"/>
        <w:numPr>
          <w:ilvl w:val="1"/>
          <w:numId w:val="71"/>
        </w:numPr>
        <w:spacing w:before="120" w:line="360" w:lineRule="auto"/>
        <w:rPr>
          <w:sz w:val="24"/>
          <w:szCs w:val="24"/>
        </w:rPr>
      </w:pPr>
      <w:r w:rsidRPr="00647492">
        <w:rPr>
          <w:sz w:val="24"/>
          <w:szCs w:val="24"/>
        </w:rPr>
        <w:t>the LMC for the area of the Commissioner; and</w:t>
      </w:r>
    </w:p>
    <w:p w14:paraId="2E982223" w14:textId="77777777" w:rsidR="003D1FAF" w:rsidRPr="00647492" w:rsidRDefault="003D1FAF" w:rsidP="005A7DDA">
      <w:pPr>
        <w:pStyle w:val="BodyText"/>
        <w:numPr>
          <w:ilvl w:val="1"/>
          <w:numId w:val="71"/>
        </w:numPr>
        <w:spacing w:before="120" w:line="360" w:lineRule="auto"/>
        <w:rPr>
          <w:sz w:val="24"/>
          <w:szCs w:val="24"/>
        </w:rPr>
      </w:pPr>
      <w:r w:rsidRPr="00647492">
        <w:rPr>
          <w:sz w:val="24"/>
          <w:szCs w:val="24"/>
        </w:rPr>
        <w:t>any contractors whose practice premises are within the Commissioner's jurisdiction that have closed their list of patients and may, in the opinion of the Commissioner be affected by the determination of the assessment panel.</w:t>
      </w:r>
    </w:p>
    <w:p w14:paraId="1D6264EB" w14:textId="77777777" w:rsidR="003D1FAF" w:rsidRPr="00CE0885" w:rsidRDefault="003D1FAF" w:rsidP="00647492">
      <w:pPr>
        <w:pStyle w:val="Heading4"/>
      </w:pPr>
      <w:bookmarkStart w:id="266" w:name="_Toc440982527"/>
      <w:r w:rsidRPr="00CE0885">
        <w:t>In reaching its determination, the assessment panel shall have regard to relevant factors including:</w:t>
      </w:r>
      <w:bookmarkEnd w:id="266"/>
    </w:p>
    <w:p w14:paraId="62C65ACB" w14:textId="77777777" w:rsidR="003D1FAF" w:rsidRPr="00647492" w:rsidRDefault="003D1FAF" w:rsidP="005A7DDA">
      <w:pPr>
        <w:pStyle w:val="BodyText"/>
        <w:numPr>
          <w:ilvl w:val="0"/>
          <w:numId w:val="71"/>
        </w:numPr>
        <w:spacing w:before="120" w:line="360" w:lineRule="auto"/>
        <w:ind w:left="714" w:hanging="357"/>
        <w:rPr>
          <w:sz w:val="24"/>
          <w:szCs w:val="24"/>
        </w:rPr>
      </w:pPr>
      <w:bookmarkStart w:id="267" w:name="_Toc440982528"/>
      <w:r w:rsidRPr="00647492">
        <w:rPr>
          <w:sz w:val="24"/>
          <w:szCs w:val="24"/>
        </w:rPr>
        <w:t>whether the Commissioner has attempted to secure the provision of essential services (or their equivalent) for new patients other than by means of their assignment to contractors with closed lists of patients; and</w:t>
      </w:r>
      <w:bookmarkEnd w:id="267"/>
    </w:p>
    <w:p w14:paraId="6E960C43" w14:textId="77777777" w:rsidR="003D1FAF" w:rsidRPr="00647492" w:rsidRDefault="003D1FAF" w:rsidP="005A7DDA">
      <w:pPr>
        <w:pStyle w:val="BodyText"/>
        <w:numPr>
          <w:ilvl w:val="0"/>
          <w:numId w:val="71"/>
        </w:numPr>
        <w:spacing w:before="120" w:line="360" w:lineRule="auto"/>
        <w:ind w:left="714" w:hanging="357"/>
        <w:rPr>
          <w:sz w:val="24"/>
          <w:szCs w:val="24"/>
        </w:rPr>
      </w:pPr>
      <w:bookmarkStart w:id="268" w:name="_Toc440982529"/>
      <w:r w:rsidRPr="00647492">
        <w:rPr>
          <w:sz w:val="24"/>
          <w:szCs w:val="24"/>
        </w:rPr>
        <w:t>the workload of those contractors likely to be affected by any decision to assign such patients to their list of patients.</w:t>
      </w:r>
      <w:bookmarkEnd w:id="268"/>
    </w:p>
    <w:p w14:paraId="0D616379" w14:textId="77777777" w:rsidR="003D1FAF" w:rsidRPr="00CE0885" w:rsidRDefault="003D1FAF" w:rsidP="00647492">
      <w:pPr>
        <w:pStyle w:val="Heading4"/>
      </w:pPr>
      <w:bookmarkStart w:id="269" w:name="_Toc440982530"/>
      <w:r w:rsidRPr="00CE0885">
        <w:lastRenderedPageBreak/>
        <w:t>The assessment panel shall reach a determination within the period of 28 days beginning with the date on which the panel was appointed.</w:t>
      </w:r>
      <w:bookmarkEnd w:id="269"/>
    </w:p>
    <w:p w14:paraId="6C31D99E" w14:textId="77777777" w:rsidR="003D1FAF" w:rsidRPr="00CE0885" w:rsidRDefault="003D1FAF" w:rsidP="00647492">
      <w:pPr>
        <w:pStyle w:val="Heading4"/>
      </w:pPr>
      <w:bookmarkStart w:id="270" w:name="_Toc440982531"/>
      <w:r w:rsidRPr="00CE0885">
        <w:t>The assessment panel shall determine whether the Commissioner may assign patients to practices which have closed their lists of patients. If it determines that the Commissioner may make such assignments, it shall also determine those practices to which patients may be assigned.</w:t>
      </w:r>
      <w:bookmarkEnd w:id="270"/>
    </w:p>
    <w:p w14:paraId="4F76793C" w14:textId="77777777" w:rsidR="003D1FAF" w:rsidRPr="00CE0885" w:rsidRDefault="003D1FAF" w:rsidP="00647492">
      <w:pPr>
        <w:pStyle w:val="Heading4"/>
      </w:pPr>
      <w:bookmarkStart w:id="271" w:name="_Toc440982532"/>
      <w:r w:rsidRPr="00CE0885">
        <w:t>The assessment panel may determine that the Commissioner may assign patients to practices other than those practices specified by the Commissioner in its proposal, as long as the practices were notified during the preparation stages of the assessment panel being held.</w:t>
      </w:r>
      <w:bookmarkEnd w:id="271"/>
    </w:p>
    <w:p w14:paraId="0F15CFF0" w14:textId="77777777" w:rsidR="003D1FAF" w:rsidRPr="00CE0885" w:rsidRDefault="003D1FAF" w:rsidP="00647492">
      <w:pPr>
        <w:pStyle w:val="Heading4"/>
      </w:pPr>
      <w:bookmarkStart w:id="272" w:name="_Toc440982533"/>
      <w:r w:rsidRPr="00CE0885">
        <w:t>The assessment panel’s determination must include the factors considered by the panel and be made in writing to:</w:t>
      </w:r>
      <w:bookmarkEnd w:id="272"/>
    </w:p>
    <w:p w14:paraId="52D6D532" w14:textId="77777777" w:rsidR="003D1FAF" w:rsidRPr="00647492" w:rsidRDefault="003D1FAF" w:rsidP="005A7DDA">
      <w:pPr>
        <w:pStyle w:val="BodyText"/>
        <w:numPr>
          <w:ilvl w:val="0"/>
          <w:numId w:val="71"/>
        </w:numPr>
        <w:spacing w:before="120" w:line="360" w:lineRule="auto"/>
        <w:ind w:left="714" w:hanging="357"/>
        <w:rPr>
          <w:sz w:val="24"/>
          <w:szCs w:val="24"/>
        </w:rPr>
      </w:pPr>
      <w:bookmarkStart w:id="273" w:name="_Toc440982534"/>
      <w:r w:rsidRPr="00647492">
        <w:rPr>
          <w:sz w:val="24"/>
          <w:szCs w:val="24"/>
        </w:rPr>
        <w:t>the LMC for the area of the Commissioner; and</w:t>
      </w:r>
      <w:bookmarkEnd w:id="273"/>
    </w:p>
    <w:p w14:paraId="16BDC30C" w14:textId="77777777" w:rsidR="003D1FAF" w:rsidRPr="00647492" w:rsidRDefault="003D1FAF" w:rsidP="005A7DDA">
      <w:pPr>
        <w:pStyle w:val="BodyText"/>
        <w:numPr>
          <w:ilvl w:val="0"/>
          <w:numId w:val="71"/>
        </w:numPr>
        <w:spacing w:before="120" w:line="360" w:lineRule="auto"/>
        <w:ind w:left="714" w:hanging="357"/>
        <w:rPr>
          <w:sz w:val="24"/>
          <w:szCs w:val="24"/>
        </w:rPr>
      </w:pPr>
      <w:bookmarkStart w:id="274" w:name="_Toc440982535"/>
      <w:r w:rsidRPr="00647492">
        <w:rPr>
          <w:sz w:val="24"/>
          <w:szCs w:val="24"/>
        </w:rPr>
        <w:t>any contractors whose practice premises are within the Commissioner's jurisdiction that have closed their list of patients and may, in the opinion of the Commissioner be affected by the determination of the assessment panel.</w:t>
      </w:r>
      <w:bookmarkEnd w:id="274"/>
    </w:p>
    <w:p w14:paraId="08F05BB6" w14:textId="77777777" w:rsidR="003D1FAF" w:rsidRPr="009055A7" w:rsidRDefault="003D1FAF" w:rsidP="003D1FAF">
      <w:pPr>
        <w:widowControl w:val="0"/>
        <w:spacing w:line="360" w:lineRule="auto"/>
        <w:ind w:left="2268"/>
        <w:jc w:val="both"/>
        <w:rPr>
          <w:rFonts w:cs="Arial"/>
          <w:bCs w:val="0"/>
          <w:sz w:val="20"/>
          <w:szCs w:val="20"/>
          <w:lang w:eastAsia="en-GB"/>
        </w:rPr>
      </w:pPr>
    </w:p>
    <w:p w14:paraId="07FAF903" w14:textId="77777777" w:rsidR="003D1FAF" w:rsidRPr="002C0080" w:rsidRDefault="003D1FAF" w:rsidP="002C0080">
      <w:pPr>
        <w:pStyle w:val="Heading3"/>
        <w:rPr>
          <w:b/>
          <w:lang w:eastAsia="en-GB"/>
        </w:rPr>
      </w:pPr>
      <w:bookmarkStart w:id="275" w:name="_Toc440982536"/>
      <w:r w:rsidRPr="002C0080">
        <w:rPr>
          <w:b/>
          <w:lang w:eastAsia="en-GB"/>
        </w:rPr>
        <w:t>NHS Dispute Resolution Procedure Relating to Determinations of the Commissioner Assessment Panel</w:t>
      </w:r>
      <w:bookmarkEnd w:id="275"/>
    </w:p>
    <w:p w14:paraId="422F9BCA" w14:textId="629FA88C" w:rsidR="003D1FAF" w:rsidRPr="00CE0885" w:rsidRDefault="003D1FAF" w:rsidP="00647492">
      <w:pPr>
        <w:pStyle w:val="Heading4"/>
      </w:pPr>
      <w:bookmarkStart w:id="276" w:name="_Toc440982537"/>
      <w:r w:rsidRPr="00CE0885">
        <w:t xml:space="preserve">Where an assessment panel makes a determination that the Commissioner may assign new patients to contractors which have closed their lists of patients, any contractor specified in that determination may refer the matter to the Secretary of State to review the determination of the assessment panel. Please refer to </w:t>
      </w:r>
      <w:r w:rsidR="00965C81">
        <w:t>the chapter on</w:t>
      </w:r>
      <w:r w:rsidRPr="00CE0885">
        <w:t xml:space="preserve"> managing disputes.</w:t>
      </w:r>
      <w:bookmarkEnd w:id="276"/>
      <w:r w:rsidRPr="00CE0885">
        <w:t xml:space="preserve"> </w:t>
      </w:r>
    </w:p>
    <w:p w14:paraId="37787AF6" w14:textId="77777777" w:rsidR="003D1FAF" w:rsidRPr="009055A7" w:rsidRDefault="003D1FAF" w:rsidP="003D1FAF">
      <w:pPr>
        <w:widowControl w:val="0"/>
        <w:spacing w:line="360" w:lineRule="auto"/>
        <w:ind w:left="1414"/>
        <w:jc w:val="both"/>
        <w:rPr>
          <w:rFonts w:cs="Arial"/>
          <w:bCs w:val="0"/>
          <w:sz w:val="20"/>
          <w:szCs w:val="20"/>
          <w:lang w:eastAsia="en-GB"/>
        </w:rPr>
      </w:pPr>
    </w:p>
    <w:p w14:paraId="2411FC65" w14:textId="77777777" w:rsidR="003D1FAF" w:rsidRPr="002C0080" w:rsidRDefault="003D1FAF" w:rsidP="002C0080">
      <w:pPr>
        <w:pStyle w:val="Heading3"/>
        <w:rPr>
          <w:b/>
          <w:lang w:eastAsia="en-GB"/>
        </w:rPr>
      </w:pPr>
      <w:bookmarkStart w:id="277" w:name="_Toc440982538"/>
      <w:r w:rsidRPr="002C0080">
        <w:rPr>
          <w:b/>
          <w:lang w:eastAsia="en-GB"/>
        </w:rPr>
        <w:t>Removal by a Contractor of Patients Assigned to the Practice</w:t>
      </w:r>
      <w:bookmarkEnd w:id="277"/>
    </w:p>
    <w:p w14:paraId="610C7E0A" w14:textId="77777777" w:rsidR="003D1FAF" w:rsidRDefault="003D1FAF" w:rsidP="00647492">
      <w:pPr>
        <w:pStyle w:val="Heading4"/>
      </w:pPr>
      <w:bookmarkStart w:id="278" w:name="_Toc440982539"/>
      <w:r w:rsidRPr="00CE0885">
        <w:lastRenderedPageBreak/>
        <w:t>Historically, practices have often applied an unwritten agreement to the retention period of assigned patients. However, there are no formal arrangements in respect of timescales for patient retention in these circumstances. While the significant majority of practices continue to manage assigned patients in the same manner as an ordinarily registered patient, others may commence a formal removal process immediately following assignment. The Commissioner has a responsibility to ensure that all requests to remove a patient at the request of the contractor must be managed in line with the relevant Regulations/Directions.</w:t>
      </w:r>
      <w:bookmarkEnd w:id="278"/>
      <w:r w:rsidRPr="00CE0885">
        <w:t xml:space="preserve"> </w:t>
      </w:r>
      <w:bookmarkEnd w:id="221"/>
    </w:p>
    <w:p w14:paraId="6EAB9735" w14:textId="77777777" w:rsidR="002C0080" w:rsidRPr="00CE0885" w:rsidRDefault="002C0080" w:rsidP="003331F2">
      <w:pPr>
        <w:pStyle w:val="BodyText"/>
      </w:pPr>
    </w:p>
    <w:p w14:paraId="374C2D2F" w14:textId="77777777" w:rsidR="003D1FAF" w:rsidRDefault="003D1FAF" w:rsidP="003D1FAF">
      <w:pPr>
        <w:widowControl w:val="0"/>
        <w:autoSpaceDE w:val="0"/>
        <w:autoSpaceDN w:val="0"/>
        <w:adjustRightInd w:val="0"/>
        <w:spacing w:line="360" w:lineRule="auto"/>
        <w:ind w:right="-23"/>
        <w:rPr>
          <w:rFonts w:cs="Arial"/>
          <w:b/>
          <w:bCs w:val="0"/>
          <w:szCs w:val="24"/>
          <w:lang w:eastAsia="en-GB"/>
        </w:rPr>
      </w:pPr>
      <w:bookmarkStart w:id="279" w:name="_Toc344897884"/>
      <w:bookmarkStart w:id="280" w:name="_Toc355174340"/>
      <w:r w:rsidRPr="00CE0885">
        <w:rPr>
          <w:rFonts w:cs="Arial"/>
          <w:b/>
          <w:bCs w:val="0"/>
          <w:szCs w:val="24"/>
          <w:lang w:eastAsia="en-GB"/>
        </w:rPr>
        <w:t>Part A Annex 1 Example Assignment Notification</w:t>
      </w:r>
      <w:bookmarkEnd w:id="279"/>
      <w:bookmarkEnd w:id="280"/>
    </w:p>
    <w:bookmarkStart w:id="281" w:name="_1557240950"/>
    <w:bookmarkEnd w:id="281"/>
    <w:p w14:paraId="57B98781" w14:textId="1DDD8102" w:rsidR="002B15FF" w:rsidRPr="002B15FF" w:rsidRDefault="002306F3" w:rsidP="005A7DDA">
      <w:pPr>
        <w:pStyle w:val="ListParagraph"/>
        <w:numPr>
          <w:ilvl w:val="0"/>
          <w:numId w:val="148"/>
        </w:numPr>
      </w:pPr>
      <w:r>
        <w:fldChar w:fldCharType="begin"/>
      </w:r>
      <w:r>
        <w:instrText xml:space="preserve"> HYPERLINK "https://www.england.nhs.uk/publication/primary-medical-care-policy-and-guidance-manual-managing-patient-assignments-annexes/" </w:instrText>
      </w:r>
      <w:r>
        <w:fldChar w:fldCharType="separate"/>
      </w:r>
      <w:r w:rsidR="002B15FF" w:rsidRPr="00966077">
        <w:rPr>
          <w:rStyle w:val="Hyperlink"/>
        </w:rPr>
        <w:t>Example Assignment Notification</w:t>
      </w:r>
      <w:r>
        <w:rPr>
          <w:rStyle w:val="Hyperlink"/>
        </w:rPr>
        <w:fldChar w:fldCharType="end"/>
      </w:r>
    </w:p>
    <w:p w14:paraId="006E3EF7" w14:textId="1A59F9C9" w:rsidR="003D1FAF" w:rsidRPr="00CE0885" w:rsidRDefault="003D1FAF" w:rsidP="003D1FAF">
      <w:pPr>
        <w:widowControl w:val="0"/>
        <w:spacing w:line="360" w:lineRule="auto"/>
        <w:jc w:val="both"/>
        <w:rPr>
          <w:rFonts w:cs="Arial"/>
          <w:bCs w:val="0"/>
          <w:szCs w:val="24"/>
        </w:rPr>
      </w:pPr>
      <w:bookmarkStart w:id="282" w:name="_Toc344897885"/>
    </w:p>
    <w:p w14:paraId="207249DF" w14:textId="4587A2BA" w:rsidR="003D1FAF" w:rsidRDefault="003D1FAF" w:rsidP="003D1FAF">
      <w:pPr>
        <w:widowControl w:val="0"/>
        <w:autoSpaceDE w:val="0"/>
        <w:autoSpaceDN w:val="0"/>
        <w:adjustRightInd w:val="0"/>
        <w:spacing w:line="360" w:lineRule="auto"/>
        <w:ind w:right="-23"/>
        <w:rPr>
          <w:rFonts w:cs="Arial"/>
          <w:b/>
          <w:bCs w:val="0"/>
          <w:szCs w:val="24"/>
          <w:lang w:eastAsia="en-GB"/>
        </w:rPr>
      </w:pPr>
      <w:r w:rsidRPr="00CE0885">
        <w:rPr>
          <w:rFonts w:cs="Arial"/>
          <w:b/>
          <w:bCs w:val="0"/>
          <w:szCs w:val="24"/>
          <w:lang w:eastAsia="en-GB"/>
        </w:rPr>
        <w:t xml:space="preserve">Part A </w:t>
      </w:r>
      <w:bookmarkStart w:id="283" w:name="_Toc355174341"/>
      <w:r w:rsidRPr="00CE0885">
        <w:rPr>
          <w:rFonts w:cs="Arial"/>
          <w:b/>
          <w:bCs w:val="0"/>
          <w:szCs w:val="24"/>
          <w:lang w:eastAsia="en-GB"/>
        </w:rPr>
        <w:t>Annex 2 Example patient letter confirming registratio</w:t>
      </w:r>
      <w:bookmarkEnd w:id="282"/>
      <w:bookmarkEnd w:id="283"/>
      <w:r w:rsidR="002B15FF">
        <w:rPr>
          <w:rFonts w:cs="Arial"/>
          <w:b/>
          <w:bCs w:val="0"/>
          <w:szCs w:val="24"/>
          <w:lang w:eastAsia="en-GB"/>
        </w:rPr>
        <w:t>n</w:t>
      </w:r>
    </w:p>
    <w:bookmarkStart w:id="284" w:name="_1557241038"/>
    <w:bookmarkEnd w:id="284"/>
    <w:p w14:paraId="16BA7466" w14:textId="2A310D65" w:rsidR="002B15FF" w:rsidRPr="002B15FF" w:rsidRDefault="002306F3" w:rsidP="005A7DDA">
      <w:pPr>
        <w:pStyle w:val="ListParagraph"/>
        <w:numPr>
          <w:ilvl w:val="0"/>
          <w:numId w:val="148"/>
        </w:numPr>
      </w:pPr>
      <w:r>
        <w:fldChar w:fldCharType="begin"/>
      </w:r>
      <w:r>
        <w:instrText xml:space="preserve"> HYPERLINK "https://www.england.nhs.uk/publication/primary-medical-care-policy-and-guidance-manual-managing-patient-assignments-annexes/" </w:instrText>
      </w:r>
      <w:r>
        <w:fldChar w:fldCharType="separate"/>
      </w:r>
      <w:r w:rsidR="002B15FF" w:rsidRPr="00966077">
        <w:rPr>
          <w:rStyle w:val="Hyperlink"/>
        </w:rPr>
        <w:t>Example patient letter confirming registration</w:t>
      </w:r>
      <w:r>
        <w:rPr>
          <w:rStyle w:val="Hyperlink"/>
        </w:rPr>
        <w:fldChar w:fldCharType="end"/>
      </w:r>
    </w:p>
    <w:p w14:paraId="5B88B612" w14:textId="08D05908" w:rsidR="003D1FAF" w:rsidRPr="00CE0885" w:rsidRDefault="003D1FAF" w:rsidP="003D1FAF">
      <w:pPr>
        <w:widowControl w:val="0"/>
        <w:spacing w:line="360" w:lineRule="auto"/>
        <w:jc w:val="both"/>
        <w:rPr>
          <w:rFonts w:cs="Arial"/>
          <w:bCs w:val="0"/>
          <w:szCs w:val="24"/>
        </w:rPr>
      </w:pPr>
    </w:p>
    <w:p w14:paraId="56030403" w14:textId="5DBD75F9" w:rsidR="003D1FAF" w:rsidRPr="00CE0885" w:rsidRDefault="003D1FAF" w:rsidP="00DF3DF4">
      <w:pPr>
        <w:pStyle w:val="Heading2"/>
        <w:rPr>
          <w:lang w:eastAsia="en-GB"/>
        </w:rPr>
      </w:pPr>
      <w:r w:rsidRPr="00CE0885">
        <w:rPr>
          <w:rFonts w:cs="Arial"/>
          <w:szCs w:val="24"/>
          <w:lang w:eastAsia="en-GB"/>
        </w:rPr>
        <w:br w:type="page"/>
      </w:r>
      <w:bookmarkStart w:id="285" w:name="_Toc498495351"/>
      <w:r w:rsidRPr="00CE0885">
        <w:rPr>
          <w:lang w:eastAsia="en-GB"/>
        </w:rPr>
        <w:lastRenderedPageBreak/>
        <w:t>Part B1: General List Maintenance for Primary Medical Services</w:t>
      </w:r>
      <w:bookmarkEnd w:id="285"/>
    </w:p>
    <w:p w14:paraId="58EB42BF" w14:textId="4495A810" w:rsidR="002C0080" w:rsidRPr="00DF3DF4" w:rsidRDefault="002C0080" w:rsidP="00DF3DF4">
      <w:pPr>
        <w:pStyle w:val="Heading3"/>
        <w:rPr>
          <w:b/>
        </w:rPr>
      </w:pPr>
      <w:bookmarkStart w:id="286" w:name="_Toc401056072"/>
      <w:bookmarkStart w:id="287" w:name="_Toc440982540"/>
      <w:r w:rsidRPr="00DF3DF4">
        <w:rPr>
          <w:b/>
        </w:rPr>
        <w:t>Scope</w:t>
      </w:r>
      <w:bookmarkEnd w:id="286"/>
      <w:bookmarkEnd w:id="287"/>
    </w:p>
    <w:p w14:paraId="546C709A" w14:textId="77777777" w:rsidR="002C0080" w:rsidRPr="003E284C" w:rsidRDefault="002C0080" w:rsidP="00DF3DF4">
      <w:pPr>
        <w:pStyle w:val="Heading4"/>
        <w:rPr>
          <w:rFonts w:cs="Arial"/>
          <w:szCs w:val="24"/>
        </w:rPr>
      </w:pPr>
      <w:bookmarkStart w:id="288" w:name="_Toc440982541"/>
      <w:r w:rsidRPr="003E284C">
        <w:rPr>
          <w:rFonts w:cs="Arial"/>
          <w:szCs w:val="24"/>
        </w:rPr>
        <w:lastRenderedPageBreak/>
        <w:t>This Part B sets out the processes for the Commissioner to ensure list maintenance is appropriately managed. It details the list maintenance and data quality measures to be undertaken and suggests additional measures to be taken. Where references are made to actions to be followed by the Commissioner, these actions should, where possible, be done together with the available support services or payment authority.</w:t>
      </w:r>
      <w:bookmarkEnd w:id="288"/>
    </w:p>
    <w:p w14:paraId="5F28AE44" w14:textId="77777777" w:rsidR="002C0080" w:rsidRPr="003E284C" w:rsidRDefault="002C0080" w:rsidP="00DF3DF4">
      <w:pPr>
        <w:pStyle w:val="Heading4"/>
        <w:rPr>
          <w:rFonts w:cs="Arial"/>
          <w:szCs w:val="24"/>
        </w:rPr>
      </w:pPr>
      <w:bookmarkStart w:id="289" w:name="_Toc440982542"/>
      <w:r w:rsidRPr="003E284C">
        <w:rPr>
          <w:rFonts w:cs="Arial"/>
          <w:szCs w:val="24"/>
        </w:rPr>
        <w:t>Medical service contracts are predominantly funded on a capitation basis through a global sum payment that can range from the nationally agreed figure of £75</w:t>
      </w:r>
      <w:r w:rsidRPr="003E284C">
        <w:rPr>
          <w:rStyle w:val="FootnoteReference"/>
          <w:rFonts w:cs="Arial"/>
          <w:szCs w:val="24"/>
        </w:rPr>
        <w:footnoteReference w:id="6"/>
      </w:r>
      <w:r w:rsidRPr="003E284C">
        <w:rPr>
          <w:rFonts w:cs="Arial"/>
          <w:szCs w:val="24"/>
        </w:rPr>
        <w:t>, up to more than £150 per head of population in some cases. It follows, therefore, that if a patient list is overstated, the contractor will receive more funding than it is entitled to and this presents a significant financial burden on NHS resources.</w:t>
      </w:r>
      <w:bookmarkEnd w:id="289"/>
      <w:r w:rsidRPr="003E284C">
        <w:rPr>
          <w:rFonts w:cs="Arial"/>
          <w:szCs w:val="24"/>
        </w:rPr>
        <w:t xml:space="preserve">  </w:t>
      </w:r>
    </w:p>
    <w:p w14:paraId="36B25D3E" w14:textId="77777777" w:rsidR="002C0080" w:rsidRPr="003E284C" w:rsidRDefault="002C0080" w:rsidP="00DF3DF4">
      <w:pPr>
        <w:pStyle w:val="Heading4"/>
        <w:rPr>
          <w:rFonts w:cs="Arial"/>
          <w:szCs w:val="24"/>
        </w:rPr>
      </w:pPr>
      <w:bookmarkStart w:id="290" w:name="_Toc440982543"/>
      <w:r w:rsidRPr="003E284C">
        <w:rPr>
          <w:rFonts w:cs="Arial"/>
          <w:szCs w:val="24"/>
        </w:rPr>
        <w:t>While in most cases, primary care contractors endeavour to maintain their registered lists in a current and accurate state, patients often fail to notify their registered practice when leaving the area and/or country resulting in potential duplicate registrations, ghost and gone away patients remaining registered on the national patient registration systems.</w:t>
      </w:r>
      <w:bookmarkEnd w:id="290"/>
    </w:p>
    <w:p w14:paraId="73AFD4A2" w14:textId="77777777" w:rsidR="002C0080" w:rsidRPr="003E284C" w:rsidRDefault="002C0080" w:rsidP="00DF3DF4">
      <w:pPr>
        <w:pStyle w:val="Heading4"/>
        <w:rPr>
          <w:rFonts w:cs="Arial"/>
          <w:szCs w:val="24"/>
        </w:rPr>
      </w:pPr>
      <w:bookmarkStart w:id="291" w:name="_Toc440982544"/>
      <w:r w:rsidRPr="003E284C">
        <w:rPr>
          <w:rFonts w:cs="Arial"/>
          <w:szCs w:val="24"/>
        </w:rPr>
        <w:t>Some degree of list inflation is inevitable, but manageable if kept within reasonable bounds. Current trends of inflation are excessive and in some regions continue to rise. The Commissioner and PCSE are expected to engage in regular proactive list maintenance with general practices.</w:t>
      </w:r>
      <w:bookmarkEnd w:id="291"/>
      <w:r w:rsidRPr="003E284C">
        <w:rPr>
          <w:rFonts w:cs="Arial"/>
          <w:szCs w:val="24"/>
        </w:rPr>
        <w:t xml:space="preserve"> </w:t>
      </w:r>
    </w:p>
    <w:p w14:paraId="3B7D4523" w14:textId="77777777" w:rsidR="002C0080" w:rsidRPr="003E284C" w:rsidRDefault="002C0080" w:rsidP="00DF3DF4">
      <w:pPr>
        <w:pStyle w:val="Heading4"/>
        <w:rPr>
          <w:rFonts w:cs="Arial"/>
          <w:szCs w:val="24"/>
        </w:rPr>
      </w:pPr>
      <w:bookmarkStart w:id="292" w:name="_Toc440982545"/>
      <w:r w:rsidRPr="003E284C">
        <w:rPr>
          <w:rFonts w:cs="Arial"/>
          <w:szCs w:val="24"/>
        </w:rPr>
        <w:t>Ongoing and effective maintenance of lists is essential to ensure they are accurate.  However, even with the most effective list maintenance procedures in place, a practice list can hold 3-8 percent of inaccuracy due to patient turnover alone.</w:t>
      </w:r>
      <w:bookmarkEnd w:id="292"/>
    </w:p>
    <w:p w14:paraId="4FD213F9" w14:textId="77777777" w:rsidR="002C0080" w:rsidRPr="003E284C" w:rsidRDefault="002C0080" w:rsidP="00DF3DF4">
      <w:pPr>
        <w:pStyle w:val="Heading4"/>
        <w:rPr>
          <w:rFonts w:cs="Arial"/>
          <w:szCs w:val="24"/>
        </w:rPr>
      </w:pPr>
      <w:bookmarkStart w:id="293" w:name="_Toc440982546"/>
      <w:r w:rsidRPr="003E284C">
        <w:rPr>
          <w:rFonts w:cs="Arial"/>
          <w:szCs w:val="24"/>
        </w:rPr>
        <w:t>Practices with robust systems in place to verify and record patient details at the point of registration, as well as regular systematic checking of details when patients contact the practice, have more accurate lists.</w:t>
      </w:r>
      <w:bookmarkEnd w:id="293"/>
    </w:p>
    <w:p w14:paraId="49552381" w14:textId="77777777" w:rsidR="002C0080" w:rsidRPr="003E284C" w:rsidRDefault="002C0080" w:rsidP="00DF3DF4">
      <w:pPr>
        <w:pStyle w:val="Heading4"/>
        <w:rPr>
          <w:rFonts w:cs="Arial"/>
          <w:szCs w:val="24"/>
        </w:rPr>
      </w:pPr>
      <w:bookmarkStart w:id="294" w:name="_Toc440982547"/>
      <w:r w:rsidRPr="003E284C">
        <w:rPr>
          <w:rFonts w:cs="Arial"/>
          <w:szCs w:val="24"/>
        </w:rPr>
        <w:t>The accuracy of a practice’s registration list is important for:</w:t>
      </w:r>
      <w:bookmarkEnd w:id="294"/>
    </w:p>
    <w:p w14:paraId="623FE2DA" w14:textId="77777777" w:rsidR="002C0080" w:rsidRPr="00DF3DF4" w:rsidRDefault="002C0080" w:rsidP="005A7DDA">
      <w:pPr>
        <w:pStyle w:val="Heading3"/>
        <w:numPr>
          <w:ilvl w:val="0"/>
          <w:numId w:val="72"/>
        </w:numPr>
        <w:spacing w:before="200" w:after="60"/>
        <w:ind w:left="714" w:hanging="357"/>
        <w:jc w:val="both"/>
        <w:rPr>
          <w:rFonts w:cs="Arial"/>
          <w:szCs w:val="24"/>
        </w:rPr>
      </w:pPr>
      <w:bookmarkStart w:id="295" w:name="_Toc440982548"/>
      <w:r w:rsidRPr="00DF3DF4">
        <w:rPr>
          <w:rFonts w:cs="Arial"/>
          <w:szCs w:val="24"/>
        </w:rPr>
        <w:lastRenderedPageBreak/>
        <w:t>the efficacy of ill-health prevention/screening programmes and total population capture;</w:t>
      </w:r>
      <w:bookmarkEnd w:id="295"/>
    </w:p>
    <w:p w14:paraId="47EEC0FA" w14:textId="77777777" w:rsidR="002C0080" w:rsidRPr="00DF3DF4" w:rsidRDefault="002C0080" w:rsidP="005A7DDA">
      <w:pPr>
        <w:pStyle w:val="Heading3"/>
        <w:numPr>
          <w:ilvl w:val="0"/>
          <w:numId w:val="72"/>
        </w:numPr>
        <w:spacing w:before="200" w:after="60"/>
        <w:ind w:left="714" w:hanging="357"/>
        <w:jc w:val="both"/>
        <w:rPr>
          <w:rFonts w:cs="Arial"/>
          <w:szCs w:val="24"/>
        </w:rPr>
      </w:pPr>
      <w:bookmarkStart w:id="296" w:name="_Toc440982549"/>
      <w:r w:rsidRPr="00DF3DF4">
        <w:rPr>
          <w:rFonts w:cs="Arial"/>
          <w:szCs w:val="24"/>
        </w:rPr>
        <w:t>the assessment of performance and clinical outcomes which are often compared on a ‘per patients’ denominator; and</w:t>
      </w:r>
      <w:bookmarkEnd w:id="296"/>
    </w:p>
    <w:p w14:paraId="2D6E135C" w14:textId="77777777" w:rsidR="002C0080" w:rsidRDefault="002C0080" w:rsidP="005A7DDA">
      <w:pPr>
        <w:pStyle w:val="Heading3"/>
        <w:numPr>
          <w:ilvl w:val="0"/>
          <w:numId w:val="72"/>
        </w:numPr>
        <w:spacing w:before="200" w:after="60"/>
        <w:ind w:left="714" w:hanging="357"/>
        <w:jc w:val="both"/>
        <w:rPr>
          <w:rFonts w:cs="Arial"/>
          <w:szCs w:val="24"/>
        </w:rPr>
      </w:pPr>
      <w:bookmarkStart w:id="297" w:name="_Toc440982550"/>
      <w:r w:rsidRPr="00DF3DF4">
        <w:rPr>
          <w:rFonts w:cs="Arial"/>
          <w:szCs w:val="24"/>
        </w:rPr>
        <w:t>the appropriate use of public funds, as allocations are made on a £ per patient basis.</w:t>
      </w:r>
      <w:bookmarkEnd w:id="297"/>
    </w:p>
    <w:p w14:paraId="6665B27E" w14:textId="77777777" w:rsidR="00AC1DBA" w:rsidRPr="00AC1DBA" w:rsidRDefault="00AC1DBA" w:rsidP="00AC1DBA"/>
    <w:p w14:paraId="72E97068" w14:textId="47908A78" w:rsidR="002C0080" w:rsidRPr="00DF3DF4" w:rsidRDefault="002C0080" w:rsidP="00DF3DF4">
      <w:pPr>
        <w:pStyle w:val="Heading3"/>
        <w:rPr>
          <w:b/>
        </w:rPr>
      </w:pPr>
      <w:bookmarkStart w:id="298" w:name="_Toc401056079"/>
      <w:bookmarkStart w:id="299" w:name="_Toc440982551"/>
      <w:r w:rsidRPr="00DF3DF4">
        <w:rPr>
          <w:b/>
        </w:rPr>
        <w:t>Operating Principles</w:t>
      </w:r>
      <w:bookmarkEnd w:id="298"/>
      <w:bookmarkEnd w:id="299"/>
    </w:p>
    <w:p w14:paraId="008A4AA2" w14:textId="77777777" w:rsidR="002C0080" w:rsidRPr="00F9436A" w:rsidRDefault="002C0080" w:rsidP="00DF3DF4">
      <w:pPr>
        <w:pStyle w:val="Heading4"/>
        <w:rPr>
          <w:rFonts w:cs="Arial"/>
        </w:rPr>
      </w:pPr>
      <w:bookmarkStart w:id="300" w:name="_Toc440982552"/>
      <w:r w:rsidRPr="00F9436A">
        <w:lastRenderedPageBreak/>
        <w:t xml:space="preserve">List maintenance processes should be designed with the proactive engagement of the </w:t>
      </w:r>
      <w:r>
        <w:t>Commissioner</w:t>
      </w:r>
      <w:r w:rsidRPr="00F9436A">
        <w:t xml:space="preserve">, </w:t>
      </w:r>
      <w:r>
        <w:t xml:space="preserve">patients (or their representatives), </w:t>
      </w:r>
      <w:r w:rsidRPr="00F9436A">
        <w:t xml:space="preserve">registration authorities, and LMCs on behalf of GPs and practice managers. This should be through </w:t>
      </w:r>
      <w:r w:rsidRPr="00F9436A">
        <w:rPr>
          <w:rFonts w:cs="Arial"/>
        </w:rPr>
        <w:t>a continuous rolling programme, for example: working through the practice registers alphabetically over a one to three-year period, or by targeting specific patient cohorts, for example, choosing a cohort that supports a screening programme e.g. childhood immunisations, flu or cytology.</w:t>
      </w:r>
      <w:bookmarkEnd w:id="300"/>
    </w:p>
    <w:p w14:paraId="545DDE46" w14:textId="604D1154" w:rsidR="002C0080" w:rsidRPr="00F9436A" w:rsidRDefault="002C0080" w:rsidP="00DF3DF4">
      <w:pPr>
        <w:pStyle w:val="Heading4"/>
      </w:pPr>
      <w:bookmarkStart w:id="301" w:name="_Toc440982553"/>
      <w:r w:rsidRPr="00F9436A">
        <w:t xml:space="preserve">A "one-hit" approach in which a single practice is targeted should be avoided except in exceptional circumstances. This might include due diligence when transferring a full list to a new contract, for example. In all cases this should be carried out in </w:t>
      </w:r>
      <w:r w:rsidR="00A23BD5">
        <w:t>discussion</w:t>
      </w:r>
      <w:r w:rsidR="00A23BD5" w:rsidRPr="00F9436A">
        <w:t xml:space="preserve"> </w:t>
      </w:r>
      <w:r w:rsidRPr="00F9436A">
        <w:t>with the LMC.</w:t>
      </w:r>
      <w:bookmarkEnd w:id="301"/>
    </w:p>
    <w:p w14:paraId="302510D4" w14:textId="77777777" w:rsidR="002C0080" w:rsidRPr="00F9436A" w:rsidRDefault="002C0080" w:rsidP="00DF3DF4">
      <w:pPr>
        <w:pStyle w:val="Heading4"/>
      </w:pPr>
      <w:bookmarkStart w:id="302" w:name="_Toc440982554"/>
      <w:r w:rsidRPr="00F9436A">
        <w:t>Contractors have a crucial role to play in ensuring their staff access relevant training, are familiar with the FP69 process and are proactive partners in the list maintenance process.</w:t>
      </w:r>
      <w:bookmarkEnd w:id="302"/>
    </w:p>
    <w:p w14:paraId="19035B73" w14:textId="77777777" w:rsidR="002C0080" w:rsidRPr="00F9436A" w:rsidRDefault="002C0080" w:rsidP="00DF3DF4">
      <w:pPr>
        <w:pStyle w:val="Heading4"/>
      </w:pPr>
      <w:bookmarkStart w:id="303" w:name="_Toc440982555"/>
      <w:r w:rsidRPr="00F9436A">
        <w:t>When responding to an active FP69 (see Annex 1 and Annex 2) a practice declaration will be sufficient. The practice is responsible for ensuring all declarations made are accurate and should be made aware that these can be challenged where any inconsistencies are highlighted through a cluster-wide audit.</w:t>
      </w:r>
      <w:bookmarkEnd w:id="303"/>
    </w:p>
    <w:p w14:paraId="30D81ABA" w14:textId="77777777" w:rsidR="002C0080" w:rsidRPr="00F9436A" w:rsidRDefault="002C0080" w:rsidP="00DF3DF4">
      <w:pPr>
        <w:pStyle w:val="Heading4"/>
      </w:pPr>
      <w:bookmarkStart w:id="304" w:name="_Toc440982556"/>
      <w:r w:rsidRPr="00F9436A">
        <w:t>A list maintenance exercise is not designed to address performance failures. Where there are reasonable grounds for believing that list inflation is particularly high at an individual practice then concerns about this should be handled separately and in accordance with the performance management directions.</w:t>
      </w:r>
      <w:bookmarkEnd w:id="304"/>
    </w:p>
    <w:p w14:paraId="6D862424" w14:textId="77777777" w:rsidR="002C0080" w:rsidRDefault="002C0080" w:rsidP="00DF3DF4">
      <w:pPr>
        <w:pStyle w:val="Heading4"/>
      </w:pPr>
      <w:bookmarkStart w:id="305" w:name="_Toc440982557"/>
      <w:r w:rsidRPr="00F9436A">
        <w:t xml:space="preserve">The </w:t>
      </w:r>
      <w:r>
        <w:t>Commissioner</w:t>
      </w:r>
      <w:r w:rsidRPr="00F9436A">
        <w:t xml:space="preserve"> should ensure that where the registration authority disputes the practice declaration, the practice is told why and is advised of any list actions that have been taken.</w:t>
      </w:r>
      <w:bookmarkEnd w:id="305"/>
    </w:p>
    <w:p w14:paraId="4E25595C" w14:textId="77777777" w:rsidR="002C0080" w:rsidRPr="00563D47" w:rsidRDefault="002C0080" w:rsidP="002C0080">
      <w:pPr>
        <w:pStyle w:val="Body2"/>
      </w:pPr>
    </w:p>
    <w:p w14:paraId="09E20800" w14:textId="77777777" w:rsidR="002C0080" w:rsidRPr="00DF3DF4" w:rsidRDefault="002C0080" w:rsidP="00DF3DF4">
      <w:pPr>
        <w:pStyle w:val="Heading3"/>
        <w:rPr>
          <w:b/>
        </w:rPr>
      </w:pPr>
      <w:bookmarkStart w:id="306" w:name="_Toc401056080"/>
      <w:bookmarkStart w:id="307" w:name="_Toc440982558"/>
      <w:r w:rsidRPr="00DF3DF4">
        <w:rPr>
          <w:b/>
        </w:rPr>
        <w:t>Minimising Inconvenience to Patients</w:t>
      </w:r>
      <w:bookmarkEnd w:id="306"/>
      <w:bookmarkEnd w:id="307"/>
    </w:p>
    <w:p w14:paraId="3F5998DB" w14:textId="77777777" w:rsidR="002C0080" w:rsidRPr="00F9436A" w:rsidRDefault="002C0080" w:rsidP="00DF3DF4">
      <w:pPr>
        <w:pStyle w:val="Heading4"/>
      </w:pPr>
      <w:bookmarkStart w:id="308" w:name="_Toc440982559"/>
      <w:r w:rsidRPr="00F9436A">
        <w:lastRenderedPageBreak/>
        <w:t>Advance screening of the proposed cohort by practices means that fewer patients will be inconvenienced by having to respond to a letter. It will also reduce postal costs associated with the exercise.</w:t>
      </w:r>
      <w:bookmarkEnd w:id="308"/>
    </w:p>
    <w:p w14:paraId="6B49CD84" w14:textId="77777777" w:rsidR="002C0080" w:rsidRPr="00F9436A" w:rsidRDefault="002C0080" w:rsidP="00DF3DF4">
      <w:pPr>
        <w:pStyle w:val="Heading4"/>
      </w:pPr>
      <w:bookmarkStart w:id="309" w:name="_Toc440982560"/>
      <w:r w:rsidRPr="00F9436A">
        <w:t xml:space="preserve">The </w:t>
      </w:r>
      <w:r>
        <w:t>Commissioner</w:t>
      </w:r>
      <w:r w:rsidRPr="00F9436A">
        <w:t xml:space="preserve"> should maximise awareness in the patient population of list maintenance procedures by ensuring that an effective patient communication strategy is in place. The strategy should be tailored to local needs and build upon examples of what has worked well. For example:</w:t>
      </w:r>
      <w:bookmarkEnd w:id="309"/>
    </w:p>
    <w:p w14:paraId="095E377E" w14:textId="77777777" w:rsidR="002C0080" w:rsidRPr="00DF3DF4" w:rsidRDefault="002C0080" w:rsidP="005A7DDA">
      <w:pPr>
        <w:pStyle w:val="Heading3"/>
        <w:numPr>
          <w:ilvl w:val="0"/>
          <w:numId w:val="72"/>
        </w:numPr>
        <w:tabs>
          <w:tab w:val="num" w:pos="2393"/>
        </w:tabs>
        <w:spacing w:before="200" w:after="60"/>
        <w:ind w:left="714" w:hanging="357"/>
        <w:jc w:val="both"/>
        <w:rPr>
          <w:rFonts w:cs="Arial"/>
          <w:szCs w:val="24"/>
        </w:rPr>
      </w:pPr>
      <w:bookmarkStart w:id="310" w:name="_Toc440982561"/>
      <w:r w:rsidRPr="00DF3DF4">
        <w:rPr>
          <w:rFonts w:cs="Arial"/>
          <w:szCs w:val="24"/>
        </w:rPr>
        <w:t>Letters to be addressed to named patients and not the occupier (Annex 3).</w:t>
      </w:r>
      <w:bookmarkEnd w:id="310"/>
      <w:r w:rsidRPr="00DF3DF4">
        <w:rPr>
          <w:rFonts w:cs="Arial"/>
          <w:szCs w:val="24"/>
        </w:rPr>
        <w:t xml:space="preserve"> </w:t>
      </w:r>
    </w:p>
    <w:p w14:paraId="7E839E08" w14:textId="77777777" w:rsidR="002C0080" w:rsidRPr="00DF3DF4" w:rsidRDefault="002C0080" w:rsidP="005A7DDA">
      <w:pPr>
        <w:pStyle w:val="Heading3"/>
        <w:numPr>
          <w:ilvl w:val="0"/>
          <w:numId w:val="72"/>
        </w:numPr>
        <w:tabs>
          <w:tab w:val="num" w:pos="2393"/>
        </w:tabs>
        <w:spacing w:before="200" w:after="60"/>
        <w:ind w:left="714" w:hanging="357"/>
        <w:jc w:val="both"/>
        <w:rPr>
          <w:rFonts w:cs="Arial"/>
          <w:szCs w:val="24"/>
        </w:rPr>
      </w:pPr>
      <w:bookmarkStart w:id="311" w:name="_Toc440982562"/>
      <w:r w:rsidRPr="00DF3DF4">
        <w:rPr>
          <w:rFonts w:cs="Arial"/>
          <w:szCs w:val="24"/>
        </w:rPr>
        <w:t>Branded NHS envelopes with a return address are more likely to be opened as they are clearly directly in relation to the patients’ health (Annex 4).</w:t>
      </w:r>
      <w:bookmarkEnd w:id="311"/>
    </w:p>
    <w:p w14:paraId="1A52A121" w14:textId="77777777" w:rsidR="002C0080" w:rsidRPr="00DF3DF4" w:rsidRDefault="002C0080" w:rsidP="005A7DDA">
      <w:pPr>
        <w:pStyle w:val="Heading3"/>
        <w:numPr>
          <w:ilvl w:val="0"/>
          <w:numId w:val="72"/>
        </w:numPr>
        <w:tabs>
          <w:tab w:val="num" w:pos="2393"/>
        </w:tabs>
        <w:spacing w:before="200" w:after="60"/>
        <w:ind w:left="714" w:hanging="357"/>
        <w:jc w:val="both"/>
        <w:rPr>
          <w:rFonts w:cs="Arial"/>
          <w:szCs w:val="24"/>
        </w:rPr>
      </w:pPr>
      <w:bookmarkStart w:id="312" w:name="_Toc440982563"/>
      <w:r w:rsidRPr="00DF3DF4">
        <w:rPr>
          <w:rFonts w:cs="Arial"/>
          <w:szCs w:val="24"/>
        </w:rPr>
        <w:t>Contractor teams alerting patients to registration checks well in advance – as part of the registration conversation, through display notices in a practice.</w:t>
      </w:r>
      <w:bookmarkEnd w:id="312"/>
    </w:p>
    <w:p w14:paraId="6EFC2B27" w14:textId="77777777" w:rsidR="002C0080" w:rsidRPr="00DF3DF4" w:rsidRDefault="002C0080" w:rsidP="005A7DDA">
      <w:pPr>
        <w:pStyle w:val="Heading3"/>
        <w:numPr>
          <w:ilvl w:val="0"/>
          <w:numId w:val="72"/>
        </w:numPr>
        <w:tabs>
          <w:tab w:val="num" w:pos="2393"/>
        </w:tabs>
        <w:spacing w:before="200" w:after="60"/>
        <w:ind w:left="714" w:hanging="357"/>
        <w:jc w:val="both"/>
        <w:rPr>
          <w:rFonts w:cs="Arial"/>
          <w:szCs w:val="24"/>
        </w:rPr>
      </w:pPr>
      <w:bookmarkStart w:id="313" w:name="_Toc440982564"/>
      <w:r w:rsidRPr="00DF3DF4">
        <w:rPr>
          <w:rFonts w:cs="Arial"/>
          <w:szCs w:val="24"/>
        </w:rPr>
        <w:t>The Commissioner and contractors making the process clear to patients through any letters and posters, for example – what the letter looks like, what to do when you get one, the steps in place to minimise deregistration errors, what to do if there is a de-registration error, what to do if a letter arrives for someone not living at that address.</w:t>
      </w:r>
      <w:bookmarkEnd w:id="313"/>
    </w:p>
    <w:p w14:paraId="5B1071E6" w14:textId="77777777" w:rsidR="002C0080" w:rsidRPr="00DF3DF4" w:rsidRDefault="002C0080" w:rsidP="005A7DDA">
      <w:pPr>
        <w:pStyle w:val="Heading3"/>
        <w:numPr>
          <w:ilvl w:val="0"/>
          <w:numId w:val="72"/>
        </w:numPr>
        <w:tabs>
          <w:tab w:val="num" w:pos="0"/>
        </w:tabs>
        <w:spacing w:before="200" w:after="60"/>
        <w:ind w:left="714" w:hanging="357"/>
        <w:jc w:val="both"/>
        <w:rPr>
          <w:rFonts w:cs="Arial"/>
          <w:szCs w:val="24"/>
        </w:rPr>
      </w:pPr>
      <w:bookmarkStart w:id="314" w:name="_Toc440982565"/>
      <w:r w:rsidRPr="00DF3DF4">
        <w:rPr>
          <w:rFonts w:cs="Arial"/>
          <w:szCs w:val="24"/>
        </w:rPr>
        <w:t xml:space="preserve">Communications must take into account the Accessible Information Standard which requires organisations to ensure that disabled patients receive information in formats that they can understand. For more information on the standard and guidance on its implementation, see the NHS England website: </w:t>
      </w:r>
      <w:hyperlink r:id="rId54" w:history="1">
        <w:r w:rsidRPr="00BA6A5B">
          <w:rPr>
            <w:rFonts w:cs="Arial"/>
            <w:color w:val="0000FF"/>
            <w:u w:val="single"/>
          </w:rPr>
          <w:t>https://www.england.nhs.uk/ourwork/patients/accessibleinfo-2/</w:t>
        </w:r>
      </w:hyperlink>
      <w:bookmarkEnd w:id="314"/>
      <w:r w:rsidRPr="00BA6A5B">
        <w:rPr>
          <w:rFonts w:cs="Arial"/>
          <w:color w:val="0000FF"/>
          <w:szCs w:val="24"/>
        </w:rPr>
        <w:t xml:space="preserve">  </w:t>
      </w:r>
    </w:p>
    <w:p w14:paraId="20EE72C7" w14:textId="77777777" w:rsidR="002C0080" w:rsidRPr="00DF3DF4" w:rsidRDefault="002C0080" w:rsidP="005A7DDA">
      <w:pPr>
        <w:pStyle w:val="Heading3"/>
        <w:numPr>
          <w:ilvl w:val="0"/>
          <w:numId w:val="72"/>
        </w:numPr>
        <w:tabs>
          <w:tab w:val="num" w:pos="2393"/>
        </w:tabs>
        <w:spacing w:before="200" w:after="60"/>
        <w:ind w:left="714" w:hanging="357"/>
        <w:jc w:val="both"/>
        <w:rPr>
          <w:rFonts w:cs="Arial"/>
          <w:szCs w:val="24"/>
        </w:rPr>
      </w:pPr>
      <w:bookmarkStart w:id="315" w:name="_Toc440982566"/>
      <w:r w:rsidRPr="00DF3DF4">
        <w:rPr>
          <w:rFonts w:cs="Arial"/>
          <w:szCs w:val="24"/>
        </w:rPr>
        <w:t>Communications must be tailored for different languages and consideration of other support for patients whose first language is not English.</w:t>
      </w:r>
      <w:bookmarkEnd w:id="315"/>
      <w:r w:rsidRPr="00DF3DF4">
        <w:rPr>
          <w:rFonts w:cs="Arial"/>
          <w:szCs w:val="24"/>
        </w:rPr>
        <w:t xml:space="preserve"> </w:t>
      </w:r>
    </w:p>
    <w:p w14:paraId="76B5F72F" w14:textId="77777777" w:rsidR="002C0080" w:rsidRPr="00962FCA" w:rsidRDefault="002C0080" w:rsidP="00962FCA">
      <w:pPr>
        <w:pStyle w:val="Heading4"/>
      </w:pPr>
      <w:bookmarkStart w:id="316" w:name="_Toc440982567"/>
      <w:r w:rsidRPr="00962FCA">
        <w:t>List maintenance is also an opportunity to improve other aspects of patients’ registration including the accuracy of patient information held on the register. The Commissioner should ensure that contractors verify the details held on the practice system systematically as part of routine on-going maintenance.</w:t>
      </w:r>
      <w:bookmarkEnd w:id="316"/>
    </w:p>
    <w:p w14:paraId="3DD8BD6F" w14:textId="77777777" w:rsidR="002C0080" w:rsidRPr="00563D47" w:rsidRDefault="002C0080" w:rsidP="002C0080">
      <w:pPr>
        <w:pStyle w:val="Body2"/>
      </w:pPr>
    </w:p>
    <w:p w14:paraId="3EE832CD" w14:textId="77777777" w:rsidR="002C0080" w:rsidRPr="00DF3DF4" w:rsidRDefault="002C0080" w:rsidP="00DF3DF4">
      <w:pPr>
        <w:pStyle w:val="Heading3"/>
        <w:rPr>
          <w:b/>
        </w:rPr>
      </w:pPr>
      <w:bookmarkStart w:id="317" w:name="_Toc401056081"/>
      <w:bookmarkStart w:id="318" w:name="_Toc440982568"/>
      <w:r w:rsidRPr="00DF3DF4">
        <w:rPr>
          <w:b/>
        </w:rPr>
        <w:lastRenderedPageBreak/>
        <w:t>Patient Registration Process</w:t>
      </w:r>
      <w:bookmarkEnd w:id="317"/>
      <w:bookmarkEnd w:id="318"/>
    </w:p>
    <w:p w14:paraId="6CF1B664" w14:textId="77777777" w:rsidR="002C0080" w:rsidRPr="00F9436A" w:rsidRDefault="002C0080" w:rsidP="00DF3DF4">
      <w:pPr>
        <w:pStyle w:val="Heading4"/>
      </w:pPr>
      <w:bookmarkStart w:id="319" w:name="_Toc440982569"/>
      <w:r w:rsidRPr="00F9436A">
        <w:lastRenderedPageBreak/>
        <w:t>Appropriate and timely management of the patient registration process is essential in minimising the potential for list inflation.</w:t>
      </w:r>
      <w:bookmarkEnd w:id="319"/>
      <w:r w:rsidRPr="00F9436A">
        <w:t xml:space="preserve">  </w:t>
      </w:r>
    </w:p>
    <w:p w14:paraId="0FEF04F4" w14:textId="77777777" w:rsidR="002C0080" w:rsidRPr="00F9436A" w:rsidRDefault="002C0080" w:rsidP="00DF3DF4">
      <w:pPr>
        <w:pStyle w:val="Heading4"/>
      </w:pPr>
      <w:bookmarkStart w:id="320" w:name="_Toc440982570"/>
      <w:r w:rsidRPr="00F9436A">
        <w:t>The standard registration process requires all general practices to notify all registrations to NHAIS. The NHAIS user should then confirm the registration to the practice and take steps to arrange for the transfer of medical records from the patient's previous general practice. Electronic links are in place between NHAIS sites and all general practices that enable this process.</w:t>
      </w:r>
      <w:bookmarkEnd w:id="320"/>
      <w:r w:rsidRPr="00F9436A">
        <w:t xml:space="preserve"> </w:t>
      </w:r>
    </w:p>
    <w:p w14:paraId="5F9DCA66" w14:textId="77777777" w:rsidR="002C0080" w:rsidRPr="00F9436A" w:rsidRDefault="002C0080" w:rsidP="00DF3DF4">
      <w:pPr>
        <w:pStyle w:val="Heading4"/>
      </w:pPr>
      <w:bookmarkStart w:id="321" w:name="_Toc440982571"/>
      <w:r w:rsidRPr="00F9436A">
        <w:t>The process of confirming the new patient registration by NHAIS staff involves checking the patient details against the Personal Demographics Service (</w:t>
      </w:r>
      <w:r w:rsidRPr="00F9436A">
        <w:rPr>
          <w:bCs/>
        </w:rPr>
        <w:t>PDS</w:t>
      </w:r>
      <w:r w:rsidRPr="00F9436A">
        <w:t xml:space="preserve">) </w:t>
      </w:r>
      <w:r w:rsidRPr="00F9436A">
        <w:rPr>
          <w:bCs/>
        </w:rPr>
        <w:t>National Back Office (NBO)</w:t>
      </w:r>
      <w:r w:rsidRPr="00F9436A">
        <w:t xml:space="preserve"> to confirm the patient’s NHS number, where NHS numbers cannot be traced the system provides for the user to request the allocation of a new NHS number.</w:t>
      </w:r>
      <w:bookmarkEnd w:id="321"/>
      <w:r w:rsidRPr="00F9436A">
        <w:t xml:space="preserve"> </w:t>
      </w:r>
    </w:p>
    <w:p w14:paraId="436A8904" w14:textId="77777777" w:rsidR="002C0080" w:rsidRPr="00F9436A" w:rsidRDefault="002C0080" w:rsidP="00DF3DF4">
      <w:pPr>
        <w:pStyle w:val="Heading4"/>
      </w:pPr>
      <w:bookmarkStart w:id="322" w:name="_Toc440982572"/>
      <w:r w:rsidRPr="00F9436A">
        <w:t>Where it is not possible to trace an NHS number for a patient, rather than request allocation of a new NHS number the registration should be kept pending and the previous general practice contacted to obtain further details.</w:t>
      </w:r>
      <w:bookmarkEnd w:id="322"/>
      <w:r w:rsidRPr="00F9436A">
        <w:t xml:space="preserve"> </w:t>
      </w:r>
    </w:p>
    <w:p w14:paraId="69172FC0" w14:textId="77777777" w:rsidR="002C0080" w:rsidRPr="00F9436A" w:rsidRDefault="002C0080" w:rsidP="00DF3DF4">
      <w:pPr>
        <w:pStyle w:val="Heading4"/>
      </w:pPr>
      <w:bookmarkStart w:id="323" w:name="_Toc440982573"/>
      <w:r w:rsidRPr="00F9436A">
        <w:t>If the practice cannot provide further information to enable the NHS number to be traced it should be asked to contact the patient to obtain this. By taking these steps the user will ensure that allocation of new NHS numbers is kept to a minimum and therefore minimises the potential for list inflation.</w:t>
      </w:r>
      <w:bookmarkEnd w:id="323"/>
      <w:r w:rsidRPr="00F9436A">
        <w:t xml:space="preserve"> </w:t>
      </w:r>
    </w:p>
    <w:p w14:paraId="398FB5A9" w14:textId="77777777" w:rsidR="002C0080" w:rsidRPr="00F9436A" w:rsidRDefault="002C0080" w:rsidP="00DF3DF4">
      <w:pPr>
        <w:pStyle w:val="Heading4"/>
      </w:pPr>
      <w:bookmarkStart w:id="324" w:name="_Toc440982574"/>
      <w:r w:rsidRPr="00F9436A">
        <w:t>Where a new NHS number has been allocated then additional checks are undertaken by the PDS NBO to help ensure a duplicate NHS number has not been created for a patient. Monthly reports, identifying the number of duplicate NHS numbers allocated</w:t>
      </w:r>
      <w:r>
        <w:t xml:space="preserve"> by PCS</w:t>
      </w:r>
      <w:r w:rsidRPr="00F9436A">
        <w:t xml:space="preserve"> are produced by the </w:t>
      </w:r>
      <w:r w:rsidRPr="007D5B8F">
        <w:t>NHSC</w:t>
      </w:r>
      <w:r>
        <w:t>F</w:t>
      </w:r>
      <w:r w:rsidRPr="00243B7B">
        <w:t xml:space="preserve">H </w:t>
      </w:r>
      <w:r w:rsidRPr="00F9436A">
        <w:t>and these are split between those where the service provider should have been able to trace the correct number and those duplicates that are considered unavoidable.</w:t>
      </w:r>
      <w:bookmarkEnd w:id="324"/>
      <w:r w:rsidRPr="00F9436A">
        <w:t xml:space="preserve"> </w:t>
      </w:r>
    </w:p>
    <w:p w14:paraId="5938F739" w14:textId="77777777" w:rsidR="002C0080" w:rsidRPr="00F9436A" w:rsidRDefault="002C0080" w:rsidP="00DF3DF4">
      <w:pPr>
        <w:pStyle w:val="Heading4"/>
      </w:pPr>
      <w:bookmarkStart w:id="325" w:name="_Toc440982575"/>
      <w:r w:rsidRPr="00F9436A">
        <w:t>It is essential that robust procedures are in place to prevent the creation of duplicate registrations at the time of registration. The figures available on the volumes of duplicate numbers created by each service provider should provide valuable benchmark data to monitor this.</w:t>
      </w:r>
      <w:bookmarkEnd w:id="325"/>
    </w:p>
    <w:p w14:paraId="797135F2" w14:textId="77777777" w:rsidR="002C0080" w:rsidRDefault="002C0080" w:rsidP="00DF3DF4">
      <w:pPr>
        <w:pStyle w:val="Heading4"/>
      </w:pPr>
      <w:bookmarkStart w:id="326" w:name="_Toc440982576"/>
      <w:r w:rsidRPr="00F9436A">
        <w:lastRenderedPageBreak/>
        <w:t xml:space="preserve">The </w:t>
      </w:r>
      <w:r>
        <w:t>Commissioner</w:t>
      </w:r>
      <w:r w:rsidRPr="00F9436A">
        <w:t xml:space="preserve"> should ensure that </w:t>
      </w:r>
      <w:r>
        <w:t xml:space="preserve">the </w:t>
      </w:r>
      <w:r w:rsidRPr="00F9436A">
        <w:t xml:space="preserve">PCSS provider </w:t>
      </w:r>
      <w:r w:rsidRPr="002F572B">
        <w:t xml:space="preserve">is </w:t>
      </w:r>
      <w:r w:rsidRPr="00F9436A">
        <w:t>processing routine registrations in a timely manner as this is also key to ensuring accuracy of practice lists.</w:t>
      </w:r>
      <w:bookmarkEnd w:id="326"/>
    </w:p>
    <w:p w14:paraId="072F88DE" w14:textId="77777777" w:rsidR="002C0080" w:rsidRPr="00563D47" w:rsidRDefault="002C0080" w:rsidP="002C0080">
      <w:pPr>
        <w:pStyle w:val="Body2"/>
      </w:pPr>
    </w:p>
    <w:p w14:paraId="45A25B2E" w14:textId="77777777" w:rsidR="002C0080" w:rsidRPr="00DF3DF4" w:rsidRDefault="002C0080" w:rsidP="00DF3DF4">
      <w:pPr>
        <w:pStyle w:val="Heading3"/>
        <w:rPr>
          <w:b/>
        </w:rPr>
      </w:pPr>
      <w:bookmarkStart w:id="327" w:name="_Toc401056082"/>
      <w:bookmarkStart w:id="328" w:name="_Toc440982577"/>
      <w:r w:rsidRPr="00DF3DF4">
        <w:rPr>
          <w:b/>
        </w:rPr>
        <w:t>Elements of a Rolling List Maintenance Programme</w:t>
      </w:r>
      <w:bookmarkEnd w:id="327"/>
      <w:bookmarkEnd w:id="328"/>
    </w:p>
    <w:p w14:paraId="0090C5D6" w14:textId="1C5744A7" w:rsidR="002C0080" w:rsidRPr="00E831C4" w:rsidRDefault="002C0080" w:rsidP="00DF3DF4">
      <w:pPr>
        <w:pStyle w:val="Heading4"/>
      </w:pPr>
      <w:bookmarkStart w:id="329" w:name="_Toc440982578"/>
      <w:r w:rsidRPr="00E831C4">
        <w:t>Routine business processes that involve sending letters to patients help reduce list inflation, as any letters returned undelivered</w:t>
      </w:r>
      <w:r w:rsidRPr="006A4B34">
        <w:rPr>
          <w:rStyle w:val="FootnoteReference"/>
          <w:rFonts w:ascii="Frutiger LT Std 45 Light" w:hAnsi="Frutiger LT Std 45 Light"/>
          <w:szCs w:val="24"/>
        </w:rPr>
        <w:footnoteReference w:id="7"/>
      </w:r>
      <w:r w:rsidRPr="00E831C4">
        <w:t xml:space="preserve"> by Royal Mail result in general practices being given the statutory six-month notice period to provide confirmation </w:t>
      </w:r>
      <w:r w:rsidRPr="006A4B34">
        <w:t>that the person is a patient to whom it is still responsible for providing essential services</w:t>
      </w:r>
      <w:r w:rsidRPr="00E831C4">
        <w:t xml:space="preserve">. Where confirmation </w:t>
      </w:r>
      <w:r>
        <w:t xml:space="preserve">is not  </w:t>
      </w:r>
      <w:r w:rsidRPr="00E831C4">
        <w:t>provided then the patient is removed from the practice list</w:t>
      </w:r>
      <w:bookmarkEnd w:id="329"/>
      <w:r w:rsidR="00B60178">
        <w:t xml:space="preserve"> (please also refer to the Patient Registration chapter for further information).</w:t>
      </w:r>
    </w:p>
    <w:p w14:paraId="4D025937" w14:textId="77777777" w:rsidR="002C0080" w:rsidRPr="00F9436A" w:rsidRDefault="002C0080" w:rsidP="00DF3DF4">
      <w:pPr>
        <w:pStyle w:val="Heading4"/>
      </w:pPr>
      <w:bookmarkStart w:id="330" w:name="_Toc440982579"/>
      <w:r w:rsidRPr="00F9436A">
        <w:t>These letters to patients, using data sourced from the NHAIS system, are inclusive of, but not limited to, the following:</w:t>
      </w:r>
      <w:bookmarkEnd w:id="330"/>
    </w:p>
    <w:p w14:paraId="6E256ED7" w14:textId="77777777" w:rsidR="002C0080" w:rsidRPr="003331F2" w:rsidRDefault="002C0080" w:rsidP="005A7DDA">
      <w:pPr>
        <w:pStyle w:val="BodyText"/>
        <w:numPr>
          <w:ilvl w:val="0"/>
          <w:numId w:val="139"/>
        </w:numPr>
        <w:spacing w:line="360" w:lineRule="auto"/>
        <w:ind w:left="714" w:hanging="357"/>
        <w:rPr>
          <w:sz w:val="24"/>
          <w:szCs w:val="24"/>
        </w:rPr>
      </w:pPr>
      <w:bookmarkStart w:id="331" w:name="_Toc440982580"/>
      <w:r w:rsidRPr="003331F2">
        <w:rPr>
          <w:sz w:val="24"/>
          <w:szCs w:val="24"/>
        </w:rPr>
        <w:t>Cervical screening invitation letters sent to all women aged 25-64.</w:t>
      </w:r>
      <w:bookmarkEnd w:id="331"/>
    </w:p>
    <w:p w14:paraId="2D1A2DEF" w14:textId="77777777" w:rsidR="002C0080" w:rsidRPr="003331F2" w:rsidRDefault="002C0080" w:rsidP="005A7DDA">
      <w:pPr>
        <w:pStyle w:val="BodyText"/>
        <w:numPr>
          <w:ilvl w:val="0"/>
          <w:numId w:val="139"/>
        </w:numPr>
        <w:spacing w:line="360" w:lineRule="auto"/>
        <w:ind w:left="714" w:hanging="357"/>
        <w:rPr>
          <w:sz w:val="24"/>
          <w:szCs w:val="24"/>
        </w:rPr>
      </w:pPr>
      <w:bookmarkStart w:id="332" w:name="_Toc440982581"/>
      <w:r w:rsidRPr="003331F2">
        <w:rPr>
          <w:sz w:val="24"/>
          <w:szCs w:val="24"/>
        </w:rPr>
        <w:t>Cervical screening test results sent to all women attending for a test as part of the NHS cervical screening programme.</w:t>
      </w:r>
      <w:bookmarkEnd w:id="332"/>
    </w:p>
    <w:p w14:paraId="6060FF2A" w14:textId="77777777" w:rsidR="002C0080" w:rsidRPr="003331F2" w:rsidRDefault="002C0080" w:rsidP="005A7DDA">
      <w:pPr>
        <w:pStyle w:val="BodyText"/>
        <w:numPr>
          <w:ilvl w:val="0"/>
          <w:numId w:val="139"/>
        </w:numPr>
        <w:spacing w:line="360" w:lineRule="auto"/>
        <w:ind w:left="714" w:hanging="357"/>
        <w:rPr>
          <w:sz w:val="24"/>
          <w:szCs w:val="24"/>
        </w:rPr>
      </w:pPr>
      <w:bookmarkStart w:id="333" w:name="_Toc440982582"/>
      <w:r w:rsidRPr="003331F2">
        <w:rPr>
          <w:sz w:val="24"/>
          <w:szCs w:val="24"/>
        </w:rPr>
        <w:t>Flu vaccination invitation letters sent to patients aged 65 and over together with any patients identified by general practices as being in an ‘at risk’ group.</w:t>
      </w:r>
      <w:bookmarkEnd w:id="333"/>
    </w:p>
    <w:p w14:paraId="0429EA31" w14:textId="77777777" w:rsidR="002C0080" w:rsidRPr="003331F2" w:rsidRDefault="002C0080" w:rsidP="005A7DDA">
      <w:pPr>
        <w:pStyle w:val="BodyText"/>
        <w:numPr>
          <w:ilvl w:val="0"/>
          <w:numId w:val="139"/>
        </w:numPr>
        <w:spacing w:line="360" w:lineRule="auto"/>
        <w:ind w:left="714" w:hanging="357"/>
        <w:rPr>
          <w:sz w:val="24"/>
          <w:szCs w:val="24"/>
        </w:rPr>
      </w:pPr>
      <w:bookmarkStart w:id="334" w:name="_Toc440982583"/>
      <w:r w:rsidRPr="003331F2">
        <w:rPr>
          <w:sz w:val="24"/>
          <w:szCs w:val="24"/>
        </w:rPr>
        <w:t>Chlamydia screening invitations letters sent to patients on behalf of certain local authorities.</w:t>
      </w:r>
      <w:bookmarkEnd w:id="334"/>
    </w:p>
    <w:p w14:paraId="570A1DE9" w14:textId="77777777" w:rsidR="002C0080" w:rsidRPr="003331F2" w:rsidRDefault="002C0080" w:rsidP="005A7DDA">
      <w:pPr>
        <w:pStyle w:val="BodyText"/>
        <w:numPr>
          <w:ilvl w:val="0"/>
          <w:numId w:val="139"/>
        </w:numPr>
        <w:spacing w:line="360" w:lineRule="auto"/>
        <w:ind w:left="714" w:hanging="357"/>
        <w:rPr>
          <w:sz w:val="24"/>
          <w:szCs w:val="24"/>
        </w:rPr>
      </w:pPr>
      <w:bookmarkStart w:id="335" w:name="_Toc440982584"/>
      <w:r w:rsidRPr="003331F2">
        <w:rPr>
          <w:sz w:val="24"/>
          <w:szCs w:val="24"/>
        </w:rPr>
        <w:t>Bowel screening invitation letters are sent to all patients aged 60 and 74 where the source data used to identify patients to be invited is taken from the NHAIS system.</w:t>
      </w:r>
      <w:bookmarkEnd w:id="335"/>
      <w:r w:rsidRPr="003331F2">
        <w:rPr>
          <w:sz w:val="24"/>
          <w:szCs w:val="24"/>
        </w:rPr>
        <w:t xml:space="preserve"> </w:t>
      </w:r>
    </w:p>
    <w:p w14:paraId="3A2A51C1" w14:textId="77777777" w:rsidR="002C0080" w:rsidRPr="003331F2" w:rsidRDefault="002C0080" w:rsidP="005A7DDA">
      <w:pPr>
        <w:pStyle w:val="BodyText"/>
        <w:numPr>
          <w:ilvl w:val="0"/>
          <w:numId w:val="139"/>
        </w:numPr>
        <w:spacing w:line="360" w:lineRule="auto"/>
        <w:ind w:left="714" w:hanging="357"/>
        <w:rPr>
          <w:sz w:val="24"/>
          <w:szCs w:val="24"/>
        </w:rPr>
      </w:pPr>
      <w:bookmarkStart w:id="336" w:name="_Toc440982585"/>
      <w:r w:rsidRPr="003331F2">
        <w:rPr>
          <w:sz w:val="24"/>
          <w:szCs w:val="24"/>
        </w:rPr>
        <w:t>Letters sent to all patients registered with a specific general practice if there are any significant changes to practice arrangements.</w:t>
      </w:r>
      <w:bookmarkEnd w:id="336"/>
    </w:p>
    <w:p w14:paraId="048F385A" w14:textId="77777777" w:rsidR="002C0080" w:rsidRPr="003331F2" w:rsidRDefault="002C0080" w:rsidP="005A7DDA">
      <w:pPr>
        <w:pStyle w:val="BodyText"/>
        <w:numPr>
          <w:ilvl w:val="0"/>
          <w:numId w:val="139"/>
        </w:numPr>
        <w:spacing w:line="360" w:lineRule="auto"/>
        <w:ind w:left="714" w:hanging="357"/>
        <w:rPr>
          <w:sz w:val="24"/>
          <w:szCs w:val="24"/>
        </w:rPr>
      </w:pPr>
      <w:bookmarkStart w:id="337" w:name="_Toc440982586"/>
      <w:r w:rsidRPr="003331F2">
        <w:rPr>
          <w:sz w:val="24"/>
          <w:szCs w:val="24"/>
        </w:rPr>
        <w:t>Medical cards or letters of confirmation of NHS number and registration.</w:t>
      </w:r>
      <w:bookmarkEnd w:id="337"/>
    </w:p>
    <w:p w14:paraId="05718301" w14:textId="77777777" w:rsidR="002C0080" w:rsidRPr="003331F2" w:rsidRDefault="002C0080" w:rsidP="005A7DDA">
      <w:pPr>
        <w:pStyle w:val="BodyText"/>
        <w:numPr>
          <w:ilvl w:val="0"/>
          <w:numId w:val="139"/>
        </w:numPr>
        <w:spacing w:line="360" w:lineRule="auto"/>
        <w:ind w:left="714" w:hanging="357"/>
        <w:rPr>
          <w:sz w:val="24"/>
          <w:szCs w:val="24"/>
        </w:rPr>
      </w:pPr>
      <w:bookmarkStart w:id="338" w:name="_Toc440982587"/>
      <w:r w:rsidRPr="003331F2">
        <w:rPr>
          <w:sz w:val="24"/>
          <w:szCs w:val="24"/>
        </w:rPr>
        <w:t xml:space="preserve">Verification by general practices of the vaccination status of all children aged </w:t>
      </w:r>
      <w:r w:rsidRPr="003331F2">
        <w:rPr>
          <w:sz w:val="24"/>
          <w:szCs w:val="24"/>
        </w:rPr>
        <w:lastRenderedPageBreak/>
        <w:t>two years and five years registered with the practice on the first day of each quarter.</w:t>
      </w:r>
      <w:bookmarkEnd w:id="338"/>
      <w:r w:rsidRPr="003331F2">
        <w:rPr>
          <w:sz w:val="24"/>
          <w:szCs w:val="24"/>
        </w:rPr>
        <w:t xml:space="preserve"> </w:t>
      </w:r>
    </w:p>
    <w:p w14:paraId="6EBB7A94" w14:textId="77777777" w:rsidR="002C0080" w:rsidRPr="00F9436A" w:rsidRDefault="002C0080" w:rsidP="00DF3DF4">
      <w:pPr>
        <w:pStyle w:val="Heading4"/>
        <w:rPr>
          <w:b/>
        </w:rPr>
      </w:pPr>
      <w:bookmarkStart w:id="339" w:name="_Toc440982588"/>
      <w:r w:rsidRPr="00F9436A">
        <w:t>In maintaining the NHAIS system specific tasks need to be undertaken to reduce list inflation and help maintain the accuracy of practice lists. The annual programme of checks to be undertaken is shown below together with the standard procedure which should be adopted for each. The flow chart illustrated within Annex 1 and Annex 2 indicates the standard process to be followed.</w:t>
      </w:r>
      <w:bookmarkEnd w:id="339"/>
      <w:r w:rsidRPr="00F9436A">
        <w:t xml:space="preserve"> </w:t>
      </w:r>
    </w:p>
    <w:p w14:paraId="295A68F7" w14:textId="77777777" w:rsidR="002C0080" w:rsidRPr="00F9436A" w:rsidRDefault="002C0080" w:rsidP="002C0080">
      <w:pPr>
        <w:pStyle w:val="Body2"/>
        <w:rPr>
          <w:rFonts w:ascii="Frutiger LT Std 45 Light" w:hAnsi="Frutiger LT Std 45 Light"/>
          <w:sz w:val="24"/>
          <w:szCs w:val="24"/>
        </w:rPr>
      </w:pPr>
    </w:p>
    <w:tbl>
      <w:tblPr>
        <w:tblStyle w:val="TableGrid"/>
        <w:tblW w:w="0" w:type="auto"/>
        <w:tblInd w:w="142" w:type="dxa"/>
        <w:tblBorders>
          <w:top w:val="single" w:sz="4" w:space="0" w:color="1C6CB4"/>
          <w:left w:val="single" w:sz="4" w:space="0" w:color="1C6CB4"/>
          <w:bottom w:val="single" w:sz="4" w:space="0" w:color="1C6CB4"/>
          <w:right w:val="single" w:sz="4" w:space="0" w:color="1C6CB4"/>
          <w:insideH w:val="single" w:sz="4" w:space="0" w:color="1C6CB4"/>
          <w:insideV w:val="single" w:sz="4" w:space="0" w:color="1C6CB4"/>
        </w:tblBorders>
        <w:tblCellMar>
          <w:top w:w="142" w:type="dxa"/>
          <w:left w:w="142" w:type="dxa"/>
          <w:bottom w:w="142" w:type="dxa"/>
          <w:right w:w="142" w:type="dxa"/>
        </w:tblCellMar>
        <w:tblLook w:val="04A0" w:firstRow="1" w:lastRow="0" w:firstColumn="1" w:lastColumn="0" w:noHBand="0" w:noVBand="1"/>
        <w:tblCaption w:val="A table"/>
        <w:tblDescription w:val="A table"/>
      </w:tblPr>
      <w:tblGrid>
        <w:gridCol w:w="2268"/>
        <w:gridCol w:w="1560"/>
        <w:gridCol w:w="5078"/>
      </w:tblGrid>
      <w:tr w:rsidR="002C0080" w:rsidRPr="003E284C" w14:paraId="14D149E3" w14:textId="77777777" w:rsidTr="00DB11FA">
        <w:trPr>
          <w:tblHeader/>
        </w:trPr>
        <w:tc>
          <w:tcPr>
            <w:tcW w:w="2268" w:type="dxa"/>
            <w:tcBorders>
              <w:right w:val="single" w:sz="4" w:space="0" w:color="FFFFFF" w:themeColor="background1"/>
            </w:tcBorders>
            <w:shd w:val="clear" w:color="auto" w:fill="1C6CB4"/>
          </w:tcPr>
          <w:p w14:paraId="0C79A679" w14:textId="77777777" w:rsidR="002C0080" w:rsidRPr="003E284C" w:rsidRDefault="002C0080" w:rsidP="003E284C">
            <w:pPr>
              <w:spacing w:before="120" w:after="120" w:line="276" w:lineRule="auto"/>
              <w:rPr>
                <w:rFonts w:cs="Arial"/>
                <w:b/>
                <w:color w:val="FFFFFF" w:themeColor="background1"/>
                <w:szCs w:val="24"/>
              </w:rPr>
            </w:pPr>
            <w:r w:rsidRPr="003E284C">
              <w:rPr>
                <w:rFonts w:cs="Arial"/>
                <w:b/>
                <w:color w:val="FFFFFF" w:themeColor="background1"/>
                <w:szCs w:val="24"/>
              </w:rPr>
              <w:t>Patient group/cohort</w:t>
            </w:r>
          </w:p>
        </w:tc>
        <w:tc>
          <w:tcPr>
            <w:tcW w:w="1560" w:type="dxa"/>
            <w:tcBorders>
              <w:left w:val="single" w:sz="4" w:space="0" w:color="FFFFFF" w:themeColor="background1"/>
              <w:right w:val="single" w:sz="4" w:space="0" w:color="FFFFFF" w:themeColor="background1"/>
            </w:tcBorders>
            <w:shd w:val="clear" w:color="auto" w:fill="1C6CB4"/>
          </w:tcPr>
          <w:p w14:paraId="31F42229" w14:textId="77777777" w:rsidR="002C0080" w:rsidRPr="003E284C" w:rsidRDefault="002C0080" w:rsidP="003E284C">
            <w:pPr>
              <w:spacing w:before="120" w:after="120" w:line="276" w:lineRule="auto"/>
              <w:rPr>
                <w:rFonts w:cs="Arial"/>
                <w:b/>
                <w:color w:val="FFFFFF" w:themeColor="background1"/>
                <w:szCs w:val="24"/>
              </w:rPr>
            </w:pPr>
            <w:r w:rsidRPr="003E284C">
              <w:rPr>
                <w:rFonts w:cs="Arial"/>
                <w:b/>
                <w:color w:val="FFFFFF" w:themeColor="background1"/>
                <w:szCs w:val="24"/>
              </w:rPr>
              <w:t>Frequency</w:t>
            </w:r>
          </w:p>
        </w:tc>
        <w:tc>
          <w:tcPr>
            <w:tcW w:w="5078" w:type="dxa"/>
            <w:tcBorders>
              <w:left w:val="single" w:sz="4" w:space="0" w:color="FFFFFF" w:themeColor="background1"/>
            </w:tcBorders>
            <w:shd w:val="clear" w:color="auto" w:fill="1C6CB4"/>
          </w:tcPr>
          <w:p w14:paraId="7DCF4D31" w14:textId="77777777" w:rsidR="002C0080" w:rsidRPr="003E284C" w:rsidRDefault="002C0080" w:rsidP="003E284C">
            <w:pPr>
              <w:spacing w:before="120" w:after="120" w:line="276" w:lineRule="auto"/>
              <w:rPr>
                <w:rFonts w:cs="Arial"/>
                <w:b/>
                <w:color w:val="FFFFFF" w:themeColor="background1"/>
                <w:szCs w:val="24"/>
              </w:rPr>
            </w:pPr>
            <w:r w:rsidRPr="003E284C">
              <w:rPr>
                <w:rFonts w:cs="Arial"/>
                <w:b/>
                <w:color w:val="FFFFFF" w:themeColor="background1"/>
                <w:szCs w:val="24"/>
              </w:rPr>
              <w:t>Process</w:t>
            </w:r>
          </w:p>
        </w:tc>
      </w:tr>
      <w:tr w:rsidR="002C0080" w:rsidRPr="003E284C" w14:paraId="4834B96D" w14:textId="77777777" w:rsidTr="00DB11FA">
        <w:tc>
          <w:tcPr>
            <w:tcW w:w="2268" w:type="dxa"/>
          </w:tcPr>
          <w:p w14:paraId="3C0C5152" w14:textId="77777777" w:rsidR="002C0080" w:rsidRPr="003E284C" w:rsidRDefault="002C0080" w:rsidP="003E284C">
            <w:pPr>
              <w:spacing w:before="120" w:after="120" w:line="276" w:lineRule="auto"/>
              <w:rPr>
                <w:rFonts w:cs="Arial"/>
                <w:szCs w:val="24"/>
              </w:rPr>
            </w:pPr>
            <w:r w:rsidRPr="003E284C">
              <w:rPr>
                <w:rFonts w:cs="Arial"/>
                <w:szCs w:val="24"/>
              </w:rPr>
              <w:t xml:space="preserve">Multiple occupancy </w:t>
            </w:r>
          </w:p>
        </w:tc>
        <w:tc>
          <w:tcPr>
            <w:tcW w:w="1560" w:type="dxa"/>
          </w:tcPr>
          <w:p w14:paraId="3F98980C" w14:textId="77777777" w:rsidR="002C0080" w:rsidRPr="003E284C" w:rsidRDefault="002C0080" w:rsidP="003E284C">
            <w:pPr>
              <w:spacing w:before="120" w:after="120" w:line="276" w:lineRule="auto"/>
              <w:rPr>
                <w:rFonts w:cs="Arial"/>
                <w:szCs w:val="24"/>
              </w:rPr>
            </w:pPr>
            <w:r w:rsidRPr="003E284C">
              <w:rPr>
                <w:rFonts w:cs="Arial"/>
                <w:szCs w:val="24"/>
              </w:rPr>
              <w:t>Monthly</w:t>
            </w:r>
          </w:p>
        </w:tc>
        <w:tc>
          <w:tcPr>
            <w:tcW w:w="5078" w:type="dxa"/>
          </w:tcPr>
          <w:p w14:paraId="5C0DD55B" w14:textId="079E9F15" w:rsidR="002C0080" w:rsidRPr="003E284C" w:rsidRDefault="002C0080" w:rsidP="003E284C">
            <w:pPr>
              <w:pStyle w:val="Heading3"/>
              <w:numPr>
                <w:ilvl w:val="0"/>
                <w:numId w:val="0"/>
              </w:numPr>
              <w:spacing w:before="120" w:after="120" w:line="276" w:lineRule="auto"/>
              <w:ind w:left="34"/>
              <w:rPr>
                <w:rFonts w:cs="Arial"/>
                <w:szCs w:val="24"/>
              </w:rPr>
            </w:pPr>
            <w:bookmarkStart w:id="340" w:name="_Toc440982589"/>
            <w:r w:rsidRPr="003E284C">
              <w:rPr>
                <w:rFonts w:cs="Arial"/>
                <w:szCs w:val="24"/>
              </w:rPr>
              <w:t xml:space="preserve">The </w:t>
            </w:r>
            <w:r w:rsidR="00057ADF">
              <w:rPr>
                <w:rFonts w:cs="Arial"/>
                <w:szCs w:val="24"/>
              </w:rPr>
              <w:t xml:space="preserve">National PCSS </w:t>
            </w:r>
            <w:r w:rsidRPr="003E284C">
              <w:rPr>
                <w:rFonts w:cs="Arial"/>
                <w:szCs w:val="24"/>
              </w:rPr>
              <w:t>must:</w:t>
            </w:r>
            <w:bookmarkEnd w:id="340"/>
          </w:p>
          <w:p w14:paraId="19BEEB76" w14:textId="77777777" w:rsidR="002C0080" w:rsidRPr="003E284C" w:rsidRDefault="002C0080" w:rsidP="00836ECF">
            <w:pPr>
              <w:pStyle w:val="Heading3"/>
              <w:numPr>
                <w:ilvl w:val="0"/>
                <w:numId w:val="56"/>
              </w:numPr>
              <w:spacing w:before="120" w:after="120" w:line="276" w:lineRule="auto"/>
              <w:ind w:left="317" w:hanging="283"/>
              <w:jc w:val="both"/>
              <w:rPr>
                <w:rFonts w:cs="Arial"/>
                <w:szCs w:val="24"/>
              </w:rPr>
            </w:pPr>
            <w:bookmarkStart w:id="341" w:name="_Toc440982590"/>
            <w:r w:rsidRPr="003E284C">
              <w:rPr>
                <w:rFonts w:cs="Arial"/>
                <w:szCs w:val="24"/>
              </w:rPr>
              <w:t>compare Office of National Statistics (ONS) and NHAIS population figures at ward/super output area (SOA) level to enable prioritisation of work;</w:t>
            </w:r>
            <w:bookmarkEnd w:id="341"/>
          </w:p>
          <w:p w14:paraId="4C5BDAD1" w14:textId="77777777" w:rsidR="002C0080" w:rsidRPr="003E284C" w:rsidRDefault="002C0080" w:rsidP="00836ECF">
            <w:pPr>
              <w:pStyle w:val="Heading3"/>
              <w:numPr>
                <w:ilvl w:val="0"/>
                <w:numId w:val="56"/>
              </w:numPr>
              <w:spacing w:before="120" w:after="120" w:line="276" w:lineRule="auto"/>
              <w:ind w:left="317" w:hanging="283"/>
              <w:jc w:val="both"/>
              <w:rPr>
                <w:rFonts w:cs="Arial"/>
                <w:szCs w:val="24"/>
              </w:rPr>
            </w:pPr>
            <w:bookmarkStart w:id="342" w:name="_Toc440982591"/>
            <w:r w:rsidRPr="003E284C">
              <w:rPr>
                <w:rFonts w:cs="Arial"/>
                <w:szCs w:val="24"/>
              </w:rPr>
              <w:t>send the list of names to the relevant general practices. Each practice should confirm if patients have been seen in the last 15 months;</w:t>
            </w:r>
            <w:bookmarkEnd w:id="342"/>
          </w:p>
          <w:p w14:paraId="7AE672AB" w14:textId="77777777" w:rsidR="002C0080" w:rsidRPr="003E284C" w:rsidRDefault="002C0080" w:rsidP="00836ECF">
            <w:pPr>
              <w:pStyle w:val="Heading3"/>
              <w:numPr>
                <w:ilvl w:val="0"/>
                <w:numId w:val="56"/>
              </w:numPr>
              <w:spacing w:before="120" w:after="120" w:line="276" w:lineRule="auto"/>
              <w:ind w:left="317" w:hanging="283"/>
              <w:jc w:val="both"/>
              <w:rPr>
                <w:rFonts w:cs="Arial"/>
                <w:szCs w:val="24"/>
              </w:rPr>
            </w:pPr>
            <w:bookmarkStart w:id="343" w:name="_Toc440982592"/>
            <w:r w:rsidRPr="003E284C">
              <w:rPr>
                <w:rFonts w:cs="Arial"/>
                <w:szCs w:val="24"/>
              </w:rPr>
              <w:t>send letters to any patients that are recorded as being registered and have not been seen by their general practice in the past 15 months, taking into account the requirement to ensure that disabled patients receive information in a format that they can understand and they receive support to help them communicate (as mandated in the Accessible Information Standard).</w:t>
            </w:r>
            <w:bookmarkEnd w:id="343"/>
            <w:r w:rsidRPr="003E284C">
              <w:rPr>
                <w:rFonts w:cs="Arial"/>
                <w:szCs w:val="24"/>
              </w:rPr>
              <w:t xml:space="preserve"> </w:t>
            </w:r>
          </w:p>
          <w:p w14:paraId="75C9F5CA" w14:textId="77777777" w:rsidR="002C0080" w:rsidRPr="003E284C" w:rsidRDefault="002C0080" w:rsidP="00836ECF">
            <w:pPr>
              <w:pStyle w:val="Heading3"/>
              <w:numPr>
                <w:ilvl w:val="0"/>
                <w:numId w:val="56"/>
              </w:numPr>
              <w:spacing w:before="120" w:after="120" w:line="276" w:lineRule="auto"/>
              <w:ind w:left="317" w:hanging="283"/>
              <w:jc w:val="both"/>
              <w:rPr>
                <w:rFonts w:cs="Arial"/>
                <w:szCs w:val="24"/>
              </w:rPr>
            </w:pPr>
            <w:bookmarkStart w:id="344" w:name="_Toc440982593"/>
            <w:r w:rsidRPr="003E284C">
              <w:rPr>
                <w:rFonts w:cs="Arial"/>
                <w:szCs w:val="24"/>
              </w:rPr>
              <w:t>send reminder letters if no reply received after four weeks.</w:t>
            </w:r>
            <w:bookmarkEnd w:id="344"/>
          </w:p>
          <w:p w14:paraId="5FE74755" w14:textId="77777777" w:rsidR="002C0080" w:rsidRPr="003E284C" w:rsidRDefault="002C0080" w:rsidP="00836ECF">
            <w:pPr>
              <w:pStyle w:val="Heading3"/>
              <w:numPr>
                <w:ilvl w:val="0"/>
                <w:numId w:val="56"/>
              </w:numPr>
              <w:spacing w:before="120" w:after="120" w:line="276" w:lineRule="auto"/>
              <w:ind w:left="317" w:hanging="283"/>
              <w:jc w:val="both"/>
              <w:rPr>
                <w:rFonts w:cs="Arial"/>
                <w:szCs w:val="24"/>
              </w:rPr>
            </w:pPr>
            <w:bookmarkStart w:id="345" w:name="_Toc440982594"/>
            <w:r w:rsidRPr="003E284C">
              <w:rPr>
                <w:rFonts w:cs="Arial"/>
                <w:szCs w:val="24"/>
              </w:rPr>
              <w:t xml:space="preserve">activate an FP69 for the practices if any letters return undelivered  or where no response is received within two months of </w:t>
            </w:r>
            <w:r w:rsidRPr="003E284C">
              <w:rPr>
                <w:rFonts w:cs="Arial"/>
                <w:szCs w:val="24"/>
              </w:rPr>
              <w:lastRenderedPageBreak/>
              <w:t>the date of the original letter being sent;</w:t>
            </w:r>
            <w:bookmarkEnd w:id="345"/>
          </w:p>
          <w:p w14:paraId="46A878F2" w14:textId="77777777" w:rsidR="002C0080" w:rsidRPr="003E284C" w:rsidRDefault="002C0080" w:rsidP="00836ECF">
            <w:pPr>
              <w:pStyle w:val="Heading3"/>
              <w:numPr>
                <w:ilvl w:val="0"/>
                <w:numId w:val="56"/>
              </w:numPr>
              <w:spacing w:before="120" w:after="120" w:line="276" w:lineRule="auto"/>
              <w:ind w:left="317" w:hanging="283"/>
              <w:jc w:val="both"/>
              <w:rPr>
                <w:rFonts w:cs="Arial"/>
                <w:szCs w:val="24"/>
              </w:rPr>
            </w:pPr>
            <w:bookmarkStart w:id="346" w:name="_Toc440982595"/>
            <w:r w:rsidRPr="003E284C">
              <w:rPr>
                <w:rFonts w:cs="Arial"/>
                <w:szCs w:val="24"/>
              </w:rPr>
              <w:t>remove the patient from the list if the general practice does not confirm patient contact within six months.</w:t>
            </w:r>
            <w:bookmarkEnd w:id="346"/>
            <w:r w:rsidRPr="003E284C">
              <w:rPr>
                <w:rFonts w:cs="Arial"/>
                <w:szCs w:val="24"/>
              </w:rPr>
              <w:t xml:space="preserve"> </w:t>
            </w:r>
          </w:p>
        </w:tc>
      </w:tr>
      <w:tr w:rsidR="002C0080" w:rsidRPr="003E284C" w14:paraId="64E4D8CA" w14:textId="77777777" w:rsidTr="00DB11FA">
        <w:tc>
          <w:tcPr>
            <w:tcW w:w="2268" w:type="dxa"/>
          </w:tcPr>
          <w:p w14:paraId="29BA5873" w14:textId="77777777" w:rsidR="002C0080" w:rsidRPr="003E284C" w:rsidRDefault="002C0080" w:rsidP="003E284C">
            <w:pPr>
              <w:spacing w:before="120" w:after="120" w:line="276" w:lineRule="auto"/>
              <w:rPr>
                <w:rFonts w:cs="Arial"/>
                <w:szCs w:val="24"/>
              </w:rPr>
            </w:pPr>
            <w:r w:rsidRPr="003E284C">
              <w:rPr>
                <w:rFonts w:cs="Arial"/>
                <w:szCs w:val="24"/>
              </w:rPr>
              <w:lastRenderedPageBreak/>
              <w:t xml:space="preserve">University/college student/residential school </w:t>
            </w:r>
          </w:p>
          <w:p w14:paraId="6CE0030D" w14:textId="77777777" w:rsidR="002C0080" w:rsidRPr="003E284C" w:rsidRDefault="002C0080" w:rsidP="003E284C">
            <w:pPr>
              <w:spacing w:before="120" w:after="120" w:line="276" w:lineRule="auto"/>
              <w:rPr>
                <w:rFonts w:cs="Arial"/>
                <w:szCs w:val="24"/>
              </w:rPr>
            </w:pPr>
          </w:p>
        </w:tc>
        <w:tc>
          <w:tcPr>
            <w:tcW w:w="1560" w:type="dxa"/>
          </w:tcPr>
          <w:p w14:paraId="68E1EA4E" w14:textId="77777777" w:rsidR="002C0080" w:rsidRPr="003E284C" w:rsidRDefault="002C0080" w:rsidP="003E284C">
            <w:pPr>
              <w:spacing w:before="120" w:after="120" w:line="276" w:lineRule="auto"/>
              <w:rPr>
                <w:rFonts w:cs="Arial"/>
                <w:szCs w:val="24"/>
              </w:rPr>
            </w:pPr>
            <w:r w:rsidRPr="003E284C">
              <w:rPr>
                <w:rFonts w:cs="Arial"/>
                <w:szCs w:val="24"/>
              </w:rPr>
              <w:t>Annually October to December</w:t>
            </w:r>
          </w:p>
        </w:tc>
        <w:tc>
          <w:tcPr>
            <w:tcW w:w="5078" w:type="dxa"/>
          </w:tcPr>
          <w:p w14:paraId="3DE6916C" w14:textId="6B499AC1" w:rsidR="002C0080" w:rsidRPr="003E284C" w:rsidRDefault="002C0080" w:rsidP="003E284C">
            <w:pPr>
              <w:pStyle w:val="Heading3"/>
              <w:numPr>
                <w:ilvl w:val="0"/>
                <w:numId w:val="0"/>
              </w:numPr>
              <w:spacing w:before="120" w:after="120" w:line="276" w:lineRule="auto"/>
              <w:ind w:left="34"/>
              <w:rPr>
                <w:rFonts w:cs="Arial"/>
                <w:szCs w:val="24"/>
              </w:rPr>
            </w:pPr>
            <w:bookmarkStart w:id="347" w:name="_Toc440982596"/>
            <w:r w:rsidRPr="003E284C">
              <w:rPr>
                <w:rFonts w:cs="Arial"/>
                <w:szCs w:val="24"/>
              </w:rPr>
              <w:t>The</w:t>
            </w:r>
            <w:r w:rsidR="00057ADF" w:rsidRPr="003E284C">
              <w:rPr>
                <w:rFonts w:cs="Arial"/>
                <w:szCs w:val="24"/>
              </w:rPr>
              <w:t xml:space="preserve"> </w:t>
            </w:r>
            <w:r w:rsidR="00057ADF">
              <w:rPr>
                <w:rFonts w:cs="Arial"/>
                <w:szCs w:val="24"/>
              </w:rPr>
              <w:t xml:space="preserve">National PCSS </w:t>
            </w:r>
            <w:r w:rsidRPr="003E284C">
              <w:rPr>
                <w:rFonts w:cs="Arial"/>
                <w:szCs w:val="24"/>
              </w:rPr>
              <w:t>must:</w:t>
            </w:r>
            <w:bookmarkEnd w:id="347"/>
          </w:p>
          <w:p w14:paraId="5165A2F7" w14:textId="77777777" w:rsidR="002C0080" w:rsidRPr="003E284C" w:rsidRDefault="002C0080" w:rsidP="00836ECF">
            <w:pPr>
              <w:pStyle w:val="Heading3"/>
              <w:numPr>
                <w:ilvl w:val="0"/>
                <w:numId w:val="56"/>
              </w:numPr>
              <w:spacing w:before="120" w:after="120" w:line="276" w:lineRule="auto"/>
              <w:ind w:left="317" w:hanging="283"/>
              <w:jc w:val="both"/>
              <w:rPr>
                <w:rFonts w:cs="Arial"/>
                <w:szCs w:val="24"/>
              </w:rPr>
            </w:pPr>
            <w:bookmarkStart w:id="348" w:name="_Toc440982597"/>
            <w:r w:rsidRPr="003E284C">
              <w:rPr>
                <w:rFonts w:cs="Arial"/>
                <w:szCs w:val="24"/>
              </w:rPr>
              <w:t>identify patients recorded on an NHAIS system as being registered with a general practice for four or more years in respect of a college/university address;</w:t>
            </w:r>
            <w:bookmarkEnd w:id="348"/>
          </w:p>
          <w:p w14:paraId="4329C98D" w14:textId="77777777" w:rsidR="002C0080" w:rsidRPr="003E284C" w:rsidRDefault="002C0080" w:rsidP="00836ECF">
            <w:pPr>
              <w:pStyle w:val="Heading3"/>
              <w:numPr>
                <w:ilvl w:val="0"/>
                <w:numId w:val="56"/>
              </w:numPr>
              <w:spacing w:before="120" w:after="120" w:line="276" w:lineRule="auto"/>
              <w:ind w:left="317" w:hanging="283"/>
              <w:jc w:val="both"/>
              <w:rPr>
                <w:rFonts w:cs="Arial"/>
                <w:szCs w:val="24"/>
              </w:rPr>
            </w:pPr>
            <w:bookmarkStart w:id="349" w:name="_Toc440982598"/>
            <w:r w:rsidRPr="003E284C">
              <w:rPr>
                <w:rFonts w:cs="Arial"/>
                <w:szCs w:val="24"/>
              </w:rPr>
              <w:t>send the lists of names to the relevant general practices asking them to confirm the patients are still registered and are still attending the surgery for treatment. Any patients found to be no longer resident should be removed from the practice lists;</w:t>
            </w:r>
            <w:bookmarkEnd w:id="349"/>
          </w:p>
          <w:p w14:paraId="35260EAC" w14:textId="77777777" w:rsidR="002C0080" w:rsidRPr="003E284C" w:rsidRDefault="002C0080" w:rsidP="00836ECF">
            <w:pPr>
              <w:pStyle w:val="Heading3"/>
              <w:numPr>
                <w:ilvl w:val="0"/>
                <w:numId w:val="56"/>
              </w:numPr>
              <w:spacing w:before="120" w:after="120" w:line="276" w:lineRule="auto"/>
              <w:ind w:left="317" w:hanging="283"/>
              <w:jc w:val="both"/>
              <w:rPr>
                <w:rFonts w:cs="Arial"/>
                <w:szCs w:val="24"/>
              </w:rPr>
            </w:pPr>
            <w:bookmarkStart w:id="350" w:name="_Toc440982599"/>
            <w:r w:rsidRPr="003E284C">
              <w:rPr>
                <w:rFonts w:cs="Arial"/>
                <w:szCs w:val="24"/>
              </w:rPr>
              <w:t>send letters to patients asking them to confirm their address where practices are unable to confirm registration, taking into account the requirement to ensure that disabled patients receive information in a format that they can understand and they receive support to help them communicate (as mandated in the Accessible Information Standard).;</w:t>
            </w:r>
            <w:bookmarkEnd w:id="350"/>
          </w:p>
          <w:p w14:paraId="100DBE45" w14:textId="77777777" w:rsidR="002C0080" w:rsidRPr="003E284C" w:rsidRDefault="002C0080" w:rsidP="00836ECF">
            <w:pPr>
              <w:pStyle w:val="Heading3"/>
              <w:numPr>
                <w:ilvl w:val="0"/>
                <w:numId w:val="56"/>
              </w:numPr>
              <w:spacing w:before="120" w:after="120" w:line="276" w:lineRule="auto"/>
              <w:ind w:left="317" w:hanging="283"/>
              <w:jc w:val="both"/>
              <w:rPr>
                <w:rFonts w:cs="Arial"/>
                <w:szCs w:val="24"/>
              </w:rPr>
            </w:pPr>
            <w:bookmarkStart w:id="351" w:name="_Toc440982600"/>
            <w:r w:rsidRPr="003E284C">
              <w:rPr>
                <w:rFonts w:cs="Arial"/>
                <w:szCs w:val="24"/>
              </w:rPr>
              <w:t>send reminder letters if no reply received after four weeks.</w:t>
            </w:r>
            <w:bookmarkEnd w:id="351"/>
            <w:r w:rsidRPr="003E284C">
              <w:rPr>
                <w:rFonts w:cs="Arial"/>
                <w:szCs w:val="24"/>
              </w:rPr>
              <w:t xml:space="preserve"> </w:t>
            </w:r>
          </w:p>
          <w:p w14:paraId="7A49121D" w14:textId="77777777" w:rsidR="002C0080" w:rsidRPr="003E284C" w:rsidRDefault="002C0080" w:rsidP="00836ECF">
            <w:pPr>
              <w:pStyle w:val="Heading3"/>
              <w:numPr>
                <w:ilvl w:val="0"/>
                <w:numId w:val="56"/>
              </w:numPr>
              <w:spacing w:before="120" w:after="120" w:line="276" w:lineRule="auto"/>
              <w:ind w:left="317" w:hanging="283"/>
              <w:jc w:val="both"/>
              <w:rPr>
                <w:rFonts w:cs="Arial"/>
                <w:szCs w:val="24"/>
              </w:rPr>
            </w:pPr>
            <w:bookmarkStart w:id="352" w:name="_Toc440982601"/>
            <w:r w:rsidRPr="003E284C">
              <w:rPr>
                <w:rFonts w:cs="Arial"/>
                <w:szCs w:val="24"/>
              </w:rPr>
              <w:t>activate an FP69 for the practices if any letters return undelivered  or where no response is received within two months of the date of the original letter being sent;</w:t>
            </w:r>
            <w:bookmarkEnd w:id="352"/>
          </w:p>
          <w:p w14:paraId="6048D373" w14:textId="77777777" w:rsidR="002C0080" w:rsidRPr="003E284C" w:rsidRDefault="002C0080" w:rsidP="00836ECF">
            <w:pPr>
              <w:pStyle w:val="Heading3"/>
              <w:numPr>
                <w:ilvl w:val="0"/>
                <w:numId w:val="56"/>
              </w:numPr>
              <w:spacing w:before="120" w:after="120" w:line="276" w:lineRule="auto"/>
              <w:ind w:left="317" w:hanging="283"/>
              <w:jc w:val="both"/>
              <w:rPr>
                <w:rFonts w:cs="Arial"/>
                <w:szCs w:val="24"/>
              </w:rPr>
            </w:pPr>
            <w:bookmarkStart w:id="353" w:name="_Toc440982602"/>
            <w:r w:rsidRPr="003E284C">
              <w:rPr>
                <w:rFonts w:cs="Arial"/>
                <w:szCs w:val="24"/>
              </w:rPr>
              <w:t>remove patients from the list in any cases where the general practice does not confirm the address within six months.</w:t>
            </w:r>
            <w:bookmarkEnd w:id="353"/>
          </w:p>
        </w:tc>
      </w:tr>
      <w:tr w:rsidR="002C0080" w:rsidRPr="003E284C" w14:paraId="328330FC" w14:textId="77777777" w:rsidTr="00DB11FA">
        <w:tc>
          <w:tcPr>
            <w:tcW w:w="2268" w:type="dxa"/>
          </w:tcPr>
          <w:p w14:paraId="3A5D9A72" w14:textId="77777777" w:rsidR="002C0080" w:rsidRPr="003E284C" w:rsidRDefault="002C0080" w:rsidP="003E284C">
            <w:pPr>
              <w:spacing w:before="120" w:after="120" w:line="276" w:lineRule="auto"/>
              <w:rPr>
                <w:rFonts w:cs="Arial"/>
                <w:szCs w:val="24"/>
              </w:rPr>
            </w:pPr>
            <w:r w:rsidRPr="003E284C">
              <w:rPr>
                <w:rFonts w:cs="Arial"/>
                <w:szCs w:val="24"/>
              </w:rPr>
              <w:lastRenderedPageBreak/>
              <w:t xml:space="preserve">Patients aged 100 and over </w:t>
            </w:r>
          </w:p>
          <w:p w14:paraId="33FAD1D2" w14:textId="77777777" w:rsidR="002C0080" w:rsidRPr="003E284C" w:rsidRDefault="002C0080" w:rsidP="003E284C">
            <w:pPr>
              <w:spacing w:before="120" w:after="120" w:line="276" w:lineRule="auto"/>
              <w:rPr>
                <w:rFonts w:cs="Arial"/>
                <w:szCs w:val="24"/>
              </w:rPr>
            </w:pPr>
          </w:p>
        </w:tc>
        <w:tc>
          <w:tcPr>
            <w:tcW w:w="1560" w:type="dxa"/>
          </w:tcPr>
          <w:p w14:paraId="385026ED" w14:textId="77777777" w:rsidR="002C0080" w:rsidRPr="003E284C" w:rsidRDefault="002C0080" w:rsidP="003E284C">
            <w:pPr>
              <w:spacing w:before="120" w:after="120" w:line="276" w:lineRule="auto"/>
              <w:rPr>
                <w:rFonts w:cs="Arial"/>
                <w:szCs w:val="24"/>
              </w:rPr>
            </w:pPr>
            <w:r w:rsidRPr="003E284C">
              <w:rPr>
                <w:rFonts w:cs="Arial"/>
                <w:szCs w:val="24"/>
              </w:rPr>
              <w:t>Six monthly March and September checks</w:t>
            </w:r>
          </w:p>
        </w:tc>
        <w:tc>
          <w:tcPr>
            <w:tcW w:w="5078" w:type="dxa"/>
          </w:tcPr>
          <w:p w14:paraId="75F2306E" w14:textId="01C2CBD0" w:rsidR="002C0080" w:rsidRPr="003E284C" w:rsidRDefault="002C0080" w:rsidP="003E284C">
            <w:pPr>
              <w:pStyle w:val="Heading3"/>
              <w:numPr>
                <w:ilvl w:val="0"/>
                <w:numId w:val="0"/>
              </w:numPr>
              <w:spacing w:before="120" w:after="120" w:line="276" w:lineRule="auto"/>
              <w:ind w:left="34"/>
              <w:rPr>
                <w:rFonts w:cs="Arial"/>
                <w:szCs w:val="24"/>
              </w:rPr>
            </w:pPr>
            <w:bookmarkStart w:id="354" w:name="_Toc440982603"/>
            <w:r w:rsidRPr="003E284C">
              <w:rPr>
                <w:rFonts w:cs="Arial"/>
                <w:szCs w:val="24"/>
              </w:rPr>
              <w:t>The</w:t>
            </w:r>
            <w:r w:rsidR="00057ADF" w:rsidRPr="003E284C">
              <w:rPr>
                <w:rFonts w:cs="Arial"/>
                <w:szCs w:val="24"/>
              </w:rPr>
              <w:t xml:space="preserve"> </w:t>
            </w:r>
            <w:r w:rsidR="00057ADF">
              <w:rPr>
                <w:rFonts w:cs="Arial"/>
                <w:szCs w:val="24"/>
              </w:rPr>
              <w:t>National PCSS</w:t>
            </w:r>
            <w:r w:rsidRPr="003E284C">
              <w:rPr>
                <w:rFonts w:cs="Arial"/>
                <w:szCs w:val="24"/>
              </w:rPr>
              <w:t xml:space="preserve"> must:</w:t>
            </w:r>
            <w:bookmarkEnd w:id="354"/>
          </w:p>
          <w:p w14:paraId="6738E019" w14:textId="77777777" w:rsidR="002C0080" w:rsidRPr="003E284C" w:rsidRDefault="002C0080" w:rsidP="00836ECF">
            <w:pPr>
              <w:pStyle w:val="Heading3"/>
              <w:numPr>
                <w:ilvl w:val="0"/>
                <w:numId w:val="56"/>
              </w:numPr>
              <w:spacing w:before="120" w:after="120" w:line="276" w:lineRule="auto"/>
              <w:ind w:left="317" w:hanging="283"/>
              <w:jc w:val="both"/>
              <w:rPr>
                <w:rFonts w:cs="Arial"/>
                <w:szCs w:val="24"/>
              </w:rPr>
            </w:pPr>
            <w:bookmarkStart w:id="355" w:name="_Toc440982604"/>
            <w:r w:rsidRPr="003E284C">
              <w:rPr>
                <w:rFonts w:cs="Arial"/>
                <w:szCs w:val="24"/>
              </w:rPr>
              <w:t>check on NHAIS system for any patients aged over 100 years.</w:t>
            </w:r>
            <w:bookmarkEnd w:id="355"/>
          </w:p>
          <w:p w14:paraId="0BFA0DE8" w14:textId="77777777" w:rsidR="002C0080" w:rsidRPr="003E284C" w:rsidRDefault="002C0080" w:rsidP="00836ECF">
            <w:pPr>
              <w:pStyle w:val="Heading3"/>
              <w:numPr>
                <w:ilvl w:val="0"/>
                <w:numId w:val="56"/>
              </w:numPr>
              <w:spacing w:before="120" w:after="120" w:line="276" w:lineRule="auto"/>
              <w:ind w:left="317" w:hanging="283"/>
              <w:jc w:val="both"/>
              <w:rPr>
                <w:rFonts w:cs="Arial"/>
                <w:szCs w:val="24"/>
              </w:rPr>
            </w:pPr>
            <w:bookmarkStart w:id="356" w:name="_Toc440982605"/>
            <w:r w:rsidRPr="003E284C">
              <w:rPr>
                <w:rFonts w:cs="Arial"/>
                <w:szCs w:val="24"/>
              </w:rPr>
              <w:t>contact general practice to confirm patient still registered.</w:t>
            </w:r>
            <w:bookmarkEnd w:id="356"/>
          </w:p>
          <w:p w14:paraId="12F42333" w14:textId="77777777" w:rsidR="002C0080" w:rsidRPr="003E284C" w:rsidRDefault="002C0080" w:rsidP="00836ECF">
            <w:pPr>
              <w:pStyle w:val="Heading3"/>
              <w:numPr>
                <w:ilvl w:val="0"/>
                <w:numId w:val="56"/>
              </w:numPr>
              <w:spacing w:before="120" w:after="120" w:line="276" w:lineRule="auto"/>
              <w:ind w:left="317" w:hanging="283"/>
              <w:jc w:val="both"/>
              <w:rPr>
                <w:rFonts w:cs="Arial"/>
                <w:szCs w:val="24"/>
              </w:rPr>
            </w:pPr>
            <w:bookmarkStart w:id="357" w:name="_Toc440982606"/>
            <w:r w:rsidRPr="003E284C">
              <w:rPr>
                <w:rFonts w:cs="Arial"/>
                <w:szCs w:val="24"/>
              </w:rPr>
              <w:t>remove any patients no longer registered from practice lists.</w:t>
            </w:r>
            <w:bookmarkEnd w:id="357"/>
          </w:p>
          <w:p w14:paraId="3AF70B8F" w14:textId="77777777" w:rsidR="002C0080" w:rsidRPr="003E284C" w:rsidRDefault="002C0080" w:rsidP="00836ECF">
            <w:pPr>
              <w:pStyle w:val="Heading3"/>
              <w:numPr>
                <w:ilvl w:val="0"/>
                <w:numId w:val="56"/>
              </w:numPr>
              <w:spacing w:before="120" w:after="120" w:line="276" w:lineRule="auto"/>
              <w:ind w:left="317" w:hanging="283"/>
              <w:jc w:val="both"/>
              <w:rPr>
                <w:rFonts w:cs="Arial"/>
                <w:szCs w:val="24"/>
              </w:rPr>
            </w:pPr>
            <w:bookmarkStart w:id="358" w:name="_Toc440982607"/>
            <w:r w:rsidRPr="003E284C">
              <w:rPr>
                <w:rFonts w:cs="Arial"/>
                <w:szCs w:val="24"/>
              </w:rPr>
              <w:t>send letters to patients asking them to confirm their registration where practices are unable to confirm registration, taking into account the requirement to ensure that disabled patients receive information in a format that they can understand and they receive support to help them communicate (as mandated in the Accessible Information Standard).</w:t>
            </w:r>
            <w:bookmarkEnd w:id="358"/>
          </w:p>
        </w:tc>
      </w:tr>
      <w:tr w:rsidR="002C0080" w:rsidRPr="003E284C" w14:paraId="6E5AB403" w14:textId="77777777" w:rsidTr="00DB11FA">
        <w:tc>
          <w:tcPr>
            <w:tcW w:w="2268" w:type="dxa"/>
          </w:tcPr>
          <w:p w14:paraId="6DFB0AB0" w14:textId="77777777" w:rsidR="002C0080" w:rsidRPr="003E284C" w:rsidRDefault="002C0080" w:rsidP="003E284C">
            <w:pPr>
              <w:spacing w:before="120" w:after="120" w:line="276" w:lineRule="auto"/>
              <w:rPr>
                <w:rFonts w:cs="Arial"/>
                <w:szCs w:val="24"/>
              </w:rPr>
            </w:pPr>
            <w:r w:rsidRPr="003E284C">
              <w:rPr>
                <w:rFonts w:cs="Arial"/>
                <w:szCs w:val="24"/>
              </w:rPr>
              <w:t xml:space="preserve">Transient checks </w:t>
            </w:r>
          </w:p>
          <w:p w14:paraId="52D5E54B" w14:textId="77777777" w:rsidR="002C0080" w:rsidRPr="003E284C" w:rsidRDefault="002C0080" w:rsidP="003E284C">
            <w:pPr>
              <w:spacing w:before="120" w:after="120" w:line="276" w:lineRule="auto"/>
              <w:rPr>
                <w:rFonts w:cs="Arial"/>
                <w:szCs w:val="24"/>
              </w:rPr>
            </w:pPr>
          </w:p>
        </w:tc>
        <w:tc>
          <w:tcPr>
            <w:tcW w:w="1560" w:type="dxa"/>
          </w:tcPr>
          <w:p w14:paraId="72CA42B0" w14:textId="77777777" w:rsidR="002C0080" w:rsidRPr="003E284C" w:rsidRDefault="002C0080" w:rsidP="003E284C">
            <w:pPr>
              <w:spacing w:before="120" w:after="120" w:line="276" w:lineRule="auto"/>
              <w:rPr>
                <w:rFonts w:cs="Arial"/>
                <w:szCs w:val="24"/>
              </w:rPr>
            </w:pPr>
            <w:r w:rsidRPr="003E284C">
              <w:rPr>
                <w:rFonts w:cs="Arial"/>
                <w:szCs w:val="24"/>
              </w:rPr>
              <w:t>Monthly</w:t>
            </w:r>
          </w:p>
        </w:tc>
        <w:tc>
          <w:tcPr>
            <w:tcW w:w="5078" w:type="dxa"/>
          </w:tcPr>
          <w:p w14:paraId="546D4EF9" w14:textId="29119B0B" w:rsidR="002C0080" w:rsidRPr="003E284C" w:rsidRDefault="002C0080" w:rsidP="003E284C">
            <w:pPr>
              <w:pStyle w:val="Heading3"/>
              <w:numPr>
                <w:ilvl w:val="0"/>
                <w:numId w:val="0"/>
              </w:numPr>
              <w:spacing w:before="120" w:after="120" w:line="276" w:lineRule="auto"/>
              <w:rPr>
                <w:rFonts w:cs="Arial"/>
                <w:szCs w:val="24"/>
              </w:rPr>
            </w:pPr>
            <w:bookmarkStart w:id="359" w:name="_Toc440982608"/>
            <w:r w:rsidRPr="003E284C">
              <w:rPr>
                <w:rFonts w:cs="Arial"/>
                <w:szCs w:val="24"/>
              </w:rPr>
              <w:t>The</w:t>
            </w:r>
            <w:r w:rsidR="00057ADF" w:rsidRPr="003E284C">
              <w:rPr>
                <w:rFonts w:cs="Arial"/>
                <w:szCs w:val="24"/>
              </w:rPr>
              <w:t xml:space="preserve"> </w:t>
            </w:r>
            <w:r w:rsidR="00057ADF">
              <w:rPr>
                <w:rFonts w:cs="Arial"/>
                <w:szCs w:val="24"/>
              </w:rPr>
              <w:t>National PCSS</w:t>
            </w:r>
            <w:r w:rsidRPr="003E284C">
              <w:rPr>
                <w:rFonts w:cs="Arial"/>
                <w:szCs w:val="24"/>
              </w:rPr>
              <w:t xml:space="preserve"> must:</w:t>
            </w:r>
            <w:bookmarkEnd w:id="359"/>
            <w:r w:rsidRPr="003E284C">
              <w:rPr>
                <w:rFonts w:cs="Arial"/>
                <w:szCs w:val="24"/>
              </w:rPr>
              <w:t xml:space="preserve"> </w:t>
            </w:r>
          </w:p>
          <w:p w14:paraId="007B9C2C" w14:textId="77777777" w:rsidR="002C0080" w:rsidRPr="003E284C" w:rsidRDefault="002C0080" w:rsidP="00836ECF">
            <w:pPr>
              <w:pStyle w:val="Heading3"/>
              <w:numPr>
                <w:ilvl w:val="0"/>
                <w:numId w:val="56"/>
              </w:numPr>
              <w:spacing w:before="120" w:after="120" w:line="276" w:lineRule="auto"/>
              <w:ind w:left="317" w:hanging="283"/>
              <w:jc w:val="both"/>
              <w:rPr>
                <w:rFonts w:cs="Arial"/>
                <w:szCs w:val="24"/>
              </w:rPr>
            </w:pPr>
            <w:bookmarkStart w:id="360" w:name="_Toc440982609"/>
            <w:r w:rsidRPr="003E284C">
              <w:rPr>
                <w:rFonts w:cs="Arial"/>
                <w:szCs w:val="24"/>
              </w:rPr>
              <w:t>send a letter to patients 12 months after their date of registration with a general practice, where at the time of registration they were recorded as having recently arrived from abroad, to ask the patient to confirm their current address. This sentence should be in several different languages depending on the reasonable needs of the practice's patient, and should take into account the requirement to ensure that disabled patients receive information in a format that they can understand and they receive support to help them communicate (as mandated in the Accessible Information Standard).;</w:t>
            </w:r>
            <w:bookmarkEnd w:id="360"/>
          </w:p>
          <w:p w14:paraId="2123052D" w14:textId="77777777" w:rsidR="002C0080" w:rsidRPr="003E284C" w:rsidRDefault="002C0080" w:rsidP="00836ECF">
            <w:pPr>
              <w:pStyle w:val="Heading3"/>
              <w:numPr>
                <w:ilvl w:val="0"/>
                <w:numId w:val="56"/>
              </w:numPr>
              <w:spacing w:before="120" w:after="120" w:line="276" w:lineRule="auto"/>
              <w:ind w:left="317" w:hanging="283"/>
              <w:jc w:val="both"/>
              <w:rPr>
                <w:rFonts w:cs="Arial"/>
                <w:szCs w:val="24"/>
              </w:rPr>
            </w:pPr>
            <w:bookmarkStart w:id="361" w:name="_Toc440982610"/>
            <w:r w:rsidRPr="003E284C">
              <w:rPr>
                <w:rFonts w:cs="Arial"/>
                <w:szCs w:val="24"/>
              </w:rPr>
              <w:t>send reminder letters if no reply received after [four] weeks;</w:t>
            </w:r>
            <w:bookmarkEnd w:id="361"/>
            <w:r w:rsidRPr="003E284C">
              <w:rPr>
                <w:rFonts w:cs="Arial"/>
                <w:szCs w:val="24"/>
              </w:rPr>
              <w:t xml:space="preserve"> </w:t>
            </w:r>
          </w:p>
          <w:p w14:paraId="578A43DF" w14:textId="77777777" w:rsidR="002C0080" w:rsidRPr="003E284C" w:rsidRDefault="002C0080" w:rsidP="00836ECF">
            <w:pPr>
              <w:pStyle w:val="Heading3"/>
              <w:numPr>
                <w:ilvl w:val="0"/>
                <w:numId w:val="56"/>
              </w:numPr>
              <w:spacing w:before="120" w:after="120" w:line="276" w:lineRule="auto"/>
              <w:ind w:left="317" w:hanging="283"/>
              <w:jc w:val="both"/>
              <w:rPr>
                <w:rFonts w:cs="Arial"/>
                <w:szCs w:val="24"/>
              </w:rPr>
            </w:pPr>
            <w:bookmarkStart w:id="362" w:name="_Toc440982611"/>
            <w:r w:rsidRPr="003E284C">
              <w:rPr>
                <w:rFonts w:cs="Arial"/>
                <w:szCs w:val="24"/>
              </w:rPr>
              <w:lastRenderedPageBreak/>
              <w:t>if any letters are returned undelivered or where no response is received, remove patients from the list in any cases where the general practice does not confirm the address within six months</w:t>
            </w:r>
            <w:bookmarkEnd w:id="362"/>
            <w:r w:rsidRPr="003E284C">
              <w:rPr>
                <w:rFonts w:cs="Arial"/>
                <w:szCs w:val="24"/>
              </w:rPr>
              <w:t xml:space="preserve"> </w:t>
            </w:r>
          </w:p>
        </w:tc>
      </w:tr>
      <w:tr w:rsidR="002C0080" w:rsidRPr="003E284C" w14:paraId="56F8B9B9" w14:textId="77777777" w:rsidTr="00DB11FA">
        <w:tc>
          <w:tcPr>
            <w:tcW w:w="2268" w:type="dxa"/>
          </w:tcPr>
          <w:p w14:paraId="28B8D220" w14:textId="77777777" w:rsidR="002C0080" w:rsidRPr="003E284C" w:rsidRDefault="002C0080" w:rsidP="003E284C">
            <w:pPr>
              <w:spacing w:before="120" w:after="120" w:line="276" w:lineRule="auto"/>
              <w:rPr>
                <w:rFonts w:cs="Arial"/>
                <w:szCs w:val="24"/>
              </w:rPr>
            </w:pPr>
            <w:r w:rsidRPr="003E284C">
              <w:rPr>
                <w:rFonts w:cs="Arial"/>
                <w:szCs w:val="24"/>
              </w:rPr>
              <w:lastRenderedPageBreak/>
              <w:t xml:space="preserve">Notification of demolished addresses </w:t>
            </w:r>
            <w:r w:rsidRPr="003E284C">
              <w:rPr>
                <w:rStyle w:val="FootnoteReference"/>
                <w:rFonts w:cs="Arial"/>
                <w:szCs w:val="24"/>
              </w:rPr>
              <w:footnoteReference w:id="8"/>
            </w:r>
          </w:p>
          <w:p w14:paraId="5561D2FE" w14:textId="77777777" w:rsidR="002C0080" w:rsidRPr="003E284C" w:rsidRDefault="002C0080" w:rsidP="003E284C">
            <w:pPr>
              <w:spacing w:before="120" w:after="120" w:line="276" w:lineRule="auto"/>
              <w:rPr>
                <w:rFonts w:cs="Arial"/>
                <w:szCs w:val="24"/>
              </w:rPr>
            </w:pPr>
          </w:p>
        </w:tc>
        <w:tc>
          <w:tcPr>
            <w:tcW w:w="1560" w:type="dxa"/>
          </w:tcPr>
          <w:p w14:paraId="24E82B0C" w14:textId="77777777" w:rsidR="002C0080" w:rsidRPr="003E284C" w:rsidRDefault="002C0080" w:rsidP="003E284C">
            <w:pPr>
              <w:spacing w:before="120" w:after="120" w:line="276" w:lineRule="auto"/>
              <w:rPr>
                <w:rFonts w:cs="Arial"/>
                <w:szCs w:val="24"/>
              </w:rPr>
            </w:pPr>
            <w:r w:rsidRPr="003E284C">
              <w:rPr>
                <w:rFonts w:cs="Arial"/>
                <w:szCs w:val="24"/>
              </w:rPr>
              <w:t>Quarterly</w:t>
            </w:r>
          </w:p>
        </w:tc>
        <w:tc>
          <w:tcPr>
            <w:tcW w:w="5078" w:type="dxa"/>
          </w:tcPr>
          <w:p w14:paraId="79C83DDA" w14:textId="77777777" w:rsidR="002C0080" w:rsidRPr="003E284C" w:rsidRDefault="002C0080" w:rsidP="00836ECF">
            <w:pPr>
              <w:pStyle w:val="Heading3"/>
              <w:numPr>
                <w:ilvl w:val="0"/>
                <w:numId w:val="56"/>
              </w:numPr>
              <w:spacing w:before="120" w:after="120" w:line="276" w:lineRule="auto"/>
              <w:ind w:left="317" w:hanging="283"/>
              <w:jc w:val="both"/>
              <w:rPr>
                <w:rFonts w:cs="Arial"/>
                <w:szCs w:val="24"/>
              </w:rPr>
            </w:pPr>
            <w:bookmarkStart w:id="363" w:name="_Toc440982612"/>
            <w:r w:rsidRPr="003E284C">
              <w:rPr>
                <w:rFonts w:cs="Arial"/>
                <w:szCs w:val="24"/>
              </w:rPr>
              <w:t>NHAIS systems receive regular updates to the PAF information to enable the accurate maintenance of patient addresses. Included in the updates are notifications of properties which have been demolished.</w:t>
            </w:r>
            <w:bookmarkEnd w:id="363"/>
            <w:r w:rsidRPr="003E284C">
              <w:rPr>
                <w:rFonts w:cs="Arial"/>
                <w:szCs w:val="24"/>
              </w:rPr>
              <w:t xml:space="preserve"> </w:t>
            </w:r>
          </w:p>
          <w:p w14:paraId="11F9D3E0" w14:textId="77777777" w:rsidR="002C0080" w:rsidRPr="003E284C" w:rsidRDefault="002C0080" w:rsidP="00836ECF">
            <w:pPr>
              <w:pStyle w:val="Heading3"/>
              <w:numPr>
                <w:ilvl w:val="0"/>
                <w:numId w:val="56"/>
              </w:numPr>
              <w:spacing w:before="120" w:after="120" w:line="276" w:lineRule="auto"/>
              <w:ind w:left="317" w:hanging="283"/>
              <w:jc w:val="both"/>
              <w:rPr>
                <w:rFonts w:cs="Arial"/>
                <w:szCs w:val="24"/>
              </w:rPr>
            </w:pPr>
            <w:bookmarkStart w:id="364" w:name="_Toc440982613"/>
            <w:r w:rsidRPr="003E284C">
              <w:rPr>
                <w:rFonts w:cs="Arial"/>
                <w:szCs w:val="24"/>
              </w:rPr>
              <w:t>The Commissioner should ensure that the correct address of patients registered regarding any of these addresses is checked with the registered general practices.</w:t>
            </w:r>
            <w:bookmarkEnd w:id="364"/>
            <w:r w:rsidRPr="003E284C">
              <w:rPr>
                <w:rFonts w:cs="Arial"/>
                <w:szCs w:val="24"/>
              </w:rPr>
              <w:t xml:space="preserve">  </w:t>
            </w:r>
          </w:p>
          <w:p w14:paraId="3841FFA2" w14:textId="77777777" w:rsidR="002C0080" w:rsidRPr="003E284C" w:rsidRDefault="002C0080" w:rsidP="00836ECF">
            <w:pPr>
              <w:pStyle w:val="Heading3"/>
              <w:numPr>
                <w:ilvl w:val="0"/>
                <w:numId w:val="56"/>
              </w:numPr>
              <w:spacing w:before="120" w:after="120" w:line="276" w:lineRule="auto"/>
              <w:ind w:left="317" w:hanging="283"/>
              <w:jc w:val="both"/>
              <w:rPr>
                <w:rFonts w:cs="Arial"/>
                <w:szCs w:val="24"/>
              </w:rPr>
            </w:pPr>
            <w:bookmarkStart w:id="365" w:name="_Toc440982614"/>
            <w:r w:rsidRPr="003E284C">
              <w:rPr>
                <w:rFonts w:cs="Arial"/>
                <w:szCs w:val="24"/>
              </w:rPr>
              <w:t>Practices should then be given six months’ notice to confirm the correct address and where this is not provided the patients should be removed from the practice list.</w:t>
            </w:r>
            <w:bookmarkEnd w:id="365"/>
          </w:p>
        </w:tc>
      </w:tr>
      <w:tr w:rsidR="002C0080" w:rsidRPr="003E284C" w14:paraId="7FEEF3A4" w14:textId="77777777" w:rsidTr="00DB11FA">
        <w:tc>
          <w:tcPr>
            <w:tcW w:w="2268" w:type="dxa"/>
          </w:tcPr>
          <w:p w14:paraId="1EF9E02D" w14:textId="77777777" w:rsidR="002C0080" w:rsidRPr="003E284C" w:rsidRDefault="002C0080" w:rsidP="003E284C">
            <w:pPr>
              <w:spacing w:before="120" w:after="120" w:line="276" w:lineRule="auto"/>
              <w:rPr>
                <w:rFonts w:cs="Arial"/>
                <w:szCs w:val="24"/>
              </w:rPr>
            </w:pPr>
            <w:r w:rsidRPr="003E284C">
              <w:rPr>
                <w:rFonts w:cs="Arial"/>
                <w:szCs w:val="24"/>
              </w:rPr>
              <w:t xml:space="preserve">Patients not seen by general practice in previous five years </w:t>
            </w:r>
          </w:p>
          <w:p w14:paraId="7319DC63" w14:textId="77777777" w:rsidR="002C0080" w:rsidRPr="003E284C" w:rsidRDefault="002C0080" w:rsidP="003E284C">
            <w:pPr>
              <w:spacing w:before="120" w:after="120" w:line="276" w:lineRule="auto"/>
              <w:rPr>
                <w:rFonts w:cs="Arial"/>
                <w:szCs w:val="24"/>
              </w:rPr>
            </w:pPr>
          </w:p>
        </w:tc>
        <w:tc>
          <w:tcPr>
            <w:tcW w:w="1560" w:type="dxa"/>
          </w:tcPr>
          <w:p w14:paraId="4228AB17" w14:textId="77777777" w:rsidR="002C0080" w:rsidRPr="003E284C" w:rsidRDefault="002C0080" w:rsidP="003E284C">
            <w:pPr>
              <w:spacing w:before="120" w:after="120" w:line="276" w:lineRule="auto"/>
              <w:rPr>
                <w:rFonts w:cs="Arial"/>
                <w:b/>
                <w:szCs w:val="24"/>
              </w:rPr>
            </w:pPr>
            <w:r w:rsidRPr="003E284C">
              <w:rPr>
                <w:rFonts w:cs="Arial"/>
                <w:szCs w:val="24"/>
              </w:rPr>
              <w:t>Annually</w:t>
            </w:r>
          </w:p>
        </w:tc>
        <w:tc>
          <w:tcPr>
            <w:tcW w:w="5078" w:type="dxa"/>
          </w:tcPr>
          <w:p w14:paraId="2D386534" w14:textId="2375BC7B" w:rsidR="002C0080" w:rsidRPr="003E284C" w:rsidRDefault="002C0080" w:rsidP="003E284C">
            <w:pPr>
              <w:pStyle w:val="Heading3"/>
              <w:numPr>
                <w:ilvl w:val="0"/>
                <w:numId w:val="0"/>
              </w:numPr>
              <w:spacing w:before="120" w:after="120" w:line="276" w:lineRule="auto"/>
              <w:rPr>
                <w:rFonts w:cs="Arial"/>
                <w:szCs w:val="24"/>
              </w:rPr>
            </w:pPr>
            <w:bookmarkStart w:id="366" w:name="_Toc440982615"/>
            <w:r w:rsidRPr="003E284C">
              <w:rPr>
                <w:rFonts w:cs="Arial"/>
                <w:szCs w:val="24"/>
              </w:rPr>
              <w:t>The</w:t>
            </w:r>
            <w:r w:rsidR="00057ADF" w:rsidRPr="003E284C">
              <w:rPr>
                <w:rFonts w:cs="Arial"/>
                <w:szCs w:val="24"/>
              </w:rPr>
              <w:t xml:space="preserve"> </w:t>
            </w:r>
            <w:r w:rsidR="00057ADF">
              <w:rPr>
                <w:rFonts w:cs="Arial"/>
                <w:szCs w:val="24"/>
              </w:rPr>
              <w:t>National PCSS</w:t>
            </w:r>
            <w:r w:rsidR="00057ADF" w:rsidRPr="003E284C" w:rsidDel="00057ADF">
              <w:rPr>
                <w:rFonts w:cs="Arial"/>
                <w:szCs w:val="24"/>
              </w:rPr>
              <w:t xml:space="preserve"> </w:t>
            </w:r>
            <w:r w:rsidRPr="003E284C">
              <w:rPr>
                <w:rFonts w:cs="Arial"/>
                <w:szCs w:val="24"/>
              </w:rPr>
              <w:t>should:</w:t>
            </w:r>
            <w:bookmarkEnd w:id="366"/>
            <w:r w:rsidRPr="003E284C">
              <w:rPr>
                <w:rFonts w:cs="Arial"/>
                <w:szCs w:val="24"/>
              </w:rPr>
              <w:t xml:space="preserve"> </w:t>
            </w:r>
          </w:p>
          <w:p w14:paraId="678F392E" w14:textId="77777777" w:rsidR="002C0080" w:rsidRPr="003E284C" w:rsidRDefault="002C0080" w:rsidP="00836ECF">
            <w:pPr>
              <w:pStyle w:val="Heading3"/>
              <w:numPr>
                <w:ilvl w:val="0"/>
                <w:numId w:val="56"/>
              </w:numPr>
              <w:tabs>
                <w:tab w:val="num" w:pos="885"/>
              </w:tabs>
              <w:spacing w:before="120" w:after="120" w:line="276" w:lineRule="auto"/>
              <w:ind w:left="317" w:hanging="283"/>
              <w:jc w:val="both"/>
              <w:rPr>
                <w:rFonts w:cs="Arial"/>
                <w:szCs w:val="24"/>
              </w:rPr>
            </w:pPr>
            <w:bookmarkStart w:id="367" w:name="_Toc440982616"/>
            <w:r w:rsidRPr="003E284C">
              <w:rPr>
                <w:rFonts w:cs="Arial"/>
                <w:szCs w:val="24"/>
              </w:rPr>
              <w:t>contact general practices to obtain a list of all those patients that have not had a consultation within the last five years;</w:t>
            </w:r>
            <w:bookmarkEnd w:id="367"/>
          </w:p>
          <w:p w14:paraId="7C9189E0" w14:textId="77777777" w:rsidR="002C0080" w:rsidRPr="003E284C" w:rsidRDefault="002C0080" w:rsidP="00836ECF">
            <w:pPr>
              <w:pStyle w:val="Heading3"/>
              <w:numPr>
                <w:ilvl w:val="0"/>
                <w:numId w:val="56"/>
              </w:numPr>
              <w:spacing w:before="120" w:after="120" w:line="276" w:lineRule="auto"/>
              <w:ind w:left="317" w:hanging="283"/>
              <w:jc w:val="both"/>
              <w:rPr>
                <w:rFonts w:cs="Arial"/>
                <w:szCs w:val="24"/>
              </w:rPr>
            </w:pPr>
            <w:bookmarkStart w:id="368" w:name="_Toc440982617"/>
            <w:r w:rsidRPr="003E284C">
              <w:rPr>
                <w:rFonts w:cs="Arial"/>
                <w:szCs w:val="24"/>
              </w:rPr>
              <w:t xml:space="preserve">send a letter to all those identified patients to confirm address and registration, taking into account the requirement to ensure that disabled patients receive information in a format that they can understand and they receive </w:t>
            </w:r>
            <w:r w:rsidRPr="003E284C">
              <w:rPr>
                <w:rFonts w:cs="Arial"/>
                <w:szCs w:val="24"/>
              </w:rPr>
              <w:lastRenderedPageBreak/>
              <w:t>support to help them communicate (as mandated in the Accessible Information Standard).;</w:t>
            </w:r>
            <w:bookmarkEnd w:id="368"/>
          </w:p>
          <w:p w14:paraId="7663535A" w14:textId="77777777" w:rsidR="002C0080" w:rsidRPr="003E284C" w:rsidRDefault="002C0080" w:rsidP="00836ECF">
            <w:pPr>
              <w:pStyle w:val="Heading3"/>
              <w:numPr>
                <w:ilvl w:val="0"/>
                <w:numId w:val="56"/>
              </w:numPr>
              <w:spacing w:before="120" w:after="120" w:line="276" w:lineRule="auto"/>
              <w:ind w:left="317" w:hanging="283"/>
              <w:jc w:val="both"/>
              <w:rPr>
                <w:rFonts w:cs="Arial"/>
                <w:szCs w:val="24"/>
              </w:rPr>
            </w:pPr>
            <w:bookmarkStart w:id="369" w:name="_Toc440982618"/>
            <w:r w:rsidRPr="003E284C">
              <w:rPr>
                <w:rFonts w:cs="Arial"/>
                <w:szCs w:val="24"/>
              </w:rPr>
              <w:t>send reminder letters if no reply is received after four weeks;</w:t>
            </w:r>
            <w:bookmarkEnd w:id="369"/>
          </w:p>
          <w:p w14:paraId="5B81A2FF" w14:textId="77777777" w:rsidR="002C0080" w:rsidRPr="003E284C" w:rsidRDefault="002C0080" w:rsidP="00836ECF">
            <w:pPr>
              <w:pStyle w:val="Heading3"/>
              <w:numPr>
                <w:ilvl w:val="0"/>
                <w:numId w:val="56"/>
              </w:numPr>
              <w:spacing w:before="120" w:after="120" w:line="276" w:lineRule="auto"/>
              <w:ind w:left="317" w:hanging="283"/>
              <w:jc w:val="both"/>
              <w:rPr>
                <w:rFonts w:cs="Arial"/>
                <w:szCs w:val="24"/>
              </w:rPr>
            </w:pPr>
            <w:bookmarkStart w:id="370" w:name="_Toc440982619"/>
            <w:r w:rsidRPr="003E284C">
              <w:rPr>
                <w:rFonts w:cs="Arial"/>
                <w:szCs w:val="24"/>
              </w:rPr>
              <w:t>activate an FP69 for the practices if any letters return undelivered  or where no response is received within two months of the date of the original letter being sent;</w:t>
            </w:r>
            <w:bookmarkEnd w:id="370"/>
          </w:p>
          <w:p w14:paraId="175701DB" w14:textId="77777777" w:rsidR="002C0080" w:rsidRPr="003E284C" w:rsidRDefault="002C0080" w:rsidP="00836ECF">
            <w:pPr>
              <w:pStyle w:val="Heading3"/>
              <w:numPr>
                <w:ilvl w:val="0"/>
                <w:numId w:val="56"/>
              </w:numPr>
              <w:spacing w:before="120" w:after="120" w:line="276" w:lineRule="auto"/>
              <w:ind w:left="317" w:hanging="283"/>
              <w:jc w:val="both"/>
              <w:rPr>
                <w:rFonts w:cs="Arial"/>
                <w:szCs w:val="24"/>
              </w:rPr>
            </w:pPr>
            <w:bookmarkStart w:id="371" w:name="_Toc440982620"/>
            <w:r w:rsidRPr="003E284C">
              <w:rPr>
                <w:rFonts w:cs="Arial"/>
                <w:szCs w:val="24"/>
              </w:rPr>
              <w:t>remove patients from the list in any cases where the general practice does not confirm the address within six months.</w:t>
            </w:r>
            <w:bookmarkEnd w:id="371"/>
          </w:p>
        </w:tc>
      </w:tr>
    </w:tbl>
    <w:p w14:paraId="0D05C68E" w14:textId="77777777" w:rsidR="002C0080" w:rsidRDefault="002C0080" w:rsidP="003331F2">
      <w:pPr>
        <w:pStyle w:val="BodyText"/>
      </w:pPr>
      <w:bookmarkStart w:id="372" w:name="_Toc401056091"/>
    </w:p>
    <w:p w14:paraId="319EDF52" w14:textId="77777777" w:rsidR="002C0080" w:rsidRPr="00DF3DF4" w:rsidRDefault="002C0080" w:rsidP="00DF3DF4">
      <w:pPr>
        <w:pStyle w:val="Heading3"/>
        <w:rPr>
          <w:b/>
        </w:rPr>
      </w:pPr>
      <w:bookmarkStart w:id="373" w:name="_Toc440982621"/>
      <w:r w:rsidRPr="00DF3DF4">
        <w:rPr>
          <w:b/>
        </w:rPr>
        <w:t>Additional Measures</w:t>
      </w:r>
      <w:bookmarkEnd w:id="372"/>
      <w:bookmarkEnd w:id="373"/>
    </w:p>
    <w:p w14:paraId="36EA2D4C" w14:textId="77777777" w:rsidR="002C0080" w:rsidRPr="00F9436A" w:rsidRDefault="002C0080" w:rsidP="00DF3DF4">
      <w:pPr>
        <w:pStyle w:val="Heading4"/>
      </w:pPr>
      <w:bookmarkStart w:id="374" w:name="_Toc440982622"/>
      <w:r w:rsidRPr="00F9436A">
        <w:t>Despite initiating a rolling programme of list maintenance measures, figures comparing ONS mid-year populations with NHAIS registered population may still show significant inflation in the NHAIS figures. These inflation rates may also differ significantly for local areas.</w:t>
      </w:r>
      <w:bookmarkEnd w:id="374"/>
    </w:p>
    <w:p w14:paraId="50D894A6" w14:textId="77777777" w:rsidR="002C0080" w:rsidRPr="00F9436A" w:rsidRDefault="002C0080" w:rsidP="00DF3DF4">
      <w:pPr>
        <w:pStyle w:val="Heading4"/>
      </w:pPr>
      <w:bookmarkStart w:id="375" w:name="_Toc440982623"/>
      <w:r w:rsidRPr="00F9436A">
        <w:t xml:space="preserve">If the </w:t>
      </w:r>
      <w:r>
        <w:t>Commissioner</w:t>
      </w:r>
      <w:r w:rsidRPr="00F9436A">
        <w:t xml:space="preserve"> has a particularly large variance it may wish to undertake a targeted campaign to reduce this in one large exercise. If so, the </w:t>
      </w:r>
      <w:r>
        <w:t>Commissioner</w:t>
      </w:r>
      <w:r w:rsidRPr="00F9436A">
        <w:t xml:space="preserve"> is strongly urged to engage their general practices, LMC and CCGs.</w:t>
      </w:r>
      <w:bookmarkEnd w:id="375"/>
    </w:p>
    <w:p w14:paraId="1FCB8E8E" w14:textId="77777777" w:rsidR="002C0080" w:rsidRPr="00F9436A" w:rsidRDefault="002C0080" w:rsidP="00DF3DF4">
      <w:pPr>
        <w:pStyle w:val="Heading4"/>
      </w:pPr>
      <w:bookmarkStart w:id="376" w:name="_Toc440982624"/>
      <w:r w:rsidRPr="00F9436A">
        <w:t>Suggested work that could be undertaken is:</w:t>
      </w:r>
      <w:bookmarkEnd w:id="376"/>
    </w:p>
    <w:p w14:paraId="5F28A6CA" w14:textId="77777777" w:rsidR="002C0080" w:rsidRPr="00DF3DF4" w:rsidRDefault="002C0080" w:rsidP="005A7DDA">
      <w:pPr>
        <w:pStyle w:val="Heading3"/>
        <w:numPr>
          <w:ilvl w:val="0"/>
          <w:numId w:val="72"/>
        </w:numPr>
        <w:tabs>
          <w:tab w:val="num" w:pos="2393"/>
        </w:tabs>
        <w:spacing w:before="200" w:after="60"/>
        <w:ind w:left="714" w:hanging="357"/>
        <w:jc w:val="both"/>
        <w:rPr>
          <w:rFonts w:cs="Arial"/>
          <w:szCs w:val="24"/>
        </w:rPr>
      </w:pPr>
      <w:bookmarkStart w:id="377" w:name="_Toc440982625"/>
      <w:r w:rsidRPr="00DF3DF4">
        <w:rPr>
          <w:rFonts w:cs="Arial"/>
          <w:szCs w:val="24"/>
        </w:rPr>
        <w:t>Comparison of ONS mid-year stats with NHAIS figures at middle SOA level. This will identify localities within each area where inflation rates are highest and will therefore highlight specific areas to be targeted.</w:t>
      </w:r>
      <w:bookmarkEnd w:id="377"/>
    </w:p>
    <w:p w14:paraId="35937EFB" w14:textId="77777777" w:rsidR="002C0080" w:rsidRPr="00DF3DF4" w:rsidRDefault="002C0080" w:rsidP="005A7DDA">
      <w:pPr>
        <w:pStyle w:val="Heading3"/>
        <w:numPr>
          <w:ilvl w:val="0"/>
          <w:numId w:val="72"/>
        </w:numPr>
        <w:tabs>
          <w:tab w:val="num" w:pos="2393"/>
        </w:tabs>
        <w:spacing w:before="200" w:after="60"/>
        <w:ind w:left="714" w:hanging="357"/>
        <w:jc w:val="both"/>
        <w:rPr>
          <w:rFonts w:cs="Arial"/>
          <w:szCs w:val="24"/>
        </w:rPr>
      </w:pPr>
      <w:bookmarkStart w:id="378" w:name="_Toc440982626"/>
      <w:r w:rsidRPr="00DF3DF4">
        <w:rPr>
          <w:rFonts w:cs="Arial"/>
          <w:szCs w:val="24"/>
        </w:rPr>
        <w:t xml:space="preserve">Send mail shot to confirm residency to male patients aged 18-44 living in areas where inflation rates are highest. ONS/ NHAIS comparison at area level has previously shown that the highest inflation rates are related to male </w:t>
      </w:r>
      <w:r w:rsidRPr="00DF3DF4">
        <w:rPr>
          <w:rFonts w:cs="Arial"/>
          <w:szCs w:val="24"/>
        </w:rPr>
        <w:lastRenderedPageBreak/>
        <w:t>patients in this age group, possibly because there are no routine mailshots sent to this cohort.</w:t>
      </w:r>
      <w:bookmarkEnd w:id="378"/>
    </w:p>
    <w:p w14:paraId="767B36BA" w14:textId="77777777" w:rsidR="002C0080" w:rsidRPr="00DF3DF4" w:rsidRDefault="002C0080" w:rsidP="005A7DDA">
      <w:pPr>
        <w:pStyle w:val="Heading3"/>
        <w:numPr>
          <w:ilvl w:val="0"/>
          <w:numId w:val="72"/>
        </w:numPr>
        <w:tabs>
          <w:tab w:val="num" w:pos="2393"/>
        </w:tabs>
        <w:spacing w:before="200" w:after="60"/>
        <w:ind w:left="714" w:hanging="357"/>
        <w:jc w:val="both"/>
        <w:rPr>
          <w:rFonts w:cs="Arial"/>
          <w:szCs w:val="24"/>
        </w:rPr>
      </w:pPr>
      <w:bookmarkStart w:id="379" w:name="_Toc440982627"/>
      <w:r w:rsidRPr="00DF3DF4">
        <w:rPr>
          <w:rFonts w:cs="Arial"/>
          <w:szCs w:val="24"/>
        </w:rPr>
        <w:t>Undertake further immigrant checks three years after date of first registration for persons who immediately before their current registration are recorded as having arrived from abroad.</w:t>
      </w:r>
      <w:bookmarkEnd w:id="379"/>
    </w:p>
    <w:p w14:paraId="6FEF6BB6" w14:textId="77777777" w:rsidR="002C0080" w:rsidRPr="00DF3DF4" w:rsidRDefault="002C0080" w:rsidP="005A7DDA">
      <w:pPr>
        <w:pStyle w:val="Heading3"/>
        <w:numPr>
          <w:ilvl w:val="0"/>
          <w:numId w:val="72"/>
        </w:numPr>
        <w:tabs>
          <w:tab w:val="num" w:pos="2393"/>
        </w:tabs>
        <w:spacing w:before="200" w:after="60"/>
        <w:ind w:left="714" w:hanging="357"/>
        <w:jc w:val="both"/>
        <w:rPr>
          <w:rFonts w:cs="Arial"/>
          <w:szCs w:val="24"/>
        </w:rPr>
      </w:pPr>
      <w:bookmarkStart w:id="380" w:name="_Toc440982628"/>
      <w:r w:rsidRPr="00DF3DF4">
        <w:rPr>
          <w:rFonts w:cs="Arial"/>
          <w:szCs w:val="24"/>
        </w:rPr>
        <w:t>Issue guidance and clarification for general practices on the FP69 procedure. Greater awareness of the processes for removing patients within general practices could reduce the scale of list inflation. If guidance has not previously been given to practices on the FP69 process then this should be undertaken. Once in place this could become part of a standard rolling programme.</w:t>
      </w:r>
      <w:bookmarkEnd w:id="380"/>
    </w:p>
    <w:p w14:paraId="4F0425EB" w14:textId="77777777" w:rsidR="002C0080" w:rsidRPr="00F9436A" w:rsidRDefault="002C0080" w:rsidP="005A7DDA">
      <w:pPr>
        <w:pStyle w:val="Heading3"/>
        <w:numPr>
          <w:ilvl w:val="0"/>
          <w:numId w:val="72"/>
        </w:numPr>
        <w:tabs>
          <w:tab w:val="num" w:pos="2393"/>
        </w:tabs>
        <w:spacing w:before="200" w:after="60"/>
        <w:ind w:left="714" w:hanging="357"/>
        <w:jc w:val="both"/>
        <w:rPr>
          <w:rFonts w:ascii="Frutiger LT Std 45 Light" w:hAnsi="Frutiger LT Std 45 Light"/>
          <w:szCs w:val="24"/>
        </w:rPr>
      </w:pPr>
      <w:bookmarkStart w:id="381" w:name="_Toc440982629"/>
      <w:r w:rsidRPr="00DF3DF4">
        <w:rPr>
          <w:rFonts w:cs="Arial"/>
          <w:szCs w:val="24"/>
        </w:rPr>
        <w:t>Test the effectiveness of undertaking checks for duplicate registrations between NHAIS systems. A check between several systems will confirm whether this type of check would identify</w:t>
      </w:r>
      <w:r w:rsidRPr="00F9436A">
        <w:rPr>
          <w:rFonts w:ascii="Frutiger LT Std 45 Light" w:hAnsi="Frutiger LT Std 45 Light"/>
          <w:szCs w:val="24"/>
        </w:rPr>
        <w:t xml:space="preserve"> duplicate registrations and if so could be developed as a standard procedure to be carried out at agreed intervals.</w:t>
      </w:r>
      <w:bookmarkEnd w:id="381"/>
    </w:p>
    <w:p w14:paraId="6D2F8B80" w14:textId="77777777" w:rsidR="002C0080" w:rsidRPr="00F9436A" w:rsidRDefault="002C0080" w:rsidP="00DF3DF4">
      <w:pPr>
        <w:pStyle w:val="Heading4"/>
      </w:pPr>
      <w:bookmarkStart w:id="382" w:name="_Toc440982630"/>
      <w:r w:rsidRPr="00F9436A">
        <w:t>It is essential that work is carried out to reduce list inflation and verify practice lists but it is also important to recognise the resource implications of undertaking this work. It is equally essential that all work carried out is recorded and the outcomes monitored to evaluate the success of each initiative.</w:t>
      </w:r>
      <w:bookmarkEnd w:id="382"/>
    </w:p>
    <w:p w14:paraId="54079340" w14:textId="77777777" w:rsidR="002C0080" w:rsidRPr="00F9436A" w:rsidRDefault="002C0080" w:rsidP="00DF3DF4">
      <w:pPr>
        <w:pStyle w:val="Heading4"/>
      </w:pPr>
      <w:bookmarkStart w:id="383" w:name="_Toc440982631"/>
      <w:r w:rsidRPr="00F9436A">
        <w:t xml:space="preserve">The </w:t>
      </w:r>
      <w:r>
        <w:t>Commissioner</w:t>
      </w:r>
      <w:r w:rsidRPr="00F9436A">
        <w:t xml:space="preserve"> should ensure that the PCSS provider submits a monthly return to the </w:t>
      </w:r>
      <w:r>
        <w:t>Commissioner</w:t>
      </w:r>
      <w:r w:rsidRPr="00F9436A">
        <w:t xml:space="preserve"> detailing the work undertaken and the outcome</w:t>
      </w:r>
      <w:r w:rsidRPr="00F9436A">
        <w:rPr>
          <w:b/>
        </w:rPr>
        <w:t xml:space="preserve">. </w:t>
      </w:r>
      <w:r w:rsidRPr="00F9436A">
        <w:t>A pro-forma is attached in Annex 5 to be used to submit the monthly returns.  To streamline this process, standard reports available from the NHAIS system could be used to populate this pro-forma.</w:t>
      </w:r>
      <w:bookmarkEnd w:id="383"/>
    </w:p>
    <w:p w14:paraId="41A8F1DD" w14:textId="77777777" w:rsidR="002C0080" w:rsidRPr="00F9436A" w:rsidRDefault="002C0080" w:rsidP="00DF3DF4">
      <w:pPr>
        <w:pStyle w:val="Heading4"/>
      </w:pPr>
      <w:bookmarkStart w:id="384" w:name="_Toc440982632"/>
      <w:r w:rsidRPr="00F9436A">
        <w:t>Given the requirement to allow a practice six months to confirm the address before patients can be removed from the practice list, it is recognised that any list maintenance exercise could take six to nine months before benefits are realised. This needs to be considered when assessing the effectiveness of interventions.</w:t>
      </w:r>
      <w:bookmarkEnd w:id="384"/>
    </w:p>
    <w:p w14:paraId="7435FE7A" w14:textId="77777777" w:rsidR="003D1FAF" w:rsidRPr="00CE0885" w:rsidRDefault="003D1FAF" w:rsidP="003D1FAF">
      <w:pPr>
        <w:spacing w:line="360" w:lineRule="auto"/>
        <w:rPr>
          <w:rFonts w:cs="Arial"/>
          <w:bCs w:val="0"/>
          <w:sz w:val="32"/>
          <w:szCs w:val="32"/>
          <w:lang w:eastAsia="en-GB"/>
        </w:rPr>
      </w:pPr>
      <w:r w:rsidRPr="00CE0885">
        <w:rPr>
          <w:rFonts w:cs="Arial"/>
          <w:bCs w:val="0"/>
          <w:sz w:val="32"/>
          <w:szCs w:val="32"/>
          <w:lang w:eastAsia="en-GB"/>
        </w:rPr>
        <w:br w:type="page"/>
      </w:r>
    </w:p>
    <w:p w14:paraId="567091D2" w14:textId="3730BDAD" w:rsidR="003D1FAF" w:rsidRPr="00CE0885" w:rsidRDefault="00AC1DBA" w:rsidP="00DF3DF4">
      <w:pPr>
        <w:pStyle w:val="Heading2"/>
        <w:rPr>
          <w:lang w:eastAsia="en-GB"/>
        </w:rPr>
      </w:pPr>
      <w:bookmarkStart w:id="385" w:name="_Toc498495352"/>
      <w:r>
        <w:rPr>
          <w:lang w:eastAsia="en-GB"/>
        </w:rPr>
        <w:t xml:space="preserve">Part B2: Targeted List </w:t>
      </w:r>
      <w:r w:rsidR="003D1FAF" w:rsidRPr="00CE0885">
        <w:rPr>
          <w:lang w:eastAsia="en-GB"/>
        </w:rPr>
        <w:t>Maintenance for Primary Medical Services</w:t>
      </w:r>
      <w:bookmarkEnd w:id="385"/>
    </w:p>
    <w:p w14:paraId="3796F6BD" w14:textId="77777777" w:rsidR="003D1FAF" w:rsidRPr="00DF3DF4" w:rsidRDefault="003D1FAF" w:rsidP="00DF3DF4">
      <w:pPr>
        <w:pStyle w:val="Heading3"/>
        <w:rPr>
          <w:b/>
          <w:lang w:eastAsia="en-GB"/>
        </w:rPr>
      </w:pPr>
      <w:r w:rsidRPr="00DF3DF4">
        <w:rPr>
          <w:b/>
          <w:lang w:eastAsia="en-GB"/>
        </w:rPr>
        <w:t>Background</w:t>
      </w:r>
    </w:p>
    <w:p w14:paraId="35847525" w14:textId="61A007AC" w:rsidR="003D1FAF" w:rsidRPr="00CE0885" w:rsidRDefault="003D1FAF" w:rsidP="009306F8">
      <w:pPr>
        <w:pStyle w:val="Heading4"/>
        <w:rPr>
          <w:rFonts w:cs="Arial"/>
          <w:bCs/>
          <w:szCs w:val="24"/>
        </w:rPr>
      </w:pPr>
      <w:r w:rsidRPr="00CE0885">
        <w:rPr>
          <w:rFonts w:cs="Arial"/>
          <w:bCs/>
          <w:szCs w:val="24"/>
        </w:rPr>
        <w:t>The Office for National Statistics regularly publishes mid-year population estimates down to the level of CCG (</w:t>
      </w:r>
      <w:hyperlink r:id="rId55" w:history="1">
        <w:r w:rsidRPr="002B15FF">
          <w:rPr>
            <w:rFonts w:cs="Arial"/>
            <w:bCs/>
            <w:color w:val="005EB8" w:themeColor="text2"/>
            <w:szCs w:val="24"/>
            <w:u w:val="single"/>
          </w:rPr>
          <w:t>ONS CCG Mid-Year Population Estimates</w:t>
        </w:r>
      </w:hyperlink>
      <w:r w:rsidRPr="00CE0885">
        <w:rPr>
          <w:rFonts w:cs="Arial"/>
          <w:bCs/>
          <w:szCs w:val="24"/>
        </w:rPr>
        <w:t>) Middle Super Output Area (</w:t>
      </w:r>
      <w:hyperlink r:id="rId56" w:history="1">
        <w:r w:rsidRPr="002306F3">
          <w:rPr>
            <w:color w:val="005EB8" w:themeColor="text2"/>
            <w:u w:val="single"/>
          </w:rPr>
          <w:t>ONS MSOA Populations</w:t>
        </w:r>
      </w:hyperlink>
      <w:r w:rsidRPr="00CE0885">
        <w:rPr>
          <w:rFonts w:cs="Arial"/>
          <w:bCs/>
          <w:szCs w:val="24"/>
        </w:rPr>
        <w:t xml:space="preserve">) and Lower Super Output Area </w:t>
      </w:r>
      <w:hyperlink r:id="rId57" w:history="1">
        <w:r w:rsidRPr="00CE0885">
          <w:rPr>
            <w:rFonts w:cs="Arial"/>
            <w:bCs/>
            <w:szCs w:val="24"/>
            <w:u w:val="single"/>
          </w:rPr>
          <w:t>(</w:t>
        </w:r>
        <w:r w:rsidRPr="002306F3">
          <w:rPr>
            <w:color w:val="005EB8" w:themeColor="text2"/>
            <w:u w:val="single"/>
          </w:rPr>
          <w:t>ONS LSOA Populations</w:t>
        </w:r>
        <w:r w:rsidRPr="00CE0885">
          <w:rPr>
            <w:rFonts w:cs="Arial"/>
            <w:bCs/>
            <w:szCs w:val="24"/>
            <w:u w:val="single"/>
          </w:rPr>
          <w:t>)</w:t>
        </w:r>
      </w:hyperlink>
      <w:r w:rsidRPr="00CE0885">
        <w:rPr>
          <w:rFonts w:cs="Arial"/>
          <w:bCs/>
          <w:szCs w:val="24"/>
        </w:rPr>
        <w:t>.  Using these population estimates alongside the numbers of patients registered at a GP practice (</w:t>
      </w:r>
      <w:hyperlink r:id="rId58" w:history="1">
        <w:r w:rsidRPr="002306F3">
          <w:rPr>
            <w:color w:val="005EB8" w:themeColor="text2"/>
            <w:u w:val="single"/>
          </w:rPr>
          <w:t>NHS Digital published GP Registered Populations</w:t>
        </w:r>
      </w:hyperlink>
      <w:r w:rsidRPr="00CE0885">
        <w:rPr>
          <w:rFonts w:cs="Arial"/>
          <w:bCs/>
          <w:szCs w:val="24"/>
        </w:rPr>
        <w:t>) and other sources of local intelligence such as patient postcode list, can assist in determining at a local level, whether the difference could warrant further investigation.</w:t>
      </w:r>
    </w:p>
    <w:p w14:paraId="358EE708" w14:textId="77777777" w:rsidR="003D1FAF" w:rsidRPr="00DF3DF4" w:rsidRDefault="003D1FAF" w:rsidP="00DF3DF4">
      <w:pPr>
        <w:pStyle w:val="Heading3"/>
        <w:rPr>
          <w:b/>
          <w:lang w:eastAsia="en-GB"/>
        </w:rPr>
      </w:pPr>
      <w:r w:rsidRPr="00DF3DF4">
        <w:rPr>
          <w:b/>
          <w:lang w:eastAsia="en-GB"/>
        </w:rPr>
        <w:t xml:space="preserve">Scope </w:t>
      </w:r>
    </w:p>
    <w:p w14:paraId="4641E889" w14:textId="77777777" w:rsidR="003D1FAF" w:rsidRPr="00CE0885" w:rsidRDefault="003D1FAF" w:rsidP="009306F8">
      <w:pPr>
        <w:pStyle w:val="Heading4"/>
      </w:pPr>
      <w:r w:rsidRPr="00CE0885">
        <w:t>This short Part B2 sets out some considerations and investigations that could be undertaken to determine whether a targeted list validation exercise may be beneficial within the commissioning area and what that could involve.</w:t>
      </w:r>
    </w:p>
    <w:p w14:paraId="6982A64F" w14:textId="77777777" w:rsidR="003D1FAF" w:rsidRPr="00CE0885" w:rsidRDefault="003D1FAF" w:rsidP="009306F8">
      <w:pPr>
        <w:pStyle w:val="Heading4"/>
      </w:pPr>
      <w:r w:rsidRPr="00CE0885">
        <w:t>A key line of enquiry in national counter fraud exercises, often relates to list maintenance and so GP practices may welcome support in proactively reviewing their registered list.</w:t>
      </w:r>
    </w:p>
    <w:p w14:paraId="54331D08" w14:textId="77777777" w:rsidR="003D1FAF" w:rsidRPr="00CE0885" w:rsidRDefault="003D1FAF" w:rsidP="003331F2">
      <w:pPr>
        <w:pStyle w:val="BodyText"/>
      </w:pPr>
    </w:p>
    <w:p w14:paraId="47EDB12B" w14:textId="77777777" w:rsidR="003D1FAF" w:rsidRPr="00DF3DF4" w:rsidRDefault="003D1FAF" w:rsidP="00DF3DF4">
      <w:pPr>
        <w:pStyle w:val="Heading3"/>
        <w:rPr>
          <w:b/>
          <w:lang w:eastAsia="en-GB"/>
        </w:rPr>
      </w:pPr>
      <w:r w:rsidRPr="00DF3DF4">
        <w:rPr>
          <w:b/>
          <w:lang w:eastAsia="en-GB"/>
        </w:rPr>
        <w:t>Available Data Sources</w:t>
      </w:r>
    </w:p>
    <w:p w14:paraId="04B2A2BB" w14:textId="77777777" w:rsidR="003D1FAF" w:rsidRPr="00CE0885" w:rsidRDefault="003D1FAF" w:rsidP="009306F8">
      <w:pPr>
        <w:pStyle w:val="Heading4"/>
      </w:pPr>
      <w:r w:rsidRPr="00CE0885">
        <w:t>Of the data sources listed below, not all will be available to all organisations (e.g. patient level data cannot be held by NHS England)</w:t>
      </w:r>
    </w:p>
    <w:p w14:paraId="541986D2" w14:textId="77777777" w:rsidR="003D1FAF" w:rsidRPr="00CE0885" w:rsidRDefault="003D1FAF" w:rsidP="009306F8">
      <w:pPr>
        <w:pStyle w:val="Heading4"/>
      </w:pPr>
      <w:r w:rsidRPr="00CE0885">
        <w:t>Data Providers:</w:t>
      </w:r>
    </w:p>
    <w:p w14:paraId="72560A8A" w14:textId="77777777" w:rsidR="003D1FAF" w:rsidRPr="009306F8" w:rsidRDefault="003D1FAF" w:rsidP="00BF1FEC">
      <w:pPr>
        <w:pStyle w:val="Heading5"/>
      </w:pPr>
      <w:r w:rsidRPr="009306F8">
        <w:t>NHS Digital</w:t>
      </w:r>
    </w:p>
    <w:p w14:paraId="69DF51AE" w14:textId="77777777" w:rsidR="003D1FAF" w:rsidRPr="00CE0885" w:rsidRDefault="003D1FAF" w:rsidP="005A7DDA">
      <w:pPr>
        <w:pStyle w:val="ListParagraph"/>
        <w:widowControl w:val="0"/>
        <w:numPr>
          <w:ilvl w:val="1"/>
          <w:numId w:val="73"/>
        </w:numPr>
        <w:spacing w:line="360" w:lineRule="auto"/>
        <w:jc w:val="both"/>
        <w:rPr>
          <w:rFonts w:cs="Arial"/>
          <w:bCs w:val="0"/>
          <w:szCs w:val="24"/>
          <w:lang w:eastAsia="en-GB"/>
        </w:rPr>
      </w:pPr>
      <w:r w:rsidRPr="00CE0885">
        <w:rPr>
          <w:rFonts w:cs="Arial"/>
          <w:bCs w:val="0"/>
          <w:szCs w:val="24"/>
          <w:lang w:eastAsia="en-GB"/>
        </w:rPr>
        <w:t>Number of Patients Registered at a GP Practice</w:t>
      </w:r>
    </w:p>
    <w:p w14:paraId="374D82A9" w14:textId="77777777" w:rsidR="003D1FAF" w:rsidRPr="00CE0885" w:rsidRDefault="003D1FAF" w:rsidP="005A7DDA">
      <w:pPr>
        <w:pStyle w:val="ListParagraph"/>
        <w:widowControl w:val="0"/>
        <w:numPr>
          <w:ilvl w:val="1"/>
          <w:numId w:val="73"/>
        </w:numPr>
        <w:spacing w:line="360" w:lineRule="auto"/>
        <w:jc w:val="both"/>
        <w:rPr>
          <w:rFonts w:cs="Arial"/>
          <w:bCs w:val="0"/>
          <w:szCs w:val="24"/>
          <w:lang w:eastAsia="en-GB"/>
        </w:rPr>
      </w:pPr>
      <w:r w:rsidRPr="00CE0885">
        <w:rPr>
          <w:rFonts w:cs="Arial"/>
          <w:bCs w:val="0"/>
          <w:szCs w:val="24"/>
          <w:lang w:eastAsia="en-GB"/>
        </w:rPr>
        <w:t>Number of Patients Registered at a GP Practice (CCG Level)</w:t>
      </w:r>
    </w:p>
    <w:p w14:paraId="339A704D" w14:textId="77777777" w:rsidR="003D1FAF" w:rsidRPr="00CE0885" w:rsidRDefault="003D1FAF" w:rsidP="005A7DDA">
      <w:pPr>
        <w:pStyle w:val="ListParagraph"/>
        <w:widowControl w:val="0"/>
        <w:numPr>
          <w:ilvl w:val="1"/>
          <w:numId w:val="73"/>
        </w:numPr>
        <w:spacing w:line="360" w:lineRule="auto"/>
        <w:jc w:val="both"/>
        <w:rPr>
          <w:rFonts w:cs="Arial"/>
          <w:bCs w:val="0"/>
          <w:szCs w:val="24"/>
          <w:lang w:eastAsia="en-GB"/>
        </w:rPr>
      </w:pPr>
      <w:r w:rsidRPr="00CE0885">
        <w:rPr>
          <w:rFonts w:cs="Arial"/>
          <w:bCs w:val="0"/>
          <w:szCs w:val="24"/>
          <w:lang w:eastAsia="en-GB"/>
        </w:rPr>
        <w:t>Number of Patients Registered at a GP Practice (NHS England Commissioning Region)</w:t>
      </w:r>
    </w:p>
    <w:p w14:paraId="46D30AD2" w14:textId="77777777" w:rsidR="003D1FAF" w:rsidRPr="00CE0885" w:rsidRDefault="003D1FAF" w:rsidP="005A7DDA">
      <w:pPr>
        <w:pStyle w:val="ListParagraph"/>
        <w:widowControl w:val="0"/>
        <w:numPr>
          <w:ilvl w:val="1"/>
          <w:numId w:val="73"/>
        </w:numPr>
        <w:spacing w:line="360" w:lineRule="auto"/>
        <w:jc w:val="both"/>
        <w:rPr>
          <w:rFonts w:cs="Arial"/>
          <w:bCs w:val="0"/>
          <w:szCs w:val="24"/>
          <w:lang w:eastAsia="en-GB"/>
        </w:rPr>
      </w:pPr>
      <w:r w:rsidRPr="00CE0885">
        <w:rPr>
          <w:rFonts w:cs="Arial"/>
          <w:bCs w:val="0"/>
          <w:szCs w:val="24"/>
          <w:lang w:eastAsia="en-GB"/>
        </w:rPr>
        <w:t>Number of Patients Registered at a GP Practice mapped to LSOA</w:t>
      </w:r>
    </w:p>
    <w:p w14:paraId="2952F3C1" w14:textId="77777777" w:rsidR="003D1FAF" w:rsidRPr="00BF1FEC" w:rsidRDefault="003D1FAF" w:rsidP="005A7DDA">
      <w:pPr>
        <w:pStyle w:val="ListParagraph"/>
        <w:widowControl w:val="0"/>
        <w:numPr>
          <w:ilvl w:val="1"/>
          <w:numId w:val="73"/>
        </w:numPr>
        <w:spacing w:line="360" w:lineRule="auto"/>
        <w:jc w:val="both"/>
        <w:rPr>
          <w:rFonts w:cs="Arial"/>
          <w:bCs w:val="0"/>
          <w:szCs w:val="24"/>
          <w:lang w:eastAsia="en-GB"/>
        </w:rPr>
      </w:pPr>
      <w:r w:rsidRPr="00BF1FEC">
        <w:rPr>
          <w:rFonts w:cs="Arial"/>
          <w:bCs w:val="0"/>
          <w:szCs w:val="24"/>
          <w:lang w:eastAsia="en-GB"/>
        </w:rPr>
        <w:lastRenderedPageBreak/>
        <w:t>From April 2017, NHS Digital began publishing these data monthly, prior to this the publication were quarterly on the first day of April, July, October and January.</w:t>
      </w:r>
    </w:p>
    <w:p w14:paraId="6E5E084E" w14:textId="77777777" w:rsidR="003D1FAF" w:rsidRPr="00BF1FEC" w:rsidRDefault="003D1FAF" w:rsidP="005A7DDA">
      <w:pPr>
        <w:pStyle w:val="ListParagraph"/>
        <w:widowControl w:val="0"/>
        <w:numPr>
          <w:ilvl w:val="1"/>
          <w:numId w:val="73"/>
        </w:numPr>
        <w:spacing w:line="360" w:lineRule="auto"/>
        <w:jc w:val="both"/>
        <w:rPr>
          <w:rFonts w:cs="Arial"/>
          <w:bCs w:val="0"/>
          <w:szCs w:val="24"/>
          <w:lang w:eastAsia="en-GB"/>
        </w:rPr>
      </w:pPr>
      <w:r w:rsidRPr="00BF1FEC">
        <w:rPr>
          <w:rFonts w:cs="Arial"/>
          <w:bCs w:val="0"/>
          <w:szCs w:val="24"/>
          <w:lang w:eastAsia="en-GB"/>
        </w:rPr>
        <w:t xml:space="preserve">Each of these data is available in both 5 year age groups and single year of age (by male, female and total). Files are available to download for onward analysis, but NHS Digital also provide an interactive platform called the General Practice Data Hub </w:t>
      </w:r>
      <w:hyperlink r:id="rId59" w:history="1">
        <w:r w:rsidRPr="00137449">
          <w:rPr>
            <w:rFonts w:cs="Arial"/>
            <w:bCs w:val="0"/>
            <w:color w:val="0000FF"/>
            <w:szCs w:val="24"/>
            <w:u w:val="single"/>
            <w:lang w:eastAsia="en-GB"/>
          </w:rPr>
          <w:t>https://www.digital.nhs.uk/gp-data-hub</w:t>
        </w:r>
      </w:hyperlink>
      <w:r w:rsidRPr="00BF1FEC">
        <w:rPr>
          <w:rFonts w:cs="Arial"/>
          <w:bCs w:val="0"/>
          <w:szCs w:val="24"/>
          <w:lang w:eastAsia="en-GB"/>
        </w:rPr>
        <w:t xml:space="preserve"> </w:t>
      </w:r>
    </w:p>
    <w:p w14:paraId="28718655" w14:textId="77777777" w:rsidR="003D1FAF" w:rsidRPr="00BF1FEC" w:rsidRDefault="003D1FAF" w:rsidP="005A7DDA">
      <w:pPr>
        <w:pStyle w:val="ListParagraph"/>
        <w:widowControl w:val="0"/>
        <w:numPr>
          <w:ilvl w:val="1"/>
          <w:numId w:val="73"/>
        </w:numPr>
        <w:spacing w:line="360" w:lineRule="auto"/>
        <w:jc w:val="both"/>
        <w:rPr>
          <w:rFonts w:cs="Arial"/>
          <w:bCs w:val="0"/>
          <w:szCs w:val="24"/>
          <w:lang w:eastAsia="en-GB"/>
        </w:rPr>
      </w:pPr>
      <w:r w:rsidRPr="00BF1FEC">
        <w:rPr>
          <w:rFonts w:cs="Arial"/>
          <w:bCs w:val="0"/>
          <w:szCs w:val="24"/>
          <w:lang w:eastAsia="en-GB"/>
        </w:rPr>
        <w:t>Via NHS Digital’s Data Hub, users can interact with the data to view the distribution and spread of data for specific geographies and GP Practices</w:t>
      </w:r>
    </w:p>
    <w:p w14:paraId="3CAE40A3" w14:textId="77777777" w:rsidR="00BF1FEC" w:rsidRPr="00BF1FEC" w:rsidRDefault="00BF1FEC" w:rsidP="00BF1FEC">
      <w:pPr>
        <w:rPr>
          <w:lang w:eastAsia="en-GB"/>
        </w:rPr>
      </w:pPr>
    </w:p>
    <w:p w14:paraId="691AEB58" w14:textId="77777777" w:rsidR="003D1FAF" w:rsidRPr="00CE0885" w:rsidRDefault="003D1FAF" w:rsidP="003D1FAF">
      <w:pPr>
        <w:widowControl w:val="0"/>
        <w:spacing w:line="360" w:lineRule="auto"/>
        <w:ind w:left="1414"/>
        <w:jc w:val="both"/>
        <w:rPr>
          <w:rFonts w:cs="Arial"/>
          <w:bCs w:val="0"/>
          <w:szCs w:val="24"/>
          <w:lang w:eastAsia="en-GB"/>
        </w:rPr>
      </w:pPr>
      <w:r w:rsidRPr="009055A7">
        <w:rPr>
          <w:rFonts w:cs="Arial"/>
          <w:bCs w:val="0"/>
          <w:noProof/>
          <w:sz w:val="20"/>
          <w:szCs w:val="20"/>
          <w:lang w:eastAsia="en-GB"/>
        </w:rPr>
        <w:drawing>
          <wp:inline distT="0" distB="0" distL="0" distR="0" wp14:anchorId="48C38AAD" wp14:editId="10ABE46B">
            <wp:extent cx="4572000" cy="2620596"/>
            <wp:effectExtent l="0" t="0" r="0" b="8890"/>
            <wp:docPr id="2071" name="Picture 2071" descr="NHS Digital Data Viewer Screenshot - A shaded picture of England and a bar chart" title="NHS Digital Data Viewer Screensh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4581829" cy="2626230"/>
                    </a:xfrm>
                    <a:prstGeom prst="rect">
                      <a:avLst/>
                    </a:prstGeom>
                  </pic:spPr>
                </pic:pic>
              </a:graphicData>
            </a:graphic>
          </wp:inline>
        </w:drawing>
      </w:r>
    </w:p>
    <w:p w14:paraId="48C2AFCB" w14:textId="77777777" w:rsidR="003D1FAF" w:rsidRPr="00CE0885" w:rsidRDefault="003D1FAF" w:rsidP="00BF1FEC">
      <w:pPr>
        <w:pStyle w:val="Heading5"/>
      </w:pPr>
      <w:r w:rsidRPr="00CE0885">
        <w:t>Office for National Statistics</w:t>
      </w:r>
    </w:p>
    <w:p w14:paraId="6FDEE505" w14:textId="77777777" w:rsidR="003D1FAF" w:rsidRPr="00CE0885" w:rsidRDefault="003D1FAF" w:rsidP="005A7DDA">
      <w:pPr>
        <w:pStyle w:val="ListParagraph"/>
        <w:widowControl w:val="0"/>
        <w:numPr>
          <w:ilvl w:val="1"/>
          <w:numId w:val="73"/>
        </w:numPr>
        <w:spacing w:line="360" w:lineRule="auto"/>
        <w:jc w:val="both"/>
        <w:rPr>
          <w:rFonts w:cs="Arial"/>
          <w:bCs w:val="0"/>
          <w:szCs w:val="24"/>
          <w:lang w:eastAsia="en-GB"/>
        </w:rPr>
      </w:pPr>
      <w:r w:rsidRPr="00CE0885">
        <w:rPr>
          <w:rFonts w:cs="Arial"/>
          <w:bCs w:val="0"/>
          <w:szCs w:val="24"/>
          <w:lang w:eastAsia="en-GB"/>
        </w:rPr>
        <w:t>Clinical Commissioning Group Mid-Year Population Estimates</w:t>
      </w:r>
    </w:p>
    <w:p w14:paraId="5504EEB2" w14:textId="77777777" w:rsidR="003D1FAF" w:rsidRPr="00CE0885" w:rsidRDefault="003D1FAF" w:rsidP="005A7DDA">
      <w:pPr>
        <w:pStyle w:val="ListParagraph"/>
        <w:widowControl w:val="0"/>
        <w:numPr>
          <w:ilvl w:val="1"/>
          <w:numId w:val="73"/>
        </w:numPr>
        <w:spacing w:line="360" w:lineRule="auto"/>
        <w:jc w:val="both"/>
        <w:rPr>
          <w:rFonts w:cs="Arial"/>
          <w:bCs w:val="0"/>
          <w:szCs w:val="24"/>
          <w:lang w:eastAsia="en-GB"/>
        </w:rPr>
      </w:pPr>
      <w:r w:rsidRPr="00CE0885">
        <w:rPr>
          <w:rFonts w:cs="Arial"/>
          <w:bCs w:val="0"/>
          <w:szCs w:val="24"/>
          <w:lang w:eastAsia="en-GB"/>
        </w:rPr>
        <w:t>Middle Super Output Area Mid-Year Population Estimates</w:t>
      </w:r>
    </w:p>
    <w:p w14:paraId="6E72DD61" w14:textId="2C0A4F09" w:rsidR="00BF1FEC" w:rsidRPr="00BF1FEC" w:rsidRDefault="003D1FAF" w:rsidP="005A7DDA">
      <w:pPr>
        <w:pStyle w:val="ListParagraph"/>
        <w:widowControl w:val="0"/>
        <w:numPr>
          <w:ilvl w:val="1"/>
          <w:numId w:val="73"/>
        </w:numPr>
        <w:spacing w:line="360" w:lineRule="auto"/>
        <w:ind w:left="1414"/>
        <w:jc w:val="both"/>
        <w:rPr>
          <w:rFonts w:cs="Arial"/>
          <w:bCs w:val="0"/>
          <w:szCs w:val="24"/>
          <w:lang w:eastAsia="en-GB"/>
        </w:rPr>
      </w:pPr>
      <w:r w:rsidRPr="00BF1FEC">
        <w:rPr>
          <w:rFonts w:cs="Arial"/>
          <w:bCs w:val="0"/>
          <w:szCs w:val="24"/>
          <w:lang w:eastAsia="en-GB"/>
        </w:rPr>
        <w:t>Lower Super Output Area Mid-Year Population Estimates</w:t>
      </w:r>
    </w:p>
    <w:p w14:paraId="4DDAA830" w14:textId="77777777" w:rsidR="003D1FAF" w:rsidRPr="00CE0885" w:rsidRDefault="003D1FAF" w:rsidP="005A7DDA">
      <w:pPr>
        <w:pStyle w:val="ListParagraph"/>
        <w:widowControl w:val="0"/>
        <w:numPr>
          <w:ilvl w:val="1"/>
          <w:numId w:val="73"/>
        </w:numPr>
        <w:spacing w:line="360" w:lineRule="auto"/>
        <w:jc w:val="both"/>
        <w:rPr>
          <w:rFonts w:cs="Arial"/>
          <w:bCs w:val="0"/>
          <w:szCs w:val="24"/>
          <w:lang w:eastAsia="en-GB"/>
        </w:rPr>
      </w:pPr>
      <w:r w:rsidRPr="00CE0885">
        <w:rPr>
          <w:rFonts w:cs="Arial"/>
          <w:bCs w:val="0"/>
          <w:szCs w:val="24"/>
          <w:lang w:eastAsia="en-GB"/>
        </w:rPr>
        <w:t>The Office for National Statistics publish these data annually, usually at the end of October each year, for the previous year.</w:t>
      </w:r>
    </w:p>
    <w:p w14:paraId="53FC0257" w14:textId="77777777" w:rsidR="003D1FAF" w:rsidRPr="00DF3DF4" w:rsidRDefault="003D1FAF" w:rsidP="00BF1FEC">
      <w:pPr>
        <w:pStyle w:val="Heading5"/>
      </w:pPr>
      <w:r w:rsidRPr="00DF3DF4">
        <w:t>Data.gov.uk</w:t>
      </w:r>
    </w:p>
    <w:p w14:paraId="05F2A88A" w14:textId="77777777" w:rsidR="003D1FAF" w:rsidRPr="00CE0885" w:rsidRDefault="003D1FAF" w:rsidP="005A7DDA">
      <w:pPr>
        <w:pStyle w:val="ListParagraph"/>
        <w:widowControl w:val="0"/>
        <w:numPr>
          <w:ilvl w:val="1"/>
          <w:numId w:val="73"/>
        </w:numPr>
        <w:spacing w:line="360" w:lineRule="auto"/>
        <w:jc w:val="both"/>
        <w:rPr>
          <w:rFonts w:cs="Arial"/>
          <w:bCs w:val="0"/>
          <w:szCs w:val="24"/>
          <w:lang w:eastAsia="en-GB"/>
        </w:rPr>
      </w:pPr>
      <w:r w:rsidRPr="00CE0885">
        <w:rPr>
          <w:rFonts w:cs="Arial"/>
          <w:bCs w:val="0"/>
          <w:szCs w:val="24"/>
          <w:lang w:eastAsia="en-GB"/>
        </w:rPr>
        <w:t>Postcode to Output Area to Lower Layer Super Output Area to Middle Layer Super Output Area to Local Authority District Lookups for  in England and Wales</w:t>
      </w:r>
    </w:p>
    <w:p w14:paraId="49385CF2" w14:textId="77777777" w:rsidR="003D1FAF" w:rsidRPr="00CE0885" w:rsidRDefault="003D1FAF" w:rsidP="003D1FAF">
      <w:pPr>
        <w:widowControl w:val="0"/>
        <w:spacing w:line="360" w:lineRule="auto"/>
        <w:ind w:left="1414"/>
        <w:jc w:val="both"/>
        <w:rPr>
          <w:rFonts w:cs="Arial"/>
          <w:bCs w:val="0"/>
          <w:szCs w:val="24"/>
          <w:lang w:eastAsia="en-GB"/>
        </w:rPr>
      </w:pPr>
    </w:p>
    <w:p w14:paraId="12528D34" w14:textId="77777777" w:rsidR="003D1FAF" w:rsidRPr="00CE0885" w:rsidRDefault="003D1FAF" w:rsidP="003D1FAF">
      <w:pPr>
        <w:widowControl w:val="0"/>
        <w:spacing w:line="360" w:lineRule="auto"/>
        <w:ind w:left="1414"/>
        <w:jc w:val="both"/>
        <w:rPr>
          <w:rFonts w:cs="Arial"/>
          <w:bCs w:val="0"/>
          <w:szCs w:val="24"/>
          <w:lang w:eastAsia="en-GB"/>
        </w:rPr>
      </w:pPr>
    </w:p>
    <w:p w14:paraId="03FFBCD7" w14:textId="77777777" w:rsidR="003D1FAF" w:rsidRPr="00DF3DF4" w:rsidRDefault="003D1FAF" w:rsidP="00DF3DF4">
      <w:pPr>
        <w:pStyle w:val="Heading3"/>
        <w:rPr>
          <w:b/>
          <w:lang w:eastAsia="en-GB"/>
        </w:rPr>
      </w:pPr>
      <w:r w:rsidRPr="00DF3DF4">
        <w:rPr>
          <w:b/>
          <w:lang w:eastAsia="en-GB"/>
        </w:rPr>
        <w:t>What to consider, who and why?</w:t>
      </w:r>
    </w:p>
    <w:p w14:paraId="04FC3962" w14:textId="77777777" w:rsidR="003D1FAF" w:rsidRPr="00CE0885" w:rsidRDefault="003D1FAF" w:rsidP="00BF1FEC">
      <w:pPr>
        <w:pStyle w:val="Heading4"/>
      </w:pPr>
      <w:r w:rsidRPr="00CE0885">
        <w:t>Where a GP Practice list contains records of people who should no longer be on the list this is known as list inflation. There can be many reasons for this and commissioners and GP practices can work together to minimise this through list maintenance.</w:t>
      </w:r>
    </w:p>
    <w:p w14:paraId="5B321DB2" w14:textId="77777777" w:rsidR="003D1FAF" w:rsidRPr="00CE0885" w:rsidRDefault="003D1FAF" w:rsidP="00BF1FEC">
      <w:pPr>
        <w:pStyle w:val="Heading4"/>
      </w:pPr>
      <w:r w:rsidRPr="00CE0885">
        <w:t>In some GP practices their can often be high turnover (leaving and joining) of patients, which can which can be challenging to monitor but benefits from timely processing.</w:t>
      </w:r>
    </w:p>
    <w:p w14:paraId="2CAA1F3D" w14:textId="77777777" w:rsidR="003D1FAF" w:rsidRPr="00CE0885" w:rsidRDefault="003D1FAF" w:rsidP="00BF1FEC">
      <w:pPr>
        <w:pStyle w:val="Heading4"/>
      </w:pPr>
      <w:r w:rsidRPr="00CE0885">
        <w:t>There are records that link to patients who do not de-register and there are 2 principal reasons why an individual may not de-register</w:t>
      </w:r>
    </w:p>
    <w:p w14:paraId="157D3E61" w14:textId="77777777" w:rsidR="003D1FAF" w:rsidRPr="00CE0885" w:rsidRDefault="003D1FAF" w:rsidP="00D25E0C">
      <w:pPr>
        <w:pStyle w:val="Heading5"/>
      </w:pPr>
      <w:r w:rsidRPr="00CE0885">
        <w:t xml:space="preserve">Some people may be slow to re-register at other GP practices, despite having moved away from the area, as they are relatively healthy and do not see re-registration as a priority </w:t>
      </w:r>
    </w:p>
    <w:p w14:paraId="00CED334" w14:textId="77777777" w:rsidR="003D1FAF" w:rsidRPr="00CE0885" w:rsidRDefault="003D1FAF" w:rsidP="00D25E0C">
      <w:pPr>
        <w:pStyle w:val="Heading5"/>
      </w:pPr>
      <w:r w:rsidRPr="00CE0885">
        <w:t>People who live abroad (who are required to de-register from their GP practice) fail to do so either because they do not see it as a priority when moving abroad or because they wish to have continued access to the NHS (often referred to as “ghost patients” (this affects list inflation at both the local and national level).</w:t>
      </w:r>
    </w:p>
    <w:p w14:paraId="19891BB4" w14:textId="188B86B2" w:rsidR="003D1FAF" w:rsidRPr="00CE0885" w:rsidRDefault="003D1FAF" w:rsidP="00BF1FEC">
      <w:pPr>
        <w:pStyle w:val="Heading4"/>
      </w:pPr>
      <w:r w:rsidRPr="00CE0885">
        <w:t>ONS suggests</w:t>
      </w:r>
      <w:r w:rsidR="00D25E0C">
        <w:rPr>
          <w:rStyle w:val="FootnoteReference"/>
        </w:rPr>
        <w:footnoteReference w:id="9"/>
      </w:r>
      <w:r w:rsidRPr="00CE0885">
        <w:t xml:space="preserve"> that, typically the following groups tend to be quicker to register a change of address:</w:t>
      </w:r>
    </w:p>
    <w:p w14:paraId="3BF88981" w14:textId="77777777" w:rsidR="003D1FAF" w:rsidRPr="00846153" w:rsidRDefault="003D1FAF" w:rsidP="005A7DDA">
      <w:pPr>
        <w:pStyle w:val="BodyText"/>
        <w:numPr>
          <w:ilvl w:val="0"/>
          <w:numId w:val="132"/>
        </w:numPr>
        <w:rPr>
          <w:sz w:val="24"/>
          <w:szCs w:val="24"/>
        </w:rPr>
      </w:pPr>
      <w:r w:rsidRPr="00846153">
        <w:rPr>
          <w:sz w:val="24"/>
          <w:szCs w:val="24"/>
        </w:rPr>
        <w:t>mothers with young children</w:t>
      </w:r>
    </w:p>
    <w:p w14:paraId="48BFF949" w14:textId="77777777" w:rsidR="003D1FAF" w:rsidRPr="00846153" w:rsidRDefault="003D1FAF" w:rsidP="005A7DDA">
      <w:pPr>
        <w:pStyle w:val="BodyText"/>
        <w:numPr>
          <w:ilvl w:val="0"/>
          <w:numId w:val="132"/>
        </w:numPr>
        <w:rPr>
          <w:sz w:val="24"/>
          <w:szCs w:val="24"/>
        </w:rPr>
      </w:pPr>
      <w:r w:rsidRPr="00846153">
        <w:rPr>
          <w:sz w:val="24"/>
          <w:szCs w:val="24"/>
        </w:rPr>
        <w:t>those with ongoing health conditions</w:t>
      </w:r>
    </w:p>
    <w:p w14:paraId="07CB3865" w14:textId="77777777" w:rsidR="003D1FAF" w:rsidRPr="00846153" w:rsidRDefault="003D1FAF" w:rsidP="005A7DDA">
      <w:pPr>
        <w:pStyle w:val="BodyText"/>
        <w:numPr>
          <w:ilvl w:val="0"/>
          <w:numId w:val="132"/>
        </w:numPr>
        <w:rPr>
          <w:sz w:val="24"/>
          <w:szCs w:val="24"/>
        </w:rPr>
      </w:pPr>
      <w:r w:rsidRPr="00846153">
        <w:rPr>
          <w:sz w:val="24"/>
          <w:szCs w:val="24"/>
        </w:rPr>
        <w:t>the very elderly</w:t>
      </w:r>
    </w:p>
    <w:p w14:paraId="1A3F2A20" w14:textId="77777777" w:rsidR="003D1FAF" w:rsidRPr="00CE0885" w:rsidRDefault="003D1FAF" w:rsidP="00BF1FEC">
      <w:pPr>
        <w:pStyle w:val="Heading4"/>
      </w:pPr>
      <w:r w:rsidRPr="00CE0885">
        <w:t>Additionally, the following tend to be slower to register a change of address:</w:t>
      </w:r>
    </w:p>
    <w:p w14:paraId="043FC048" w14:textId="77777777" w:rsidR="003D1FAF" w:rsidRPr="00846153" w:rsidRDefault="003D1FAF" w:rsidP="005A7DDA">
      <w:pPr>
        <w:pStyle w:val="BodyText"/>
        <w:numPr>
          <w:ilvl w:val="0"/>
          <w:numId w:val="132"/>
        </w:numPr>
        <w:rPr>
          <w:sz w:val="24"/>
          <w:szCs w:val="24"/>
        </w:rPr>
      </w:pPr>
      <w:r w:rsidRPr="00846153">
        <w:rPr>
          <w:sz w:val="24"/>
          <w:szCs w:val="24"/>
        </w:rPr>
        <w:t>young healthy adults, especially males – including students</w:t>
      </w:r>
    </w:p>
    <w:p w14:paraId="1CC0358B" w14:textId="77777777" w:rsidR="003D1FAF" w:rsidRPr="00846153" w:rsidRDefault="003D1FAF" w:rsidP="005A7DDA">
      <w:pPr>
        <w:pStyle w:val="BodyText"/>
        <w:numPr>
          <w:ilvl w:val="0"/>
          <w:numId w:val="132"/>
        </w:numPr>
        <w:rPr>
          <w:sz w:val="24"/>
          <w:szCs w:val="24"/>
        </w:rPr>
      </w:pPr>
      <w:r w:rsidRPr="00846153">
        <w:rPr>
          <w:sz w:val="24"/>
          <w:szCs w:val="24"/>
        </w:rPr>
        <w:t>highly mobile individuals</w:t>
      </w:r>
    </w:p>
    <w:p w14:paraId="14D2CF7E" w14:textId="77777777" w:rsidR="003D1FAF" w:rsidRPr="00846153" w:rsidRDefault="003D1FAF" w:rsidP="005A7DDA">
      <w:pPr>
        <w:pStyle w:val="BodyText"/>
        <w:numPr>
          <w:ilvl w:val="0"/>
          <w:numId w:val="132"/>
        </w:numPr>
        <w:rPr>
          <w:sz w:val="24"/>
          <w:szCs w:val="24"/>
        </w:rPr>
      </w:pPr>
      <w:r w:rsidRPr="00846153">
        <w:rPr>
          <w:sz w:val="24"/>
          <w:szCs w:val="24"/>
        </w:rPr>
        <w:lastRenderedPageBreak/>
        <w:t>healthier persons, especially males</w:t>
      </w:r>
    </w:p>
    <w:p w14:paraId="766EDEE0" w14:textId="77777777" w:rsidR="003D1FAF" w:rsidRPr="00CE5A3A" w:rsidRDefault="003D1FAF" w:rsidP="005A7DDA">
      <w:pPr>
        <w:pStyle w:val="BodyText"/>
        <w:numPr>
          <w:ilvl w:val="0"/>
          <w:numId w:val="132"/>
        </w:numPr>
        <w:rPr>
          <w:sz w:val="24"/>
          <w:szCs w:val="24"/>
        </w:rPr>
      </w:pPr>
      <w:r w:rsidRPr="00CE5A3A">
        <w:rPr>
          <w:sz w:val="24"/>
          <w:szCs w:val="24"/>
        </w:rPr>
        <w:t>males – in general</w:t>
      </w:r>
    </w:p>
    <w:p w14:paraId="166929DE" w14:textId="77777777" w:rsidR="003D1FAF" w:rsidRPr="00CE0885" w:rsidRDefault="003D1FAF" w:rsidP="00BF1FEC">
      <w:pPr>
        <w:pStyle w:val="Heading4"/>
      </w:pPr>
      <w:r w:rsidRPr="00CE0885">
        <w:t>Parental home: Mobile young adults may choose or default to remaining registered at their parental address; this is similar to the lags issue above.</w:t>
      </w:r>
    </w:p>
    <w:p w14:paraId="238FC216" w14:textId="77777777" w:rsidR="003D1FAF" w:rsidRPr="00CE0885" w:rsidRDefault="003D1FAF" w:rsidP="003D1FAF">
      <w:pPr>
        <w:widowControl w:val="0"/>
        <w:spacing w:line="360" w:lineRule="auto"/>
        <w:ind w:left="714"/>
        <w:jc w:val="both"/>
        <w:rPr>
          <w:rFonts w:cs="Arial"/>
          <w:bCs w:val="0"/>
          <w:szCs w:val="24"/>
          <w:lang w:eastAsia="en-GB"/>
        </w:rPr>
      </w:pPr>
    </w:p>
    <w:p w14:paraId="5D159C62" w14:textId="77777777" w:rsidR="003D1FAF" w:rsidRPr="00CE0885" w:rsidRDefault="003D1FAF" w:rsidP="00BF1FEC">
      <w:pPr>
        <w:pStyle w:val="Heading4"/>
      </w:pPr>
      <w:r w:rsidRPr="00CE0885">
        <w:t>Shared custody: there is potential for a range of issues where there is shared custody of children at different addresses. These can potentially include:</w:t>
      </w:r>
    </w:p>
    <w:p w14:paraId="211D4600" w14:textId="77777777" w:rsidR="003D1FAF" w:rsidRPr="00846153" w:rsidRDefault="003D1FAF" w:rsidP="005A7DDA">
      <w:pPr>
        <w:pStyle w:val="BodyText"/>
        <w:numPr>
          <w:ilvl w:val="0"/>
          <w:numId w:val="130"/>
        </w:numPr>
        <w:rPr>
          <w:sz w:val="24"/>
          <w:szCs w:val="24"/>
        </w:rPr>
      </w:pPr>
      <w:r w:rsidRPr="00846153">
        <w:rPr>
          <w:sz w:val="24"/>
          <w:szCs w:val="24"/>
        </w:rPr>
        <w:t>split residence not reflected in the record</w:t>
      </w:r>
    </w:p>
    <w:p w14:paraId="7B134523" w14:textId="77777777" w:rsidR="003D1FAF" w:rsidRPr="00846153" w:rsidRDefault="003D1FAF" w:rsidP="005A7DDA">
      <w:pPr>
        <w:pStyle w:val="BodyText"/>
        <w:numPr>
          <w:ilvl w:val="0"/>
          <w:numId w:val="130"/>
        </w:numPr>
        <w:rPr>
          <w:sz w:val="24"/>
          <w:szCs w:val="24"/>
        </w:rPr>
      </w:pPr>
      <w:r w:rsidRPr="00846153">
        <w:rPr>
          <w:sz w:val="24"/>
          <w:szCs w:val="24"/>
        </w:rPr>
        <w:t>duplicate registrations</w:t>
      </w:r>
    </w:p>
    <w:p w14:paraId="2D50596F" w14:textId="77777777" w:rsidR="003D1FAF" w:rsidRPr="00846153" w:rsidRDefault="003D1FAF" w:rsidP="005A7DDA">
      <w:pPr>
        <w:pStyle w:val="BodyText"/>
        <w:numPr>
          <w:ilvl w:val="0"/>
          <w:numId w:val="130"/>
        </w:numPr>
        <w:rPr>
          <w:sz w:val="24"/>
          <w:szCs w:val="24"/>
        </w:rPr>
      </w:pPr>
      <w:r w:rsidRPr="00846153">
        <w:rPr>
          <w:sz w:val="24"/>
          <w:szCs w:val="24"/>
        </w:rPr>
        <w:t>use of different names (particularly surnames)</w:t>
      </w:r>
    </w:p>
    <w:p w14:paraId="7E83CBC4" w14:textId="77777777" w:rsidR="003D1FAF" w:rsidRPr="00CE0885" w:rsidRDefault="003D1FAF" w:rsidP="00BF1FEC">
      <w:pPr>
        <w:pStyle w:val="Heading4"/>
      </w:pPr>
      <w:r w:rsidRPr="00CE0885">
        <w:t>Care homes (and similar institutions): Where a patient moves into a care home this may not be recorded as a change in address, particularly if the intended stay is short. These stays may become longer so that there has in effect been a change in residence, although the GP register has not been updated. By contrast a move may be intended as long-term (and the move recorded on the Patient Register) but the patient may die soon after the move. There are 2 potential consequences for statistical use of data:</w:t>
      </w:r>
    </w:p>
    <w:p w14:paraId="212D133E" w14:textId="77777777" w:rsidR="003D1FAF" w:rsidRPr="00846153" w:rsidRDefault="003D1FAF" w:rsidP="005A7DDA">
      <w:pPr>
        <w:pStyle w:val="BodyText"/>
        <w:numPr>
          <w:ilvl w:val="0"/>
          <w:numId w:val="131"/>
        </w:numPr>
        <w:rPr>
          <w:sz w:val="24"/>
          <w:szCs w:val="24"/>
        </w:rPr>
      </w:pPr>
      <w:r w:rsidRPr="00846153">
        <w:rPr>
          <w:sz w:val="24"/>
          <w:szCs w:val="24"/>
        </w:rPr>
        <w:t>a spell of residence away from the home address can be missed</w:t>
      </w:r>
    </w:p>
    <w:p w14:paraId="594800DF" w14:textId="77777777" w:rsidR="003D1FAF" w:rsidRPr="00846153" w:rsidRDefault="003D1FAF" w:rsidP="005A7DDA">
      <w:pPr>
        <w:pStyle w:val="BodyText"/>
        <w:numPr>
          <w:ilvl w:val="0"/>
          <w:numId w:val="131"/>
        </w:numPr>
        <w:rPr>
          <w:sz w:val="24"/>
          <w:szCs w:val="24"/>
        </w:rPr>
      </w:pPr>
      <w:r w:rsidRPr="00846153">
        <w:rPr>
          <w:sz w:val="24"/>
          <w:szCs w:val="24"/>
        </w:rPr>
        <w:t>a death can be recorded with a place of residence given as different from that recorded on the Patient Register</w:t>
      </w:r>
    </w:p>
    <w:p w14:paraId="3A565290" w14:textId="77777777" w:rsidR="003D1FAF" w:rsidRPr="00CE0885" w:rsidRDefault="003D1FAF" w:rsidP="00BF1FEC">
      <w:pPr>
        <w:pStyle w:val="Heading4"/>
      </w:pPr>
      <w:r w:rsidRPr="00CE0885">
        <w:t>Duplicate records: There are a number of occasions where duplicate records can occur. These can be classified as duplicates with the same NHS number, and duplicates with a different NHS number. Duplicate records with the same number could be:</w:t>
      </w:r>
    </w:p>
    <w:p w14:paraId="1CAA3934" w14:textId="77777777" w:rsidR="003D1FAF" w:rsidRPr="00CE0885" w:rsidRDefault="003D1FAF" w:rsidP="003D1FAF">
      <w:pPr>
        <w:widowControl w:val="0"/>
        <w:spacing w:line="360" w:lineRule="auto"/>
        <w:ind w:left="714"/>
        <w:jc w:val="both"/>
        <w:rPr>
          <w:rFonts w:cs="Arial"/>
          <w:bCs w:val="0"/>
          <w:szCs w:val="24"/>
          <w:lang w:eastAsia="en-GB"/>
        </w:rPr>
      </w:pPr>
    </w:p>
    <w:p w14:paraId="49614007" w14:textId="77777777" w:rsidR="003D1FAF" w:rsidRPr="00CE5A3A" w:rsidRDefault="003D1FAF" w:rsidP="005A7DDA">
      <w:pPr>
        <w:pStyle w:val="BodyText"/>
        <w:numPr>
          <w:ilvl w:val="0"/>
          <w:numId w:val="132"/>
        </w:numPr>
        <w:rPr>
          <w:sz w:val="24"/>
          <w:szCs w:val="24"/>
        </w:rPr>
      </w:pPr>
      <w:r w:rsidRPr="00CE5A3A">
        <w:rPr>
          <w:sz w:val="24"/>
          <w:szCs w:val="24"/>
        </w:rPr>
        <w:t>records for the same person, with the same number, held on 2 different lists – the Audit Commission said that the majority of these were temporary where a patient was in the process of transferring from one practice to another.</w:t>
      </w:r>
    </w:p>
    <w:p w14:paraId="32E238F7" w14:textId="77777777" w:rsidR="003D1FAF" w:rsidRPr="00CE5A3A" w:rsidRDefault="003D1FAF" w:rsidP="005A7DDA">
      <w:pPr>
        <w:pStyle w:val="BodyText"/>
        <w:numPr>
          <w:ilvl w:val="0"/>
          <w:numId w:val="132"/>
        </w:numPr>
        <w:rPr>
          <w:sz w:val="24"/>
          <w:szCs w:val="24"/>
        </w:rPr>
      </w:pPr>
      <w:r w:rsidRPr="00CE5A3A">
        <w:rPr>
          <w:sz w:val="24"/>
          <w:szCs w:val="24"/>
        </w:rPr>
        <w:t xml:space="preserve">records for 2 different people with the same number – the Audit Commission said that these were rare and the cause was not known; potential reasons could include error by patient in writing in an NHS number (and where a check is not undertaken or is passed by chance – for example, same date of birth), clerical (typing or legibility) error on NHS number input, mismatching a patient to another with similar details on registration and allocating the wrong number or fraud. (Anecdotally there </w:t>
      </w:r>
      <w:r w:rsidRPr="00CE5A3A">
        <w:rPr>
          <w:sz w:val="24"/>
          <w:szCs w:val="24"/>
        </w:rPr>
        <w:lastRenderedPageBreak/>
        <w:t>have been reports of people “sharing” NHS numbers in certain communities.)</w:t>
      </w:r>
    </w:p>
    <w:p w14:paraId="2BB02F34" w14:textId="77777777" w:rsidR="003D1FAF" w:rsidRPr="00CE0885" w:rsidRDefault="003D1FAF" w:rsidP="00BF1FEC">
      <w:pPr>
        <w:pStyle w:val="Heading4"/>
      </w:pPr>
      <w:r w:rsidRPr="00CE0885">
        <w:t>Duplicates with different numbers could be because:</w:t>
      </w:r>
    </w:p>
    <w:p w14:paraId="210F9EB5" w14:textId="77777777" w:rsidR="003D1FAF" w:rsidRPr="00CE0885" w:rsidRDefault="003D1FAF" w:rsidP="003D1FAF">
      <w:pPr>
        <w:widowControl w:val="0"/>
        <w:spacing w:line="360" w:lineRule="auto"/>
        <w:ind w:left="714"/>
        <w:jc w:val="both"/>
        <w:rPr>
          <w:rFonts w:cs="Arial"/>
          <w:bCs w:val="0"/>
          <w:szCs w:val="24"/>
          <w:lang w:eastAsia="en-GB"/>
        </w:rPr>
      </w:pPr>
    </w:p>
    <w:p w14:paraId="6F483DCC" w14:textId="77777777" w:rsidR="003D1FAF" w:rsidRPr="00846153" w:rsidRDefault="003D1FAF" w:rsidP="005A7DDA">
      <w:pPr>
        <w:pStyle w:val="BodyText"/>
        <w:numPr>
          <w:ilvl w:val="0"/>
          <w:numId w:val="132"/>
        </w:numPr>
        <w:rPr>
          <w:sz w:val="24"/>
          <w:szCs w:val="24"/>
        </w:rPr>
      </w:pPr>
      <w:r w:rsidRPr="00846153">
        <w:rPr>
          <w:sz w:val="24"/>
          <w:szCs w:val="24"/>
        </w:rPr>
        <w:t>on registration with a GP a patient is incorrectly identified as a new entrant to the NHS (returning migrant, exit from armed forces, return from private practice)</w:t>
      </w:r>
    </w:p>
    <w:p w14:paraId="4177B638" w14:textId="77777777" w:rsidR="003D1FAF" w:rsidRPr="00846153" w:rsidRDefault="003D1FAF" w:rsidP="005A7DDA">
      <w:pPr>
        <w:pStyle w:val="BodyText"/>
        <w:numPr>
          <w:ilvl w:val="0"/>
          <w:numId w:val="132"/>
        </w:numPr>
        <w:rPr>
          <w:sz w:val="24"/>
          <w:szCs w:val="24"/>
        </w:rPr>
      </w:pPr>
      <w:r w:rsidRPr="00846153">
        <w:rPr>
          <w:sz w:val="24"/>
          <w:szCs w:val="24"/>
        </w:rPr>
        <w:t>on registration with a GP no match is traced to previous records</w:t>
      </w:r>
    </w:p>
    <w:p w14:paraId="2896469B" w14:textId="77777777" w:rsidR="003D1FAF" w:rsidRPr="00846153" w:rsidRDefault="003D1FAF" w:rsidP="005A7DDA">
      <w:pPr>
        <w:pStyle w:val="BodyText"/>
        <w:numPr>
          <w:ilvl w:val="0"/>
          <w:numId w:val="132"/>
        </w:numPr>
        <w:rPr>
          <w:sz w:val="24"/>
          <w:szCs w:val="24"/>
        </w:rPr>
      </w:pPr>
      <w:r w:rsidRPr="00846153">
        <w:rPr>
          <w:sz w:val="24"/>
          <w:szCs w:val="24"/>
        </w:rPr>
        <w:t>on registration with a GP a patient gives insufficient details to allow a match (as above, patients do not legally have to provide proof of identity).</w:t>
      </w:r>
    </w:p>
    <w:p w14:paraId="281F6DFE" w14:textId="77777777" w:rsidR="003D1FAF" w:rsidRPr="00CE0885" w:rsidRDefault="003D1FAF" w:rsidP="00BF1FEC">
      <w:pPr>
        <w:pStyle w:val="Heading4"/>
      </w:pPr>
      <w:r w:rsidRPr="00CE0885">
        <w:t>Snapshot: The data that we currently use from the Patient Register are based on a (typically annual) snapshot. This gives the position at that point in time, as it occurs on the register. This approach means there is no “history” between snapshots of changes. For example, where there are 2 or more changes of address in a year only the first and last of these addresses are captured (implying a single move). Moves before exiting from the system (including emigration and death) can also be missed, as can moves shortly after entry to the system (including immigration and birth).</w:t>
      </w:r>
    </w:p>
    <w:p w14:paraId="58CB8044" w14:textId="77777777" w:rsidR="003D1FAF" w:rsidRPr="00CE0885" w:rsidRDefault="003D1FAF" w:rsidP="003D1FAF">
      <w:pPr>
        <w:widowControl w:val="0"/>
        <w:spacing w:line="360" w:lineRule="auto"/>
        <w:ind w:left="714"/>
        <w:jc w:val="both"/>
        <w:rPr>
          <w:rFonts w:cs="Arial"/>
          <w:bCs w:val="0"/>
          <w:szCs w:val="24"/>
          <w:lang w:eastAsia="en-GB"/>
        </w:rPr>
      </w:pPr>
    </w:p>
    <w:p w14:paraId="12048620" w14:textId="77777777" w:rsidR="003D1FAF" w:rsidRPr="00CE0885" w:rsidRDefault="003D1FAF" w:rsidP="00BF1FEC">
      <w:pPr>
        <w:pStyle w:val="Heading4"/>
      </w:pPr>
      <w:r w:rsidRPr="00CE0885">
        <w:t xml:space="preserve">Coverage: The Patient Register is a broad coverage source, but some groups are not included (under-coverage of total population) and there are also some over-coverage issues. Evidence from ONS shows that over-coverage tends to be the larger issue, with the Patient Register having 4.3% more people registered than the 2011 Census estimate of population, whilst we are aware in NHS England the range can be 3 to 8% </w:t>
      </w:r>
    </w:p>
    <w:p w14:paraId="529A2FCC" w14:textId="77777777" w:rsidR="003D1FAF" w:rsidRPr="00CE0885" w:rsidRDefault="003D1FAF" w:rsidP="00BF1FEC">
      <w:pPr>
        <w:pStyle w:val="Heading4"/>
      </w:pPr>
      <w:r w:rsidRPr="00CE0885">
        <w:t>The following groups are not included in GP Practice Register, and may be the cause of statistical under-coverage:</w:t>
      </w:r>
    </w:p>
    <w:p w14:paraId="00288B77" w14:textId="77777777" w:rsidR="003D1FAF" w:rsidRPr="00CE5A3A" w:rsidRDefault="003D1FAF" w:rsidP="005A7DDA">
      <w:pPr>
        <w:pStyle w:val="BodyText"/>
        <w:numPr>
          <w:ilvl w:val="0"/>
          <w:numId w:val="133"/>
        </w:numPr>
        <w:rPr>
          <w:sz w:val="24"/>
          <w:szCs w:val="24"/>
        </w:rPr>
      </w:pPr>
      <w:r w:rsidRPr="00CE5A3A">
        <w:rPr>
          <w:sz w:val="24"/>
          <w:szCs w:val="24"/>
        </w:rPr>
        <w:t>patients solely registered with private GPs</w:t>
      </w:r>
    </w:p>
    <w:p w14:paraId="2E7B0C5A" w14:textId="77777777" w:rsidR="003D1FAF" w:rsidRPr="00CE5A3A" w:rsidRDefault="003D1FAF" w:rsidP="005A7DDA">
      <w:pPr>
        <w:pStyle w:val="BodyText"/>
        <w:numPr>
          <w:ilvl w:val="0"/>
          <w:numId w:val="133"/>
        </w:numPr>
        <w:rPr>
          <w:sz w:val="24"/>
          <w:szCs w:val="24"/>
        </w:rPr>
      </w:pPr>
      <w:r w:rsidRPr="00CE5A3A">
        <w:rPr>
          <w:sz w:val="24"/>
          <w:szCs w:val="24"/>
        </w:rPr>
        <w:t>babies that have yet to be registered at a GP practice</w:t>
      </w:r>
    </w:p>
    <w:p w14:paraId="4195B469" w14:textId="77777777" w:rsidR="003D1FAF" w:rsidRPr="00CE5A3A" w:rsidRDefault="003D1FAF" w:rsidP="005A7DDA">
      <w:pPr>
        <w:pStyle w:val="BodyText"/>
        <w:numPr>
          <w:ilvl w:val="0"/>
          <w:numId w:val="133"/>
        </w:numPr>
        <w:rPr>
          <w:sz w:val="24"/>
          <w:szCs w:val="24"/>
        </w:rPr>
      </w:pPr>
      <w:r w:rsidRPr="00CE5A3A">
        <w:rPr>
          <w:sz w:val="24"/>
          <w:szCs w:val="24"/>
        </w:rPr>
        <w:t>migrants into the UK who have yet to register</w:t>
      </w:r>
    </w:p>
    <w:p w14:paraId="2736EE99" w14:textId="77777777" w:rsidR="003D1FAF" w:rsidRPr="00CE5A3A" w:rsidRDefault="003D1FAF" w:rsidP="005A7DDA">
      <w:pPr>
        <w:pStyle w:val="BodyText"/>
        <w:numPr>
          <w:ilvl w:val="0"/>
          <w:numId w:val="133"/>
        </w:numPr>
        <w:rPr>
          <w:sz w:val="24"/>
          <w:szCs w:val="24"/>
        </w:rPr>
      </w:pPr>
      <w:r w:rsidRPr="00CE5A3A">
        <w:rPr>
          <w:sz w:val="24"/>
          <w:szCs w:val="24"/>
        </w:rPr>
        <w:t>armed forces (though some remain on GP lists)</w:t>
      </w:r>
    </w:p>
    <w:p w14:paraId="016C1DE1" w14:textId="77777777" w:rsidR="003D1FAF" w:rsidRPr="00CE5A3A" w:rsidRDefault="003D1FAF" w:rsidP="005A7DDA">
      <w:pPr>
        <w:pStyle w:val="BodyText"/>
        <w:numPr>
          <w:ilvl w:val="0"/>
          <w:numId w:val="133"/>
        </w:numPr>
        <w:rPr>
          <w:sz w:val="24"/>
          <w:szCs w:val="24"/>
        </w:rPr>
      </w:pPr>
      <w:r w:rsidRPr="00CE5A3A">
        <w:rPr>
          <w:sz w:val="24"/>
          <w:szCs w:val="24"/>
        </w:rPr>
        <w:t>some armed forces dependants</w:t>
      </w:r>
    </w:p>
    <w:p w14:paraId="2BC3005B" w14:textId="77777777" w:rsidR="003D1FAF" w:rsidRPr="00CE5A3A" w:rsidRDefault="003D1FAF" w:rsidP="005A7DDA">
      <w:pPr>
        <w:pStyle w:val="BodyText"/>
        <w:numPr>
          <w:ilvl w:val="0"/>
          <w:numId w:val="133"/>
        </w:numPr>
        <w:rPr>
          <w:sz w:val="24"/>
          <w:szCs w:val="24"/>
        </w:rPr>
      </w:pPr>
      <w:r w:rsidRPr="00CE5A3A">
        <w:rPr>
          <w:sz w:val="24"/>
          <w:szCs w:val="24"/>
        </w:rPr>
        <w:t>prisoners (other than those with a sentence under 6 months)</w:t>
      </w:r>
    </w:p>
    <w:p w14:paraId="72F15EB3" w14:textId="77777777" w:rsidR="003D1FAF" w:rsidRPr="00CE5A3A" w:rsidRDefault="003D1FAF" w:rsidP="005A7DDA">
      <w:pPr>
        <w:pStyle w:val="BodyText"/>
        <w:numPr>
          <w:ilvl w:val="0"/>
          <w:numId w:val="133"/>
        </w:numPr>
        <w:rPr>
          <w:sz w:val="24"/>
          <w:szCs w:val="24"/>
        </w:rPr>
      </w:pPr>
      <w:r w:rsidRPr="00CE5A3A">
        <w:rPr>
          <w:sz w:val="24"/>
          <w:szCs w:val="24"/>
        </w:rPr>
        <w:t xml:space="preserve">some prisoners with a short sentence who have received medical </w:t>
      </w:r>
      <w:r w:rsidRPr="00CE5A3A">
        <w:rPr>
          <w:sz w:val="24"/>
          <w:szCs w:val="24"/>
        </w:rPr>
        <w:lastRenderedPageBreak/>
        <w:t>assistance in prison</w:t>
      </w:r>
    </w:p>
    <w:p w14:paraId="30CAF4D9" w14:textId="77777777" w:rsidR="003D1FAF" w:rsidRPr="00CE5A3A" w:rsidRDefault="003D1FAF" w:rsidP="005A7DDA">
      <w:pPr>
        <w:pStyle w:val="BodyText"/>
        <w:numPr>
          <w:ilvl w:val="0"/>
          <w:numId w:val="133"/>
        </w:numPr>
        <w:rPr>
          <w:sz w:val="24"/>
          <w:szCs w:val="24"/>
        </w:rPr>
      </w:pPr>
      <w:r w:rsidRPr="00CE5A3A">
        <w:rPr>
          <w:sz w:val="24"/>
          <w:szCs w:val="24"/>
        </w:rPr>
        <w:t>patients who have been removed through ”no contact” measures</w:t>
      </w:r>
    </w:p>
    <w:p w14:paraId="751FF5C8" w14:textId="77777777" w:rsidR="003D1FAF" w:rsidRPr="00CE5A3A" w:rsidRDefault="003D1FAF" w:rsidP="005A7DDA">
      <w:pPr>
        <w:pStyle w:val="BodyText"/>
        <w:numPr>
          <w:ilvl w:val="0"/>
          <w:numId w:val="133"/>
        </w:numPr>
        <w:rPr>
          <w:sz w:val="24"/>
          <w:szCs w:val="24"/>
        </w:rPr>
      </w:pPr>
      <w:r w:rsidRPr="00CE5A3A">
        <w:rPr>
          <w:sz w:val="24"/>
          <w:szCs w:val="24"/>
        </w:rPr>
        <w:t>patients with a temporary NHS number, where no ”permanent” number exists or where their permanent number is not on a GP register</w:t>
      </w:r>
    </w:p>
    <w:p w14:paraId="6624E866" w14:textId="77777777" w:rsidR="003D1FAF" w:rsidRPr="00CE0885" w:rsidRDefault="003D1FAF" w:rsidP="00BF1FEC">
      <w:pPr>
        <w:pStyle w:val="Heading4"/>
      </w:pPr>
      <w:r w:rsidRPr="00CE0885">
        <w:t>The following groups, for some statistical purposes, may be thought of as over-coverage:</w:t>
      </w:r>
    </w:p>
    <w:p w14:paraId="30F47CE1" w14:textId="77777777" w:rsidR="003D1FAF" w:rsidRPr="00CE5A3A" w:rsidRDefault="003D1FAF" w:rsidP="005A7DDA">
      <w:pPr>
        <w:pStyle w:val="BodyText"/>
        <w:numPr>
          <w:ilvl w:val="0"/>
          <w:numId w:val="133"/>
        </w:numPr>
        <w:rPr>
          <w:sz w:val="24"/>
          <w:szCs w:val="24"/>
        </w:rPr>
      </w:pPr>
      <w:r w:rsidRPr="00CE5A3A">
        <w:rPr>
          <w:sz w:val="24"/>
          <w:szCs w:val="24"/>
        </w:rPr>
        <w:t>patients who are no longer resident in the UK (emigrants)</w:t>
      </w:r>
    </w:p>
    <w:p w14:paraId="2E6785D4" w14:textId="77777777" w:rsidR="003D1FAF" w:rsidRPr="00CE5A3A" w:rsidRDefault="003D1FAF" w:rsidP="005A7DDA">
      <w:pPr>
        <w:pStyle w:val="BodyText"/>
        <w:numPr>
          <w:ilvl w:val="0"/>
          <w:numId w:val="133"/>
        </w:numPr>
        <w:rPr>
          <w:sz w:val="24"/>
          <w:szCs w:val="24"/>
        </w:rPr>
      </w:pPr>
      <w:r w:rsidRPr="00CE5A3A">
        <w:rPr>
          <w:sz w:val="24"/>
          <w:szCs w:val="24"/>
        </w:rPr>
        <w:t>patients who are staying in the UK for only a short period</w:t>
      </w:r>
    </w:p>
    <w:p w14:paraId="5485D16F" w14:textId="77777777" w:rsidR="003D1FAF" w:rsidRPr="00CE5A3A" w:rsidRDefault="003D1FAF" w:rsidP="005A7DDA">
      <w:pPr>
        <w:pStyle w:val="BodyText"/>
        <w:numPr>
          <w:ilvl w:val="0"/>
          <w:numId w:val="133"/>
        </w:numPr>
        <w:rPr>
          <w:sz w:val="24"/>
          <w:szCs w:val="24"/>
        </w:rPr>
      </w:pPr>
      <w:r w:rsidRPr="00CE5A3A">
        <w:rPr>
          <w:sz w:val="24"/>
          <w:szCs w:val="24"/>
        </w:rPr>
        <w:t>duplicate records</w:t>
      </w:r>
    </w:p>
    <w:p w14:paraId="2CC06ABD" w14:textId="77777777" w:rsidR="003D1FAF" w:rsidRPr="00DF3DF4" w:rsidRDefault="003D1FAF" w:rsidP="00DF3DF4">
      <w:pPr>
        <w:pStyle w:val="Heading3"/>
        <w:rPr>
          <w:b/>
          <w:lang w:eastAsia="en-GB"/>
        </w:rPr>
      </w:pPr>
      <w:r w:rsidRPr="00DF3DF4">
        <w:rPr>
          <w:b/>
          <w:lang w:eastAsia="en-GB"/>
        </w:rPr>
        <w:t>What local checks could be undertaken</w:t>
      </w:r>
    </w:p>
    <w:p w14:paraId="6CCB9F36" w14:textId="77777777" w:rsidR="003D1FAF" w:rsidRPr="00CE0885" w:rsidRDefault="003D1FAF" w:rsidP="00BF1FEC">
      <w:pPr>
        <w:pStyle w:val="Heading4"/>
      </w:pPr>
      <w:r w:rsidRPr="00CE0885">
        <w:lastRenderedPageBreak/>
        <w:t>Utilising the data sources and data listed section (3) above and the intelligence from ONS in section (4), Commissioners can determine where they may wish to focus attention and or support for practice.  Decisions should be made locally and on a case by case basis.  Commissioners may wish to undertake analysis internally, or work with a partner such as a Commissioning Support Unit (CSU) who would work with their DSCRO (Data Services for Commissioners Regional Offices) should they wish to interrogate record level data that has been appropriately processed.</w:t>
      </w:r>
    </w:p>
    <w:p w14:paraId="5AA7D08E" w14:textId="77777777" w:rsidR="003D1FAF" w:rsidRPr="00CE0885" w:rsidRDefault="003D1FAF" w:rsidP="00BF1FEC">
      <w:pPr>
        <w:pStyle w:val="Heading4"/>
      </w:pPr>
      <w:r w:rsidRPr="00CE0885">
        <w:t>Comparing data sources and geographies</w:t>
      </w:r>
    </w:p>
    <w:p w14:paraId="72F8ADD3" w14:textId="77777777" w:rsidR="003D1FAF" w:rsidRPr="00CE0885" w:rsidRDefault="003D1FAF" w:rsidP="00BF1FEC">
      <w:pPr>
        <w:pStyle w:val="Heading5"/>
      </w:pPr>
      <w:r w:rsidRPr="00CE0885">
        <w:t>Trends in CCG resident population estimates compared to trends in GP registered populations</w:t>
      </w:r>
    </w:p>
    <w:p w14:paraId="49317A7A" w14:textId="77777777" w:rsidR="003D1FAF" w:rsidRPr="00CE0885" w:rsidRDefault="003D1FAF" w:rsidP="00BF1FEC">
      <w:pPr>
        <w:pStyle w:val="Heading5"/>
      </w:pPr>
      <w:r w:rsidRPr="00CE0885">
        <w:t>Are the proportions similar?</w:t>
      </w:r>
    </w:p>
    <w:p w14:paraId="0A3479DC" w14:textId="77777777" w:rsidR="003D1FAF" w:rsidRPr="00CE0885" w:rsidRDefault="003D1FAF" w:rsidP="00BF1FEC">
      <w:pPr>
        <w:pStyle w:val="Heading5"/>
      </w:pPr>
      <w:r w:rsidRPr="00CE0885">
        <w:t>Are all the GP practices in within the CCG areas increasing / decreasing with similar proportions?</w:t>
      </w:r>
    </w:p>
    <w:p w14:paraId="1A3390BE" w14:textId="77777777" w:rsidR="003D1FAF" w:rsidRPr="00CE0885" w:rsidRDefault="003D1FAF" w:rsidP="00BF1FEC">
      <w:pPr>
        <w:pStyle w:val="Heading5"/>
      </w:pPr>
      <w:r w:rsidRPr="00CE0885">
        <w:t>Are there any practices significantly variant in comparison to  other practices and the CCG trend</w:t>
      </w:r>
    </w:p>
    <w:p w14:paraId="474475C1" w14:textId="77777777" w:rsidR="003D1FAF" w:rsidRPr="00CE0885" w:rsidRDefault="003D1FAF" w:rsidP="00BF1FEC">
      <w:pPr>
        <w:pStyle w:val="Heading5"/>
      </w:pPr>
      <w:r w:rsidRPr="00CE0885">
        <w:t>Have there been any practice mergers or closures resulting in list dispersal?</w:t>
      </w:r>
    </w:p>
    <w:p w14:paraId="286657D0" w14:textId="77777777" w:rsidR="003D1FAF" w:rsidRPr="00CE0885" w:rsidRDefault="003D1FAF" w:rsidP="00BF1FEC">
      <w:pPr>
        <w:pStyle w:val="Heading5"/>
      </w:pPr>
      <w:r w:rsidRPr="00CE0885">
        <w:t>Have there been any new and large scale property developments recently</w:t>
      </w:r>
    </w:p>
    <w:p w14:paraId="79439336" w14:textId="77777777" w:rsidR="003D1FAF" w:rsidRPr="00CE0885" w:rsidRDefault="003D1FAF" w:rsidP="00BF1FEC">
      <w:pPr>
        <w:pStyle w:val="Heading5"/>
      </w:pPr>
      <w:r w:rsidRPr="00CE0885">
        <w:t>Trends in LSOA population (ONS estimates) compared to trends in GP registered populations (LSOA data from NHS Digital)</w:t>
      </w:r>
    </w:p>
    <w:p w14:paraId="307377DA" w14:textId="77777777" w:rsidR="003D1FAF" w:rsidRPr="00CE0885" w:rsidRDefault="003D1FAF" w:rsidP="00BF1FEC">
      <w:pPr>
        <w:pStyle w:val="Heading5"/>
      </w:pPr>
      <w:r w:rsidRPr="00CE0885">
        <w:t>Are the proportions similar?</w:t>
      </w:r>
    </w:p>
    <w:p w14:paraId="58C9BC23" w14:textId="77777777" w:rsidR="003D1FAF" w:rsidRPr="00CE0885" w:rsidRDefault="003D1FAF" w:rsidP="00BF1FEC">
      <w:pPr>
        <w:pStyle w:val="Heading5"/>
      </w:pPr>
      <w:r w:rsidRPr="00CE0885">
        <w:t xml:space="preserve">Which LSOAs fall within the practice boundary? (this may require the support of a 3rd party. Can you map record level patient data to determine in which LSOAs the  practice has the majority of its patients </w:t>
      </w:r>
      <w:r w:rsidRPr="00CE0885">
        <w:rPr>
          <w:i/>
        </w:rPr>
        <w:t>[DN: discussing with Primary Care Website developers if they could provide this]</w:t>
      </w:r>
    </w:p>
    <w:p w14:paraId="4E4371AA" w14:textId="77777777" w:rsidR="003D1FAF" w:rsidRPr="00CE0885" w:rsidRDefault="003D1FAF" w:rsidP="00BF1FEC">
      <w:pPr>
        <w:pStyle w:val="Heading5"/>
      </w:pPr>
      <w:r w:rsidRPr="00CE0885">
        <w:lastRenderedPageBreak/>
        <w:t>Are the LSOA populations (resident and registered) mapped to GP practices, increasing / decreasing in broadly the same proportions as the GP practice as whole?</w:t>
      </w:r>
    </w:p>
    <w:p w14:paraId="0C6C76A1" w14:textId="77777777" w:rsidR="003D1FAF" w:rsidRPr="00CE0885" w:rsidRDefault="003D1FAF" w:rsidP="00BF1FEC">
      <w:pPr>
        <w:pStyle w:val="Heading5"/>
      </w:pPr>
      <w:r w:rsidRPr="00CE0885">
        <w:t>How do they compare to other neighbouring practices?</w:t>
      </w:r>
    </w:p>
    <w:p w14:paraId="380FB93C" w14:textId="77777777" w:rsidR="003D1FAF" w:rsidRPr="00CE0885" w:rsidRDefault="003D1FAF" w:rsidP="00BF1FEC">
      <w:pPr>
        <w:pStyle w:val="Heading5"/>
      </w:pPr>
      <w:r w:rsidRPr="00CE0885">
        <w:t>Have there been any practice mergers, or closures resulting in list dispersal</w:t>
      </w:r>
    </w:p>
    <w:p w14:paraId="4E41F5DB" w14:textId="77777777" w:rsidR="003D1FAF" w:rsidRPr="00CE0885" w:rsidRDefault="003D1FAF" w:rsidP="00BF1FEC">
      <w:pPr>
        <w:pStyle w:val="Heading5"/>
      </w:pPr>
      <w:r w:rsidRPr="00CE0885">
        <w:t>Have there been any new and large scale property developments recently</w:t>
      </w:r>
    </w:p>
    <w:p w14:paraId="5381C233" w14:textId="77777777" w:rsidR="003D1FAF" w:rsidRPr="00CE0885" w:rsidRDefault="003D1FAF" w:rsidP="00BF1FEC">
      <w:pPr>
        <w:pStyle w:val="Heading5"/>
      </w:pPr>
      <w:r w:rsidRPr="00CE0885">
        <w:t>Is there any in-depth work that could be undertaking by working with a partner (CSU) and record level record data?</w:t>
      </w:r>
    </w:p>
    <w:p w14:paraId="34041118" w14:textId="77777777" w:rsidR="003D1FAF" w:rsidRPr="00CE0885" w:rsidRDefault="003D1FAF" w:rsidP="00BF1FEC">
      <w:pPr>
        <w:pStyle w:val="Heading4"/>
      </w:pPr>
      <w:r w:rsidRPr="00CE0885">
        <w:t>These consideration provide a sample of check that could be embarked on when undertaking a targeted list maintenance exercise.</w:t>
      </w:r>
    </w:p>
    <w:p w14:paraId="1B109525" w14:textId="77777777" w:rsidR="003D1FAF" w:rsidRPr="00CE0885" w:rsidRDefault="003D1FAF" w:rsidP="003D1FAF">
      <w:pPr>
        <w:widowControl w:val="0"/>
        <w:tabs>
          <w:tab w:val="left" w:pos="2268"/>
        </w:tabs>
        <w:spacing w:line="360" w:lineRule="auto"/>
        <w:jc w:val="both"/>
        <w:outlineLvl w:val="1"/>
        <w:rPr>
          <w:rFonts w:cs="Arial"/>
          <w:bCs w:val="0"/>
          <w:szCs w:val="24"/>
          <w:lang w:eastAsia="en-GB"/>
        </w:rPr>
      </w:pPr>
      <w:r w:rsidRPr="00CE0885">
        <w:rPr>
          <w:rFonts w:cs="Arial"/>
          <w:bCs w:val="0"/>
          <w:szCs w:val="24"/>
          <w:lang w:eastAsia="en-GB"/>
        </w:rPr>
        <w:br w:type="page"/>
      </w:r>
    </w:p>
    <w:p w14:paraId="66367498" w14:textId="77777777" w:rsidR="003D1FAF" w:rsidRPr="00CE0885" w:rsidRDefault="003D1FAF" w:rsidP="00DF3DF4">
      <w:pPr>
        <w:pStyle w:val="Heading2"/>
        <w:rPr>
          <w:lang w:eastAsia="en-GB"/>
        </w:rPr>
      </w:pPr>
      <w:bookmarkStart w:id="386" w:name="_Toc498495353"/>
      <w:r w:rsidRPr="00CE0885">
        <w:rPr>
          <w:lang w:eastAsia="en-GB"/>
        </w:rPr>
        <w:t>PART C: MANAGING CLOSED LISTS</w:t>
      </w:r>
      <w:bookmarkEnd w:id="386"/>
    </w:p>
    <w:p w14:paraId="5223E859" w14:textId="77777777" w:rsidR="003D1FAF" w:rsidRPr="00DF3DF4" w:rsidRDefault="003D1FAF" w:rsidP="00DF3DF4">
      <w:pPr>
        <w:pStyle w:val="Heading3"/>
        <w:rPr>
          <w:b/>
          <w:lang w:eastAsia="en-GB"/>
        </w:rPr>
      </w:pPr>
      <w:bookmarkStart w:id="387" w:name="_Toc440982633"/>
      <w:r w:rsidRPr="00DF3DF4">
        <w:rPr>
          <w:b/>
          <w:lang w:eastAsia="en-GB"/>
        </w:rPr>
        <w:t>Scope</w:t>
      </w:r>
      <w:bookmarkEnd w:id="387"/>
      <w:r w:rsidRPr="00DF3DF4">
        <w:rPr>
          <w:b/>
          <w:lang w:eastAsia="en-GB"/>
        </w:rPr>
        <w:t xml:space="preserve"> </w:t>
      </w:r>
    </w:p>
    <w:p w14:paraId="46958535" w14:textId="77777777" w:rsidR="003D1FAF" w:rsidRPr="00CE0885" w:rsidRDefault="003D1FAF" w:rsidP="00BF1FEC">
      <w:pPr>
        <w:pStyle w:val="Heading4"/>
      </w:pPr>
      <w:bookmarkStart w:id="388" w:name="_Toc440982634"/>
      <w:r w:rsidRPr="00CE0885">
        <w:t>This Part C sets out the processes to be implemented when managing applications to close patient lists and to extend a closure period.</w:t>
      </w:r>
      <w:bookmarkEnd w:id="388"/>
    </w:p>
    <w:p w14:paraId="71242B27" w14:textId="77777777" w:rsidR="003D1FAF" w:rsidRPr="00CE0885" w:rsidRDefault="003D1FAF" w:rsidP="00BF1FEC">
      <w:pPr>
        <w:pStyle w:val="Heading4"/>
      </w:pPr>
      <w:bookmarkStart w:id="389" w:name="_Toc440982635"/>
      <w:r w:rsidRPr="00CE0885">
        <w:t>At all stages throughout these processes, it is essential that the Commissioner works with the contractor and the LMC to ensure clear and transparent decision making and that all decisions are made in line with internal governance arrangements.</w:t>
      </w:r>
      <w:bookmarkEnd w:id="389"/>
    </w:p>
    <w:p w14:paraId="13985C66" w14:textId="77777777" w:rsidR="003D1FAF" w:rsidRPr="009055A7" w:rsidRDefault="003D1FAF" w:rsidP="003D1FAF">
      <w:pPr>
        <w:widowControl w:val="0"/>
        <w:spacing w:line="360" w:lineRule="auto"/>
        <w:ind w:left="1414"/>
        <w:jc w:val="both"/>
        <w:rPr>
          <w:rFonts w:cs="Arial"/>
          <w:bCs w:val="0"/>
          <w:sz w:val="20"/>
          <w:szCs w:val="20"/>
          <w:lang w:eastAsia="en-GB"/>
        </w:rPr>
      </w:pPr>
    </w:p>
    <w:p w14:paraId="571D77D1" w14:textId="77777777" w:rsidR="003D1FAF" w:rsidRPr="00DF3DF4" w:rsidRDefault="003D1FAF" w:rsidP="00DF3DF4">
      <w:pPr>
        <w:pStyle w:val="Heading3"/>
        <w:rPr>
          <w:b/>
          <w:lang w:eastAsia="en-GB"/>
        </w:rPr>
      </w:pPr>
      <w:bookmarkStart w:id="390" w:name="_Toc440982636"/>
      <w:r w:rsidRPr="00DF3DF4">
        <w:rPr>
          <w:b/>
          <w:lang w:eastAsia="en-GB"/>
        </w:rPr>
        <w:t>Applications to Close a Patient List</w:t>
      </w:r>
      <w:bookmarkEnd w:id="390"/>
    </w:p>
    <w:p w14:paraId="208A60B3" w14:textId="77777777" w:rsidR="003D1FAF" w:rsidRPr="00CE0885" w:rsidRDefault="003D1FAF" w:rsidP="00BF1FEC">
      <w:pPr>
        <w:pStyle w:val="Heading4"/>
      </w:pPr>
      <w:bookmarkStart w:id="391" w:name="_Toc440982637"/>
      <w:r w:rsidRPr="00CE0885">
        <w:t>Sometimes a contractor may wish to close its list to new registrations e.g. where there are internal capacity issues or premises refurbishments. The contractor must seek approval from the Commissioner by a written application (the "Application") before this may happen. A template Application for the contractor to complete is attached in Annex 1. The contractor should use the template Application to ensure it completes all the required information. The contractor may obtain the application itself (for example by accessing this policy) or it may be requested by the contractor. An example covering letter from the Commissioner to the contractor enclosing an application form is in Annex 2.</w:t>
      </w:r>
      <w:bookmarkEnd w:id="391"/>
    </w:p>
    <w:p w14:paraId="77AC6959" w14:textId="77777777" w:rsidR="003D1FAF" w:rsidRPr="00CE0885" w:rsidRDefault="003D1FAF" w:rsidP="00BF1FEC">
      <w:pPr>
        <w:pStyle w:val="Heading4"/>
      </w:pPr>
      <w:bookmarkStart w:id="392" w:name="_Toc440982638"/>
      <w:r w:rsidRPr="00CE0885">
        <w:t>The Commissioner must acknowledge receipt of the Application within seven days of its receipt and may request further information from the contractor to enable it to consider the Application thoroughly.</w:t>
      </w:r>
      <w:bookmarkEnd w:id="392"/>
    </w:p>
    <w:p w14:paraId="2C526F9F" w14:textId="77777777" w:rsidR="003D1FAF" w:rsidRPr="00CE0885" w:rsidRDefault="003D1FAF" w:rsidP="00BF1FEC">
      <w:pPr>
        <w:pStyle w:val="Heading4"/>
      </w:pPr>
      <w:bookmarkStart w:id="393" w:name="_Toc440982639"/>
      <w:r w:rsidRPr="00CE0885">
        <w:t>With a view to possibly enabling the contractor to keep its list of patients open, the Commissioner and the contractor must talk openly to establish:</w:t>
      </w:r>
      <w:bookmarkEnd w:id="393"/>
    </w:p>
    <w:p w14:paraId="7190FD00" w14:textId="77777777" w:rsidR="003D1FAF" w:rsidRPr="00BF1FEC" w:rsidRDefault="003D1FAF" w:rsidP="005A7DDA">
      <w:pPr>
        <w:pStyle w:val="ListParagraph"/>
        <w:widowControl w:val="0"/>
        <w:numPr>
          <w:ilvl w:val="0"/>
          <w:numId w:val="74"/>
        </w:numPr>
        <w:spacing w:before="120" w:after="120" w:line="360" w:lineRule="auto"/>
        <w:ind w:left="714" w:hanging="357"/>
        <w:jc w:val="both"/>
        <w:outlineLvl w:val="2"/>
        <w:rPr>
          <w:rFonts w:cs="Arial"/>
          <w:bCs w:val="0"/>
          <w:szCs w:val="24"/>
          <w:lang w:eastAsia="en-GB"/>
        </w:rPr>
      </w:pPr>
      <w:bookmarkStart w:id="394" w:name="_Toc440982640"/>
      <w:r w:rsidRPr="00BF1FEC">
        <w:rPr>
          <w:rFonts w:cs="Arial"/>
          <w:bCs w:val="0"/>
          <w:szCs w:val="24"/>
          <w:lang w:eastAsia="en-GB"/>
        </w:rPr>
        <w:t>what support the Commissioner may give the contractor; or</w:t>
      </w:r>
      <w:bookmarkEnd w:id="394"/>
      <w:r w:rsidRPr="00BF1FEC">
        <w:rPr>
          <w:rFonts w:cs="Arial"/>
          <w:bCs w:val="0"/>
          <w:szCs w:val="24"/>
          <w:lang w:eastAsia="en-GB"/>
        </w:rPr>
        <w:t xml:space="preserve"> </w:t>
      </w:r>
    </w:p>
    <w:p w14:paraId="6246EBD3" w14:textId="77777777" w:rsidR="003D1FAF" w:rsidRPr="00BF1FEC" w:rsidRDefault="003D1FAF" w:rsidP="005A7DDA">
      <w:pPr>
        <w:pStyle w:val="ListParagraph"/>
        <w:widowControl w:val="0"/>
        <w:numPr>
          <w:ilvl w:val="0"/>
          <w:numId w:val="74"/>
        </w:numPr>
        <w:spacing w:before="120" w:after="120" w:line="360" w:lineRule="auto"/>
        <w:ind w:left="714" w:hanging="357"/>
        <w:jc w:val="both"/>
        <w:outlineLvl w:val="2"/>
        <w:rPr>
          <w:rFonts w:cs="Arial"/>
          <w:bCs w:val="0"/>
          <w:szCs w:val="24"/>
          <w:lang w:eastAsia="en-GB"/>
        </w:rPr>
      </w:pPr>
      <w:bookmarkStart w:id="395" w:name="_Toc440982641"/>
      <w:r w:rsidRPr="00BF1FEC">
        <w:rPr>
          <w:rFonts w:cs="Arial"/>
          <w:bCs w:val="0"/>
          <w:szCs w:val="24"/>
          <w:lang w:eastAsia="en-GB"/>
        </w:rPr>
        <w:t>changes the Commissioner or contractor may make.</w:t>
      </w:r>
      <w:bookmarkEnd w:id="395"/>
    </w:p>
    <w:p w14:paraId="55D1DD2F" w14:textId="77777777" w:rsidR="003D1FAF" w:rsidRPr="00CE0885" w:rsidRDefault="003D1FAF" w:rsidP="00BF1FEC">
      <w:pPr>
        <w:pStyle w:val="Heading4"/>
      </w:pPr>
      <w:bookmarkStart w:id="396" w:name="_Toc440982642"/>
      <w:r w:rsidRPr="00CE0885">
        <w:lastRenderedPageBreak/>
        <w:t>The contractor or the Commissioner may at any time throughout these discussions invite the appropriate LMC to be included in the dialogue about the application.</w:t>
      </w:r>
      <w:bookmarkEnd w:id="396"/>
    </w:p>
    <w:p w14:paraId="6F1F449D" w14:textId="29DBB09D" w:rsidR="003D1FAF" w:rsidRPr="00CE0885" w:rsidRDefault="003D1FAF" w:rsidP="00BF1FEC">
      <w:pPr>
        <w:pStyle w:val="Heading4"/>
      </w:pPr>
      <w:bookmarkStart w:id="397" w:name="_Toc440982643"/>
      <w:r w:rsidRPr="00CE0885">
        <w:t xml:space="preserve">The Commissioner should ensure compliance with the general duties of NHS England. Please refer to </w:t>
      </w:r>
      <w:r w:rsidR="00965C81">
        <w:t xml:space="preserve">the </w:t>
      </w:r>
      <w:r w:rsidRPr="00CE0885">
        <w:t xml:space="preserve">chapter </w:t>
      </w:r>
      <w:r w:rsidR="00965C81">
        <w:t xml:space="preserve">on </w:t>
      </w:r>
      <w:r w:rsidRPr="00CE0885">
        <w:t>General duties of NHS England for further information.</w:t>
      </w:r>
      <w:bookmarkEnd w:id="397"/>
      <w:r w:rsidRPr="00CE0885">
        <w:t xml:space="preserve">  </w:t>
      </w:r>
    </w:p>
    <w:p w14:paraId="1D98347F" w14:textId="77777777" w:rsidR="003D1FAF" w:rsidRPr="00CE0885" w:rsidRDefault="003D1FAF" w:rsidP="00BF1FEC">
      <w:pPr>
        <w:pStyle w:val="Heading4"/>
      </w:pPr>
      <w:bookmarkStart w:id="398" w:name="_Toc440982644"/>
      <w:r w:rsidRPr="00CE0885">
        <w:t>The contractor may withdraw the application at any time before the Commissioner makes its decision on the proposed list closure.</w:t>
      </w:r>
      <w:bookmarkEnd w:id="398"/>
    </w:p>
    <w:p w14:paraId="7322B08B" w14:textId="77777777" w:rsidR="003D1FAF" w:rsidRPr="00CE0885" w:rsidRDefault="003D1FAF" w:rsidP="00BF1FEC">
      <w:pPr>
        <w:pStyle w:val="Heading4"/>
      </w:pPr>
      <w:bookmarkStart w:id="399" w:name="_Toc440982645"/>
      <w:r w:rsidRPr="00CE0885">
        <w:t>The Commissioner must make a decision, within a period of 21 days starting on the date of receipt of the Application (or within a longer period as the parties may agree):</w:t>
      </w:r>
      <w:bookmarkEnd w:id="399"/>
    </w:p>
    <w:p w14:paraId="14DBBE7B" w14:textId="77777777" w:rsidR="003D1FAF" w:rsidRPr="00BF1FEC" w:rsidRDefault="003D1FAF" w:rsidP="005A7DDA">
      <w:pPr>
        <w:pStyle w:val="ListParagraph"/>
        <w:widowControl w:val="0"/>
        <w:numPr>
          <w:ilvl w:val="0"/>
          <w:numId w:val="75"/>
        </w:numPr>
        <w:spacing w:line="360" w:lineRule="auto"/>
        <w:jc w:val="both"/>
        <w:outlineLvl w:val="2"/>
        <w:rPr>
          <w:rFonts w:cs="Arial"/>
          <w:bCs w:val="0"/>
          <w:szCs w:val="24"/>
          <w:lang w:eastAsia="en-GB"/>
        </w:rPr>
      </w:pPr>
      <w:bookmarkStart w:id="400" w:name="_Toc440982646"/>
      <w:r w:rsidRPr="00BF1FEC">
        <w:rPr>
          <w:rFonts w:cs="Arial"/>
          <w:bCs w:val="0"/>
          <w:szCs w:val="24"/>
          <w:lang w:eastAsia="en-GB"/>
        </w:rPr>
        <w:t>to approve the Application and determine the date the closure is to take effect and the date the list of patients is to reopen; or</w:t>
      </w:r>
      <w:bookmarkEnd w:id="400"/>
      <w:r w:rsidRPr="00BF1FEC">
        <w:rPr>
          <w:rFonts w:cs="Arial"/>
          <w:bCs w:val="0"/>
          <w:szCs w:val="24"/>
          <w:lang w:eastAsia="en-GB"/>
        </w:rPr>
        <w:t xml:space="preserve"> </w:t>
      </w:r>
    </w:p>
    <w:p w14:paraId="4D27436F" w14:textId="77777777" w:rsidR="003D1FAF" w:rsidRPr="00BF1FEC" w:rsidRDefault="003D1FAF" w:rsidP="005A7DDA">
      <w:pPr>
        <w:pStyle w:val="ListParagraph"/>
        <w:widowControl w:val="0"/>
        <w:numPr>
          <w:ilvl w:val="0"/>
          <w:numId w:val="75"/>
        </w:numPr>
        <w:spacing w:line="360" w:lineRule="auto"/>
        <w:jc w:val="both"/>
        <w:outlineLvl w:val="2"/>
        <w:rPr>
          <w:rFonts w:cs="Arial"/>
          <w:bCs w:val="0"/>
          <w:szCs w:val="24"/>
          <w:lang w:eastAsia="en-GB"/>
        </w:rPr>
      </w:pPr>
      <w:bookmarkStart w:id="401" w:name="_Toc440982647"/>
      <w:r w:rsidRPr="00BF1FEC">
        <w:rPr>
          <w:rFonts w:cs="Arial"/>
          <w:bCs w:val="0"/>
          <w:szCs w:val="24"/>
          <w:lang w:eastAsia="en-GB"/>
        </w:rPr>
        <w:t>to reject the Application.</w:t>
      </w:r>
      <w:bookmarkEnd w:id="401"/>
    </w:p>
    <w:p w14:paraId="7652CF7D" w14:textId="77777777" w:rsidR="003D1FAF" w:rsidRPr="00CE0885" w:rsidRDefault="003D1FAF" w:rsidP="00BF1FEC">
      <w:pPr>
        <w:pStyle w:val="Heading4"/>
      </w:pPr>
      <w:bookmarkStart w:id="402" w:name="_Toc440982648"/>
      <w:r w:rsidRPr="00CE0885">
        <w:t>The Commissioner must notify the contractor of its decision in writing as soon as possible after the 21 day period.</w:t>
      </w:r>
      <w:bookmarkEnd w:id="402"/>
    </w:p>
    <w:p w14:paraId="61EEEA44" w14:textId="77777777" w:rsidR="003D1FAF" w:rsidRPr="009055A7" w:rsidRDefault="003D1FAF" w:rsidP="003D1FAF">
      <w:pPr>
        <w:widowControl w:val="0"/>
        <w:spacing w:line="360" w:lineRule="auto"/>
        <w:ind w:left="1414"/>
        <w:jc w:val="both"/>
        <w:rPr>
          <w:rFonts w:cs="Arial"/>
          <w:bCs w:val="0"/>
          <w:sz w:val="20"/>
          <w:szCs w:val="20"/>
          <w:lang w:eastAsia="en-GB"/>
        </w:rPr>
      </w:pPr>
    </w:p>
    <w:p w14:paraId="259E1649" w14:textId="77777777" w:rsidR="003D1FAF" w:rsidRPr="00DF3DF4" w:rsidRDefault="003D1FAF" w:rsidP="00DF3DF4">
      <w:pPr>
        <w:pStyle w:val="Heading3"/>
        <w:rPr>
          <w:b/>
          <w:lang w:eastAsia="en-GB"/>
        </w:rPr>
      </w:pPr>
      <w:bookmarkStart w:id="403" w:name="_Toc440982649"/>
      <w:r w:rsidRPr="00DF3DF4">
        <w:rPr>
          <w:b/>
          <w:lang w:eastAsia="en-GB"/>
        </w:rPr>
        <w:t>Approval of Patient List Closure: Closure Notice</w:t>
      </w:r>
      <w:bookmarkEnd w:id="403"/>
    </w:p>
    <w:p w14:paraId="3CC9B15B" w14:textId="77777777" w:rsidR="003D1FAF" w:rsidRPr="00CE0885" w:rsidRDefault="003D1FAF" w:rsidP="00BF1FEC">
      <w:pPr>
        <w:pStyle w:val="Heading4"/>
      </w:pPr>
      <w:bookmarkStart w:id="404" w:name="_Toc440982650"/>
      <w:r w:rsidRPr="00CE0885">
        <w:t>Where the Commissioner has granted approval for closure of the patient list, a closure notice must be issued to the contractor as soon as possible after the decision is reached, with a copy to the LMC for its area (if any) and to any person consulted in the decision-making process. The Commissioner should use the template notice in Annex 4 to ensure it responds to the contractor with all the required information.</w:t>
      </w:r>
      <w:bookmarkEnd w:id="404"/>
      <w:r w:rsidRPr="00CE0885">
        <w:t xml:space="preserve"> </w:t>
      </w:r>
    </w:p>
    <w:p w14:paraId="20A5CACD" w14:textId="77777777" w:rsidR="003D1FAF" w:rsidRPr="00CE0885" w:rsidRDefault="003D1FAF" w:rsidP="00BF1FEC">
      <w:pPr>
        <w:pStyle w:val="Heading4"/>
      </w:pPr>
      <w:bookmarkStart w:id="405" w:name="_Toc440982651"/>
      <w:r w:rsidRPr="00CE0885">
        <w:t>The contractor must close the list on the date in the notice and the list should remain closed for the time specified unless the Commissioner and the contractor agree that the list should be re-opened to patients before the expiry of the closure period.</w:t>
      </w:r>
      <w:bookmarkEnd w:id="405"/>
    </w:p>
    <w:p w14:paraId="1361CCAD" w14:textId="77777777" w:rsidR="003D1FAF" w:rsidRPr="009055A7" w:rsidRDefault="003D1FAF" w:rsidP="003D1FAF">
      <w:pPr>
        <w:widowControl w:val="0"/>
        <w:spacing w:line="360" w:lineRule="auto"/>
        <w:ind w:left="1414"/>
        <w:jc w:val="both"/>
        <w:rPr>
          <w:rFonts w:cs="Arial"/>
          <w:bCs w:val="0"/>
          <w:sz w:val="20"/>
          <w:szCs w:val="20"/>
          <w:lang w:eastAsia="en-GB"/>
        </w:rPr>
      </w:pPr>
    </w:p>
    <w:p w14:paraId="29F5D726" w14:textId="77777777" w:rsidR="003D1FAF" w:rsidRPr="00DF3DF4" w:rsidRDefault="003D1FAF" w:rsidP="00DF3DF4">
      <w:pPr>
        <w:pStyle w:val="Heading3"/>
        <w:rPr>
          <w:b/>
          <w:lang w:eastAsia="en-GB"/>
        </w:rPr>
      </w:pPr>
      <w:bookmarkStart w:id="406" w:name="_Toc440982652"/>
      <w:r w:rsidRPr="00DF3DF4">
        <w:rPr>
          <w:b/>
          <w:lang w:eastAsia="en-GB"/>
        </w:rPr>
        <w:t>Rejection of Application for List Closure</w:t>
      </w:r>
      <w:bookmarkEnd w:id="406"/>
    </w:p>
    <w:p w14:paraId="574B9F86" w14:textId="77777777" w:rsidR="003D1FAF" w:rsidRPr="00CE0885" w:rsidRDefault="003D1FAF" w:rsidP="00BF1FEC">
      <w:pPr>
        <w:pStyle w:val="Heading4"/>
      </w:pPr>
      <w:bookmarkStart w:id="407" w:name="_Toc440982653"/>
      <w:r w:rsidRPr="00CE0885">
        <w:lastRenderedPageBreak/>
        <w:t>When the Commissioner decides to reject an application to close a list of patients it must as soon as possible:</w:t>
      </w:r>
      <w:bookmarkEnd w:id="407"/>
      <w:r w:rsidRPr="00CE0885">
        <w:t xml:space="preserve"> </w:t>
      </w:r>
    </w:p>
    <w:p w14:paraId="0B33C5E7" w14:textId="77777777" w:rsidR="003D1FAF" w:rsidRPr="00BF1FEC" w:rsidRDefault="003D1FAF" w:rsidP="005A7DDA">
      <w:pPr>
        <w:pStyle w:val="ListParagraph"/>
        <w:widowControl w:val="0"/>
        <w:numPr>
          <w:ilvl w:val="0"/>
          <w:numId w:val="76"/>
        </w:numPr>
        <w:spacing w:before="120" w:after="120" w:line="360" w:lineRule="auto"/>
        <w:ind w:left="714" w:hanging="357"/>
        <w:jc w:val="both"/>
        <w:outlineLvl w:val="2"/>
        <w:rPr>
          <w:rFonts w:cs="Arial"/>
          <w:bCs w:val="0"/>
          <w:szCs w:val="24"/>
          <w:lang w:eastAsia="en-GB"/>
        </w:rPr>
      </w:pPr>
      <w:bookmarkStart w:id="408" w:name="_Toc440982654"/>
      <w:r w:rsidRPr="00BF1FEC">
        <w:rPr>
          <w:rFonts w:cs="Arial"/>
          <w:bCs w:val="0"/>
          <w:szCs w:val="24"/>
          <w:lang w:eastAsia="en-GB"/>
        </w:rPr>
        <w:t>provide the contractor with a notification including the reasons why the application was rejected. The Commissioner should use the template in Annex 5 to ensure it responds to the contractor with all the required information; and</w:t>
      </w:r>
      <w:bookmarkEnd w:id="408"/>
      <w:r w:rsidRPr="00BF1FEC">
        <w:rPr>
          <w:rFonts w:cs="Arial"/>
          <w:bCs w:val="0"/>
          <w:szCs w:val="24"/>
          <w:lang w:eastAsia="en-GB"/>
        </w:rPr>
        <w:t xml:space="preserve"> </w:t>
      </w:r>
    </w:p>
    <w:p w14:paraId="5C3BE9CF" w14:textId="77777777" w:rsidR="003D1FAF" w:rsidRPr="00BF1FEC" w:rsidRDefault="003D1FAF" w:rsidP="005A7DDA">
      <w:pPr>
        <w:pStyle w:val="ListParagraph"/>
        <w:widowControl w:val="0"/>
        <w:numPr>
          <w:ilvl w:val="0"/>
          <w:numId w:val="76"/>
        </w:numPr>
        <w:spacing w:before="120" w:after="120" w:line="360" w:lineRule="auto"/>
        <w:ind w:left="714" w:hanging="357"/>
        <w:jc w:val="both"/>
        <w:outlineLvl w:val="2"/>
        <w:rPr>
          <w:rFonts w:cs="Arial"/>
          <w:bCs w:val="0"/>
          <w:szCs w:val="24"/>
          <w:lang w:eastAsia="en-GB"/>
        </w:rPr>
      </w:pPr>
      <w:bookmarkStart w:id="409" w:name="_Toc440982655"/>
      <w:r w:rsidRPr="00BF1FEC">
        <w:rPr>
          <w:rFonts w:cs="Arial"/>
          <w:bCs w:val="0"/>
          <w:szCs w:val="24"/>
          <w:lang w:eastAsia="en-GB"/>
        </w:rPr>
        <w:t>at the same time, send a copy of the notification to any affected LMC for its area and to any person it consulted in the decision-making process.</w:t>
      </w:r>
      <w:bookmarkEnd w:id="409"/>
    </w:p>
    <w:p w14:paraId="0185A190" w14:textId="77777777" w:rsidR="003D1FAF" w:rsidRPr="00CE0885" w:rsidRDefault="003D1FAF" w:rsidP="00BF1FEC">
      <w:pPr>
        <w:pStyle w:val="Heading4"/>
      </w:pPr>
      <w:bookmarkStart w:id="410" w:name="_Toc440982656"/>
      <w:r w:rsidRPr="00CE0885">
        <w:t>When the Commissioner decides to reject a contractor’s application to close its list of patients, the contractor must not make a further application until:</w:t>
      </w:r>
      <w:bookmarkEnd w:id="410"/>
      <w:r w:rsidRPr="00CE0885">
        <w:t xml:space="preserve"> </w:t>
      </w:r>
    </w:p>
    <w:p w14:paraId="7E93D259" w14:textId="77777777" w:rsidR="003D1FAF" w:rsidRPr="00BF1FEC" w:rsidRDefault="003D1FAF" w:rsidP="005A7DDA">
      <w:pPr>
        <w:pStyle w:val="ListParagraph"/>
        <w:widowControl w:val="0"/>
        <w:numPr>
          <w:ilvl w:val="0"/>
          <w:numId w:val="76"/>
        </w:numPr>
        <w:spacing w:before="120" w:after="120" w:line="360" w:lineRule="auto"/>
        <w:ind w:left="714" w:hanging="357"/>
        <w:jc w:val="both"/>
        <w:outlineLvl w:val="2"/>
        <w:rPr>
          <w:rFonts w:cs="Arial"/>
          <w:bCs w:val="0"/>
          <w:szCs w:val="24"/>
          <w:lang w:eastAsia="en-GB"/>
        </w:rPr>
      </w:pPr>
      <w:bookmarkStart w:id="411" w:name="_Toc440982657"/>
      <w:r w:rsidRPr="00BF1FEC">
        <w:rPr>
          <w:rFonts w:cs="Arial"/>
          <w:bCs w:val="0"/>
          <w:szCs w:val="24"/>
          <w:lang w:eastAsia="en-GB"/>
        </w:rPr>
        <w:t>the end of the three-month period, starting on the date of the decision of the Commissioner to reject; or</w:t>
      </w:r>
      <w:bookmarkEnd w:id="411"/>
      <w:r w:rsidRPr="00BF1FEC">
        <w:rPr>
          <w:rFonts w:cs="Arial"/>
          <w:bCs w:val="0"/>
          <w:szCs w:val="24"/>
          <w:lang w:eastAsia="en-GB"/>
        </w:rPr>
        <w:t xml:space="preserve"> </w:t>
      </w:r>
    </w:p>
    <w:p w14:paraId="07F993A7" w14:textId="6C13361F" w:rsidR="003D1FAF" w:rsidRPr="00BF1FEC" w:rsidRDefault="003D1FAF" w:rsidP="005A7DDA">
      <w:pPr>
        <w:pStyle w:val="ListParagraph"/>
        <w:widowControl w:val="0"/>
        <w:numPr>
          <w:ilvl w:val="0"/>
          <w:numId w:val="76"/>
        </w:numPr>
        <w:spacing w:before="120" w:after="120" w:line="360" w:lineRule="auto"/>
        <w:ind w:left="714" w:hanging="357"/>
        <w:jc w:val="both"/>
        <w:outlineLvl w:val="2"/>
        <w:rPr>
          <w:rFonts w:cs="Arial"/>
          <w:bCs w:val="0"/>
          <w:szCs w:val="24"/>
          <w:lang w:eastAsia="en-GB"/>
        </w:rPr>
      </w:pPr>
      <w:bookmarkStart w:id="412" w:name="_Toc440982658"/>
      <w:r w:rsidRPr="00BF1FEC">
        <w:rPr>
          <w:rFonts w:cs="Arial"/>
          <w:bCs w:val="0"/>
          <w:szCs w:val="24"/>
          <w:lang w:eastAsia="en-GB"/>
        </w:rPr>
        <w:t xml:space="preserve">the end of the three months, starting on the date of the final determination regarding a dispute arising from the decision to reject the application made pursuant to the NHS dispute resolution procedure (or any court proceedings) (please refer to </w:t>
      </w:r>
      <w:r w:rsidR="00965C81">
        <w:rPr>
          <w:rFonts w:cs="Arial"/>
          <w:bCs w:val="0"/>
          <w:szCs w:val="24"/>
          <w:lang w:eastAsia="en-GB"/>
        </w:rPr>
        <w:t>the chapter on</w:t>
      </w:r>
      <w:r w:rsidRPr="00BF1FEC">
        <w:rPr>
          <w:rFonts w:cs="Arial"/>
          <w:bCs w:val="0"/>
          <w:szCs w:val="24"/>
          <w:lang w:eastAsia="en-GB"/>
        </w:rPr>
        <w:t xml:space="preserve"> managing disputes for further information on the NHS dispute resolution procedure),</w:t>
      </w:r>
      <w:bookmarkEnd w:id="412"/>
    </w:p>
    <w:p w14:paraId="0CA21B4E" w14:textId="77777777" w:rsidR="003D1FAF" w:rsidRPr="00CE0885" w:rsidRDefault="003D1FAF" w:rsidP="003D1FAF">
      <w:pPr>
        <w:widowControl w:val="0"/>
        <w:tabs>
          <w:tab w:val="left" w:pos="2268"/>
        </w:tabs>
        <w:spacing w:line="360" w:lineRule="auto"/>
        <w:ind w:left="1440"/>
        <w:jc w:val="both"/>
        <w:outlineLvl w:val="2"/>
        <w:rPr>
          <w:rFonts w:cs="Arial"/>
          <w:bCs w:val="0"/>
          <w:szCs w:val="24"/>
          <w:lang w:eastAsia="en-GB"/>
        </w:rPr>
      </w:pPr>
      <w:bookmarkStart w:id="413" w:name="_Toc440982659"/>
      <w:r w:rsidRPr="00CE0885">
        <w:rPr>
          <w:rFonts w:cs="Arial"/>
          <w:bCs w:val="0"/>
          <w:szCs w:val="24"/>
          <w:lang w:eastAsia="en-GB"/>
        </w:rPr>
        <w:t>whichever is the later.</w:t>
      </w:r>
      <w:bookmarkEnd w:id="413"/>
    </w:p>
    <w:p w14:paraId="41FE2433" w14:textId="77777777" w:rsidR="003D1FAF" w:rsidRPr="00CE0885" w:rsidRDefault="003D1FAF" w:rsidP="00BF1FEC">
      <w:pPr>
        <w:pStyle w:val="Heading4"/>
      </w:pPr>
      <w:bookmarkStart w:id="414" w:name="_Toc440982660"/>
      <w:r w:rsidRPr="00CE0885">
        <w:t>A contractor may make a further application to close its list of patients where there has been a change in the circumstances of the contractor which affects its ability to deliver services under the contract.</w:t>
      </w:r>
      <w:bookmarkEnd w:id="414"/>
      <w:r w:rsidRPr="00CE0885">
        <w:t xml:space="preserve"> </w:t>
      </w:r>
    </w:p>
    <w:p w14:paraId="4DBFA074" w14:textId="77777777" w:rsidR="003D1FAF" w:rsidRPr="00CE0885" w:rsidRDefault="003D1FAF" w:rsidP="003D1FAF">
      <w:pPr>
        <w:widowControl w:val="0"/>
        <w:spacing w:line="360" w:lineRule="auto"/>
        <w:ind w:left="1414"/>
        <w:jc w:val="both"/>
        <w:rPr>
          <w:rFonts w:cs="Arial"/>
          <w:bCs w:val="0"/>
          <w:szCs w:val="24"/>
          <w:lang w:eastAsia="en-GB"/>
        </w:rPr>
      </w:pPr>
    </w:p>
    <w:p w14:paraId="4B7B5982" w14:textId="77777777" w:rsidR="003D1FAF" w:rsidRPr="00DF3DF4" w:rsidRDefault="003D1FAF" w:rsidP="00DF3DF4">
      <w:pPr>
        <w:pStyle w:val="Heading3"/>
        <w:rPr>
          <w:b/>
          <w:lang w:eastAsia="en-GB"/>
        </w:rPr>
      </w:pPr>
      <w:bookmarkStart w:id="415" w:name="_Toc440982661"/>
      <w:r w:rsidRPr="00DF3DF4">
        <w:rPr>
          <w:b/>
          <w:lang w:eastAsia="en-GB"/>
        </w:rPr>
        <w:t>Application to Extend a Closure Period</w:t>
      </w:r>
      <w:bookmarkEnd w:id="415"/>
    </w:p>
    <w:p w14:paraId="5625A21F" w14:textId="77777777" w:rsidR="003D1FAF" w:rsidRPr="00CE0885" w:rsidRDefault="003D1FAF" w:rsidP="00BF1FEC">
      <w:pPr>
        <w:pStyle w:val="Heading4"/>
      </w:pPr>
      <w:bookmarkStart w:id="416" w:name="_Toc440982662"/>
      <w:r w:rsidRPr="00CE0885">
        <w:lastRenderedPageBreak/>
        <w:t>A contractor wishing to extend an agreed closure period must submit an application to the Commissioner no less than eight weeks before the closure period is due to end.</w:t>
      </w:r>
      <w:bookmarkEnd w:id="416"/>
      <w:r w:rsidRPr="00CE0885">
        <w:t xml:space="preserve">  </w:t>
      </w:r>
    </w:p>
    <w:p w14:paraId="7CC96D8E" w14:textId="77777777" w:rsidR="003D1FAF" w:rsidRPr="00CE0885" w:rsidRDefault="003D1FAF" w:rsidP="00BF1FEC">
      <w:pPr>
        <w:pStyle w:val="Heading4"/>
      </w:pPr>
      <w:bookmarkStart w:id="417" w:name="_Toc440982663"/>
      <w:r w:rsidRPr="00CE0885">
        <w:t>A template for completion by the contractor is attached in Annex 6. An example covering letter from the Commissioner to the contractor enclosing an application form is in Annex 7.</w:t>
      </w:r>
      <w:bookmarkEnd w:id="417"/>
    </w:p>
    <w:p w14:paraId="567CC8CF" w14:textId="77777777" w:rsidR="003D1FAF" w:rsidRPr="00CE0885" w:rsidRDefault="003D1FAF" w:rsidP="00BF1FEC">
      <w:pPr>
        <w:pStyle w:val="Heading4"/>
      </w:pPr>
      <w:bookmarkStart w:id="418" w:name="_Toc440982664"/>
      <w:r w:rsidRPr="00CE0885">
        <w:t>The Commissioner must acknowledge receipt of the application within seven days, then if necessary, discuss potential support that could be offered to the contractor, discuss with any affected LMC and consult other affected parties before reaching a decision on the application to extend within 14 days from receipt of the application. The Commissioner should use the template consultation letter in Annex 8.</w:t>
      </w:r>
      <w:bookmarkEnd w:id="418"/>
      <w:r w:rsidRPr="00CE0885">
        <w:t xml:space="preserve"> </w:t>
      </w:r>
    </w:p>
    <w:p w14:paraId="0C30A084" w14:textId="77777777" w:rsidR="003D1FAF" w:rsidRPr="00CE0885" w:rsidRDefault="003D1FAF" w:rsidP="00BF1FEC">
      <w:pPr>
        <w:pStyle w:val="Heading4"/>
      </w:pPr>
      <w:bookmarkStart w:id="419" w:name="_Toc440982665"/>
      <w:r w:rsidRPr="00CE0885">
        <w:t>If the decision is to accept the application the Commissioner must issue an extended closure notice as soon as possible after the decision is reached to the Contractor, with a copy to the LMC for its area (if any) and to any person it consulted in the decision-making process. The Commissioner should use the template in Annex 9 to ensure that the contractor receives all the relevant information.</w:t>
      </w:r>
      <w:bookmarkEnd w:id="419"/>
    </w:p>
    <w:p w14:paraId="408AB056" w14:textId="77777777" w:rsidR="003D1FAF" w:rsidRPr="00CE0885" w:rsidRDefault="003D1FAF" w:rsidP="00BF1FEC">
      <w:pPr>
        <w:pStyle w:val="Heading4"/>
      </w:pPr>
      <w:bookmarkStart w:id="420" w:name="_Toc440982666"/>
      <w:r w:rsidRPr="00CE0885">
        <w:t>If the decision is to reject the application then the Commissioner must provide the contractor with a notification, including the reasons for the rejection of the application, with a copy to the LMC for its area (if any) and to any person it consulted in the decision-making process. The Commissioner should use the template in Annex 10.</w:t>
      </w:r>
      <w:bookmarkEnd w:id="420"/>
    </w:p>
    <w:p w14:paraId="239B988E" w14:textId="77777777" w:rsidR="003D1FAF" w:rsidRPr="00CE0885" w:rsidRDefault="003D1FAF" w:rsidP="00BF1FEC">
      <w:pPr>
        <w:pStyle w:val="Heading4"/>
      </w:pPr>
      <w:bookmarkStart w:id="421" w:name="_Toc440982667"/>
      <w:r w:rsidRPr="00CE0885">
        <w:t>The contractor may re-open its list of patients before the closure period expires if Commissioner and contractor agree.</w:t>
      </w:r>
      <w:bookmarkEnd w:id="421"/>
    </w:p>
    <w:p w14:paraId="233833BD" w14:textId="2EBF22E6" w:rsidR="003D1FAF" w:rsidRPr="00CE0885" w:rsidRDefault="003D1FAF" w:rsidP="00BF1FEC">
      <w:pPr>
        <w:pStyle w:val="Heading4"/>
      </w:pPr>
      <w:bookmarkStart w:id="422" w:name="_Toc440982668"/>
      <w:r w:rsidRPr="00CE0885">
        <w:lastRenderedPageBreak/>
        <w:t xml:space="preserve">Where an application for the extension of the closure period has been made in accordance with this policy, and that application has been rejected, the list of patients will remain closed until such time as any dispute arising from the application has been resolved through the NHS dispute resolution procedure (or any court proceedings) or until such time as the expiry of the original closure notice. Please refer to the </w:t>
      </w:r>
      <w:r w:rsidR="00B60178">
        <w:t>chapter</w:t>
      </w:r>
      <w:r w:rsidRPr="00CE0885">
        <w:t xml:space="preserve"> on managing disputes for further information on the NHS dispute resolution procedure.</w:t>
      </w:r>
      <w:bookmarkEnd w:id="422"/>
    </w:p>
    <w:p w14:paraId="3E259D52" w14:textId="77777777" w:rsidR="003D1FAF" w:rsidRPr="00CE0885" w:rsidRDefault="003D1FAF" w:rsidP="003D1FAF">
      <w:pPr>
        <w:widowControl w:val="0"/>
        <w:tabs>
          <w:tab w:val="left" w:pos="675"/>
        </w:tabs>
        <w:spacing w:line="360" w:lineRule="auto"/>
        <w:jc w:val="both"/>
        <w:rPr>
          <w:rFonts w:cs="Arial"/>
          <w:bCs w:val="0"/>
          <w:szCs w:val="24"/>
          <w:highlight w:val="yellow"/>
          <w:lang w:eastAsia="en-GB"/>
        </w:rPr>
      </w:pPr>
    </w:p>
    <w:p w14:paraId="44112D74" w14:textId="77777777" w:rsidR="003D1FAF" w:rsidRPr="00CE0885" w:rsidRDefault="003D1FAF" w:rsidP="003D1FAF">
      <w:pPr>
        <w:widowControl w:val="0"/>
        <w:spacing w:line="360" w:lineRule="auto"/>
        <w:jc w:val="both"/>
        <w:rPr>
          <w:rFonts w:cs="Arial"/>
          <w:bCs w:val="0"/>
          <w:szCs w:val="24"/>
          <w:lang w:eastAsia="en-GB"/>
        </w:rPr>
      </w:pPr>
      <w:r w:rsidRPr="00CE0885">
        <w:rPr>
          <w:rFonts w:cs="Arial"/>
          <w:bCs w:val="0"/>
          <w:szCs w:val="24"/>
          <w:lang w:eastAsia="en-GB"/>
        </w:rPr>
        <w:br w:type="page"/>
      </w:r>
    </w:p>
    <w:p w14:paraId="62098CBC" w14:textId="77777777" w:rsidR="003D1FAF" w:rsidRDefault="003D1FAF" w:rsidP="003D1FAF">
      <w:pPr>
        <w:widowControl w:val="0"/>
        <w:autoSpaceDE w:val="0"/>
        <w:autoSpaceDN w:val="0"/>
        <w:adjustRightInd w:val="0"/>
        <w:spacing w:line="360" w:lineRule="auto"/>
        <w:ind w:right="-23"/>
        <w:rPr>
          <w:rFonts w:cs="Arial"/>
          <w:b/>
          <w:bCs w:val="0"/>
          <w:szCs w:val="24"/>
          <w:lang w:eastAsia="en-GB"/>
        </w:rPr>
      </w:pPr>
      <w:bookmarkStart w:id="423" w:name="_Toc345946984"/>
      <w:r w:rsidRPr="00CE0885">
        <w:rPr>
          <w:rFonts w:cs="Arial"/>
          <w:b/>
          <w:bCs w:val="0"/>
          <w:szCs w:val="24"/>
          <w:lang w:eastAsia="en-GB"/>
        </w:rPr>
        <w:t>Annex 1 Example Application to Close Practice List of Patients – Sample Template for Completion by Contractor</w:t>
      </w:r>
      <w:bookmarkEnd w:id="423"/>
    </w:p>
    <w:bookmarkStart w:id="424" w:name="_1557241356"/>
    <w:bookmarkEnd w:id="424"/>
    <w:p w14:paraId="23690115" w14:textId="10705014" w:rsidR="003D1FAF" w:rsidRPr="002B15FF" w:rsidRDefault="002306F3" w:rsidP="005A7DDA">
      <w:pPr>
        <w:pStyle w:val="ListParagraph"/>
        <w:numPr>
          <w:ilvl w:val="0"/>
          <w:numId w:val="149"/>
        </w:numPr>
      </w:pPr>
      <w:r>
        <w:fldChar w:fldCharType="begin"/>
      </w:r>
      <w:r>
        <w:instrText xml:space="preserve"> HYPERLINK "https://www.england.nhs.uk/publication/primary-medical-care-policy-and-guidance-manual-managing-closed-lists-annexes/" </w:instrText>
      </w:r>
      <w:r>
        <w:fldChar w:fldCharType="separate"/>
      </w:r>
      <w:r w:rsidR="002B15FF" w:rsidRPr="00996C6A">
        <w:rPr>
          <w:rStyle w:val="Hyperlink"/>
        </w:rPr>
        <w:t>Example Application to Close Practice List of Patients – Sample Template for Completion by Contractor</w:t>
      </w:r>
      <w:r>
        <w:rPr>
          <w:rStyle w:val="Hyperlink"/>
        </w:rPr>
        <w:fldChar w:fldCharType="end"/>
      </w:r>
      <w:r w:rsidR="002B15FF">
        <w:br/>
      </w:r>
    </w:p>
    <w:p w14:paraId="0E5B54FA" w14:textId="77777777" w:rsidR="003D1FAF" w:rsidRPr="00CE0885" w:rsidRDefault="003D1FAF" w:rsidP="003D1FAF">
      <w:pPr>
        <w:widowControl w:val="0"/>
        <w:autoSpaceDE w:val="0"/>
        <w:autoSpaceDN w:val="0"/>
        <w:adjustRightInd w:val="0"/>
        <w:spacing w:line="360" w:lineRule="auto"/>
        <w:ind w:right="-23"/>
        <w:rPr>
          <w:rFonts w:cs="Arial"/>
          <w:b/>
          <w:bCs w:val="0"/>
          <w:szCs w:val="24"/>
          <w:lang w:eastAsia="en-GB"/>
        </w:rPr>
      </w:pPr>
      <w:bookmarkStart w:id="425" w:name="_Toc345946985"/>
      <w:r w:rsidRPr="00CE0885">
        <w:rPr>
          <w:rFonts w:cs="Arial"/>
          <w:b/>
          <w:bCs w:val="0"/>
          <w:szCs w:val="24"/>
          <w:lang w:eastAsia="en-GB"/>
        </w:rPr>
        <w:t>Annex 2 Example Application to Close Patient List – Sample Letter from Commissioner to Contractor</w:t>
      </w:r>
      <w:bookmarkEnd w:id="425"/>
    </w:p>
    <w:bookmarkStart w:id="426" w:name="_1557241553"/>
    <w:bookmarkStart w:id="427" w:name="_Toc345946986"/>
    <w:bookmarkEnd w:id="426"/>
    <w:p w14:paraId="60D7C632" w14:textId="3FBCDB05" w:rsidR="003D1FAF" w:rsidRPr="002B15FF" w:rsidRDefault="006F315C" w:rsidP="005A7DDA">
      <w:pPr>
        <w:pStyle w:val="ListParagraph"/>
        <w:numPr>
          <w:ilvl w:val="0"/>
          <w:numId w:val="149"/>
        </w:numPr>
      </w:pPr>
      <w:r>
        <w:fldChar w:fldCharType="begin"/>
      </w:r>
      <w:r>
        <w:instrText xml:space="preserve"> HYPERLINK "https://www.england.nhs.uk/publication/primary-medical-care-policy-and-guidance-manual-managing-closed-lists-annexes/" </w:instrText>
      </w:r>
      <w:r>
        <w:fldChar w:fldCharType="separate"/>
      </w:r>
      <w:r w:rsidR="002B15FF" w:rsidRPr="006F315C">
        <w:rPr>
          <w:rStyle w:val="Hyperlink"/>
        </w:rPr>
        <w:t>Example Application to Close Patient List – Sample Letter from Commissioner to Contractor</w:t>
      </w:r>
      <w:r>
        <w:fldChar w:fldCharType="end"/>
      </w:r>
      <w:r w:rsidR="002B15FF">
        <w:br/>
      </w:r>
    </w:p>
    <w:p w14:paraId="50DB6207" w14:textId="77777777" w:rsidR="003D1FAF" w:rsidRPr="00CE0885" w:rsidRDefault="003D1FAF" w:rsidP="003D1FAF">
      <w:pPr>
        <w:widowControl w:val="0"/>
        <w:autoSpaceDE w:val="0"/>
        <w:autoSpaceDN w:val="0"/>
        <w:adjustRightInd w:val="0"/>
        <w:spacing w:line="360" w:lineRule="auto"/>
        <w:ind w:right="-23"/>
        <w:rPr>
          <w:rFonts w:cs="Arial"/>
          <w:b/>
          <w:bCs w:val="0"/>
          <w:szCs w:val="24"/>
          <w:lang w:eastAsia="en-GB"/>
        </w:rPr>
      </w:pPr>
      <w:r w:rsidRPr="00CE0885">
        <w:rPr>
          <w:rFonts w:cs="Arial"/>
          <w:b/>
          <w:bCs w:val="0"/>
          <w:szCs w:val="24"/>
          <w:lang w:eastAsia="en-GB"/>
        </w:rPr>
        <w:t>Annex 3 Example Consultation Letter from Commissioner to Affected Parties</w:t>
      </w:r>
      <w:bookmarkEnd w:id="427"/>
    </w:p>
    <w:bookmarkStart w:id="428" w:name="_1557242278"/>
    <w:bookmarkEnd w:id="428"/>
    <w:p w14:paraId="0B4C75AC" w14:textId="4B2B1ACB" w:rsidR="003D1FAF" w:rsidRPr="002B15FF" w:rsidRDefault="002306F3" w:rsidP="005A7DDA">
      <w:pPr>
        <w:pStyle w:val="ListParagraph"/>
        <w:numPr>
          <w:ilvl w:val="0"/>
          <w:numId w:val="149"/>
        </w:numPr>
      </w:pPr>
      <w:r>
        <w:fldChar w:fldCharType="begin"/>
      </w:r>
      <w:r>
        <w:instrText xml:space="preserve"> HYPERLINK "https://www.england.nhs.uk/publication/primary-medical-care-policy-and-guidance-manual-managing-closed-lists-annexes/" </w:instrText>
      </w:r>
      <w:r>
        <w:fldChar w:fldCharType="separate"/>
      </w:r>
      <w:r w:rsidR="002B15FF" w:rsidRPr="006F315C">
        <w:rPr>
          <w:rStyle w:val="Hyperlink"/>
        </w:rPr>
        <w:t>Example Consultation Letter from Commissioner to Affected Parties</w:t>
      </w:r>
      <w:r>
        <w:rPr>
          <w:rStyle w:val="Hyperlink"/>
        </w:rPr>
        <w:fldChar w:fldCharType="end"/>
      </w:r>
      <w:r w:rsidR="002B15FF">
        <w:br/>
      </w:r>
    </w:p>
    <w:p w14:paraId="0F4AF3C5" w14:textId="77777777" w:rsidR="003D1FAF" w:rsidRPr="00CE0885" w:rsidRDefault="003D1FAF" w:rsidP="003D1FAF">
      <w:pPr>
        <w:widowControl w:val="0"/>
        <w:autoSpaceDE w:val="0"/>
        <w:autoSpaceDN w:val="0"/>
        <w:adjustRightInd w:val="0"/>
        <w:spacing w:line="360" w:lineRule="auto"/>
        <w:ind w:right="-23"/>
        <w:rPr>
          <w:rFonts w:cs="Arial"/>
          <w:b/>
          <w:bCs w:val="0"/>
          <w:szCs w:val="24"/>
          <w:lang w:eastAsia="en-GB"/>
        </w:rPr>
      </w:pPr>
      <w:bookmarkStart w:id="429" w:name="_Toc345946987"/>
      <w:r w:rsidRPr="00CE0885">
        <w:rPr>
          <w:rFonts w:cs="Arial"/>
          <w:b/>
          <w:bCs w:val="0"/>
          <w:szCs w:val="24"/>
          <w:lang w:eastAsia="en-GB"/>
        </w:rPr>
        <w:t xml:space="preserve">Annex 4 Approval – Example Closure </w:t>
      </w:r>
      <w:bookmarkEnd w:id="429"/>
      <w:r w:rsidRPr="00CE0885">
        <w:rPr>
          <w:rFonts w:cs="Arial"/>
          <w:b/>
          <w:bCs w:val="0"/>
          <w:szCs w:val="24"/>
          <w:lang w:eastAsia="en-GB"/>
        </w:rPr>
        <w:t>Notice</w:t>
      </w:r>
    </w:p>
    <w:bookmarkStart w:id="430" w:name="_1557242296"/>
    <w:bookmarkEnd w:id="430"/>
    <w:p w14:paraId="49768D74" w14:textId="4FAFBEA1" w:rsidR="003D1FAF" w:rsidRPr="002B15FF" w:rsidRDefault="002306F3" w:rsidP="005A7DDA">
      <w:pPr>
        <w:pStyle w:val="ListParagraph"/>
        <w:numPr>
          <w:ilvl w:val="0"/>
          <w:numId w:val="149"/>
        </w:numPr>
      </w:pPr>
      <w:r>
        <w:fldChar w:fldCharType="begin"/>
      </w:r>
      <w:r>
        <w:instrText xml:space="preserve"> HYPERLINK "https://www.england.nhs.uk/publication/primary-medical-care-policy-and-guidance-manual-managing-closed-lists-annexes/" </w:instrText>
      </w:r>
      <w:r>
        <w:fldChar w:fldCharType="separate"/>
      </w:r>
      <w:r w:rsidR="002B15FF" w:rsidRPr="006F315C">
        <w:rPr>
          <w:rStyle w:val="Hyperlink"/>
        </w:rPr>
        <w:t>Approval – Example Closure Notice</w:t>
      </w:r>
      <w:r>
        <w:rPr>
          <w:rStyle w:val="Hyperlink"/>
        </w:rPr>
        <w:fldChar w:fldCharType="end"/>
      </w:r>
      <w:r w:rsidR="002B15FF">
        <w:br/>
      </w:r>
    </w:p>
    <w:p w14:paraId="641D8084" w14:textId="77777777" w:rsidR="003D1FAF" w:rsidRPr="00CE0885" w:rsidRDefault="003D1FAF" w:rsidP="003D1FAF">
      <w:pPr>
        <w:widowControl w:val="0"/>
        <w:autoSpaceDE w:val="0"/>
        <w:autoSpaceDN w:val="0"/>
        <w:adjustRightInd w:val="0"/>
        <w:spacing w:line="360" w:lineRule="auto"/>
        <w:ind w:right="-23"/>
        <w:rPr>
          <w:rFonts w:cs="Arial"/>
          <w:b/>
          <w:bCs w:val="0"/>
          <w:szCs w:val="24"/>
          <w:lang w:eastAsia="en-GB"/>
        </w:rPr>
      </w:pPr>
      <w:bookmarkStart w:id="431" w:name="_Toc345946988"/>
      <w:r w:rsidRPr="00CE0885">
        <w:rPr>
          <w:rFonts w:cs="Arial"/>
          <w:b/>
          <w:bCs w:val="0"/>
          <w:szCs w:val="24"/>
          <w:lang w:eastAsia="en-GB"/>
        </w:rPr>
        <w:t xml:space="preserve">Annex 5 Rejection – Example </w:t>
      </w:r>
      <w:bookmarkEnd w:id="431"/>
      <w:r w:rsidRPr="00CE0885">
        <w:rPr>
          <w:rFonts w:cs="Arial"/>
          <w:b/>
          <w:bCs w:val="0"/>
          <w:szCs w:val="24"/>
          <w:lang w:eastAsia="en-GB"/>
        </w:rPr>
        <w:t>Letter</w:t>
      </w:r>
    </w:p>
    <w:bookmarkStart w:id="432" w:name="_1557242312"/>
    <w:bookmarkEnd w:id="432"/>
    <w:p w14:paraId="5AD83EF0" w14:textId="2430FB02" w:rsidR="003D1FAF" w:rsidRPr="002B15FF" w:rsidRDefault="002306F3" w:rsidP="005A7DDA">
      <w:pPr>
        <w:pStyle w:val="ListParagraph"/>
        <w:numPr>
          <w:ilvl w:val="0"/>
          <w:numId w:val="149"/>
        </w:numPr>
      </w:pPr>
      <w:r>
        <w:fldChar w:fldCharType="begin"/>
      </w:r>
      <w:r>
        <w:instrText xml:space="preserve"> HYPERLINK "https://www.england.nhs.uk/publication/primary-medical-care-policy-and-guidance-manual-managing-closed-lists-annexes/" </w:instrText>
      </w:r>
      <w:r>
        <w:fldChar w:fldCharType="separate"/>
      </w:r>
      <w:r w:rsidR="002B15FF" w:rsidRPr="009D1F24">
        <w:rPr>
          <w:rStyle w:val="Hyperlink"/>
        </w:rPr>
        <w:t>Rejection – Example Letter</w:t>
      </w:r>
      <w:r>
        <w:rPr>
          <w:rStyle w:val="Hyperlink"/>
        </w:rPr>
        <w:fldChar w:fldCharType="end"/>
      </w:r>
      <w:r w:rsidR="002B15FF">
        <w:br/>
      </w:r>
    </w:p>
    <w:p w14:paraId="34F3681C" w14:textId="77777777" w:rsidR="003D1FAF" w:rsidRPr="00CE0885" w:rsidRDefault="003D1FAF" w:rsidP="003D1FAF">
      <w:pPr>
        <w:widowControl w:val="0"/>
        <w:autoSpaceDE w:val="0"/>
        <w:autoSpaceDN w:val="0"/>
        <w:adjustRightInd w:val="0"/>
        <w:spacing w:line="360" w:lineRule="auto"/>
        <w:ind w:right="-23"/>
        <w:rPr>
          <w:rFonts w:cs="Arial"/>
          <w:b/>
          <w:bCs w:val="0"/>
          <w:szCs w:val="24"/>
          <w:lang w:eastAsia="en-GB"/>
        </w:rPr>
      </w:pPr>
      <w:bookmarkStart w:id="433" w:name="_Toc345946989"/>
      <w:r w:rsidRPr="00CE0885">
        <w:rPr>
          <w:rFonts w:cs="Arial"/>
          <w:b/>
          <w:bCs w:val="0"/>
          <w:szCs w:val="24"/>
          <w:lang w:eastAsia="en-GB"/>
        </w:rPr>
        <w:t>Annex 6 Example Application to Extend a Closure Period – Sample Template for Completion by Contractor</w:t>
      </w:r>
      <w:bookmarkEnd w:id="433"/>
    </w:p>
    <w:bookmarkStart w:id="434" w:name="_1557247808"/>
    <w:bookmarkEnd w:id="434"/>
    <w:p w14:paraId="78EDDBBA" w14:textId="061A5160" w:rsidR="003D1FAF" w:rsidRPr="002B15FF" w:rsidRDefault="002306F3" w:rsidP="005A7DDA">
      <w:pPr>
        <w:pStyle w:val="ListParagraph"/>
        <w:numPr>
          <w:ilvl w:val="0"/>
          <w:numId w:val="149"/>
        </w:numPr>
      </w:pPr>
      <w:r>
        <w:fldChar w:fldCharType="begin"/>
      </w:r>
      <w:r>
        <w:instrText xml:space="preserve"> HYPERLINK "https://www.england.nhs.uk/publication/primary-medical-care-policy-and-guidance-manual-managing-closed-lists-annexes/" </w:instrText>
      </w:r>
      <w:r>
        <w:fldChar w:fldCharType="separate"/>
      </w:r>
      <w:r w:rsidR="002B15FF" w:rsidRPr="009D1F24">
        <w:rPr>
          <w:rStyle w:val="Hyperlink"/>
        </w:rPr>
        <w:t>Example Application to Extend a Closure Period – Sample Template for Completion by Contractor</w:t>
      </w:r>
      <w:r>
        <w:rPr>
          <w:rStyle w:val="Hyperlink"/>
        </w:rPr>
        <w:fldChar w:fldCharType="end"/>
      </w:r>
      <w:r w:rsidR="002B15FF">
        <w:br/>
      </w:r>
    </w:p>
    <w:p w14:paraId="58135B71" w14:textId="77777777" w:rsidR="003D1FAF" w:rsidRPr="00CE0885" w:rsidRDefault="003D1FAF" w:rsidP="003D1FAF">
      <w:pPr>
        <w:widowControl w:val="0"/>
        <w:autoSpaceDE w:val="0"/>
        <w:autoSpaceDN w:val="0"/>
        <w:adjustRightInd w:val="0"/>
        <w:spacing w:line="360" w:lineRule="auto"/>
        <w:ind w:right="-23"/>
        <w:rPr>
          <w:rFonts w:cs="Arial"/>
          <w:b/>
          <w:bCs w:val="0"/>
          <w:szCs w:val="24"/>
          <w:lang w:eastAsia="en-GB"/>
        </w:rPr>
      </w:pPr>
      <w:bookmarkStart w:id="435" w:name="_Toc345946990"/>
      <w:r w:rsidRPr="00CE0885">
        <w:rPr>
          <w:rFonts w:cs="Arial"/>
          <w:b/>
          <w:bCs w:val="0"/>
          <w:szCs w:val="24"/>
          <w:lang w:eastAsia="en-GB"/>
        </w:rPr>
        <w:t>Annex 7 Example Application to Extend a Closure Period – Sample Letter from Commissioner to Contractor</w:t>
      </w:r>
      <w:bookmarkEnd w:id="435"/>
    </w:p>
    <w:bookmarkStart w:id="436" w:name="_1557247847"/>
    <w:bookmarkEnd w:id="436"/>
    <w:p w14:paraId="79A7D50A" w14:textId="3AB07497" w:rsidR="003D1FAF" w:rsidRPr="002B15FF" w:rsidRDefault="002306F3" w:rsidP="005A7DDA">
      <w:pPr>
        <w:pStyle w:val="ListParagraph"/>
        <w:numPr>
          <w:ilvl w:val="0"/>
          <w:numId w:val="149"/>
        </w:numPr>
      </w:pPr>
      <w:r>
        <w:fldChar w:fldCharType="begin"/>
      </w:r>
      <w:r>
        <w:instrText xml:space="preserve"> HYPERLINK "https://www.england.nhs.uk/publication/primary-medical-care-policy-and-guidance-manual-managing-closed-lists-annexes/" </w:instrText>
      </w:r>
      <w:r>
        <w:fldChar w:fldCharType="separate"/>
      </w:r>
      <w:r w:rsidR="002B15FF" w:rsidRPr="001A79CA">
        <w:rPr>
          <w:rStyle w:val="Hyperlink"/>
        </w:rPr>
        <w:t>Example Application to Extend a Closure Period – Sample Letter from Commissioner to Contractor</w:t>
      </w:r>
      <w:r>
        <w:rPr>
          <w:rStyle w:val="Hyperlink"/>
        </w:rPr>
        <w:fldChar w:fldCharType="end"/>
      </w:r>
      <w:r w:rsidR="002B15FF">
        <w:br/>
      </w:r>
    </w:p>
    <w:p w14:paraId="36A4DC6A" w14:textId="77777777" w:rsidR="003D1FAF" w:rsidRPr="00CE0885" w:rsidRDefault="003D1FAF" w:rsidP="003D1FAF">
      <w:pPr>
        <w:widowControl w:val="0"/>
        <w:autoSpaceDE w:val="0"/>
        <w:autoSpaceDN w:val="0"/>
        <w:adjustRightInd w:val="0"/>
        <w:spacing w:line="360" w:lineRule="auto"/>
        <w:ind w:right="-23"/>
        <w:rPr>
          <w:rFonts w:cs="Arial"/>
          <w:b/>
          <w:bCs w:val="0"/>
          <w:szCs w:val="24"/>
          <w:lang w:eastAsia="en-GB"/>
        </w:rPr>
      </w:pPr>
      <w:bookmarkStart w:id="437" w:name="_Toc345946991"/>
      <w:r w:rsidRPr="00CE0885">
        <w:rPr>
          <w:rFonts w:cs="Arial"/>
          <w:b/>
          <w:bCs w:val="0"/>
          <w:szCs w:val="24"/>
          <w:lang w:eastAsia="en-GB"/>
        </w:rPr>
        <w:t>Annex 8 Example Consultation Letter from Commissioner to Affected Parties Regarding Application for Extension</w:t>
      </w:r>
      <w:bookmarkEnd w:id="437"/>
    </w:p>
    <w:bookmarkStart w:id="438" w:name="_1557247865"/>
    <w:bookmarkEnd w:id="438"/>
    <w:p w14:paraId="6DA8AB0B" w14:textId="0A94FB70" w:rsidR="003D1FAF" w:rsidRPr="002B15FF" w:rsidRDefault="002306F3" w:rsidP="002306F3">
      <w:pPr>
        <w:pStyle w:val="ListParagraph"/>
        <w:widowControl w:val="0"/>
        <w:numPr>
          <w:ilvl w:val="0"/>
          <w:numId w:val="149"/>
        </w:numPr>
        <w:spacing w:line="360" w:lineRule="auto"/>
        <w:rPr>
          <w:rFonts w:cs="Arial"/>
          <w:bCs w:val="0"/>
          <w:szCs w:val="24"/>
        </w:rPr>
      </w:pPr>
      <w:r>
        <w:fldChar w:fldCharType="begin"/>
      </w:r>
      <w:r>
        <w:instrText xml:space="preserve"> HYPERLINK "https://www.england.nhs.uk/publication/primary-medical-care-policy-and-guidance-manual-managing-closed-lists-annexes/" </w:instrText>
      </w:r>
      <w:r>
        <w:fldChar w:fldCharType="separate"/>
      </w:r>
      <w:r w:rsidR="002B15FF" w:rsidRPr="00981A15">
        <w:rPr>
          <w:rStyle w:val="Hyperlink"/>
        </w:rPr>
        <w:t>Example Consultation Letter from Commissioner to Affected Parties Regarding Application for Extension</w:t>
      </w:r>
      <w:r>
        <w:rPr>
          <w:rStyle w:val="Hyperlink"/>
        </w:rPr>
        <w:fldChar w:fldCharType="end"/>
      </w:r>
    </w:p>
    <w:p w14:paraId="7AB6AB58" w14:textId="77777777" w:rsidR="003D1FAF" w:rsidRPr="00CE0885" w:rsidRDefault="003D1FAF" w:rsidP="003D1FAF">
      <w:pPr>
        <w:widowControl w:val="0"/>
        <w:autoSpaceDE w:val="0"/>
        <w:autoSpaceDN w:val="0"/>
        <w:adjustRightInd w:val="0"/>
        <w:spacing w:line="360" w:lineRule="auto"/>
        <w:ind w:right="-23"/>
        <w:rPr>
          <w:rFonts w:cs="Arial"/>
          <w:b/>
          <w:bCs w:val="0"/>
          <w:szCs w:val="24"/>
          <w:lang w:eastAsia="en-GB"/>
        </w:rPr>
      </w:pPr>
      <w:r w:rsidRPr="00CE0885">
        <w:rPr>
          <w:rFonts w:cs="Arial"/>
          <w:b/>
          <w:bCs w:val="0"/>
          <w:szCs w:val="24"/>
          <w:lang w:eastAsia="en-GB"/>
        </w:rPr>
        <w:t>Annex 9 Approval – Example Extended Closure Notice</w:t>
      </w:r>
    </w:p>
    <w:bookmarkStart w:id="439" w:name="_1557247893"/>
    <w:bookmarkEnd w:id="439"/>
    <w:p w14:paraId="4CD853F7" w14:textId="1E759ED9" w:rsidR="003D1FAF" w:rsidRPr="002B15FF" w:rsidRDefault="002306F3" w:rsidP="005A7DDA">
      <w:pPr>
        <w:pStyle w:val="ListParagraph"/>
        <w:numPr>
          <w:ilvl w:val="0"/>
          <w:numId w:val="149"/>
        </w:numPr>
      </w:pPr>
      <w:r>
        <w:fldChar w:fldCharType="begin"/>
      </w:r>
      <w:r>
        <w:instrText xml:space="preserve"> HYPERLINK "https://www.england.nhs.uk/publication/primary-medical-care-policy-and-guidance-manual-managing-closed-lists-annexes/" </w:instrText>
      </w:r>
      <w:r>
        <w:fldChar w:fldCharType="separate"/>
      </w:r>
      <w:r w:rsidR="002B15FF" w:rsidRPr="00981A15">
        <w:rPr>
          <w:rStyle w:val="Hyperlink"/>
        </w:rPr>
        <w:t>Approval – Example Extended Closure Notice</w:t>
      </w:r>
      <w:r>
        <w:rPr>
          <w:rStyle w:val="Hyperlink"/>
        </w:rPr>
        <w:fldChar w:fldCharType="end"/>
      </w:r>
      <w:r w:rsidR="002B15FF">
        <w:br/>
      </w:r>
    </w:p>
    <w:p w14:paraId="221A1475" w14:textId="77777777" w:rsidR="003D1FAF" w:rsidRDefault="003D1FAF" w:rsidP="003D1FAF">
      <w:pPr>
        <w:widowControl w:val="0"/>
        <w:autoSpaceDE w:val="0"/>
        <w:autoSpaceDN w:val="0"/>
        <w:adjustRightInd w:val="0"/>
        <w:spacing w:line="360" w:lineRule="auto"/>
        <w:ind w:right="-23"/>
        <w:rPr>
          <w:rFonts w:cs="Arial"/>
          <w:b/>
          <w:bCs w:val="0"/>
          <w:szCs w:val="24"/>
          <w:lang w:eastAsia="en-GB"/>
        </w:rPr>
      </w:pPr>
      <w:bookmarkStart w:id="440" w:name="_Toc345946993"/>
      <w:r w:rsidRPr="00CE0885">
        <w:rPr>
          <w:rFonts w:cs="Arial"/>
          <w:b/>
          <w:bCs w:val="0"/>
          <w:szCs w:val="24"/>
          <w:lang w:eastAsia="en-GB"/>
        </w:rPr>
        <w:t xml:space="preserve">Annex 10 Rejection of Extended Closure – Example </w:t>
      </w:r>
      <w:bookmarkEnd w:id="440"/>
      <w:r w:rsidRPr="00CE0885">
        <w:rPr>
          <w:rFonts w:cs="Arial"/>
          <w:b/>
          <w:bCs w:val="0"/>
          <w:szCs w:val="24"/>
          <w:lang w:eastAsia="en-GB"/>
        </w:rPr>
        <w:t>Letter</w:t>
      </w:r>
    </w:p>
    <w:bookmarkStart w:id="441" w:name="_1557247939"/>
    <w:bookmarkEnd w:id="441"/>
    <w:p w14:paraId="0F7B8055" w14:textId="5D3C8D32" w:rsidR="002B15FF" w:rsidRPr="002B15FF" w:rsidRDefault="002306F3" w:rsidP="002306F3">
      <w:pPr>
        <w:pStyle w:val="ListParagraph"/>
        <w:numPr>
          <w:ilvl w:val="0"/>
          <w:numId w:val="149"/>
        </w:numPr>
      </w:pPr>
      <w:r>
        <w:fldChar w:fldCharType="begin"/>
      </w:r>
      <w:r>
        <w:instrText xml:space="preserve"> HYPERLINK "https://www.england.nhs.uk/publication/primary-medical-care-policy-and-guidance-manual-managing-closed-lists-annexes/" </w:instrText>
      </w:r>
      <w:r>
        <w:fldChar w:fldCharType="separate"/>
      </w:r>
      <w:r w:rsidR="002B15FF" w:rsidRPr="00981A15">
        <w:rPr>
          <w:rStyle w:val="Hyperlink"/>
        </w:rPr>
        <w:t>Rejection of Extended Closure – Example Letter</w:t>
      </w:r>
      <w:r>
        <w:rPr>
          <w:rStyle w:val="Hyperlink"/>
        </w:rPr>
        <w:fldChar w:fldCharType="end"/>
      </w:r>
    </w:p>
    <w:p w14:paraId="66DF9E53" w14:textId="77777777" w:rsidR="003D1FAF" w:rsidRPr="00CE0885" w:rsidRDefault="003D1FAF" w:rsidP="003D1FAF">
      <w:pPr>
        <w:spacing w:line="360" w:lineRule="auto"/>
        <w:rPr>
          <w:rFonts w:cs="Arial"/>
          <w:bCs w:val="0"/>
          <w:szCs w:val="24"/>
          <w:lang w:eastAsia="en-GB"/>
        </w:rPr>
      </w:pPr>
    </w:p>
    <w:p w14:paraId="6CB80B7D" w14:textId="77777777" w:rsidR="006A6D87" w:rsidRDefault="003D1FAF" w:rsidP="00DB11FA">
      <w:pPr>
        <w:pStyle w:val="Heading1"/>
        <w:tabs>
          <w:tab w:val="left" w:pos="3390"/>
        </w:tabs>
        <w:rPr>
          <w:lang w:eastAsia="en-GB"/>
        </w:rPr>
      </w:pPr>
      <w:r w:rsidRPr="009055A7">
        <w:br w:type="page"/>
      </w:r>
      <w:bookmarkStart w:id="442" w:name="_Toc498495354"/>
      <w:r w:rsidR="00DB11FA" w:rsidRPr="00DB11FA">
        <w:rPr>
          <w:lang w:eastAsia="en-GB"/>
        </w:rPr>
        <w:lastRenderedPageBreak/>
        <w:t>GP Patient Registration Standard Operating Principles for Primary Medical Care</w:t>
      </w:r>
      <w:bookmarkStart w:id="443" w:name="_Toc488146102"/>
      <w:bookmarkEnd w:id="442"/>
    </w:p>
    <w:p w14:paraId="1D9CA451" w14:textId="77777777" w:rsidR="006A6D87" w:rsidRPr="006A6D87" w:rsidRDefault="006A6D87" w:rsidP="006A6D87">
      <w:pPr>
        <w:rPr>
          <w:lang w:eastAsia="en-GB"/>
        </w:rPr>
      </w:pPr>
    </w:p>
    <w:p w14:paraId="7D3D6E0D" w14:textId="6B9DBE5B" w:rsidR="00DB11FA" w:rsidRPr="006A6D87" w:rsidRDefault="00DB11FA" w:rsidP="006A6D87">
      <w:pPr>
        <w:pStyle w:val="Heading2"/>
      </w:pPr>
      <w:bookmarkStart w:id="444" w:name="_Toc498495355"/>
      <w:r w:rsidRPr="006A6D87">
        <w:t>Policy statement</w:t>
      </w:r>
      <w:bookmarkEnd w:id="443"/>
      <w:bookmarkEnd w:id="444"/>
    </w:p>
    <w:p w14:paraId="38B3D18C" w14:textId="77777777" w:rsidR="00DB11FA" w:rsidRDefault="00DB11FA" w:rsidP="00DB11FA">
      <w:pPr>
        <w:autoSpaceDE w:val="0"/>
        <w:autoSpaceDN w:val="0"/>
        <w:adjustRightInd w:val="0"/>
      </w:pPr>
    </w:p>
    <w:p w14:paraId="657AC631" w14:textId="77777777" w:rsidR="00DB11FA" w:rsidRDefault="00DB11FA" w:rsidP="00DB11FA">
      <w:pPr>
        <w:pStyle w:val="Heading3"/>
        <w:rPr>
          <w:rFonts w:eastAsia="HGSMinchoE"/>
          <w:lang w:eastAsia="en-GB"/>
        </w:rPr>
      </w:pPr>
      <w:r w:rsidRPr="003C2B06">
        <w:rPr>
          <w:rFonts w:eastAsia="HGSMinchoE"/>
          <w:lang w:eastAsia="en-GB"/>
        </w:rPr>
        <w:t xml:space="preserve">There has not been any change in national policy in respect of </w:t>
      </w:r>
      <w:r>
        <w:rPr>
          <w:rFonts w:eastAsia="HGSMinchoE"/>
          <w:lang w:eastAsia="en-GB"/>
        </w:rPr>
        <w:t>patient registration for</w:t>
      </w:r>
      <w:r w:rsidRPr="003C2B06">
        <w:rPr>
          <w:rFonts w:eastAsia="HGSMinchoE"/>
          <w:lang w:eastAsia="en-GB"/>
        </w:rPr>
        <w:t xml:space="preserve"> primary medical care services – this guidance clarifies the rights of patients and the responsibilities of providers in registering with a GP practice</w:t>
      </w:r>
      <w:r>
        <w:rPr>
          <w:rFonts w:eastAsia="HGSMinchoE"/>
          <w:lang w:eastAsia="en-GB"/>
        </w:rPr>
        <w:t xml:space="preserve"> in particular issues in relation to: </w:t>
      </w:r>
    </w:p>
    <w:p w14:paraId="321239F1" w14:textId="77777777" w:rsidR="00DB11FA" w:rsidRDefault="00DB11FA" w:rsidP="00DB11FA">
      <w:pPr>
        <w:autoSpaceDE w:val="0"/>
        <w:autoSpaceDN w:val="0"/>
        <w:adjustRightInd w:val="0"/>
        <w:rPr>
          <w:rFonts w:eastAsia="HGSMinchoE" w:cs="Arial"/>
          <w:bCs w:val="0"/>
          <w:szCs w:val="24"/>
          <w:lang w:eastAsia="en-GB"/>
        </w:rPr>
      </w:pPr>
    </w:p>
    <w:p w14:paraId="00459ADC" w14:textId="77777777" w:rsidR="00DB11FA" w:rsidRDefault="00DB11FA" w:rsidP="005A7DDA">
      <w:pPr>
        <w:pStyle w:val="ListParagraph"/>
        <w:numPr>
          <w:ilvl w:val="0"/>
          <w:numId w:val="78"/>
        </w:numPr>
        <w:autoSpaceDE w:val="0"/>
        <w:autoSpaceDN w:val="0"/>
        <w:adjustRightInd w:val="0"/>
        <w:rPr>
          <w:rFonts w:eastAsia="HGSMinchoE" w:cs="Arial"/>
          <w:bCs w:val="0"/>
          <w:szCs w:val="24"/>
          <w:lang w:eastAsia="en-GB"/>
        </w:rPr>
      </w:pPr>
      <w:r>
        <w:rPr>
          <w:rFonts w:eastAsia="HGSMinchoE" w:cs="Arial"/>
          <w:bCs w:val="0"/>
          <w:szCs w:val="24"/>
          <w:lang w:eastAsia="en-GB"/>
        </w:rPr>
        <w:t>Who can access free healthcare</w:t>
      </w:r>
    </w:p>
    <w:p w14:paraId="0952A844" w14:textId="77777777" w:rsidR="00DB11FA" w:rsidRDefault="00DB11FA" w:rsidP="00DB11FA">
      <w:pPr>
        <w:pStyle w:val="ListParagraph"/>
        <w:autoSpaceDE w:val="0"/>
        <w:autoSpaceDN w:val="0"/>
        <w:adjustRightInd w:val="0"/>
        <w:ind w:left="780"/>
        <w:rPr>
          <w:rFonts w:eastAsia="HGSMinchoE" w:cs="Arial"/>
          <w:bCs w:val="0"/>
          <w:szCs w:val="24"/>
          <w:lang w:eastAsia="en-GB"/>
        </w:rPr>
      </w:pPr>
    </w:p>
    <w:p w14:paraId="430DF0FA" w14:textId="77777777" w:rsidR="00DB11FA" w:rsidRDefault="00DB11FA" w:rsidP="005A7DDA">
      <w:pPr>
        <w:pStyle w:val="ListParagraph"/>
        <w:numPr>
          <w:ilvl w:val="0"/>
          <w:numId w:val="78"/>
        </w:numPr>
        <w:autoSpaceDE w:val="0"/>
        <w:autoSpaceDN w:val="0"/>
        <w:adjustRightInd w:val="0"/>
        <w:rPr>
          <w:rFonts w:eastAsia="HGSMinchoE" w:cs="Arial"/>
          <w:bCs w:val="0"/>
          <w:szCs w:val="24"/>
          <w:lang w:eastAsia="en-GB"/>
        </w:rPr>
      </w:pPr>
      <w:r w:rsidRPr="00E7094F">
        <w:rPr>
          <w:rFonts w:eastAsia="HGSMinchoE" w:cs="Arial"/>
          <w:bCs w:val="0"/>
          <w:szCs w:val="24"/>
          <w:lang w:eastAsia="en-GB"/>
        </w:rPr>
        <w:t xml:space="preserve">the </w:t>
      </w:r>
      <w:r>
        <w:rPr>
          <w:rFonts w:eastAsia="HGSMinchoE" w:cs="Arial"/>
          <w:bCs w:val="0"/>
          <w:szCs w:val="24"/>
          <w:lang w:eastAsia="en-GB"/>
        </w:rPr>
        <w:t>provision of documentary</w:t>
      </w:r>
      <w:r w:rsidRPr="00E7094F">
        <w:rPr>
          <w:rFonts w:eastAsia="HGSMinchoE" w:cs="Arial"/>
          <w:bCs w:val="0"/>
          <w:szCs w:val="24"/>
          <w:lang w:eastAsia="en-GB"/>
        </w:rPr>
        <w:t xml:space="preserve"> evidence of </w:t>
      </w:r>
      <w:r>
        <w:rPr>
          <w:rFonts w:eastAsia="HGSMinchoE" w:cs="Arial"/>
          <w:bCs w:val="0"/>
          <w:szCs w:val="24"/>
          <w:lang w:eastAsia="en-GB"/>
        </w:rPr>
        <w:t xml:space="preserve">identity or residence on registration </w:t>
      </w:r>
      <w:r w:rsidRPr="00E7094F">
        <w:rPr>
          <w:rFonts w:eastAsia="HGSMinchoE" w:cs="Arial"/>
          <w:bCs w:val="0"/>
          <w:szCs w:val="24"/>
          <w:lang w:eastAsia="en-GB"/>
        </w:rPr>
        <w:t xml:space="preserve"> </w:t>
      </w:r>
      <w:r w:rsidRPr="00ED32AD">
        <w:rPr>
          <w:rFonts w:eastAsia="HGSMinchoE" w:cs="Arial"/>
          <w:bCs w:val="0"/>
          <w:szCs w:val="24"/>
          <w:lang w:eastAsia="en-GB"/>
        </w:rPr>
        <w:t xml:space="preserve">(in particular affecting migrants and asylum seekers who do not have ready access to documents </w:t>
      </w:r>
      <w:r w:rsidRPr="008401BB">
        <w:rPr>
          <w:rFonts w:eastAsia="HGSMinchoE" w:cs="Arial"/>
          <w:bCs w:val="0"/>
          <w:szCs w:val="24"/>
          <w:lang w:eastAsia="en-GB"/>
        </w:rPr>
        <w:t>)</w:t>
      </w:r>
    </w:p>
    <w:p w14:paraId="08E2787D" w14:textId="77777777" w:rsidR="00DB11FA" w:rsidRPr="006A7A86" w:rsidRDefault="00DB11FA" w:rsidP="00DB11FA">
      <w:pPr>
        <w:pStyle w:val="ListParagraph"/>
        <w:autoSpaceDE w:val="0"/>
        <w:autoSpaceDN w:val="0"/>
        <w:adjustRightInd w:val="0"/>
        <w:ind w:left="780"/>
        <w:rPr>
          <w:rFonts w:eastAsia="HGSMinchoE" w:cs="Arial"/>
          <w:bCs w:val="0"/>
          <w:szCs w:val="24"/>
          <w:lang w:eastAsia="en-GB"/>
        </w:rPr>
      </w:pPr>
    </w:p>
    <w:p w14:paraId="7334F726" w14:textId="77777777" w:rsidR="00DB11FA" w:rsidRDefault="00DB11FA" w:rsidP="005A7DDA">
      <w:pPr>
        <w:pStyle w:val="ListParagraph"/>
        <w:numPr>
          <w:ilvl w:val="0"/>
          <w:numId w:val="78"/>
        </w:numPr>
        <w:autoSpaceDE w:val="0"/>
        <w:autoSpaceDN w:val="0"/>
        <w:adjustRightInd w:val="0"/>
        <w:rPr>
          <w:rFonts w:eastAsia="HGSMinchoE" w:cs="Arial"/>
          <w:bCs w:val="0"/>
          <w:szCs w:val="24"/>
          <w:lang w:eastAsia="en-GB"/>
        </w:rPr>
      </w:pPr>
      <w:r w:rsidRPr="00E7094F">
        <w:rPr>
          <w:rFonts w:eastAsia="HGSMinchoE" w:cs="Arial"/>
          <w:bCs w:val="0"/>
          <w:szCs w:val="24"/>
          <w:lang w:eastAsia="en-GB"/>
        </w:rPr>
        <w:t xml:space="preserve">the rights of patients who are temporarily resident in a specialist hospital </w:t>
      </w:r>
      <w:r>
        <w:rPr>
          <w:rFonts w:eastAsia="HGSMinchoE" w:cs="Arial"/>
          <w:bCs w:val="0"/>
          <w:szCs w:val="24"/>
          <w:lang w:eastAsia="en-GB"/>
        </w:rPr>
        <w:t>away from their home address and access to their ‘normal’ GP practice</w:t>
      </w:r>
    </w:p>
    <w:p w14:paraId="51FA5F4B" w14:textId="77777777" w:rsidR="00DB11FA" w:rsidRPr="00ED1B9E" w:rsidRDefault="00DB11FA" w:rsidP="00DB11FA">
      <w:pPr>
        <w:autoSpaceDE w:val="0"/>
        <w:autoSpaceDN w:val="0"/>
        <w:adjustRightInd w:val="0"/>
        <w:rPr>
          <w:rFonts w:eastAsia="HGSMinchoE" w:cs="Arial"/>
          <w:bCs w:val="0"/>
          <w:szCs w:val="24"/>
          <w:lang w:eastAsia="en-GB"/>
        </w:rPr>
      </w:pPr>
    </w:p>
    <w:p w14:paraId="0D26AF12" w14:textId="77777777" w:rsidR="00DB11FA" w:rsidRPr="00E7094F" w:rsidRDefault="00DB11FA" w:rsidP="005A7DDA">
      <w:pPr>
        <w:pStyle w:val="ListParagraph"/>
        <w:numPr>
          <w:ilvl w:val="0"/>
          <w:numId w:val="78"/>
        </w:numPr>
        <w:autoSpaceDE w:val="0"/>
        <w:autoSpaceDN w:val="0"/>
        <w:adjustRightInd w:val="0"/>
        <w:rPr>
          <w:rFonts w:eastAsia="HGSMinchoE" w:cs="Arial"/>
          <w:bCs w:val="0"/>
          <w:szCs w:val="24"/>
          <w:lang w:eastAsia="en-GB"/>
        </w:rPr>
      </w:pPr>
      <w:r>
        <w:rPr>
          <w:rFonts w:eastAsia="HGSMinchoE" w:cs="Arial"/>
          <w:bCs w:val="0"/>
          <w:szCs w:val="24"/>
          <w:lang w:eastAsia="en-GB"/>
        </w:rPr>
        <w:t xml:space="preserve">Additional guidance relating to the temporary suspension of patient registration is already published and can be found  </w:t>
      </w:r>
      <w:hyperlink r:id="rId61" w:history="1">
        <w:r>
          <w:rPr>
            <w:rStyle w:val="Hyperlink"/>
          </w:rPr>
          <w:t>here</w:t>
        </w:r>
      </w:hyperlink>
    </w:p>
    <w:p w14:paraId="2016EB74" w14:textId="77777777" w:rsidR="00DB11FA" w:rsidRPr="003C2B06" w:rsidRDefault="00DB11FA" w:rsidP="00DB11FA">
      <w:pPr>
        <w:autoSpaceDE w:val="0"/>
        <w:autoSpaceDN w:val="0"/>
        <w:adjustRightInd w:val="0"/>
        <w:rPr>
          <w:rFonts w:eastAsia="HGSMinchoE" w:cs="Arial"/>
          <w:bCs w:val="0"/>
          <w:szCs w:val="24"/>
          <w:lang w:eastAsia="en-GB"/>
        </w:rPr>
      </w:pPr>
    </w:p>
    <w:p w14:paraId="2A539789" w14:textId="77777777" w:rsidR="00DB11FA" w:rsidRPr="00772964" w:rsidRDefault="00DB11FA" w:rsidP="00DB11FA">
      <w:pPr>
        <w:pStyle w:val="Heading2"/>
      </w:pPr>
      <w:bookmarkStart w:id="445" w:name="_Toc488146103"/>
      <w:bookmarkStart w:id="446" w:name="_Toc498495356"/>
      <w:r w:rsidRPr="00772964">
        <w:t>Aims</w:t>
      </w:r>
      <w:bookmarkEnd w:id="445"/>
      <w:bookmarkEnd w:id="446"/>
      <w:r w:rsidRPr="00772964">
        <w:t xml:space="preserve"> </w:t>
      </w:r>
    </w:p>
    <w:p w14:paraId="63E926CD" w14:textId="77777777" w:rsidR="00DB11FA" w:rsidRDefault="00DB11FA" w:rsidP="006A6D87">
      <w:pPr>
        <w:pStyle w:val="Heading3"/>
      </w:pPr>
      <w:r>
        <w:t>In issuing t</w:t>
      </w:r>
      <w:r w:rsidRPr="00585581">
        <w:t>he</w:t>
      </w:r>
      <w:r>
        <w:t>se</w:t>
      </w:r>
      <w:r w:rsidRPr="00585581">
        <w:t xml:space="preserve"> </w:t>
      </w:r>
      <w:r>
        <w:t xml:space="preserve">patient registration </w:t>
      </w:r>
      <w:r w:rsidRPr="00585581">
        <w:t xml:space="preserve">operating principles </w:t>
      </w:r>
      <w:r>
        <w:t xml:space="preserve">we </w:t>
      </w:r>
      <w:r w:rsidRPr="00585581">
        <w:t xml:space="preserve">aim to: </w:t>
      </w:r>
    </w:p>
    <w:p w14:paraId="028283FB" w14:textId="77777777" w:rsidR="00DB11FA" w:rsidRDefault="00DB11FA" w:rsidP="00DB11FA"/>
    <w:p w14:paraId="640DF12C" w14:textId="77777777" w:rsidR="00DB11FA" w:rsidRDefault="00DB11FA" w:rsidP="005A7DDA">
      <w:pPr>
        <w:pStyle w:val="ListParagraph"/>
        <w:numPr>
          <w:ilvl w:val="0"/>
          <w:numId w:val="77"/>
        </w:numPr>
      </w:pPr>
      <w:r>
        <w:t>Clarify</w:t>
      </w:r>
      <w:r w:rsidRPr="00585581">
        <w:t xml:space="preserve">  the contractual rules in respect of patient registration for patients, practices, CCGs and NHS England’s regional teams</w:t>
      </w:r>
    </w:p>
    <w:p w14:paraId="05EA1FA6" w14:textId="77777777" w:rsidR="00DB11FA" w:rsidRPr="00585581" w:rsidRDefault="00DB11FA" w:rsidP="00DB11FA">
      <w:pPr>
        <w:pStyle w:val="ListParagraph"/>
      </w:pPr>
    </w:p>
    <w:p w14:paraId="01CCD4B0" w14:textId="77777777" w:rsidR="00DB11FA" w:rsidRDefault="00DB11FA" w:rsidP="005A7DDA">
      <w:pPr>
        <w:pStyle w:val="ListParagraph"/>
        <w:numPr>
          <w:ilvl w:val="0"/>
          <w:numId w:val="77"/>
        </w:numPr>
      </w:pPr>
      <w:r>
        <w:t>Reduce the risk of worsening health inequalities for specific sections of the community</w:t>
      </w:r>
    </w:p>
    <w:p w14:paraId="2A080BF3" w14:textId="77777777" w:rsidR="00DB11FA" w:rsidRPr="00585581" w:rsidRDefault="00DB11FA" w:rsidP="00DB11FA"/>
    <w:p w14:paraId="11BF42F9" w14:textId="77777777" w:rsidR="00DB11FA" w:rsidRPr="00585581" w:rsidRDefault="00DB11FA" w:rsidP="005A7DDA">
      <w:pPr>
        <w:pStyle w:val="ListParagraph"/>
        <w:numPr>
          <w:ilvl w:val="0"/>
          <w:numId w:val="77"/>
        </w:numPr>
      </w:pPr>
      <w:r w:rsidRPr="00585581">
        <w:t xml:space="preserve">Agree a consistent approach across England to clarify, simplify and standardise the patient registration process for patients and practices </w:t>
      </w:r>
    </w:p>
    <w:p w14:paraId="7178FED4" w14:textId="77777777" w:rsidR="00DB11FA" w:rsidRPr="00585581" w:rsidRDefault="00DB11FA" w:rsidP="00DB11FA"/>
    <w:p w14:paraId="49D509F2" w14:textId="77777777" w:rsidR="00DB11FA" w:rsidRPr="00585581" w:rsidRDefault="00DB11FA" w:rsidP="005A7DDA">
      <w:pPr>
        <w:pStyle w:val="ListParagraph"/>
        <w:numPr>
          <w:ilvl w:val="0"/>
          <w:numId w:val="77"/>
        </w:numPr>
      </w:pPr>
      <w:r w:rsidRPr="00585581">
        <w:t xml:space="preserve">Embed best practice approaches </w:t>
      </w:r>
      <w:r>
        <w:t>for patient registrations</w:t>
      </w:r>
    </w:p>
    <w:p w14:paraId="0CEB575E" w14:textId="77777777" w:rsidR="00DB11FA" w:rsidRPr="00585581" w:rsidRDefault="00DB11FA" w:rsidP="00DB11FA"/>
    <w:p w14:paraId="3B836B71" w14:textId="77777777" w:rsidR="00DB11FA" w:rsidRDefault="00DB11FA" w:rsidP="005A7DDA">
      <w:pPr>
        <w:pStyle w:val="ListParagraph"/>
        <w:numPr>
          <w:ilvl w:val="0"/>
          <w:numId w:val="77"/>
        </w:numPr>
      </w:pPr>
      <w:r w:rsidRPr="00585581">
        <w:t>Ensure fairness, equity and transparency in the way general practice services are delivered across England</w:t>
      </w:r>
    </w:p>
    <w:p w14:paraId="3BBDB407" w14:textId="77777777" w:rsidR="00DB11FA" w:rsidRDefault="00DB11FA" w:rsidP="00DB11FA">
      <w:pPr>
        <w:pStyle w:val="ListParagraph"/>
      </w:pPr>
    </w:p>
    <w:p w14:paraId="77B0528C" w14:textId="77777777" w:rsidR="00DB11FA" w:rsidRPr="004E5E69" w:rsidRDefault="00DB11FA" w:rsidP="00DB11FA">
      <w:pPr>
        <w:pStyle w:val="Heading2"/>
      </w:pPr>
      <w:bookmarkStart w:id="447" w:name="_Toc488146104"/>
      <w:bookmarkStart w:id="448" w:name="_Toc498495357"/>
      <w:r>
        <w:t>Context</w:t>
      </w:r>
      <w:bookmarkEnd w:id="447"/>
      <w:bookmarkEnd w:id="448"/>
    </w:p>
    <w:p w14:paraId="425BB52D" w14:textId="77777777" w:rsidR="00DB11FA" w:rsidRDefault="00DB11FA" w:rsidP="006A6D87">
      <w:pPr>
        <w:pStyle w:val="Heading3"/>
      </w:pPr>
      <w:r w:rsidRPr="003C2B06">
        <w:t xml:space="preserve">The Health and Social Care Act 2012 places an obligation on NHS England to secure the provision of primary medical services for patients throughout England. </w:t>
      </w:r>
      <w:r>
        <w:t>In addition the</w:t>
      </w:r>
      <w:r w:rsidRPr="00A57463">
        <w:t xml:space="preserve"> Health and Social Care Act 2012 introduced statutory </w:t>
      </w:r>
      <w:r w:rsidRPr="00A57463">
        <w:lastRenderedPageBreak/>
        <w:t>duties on the NHS to “have regard to the need to reduce inequalities” in access to an</w:t>
      </w:r>
      <w:r>
        <w:t>d outcomes achieved by services</w:t>
      </w:r>
    </w:p>
    <w:p w14:paraId="3502457D" w14:textId="50882BC4" w:rsidR="00DB11FA" w:rsidRPr="006A6D87" w:rsidRDefault="00DB11FA" w:rsidP="006A6D87">
      <w:pPr>
        <w:pStyle w:val="Heading3"/>
        <w:rPr>
          <w:rFonts w:eastAsia="HGSMinchoE" w:cs="Arial"/>
          <w:sz w:val="23"/>
          <w:szCs w:val="23"/>
          <w:lang w:eastAsia="en-GB"/>
        </w:rPr>
      </w:pPr>
      <w:r>
        <w:t>There are further duties imposed on NHS England under the Equality Act 2010 and NHS Act 2006 on equality and health inequalities.</w:t>
      </w:r>
    </w:p>
    <w:p w14:paraId="69A396BC" w14:textId="13DFB52A" w:rsidR="00DB11FA" w:rsidRPr="003C2B06" w:rsidRDefault="00DB11FA" w:rsidP="006A6D87">
      <w:pPr>
        <w:pStyle w:val="Heading3"/>
      </w:pPr>
      <w:r w:rsidRPr="003C2B06">
        <w:t>NHS England wishes to establish operating principles for GP practices for patient regis</w:t>
      </w:r>
      <w:r>
        <w:t xml:space="preserve">trations that promote equality, </w:t>
      </w:r>
      <w:r w:rsidRPr="003C2B06">
        <w:t xml:space="preserve">human rights and public health and reduce health inequalities. </w:t>
      </w:r>
    </w:p>
    <w:p w14:paraId="43DA9405" w14:textId="77777777" w:rsidR="00DB11FA" w:rsidRDefault="00DB11FA" w:rsidP="006A6D87">
      <w:pPr>
        <w:pStyle w:val="Heading3"/>
      </w:pPr>
      <w:r>
        <w:t xml:space="preserve">In addition the </w:t>
      </w:r>
      <w:r w:rsidRPr="00ED1B9E">
        <w:t xml:space="preserve">Care Quality Commission (CQC) </w:t>
      </w:r>
      <w:r w:rsidRPr="000C2FB1">
        <w:t>in their guidance entitled; GP Mythbuster 29; Looking after Homeless Patients in General Practice can be found via the link below</w:t>
      </w:r>
      <w:r>
        <w:rPr>
          <w:rStyle w:val="FootnoteReference"/>
        </w:rPr>
        <w:footnoteReference w:id="10"/>
      </w:r>
    </w:p>
    <w:p w14:paraId="336D68F8" w14:textId="77777777" w:rsidR="00DB11FA" w:rsidRPr="00ED1B9E" w:rsidRDefault="00DB11FA" w:rsidP="006A6D87">
      <w:pPr>
        <w:pStyle w:val="Heading3"/>
      </w:pPr>
      <w:r w:rsidRPr="00397BF3">
        <w:t>I</w:t>
      </w:r>
      <w:r w:rsidRPr="00A57463">
        <w:t xml:space="preserve">n 2014 </w:t>
      </w:r>
      <w:hyperlink r:id="rId62" w:tgtFrame="_blank" w:history="1">
        <w:r w:rsidRPr="00ED1B9E">
          <w:rPr>
            <w:rStyle w:val="Hyperlink"/>
            <w:rFonts w:cs="Arial"/>
            <w:szCs w:val="24"/>
          </w:rPr>
          <w:t>Homeless and health research</w:t>
        </w:r>
      </w:hyperlink>
      <w:r w:rsidRPr="00ED1B9E">
        <w:rPr>
          <w:rFonts w:ascii="Times New Roman" w:hAnsi="Times New Roman"/>
          <w:szCs w:val="24"/>
          <w:lang w:val="en" w:eastAsia="en-GB"/>
        </w:rPr>
        <w:t xml:space="preserve"> </w:t>
      </w:r>
      <w:r w:rsidRPr="00616697">
        <w:t>provided by ‘Homeless Link’</w:t>
      </w:r>
      <w:r w:rsidRPr="00ED1B9E">
        <w:rPr>
          <w:rFonts w:ascii="Times New Roman" w:hAnsi="Times New Roman"/>
          <w:szCs w:val="24"/>
          <w:lang w:val="en" w:eastAsia="en-GB"/>
        </w:rPr>
        <w:t xml:space="preserve"> </w:t>
      </w:r>
      <w:r w:rsidRPr="00616697">
        <w:t>reported</w:t>
      </w:r>
      <w:r w:rsidRPr="00ED1B9E">
        <w:rPr>
          <w:rFonts w:ascii="Times New Roman" w:hAnsi="Times New Roman"/>
          <w:szCs w:val="24"/>
          <w:lang w:val="en" w:eastAsia="en-GB"/>
        </w:rPr>
        <w:t xml:space="preserve"> </w:t>
      </w:r>
      <w:r w:rsidRPr="00A57463">
        <w:t>that 90% of the homeless people they surveyed were registered with a GP. However many responded that they were not receiving the help they needed for their health problems, and 7% had been refused access to a GP or dentist in the previous 12 months. In some cases these refusals were due to having missed a previous appointment or because of behaviour. Others reported that they were refused access if they did not have identification or proof of address.</w:t>
      </w:r>
    </w:p>
    <w:p w14:paraId="0760D42E" w14:textId="77777777" w:rsidR="00DB11FA" w:rsidRDefault="00DB11FA" w:rsidP="006A6D87">
      <w:pPr>
        <w:pStyle w:val="Heading3"/>
      </w:pPr>
      <w:r w:rsidRPr="00ED1B9E">
        <w:t xml:space="preserve">Also </w:t>
      </w:r>
      <w:r>
        <w:t>t</w:t>
      </w:r>
      <w:r w:rsidRPr="00ED1B9E">
        <w:t>he General Practitioners Committee (GPC) of the British Medical Association (BMA)</w:t>
      </w:r>
      <w:r>
        <w:t xml:space="preserve"> has r</w:t>
      </w:r>
      <w:r w:rsidRPr="00ED1B9E">
        <w:t>elated guidance</w:t>
      </w:r>
      <w:r>
        <w:t xml:space="preserve"> which can be found</w:t>
      </w:r>
      <w:r w:rsidRPr="00ED1B9E">
        <w:t xml:space="preserve"> </w:t>
      </w:r>
      <w:r>
        <w:t xml:space="preserve">can be found </w:t>
      </w:r>
      <w:hyperlink r:id="rId63" w:history="1">
        <w:r>
          <w:rPr>
            <w:rStyle w:val="Hyperlink"/>
            <w:bCs w:val="0"/>
          </w:rPr>
          <w:t>here</w:t>
        </w:r>
      </w:hyperlink>
      <w:r>
        <w:t xml:space="preserve"> </w:t>
      </w:r>
    </w:p>
    <w:p w14:paraId="28B89346" w14:textId="77777777" w:rsidR="00DB11FA" w:rsidRPr="003E0865" w:rsidRDefault="00DB11FA" w:rsidP="00DB11FA">
      <w:pPr>
        <w:pStyle w:val="Default"/>
        <w:rPr>
          <w:rFonts w:eastAsia="Times New Roman" w:cs="Times New Roman"/>
          <w:bCs/>
          <w:color w:val="auto"/>
          <w:szCs w:val="26"/>
          <w:lang w:eastAsia="en-US"/>
        </w:rPr>
      </w:pPr>
    </w:p>
    <w:p w14:paraId="4BF69E80" w14:textId="77777777" w:rsidR="00DB11FA" w:rsidRDefault="00DB11FA" w:rsidP="00DB11FA">
      <w:pPr>
        <w:pStyle w:val="Heading2"/>
      </w:pPr>
      <w:bookmarkStart w:id="449" w:name="_Toc488146105"/>
      <w:bookmarkStart w:id="450" w:name="_Toc498495358"/>
      <w:r w:rsidRPr="00E50B4E">
        <w:t>Who can register for free primary care services?</w:t>
      </w:r>
      <w:bookmarkEnd w:id="449"/>
      <w:bookmarkEnd w:id="450"/>
    </w:p>
    <w:p w14:paraId="4F2B6592" w14:textId="77777777" w:rsidR="00DB11FA" w:rsidRDefault="00DB11FA" w:rsidP="00DB11FA">
      <w:pPr>
        <w:autoSpaceDE w:val="0"/>
        <w:autoSpaceDN w:val="0"/>
        <w:rPr>
          <w:rFonts w:cs="Arial"/>
          <w:bCs w:val="0"/>
          <w:szCs w:val="24"/>
          <w:lang w:eastAsia="en-GB"/>
        </w:rPr>
      </w:pPr>
    </w:p>
    <w:p w14:paraId="2F1F04FA" w14:textId="576AD80B" w:rsidR="00DB11FA" w:rsidRDefault="00DB11FA" w:rsidP="006A6D87">
      <w:pPr>
        <w:pStyle w:val="Heading3"/>
      </w:pPr>
      <w:r>
        <w:t xml:space="preserve">A patient does not need to be “ordinarily resident” in the country to be eligible for NHS primary medical care –this only applies to secondary (hospital) care. In effect, therefore, anybody in England may register and consult with a GP without charge. </w:t>
      </w:r>
    </w:p>
    <w:p w14:paraId="530BF68D" w14:textId="6DF5AC92" w:rsidR="00DB11FA" w:rsidRDefault="00DB11FA" w:rsidP="006A6D87">
      <w:pPr>
        <w:pStyle w:val="Heading3"/>
      </w:pPr>
      <w:r>
        <w:t>Where a GP refers a patient for secondary services (hospital or other community services) they should do so on clinical grounds alone; eligibility for free care will be assessed by the receiving organisation.</w:t>
      </w:r>
    </w:p>
    <w:p w14:paraId="176EACAC" w14:textId="1067DFF4" w:rsidR="00DB11FA" w:rsidRPr="00ED1B9E" w:rsidRDefault="00DB11FA" w:rsidP="006A6D87">
      <w:pPr>
        <w:pStyle w:val="Heading3"/>
      </w:pPr>
      <w:r>
        <w:lastRenderedPageBreak/>
        <w:t xml:space="preserve">The absence of any reciprocal arrangements between the nation states, a patient’s nationality is therefore not relevant in giving people entitlement to register as NHS patients for primary medical care services. </w:t>
      </w:r>
    </w:p>
    <w:p w14:paraId="0BE30B8B" w14:textId="77777777" w:rsidR="00DB11FA" w:rsidRPr="00ED1B9E" w:rsidRDefault="00DB11FA" w:rsidP="006A6D87">
      <w:pPr>
        <w:pStyle w:val="Heading3"/>
      </w:pPr>
      <w:r w:rsidRPr="00ED1B9E">
        <w:t xml:space="preserve">From October 2017, we have agreed contractual changes that help to identify patients with a non-UK issued EHIC or S1 form or who may be subject to the NHS (Charges to Overseas Visitors) Regulations 2015. </w:t>
      </w:r>
    </w:p>
    <w:p w14:paraId="203E8ACC" w14:textId="77777777" w:rsidR="00DB11FA" w:rsidRPr="00ED1B9E" w:rsidRDefault="00DB11FA" w:rsidP="006A6D87">
      <w:pPr>
        <w:pStyle w:val="Heading3"/>
      </w:pPr>
      <w:r w:rsidRPr="00ED1B9E">
        <w:t xml:space="preserve">Practices will be required to provide all new patients with a revised GMS1 form, which includes supplementary questions to determine a patient’s eligibility to healthcare. For those patients who self-declare that they hold either a non-UK issued EHIC or a S1 form, the practice will be required to manually record that the patient holds either a non-UK issued EHIC or a S1 form in the patient’s medical record and then send the form and supplementary questions to NHS Digital (for non-UK issued EHIC cards) or the Overseas Healthcare Team (for S1 forms) via email or post. </w:t>
      </w:r>
    </w:p>
    <w:p w14:paraId="1A5F6989" w14:textId="77777777" w:rsidR="00DB11FA" w:rsidRDefault="00DB11FA" w:rsidP="006A6D87">
      <w:pPr>
        <w:pStyle w:val="Heading3"/>
      </w:pPr>
      <w:r w:rsidRPr="00ED1B9E">
        <w:t>The Department of Health has agreed to provide practices with hard copy patient leaflets which will explain the rules and entitlements overseas patients accessing the NHS in England.</w:t>
      </w:r>
      <w:r>
        <w:t xml:space="preserve"> </w:t>
      </w:r>
    </w:p>
    <w:p w14:paraId="644760CD" w14:textId="608E2864" w:rsidR="00DB11FA" w:rsidRDefault="00DB11FA" w:rsidP="006A6D87">
      <w:pPr>
        <w:pStyle w:val="Heading3"/>
      </w:pPr>
      <w:r>
        <w:t xml:space="preserve">It is important to note that there is no set length of time that a patient must reside in the country in order to become eligible to receive NHS primary medical care services. </w:t>
      </w:r>
    </w:p>
    <w:p w14:paraId="215996CE" w14:textId="77777777" w:rsidR="00DB11FA" w:rsidRDefault="00DB11FA" w:rsidP="006A6D87">
      <w:pPr>
        <w:pStyle w:val="Heading3"/>
      </w:pPr>
      <w:r>
        <w:t>Therefore all asylum seekers and refugees, overseas visitors, students, people on work visas and those who are homeless, overseas visitors, whether lawfully in the UK or not, are eligible to register with a GP practice even if those visitors are not eligible for secondary care (hospital care) services.</w:t>
      </w:r>
    </w:p>
    <w:p w14:paraId="3017CE71" w14:textId="0F01CED4" w:rsidR="00DB11FA" w:rsidRPr="006A6D87" w:rsidRDefault="00DB11FA" w:rsidP="006A6D87">
      <w:pPr>
        <w:pStyle w:val="Heading3"/>
      </w:pPr>
      <w:r>
        <w:t>The length of time that a patient is intending to reside in an area dictates whether a patient is registered as a temporary or permanent patient. Patients should be offered the option of registering as a temporary resident if they are resident in the practice area for more than 24 hours but less than 3 months.</w:t>
      </w:r>
    </w:p>
    <w:p w14:paraId="1C5789EA" w14:textId="77777777" w:rsidR="00DB11FA" w:rsidRDefault="00DB11FA" w:rsidP="006A6D87">
      <w:pPr>
        <w:pStyle w:val="Heading3"/>
      </w:pPr>
      <w:r>
        <w:t>An immigration health charge (or ‘surcharge’) is now payable by non-EEA nationals who apply for a visa to enter or remain in the UK for more than 6 months. People with indefinite leave to remain in the UK and those not subject to immigration control (e.g. diplomats posted to the UK) are not liable to pay the surcharge, but may be ordinarily resident here and entitled to free NHS healthcare on that basis.</w:t>
      </w:r>
    </w:p>
    <w:p w14:paraId="655286B6" w14:textId="77777777" w:rsidR="00DB11FA" w:rsidRDefault="00DB11FA" w:rsidP="006A6D87">
      <w:pPr>
        <w:pStyle w:val="Heading3"/>
      </w:pPr>
      <w:r>
        <w:lastRenderedPageBreak/>
        <w:t>Payment of the health surcharge entitles the payer to NHS-funded healthcare on the same basis as someone who is ordinarily resident, from the date their visa is granted and for as long as it remains valid. They are entitled to free NHS services, including NHS hospital care, except for services for which a UK ordinary resident must also pay, such as dentistry and prescriptions in England.</w:t>
      </w:r>
    </w:p>
    <w:p w14:paraId="2A06D081" w14:textId="77777777" w:rsidR="00DB11FA" w:rsidRDefault="00DB11FA" w:rsidP="006A6D87">
      <w:pPr>
        <w:pStyle w:val="Heading3"/>
      </w:pPr>
      <w:r>
        <w:t>Payment of the health surcharge is mandatory when making an immigration application, subject to exemptions for certain categories of people and the discretion of the Home Secretary to reduce, waive or refund all or part of a surcharge payment. Most of these groups also receive NHS-funded healthcare on the same basis as an ordinarily resident person.</w:t>
      </w:r>
    </w:p>
    <w:p w14:paraId="6279BD47" w14:textId="77777777" w:rsidR="00DB11FA" w:rsidRDefault="00DB11FA" w:rsidP="006A6D87">
      <w:pPr>
        <w:pStyle w:val="Heading3"/>
      </w:pPr>
      <w:r>
        <w:t xml:space="preserve">Patients who have paid this surcharge as part of their visa application process should be registered as with any other patients. </w:t>
      </w:r>
    </w:p>
    <w:p w14:paraId="735F3384" w14:textId="77777777" w:rsidR="00DB11FA" w:rsidRPr="00DF3F04" w:rsidRDefault="00DB11FA" w:rsidP="00DB11FA">
      <w:pPr>
        <w:pStyle w:val="Default"/>
        <w:tabs>
          <w:tab w:val="left" w:pos="6030"/>
        </w:tabs>
        <w:rPr>
          <w:color w:val="auto"/>
        </w:rPr>
      </w:pPr>
    </w:p>
    <w:p w14:paraId="26485048" w14:textId="77777777" w:rsidR="00DB11FA" w:rsidRDefault="00DB11FA" w:rsidP="00DB11FA">
      <w:pPr>
        <w:pStyle w:val="Heading2"/>
      </w:pPr>
      <w:bookmarkStart w:id="451" w:name="_Toc488146106"/>
      <w:bookmarkStart w:id="452" w:name="_Toc498495359"/>
      <w:r w:rsidRPr="00EF7E6A">
        <w:t>Immediately necessary treatment</w:t>
      </w:r>
      <w:bookmarkEnd w:id="451"/>
      <w:bookmarkEnd w:id="452"/>
      <w:r w:rsidRPr="00EF7E6A">
        <w:t xml:space="preserve"> </w:t>
      </w:r>
    </w:p>
    <w:p w14:paraId="3F3CA16A" w14:textId="77777777" w:rsidR="00DB11FA" w:rsidRPr="003E0865" w:rsidRDefault="00DB11FA" w:rsidP="00DB11FA"/>
    <w:p w14:paraId="3F6B8E34" w14:textId="3189B238" w:rsidR="00DB11FA" w:rsidRPr="003C2B06" w:rsidRDefault="00DB11FA" w:rsidP="006A6D87">
      <w:pPr>
        <w:pStyle w:val="Heading3"/>
      </w:pPr>
      <w:r w:rsidRPr="003C2B06">
        <w:t xml:space="preserve">General Practices are also under a duty to provide emergency or immediately necessary treatment, where clinically necessary, irrespective of nationality or immigration status. </w:t>
      </w:r>
    </w:p>
    <w:p w14:paraId="1C3B454C" w14:textId="77777777" w:rsidR="00DB11FA" w:rsidRPr="00DF3F04" w:rsidRDefault="00DB11FA" w:rsidP="006A6D87">
      <w:pPr>
        <w:pStyle w:val="Heading3"/>
      </w:pPr>
      <w:r w:rsidRPr="003C2B06">
        <w:t>The practice is required to provide 14 days of further cover following provision of imm</w:t>
      </w:r>
      <w:r>
        <w:t>ediate and necessary treatment.</w:t>
      </w:r>
    </w:p>
    <w:p w14:paraId="28DE375F" w14:textId="77777777" w:rsidR="00DB11FA" w:rsidRDefault="00DB11FA" w:rsidP="00DB11FA"/>
    <w:p w14:paraId="6FFF0B47" w14:textId="77777777" w:rsidR="00DB11FA" w:rsidRDefault="00DB11FA" w:rsidP="00DB11FA">
      <w:pPr>
        <w:pStyle w:val="Heading2"/>
      </w:pPr>
      <w:bookmarkStart w:id="453" w:name="_Toc488146107"/>
      <w:bookmarkStart w:id="454" w:name="_Toc498495360"/>
      <w:r w:rsidRPr="00EF7E6A">
        <w:t>Determining if the patient lives in the practice area</w:t>
      </w:r>
      <w:bookmarkEnd w:id="453"/>
      <w:bookmarkEnd w:id="454"/>
      <w:r w:rsidRPr="00EF7E6A">
        <w:t xml:space="preserve"> </w:t>
      </w:r>
    </w:p>
    <w:p w14:paraId="2660A5D8" w14:textId="77777777" w:rsidR="00DB11FA" w:rsidRPr="00EF7E6A" w:rsidRDefault="00DB11FA" w:rsidP="00DB11FA">
      <w:pPr>
        <w:pStyle w:val="Default"/>
        <w:spacing w:line="360" w:lineRule="auto"/>
        <w:rPr>
          <w:color w:val="auto"/>
        </w:rPr>
      </w:pPr>
    </w:p>
    <w:p w14:paraId="45C261CE" w14:textId="46AD9F28" w:rsidR="00DB11FA" w:rsidRDefault="00DB11FA" w:rsidP="006A6D87">
      <w:pPr>
        <w:pStyle w:val="Heading3"/>
      </w:pPr>
      <w:r w:rsidRPr="000672AE">
        <w:t xml:space="preserve">All practices are required to have agreed an “inner” boundary with </w:t>
      </w:r>
      <w:r>
        <w:t>their commissioner (</w:t>
      </w:r>
      <w:r w:rsidRPr="000672AE">
        <w:t>NHS England</w:t>
      </w:r>
      <w:r>
        <w:t xml:space="preserve"> or CCG)</w:t>
      </w:r>
      <w:r w:rsidRPr="000672AE">
        <w:t xml:space="preserve">. </w:t>
      </w:r>
      <w:r w:rsidRPr="00EF7E6A">
        <w:t xml:space="preserve">Anyone who resides within the practice’s inner boundary is entitled to apply to register for primary care medical services and the practice boundary should be clearly advertised to patients on the GPs practice leaflet or website if they have one. </w:t>
      </w:r>
    </w:p>
    <w:p w14:paraId="4D2EF42D" w14:textId="77777777" w:rsidR="00DB11FA" w:rsidRPr="000672AE" w:rsidRDefault="00DB11FA" w:rsidP="006A6D87">
      <w:pPr>
        <w:pStyle w:val="Heading3"/>
      </w:pPr>
      <w:r w:rsidRPr="000672AE">
        <w:t xml:space="preserve">In addition most practices have also agreed an “outer” practice boundary. </w:t>
      </w:r>
    </w:p>
    <w:p w14:paraId="2AA6E4E5" w14:textId="38832B5C" w:rsidR="00DB11FA" w:rsidRDefault="00DB11FA" w:rsidP="006A6D87">
      <w:pPr>
        <w:pStyle w:val="Heading3"/>
      </w:pPr>
      <w:r w:rsidRPr="000672AE">
        <w:t xml:space="preserve">Patients who move out of a practice’s inner boundary area but still reside in the outer boundary area </w:t>
      </w:r>
      <w:r>
        <w:t>may be</w:t>
      </w:r>
      <w:r w:rsidRPr="000672AE">
        <w:t xml:space="preserve"> able to remain registered with the practice if they wish</w:t>
      </w:r>
      <w:r>
        <w:t xml:space="preserve"> and the practice agrees</w:t>
      </w:r>
      <w:r w:rsidRPr="000672AE">
        <w:t>.</w:t>
      </w:r>
    </w:p>
    <w:p w14:paraId="5FA7EBEC" w14:textId="77777777" w:rsidR="00DB11FA" w:rsidRDefault="00DB11FA" w:rsidP="006A6D87">
      <w:pPr>
        <w:pStyle w:val="Heading3"/>
      </w:pPr>
      <w:r>
        <w:lastRenderedPageBreak/>
        <w:t xml:space="preserve">GP practices </w:t>
      </w:r>
      <w:r w:rsidRPr="00EC1C18">
        <w:t>are able to register new patients who live outside the practice area without any obligation to provide home visits or services out of hours when the patient is unable to attend their registered practice.</w:t>
      </w:r>
      <w:r>
        <w:t xml:space="preserve">  It is for a practice to decide, at the point of registration, whether it is clinically appropriate and practical to register the individual patient in that way.</w:t>
      </w:r>
    </w:p>
    <w:p w14:paraId="4812A88E" w14:textId="77777777" w:rsidR="00DB11FA" w:rsidRDefault="00DB11FA" w:rsidP="00DB11FA">
      <w:pPr>
        <w:pStyle w:val="Default"/>
        <w:rPr>
          <w:color w:val="auto"/>
        </w:rPr>
      </w:pPr>
    </w:p>
    <w:p w14:paraId="0ED9380A" w14:textId="77777777" w:rsidR="00DB11FA" w:rsidRDefault="00DB11FA" w:rsidP="00DB11FA">
      <w:pPr>
        <w:pStyle w:val="Heading2"/>
      </w:pPr>
      <w:bookmarkStart w:id="455" w:name="_Toc488146108"/>
      <w:bookmarkStart w:id="456" w:name="_Toc498495361"/>
      <w:r>
        <w:t>A</w:t>
      </w:r>
      <w:r w:rsidRPr="004C61AB">
        <w:t>ccess to registration</w:t>
      </w:r>
      <w:bookmarkEnd w:id="455"/>
      <w:bookmarkEnd w:id="456"/>
    </w:p>
    <w:p w14:paraId="3E47930D" w14:textId="77777777" w:rsidR="00DB11FA" w:rsidRDefault="00DB11FA" w:rsidP="00DB11FA"/>
    <w:p w14:paraId="5AE13522" w14:textId="77777777" w:rsidR="00DB11FA" w:rsidRPr="001E29E8" w:rsidRDefault="00DB11FA" w:rsidP="006A6D87">
      <w:pPr>
        <w:pStyle w:val="Heading3"/>
      </w:pPr>
      <w:r w:rsidRPr="001E29E8">
        <w:t xml:space="preserve">Practices should ensure there is equitable access for all patients who wish to register with them. Registration should be available to all patients every day rather than on particular days and throughout the practice’s advertised opening hours. </w:t>
      </w:r>
    </w:p>
    <w:p w14:paraId="47EE08A4" w14:textId="2B22BA63" w:rsidR="00DB11FA" w:rsidRPr="004C61AB" w:rsidRDefault="00DB11FA" w:rsidP="006A6D87">
      <w:pPr>
        <w:pStyle w:val="Heading3"/>
      </w:pPr>
      <w:r w:rsidRPr="004C61AB">
        <w:t xml:space="preserve">Practices may find it helpful to let patients know the less busy times of the day when registration might be easier. </w:t>
      </w:r>
    </w:p>
    <w:p w14:paraId="33200203" w14:textId="17A0A3BA" w:rsidR="00DB11FA" w:rsidRPr="004C61AB" w:rsidRDefault="00DB11FA" w:rsidP="006A6D87">
      <w:pPr>
        <w:pStyle w:val="Heading3"/>
      </w:pPr>
      <w:r w:rsidRPr="004C61AB">
        <w:t xml:space="preserve">Where possible it is good practice for practices to provide pre-registration documentation in advance e.g. on line prior to a patient attending to register in person. </w:t>
      </w:r>
    </w:p>
    <w:p w14:paraId="6DF9EE5A" w14:textId="77777777" w:rsidR="00DB11FA" w:rsidRDefault="00DB11FA" w:rsidP="006A6D87">
      <w:pPr>
        <w:pStyle w:val="Heading3"/>
      </w:pPr>
      <w:r w:rsidRPr="004C61AB">
        <w:t xml:space="preserve">Patients have the right to change practices if they wish. If a patient is registered at another </w:t>
      </w:r>
      <w:r>
        <w:t xml:space="preserve">local </w:t>
      </w:r>
      <w:r w:rsidRPr="004C61AB">
        <w:t>practice this is not a reason to refuse registration</w:t>
      </w:r>
      <w:r>
        <w:t xml:space="preserve"> but this would trigger the deregistration from the original practice</w:t>
      </w:r>
    </w:p>
    <w:p w14:paraId="2839D48E" w14:textId="77777777" w:rsidR="00DB11FA" w:rsidRPr="004C61AB" w:rsidRDefault="00DB11FA" w:rsidP="00DB11FA">
      <w:pPr>
        <w:pStyle w:val="Default"/>
        <w:rPr>
          <w:color w:val="auto"/>
        </w:rPr>
      </w:pPr>
    </w:p>
    <w:p w14:paraId="4D9C07C1" w14:textId="77777777" w:rsidR="00DB11FA" w:rsidRDefault="00DB11FA" w:rsidP="00DB11FA">
      <w:pPr>
        <w:pStyle w:val="Heading2"/>
      </w:pPr>
      <w:bookmarkStart w:id="457" w:name="_Toc488146109"/>
      <w:bookmarkStart w:id="458" w:name="_Toc498495362"/>
      <w:r w:rsidRPr="000672AE">
        <w:t>New patient health checks</w:t>
      </w:r>
      <w:bookmarkEnd w:id="457"/>
      <w:bookmarkEnd w:id="458"/>
      <w:r w:rsidRPr="000672AE">
        <w:t xml:space="preserve"> </w:t>
      </w:r>
    </w:p>
    <w:p w14:paraId="75E24B7B" w14:textId="77777777" w:rsidR="00DB11FA" w:rsidRDefault="00DB11FA" w:rsidP="00DB11FA">
      <w:pPr>
        <w:pStyle w:val="Default"/>
        <w:rPr>
          <w:color w:val="auto"/>
        </w:rPr>
      </w:pPr>
    </w:p>
    <w:p w14:paraId="05769BC2" w14:textId="77777777" w:rsidR="00DB11FA" w:rsidRDefault="00DB11FA" w:rsidP="006A6D87">
      <w:pPr>
        <w:pStyle w:val="Heading3"/>
      </w:pPr>
      <w:r w:rsidRPr="00920B26">
        <w:t>It is a contractual requirement that once registered all patients must be invited to participate in a new patient check</w:t>
      </w:r>
      <w:r>
        <w:t xml:space="preserve"> however neither registration nor clinical appointments should be delayed because of the unavailability of a new patient check appointment</w:t>
      </w:r>
    </w:p>
    <w:p w14:paraId="32420E82" w14:textId="77777777" w:rsidR="00DB11FA" w:rsidRPr="00FA7368" w:rsidRDefault="00DB11FA" w:rsidP="00DB11FA">
      <w:pPr>
        <w:pStyle w:val="Default"/>
        <w:rPr>
          <w:color w:val="auto"/>
        </w:rPr>
      </w:pPr>
    </w:p>
    <w:p w14:paraId="2B337170" w14:textId="77777777" w:rsidR="00DB11FA" w:rsidRDefault="00DB11FA" w:rsidP="00DB11FA">
      <w:pPr>
        <w:pStyle w:val="Heading2"/>
      </w:pPr>
      <w:bookmarkStart w:id="459" w:name="_Toc488146110"/>
      <w:bookmarkStart w:id="460" w:name="_Toc498495363"/>
      <w:r w:rsidRPr="004E5E69">
        <w:t xml:space="preserve">Requesting </w:t>
      </w:r>
      <w:r>
        <w:t xml:space="preserve">documentary </w:t>
      </w:r>
      <w:r w:rsidRPr="004E5E69">
        <w:t>information from patients</w:t>
      </w:r>
      <w:bookmarkEnd w:id="459"/>
      <w:bookmarkEnd w:id="460"/>
    </w:p>
    <w:p w14:paraId="6F9391DA" w14:textId="77777777" w:rsidR="00DB11FA" w:rsidRPr="0044349A" w:rsidRDefault="00DB11FA" w:rsidP="00DB11FA">
      <w:pPr>
        <w:autoSpaceDE w:val="0"/>
        <w:autoSpaceDN w:val="0"/>
        <w:adjustRightInd w:val="0"/>
        <w:rPr>
          <w:rFonts w:cs="Arial"/>
          <w:color w:val="000000"/>
          <w:szCs w:val="24"/>
          <w:u w:val="single"/>
        </w:rPr>
      </w:pPr>
    </w:p>
    <w:p w14:paraId="0B4F52EE" w14:textId="77777777" w:rsidR="00DB11FA" w:rsidRDefault="00DB11FA" w:rsidP="006A6D87">
      <w:pPr>
        <w:pStyle w:val="Heading3"/>
        <w:rPr>
          <w:lang w:eastAsia="en-GB"/>
        </w:rPr>
      </w:pPr>
      <w:r w:rsidRPr="003C2B06">
        <w:rPr>
          <w:lang w:eastAsia="en-GB"/>
        </w:rPr>
        <w:t xml:space="preserve">Under the terms of their primary medical services contracts, GP practices </w:t>
      </w:r>
      <w:r w:rsidRPr="0063057F">
        <w:rPr>
          <w:u w:val="single"/>
          <w:lang w:eastAsia="en-GB"/>
        </w:rPr>
        <w:t>cannot refuse</w:t>
      </w:r>
      <w:r w:rsidRPr="003C2B06">
        <w:rPr>
          <w:lang w:eastAsia="en-GB"/>
        </w:rPr>
        <w:t xml:space="preserve"> an application to join its list of NHS patients on the grounds of race, gender, social class, age, religion, sexual orientation, appearance, disability or medical condition.  </w:t>
      </w:r>
    </w:p>
    <w:p w14:paraId="7D2D3C50" w14:textId="77777777" w:rsidR="00DB11FA" w:rsidRDefault="00DB11FA" w:rsidP="00DB11FA">
      <w:pPr>
        <w:tabs>
          <w:tab w:val="left" w:pos="-720"/>
          <w:tab w:val="left" w:pos="0"/>
          <w:tab w:val="left" w:pos="720"/>
          <w:tab w:val="left" w:pos="1440"/>
          <w:tab w:val="left" w:pos="2160"/>
          <w:tab w:val="left" w:pos="2880"/>
          <w:tab w:val="left" w:pos="3600"/>
          <w:tab w:val="left" w:pos="4320"/>
        </w:tabs>
        <w:autoSpaceDE w:val="0"/>
        <w:autoSpaceDN w:val="0"/>
        <w:adjustRightInd w:val="0"/>
        <w:ind w:left="360"/>
        <w:rPr>
          <w:rFonts w:cs="Arial"/>
          <w:iCs/>
          <w:color w:val="000000"/>
          <w:szCs w:val="24"/>
          <w:lang w:eastAsia="en-GB"/>
        </w:rPr>
      </w:pPr>
    </w:p>
    <w:p w14:paraId="4B6FD0AF" w14:textId="77777777" w:rsidR="00DB11FA" w:rsidRDefault="00DB11FA" w:rsidP="006A6D87">
      <w:pPr>
        <w:pStyle w:val="Heading3"/>
        <w:rPr>
          <w:lang w:eastAsia="en-GB"/>
        </w:rPr>
      </w:pPr>
      <w:r>
        <w:rPr>
          <w:lang w:eastAsia="en-GB"/>
        </w:rPr>
        <w:lastRenderedPageBreak/>
        <w:t xml:space="preserve">Practices can refuse </w:t>
      </w:r>
      <w:r w:rsidRPr="003C2B06">
        <w:rPr>
          <w:lang w:eastAsia="en-GB"/>
        </w:rPr>
        <w:t>an application</w:t>
      </w:r>
      <w:r>
        <w:rPr>
          <w:lang w:eastAsia="en-GB"/>
        </w:rPr>
        <w:t xml:space="preserve"> to join a practice list</w:t>
      </w:r>
      <w:r w:rsidRPr="003C2B06">
        <w:rPr>
          <w:lang w:eastAsia="en-GB"/>
        </w:rPr>
        <w:t xml:space="preserve"> if</w:t>
      </w:r>
      <w:r>
        <w:rPr>
          <w:lang w:eastAsia="en-GB"/>
        </w:rPr>
        <w:t>:</w:t>
      </w:r>
    </w:p>
    <w:p w14:paraId="1BA59AB9" w14:textId="77777777" w:rsidR="00DB11FA" w:rsidRDefault="00DB11FA" w:rsidP="005A7DDA">
      <w:pPr>
        <w:pStyle w:val="ListParagraph"/>
        <w:numPr>
          <w:ilvl w:val="0"/>
          <w:numId w:val="79"/>
        </w:numPr>
        <w:tabs>
          <w:tab w:val="left" w:pos="-720"/>
          <w:tab w:val="left" w:pos="0"/>
          <w:tab w:val="left" w:pos="720"/>
          <w:tab w:val="left" w:pos="1440"/>
          <w:tab w:val="left" w:pos="2160"/>
          <w:tab w:val="left" w:pos="2880"/>
          <w:tab w:val="left" w:pos="3600"/>
          <w:tab w:val="left" w:pos="4320"/>
        </w:tabs>
        <w:autoSpaceDE w:val="0"/>
        <w:autoSpaceDN w:val="0"/>
        <w:adjustRightInd w:val="0"/>
        <w:spacing w:line="360" w:lineRule="auto"/>
        <w:ind w:left="714" w:hanging="357"/>
        <w:rPr>
          <w:rFonts w:cs="Arial"/>
          <w:iCs/>
          <w:color w:val="000000"/>
          <w:szCs w:val="24"/>
          <w:lang w:eastAsia="en-GB"/>
        </w:rPr>
      </w:pPr>
      <w:r w:rsidRPr="003E0865">
        <w:rPr>
          <w:rFonts w:cs="Arial"/>
          <w:iCs/>
          <w:color w:val="000000"/>
          <w:szCs w:val="24"/>
          <w:lang w:eastAsia="en-GB"/>
        </w:rPr>
        <w:t>The commissioner  has agreed that they can close their list to new patients,</w:t>
      </w:r>
    </w:p>
    <w:p w14:paraId="3B2D7A2F" w14:textId="77777777" w:rsidR="00DB11FA" w:rsidRDefault="00DB11FA" w:rsidP="005A7DDA">
      <w:pPr>
        <w:pStyle w:val="ListParagraph"/>
        <w:numPr>
          <w:ilvl w:val="0"/>
          <w:numId w:val="79"/>
        </w:numPr>
        <w:tabs>
          <w:tab w:val="left" w:pos="-720"/>
          <w:tab w:val="left" w:pos="0"/>
          <w:tab w:val="left" w:pos="720"/>
          <w:tab w:val="left" w:pos="1440"/>
          <w:tab w:val="left" w:pos="2160"/>
          <w:tab w:val="left" w:pos="2880"/>
          <w:tab w:val="left" w:pos="3600"/>
          <w:tab w:val="left" w:pos="4320"/>
        </w:tabs>
        <w:autoSpaceDE w:val="0"/>
        <w:autoSpaceDN w:val="0"/>
        <w:adjustRightInd w:val="0"/>
        <w:spacing w:line="360" w:lineRule="auto"/>
        <w:ind w:left="714" w:hanging="357"/>
        <w:rPr>
          <w:rFonts w:cs="Arial"/>
          <w:iCs/>
          <w:color w:val="000000"/>
          <w:szCs w:val="24"/>
          <w:lang w:eastAsia="en-GB"/>
        </w:rPr>
      </w:pPr>
      <w:r w:rsidRPr="003E0865">
        <w:rPr>
          <w:rFonts w:cs="Arial"/>
          <w:iCs/>
          <w:color w:val="000000"/>
          <w:szCs w:val="24"/>
          <w:lang w:eastAsia="en-GB"/>
        </w:rPr>
        <w:t xml:space="preserve">the patient lives outside the practice boundary ;or </w:t>
      </w:r>
    </w:p>
    <w:p w14:paraId="5AB521C8" w14:textId="77777777" w:rsidR="00DB11FA" w:rsidRPr="003E0865" w:rsidRDefault="00DB11FA" w:rsidP="005A7DDA">
      <w:pPr>
        <w:pStyle w:val="ListParagraph"/>
        <w:numPr>
          <w:ilvl w:val="0"/>
          <w:numId w:val="79"/>
        </w:numPr>
        <w:tabs>
          <w:tab w:val="left" w:pos="-720"/>
          <w:tab w:val="left" w:pos="0"/>
          <w:tab w:val="left" w:pos="720"/>
          <w:tab w:val="left" w:pos="1440"/>
          <w:tab w:val="left" w:pos="2160"/>
          <w:tab w:val="left" w:pos="2880"/>
          <w:tab w:val="left" w:pos="3600"/>
          <w:tab w:val="left" w:pos="4320"/>
        </w:tabs>
        <w:autoSpaceDE w:val="0"/>
        <w:autoSpaceDN w:val="0"/>
        <w:adjustRightInd w:val="0"/>
        <w:spacing w:line="360" w:lineRule="auto"/>
        <w:ind w:left="714" w:hanging="357"/>
        <w:rPr>
          <w:rFonts w:cs="Arial"/>
          <w:iCs/>
          <w:color w:val="000000"/>
          <w:szCs w:val="24"/>
          <w:lang w:eastAsia="en-GB"/>
        </w:rPr>
      </w:pPr>
      <w:r w:rsidRPr="003E0865">
        <w:rPr>
          <w:rFonts w:cs="Arial"/>
          <w:iCs/>
          <w:color w:val="000000"/>
          <w:szCs w:val="24"/>
          <w:lang w:eastAsia="en-GB"/>
        </w:rPr>
        <w:t>if they have other reasonable grounds</w:t>
      </w:r>
    </w:p>
    <w:p w14:paraId="71DDE526" w14:textId="77777777" w:rsidR="00DB11FA" w:rsidRDefault="00DB11FA" w:rsidP="00DB11FA">
      <w:pPr>
        <w:tabs>
          <w:tab w:val="left" w:pos="-720"/>
          <w:tab w:val="left" w:pos="0"/>
          <w:tab w:val="left" w:pos="720"/>
          <w:tab w:val="left" w:pos="1440"/>
          <w:tab w:val="left" w:pos="2160"/>
          <w:tab w:val="left" w:pos="2880"/>
          <w:tab w:val="left" w:pos="3600"/>
          <w:tab w:val="left" w:pos="4320"/>
        </w:tabs>
        <w:autoSpaceDE w:val="0"/>
        <w:autoSpaceDN w:val="0"/>
        <w:adjustRightInd w:val="0"/>
        <w:rPr>
          <w:rFonts w:cs="Arial"/>
          <w:iCs/>
          <w:color w:val="000000"/>
          <w:szCs w:val="24"/>
          <w:lang w:eastAsia="en-GB"/>
        </w:rPr>
      </w:pPr>
    </w:p>
    <w:p w14:paraId="68ACC76E" w14:textId="77777777" w:rsidR="00DB11FA" w:rsidRPr="003C2B06" w:rsidRDefault="00DB11FA" w:rsidP="006A6D87">
      <w:pPr>
        <w:pStyle w:val="Heading3"/>
        <w:rPr>
          <w:lang w:eastAsia="en-GB"/>
        </w:rPr>
      </w:pPr>
      <w:r w:rsidRPr="003C2B06">
        <w:rPr>
          <w:lang w:eastAsia="en-GB"/>
        </w:rPr>
        <w:t xml:space="preserve">In practice, this means that the GP practice’s discretion to refuse a patient is limited.  </w:t>
      </w:r>
    </w:p>
    <w:p w14:paraId="476BC511" w14:textId="77777777" w:rsidR="00DB11FA" w:rsidRPr="0044349A" w:rsidRDefault="00DB11FA" w:rsidP="00DB11FA">
      <w:pPr>
        <w:autoSpaceDE w:val="0"/>
        <w:autoSpaceDN w:val="0"/>
        <w:adjustRightInd w:val="0"/>
        <w:ind w:left="360"/>
        <w:rPr>
          <w:rFonts w:cs="Arial"/>
          <w:bCs w:val="0"/>
          <w:color w:val="000000"/>
          <w:szCs w:val="24"/>
        </w:rPr>
      </w:pPr>
    </w:p>
    <w:p w14:paraId="562059E9" w14:textId="6C9CAE3E" w:rsidR="00DB11FA" w:rsidRPr="006A6D87" w:rsidRDefault="00DB11FA" w:rsidP="006A6D87">
      <w:pPr>
        <w:pStyle w:val="Heading3"/>
        <w:rPr>
          <w:rFonts w:cs="Arial"/>
          <w:color w:val="000000"/>
          <w:szCs w:val="24"/>
        </w:rPr>
      </w:pPr>
      <w:r>
        <w:t>In addition w</w:t>
      </w:r>
      <w:r w:rsidRPr="0044349A">
        <w:t xml:space="preserve">hen applying to become a patient there is no </w:t>
      </w:r>
      <w:r>
        <w:t>regulatory</w:t>
      </w:r>
      <w:r w:rsidRPr="0044349A">
        <w:t xml:space="preserve"> r</w:t>
      </w:r>
      <w:r>
        <w:t xml:space="preserve">equirement to prove identity, address, </w:t>
      </w:r>
      <w:r w:rsidRPr="0044349A">
        <w:t>immigration status</w:t>
      </w:r>
      <w:r>
        <w:t xml:space="preserve"> </w:t>
      </w:r>
      <w:r w:rsidRPr="00317A5F">
        <w:t>or the provision of an NHS number in order to register</w:t>
      </w:r>
      <w:r w:rsidRPr="0044349A">
        <w:t>. However, there are practical reasons why a practice might need to be assured that people are who they say they are, or to check w</w:t>
      </w:r>
      <w:r>
        <w:t>here they live.</w:t>
      </w:r>
      <w:r w:rsidRPr="00F011BF">
        <w:t xml:space="preserve"> </w:t>
      </w:r>
      <w:r w:rsidRPr="00EF7E6A">
        <w:t xml:space="preserve">Seeing some form of ID will help to ensure the correct matching of a patient to the NHS central patient registry, </w:t>
      </w:r>
      <w:r>
        <w:t xml:space="preserve">thereby ensuring any </w:t>
      </w:r>
      <w:r w:rsidRPr="00EF7E6A">
        <w:t xml:space="preserve">previous medical notes are passed onto </w:t>
      </w:r>
      <w:r>
        <w:t>a</w:t>
      </w:r>
      <w:r w:rsidRPr="00EF7E6A">
        <w:t xml:space="preserve"> new practice. </w:t>
      </w:r>
      <w:r>
        <w:t xml:space="preserve">It is legitimate therefore for the practice to apply a policy to ask for patient ID as part of their registration process. </w:t>
      </w:r>
    </w:p>
    <w:p w14:paraId="7D1C3FA7" w14:textId="26A80176" w:rsidR="00DB11FA" w:rsidRPr="006A6D87" w:rsidRDefault="00DB11FA" w:rsidP="006A6D87">
      <w:pPr>
        <w:pStyle w:val="Heading3"/>
        <w:rPr>
          <w:rFonts w:eastAsia="HGSMinchoE" w:cs="Arial"/>
          <w:szCs w:val="24"/>
          <w:lang w:eastAsia="en-GB"/>
        </w:rPr>
      </w:pPr>
      <w:r w:rsidRPr="0044349A">
        <w:t xml:space="preserve">Any practice that requests documentation regarding a patient’s identity or immigration status </w:t>
      </w:r>
      <w:r w:rsidRPr="006A6D87">
        <w:rPr>
          <w:u w:val="single"/>
        </w:rPr>
        <w:t>must</w:t>
      </w:r>
      <w:r w:rsidRPr="0044349A">
        <w:t xml:space="preserve"> </w:t>
      </w:r>
      <w:r>
        <w:t>apply the same process for all patients requesting registration equally</w:t>
      </w:r>
      <w:r w:rsidRPr="0044349A">
        <w:t xml:space="preserve">. </w:t>
      </w:r>
      <w:r>
        <w:t xml:space="preserve">A practice policy should not routinely expect a patient to present a photograph as this could be discriminatory. </w:t>
      </w:r>
    </w:p>
    <w:p w14:paraId="3FC2DD82" w14:textId="77777777" w:rsidR="00DB11FA" w:rsidRPr="009912B3" w:rsidRDefault="00DB11FA" w:rsidP="006A6D87">
      <w:pPr>
        <w:pStyle w:val="Heading3"/>
        <w:rPr>
          <w:rFonts w:eastAsia="HGSMinchoE" w:cs="Arial"/>
          <w:szCs w:val="24"/>
          <w:lang w:eastAsia="en-GB"/>
        </w:rPr>
      </w:pPr>
      <w:r w:rsidRPr="009912B3">
        <w:rPr>
          <w:rFonts w:eastAsia="HGSMinchoE" w:cs="Arial"/>
          <w:szCs w:val="24"/>
          <w:lang w:eastAsia="en-GB"/>
        </w:rPr>
        <w:t>The majority of patients will not find it difficult to produce ID / residence documentation, however there will be some patients who do live in the practice area, but are legitimately unable to produce any of the listed documentation. Examples of this may be;</w:t>
      </w:r>
    </w:p>
    <w:p w14:paraId="31B8972C" w14:textId="77777777" w:rsidR="00DB11FA" w:rsidRPr="009912B3" w:rsidRDefault="00DB11FA" w:rsidP="00DB11FA">
      <w:pPr>
        <w:autoSpaceDE w:val="0"/>
        <w:autoSpaceDN w:val="0"/>
        <w:adjustRightInd w:val="0"/>
        <w:rPr>
          <w:rFonts w:eastAsia="HGSMinchoE" w:cs="Arial"/>
          <w:bCs w:val="0"/>
          <w:szCs w:val="24"/>
          <w:lang w:eastAsia="en-GB"/>
        </w:rPr>
      </w:pPr>
    </w:p>
    <w:p w14:paraId="118C4FC0" w14:textId="77777777" w:rsidR="00DB11FA" w:rsidRPr="009912B3" w:rsidRDefault="00DB11FA" w:rsidP="006A6D87">
      <w:pPr>
        <w:spacing w:before="120" w:after="120" w:line="360" w:lineRule="auto"/>
        <w:ind w:left="714" w:hanging="357"/>
        <w:contextualSpacing/>
      </w:pPr>
      <w:r w:rsidRPr="009912B3">
        <w:rPr>
          <w:rFonts w:ascii="Symbol" w:hAnsi="Symbol"/>
        </w:rPr>
        <w:t></w:t>
      </w:r>
      <w:r w:rsidRPr="009912B3">
        <w:rPr>
          <w:rFonts w:ascii="Times New Roman" w:hAnsi="Times New Roman"/>
          <w:sz w:val="14"/>
          <w:szCs w:val="14"/>
        </w:rPr>
        <w:t xml:space="preserve">         </w:t>
      </w:r>
      <w:r w:rsidRPr="009912B3">
        <w:t>People fleeing domestic violence staying with friends or family</w:t>
      </w:r>
    </w:p>
    <w:p w14:paraId="4EDC2748" w14:textId="77777777" w:rsidR="00DB11FA" w:rsidRPr="009912B3" w:rsidRDefault="00DB11FA" w:rsidP="006A6D87">
      <w:pPr>
        <w:spacing w:before="120" w:after="120" w:line="360" w:lineRule="auto"/>
        <w:ind w:left="714" w:hanging="357"/>
        <w:contextualSpacing/>
      </w:pPr>
      <w:r w:rsidRPr="009912B3">
        <w:rPr>
          <w:rFonts w:ascii="Symbol" w:hAnsi="Symbol"/>
        </w:rPr>
        <w:t></w:t>
      </w:r>
      <w:r w:rsidRPr="009912B3">
        <w:rPr>
          <w:rFonts w:ascii="Times New Roman" w:hAnsi="Times New Roman"/>
          <w:sz w:val="14"/>
          <w:szCs w:val="14"/>
        </w:rPr>
        <w:t xml:space="preserve">         </w:t>
      </w:r>
      <w:r w:rsidRPr="009912B3">
        <w:t>People living on a boat, in unstable accommodation or street homeless</w:t>
      </w:r>
    </w:p>
    <w:p w14:paraId="6EDBC746" w14:textId="77777777" w:rsidR="00DB11FA" w:rsidRPr="009912B3" w:rsidRDefault="00DB11FA" w:rsidP="006A6D87">
      <w:pPr>
        <w:spacing w:before="120" w:after="120" w:line="360" w:lineRule="auto"/>
        <w:ind w:left="714" w:hanging="357"/>
        <w:contextualSpacing/>
      </w:pPr>
      <w:r w:rsidRPr="009912B3">
        <w:rPr>
          <w:rFonts w:ascii="Symbol" w:hAnsi="Symbol"/>
        </w:rPr>
        <w:t></w:t>
      </w:r>
      <w:r w:rsidRPr="009912B3">
        <w:rPr>
          <w:rFonts w:ascii="Times New Roman" w:hAnsi="Times New Roman"/>
          <w:sz w:val="14"/>
          <w:szCs w:val="14"/>
        </w:rPr>
        <w:t xml:space="preserve">         </w:t>
      </w:r>
      <w:r w:rsidRPr="009912B3">
        <w:t>People staying long term with friends but who aren’t receiving bills</w:t>
      </w:r>
    </w:p>
    <w:p w14:paraId="0078CBA2" w14:textId="77777777" w:rsidR="00DB11FA" w:rsidRPr="009912B3" w:rsidRDefault="00DB11FA" w:rsidP="006A6D87">
      <w:pPr>
        <w:spacing w:before="120" w:after="120" w:line="360" w:lineRule="auto"/>
        <w:ind w:left="714" w:hanging="357"/>
        <w:contextualSpacing/>
      </w:pPr>
      <w:r w:rsidRPr="009912B3">
        <w:rPr>
          <w:rFonts w:ascii="Symbol" w:hAnsi="Symbol"/>
        </w:rPr>
        <w:t></w:t>
      </w:r>
      <w:r w:rsidRPr="009912B3">
        <w:rPr>
          <w:rFonts w:ascii="Times New Roman" w:hAnsi="Times New Roman"/>
          <w:sz w:val="14"/>
          <w:szCs w:val="14"/>
        </w:rPr>
        <w:t xml:space="preserve">         </w:t>
      </w:r>
      <w:r w:rsidRPr="009912B3">
        <w:t>People working in exploitative situations whose’ employer has taken their documents</w:t>
      </w:r>
    </w:p>
    <w:p w14:paraId="3528BB6D" w14:textId="77777777" w:rsidR="00DB11FA" w:rsidRPr="009912B3" w:rsidRDefault="00DB11FA" w:rsidP="006A6D87">
      <w:pPr>
        <w:spacing w:before="120" w:after="120" w:line="360" w:lineRule="auto"/>
        <w:ind w:left="714" w:hanging="357"/>
        <w:contextualSpacing/>
      </w:pPr>
      <w:r w:rsidRPr="009912B3">
        <w:rPr>
          <w:rFonts w:ascii="Symbol" w:hAnsi="Symbol"/>
        </w:rPr>
        <w:t></w:t>
      </w:r>
      <w:r w:rsidRPr="009912B3">
        <w:rPr>
          <w:rFonts w:ascii="Times New Roman" w:hAnsi="Times New Roman"/>
          <w:sz w:val="14"/>
          <w:szCs w:val="14"/>
        </w:rPr>
        <w:t xml:space="preserve">         </w:t>
      </w:r>
      <w:r w:rsidRPr="009912B3">
        <w:t>People who have submitted their documents to the Home Office as part of an application</w:t>
      </w:r>
    </w:p>
    <w:p w14:paraId="76AB1991" w14:textId="77777777" w:rsidR="00DB11FA" w:rsidRPr="009912B3" w:rsidRDefault="00DB11FA" w:rsidP="006A6D87">
      <w:pPr>
        <w:spacing w:before="120" w:after="120" w:line="360" w:lineRule="auto"/>
        <w:ind w:left="714" w:hanging="357"/>
        <w:contextualSpacing/>
      </w:pPr>
      <w:r w:rsidRPr="009912B3">
        <w:rPr>
          <w:rFonts w:ascii="Symbol" w:hAnsi="Symbol"/>
        </w:rPr>
        <w:t></w:t>
      </w:r>
      <w:r w:rsidRPr="009912B3">
        <w:rPr>
          <w:rFonts w:ascii="Times New Roman" w:hAnsi="Times New Roman"/>
          <w:sz w:val="14"/>
          <w:szCs w:val="14"/>
        </w:rPr>
        <w:t xml:space="preserve">         </w:t>
      </w:r>
      <w:r w:rsidRPr="009912B3">
        <w:t>People trafficked into the country who had their documents taken on arrival</w:t>
      </w:r>
    </w:p>
    <w:p w14:paraId="1D00B445" w14:textId="77777777" w:rsidR="00DB11FA" w:rsidRPr="009912B3" w:rsidRDefault="00DB11FA" w:rsidP="006A6D87">
      <w:pPr>
        <w:spacing w:before="120" w:after="120" w:line="360" w:lineRule="auto"/>
        <w:ind w:left="714" w:hanging="357"/>
        <w:contextualSpacing/>
      </w:pPr>
      <w:r w:rsidRPr="009912B3">
        <w:rPr>
          <w:rFonts w:ascii="Symbol" w:hAnsi="Symbol"/>
        </w:rPr>
        <w:lastRenderedPageBreak/>
        <w:t></w:t>
      </w:r>
      <w:r w:rsidRPr="009912B3">
        <w:rPr>
          <w:rFonts w:ascii="Times New Roman" w:hAnsi="Times New Roman"/>
          <w:sz w:val="14"/>
          <w:szCs w:val="14"/>
        </w:rPr>
        <w:t xml:space="preserve">         </w:t>
      </w:r>
      <w:r w:rsidRPr="009912B3">
        <w:t>Children born in the UK to parents without documentation</w:t>
      </w:r>
    </w:p>
    <w:p w14:paraId="3F107C2E" w14:textId="77777777" w:rsidR="00DB11FA" w:rsidRPr="009912B3" w:rsidRDefault="00DB11FA" w:rsidP="00DB11FA">
      <w:pPr>
        <w:ind w:left="720" w:hanging="360"/>
        <w:contextualSpacing/>
      </w:pPr>
    </w:p>
    <w:p w14:paraId="121C3F1D" w14:textId="50EEE732" w:rsidR="00DB11FA" w:rsidRPr="006A6D87" w:rsidRDefault="00DB11FA" w:rsidP="006A6D87">
      <w:pPr>
        <w:pStyle w:val="Heading3"/>
        <w:rPr>
          <w:rFonts w:cs="Arial"/>
          <w:color w:val="000000"/>
          <w:szCs w:val="24"/>
        </w:rPr>
      </w:pPr>
      <w:r w:rsidRPr="009912B3">
        <w:t>Reasonable exceptions therefore need to be considered</w:t>
      </w:r>
      <w:r>
        <w:t xml:space="preserve"> </w:t>
      </w:r>
      <w:r w:rsidRPr="003C469B">
        <w:t>an</w:t>
      </w:r>
      <w:r w:rsidRPr="00B34AA1">
        <w:t>d the individual registered with sensitivity to their situation</w:t>
      </w:r>
      <w:r>
        <w:t xml:space="preserve">. </w:t>
      </w:r>
    </w:p>
    <w:p w14:paraId="0E747836" w14:textId="021859EC" w:rsidR="00DB11FA" w:rsidRDefault="00DB11FA" w:rsidP="006A6D87">
      <w:pPr>
        <w:pStyle w:val="Heading3"/>
      </w:pPr>
      <w:r>
        <w:t xml:space="preserve">As there is no requirement under the regulations to produce identity or residence information, the patient MUST be registered on application unless the practice has reasonable grounds to decline. These circumstances would not </w:t>
      </w:r>
      <w:r w:rsidRPr="004E5E69">
        <w:t>be considered reasonable grounds to refuse to register a patient</w:t>
      </w:r>
      <w:r>
        <w:t xml:space="preserve"> and neither should r</w:t>
      </w:r>
      <w:r w:rsidRPr="0044349A">
        <w:t xml:space="preserve">egistration </w:t>
      </w:r>
      <w:r>
        <w:t xml:space="preserve">or access to </w:t>
      </w:r>
      <w:r w:rsidRPr="0044349A">
        <w:t xml:space="preserve">appointments be withheld </w:t>
      </w:r>
      <w:r>
        <w:t>in these circumstances</w:t>
      </w:r>
      <w:r w:rsidRPr="004E5E69">
        <w:t xml:space="preserve">. </w:t>
      </w:r>
      <w:r w:rsidRPr="004C61AB">
        <w:t>If a patient cannot produce</w:t>
      </w:r>
      <w:r>
        <w:t xml:space="preserve"> any supportive </w:t>
      </w:r>
      <w:r w:rsidRPr="004C61AB">
        <w:t xml:space="preserve">documentation but states that they reside within the practice boundary then practices should accept the registration </w:t>
      </w:r>
    </w:p>
    <w:p w14:paraId="6482B022" w14:textId="7B8A47FB" w:rsidR="00DB11FA" w:rsidRPr="006A6D87" w:rsidRDefault="00DB11FA" w:rsidP="006A6D87">
      <w:pPr>
        <w:pStyle w:val="Heading3"/>
        <w:rPr>
          <w:rFonts w:cs="Arial"/>
          <w:szCs w:val="24"/>
        </w:rPr>
      </w:pPr>
      <w:r w:rsidRPr="006A6D87">
        <w:rPr>
          <w:rFonts w:eastAsia="HGSMinchoE" w:cs="Arial"/>
          <w:szCs w:val="24"/>
          <w:lang w:eastAsia="en-GB"/>
        </w:rPr>
        <w:t>Where necessary, (e.g. homeless patients), the practice may use the practice address to register them if they wish. If possible, practices should try to ensure they have a way of contacting the patient if they need to (for example with test results).</w:t>
      </w:r>
    </w:p>
    <w:p w14:paraId="04ABEB30" w14:textId="3E074EA3" w:rsidR="00DB11FA" w:rsidRDefault="00DB11FA" w:rsidP="006A6D87">
      <w:pPr>
        <w:pStyle w:val="Heading3"/>
        <w:rPr>
          <w:rFonts w:cs="Arial"/>
          <w:szCs w:val="24"/>
        </w:rPr>
      </w:pPr>
      <w:r w:rsidRPr="0044349A">
        <w:rPr>
          <w:rFonts w:cs="Arial"/>
          <w:color w:val="000000"/>
          <w:szCs w:val="24"/>
        </w:rPr>
        <w:t xml:space="preserve">If a practice suspects a patient of fraud (such as </w:t>
      </w:r>
      <w:r>
        <w:rPr>
          <w:rFonts w:cs="Arial"/>
          <w:color w:val="000000"/>
          <w:szCs w:val="24"/>
        </w:rPr>
        <w:t xml:space="preserve">using fake ID) then they should </w:t>
      </w:r>
      <w:r w:rsidRPr="0044349A">
        <w:rPr>
          <w:rFonts w:cs="Arial"/>
          <w:color w:val="000000"/>
          <w:szCs w:val="24"/>
        </w:rPr>
        <w:t xml:space="preserve">register and treat the patient but hand the matter over to </w:t>
      </w:r>
      <w:r w:rsidR="00A15B73">
        <w:rPr>
          <w:rFonts w:cs="Arial"/>
          <w:color w:val="000000"/>
          <w:szCs w:val="24"/>
        </w:rPr>
        <w:t>the NHS Counter Fraud Authority (NHSCFA)</w:t>
      </w:r>
    </w:p>
    <w:p w14:paraId="526A33F4" w14:textId="423CC9CE" w:rsidR="00DB11FA" w:rsidRPr="00DA0632" w:rsidRDefault="00DB11FA" w:rsidP="00A15B73">
      <w:pPr>
        <w:pStyle w:val="ListParagraph"/>
        <w:numPr>
          <w:ilvl w:val="0"/>
          <w:numId w:val="80"/>
        </w:numPr>
        <w:spacing w:after="120" w:line="360" w:lineRule="auto"/>
      </w:pPr>
      <w:r w:rsidRPr="00DA0632">
        <w:rPr>
          <w:rFonts w:cs="Arial"/>
          <w:szCs w:val="24"/>
        </w:rPr>
        <w:t xml:space="preserve">the </w:t>
      </w:r>
      <w:r w:rsidR="00A15B73" w:rsidRPr="00A15B73">
        <w:rPr>
          <w:rFonts w:cs="Arial"/>
          <w:szCs w:val="24"/>
        </w:rPr>
        <w:t xml:space="preserve">NHS Counter Fraud Authority </w:t>
      </w:r>
      <w:r w:rsidRPr="00DA0632">
        <w:rPr>
          <w:rFonts w:cs="Arial"/>
          <w:szCs w:val="24"/>
        </w:rPr>
        <w:t xml:space="preserve">Reporting Line: </w:t>
      </w:r>
      <w:r w:rsidRPr="00DA0632">
        <w:rPr>
          <w:rFonts w:cs="Arial"/>
          <w:color w:val="FF0000"/>
          <w:szCs w:val="24"/>
        </w:rPr>
        <w:t>0800 028 4060</w:t>
      </w:r>
    </w:p>
    <w:p w14:paraId="4F57F53A" w14:textId="623FBA6C" w:rsidR="00DB11FA" w:rsidRPr="00DA0632" w:rsidRDefault="00DB11FA" w:rsidP="00A15B73">
      <w:pPr>
        <w:pStyle w:val="ListParagraph"/>
        <w:numPr>
          <w:ilvl w:val="0"/>
          <w:numId w:val="80"/>
        </w:numPr>
        <w:spacing w:after="120" w:line="360" w:lineRule="auto"/>
      </w:pPr>
      <w:r w:rsidRPr="00DA0632">
        <w:rPr>
          <w:rFonts w:cs="Arial"/>
          <w:szCs w:val="24"/>
        </w:rPr>
        <w:t xml:space="preserve">filling in an online form at </w:t>
      </w:r>
      <w:hyperlink r:id="rId64" w:history="1">
        <w:r w:rsidR="00A15B73" w:rsidRPr="00B60DA7">
          <w:rPr>
            <w:rStyle w:val="Hyperlink"/>
            <w:rFonts w:cs="Arial"/>
            <w:szCs w:val="24"/>
          </w:rPr>
          <w:t>https://reportfraud.cfa.nhs.uk/reportFraud</w:t>
        </w:r>
      </w:hyperlink>
      <w:r w:rsidR="00A15B73">
        <w:rPr>
          <w:rFonts w:cs="Arial"/>
          <w:szCs w:val="24"/>
        </w:rPr>
        <w:t xml:space="preserve"> </w:t>
      </w:r>
    </w:p>
    <w:p w14:paraId="7C6786E3" w14:textId="7821EFA5" w:rsidR="00DB11FA" w:rsidRPr="00DA0632" w:rsidRDefault="00A15B73" w:rsidP="00A15B73">
      <w:pPr>
        <w:pStyle w:val="ListParagraph"/>
        <w:numPr>
          <w:ilvl w:val="0"/>
          <w:numId w:val="80"/>
        </w:numPr>
        <w:spacing w:after="120" w:line="360" w:lineRule="auto"/>
      </w:pPr>
      <w:r>
        <w:rPr>
          <w:rFonts w:cs="Arial"/>
          <w:szCs w:val="24"/>
        </w:rPr>
        <w:t>email at</w:t>
      </w:r>
      <w:r w:rsidRPr="00A15B73">
        <w:rPr>
          <w:rFonts w:cs="Arial"/>
          <w:szCs w:val="24"/>
        </w:rPr>
        <w:t xml:space="preserve">: </w:t>
      </w:r>
      <w:hyperlink r:id="rId65" w:history="1">
        <w:r w:rsidRPr="00B60DA7">
          <w:rPr>
            <w:rStyle w:val="Hyperlink"/>
            <w:rFonts w:cs="Arial"/>
            <w:szCs w:val="24"/>
          </w:rPr>
          <w:t>generalenquiries@nhscfa.gsi.gov.uk</w:t>
        </w:r>
      </w:hyperlink>
      <w:r>
        <w:rPr>
          <w:rFonts w:cs="Arial"/>
          <w:szCs w:val="24"/>
        </w:rPr>
        <w:t xml:space="preserve"> </w:t>
      </w:r>
    </w:p>
    <w:p w14:paraId="2AAEA3FC" w14:textId="41CE1DF3" w:rsidR="00DB11FA" w:rsidRPr="00DA0632" w:rsidRDefault="00DB11FA" w:rsidP="005A7DDA">
      <w:pPr>
        <w:pStyle w:val="ListParagraph"/>
        <w:numPr>
          <w:ilvl w:val="0"/>
          <w:numId w:val="80"/>
        </w:numPr>
        <w:spacing w:after="120" w:line="360" w:lineRule="auto"/>
      </w:pPr>
      <w:r w:rsidRPr="00DA0632">
        <w:rPr>
          <w:rFonts w:cs="Arial"/>
          <w:szCs w:val="24"/>
        </w:rPr>
        <w:t xml:space="preserve">by post to the </w:t>
      </w:r>
      <w:r w:rsidR="00A15B73">
        <w:rPr>
          <w:rFonts w:cs="Arial"/>
          <w:szCs w:val="24"/>
        </w:rPr>
        <w:t>NHS Counter Fraud Authority</w:t>
      </w:r>
      <w:r w:rsidRPr="00DA0632">
        <w:rPr>
          <w:rFonts w:cs="Arial"/>
          <w:szCs w:val="24"/>
        </w:rPr>
        <w:t>, Skipton House, 80 London Road, London, SE1 6LH.</w:t>
      </w:r>
    </w:p>
    <w:p w14:paraId="08D5B538" w14:textId="77777777" w:rsidR="00DB11FA" w:rsidRDefault="00DB11FA" w:rsidP="00DB11FA">
      <w:pPr>
        <w:pStyle w:val="Heading2"/>
      </w:pPr>
      <w:bookmarkStart w:id="461" w:name="_Toc488146111"/>
      <w:bookmarkStart w:id="462" w:name="_Toc498495364"/>
      <w:r w:rsidRPr="00FA7368">
        <w:t>Refusing Registration</w:t>
      </w:r>
      <w:bookmarkEnd w:id="461"/>
      <w:bookmarkEnd w:id="462"/>
      <w:r w:rsidRPr="00FA7368">
        <w:t xml:space="preserve"> </w:t>
      </w:r>
    </w:p>
    <w:p w14:paraId="0995E171" w14:textId="77777777" w:rsidR="00DB11FA" w:rsidRPr="00C2643A" w:rsidRDefault="00DB11FA" w:rsidP="00DB11FA"/>
    <w:p w14:paraId="65DE652E" w14:textId="1A5C72F8" w:rsidR="00DB11FA" w:rsidRPr="000672AE" w:rsidRDefault="00DB11FA" w:rsidP="006A6D87">
      <w:pPr>
        <w:pStyle w:val="Heading3"/>
      </w:pPr>
      <w:r w:rsidRPr="000672AE">
        <w:t>If a practice refuses any patient registration then they must record the name, date and reason for the refusal and write to the patient explaining why they have been refused, within a period of 14 days of the refusal.</w:t>
      </w:r>
      <w:r>
        <w:t xml:space="preserve"> </w:t>
      </w:r>
    </w:p>
    <w:p w14:paraId="1FDC8F06" w14:textId="77777777" w:rsidR="00DB11FA" w:rsidRDefault="00DB11FA" w:rsidP="006A6D87">
      <w:pPr>
        <w:pStyle w:val="Heading3"/>
      </w:pPr>
      <w:r w:rsidRPr="000672AE">
        <w:t xml:space="preserve">This information should be made available to commissioners on request. Commissioners may ask practices to submit the numbers of registration refusals, age, ethnicity and reasons as part of their quality assurance process. </w:t>
      </w:r>
    </w:p>
    <w:p w14:paraId="6B678F93" w14:textId="77777777" w:rsidR="00DB11FA" w:rsidRPr="000672AE" w:rsidRDefault="00DB11FA" w:rsidP="00DB11FA">
      <w:pPr>
        <w:pStyle w:val="Default"/>
        <w:rPr>
          <w:color w:val="auto"/>
        </w:rPr>
      </w:pPr>
    </w:p>
    <w:p w14:paraId="7EFBF5A8" w14:textId="77777777" w:rsidR="00DB11FA" w:rsidRDefault="00DB11FA" w:rsidP="00DB11FA">
      <w:pPr>
        <w:pStyle w:val="Default"/>
        <w:rPr>
          <w:color w:val="auto"/>
        </w:rPr>
      </w:pPr>
    </w:p>
    <w:p w14:paraId="230C2698" w14:textId="77777777" w:rsidR="00DB11FA" w:rsidRDefault="00DB11FA" w:rsidP="00DB11FA">
      <w:pPr>
        <w:pStyle w:val="Heading2"/>
      </w:pPr>
      <w:bookmarkStart w:id="463" w:name="_Toc488146112"/>
      <w:bookmarkStart w:id="464" w:name="_Toc498495365"/>
      <w:r>
        <w:lastRenderedPageBreak/>
        <w:t>Patients who are temporarily resident in a specialist hospital away from home</w:t>
      </w:r>
      <w:bookmarkEnd w:id="463"/>
      <w:bookmarkEnd w:id="464"/>
    </w:p>
    <w:p w14:paraId="243152BD" w14:textId="77777777" w:rsidR="00DB11FA" w:rsidRDefault="00DB11FA" w:rsidP="00DB11FA">
      <w:pPr>
        <w:pStyle w:val="Default"/>
        <w:rPr>
          <w:rFonts w:eastAsia="Times New Roman"/>
          <w:b/>
          <w:bCs/>
          <w:color w:val="auto"/>
          <w:lang w:eastAsia="en-US"/>
        </w:rPr>
      </w:pPr>
    </w:p>
    <w:p w14:paraId="133FD502" w14:textId="77777777" w:rsidR="00DB11FA" w:rsidRDefault="00DB11FA" w:rsidP="006A6D87">
      <w:pPr>
        <w:pStyle w:val="Heading3"/>
        <w:rPr>
          <w:color w:val="1F497D"/>
        </w:rPr>
      </w:pPr>
      <w:r>
        <w:t xml:space="preserve">There has been some confusion in respect of </w:t>
      </w:r>
      <w:r w:rsidRPr="004E5E69">
        <w:t>Part 5, 17 (4) of the</w:t>
      </w:r>
      <w:r>
        <w:rPr>
          <w:color w:val="1F497D"/>
        </w:rPr>
        <w:t xml:space="preserve"> </w:t>
      </w:r>
    </w:p>
    <w:p w14:paraId="0896B240" w14:textId="696DC670" w:rsidR="00DB11FA" w:rsidRDefault="00DB11FA" w:rsidP="006A6D87">
      <w:pPr>
        <w:pStyle w:val="Heading3"/>
      </w:pPr>
      <w:r>
        <w:t>GMS regulations full reference to the regulations can be found in appendix B</w:t>
      </w:r>
    </w:p>
    <w:p w14:paraId="10E1FF43" w14:textId="2FE8E674" w:rsidR="00DB11FA" w:rsidRDefault="00DB11FA" w:rsidP="006A6D87">
      <w:pPr>
        <w:pStyle w:val="Heading3"/>
      </w:pPr>
      <w:r>
        <w:t>This regulation is not considered ‘reasonable grounds’ to refuse registration according to legal advice. 15(4)(b) relates to patients who are already registered with the GP practice and cannot be used as a reason / justification for not registering certain patients. These only become relevant AFTER a patient is registered it does not provide grounds for a refusal to register the patient in the first instance.</w:t>
      </w:r>
    </w:p>
    <w:p w14:paraId="2C9E95B4" w14:textId="2277C23B" w:rsidR="00DB11FA" w:rsidRDefault="00DB11FA" w:rsidP="006A6D87">
      <w:pPr>
        <w:pStyle w:val="Heading3"/>
      </w:pPr>
      <w:r>
        <w:t>There are no legal grounds for refusing to register a patient because they are an inpatient in a hospital. Indeed, the “gatekeeper” role of the NHS GP for accessing secondary care services depends on patient registration.  </w:t>
      </w:r>
    </w:p>
    <w:p w14:paraId="298B8B4C" w14:textId="288252AF" w:rsidR="00DB11FA" w:rsidRDefault="00DB11FA" w:rsidP="006A6D87">
      <w:pPr>
        <w:pStyle w:val="Heading3"/>
      </w:pPr>
      <w:r>
        <w:t xml:space="preserve">Practices are not </w:t>
      </w:r>
      <w:r w:rsidRPr="003E0865">
        <w:t xml:space="preserve">however </w:t>
      </w:r>
      <w:r>
        <w:t xml:space="preserve">expected to provide anything other than essential and additional services in these circumstances.  If the resident requires any other services these must be arranged by the hospital or commissioned by the responsible CCG. </w:t>
      </w:r>
      <w:r w:rsidRPr="003E0865">
        <w:t>CCGs who are responsible for securing specialist hospital services should ensure that all services over and above those normally associated with general practice are both agreed as part of the contract specification and actively monitored to ensure delivery against that specification</w:t>
      </w:r>
    </w:p>
    <w:p w14:paraId="696BA8AA" w14:textId="77777777" w:rsidR="00DB11FA" w:rsidRPr="003E0865" w:rsidRDefault="00DB11FA" w:rsidP="006A6D87">
      <w:pPr>
        <w:pStyle w:val="Heading3"/>
      </w:pPr>
      <w:r>
        <w:t>A template Memorandum of Understanding is appended to support  GPs, commissioners and providers in clarifying the contractual requirements of primary care providers and those of the hospital, and the regulatory and professional obligations of the Clinicians to ensure safe care and example MOUs are also provided that describe ‘shared care’ arrangements/responsibilities so that patients receive holistic care.</w:t>
      </w:r>
    </w:p>
    <w:p w14:paraId="62327B97" w14:textId="77777777" w:rsidR="00DB11FA" w:rsidRPr="00A44D9D" w:rsidRDefault="00DB11FA" w:rsidP="00DB11FA">
      <w:pPr>
        <w:pStyle w:val="Default"/>
        <w:rPr>
          <w:color w:val="auto"/>
        </w:rPr>
      </w:pPr>
    </w:p>
    <w:p w14:paraId="45BC3708" w14:textId="77777777" w:rsidR="00DB11FA" w:rsidRPr="000672AE" w:rsidRDefault="00DB11FA" w:rsidP="00DB11FA">
      <w:pPr>
        <w:pStyle w:val="Heading2"/>
      </w:pPr>
      <w:bookmarkStart w:id="465" w:name="_Toc488146113"/>
      <w:bookmarkStart w:id="466" w:name="_Toc498495366"/>
      <w:r w:rsidRPr="000672AE">
        <w:t>Registering children</w:t>
      </w:r>
      <w:bookmarkEnd w:id="465"/>
      <w:bookmarkEnd w:id="466"/>
    </w:p>
    <w:p w14:paraId="60980C50" w14:textId="77777777" w:rsidR="00DB11FA" w:rsidRPr="00E63CAA" w:rsidRDefault="00DB11FA" w:rsidP="00DB11FA">
      <w:pPr>
        <w:pStyle w:val="Default"/>
        <w:rPr>
          <w:color w:val="auto"/>
        </w:rPr>
      </w:pPr>
    </w:p>
    <w:p w14:paraId="3432E02C" w14:textId="7F30D728" w:rsidR="00DB11FA" w:rsidRPr="001F6D2C" w:rsidRDefault="00DB11FA" w:rsidP="006A6D87">
      <w:pPr>
        <w:pStyle w:val="Heading3"/>
      </w:pPr>
      <w:r w:rsidRPr="001F6D2C">
        <w:t xml:space="preserve">As a minimum requirement the arrangements above in respect of the registration of any patient with a GP surgery should be followed when the </w:t>
      </w:r>
      <w:r w:rsidRPr="001F6D2C">
        <w:lastRenderedPageBreak/>
        <w:t xml:space="preserve">person registering is a child. However, there are circumstances that practices should be aware of, in relation to safeguarding guidance. </w:t>
      </w:r>
    </w:p>
    <w:p w14:paraId="7B43CC23" w14:textId="5A059DC2" w:rsidR="00DB11FA" w:rsidRPr="001F6D2C" w:rsidRDefault="00DB11FA" w:rsidP="006A6D87">
      <w:pPr>
        <w:pStyle w:val="Heading3"/>
      </w:pPr>
      <w:r w:rsidRPr="001F6D2C">
        <w:t>The legal definition of a child is 0 to 18 years of age; however young people may be able to make independent decisions from as young as 13 year old, depending on their Gillick competency</w:t>
      </w:r>
      <w:r>
        <w:t xml:space="preserve"> which can be found</w:t>
      </w:r>
      <w:r w:rsidRPr="001F6D2C">
        <w:t xml:space="preserve"> </w:t>
      </w:r>
      <w:hyperlink r:id="rId66" w:history="1">
        <w:r w:rsidRPr="006A6D87">
          <w:rPr>
            <w:rStyle w:val="Hyperlink"/>
            <w:bCs w:val="0"/>
          </w:rPr>
          <w:t>here</w:t>
        </w:r>
      </w:hyperlink>
      <w:r>
        <w:t xml:space="preserve">. </w:t>
      </w:r>
      <w:r w:rsidRPr="001F6D2C">
        <w:t xml:space="preserve"> Section 11 of the Children Act 2004 places a statutory duty on the NHS to safeguard and promote the welfare of all children up to the age of 18yrs.  The Victoria Climbie Enquiry Report 2003 (9.104) stresses the importance of GP registration for every child. It sets out the importance of knowing the identity and name of those registering the child and their relationship to that child. </w:t>
      </w:r>
    </w:p>
    <w:p w14:paraId="2F23C365" w14:textId="0D7FB54B" w:rsidR="00DB11FA" w:rsidRPr="001F6D2C" w:rsidRDefault="00DB11FA" w:rsidP="006A6D87">
      <w:pPr>
        <w:pStyle w:val="Heading3"/>
      </w:pPr>
      <w:r w:rsidRPr="001F6D2C">
        <w:t xml:space="preserve">If a child under 16 attempts to register alone or with an adult that does not have parental responsibility, the Practice Child Safeguarding Lead should be alerted.  </w:t>
      </w:r>
    </w:p>
    <w:p w14:paraId="0A0BD555" w14:textId="77777777" w:rsidR="00DB11FA" w:rsidRPr="001F6D2C" w:rsidRDefault="00DB11FA" w:rsidP="006A6D87">
      <w:pPr>
        <w:pStyle w:val="Heading3"/>
      </w:pPr>
      <w:r w:rsidRPr="001F6D2C">
        <w:t>For purposes of safeguarding children, the following should be considered whilst recognising that patients must still be registered in the absence of documentation and policies must be applied in a non- discriminatory manner.</w:t>
      </w:r>
    </w:p>
    <w:p w14:paraId="0303D6FA" w14:textId="77777777" w:rsidR="00DB11FA" w:rsidRPr="001F6D2C" w:rsidRDefault="00DB11FA" w:rsidP="00DB11FA">
      <w:pPr>
        <w:pStyle w:val="Default"/>
        <w:rPr>
          <w:rFonts w:eastAsia="Times New Roman" w:cs="Times New Roman"/>
          <w:bCs/>
          <w:color w:val="auto"/>
          <w:szCs w:val="26"/>
          <w:lang w:eastAsia="en-US"/>
        </w:rPr>
      </w:pPr>
    </w:p>
    <w:p w14:paraId="455AF808" w14:textId="77777777" w:rsidR="00DB11FA" w:rsidRPr="001F6D2C" w:rsidRDefault="00DB11FA" w:rsidP="006A6D87">
      <w:pPr>
        <w:pStyle w:val="Heading3"/>
      </w:pPr>
      <w:r w:rsidRPr="001F6D2C">
        <w:t xml:space="preserve">The practice should seek assurance through: </w:t>
      </w:r>
    </w:p>
    <w:p w14:paraId="4DEA2220" w14:textId="77777777" w:rsidR="00DB11FA" w:rsidRPr="001F6D2C" w:rsidRDefault="00DB11FA" w:rsidP="00DB11FA">
      <w:pPr>
        <w:pStyle w:val="Default"/>
        <w:spacing w:after="37"/>
        <w:ind w:left="720"/>
        <w:rPr>
          <w:rFonts w:eastAsia="Times New Roman" w:cs="Times New Roman"/>
          <w:bCs/>
          <w:color w:val="auto"/>
          <w:szCs w:val="26"/>
          <w:lang w:eastAsia="en-US"/>
        </w:rPr>
      </w:pPr>
    </w:p>
    <w:p w14:paraId="2A2C0097" w14:textId="77777777" w:rsidR="00DB11FA" w:rsidRPr="001F6D2C" w:rsidRDefault="00DB11FA" w:rsidP="005A7DDA">
      <w:pPr>
        <w:pStyle w:val="Default"/>
        <w:numPr>
          <w:ilvl w:val="0"/>
          <w:numId w:val="81"/>
        </w:numPr>
        <w:adjustRightInd w:val="0"/>
        <w:spacing w:before="120" w:after="120" w:line="360" w:lineRule="auto"/>
        <w:ind w:hanging="357"/>
        <w:rPr>
          <w:rFonts w:eastAsia="Times New Roman" w:cs="Times New Roman"/>
          <w:bCs/>
          <w:color w:val="auto"/>
          <w:szCs w:val="26"/>
          <w:lang w:eastAsia="en-US"/>
        </w:rPr>
      </w:pPr>
      <w:r w:rsidRPr="001F6D2C">
        <w:rPr>
          <w:rFonts w:eastAsia="Times New Roman" w:cs="Times New Roman"/>
          <w:bCs/>
          <w:color w:val="auto"/>
          <w:szCs w:val="26"/>
          <w:lang w:eastAsia="en-US"/>
        </w:rPr>
        <w:t xml:space="preserve">Proof of identity and address for every child, supported by official documentation such as a birth certificate, (This helps to identify children who may have been trafficked or who are privately fostered.) </w:t>
      </w:r>
    </w:p>
    <w:p w14:paraId="751F67F6" w14:textId="77777777" w:rsidR="00DB11FA" w:rsidRPr="001F6D2C" w:rsidRDefault="00DB11FA" w:rsidP="005A7DDA">
      <w:pPr>
        <w:pStyle w:val="Default"/>
        <w:numPr>
          <w:ilvl w:val="0"/>
          <w:numId w:val="81"/>
        </w:numPr>
        <w:adjustRightInd w:val="0"/>
        <w:spacing w:before="120" w:after="120" w:line="360" w:lineRule="auto"/>
        <w:ind w:hanging="357"/>
        <w:rPr>
          <w:rFonts w:eastAsia="Times New Roman" w:cs="Times New Roman"/>
          <w:bCs/>
          <w:color w:val="auto"/>
          <w:szCs w:val="26"/>
          <w:lang w:eastAsia="en-US"/>
        </w:rPr>
      </w:pPr>
      <w:r w:rsidRPr="001F6D2C">
        <w:rPr>
          <w:rFonts w:eastAsia="Times New Roman" w:cs="Times New Roman"/>
          <w:bCs/>
          <w:color w:val="auto"/>
          <w:szCs w:val="26"/>
          <w:lang w:eastAsia="en-US"/>
        </w:rPr>
        <w:t>An adult with parental responsibility should normally be registered at the practice with the child</w:t>
      </w:r>
      <w:r w:rsidRPr="00DC694F">
        <w:rPr>
          <w:rFonts w:eastAsia="Times New Roman" w:cs="Times New Roman"/>
          <w:bCs/>
          <w:sz w:val="16"/>
          <w:szCs w:val="16"/>
          <w:lang w:eastAsia="en-US"/>
        </w:rPr>
        <w:footnoteReference w:id="11"/>
      </w:r>
      <w:r w:rsidRPr="00DC694F">
        <w:rPr>
          <w:rFonts w:eastAsia="Times New Roman" w:cs="Times New Roman"/>
          <w:bCs/>
          <w:color w:val="auto"/>
          <w:sz w:val="16"/>
          <w:szCs w:val="16"/>
          <w:lang w:eastAsia="en-US"/>
        </w:rPr>
        <w:t>.</w:t>
      </w:r>
      <w:r w:rsidRPr="001F6D2C">
        <w:rPr>
          <w:rFonts w:eastAsia="Times New Roman" w:cs="Times New Roman"/>
          <w:bCs/>
          <w:color w:val="auto"/>
          <w:szCs w:val="26"/>
          <w:lang w:eastAsia="en-US"/>
        </w:rPr>
        <w:t xml:space="preserve"> The ID of the adult is essential as it can be matched to the birth certificate details. However, the practice should not refuse to register a child if there is no-one with parental responsibility who can register, as it is generally safer to register first</w:t>
      </w:r>
      <w:r>
        <w:rPr>
          <w:rFonts w:eastAsia="Times New Roman" w:cs="Times New Roman"/>
          <w:bCs/>
          <w:color w:val="auto"/>
          <w:szCs w:val="26"/>
          <w:lang w:eastAsia="en-US"/>
        </w:rPr>
        <w:t xml:space="preserve"> and then seek advice from the </w:t>
      </w:r>
      <w:r w:rsidRPr="001F6D2C">
        <w:rPr>
          <w:rFonts w:eastAsia="Times New Roman" w:cs="Times New Roman"/>
          <w:bCs/>
          <w:color w:val="auto"/>
          <w:szCs w:val="26"/>
          <w:lang w:eastAsia="en-US"/>
        </w:rPr>
        <w:t xml:space="preserve">Practice Child Safeguarding  Lead, Health Visitor or Practice Manager. (This situation may alert you to a private fostering arrangement which constitutes a safeguarding concern). </w:t>
      </w:r>
    </w:p>
    <w:p w14:paraId="50E430AB" w14:textId="77777777" w:rsidR="00DB11FA" w:rsidRPr="001F6D2C" w:rsidRDefault="00DB11FA" w:rsidP="005A7DDA">
      <w:pPr>
        <w:pStyle w:val="Default"/>
        <w:numPr>
          <w:ilvl w:val="0"/>
          <w:numId w:val="81"/>
        </w:numPr>
        <w:adjustRightInd w:val="0"/>
        <w:spacing w:before="120" w:after="120" w:line="360" w:lineRule="auto"/>
        <w:ind w:hanging="357"/>
        <w:rPr>
          <w:rFonts w:eastAsia="Times New Roman" w:cs="Times New Roman"/>
          <w:bCs/>
          <w:color w:val="auto"/>
          <w:szCs w:val="26"/>
          <w:lang w:eastAsia="en-US"/>
        </w:rPr>
      </w:pPr>
      <w:r w:rsidRPr="001F6D2C">
        <w:rPr>
          <w:rFonts w:eastAsia="Times New Roman" w:cs="Times New Roman"/>
          <w:bCs/>
          <w:color w:val="auto"/>
          <w:szCs w:val="26"/>
          <w:lang w:eastAsia="en-US"/>
        </w:rPr>
        <w:lastRenderedPageBreak/>
        <w:t xml:space="preserve">Offering each child  a new patient registration health check as soon as possible after registration </w:t>
      </w:r>
    </w:p>
    <w:p w14:paraId="5D2BE3F7" w14:textId="77777777" w:rsidR="00DB11FA" w:rsidRPr="001F6D2C" w:rsidRDefault="00DB11FA" w:rsidP="005A7DDA">
      <w:pPr>
        <w:pStyle w:val="Default"/>
        <w:numPr>
          <w:ilvl w:val="0"/>
          <w:numId w:val="81"/>
        </w:numPr>
        <w:adjustRightInd w:val="0"/>
        <w:spacing w:before="120" w:after="120" w:line="360" w:lineRule="auto"/>
        <w:ind w:hanging="357"/>
        <w:rPr>
          <w:rFonts w:eastAsia="Times New Roman" w:cs="Times New Roman"/>
          <w:bCs/>
          <w:color w:val="auto"/>
          <w:szCs w:val="26"/>
          <w:lang w:eastAsia="en-US"/>
        </w:rPr>
      </w:pPr>
      <w:r w:rsidRPr="001F6D2C">
        <w:rPr>
          <w:rFonts w:eastAsia="Times New Roman" w:cs="Times New Roman"/>
          <w:bCs/>
          <w:color w:val="auto"/>
          <w:szCs w:val="26"/>
          <w:lang w:eastAsia="en-US"/>
        </w:rPr>
        <w:t>Proof of parental responsibility or relevant guardianship agreements</w:t>
      </w:r>
    </w:p>
    <w:p w14:paraId="77D55E62" w14:textId="77777777" w:rsidR="00DB11FA" w:rsidRPr="001F6D2C" w:rsidRDefault="00DB11FA" w:rsidP="005A7DDA">
      <w:pPr>
        <w:pStyle w:val="Default"/>
        <w:numPr>
          <w:ilvl w:val="0"/>
          <w:numId w:val="81"/>
        </w:numPr>
        <w:adjustRightInd w:val="0"/>
        <w:spacing w:before="120" w:after="120" w:line="360" w:lineRule="auto"/>
        <w:ind w:hanging="357"/>
        <w:rPr>
          <w:rFonts w:eastAsia="Times New Roman" w:cs="Times New Roman"/>
          <w:bCs/>
          <w:color w:val="auto"/>
          <w:szCs w:val="26"/>
          <w:lang w:eastAsia="en-US"/>
        </w:rPr>
      </w:pPr>
      <w:r w:rsidRPr="001F6D2C">
        <w:rPr>
          <w:rFonts w:eastAsia="Times New Roman" w:cs="Times New Roman"/>
          <w:bCs/>
          <w:color w:val="auto"/>
          <w:szCs w:val="26"/>
          <w:lang w:eastAsia="en-US"/>
        </w:rPr>
        <w:t xml:space="preserve">Seeking collaborative information (supported by official documentation) relating to </w:t>
      </w:r>
    </w:p>
    <w:p w14:paraId="4F92C5C5" w14:textId="77777777" w:rsidR="00DB11FA" w:rsidRPr="001F6D2C" w:rsidRDefault="00DB11FA" w:rsidP="005A7DDA">
      <w:pPr>
        <w:pStyle w:val="Default"/>
        <w:numPr>
          <w:ilvl w:val="1"/>
          <w:numId w:val="81"/>
        </w:numPr>
        <w:adjustRightInd w:val="0"/>
        <w:spacing w:before="120" w:after="120" w:line="360" w:lineRule="auto"/>
        <w:ind w:hanging="357"/>
        <w:rPr>
          <w:rFonts w:eastAsia="Times New Roman" w:cs="Times New Roman"/>
          <w:bCs/>
          <w:color w:val="auto"/>
          <w:szCs w:val="26"/>
          <w:lang w:eastAsia="en-US"/>
        </w:rPr>
      </w:pPr>
      <w:r w:rsidRPr="001F6D2C">
        <w:rPr>
          <w:rFonts w:eastAsia="Times New Roman" w:cs="Times New Roman"/>
          <w:bCs/>
          <w:color w:val="auto"/>
          <w:szCs w:val="26"/>
          <w:lang w:eastAsia="en-US"/>
        </w:rPr>
        <w:t xml:space="preserve">Current carers and relationship to the child </w:t>
      </w:r>
    </w:p>
    <w:p w14:paraId="4CB9ED42" w14:textId="77777777" w:rsidR="00DB11FA" w:rsidRPr="001F6D2C" w:rsidRDefault="00DB11FA" w:rsidP="005A7DDA">
      <w:pPr>
        <w:pStyle w:val="Default"/>
        <w:numPr>
          <w:ilvl w:val="1"/>
          <w:numId w:val="81"/>
        </w:numPr>
        <w:adjustRightInd w:val="0"/>
        <w:spacing w:before="120" w:after="120" w:line="360" w:lineRule="auto"/>
        <w:ind w:hanging="357"/>
        <w:rPr>
          <w:rFonts w:eastAsia="Times New Roman" w:cs="Times New Roman"/>
          <w:bCs/>
          <w:color w:val="auto"/>
          <w:szCs w:val="26"/>
          <w:lang w:eastAsia="en-US"/>
        </w:rPr>
      </w:pPr>
      <w:r w:rsidRPr="001F6D2C">
        <w:rPr>
          <w:rFonts w:eastAsia="Times New Roman" w:cs="Times New Roman"/>
          <w:bCs/>
          <w:color w:val="auto"/>
          <w:szCs w:val="26"/>
          <w:lang w:eastAsia="en-US"/>
        </w:rPr>
        <w:t xml:space="preserve">Previous GP registration history </w:t>
      </w:r>
    </w:p>
    <w:p w14:paraId="13CFDCE3" w14:textId="77777777" w:rsidR="00DB11FA" w:rsidRPr="001F6D2C" w:rsidRDefault="00DB11FA" w:rsidP="005A7DDA">
      <w:pPr>
        <w:pStyle w:val="Default"/>
        <w:numPr>
          <w:ilvl w:val="1"/>
          <w:numId w:val="81"/>
        </w:numPr>
        <w:adjustRightInd w:val="0"/>
        <w:spacing w:before="120" w:after="120" w:line="360" w:lineRule="auto"/>
        <w:ind w:hanging="357"/>
        <w:rPr>
          <w:rFonts w:eastAsia="Times New Roman" w:cs="Times New Roman"/>
          <w:bCs/>
          <w:color w:val="auto"/>
          <w:szCs w:val="26"/>
          <w:lang w:eastAsia="en-US"/>
        </w:rPr>
      </w:pPr>
      <w:r w:rsidRPr="001F6D2C">
        <w:rPr>
          <w:rFonts w:eastAsia="Times New Roman" w:cs="Times New Roman"/>
          <w:bCs/>
          <w:color w:val="auto"/>
          <w:szCs w:val="26"/>
          <w:lang w:eastAsia="en-US"/>
        </w:rPr>
        <w:t xml:space="preserve">Whether the child is registered with a school and previous education history </w:t>
      </w:r>
    </w:p>
    <w:p w14:paraId="2859B720" w14:textId="77777777" w:rsidR="00DB11FA" w:rsidRPr="001F6D2C" w:rsidRDefault="00DB11FA" w:rsidP="005A7DDA">
      <w:pPr>
        <w:pStyle w:val="Default"/>
        <w:numPr>
          <w:ilvl w:val="1"/>
          <w:numId w:val="81"/>
        </w:numPr>
        <w:adjustRightInd w:val="0"/>
        <w:spacing w:before="120" w:after="120" w:line="360" w:lineRule="auto"/>
        <w:ind w:hanging="357"/>
        <w:rPr>
          <w:rFonts w:eastAsia="Times New Roman" w:cs="Times New Roman"/>
          <w:bCs/>
          <w:color w:val="auto"/>
          <w:szCs w:val="26"/>
          <w:lang w:eastAsia="en-US"/>
        </w:rPr>
      </w:pPr>
      <w:r w:rsidRPr="001F6D2C">
        <w:rPr>
          <w:rFonts w:eastAsia="Times New Roman" w:cs="Times New Roman"/>
          <w:bCs/>
          <w:color w:val="auto"/>
          <w:szCs w:val="26"/>
          <w:lang w:eastAsia="en-US"/>
        </w:rPr>
        <w:t xml:space="preserve">Previous contact with other professionals such as health visitors and social workers </w:t>
      </w:r>
    </w:p>
    <w:p w14:paraId="14D3051E" w14:textId="77777777" w:rsidR="00DB11FA" w:rsidRPr="001F6D2C" w:rsidRDefault="00DB11FA" w:rsidP="005A7DDA">
      <w:pPr>
        <w:pStyle w:val="Default"/>
        <w:numPr>
          <w:ilvl w:val="0"/>
          <w:numId w:val="82"/>
        </w:numPr>
        <w:adjustRightInd w:val="0"/>
        <w:spacing w:before="120" w:after="120" w:line="360" w:lineRule="auto"/>
        <w:ind w:hanging="357"/>
        <w:rPr>
          <w:rFonts w:eastAsia="Times New Roman" w:cs="Times New Roman"/>
          <w:bCs/>
          <w:color w:val="auto"/>
          <w:szCs w:val="26"/>
          <w:lang w:eastAsia="en-US"/>
        </w:rPr>
      </w:pPr>
      <w:r w:rsidRPr="001F6D2C">
        <w:rPr>
          <w:rFonts w:eastAsia="Times New Roman" w:cs="Times New Roman"/>
          <w:bCs/>
          <w:color w:val="auto"/>
          <w:szCs w:val="26"/>
          <w:lang w:eastAsia="en-US"/>
        </w:rPr>
        <w:t xml:space="preserve">Children who have been temporarily registered with the practice should be reviewed regularly and proceed to permanent registration as soon as possible and ideally within three months of initial registration. Likely length of stay should be determined at initial registration and patient registered as temp/permanent as appropriate. </w:t>
      </w:r>
    </w:p>
    <w:p w14:paraId="7E78161A" w14:textId="77777777" w:rsidR="00DB11FA" w:rsidRPr="001F6D2C" w:rsidRDefault="00DB11FA" w:rsidP="005A7DDA">
      <w:pPr>
        <w:pStyle w:val="Default"/>
        <w:numPr>
          <w:ilvl w:val="0"/>
          <w:numId w:val="82"/>
        </w:numPr>
        <w:adjustRightInd w:val="0"/>
        <w:spacing w:before="120" w:after="120" w:line="360" w:lineRule="auto"/>
        <w:ind w:hanging="357"/>
        <w:rPr>
          <w:rFonts w:eastAsia="Times New Roman" w:cs="Times New Roman"/>
          <w:bCs/>
          <w:color w:val="auto"/>
          <w:szCs w:val="26"/>
          <w:lang w:eastAsia="en-US"/>
        </w:rPr>
      </w:pPr>
      <w:r w:rsidRPr="001F6D2C">
        <w:rPr>
          <w:rFonts w:eastAsia="Times New Roman" w:cs="Times New Roman"/>
          <w:bCs/>
          <w:color w:val="auto"/>
          <w:szCs w:val="26"/>
          <w:lang w:eastAsia="en-US"/>
        </w:rPr>
        <w:t xml:space="preserve">Children of parents or carers, who have been removed from the list for any reason, must not be left without access to primary care services. </w:t>
      </w:r>
    </w:p>
    <w:p w14:paraId="5FF4EB37" w14:textId="77777777" w:rsidR="00DB11FA" w:rsidRPr="001F6D2C" w:rsidRDefault="00DB11FA" w:rsidP="005A7DDA">
      <w:pPr>
        <w:pStyle w:val="Default"/>
        <w:numPr>
          <w:ilvl w:val="0"/>
          <w:numId w:val="82"/>
        </w:numPr>
        <w:adjustRightInd w:val="0"/>
        <w:spacing w:before="120" w:after="120" w:line="360" w:lineRule="auto"/>
        <w:ind w:hanging="357"/>
        <w:rPr>
          <w:rFonts w:eastAsia="Times New Roman" w:cs="Times New Roman"/>
          <w:bCs/>
          <w:color w:val="auto"/>
          <w:szCs w:val="26"/>
          <w:lang w:eastAsia="en-US"/>
        </w:rPr>
      </w:pPr>
      <w:r w:rsidRPr="001F6D2C">
        <w:rPr>
          <w:rFonts w:eastAsia="Times New Roman" w:cs="Times New Roman"/>
          <w:bCs/>
          <w:color w:val="auto"/>
          <w:szCs w:val="26"/>
          <w:lang w:eastAsia="en-US"/>
        </w:rPr>
        <w:t xml:space="preserve">Where parents or carers have been removed from the list due to aggressive and or violent behaviour a risk assessment should be completed to identify any risk to their children and the appropriate referrals safeguarding made. </w:t>
      </w:r>
    </w:p>
    <w:p w14:paraId="51F07BEA" w14:textId="77777777" w:rsidR="00DB11FA" w:rsidRPr="00DC694F" w:rsidRDefault="00DB11FA" w:rsidP="005A7DDA">
      <w:pPr>
        <w:pStyle w:val="ListParagraph"/>
        <w:numPr>
          <w:ilvl w:val="0"/>
          <w:numId w:val="82"/>
        </w:numPr>
        <w:spacing w:before="120" w:after="120" w:line="360" w:lineRule="auto"/>
        <w:ind w:hanging="357"/>
      </w:pPr>
      <w:r w:rsidRPr="00DC694F">
        <w:t xml:space="preserve">A ‘think family’ approach should be made when seeing either the adult[s] or child/children within the surgery. If you are aware that an adult has significant risk taking behaviour, chronic mental health concerns or repeated episodes of stress and anxiety, safeguarding and support consideration should be made to the welfare and safety of the child/children being cared for by that adult.  </w:t>
      </w:r>
    </w:p>
    <w:p w14:paraId="11CE9F2B" w14:textId="77777777" w:rsidR="00DB11FA" w:rsidRPr="001F6D2C" w:rsidRDefault="00DB11FA" w:rsidP="00DB11FA">
      <w:pPr>
        <w:pStyle w:val="Default"/>
        <w:rPr>
          <w:rFonts w:eastAsia="Times New Roman" w:cs="Times New Roman"/>
          <w:bCs/>
          <w:color w:val="auto"/>
          <w:szCs w:val="26"/>
          <w:lang w:eastAsia="en-US"/>
        </w:rPr>
      </w:pPr>
    </w:p>
    <w:p w14:paraId="740EEB7D" w14:textId="2FDF7664" w:rsidR="00DB11FA" w:rsidRDefault="00DB11FA" w:rsidP="006A6D87">
      <w:pPr>
        <w:pStyle w:val="Heading3"/>
      </w:pPr>
      <w:r w:rsidRPr="001F6D2C">
        <w:t>Practices should be alert to potential risks such as those described above when young people aged between 16-18 years of age register alone and dealt with in line with practice safeguarding procedures and escalated outside of the practice through the local procedures if appropriate.16-18 y</w:t>
      </w:r>
      <w:r>
        <w:t>ea</w:t>
      </w:r>
      <w:r w:rsidRPr="001F6D2C">
        <w:t xml:space="preserve">r olds are still </w:t>
      </w:r>
      <w:r w:rsidRPr="001F6D2C">
        <w:lastRenderedPageBreak/>
        <w:t>children by law of child protection but can also be parents and carers. It’s imperative that we consider the risks and vulnerabilities within this age group.</w:t>
      </w:r>
    </w:p>
    <w:p w14:paraId="2021F322" w14:textId="469FE870" w:rsidR="00DB11FA" w:rsidRPr="00634EE9" w:rsidRDefault="00DB11FA" w:rsidP="006A6D87">
      <w:pPr>
        <w:pStyle w:val="Heading3"/>
      </w:pPr>
      <w:r w:rsidRPr="00634EE9">
        <w:t>There is nothing to stop a parent deregistering their family and not registering again. It is not compulsory to be registered with a GP whether an adult or a child. To amend this there would need to be legislative change. Such legislation would encroach on areas of personal freedoms and patient and parental rights so would likely attract resistance. In addition it is difficult to see how to enforce or police as there is no jurisdiction or levers to ensure that all children are registered.</w:t>
      </w:r>
    </w:p>
    <w:p w14:paraId="51792D34" w14:textId="77777777" w:rsidR="00DB11FA" w:rsidRPr="00634EE9" w:rsidRDefault="00DB11FA" w:rsidP="006A6D87">
      <w:pPr>
        <w:pStyle w:val="Heading3"/>
      </w:pPr>
      <w:r w:rsidRPr="00634EE9">
        <w:t xml:space="preserve">If a practice is concerned about a family who are deregistering their children with no plan to register with another general practice they need to consider whether this should be raised with the Local Authority as part of normal safeguarding processes. </w:t>
      </w:r>
    </w:p>
    <w:p w14:paraId="30C7F32A" w14:textId="77777777" w:rsidR="00DB11FA" w:rsidRPr="003462C7" w:rsidRDefault="00DB11FA" w:rsidP="00DB11FA">
      <w:pPr>
        <w:pStyle w:val="Default"/>
        <w:rPr>
          <w:color w:val="auto"/>
        </w:rPr>
      </w:pPr>
    </w:p>
    <w:p w14:paraId="01C872D8" w14:textId="77777777" w:rsidR="00DB11FA" w:rsidRPr="00DE3A51" w:rsidRDefault="00DB11FA" w:rsidP="00DB11FA">
      <w:pPr>
        <w:pStyle w:val="Heading2"/>
      </w:pPr>
      <w:bookmarkStart w:id="467" w:name="_Toc498495367"/>
      <w:bookmarkStart w:id="468" w:name="_Toc488146114"/>
      <w:r w:rsidRPr="00DE3A51">
        <w:t>Registration of those previously registered with Defence Medical Services (DMS) and Priority NHS care for Veterans</w:t>
      </w:r>
      <w:bookmarkEnd w:id="467"/>
      <w:r w:rsidRPr="00DE3A51">
        <w:t xml:space="preserve"> </w:t>
      </w:r>
      <w:bookmarkEnd w:id="468"/>
    </w:p>
    <w:p w14:paraId="01EA811E" w14:textId="77777777" w:rsidR="00DB11FA" w:rsidRPr="00DE3A51" w:rsidRDefault="00DB11FA" w:rsidP="00DB11FA">
      <w:pPr>
        <w:autoSpaceDE w:val="0"/>
        <w:autoSpaceDN w:val="0"/>
        <w:adjustRightInd w:val="0"/>
        <w:rPr>
          <w:rFonts w:cs="Arial"/>
          <w:b/>
          <w:color w:val="0072C6"/>
          <w:kern w:val="32"/>
          <w:sz w:val="32"/>
          <w:szCs w:val="32"/>
        </w:rPr>
      </w:pPr>
    </w:p>
    <w:p w14:paraId="60FA2956" w14:textId="5700F307" w:rsidR="00DB11FA" w:rsidRDefault="00DB11FA" w:rsidP="006A6D87">
      <w:pPr>
        <w:pStyle w:val="Heading3"/>
        <w:rPr>
          <w:lang w:eastAsia="en-GB"/>
        </w:rPr>
      </w:pPr>
      <w:r>
        <w:rPr>
          <w:lang w:eastAsia="en-GB"/>
        </w:rPr>
        <w:t>DMS have their own GP services that look after serving personnel, mobilised reservists and some families. These specific primary care services are commissioned separately by the DMS of the Ministry of Defence.</w:t>
      </w:r>
      <w:r w:rsidRPr="003E0865">
        <w:rPr>
          <w:lang w:eastAsia="en-GB"/>
        </w:rPr>
        <w:t xml:space="preserve"> </w:t>
      </w:r>
      <w:r>
        <w:rPr>
          <w:lang w:eastAsia="en-GB"/>
        </w:rPr>
        <w:t xml:space="preserve">When servicemen and women leave the armed forces, their primary healthcare reverts to the responsibility of the local NHS. As a minimum requirement the arrangements set out above in respect of the registration of any patient with a GP surgery should be followed when the person registering is a veteran. Prior service should be recorded on registration and allocated the correct Read/Snomed Code.  This should enable access to specialist </w:t>
      </w:r>
      <w:r w:rsidRPr="003E0865">
        <w:rPr>
          <w:lang w:eastAsia="en-GB"/>
        </w:rPr>
        <w:t xml:space="preserve">or bespoke </w:t>
      </w:r>
      <w:r>
        <w:rPr>
          <w:lang w:eastAsia="en-GB"/>
        </w:rPr>
        <w:t>care or charity support as necessary for such patients</w:t>
      </w:r>
      <w:r w:rsidRPr="003E0865">
        <w:rPr>
          <w:lang w:eastAsia="en-GB"/>
        </w:rPr>
        <w:t xml:space="preserve"> and for the delivery of the armed forces covenant</w:t>
      </w:r>
      <w:r>
        <w:rPr>
          <w:lang w:eastAsia="en-GB"/>
        </w:rPr>
        <w:t>.</w:t>
      </w:r>
      <w:r w:rsidRPr="003E0865">
        <w:rPr>
          <w:lang w:eastAsia="en-GB"/>
        </w:rPr>
        <w:t> </w:t>
      </w:r>
    </w:p>
    <w:p w14:paraId="30C7F592" w14:textId="257EDD10" w:rsidR="00DB11FA" w:rsidRDefault="00DB11FA" w:rsidP="006A6D87">
      <w:pPr>
        <w:pStyle w:val="Heading3"/>
        <w:rPr>
          <w:lang w:eastAsia="en-GB"/>
        </w:rPr>
      </w:pPr>
      <w:r>
        <w:rPr>
          <w:lang w:eastAsia="en-GB"/>
        </w:rPr>
        <w:t xml:space="preserve">A veteran is an ex-service person or reservist who has served in the armed forces for at least one day. There are around 2.5m </w:t>
      </w:r>
      <w:r w:rsidRPr="003E0865">
        <w:rPr>
          <w:lang w:eastAsia="en-GB"/>
        </w:rPr>
        <w:t xml:space="preserve">of these </w:t>
      </w:r>
      <w:r>
        <w:rPr>
          <w:lang w:eastAsia="en-GB"/>
        </w:rPr>
        <w:t>veterans in England at the time of drafting.</w:t>
      </w:r>
    </w:p>
    <w:p w14:paraId="539C5730" w14:textId="41035ADF" w:rsidR="00DB11FA" w:rsidRDefault="00DB11FA" w:rsidP="006A6D87">
      <w:pPr>
        <w:pStyle w:val="Heading3"/>
        <w:rPr>
          <w:lang w:eastAsia="en-GB"/>
        </w:rPr>
      </w:pPr>
      <w:r>
        <w:rPr>
          <w:lang w:eastAsia="en-GB"/>
        </w:rPr>
        <w:t xml:space="preserve">All veterans are entitled to </w:t>
      </w:r>
      <w:r w:rsidRPr="003E0865">
        <w:rPr>
          <w:lang w:eastAsia="en-GB"/>
        </w:rPr>
        <w:t xml:space="preserve">suffer no disadvantage from their service and to receive </w:t>
      </w:r>
      <w:r>
        <w:rPr>
          <w:lang w:eastAsia="en-GB"/>
        </w:rPr>
        <w:t xml:space="preserve">priority access to NHS hospital care for any condition as long as it's </w:t>
      </w:r>
      <w:r>
        <w:rPr>
          <w:lang w:eastAsia="en-GB"/>
        </w:rPr>
        <w:lastRenderedPageBreak/>
        <w:t>related to their service (subject to clinical need), regardless of whether or not they receive a war pension.  </w:t>
      </w:r>
    </w:p>
    <w:p w14:paraId="2FC9BB8F" w14:textId="77777777" w:rsidR="00DB11FA" w:rsidRDefault="00DB11FA" w:rsidP="006A6D87">
      <w:pPr>
        <w:pStyle w:val="Heading3"/>
        <w:rPr>
          <w:lang w:eastAsia="en-GB"/>
        </w:rPr>
      </w:pPr>
      <w:r>
        <w:rPr>
          <w:lang w:eastAsia="en-GB"/>
        </w:rPr>
        <w:t xml:space="preserve">All people leaving the armed forces are given a summary of their medical records, which they are advised to give to their new GP when they register. The practice will also </w:t>
      </w:r>
      <w:r w:rsidRPr="003E0865">
        <w:rPr>
          <w:lang w:eastAsia="en-GB"/>
        </w:rPr>
        <w:t xml:space="preserve">normally </w:t>
      </w:r>
      <w:r>
        <w:rPr>
          <w:lang w:eastAsia="en-GB"/>
        </w:rPr>
        <w:t xml:space="preserve">be advised </w:t>
      </w:r>
      <w:r w:rsidRPr="003E0865">
        <w:rPr>
          <w:lang w:eastAsia="en-GB"/>
        </w:rPr>
        <w:t xml:space="preserve">automatically </w:t>
      </w:r>
      <w:r>
        <w:rPr>
          <w:lang w:eastAsia="en-GB"/>
        </w:rPr>
        <w:t xml:space="preserve">of prior registration with Defence Medical Services </w:t>
      </w:r>
      <w:r w:rsidRPr="003E0865">
        <w:rPr>
          <w:lang w:eastAsia="en-GB"/>
        </w:rPr>
        <w:t>(</w:t>
      </w:r>
      <w:r>
        <w:rPr>
          <w:lang w:eastAsia="en-GB"/>
        </w:rPr>
        <w:t xml:space="preserve">with </w:t>
      </w:r>
      <w:r w:rsidRPr="003E0865">
        <w:rPr>
          <w:lang w:eastAsia="en-GB"/>
        </w:rPr>
        <w:t>a</w:t>
      </w:r>
      <w:r>
        <w:rPr>
          <w:lang w:eastAsia="en-GB"/>
        </w:rPr>
        <w:t xml:space="preserve"> summary of their in-service care</w:t>
      </w:r>
      <w:r w:rsidRPr="003E0865">
        <w:rPr>
          <w:lang w:eastAsia="en-GB"/>
        </w:rPr>
        <w:t>)</w:t>
      </w:r>
      <w:r>
        <w:rPr>
          <w:lang w:eastAsia="en-GB"/>
        </w:rPr>
        <w:t xml:space="preserve">.  </w:t>
      </w:r>
    </w:p>
    <w:p w14:paraId="692D35BD" w14:textId="77777777" w:rsidR="00DB11FA" w:rsidRPr="003E0865" w:rsidRDefault="00DB11FA" w:rsidP="006A6D87">
      <w:pPr>
        <w:pStyle w:val="Heading3"/>
        <w:rPr>
          <w:lang w:eastAsia="en-GB"/>
        </w:rPr>
      </w:pPr>
      <w:r w:rsidRPr="003E0865">
        <w:rPr>
          <w:lang w:eastAsia="en-GB"/>
        </w:rPr>
        <w:t xml:space="preserve">More information on the duty of care owed to service personnel and specific services is contained in the armed forces covenant which can be found here; </w:t>
      </w:r>
    </w:p>
    <w:p w14:paraId="067376DE" w14:textId="77777777" w:rsidR="00DB11FA" w:rsidRDefault="00DB11FA" w:rsidP="00DB11FA">
      <w:pPr>
        <w:rPr>
          <w:color w:val="000000"/>
        </w:rPr>
      </w:pPr>
      <w:r>
        <w:rPr>
          <w:color w:val="000000"/>
          <w:lang w:eastAsia="en-GB"/>
        </w:rPr>
        <w:t> </w:t>
      </w:r>
    </w:p>
    <w:p w14:paraId="16A3E902" w14:textId="77777777" w:rsidR="00DB11FA" w:rsidRPr="006A6D87" w:rsidRDefault="000E7846" w:rsidP="005A7DDA">
      <w:pPr>
        <w:pStyle w:val="ListParagraph"/>
        <w:numPr>
          <w:ilvl w:val="0"/>
          <w:numId w:val="83"/>
        </w:numPr>
        <w:rPr>
          <w:color w:val="000000"/>
        </w:rPr>
      </w:pPr>
      <w:hyperlink r:id="rId67" w:history="1">
        <w:r w:rsidR="00DB11FA">
          <w:rPr>
            <w:rStyle w:val="Hyperlink"/>
          </w:rPr>
          <w:t>https://www.gov.uk/government/uploads/system/uploads/attachment_data/file/49469/the_armed_forces_covenant.pdf</w:t>
        </w:r>
      </w:hyperlink>
      <w:r w:rsidR="00DB11FA" w:rsidRPr="006A6D87">
        <w:rPr>
          <w:color w:val="993366"/>
        </w:rPr>
        <w:t xml:space="preserve">;  </w:t>
      </w:r>
    </w:p>
    <w:p w14:paraId="292EBAB5" w14:textId="58799D33" w:rsidR="00DB11FA" w:rsidRDefault="00DB11FA" w:rsidP="006A6D87">
      <w:pPr>
        <w:ind w:firstLine="60"/>
        <w:rPr>
          <w:color w:val="000000"/>
        </w:rPr>
      </w:pPr>
    </w:p>
    <w:p w14:paraId="00BD8873" w14:textId="77777777" w:rsidR="00DB11FA" w:rsidRDefault="000E7846" w:rsidP="005A7DDA">
      <w:pPr>
        <w:pStyle w:val="ListParagraph"/>
        <w:numPr>
          <w:ilvl w:val="0"/>
          <w:numId w:val="83"/>
        </w:numPr>
      </w:pPr>
      <w:hyperlink r:id="rId68" w:history="1">
        <w:r w:rsidR="00DB11FA">
          <w:rPr>
            <w:rStyle w:val="Hyperlink"/>
          </w:rPr>
          <w:t>http://www.nhs.uk/NHSEngland/Militaryhealthcare/Pages/Militaryhealthcare.aspx</w:t>
        </w:r>
      </w:hyperlink>
    </w:p>
    <w:p w14:paraId="02285D54" w14:textId="77777777" w:rsidR="00DB11FA" w:rsidRPr="00B34AA1" w:rsidRDefault="00DB11FA" w:rsidP="00DB11FA">
      <w:pPr>
        <w:autoSpaceDE w:val="0"/>
        <w:autoSpaceDN w:val="0"/>
        <w:adjustRightInd w:val="0"/>
        <w:rPr>
          <w:rFonts w:eastAsia="HGSMinchoE" w:cs="Arial"/>
          <w:bCs w:val="0"/>
          <w:szCs w:val="24"/>
          <w:lang w:eastAsia="en-GB"/>
        </w:rPr>
      </w:pPr>
    </w:p>
    <w:p w14:paraId="6190FFCF" w14:textId="77777777" w:rsidR="00DB11FA" w:rsidRDefault="00DB11FA" w:rsidP="00DB11FA">
      <w:pPr>
        <w:pStyle w:val="Default"/>
        <w:spacing w:line="360" w:lineRule="auto"/>
        <w:rPr>
          <w:color w:val="auto"/>
        </w:rPr>
      </w:pPr>
    </w:p>
    <w:p w14:paraId="68933D79" w14:textId="109097BD" w:rsidR="00DB11FA" w:rsidRPr="00DA0632" w:rsidRDefault="00DB11FA" w:rsidP="00DB11FA">
      <w:pPr>
        <w:pStyle w:val="Heading2"/>
      </w:pPr>
      <w:bookmarkStart w:id="469" w:name="_Toc488146115"/>
      <w:bookmarkStart w:id="470" w:name="_Toc498495368"/>
      <w:r>
        <w:t>Persons released from prison</w:t>
      </w:r>
      <w:r w:rsidRPr="00142721">
        <w:t>s, immigration centres or children’s secure facilities</w:t>
      </w:r>
      <w:bookmarkEnd w:id="469"/>
      <w:bookmarkEnd w:id="470"/>
      <w:r>
        <w:t xml:space="preserve"> </w:t>
      </w:r>
    </w:p>
    <w:p w14:paraId="6745F33D" w14:textId="3C888285" w:rsidR="00DB11FA" w:rsidRDefault="00DB11FA" w:rsidP="006A6D87">
      <w:pPr>
        <w:pStyle w:val="Heading3"/>
      </w:pPr>
      <w:r>
        <w:t>We will introduce a contractual change from Octobe</w:t>
      </w:r>
      <w:r w:rsidRPr="00142721">
        <w:t>r</w:t>
      </w:r>
      <w:r w:rsidR="00057ADF">
        <w:t xml:space="preserve"> 2017</w:t>
      </w:r>
      <w:r w:rsidRPr="00142721">
        <w:t xml:space="preserve"> to all</w:t>
      </w:r>
      <w:r>
        <w:t>ow p</w:t>
      </w:r>
      <w:r w:rsidRPr="00142721">
        <w:t>atients</w:t>
      </w:r>
      <w:r>
        <w:t xml:space="preserve"> to register with a practice before they leave </w:t>
      </w:r>
      <w:r w:rsidRPr="00142721">
        <w:t>the detained estate</w:t>
      </w:r>
      <w:r>
        <w:t xml:space="preserve">. This agreement will include the timely transfer of clinical information, with an emphasis on medication history and substance misuse management plans, to the practice from the </w:t>
      </w:r>
      <w:r w:rsidRPr="00142721">
        <w:t>detained estate healthcare service</w:t>
      </w:r>
      <w:r>
        <w:t xml:space="preserve"> to enable better care when a new patient first presents at the practice.</w:t>
      </w:r>
      <w:r w:rsidRPr="00142721">
        <w:t>  </w:t>
      </w:r>
    </w:p>
    <w:p w14:paraId="0191471A" w14:textId="77777777" w:rsidR="00DB11FA" w:rsidRPr="00142721" w:rsidRDefault="00DB11FA" w:rsidP="006A6D87">
      <w:pPr>
        <w:pStyle w:val="Heading3"/>
      </w:pPr>
      <w:r w:rsidRPr="000158CD">
        <w:t>Those in contact with Criminal Justice System may get a letter from the Youth offending Service, the CRC or the National Probation Service</w:t>
      </w:r>
    </w:p>
    <w:p w14:paraId="3D615F0D" w14:textId="77777777" w:rsidR="00DB11FA" w:rsidRDefault="00DB11FA" w:rsidP="00DB11FA">
      <w:pPr>
        <w:pStyle w:val="Default"/>
        <w:spacing w:line="360" w:lineRule="auto"/>
        <w:rPr>
          <w:color w:val="auto"/>
        </w:rPr>
      </w:pPr>
    </w:p>
    <w:p w14:paraId="5B884ED0" w14:textId="77777777" w:rsidR="00DB11FA" w:rsidRDefault="00DB11FA" w:rsidP="00DB11FA">
      <w:pPr>
        <w:pStyle w:val="Default"/>
        <w:rPr>
          <w:color w:val="auto"/>
        </w:rPr>
      </w:pPr>
    </w:p>
    <w:p w14:paraId="174465BF" w14:textId="77777777" w:rsidR="00DB11FA" w:rsidRPr="00DF3F04" w:rsidRDefault="00DB11FA" w:rsidP="00DB11FA">
      <w:pPr>
        <w:pStyle w:val="Default"/>
        <w:spacing w:line="360" w:lineRule="auto"/>
        <w:rPr>
          <w:color w:val="auto"/>
        </w:rPr>
      </w:pPr>
    </w:p>
    <w:p w14:paraId="35FFFE3E" w14:textId="77777777" w:rsidR="00DB11FA" w:rsidRDefault="00DB11FA" w:rsidP="00DB11FA">
      <w:pPr>
        <w:pStyle w:val="Default"/>
        <w:spacing w:line="360" w:lineRule="auto"/>
        <w:rPr>
          <w:b/>
          <w:color w:val="auto"/>
          <w:sz w:val="23"/>
          <w:szCs w:val="23"/>
        </w:rPr>
      </w:pPr>
    </w:p>
    <w:p w14:paraId="38C970A8" w14:textId="77777777" w:rsidR="00DB11FA" w:rsidRDefault="00DB11FA" w:rsidP="00DB11FA">
      <w:pPr>
        <w:pStyle w:val="Heading1"/>
        <w:numPr>
          <w:ilvl w:val="0"/>
          <w:numId w:val="0"/>
        </w:numPr>
        <w:rPr>
          <w:lang w:val="en-US"/>
        </w:rPr>
      </w:pPr>
      <w:bookmarkStart w:id="471" w:name="_Toc468365163"/>
    </w:p>
    <w:p w14:paraId="22F3B899" w14:textId="77777777" w:rsidR="00DB11FA" w:rsidRDefault="00DB11FA" w:rsidP="00DB11FA">
      <w:pPr>
        <w:pStyle w:val="Heading1"/>
        <w:numPr>
          <w:ilvl w:val="0"/>
          <w:numId w:val="0"/>
        </w:numPr>
        <w:rPr>
          <w:lang w:val="en-US"/>
        </w:rPr>
      </w:pPr>
    </w:p>
    <w:p w14:paraId="7AFD77B5" w14:textId="77777777" w:rsidR="00DB11FA" w:rsidRDefault="00DB11FA" w:rsidP="00DB11FA">
      <w:pPr>
        <w:rPr>
          <w:lang w:val="en-US"/>
        </w:rPr>
      </w:pPr>
    </w:p>
    <w:p w14:paraId="68E64872" w14:textId="77777777" w:rsidR="00DB11FA" w:rsidRDefault="00DB11FA" w:rsidP="00DB11FA">
      <w:pPr>
        <w:rPr>
          <w:lang w:val="en-US"/>
        </w:rPr>
      </w:pPr>
    </w:p>
    <w:p w14:paraId="65763A9E" w14:textId="77777777" w:rsidR="00DB11FA" w:rsidRDefault="00DB11FA" w:rsidP="00DB11FA">
      <w:pPr>
        <w:rPr>
          <w:lang w:val="en-US"/>
        </w:rPr>
      </w:pPr>
    </w:p>
    <w:p w14:paraId="03B3AD3F" w14:textId="77777777" w:rsidR="00DB11FA" w:rsidRDefault="00DB11FA" w:rsidP="00DB11FA">
      <w:pPr>
        <w:rPr>
          <w:lang w:val="en-US"/>
        </w:rPr>
      </w:pPr>
    </w:p>
    <w:p w14:paraId="1F0A084E" w14:textId="77777777" w:rsidR="00DB11FA" w:rsidRDefault="00DB11FA" w:rsidP="00DB11FA">
      <w:pPr>
        <w:rPr>
          <w:lang w:val="en-US"/>
        </w:rPr>
      </w:pPr>
    </w:p>
    <w:p w14:paraId="5EED5793" w14:textId="35093D3F" w:rsidR="00DB11FA" w:rsidRPr="00C40453" w:rsidRDefault="006A6D87" w:rsidP="00DB11FA">
      <w:pPr>
        <w:pStyle w:val="Heading2"/>
      </w:pPr>
      <w:bookmarkStart w:id="472" w:name="_Toc488146116"/>
      <w:r>
        <w:rPr>
          <w:lang w:val="en-US"/>
        </w:rPr>
        <w:br w:type="page"/>
      </w:r>
      <w:bookmarkStart w:id="473" w:name="_Toc498495369"/>
      <w:r w:rsidR="00DB11FA">
        <w:rPr>
          <w:lang w:val="en-US"/>
        </w:rPr>
        <w:lastRenderedPageBreak/>
        <w:t>Appendix A</w:t>
      </w:r>
      <w:r w:rsidR="00DB11FA" w:rsidRPr="00C40453">
        <w:rPr>
          <w:lang w:val="en-US"/>
        </w:rPr>
        <w:t>;</w:t>
      </w:r>
      <w:r w:rsidR="00DB11FA" w:rsidRPr="00C40453">
        <w:rPr>
          <w:rFonts w:asciiTheme="minorHAnsi" w:eastAsiaTheme="minorHAnsi" w:hAnsiTheme="minorHAnsi" w:cstheme="minorBidi"/>
          <w:sz w:val="22"/>
          <w:szCs w:val="22"/>
        </w:rPr>
        <w:t xml:space="preserve"> </w:t>
      </w:r>
      <w:r w:rsidR="00DB11FA" w:rsidRPr="00C40453">
        <w:t>Draft Framework for a Memorandum of Understanding between GP Practice and Private provider (MH facility)</w:t>
      </w:r>
      <w:bookmarkEnd w:id="471"/>
      <w:bookmarkEnd w:id="472"/>
      <w:bookmarkEnd w:id="473"/>
    </w:p>
    <w:p w14:paraId="5F93A05E" w14:textId="77777777" w:rsidR="007E5544" w:rsidRPr="00420DAA" w:rsidRDefault="007E5544" w:rsidP="00420DAA"/>
    <w:bookmarkStart w:id="474" w:name="_1570171814"/>
    <w:bookmarkEnd w:id="474"/>
    <w:p w14:paraId="3591767C" w14:textId="36675D1A" w:rsidR="004B57CD" w:rsidRPr="004B57CD" w:rsidRDefault="002306F3" w:rsidP="005A7DDA">
      <w:pPr>
        <w:pStyle w:val="ListParagraph"/>
        <w:numPr>
          <w:ilvl w:val="0"/>
          <w:numId w:val="150"/>
        </w:numPr>
      </w:pPr>
      <w:r>
        <w:fldChar w:fldCharType="begin"/>
      </w:r>
      <w:r>
        <w:instrText xml:space="preserve"> HYPERLINK "https://www.england.nhs.uk/publication/primary-medical-care-policy-and-guidance-manual-requesting-documentary-information-from-patients-annexes/" </w:instrText>
      </w:r>
      <w:r>
        <w:fldChar w:fldCharType="separate"/>
      </w:r>
      <w:r w:rsidR="004B57CD" w:rsidRPr="004245F2">
        <w:rPr>
          <w:rStyle w:val="Hyperlink"/>
        </w:rPr>
        <w:t>Draft Framework for a Memorandum of Understanding between GP Practice and Private provider (MH facility)</w:t>
      </w:r>
      <w:r>
        <w:rPr>
          <w:rStyle w:val="Hyperlink"/>
        </w:rPr>
        <w:fldChar w:fldCharType="end"/>
      </w:r>
    </w:p>
    <w:p w14:paraId="098FF5BA" w14:textId="545E0277" w:rsidR="00DB11FA" w:rsidRPr="002306F3" w:rsidRDefault="00DB11FA" w:rsidP="00420DAA">
      <w:pPr>
        <w:rPr>
          <w:b/>
        </w:rPr>
      </w:pPr>
      <w:r w:rsidRPr="00420DAA">
        <w:br w:type="page"/>
      </w:r>
      <w:bookmarkStart w:id="475" w:name="_Toc488146121"/>
      <w:r w:rsidRPr="002306F3">
        <w:rPr>
          <w:b/>
          <w:lang w:val="en-US"/>
        </w:rPr>
        <w:lastRenderedPageBreak/>
        <w:t xml:space="preserve">Appendix </w:t>
      </w:r>
      <w:bookmarkStart w:id="476" w:name="_Toc488146122"/>
      <w:bookmarkEnd w:id="475"/>
      <w:r w:rsidR="00BC5F9C" w:rsidRPr="002306F3">
        <w:rPr>
          <w:b/>
          <w:lang w:val="en-US"/>
        </w:rPr>
        <w:t>B</w:t>
      </w:r>
      <w:r w:rsidR="00BC5F9C" w:rsidRPr="002306F3">
        <w:rPr>
          <w:b/>
        </w:rPr>
        <w:t xml:space="preserve"> Regulation</w:t>
      </w:r>
      <w:r w:rsidRPr="002306F3">
        <w:rPr>
          <w:b/>
        </w:rPr>
        <w:t xml:space="preserve"> 15 of the GMS Regulations (2015)</w:t>
      </w:r>
      <w:bookmarkEnd w:id="476"/>
    </w:p>
    <w:p w14:paraId="72D2861B" w14:textId="77777777" w:rsidR="00DB11FA" w:rsidRPr="00E56103" w:rsidRDefault="00DB11FA" w:rsidP="00DB11FA"/>
    <w:p w14:paraId="116FBA17" w14:textId="77777777" w:rsidR="00DB11FA" w:rsidRPr="00FE50DF" w:rsidRDefault="00DB11FA" w:rsidP="00DB11FA">
      <w:pPr>
        <w:shd w:val="clear" w:color="auto" w:fill="FFFFFF"/>
        <w:spacing w:after="120" w:line="288" w:lineRule="atLeast"/>
        <w:jc w:val="both"/>
        <w:outlineLvl w:val="3"/>
        <w:rPr>
          <w:rFonts w:cs="Arial"/>
          <w:szCs w:val="24"/>
        </w:rPr>
      </w:pPr>
      <w:r w:rsidRPr="00FE50DF">
        <w:rPr>
          <w:rFonts w:cs="Arial"/>
          <w:szCs w:val="24"/>
        </w:rPr>
        <w:t>Essential services</w:t>
      </w:r>
    </w:p>
    <w:p w14:paraId="0642B6A3" w14:textId="77777777" w:rsidR="00DB11FA" w:rsidRPr="00FE50DF" w:rsidRDefault="00DB11FA" w:rsidP="00DB11FA">
      <w:pPr>
        <w:shd w:val="clear" w:color="auto" w:fill="FFFFFF"/>
        <w:spacing w:after="120" w:line="360" w:lineRule="atLeast"/>
        <w:ind w:firstLine="240"/>
        <w:jc w:val="both"/>
        <w:rPr>
          <w:rFonts w:cs="Arial"/>
          <w:szCs w:val="24"/>
        </w:rPr>
      </w:pPr>
      <w:r w:rsidRPr="000D05DA">
        <w:t>17.—(1) Subject to paragraph (2), for the purposes of section 85(1) of the Act</w:t>
      </w:r>
      <w:r w:rsidRPr="00FE50DF">
        <w:rPr>
          <w:rFonts w:cs="Arial"/>
          <w:szCs w:val="24"/>
        </w:rPr>
        <w:t xml:space="preserve"> (requirement to provide certain medical services), the services which must be provided under a contract (“essential services”) are the services described in paragraphs (4), (6), (7) and (9). </w:t>
      </w:r>
    </w:p>
    <w:p w14:paraId="48653A1F" w14:textId="77777777" w:rsidR="00DB11FA" w:rsidRPr="00FE50DF" w:rsidRDefault="00DB11FA" w:rsidP="00DB11FA">
      <w:pPr>
        <w:shd w:val="clear" w:color="auto" w:fill="FFFFFF"/>
        <w:spacing w:after="120" w:line="360" w:lineRule="atLeast"/>
        <w:ind w:firstLine="240"/>
        <w:jc w:val="both"/>
        <w:rPr>
          <w:rFonts w:cs="Arial"/>
          <w:szCs w:val="24"/>
        </w:rPr>
      </w:pPr>
      <w:r w:rsidRPr="00FE50DF">
        <w:rPr>
          <w:rFonts w:cs="Arial"/>
          <w:szCs w:val="24"/>
        </w:rPr>
        <w:t>(2) Essential services are not required to be provided by the contractor during any period in respect of which the Care Quality Commission has suspended the contractor as a service provider under section 18 of the Health and Social Care Act 2008(</w:t>
      </w:r>
      <w:hyperlink r:id="rId69" w:anchor="f00087" w:tooltip="Go to footnote 87" w:history="1">
        <w:r w:rsidRPr="00FE50DF">
          <w:rPr>
            <w:rFonts w:cs="Arial"/>
            <w:szCs w:val="24"/>
          </w:rPr>
          <w:t>87</w:t>
        </w:r>
      </w:hyperlink>
      <w:r w:rsidRPr="00FE50DF">
        <w:rPr>
          <w:rFonts w:cs="Arial"/>
          <w:szCs w:val="24"/>
        </w:rPr>
        <w:t xml:space="preserve">) (suspension of registration). </w:t>
      </w:r>
    </w:p>
    <w:p w14:paraId="6E7385DC" w14:textId="77777777" w:rsidR="00DB11FA" w:rsidRPr="00FE50DF" w:rsidRDefault="00DB11FA" w:rsidP="00DB11FA">
      <w:pPr>
        <w:shd w:val="clear" w:color="auto" w:fill="FFFFFF"/>
        <w:spacing w:after="120" w:line="360" w:lineRule="atLeast"/>
        <w:ind w:firstLine="240"/>
        <w:jc w:val="both"/>
        <w:rPr>
          <w:rFonts w:cs="Arial"/>
          <w:szCs w:val="24"/>
        </w:rPr>
      </w:pPr>
      <w:r w:rsidRPr="00FE50DF">
        <w:rPr>
          <w:rFonts w:cs="Arial"/>
          <w:szCs w:val="24"/>
        </w:rPr>
        <w:t xml:space="preserve">(3) Subject to regulation 20(2)(b) and (c), a contractor must provide the services described in paragraphs (4) and (6) throughout the core hours. </w:t>
      </w:r>
    </w:p>
    <w:p w14:paraId="60E33784" w14:textId="77777777" w:rsidR="00DB11FA" w:rsidRPr="00FE50DF" w:rsidRDefault="00DB11FA" w:rsidP="00DB11FA">
      <w:pPr>
        <w:shd w:val="clear" w:color="auto" w:fill="FFFFFF"/>
        <w:spacing w:after="120" w:line="360" w:lineRule="atLeast"/>
        <w:ind w:firstLine="240"/>
        <w:jc w:val="both"/>
        <w:rPr>
          <w:rFonts w:cs="Arial"/>
          <w:szCs w:val="24"/>
        </w:rPr>
      </w:pPr>
      <w:r w:rsidRPr="00FE50DF">
        <w:rPr>
          <w:rFonts w:cs="Arial"/>
          <w:szCs w:val="24"/>
        </w:rPr>
        <w:t xml:space="preserve">(4) The services described in this paragraph are services required for the management of a contractor’s registered patients and temporary residents who are, or believe themselves to be— </w:t>
      </w:r>
    </w:p>
    <w:p w14:paraId="07D5A0B1" w14:textId="77777777" w:rsidR="00DB11FA" w:rsidRPr="00FE50DF" w:rsidRDefault="00DB11FA" w:rsidP="00DB11FA">
      <w:pPr>
        <w:shd w:val="clear" w:color="auto" w:fill="FFFFFF"/>
        <w:spacing w:after="120" w:line="360" w:lineRule="atLeast"/>
        <w:rPr>
          <w:rFonts w:cs="Arial"/>
          <w:szCs w:val="24"/>
        </w:rPr>
      </w:pPr>
      <w:r w:rsidRPr="00FE50DF">
        <w:rPr>
          <w:rFonts w:cs="Arial"/>
          <w:szCs w:val="24"/>
        </w:rPr>
        <w:t>(a)ill, with conditions from which recovery is generally expected;</w:t>
      </w:r>
    </w:p>
    <w:p w14:paraId="298262B2" w14:textId="77777777" w:rsidR="00DB11FA" w:rsidRPr="00FE50DF" w:rsidRDefault="00DB11FA" w:rsidP="00DB11FA">
      <w:pPr>
        <w:shd w:val="clear" w:color="auto" w:fill="FFFFFF"/>
        <w:spacing w:after="120" w:line="360" w:lineRule="atLeast"/>
        <w:rPr>
          <w:rFonts w:cs="Arial"/>
          <w:szCs w:val="24"/>
        </w:rPr>
      </w:pPr>
      <w:r w:rsidRPr="00FE50DF">
        <w:rPr>
          <w:rFonts w:cs="Arial"/>
          <w:szCs w:val="24"/>
        </w:rPr>
        <w:t>(b)terminally ill; or</w:t>
      </w:r>
    </w:p>
    <w:p w14:paraId="0A110994" w14:textId="77777777" w:rsidR="00DB11FA" w:rsidRPr="00FE50DF" w:rsidRDefault="00DB11FA" w:rsidP="00DB11FA">
      <w:pPr>
        <w:shd w:val="clear" w:color="auto" w:fill="FFFFFF"/>
        <w:spacing w:after="120" w:line="360" w:lineRule="atLeast"/>
        <w:rPr>
          <w:rFonts w:cs="Arial"/>
          <w:szCs w:val="24"/>
        </w:rPr>
      </w:pPr>
      <w:r w:rsidRPr="00FE50DF">
        <w:rPr>
          <w:rFonts w:cs="Arial"/>
          <w:szCs w:val="24"/>
        </w:rPr>
        <w:t>(c)suffering from chronic disease,</w:t>
      </w:r>
    </w:p>
    <w:p w14:paraId="4AA92E1C" w14:textId="77777777" w:rsidR="00DB11FA" w:rsidRPr="00FE50DF" w:rsidRDefault="00DB11FA" w:rsidP="00DB11FA">
      <w:pPr>
        <w:shd w:val="clear" w:color="auto" w:fill="FFFFFF"/>
        <w:spacing w:after="120" w:line="360" w:lineRule="atLeast"/>
        <w:jc w:val="both"/>
        <w:rPr>
          <w:rFonts w:cs="Arial"/>
          <w:szCs w:val="24"/>
        </w:rPr>
      </w:pPr>
      <w:r w:rsidRPr="00FE50DF">
        <w:rPr>
          <w:rFonts w:cs="Arial"/>
          <w:szCs w:val="24"/>
        </w:rPr>
        <w:t xml:space="preserve">which are delivered in the manner determined by the contractor’s practice in discussion with the patient. </w:t>
      </w:r>
    </w:p>
    <w:p w14:paraId="575ABC9D" w14:textId="77777777" w:rsidR="00DB11FA" w:rsidRPr="00FE50DF" w:rsidRDefault="00DB11FA" w:rsidP="00DB11FA">
      <w:pPr>
        <w:shd w:val="clear" w:color="auto" w:fill="FFFFFF"/>
        <w:spacing w:after="120" w:line="360" w:lineRule="atLeast"/>
        <w:ind w:firstLine="240"/>
        <w:jc w:val="both"/>
        <w:rPr>
          <w:rFonts w:cs="Arial"/>
          <w:szCs w:val="24"/>
        </w:rPr>
      </w:pPr>
      <w:r w:rsidRPr="00FE50DF">
        <w:rPr>
          <w:rFonts w:cs="Arial"/>
          <w:szCs w:val="24"/>
        </w:rPr>
        <w:t xml:space="preserve">(5) For the purposes of paragraph (4)— </w:t>
      </w:r>
    </w:p>
    <w:p w14:paraId="4F02C813" w14:textId="77777777" w:rsidR="00DB11FA" w:rsidRPr="00FE50DF" w:rsidRDefault="00DB11FA" w:rsidP="00DB11FA">
      <w:pPr>
        <w:shd w:val="clear" w:color="auto" w:fill="FFFFFF"/>
        <w:spacing w:after="120" w:line="360" w:lineRule="atLeast"/>
        <w:jc w:val="both"/>
        <w:rPr>
          <w:rFonts w:cs="Arial"/>
          <w:szCs w:val="24"/>
        </w:rPr>
      </w:pPr>
      <w:r w:rsidRPr="00FE50DF">
        <w:rPr>
          <w:rFonts w:cs="Arial"/>
          <w:szCs w:val="24"/>
        </w:rPr>
        <w:t>“disease” means a disease included in the list of three-character categories contained in the tenth revision of the International Statistical Classification of Diseases and Related Health Problems(</w:t>
      </w:r>
      <w:hyperlink r:id="rId70" w:anchor="f00088" w:tooltip="Go to footnote 88" w:history="1">
        <w:r w:rsidRPr="00FE50DF">
          <w:rPr>
            <w:rFonts w:cs="Arial"/>
            <w:szCs w:val="24"/>
          </w:rPr>
          <w:t>88</w:t>
        </w:r>
      </w:hyperlink>
      <w:r w:rsidRPr="00FE50DF">
        <w:rPr>
          <w:rFonts w:cs="Arial"/>
          <w:szCs w:val="24"/>
        </w:rPr>
        <w:t xml:space="preserve">); and </w:t>
      </w:r>
    </w:p>
    <w:p w14:paraId="38C2501A" w14:textId="77777777" w:rsidR="00DB11FA" w:rsidRPr="00FE50DF" w:rsidRDefault="00DB11FA" w:rsidP="00DB11FA">
      <w:pPr>
        <w:shd w:val="clear" w:color="auto" w:fill="FFFFFF"/>
        <w:spacing w:after="120" w:line="360" w:lineRule="atLeast"/>
        <w:jc w:val="both"/>
        <w:rPr>
          <w:rFonts w:cs="Arial"/>
          <w:szCs w:val="24"/>
        </w:rPr>
      </w:pPr>
      <w:r w:rsidRPr="00FE50DF">
        <w:rPr>
          <w:rFonts w:cs="Arial"/>
          <w:szCs w:val="24"/>
        </w:rPr>
        <w:t xml:space="preserve">“management” includes— </w:t>
      </w:r>
    </w:p>
    <w:p w14:paraId="221F5595" w14:textId="154690E2" w:rsidR="00DB11FA" w:rsidRPr="00FE50DF" w:rsidRDefault="00DB11FA" w:rsidP="000D05DA">
      <w:pPr>
        <w:shd w:val="clear" w:color="auto" w:fill="FFFFFF"/>
        <w:spacing w:before="120" w:after="120" w:line="360" w:lineRule="auto"/>
        <w:rPr>
          <w:rFonts w:cs="Arial"/>
          <w:szCs w:val="24"/>
        </w:rPr>
      </w:pPr>
      <w:r w:rsidRPr="00FE50DF">
        <w:rPr>
          <w:rFonts w:cs="Arial"/>
          <w:szCs w:val="24"/>
        </w:rPr>
        <w:t>(a)</w:t>
      </w:r>
      <w:r w:rsidR="000D05DA">
        <w:rPr>
          <w:rFonts w:cs="Arial"/>
          <w:szCs w:val="24"/>
        </w:rPr>
        <w:t xml:space="preserve"> </w:t>
      </w:r>
      <w:r w:rsidRPr="00FE50DF">
        <w:rPr>
          <w:rFonts w:cs="Arial"/>
          <w:szCs w:val="24"/>
        </w:rPr>
        <w:t xml:space="preserve">offering consultation and, where appropriate, physical examination for the purposes of identifying the need, if any, for treatment or further investigation; and </w:t>
      </w:r>
    </w:p>
    <w:p w14:paraId="030B5F6C" w14:textId="4F30E6FE" w:rsidR="00DB11FA" w:rsidRPr="00FE50DF" w:rsidRDefault="00DB11FA" w:rsidP="000D05DA">
      <w:pPr>
        <w:shd w:val="clear" w:color="auto" w:fill="FFFFFF"/>
        <w:spacing w:before="120" w:after="120" w:line="360" w:lineRule="auto"/>
        <w:rPr>
          <w:rFonts w:cs="Arial"/>
          <w:szCs w:val="24"/>
        </w:rPr>
      </w:pPr>
      <w:r w:rsidRPr="00FE50DF">
        <w:rPr>
          <w:rFonts w:cs="Arial"/>
          <w:szCs w:val="24"/>
        </w:rPr>
        <w:t>(b)</w:t>
      </w:r>
      <w:r w:rsidR="000D05DA">
        <w:rPr>
          <w:rFonts w:cs="Arial"/>
          <w:szCs w:val="24"/>
        </w:rPr>
        <w:t xml:space="preserve"> </w:t>
      </w:r>
      <w:r w:rsidRPr="00FE50DF">
        <w:rPr>
          <w:rFonts w:cs="Arial"/>
          <w:szCs w:val="24"/>
        </w:rPr>
        <w:t xml:space="preserve">making available such treatment or further investigation as is necessary and appropriate, including the referral of the patient for other services under the Act and liaison with other health care professionals involved in the patient’s treatment and care. </w:t>
      </w:r>
    </w:p>
    <w:p w14:paraId="66586230" w14:textId="77777777" w:rsidR="00DB11FA" w:rsidRPr="00FE50DF" w:rsidRDefault="00DB11FA" w:rsidP="00DB11FA">
      <w:pPr>
        <w:shd w:val="clear" w:color="auto" w:fill="FFFFFF"/>
        <w:spacing w:after="120" w:line="360" w:lineRule="atLeast"/>
        <w:ind w:firstLine="240"/>
        <w:jc w:val="both"/>
        <w:rPr>
          <w:rFonts w:cs="Arial"/>
          <w:szCs w:val="24"/>
        </w:rPr>
      </w:pPr>
      <w:r w:rsidRPr="00FE50DF">
        <w:rPr>
          <w:rFonts w:cs="Arial"/>
          <w:szCs w:val="24"/>
        </w:rPr>
        <w:lastRenderedPageBreak/>
        <w:t xml:space="preserve">(6) The services described in this paragraph are the provision of appropriate ongoing treatment and care to all of the contractor’s registered patients and temporary residents taking account of their specific needs including— </w:t>
      </w:r>
    </w:p>
    <w:p w14:paraId="67BBAEDE" w14:textId="77777777" w:rsidR="00DB11FA" w:rsidRPr="00FE50DF" w:rsidRDefault="00DB11FA" w:rsidP="00DB11FA">
      <w:pPr>
        <w:shd w:val="clear" w:color="auto" w:fill="FFFFFF"/>
        <w:spacing w:after="120" w:line="360" w:lineRule="atLeast"/>
        <w:rPr>
          <w:rFonts w:cs="Arial"/>
          <w:szCs w:val="24"/>
        </w:rPr>
      </w:pPr>
      <w:r w:rsidRPr="00FE50DF">
        <w:rPr>
          <w:rFonts w:cs="Arial"/>
          <w:szCs w:val="24"/>
        </w:rPr>
        <w:t>(a)advice in connection with the patient’s health and relevant health promotion advice; and</w:t>
      </w:r>
    </w:p>
    <w:p w14:paraId="26306CEA" w14:textId="77777777" w:rsidR="00DB11FA" w:rsidRPr="00FE50DF" w:rsidRDefault="00DB11FA" w:rsidP="00DB11FA">
      <w:pPr>
        <w:shd w:val="clear" w:color="auto" w:fill="FFFFFF"/>
        <w:spacing w:after="120" w:line="360" w:lineRule="atLeast"/>
        <w:rPr>
          <w:rFonts w:cs="Arial"/>
          <w:szCs w:val="24"/>
        </w:rPr>
      </w:pPr>
      <w:r w:rsidRPr="00FE50DF">
        <w:rPr>
          <w:rFonts w:cs="Arial"/>
          <w:szCs w:val="24"/>
        </w:rPr>
        <w:t>(b)the referral of a patient for other services under the Act.</w:t>
      </w:r>
    </w:p>
    <w:p w14:paraId="2ACF26EC" w14:textId="77777777" w:rsidR="00DB11FA" w:rsidRPr="00FE50DF" w:rsidRDefault="00DB11FA" w:rsidP="00DB11FA">
      <w:pPr>
        <w:shd w:val="clear" w:color="auto" w:fill="FFFFFF"/>
        <w:spacing w:after="120" w:line="360" w:lineRule="atLeast"/>
        <w:ind w:firstLine="240"/>
        <w:jc w:val="both"/>
        <w:rPr>
          <w:rFonts w:cs="Arial"/>
          <w:szCs w:val="24"/>
        </w:rPr>
      </w:pPr>
      <w:r w:rsidRPr="00FE50DF">
        <w:rPr>
          <w:rFonts w:cs="Arial"/>
          <w:szCs w:val="24"/>
        </w:rPr>
        <w:t xml:space="preserve">(7) A contractor must provide primary medical services required in core hours for the immediately necessary treatment of any person to whom the contractor has been requested to provide treatment owing to an accident or emergency at any place in the contractor’s practice area. </w:t>
      </w:r>
    </w:p>
    <w:p w14:paraId="6815045F" w14:textId="77777777" w:rsidR="00DB11FA" w:rsidRPr="00FE50DF" w:rsidRDefault="00DB11FA" w:rsidP="00DB11FA">
      <w:pPr>
        <w:shd w:val="clear" w:color="auto" w:fill="FFFFFF"/>
        <w:spacing w:after="120" w:line="360" w:lineRule="atLeast"/>
        <w:ind w:firstLine="240"/>
        <w:jc w:val="both"/>
        <w:rPr>
          <w:rFonts w:cs="Arial"/>
          <w:szCs w:val="24"/>
        </w:rPr>
      </w:pPr>
      <w:r w:rsidRPr="00FE50DF">
        <w:rPr>
          <w:rFonts w:cs="Arial"/>
          <w:szCs w:val="24"/>
        </w:rPr>
        <w:t xml:space="preserve">(8) In paragraph (7), “emergency” includes any medical emergency whether or not related to services provided under the contract. </w:t>
      </w:r>
    </w:p>
    <w:p w14:paraId="0955AC26" w14:textId="77777777" w:rsidR="00DB11FA" w:rsidRPr="00FE50DF" w:rsidRDefault="00DB11FA" w:rsidP="00DB11FA">
      <w:pPr>
        <w:shd w:val="clear" w:color="auto" w:fill="FFFFFF"/>
        <w:spacing w:after="120" w:line="360" w:lineRule="atLeast"/>
        <w:ind w:firstLine="240"/>
        <w:jc w:val="both"/>
        <w:rPr>
          <w:rFonts w:cs="Arial"/>
          <w:szCs w:val="24"/>
        </w:rPr>
      </w:pPr>
      <w:r w:rsidRPr="00FE50DF">
        <w:rPr>
          <w:rFonts w:cs="Arial"/>
          <w:szCs w:val="24"/>
        </w:rPr>
        <w:t xml:space="preserve">(9) A contractor must provide primary medical services required in core hours for the immediately necessary treatment of any person to whom paragraph (10) applies who requests such treatment for the period specified in paragraph (11). </w:t>
      </w:r>
    </w:p>
    <w:p w14:paraId="36B9D60B" w14:textId="77777777" w:rsidR="00DB11FA" w:rsidRPr="00FE50DF" w:rsidRDefault="00DB11FA" w:rsidP="00DB11FA">
      <w:pPr>
        <w:shd w:val="clear" w:color="auto" w:fill="FFFFFF"/>
        <w:spacing w:after="120" w:line="360" w:lineRule="atLeast"/>
        <w:ind w:firstLine="240"/>
        <w:jc w:val="both"/>
        <w:rPr>
          <w:rFonts w:cs="Arial"/>
          <w:szCs w:val="24"/>
        </w:rPr>
      </w:pPr>
      <w:r w:rsidRPr="00FE50DF">
        <w:rPr>
          <w:rFonts w:cs="Arial"/>
          <w:szCs w:val="24"/>
        </w:rPr>
        <w:t xml:space="preserve">(10) This paragraph applies to a person if— </w:t>
      </w:r>
    </w:p>
    <w:p w14:paraId="12552C3B" w14:textId="77777777" w:rsidR="00DB11FA" w:rsidRPr="00FE50DF" w:rsidRDefault="00DB11FA" w:rsidP="00DB11FA">
      <w:pPr>
        <w:shd w:val="clear" w:color="auto" w:fill="FFFFFF"/>
        <w:spacing w:after="120" w:line="360" w:lineRule="atLeast"/>
        <w:rPr>
          <w:rFonts w:cs="Arial"/>
          <w:szCs w:val="24"/>
        </w:rPr>
      </w:pPr>
      <w:r w:rsidRPr="00FE50DF">
        <w:rPr>
          <w:rFonts w:cs="Arial"/>
          <w:szCs w:val="24"/>
        </w:rPr>
        <w:t>(a)that person’s application for inclusion in the contractor’s list of patients has been refused in accordance with paragraph 21 of Schedule 3, and that person is not registered with another provider of essential services (or their equivalent);</w:t>
      </w:r>
    </w:p>
    <w:p w14:paraId="688E8ACE" w14:textId="77777777" w:rsidR="00DB11FA" w:rsidRPr="00FE50DF" w:rsidRDefault="00DB11FA" w:rsidP="00DB11FA">
      <w:pPr>
        <w:shd w:val="clear" w:color="auto" w:fill="FFFFFF"/>
        <w:spacing w:after="120" w:line="360" w:lineRule="atLeast"/>
        <w:rPr>
          <w:rFonts w:cs="Arial"/>
          <w:szCs w:val="24"/>
        </w:rPr>
      </w:pPr>
      <w:r w:rsidRPr="00FE50DF">
        <w:rPr>
          <w:rFonts w:cs="Arial"/>
          <w:szCs w:val="24"/>
        </w:rPr>
        <w:t>(b)that person’s application for acceptance as a temporary resident has been refused under paragraph 21 of Schedule 3; or</w:t>
      </w:r>
    </w:p>
    <w:p w14:paraId="3F6FE397" w14:textId="77777777" w:rsidR="00DB11FA" w:rsidRPr="00FE50DF" w:rsidRDefault="00DB11FA" w:rsidP="00DB11FA">
      <w:pPr>
        <w:shd w:val="clear" w:color="auto" w:fill="FFFFFF"/>
        <w:spacing w:after="120" w:line="360" w:lineRule="atLeast"/>
        <w:rPr>
          <w:rFonts w:cs="Arial"/>
          <w:szCs w:val="24"/>
        </w:rPr>
      </w:pPr>
      <w:r w:rsidRPr="00FE50DF">
        <w:rPr>
          <w:rFonts w:cs="Arial"/>
          <w:szCs w:val="24"/>
        </w:rPr>
        <w:t>(c)that person is present in the contractor’s practice area for a period of less than 24 hours.</w:t>
      </w:r>
    </w:p>
    <w:p w14:paraId="427B0121" w14:textId="77777777" w:rsidR="00DB11FA" w:rsidRPr="00FE50DF" w:rsidRDefault="00DB11FA" w:rsidP="00DB11FA">
      <w:pPr>
        <w:shd w:val="clear" w:color="auto" w:fill="FFFFFF"/>
        <w:spacing w:after="120" w:line="360" w:lineRule="atLeast"/>
        <w:ind w:firstLine="240"/>
        <w:jc w:val="both"/>
        <w:rPr>
          <w:rFonts w:cs="Arial"/>
          <w:szCs w:val="24"/>
        </w:rPr>
      </w:pPr>
      <w:r w:rsidRPr="00FE50DF">
        <w:rPr>
          <w:rFonts w:cs="Arial"/>
          <w:szCs w:val="24"/>
        </w:rPr>
        <w:t xml:space="preserve">(11) The period specified in this paragraph is, in the case of a person to whom— </w:t>
      </w:r>
    </w:p>
    <w:p w14:paraId="03E730B3" w14:textId="77777777" w:rsidR="00DB11FA" w:rsidRPr="00FE50DF" w:rsidRDefault="00DB11FA" w:rsidP="00DB11FA">
      <w:pPr>
        <w:shd w:val="clear" w:color="auto" w:fill="FFFFFF"/>
        <w:spacing w:after="120" w:line="360" w:lineRule="atLeast"/>
        <w:rPr>
          <w:rFonts w:cs="Arial"/>
          <w:szCs w:val="24"/>
        </w:rPr>
      </w:pPr>
      <w:r w:rsidRPr="00FE50DF">
        <w:rPr>
          <w:rFonts w:cs="Arial"/>
          <w:szCs w:val="24"/>
        </w:rPr>
        <w:t>(a)paragraph (10)(a) applies, 14 days beginning with the date on which that person’s application was refused or until that person has been subsequently registered elsewhere for the provision of essential services (or their equivalent), whichever occurs first;</w:t>
      </w:r>
    </w:p>
    <w:p w14:paraId="5743F11B" w14:textId="77777777" w:rsidR="00DB11FA" w:rsidRPr="00FE50DF" w:rsidRDefault="00DB11FA" w:rsidP="00DB11FA">
      <w:pPr>
        <w:shd w:val="clear" w:color="auto" w:fill="FFFFFF"/>
        <w:spacing w:after="120" w:line="360" w:lineRule="atLeast"/>
        <w:rPr>
          <w:rFonts w:cs="Arial"/>
          <w:szCs w:val="24"/>
        </w:rPr>
      </w:pPr>
      <w:r w:rsidRPr="00FE50DF">
        <w:rPr>
          <w:rFonts w:cs="Arial"/>
          <w:szCs w:val="24"/>
        </w:rPr>
        <w:t>(b)paragraph (10)(b) applies, 14 days beginning with the date on which that person’s application was rejected or until that person has been subsequently accepted elsewhere as a temporary resident, whichever occurs first; or</w:t>
      </w:r>
    </w:p>
    <w:p w14:paraId="729F8D07" w14:textId="5C753A80" w:rsidR="00DB11FA" w:rsidRPr="002306F3" w:rsidRDefault="00DB11FA" w:rsidP="004B57CD">
      <w:pPr>
        <w:shd w:val="clear" w:color="auto" w:fill="FFFFFF"/>
        <w:spacing w:after="120" w:line="360" w:lineRule="atLeast"/>
        <w:rPr>
          <w:b/>
        </w:rPr>
      </w:pPr>
      <w:r w:rsidRPr="00FE50DF">
        <w:rPr>
          <w:rFonts w:cs="Arial"/>
          <w:szCs w:val="24"/>
        </w:rPr>
        <w:t>(c)paragraph (10)(c) applies, 24 hours or such shorter period as the person is present in the contractor’s practice area.</w:t>
      </w:r>
    </w:p>
    <w:p w14:paraId="7A49CFCF" w14:textId="77777777" w:rsidR="003D1FAF" w:rsidRPr="002306F3" w:rsidRDefault="003D1FAF" w:rsidP="002306F3">
      <w:pPr>
        <w:pStyle w:val="TableParagraph"/>
      </w:pPr>
    </w:p>
    <w:p w14:paraId="4A800426" w14:textId="0A6269D8" w:rsidR="0015247B" w:rsidRDefault="00B42132" w:rsidP="000D05DA">
      <w:pPr>
        <w:pStyle w:val="Heading1"/>
        <w:rPr>
          <w:lang w:eastAsia="en-GB"/>
        </w:rPr>
      </w:pPr>
      <w:r>
        <w:rPr>
          <w:lang w:eastAsia="en-GB"/>
        </w:rPr>
        <w:br w:type="page"/>
      </w:r>
      <w:bookmarkStart w:id="477" w:name="_Toc498495370"/>
      <w:r w:rsidR="0015247B">
        <w:rPr>
          <w:lang w:eastAsia="en-GB"/>
        </w:rPr>
        <w:lastRenderedPageBreak/>
        <w:t>Temporary suspension to patient registration</w:t>
      </w:r>
      <w:bookmarkEnd w:id="477"/>
    </w:p>
    <w:p w14:paraId="14F48D89" w14:textId="77777777" w:rsidR="0015247B" w:rsidRDefault="0015247B" w:rsidP="0015247B">
      <w:pPr>
        <w:rPr>
          <w:lang w:eastAsia="en-GB"/>
        </w:rPr>
      </w:pPr>
    </w:p>
    <w:p w14:paraId="25E8A8B0" w14:textId="795CF42F" w:rsidR="003D1FAF" w:rsidRPr="000D05DA" w:rsidRDefault="003D1FAF" w:rsidP="003D1FAF">
      <w:pPr>
        <w:pStyle w:val="Heading2"/>
        <w:rPr>
          <w:rFonts w:cs="Arial"/>
        </w:rPr>
      </w:pPr>
      <w:bookmarkStart w:id="478" w:name="_Toc498495371"/>
      <w:r w:rsidRPr="000D05DA">
        <w:rPr>
          <w:rFonts w:eastAsia="Arial"/>
        </w:rPr>
        <w:t>Formal List Closure</w:t>
      </w:r>
      <w:bookmarkEnd w:id="478"/>
    </w:p>
    <w:p w14:paraId="252D9F2C" w14:textId="565AE422" w:rsidR="003D1FAF" w:rsidRPr="00CE0885" w:rsidRDefault="003D1FAF" w:rsidP="000D05DA">
      <w:pPr>
        <w:pStyle w:val="Heading3"/>
      </w:pPr>
      <w:r w:rsidRPr="000D05DA">
        <w:rPr>
          <w:rFonts w:eastAsia="Arial"/>
        </w:rPr>
        <w:t>The GMS and PMS contracts allow for a Practice to request permission from its commissioner to close its list to new patients (Paragraph 29 of Schedule 6, Part 2 of the NHS (GMS Contracts) Regulations (as amended). This option exists to give practices a degree of workload control over the management of their services, particularly when there is unusual and sustained demand from patients or in situations of workforce or recruitment difficulties that affect a practices ability to provide services to an acceptable and safe standard.</w:t>
      </w:r>
    </w:p>
    <w:p w14:paraId="52404AF5" w14:textId="2363AD32" w:rsidR="003D1FAF" w:rsidRPr="00CE0885" w:rsidRDefault="003D1FAF" w:rsidP="000D05DA">
      <w:pPr>
        <w:pStyle w:val="Heading3"/>
      </w:pPr>
      <w:r w:rsidRPr="000D05DA">
        <w:rPr>
          <w:rFonts w:eastAsia="Arial"/>
        </w:rPr>
        <w:t>As the commissioner also has a duty to ensure the availability of primary care services for the resident population it has certain powers with regard to these requests including agreeing to the length of the closure and the conditions that would need to exist to trigger a re-opening of the list. The commissioner will also need to consider the availability of alternative provision for new patients and any impact on neighbouring practices. Following changes to the formal list closure process in 2012 the commissioner does not have the power to halt practices’ delivery of additional and/or enhanced services as a means to reduce practice workload thereby keeping the patient list open. Therefore list closure no longer carries such financial consequences for the practice as it was once thought to have and allows practices to continue to deliver holistic care to registered patients.</w:t>
      </w:r>
    </w:p>
    <w:p w14:paraId="1771483D" w14:textId="0D368538" w:rsidR="003D1FAF" w:rsidRPr="000D05DA" w:rsidRDefault="003D1FAF" w:rsidP="003D1FAF">
      <w:pPr>
        <w:pStyle w:val="Heading3"/>
        <w:rPr>
          <w:rFonts w:cs="Arial"/>
        </w:rPr>
      </w:pPr>
      <w:r w:rsidRPr="000D05DA">
        <w:rPr>
          <w:rFonts w:eastAsia="Arial"/>
        </w:rPr>
        <w:t>When a practice does formally close its list, the requirement is to close between three and twelve months; not less than three months. An approved closure notice must specify what the time period is.</w:t>
      </w:r>
    </w:p>
    <w:p w14:paraId="6FED1A62" w14:textId="77777777" w:rsidR="003D1FAF" w:rsidRPr="00CE0885" w:rsidRDefault="003D1FAF" w:rsidP="003D1FAF">
      <w:pPr>
        <w:spacing w:line="360" w:lineRule="auto"/>
        <w:rPr>
          <w:rFonts w:cs="Arial"/>
        </w:rPr>
      </w:pPr>
    </w:p>
    <w:p w14:paraId="761A13B7" w14:textId="71B28BEC" w:rsidR="003D1FAF" w:rsidRPr="00CE0885" w:rsidRDefault="003D1FAF" w:rsidP="000D05DA">
      <w:pPr>
        <w:pStyle w:val="Heading2"/>
        <w:rPr>
          <w:rFonts w:eastAsia="Arial"/>
        </w:rPr>
      </w:pPr>
      <w:bookmarkStart w:id="479" w:name="_Toc498495372"/>
      <w:r w:rsidRPr="00CE0885">
        <w:rPr>
          <w:rFonts w:eastAsia="Arial"/>
        </w:rPr>
        <w:t>‘Informal’ or ‘Temporary’ List closure</w:t>
      </w:r>
      <w:bookmarkEnd w:id="479"/>
    </w:p>
    <w:p w14:paraId="617345E5" w14:textId="77777777" w:rsidR="003D1FAF" w:rsidRPr="00CE0885" w:rsidRDefault="003D1FAF" w:rsidP="003D1FAF">
      <w:pPr>
        <w:spacing w:line="360" w:lineRule="auto"/>
        <w:rPr>
          <w:rFonts w:cs="Arial"/>
        </w:rPr>
      </w:pPr>
    </w:p>
    <w:p w14:paraId="16213845" w14:textId="51AF8634" w:rsidR="003D1FAF" w:rsidRPr="00CE0885" w:rsidRDefault="003D1FAF" w:rsidP="000D05DA">
      <w:pPr>
        <w:pStyle w:val="Heading3"/>
      </w:pPr>
      <w:r w:rsidRPr="000D05DA">
        <w:rPr>
          <w:rFonts w:eastAsia="Arial"/>
        </w:rPr>
        <w:t xml:space="preserve">While the GMS and PMS contracts do not allow for a ‘temporary’ or ‘informal’ list closure they do allow for a practice to refuse individual patient applications for inclusion in a contractors list of patients providing there are reasonable non-discriminatory grounds to do so (paragraph 17 of Part 2 of Schedule 6). See appendix A. In this guidance we distinguish a patient refusal on a case by case basis, based on the </w:t>
      </w:r>
      <w:r w:rsidRPr="000D05DA">
        <w:rPr>
          <w:rFonts w:eastAsia="Arial"/>
          <w:i/>
        </w:rPr>
        <w:t>patient</w:t>
      </w:r>
      <w:r w:rsidRPr="000D05DA">
        <w:rPr>
          <w:rFonts w:eastAsia="Arial"/>
        </w:rPr>
        <w:t xml:space="preserve"> circumstances, from a refusal to allow a </w:t>
      </w:r>
      <w:r w:rsidRPr="000D05DA">
        <w:rPr>
          <w:rFonts w:eastAsia="Arial"/>
        </w:rPr>
        <w:lastRenderedPageBreak/>
        <w:t xml:space="preserve">patient to join the list because of the circumstances surrounding the </w:t>
      </w:r>
      <w:r w:rsidRPr="000D05DA">
        <w:rPr>
          <w:rFonts w:eastAsia="Arial"/>
          <w:i/>
        </w:rPr>
        <w:t>provider</w:t>
      </w:r>
      <w:r w:rsidRPr="000D05DA">
        <w:rPr>
          <w:rFonts w:eastAsia="Arial"/>
        </w:rPr>
        <w:t xml:space="preserve"> and so do not consider paragraph 17 to be appropriate in these circumstances.</w:t>
      </w:r>
    </w:p>
    <w:p w14:paraId="0B388DE1" w14:textId="2BEDDBC1" w:rsidR="003D1FAF" w:rsidRPr="00CE0885" w:rsidRDefault="003D1FAF" w:rsidP="000D05DA">
      <w:pPr>
        <w:pStyle w:val="Heading3"/>
      </w:pPr>
      <w:r w:rsidRPr="000D05DA">
        <w:rPr>
          <w:rFonts w:eastAsia="Arial"/>
        </w:rPr>
        <w:t>Practices can however suffer unforeseen pressures which can reasonably be predicted to be short term. In these circumstances there may be a real or perceived risk to ‘safe patient care’ by accepting more new patients onto the list and action to address this by the practice should be received by the commissioner as a trigger for support and help</w:t>
      </w:r>
    </w:p>
    <w:p w14:paraId="55898210" w14:textId="2AE56889" w:rsidR="003D1FAF" w:rsidRPr="00CE0885" w:rsidRDefault="003D1FAF" w:rsidP="000D05DA">
      <w:pPr>
        <w:pStyle w:val="Heading3"/>
      </w:pPr>
      <w:r w:rsidRPr="000D05DA">
        <w:rPr>
          <w:rFonts w:eastAsia="Arial"/>
        </w:rPr>
        <w:t>NHS England has seen a significant rise in the number of practices suspending registration on a temporary basis causing a significant problem for patients, neighbouring practices and commissioners in some areas.</w:t>
      </w:r>
    </w:p>
    <w:p w14:paraId="62450772" w14:textId="57507D8F" w:rsidR="003D1FAF" w:rsidRPr="000D05DA" w:rsidRDefault="003D1FAF" w:rsidP="003D1FAF">
      <w:pPr>
        <w:pStyle w:val="Heading3"/>
        <w:rPr>
          <w:rFonts w:cs="Arial"/>
        </w:rPr>
      </w:pPr>
      <w:r w:rsidRPr="000D05DA">
        <w:rPr>
          <w:rFonts w:eastAsia="Arial"/>
        </w:rPr>
        <w:t>Practices do not exist in isolation so when a practice restricts new patient registration, this has an impact not only on patients, but on neighbouring practices. It is for these types of circumstances that the formal list closure</w:t>
      </w:r>
    </w:p>
    <w:p w14:paraId="0C0D3138" w14:textId="2A4ABEE5" w:rsidR="003D1FAF" w:rsidRPr="00CE0885" w:rsidRDefault="003D1FAF" w:rsidP="000D05DA">
      <w:pPr>
        <w:pStyle w:val="Heading3"/>
      </w:pPr>
      <w:r w:rsidRPr="000D05DA">
        <w:rPr>
          <w:rFonts w:eastAsia="Arial"/>
        </w:rPr>
        <w:t>procedure exists; to allow for a considered and managed approach to list management across all practices</w:t>
      </w:r>
    </w:p>
    <w:p w14:paraId="56A29422" w14:textId="44869FFB" w:rsidR="003D1FAF" w:rsidRPr="00CE0885" w:rsidRDefault="003D1FAF" w:rsidP="000D05DA">
      <w:pPr>
        <w:pStyle w:val="Heading3"/>
      </w:pPr>
      <w:r w:rsidRPr="000D05DA">
        <w:rPr>
          <w:rFonts w:eastAsia="Arial"/>
        </w:rPr>
        <w:t>Because of the potential impact of “temporary suspension” NHS England encourages practices to open a dialogue with their commissioner as early as possible when considering temporary suspension</w:t>
      </w:r>
    </w:p>
    <w:p w14:paraId="3619AF99" w14:textId="77777777" w:rsidR="003D1FAF" w:rsidRPr="00CE0885" w:rsidRDefault="003D1FAF" w:rsidP="000D05DA">
      <w:pPr>
        <w:pStyle w:val="Heading3"/>
        <w:rPr>
          <w:rFonts w:eastAsia="Arial"/>
        </w:rPr>
      </w:pPr>
      <w:r w:rsidRPr="009055A7">
        <w:rPr>
          <w:rFonts w:eastAsia="Arial"/>
        </w:rPr>
        <w:t>These guidelines fo</w:t>
      </w:r>
      <w:r w:rsidRPr="00CE0885">
        <w:rPr>
          <w:rFonts w:eastAsia="Arial"/>
        </w:rPr>
        <w:t xml:space="preserve">r commissioners, describe the circumstances where a temporary suspension by the contractor of patient registration </w:t>
      </w:r>
      <w:r w:rsidRPr="00CE0885">
        <w:rPr>
          <w:rFonts w:eastAsia="Arial"/>
          <w:i/>
        </w:rPr>
        <w:t>may</w:t>
      </w:r>
      <w:r w:rsidRPr="00CE0885">
        <w:rPr>
          <w:rFonts w:eastAsia="Arial"/>
        </w:rPr>
        <w:t xml:space="preserve"> be appropriate and the conditions that should govern that decision such that the roles and responsibilities of both parties are not compromised.</w:t>
      </w:r>
    </w:p>
    <w:p w14:paraId="127252DB" w14:textId="77777777" w:rsidR="003D1FAF" w:rsidRPr="00CE0885" w:rsidRDefault="003D1FAF" w:rsidP="003D1FAF">
      <w:pPr>
        <w:spacing w:line="360" w:lineRule="auto"/>
        <w:rPr>
          <w:rFonts w:cs="Arial"/>
        </w:rPr>
      </w:pPr>
    </w:p>
    <w:p w14:paraId="46E15FF8" w14:textId="4CBAEBFC" w:rsidR="003D1FAF" w:rsidRPr="00CE0885" w:rsidRDefault="003D1FAF" w:rsidP="000D05DA">
      <w:pPr>
        <w:pStyle w:val="Heading2"/>
        <w:rPr>
          <w:rFonts w:eastAsia="Arial"/>
        </w:rPr>
      </w:pPr>
      <w:bookmarkStart w:id="480" w:name="_Toc498495373"/>
      <w:r w:rsidRPr="00CE0885">
        <w:rPr>
          <w:rFonts w:eastAsia="Arial"/>
        </w:rPr>
        <w:t>Overview of current activity</w:t>
      </w:r>
      <w:bookmarkEnd w:id="480"/>
    </w:p>
    <w:p w14:paraId="4F2B80B7" w14:textId="77777777" w:rsidR="003D1FAF" w:rsidRPr="00CE0885" w:rsidRDefault="003D1FAF" w:rsidP="003D1FAF">
      <w:pPr>
        <w:spacing w:line="360" w:lineRule="auto"/>
        <w:rPr>
          <w:rFonts w:cs="Arial"/>
        </w:rPr>
      </w:pPr>
    </w:p>
    <w:p w14:paraId="381C9C9A" w14:textId="79951291" w:rsidR="003D1FAF" w:rsidRDefault="003D1FAF" w:rsidP="003D1FAF">
      <w:pPr>
        <w:pStyle w:val="Heading3"/>
        <w:rPr>
          <w:rFonts w:eastAsia="Arial"/>
        </w:rPr>
      </w:pPr>
      <w:r w:rsidRPr="009055A7">
        <w:rPr>
          <w:rFonts w:eastAsia="Arial"/>
        </w:rPr>
        <w:t>The increase in temporary suspension of patient registration is a symptom of rising pressure in primary care, which creates a risk to patients, neighbouring practices and the commissioner; however the risk to patie</w:t>
      </w:r>
      <w:r w:rsidRPr="00CE0885">
        <w:rPr>
          <w:rFonts w:eastAsia="Arial"/>
        </w:rPr>
        <w:t>nts being registered with an oversubscribed practice should also be taken into account.</w:t>
      </w:r>
    </w:p>
    <w:p w14:paraId="66F630B8" w14:textId="77777777" w:rsidR="004B57CD" w:rsidRDefault="004B57CD" w:rsidP="002306F3"/>
    <w:p w14:paraId="0DB8005A" w14:textId="77777777" w:rsidR="004B57CD" w:rsidRDefault="004B57CD" w:rsidP="002306F3"/>
    <w:p w14:paraId="66F239AF" w14:textId="77777777" w:rsidR="004B57CD" w:rsidRPr="004B57CD" w:rsidRDefault="004B57CD" w:rsidP="004B57CD"/>
    <w:p w14:paraId="3CB09570" w14:textId="77777777" w:rsidR="003D1FAF" w:rsidRPr="00CE0885" w:rsidRDefault="003D1FAF" w:rsidP="003D1FAF">
      <w:pPr>
        <w:spacing w:line="360" w:lineRule="auto"/>
        <w:rPr>
          <w:rFonts w:cs="Arial"/>
        </w:rPr>
      </w:pPr>
    </w:p>
    <w:p w14:paraId="5D61CD31" w14:textId="2C6241ED" w:rsidR="003D1FAF" w:rsidRPr="00CE0885" w:rsidRDefault="003D1FAF" w:rsidP="000D05DA">
      <w:pPr>
        <w:pStyle w:val="Heading2"/>
        <w:rPr>
          <w:rFonts w:eastAsia="Arial"/>
        </w:rPr>
      </w:pPr>
      <w:bookmarkStart w:id="481" w:name="_Toc498495374"/>
      <w:r w:rsidRPr="00CE0885">
        <w:rPr>
          <w:rFonts w:eastAsia="Arial"/>
        </w:rPr>
        <w:lastRenderedPageBreak/>
        <w:t>Facts/Principles</w:t>
      </w:r>
      <w:bookmarkEnd w:id="481"/>
    </w:p>
    <w:p w14:paraId="0C09B309" w14:textId="77777777" w:rsidR="003D1FAF" w:rsidRPr="00CE0885" w:rsidRDefault="003D1FAF" w:rsidP="003D1FAF">
      <w:pPr>
        <w:spacing w:line="360" w:lineRule="auto"/>
        <w:rPr>
          <w:rFonts w:cs="Arial"/>
        </w:rPr>
      </w:pPr>
    </w:p>
    <w:p w14:paraId="6B2618C3" w14:textId="77777777" w:rsidR="003D1FAF" w:rsidRPr="00CE0885" w:rsidRDefault="003D1FAF" w:rsidP="000D05DA">
      <w:pPr>
        <w:pStyle w:val="Heading3"/>
        <w:rPr>
          <w:rFonts w:eastAsia="Arial"/>
        </w:rPr>
      </w:pPr>
      <w:r w:rsidRPr="009055A7">
        <w:rPr>
          <w:rFonts w:eastAsia="Arial"/>
        </w:rPr>
        <w:t>Addressing practices seeking to ‘Informally’ or ‘Temporarily’ suspend patient registration onto their list should be in the context of the Genera</w:t>
      </w:r>
      <w:r w:rsidRPr="00CE0885">
        <w:rPr>
          <w:rFonts w:eastAsia="Arial"/>
        </w:rPr>
        <w:t>l Practice Forward</w:t>
      </w:r>
    </w:p>
    <w:p w14:paraId="663CC796" w14:textId="51AFEF0E" w:rsidR="003D1FAF" w:rsidRPr="00CE0885" w:rsidRDefault="003D1FAF" w:rsidP="000D05DA">
      <w:pPr>
        <w:pStyle w:val="Heading3"/>
      </w:pPr>
      <w:r w:rsidRPr="000D05DA">
        <w:rPr>
          <w:rFonts w:eastAsia="Arial"/>
        </w:rPr>
        <w:t>View and NHS England’s commitment to supporting practices in difficulty.</w:t>
      </w:r>
    </w:p>
    <w:p w14:paraId="561B0E3E" w14:textId="7A7883B7" w:rsidR="003D1FAF" w:rsidRPr="000D05DA" w:rsidRDefault="003D1FAF" w:rsidP="003D1FAF">
      <w:pPr>
        <w:pStyle w:val="Heading3"/>
        <w:rPr>
          <w:rFonts w:cs="Arial"/>
        </w:rPr>
      </w:pPr>
      <w:r w:rsidRPr="000D05DA">
        <w:rPr>
          <w:rFonts w:eastAsia="Arial"/>
        </w:rPr>
        <w:t>However, NHS England has a duty to ensure that patients have access to primary care.</w:t>
      </w:r>
    </w:p>
    <w:p w14:paraId="45E0479E" w14:textId="492313BF" w:rsidR="003D1FAF" w:rsidRPr="000D05DA" w:rsidRDefault="003D1FAF" w:rsidP="005A7DDA">
      <w:pPr>
        <w:pStyle w:val="ListParagraph"/>
        <w:numPr>
          <w:ilvl w:val="0"/>
          <w:numId w:val="99"/>
        </w:numPr>
        <w:tabs>
          <w:tab w:val="left" w:pos="1080"/>
        </w:tabs>
        <w:spacing w:line="360" w:lineRule="auto"/>
        <w:ind w:right="40"/>
        <w:rPr>
          <w:rFonts w:eastAsia="Symbol" w:cs="Arial"/>
        </w:rPr>
      </w:pPr>
      <w:r w:rsidRPr="000D05DA">
        <w:rPr>
          <w:rFonts w:eastAsia="Arial" w:cs="Arial"/>
        </w:rPr>
        <w:t>Core services includes operating an open list by fact of regulation and is how NHS England ensures access to services; the NHS Act confers a duty on the commissioner to ensure the provision of services</w:t>
      </w:r>
    </w:p>
    <w:p w14:paraId="4B723C27" w14:textId="42C779A6" w:rsidR="003D1FAF" w:rsidRPr="000D05DA" w:rsidRDefault="003D1FAF" w:rsidP="005A7DDA">
      <w:pPr>
        <w:pStyle w:val="ListParagraph"/>
        <w:numPr>
          <w:ilvl w:val="0"/>
          <w:numId w:val="99"/>
        </w:numPr>
        <w:tabs>
          <w:tab w:val="left" w:pos="1080"/>
        </w:tabs>
        <w:spacing w:line="360" w:lineRule="auto"/>
        <w:ind w:right="120"/>
        <w:jc w:val="both"/>
        <w:rPr>
          <w:rFonts w:eastAsia="Symbol" w:cs="Arial"/>
        </w:rPr>
      </w:pPr>
      <w:r w:rsidRPr="000D05DA">
        <w:rPr>
          <w:rFonts w:eastAsia="Arial" w:cs="Arial"/>
        </w:rPr>
        <w:t>Any actions considered by the commissioner should ensure, system wide, safe, quality and accessible core services to patients and be proportionate and sensitive to the providers concerned.</w:t>
      </w:r>
    </w:p>
    <w:p w14:paraId="1134E264" w14:textId="4411F2BC" w:rsidR="003D1FAF" w:rsidRPr="000D05DA" w:rsidRDefault="003D1FAF" w:rsidP="005A7DDA">
      <w:pPr>
        <w:pStyle w:val="ListParagraph"/>
        <w:numPr>
          <w:ilvl w:val="0"/>
          <w:numId w:val="99"/>
        </w:numPr>
        <w:tabs>
          <w:tab w:val="left" w:pos="1080"/>
        </w:tabs>
        <w:spacing w:line="360" w:lineRule="auto"/>
        <w:ind w:right="720"/>
        <w:jc w:val="both"/>
        <w:rPr>
          <w:rFonts w:eastAsia="Symbol" w:cs="Arial"/>
        </w:rPr>
      </w:pPr>
      <w:r w:rsidRPr="000D05DA">
        <w:rPr>
          <w:rFonts w:eastAsia="Arial" w:cs="Arial"/>
        </w:rPr>
        <w:t>NHS England and CCGs as Commissioners have a responsibility to address health inequalities</w:t>
      </w:r>
    </w:p>
    <w:p w14:paraId="3A1286D7" w14:textId="0AA2020A" w:rsidR="003D1FAF" w:rsidRPr="000D05DA" w:rsidRDefault="003D1FAF" w:rsidP="005A7DDA">
      <w:pPr>
        <w:pStyle w:val="ListParagraph"/>
        <w:numPr>
          <w:ilvl w:val="0"/>
          <w:numId w:val="99"/>
        </w:numPr>
        <w:tabs>
          <w:tab w:val="left" w:pos="1080"/>
        </w:tabs>
        <w:spacing w:line="360" w:lineRule="auto"/>
        <w:ind w:right="340"/>
        <w:rPr>
          <w:rFonts w:eastAsia="Symbol" w:cs="Arial"/>
        </w:rPr>
      </w:pPr>
      <w:r w:rsidRPr="000D05DA">
        <w:rPr>
          <w:rFonts w:eastAsia="Arial" w:cs="Arial"/>
        </w:rPr>
        <w:t>Commissioners and providers must work together to ensure compliance with the Equality Act, ensuring the rights of those with protected characteristics are not directly or indirectly compromised.</w:t>
      </w:r>
    </w:p>
    <w:p w14:paraId="67032173" w14:textId="1686EE89" w:rsidR="003D1FAF" w:rsidRPr="000D05DA" w:rsidRDefault="003D1FAF" w:rsidP="005A7DDA">
      <w:pPr>
        <w:pStyle w:val="ListParagraph"/>
        <w:numPr>
          <w:ilvl w:val="0"/>
          <w:numId w:val="99"/>
        </w:numPr>
        <w:tabs>
          <w:tab w:val="left" w:pos="1080"/>
        </w:tabs>
        <w:spacing w:line="360" w:lineRule="auto"/>
        <w:ind w:right="460"/>
        <w:jc w:val="both"/>
        <w:rPr>
          <w:rFonts w:eastAsia="Symbol" w:cs="Arial"/>
        </w:rPr>
      </w:pPr>
      <w:r w:rsidRPr="000D05DA">
        <w:rPr>
          <w:rFonts w:eastAsia="Arial" w:cs="Arial"/>
        </w:rPr>
        <w:t xml:space="preserve">Good medical practice states that if a GP is aware that </w:t>
      </w:r>
      <w:r w:rsidRPr="000D05DA">
        <w:rPr>
          <w:rFonts w:eastAsia="Arial" w:cs="Arial"/>
          <w:u w:val="single"/>
        </w:rPr>
        <w:t>patient safety</w:t>
      </w:r>
      <w:r w:rsidRPr="000D05DA">
        <w:rPr>
          <w:rFonts w:eastAsia="Arial" w:cs="Arial"/>
        </w:rPr>
        <w:t xml:space="preserve"> is being compromised, then they have a professional duty to act</w:t>
      </w:r>
    </w:p>
    <w:p w14:paraId="4928D9BD" w14:textId="19BB030A" w:rsidR="003D1FAF" w:rsidRPr="000D05DA" w:rsidRDefault="003D1FAF" w:rsidP="005A7DDA">
      <w:pPr>
        <w:pStyle w:val="ListParagraph"/>
        <w:numPr>
          <w:ilvl w:val="0"/>
          <w:numId w:val="99"/>
        </w:numPr>
        <w:tabs>
          <w:tab w:val="left" w:pos="1080"/>
        </w:tabs>
        <w:spacing w:line="360" w:lineRule="auto"/>
        <w:ind w:right="120"/>
        <w:rPr>
          <w:rFonts w:cs="Arial"/>
        </w:rPr>
      </w:pPr>
      <w:r w:rsidRPr="000D05DA">
        <w:rPr>
          <w:rFonts w:eastAsia="Arial" w:cs="Arial"/>
        </w:rPr>
        <w:t>The unintended impact of any action needs to be considered in relation to both registered patients and unregistered patients in the locality as well as the impact on other local providers both primary (GP and pharmacy) and secondary care</w:t>
      </w:r>
    </w:p>
    <w:p w14:paraId="3F35FD61" w14:textId="77777777" w:rsidR="003D1FAF" w:rsidRPr="00CE0885" w:rsidRDefault="003D1FAF" w:rsidP="000D05DA">
      <w:pPr>
        <w:pStyle w:val="Heading3"/>
        <w:rPr>
          <w:rFonts w:eastAsia="Symbol"/>
        </w:rPr>
      </w:pPr>
      <w:r w:rsidRPr="009055A7">
        <w:rPr>
          <w:rFonts w:eastAsia="Arial"/>
        </w:rPr>
        <w:t>The commissioner has the right to</w:t>
      </w:r>
      <w:r w:rsidRPr="00CE0885">
        <w:rPr>
          <w:rFonts w:eastAsia="Arial"/>
        </w:rPr>
        <w:t xml:space="preserve"> assign patients throughout the period that the list is not formally closed having due regard to the quality and safety of services and the reasons behind the list closure in the first place</w:t>
      </w:r>
    </w:p>
    <w:p w14:paraId="1546444A" w14:textId="77777777" w:rsidR="003D1FAF" w:rsidRPr="00CE0885" w:rsidRDefault="003D1FAF" w:rsidP="003D1FAF">
      <w:pPr>
        <w:spacing w:line="360" w:lineRule="auto"/>
        <w:rPr>
          <w:rFonts w:eastAsia="Symbol" w:cs="Arial"/>
        </w:rPr>
      </w:pPr>
    </w:p>
    <w:p w14:paraId="4A8207F3" w14:textId="293006F0" w:rsidR="003D1FAF" w:rsidRDefault="003D1FAF" w:rsidP="003D1FAF">
      <w:pPr>
        <w:pStyle w:val="Heading2"/>
        <w:rPr>
          <w:rFonts w:eastAsia="Arial"/>
        </w:rPr>
      </w:pPr>
      <w:bookmarkStart w:id="482" w:name="_Toc498495375"/>
      <w:r w:rsidRPr="000D05DA">
        <w:rPr>
          <w:rFonts w:eastAsia="Arial"/>
        </w:rPr>
        <w:t>Issues to be taken into consideration</w:t>
      </w:r>
      <w:bookmarkEnd w:id="482"/>
    </w:p>
    <w:p w14:paraId="3286F0A4" w14:textId="77777777" w:rsidR="000D05DA" w:rsidRPr="000D05DA" w:rsidRDefault="000D05DA" w:rsidP="000D05DA"/>
    <w:p w14:paraId="027CF8A8" w14:textId="3C2C1D44" w:rsidR="003D1FAF" w:rsidRPr="000D05DA" w:rsidRDefault="003D1FAF" w:rsidP="003D1FAF">
      <w:pPr>
        <w:pStyle w:val="Heading3"/>
        <w:rPr>
          <w:rFonts w:cs="Arial"/>
        </w:rPr>
      </w:pPr>
      <w:r w:rsidRPr="000D05DA">
        <w:rPr>
          <w:rFonts w:eastAsia="Arial"/>
        </w:rPr>
        <w:t>NHS England acknowledges that things can rapidly change within practices. These may include for example;</w:t>
      </w:r>
    </w:p>
    <w:p w14:paraId="53798602" w14:textId="4A23727D" w:rsidR="003D1FAF" w:rsidRPr="000D05DA" w:rsidRDefault="003D1FAF" w:rsidP="005A7DDA">
      <w:pPr>
        <w:pStyle w:val="ListParagraph"/>
        <w:numPr>
          <w:ilvl w:val="0"/>
          <w:numId w:val="100"/>
        </w:numPr>
        <w:tabs>
          <w:tab w:val="left" w:pos="1081"/>
        </w:tabs>
        <w:spacing w:before="120" w:after="120" w:line="360" w:lineRule="auto"/>
        <w:ind w:left="714" w:right="740" w:hanging="357"/>
        <w:jc w:val="both"/>
        <w:rPr>
          <w:rFonts w:eastAsia="Symbol" w:cs="Arial"/>
        </w:rPr>
      </w:pPr>
      <w:r w:rsidRPr="000D05DA">
        <w:rPr>
          <w:rFonts w:eastAsia="Arial" w:cs="Arial"/>
        </w:rPr>
        <w:lastRenderedPageBreak/>
        <w:t>An immediate and unpredicted shortfall in the availability of staff e.g. through sickness or a delay to a staff appointment</w:t>
      </w:r>
    </w:p>
    <w:p w14:paraId="1F66EA88" w14:textId="5869551C" w:rsidR="003D1FAF" w:rsidRPr="000D05DA" w:rsidRDefault="003D1FAF" w:rsidP="005A7DDA">
      <w:pPr>
        <w:pStyle w:val="ListParagraph"/>
        <w:numPr>
          <w:ilvl w:val="0"/>
          <w:numId w:val="100"/>
        </w:numPr>
        <w:tabs>
          <w:tab w:val="left" w:pos="1081"/>
        </w:tabs>
        <w:spacing w:before="120" w:after="120" w:line="360" w:lineRule="auto"/>
        <w:ind w:left="714" w:hanging="357"/>
        <w:jc w:val="both"/>
        <w:rPr>
          <w:rFonts w:eastAsia="Symbol" w:cs="Arial"/>
        </w:rPr>
      </w:pPr>
      <w:r w:rsidRPr="000D05DA">
        <w:rPr>
          <w:rFonts w:eastAsia="Arial" w:cs="Arial"/>
        </w:rPr>
        <w:t>An unpredicted surge in demand</w:t>
      </w:r>
    </w:p>
    <w:p w14:paraId="18A0A36E" w14:textId="00B62896" w:rsidR="003D1FAF" w:rsidRPr="000D05DA" w:rsidRDefault="003D1FAF" w:rsidP="005A7DDA">
      <w:pPr>
        <w:pStyle w:val="ListParagraph"/>
        <w:numPr>
          <w:ilvl w:val="0"/>
          <w:numId w:val="100"/>
        </w:numPr>
        <w:tabs>
          <w:tab w:val="left" w:pos="1081"/>
        </w:tabs>
        <w:spacing w:before="120" w:after="120" w:line="360" w:lineRule="auto"/>
        <w:ind w:left="714" w:right="420" w:hanging="357"/>
        <w:rPr>
          <w:rFonts w:eastAsia="Symbol" w:cs="Arial"/>
        </w:rPr>
      </w:pPr>
      <w:r w:rsidRPr="000D05DA">
        <w:rPr>
          <w:rFonts w:eastAsia="Arial" w:cs="Arial"/>
        </w:rPr>
        <w:t>An unexpected event affecting a practices ability in the short term to provide the full range of services normally available e.g. a flood or a fire (See Force Majeure provisions of the standard GMS, PMS and APMS contracts).</w:t>
      </w:r>
    </w:p>
    <w:p w14:paraId="576D4E3C" w14:textId="197E303F" w:rsidR="003D1FAF" w:rsidRPr="00CE0885" w:rsidRDefault="003D1FAF" w:rsidP="005A7DDA">
      <w:pPr>
        <w:pStyle w:val="ListParagraph"/>
        <w:numPr>
          <w:ilvl w:val="0"/>
          <w:numId w:val="100"/>
        </w:numPr>
        <w:tabs>
          <w:tab w:val="left" w:pos="1081"/>
        </w:tabs>
        <w:spacing w:before="120" w:after="120" w:line="360" w:lineRule="auto"/>
        <w:ind w:left="714" w:right="320" w:hanging="357"/>
        <w:jc w:val="both"/>
      </w:pPr>
      <w:r w:rsidRPr="000D05DA">
        <w:rPr>
          <w:rFonts w:eastAsia="Arial" w:cs="Arial"/>
        </w:rPr>
        <w:t>Impact on a practice of an unfavourable CQC inspection where remedial action temporarily affects normal service provision</w:t>
      </w:r>
    </w:p>
    <w:p w14:paraId="3B1004BF" w14:textId="6C82A84E" w:rsidR="003D1FAF" w:rsidRPr="00CE0885" w:rsidRDefault="003D1FAF" w:rsidP="000D05DA">
      <w:pPr>
        <w:pStyle w:val="Heading3"/>
      </w:pPr>
      <w:r w:rsidRPr="000D05DA">
        <w:rPr>
          <w:rFonts w:eastAsia="Arial"/>
        </w:rPr>
        <w:t>In some circumstances the action required to remedy a problem may take several months and in others just a few weeks for example, a planned short term suspension of registration as part of a recovery plan through the vulnerable practice programme. Alternatively, practice capacity may be temporarily compromised by premises development or IT upgrades. Under these circumstances it would be usual to expect planning and communication with patients in advance with a specific start and end date and disruption measured in weeks not months</w:t>
      </w:r>
    </w:p>
    <w:p w14:paraId="5027D5CB" w14:textId="3B1B69C8" w:rsidR="003D1FAF" w:rsidRPr="00CE0885" w:rsidRDefault="003D1FAF" w:rsidP="000D05DA">
      <w:pPr>
        <w:pStyle w:val="Heading3"/>
      </w:pPr>
      <w:r w:rsidRPr="000D05DA">
        <w:rPr>
          <w:rFonts w:eastAsia="Arial"/>
        </w:rPr>
        <w:t>In all but exceptional circumstances Practices should approach the commissioner in advance so that an action plan that minimises the impact on patients can be considered jointly at the earliest opportunity and so that immediate support from the commissioner can be put into action. A request to temporarily suspend patient registration should be considered by the commissioner as a trigger for support as it should for a formal application to close the list</w:t>
      </w:r>
    </w:p>
    <w:p w14:paraId="28E59710" w14:textId="2147F98D" w:rsidR="003D1FAF" w:rsidRPr="00CE0885" w:rsidRDefault="003D1FAF" w:rsidP="000D05DA">
      <w:pPr>
        <w:pStyle w:val="Heading3"/>
      </w:pPr>
      <w:r w:rsidRPr="000D05DA">
        <w:rPr>
          <w:rFonts w:eastAsia="Arial"/>
        </w:rPr>
        <w:t>This guidance does not prescribe what length of time an approval of a temporary list suspension is appropriate as this will vary depending on the circumstances. The key words are unpredictable and/or short term. In circumstances where there is a known history of difficulty in recruitment including the availability of locums or the circumstances affecting the practice can be predicted to last longer e.g. a planned refurbishment or a rebuilding programme scheduled to last month’s say following a flood or a fire, the formal list closure procedure should be encouraged.</w:t>
      </w:r>
    </w:p>
    <w:p w14:paraId="0AE10407" w14:textId="77777777" w:rsidR="003D1FAF" w:rsidRPr="009055A7" w:rsidRDefault="003D1FAF" w:rsidP="000D05DA">
      <w:pPr>
        <w:pStyle w:val="Heading3"/>
        <w:rPr>
          <w:rFonts w:eastAsia="Arial"/>
        </w:rPr>
      </w:pPr>
      <w:r w:rsidRPr="009055A7">
        <w:rPr>
          <w:rFonts w:eastAsia="Arial"/>
        </w:rPr>
        <w:lastRenderedPageBreak/>
        <w:t>In both cases the practice’s eligibility for support through the Practice Resilience</w:t>
      </w:r>
    </w:p>
    <w:p w14:paraId="75643165" w14:textId="77777777" w:rsidR="003D1FAF" w:rsidRPr="00CE0885" w:rsidRDefault="003D1FAF" w:rsidP="000D05DA">
      <w:pPr>
        <w:pStyle w:val="Heading3"/>
        <w:rPr>
          <w:rFonts w:eastAsia="Arial"/>
        </w:rPr>
      </w:pPr>
      <w:r w:rsidRPr="00CE0885">
        <w:rPr>
          <w:rFonts w:eastAsia="Arial"/>
        </w:rPr>
        <w:t>Programme should be considered by the commissioner.</w:t>
      </w:r>
    </w:p>
    <w:p w14:paraId="1279107A" w14:textId="77777777" w:rsidR="003D1FAF" w:rsidRPr="00CE0885" w:rsidRDefault="003D1FAF" w:rsidP="003D1FAF">
      <w:pPr>
        <w:spacing w:line="360" w:lineRule="auto"/>
        <w:rPr>
          <w:rFonts w:cs="Arial"/>
        </w:rPr>
      </w:pPr>
    </w:p>
    <w:p w14:paraId="35654EDC" w14:textId="2F2E5BD1" w:rsidR="003D1FAF" w:rsidRPr="00CE0885" w:rsidRDefault="003D1FAF" w:rsidP="000D05DA">
      <w:pPr>
        <w:pStyle w:val="Heading2"/>
        <w:rPr>
          <w:rFonts w:eastAsia="Arial"/>
        </w:rPr>
      </w:pPr>
      <w:bookmarkStart w:id="483" w:name="_Toc498495376"/>
      <w:r w:rsidRPr="00CE0885">
        <w:rPr>
          <w:rFonts w:eastAsia="Arial"/>
        </w:rPr>
        <w:t>Process to be adopted</w:t>
      </w:r>
      <w:bookmarkEnd w:id="483"/>
    </w:p>
    <w:p w14:paraId="0A8F1F99" w14:textId="77777777" w:rsidR="003D1FAF" w:rsidRPr="00CE0885" w:rsidRDefault="003D1FAF" w:rsidP="003D1FAF">
      <w:pPr>
        <w:spacing w:line="360" w:lineRule="auto"/>
        <w:rPr>
          <w:rFonts w:cs="Arial"/>
        </w:rPr>
      </w:pPr>
    </w:p>
    <w:p w14:paraId="2FBBE39C" w14:textId="77777777" w:rsidR="003D1FAF" w:rsidRPr="00CE0885" w:rsidRDefault="003D1FAF" w:rsidP="000D05DA">
      <w:pPr>
        <w:pStyle w:val="Heading3"/>
        <w:rPr>
          <w:rFonts w:eastAsia="Arial"/>
        </w:rPr>
      </w:pPr>
      <w:r w:rsidRPr="009055A7">
        <w:rPr>
          <w:rFonts w:eastAsia="Arial"/>
        </w:rPr>
        <w:t>All practices should be encouraged to contact their commissioner at the earliest possible opportunity i.e. at the point that suspension to registration is being considered so that the provider and commissioner can work toge</w:t>
      </w:r>
      <w:r w:rsidRPr="00CE0885">
        <w:rPr>
          <w:rFonts w:eastAsia="Arial"/>
        </w:rPr>
        <w:t>ther to agree what support is required.</w:t>
      </w:r>
    </w:p>
    <w:p w14:paraId="5617A5E5" w14:textId="77777777" w:rsidR="003D1FAF" w:rsidRPr="00CE0885" w:rsidRDefault="003D1FAF" w:rsidP="003D1FAF">
      <w:pPr>
        <w:spacing w:line="360" w:lineRule="auto"/>
        <w:rPr>
          <w:rFonts w:cs="Arial"/>
        </w:rPr>
      </w:pPr>
    </w:p>
    <w:p w14:paraId="279786AE" w14:textId="150E19EC" w:rsidR="003D1FAF" w:rsidRPr="004B57CD" w:rsidRDefault="003D1FAF" w:rsidP="003D1FAF">
      <w:pPr>
        <w:pStyle w:val="Heading3"/>
        <w:rPr>
          <w:rFonts w:eastAsia="Arial"/>
        </w:rPr>
      </w:pPr>
      <w:r w:rsidRPr="009055A7">
        <w:rPr>
          <w:rFonts w:eastAsia="Arial"/>
        </w:rPr>
        <w:t>At this point commissioners should</w:t>
      </w:r>
    </w:p>
    <w:p w14:paraId="28958974" w14:textId="2E8F3C5B" w:rsidR="003D1FAF" w:rsidRPr="004B57CD" w:rsidRDefault="003D1FAF" w:rsidP="005A7DDA">
      <w:pPr>
        <w:pStyle w:val="ListParagraph"/>
        <w:numPr>
          <w:ilvl w:val="0"/>
          <w:numId w:val="101"/>
        </w:numPr>
        <w:tabs>
          <w:tab w:val="left" w:pos="1440"/>
        </w:tabs>
        <w:spacing w:line="360" w:lineRule="auto"/>
        <w:jc w:val="both"/>
        <w:rPr>
          <w:rFonts w:eastAsia="Symbol" w:cs="Arial"/>
        </w:rPr>
      </w:pPr>
      <w:r w:rsidRPr="000D05DA">
        <w:rPr>
          <w:rFonts w:eastAsia="Arial" w:cs="Arial"/>
        </w:rPr>
        <w:t>seek to understand the reasons behind the action</w:t>
      </w:r>
    </w:p>
    <w:p w14:paraId="6BDC7618" w14:textId="39F1C3D3" w:rsidR="003D1FAF" w:rsidRPr="004B57CD" w:rsidRDefault="003D1FAF" w:rsidP="005A7DDA">
      <w:pPr>
        <w:pStyle w:val="ListParagraph"/>
        <w:numPr>
          <w:ilvl w:val="0"/>
          <w:numId w:val="101"/>
        </w:numPr>
        <w:tabs>
          <w:tab w:val="left" w:pos="1440"/>
        </w:tabs>
        <w:spacing w:line="360" w:lineRule="auto"/>
        <w:ind w:right="460"/>
        <w:jc w:val="both"/>
        <w:rPr>
          <w:rFonts w:eastAsia="Symbol" w:cs="Arial"/>
        </w:rPr>
      </w:pPr>
      <w:r w:rsidRPr="000D05DA">
        <w:rPr>
          <w:rFonts w:eastAsia="Arial" w:cs="Arial"/>
        </w:rPr>
        <w:t>engage the LMC at the time of a decision as the LMC also carries a responsibility for representing all their affected parties</w:t>
      </w:r>
    </w:p>
    <w:p w14:paraId="03AB7713" w14:textId="77777777" w:rsidR="003D1FAF" w:rsidRPr="000D05DA" w:rsidRDefault="003D1FAF" w:rsidP="005A7DDA">
      <w:pPr>
        <w:pStyle w:val="ListParagraph"/>
        <w:numPr>
          <w:ilvl w:val="0"/>
          <w:numId w:val="101"/>
        </w:numPr>
        <w:tabs>
          <w:tab w:val="left" w:pos="1440"/>
        </w:tabs>
        <w:spacing w:line="360" w:lineRule="auto"/>
        <w:ind w:right="140"/>
        <w:rPr>
          <w:rFonts w:eastAsia="Symbol" w:cs="Arial"/>
        </w:rPr>
      </w:pPr>
      <w:r w:rsidRPr="000D05DA">
        <w:rPr>
          <w:rFonts w:eastAsia="Arial" w:cs="Arial"/>
        </w:rPr>
        <w:t>Facilitate what action needs to take place by the practice and/or by the commissioner for the list to be re-opened. If actions can reasonably be expected to take longer than 3 months then the Practice should be asked to make a formal application to close its list.</w:t>
      </w:r>
    </w:p>
    <w:p w14:paraId="6403CD38" w14:textId="77777777" w:rsidR="003D1FAF" w:rsidRPr="00CE0885" w:rsidRDefault="003D1FAF" w:rsidP="003D1FAF">
      <w:pPr>
        <w:spacing w:line="360" w:lineRule="auto"/>
        <w:rPr>
          <w:rFonts w:cs="Arial"/>
        </w:rPr>
      </w:pPr>
    </w:p>
    <w:p w14:paraId="66D1F881" w14:textId="253BA4C9" w:rsidR="003D1FAF" w:rsidRPr="00CE0885" w:rsidRDefault="003D1FAF" w:rsidP="000D05DA">
      <w:pPr>
        <w:pStyle w:val="Heading3"/>
      </w:pPr>
      <w:r w:rsidRPr="000D05DA">
        <w:rPr>
          <w:rFonts w:eastAsia="Arial"/>
        </w:rPr>
        <w:t>Actions should trigger consideration of the practice resilience programme or use of section 96 e.g. a diagnostic/review of the difficulties faced and recommended action</w:t>
      </w:r>
    </w:p>
    <w:p w14:paraId="0643C624" w14:textId="773FF463" w:rsidR="003D1FAF" w:rsidRPr="004B57CD" w:rsidRDefault="003D1FAF" w:rsidP="003D1FAF">
      <w:pPr>
        <w:pStyle w:val="Heading3"/>
        <w:rPr>
          <w:rFonts w:eastAsia="Arial"/>
        </w:rPr>
      </w:pPr>
      <w:r w:rsidRPr="009055A7">
        <w:rPr>
          <w:rFonts w:eastAsia="Arial"/>
        </w:rPr>
        <w:t>At the end of the agreed period where temporary suspension of patient registra</w:t>
      </w:r>
      <w:r w:rsidRPr="00CE0885">
        <w:rPr>
          <w:rFonts w:eastAsia="Arial"/>
        </w:rPr>
        <w:t>tion has occurred, the list would normally re-open. There are only two alternative outcomes;</w:t>
      </w:r>
    </w:p>
    <w:p w14:paraId="4BFD2609" w14:textId="404CB711" w:rsidR="003D1FAF" w:rsidRPr="004B57CD" w:rsidRDefault="003D1FAF" w:rsidP="005A7DDA">
      <w:pPr>
        <w:pStyle w:val="ListParagraph"/>
        <w:numPr>
          <w:ilvl w:val="0"/>
          <w:numId w:val="102"/>
        </w:numPr>
        <w:tabs>
          <w:tab w:val="left" w:pos="1080"/>
        </w:tabs>
        <w:spacing w:line="360" w:lineRule="auto"/>
        <w:ind w:right="400"/>
        <w:jc w:val="both"/>
        <w:rPr>
          <w:rFonts w:eastAsia="Arial" w:cs="Arial"/>
        </w:rPr>
      </w:pPr>
      <w:r w:rsidRPr="000D05DA">
        <w:rPr>
          <w:rFonts w:eastAsia="Arial" w:cs="Arial"/>
        </w:rPr>
        <w:t>If the situation is almost resolved for example an appointment has been made but the post not yet filled (for example by a week or two later) an extension to the temporary arrangement can be negotiated</w:t>
      </w:r>
    </w:p>
    <w:p w14:paraId="49A91663" w14:textId="77777777" w:rsidR="003D1FAF" w:rsidRPr="000D05DA" w:rsidRDefault="003D1FAF" w:rsidP="005A7DDA">
      <w:pPr>
        <w:pStyle w:val="ListParagraph"/>
        <w:numPr>
          <w:ilvl w:val="0"/>
          <w:numId w:val="102"/>
        </w:numPr>
        <w:tabs>
          <w:tab w:val="left" w:pos="1080"/>
        </w:tabs>
        <w:spacing w:line="360" w:lineRule="auto"/>
        <w:ind w:right="260"/>
        <w:rPr>
          <w:rFonts w:eastAsia="Arial" w:cs="Arial"/>
        </w:rPr>
      </w:pPr>
      <w:r w:rsidRPr="000D05DA">
        <w:rPr>
          <w:rFonts w:eastAsia="Arial" w:cs="Arial"/>
        </w:rPr>
        <w:t xml:space="preserve">Despite support to deliver an action plan the practice continues to feel compromised. The commissioner should then consider an application for formal list closure, which will require wider consultation. The parties will need to agree the status of the practice list during the formal process, </w:t>
      </w:r>
      <w:r w:rsidRPr="000D05DA">
        <w:rPr>
          <w:rFonts w:eastAsia="Arial" w:cs="Arial"/>
        </w:rPr>
        <w:lastRenderedPageBreak/>
        <w:t>whether, having regard to all local circumstances, the practice should continue to operate a temporary suspension to patient registration.</w:t>
      </w:r>
    </w:p>
    <w:p w14:paraId="76CCBC1D" w14:textId="77777777" w:rsidR="003D1FAF" w:rsidRPr="00CE0885" w:rsidRDefault="003D1FAF" w:rsidP="003D1FAF">
      <w:pPr>
        <w:spacing w:line="360" w:lineRule="auto"/>
        <w:rPr>
          <w:rFonts w:cs="Arial"/>
        </w:rPr>
      </w:pPr>
    </w:p>
    <w:p w14:paraId="275990CF" w14:textId="77777777" w:rsidR="003D1FAF" w:rsidRPr="00CE0885" w:rsidRDefault="003D1FAF" w:rsidP="000D05DA">
      <w:pPr>
        <w:pStyle w:val="Heading3"/>
        <w:rPr>
          <w:rFonts w:eastAsia="Arial"/>
        </w:rPr>
      </w:pPr>
      <w:r w:rsidRPr="009055A7">
        <w:rPr>
          <w:rFonts w:eastAsia="Arial"/>
        </w:rPr>
        <w:t xml:space="preserve">These guidelines have been drafted in </w:t>
      </w:r>
      <w:r w:rsidRPr="00CE0885">
        <w:rPr>
          <w:rFonts w:eastAsia="Arial"/>
        </w:rPr>
        <w:t>recognition of the immediate pressures facing some practices; they do not however sanction the term ‘open but full’. Where a practice is failing to engage with the commissioner, and unilaterally seeking to determine its own restrictions on patient access, without consideration of the impact on patient access generally or the implications for neighbouring practices, then contractual action may need to be considered</w:t>
      </w:r>
    </w:p>
    <w:p w14:paraId="3378975F" w14:textId="6D8C45A4" w:rsidR="003D1FAF" w:rsidRPr="00CE0885" w:rsidRDefault="000D05DA" w:rsidP="000D05DA">
      <w:pPr>
        <w:pStyle w:val="Heading2"/>
        <w:rPr>
          <w:rFonts w:eastAsia="Arial"/>
        </w:rPr>
      </w:pPr>
      <w:r>
        <w:rPr>
          <w:rFonts w:eastAsia="Arial"/>
        </w:rPr>
        <w:br w:type="page"/>
      </w:r>
      <w:bookmarkStart w:id="484" w:name="_Toc498495377"/>
      <w:r w:rsidR="003D1FAF" w:rsidRPr="00CE0885">
        <w:rPr>
          <w:rFonts w:eastAsia="Arial"/>
        </w:rPr>
        <w:lastRenderedPageBreak/>
        <w:t>Appendix A; paragraph 17 of Part 2 of Schedule 6</w:t>
      </w:r>
      <w:bookmarkEnd w:id="484"/>
    </w:p>
    <w:p w14:paraId="3453F852" w14:textId="77777777" w:rsidR="003D1FAF" w:rsidRPr="00CE0885" w:rsidRDefault="003D1FAF" w:rsidP="003D1FAF">
      <w:pPr>
        <w:spacing w:line="360" w:lineRule="auto"/>
        <w:rPr>
          <w:rFonts w:cs="Arial"/>
        </w:rPr>
      </w:pPr>
    </w:p>
    <w:p w14:paraId="146A2F58" w14:textId="77777777" w:rsidR="003D1FAF" w:rsidRPr="00CE0885" w:rsidRDefault="003D1FAF" w:rsidP="003D1FAF">
      <w:pPr>
        <w:spacing w:line="360" w:lineRule="auto"/>
        <w:ind w:left="240" w:right="400"/>
        <w:rPr>
          <w:rFonts w:eastAsia="Arial" w:cs="Arial"/>
          <w:b/>
          <w:sz w:val="28"/>
        </w:rPr>
      </w:pPr>
      <w:r w:rsidRPr="00CE0885">
        <w:rPr>
          <w:rFonts w:eastAsia="Arial" w:cs="Arial"/>
          <w:b/>
          <w:sz w:val="28"/>
        </w:rPr>
        <w:t>Refusal of applications for inclusion in the list of patients or for acceptance as a temporary resident</w:t>
      </w:r>
    </w:p>
    <w:p w14:paraId="48A6F65F" w14:textId="77777777" w:rsidR="003D1FAF" w:rsidRPr="00CE0885" w:rsidRDefault="003D1FAF" w:rsidP="003D1FAF">
      <w:pPr>
        <w:spacing w:line="360" w:lineRule="auto"/>
        <w:rPr>
          <w:rFonts w:cs="Arial"/>
        </w:rPr>
      </w:pPr>
    </w:p>
    <w:p w14:paraId="48466537" w14:textId="77777777" w:rsidR="003D1FAF" w:rsidRPr="00CE0885" w:rsidRDefault="003D1FAF" w:rsidP="003D1FAF">
      <w:pPr>
        <w:spacing w:line="360" w:lineRule="auto"/>
        <w:rPr>
          <w:rFonts w:cs="Arial"/>
        </w:rPr>
      </w:pPr>
    </w:p>
    <w:p w14:paraId="4FA5CC7E" w14:textId="77777777" w:rsidR="003D1FAF" w:rsidRPr="00CE0885" w:rsidRDefault="003D1FAF" w:rsidP="003D1FAF">
      <w:pPr>
        <w:spacing w:line="360" w:lineRule="auto"/>
        <w:rPr>
          <w:rFonts w:eastAsia="Arial" w:cs="Arial"/>
        </w:rPr>
      </w:pPr>
      <w:r w:rsidRPr="00CE0885">
        <w:rPr>
          <w:rFonts w:eastAsia="Arial" w:cs="Arial"/>
          <w:b/>
        </w:rPr>
        <w:t>17.</w:t>
      </w:r>
      <w:r w:rsidRPr="00CE0885">
        <w:rPr>
          <w:rFonts w:eastAsia="Arial" w:cs="Arial"/>
        </w:rPr>
        <w:t>—(1) The contractor shall only refuse an application made under paragraph 15 or</w:t>
      </w:r>
    </w:p>
    <w:p w14:paraId="26A2CBA0" w14:textId="77777777" w:rsidR="003D1FAF" w:rsidRPr="00CE0885" w:rsidRDefault="003D1FAF" w:rsidP="003D1FAF">
      <w:pPr>
        <w:spacing w:line="360" w:lineRule="auto"/>
        <w:rPr>
          <w:rFonts w:cs="Arial"/>
        </w:rPr>
      </w:pPr>
    </w:p>
    <w:p w14:paraId="4E6A8866" w14:textId="77777777" w:rsidR="003D1FAF" w:rsidRPr="00CE0885" w:rsidRDefault="003D1FAF" w:rsidP="003D1FAF">
      <w:pPr>
        <w:spacing w:line="360" w:lineRule="auto"/>
        <w:jc w:val="both"/>
        <w:rPr>
          <w:rFonts w:eastAsia="Arial" w:cs="Arial"/>
        </w:rPr>
      </w:pPr>
      <w:r w:rsidRPr="00CE0885">
        <w:rPr>
          <w:rFonts w:eastAsia="Arial" w:cs="Arial"/>
        </w:rPr>
        <w:t>16 if it has reasonable grounds for doing so which do not relate to the applicant’s race, gender, social class, age, religion, sexual orientation, appearance, disability or medical condition.</w:t>
      </w:r>
    </w:p>
    <w:p w14:paraId="67FF91A3" w14:textId="77777777" w:rsidR="003D1FAF" w:rsidRPr="00CE0885" w:rsidRDefault="003D1FAF" w:rsidP="003D1FAF">
      <w:pPr>
        <w:spacing w:line="360" w:lineRule="auto"/>
        <w:rPr>
          <w:rFonts w:cs="Arial"/>
        </w:rPr>
      </w:pPr>
    </w:p>
    <w:p w14:paraId="5282F939" w14:textId="77777777" w:rsidR="003D1FAF" w:rsidRPr="00CE0885" w:rsidRDefault="003D1FAF" w:rsidP="00836ECF">
      <w:pPr>
        <w:numPr>
          <w:ilvl w:val="0"/>
          <w:numId w:val="6"/>
        </w:numPr>
        <w:tabs>
          <w:tab w:val="left" w:pos="840"/>
        </w:tabs>
        <w:spacing w:line="360" w:lineRule="auto"/>
        <w:ind w:left="240" w:firstLine="239"/>
        <w:jc w:val="both"/>
        <w:rPr>
          <w:rFonts w:eastAsia="Arial" w:cs="Arial"/>
        </w:rPr>
      </w:pPr>
      <w:r w:rsidRPr="00CE0885">
        <w:rPr>
          <w:rFonts w:eastAsia="Arial" w:cs="Arial"/>
        </w:rPr>
        <w:t>The reasonable grounds referred to in paragraph (1) shall, in the case of applications made under paragraph 15, include the ground that the applicant does not live in the contractor’s practice area.</w:t>
      </w:r>
    </w:p>
    <w:p w14:paraId="059FE5D7" w14:textId="77777777" w:rsidR="003D1FAF" w:rsidRPr="00CE0885" w:rsidRDefault="003D1FAF" w:rsidP="003D1FAF">
      <w:pPr>
        <w:spacing w:line="360" w:lineRule="auto"/>
        <w:rPr>
          <w:rFonts w:eastAsia="Arial" w:cs="Arial"/>
        </w:rPr>
      </w:pPr>
    </w:p>
    <w:p w14:paraId="62410C52" w14:textId="77777777" w:rsidR="003D1FAF" w:rsidRPr="00CE0885" w:rsidRDefault="003D1FAF" w:rsidP="00836ECF">
      <w:pPr>
        <w:numPr>
          <w:ilvl w:val="0"/>
          <w:numId w:val="6"/>
        </w:numPr>
        <w:tabs>
          <w:tab w:val="left" w:pos="840"/>
        </w:tabs>
        <w:spacing w:line="360" w:lineRule="auto"/>
        <w:ind w:left="240" w:firstLine="239"/>
        <w:jc w:val="both"/>
        <w:rPr>
          <w:rFonts w:eastAsia="Arial" w:cs="Arial"/>
        </w:rPr>
      </w:pPr>
      <w:r w:rsidRPr="00CE0885">
        <w:rPr>
          <w:rFonts w:eastAsia="Arial" w:cs="Arial"/>
        </w:rPr>
        <w:t>A contractor which refuses an application made under paragraph 15 or 16 shall, within 14 days of its decision, notify the applicant (or, in the case of a child or incapable adult, the person making the application on their behalf) in writing of the refusal and the reason for it.</w:t>
      </w:r>
    </w:p>
    <w:p w14:paraId="74828DDD" w14:textId="77777777" w:rsidR="003D1FAF" w:rsidRPr="00CE0885" w:rsidRDefault="003D1FAF" w:rsidP="003D1FAF">
      <w:pPr>
        <w:spacing w:line="360" w:lineRule="auto"/>
        <w:rPr>
          <w:rFonts w:eastAsia="Arial" w:cs="Arial"/>
        </w:rPr>
      </w:pPr>
    </w:p>
    <w:p w14:paraId="4F893C96" w14:textId="77777777" w:rsidR="003D1FAF" w:rsidRPr="00CE0885" w:rsidRDefault="003D1FAF" w:rsidP="00836ECF">
      <w:pPr>
        <w:numPr>
          <w:ilvl w:val="0"/>
          <w:numId w:val="6"/>
        </w:numPr>
        <w:tabs>
          <w:tab w:val="left" w:pos="840"/>
        </w:tabs>
        <w:spacing w:line="360" w:lineRule="auto"/>
        <w:ind w:left="240" w:firstLine="239"/>
        <w:jc w:val="both"/>
        <w:rPr>
          <w:rFonts w:eastAsia="Arial" w:cs="Arial"/>
        </w:rPr>
      </w:pPr>
      <w:r w:rsidRPr="00CE0885">
        <w:rPr>
          <w:rFonts w:eastAsia="Arial" w:cs="Arial"/>
        </w:rPr>
        <w:t>The contractor shall keep a written record of refusals of applications made under paragraph 15 and of the reasons for them and shall make this record available to the Primary Care Trust on request.</w:t>
      </w:r>
    </w:p>
    <w:p w14:paraId="04E67393" w14:textId="72C87ACC" w:rsidR="0015247B" w:rsidRPr="003D1FAF" w:rsidRDefault="0015247B" w:rsidP="003D1FAF">
      <w:pPr>
        <w:spacing w:line="360" w:lineRule="auto"/>
        <w:jc w:val="right"/>
        <w:rPr>
          <w:rFonts w:eastAsia="Arial" w:cs="Arial"/>
        </w:rPr>
      </w:pPr>
    </w:p>
    <w:p w14:paraId="54B353DD" w14:textId="77777777" w:rsidR="008F7BB3" w:rsidRDefault="00B42132" w:rsidP="008F7BB3">
      <w:pPr>
        <w:pStyle w:val="Heading1"/>
      </w:pPr>
      <w:r>
        <w:rPr>
          <w:lang w:eastAsia="en-GB"/>
        </w:rPr>
        <w:br w:type="page"/>
      </w:r>
      <w:bookmarkStart w:id="485" w:name="_Toc498495378"/>
      <w:r w:rsidR="008F7BB3" w:rsidRPr="00E54C11">
        <w:lastRenderedPageBreak/>
        <w:t>Special Allocation Scheme (SAS)</w:t>
      </w:r>
      <w:bookmarkEnd w:id="485"/>
      <w:r w:rsidR="008F7BB3" w:rsidRPr="00E54C11">
        <w:t xml:space="preserve"> </w:t>
      </w:r>
      <w:bookmarkStart w:id="486" w:name="_Toc493831276"/>
    </w:p>
    <w:p w14:paraId="7EA51827" w14:textId="77777777" w:rsidR="008F7BB3" w:rsidRDefault="008F7BB3" w:rsidP="008F7BB3"/>
    <w:p w14:paraId="1E9C8C54" w14:textId="77777777" w:rsidR="008F7BB3" w:rsidRDefault="008F7BB3" w:rsidP="008F7BB3">
      <w:pPr>
        <w:spacing w:before="20" w:line="268" w:lineRule="auto"/>
        <w:ind w:left="106" w:right="117"/>
        <w:rPr>
          <w:rFonts w:eastAsia="Arial" w:cs="Arial"/>
          <w:sz w:val="16"/>
          <w:szCs w:val="16"/>
        </w:rPr>
      </w:pPr>
      <w:r>
        <w:rPr>
          <w:rFonts w:eastAsia="Arial" w:cs="Arial"/>
          <w:color w:val="FF0000"/>
          <w:spacing w:val="-6"/>
          <w:sz w:val="16"/>
          <w:szCs w:val="16"/>
        </w:rPr>
        <w:t>(</w:t>
      </w:r>
      <w:r>
        <w:rPr>
          <w:rFonts w:eastAsia="Arial" w:cs="Arial"/>
          <w:color w:val="FF0000"/>
          <w:sz w:val="16"/>
          <w:szCs w:val="16"/>
        </w:rPr>
        <w:t>T</w:t>
      </w:r>
      <w:r>
        <w:rPr>
          <w:rFonts w:eastAsia="Arial" w:cs="Arial"/>
          <w:color w:val="FF0000"/>
          <w:spacing w:val="-31"/>
          <w:sz w:val="16"/>
          <w:szCs w:val="16"/>
        </w:rPr>
        <w:t>o</w:t>
      </w:r>
      <w:r>
        <w:rPr>
          <w:rFonts w:eastAsia="Arial" w:cs="Arial"/>
          <w:color w:val="FF0000"/>
          <w:spacing w:val="-6"/>
          <w:sz w:val="16"/>
          <w:szCs w:val="16"/>
        </w:rPr>
        <w:t xml:space="preserve"> </w:t>
      </w:r>
      <w:r>
        <w:rPr>
          <w:rFonts w:eastAsia="Arial" w:cs="Arial"/>
          <w:color w:val="FF0000"/>
          <w:spacing w:val="6"/>
          <w:sz w:val="16"/>
          <w:szCs w:val="16"/>
        </w:rPr>
        <w:t>no</w:t>
      </w:r>
      <w:r>
        <w:rPr>
          <w:rFonts w:eastAsia="Arial" w:cs="Arial"/>
          <w:color w:val="FF0000"/>
          <w:spacing w:val="3"/>
          <w:sz w:val="16"/>
          <w:szCs w:val="16"/>
        </w:rPr>
        <w:t>t</w:t>
      </w:r>
      <w:r>
        <w:rPr>
          <w:rFonts w:eastAsia="Arial" w:cs="Arial"/>
          <w:color w:val="FF0000"/>
          <w:sz w:val="16"/>
          <w:szCs w:val="16"/>
        </w:rPr>
        <w:t>e</w:t>
      </w:r>
      <w:r>
        <w:rPr>
          <w:rFonts w:eastAsia="Arial" w:cs="Arial"/>
          <w:color w:val="FF0000"/>
          <w:spacing w:val="-6"/>
          <w:sz w:val="16"/>
          <w:szCs w:val="16"/>
        </w:rPr>
        <w:t xml:space="preserve"> </w:t>
      </w:r>
      <w:r>
        <w:rPr>
          <w:rFonts w:eastAsia="Arial" w:cs="Arial"/>
          <w:color w:val="FF0000"/>
          <w:spacing w:val="6"/>
          <w:sz w:val="16"/>
          <w:szCs w:val="16"/>
        </w:rPr>
        <w:t>an</w:t>
      </w:r>
      <w:r>
        <w:rPr>
          <w:rFonts w:eastAsia="Arial" w:cs="Arial"/>
          <w:color w:val="FF0000"/>
          <w:sz w:val="16"/>
          <w:szCs w:val="16"/>
        </w:rPr>
        <w:t>d</w:t>
      </w:r>
      <w:r>
        <w:rPr>
          <w:rFonts w:eastAsia="Arial" w:cs="Arial"/>
          <w:color w:val="FF0000"/>
          <w:spacing w:val="-6"/>
          <w:sz w:val="16"/>
          <w:szCs w:val="16"/>
        </w:rPr>
        <w:t xml:space="preserve"> </w:t>
      </w:r>
      <w:r>
        <w:rPr>
          <w:rFonts w:eastAsia="Arial" w:cs="Arial"/>
          <w:color w:val="FF0000"/>
          <w:spacing w:val="6"/>
          <w:sz w:val="16"/>
          <w:szCs w:val="16"/>
        </w:rPr>
        <w:t>fo</w:t>
      </w:r>
      <w:r>
        <w:rPr>
          <w:rFonts w:eastAsia="Arial" w:cs="Arial"/>
          <w:color w:val="FF0000"/>
          <w:sz w:val="16"/>
          <w:szCs w:val="16"/>
        </w:rPr>
        <w:t>r</w:t>
      </w:r>
      <w:r>
        <w:rPr>
          <w:rFonts w:eastAsia="Arial" w:cs="Arial"/>
          <w:color w:val="FF0000"/>
          <w:spacing w:val="-18"/>
          <w:sz w:val="16"/>
          <w:szCs w:val="16"/>
        </w:rPr>
        <w:t xml:space="preserve"> </w:t>
      </w:r>
      <w:r>
        <w:rPr>
          <w:rFonts w:eastAsia="Arial" w:cs="Arial"/>
          <w:color w:val="FF0000"/>
          <w:spacing w:val="12"/>
          <w:sz w:val="16"/>
          <w:szCs w:val="16"/>
        </w:rPr>
        <w:t>i</w:t>
      </w:r>
      <w:r>
        <w:rPr>
          <w:rFonts w:eastAsia="Arial" w:cs="Arial"/>
          <w:color w:val="FF0000"/>
          <w:spacing w:val="6"/>
          <w:sz w:val="16"/>
          <w:szCs w:val="16"/>
        </w:rPr>
        <w:t>n</w:t>
      </w:r>
      <w:r>
        <w:rPr>
          <w:rFonts w:eastAsia="Arial" w:cs="Arial"/>
          <w:color w:val="FF0000"/>
          <w:spacing w:val="3"/>
          <w:sz w:val="16"/>
          <w:szCs w:val="16"/>
        </w:rPr>
        <w:t>f</w:t>
      </w:r>
      <w:r>
        <w:rPr>
          <w:rFonts w:eastAsia="Arial" w:cs="Arial"/>
          <w:color w:val="FF0000"/>
          <w:spacing w:val="6"/>
          <w:sz w:val="16"/>
          <w:szCs w:val="16"/>
        </w:rPr>
        <w:t>o</w:t>
      </w:r>
      <w:r>
        <w:rPr>
          <w:rFonts w:eastAsia="Arial" w:cs="Arial"/>
          <w:color w:val="FF0000"/>
          <w:spacing w:val="-6"/>
          <w:sz w:val="16"/>
          <w:szCs w:val="16"/>
        </w:rPr>
        <w:t>r</w:t>
      </w:r>
      <w:r>
        <w:rPr>
          <w:rFonts w:eastAsia="Arial" w:cs="Arial"/>
          <w:color w:val="FF0000"/>
          <w:spacing w:val="10"/>
          <w:sz w:val="16"/>
          <w:szCs w:val="16"/>
        </w:rPr>
        <w:t>m</w:t>
      </w:r>
      <w:r>
        <w:rPr>
          <w:rFonts w:eastAsia="Arial" w:cs="Arial"/>
          <w:color w:val="FF0000"/>
          <w:spacing w:val="-9"/>
          <w:sz w:val="16"/>
          <w:szCs w:val="16"/>
        </w:rPr>
        <w:t>a</w:t>
      </w:r>
      <w:r>
        <w:rPr>
          <w:rFonts w:eastAsia="Arial" w:cs="Arial"/>
          <w:color w:val="FF0000"/>
          <w:spacing w:val="3"/>
          <w:sz w:val="16"/>
          <w:szCs w:val="16"/>
        </w:rPr>
        <w:t>t</w:t>
      </w:r>
      <w:r>
        <w:rPr>
          <w:rFonts w:eastAsia="Arial" w:cs="Arial"/>
          <w:color w:val="FF0000"/>
          <w:spacing w:val="-4"/>
          <w:sz w:val="16"/>
          <w:szCs w:val="16"/>
        </w:rPr>
        <w:t>i</w:t>
      </w:r>
      <w:r>
        <w:rPr>
          <w:rFonts w:eastAsia="Arial" w:cs="Arial"/>
          <w:color w:val="FF0000"/>
          <w:spacing w:val="6"/>
          <w:sz w:val="16"/>
          <w:szCs w:val="16"/>
        </w:rPr>
        <w:t>o</w:t>
      </w:r>
      <w:r>
        <w:rPr>
          <w:rFonts w:eastAsia="Arial" w:cs="Arial"/>
          <w:color w:val="FF0000"/>
          <w:sz w:val="16"/>
          <w:szCs w:val="16"/>
        </w:rPr>
        <w:t>n</w:t>
      </w:r>
      <w:r>
        <w:rPr>
          <w:rFonts w:eastAsia="Arial" w:cs="Arial"/>
          <w:color w:val="FF0000"/>
          <w:spacing w:val="-22"/>
          <w:sz w:val="16"/>
          <w:szCs w:val="16"/>
        </w:rPr>
        <w:t xml:space="preserve"> </w:t>
      </w:r>
      <w:r>
        <w:rPr>
          <w:rFonts w:eastAsia="Arial" w:cs="Arial"/>
          <w:color w:val="FF0000"/>
          <w:spacing w:val="6"/>
          <w:sz w:val="16"/>
          <w:szCs w:val="16"/>
        </w:rPr>
        <w:t>on</w:t>
      </w:r>
      <w:r>
        <w:rPr>
          <w:rFonts w:eastAsia="Arial" w:cs="Arial"/>
          <w:color w:val="FF0000"/>
          <w:spacing w:val="12"/>
          <w:sz w:val="16"/>
          <w:szCs w:val="16"/>
        </w:rPr>
        <w:t>l</w:t>
      </w:r>
      <w:r>
        <w:rPr>
          <w:rFonts w:eastAsia="Arial" w:cs="Arial"/>
          <w:color w:val="FF0000"/>
          <w:sz w:val="16"/>
          <w:szCs w:val="16"/>
        </w:rPr>
        <w:t>y:</w:t>
      </w:r>
      <w:r>
        <w:rPr>
          <w:rFonts w:eastAsia="Arial" w:cs="Arial"/>
          <w:color w:val="FF0000"/>
          <w:spacing w:val="-25"/>
          <w:sz w:val="16"/>
          <w:szCs w:val="16"/>
        </w:rPr>
        <w:t xml:space="preserve"> </w:t>
      </w:r>
      <w:r>
        <w:rPr>
          <w:rFonts w:eastAsia="Arial" w:cs="Arial"/>
          <w:color w:val="FF0000"/>
          <w:spacing w:val="3"/>
          <w:sz w:val="16"/>
          <w:szCs w:val="16"/>
        </w:rPr>
        <w:t>Ot</w:t>
      </w:r>
      <w:r>
        <w:rPr>
          <w:rFonts w:eastAsia="Arial" w:cs="Arial"/>
          <w:color w:val="FF0000"/>
          <w:spacing w:val="6"/>
          <w:sz w:val="16"/>
          <w:szCs w:val="16"/>
        </w:rPr>
        <w:t>he</w:t>
      </w:r>
      <w:r>
        <w:rPr>
          <w:rFonts w:eastAsia="Arial" w:cs="Arial"/>
          <w:color w:val="FF0000"/>
          <w:sz w:val="16"/>
          <w:szCs w:val="16"/>
        </w:rPr>
        <w:t>r</w:t>
      </w:r>
      <w:r>
        <w:rPr>
          <w:rFonts w:eastAsia="Arial" w:cs="Arial"/>
          <w:color w:val="FF0000"/>
          <w:spacing w:val="-18"/>
          <w:sz w:val="16"/>
          <w:szCs w:val="16"/>
        </w:rPr>
        <w:t xml:space="preserve"> </w:t>
      </w:r>
      <w:r>
        <w:rPr>
          <w:rFonts w:eastAsia="Arial" w:cs="Arial"/>
          <w:color w:val="FF0000"/>
          <w:spacing w:val="3"/>
          <w:sz w:val="16"/>
          <w:szCs w:val="16"/>
        </w:rPr>
        <w:t>t</w:t>
      </w:r>
      <w:r>
        <w:rPr>
          <w:rFonts w:eastAsia="Arial" w:cs="Arial"/>
          <w:color w:val="FF0000"/>
          <w:spacing w:val="6"/>
          <w:sz w:val="16"/>
          <w:szCs w:val="16"/>
        </w:rPr>
        <w:t>e</w:t>
      </w:r>
      <w:r>
        <w:rPr>
          <w:rFonts w:eastAsia="Arial" w:cs="Arial"/>
          <w:color w:val="FF0000"/>
          <w:spacing w:val="-6"/>
          <w:sz w:val="16"/>
          <w:szCs w:val="16"/>
        </w:rPr>
        <w:t>r</w:t>
      </w:r>
      <w:r>
        <w:rPr>
          <w:rFonts w:eastAsia="Arial" w:cs="Arial"/>
          <w:color w:val="FF0000"/>
          <w:spacing w:val="10"/>
          <w:sz w:val="16"/>
          <w:szCs w:val="16"/>
        </w:rPr>
        <w:t>m</w:t>
      </w:r>
      <w:r>
        <w:rPr>
          <w:rFonts w:eastAsia="Arial" w:cs="Arial"/>
          <w:color w:val="FF0000"/>
          <w:spacing w:val="-4"/>
          <w:sz w:val="16"/>
          <w:szCs w:val="16"/>
        </w:rPr>
        <w:t>i</w:t>
      </w:r>
      <w:r>
        <w:rPr>
          <w:rFonts w:eastAsia="Arial" w:cs="Arial"/>
          <w:color w:val="FF0000"/>
          <w:spacing w:val="6"/>
          <w:sz w:val="16"/>
          <w:szCs w:val="16"/>
        </w:rPr>
        <w:t>n</w:t>
      </w:r>
      <w:r>
        <w:rPr>
          <w:rFonts w:eastAsia="Arial" w:cs="Arial"/>
          <w:color w:val="FF0000"/>
          <w:spacing w:val="-9"/>
          <w:sz w:val="16"/>
          <w:szCs w:val="16"/>
        </w:rPr>
        <w:t>o</w:t>
      </w:r>
      <w:r>
        <w:rPr>
          <w:rFonts w:eastAsia="Arial" w:cs="Arial"/>
          <w:color w:val="FF0000"/>
          <w:spacing w:val="-4"/>
          <w:sz w:val="16"/>
          <w:szCs w:val="16"/>
        </w:rPr>
        <w:t>l</w:t>
      </w:r>
      <w:r>
        <w:rPr>
          <w:rFonts w:eastAsia="Arial" w:cs="Arial"/>
          <w:color w:val="FF0000"/>
          <w:spacing w:val="6"/>
          <w:sz w:val="16"/>
          <w:szCs w:val="16"/>
        </w:rPr>
        <w:t>og</w:t>
      </w:r>
      <w:r>
        <w:rPr>
          <w:rFonts w:eastAsia="Arial" w:cs="Arial"/>
          <w:color w:val="FF0000"/>
          <w:sz w:val="16"/>
          <w:szCs w:val="16"/>
        </w:rPr>
        <w:t>y</w:t>
      </w:r>
      <w:r>
        <w:rPr>
          <w:rFonts w:eastAsia="Arial" w:cs="Arial"/>
          <w:color w:val="FF0000"/>
          <w:spacing w:val="-6"/>
          <w:sz w:val="16"/>
          <w:szCs w:val="16"/>
        </w:rPr>
        <w:t xml:space="preserve"> </w:t>
      </w:r>
      <w:r>
        <w:rPr>
          <w:rFonts w:eastAsia="Arial" w:cs="Arial"/>
          <w:color w:val="FF0000"/>
          <w:spacing w:val="6"/>
          <w:sz w:val="16"/>
          <w:szCs w:val="16"/>
        </w:rPr>
        <w:t>p</w:t>
      </w:r>
      <w:r>
        <w:rPr>
          <w:rFonts w:eastAsia="Arial" w:cs="Arial"/>
          <w:color w:val="FF0000"/>
          <w:spacing w:val="-6"/>
          <w:sz w:val="16"/>
          <w:szCs w:val="16"/>
        </w:rPr>
        <w:t>r</w:t>
      </w:r>
      <w:r>
        <w:rPr>
          <w:rFonts w:eastAsia="Arial" w:cs="Arial"/>
          <w:color w:val="FF0000"/>
          <w:spacing w:val="6"/>
          <w:sz w:val="16"/>
          <w:szCs w:val="16"/>
        </w:rPr>
        <w:t>e</w:t>
      </w:r>
      <w:r>
        <w:rPr>
          <w:rFonts w:eastAsia="Arial" w:cs="Arial"/>
          <w:color w:val="FF0000"/>
          <w:sz w:val="16"/>
          <w:szCs w:val="16"/>
        </w:rPr>
        <w:t>v</w:t>
      </w:r>
      <w:r>
        <w:rPr>
          <w:rFonts w:eastAsia="Arial" w:cs="Arial"/>
          <w:color w:val="FF0000"/>
          <w:spacing w:val="-4"/>
          <w:sz w:val="16"/>
          <w:szCs w:val="16"/>
        </w:rPr>
        <w:t>i</w:t>
      </w:r>
      <w:r>
        <w:rPr>
          <w:rFonts w:eastAsia="Arial" w:cs="Arial"/>
          <w:color w:val="FF0000"/>
          <w:spacing w:val="6"/>
          <w:sz w:val="16"/>
          <w:szCs w:val="16"/>
        </w:rPr>
        <w:t>o</w:t>
      </w:r>
      <w:r>
        <w:rPr>
          <w:rFonts w:eastAsia="Arial" w:cs="Arial"/>
          <w:color w:val="FF0000"/>
          <w:spacing w:val="-9"/>
          <w:sz w:val="16"/>
          <w:szCs w:val="16"/>
        </w:rPr>
        <w:t>u</w:t>
      </w:r>
      <w:r>
        <w:rPr>
          <w:rFonts w:eastAsia="Arial" w:cs="Arial"/>
          <w:color w:val="FF0000"/>
          <w:spacing w:val="-16"/>
          <w:sz w:val="16"/>
          <w:szCs w:val="16"/>
        </w:rPr>
        <w:t>s</w:t>
      </w:r>
      <w:r>
        <w:rPr>
          <w:rFonts w:eastAsia="Arial" w:cs="Arial"/>
          <w:color w:val="FF0000"/>
          <w:spacing w:val="12"/>
          <w:sz w:val="16"/>
          <w:szCs w:val="16"/>
        </w:rPr>
        <w:t>l</w:t>
      </w:r>
      <w:r>
        <w:rPr>
          <w:rFonts w:eastAsia="Arial" w:cs="Arial"/>
          <w:color w:val="FF0000"/>
          <w:sz w:val="16"/>
          <w:szCs w:val="16"/>
        </w:rPr>
        <w:t>y</w:t>
      </w:r>
      <w:r>
        <w:rPr>
          <w:rFonts w:eastAsia="Arial" w:cs="Arial"/>
          <w:color w:val="FF0000"/>
          <w:spacing w:val="-13"/>
          <w:sz w:val="16"/>
          <w:szCs w:val="16"/>
        </w:rPr>
        <w:t xml:space="preserve"> </w:t>
      </w:r>
      <w:r>
        <w:rPr>
          <w:rFonts w:eastAsia="Arial" w:cs="Arial"/>
          <w:color w:val="FF0000"/>
          <w:spacing w:val="6"/>
          <w:sz w:val="16"/>
          <w:szCs w:val="16"/>
        </w:rPr>
        <w:t>u</w:t>
      </w:r>
      <w:r>
        <w:rPr>
          <w:rFonts w:eastAsia="Arial" w:cs="Arial"/>
          <w:color w:val="FF0000"/>
          <w:spacing w:val="-16"/>
          <w:sz w:val="16"/>
          <w:szCs w:val="16"/>
        </w:rPr>
        <w:t>s</w:t>
      </w:r>
      <w:r>
        <w:rPr>
          <w:rFonts w:eastAsia="Arial" w:cs="Arial"/>
          <w:color w:val="FF0000"/>
          <w:spacing w:val="6"/>
          <w:sz w:val="16"/>
          <w:szCs w:val="16"/>
        </w:rPr>
        <w:t>e</w:t>
      </w:r>
      <w:r>
        <w:rPr>
          <w:rFonts w:eastAsia="Arial" w:cs="Arial"/>
          <w:color w:val="FF0000"/>
          <w:sz w:val="16"/>
          <w:szCs w:val="16"/>
        </w:rPr>
        <w:t>d</w:t>
      </w:r>
      <w:r>
        <w:rPr>
          <w:rFonts w:eastAsia="Arial" w:cs="Arial"/>
          <w:color w:val="FF0000"/>
          <w:spacing w:val="-6"/>
          <w:sz w:val="16"/>
          <w:szCs w:val="16"/>
        </w:rPr>
        <w:t xml:space="preserve"> </w:t>
      </w:r>
      <w:r>
        <w:rPr>
          <w:rFonts w:eastAsia="Arial" w:cs="Arial"/>
          <w:color w:val="FF0000"/>
          <w:spacing w:val="12"/>
          <w:sz w:val="16"/>
          <w:szCs w:val="16"/>
        </w:rPr>
        <w:t>i</w:t>
      </w:r>
      <w:r>
        <w:rPr>
          <w:rFonts w:eastAsia="Arial" w:cs="Arial"/>
          <w:color w:val="FF0000"/>
          <w:sz w:val="16"/>
          <w:szCs w:val="16"/>
        </w:rPr>
        <w:t>n</w:t>
      </w:r>
      <w:r>
        <w:rPr>
          <w:rFonts w:eastAsia="Arial" w:cs="Arial"/>
          <w:color w:val="FF0000"/>
          <w:spacing w:val="-6"/>
          <w:sz w:val="16"/>
          <w:szCs w:val="16"/>
        </w:rPr>
        <w:t xml:space="preserve"> r</w:t>
      </w:r>
      <w:r>
        <w:rPr>
          <w:rFonts w:eastAsia="Arial" w:cs="Arial"/>
          <w:color w:val="FF0000"/>
          <w:spacing w:val="6"/>
          <w:sz w:val="16"/>
          <w:szCs w:val="16"/>
        </w:rPr>
        <w:t>e</w:t>
      </w:r>
      <w:r>
        <w:rPr>
          <w:rFonts w:eastAsia="Arial" w:cs="Arial"/>
          <w:color w:val="FF0000"/>
          <w:spacing w:val="12"/>
          <w:sz w:val="16"/>
          <w:szCs w:val="16"/>
        </w:rPr>
        <w:t>l</w:t>
      </w:r>
      <w:r>
        <w:rPr>
          <w:rFonts w:eastAsia="Arial" w:cs="Arial"/>
          <w:color w:val="FF0000"/>
          <w:spacing w:val="6"/>
          <w:sz w:val="16"/>
          <w:szCs w:val="16"/>
        </w:rPr>
        <w:t>a</w:t>
      </w:r>
      <w:r>
        <w:rPr>
          <w:rFonts w:eastAsia="Arial" w:cs="Arial"/>
          <w:color w:val="FF0000"/>
          <w:spacing w:val="3"/>
          <w:sz w:val="16"/>
          <w:szCs w:val="16"/>
        </w:rPr>
        <w:t>t</w:t>
      </w:r>
      <w:r>
        <w:rPr>
          <w:rFonts w:eastAsia="Arial" w:cs="Arial"/>
          <w:color w:val="FF0000"/>
          <w:spacing w:val="-4"/>
          <w:sz w:val="16"/>
          <w:szCs w:val="16"/>
        </w:rPr>
        <w:t>i</w:t>
      </w:r>
      <w:r>
        <w:rPr>
          <w:rFonts w:eastAsia="Arial" w:cs="Arial"/>
          <w:color w:val="FF0000"/>
          <w:spacing w:val="-9"/>
          <w:sz w:val="16"/>
          <w:szCs w:val="16"/>
        </w:rPr>
        <w:t>o</w:t>
      </w:r>
      <w:r>
        <w:rPr>
          <w:rFonts w:eastAsia="Arial" w:cs="Arial"/>
          <w:color w:val="FF0000"/>
          <w:sz w:val="16"/>
          <w:szCs w:val="16"/>
        </w:rPr>
        <w:t>n</w:t>
      </w:r>
      <w:r>
        <w:rPr>
          <w:rFonts w:eastAsia="Arial" w:cs="Arial"/>
          <w:color w:val="FF0000"/>
          <w:spacing w:val="-6"/>
          <w:sz w:val="16"/>
          <w:szCs w:val="16"/>
        </w:rPr>
        <w:t xml:space="preserve"> </w:t>
      </w:r>
      <w:r>
        <w:rPr>
          <w:rFonts w:eastAsia="Arial" w:cs="Arial"/>
          <w:color w:val="FF0000"/>
          <w:spacing w:val="3"/>
          <w:sz w:val="16"/>
          <w:szCs w:val="16"/>
        </w:rPr>
        <w:t>t</w:t>
      </w:r>
      <w:r>
        <w:rPr>
          <w:rFonts w:eastAsia="Arial" w:cs="Arial"/>
          <w:color w:val="FF0000"/>
          <w:sz w:val="16"/>
          <w:szCs w:val="16"/>
        </w:rPr>
        <w:t>o</w:t>
      </w:r>
      <w:r>
        <w:rPr>
          <w:rFonts w:eastAsia="Arial" w:cs="Arial"/>
          <w:color w:val="FF0000"/>
          <w:spacing w:val="-6"/>
          <w:sz w:val="16"/>
          <w:szCs w:val="16"/>
        </w:rPr>
        <w:t xml:space="preserve"> </w:t>
      </w:r>
      <w:r>
        <w:rPr>
          <w:rFonts w:eastAsia="Arial" w:cs="Arial"/>
          <w:color w:val="FF0000"/>
          <w:spacing w:val="-16"/>
          <w:sz w:val="16"/>
          <w:szCs w:val="16"/>
        </w:rPr>
        <w:t>s</w:t>
      </w:r>
      <w:r>
        <w:rPr>
          <w:rFonts w:eastAsia="Arial" w:cs="Arial"/>
          <w:color w:val="FF0000"/>
          <w:spacing w:val="6"/>
          <w:sz w:val="16"/>
          <w:szCs w:val="16"/>
        </w:rPr>
        <w:t>pe</w:t>
      </w:r>
      <w:r>
        <w:rPr>
          <w:rFonts w:eastAsia="Arial" w:cs="Arial"/>
          <w:color w:val="FF0000"/>
          <w:sz w:val="16"/>
          <w:szCs w:val="16"/>
        </w:rPr>
        <w:t>c</w:t>
      </w:r>
      <w:r>
        <w:rPr>
          <w:rFonts w:eastAsia="Arial" w:cs="Arial"/>
          <w:color w:val="FF0000"/>
          <w:spacing w:val="12"/>
          <w:sz w:val="16"/>
          <w:szCs w:val="16"/>
        </w:rPr>
        <w:t>i</w:t>
      </w:r>
      <w:r>
        <w:rPr>
          <w:rFonts w:eastAsia="Arial" w:cs="Arial"/>
          <w:color w:val="FF0000"/>
          <w:spacing w:val="13"/>
          <w:sz w:val="16"/>
          <w:szCs w:val="16"/>
        </w:rPr>
        <w:t>a</w:t>
      </w:r>
      <w:r>
        <w:rPr>
          <w:rFonts w:eastAsia="Arial" w:cs="Arial"/>
          <w:color w:val="FF0000"/>
          <w:sz w:val="16"/>
          <w:szCs w:val="16"/>
        </w:rPr>
        <w:t>l</w:t>
      </w:r>
      <w:r>
        <w:rPr>
          <w:rFonts w:eastAsia="Arial" w:cs="Arial"/>
          <w:color w:val="FF0000"/>
          <w:spacing w:val="-16"/>
          <w:sz w:val="16"/>
          <w:szCs w:val="16"/>
        </w:rPr>
        <w:t xml:space="preserve"> </w:t>
      </w:r>
      <w:r>
        <w:rPr>
          <w:rFonts w:eastAsia="Arial" w:cs="Arial"/>
          <w:color w:val="FF0000"/>
          <w:spacing w:val="6"/>
          <w:sz w:val="16"/>
          <w:szCs w:val="16"/>
        </w:rPr>
        <w:t>a</w:t>
      </w:r>
      <w:r>
        <w:rPr>
          <w:rFonts w:eastAsia="Arial" w:cs="Arial"/>
          <w:color w:val="FF0000"/>
          <w:spacing w:val="12"/>
          <w:sz w:val="16"/>
          <w:szCs w:val="16"/>
        </w:rPr>
        <w:t>l</w:t>
      </w:r>
      <w:r>
        <w:rPr>
          <w:rFonts w:eastAsia="Arial" w:cs="Arial"/>
          <w:color w:val="FF0000"/>
          <w:spacing w:val="-4"/>
          <w:sz w:val="16"/>
          <w:szCs w:val="16"/>
        </w:rPr>
        <w:t>l</w:t>
      </w:r>
      <w:r>
        <w:rPr>
          <w:rFonts w:eastAsia="Arial" w:cs="Arial"/>
          <w:color w:val="FF0000"/>
          <w:spacing w:val="-9"/>
          <w:sz w:val="16"/>
          <w:szCs w:val="16"/>
        </w:rPr>
        <w:t>o</w:t>
      </w:r>
      <w:r>
        <w:rPr>
          <w:rFonts w:eastAsia="Arial" w:cs="Arial"/>
          <w:color w:val="FF0000"/>
          <w:sz w:val="16"/>
          <w:szCs w:val="16"/>
        </w:rPr>
        <w:t>c</w:t>
      </w:r>
      <w:r>
        <w:rPr>
          <w:rFonts w:eastAsia="Arial" w:cs="Arial"/>
          <w:color w:val="FF0000"/>
          <w:spacing w:val="6"/>
          <w:sz w:val="16"/>
          <w:szCs w:val="16"/>
        </w:rPr>
        <w:t>a</w:t>
      </w:r>
      <w:r>
        <w:rPr>
          <w:rFonts w:eastAsia="Arial" w:cs="Arial"/>
          <w:color w:val="FF0000"/>
          <w:spacing w:val="3"/>
          <w:sz w:val="16"/>
          <w:szCs w:val="16"/>
        </w:rPr>
        <w:t>t</w:t>
      </w:r>
      <w:r>
        <w:rPr>
          <w:rFonts w:eastAsia="Arial" w:cs="Arial"/>
          <w:color w:val="FF0000"/>
          <w:spacing w:val="-4"/>
          <w:sz w:val="16"/>
          <w:szCs w:val="16"/>
        </w:rPr>
        <w:t>i</w:t>
      </w:r>
      <w:r>
        <w:rPr>
          <w:rFonts w:eastAsia="Arial" w:cs="Arial"/>
          <w:color w:val="FF0000"/>
          <w:spacing w:val="-9"/>
          <w:sz w:val="16"/>
          <w:szCs w:val="16"/>
        </w:rPr>
        <w:t>o</w:t>
      </w:r>
      <w:r>
        <w:rPr>
          <w:rFonts w:eastAsia="Arial" w:cs="Arial"/>
          <w:color w:val="FF0000"/>
          <w:spacing w:val="6"/>
          <w:sz w:val="16"/>
          <w:szCs w:val="16"/>
        </w:rPr>
        <w:t>n</w:t>
      </w:r>
      <w:r>
        <w:rPr>
          <w:rFonts w:eastAsia="Arial" w:cs="Arial"/>
          <w:color w:val="FF0000"/>
          <w:sz w:val="16"/>
          <w:szCs w:val="16"/>
        </w:rPr>
        <w:t>s</w:t>
      </w:r>
      <w:r>
        <w:rPr>
          <w:rFonts w:eastAsia="Arial" w:cs="Arial"/>
          <w:color w:val="FF0000"/>
          <w:spacing w:val="-29"/>
          <w:sz w:val="16"/>
          <w:szCs w:val="16"/>
        </w:rPr>
        <w:t xml:space="preserve"> </w:t>
      </w:r>
      <w:r>
        <w:rPr>
          <w:rFonts w:eastAsia="Arial" w:cs="Arial"/>
          <w:color w:val="FF0000"/>
          <w:spacing w:val="6"/>
          <w:sz w:val="16"/>
          <w:szCs w:val="16"/>
        </w:rPr>
        <w:t>o</w:t>
      </w:r>
      <w:r>
        <w:rPr>
          <w:rFonts w:eastAsia="Arial" w:cs="Arial"/>
          <w:color w:val="FF0000"/>
          <w:sz w:val="16"/>
          <w:szCs w:val="16"/>
        </w:rPr>
        <w:t>f</w:t>
      </w:r>
      <w:r>
        <w:rPr>
          <w:rFonts w:eastAsia="Arial" w:cs="Arial"/>
          <w:color w:val="FF0000"/>
          <w:spacing w:val="-10"/>
          <w:sz w:val="16"/>
          <w:szCs w:val="16"/>
        </w:rPr>
        <w:t xml:space="preserve"> </w:t>
      </w:r>
      <w:r>
        <w:rPr>
          <w:rFonts w:eastAsia="Arial" w:cs="Arial"/>
          <w:color w:val="FF0000"/>
          <w:spacing w:val="3"/>
          <w:sz w:val="16"/>
          <w:szCs w:val="16"/>
        </w:rPr>
        <w:t>t</w:t>
      </w:r>
      <w:r>
        <w:rPr>
          <w:rFonts w:eastAsia="Arial" w:cs="Arial"/>
          <w:color w:val="FF0000"/>
          <w:spacing w:val="6"/>
          <w:sz w:val="16"/>
          <w:szCs w:val="16"/>
        </w:rPr>
        <w:t>h</w:t>
      </w:r>
      <w:r>
        <w:rPr>
          <w:rFonts w:eastAsia="Arial" w:cs="Arial"/>
          <w:color w:val="FF0000"/>
          <w:spacing w:val="12"/>
          <w:sz w:val="16"/>
          <w:szCs w:val="16"/>
        </w:rPr>
        <w:t>i</w:t>
      </w:r>
      <w:r>
        <w:rPr>
          <w:rFonts w:eastAsia="Arial" w:cs="Arial"/>
          <w:color w:val="FF0000"/>
          <w:sz w:val="16"/>
          <w:szCs w:val="16"/>
        </w:rPr>
        <w:t>s</w:t>
      </w:r>
      <w:r>
        <w:rPr>
          <w:rFonts w:eastAsia="Arial" w:cs="Arial"/>
          <w:color w:val="FF0000"/>
          <w:spacing w:val="-13"/>
          <w:sz w:val="16"/>
          <w:szCs w:val="16"/>
        </w:rPr>
        <w:t xml:space="preserve"> </w:t>
      </w:r>
      <w:r>
        <w:rPr>
          <w:rFonts w:eastAsia="Arial" w:cs="Arial"/>
          <w:color w:val="FF0000"/>
          <w:spacing w:val="3"/>
          <w:sz w:val="16"/>
          <w:szCs w:val="16"/>
        </w:rPr>
        <w:t>t</w:t>
      </w:r>
      <w:r>
        <w:rPr>
          <w:rFonts w:eastAsia="Arial" w:cs="Arial"/>
          <w:color w:val="FF0000"/>
          <w:sz w:val="16"/>
          <w:szCs w:val="16"/>
        </w:rPr>
        <w:t>y</w:t>
      </w:r>
      <w:r>
        <w:rPr>
          <w:rFonts w:eastAsia="Arial" w:cs="Arial"/>
          <w:color w:val="FF0000"/>
          <w:spacing w:val="6"/>
          <w:sz w:val="16"/>
          <w:szCs w:val="16"/>
        </w:rPr>
        <w:t>p</w:t>
      </w:r>
      <w:r>
        <w:rPr>
          <w:rFonts w:eastAsia="Arial" w:cs="Arial"/>
          <w:color w:val="FF0000"/>
          <w:sz w:val="16"/>
          <w:szCs w:val="16"/>
        </w:rPr>
        <w:t>e</w:t>
      </w:r>
      <w:r>
        <w:rPr>
          <w:rFonts w:eastAsia="Arial" w:cs="Arial"/>
          <w:color w:val="FF0000"/>
          <w:spacing w:val="10"/>
          <w:sz w:val="16"/>
          <w:szCs w:val="16"/>
        </w:rPr>
        <w:t xml:space="preserve"> </w:t>
      </w:r>
      <w:r>
        <w:rPr>
          <w:rFonts w:eastAsia="Arial" w:cs="Arial"/>
          <w:color w:val="FF0000"/>
          <w:spacing w:val="6"/>
          <w:sz w:val="16"/>
          <w:szCs w:val="16"/>
        </w:rPr>
        <w:t>ha</w:t>
      </w:r>
      <w:r>
        <w:rPr>
          <w:rFonts w:eastAsia="Arial" w:cs="Arial"/>
          <w:color w:val="FF0000"/>
          <w:sz w:val="16"/>
          <w:szCs w:val="16"/>
        </w:rPr>
        <w:t>ve</w:t>
      </w:r>
      <w:r>
        <w:rPr>
          <w:rFonts w:eastAsia="Arial" w:cs="Arial"/>
          <w:color w:val="FF0000"/>
          <w:spacing w:val="10"/>
          <w:sz w:val="16"/>
          <w:szCs w:val="16"/>
        </w:rPr>
        <w:t xml:space="preserve"> </w:t>
      </w:r>
      <w:r>
        <w:rPr>
          <w:rFonts w:eastAsia="Arial" w:cs="Arial"/>
          <w:color w:val="FF0000"/>
          <w:spacing w:val="12"/>
          <w:sz w:val="16"/>
          <w:szCs w:val="16"/>
        </w:rPr>
        <w:t>i</w:t>
      </w:r>
      <w:r>
        <w:rPr>
          <w:rFonts w:eastAsia="Arial" w:cs="Arial"/>
          <w:color w:val="FF0000"/>
          <w:spacing w:val="6"/>
          <w:sz w:val="16"/>
          <w:szCs w:val="16"/>
        </w:rPr>
        <w:t>n</w:t>
      </w:r>
      <w:r>
        <w:rPr>
          <w:rFonts w:eastAsia="Arial" w:cs="Arial"/>
          <w:color w:val="FF0000"/>
          <w:sz w:val="16"/>
          <w:szCs w:val="16"/>
        </w:rPr>
        <w:t>c</w:t>
      </w:r>
      <w:r>
        <w:rPr>
          <w:rFonts w:eastAsia="Arial" w:cs="Arial"/>
          <w:color w:val="FF0000"/>
          <w:spacing w:val="12"/>
          <w:sz w:val="16"/>
          <w:szCs w:val="16"/>
        </w:rPr>
        <w:t>l</w:t>
      </w:r>
      <w:r>
        <w:rPr>
          <w:rFonts w:eastAsia="Arial" w:cs="Arial"/>
          <w:color w:val="FF0000"/>
          <w:spacing w:val="6"/>
          <w:sz w:val="16"/>
          <w:szCs w:val="16"/>
        </w:rPr>
        <w:t>ude</w:t>
      </w:r>
      <w:r>
        <w:rPr>
          <w:rFonts w:eastAsia="Arial" w:cs="Arial"/>
          <w:color w:val="FF0000"/>
          <w:sz w:val="16"/>
          <w:szCs w:val="16"/>
        </w:rPr>
        <w:t xml:space="preserve">d </w:t>
      </w:r>
      <w:r>
        <w:rPr>
          <w:rFonts w:eastAsia="Arial" w:cs="Arial"/>
          <w:color w:val="FF0000"/>
          <w:spacing w:val="6"/>
          <w:sz w:val="16"/>
          <w:szCs w:val="16"/>
        </w:rPr>
        <w:t>bu</w:t>
      </w:r>
      <w:r>
        <w:rPr>
          <w:rFonts w:eastAsia="Arial" w:cs="Arial"/>
          <w:color w:val="FF0000"/>
          <w:sz w:val="16"/>
          <w:szCs w:val="16"/>
        </w:rPr>
        <w:t>t</w:t>
      </w:r>
      <w:r>
        <w:rPr>
          <w:rFonts w:eastAsia="Arial" w:cs="Arial"/>
          <w:color w:val="FF0000"/>
          <w:spacing w:val="7"/>
          <w:sz w:val="16"/>
          <w:szCs w:val="16"/>
        </w:rPr>
        <w:t xml:space="preserve"> </w:t>
      </w:r>
      <w:r>
        <w:rPr>
          <w:rFonts w:eastAsia="Arial" w:cs="Arial"/>
          <w:color w:val="FF0000"/>
          <w:spacing w:val="6"/>
          <w:sz w:val="16"/>
          <w:szCs w:val="16"/>
        </w:rPr>
        <w:t>a</w:t>
      </w:r>
      <w:r>
        <w:rPr>
          <w:rFonts w:eastAsia="Arial" w:cs="Arial"/>
          <w:color w:val="FF0000"/>
          <w:spacing w:val="-6"/>
          <w:sz w:val="16"/>
          <w:szCs w:val="16"/>
        </w:rPr>
        <w:t>r</w:t>
      </w:r>
      <w:r>
        <w:rPr>
          <w:rFonts w:eastAsia="Arial" w:cs="Arial"/>
          <w:color w:val="FF0000"/>
          <w:sz w:val="16"/>
          <w:szCs w:val="16"/>
        </w:rPr>
        <w:t>e</w:t>
      </w:r>
      <w:r>
        <w:rPr>
          <w:rFonts w:eastAsia="Arial" w:cs="Arial"/>
          <w:color w:val="FF0000"/>
          <w:spacing w:val="10"/>
          <w:sz w:val="16"/>
          <w:szCs w:val="16"/>
        </w:rPr>
        <w:t xml:space="preserve"> </w:t>
      </w:r>
      <w:r>
        <w:rPr>
          <w:rFonts w:eastAsia="Arial" w:cs="Arial"/>
          <w:color w:val="FF0000"/>
          <w:spacing w:val="6"/>
          <w:sz w:val="16"/>
          <w:szCs w:val="16"/>
        </w:rPr>
        <w:t>no</w:t>
      </w:r>
      <w:r>
        <w:rPr>
          <w:rFonts w:eastAsia="Arial" w:cs="Arial"/>
          <w:color w:val="FF0000"/>
          <w:sz w:val="16"/>
          <w:szCs w:val="16"/>
        </w:rPr>
        <w:t>t</w:t>
      </w:r>
      <w:r>
        <w:rPr>
          <w:rFonts w:eastAsia="Arial" w:cs="Arial"/>
          <w:color w:val="FF0000"/>
          <w:spacing w:val="6"/>
          <w:sz w:val="16"/>
          <w:szCs w:val="16"/>
        </w:rPr>
        <w:t xml:space="preserve"> </w:t>
      </w:r>
      <w:r>
        <w:rPr>
          <w:rFonts w:eastAsia="Arial" w:cs="Arial"/>
          <w:color w:val="FF0000"/>
          <w:spacing w:val="12"/>
          <w:sz w:val="16"/>
          <w:szCs w:val="16"/>
        </w:rPr>
        <w:t>li</w:t>
      </w:r>
      <w:r>
        <w:rPr>
          <w:rFonts w:eastAsia="Arial" w:cs="Arial"/>
          <w:color w:val="FF0000"/>
          <w:spacing w:val="10"/>
          <w:sz w:val="16"/>
          <w:szCs w:val="16"/>
        </w:rPr>
        <w:t>m</w:t>
      </w:r>
      <w:r>
        <w:rPr>
          <w:rFonts w:eastAsia="Arial" w:cs="Arial"/>
          <w:color w:val="FF0000"/>
          <w:spacing w:val="12"/>
          <w:sz w:val="16"/>
          <w:szCs w:val="16"/>
        </w:rPr>
        <w:t>i</w:t>
      </w:r>
      <w:r>
        <w:rPr>
          <w:rFonts w:eastAsia="Arial" w:cs="Arial"/>
          <w:color w:val="FF0000"/>
          <w:spacing w:val="3"/>
          <w:sz w:val="16"/>
          <w:szCs w:val="16"/>
        </w:rPr>
        <w:t>t</w:t>
      </w:r>
      <w:r>
        <w:rPr>
          <w:rFonts w:eastAsia="Arial" w:cs="Arial"/>
          <w:color w:val="FF0000"/>
          <w:spacing w:val="6"/>
          <w:sz w:val="16"/>
          <w:szCs w:val="16"/>
        </w:rPr>
        <w:t>e</w:t>
      </w:r>
      <w:r>
        <w:rPr>
          <w:rFonts w:eastAsia="Arial" w:cs="Arial"/>
          <w:color w:val="FF0000"/>
          <w:sz w:val="16"/>
          <w:szCs w:val="16"/>
        </w:rPr>
        <w:t>d</w:t>
      </w:r>
      <w:r>
        <w:rPr>
          <w:rFonts w:eastAsia="Arial" w:cs="Arial"/>
          <w:color w:val="FF0000"/>
          <w:spacing w:val="10"/>
          <w:sz w:val="16"/>
          <w:szCs w:val="16"/>
        </w:rPr>
        <w:t xml:space="preserve"> </w:t>
      </w:r>
      <w:r>
        <w:rPr>
          <w:rFonts w:eastAsia="Arial" w:cs="Arial"/>
          <w:color w:val="FF0000"/>
          <w:spacing w:val="3"/>
          <w:sz w:val="16"/>
          <w:szCs w:val="16"/>
        </w:rPr>
        <w:t>t</w:t>
      </w:r>
      <w:r>
        <w:rPr>
          <w:rFonts w:eastAsia="Arial" w:cs="Arial"/>
          <w:color w:val="FF0000"/>
          <w:spacing w:val="10"/>
          <w:sz w:val="16"/>
          <w:szCs w:val="16"/>
        </w:rPr>
        <w:t>o</w:t>
      </w:r>
      <w:r>
        <w:rPr>
          <w:rFonts w:eastAsia="Arial" w:cs="Arial"/>
          <w:color w:val="FF0000"/>
          <w:sz w:val="16"/>
          <w:szCs w:val="16"/>
        </w:rPr>
        <w:t>,</w:t>
      </w:r>
      <w:r>
        <w:rPr>
          <w:rFonts w:eastAsia="Arial" w:cs="Arial"/>
          <w:color w:val="FF0000"/>
          <w:spacing w:val="7"/>
          <w:sz w:val="16"/>
          <w:szCs w:val="16"/>
        </w:rPr>
        <w:t xml:space="preserve"> </w:t>
      </w:r>
      <w:r>
        <w:rPr>
          <w:rFonts w:eastAsia="Arial" w:cs="Arial"/>
          <w:color w:val="FF0000"/>
          <w:spacing w:val="5"/>
          <w:sz w:val="16"/>
          <w:szCs w:val="16"/>
        </w:rPr>
        <w:t>V</w:t>
      </w:r>
      <w:r>
        <w:rPr>
          <w:rFonts w:eastAsia="Arial" w:cs="Arial"/>
          <w:color w:val="FF0000"/>
          <w:spacing w:val="12"/>
          <w:sz w:val="16"/>
          <w:szCs w:val="16"/>
        </w:rPr>
        <w:t>i</w:t>
      </w:r>
      <w:r>
        <w:rPr>
          <w:rFonts w:eastAsia="Arial" w:cs="Arial"/>
          <w:color w:val="FF0000"/>
          <w:spacing w:val="6"/>
          <w:sz w:val="16"/>
          <w:szCs w:val="16"/>
        </w:rPr>
        <w:t>o</w:t>
      </w:r>
      <w:r>
        <w:rPr>
          <w:rFonts w:eastAsia="Arial" w:cs="Arial"/>
          <w:color w:val="FF0000"/>
          <w:spacing w:val="12"/>
          <w:sz w:val="16"/>
          <w:szCs w:val="16"/>
        </w:rPr>
        <w:t>l</w:t>
      </w:r>
      <w:r>
        <w:rPr>
          <w:rFonts w:eastAsia="Arial" w:cs="Arial"/>
          <w:color w:val="FF0000"/>
          <w:spacing w:val="6"/>
          <w:sz w:val="16"/>
          <w:szCs w:val="16"/>
        </w:rPr>
        <w:t>en</w:t>
      </w:r>
      <w:r>
        <w:rPr>
          <w:rFonts w:eastAsia="Arial" w:cs="Arial"/>
          <w:color w:val="FF0000"/>
          <w:sz w:val="16"/>
          <w:szCs w:val="16"/>
        </w:rPr>
        <w:t>t</w:t>
      </w:r>
      <w:r>
        <w:rPr>
          <w:rFonts w:eastAsia="Arial" w:cs="Arial"/>
          <w:color w:val="FF0000"/>
          <w:spacing w:val="6"/>
          <w:sz w:val="16"/>
          <w:szCs w:val="16"/>
        </w:rPr>
        <w:t xml:space="preserve"> </w:t>
      </w:r>
      <w:r>
        <w:rPr>
          <w:rFonts w:eastAsia="Arial" w:cs="Arial"/>
          <w:color w:val="FF0000"/>
          <w:spacing w:val="5"/>
          <w:sz w:val="16"/>
          <w:szCs w:val="16"/>
        </w:rPr>
        <w:t>P</w:t>
      </w:r>
      <w:r>
        <w:rPr>
          <w:rFonts w:eastAsia="Arial" w:cs="Arial"/>
          <w:color w:val="FF0000"/>
          <w:spacing w:val="6"/>
          <w:sz w:val="16"/>
          <w:szCs w:val="16"/>
        </w:rPr>
        <w:t>a</w:t>
      </w:r>
      <w:r>
        <w:rPr>
          <w:rFonts w:eastAsia="Arial" w:cs="Arial"/>
          <w:color w:val="FF0000"/>
          <w:spacing w:val="3"/>
          <w:sz w:val="16"/>
          <w:szCs w:val="16"/>
        </w:rPr>
        <w:t>t</w:t>
      </w:r>
      <w:r>
        <w:rPr>
          <w:rFonts w:eastAsia="Arial" w:cs="Arial"/>
          <w:color w:val="FF0000"/>
          <w:spacing w:val="12"/>
          <w:sz w:val="16"/>
          <w:szCs w:val="16"/>
        </w:rPr>
        <w:t>i</w:t>
      </w:r>
      <w:r>
        <w:rPr>
          <w:rFonts w:eastAsia="Arial" w:cs="Arial"/>
          <w:color w:val="FF0000"/>
          <w:spacing w:val="6"/>
          <w:sz w:val="16"/>
          <w:szCs w:val="16"/>
        </w:rPr>
        <w:t>en</w:t>
      </w:r>
      <w:r>
        <w:rPr>
          <w:rFonts w:eastAsia="Arial" w:cs="Arial"/>
          <w:color w:val="FF0000"/>
          <w:sz w:val="16"/>
          <w:szCs w:val="16"/>
        </w:rPr>
        <w:t>t</w:t>
      </w:r>
      <w:r>
        <w:rPr>
          <w:rFonts w:eastAsia="Arial" w:cs="Arial"/>
          <w:color w:val="FF0000"/>
          <w:spacing w:val="6"/>
          <w:sz w:val="16"/>
          <w:szCs w:val="16"/>
        </w:rPr>
        <w:t xml:space="preserve"> </w:t>
      </w:r>
      <w:r>
        <w:rPr>
          <w:rFonts w:eastAsia="Arial" w:cs="Arial"/>
          <w:color w:val="FF0000"/>
          <w:spacing w:val="5"/>
          <w:sz w:val="16"/>
          <w:szCs w:val="16"/>
        </w:rPr>
        <w:t>S</w:t>
      </w:r>
      <w:r>
        <w:rPr>
          <w:rFonts w:eastAsia="Arial" w:cs="Arial"/>
          <w:color w:val="FF0000"/>
          <w:sz w:val="16"/>
          <w:szCs w:val="16"/>
        </w:rPr>
        <w:t>c</w:t>
      </w:r>
      <w:r>
        <w:rPr>
          <w:rFonts w:eastAsia="Arial" w:cs="Arial"/>
          <w:color w:val="FF0000"/>
          <w:spacing w:val="6"/>
          <w:sz w:val="16"/>
          <w:szCs w:val="16"/>
        </w:rPr>
        <w:t>he</w:t>
      </w:r>
      <w:r>
        <w:rPr>
          <w:rFonts w:eastAsia="Arial" w:cs="Arial"/>
          <w:color w:val="FF0000"/>
          <w:spacing w:val="10"/>
          <w:sz w:val="16"/>
          <w:szCs w:val="16"/>
        </w:rPr>
        <w:t>m</w:t>
      </w:r>
      <w:r>
        <w:rPr>
          <w:rFonts w:eastAsia="Arial" w:cs="Arial"/>
          <w:color w:val="FF0000"/>
          <w:sz w:val="16"/>
          <w:szCs w:val="16"/>
        </w:rPr>
        <w:t>e</w:t>
      </w:r>
      <w:r>
        <w:rPr>
          <w:rFonts w:eastAsia="Arial" w:cs="Arial"/>
          <w:color w:val="FF0000"/>
          <w:spacing w:val="10"/>
          <w:sz w:val="16"/>
          <w:szCs w:val="16"/>
        </w:rPr>
        <w:t xml:space="preserve"> </w:t>
      </w:r>
      <w:r>
        <w:rPr>
          <w:rFonts w:eastAsia="Arial" w:cs="Arial"/>
          <w:color w:val="FF0000"/>
          <w:spacing w:val="-6"/>
          <w:sz w:val="16"/>
          <w:szCs w:val="16"/>
        </w:rPr>
        <w:t>(</w:t>
      </w:r>
      <w:r>
        <w:rPr>
          <w:rFonts w:eastAsia="Arial" w:cs="Arial"/>
          <w:color w:val="FF0000"/>
          <w:spacing w:val="5"/>
          <w:sz w:val="16"/>
          <w:szCs w:val="16"/>
        </w:rPr>
        <w:t>VPS</w:t>
      </w:r>
      <w:r>
        <w:rPr>
          <w:rFonts w:eastAsia="Arial" w:cs="Arial"/>
          <w:color w:val="FF0000"/>
          <w:sz w:val="16"/>
          <w:szCs w:val="16"/>
        </w:rPr>
        <w:t>)</w:t>
      </w:r>
      <w:r>
        <w:rPr>
          <w:rFonts w:eastAsia="Arial" w:cs="Arial"/>
          <w:color w:val="FF0000"/>
          <w:spacing w:val="-2"/>
          <w:sz w:val="16"/>
          <w:szCs w:val="16"/>
        </w:rPr>
        <w:t xml:space="preserve"> </w:t>
      </w:r>
      <w:r>
        <w:rPr>
          <w:rFonts w:eastAsia="Arial" w:cs="Arial"/>
          <w:color w:val="FF0000"/>
          <w:spacing w:val="6"/>
          <w:sz w:val="16"/>
          <w:szCs w:val="16"/>
        </w:rPr>
        <w:t>o</w:t>
      </w:r>
      <w:r>
        <w:rPr>
          <w:rFonts w:eastAsia="Arial" w:cs="Arial"/>
          <w:color w:val="FF0000"/>
          <w:sz w:val="16"/>
          <w:szCs w:val="16"/>
        </w:rPr>
        <w:t>r</w:t>
      </w:r>
      <w:r>
        <w:rPr>
          <w:rFonts w:eastAsia="Arial" w:cs="Arial"/>
          <w:color w:val="FF0000"/>
          <w:spacing w:val="-2"/>
          <w:sz w:val="16"/>
          <w:szCs w:val="16"/>
        </w:rPr>
        <w:t xml:space="preserve"> Z</w:t>
      </w:r>
      <w:r>
        <w:rPr>
          <w:rFonts w:eastAsia="Arial" w:cs="Arial"/>
          <w:color w:val="FF0000"/>
          <w:spacing w:val="6"/>
          <w:sz w:val="16"/>
          <w:szCs w:val="16"/>
        </w:rPr>
        <w:t>e</w:t>
      </w:r>
      <w:r>
        <w:rPr>
          <w:rFonts w:eastAsia="Arial" w:cs="Arial"/>
          <w:color w:val="FF0000"/>
          <w:spacing w:val="-6"/>
          <w:sz w:val="16"/>
          <w:szCs w:val="16"/>
        </w:rPr>
        <w:t>r</w:t>
      </w:r>
      <w:r>
        <w:rPr>
          <w:rFonts w:eastAsia="Arial" w:cs="Arial"/>
          <w:color w:val="FF0000"/>
          <w:sz w:val="16"/>
          <w:szCs w:val="16"/>
        </w:rPr>
        <w:t>o</w:t>
      </w:r>
      <w:r>
        <w:rPr>
          <w:rFonts w:eastAsia="Arial" w:cs="Arial"/>
          <w:color w:val="FF0000"/>
          <w:spacing w:val="10"/>
          <w:sz w:val="16"/>
          <w:szCs w:val="16"/>
        </w:rPr>
        <w:t xml:space="preserve"> Tolerance </w:t>
      </w:r>
      <w:r>
        <w:rPr>
          <w:rFonts w:eastAsia="Arial" w:cs="Arial"/>
          <w:color w:val="FF0000"/>
          <w:spacing w:val="5"/>
          <w:sz w:val="16"/>
          <w:szCs w:val="16"/>
        </w:rPr>
        <w:t>S</w:t>
      </w:r>
      <w:r>
        <w:rPr>
          <w:rFonts w:eastAsia="Arial" w:cs="Arial"/>
          <w:color w:val="FF0000"/>
          <w:sz w:val="16"/>
          <w:szCs w:val="16"/>
        </w:rPr>
        <w:t>c</w:t>
      </w:r>
      <w:r>
        <w:rPr>
          <w:rFonts w:eastAsia="Arial" w:cs="Arial"/>
          <w:color w:val="FF0000"/>
          <w:spacing w:val="6"/>
          <w:sz w:val="16"/>
          <w:szCs w:val="16"/>
        </w:rPr>
        <w:t>he</w:t>
      </w:r>
      <w:r>
        <w:rPr>
          <w:rFonts w:eastAsia="Arial" w:cs="Arial"/>
          <w:color w:val="FF0000"/>
          <w:spacing w:val="10"/>
          <w:sz w:val="16"/>
          <w:szCs w:val="16"/>
        </w:rPr>
        <w:t>m</w:t>
      </w:r>
      <w:r>
        <w:rPr>
          <w:rFonts w:eastAsia="Arial" w:cs="Arial"/>
          <w:color w:val="FF0000"/>
          <w:sz w:val="16"/>
          <w:szCs w:val="16"/>
        </w:rPr>
        <w:t>e</w:t>
      </w:r>
      <w:r>
        <w:rPr>
          <w:rFonts w:eastAsia="Arial" w:cs="Arial"/>
          <w:color w:val="FF0000"/>
          <w:spacing w:val="10"/>
          <w:sz w:val="16"/>
          <w:szCs w:val="16"/>
        </w:rPr>
        <w:t xml:space="preserve"> </w:t>
      </w:r>
      <w:r>
        <w:rPr>
          <w:rFonts w:eastAsia="Arial" w:cs="Arial"/>
          <w:color w:val="FF0000"/>
          <w:spacing w:val="-6"/>
          <w:sz w:val="16"/>
          <w:szCs w:val="16"/>
        </w:rPr>
        <w:t>(</w:t>
      </w:r>
      <w:r>
        <w:rPr>
          <w:rFonts w:eastAsia="Arial" w:cs="Arial"/>
          <w:color w:val="FF0000"/>
          <w:spacing w:val="-2"/>
          <w:sz w:val="16"/>
          <w:szCs w:val="16"/>
        </w:rPr>
        <w:t>Z</w:t>
      </w:r>
      <w:r>
        <w:rPr>
          <w:rFonts w:eastAsia="Arial" w:cs="Arial"/>
          <w:color w:val="FF0000"/>
          <w:sz w:val="16"/>
          <w:szCs w:val="16"/>
        </w:rPr>
        <w:t>T</w:t>
      </w:r>
      <w:r>
        <w:rPr>
          <w:rFonts w:eastAsia="Arial" w:cs="Arial"/>
          <w:color w:val="FF0000"/>
          <w:spacing w:val="-31"/>
          <w:sz w:val="16"/>
          <w:szCs w:val="16"/>
        </w:rPr>
        <w:t xml:space="preserve"> </w:t>
      </w:r>
      <w:r>
        <w:rPr>
          <w:rFonts w:eastAsia="Arial" w:cs="Arial"/>
          <w:color w:val="FF0000"/>
          <w:spacing w:val="5"/>
          <w:sz w:val="16"/>
          <w:szCs w:val="16"/>
        </w:rPr>
        <w:t>S</w:t>
      </w:r>
      <w:r>
        <w:rPr>
          <w:rFonts w:eastAsia="Arial" w:cs="Arial"/>
          <w:color w:val="FF0000"/>
          <w:spacing w:val="-6"/>
          <w:sz w:val="16"/>
          <w:szCs w:val="16"/>
        </w:rPr>
        <w:t>)</w:t>
      </w:r>
      <w:r>
        <w:rPr>
          <w:rFonts w:eastAsia="Arial" w:cs="Arial"/>
          <w:color w:val="FF0000"/>
          <w:sz w:val="16"/>
          <w:szCs w:val="16"/>
        </w:rPr>
        <w:t>)</w:t>
      </w:r>
    </w:p>
    <w:p w14:paraId="76C0253D" w14:textId="77777777" w:rsidR="008F7BB3" w:rsidRPr="00E54C11" w:rsidRDefault="008F7BB3" w:rsidP="008F7BB3"/>
    <w:p w14:paraId="4461943D" w14:textId="77777777" w:rsidR="008F7BB3" w:rsidRPr="00E54C11" w:rsidRDefault="008F7BB3" w:rsidP="008F7BB3">
      <w:pPr>
        <w:pStyle w:val="Heading2"/>
      </w:pPr>
      <w:bookmarkStart w:id="487" w:name="_Toc498495379"/>
      <w:r w:rsidRPr="00E54C11">
        <w:t>Executive Summary and Key Messages</w:t>
      </w:r>
      <w:bookmarkEnd w:id="486"/>
      <w:bookmarkEnd w:id="487"/>
    </w:p>
    <w:p w14:paraId="6E80C465" w14:textId="77777777" w:rsidR="008F7BB3" w:rsidRPr="00E54C11" w:rsidRDefault="008F7BB3" w:rsidP="008F7BB3">
      <w:pPr>
        <w:pStyle w:val="SchedClauses"/>
        <w:spacing w:line="276" w:lineRule="auto"/>
        <w:ind w:left="709"/>
        <w:rPr>
          <w:sz w:val="24"/>
        </w:rPr>
      </w:pPr>
      <w:r w:rsidRPr="00E54C11">
        <w:rPr>
          <w:sz w:val="24"/>
        </w:rPr>
        <w:t>This chapter provides guidance to Commissioners and providers of essential primary medical care services in relation to the removal of patients who are violent from their practice list and the Special Allocation Schemes (</w:t>
      </w:r>
      <w:r w:rsidRPr="00E54C11">
        <w:rPr>
          <w:b/>
          <w:sz w:val="24"/>
        </w:rPr>
        <w:t>SAS</w:t>
      </w:r>
      <w:r w:rsidRPr="00E54C11">
        <w:rPr>
          <w:sz w:val="24"/>
        </w:rPr>
        <w:t xml:space="preserve">) intended to ensure such patients receive primary care services. Provision for SAS is set out in the GMS Regulations and the PMS Regulations (together, the </w:t>
      </w:r>
      <w:r w:rsidRPr="00E54C11">
        <w:rPr>
          <w:b/>
          <w:sz w:val="24"/>
        </w:rPr>
        <w:t>Regulations</w:t>
      </w:r>
      <w:r w:rsidRPr="00E54C11">
        <w:rPr>
          <w:sz w:val="24"/>
        </w:rPr>
        <w:t>).</w:t>
      </w:r>
      <w:r w:rsidRPr="00E77F77">
        <w:rPr>
          <w:sz w:val="24"/>
        </w:rPr>
        <w:t xml:space="preserve"> </w:t>
      </w:r>
    </w:p>
    <w:p w14:paraId="5CFB4788" w14:textId="77777777" w:rsidR="008F7BB3" w:rsidRPr="00E54C11" w:rsidRDefault="008F7BB3" w:rsidP="008F7BB3">
      <w:pPr>
        <w:pStyle w:val="SchedClauses"/>
        <w:spacing w:line="276" w:lineRule="auto"/>
        <w:ind w:left="709"/>
        <w:rPr>
          <w:sz w:val="24"/>
        </w:rPr>
      </w:pPr>
      <w:r w:rsidRPr="00E54C11">
        <w:rPr>
          <w:sz w:val="24"/>
        </w:rPr>
        <w:t>This guidance focuses on a number of key themes (which are intended to support implementation of, and commissioning and monitoring of a SAS:</w:t>
      </w:r>
    </w:p>
    <w:p w14:paraId="2EF41B87" w14:textId="77777777" w:rsidR="008F7BB3" w:rsidRPr="007F440D" w:rsidRDefault="000E7846" w:rsidP="005A7DDA">
      <w:pPr>
        <w:pStyle w:val="SchedClauses"/>
        <w:widowControl/>
        <w:numPr>
          <w:ilvl w:val="2"/>
          <w:numId w:val="66"/>
        </w:numPr>
        <w:spacing w:line="276" w:lineRule="auto"/>
        <w:rPr>
          <w:color w:val="0000FF"/>
          <w:sz w:val="24"/>
          <w:szCs w:val="24"/>
          <w:u w:val="single"/>
        </w:rPr>
      </w:pPr>
      <w:hyperlink w:anchor="_Introduction" w:history="1">
        <w:r w:rsidR="008F7BB3" w:rsidRPr="007F440D">
          <w:rPr>
            <w:color w:val="0000FF"/>
            <w:sz w:val="24"/>
            <w:szCs w:val="24"/>
            <w:u w:val="single"/>
          </w:rPr>
          <w:t>Introduction</w:t>
        </w:r>
      </w:hyperlink>
    </w:p>
    <w:p w14:paraId="65D0CBD4" w14:textId="77777777" w:rsidR="008F7BB3" w:rsidRPr="007F440D" w:rsidRDefault="000E7846" w:rsidP="005A7DDA">
      <w:pPr>
        <w:pStyle w:val="SchedClauses"/>
        <w:widowControl/>
        <w:numPr>
          <w:ilvl w:val="2"/>
          <w:numId w:val="66"/>
        </w:numPr>
        <w:spacing w:line="276" w:lineRule="auto"/>
        <w:rPr>
          <w:color w:val="0000FF"/>
          <w:sz w:val="24"/>
          <w:szCs w:val="24"/>
          <w:u w:val="single"/>
        </w:rPr>
      </w:pPr>
      <w:hyperlink w:anchor="_Commissioning_a_robust" w:history="1">
        <w:r w:rsidR="008F7BB3" w:rsidRPr="007F440D">
          <w:rPr>
            <w:color w:val="0000FF"/>
            <w:sz w:val="24"/>
            <w:szCs w:val="24"/>
            <w:u w:val="single"/>
          </w:rPr>
          <w:t>Commissioning a robust SAS</w:t>
        </w:r>
      </w:hyperlink>
    </w:p>
    <w:p w14:paraId="1628704A" w14:textId="77777777" w:rsidR="008F7BB3" w:rsidRPr="007F440D" w:rsidRDefault="008F7BB3" w:rsidP="005A7DDA">
      <w:pPr>
        <w:pStyle w:val="SchedClauses"/>
        <w:widowControl/>
        <w:numPr>
          <w:ilvl w:val="2"/>
          <w:numId w:val="66"/>
        </w:numPr>
        <w:spacing w:line="276" w:lineRule="auto"/>
        <w:rPr>
          <w:sz w:val="24"/>
          <w:szCs w:val="24"/>
        </w:rPr>
      </w:pPr>
      <w:r w:rsidRPr="007F440D">
        <w:rPr>
          <w:color w:val="0000FF"/>
          <w:sz w:val="24"/>
          <w:szCs w:val="24"/>
          <w:u w:val="single"/>
        </w:rPr>
        <w:t>Provider and service requirements and monitoring</w:t>
      </w:r>
      <w:r w:rsidRPr="007F440D">
        <w:rPr>
          <w:sz w:val="24"/>
          <w:szCs w:val="24"/>
        </w:rPr>
        <w:t xml:space="preserve">. </w:t>
      </w:r>
    </w:p>
    <w:p w14:paraId="28688C6B" w14:textId="77777777" w:rsidR="008F7BB3" w:rsidRPr="007F440D" w:rsidRDefault="000E7846" w:rsidP="005A7DDA">
      <w:pPr>
        <w:pStyle w:val="SchedClauses"/>
        <w:widowControl/>
        <w:numPr>
          <w:ilvl w:val="2"/>
          <w:numId w:val="66"/>
        </w:numPr>
        <w:spacing w:line="276" w:lineRule="auto"/>
        <w:rPr>
          <w:color w:val="0000FF"/>
          <w:sz w:val="24"/>
          <w:szCs w:val="24"/>
          <w:u w:val="single"/>
        </w:rPr>
      </w:pPr>
      <w:hyperlink w:anchor="_When_to_use" w:history="1">
        <w:r w:rsidR="008F7BB3" w:rsidRPr="007F440D">
          <w:rPr>
            <w:color w:val="0000FF"/>
            <w:sz w:val="24"/>
            <w:szCs w:val="24"/>
            <w:u w:val="single"/>
          </w:rPr>
          <w:t>The scope of / eligibility criteria for a SAS</w:t>
        </w:r>
      </w:hyperlink>
      <w:r w:rsidR="008F7BB3" w:rsidRPr="007F440D">
        <w:rPr>
          <w:color w:val="0000FF"/>
          <w:sz w:val="24"/>
          <w:szCs w:val="24"/>
          <w:u w:val="single"/>
        </w:rPr>
        <w:t xml:space="preserve">, </w:t>
      </w:r>
    </w:p>
    <w:p w14:paraId="4DDFADED" w14:textId="77777777" w:rsidR="008F7BB3" w:rsidRPr="007F440D" w:rsidRDefault="000E7846" w:rsidP="005A7DDA">
      <w:pPr>
        <w:pStyle w:val="SchedClauses"/>
        <w:widowControl/>
        <w:numPr>
          <w:ilvl w:val="2"/>
          <w:numId w:val="66"/>
        </w:numPr>
        <w:spacing w:line="276" w:lineRule="auto"/>
        <w:rPr>
          <w:color w:val="0000FF"/>
          <w:sz w:val="24"/>
          <w:szCs w:val="24"/>
          <w:u w:val="single"/>
        </w:rPr>
      </w:pPr>
      <w:hyperlink w:anchor="_Once_satisfied_that" w:history="1">
        <w:r w:rsidR="008F7BB3" w:rsidRPr="007F440D">
          <w:rPr>
            <w:color w:val="0000FF"/>
            <w:sz w:val="24"/>
            <w:szCs w:val="24"/>
            <w:u w:val="single"/>
          </w:rPr>
          <w:t>The process for requesting immediate removal of a patient</w:t>
        </w:r>
      </w:hyperlink>
      <w:r w:rsidR="008F7BB3" w:rsidRPr="007F440D">
        <w:rPr>
          <w:color w:val="0000FF"/>
          <w:sz w:val="24"/>
          <w:szCs w:val="24"/>
          <w:u w:val="single"/>
        </w:rPr>
        <w:t xml:space="preserve">, </w:t>
      </w:r>
    </w:p>
    <w:p w14:paraId="19203AC3" w14:textId="77777777" w:rsidR="008F7BB3" w:rsidRPr="007F440D" w:rsidRDefault="000E7846" w:rsidP="005A7DDA">
      <w:pPr>
        <w:pStyle w:val="SchedClauses"/>
        <w:widowControl/>
        <w:numPr>
          <w:ilvl w:val="2"/>
          <w:numId w:val="66"/>
        </w:numPr>
        <w:spacing w:line="276" w:lineRule="auto"/>
        <w:rPr>
          <w:color w:val="0000FF"/>
          <w:sz w:val="24"/>
          <w:szCs w:val="24"/>
          <w:u w:val="single"/>
        </w:rPr>
      </w:pPr>
      <w:hyperlink w:anchor="_Appendix_Six:_Example" w:history="1">
        <w:r w:rsidR="008F7BB3" w:rsidRPr="007F440D">
          <w:rPr>
            <w:color w:val="0000FF"/>
            <w:sz w:val="24"/>
            <w:szCs w:val="24"/>
            <w:u w:val="single"/>
          </w:rPr>
          <w:t>What happens after removal, including returning choice to patient</w:t>
        </w:r>
      </w:hyperlink>
      <w:r w:rsidR="008F7BB3" w:rsidRPr="007F440D">
        <w:rPr>
          <w:color w:val="0000FF"/>
          <w:sz w:val="24"/>
          <w:szCs w:val="24"/>
          <w:u w:val="single"/>
        </w:rPr>
        <w:t xml:space="preserve"> (see also section 3.11.2) </w:t>
      </w:r>
    </w:p>
    <w:p w14:paraId="047B0045" w14:textId="77777777" w:rsidR="008F7BB3" w:rsidRPr="00E54C11" w:rsidRDefault="008F7BB3" w:rsidP="008F7BB3">
      <w:pPr>
        <w:pStyle w:val="SchedClauses"/>
        <w:spacing w:line="276" w:lineRule="auto"/>
        <w:ind w:left="709"/>
        <w:rPr>
          <w:sz w:val="24"/>
        </w:rPr>
      </w:pPr>
      <w:r w:rsidRPr="00E54C11">
        <w:rPr>
          <w:sz w:val="24"/>
        </w:rPr>
        <w:t>Given the importance of the interests that SAS seeks to balance, two key messages are emphasised at the outset.</w:t>
      </w:r>
    </w:p>
    <w:p w14:paraId="7DC5F7BB" w14:textId="77777777" w:rsidR="008F7BB3" w:rsidRPr="00E54C11" w:rsidRDefault="008F7BB3" w:rsidP="008F7BB3">
      <w:pPr>
        <w:pStyle w:val="SchedClauses"/>
        <w:spacing w:line="276" w:lineRule="auto"/>
        <w:ind w:left="709"/>
        <w:rPr>
          <w:sz w:val="24"/>
        </w:rPr>
      </w:pPr>
      <w:r w:rsidRPr="00E54C11">
        <w:rPr>
          <w:sz w:val="24"/>
        </w:rPr>
        <w:t>The first relates to the scope of SAS. The Regulations regarding the removal of patients who are violent is specific in terminology and the Regulations require that GMS and PMS contracts provide for "Removal from the list of patients who are violent".</w:t>
      </w:r>
      <w:r w:rsidRPr="00E77F77">
        <w:rPr>
          <w:sz w:val="24"/>
        </w:rPr>
        <w:t xml:space="preserve"> </w:t>
      </w:r>
    </w:p>
    <w:p w14:paraId="2EBDC8A1" w14:textId="77777777" w:rsidR="008F7BB3" w:rsidRPr="00E54C11" w:rsidRDefault="008F7BB3" w:rsidP="008F7BB3">
      <w:pPr>
        <w:pStyle w:val="SchedClauses"/>
        <w:spacing w:line="276" w:lineRule="auto"/>
        <w:ind w:left="709"/>
        <w:rPr>
          <w:sz w:val="24"/>
        </w:rPr>
      </w:pPr>
      <w:r w:rsidRPr="00E54C11">
        <w:rPr>
          <w:sz w:val="24"/>
        </w:rPr>
        <w:t xml:space="preserve">However, within the Regulations it is further specified that the grounds on which a contractor may </w:t>
      </w:r>
      <w:r w:rsidRPr="00E77F77">
        <w:rPr>
          <w:sz w:val="24"/>
        </w:rPr>
        <w:t>request that</w:t>
      </w:r>
      <w:r w:rsidRPr="00E54C11">
        <w:rPr>
          <w:sz w:val="24"/>
        </w:rPr>
        <w:t xml:space="preserve"> a person</w:t>
      </w:r>
      <w:r w:rsidRPr="00E77F77">
        <w:rPr>
          <w:sz w:val="24"/>
        </w:rPr>
        <w:t xml:space="preserve"> be removed</w:t>
      </w:r>
      <w:r w:rsidRPr="00E54C11">
        <w:rPr>
          <w:sz w:val="24"/>
        </w:rPr>
        <w:t xml:space="preserve"> from its list of patients with immediate effect are that "the person has committed an </w:t>
      </w:r>
      <w:r w:rsidRPr="00E54C11">
        <w:rPr>
          <w:b/>
          <w:sz w:val="24"/>
          <w:u w:val="single"/>
        </w:rPr>
        <w:t xml:space="preserve">act of violence against </w:t>
      </w:r>
      <w:r w:rsidRPr="00E54C11">
        <w:rPr>
          <w:sz w:val="24"/>
        </w:rPr>
        <w:t xml:space="preserve">any of the persons specified in subparagraph (2) </w:t>
      </w:r>
      <w:r w:rsidRPr="00E54C11">
        <w:rPr>
          <w:b/>
          <w:sz w:val="24"/>
          <w:u w:val="single"/>
        </w:rPr>
        <w:t>or has</w:t>
      </w:r>
      <w:r w:rsidRPr="00E77F77">
        <w:rPr>
          <w:b/>
          <w:sz w:val="24"/>
          <w:u w:val="single"/>
        </w:rPr>
        <w:t xml:space="preserve"> behaved in such a way that any of those persons has feared for their safety"</w:t>
      </w:r>
      <w:r w:rsidRPr="00E77F77">
        <w:rPr>
          <w:sz w:val="24"/>
        </w:rPr>
        <w:t>.</w:t>
      </w:r>
    </w:p>
    <w:p w14:paraId="41C6A087" w14:textId="77777777" w:rsidR="008F7BB3" w:rsidRPr="00E54C11" w:rsidRDefault="008F7BB3" w:rsidP="008F7BB3">
      <w:pPr>
        <w:pStyle w:val="SchedClauses"/>
        <w:spacing w:line="276" w:lineRule="auto"/>
        <w:ind w:left="709"/>
        <w:rPr>
          <w:sz w:val="24"/>
        </w:rPr>
      </w:pPr>
      <w:r w:rsidRPr="00E54C11">
        <w:rPr>
          <w:sz w:val="24"/>
        </w:rPr>
        <w:t xml:space="preserve">The Commissioner should therefore be clear that violence does not have to be physical or actual. It can be perceived, threatened or indeed a perceived threat of violence. A person's fear for their safety can also be actual or perceived. </w:t>
      </w:r>
      <w:r w:rsidRPr="00E77F77">
        <w:rPr>
          <w:sz w:val="24"/>
        </w:rPr>
        <w:t xml:space="preserve"> </w:t>
      </w:r>
      <w:r w:rsidRPr="00E54C11">
        <w:rPr>
          <w:sz w:val="24"/>
        </w:rPr>
        <w:t xml:space="preserve">If </w:t>
      </w:r>
      <w:r w:rsidRPr="00E54C11">
        <w:rPr>
          <w:sz w:val="24"/>
        </w:rPr>
        <w:lastRenderedPageBreak/>
        <w:t>a patient's behaviour is such that it warrants removal from the patient list and placing them on a SAS</w:t>
      </w:r>
      <w:r>
        <w:rPr>
          <w:sz w:val="24"/>
        </w:rPr>
        <w:t xml:space="preserve"> (if they wish to continue receiving primary medical care)</w:t>
      </w:r>
      <w:r w:rsidRPr="00E77F77">
        <w:rPr>
          <w:sz w:val="24"/>
        </w:rPr>
        <w:t>,</w:t>
      </w:r>
      <w:r w:rsidRPr="00E54C11">
        <w:rPr>
          <w:sz w:val="24"/>
        </w:rPr>
        <w:t xml:space="preserve"> then the Regulations require that the incident is reported to the police.</w:t>
      </w:r>
    </w:p>
    <w:p w14:paraId="7C09454A" w14:textId="77777777" w:rsidR="008F7BB3" w:rsidRPr="00E54C11" w:rsidRDefault="008F7BB3" w:rsidP="008F7BB3">
      <w:pPr>
        <w:pStyle w:val="SchedClauses"/>
        <w:spacing w:line="276" w:lineRule="auto"/>
        <w:ind w:left="709"/>
        <w:rPr>
          <w:sz w:val="24"/>
        </w:rPr>
      </w:pPr>
      <w:r w:rsidRPr="00E54C11">
        <w:rPr>
          <w:sz w:val="24"/>
        </w:rPr>
        <w:t>In the case of the patients whose behaviour is disruptive but falling short of the above grounds, Commissioners should discuss with the practice if the patient should instead be removed from the practice on the alternative ground of irrevocable breakdown in the relationship between the person and the contractor see paragraph 24, Schedule 3, Part 2 of the GMS Regulations and paragraph 23, Schedule 2, Part 2 of the PMS Regulations).</w:t>
      </w:r>
      <w:r w:rsidRPr="00E77F77">
        <w:rPr>
          <w:sz w:val="24"/>
        </w:rPr>
        <w:t xml:space="preserve"> </w:t>
      </w:r>
    </w:p>
    <w:p w14:paraId="0AB41774" w14:textId="77777777" w:rsidR="008F7BB3" w:rsidRPr="00E54C11" w:rsidRDefault="008F7BB3" w:rsidP="008F7BB3">
      <w:pPr>
        <w:pStyle w:val="SchedClauses"/>
        <w:spacing w:line="276" w:lineRule="auto"/>
        <w:ind w:left="709"/>
        <w:rPr>
          <w:sz w:val="24"/>
        </w:rPr>
      </w:pPr>
      <w:r w:rsidRPr="00E54C11">
        <w:rPr>
          <w:sz w:val="24"/>
        </w:rPr>
        <w:t>The second key message is that we want all providers to be fully aware of and understand the process for immediate removal of a patient. In summary, where a patient's behaviour is deemed within the scope of this chapter (i.e. SAS):</w:t>
      </w:r>
    </w:p>
    <w:p w14:paraId="39F48273" w14:textId="77777777" w:rsidR="008F7BB3" w:rsidRPr="00E54C11" w:rsidRDefault="008F7BB3" w:rsidP="008F7BB3">
      <w:pPr>
        <w:pStyle w:val="SchedClauses"/>
        <w:spacing w:line="276" w:lineRule="auto"/>
        <w:ind w:left="709"/>
        <w:rPr>
          <w:sz w:val="24"/>
        </w:rPr>
      </w:pPr>
      <w:r w:rsidRPr="00E54C11">
        <w:rPr>
          <w:sz w:val="24"/>
        </w:rPr>
        <w:t xml:space="preserve">The Regulations require that, for a patient to be removed from a practice list, the practice must report the incident to the police. </w:t>
      </w:r>
      <w:r w:rsidRPr="00E77F77">
        <w:rPr>
          <w:sz w:val="24"/>
        </w:rPr>
        <w:t xml:space="preserve"> </w:t>
      </w:r>
      <w:r w:rsidRPr="00E54C11">
        <w:rPr>
          <w:sz w:val="24"/>
        </w:rPr>
        <w:t xml:space="preserve">The following 10 point process is designed to work in all but very exceptional circumstances. Those infrequent and exceptional cases relate solely to commissioner instigated allocations </w:t>
      </w:r>
      <w:r>
        <w:rPr>
          <w:sz w:val="24"/>
        </w:rPr>
        <w:t xml:space="preserve">(for example a patient that falls within the remit of a SAS allocation, but with no recent removal from a GP Practice i.e. previously unregistered) </w:t>
      </w:r>
      <w:r w:rsidRPr="00E54C11">
        <w:rPr>
          <w:sz w:val="24"/>
        </w:rPr>
        <w:t>and must be discussed and agreed with NHS England in advance.</w:t>
      </w:r>
    </w:p>
    <w:p w14:paraId="743D504A" w14:textId="77777777" w:rsidR="008F7BB3" w:rsidRPr="00E54C11" w:rsidRDefault="008F7BB3" w:rsidP="005A7DDA">
      <w:pPr>
        <w:pStyle w:val="SchedClauses"/>
        <w:widowControl/>
        <w:numPr>
          <w:ilvl w:val="0"/>
          <w:numId w:val="67"/>
        </w:numPr>
        <w:spacing w:line="276" w:lineRule="auto"/>
        <w:rPr>
          <w:sz w:val="24"/>
        </w:rPr>
      </w:pPr>
      <w:r w:rsidRPr="00E54C11">
        <w:rPr>
          <w:sz w:val="24"/>
        </w:rPr>
        <w:t xml:space="preserve">The Practice calls the police to report the incident (which is required under the regulation) and obtain a response (if required) and police incident number. Where possible this should be at the time </w:t>
      </w:r>
      <w:r w:rsidRPr="00E77F77">
        <w:rPr>
          <w:sz w:val="24"/>
        </w:rPr>
        <w:t>o</w:t>
      </w:r>
      <w:r>
        <w:rPr>
          <w:sz w:val="24"/>
        </w:rPr>
        <w:t>f</w:t>
      </w:r>
      <w:r w:rsidRPr="00E54C11">
        <w:rPr>
          <w:sz w:val="24"/>
        </w:rPr>
        <w:t xml:space="preserve"> reporting but in any case, a police incident number must be included within written report provided by the practice within 7 days (a contractual requirement under ‘reasonable requests for information’).</w:t>
      </w:r>
    </w:p>
    <w:p w14:paraId="6F3E10E7" w14:textId="77777777" w:rsidR="008F7BB3" w:rsidRPr="00AB3688" w:rsidRDefault="008F7BB3" w:rsidP="005A7DDA">
      <w:pPr>
        <w:pStyle w:val="SchedClauses"/>
        <w:widowControl/>
        <w:numPr>
          <w:ilvl w:val="0"/>
          <w:numId w:val="67"/>
        </w:numPr>
        <w:spacing w:line="276" w:lineRule="auto"/>
        <w:rPr>
          <w:color w:val="FF0000"/>
          <w:sz w:val="24"/>
        </w:rPr>
      </w:pPr>
      <w:r w:rsidRPr="00E54C11">
        <w:rPr>
          <w:sz w:val="24"/>
        </w:rPr>
        <w:t xml:space="preserve">The Practice </w:t>
      </w:r>
      <w:r w:rsidRPr="00E77F77">
        <w:rPr>
          <w:sz w:val="24"/>
        </w:rPr>
        <w:t>requests an immediate removal from</w:t>
      </w:r>
      <w:r w:rsidRPr="00E54C11">
        <w:rPr>
          <w:sz w:val="24"/>
        </w:rPr>
        <w:t xml:space="preserve"> NHS England's Primary Care Support England ("PCSE") service provided by Capita </w:t>
      </w:r>
      <w:r w:rsidRPr="00E77F77">
        <w:rPr>
          <w:sz w:val="24"/>
        </w:rPr>
        <w:t>at.</w:t>
      </w:r>
      <w:r w:rsidRPr="00E54C11">
        <w:rPr>
          <w:sz w:val="24"/>
        </w:rPr>
        <w:t xml:space="preserve"> This </w:t>
      </w:r>
      <w:r w:rsidRPr="00E77F77">
        <w:rPr>
          <w:sz w:val="24"/>
        </w:rPr>
        <w:t xml:space="preserve">request </w:t>
      </w:r>
      <w:r w:rsidRPr="00E54C11">
        <w:rPr>
          <w:sz w:val="24"/>
        </w:rPr>
        <w:t>can be by phone (v</w:t>
      </w:r>
      <w:r w:rsidRPr="00E54C11">
        <w:rPr>
          <w:color w:val="0000FF"/>
          <w:sz w:val="24"/>
          <w:u w:val="single"/>
        </w:rPr>
        <w:t xml:space="preserve">isit </w:t>
      </w:r>
      <w:hyperlink r:id="rId71" w:history="1">
        <w:r w:rsidRPr="00E77F77">
          <w:rPr>
            <w:color w:val="0000FF"/>
            <w:u w:val="single"/>
          </w:rPr>
          <w:t>https://pcse.england.nhs.uk/contact-us/</w:t>
        </w:r>
      </w:hyperlink>
      <w:r w:rsidRPr="00E77F77">
        <w:rPr>
          <w:sz w:val="24"/>
        </w:rPr>
        <w:t xml:space="preserve"> </w:t>
      </w:r>
      <w:r w:rsidRPr="00E54C11">
        <w:rPr>
          <w:sz w:val="24"/>
        </w:rPr>
        <w:t xml:space="preserve">for contact details) or email </w:t>
      </w:r>
      <w:hyperlink r:id="rId72" w:history="1">
        <w:r w:rsidRPr="00E77F77">
          <w:rPr>
            <w:color w:val="0000FF"/>
            <w:sz w:val="24"/>
            <w:u w:val="single"/>
          </w:rPr>
          <w:t>pcse.immediateremovals@nhs.net</w:t>
        </w:r>
      </w:hyperlink>
      <w:r w:rsidRPr="00E54C11">
        <w:rPr>
          <w:sz w:val="24"/>
        </w:rPr>
        <w:t xml:space="preserve">. PCSE will request the police incident number [Note: this is different from a crime reference number, which can only be allocated by the police once it has been established that a crime has been committed. The police will however record an incident number on police systems for all incidents according to Home Office Counting Rules ("HOCR")]. If the Practice does not have a police incident number at this point </w:t>
      </w:r>
      <w:r w:rsidRPr="00E77F77">
        <w:rPr>
          <w:sz w:val="24"/>
        </w:rPr>
        <w:t>(which should be in exceptional circumstances only),</w:t>
      </w:r>
      <w:r w:rsidRPr="00E54C11">
        <w:rPr>
          <w:sz w:val="24"/>
        </w:rPr>
        <w:t xml:space="preserve"> the Practice will be asked to provide details of the date, time and mechanism (i.e. 999, 111, local number) via which the incident was reported to the police. </w:t>
      </w:r>
      <w:r w:rsidRPr="00AB3688">
        <w:rPr>
          <w:b/>
          <w:color w:val="FF0000"/>
          <w:sz w:val="24"/>
        </w:rPr>
        <w:t>The absence of an incident number will not delay the immediate removal of a patient</w:t>
      </w:r>
      <w:r w:rsidRPr="00AB3688">
        <w:rPr>
          <w:color w:val="FF0000"/>
          <w:sz w:val="24"/>
        </w:rPr>
        <w:t xml:space="preserve">. </w:t>
      </w:r>
    </w:p>
    <w:p w14:paraId="3B1B6F05" w14:textId="77777777" w:rsidR="008F7BB3" w:rsidRPr="00E54C11" w:rsidRDefault="008F7BB3" w:rsidP="005A7DDA">
      <w:pPr>
        <w:pStyle w:val="SchedClauses"/>
        <w:widowControl/>
        <w:numPr>
          <w:ilvl w:val="0"/>
          <w:numId w:val="67"/>
        </w:numPr>
        <w:spacing w:line="276" w:lineRule="auto"/>
        <w:rPr>
          <w:sz w:val="24"/>
        </w:rPr>
      </w:pPr>
      <w:r w:rsidRPr="00E54C11">
        <w:rPr>
          <w:sz w:val="24"/>
        </w:rPr>
        <w:lastRenderedPageBreak/>
        <w:t>PCSE removes the patient from the Practice list and informs the appropriate Commissioner.</w:t>
      </w:r>
    </w:p>
    <w:p w14:paraId="267EEB75" w14:textId="77777777" w:rsidR="008F7BB3" w:rsidRPr="00E54C11" w:rsidRDefault="008F7BB3" w:rsidP="005A7DDA">
      <w:pPr>
        <w:pStyle w:val="SchedClauses"/>
        <w:widowControl/>
        <w:numPr>
          <w:ilvl w:val="0"/>
          <w:numId w:val="67"/>
        </w:numPr>
        <w:spacing w:line="276" w:lineRule="auto"/>
        <w:rPr>
          <w:sz w:val="24"/>
        </w:rPr>
      </w:pPr>
      <w:r w:rsidRPr="00E54C11">
        <w:rPr>
          <w:sz w:val="24"/>
        </w:rPr>
        <w:t xml:space="preserve">The Regulations require that the Practice notifies the patient in writing that a request for removal has been made, unless to do so would harm the patient's physical or mental health or put other's </w:t>
      </w:r>
      <w:r w:rsidRPr="00E77F77">
        <w:rPr>
          <w:sz w:val="24"/>
        </w:rPr>
        <w:t>on</w:t>
      </w:r>
      <w:r w:rsidRPr="00E54C11">
        <w:rPr>
          <w:sz w:val="24"/>
        </w:rPr>
        <w:t xml:space="preserve"> the </w:t>
      </w:r>
      <w:r w:rsidRPr="00E77F77">
        <w:rPr>
          <w:sz w:val="24"/>
        </w:rPr>
        <w:t>Practice premises</w:t>
      </w:r>
      <w:r w:rsidRPr="00E54C11">
        <w:rPr>
          <w:sz w:val="24"/>
        </w:rPr>
        <w:t xml:space="preserve"> at risk.</w:t>
      </w:r>
    </w:p>
    <w:p w14:paraId="6E1BBCC5" w14:textId="77777777" w:rsidR="008F7BB3" w:rsidRPr="00E54C11" w:rsidRDefault="008F7BB3" w:rsidP="005A7DDA">
      <w:pPr>
        <w:pStyle w:val="SchedClauses"/>
        <w:widowControl/>
        <w:numPr>
          <w:ilvl w:val="0"/>
          <w:numId w:val="67"/>
        </w:numPr>
        <w:spacing w:line="276" w:lineRule="auto"/>
        <w:rPr>
          <w:sz w:val="24"/>
        </w:rPr>
      </w:pPr>
      <w:r w:rsidRPr="00E54C11">
        <w:rPr>
          <w:sz w:val="24"/>
        </w:rPr>
        <w:t>PCSE allocates the patient to a local SAS provider. Commissioners are responsible for commissioning SAS either from GPs or other provider.</w:t>
      </w:r>
    </w:p>
    <w:p w14:paraId="3925C688" w14:textId="77777777" w:rsidR="008F7BB3" w:rsidRPr="00E54C11" w:rsidRDefault="008F7BB3" w:rsidP="005A7DDA">
      <w:pPr>
        <w:pStyle w:val="SchedClauses"/>
        <w:widowControl/>
        <w:numPr>
          <w:ilvl w:val="0"/>
          <w:numId w:val="67"/>
        </w:numPr>
        <w:spacing w:line="276" w:lineRule="auto"/>
        <w:rPr>
          <w:sz w:val="24"/>
        </w:rPr>
      </w:pPr>
      <w:r w:rsidRPr="00E54C11">
        <w:rPr>
          <w:sz w:val="24"/>
        </w:rPr>
        <w:t xml:space="preserve">PCSE notifies the patient in writing (standard letter at appendix 7) that they have been removed from the Practice list </w:t>
      </w:r>
      <w:r>
        <w:rPr>
          <w:sz w:val="24"/>
        </w:rPr>
        <w:t xml:space="preserve">(as per the Regulations (25.7)) </w:t>
      </w:r>
      <w:r w:rsidRPr="00E54C11">
        <w:rPr>
          <w:sz w:val="24"/>
        </w:rPr>
        <w:t xml:space="preserve">and </w:t>
      </w:r>
      <w:r>
        <w:rPr>
          <w:sz w:val="24"/>
        </w:rPr>
        <w:t xml:space="preserve">also, </w:t>
      </w:r>
      <w:r w:rsidRPr="00E54C11">
        <w:rPr>
          <w:sz w:val="24"/>
        </w:rPr>
        <w:t>allocated to the SAS provider</w:t>
      </w:r>
      <w:r>
        <w:rPr>
          <w:sz w:val="24"/>
        </w:rPr>
        <w:t>.</w:t>
      </w:r>
      <w:r w:rsidRPr="00E77F77">
        <w:rPr>
          <w:sz w:val="24"/>
        </w:rPr>
        <w:t>.</w:t>
      </w:r>
    </w:p>
    <w:p w14:paraId="793E17B5" w14:textId="77777777" w:rsidR="008F7BB3" w:rsidRPr="00E54C11" w:rsidRDefault="008F7BB3" w:rsidP="005A7DDA">
      <w:pPr>
        <w:pStyle w:val="SchedClauses"/>
        <w:widowControl/>
        <w:numPr>
          <w:ilvl w:val="0"/>
          <w:numId w:val="67"/>
        </w:numPr>
        <w:spacing w:line="276" w:lineRule="auto"/>
        <w:rPr>
          <w:sz w:val="24"/>
        </w:rPr>
      </w:pPr>
      <w:r w:rsidRPr="00E54C11">
        <w:rPr>
          <w:sz w:val="24"/>
        </w:rPr>
        <w:t xml:space="preserve">The Practice provides a follow up report in writing to the Commissioner (sample available at </w:t>
      </w:r>
      <w:hyperlink w:anchor="_Appendix_One_–" w:history="1">
        <w:r w:rsidRPr="00E77F77">
          <w:t>appendix 1</w:t>
        </w:r>
      </w:hyperlink>
      <w:r w:rsidRPr="00E54C11">
        <w:rPr>
          <w:sz w:val="24"/>
        </w:rPr>
        <w:t>), within 24 hours where possible but before the end of a period of seven days beginning with the date on which notice was given. Where the Practice was unable to provide a police incident number initially; the practice will be asked to include this in the report</w:t>
      </w:r>
      <w:r>
        <w:rPr>
          <w:sz w:val="24"/>
        </w:rPr>
        <w:t xml:space="preserve"> (under the contractual requirement for reasonable requests for information)</w:t>
      </w:r>
      <w:r w:rsidRPr="00E77F77">
        <w:rPr>
          <w:sz w:val="24"/>
        </w:rPr>
        <w:t xml:space="preserve">. </w:t>
      </w:r>
    </w:p>
    <w:p w14:paraId="5E2085D2" w14:textId="77777777" w:rsidR="008F7BB3" w:rsidRPr="00E54C11" w:rsidRDefault="008F7BB3" w:rsidP="005A7DDA">
      <w:pPr>
        <w:pStyle w:val="SchedClauses"/>
        <w:widowControl/>
        <w:numPr>
          <w:ilvl w:val="0"/>
          <w:numId w:val="67"/>
        </w:numPr>
        <w:spacing w:line="276" w:lineRule="auto"/>
        <w:rPr>
          <w:sz w:val="24"/>
        </w:rPr>
      </w:pPr>
      <w:r w:rsidRPr="00E54C11">
        <w:rPr>
          <w:sz w:val="24"/>
        </w:rPr>
        <w:t>Following 7 days from the incident, the Commissioner and PCSE will liaise to ensure an incident number has been received (either by PCSE or via the written practice report to the Commissioner). In the event an incident number has not been provided, the Commissioner will contact the provider to ensure one has been obtained and provided.</w:t>
      </w:r>
    </w:p>
    <w:p w14:paraId="20BAA7ED" w14:textId="77777777" w:rsidR="008F7BB3" w:rsidRPr="00E54C11" w:rsidRDefault="008F7BB3" w:rsidP="005A7DDA">
      <w:pPr>
        <w:pStyle w:val="SchedClauses"/>
        <w:widowControl/>
        <w:numPr>
          <w:ilvl w:val="0"/>
          <w:numId w:val="67"/>
        </w:numPr>
        <w:spacing w:line="276" w:lineRule="auto"/>
        <w:rPr>
          <w:sz w:val="24"/>
        </w:rPr>
      </w:pPr>
      <w:r w:rsidRPr="00E54C11">
        <w:rPr>
          <w:sz w:val="24"/>
        </w:rPr>
        <w:t>The</w:t>
      </w:r>
      <w:r w:rsidRPr="00E77F77">
        <w:rPr>
          <w:sz w:val="24"/>
        </w:rPr>
        <w:t xml:space="preserve"> </w:t>
      </w:r>
      <w:r w:rsidRPr="00E54C11">
        <w:rPr>
          <w:sz w:val="24"/>
        </w:rPr>
        <w:t xml:space="preserve"> SAS provider will ensure risk assessment and regular monitoring is in place to enable the patient to be repatriated back in to main stream Primary Care as soon as is feasible.</w:t>
      </w:r>
    </w:p>
    <w:p w14:paraId="33C8F262" w14:textId="77777777" w:rsidR="008F7BB3" w:rsidRPr="00E54C11" w:rsidRDefault="008F7BB3" w:rsidP="005A7DDA">
      <w:pPr>
        <w:pStyle w:val="SchedClauses"/>
        <w:widowControl/>
        <w:numPr>
          <w:ilvl w:val="0"/>
          <w:numId w:val="67"/>
        </w:numPr>
        <w:spacing w:line="276" w:lineRule="auto"/>
        <w:rPr>
          <w:sz w:val="24"/>
        </w:rPr>
      </w:pPr>
      <w:r w:rsidRPr="00E54C11">
        <w:rPr>
          <w:sz w:val="24"/>
        </w:rPr>
        <w:t>The SAS provider will notify PCSE when choice has been returned to the patient and they have been removed from the SAS. This will ensure the patients records are amended accordingly (i.e. VP flag removed from patient record) allowing them to re-register at their chosen practice. [Note: Commissioners should ensure this is included in any future SAS contracts awarded and where possible, seek to make arrangements for this to be added to existing contracts].</w:t>
      </w:r>
    </w:p>
    <w:p w14:paraId="3F0777C9" w14:textId="77777777" w:rsidR="008F7BB3" w:rsidRPr="006146DE" w:rsidRDefault="008F7BB3" w:rsidP="008F7BB3">
      <w:pPr>
        <w:spacing w:before="200" w:after="60" w:line="276" w:lineRule="auto"/>
        <w:rPr>
          <w:rFonts w:cs="Arial"/>
          <w:color w:val="002060"/>
        </w:rPr>
      </w:pPr>
      <w:r w:rsidRPr="006146DE">
        <w:rPr>
          <w:rFonts w:cs="Arial"/>
          <w:color w:val="002060"/>
        </w:rPr>
        <w:br w:type="page"/>
      </w:r>
    </w:p>
    <w:p w14:paraId="1C8B4039" w14:textId="77777777" w:rsidR="008F7BB3" w:rsidRPr="00E54C11" w:rsidRDefault="008F7BB3" w:rsidP="008F7BB3">
      <w:pPr>
        <w:pStyle w:val="Heading2"/>
      </w:pPr>
      <w:bookmarkStart w:id="488" w:name="_Introduction"/>
      <w:bookmarkStart w:id="489" w:name="_bookmark0"/>
      <w:bookmarkStart w:id="490" w:name="_Toc483740363"/>
      <w:bookmarkStart w:id="491" w:name="_Toc493831277"/>
      <w:bookmarkStart w:id="492" w:name="_Toc498495380"/>
      <w:bookmarkEnd w:id="488"/>
      <w:bookmarkEnd w:id="489"/>
      <w:r w:rsidRPr="00E54C11">
        <w:t>Introduction</w:t>
      </w:r>
      <w:bookmarkEnd w:id="490"/>
      <w:bookmarkEnd w:id="491"/>
      <w:bookmarkEnd w:id="492"/>
      <w:r w:rsidRPr="0015283D">
        <w:t xml:space="preserve"> </w:t>
      </w:r>
    </w:p>
    <w:p w14:paraId="252B9B42" w14:textId="77777777" w:rsidR="008F7BB3" w:rsidRPr="00E54C11" w:rsidRDefault="008F7BB3" w:rsidP="008F7BB3">
      <w:pPr>
        <w:pStyle w:val="Heading3"/>
        <w:rPr>
          <w:b/>
        </w:rPr>
      </w:pPr>
      <w:bookmarkStart w:id="493" w:name="_Toc483740365"/>
      <w:r w:rsidRPr="00E54C11">
        <w:rPr>
          <w:b/>
        </w:rPr>
        <w:t>Purpose of this document</w:t>
      </w:r>
      <w:bookmarkEnd w:id="493"/>
    </w:p>
    <w:p w14:paraId="14EFF092" w14:textId="77777777" w:rsidR="008F7BB3" w:rsidRPr="00E77F77" w:rsidRDefault="008F7BB3" w:rsidP="008F7BB3">
      <w:pPr>
        <w:pStyle w:val="Heading3"/>
      </w:pPr>
      <w:r w:rsidRPr="00E54C11">
        <w:t>The</w:t>
      </w:r>
      <w:r w:rsidRPr="00E77F77">
        <w:t>re</w:t>
      </w:r>
      <w:r w:rsidRPr="00E54C11">
        <w:t xml:space="preserve"> wil</w:t>
      </w:r>
      <w:r w:rsidRPr="00E77F77">
        <w:t>l</w:t>
      </w:r>
      <w:r w:rsidRPr="00E54C11">
        <w:t xml:space="preserve"> undoubtedl</w:t>
      </w:r>
      <w:r w:rsidRPr="00E77F77">
        <w:t>y</w:t>
      </w:r>
      <w:r w:rsidRPr="00E54C11">
        <w:t xml:space="preserve"> b</w:t>
      </w:r>
      <w:r w:rsidRPr="00E77F77">
        <w:t>e</w:t>
      </w:r>
      <w:r w:rsidRPr="00E54C11">
        <w:t xml:space="preserve"> instance</w:t>
      </w:r>
      <w:r w:rsidRPr="00E77F77">
        <w:t>s</w:t>
      </w:r>
      <w:r w:rsidRPr="00E54C11">
        <w:t xml:space="preserve"> whe</w:t>
      </w:r>
      <w:r w:rsidRPr="00E77F77">
        <w:t>n</w:t>
      </w:r>
      <w:r w:rsidRPr="00E54C11">
        <w:t xml:space="preserve"> p</w:t>
      </w:r>
      <w:r w:rsidRPr="00E77F77">
        <w:t>r</w:t>
      </w:r>
      <w:r w:rsidRPr="00E54C11">
        <w:t>actice</w:t>
      </w:r>
      <w:r w:rsidRPr="00E77F77">
        <w:t>s</w:t>
      </w:r>
      <w:r w:rsidRPr="00E54C11">
        <w:t xml:space="preserve"> hav</w:t>
      </w:r>
      <w:r w:rsidRPr="00E77F77">
        <w:t>e</w:t>
      </w:r>
      <w:r w:rsidRPr="00E54C11">
        <w:t xml:space="preserve"> t</w:t>
      </w:r>
      <w:r w:rsidRPr="00E77F77">
        <w:t>o</w:t>
      </w:r>
      <w:r w:rsidRPr="00E54C11">
        <w:t xml:space="preserve"> dea</w:t>
      </w:r>
      <w:r w:rsidRPr="00E77F77">
        <w:t>l</w:t>
      </w:r>
      <w:r w:rsidRPr="00E54C11">
        <w:t xml:space="preserve"> wit</w:t>
      </w:r>
      <w:r w:rsidRPr="00E77F77">
        <w:t xml:space="preserve">h </w:t>
      </w:r>
      <w:r w:rsidRPr="00E54C11">
        <w:t>patient</w:t>
      </w:r>
      <w:r w:rsidRPr="00E77F77">
        <w:t>s</w:t>
      </w:r>
      <w:r w:rsidRPr="00E54C11">
        <w:t xml:space="preserve"> wh</w:t>
      </w:r>
      <w:r w:rsidRPr="00E77F77">
        <w:t>o</w:t>
      </w:r>
      <w:r w:rsidRPr="00E54C11">
        <w:t xml:space="preserve"> a</w:t>
      </w:r>
      <w:r w:rsidRPr="00E77F77">
        <w:t>re</w:t>
      </w:r>
      <w:r w:rsidRPr="00E54C11">
        <w:t xml:space="preserve"> difficult</w:t>
      </w:r>
      <w:r w:rsidRPr="00E77F77">
        <w:t>,</w:t>
      </w:r>
      <w:r w:rsidRPr="00E54C11">
        <w:t xml:space="preserve"> challenging</w:t>
      </w:r>
      <w:r w:rsidRPr="00E77F77">
        <w:t>,</w:t>
      </w:r>
      <w:r w:rsidRPr="00E54C11">
        <w:t xml:space="preserve"> agg</w:t>
      </w:r>
      <w:r w:rsidRPr="00E77F77">
        <w:t>r</w:t>
      </w:r>
      <w:r w:rsidRPr="00E54C11">
        <w:t>essiv</w:t>
      </w:r>
      <w:r w:rsidRPr="00E77F77">
        <w:t>e</w:t>
      </w:r>
      <w:r w:rsidRPr="00E54C11">
        <w:t xml:space="preserve"> an</w:t>
      </w:r>
      <w:r w:rsidRPr="00E77F77">
        <w:t>d</w:t>
      </w:r>
      <w:r w:rsidRPr="00E54C11">
        <w:t xml:space="preserve"> abusive</w:t>
      </w:r>
      <w:r w:rsidRPr="00E77F77">
        <w:t>,</w:t>
      </w:r>
      <w:r w:rsidRPr="00E54C11">
        <w:t xml:space="preserve"> a</w:t>
      </w:r>
      <w:r w:rsidRPr="00E77F77">
        <w:t>s</w:t>
      </w:r>
      <w:r w:rsidRPr="00E54C11">
        <w:t xml:space="preserve"> wel</w:t>
      </w:r>
      <w:r w:rsidRPr="00E77F77">
        <w:t xml:space="preserve">l </w:t>
      </w:r>
      <w:r w:rsidRPr="00E54C11">
        <w:t>a</w:t>
      </w:r>
      <w:r w:rsidRPr="00E77F77">
        <w:t>s</w:t>
      </w:r>
      <w:r w:rsidRPr="00E54C11">
        <w:t xml:space="preserve"> i</w:t>
      </w:r>
      <w:r w:rsidRPr="00E77F77">
        <w:t>n</w:t>
      </w:r>
      <w:r w:rsidRPr="00E54C11">
        <w:t xml:space="preserve"> som</w:t>
      </w:r>
      <w:r w:rsidRPr="00E77F77">
        <w:t>e</w:t>
      </w:r>
      <w:r w:rsidRPr="00E54C11">
        <w:t xml:space="preserve"> cases</w:t>
      </w:r>
      <w:r w:rsidRPr="00E77F77">
        <w:t>,</w:t>
      </w:r>
      <w:r w:rsidRPr="00E54C11">
        <w:t xml:space="preserve"> violent</w:t>
      </w:r>
      <w:r w:rsidRPr="00E77F77">
        <w:t>.</w:t>
      </w:r>
      <w:r w:rsidRPr="00E54C11">
        <w:t xml:space="preserve"> </w:t>
      </w:r>
      <w:r w:rsidRPr="00E77F77">
        <w:t xml:space="preserve"> </w:t>
      </w:r>
      <w:r w:rsidRPr="00E54C11">
        <w:t>I</w:t>
      </w:r>
      <w:r w:rsidRPr="00E77F77">
        <w:t>n</w:t>
      </w:r>
      <w:r w:rsidRPr="00E54C11">
        <w:t xml:space="preserve"> o</w:t>
      </w:r>
      <w:r w:rsidRPr="00E77F77">
        <w:t>r</w:t>
      </w:r>
      <w:r w:rsidRPr="00E54C11">
        <w:t>de</w:t>
      </w:r>
      <w:r w:rsidRPr="00E77F77">
        <w:t>r</w:t>
      </w:r>
      <w:r w:rsidRPr="00E54C11">
        <w:t xml:space="preserve"> t</w:t>
      </w:r>
      <w:r w:rsidRPr="00E77F77">
        <w:t>o</w:t>
      </w:r>
      <w:r w:rsidRPr="00E54C11">
        <w:t xml:space="preserve"> p</w:t>
      </w:r>
      <w:r w:rsidRPr="00E77F77">
        <w:t>r</w:t>
      </w:r>
      <w:r w:rsidRPr="00E54C11">
        <w:t>otec</w:t>
      </w:r>
      <w:r w:rsidRPr="00E77F77">
        <w:t>t</w:t>
      </w:r>
      <w:r w:rsidRPr="00E54C11">
        <w:t xml:space="preserve"> G</w:t>
      </w:r>
      <w:r w:rsidRPr="00E77F77">
        <w:t>P</w:t>
      </w:r>
      <w:r w:rsidRPr="00E54C11">
        <w:t>’</w:t>
      </w:r>
      <w:r w:rsidRPr="00E77F77">
        <w:t>s</w:t>
      </w:r>
      <w:r w:rsidRPr="00E54C11">
        <w:t xml:space="preserve"> an</w:t>
      </w:r>
      <w:r w:rsidRPr="00E77F77">
        <w:t>d</w:t>
      </w:r>
      <w:r w:rsidRPr="00E54C11">
        <w:t xml:space="preserve"> p</w:t>
      </w:r>
      <w:r w:rsidRPr="00E77F77">
        <w:t>r</w:t>
      </w:r>
      <w:r w:rsidRPr="00E54C11">
        <w:t>actic</w:t>
      </w:r>
      <w:r w:rsidRPr="00E77F77">
        <w:t>e</w:t>
      </w:r>
      <w:r w:rsidRPr="00E54C11">
        <w:t xml:space="preserve"> staf</w:t>
      </w:r>
      <w:r w:rsidRPr="00E77F77">
        <w:t xml:space="preserve">f </w:t>
      </w:r>
      <w:r w:rsidRPr="00E54C11">
        <w:t>an</w:t>
      </w:r>
      <w:r w:rsidRPr="00E77F77">
        <w:t>d</w:t>
      </w:r>
      <w:r w:rsidRPr="00E54C11">
        <w:t xml:space="preserve"> t</w:t>
      </w:r>
      <w:r w:rsidRPr="00E77F77">
        <w:t>o</w:t>
      </w:r>
      <w:r w:rsidRPr="00E54C11">
        <w:t xml:space="preserve"> allo</w:t>
      </w:r>
      <w:r w:rsidRPr="00E77F77">
        <w:t>w</w:t>
      </w:r>
      <w:r w:rsidRPr="00E54C11">
        <w:t xml:space="preserve"> the</w:t>
      </w:r>
      <w:r w:rsidRPr="00E77F77">
        <w:t>m</w:t>
      </w:r>
      <w:r w:rsidRPr="00E54C11">
        <w:t xml:space="preserve"> t</w:t>
      </w:r>
      <w:r w:rsidRPr="00E77F77">
        <w:t>o</w:t>
      </w:r>
      <w:r w:rsidRPr="00E54C11">
        <w:t xml:space="preserve"> ca</w:t>
      </w:r>
      <w:r w:rsidRPr="00E77F77">
        <w:t xml:space="preserve">rry </w:t>
      </w:r>
      <w:r w:rsidRPr="00E54C11">
        <w:t>ou</w:t>
      </w:r>
      <w:r w:rsidRPr="00E77F77">
        <w:t>t</w:t>
      </w:r>
      <w:r w:rsidRPr="00E54C11">
        <w:t xml:space="preserve"> thei</w:t>
      </w:r>
      <w:r w:rsidRPr="00E77F77">
        <w:t>r</w:t>
      </w:r>
      <w:r w:rsidRPr="00E54C11">
        <w:t xml:space="preserve"> </w:t>
      </w:r>
      <w:r w:rsidRPr="00E77F77">
        <w:t>r</w:t>
      </w:r>
      <w:r w:rsidRPr="00E54C11">
        <w:t>oles</w:t>
      </w:r>
      <w:r w:rsidRPr="00E77F77">
        <w:t>,</w:t>
      </w:r>
      <w:r w:rsidRPr="00E54C11">
        <w:t xml:space="preserve"> Commissione</w:t>
      </w:r>
      <w:r w:rsidRPr="00E77F77">
        <w:t>r</w:t>
      </w:r>
      <w:r w:rsidRPr="00E54C11">
        <w:t>s</w:t>
      </w:r>
      <w:r w:rsidRPr="00E77F77">
        <w:t>,</w:t>
      </w:r>
      <w:r w:rsidRPr="00E54C11">
        <w:t xml:space="preserve"> i</w:t>
      </w:r>
      <w:r w:rsidRPr="00E77F77">
        <w:t xml:space="preserve">n </w:t>
      </w:r>
      <w:r w:rsidRPr="00E54C11">
        <w:t>collabo</w:t>
      </w:r>
      <w:r w:rsidRPr="00E77F77">
        <w:t>r</w:t>
      </w:r>
      <w:r w:rsidRPr="00E54C11">
        <w:t>atio</w:t>
      </w:r>
      <w:r w:rsidRPr="00E77F77">
        <w:t>n</w:t>
      </w:r>
      <w:r w:rsidRPr="00E54C11">
        <w:t xml:space="preserve"> wit</w:t>
      </w:r>
      <w:r w:rsidRPr="00E77F77">
        <w:t>h</w:t>
      </w:r>
      <w:r w:rsidRPr="00E54C11">
        <w:t xml:space="preserve"> th</w:t>
      </w:r>
      <w:r w:rsidRPr="00E77F77">
        <w:t>e</w:t>
      </w:r>
      <w:r w:rsidRPr="00E54C11">
        <w:t xml:space="preserve"> wide</w:t>
      </w:r>
      <w:r w:rsidRPr="00E77F77">
        <w:t>r</w:t>
      </w:r>
      <w:r w:rsidRPr="00E54C11">
        <w:t xml:space="preserve"> stakeholde</w:t>
      </w:r>
      <w:r w:rsidRPr="00E77F77">
        <w:t>r</w:t>
      </w:r>
      <w:r w:rsidRPr="00E54C11">
        <w:t>s</w:t>
      </w:r>
      <w:r w:rsidRPr="00E77F77">
        <w:t>,</w:t>
      </w:r>
      <w:r w:rsidRPr="00E54C11">
        <w:t xml:space="preserve"> hav</w:t>
      </w:r>
      <w:r w:rsidRPr="00E77F77">
        <w:t>e</w:t>
      </w:r>
      <w:r w:rsidRPr="00E54C11">
        <w:t xml:space="preserve"> develope</w:t>
      </w:r>
      <w:r w:rsidRPr="00E77F77">
        <w:t>d</w:t>
      </w:r>
      <w:r w:rsidRPr="00E54C11">
        <w:t xml:space="preserve"> thi</w:t>
      </w:r>
      <w:r w:rsidRPr="00E77F77">
        <w:t xml:space="preserve">s </w:t>
      </w:r>
      <w:r w:rsidRPr="00E54C11">
        <w:t>guidance.</w:t>
      </w:r>
    </w:p>
    <w:p w14:paraId="53ECD05A" w14:textId="77777777" w:rsidR="008F7BB3" w:rsidRPr="00E77F77" w:rsidRDefault="008F7BB3" w:rsidP="008F7BB3">
      <w:pPr>
        <w:pStyle w:val="Heading3"/>
      </w:pPr>
      <w:r w:rsidRPr="00E54C11">
        <w:t>Unde</w:t>
      </w:r>
      <w:r w:rsidRPr="00E77F77">
        <w:t>r</w:t>
      </w:r>
      <w:r w:rsidRPr="00E54C11">
        <w:t xml:space="preserve"> th</w:t>
      </w:r>
      <w:r w:rsidRPr="00E77F77">
        <w:t>e</w:t>
      </w:r>
      <w:r w:rsidRPr="00E54C11">
        <w:t xml:space="preserve"> </w:t>
      </w:r>
      <w:r w:rsidRPr="00E77F77">
        <w:t>S</w:t>
      </w:r>
      <w:r w:rsidRPr="00E54C11">
        <w:t>A</w:t>
      </w:r>
      <w:r w:rsidRPr="00E77F77">
        <w:t>S,</w:t>
      </w:r>
      <w:r w:rsidRPr="00E54C11">
        <w:t xml:space="preserve"> designate</w:t>
      </w:r>
      <w:r w:rsidRPr="00E77F77">
        <w:t>d</w:t>
      </w:r>
      <w:r w:rsidRPr="00E54C11">
        <w:t xml:space="preserve"> G</w:t>
      </w:r>
      <w:r w:rsidRPr="00E77F77">
        <w:t>P</w:t>
      </w:r>
      <w:r w:rsidRPr="00E54C11">
        <w:t xml:space="preserve"> p</w:t>
      </w:r>
      <w:r w:rsidRPr="00E77F77">
        <w:t>r</w:t>
      </w:r>
      <w:r w:rsidRPr="00E54C11">
        <w:t>actice</w:t>
      </w:r>
      <w:r w:rsidRPr="00E77F77">
        <w:t>s</w:t>
      </w:r>
      <w:r w:rsidRPr="00E54C11">
        <w:t xml:space="preserve"> wil</w:t>
      </w:r>
      <w:r w:rsidRPr="00E77F77">
        <w:t>l</w:t>
      </w:r>
      <w:r w:rsidRPr="00E54C11">
        <w:t xml:space="preserve"> p</w:t>
      </w:r>
      <w:r w:rsidRPr="00E77F77">
        <w:t>r</w:t>
      </w:r>
      <w:r w:rsidRPr="00E54C11">
        <w:t>ovid</w:t>
      </w:r>
      <w:r w:rsidRPr="00E77F77">
        <w:t>e</w:t>
      </w:r>
      <w:r w:rsidRPr="00E54C11">
        <w:t xml:space="preserve"> service</w:t>
      </w:r>
      <w:r w:rsidRPr="00E77F77">
        <w:t>s</w:t>
      </w:r>
      <w:r w:rsidRPr="00E54C11">
        <w:t xml:space="preserve"> t</w:t>
      </w:r>
      <w:r w:rsidRPr="00E77F77">
        <w:t xml:space="preserve">o </w:t>
      </w:r>
      <w:r w:rsidRPr="00E54C11">
        <w:t>patient</w:t>
      </w:r>
      <w:r w:rsidRPr="00E77F77">
        <w:t>s</w:t>
      </w:r>
      <w:r w:rsidRPr="00E54C11">
        <w:t xml:space="preserve"> b</w:t>
      </w:r>
      <w:r w:rsidRPr="00E77F77">
        <w:t>y</w:t>
      </w:r>
      <w:r w:rsidRPr="00E54C11">
        <w:t xml:space="preserve"> p</w:t>
      </w:r>
      <w:r w:rsidRPr="00E77F77">
        <w:t>r</w:t>
      </w:r>
      <w:r w:rsidRPr="00E54C11">
        <w:t>io</w:t>
      </w:r>
      <w:r w:rsidRPr="00E77F77">
        <w:t>r</w:t>
      </w:r>
      <w:r w:rsidRPr="00E54C11">
        <w:t xml:space="preserve"> appointmen</w:t>
      </w:r>
      <w:r w:rsidRPr="00E77F77">
        <w:t>t</w:t>
      </w:r>
      <w:r w:rsidRPr="00E54C11">
        <w:t xml:space="preserve"> an</w:t>
      </w:r>
      <w:r w:rsidRPr="00E77F77">
        <w:t>d</w:t>
      </w:r>
      <w:r w:rsidRPr="00E54C11">
        <w:t xml:space="preserve"> a</w:t>
      </w:r>
      <w:r w:rsidRPr="00E77F77">
        <w:t>t</w:t>
      </w:r>
      <w:r w:rsidRPr="00E54C11">
        <w:t xml:space="preserve"> specifi</w:t>
      </w:r>
      <w:r w:rsidRPr="00E77F77">
        <w:t>c</w:t>
      </w:r>
      <w:r w:rsidRPr="00E54C11">
        <w:t xml:space="preserve"> location</w:t>
      </w:r>
      <w:r w:rsidRPr="00E77F77">
        <w:t>s</w:t>
      </w:r>
      <w:r w:rsidRPr="00E54C11">
        <w:t xml:space="preserve"> an</w:t>
      </w:r>
      <w:r w:rsidRPr="00E77F77">
        <w:t>d</w:t>
      </w:r>
      <w:r w:rsidRPr="00E54C11">
        <w:t xml:space="preserve"> time</w:t>
      </w:r>
      <w:r w:rsidRPr="00E77F77">
        <w:t>s</w:t>
      </w:r>
      <w:r w:rsidRPr="00E54C11">
        <w:t xml:space="preserve"> a</w:t>
      </w:r>
      <w:r w:rsidRPr="00E77F77">
        <w:t xml:space="preserve">s </w:t>
      </w:r>
      <w:r w:rsidRPr="00E54C11">
        <w:t>detaile</w:t>
      </w:r>
      <w:r w:rsidRPr="00E77F77">
        <w:t>d</w:t>
      </w:r>
      <w:r w:rsidRPr="00E54C11">
        <w:t xml:space="preserve"> i</w:t>
      </w:r>
      <w:r w:rsidRPr="00E77F77">
        <w:t>n</w:t>
      </w:r>
      <w:r w:rsidRPr="00E54C11">
        <w:t xml:space="preserve"> individuall</w:t>
      </w:r>
      <w:r w:rsidRPr="00E77F77">
        <w:t>y</w:t>
      </w:r>
      <w:r w:rsidRPr="00E54C11">
        <w:t xml:space="preserve"> ag</w:t>
      </w:r>
      <w:r w:rsidRPr="00E77F77">
        <w:t>r</w:t>
      </w:r>
      <w:r w:rsidRPr="00E54C11">
        <w:t>ee</w:t>
      </w:r>
      <w:r w:rsidRPr="00E77F77">
        <w:t>d</w:t>
      </w:r>
      <w:r w:rsidRPr="00E54C11">
        <w:t xml:space="preserve"> cont</w:t>
      </w:r>
      <w:r w:rsidRPr="00E77F77">
        <w:t>r</w:t>
      </w:r>
      <w:r w:rsidRPr="00E54C11">
        <w:t>acts</w:t>
      </w:r>
      <w:r w:rsidRPr="00E77F77">
        <w:t>.</w:t>
      </w:r>
      <w:r w:rsidRPr="00E54C11">
        <w:t xml:space="preserve"> </w:t>
      </w:r>
      <w:r w:rsidRPr="00E77F77">
        <w:t>P</w:t>
      </w:r>
      <w:r w:rsidRPr="00E54C11">
        <w:t>atient</w:t>
      </w:r>
      <w:r w:rsidRPr="00E77F77">
        <w:t>s</w:t>
      </w:r>
      <w:r w:rsidRPr="00E54C11">
        <w:t xml:space="preserve"> a</w:t>
      </w:r>
      <w:r w:rsidRPr="00E77F77">
        <w:t>re</w:t>
      </w:r>
      <w:r w:rsidRPr="00E54C11">
        <w:t xml:space="preserve"> allocate</w:t>
      </w:r>
      <w:r w:rsidRPr="00E77F77">
        <w:t>d</w:t>
      </w:r>
      <w:r w:rsidRPr="00E54C11">
        <w:t xml:space="preserve"> t</w:t>
      </w:r>
      <w:r w:rsidRPr="00E77F77">
        <w:t>o</w:t>
      </w:r>
      <w:r w:rsidRPr="00E54C11">
        <w:t xml:space="preserve"> </w:t>
      </w:r>
      <w:r w:rsidRPr="00E77F77">
        <w:t>S</w:t>
      </w:r>
      <w:r w:rsidRPr="00E54C11">
        <w:t>A</w:t>
      </w:r>
      <w:r w:rsidRPr="00E77F77">
        <w:t xml:space="preserve">S </w:t>
      </w:r>
      <w:r w:rsidRPr="00E54C11">
        <w:t>followin</w:t>
      </w:r>
      <w:r w:rsidRPr="00E77F77">
        <w:t>g</w:t>
      </w:r>
      <w:r w:rsidRPr="00E54C11">
        <w:t xml:space="preserve"> </w:t>
      </w:r>
      <w:r w:rsidRPr="00E77F77">
        <w:t>a</w:t>
      </w:r>
      <w:r w:rsidRPr="00E54C11">
        <w:t xml:space="preserve"> p</w:t>
      </w:r>
      <w:r w:rsidRPr="00E77F77">
        <w:t>r</w:t>
      </w:r>
      <w:r w:rsidRPr="00E54C11">
        <w:t>oces</w:t>
      </w:r>
      <w:r w:rsidRPr="00E77F77">
        <w:t>s</w:t>
      </w:r>
      <w:r w:rsidRPr="00E54C11">
        <w:t xml:space="preserve"> o</w:t>
      </w:r>
      <w:r w:rsidRPr="00E77F77">
        <w:t>f</w:t>
      </w:r>
      <w:r w:rsidRPr="00E54C11">
        <w:t xml:space="preserve"> immediat</w:t>
      </w:r>
      <w:r w:rsidRPr="00E77F77">
        <w:t>e</w:t>
      </w:r>
      <w:r w:rsidRPr="00E54C11">
        <w:t xml:space="preserve"> </w:t>
      </w:r>
      <w:r w:rsidRPr="00E77F77">
        <w:t>r</w:t>
      </w:r>
      <w:r w:rsidRPr="00E54C11">
        <w:t>emova</w:t>
      </w:r>
      <w:r w:rsidRPr="00E77F77">
        <w:t>l</w:t>
      </w:r>
      <w:r w:rsidRPr="00E54C11">
        <w:t xml:space="preserve"> a</w:t>
      </w:r>
      <w:r w:rsidRPr="00E77F77">
        <w:t>s</w:t>
      </w:r>
      <w:r w:rsidRPr="00E54C11">
        <w:t xml:space="preserve"> </w:t>
      </w:r>
      <w:r w:rsidRPr="00E77F77">
        <w:t>a</w:t>
      </w:r>
      <w:r w:rsidRPr="00E54C11">
        <w:t xml:space="preserve"> </w:t>
      </w:r>
      <w:r w:rsidRPr="00E77F77">
        <w:t>r</w:t>
      </w:r>
      <w:r w:rsidRPr="00E54C11">
        <w:t>esul</w:t>
      </w:r>
      <w:r w:rsidRPr="00E77F77">
        <w:t>t</w:t>
      </w:r>
      <w:r w:rsidRPr="00E54C11">
        <w:t xml:space="preserve"> o</w:t>
      </w:r>
      <w:r w:rsidRPr="00E77F77">
        <w:t>f</w:t>
      </w:r>
      <w:r w:rsidRPr="00E54C11">
        <w:t xml:space="preserve"> a</w:t>
      </w:r>
      <w:r w:rsidRPr="00E77F77">
        <w:t>n</w:t>
      </w:r>
      <w:r w:rsidRPr="00E54C11">
        <w:t xml:space="preserve"> inciden</w:t>
      </w:r>
      <w:r w:rsidRPr="00E77F77">
        <w:t>t</w:t>
      </w:r>
      <w:r w:rsidRPr="00E54C11">
        <w:t xml:space="preserve"> tha</w:t>
      </w:r>
      <w:r w:rsidRPr="00E77F77">
        <w:t xml:space="preserve">t </w:t>
      </w:r>
      <w:r w:rsidRPr="00E54C11">
        <w:t>wa</w:t>
      </w:r>
      <w:r w:rsidRPr="00E77F77">
        <w:t>s</w:t>
      </w:r>
      <w:r w:rsidRPr="00E54C11">
        <w:t xml:space="preserve"> </w:t>
      </w:r>
      <w:r w:rsidRPr="00E77F77">
        <w:t>r</w:t>
      </w:r>
      <w:r w:rsidRPr="00E54C11">
        <w:t>epo</w:t>
      </w:r>
      <w:r w:rsidRPr="00E77F77">
        <w:t>r</w:t>
      </w:r>
      <w:r w:rsidRPr="00E54C11">
        <w:t>te</w:t>
      </w:r>
      <w:r w:rsidRPr="00E77F77">
        <w:t>d</w:t>
      </w:r>
      <w:r w:rsidRPr="00E54C11">
        <w:t xml:space="preserve"> t</w:t>
      </w:r>
      <w:r w:rsidRPr="00E77F77">
        <w:t>o</w:t>
      </w:r>
      <w:r w:rsidRPr="00E54C11">
        <w:t xml:space="preserve"> th</w:t>
      </w:r>
      <w:r w:rsidRPr="00E77F77">
        <w:t>e</w:t>
      </w:r>
      <w:r w:rsidRPr="00E54C11">
        <w:t xml:space="preserve"> police</w:t>
      </w:r>
      <w:r w:rsidRPr="00E77F77">
        <w:t xml:space="preserve">.  </w:t>
      </w:r>
    </w:p>
    <w:p w14:paraId="3F01F931" w14:textId="77777777" w:rsidR="008F7BB3" w:rsidRPr="00E77F77" w:rsidRDefault="008F7BB3" w:rsidP="008F7BB3">
      <w:pPr>
        <w:pStyle w:val="Heading3"/>
      </w:pPr>
      <w:r w:rsidRPr="00E54C11">
        <w:t>Whe</w:t>
      </w:r>
      <w:r w:rsidRPr="00E77F77">
        <w:t>re</w:t>
      </w:r>
      <w:r w:rsidRPr="00E54C11">
        <w:t xml:space="preserve"> thi</w:t>
      </w:r>
      <w:r w:rsidRPr="00E77F77">
        <w:t>s</w:t>
      </w:r>
      <w:r w:rsidRPr="00E54C11">
        <w:t xml:space="preserve"> documen</w:t>
      </w:r>
      <w:r w:rsidRPr="00E77F77">
        <w:t>t</w:t>
      </w:r>
      <w:r w:rsidRPr="00E54C11">
        <w:t xml:space="preserve"> </w:t>
      </w:r>
      <w:r w:rsidRPr="00E77F77">
        <w:t>r</w:t>
      </w:r>
      <w:r w:rsidRPr="00E54C11">
        <w:t>efe</w:t>
      </w:r>
      <w:r w:rsidRPr="00E77F77">
        <w:t>rs</w:t>
      </w:r>
      <w:r w:rsidRPr="00E54C11">
        <w:t xml:space="preserve"> t</w:t>
      </w:r>
      <w:r w:rsidRPr="00E77F77">
        <w:t>o</w:t>
      </w:r>
      <w:r w:rsidRPr="00E54C11">
        <w:t xml:space="preserve"> NH</w:t>
      </w:r>
      <w:r w:rsidRPr="00E77F77">
        <w:t>S</w:t>
      </w:r>
      <w:r w:rsidRPr="00E54C11">
        <w:t xml:space="preserve"> </w:t>
      </w:r>
      <w:r w:rsidRPr="00E77F77">
        <w:t>E</w:t>
      </w:r>
      <w:r w:rsidRPr="00E54C11">
        <w:t>ngland</w:t>
      </w:r>
      <w:r w:rsidRPr="00E77F77">
        <w:t>,</w:t>
      </w:r>
      <w:r w:rsidRPr="00E54C11">
        <w:t xml:space="preserve"> th</w:t>
      </w:r>
      <w:r w:rsidRPr="00E77F77">
        <w:t>e</w:t>
      </w:r>
      <w:r w:rsidRPr="00E54C11">
        <w:t xml:space="preserve"> Commissione</w:t>
      </w:r>
      <w:r w:rsidRPr="00E77F77">
        <w:t>r</w:t>
      </w:r>
      <w:r w:rsidRPr="00E54C11">
        <w:t xml:space="preserve"> o</w:t>
      </w:r>
      <w:r w:rsidRPr="00E77F77">
        <w:t xml:space="preserve">r </w:t>
      </w:r>
      <w:r w:rsidRPr="00E54C11">
        <w:t>Commissione</w:t>
      </w:r>
      <w:r w:rsidRPr="00E77F77">
        <w:t>r</w:t>
      </w:r>
      <w:r w:rsidRPr="00E54C11">
        <w:t>s</w:t>
      </w:r>
      <w:r w:rsidRPr="00E77F77">
        <w:t>,</w:t>
      </w:r>
      <w:r w:rsidRPr="00E54C11">
        <w:t xml:space="preserve"> thi</w:t>
      </w:r>
      <w:r w:rsidRPr="00E77F77">
        <w:t>s</w:t>
      </w:r>
      <w:r w:rsidRPr="00E54C11">
        <w:t xml:space="preserve"> encompasse</w:t>
      </w:r>
      <w:r w:rsidRPr="00E77F77">
        <w:t>s</w:t>
      </w:r>
      <w:r w:rsidRPr="00E54C11">
        <w:t xml:space="preserve"> NH</w:t>
      </w:r>
      <w:r w:rsidRPr="00E77F77">
        <w:t>S</w:t>
      </w:r>
      <w:r w:rsidRPr="00E54C11">
        <w:t xml:space="preserve"> </w:t>
      </w:r>
      <w:r w:rsidRPr="00E77F77">
        <w:t>E</w:t>
      </w:r>
      <w:r w:rsidRPr="00E54C11">
        <w:t>nglan</w:t>
      </w:r>
      <w:r w:rsidRPr="00E77F77">
        <w:t>d</w:t>
      </w:r>
      <w:r w:rsidRPr="00E54C11">
        <w:t xml:space="preserve"> loca</w:t>
      </w:r>
      <w:r w:rsidRPr="00E77F77">
        <w:t>l</w:t>
      </w:r>
      <w:r w:rsidRPr="00E54C11">
        <w:t xml:space="preserve"> team</w:t>
      </w:r>
      <w:r w:rsidRPr="00E77F77">
        <w:t>s</w:t>
      </w:r>
      <w:r w:rsidRPr="00E54C11">
        <w:t xml:space="preserve"> tha</w:t>
      </w:r>
      <w:r w:rsidRPr="00E77F77">
        <w:t>t</w:t>
      </w:r>
      <w:r w:rsidRPr="00E54C11">
        <w:t xml:space="preserve"> </w:t>
      </w:r>
      <w:r w:rsidRPr="00E77F77">
        <w:t>r</w:t>
      </w:r>
      <w:r w:rsidRPr="00E54C11">
        <w:t>etai</w:t>
      </w:r>
      <w:r w:rsidRPr="00E77F77">
        <w:t xml:space="preserve">n </w:t>
      </w:r>
      <w:r w:rsidRPr="00E54C11">
        <w:t>commissionin</w:t>
      </w:r>
      <w:r w:rsidRPr="00E77F77">
        <w:t>g</w:t>
      </w:r>
      <w:r w:rsidRPr="00E54C11">
        <w:t xml:space="preserve"> o</w:t>
      </w:r>
      <w:r w:rsidRPr="00E77F77">
        <w:t>f</w:t>
      </w:r>
      <w:r w:rsidRPr="00E54C11">
        <w:t xml:space="preserve"> p</w:t>
      </w:r>
      <w:r w:rsidRPr="00E77F77">
        <w:t>r</w:t>
      </w:r>
      <w:r w:rsidRPr="00E54C11">
        <w:t>ima</w:t>
      </w:r>
      <w:r w:rsidRPr="00E77F77">
        <w:t>ry</w:t>
      </w:r>
      <w:r w:rsidRPr="00E54C11">
        <w:t xml:space="preserve"> medica</w:t>
      </w:r>
      <w:r w:rsidRPr="00E77F77">
        <w:t>l</w:t>
      </w:r>
      <w:r w:rsidRPr="00E54C11">
        <w:t xml:space="preserve"> se</w:t>
      </w:r>
      <w:r w:rsidRPr="00E77F77">
        <w:t>r</w:t>
      </w:r>
      <w:r w:rsidRPr="00E54C11">
        <w:t>vice</w:t>
      </w:r>
      <w:r w:rsidRPr="00E77F77">
        <w:t>s</w:t>
      </w:r>
      <w:r w:rsidRPr="00E54C11">
        <w:t xml:space="preserve"> an</w:t>
      </w:r>
      <w:r w:rsidRPr="00E77F77">
        <w:t>d</w:t>
      </w:r>
      <w:r w:rsidRPr="00E54C11">
        <w:t xml:space="preserve"> CCG</w:t>
      </w:r>
      <w:r w:rsidRPr="00E77F77">
        <w:t>s</w:t>
      </w:r>
      <w:r w:rsidRPr="00E54C11">
        <w:t xml:space="preserve"> wit</w:t>
      </w:r>
      <w:r w:rsidRPr="00E77F77">
        <w:t>h</w:t>
      </w:r>
      <w:r w:rsidRPr="00E54C11">
        <w:t xml:space="preserve"> delegate</w:t>
      </w:r>
      <w:r w:rsidRPr="00E77F77">
        <w:t xml:space="preserve">d </w:t>
      </w:r>
      <w:r w:rsidRPr="00E54C11">
        <w:t>autho</w:t>
      </w:r>
      <w:r w:rsidRPr="00E77F77">
        <w:t>r</w:t>
      </w:r>
      <w:r w:rsidRPr="00E54C11">
        <w:t>ity</w:t>
      </w:r>
      <w:r w:rsidRPr="00E77F77">
        <w:t>.</w:t>
      </w:r>
    </w:p>
    <w:p w14:paraId="49C1A73D" w14:textId="77777777" w:rsidR="008F7BB3" w:rsidRPr="00E77F77" w:rsidRDefault="008F7BB3" w:rsidP="008F7BB3">
      <w:pPr>
        <w:pStyle w:val="Heading3"/>
      </w:pPr>
      <w:r w:rsidRPr="00E54C11">
        <w:t>Th</w:t>
      </w:r>
      <w:r w:rsidRPr="00E77F77">
        <w:t>e</w:t>
      </w:r>
      <w:r w:rsidRPr="00E54C11">
        <w:t xml:space="preserve"> pu</w:t>
      </w:r>
      <w:r w:rsidRPr="00E77F77">
        <w:t>r</w:t>
      </w:r>
      <w:r w:rsidRPr="00E54C11">
        <w:t>pos</w:t>
      </w:r>
      <w:r w:rsidRPr="00E77F77">
        <w:t>e</w:t>
      </w:r>
      <w:r w:rsidRPr="00E54C11">
        <w:t xml:space="preserve"> o</w:t>
      </w:r>
      <w:r w:rsidRPr="00E77F77">
        <w:t>f</w:t>
      </w:r>
      <w:r w:rsidRPr="00E54C11">
        <w:t xml:space="preserve"> thi</w:t>
      </w:r>
      <w:r w:rsidRPr="00E77F77">
        <w:t>s</w:t>
      </w:r>
      <w:r w:rsidRPr="00E54C11">
        <w:t xml:space="preserve"> documen</w:t>
      </w:r>
      <w:r w:rsidRPr="00E77F77">
        <w:t>t</w:t>
      </w:r>
      <w:r w:rsidRPr="00E54C11">
        <w:t xml:space="preserve"> i</w:t>
      </w:r>
      <w:r w:rsidRPr="00E77F77">
        <w:t>s</w:t>
      </w:r>
      <w:r w:rsidRPr="00E54C11">
        <w:t xml:space="preserve"> t</w:t>
      </w:r>
      <w:r w:rsidRPr="00E77F77">
        <w:t>o</w:t>
      </w:r>
      <w:r w:rsidRPr="00E54C11">
        <w:t xml:space="preserve"> p</w:t>
      </w:r>
      <w:r w:rsidRPr="00E77F77">
        <w:t>r</w:t>
      </w:r>
      <w:r w:rsidRPr="00E54C11">
        <w:t>ovid</w:t>
      </w:r>
      <w:r w:rsidRPr="00E77F77">
        <w:t>e</w:t>
      </w:r>
      <w:r w:rsidRPr="00E54C11">
        <w:t xml:space="preserve"> Commissioner</w:t>
      </w:r>
      <w:r w:rsidRPr="00E77F77">
        <w:t>s</w:t>
      </w:r>
      <w:r w:rsidRPr="00E54C11">
        <w:t xml:space="preserve"> wit</w:t>
      </w:r>
      <w:r w:rsidRPr="00E77F77">
        <w:t xml:space="preserve">h </w:t>
      </w:r>
      <w:r w:rsidRPr="00E54C11">
        <w:t>consisten</w:t>
      </w:r>
      <w:r w:rsidRPr="00E77F77">
        <w:t>t</w:t>
      </w:r>
      <w:r w:rsidRPr="00E54C11">
        <w:t xml:space="preserve"> nationa</w:t>
      </w:r>
      <w:r w:rsidRPr="00E77F77">
        <w:t>l</w:t>
      </w:r>
      <w:r w:rsidRPr="00E54C11">
        <w:t xml:space="preserve"> guidanc</w:t>
      </w:r>
      <w:r w:rsidRPr="00E77F77">
        <w:t>e</w:t>
      </w:r>
      <w:r w:rsidRPr="00E54C11">
        <w:t xml:space="preserve"> t</w:t>
      </w:r>
      <w:r w:rsidRPr="00E77F77">
        <w:t>o</w:t>
      </w:r>
      <w:r w:rsidRPr="00E54C11">
        <w:t xml:space="preserve"> suppo</w:t>
      </w:r>
      <w:r w:rsidRPr="00E77F77">
        <w:t>rt</w:t>
      </w:r>
      <w:r w:rsidRPr="00E54C11">
        <w:t xml:space="preserve"> goo</w:t>
      </w:r>
      <w:r w:rsidRPr="00E77F77">
        <w:t>d</w:t>
      </w:r>
      <w:r w:rsidRPr="00E54C11">
        <w:t xml:space="preserve"> commissionin</w:t>
      </w:r>
      <w:r w:rsidRPr="00E77F77">
        <w:t>g</w:t>
      </w:r>
      <w:r w:rsidRPr="00E54C11">
        <w:t xml:space="preserve"> o</w:t>
      </w:r>
      <w:r w:rsidRPr="00E77F77">
        <w:t>f</w:t>
      </w:r>
      <w:r w:rsidRPr="00E54C11">
        <w:t xml:space="preserve"> </w:t>
      </w:r>
      <w:r w:rsidRPr="00E77F77">
        <w:t>S</w:t>
      </w:r>
      <w:r w:rsidRPr="00E54C11">
        <w:t>A</w:t>
      </w:r>
      <w:r w:rsidRPr="00E77F77">
        <w:t>S.</w:t>
      </w:r>
      <w:r w:rsidRPr="00E54C11">
        <w:t xml:space="preserve"> I</w:t>
      </w:r>
      <w:r w:rsidRPr="00E77F77">
        <w:t xml:space="preserve">t </w:t>
      </w:r>
      <w:r w:rsidRPr="00E54C11">
        <w:t>aim</w:t>
      </w:r>
      <w:r w:rsidRPr="00E77F77">
        <w:t>s</w:t>
      </w:r>
      <w:r w:rsidRPr="00E54C11">
        <w:t xml:space="preserve"> t</w:t>
      </w:r>
      <w:r w:rsidRPr="00E77F77">
        <w:t>o</w:t>
      </w:r>
      <w:r w:rsidRPr="00E54C11">
        <w:t xml:space="preserve"> p</w:t>
      </w:r>
      <w:r w:rsidRPr="00E77F77">
        <w:t>r</w:t>
      </w:r>
      <w:r w:rsidRPr="00E54C11">
        <w:t>ovid</w:t>
      </w:r>
      <w:r w:rsidRPr="00E77F77">
        <w:t>e</w:t>
      </w:r>
      <w:r w:rsidRPr="00E54C11">
        <w:t xml:space="preserve"> </w:t>
      </w:r>
      <w:r w:rsidRPr="00E77F77">
        <w:t>a</w:t>
      </w:r>
      <w:r w:rsidRPr="00E54C11">
        <w:t xml:space="preserve"> stee</w:t>
      </w:r>
      <w:r w:rsidRPr="00E77F77">
        <w:t>r</w:t>
      </w:r>
      <w:r w:rsidRPr="00E54C11">
        <w:t xml:space="preserve"> o</w:t>
      </w:r>
      <w:r w:rsidRPr="00E77F77">
        <w:t>n</w:t>
      </w:r>
      <w:r w:rsidRPr="00E54C11">
        <w:t xml:space="preserve"> th</w:t>
      </w:r>
      <w:r w:rsidRPr="00E77F77">
        <w:t>e</w:t>
      </w:r>
      <w:r w:rsidRPr="00E54C11">
        <w:t xml:space="preserve"> implementatio</w:t>
      </w:r>
      <w:r w:rsidRPr="00E77F77">
        <w:t>n</w:t>
      </w:r>
      <w:r w:rsidRPr="00E54C11">
        <w:t xml:space="preserve"> o</w:t>
      </w:r>
      <w:r w:rsidRPr="00E77F77">
        <w:t>f</w:t>
      </w:r>
      <w:r w:rsidRPr="00E54C11">
        <w:t xml:space="preserve"> </w:t>
      </w:r>
      <w:r w:rsidRPr="00E77F77">
        <w:t>S</w:t>
      </w:r>
      <w:r w:rsidRPr="00E54C11">
        <w:t>A</w:t>
      </w:r>
      <w:r w:rsidRPr="00E77F77">
        <w:t>S</w:t>
      </w:r>
      <w:r w:rsidRPr="00E54C11">
        <w:t xml:space="preserve"> i</w:t>
      </w:r>
      <w:r w:rsidRPr="00E77F77">
        <w:t>n</w:t>
      </w:r>
      <w:r w:rsidRPr="00E54C11">
        <w:t xml:space="preserve"> p</w:t>
      </w:r>
      <w:r w:rsidRPr="00E77F77">
        <w:t>r</w:t>
      </w:r>
      <w:r w:rsidRPr="00E54C11">
        <w:t>actic</w:t>
      </w:r>
      <w:r w:rsidRPr="00E77F77">
        <w:t>e</w:t>
      </w:r>
      <w:r w:rsidRPr="00E54C11">
        <w:t xml:space="preserve"> an</w:t>
      </w:r>
      <w:r w:rsidRPr="00E77F77">
        <w:t xml:space="preserve">d </w:t>
      </w:r>
      <w:r w:rsidRPr="00E54C11">
        <w:t>ho</w:t>
      </w:r>
      <w:r w:rsidRPr="00E77F77">
        <w:t>w</w:t>
      </w:r>
      <w:r w:rsidRPr="00E54C11">
        <w:t xml:space="preserve"> t</w:t>
      </w:r>
      <w:r w:rsidRPr="00E77F77">
        <w:t>o</w:t>
      </w:r>
      <w:r w:rsidRPr="00E54C11">
        <w:t xml:space="preserve"> wo</w:t>
      </w:r>
      <w:r w:rsidRPr="00E77F77">
        <w:t>rk</w:t>
      </w:r>
      <w:r w:rsidRPr="00E54C11">
        <w:t xml:space="preserve"> wit</w:t>
      </w:r>
      <w:r w:rsidRPr="00E77F77">
        <w:t>h</w:t>
      </w:r>
      <w:r w:rsidRPr="00E54C11">
        <w:t xml:space="preserve"> </w:t>
      </w:r>
      <w:r w:rsidRPr="00E77F77">
        <w:t>Pr</w:t>
      </w:r>
      <w:r w:rsidRPr="00E54C11">
        <w:t>ima</w:t>
      </w:r>
      <w:r w:rsidRPr="00E77F77">
        <w:t>ry</w:t>
      </w:r>
      <w:r w:rsidRPr="00E54C11">
        <w:t xml:space="preserve"> Ca</w:t>
      </w:r>
      <w:r w:rsidRPr="00E77F77">
        <w:t>re</w:t>
      </w:r>
      <w:r w:rsidRPr="00E54C11">
        <w:t xml:space="preserve"> </w:t>
      </w:r>
      <w:r w:rsidRPr="00E77F77">
        <w:t>S</w:t>
      </w:r>
      <w:r w:rsidRPr="00E54C11">
        <w:t>uppo</w:t>
      </w:r>
      <w:r w:rsidRPr="00E77F77">
        <w:t>rt</w:t>
      </w:r>
      <w:r w:rsidRPr="00E54C11">
        <w:t xml:space="preserve"> </w:t>
      </w:r>
      <w:r w:rsidRPr="00E77F77">
        <w:t>E</w:t>
      </w:r>
      <w:r w:rsidRPr="00E54C11">
        <w:t>nglan</w:t>
      </w:r>
      <w:r w:rsidRPr="00E77F77">
        <w:t>d</w:t>
      </w:r>
      <w:r w:rsidRPr="00E54C11">
        <w:t xml:space="preserve"> </w:t>
      </w:r>
      <w:r w:rsidRPr="00E77F77">
        <w:t>(P</w:t>
      </w:r>
      <w:r w:rsidRPr="00E54C11">
        <w:t>C</w:t>
      </w:r>
      <w:r w:rsidRPr="00E77F77">
        <w:t>SE),</w:t>
      </w:r>
      <w:r w:rsidRPr="00E54C11">
        <w:t xml:space="preserve"> whic</w:t>
      </w:r>
      <w:r w:rsidRPr="00E77F77">
        <w:t>h</w:t>
      </w:r>
      <w:r w:rsidRPr="00E54C11">
        <w:t xml:space="preserve"> i</w:t>
      </w:r>
      <w:r w:rsidRPr="00E77F77">
        <w:t xml:space="preserve">s </w:t>
      </w:r>
      <w:r w:rsidRPr="00E54C11">
        <w:t>delive</w:t>
      </w:r>
      <w:r w:rsidRPr="00E77F77">
        <w:t>r</w:t>
      </w:r>
      <w:r w:rsidRPr="00E54C11">
        <w:t>e</w:t>
      </w:r>
      <w:r w:rsidRPr="00E77F77">
        <w:t>d</w:t>
      </w:r>
      <w:r w:rsidRPr="00E54C11">
        <w:t xml:space="preserve"> o</w:t>
      </w:r>
      <w:r w:rsidRPr="00E77F77">
        <w:t>n</w:t>
      </w:r>
      <w:r w:rsidRPr="00E54C11">
        <w:t xml:space="preserve"> behal</w:t>
      </w:r>
      <w:r w:rsidRPr="00E77F77">
        <w:t>f</w:t>
      </w:r>
      <w:r w:rsidRPr="00E54C11">
        <w:t xml:space="preserve"> o</w:t>
      </w:r>
      <w:r w:rsidRPr="00E77F77">
        <w:t>f</w:t>
      </w:r>
      <w:r w:rsidRPr="00E54C11">
        <w:t xml:space="preserve"> NH</w:t>
      </w:r>
      <w:r w:rsidRPr="00E77F77">
        <w:t>S</w:t>
      </w:r>
      <w:r w:rsidRPr="00E54C11">
        <w:t xml:space="preserve"> </w:t>
      </w:r>
      <w:r w:rsidRPr="00E77F77">
        <w:t>En</w:t>
      </w:r>
      <w:r w:rsidRPr="00E54C11">
        <w:t>gland</w:t>
      </w:r>
      <w:r w:rsidRPr="00E77F77">
        <w:t>,</w:t>
      </w:r>
      <w:r w:rsidRPr="00E54C11">
        <w:t xml:space="preserve"> b</w:t>
      </w:r>
      <w:r w:rsidRPr="00E77F77">
        <w:t>y</w:t>
      </w:r>
      <w:r w:rsidRPr="00E54C11">
        <w:t xml:space="preserve"> Capit</w:t>
      </w:r>
      <w:r w:rsidRPr="00E77F77">
        <w:t>a</w:t>
      </w:r>
      <w:r w:rsidRPr="00E54C11">
        <w:t xml:space="preserve"> </w:t>
      </w:r>
      <w:r w:rsidRPr="00E77F77">
        <w:t>P</w:t>
      </w:r>
      <w:r w:rsidRPr="00E54C11">
        <w:t>lc</w:t>
      </w:r>
      <w:r w:rsidRPr="00E77F77">
        <w:t>.</w:t>
      </w:r>
    </w:p>
    <w:p w14:paraId="2539B238" w14:textId="77777777" w:rsidR="008F7BB3" w:rsidRPr="00E54C11" w:rsidRDefault="008F7BB3" w:rsidP="008F7BB3">
      <w:pPr>
        <w:pStyle w:val="Heading3"/>
        <w:rPr>
          <w:b/>
        </w:rPr>
      </w:pPr>
      <w:bookmarkStart w:id="494" w:name="_Toc483740366"/>
      <w:r w:rsidRPr="00E54C11">
        <w:rPr>
          <w:b/>
        </w:rPr>
        <w:t>Background to this work</w:t>
      </w:r>
      <w:bookmarkEnd w:id="494"/>
      <w:r w:rsidRPr="00D554A9">
        <w:rPr>
          <w:b/>
        </w:rPr>
        <w:t xml:space="preserve"> </w:t>
      </w:r>
    </w:p>
    <w:p w14:paraId="3176C6C4" w14:textId="77777777" w:rsidR="008F7BB3" w:rsidRPr="00E77F77" w:rsidRDefault="008F7BB3" w:rsidP="008F7BB3">
      <w:pPr>
        <w:pStyle w:val="Heading3"/>
      </w:pPr>
      <w:r w:rsidRPr="00E54C11">
        <w:t>Th</w:t>
      </w:r>
      <w:r w:rsidRPr="00E77F77">
        <w:t>e</w:t>
      </w:r>
      <w:r w:rsidRPr="00E54C11">
        <w:t xml:space="preserve"> </w:t>
      </w:r>
      <w:r w:rsidRPr="00E77F77">
        <w:t>S</w:t>
      </w:r>
      <w:r w:rsidRPr="00E54C11">
        <w:t>A</w:t>
      </w:r>
      <w:r w:rsidRPr="00E77F77">
        <w:t>S</w:t>
      </w:r>
      <w:r w:rsidRPr="00E54C11" w:rsidDel="003A7629">
        <w:t xml:space="preserve"> </w:t>
      </w:r>
      <w:r w:rsidRPr="00E54C11">
        <w:t>wa</w:t>
      </w:r>
      <w:r w:rsidRPr="00E77F77">
        <w:t>s</w:t>
      </w:r>
      <w:r w:rsidRPr="00E54C11">
        <w:t xml:space="preserve"> int</w:t>
      </w:r>
      <w:r w:rsidRPr="00E77F77">
        <w:t>r</w:t>
      </w:r>
      <w:r w:rsidRPr="00E54C11">
        <w:t>oduce</w:t>
      </w:r>
      <w:r w:rsidRPr="00E77F77">
        <w:t>d</w:t>
      </w:r>
      <w:r w:rsidRPr="00E54C11">
        <w:t xml:space="preserve"> a</w:t>
      </w:r>
      <w:r w:rsidRPr="00E77F77">
        <w:t>s</w:t>
      </w:r>
      <w:r w:rsidRPr="00E54C11">
        <w:t xml:space="preserve"> </w:t>
      </w:r>
      <w:r w:rsidRPr="00E77F77">
        <w:t>a</w:t>
      </w:r>
      <w:r w:rsidRPr="00E54C11">
        <w:t xml:space="preserve"> Di</w:t>
      </w:r>
      <w:r w:rsidRPr="00E77F77">
        <w:t>r</w:t>
      </w:r>
      <w:r w:rsidRPr="00E54C11">
        <w:t>ecte</w:t>
      </w:r>
      <w:r w:rsidRPr="00E77F77">
        <w:t>d</w:t>
      </w:r>
      <w:r w:rsidRPr="00E54C11">
        <w:t xml:space="preserve"> </w:t>
      </w:r>
      <w:r w:rsidRPr="00E77F77">
        <w:t>E</w:t>
      </w:r>
      <w:r w:rsidRPr="00E54C11">
        <w:t>nhance</w:t>
      </w:r>
      <w:r w:rsidRPr="00E77F77">
        <w:t>d</w:t>
      </w:r>
      <w:r w:rsidRPr="00E54C11">
        <w:t xml:space="preserve"> </w:t>
      </w:r>
      <w:r w:rsidRPr="00E77F77">
        <w:t>S</w:t>
      </w:r>
      <w:r w:rsidRPr="00E54C11">
        <w:t>e</w:t>
      </w:r>
      <w:r w:rsidRPr="00E77F77">
        <w:t>r</w:t>
      </w:r>
      <w:r w:rsidRPr="00E54C11">
        <w:t>vic</w:t>
      </w:r>
      <w:r w:rsidRPr="00E77F77">
        <w:t>e</w:t>
      </w:r>
      <w:r w:rsidRPr="00E54C11">
        <w:t xml:space="preserve"> i</w:t>
      </w:r>
      <w:r w:rsidRPr="00E77F77">
        <w:t>n</w:t>
      </w:r>
      <w:r w:rsidRPr="00E54C11">
        <w:t xml:space="preserve"> 200</w:t>
      </w:r>
      <w:r w:rsidRPr="00E77F77">
        <w:t>4</w:t>
      </w:r>
      <w:r w:rsidRPr="00E54C11">
        <w:t xml:space="preserve"> to p</w:t>
      </w:r>
      <w:r w:rsidRPr="00E77F77">
        <w:t>r</w:t>
      </w:r>
      <w:r w:rsidRPr="00E54C11">
        <w:t>ovid</w:t>
      </w:r>
      <w:r w:rsidRPr="00E77F77">
        <w:t>e</w:t>
      </w:r>
      <w:r w:rsidRPr="00E54C11">
        <w:t xml:space="preserve"> gene</w:t>
      </w:r>
      <w:r w:rsidRPr="00E77F77">
        <w:t>r</w:t>
      </w:r>
      <w:r w:rsidRPr="00E54C11">
        <w:t>a</w:t>
      </w:r>
      <w:r w:rsidRPr="00E77F77">
        <w:t>l</w:t>
      </w:r>
      <w:r w:rsidRPr="00E54C11">
        <w:t xml:space="preserve"> p</w:t>
      </w:r>
      <w:r w:rsidRPr="00E77F77">
        <w:t>r</w:t>
      </w:r>
      <w:r w:rsidRPr="00E54C11">
        <w:t>ima</w:t>
      </w:r>
      <w:r w:rsidRPr="00E77F77">
        <w:t>ry</w:t>
      </w:r>
      <w:r w:rsidRPr="00E54C11">
        <w:t xml:space="preserve"> ca</w:t>
      </w:r>
      <w:r w:rsidRPr="00E77F77">
        <w:t>re</w:t>
      </w:r>
      <w:r w:rsidRPr="00E54C11">
        <w:t xml:space="preserve"> medica</w:t>
      </w:r>
      <w:r w:rsidRPr="00E77F77">
        <w:t>l</w:t>
      </w:r>
      <w:r w:rsidRPr="00E54C11">
        <w:t xml:space="preserve"> se</w:t>
      </w:r>
      <w:r w:rsidRPr="00E77F77">
        <w:t>r</w:t>
      </w:r>
      <w:r w:rsidRPr="00E54C11">
        <w:t>vice</w:t>
      </w:r>
      <w:r w:rsidRPr="00E77F77">
        <w:t>s</w:t>
      </w:r>
      <w:r w:rsidRPr="00E54C11">
        <w:t xml:space="preserve"> i</w:t>
      </w:r>
      <w:r w:rsidRPr="00E77F77">
        <w:t>n</w:t>
      </w:r>
      <w:r w:rsidRPr="00E54C11">
        <w:t xml:space="preserve"> </w:t>
      </w:r>
      <w:r w:rsidRPr="00E77F77">
        <w:t>a</w:t>
      </w:r>
      <w:r w:rsidRPr="00E54C11">
        <w:t xml:space="preserve"> secu</w:t>
      </w:r>
      <w:r w:rsidRPr="00E77F77">
        <w:t>re</w:t>
      </w:r>
      <w:r w:rsidRPr="00E54C11">
        <w:t xml:space="preserve"> envi</w:t>
      </w:r>
      <w:r w:rsidRPr="00E77F77">
        <w:t>r</w:t>
      </w:r>
      <w:r w:rsidRPr="00E54C11">
        <w:t>onmen</w:t>
      </w:r>
      <w:r w:rsidRPr="00E77F77">
        <w:t xml:space="preserve">t </w:t>
      </w:r>
      <w:r w:rsidRPr="00E54C11">
        <w:t>t</w:t>
      </w:r>
      <w:r w:rsidRPr="00E77F77">
        <w:t>o</w:t>
      </w:r>
      <w:r w:rsidRPr="00E54C11">
        <w:t xml:space="preserve"> patient</w:t>
      </w:r>
      <w:r w:rsidRPr="00E77F77">
        <w:t>s</w:t>
      </w:r>
      <w:r w:rsidRPr="00E54C11">
        <w:t xml:space="preserve"> wh</w:t>
      </w:r>
      <w:r w:rsidRPr="00E77F77">
        <w:t>o</w:t>
      </w:r>
      <w:r w:rsidRPr="00E54C11">
        <w:t xml:space="preserve"> mee</w:t>
      </w:r>
      <w:r w:rsidRPr="00E77F77">
        <w:t>t</w:t>
      </w:r>
      <w:r w:rsidRPr="00E54C11">
        <w:t xml:space="preserve"> th</w:t>
      </w:r>
      <w:r w:rsidRPr="00E77F77">
        <w:t>e</w:t>
      </w:r>
      <w:r w:rsidRPr="00E54C11">
        <w:t xml:space="preserve"> c</w:t>
      </w:r>
      <w:r w:rsidRPr="00E77F77">
        <w:t>r</w:t>
      </w:r>
      <w:r w:rsidRPr="00E54C11">
        <w:t>ite</w:t>
      </w:r>
      <w:r w:rsidRPr="00E77F77">
        <w:t>r</w:t>
      </w:r>
      <w:r w:rsidRPr="00E54C11">
        <w:t>i</w:t>
      </w:r>
      <w:r>
        <w:t>a</w:t>
      </w:r>
      <w:r w:rsidRPr="00E54C11">
        <w:t xml:space="preserve"> fo</w:t>
      </w:r>
      <w:r>
        <w:t>r</w:t>
      </w:r>
      <w:r w:rsidRPr="00E54C11">
        <w:t xml:space="preserve"> inclusio</w:t>
      </w:r>
      <w:r>
        <w:t>n</w:t>
      </w:r>
      <w:r w:rsidRPr="00E54C11">
        <w:t xml:space="preserve"> int</w:t>
      </w:r>
      <w:r>
        <w:t>o</w:t>
      </w:r>
      <w:r w:rsidRPr="00E54C11">
        <w:t xml:space="preserve"> th</w:t>
      </w:r>
      <w:r>
        <w:t>e</w:t>
      </w:r>
      <w:r w:rsidRPr="00E54C11">
        <w:t xml:space="preserve"> scheme</w:t>
      </w:r>
      <w:r>
        <w:t>.</w:t>
      </w:r>
      <w:r w:rsidRPr="00E54C11">
        <w:t xml:space="preserve"> Th</w:t>
      </w:r>
      <w:r>
        <w:t>e S</w:t>
      </w:r>
      <w:r w:rsidRPr="00E54C11">
        <w:t>A</w:t>
      </w:r>
      <w:r>
        <w:t>S</w:t>
      </w:r>
      <w:r w:rsidRPr="00E54C11">
        <w:t xml:space="preserve"> canno</w:t>
      </w:r>
      <w:r>
        <w:t>t</w:t>
      </w:r>
      <w:r w:rsidRPr="00E54C11">
        <w:t xml:space="preserve"> b</w:t>
      </w:r>
      <w:r w:rsidRPr="00E77F77">
        <w:t>e</w:t>
      </w:r>
      <w:r w:rsidRPr="00E54C11">
        <w:t xml:space="preserve"> use</w:t>
      </w:r>
      <w:r w:rsidRPr="00E77F77">
        <w:t>d</w:t>
      </w:r>
      <w:r w:rsidRPr="00E54C11">
        <w:t xml:space="preserve"> i</w:t>
      </w:r>
      <w:r w:rsidRPr="00E77F77">
        <w:t>n</w:t>
      </w:r>
      <w:r w:rsidRPr="00E54C11">
        <w:t xml:space="preserve"> an</w:t>
      </w:r>
      <w:r w:rsidRPr="00E77F77">
        <w:t>y</w:t>
      </w:r>
      <w:r w:rsidRPr="00E54C11">
        <w:t xml:space="preserve"> othe</w:t>
      </w:r>
      <w:r w:rsidRPr="00E77F77">
        <w:t>r</w:t>
      </w:r>
      <w:r w:rsidRPr="00E54C11">
        <w:t xml:space="preserve"> ci</w:t>
      </w:r>
      <w:r w:rsidRPr="00E77F77">
        <w:t>r</w:t>
      </w:r>
      <w:r w:rsidRPr="00E54C11">
        <w:t>cumstance</w:t>
      </w:r>
      <w:r w:rsidRPr="00E77F77">
        <w:t>s</w:t>
      </w:r>
      <w:r w:rsidRPr="00E54C11">
        <w:t xml:space="preserve"> withou</w:t>
      </w:r>
      <w:r w:rsidRPr="00E77F77">
        <w:t>t</w:t>
      </w:r>
      <w:r w:rsidRPr="00E54C11">
        <w:t xml:space="preserve"> exp</w:t>
      </w:r>
      <w:r w:rsidRPr="00E77F77">
        <w:t>r</w:t>
      </w:r>
      <w:r w:rsidRPr="00E54C11">
        <w:t>es</w:t>
      </w:r>
      <w:r w:rsidRPr="00E77F77">
        <w:t xml:space="preserve">s </w:t>
      </w:r>
      <w:r w:rsidRPr="00E54C11">
        <w:t>an</w:t>
      </w:r>
      <w:r w:rsidRPr="00E77F77">
        <w:t>d</w:t>
      </w:r>
      <w:r w:rsidRPr="00E54C11">
        <w:t xml:space="preserve"> p</w:t>
      </w:r>
      <w:r w:rsidRPr="00E77F77">
        <w:t>r</w:t>
      </w:r>
      <w:r w:rsidRPr="00E54C11">
        <w:t>io</w:t>
      </w:r>
      <w:r w:rsidRPr="00E77F77">
        <w:t>r</w:t>
      </w:r>
      <w:r w:rsidRPr="00E54C11">
        <w:t xml:space="preserve"> ag</w:t>
      </w:r>
      <w:r w:rsidRPr="00E77F77">
        <w:t>r</w:t>
      </w:r>
      <w:r w:rsidRPr="00E54C11">
        <w:t>eemen</w:t>
      </w:r>
      <w:r w:rsidRPr="00E77F77">
        <w:t>t</w:t>
      </w:r>
      <w:r w:rsidRPr="00E54C11">
        <w:t xml:space="preserve"> wit</w:t>
      </w:r>
      <w:r w:rsidRPr="00E77F77">
        <w:t>h</w:t>
      </w:r>
      <w:r w:rsidRPr="00E54C11">
        <w:t xml:space="preserve"> NH</w:t>
      </w:r>
      <w:r w:rsidRPr="00E77F77">
        <w:t>S</w:t>
      </w:r>
      <w:r w:rsidRPr="00E54C11">
        <w:t xml:space="preserve"> </w:t>
      </w:r>
      <w:r w:rsidRPr="00E77F77">
        <w:t>E</w:t>
      </w:r>
      <w:r w:rsidRPr="00E54C11">
        <w:t>nglan</w:t>
      </w:r>
      <w:r w:rsidRPr="00E77F77">
        <w:t xml:space="preserve">d </w:t>
      </w:r>
    </w:p>
    <w:p w14:paraId="34B41E6D" w14:textId="77777777" w:rsidR="008F7BB3" w:rsidRPr="00E77F77" w:rsidRDefault="008F7BB3" w:rsidP="008F7BB3">
      <w:pPr>
        <w:pStyle w:val="Heading3"/>
      </w:pPr>
      <w:r w:rsidRPr="00E54C11">
        <w:t>Thi</w:t>
      </w:r>
      <w:r w:rsidRPr="00E77F77">
        <w:t>s</w:t>
      </w:r>
      <w:r w:rsidRPr="00E54C11">
        <w:t xml:space="preserve"> </w:t>
      </w:r>
      <w:r w:rsidRPr="00E77F77">
        <w:t>S</w:t>
      </w:r>
      <w:r w:rsidRPr="00E54C11">
        <w:t>A</w:t>
      </w:r>
      <w:r w:rsidRPr="00E77F77">
        <w:t>S</w:t>
      </w:r>
      <w:r w:rsidRPr="00E54C11" w:rsidDel="003A7629">
        <w:t xml:space="preserve"> </w:t>
      </w:r>
      <w:r w:rsidRPr="00E54C11">
        <w:t>allow</w:t>
      </w:r>
      <w:r w:rsidRPr="00E77F77">
        <w:t>s</w:t>
      </w:r>
      <w:r w:rsidRPr="00E54C11">
        <w:t xml:space="preserve"> Commissioner</w:t>
      </w:r>
      <w:r w:rsidRPr="00E77F77">
        <w:t>s</w:t>
      </w:r>
      <w:r w:rsidRPr="00E54C11">
        <w:t xml:space="preserve"> t</w:t>
      </w:r>
      <w:r w:rsidRPr="00E77F77">
        <w:t>o</w:t>
      </w:r>
      <w:r w:rsidRPr="00E54C11">
        <w:t xml:space="preserve"> balanc</w:t>
      </w:r>
      <w:r w:rsidRPr="00E77F77">
        <w:t>e</w:t>
      </w:r>
      <w:r w:rsidRPr="00E54C11">
        <w:t xml:space="preserve"> th</w:t>
      </w:r>
      <w:r w:rsidRPr="00E77F77">
        <w:t>e</w:t>
      </w:r>
      <w:r w:rsidRPr="00E54C11">
        <w:t xml:space="preserve"> </w:t>
      </w:r>
      <w:r w:rsidRPr="00E77F77">
        <w:t>r</w:t>
      </w:r>
      <w:r w:rsidRPr="00E54C11">
        <w:t>ight</w:t>
      </w:r>
      <w:r w:rsidRPr="00E77F77">
        <w:t>s</w:t>
      </w:r>
      <w:r w:rsidRPr="00E54C11">
        <w:t xml:space="preserve"> o</w:t>
      </w:r>
      <w:r w:rsidRPr="00E77F77">
        <w:t>f</w:t>
      </w:r>
      <w:r w:rsidRPr="00E54C11">
        <w:t xml:space="preserve"> patient</w:t>
      </w:r>
      <w:r w:rsidRPr="00E77F77">
        <w:t>s</w:t>
      </w:r>
      <w:r w:rsidRPr="00E54C11">
        <w:t xml:space="preserve"> t</w:t>
      </w:r>
      <w:r w:rsidRPr="00E77F77">
        <w:t>o r</w:t>
      </w:r>
      <w:r w:rsidRPr="00E54C11">
        <w:t>eceiv</w:t>
      </w:r>
      <w:r w:rsidRPr="00E77F77">
        <w:t>e</w:t>
      </w:r>
      <w:r w:rsidRPr="00E54C11">
        <w:t xml:space="preserve"> se</w:t>
      </w:r>
      <w:r w:rsidRPr="00E77F77">
        <w:t>r</w:t>
      </w:r>
      <w:r w:rsidRPr="00E54C11">
        <w:t>vice</w:t>
      </w:r>
      <w:r w:rsidRPr="00E77F77">
        <w:t>s</w:t>
      </w:r>
      <w:r w:rsidRPr="00E54C11">
        <w:t xml:space="preserve"> f</w:t>
      </w:r>
      <w:r w:rsidRPr="00E77F77">
        <w:t>r</w:t>
      </w:r>
      <w:r w:rsidRPr="00E54C11">
        <w:t>o</w:t>
      </w:r>
      <w:r w:rsidRPr="00E77F77">
        <w:t>m</w:t>
      </w:r>
      <w:r w:rsidRPr="00E54C11">
        <w:t xml:space="preserve"> G</w:t>
      </w:r>
      <w:r w:rsidRPr="00E77F77">
        <w:t>Ps</w:t>
      </w:r>
      <w:r w:rsidRPr="00E54C11">
        <w:t xml:space="preserve"> wit</w:t>
      </w:r>
      <w:r w:rsidRPr="00E77F77">
        <w:t>h</w:t>
      </w:r>
      <w:r w:rsidRPr="00E54C11">
        <w:t xml:space="preserve"> th</w:t>
      </w:r>
      <w:r w:rsidRPr="00E77F77">
        <w:t>e</w:t>
      </w:r>
      <w:r w:rsidRPr="00E54C11">
        <w:t xml:space="preserve"> nee</w:t>
      </w:r>
      <w:r w:rsidRPr="00E77F77">
        <w:t>d</w:t>
      </w:r>
      <w:r w:rsidRPr="00E54C11">
        <w:t xml:space="preserve"> t</w:t>
      </w:r>
      <w:r w:rsidRPr="00E77F77">
        <w:t>o</w:t>
      </w:r>
      <w:r w:rsidRPr="00E54C11">
        <w:t xml:space="preserve"> ensu</w:t>
      </w:r>
      <w:r w:rsidRPr="00E77F77">
        <w:t>re</w:t>
      </w:r>
      <w:r w:rsidRPr="00E54C11">
        <w:t xml:space="preserve"> tha</w:t>
      </w:r>
      <w:r w:rsidRPr="00E77F77">
        <w:t>t</w:t>
      </w:r>
      <w:r w:rsidRPr="00E54C11">
        <w:t xml:space="preserve"> specifie</w:t>
      </w:r>
      <w:r w:rsidRPr="00E77F77">
        <w:t xml:space="preserve">d </w:t>
      </w:r>
      <w:r w:rsidRPr="00E54C11">
        <w:t>pe</w:t>
      </w:r>
      <w:r w:rsidRPr="00E77F77">
        <w:t>r</w:t>
      </w:r>
      <w:r w:rsidRPr="00E54C11">
        <w:t>sons</w:t>
      </w:r>
      <w:r w:rsidRPr="00E77F77">
        <w:t>,</w:t>
      </w:r>
      <w:r w:rsidRPr="00E54C11">
        <w:t xml:space="preserve"> includin</w:t>
      </w:r>
      <w:r w:rsidRPr="00E77F77">
        <w:t>g</w:t>
      </w:r>
      <w:r w:rsidRPr="00E54C11">
        <w:t xml:space="preserve"> G</w:t>
      </w:r>
      <w:r w:rsidRPr="00E77F77">
        <w:t>P</w:t>
      </w:r>
      <w:r w:rsidRPr="00E54C11">
        <w:t>s</w:t>
      </w:r>
      <w:r w:rsidRPr="00E77F77">
        <w:t>,</w:t>
      </w:r>
      <w:r w:rsidRPr="00E54C11">
        <w:t xml:space="preserve"> thei</w:t>
      </w:r>
      <w:r w:rsidRPr="00E77F77">
        <w:t>r</w:t>
      </w:r>
      <w:r w:rsidRPr="00E54C11">
        <w:t xml:space="preserve"> staff</w:t>
      </w:r>
      <w:r w:rsidRPr="00E77F77">
        <w:t>,</w:t>
      </w:r>
      <w:r w:rsidRPr="00E54C11">
        <w:t xml:space="preserve"> patient</w:t>
      </w:r>
      <w:r w:rsidRPr="00E77F77">
        <w:t>s</w:t>
      </w:r>
      <w:r w:rsidRPr="00E54C11">
        <w:t xml:space="preserve"> an</w:t>
      </w:r>
      <w:r w:rsidRPr="00E77F77">
        <w:t>d</w:t>
      </w:r>
      <w:r w:rsidRPr="00E54C11">
        <w:t xml:space="preserve"> othe</w:t>
      </w:r>
      <w:r w:rsidRPr="00E77F77">
        <w:t>rs</w:t>
      </w:r>
      <w:r w:rsidRPr="00E54C11">
        <w:t xml:space="preserve"> o</w:t>
      </w:r>
      <w:r w:rsidRPr="00E77F77">
        <w:t>n</w:t>
      </w:r>
      <w:r w:rsidRPr="00E54C11">
        <w:t xml:space="preserve"> th</w:t>
      </w:r>
      <w:r w:rsidRPr="00E77F77">
        <w:t>e</w:t>
      </w:r>
      <w:r w:rsidRPr="00E54C11">
        <w:t xml:space="preserve"> p</w:t>
      </w:r>
      <w:r w:rsidRPr="00E77F77">
        <w:t>r</w:t>
      </w:r>
      <w:r w:rsidRPr="00E54C11">
        <w:t>emises</w:t>
      </w:r>
      <w:r w:rsidRPr="00E77F77">
        <w:t xml:space="preserve">, </w:t>
      </w:r>
      <w:r w:rsidRPr="00E54C11">
        <w:t>delive</w:t>
      </w:r>
      <w:r w:rsidRPr="00E77F77">
        <w:t>r</w:t>
      </w:r>
      <w:r w:rsidRPr="00E54C11">
        <w:t xml:space="preserve"> an</w:t>
      </w:r>
      <w:r w:rsidRPr="00E77F77">
        <w:t>d</w:t>
      </w:r>
      <w:r w:rsidRPr="00E54C11">
        <w:t xml:space="preserve"> </w:t>
      </w:r>
      <w:r w:rsidRPr="00E77F77">
        <w:t>r</w:t>
      </w:r>
      <w:r w:rsidRPr="00E54C11">
        <w:t>eceiv</w:t>
      </w:r>
      <w:r w:rsidRPr="00E77F77">
        <w:t>e</w:t>
      </w:r>
      <w:r w:rsidRPr="00E54C11">
        <w:t xml:space="preserve"> thos</w:t>
      </w:r>
      <w:r w:rsidRPr="00E77F77">
        <w:t>e</w:t>
      </w:r>
      <w:r w:rsidRPr="00E54C11">
        <w:t xml:space="preserve"> se</w:t>
      </w:r>
      <w:r w:rsidRPr="00E77F77">
        <w:t>r</w:t>
      </w:r>
      <w:r w:rsidRPr="00E54C11">
        <w:t>vice</w:t>
      </w:r>
      <w:r w:rsidRPr="00E77F77">
        <w:t>s</w:t>
      </w:r>
      <w:r w:rsidRPr="00E54C11">
        <w:t xml:space="preserve"> withou</w:t>
      </w:r>
      <w:r w:rsidRPr="00E77F77">
        <w:t>t</w:t>
      </w:r>
      <w:r w:rsidRPr="00E54C11">
        <w:t xml:space="preserve"> actua</w:t>
      </w:r>
      <w:r w:rsidRPr="00E77F77">
        <w:t>l</w:t>
      </w:r>
      <w:r w:rsidRPr="00E54C11">
        <w:t xml:space="preserve"> o</w:t>
      </w:r>
      <w:r w:rsidRPr="00E77F77">
        <w:t>r</w:t>
      </w:r>
      <w:r w:rsidRPr="00E54C11">
        <w:t xml:space="preserve"> th</w:t>
      </w:r>
      <w:r w:rsidRPr="00E77F77">
        <w:t>r</w:t>
      </w:r>
      <w:r w:rsidRPr="00E54C11">
        <w:t>eatene</w:t>
      </w:r>
      <w:r w:rsidRPr="00E77F77">
        <w:t>d</w:t>
      </w:r>
      <w:r w:rsidRPr="00E54C11">
        <w:t xml:space="preserve"> violenc</w:t>
      </w:r>
      <w:r w:rsidRPr="00E77F77">
        <w:t xml:space="preserve">e </w:t>
      </w:r>
      <w:r w:rsidRPr="00E54C11">
        <w:t>o</w:t>
      </w:r>
      <w:r w:rsidRPr="00E77F77">
        <w:t>r</w:t>
      </w:r>
      <w:r w:rsidRPr="00E54C11">
        <w:t xml:space="preserve"> othe</w:t>
      </w:r>
      <w:r w:rsidRPr="00E77F77">
        <w:t>r</w:t>
      </w:r>
      <w:r w:rsidRPr="00E54C11">
        <w:t xml:space="preserve"> </w:t>
      </w:r>
      <w:r w:rsidRPr="00E77F77">
        <w:t>r</w:t>
      </w:r>
      <w:r w:rsidRPr="00E54C11">
        <w:t>easonabl</w:t>
      </w:r>
      <w:r w:rsidRPr="00E77F77">
        <w:t>e</w:t>
      </w:r>
      <w:r w:rsidRPr="00E54C11">
        <w:t xml:space="preserve"> fea</w:t>
      </w:r>
      <w:r w:rsidRPr="00E77F77">
        <w:t>r</w:t>
      </w:r>
      <w:r w:rsidRPr="00E54C11">
        <w:t xml:space="preserve"> fo</w:t>
      </w:r>
      <w:r w:rsidRPr="00E77F77">
        <w:t>r</w:t>
      </w:r>
      <w:r w:rsidRPr="00E54C11">
        <w:t xml:space="preserve"> thei</w:t>
      </w:r>
      <w:r w:rsidRPr="00E77F77">
        <w:t>r</w:t>
      </w:r>
      <w:r w:rsidRPr="00E54C11">
        <w:t xml:space="preserve"> safety</w:t>
      </w:r>
      <w:r w:rsidRPr="00E77F77">
        <w:t xml:space="preserve">. </w:t>
      </w:r>
    </w:p>
    <w:p w14:paraId="7D001189" w14:textId="77777777" w:rsidR="008F7BB3" w:rsidRPr="00E77F77" w:rsidRDefault="008F7BB3" w:rsidP="008F7BB3">
      <w:pPr>
        <w:pStyle w:val="Heading3"/>
      </w:pPr>
      <w:r w:rsidRPr="00E54C11">
        <w:lastRenderedPageBreak/>
        <w:t>Removin</w:t>
      </w:r>
      <w:r w:rsidRPr="00E77F77">
        <w:t>g</w:t>
      </w:r>
      <w:r w:rsidRPr="00E54C11">
        <w:t xml:space="preserve"> </w:t>
      </w:r>
      <w:r w:rsidRPr="00E77F77">
        <w:t>a</w:t>
      </w:r>
      <w:r w:rsidRPr="00E54C11">
        <w:t xml:space="preserve"> patien</w:t>
      </w:r>
      <w:r w:rsidRPr="00E77F77">
        <w:t>t</w:t>
      </w:r>
      <w:r w:rsidRPr="00E54C11">
        <w:t xml:space="preserve"> unde</w:t>
      </w:r>
      <w:r w:rsidRPr="00E77F77">
        <w:t>r</w:t>
      </w:r>
      <w:r w:rsidRPr="00E54C11">
        <w:t xml:space="preserve"> th</w:t>
      </w:r>
      <w:r w:rsidRPr="00E77F77">
        <w:t>e</w:t>
      </w:r>
      <w:r w:rsidRPr="00E54C11">
        <w:t xml:space="preserve"> </w:t>
      </w:r>
      <w:r>
        <w:t>regulations</w:t>
      </w:r>
      <w:r w:rsidRPr="00E54C11">
        <w:t xml:space="preserve"> shoul</w:t>
      </w:r>
      <w:r w:rsidRPr="00E77F77">
        <w:t>d</w:t>
      </w:r>
      <w:r w:rsidRPr="00E54C11">
        <w:t xml:space="preserve"> onl</w:t>
      </w:r>
      <w:r w:rsidRPr="00E77F77">
        <w:t>y</w:t>
      </w:r>
      <w:r w:rsidRPr="00E54C11">
        <w:t xml:space="preserve"> b</w:t>
      </w:r>
      <w:r w:rsidRPr="00E77F77">
        <w:t>e</w:t>
      </w:r>
      <w:r w:rsidRPr="00E54C11">
        <w:t xml:space="preserve"> use</w:t>
      </w:r>
      <w:r w:rsidRPr="00E77F77">
        <w:t>d</w:t>
      </w:r>
      <w:r w:rsidRPr="00E54C11">
        <w:t xml:space="preserve"> a</w:t>
      </w:r>
      <w:r w:rsidRPr="00E77F77">
        <w:t>s</w:t>
      </w:r>
      <w:r w:rsidRPr="00E54C11">
        <w:t xml:space="preserve"> </w:t>
      </w:r>
      <w:r w:rsidRPr="00E77F77">
        <w:t xml:space="preserve">a </w:t>
      </w:r>
      <w:r w:rsidRPr="00E54C11">
        <w:t>las</w:t>
      </w:r>
      <w:r w:rsidRPr="00E77F77">
        <w:t>t</w:t>
      </w:r>
      <w:r w:rsidRPr="00E54C11">
        <w:t xml:space="preserve"> </w:t>
      </w:r>
      <w:r w:rsidRPr="00E77F77">
        <w:t>r</w:t>
      </w:r>
      <w:r w:rsidRPr="00E54C11">
        <w:t>eso</w:t>
      </w:r>
      <w:r w:rsidRPr="00E77F77">
        <w:t>rt</w:t>
      </w:r>
      <w:r w:rsidRPr="00E54C11">
        <w:t xml:space="preserve"> whe</w:t>
      </w:r>
      <w:r w:rsidRPr="00E77F77">
        <w:t>n</w:t>
      </w:r>
      <w:r w:rsidRPr="00E54C11">
        <w:t xml:space="preserve"> al</w:t>
      </w:r>
      <w:r w:rsidRPr="00E77F77">
        <w:t>l</w:t>
      </w:r>
      <w:r w:rsidRPr="00E54C11">
        <w:t xml:space="preserve"> othe</w:t>
      </w:r>
      <w:r w:rsidRPr="00E77F77">
        <w:t>r</w:t>
      </w:r>
      <w:r w:rsidRPr="00E54C11">
        <w:t xml:space="preserve"> way</w:t>
      </w:r>
      <w:r w:rsidRPr="00E77F77">
        <w:t>s</w:t>
      </w:r>
      <w:r w:rsidRPr="00E54C11">
        <w:t xml:space="preserve"> o</w:t>
      </w:r>
      <w:r w:rsidRPr="00E77F77">
        <w:t xml:space="preserve">f </w:t>
      </w:r>
      <w:r w:rsidRPr="00E54C11">
        <w:t>managin</w:t>
      </w:r>
      <w:r w:rsidRPr="00E77F77">
        <w:t xml:space="preserve">g </w:t>
      </w:r>
      <w:r w:rsidRPr="00E54C11">
        <w:t>th</w:t>
      </w:r>
      <w:r w:rsidRPr="00E77F77">
        <w:t>e</w:t>
      </w:r>
      <w:r w:rsidRPr="00E54C11">
        <w:t xml:space="preserve"> patient’</w:t>
      </w:r>
      <w:r w:rsidRPr="00E77F77">
        <w:t xml:space="preserve">s </w:t>
      </w:r>
      <w:r w:rsidRPr="00E54C11">
        <w:t>behaviou</w:t>
      </w:r>
      <w:r w:rsidRPr="00E77F77">
        <w:t xml:space="preserve">r </w:t>
      </w:r>
      <w:r w:rsidRPr="00E54C11">
        <w:t>hav</w:t>
      </w:r>
      <w:r w:rsidRPr="00E77F77">
        <w:t>e</w:t>
      </w:r>
      <w:r w:rsidRPr="00E54C11">
        <w:t xml:space="preserve"> bee</w:t>
      </w:r>
      <w:r w:rsidRPr="00E77F77">
        <w:t>n</w:t>
      </w:r>
      <w:r w:rsidRPr="00E54C11">
        <w:t xml:space="preserve"> exhausted</w:t>
      </w:r>
      <w:r w:rsidRPr="00E77F77">
        <w:t>.</w:t>
      </w:r>
    </w:p>
    <w:p w14:paraId="06ADC217" w14:textId="77777777" w:rsidR="008F7BB3" w:rsidRPr="00E54C11" w:rsidRDefault="008F7BB3" w:rsidP="008F7BB3">
      <w:pPr>
        <w:pStyle w:val="Heading3"/>
        <w:rPr>
          <w:b/>
        </w:rPr>
      </w:pPr>
      <w:bookmarkStart w:id="495" w:name="_Toc483740367"/>
      <w:r w:rsidRPr="00E54C11">
        <w:rPr>
          <w:b/>
        </w:rPr>
        <w:t>Context: Rules, Regulations and Existing Arrangements</w:t>
      </w:r>
      <w:bookmarkEnd w:id="495"/>
    </w:p>
    <w:p w14:paraId="52FB8FA5" w14:textId="77777777" w:rsidR="008F7BB3" w:rsidRPr="00E54C11" w:rsidRDefault="008F7BB3" w:rsidP="008F7BB3">
      <w:pPr>
        <w:pStyle w:val="Heading3"/>
        <w:rPr>
          <w:b/>
        </w:rPr>
      </w:pPr>
      <w:bookmarkStart w:id="496" w:name="_Toc483740368"/>
      <w:r w:rsidRPr="00E54C11">
        <w:rPr>
          <w:b/>
        </w:rPr>
        <w:t>Rule</w:t>
      </w:r>
      <w:r w:rsidRPr="00474846">
        <w:rPr>
          <w:b/>
        </w:rPr>
        <w:t>s</w:t>
      </w:r>
      <w:r w:rsidRPr="00E54C11">
        <w:rPr>
          <w:b/>
        </w:rPr>
        <w:t xml:space="preserve"> an</w:t>
      </w:r>
      <w:r w:rsidRPr="00474846">
        <w:rPr>
          <w:b/>
        </w:rPr>
        <w:t>d</w:t>
      </w:r>
      <w:r w:rsidRPr="00E54C11">
        <w:rPr>
          <w:b/>
        </w:rPr>
        <w:t xml:space="preserve"> Regula</w:t>
      </w:r>
      <w:r w:rsidRPr="00474846">
        <w:rPr>
          <w:b/>
        </w:rPr>
        <w:t>t</w:t>
      </w:r>
      <w:r w:rsidRPr="00E54C11">
        <w:rPr>
          <w:b/>
        </w:rPr>
        <w:t>io</w:t>
      </w:r>
      <w:r w:rsidRPr="00474846">
        <w:rPr>
          <w:b/>
        </w:rPr>
        <w:t>n</w:t>
      </w:r>
      <w:bookmarkEnd w:id="496"/>
    </w:p>
    <w:p w14:paraId="17C29BFD" w14:textId="77777777" w:rsidR="008F7BB3" w:rsidRPr="00E54C11" w:rsidRDefault="008F7BB3" w:rsidP="008F7BB3">
      <w:pPr>
        <w:pStyle w:val="Heading3"/>
        <w:rPr>
          <w:b/>
        </w:rPr>
      </w:pPr>
      <w:bookmarkStart w:id="497" w:name="_Toc483740369"/>
      <w:r w:rsidRPr="00E54C11">
        <w:rPr>
          <w:b/>
        </w:rPr>
        <w:t>Th</w:t>
      </w:r>
      <w:r w:rsidRPr="00474846">
        <w:rPr>
          <w:b/>
        </w:rPr>
        <w:t>e</w:t>
      </w:r>
      <w:r w:rsidRPr="00E54C11">
        <w:rPr>
          <w:b/>
        </w:rPr>
        <w:t xml:space="preserve"> GM</w:t>
      </w:r>
      <w:r w:rsidRPr="00474846">
        <w:rPr>
          <w:b/>
        </w:rPr>
        <w:t>S</w:t>
      </w:r>
      <w:r w:rsidRPr="00E54C11">
        <w:rPr>
          <w:b/>
        </w:rPr>
        <w:t xml:space="preserve"> </w:t>
      </w:r>
      <w:r w:rsidRPr="00474846">
        <w:rPr>
          <w:b/>
        </w:rPr>
        <w:t>/</w:t>
      </w:r>
      <w:r w:rsidRPr="00E54C11">
        <w:rPr>
          <w:b/>
        </w:rPr>
        <w:t xml:space="preserve"> </w:t>
      </w:r>
      <w:r w:rsidRPr="00474846">
        <w:rPr>
          <w:b/>
        </w:rPr>
        <w:t>P</w:t>
      </w:r>
      <w:r w:rsidRPr="00E54C11">
        <w:rPr>
          <w:b/>
        </w:rPr>
        <w:t>M</w:t>
      </w:r>
      <w:r w:rsidRPr="00474846">
        <w:rPr>
          <w:b/>
        </w:rPr>
        <w:t>S</w:t>
      </w:r>
      <w:r w:rsidRPr="00E54C11">
        <w:rPr>
          <w:b/>
        </w:rPr>
        <w:t xml:space="preserve"> Con</w:t>
      </w:r>
      <w:r w:rsidRPr="00474846">
        <w:rPr>
          <w:b/>
        </w:rPr>
        <w:t>t</w:t>
      </w:r>
      <w:r w:rsidRPr="00E54C11">
        <w:rPr>
          <w:b/>
        </w:rPr>
        <w:t>rac</w:t>
      </w:r>
      <w:r w:rsidRPr="00474846">
        <w:rPr>
          <w:b/>
        </w:rPr>
        <w:t>t</w:t>
      </w:r>
      <w:r w:rsidRPr="00E54C11">
        <w:rPr>
          <w:b/>
        </w:rPr>
        <w:t xml:space="preserve"> Regula</w:t>
      </w:r>
      <w:r w:rsidRPr="00474846">
        <w:rPr>
          <w:b/>
        </w:rPr>
        <w:t>t</w:t>
      </w:r>
      <w:r w:rsidRPr="00E54C11">
        <w:rPr>
          <w:b/>
        </w:rPr>
        <w:t>ion</w:t>
      </w:r>
      <w:r w:rsidRPr="00474846">
        <w:rPr>
          <w:b/>
        </w:rPr>
        <w:t>s</w:t>
      </w:r>
    </w:p>
    <w:p w14:paraId="1FE6F3BB" w14:textId="77777777" w:rsidR="008F7BB3" w:rsidRPr="00E77F77" w:rsidRDefault="008F7BB3" w:rsidP="008F7BB3">
      <w:pPr>
        <w:pStyle w:val="Heading3"/>
      </w:pPr>
      <w:r w:rsidRPr="00E54C11">
        <w:t>Th</w:t>
      </w:r>
      <w:r w:rsidRPr="00E77F77">
        <w:t xml:space="preserve">e </w:t>
      </w:r>
      <w:r w:rsidRPr="00E54C11">
        <w:t>Nationa</w:t>
      </w:r>
      <w:r w:rsidRPr="00E77F77">
        <w:t xml:space="preserve">l </w:t>
      </w:r>
      <w:r w:rsidRPr="00E54C11">
        <w:t>Healt</w:t>
      </w:r>
      <w:r w:rsidRPr="00E77F77">
        <w:t>h S</w:t>
      </w:r>
      <w:r w:rsidRPr="00E54C11">
        <w:t>e</w:t>
      </w:r>
      <w:r w:rsidRPr="00E77F77">
        <w:t>r</w:t>
      </w:r>
      <w:r w:rsidRPr="00E54C11">
        <w:t>vic</w:t>
      </w:r>
      <w:r w:rsidRPr="00E77F77">
        <w:t>e (</w:t>
      </w:r>
      <w:r w:rsidRPr="00E54C11">
        <w:t>Gene</w:t>
      </w:r>
      <w:r w:rsidRPr="00E77F77">
        <w:t>r</w:t>
      </w:r>
      <w:r w:rsidRPr="00E54C11">
        <w:t>a</w:t>
      </w:r>
      <w:r w:rsidRPr="00E77F77">
        <w:t xml:space="preserve">l </w:t>
      </w:r>
      <w:r w:rsidRPr="00E54C11">
        <w:t>Medica</w:t>
      </w:r>
      <w:r w:rsidRPr="00E77F77">
        <w:t>l S</w:t>
      </w:r>
      <w:r w:rsidRPr="00E54C11">
        <w:t>e</w:t>
      </w:r>
      <w:r w:rsidRPr="00E77F77">
        <w:t>r</w:t>
      </w:r>
      <w:r w:rsidRPr="00E54C11">
        <w:t>vice</w:t>
      </w:r>
      <w:r w:rsidRPr="00E77F77">
        <w:t xml:space="preserve">s </w:t>
      </w:r>
      <w:r w:rsidRPr="00E54C11">
        <w:t>Cont</w:t>
      </w:r>
      <w:r w:rsidRPr="00E77F77">
        <w:t>r</w:t>
      </w:r>
      <w:r w:rsidRPr="00E54C11">
        <w:t>acts</w:t>
      </w:r>
      <w:r w:rsidRPr="00E77F77">
        <w:t xml:space="preserve">) </w:t>
      </w:r>
      <w:r w:rsidRPr="00E54C11">
        <w:t>Regulation</w:t>
      </w:r>
      <w:r w:rsidRPr="00E77F77">
        <w:t>s</w:t>
      </w:r>
      <w:r w:rsidRPr="00E54C11">
        <w:t xml:space="preserve"> 2015</w:t>
      </w:r>
      <w:r w:rsidRPr="00E77F77">
        <w:t xml:space="preserve"> </w:t>
      </w:r>
    </w:p>
    <w:bookmarkStart w:id="498" w:name="_1567147836"/>
    <w:bookmarkEnd w:id="498"/>
    <w:p w14:paraId="7A2116F6" w14:textId="215BA414" w:rsidR="008F7BB3" w:rsidRPr="00E77F77" w:rsidRDefault="002306F3" w:rsidP="005A7DDA">
      <w:pPr>
        <w:pStyle w:val="Heading3"/>
        <w:numPr>
          <w:ilvl w:val="0"/>
          <w:numId w:val="151"/>
        </w:numPr>
      </w:pPr>
      <w:r>
        <w:fldChar w:fldCharType="begin"/>
      </w:r>
      <w:r>
        <w:instrText xml:space="preserve"> HYPERLINK "https://www.england.nhs.uk/publication/primary-medical-care-policy-and-guidance-manual-police-incident-reporting-the-home-office-counting-rules-annexes/" </w:instrText>
      </w:r>
      <w:r>
        <w:fldChar w:fldCharType="separate"/>
      </w:r>
      <w:r w:rsidR="004B57CD" w:rsidRPr="006D6A9E">
        <w:rPr>
          <w:rStyle w:val="Hyperlink"/>
        </w:rPr>
        <w:t>The National Health Service (General Medical Services Contracts) Regulations 2015</w:t>
      </w:r>
      <w:r>
        <w:rPr>
          <w:rStyle w:val="Hyperlink"/>
        </w:rPr>
        <w:fldChar w:fldCharType="end"/>
      </w:r>
      <w:r w:rsidR="004B57CD" w:rsidRPr="00E77F77">
        <w:t xml:space="preserve"> </w:t>
      </w:r>
    </w:p>
    <w:p w14:paraId="627AC6E3" w14:textId="77777777" w:rsidR="008F7BB3" w:rsidRPr="00E77F77" w:rsidRDefault="008F7BB3" w:rsidP="008F7BB3">
      <w:pPr>
        <w:pStyle w:val="Heading3"/>
      </w:pPr>
      <w:r w:rsidRPr="00E54C11">
        <w:t>Th</w:t>
      </w:r>
      <w:r w:rsidRPr="00E77F77">
        <w:t xml:space="preserve">e </w:t>
      </w:r>
      <w:r w:rsidRPr="00E54C11">
        <w:t>Nationa</w:t>
      </w:r>
      <w:r w:rsidRPr="00E77F77">
        <w:t xml:space="preserve">l </w:t>
      </w:r>
      <w:r w:rsidRPr="00E54C11">
        <w:t>Healt</w:t>
      </w:r>
      <w:r w:rsidRPr="00E77F77">
        <w:t>h</w:t>
      </w:r>
      <w:r w:rsidRPr="00E54C11">
        <w:t xml:space="preserve"> </w:t>
      </w:r>
      <w:r w:rsidRPr="00E77F77">
        <w:t>S</w:t>
      </w:r>
      <w:r w:rsidRPr="00E54C11">
        <w:t>e</w:t>
      </w:r>
      <w:r w:rsidRPr="00E77F77">
        <w:t>r</w:t>
      </w:r>
      <w:r w:rsidRPr="00E54C11">
        <w:t>vic</w:t>
      </w:r>
      <w:r w:rsidRPr="00E77F77">
        <w:t>e</w:t>
      </w:r>
      <w:r w:rsidRPr="00E54C11">
        <w:t xml:space="preserve"> </w:t>
      </w:r>
      <w:r w:rsidRPr="00E77F77">
        <w:t>(P</w:t>
      </w:r>
      <w:r w:rsidRPr="00E54C11">
        <w:t>e</w:t>
      </w:r>
      <w:r w:rsidRPr="00E77F77">
        <w:t>r</w:t>
      </w:r>
      <w:r w:rsidRPr="00E54C11">
        <w:t>sona</w:t>
      </w:r>
      <w:r w:rsidRPr="00E77F77">
        <w:t>l</w:t>
      </w:r>
      <w:r w:rsidRPr="00E54C11">
        <w:t xml:space="preserve"> Medica</w:t>
      </w:r>
      <w:r w:rsidRPr="00E77F77">
        <w:t>l</w:t>
      </w:r>
      <w:r w:rsidRPr="00E54C11">
        <w:t xml:space="preserve"> </w:t>
      </w:r>
      <w:r w:rsidRPr="00E77F77">
        <w:t>S</w:t>
      </w:r>
      <w:r w:rsidRPr="00E54C11">
        <w:t>e</w:t>
      </w:r>
      <w:r w:rsidRPr="00E77F77">
        <w:t>r</w:t>
      </w:r>
      <w:r w:rsidRPr="00E54C11">
        <w:t>vice</w:t>
      </w:r>
      <w:r w:rsidRPr="00E77F77">
        <w:t xml:space="preserve">s </w:t>
      </w:r>
      <w:r w:rsidRPr="00E54C11">
        <w:t>Ag</w:t>
      </w:r>
      <w:r w:rsidRPr="00E77F77">
        <w:t>r</w:t>
      </w:r>
      <w:r w:rsidRPr="00E54C11">
        <w:t>eements</w:t>
      </w:r>
      <w:r w:rsidRPr="00E77F77">
        <w:t xml:space="preserve">) </w:t>
      </w:r>
      <w:r w:rsidRPr="00E54C11">
        <w:t>Regulation</w:t>
      </w:r>
      <w:r w:rsidRPr="00E77F77">
        <w:t>s</w:t>
      </w:r>
      <w:r w:rsidRPr="00E54C11">
        <w:t xml:space="preserve"> 201</w:t>
      </w:r>
      <w:r w:rsidRPr="00E77F77">
        <w:t>5</w:t>
      </w:r>
      <w:r w:rsidRPr="00E54C11">
        <w:t xml:space="preserve"> </w:t>
      </w:r>
      <w:r w:rsidRPr="00E77F77">
        <w:t>-</w:t>
      </w:r>
      <w:r w:rsidRPr="00E54C11">
        <w:t xml:space="preserve"> </w:t>
      </w:r>
      <w:r w:rsidRPr="00E77F77">
        <w:t>S</w:t>
      </w:r>
      <w:r w:rsidRPr="00E54C11">
        <w:t>chedul</w:t>
      </w:r>
      <w:r w:rsidRPr="00E77F77">
        <w:t>e</w:t>
      </w:r>
      <w:r w:rsidRPr="00E54C11">
        <w:t xml:space="preserve"> </w:t>
      </w:r>
      <w:r w:rsidRPr="00E77F77">
        <w:t>2</w:t>
      </w:r>
      <w:r w:rsidRPr="00E54C11">
        <w:t xml:space="preserve"> </w:t>
      </w:r>
      <w:r w:rsidRPr="00E77F77">
        <w:t>–</w:t>
      </w:r>
      <w:r w:rsidRPr="00E54C11">
        <w:t xml:space="preserve"> </w:t>
      </w:r>
      <w:r w:rsidRPr="00E77F77">
        <w:t>P</w:t>
      </w:r>
      <w:r w:rsidRPr="00E54C11">
        <w:t>a</w:t>
      </w:r>
      <w:r w:rsidRPr="00E77F77">
        <w:t>rt</w:t>
      </w:r>
      <w:r w:rsidRPr="00E54C11">
        <w:t xml:space="preserve"> </w:t>
      </w:r>
      <w:r w:rsidRPr="00E77F77">
        <w:t>2</w:t>
      </w:r>
    </w:p>
    <w:p w14:paraId="176F624B" w14:textId="33A9CEC5" w:rsidR="004B57CD" w:rsidRPr="00E77F77" w:rsidRDefault="000E7846" w:rsidP="002306F3">
      <w:pPr>
        <w:pStyle w:val="Heading3"/>
        <w:numPr>
          <w:ilvl w:val="0"/>
          <w:numId w:val="151"/>
        </w:numPr>
      </w:pPr>
      <w:hyperlink r:id="rId73" w:history="1">
        <w:r w:rsidR="004B57CD" w:rsidRPr="006D6A9E">
          <w:rPr>
            <w:rStyle w:val="Hyperlink"/>
          </w:rPr>
          <w:t>The National Health Service (Personal Medical Services Agreements) Regulations 2015 - Schedule 2 – Part 2</w:t>
        </w:r>
      </w:hyperlink>
    </w:p>
    <w:p w14:paraId="246C728E" w14:textId="77777777" w:rsidR="008F7BB3" w:rsidRPr="00E77F77" w:rsidRDefault="008F7BB3" w:rsidP="008F7BB3">
      <w:pPr>
        <w:pStyle w:val="Heading3"/>
      </w:pPr>
      <w:bookmarkStart w:id="499" w:name="_Toc483740370"/>
      <w:r w:rsidRPr="00E54C11">
        <w:t>Th</w:t>
      </w:r>
      <w:r w:rsidRPr="00E77F77">
        <w:t>e</w:t>
      </w:r>
      <w:r w:rsidRPr="00E54C11">
        <w:t xml:space="preserve"> </w:t>
      </w:r>
      <w:r w:rsidRPr="00E77F77">
        <w:t>Pr</w:t>
      </w:r>
      <w:r w:rsidRPr="00E54C11">
        <w:t>ima</w:t>
      </w:r>
      <w:r w:rsidRPr="00E77F77">
        <w:t>ry</w:t>
      </w:r>
      <w:r w:rsidRPr="00E54C11">
        <w:t xml:space="preserve"> Medica</w:t>
      </w:r>
      <w:r w:rsidRPr="00E77F77">
        <w:t>l</w:t>
      </w:r>
      <w:r w:rsidRPr="00E54C11">
        <w:t xml:space="preserve"> </w:t>
      </w:r>
      <w:r w:rsidRPr="00E77F77">
        <w:t>S</w:t>
      </w:r>
      <w:r w:rsidRPr="00E54C11">
        <w:t>e</w:t>
      </w:r>
      <w:r w:rsidRPr="00E77F77">
        <w:t>r</w:t>
      </w:r>
      <w:r w:rsidRPr="00E54C11">
        <w:t>vice</w:t>
      </w:r>
      <w:r w:rsidRPr="00E77F77">
        <w:t>s</w:t>
      </w:r>
      <w:r w:rsidRPr="00E54C11">
        <w:t xml:space="preserve"> </w:t>
      </w:r>
      <w:r w:rsidRPr="00E77F77">
        <w:t>(</w:t>
      </w:r>
      <w:r w:rsidRPr="00E54C11">
        <w:t>Di</w:t>
      </w:r>
      <w:r w:rsidRPr="00E77F77">
        <w:t>r</w:t>
      </w:r>
      <w:r w:rsidRPr="00E54C11">
        <w:t>ecte</w:t>
      </w:r>
      <w:r w:rsidRPr="00E77F77">
        <w:t>d</w:t>
      </w:r>
      <w:r w:rsidRPr="00E54C11">
        <w:t xml:space="preserve"> </w:t>
      </w:r>
      <w:r w:rsidRPr="00E77F77">
        <w:t>E</w:t>
      </w:r>
      <w:r w:rsidRPr="00E54C11">
        <w:t>nhance</w:t>
      </w:r>
      <w:r w:rsidRPr="00E77F77">
        <w:t>d</w:t>
      </w:r>
      <w:r w:rsidRPr="00E54C11">
        <w:t xml:space="preserve"> </w:t>
      </w:r>
      <w:r w:rsidRPr="00E77F77">
        <w:t>S</w:t>
      </w:r>
      <w:r w:rsidRPr="00E54C11">
        <w:t>e</w:t>
      </w:r>
      <w:r w:rsidRPr="00E77F77">
        <w:t>r</w:t>
      </w:r>
      <w:r w:rsidRPr="00E54C11">
        <w:t>vices</w:t>
      </w:r>
      <w:r w:rsidRPr="00E77F77">
        <w:t>)</w:t>
      </w:r>
      <w:r w:rsidRPr="00E54C11">
        <w:t xml:space="preserve"> Di</w:t>
      </w:r>
      <w:r w:rsidRPr="00E77F77">
        <w:t>r</w:t>
      </w:r>
      <w:r w:rsidRPr="00E54C11">
        <w:t>ection</w:t>
      </w:r>
      <w:r w:rsidRPr="00E77F77">
        <w:t>s (</w:t>
      </w:r>
      <w:r w:rsidRPr="00E54C11">
        <w:t>2016</w:t>
      </w:r>
      <w:r w:rsidRPr="00E77F77">
        <w:t>)</w:t>
      </w:r>
      <w:bookmarkEnd w:id="499"/>
      <w:r w:rsidRPr="00E77F77">
        <w:t xml:space="preserve"> </w:t>
      </w:r>
    </w:p>
    <w:p w14:paraId="79FB7644" w14:textId="6731666E" w:rsidR="004B57CD" w:rsidRPr="00E77F77" w:rsidRDefault="000E7846" w:rsidP="005A7DDA">
      <w:pPr>
        <w:pStyle w:val="Heading3"/>
        <w:numPr>
          <w:ilvl w:val="0"/>
          <w:numId w:val="151"/>
        </w:numPr>
      </w:pPr>
      <w:hyperlink r:id="rId74" w:history="1">
        <w:r w:rsidR="004B57CD" w:rsidRPr="006D6A9E">
          <w:rPr>
            <w:rStyle w:val="Hyperlink"/>
          </w:rPr>
          <w:t>The Primary Medical Services (Directed Enhanced Services) Directions (2016)</w:t>
        </w:r>
      </w:hyperlink>
      <w:r w:rsidR="004B57CD" w:rsidRPr="00E77F77">
        <w:t xml:space="preserve"> </w:t>
      </w:r>
    </w:p>
    <w:p w14:paraId="6F738760" w14:textId="6C00E91A" w:rsidR="008F7BB3" w:rsidRPr="006146DE" w:rsidRDefault="008F7BB3" w:rsidP="008F7BB3">
      <w:pPr>
        <w:pStyle w:val="Body2"/>
        <w:spacing w:line="276" w:lineRule="auto"/>
        <w:ind w:left="0"/>
      </w:pPr>
    </w:p>
    <w:p w14:paraId="3E1D6D41" w14:textId="77777777" w:rsidR="008F7BB3" w:rsidRPr="00E54C11" w:rsidRDefault="008F7BB3" w:rsidP="008F7BB3">
      <w:pPr>
        <w:pStyle w:val="Heading3"/>
        <w:rPr>
          <w:b/>
        </w:rPr>
      </w:pPr>
      <w:bookmarkStart w:id="500" w:name="_Toc483740371"/>
      <w:r w:rsidRPr="00E54C11">
        <w:rPr>
          <w:b/>
        </w:rPr>
        <w:t>Police Incident Reporting – The Home Office Counting Rules</w:t>
      </w:r>
      <w:bookmarkEnd w:id="500"/>
    </w:p>
    <w:p w14:paraId="4F4362B8" w14:textId="7DC3057B" w:rsidR="004B57CD" w:rsidRDefault="008F7BB3" w:rsidP="008F7BB3">
      <w:pPr>
        <w:pStyle w:val="Heading3"/>
      </w:pPr>
      <w:r w:rsidRPr="00D554A9">
        <w:rPr>
          <w:rFonts w:eastAsiaTheme="majorEastAsia"/>
        </w:rPr>
        <w:t>E</w:t>
      </w:r>
      <w:r w:rsidRPr="00E54C11">
        <w:rPr>
          <w:rFonts w:eastAsiaTheme="majorEastAsia"/>
        </w:rPr>
        <w:t>xce</w:t>
      </w:r>
      <w:r w:rsidRPr="00D554A9">
        <w:rPr>
          <w:rFonts w:eastAsiaTheme="majorEastAsia"/>
        </w:rPr>
        <w:t>r</w:t>
      </w:r>
      <w:r w:rsidRPr="00E54C11">
        <w:rPr>
          <w:rFonts w:eastAsiaTheme="majorEastAsia"/>
        </w:rPr>
        <w:t>p</w:t>
      </w:r>
      <w:r w:rsidRPr="00D554A9">
        <w:rPr>
          <w:rFonts w:eastAsiaTheme="majorEastAsia"/>
        </w:rPr>
        <w:t>t</w:t>
      </w:r>
      <w:r w:rsidRPr="00E54C11">
        <w:rPr>
          <w:rFonts w:eastAsiaTheme="majorEastAsia"/>
        </w:rPr>
        <w:t xml:space="preserve"> f</w:t>
      </w:r>
      <w:r w:rsidRPr="00D554A9">
        <w:rPr>
          <w:rFonts w:eastAsiaTheme="majorEastAsia"/>
        </w:rPr>
        <w:t>r</w:t>
      </w:r>
      <w:r w:rsidRPr="00E54C11">
        <w:rPr>
          <w:rFonts w:eastAsiaTheme="majorEastAsia"/>
        </w:rPr>
        <w:t>o</w:t>
      </w:r>
      <w:r w:rsidRPr="00D554A9">
        <w:rPr>
          <w:rFonts w:eastAsiaTheme="majorEastAsia"/>
        </w:rPr>
        <w:t>m</w:t>
      </w:r>
      <w:r w:rsidRPr="00E54C11">
        <w:rPr>
          <w:rFonts w:eastAsiaTheme="majorEastAsia"/>
        </w:rPr>
        <w:t xml:space="preserve"> th</w:t>
      </w:r>
      <w:r w:rsidRPr="00D554A9">
        <w:rPr>
          <w:rFonts w:eastAsiaTheme="majorEastAsia"/>
        </w:rPr>
        <w:t>e</w:t>
      </w:r>
      <w:r w:rsidRPr="00E54C11">
        <w:rPr>
          <w:rFonts w:eastAsiaTheme="majorEastAsia"/>
        </w:rPr>
        <w:t xml:space="preserve"> Hom</w:t>
      </w:r>
      <w:r w:rsidRPr="00D554A9">
        <w:rPr>
          <w:rFonts w:eastAsiaTheme="majorEastAsia"/>
        </w:rPr>
        <w:t>e</w:t>
      </w:r>
      <w:r w:rsidRPr="00E54C11">
        <w:rPr>
          <w:rFonts w:eastAsiaTheme="majorEastAsia"/>
        </w:rPr>
        <w:t xml:space="preserve"> Offic</w:t>
      </w:r>
      <w:r w:rsidRPr="00D554A9">
        <w:rPr>
          <w:rFonts w:eastAsiaTheme="majorEastAsia"/>
        </w:rPr>
        <w:t>e</w:t>
      </w:r>
      <w:r w:rsidRPr="00E54C11">
        <w:rPr>
          <w:rFonts w:eastAsiaTheme="majorEastAsia"/>
        </w:rPr>
        <w:t xml:space="preserve"> Countin</w:t>
      </w:r>
      <w:r w:rsidRPr="00D554A9">
        <w:rPr>
          <w:rFonts w:eastAsiaTheme="majorEastAsia"/>
        </w:rPr>
        <w:t>g</w:t>
      </w:r>
      <w:r w:rsidRPr="00E54C11">
        <w:rPr>
          <w:rFonts w:eastAsiaTheme="majorEastAsia"/>
        </w:rPr>
        <w:t xml:space="preserve"> Rule</w:t>
      </w:r>
      <w:r w:rsidRPr="00D554A9">
        <w:rPr>
          <w:rFonts w:eastAsiaTheme="majorEastAsia"/>
        </w:rPr>
        <w:t>s</w:t>
      </w:r>
      <w:r w:rsidRPr="00E54C11">
        <w:rPr>
          <w:rFonts w:eastAsiaTheme="majorEastAsia"/>
        </w:rPr>
        <w:t xml:space="preserve"> </w:t>
      </w:r>
      <w:r w:rsidRPr="00D554A9">
        <w:rPr>
          <w:rFonts w:eastAsiaTheme="majorEastAsia"/>
        </w:rPr>
        <w:t>(</w:t>
      </w:r>
      <w:r w:rsidRPr="00E54C11">
        <w:rPr>
          <w:rFonts w:eastAsiaTheme="majorEastAsia"/>
        </w:rPr>
        <w:t>HOCR</w:t>
      </w:r>
      <w:r w:rsidRPr="00D554A9">
        <w:rPr>
          <w:rFonts w:eastAsiaTheme="majorEastAsia"/>
        </w:rPr>
        <w:t>)</w:t>
      </w:r>
      <w:r w:rsidRPr="00E54C11">
        <w:rPr>
          <w:rFonts w:eastAsiaTheme="majorEastAsia"/>
        </w:rPr>
        <w:t xml:space="preserve"> Fo</w:t>
      </w:r>
      <w:r w:rsidRPr="00D554A9">
        <w:rPr>
          <w:rFonts w:eastAsiaTheme="majorEastAsia"/>
        </w:rPr>
        <w:t>r</w:t>
      </w:r>
      <w:r w:rsidRPr="00E54C11">
        <w:rPr>
          <w:rFonts w:eastAsiaTheme="majorEastAsia"/>
        </w:rPr>
        <w:t xml:space="preserve"> Reco</w:t>
      </w:r>
      <w:r w:rsidRPr="00D554A9">
        <w:rPr>
          <w:rFonts w:eastAsiaTheme="majorEastAsia"/>
        </w:rPr>
        <w:t>r</w:t>
      </w:r>
      <w:r w:rsidRPr="00E54C11">
        <w:rPr>
          <w:rFonts w:eastAsiaTheme="majorEastAsia"/>
        </w:rPr>
        <w:t>de</w:t>
      </w:r>
      <w:r w:rsidRPr="00D554A9">
        <w:rPr>
          <w:rFonts w:eastAsiaTheme="majorEastAsia"/>
        </w:rPr>
        <w:t>d</w:t>
      </w:r>
      <w:r w:rsidRPr="00E77F77">
        <w:t xml:space="preserve"> </w:t>
      </w:r>
      <w:r w:rsidRPr="00E54C11">
        <w:t>C</w:t>
      </w:r>
      <w:r w:rsidRPr="00E77F77">
        <w:t>r</w:t>
      </w:r>
      <w:r w:rsidRPr="00E54C11">
        <w:t>im</w:t>
      </w:r>
      <w:r w:rsidRPr="00E77F77">
        <w:t>e</w:t>
      </w:r>
      <w:r w:rsidRPr="00E54C11">
        <w:t xml:space="preserve"> an</w:t>
      </w:r>
      <w:r w:rsidRPr="00E77F77">
        <w:t>d</w:t>
      </w:r>
      <w:r w:rsidRPr="00E54C11">
        <w:t xml:space="preserve"> f</w:t>
      </w:r>
      <w:r w:rsidRPr="00E77F77">
        <w:t>r</w:t>
      </w:r>
      <w:r w:rsidRPr="00E54C11">
        <w:t>o</w:t>
      </w:r>
      <w:r w:rsidRPr="00E77F77">
        <w:t>m</w:t>
      </w:r>
      <w:r w:rsidRPr="00E54C11">
        <w:t xml:space="preserve"> He</w:t>
      </w:r>
      <w:r w:rsidRPr="00E77F77">
        <w:t>r</w:t>
      </w:r>
      <w:r w:rsidRPr="00E54C11">
        <w:t xml:space="preserve"> Majesty'</w:t>
      </w:r>
      <w:r w:rsidRPr="00E77F77">
        <w:t>s</w:t>
      </w:r>
      <w:r w:rsidRPr="00E54C11">
        <w:t xml:space="preserve"> Inspecto</w:t>
      </w:r>
      <w:r w:rsidRPr="00E77F77">
        <w:t>r</w:t>
      </w:r>
      <w:r w:rsidRPr="00E54C11">
        <w:t>at</w:t>
      </w:r>
      <w:r w:rsidRPr="00E77F77">
        <w:t>e</w:t>
      </w:r>
      <w:r w:rsidRPr="00E54C11">
        <w:t xml:space="preserve"> o</w:t>
      </w:r>
      <w:r w:rsidRPr="00E77F77">
        <w:t>f</w:t>
      </w:r>
      <w:r w:rsidRPr="00E54C11">
        <w:t xml:space="preserve"> Constabula</w:t>
      </w:r>
      <w:r w:rsidRPr="00E77F77">
        <w:t>ry</w:t>
      </w:r>
    </w:p>
    <w:p w14:paraId="09F5285D" w14:textId="019493AA" w:rsidR="008F7BB3" w:rsidRPr="00E77F77" w:rsidRDefault="000E7846" w:rsidP="005A7DDA">
      <w:pPr>
        <w:pStyle w:val="Heading3"/>
        <w:numPr>
          <w:ilvl w:val="0"/>
          <w:numId w:val="151"/>
        </w:numPr>
      </w:pPr>
      <w:hyperlink r:id="rId75" w:history="1">
        <w:r w:rsidR="004B57CD" w:rsidRPr="006E1E3A">
          <w:rPr>
            <w:rStyle w:val="Hyperlink"/>
            <w:rFonts w:eastAsiaTheme="majorEastAsia"/>
          </w:rPr>
          <w:t>Excerpt from the Home Office Counting Rules (HOCR) For Recorded</w:t>
        </w:r>
        <w:r w:rsidR="004B57CD" w:rsidRPr="006E1E3A">
          <w:rPr>
            <w:rStyle w:val="Hyperlink"/>
          </w:rPr>
          <w:t xml:space="preserve"> Crime and from Her Majesty's Inspectorate of Constabulary</w:t>
        </w:r>
      </w:hyperlink>
      <w:r w:rsidR="008F7BB3" w:rsidRPr="00E77F77">
        <w:t xml:space="preserve"> </w:t>
      </w:r>
    </w:p>
    <w:p w14:paraId="1D1A31C8" w14:textId="3E868E87" w:rsidR="008F7BB3" w:rsidRPr="006146DE" w:rsidRDefault="008F7BB3" w:rsidP="008F7BB3">
      <w:pPr>
        <w:pStyle w:val="Body2"/>
        <w:spacing w:line="276" w:lineRule="auto"/>
        <w:ind w:left="0"/>
      </w:pPr>
    </w:p>
    <w:p w14:paraId="10F48FC3" w14:textId="77777777" w:rsidR="008F7BB3" w:rsidRPr="00E54C11" w:rsidRDefault="008F7BB3" w:rsidP="008F7BB3">
      <w:pPr>
        <w:pStyle w:val="Heading3"/>
        <w:rPr>
          <w:b/>
        </w:rPr>
      </w:pPr>
      <w:bookmarkStart w:id="501" w:name="_1565094461"/>
      <w:bookmarkStart w:id="502" w:name="_1565094499"/>
      <w:bookmarkStart w:id="503" w:name="_1565094553"/>
      <w:bookmarkStart w:id="504" w:name="_1565094581"/>
      <w:bookmarkStart w:id="505" w:name="2-deciding-if-a-crime-should-be-recorded"/>
      <w:bookmarkStart w:id="506" w:name="_Toc483740372"/>
      <w:bookmarkEnd w:id="497"/>
      <w:bookmarkEnd w:id="501"/>
      <w:bookmarkEnd w:id="502"/>
      <w:bookmarkEnd w:id="503"/>
      <w:bookmarkEnd w:id="504"/>
      <w:bookmarkEnd w:id="505"/>
      <w:r w:rsidRPr="00E54C11">
        <w:rPr>
          <w:b/>
        </w:rPr>
        <w:t>Existing Arrangements</w:t>
      </w:r>
      <w:bookmarkEnd w:id="506"/>
    </w:p>
    <w:p w14:paraId="113BF7F8" w14:textId="77777777" w:rsidR="008F7BB3" w:rsidRPr="00E77F77" w:rsidRDefault="008F7BB3" w:rsidP="008F7BB3">
      <w:pPr>
        <w:pStyle w:val="Heading3"/>
      </w:pPr>
      <w:r w:rsidRPr="00E54C11">
        <w:t>Th</w:t>
      </w:r>
      <w:r w:rsidRPr="00E77F77">
        <w:t>e</w:t>
      </w:r>
      <w:r w:rsidRPr="00E54C11">
        <w:t xml:space="preserve"> administ</w:t>
      </w:r>
      <w:r w:rsidRPr="00E77F77">
        <w:t>r</w:t>
      </w:r>
      <w:r w:rsidRPr="00E54C11">
        <w:t>ativ</w:t>
      </w:r>
      <w:r w:rsidRPr="00E77F77">
        <w:t>e</w:t>
      </w:r>
      <w:r w:rsidRPr="00E54C11">
        <w:t xml:space="preserve"> a</w:t>
      </w:r>
      <w:r w:rsidRPr="00E77F77">
        <w:t>rr</w:t>
      </w:r>
      <w:r w:rsidRPr="00E54C11">
        <w:t>angement</w:t>
      </w:r>
      <w:r w:rsidRPr="00E77F77">
        <w:t>s</w:t>
      </w:r>
      <w:r w:rsidRPr="00E54C11">
        <w:t xml:space="preserve"> o</w:t>
      </w:r>
      <w:r w:rsidRPr="00E77F77">
        <w:t>f</w:t>
      </w:r>
      <w:r w:rsidRPr="00E54C11">
        <w:t xml:space="preserve"> </w:t>
      </w:r>
      <w:r w:rsidRPr="00E77F77">
        <w:t>e</w:t>
      </w:r>
      <w:r w:rsidRPr="00E54C11">
        <w:t>xistin</w:t>
      </w:r>
      <w:r w:rsidRPr="00E77F77">
        <w:t>g</w:t>
      </w:r>
      <w:r w:rsidRPr="00E54C11">
        <w:t xml:space="preserve"> </w:t>
      </w:r>
      <w:r w:rsidRPr="00E77F77">
        <w:t>SA</w:t>
      </w:r>
      <w:r w:rsidRPr="00E54C11">
        <w:t xml:space="preserve"> schem</w:t>
      </w:r>
      <w:r w:rsidRPr="00E77F77">
        <w:t>e</w:t>
      </w:r>
      <w:r w:rsidRPr="00E54C11">
        <w:t xml:space="preserve"> ac</w:t>
      </w:r>
      <w:r w:rsidRPr="00E77F77">
        <w:t>r</w:t>
      </w:r>
      <w:r w:rsidRPr="00E54C11">
        <w:t>os</w:t>
      </w:r>
      <w:r w:rsidRPr="00E77F77">
        <w:t>s E</w:t>
      </w:r>
      <w:r w:rsidRPr="00E54C11">
        <w:t>nglan</w:t>
      </w:r>
      <w:r w:rsidRPr="00E77F77">
        <w:t>d</w:t>
      </w:r>
      <w:r w:rsidRPr="00E54C11">
        <w:t xml:space="preserve"> hav</w:t>
      </w:r>
      <w:r w:rsidRPr="00E77F77">
        <w:t>e</w:t>
      </w:r>
      <w:r w:rsidRPr="00E54C11">
        <w:t xml:space="preserve"> bee</w:t>
      </w:r>
      <w:r w:rsidRPr="00E77F77">
        <w:t>n</w:t>
      </w:r>
      <w:r w:rsidRPr="00E54C11">
        <w:t xml:space="preserve"> dispa</w:t>
      </w:r>
      <w:r w:rsidRPr="00E77F77">
        <w:t>r</w:t>
      </w:r>
      <w:r w:rsidRPr="00E54C11">
        <w:t>at</w:t>
      </w:r>
      <w:r w:rsidRPr="00E77F77">
        <w:t>e</w:t>
      </w:r>
      <w:r w:rsidRPr="00E54C11">
        <w:t xml:space="preserve"> an</w:t>
      </w:r>
      <w:r w:rsidRPr="00E77F77">
        <w:t>d</w:t>
      </w:r>
      <w:r w:rsidRPr="00E54C11">
        <w:t xml:space="preserve"> va</w:t>
      </w:r>
      <w:r w:rsidRPr="00E77F77">
        <w:t>r</w:t>
      </w:r>
      <w:r w:rsidRPr="00E54C11">
        <w:t>ied</w:t>
      </w:r>
      <w:r w:rsidRPr="00E77F77">
        <w:t>.</w:t>
      </w:r>
      <w:r w:rsidRPr="00E54C11">
        <w:t xml:space="preserve"> </w:t>
      </w:r>
      <w:r w:rsidRPr="00E77F77">
        <w:t>T</w:t>
      </w:r>
      <w:r w:rsidRPr="00E54C11">
        <w:t>hi</w:t>
      </w:r>
      <w:r w:rsidRPr="00E77F77">
        <w:t>s</w:t>
      </w:r>
      <w:r w:rsidRPr="00E54C11">
        <w:t xml:space="preserve"> ha</w:t>
      </w:r>
      <w:r w:rsidRPr="00E77F77">
        <w:t>s</w:t>
      </w:r>
      <w:r w:rsidRPr="00E54C11">
        <w:t xml:space="preserve"> c</w:t>
      </w:r>
      <w:r w:rsidRPr="00E77F77">
        <w:t>r</w:t>
      </w:r>
      <w:r w:rsidRPr="00E54C11">
        <w:t>eate</w:t>
      </w:r>
      <w:r w:rsidRPr="00E77F77">
        <w:t>d</w:t>
      </w:r>
      <w:r w:rsidRPr="00E54C11">
        <w:t xml:space="preserve"> challenge</w:t>
      </w:r>
      <w:r w:rsidRPr="00E77F77">
        <w:t xml:space="preserve">s </w:t>
      </w:r>
      <w:r w:rsidRPr="00E54C11">
        <w:t>whe</w:t>
      </w:r>
      <w:r w:rsidRPr="00E77F77">
        <w:t>n</w:t>
      </w:r>
      <w:r w:rsidRPr="00E54C11">
        <w:t xml:space="preserve"> t</w:t>
      </w:r>
      <w:r w:rsidRPr="00E77F77">
        <w:t>r</w:t>
      </w:r>
      <w:r w:rsidRPr="00E54C11">
        <w:t>yin</w:t>
      </w:r>
      <w:r w:rsidRPr="00E77F77">
        <w:t>g</w:t>
      </w:r>
      <w:r w:rsidRPr="00E54C11">
        <w:t xml:space="preserve"> t</w:t>
      </w:r>
      <w:r w:rsidRPr="00E77F77">
        <w:t>o</w:t>
      </w:r>
      <w:r w:rsidRPr="00E54C11">
        <w:t xml:space="preserve"> appl</w:t>
      </w:r>
      <w:r w:rsidRPr="00E77F77">
        <w:t>y</w:t>
      </w:r>
      <w:r w:rsidRPr="00E54C11">
        <w:t xml:space="preserve"> th</w:t>
      </w:r>
      <w:r w:rsidRPr="00E77F77">
        <w:t>e</w:t>
      </w:r>
      <w:r w:rsidRPr="00E54C11">
        <w:t xml:space="preserve"> Regulation</w:t>
      </w:r>
      <w:r w:rsidRPr="00E77F77">
        <w:t>s</w:t>
      </w:r>
      <w:r w:rsidRPr="00E54C11">
        <w:t xml:space="preserve"> consistentl</w:t>
      </w:r>
      <w:r w:rsidRPr="00E77F77">
        <w:t>y</w:t>
      </w:r>
      <w:r w:rsidRPr="00E54C11">
        <w:t xml:space="preserve"> an</w:t>
      </w:r>
      <w:r w:rsidRPr="00E77F77">
        <w:t>d</w:t>
      </w:r>
      <w:r w:rsidRPr="00E54C11">
        <w:t xml:space="preserve"> th</w:t>
      </w:r>
      <w:r w:rsidRPr="00E77F77">
        <w:t>e</w:t>
      </w:r>
      <w:r w:rsidRPr="00E54C11">
        <w:t xml:space="preserve"> p</w:t>
      </w:r>
      <w:r w:rsidRPr="00E77F77">
        <w:t>r</w:t>
      </w:r>
      <w:r w:rsidRPr="00E54C11">
        <w:t>actica</w:t>
      </w:r>
      <w:r w:rsidRPr="00E77F77">
        <w:t xml:space="preserve">l </w:t>
      </w:r>
      <w:r w:rsidRPr="00E54C11">
        <w:t>applicatio</w:t>
      </w:r>
      <w:r w:rsidRPr="00E77F77">
        <w:t>n</w:t>
      </w:r>
      <w:r w:rsidRPr="00E54C11">
        <w:t xml:space="preserve"> o</w:t>
      </w:r>
      <w:r w:rsidRPr="00E77F77">
        <w:t>f</w:t>
      </w:r>
      <w:r w:rsidRPr="00E54C11">
        <w:t xml:space="preserve"> </w:t>
      </w:r>
      <w:r w:rsidRPr="00E77F77">
        <w:t>S</w:t>
      </w:r>
      <w:r w:rsidRPr="00E54C11">
        <w:t>A</w:t>
      </w:r>
      <w:r w:rsidRPr="00E77F77">
        <w:t>S</w:t>
      </w:r>
      <w:r w:rsidRPr="00E54C11">
        <w:t xml:space="preserve"> th</w:t>
      </w:r>
      <w:r w:rsidRPr="00E77F77">
        <w:t>r</w:t>
      </w:r>
      <w:r w:rsidRPr="00E54C11">
        <w:t>oug</w:t>
      </w:r>
      <w:r w:rsidRPr="00E77F77">
        <w:t>h</w:t>
      </w:r>
      <w:r w:rsidRPr="00E54C11">
        <w:t xml:space="preserve"> </w:t>
      </w:r>
      <w:r w:rsidRPr="00E77F77">
        <w:t>a</w:t>
      </w:r>
      <w:r w:rsidRPr="00E54C11">
        <w:t xml:space="preserve"> singl</w:t>
      </w:r>
      <w:r w:rsidRPr="00E77F77">
        <w:t>e</w:t>
      </w:r>
      <w:r w:rsidRPr="00E54C11">
        <w:t xml:space="preserve"> delive</w:t>
      </w:r>
      <w:r w:rsidRPr="00E77F77">
        <w:t>ry</w:t>
      </w:r>
      <w:r w:rsidRPr="00E54C11">
        <w:t xml:space="preserve"> pa</w:t>
      </w:r>
      <w:r w:rsidRPr="00E77F77">
        <w:t>r</w:t>
      </w:r>
      <w:r w:rsidRPr="00E54C11">
        <w:t>tne</w:t>
      </w:r>
      <w:r w:rsidRPr="00E77F77">
        <w:t>r</w:t>
      </w:r>
      <w:r w:rsidRPr="00E54C11">
        <w:t xml:space="preserve"> </w:t>
      </w:r>
      <w:r w:rsidRPr="00E77F77">
        <w:t>(Pr</w:t>
      </w:r>
      <w:r w:rsidRPr="00E54C11">
        <w:t>ima</w:t>
      </w:r>
      <w:r w:rsidRPr="00E77F77">
        <w:t>ry</w:t>
      </w:r>
      <w:r w:rsidRPr="00E54C11">
        <w:t xml:space="preserve"> Ca</w:t>
      </w:r>
      <w:r w:rsidRPr="00E77F77">
        <w:t>re S</w:t>
      </w:r>
      <w:r w:rsidRPr="00E54C11">
        <w:t>uppo</w:t>
      </w:r>
      <w:r w:rsidRPr="00E77F77">
        <w:t>rt</w:t>
      </w:r>
      <w:r w:rsidRPr="00E54C11">
        <w:t xml:space="preserve"> </w:t>
      </w:r>
      <w:r w:rsidRPr="00E77F77">
        <w:t>E</w:t>
      </w:r>
      <w:r w:rsidRPr="00E54C11">
        <w:t>ngland)</w:t>
      </w:r>
    </w:p>
    <w:p w14:paraId="44A4AD8D" w14:textId="77777777" w:rsidR="008F7BB3" w:rsidRPr="00E54C11" w:rsidRDefault="008F7BB3" w:rsidP="008F7BB3">
      <w:pPr>
        <w:pStyle w:val="Heading3"/>
        <w:rPr>
          <w:b/>
        </w:rPr>
      </w:pPr>
      <w:r w:rsidRPr="00E54C11">
        <w:rPr>
          <w:b/>
        </w:rPr>
        <w:t>Particular issues are as follows.</w:t>
      </w:r>
    </w:p>
    <w:p w14:paraId="7CA2C67F" w14:textId="77777777" w:rsidR="008F7BB3" w:rsidRPr="00E77F77" w:rsidRDefault="008F7BB3" w:rsidP="008F7BB3">
      <w:pPr>
        <w:pStyle w:val="Heading3"/>
      </w:pPr>
      <w:r w:rsidRPr="00E54C11">
        <w:t>Fi</w:t>
      </w:r>
      <w:r w:rsidRPr="00E77F77">
        <w:t>r</w:t>
      </w:r>
      <w:r w:rsidRPr="00E54C11">
        <w:t>st</w:t>
      </w:r>
      <w:r w:rsidRPr="00E77F77">
        <w:t>,</w:t>
      </w:r>
      <w:r w:rsidRPr="00E54C11">
        <w:t xml:space="preserve"> th</w:t>
      </w:r>
      <w:r w:rsidRPr="00E77F77">
        <w:t>e</w:t>
      </w:r>
      <w:r w:rsidRPr="00E54C11">
        <w:t xml:space="preserve"> Regulation</w:t>
      </w:r>
      <w:r w:rsidRPr="00E77F77">
        <w:t>s</w:t>
      </w:r>
      <w:r w:rsidRPr="00E54C11">
        <w:t xml:space="preserve"> p</w:t>
      </w:r>
      <w:r w:rsidRPr="00E77F77">
        <w:t>r</w:t>
      </w:r>
      <w:r w:rsidRPr="00E54C11">
        <w:t>ovid</w:t>
      </w:r>
      <w:r w:rsidRPr="00E77F77">
        <w:t>e</w:t>
      </w:r>
      <w:r w:rsidRPr="00E54C11">
        <w:t xml:space="preserve"> fo</w:t>
      </w:r>
      <w:r w:rsidRPr="00E77F77">
        <w:t>r</w:t>
      </w:r>
      <w:r w:rsidRPr="00E54C11">
        <w:t xml:space="preserve"> immediat</w:t>
      </w:r>
      <w:r w:rsidRPr="00E77F77">
        <w:t>e</w:t>
      </w:r>
      <w:r w:rsidRPr="00E54C11">
        <w:t xml:space="preserve"> </w:t>
      </w:r>
      <w:r w:rsidRPr="00E77F77">
        <w:t>r</w:t>
      </w:r>
      <w:r w:rsidRPr="00E54C11">
        <w:t>emova</w:t>
      </w:r>
      <w:r w:rsidRPr="00E77F77">
        <w:t>l</w:t>
      </w:r>
      <w:r w:rsidRPr="00E54C11">
        <w:t xml:space="preserve"> o</w:t>
      </w:r>
      <w:r w:rsidRPr="00E77F77">
        <w:t>f</w:t>
      </w:r>
      <w:r w:rsidRPr="00E54C11">
        <w:t xml:space="preserve"> </w:t>
      </w:r>
      <w:r w:rsidRPr="00E77F77">
        <w:t>a</w:t>
      </w:r>
      <w:r w:rsidRPr="00E54C11">
        <w:t xml:space="preserve"> patien</w:t>
      </w:r>
      <w:r w:rsidRPr="00E77F77">
        <w:t>t</w:t>
      </w:r>
      <w:r w:rsidRPr="00E54C11">
        <w:t xml:space="preserve"> f</w:t>
      </w:r>
      <w:r w:rsidRPr="00E77F77">
        <w:t>r</w:t>
      </w:r>
      <w:r w:rsidRPr="00E54C11">
        <w:t>o</w:t>
      </w:r>
      <w:r w:rsidRPr="00E77F77">
        <w:t>m</w:t>
      </w:r>
      <w:r w:rsidRPr="00E54C11">
        <w:t xml:space="preserve"> </w:t>
      </w:r>
      <w:r w:rsidRPr="00E77F77">
        <w:t xml:space="preserve">a </w:t>
      </w:r>
      <w:r w:rsidRPr="00E54C11">
        <w:t>p</w:t>
      </w:r>
      <w:r w:rsidRPr="00E77F77">
        <w:t>r</w:t>
      </w:r>
      <w:r w:rsidRPr="00E54C11">
        <w:t>actic</w:t>
      </w:r>
      <w:r w:rsidRPr="00E77F77">
        <w:t>e</w:t>
      </w:r>
      <w:r w:rsidRPr="00E54C11">
        <w:t xml:space="preserve"> lis</w:t>
      </w:r>
      <w:r w:rsidRPr="00E77F77">
        <w:t>t</w:t>
      </w:r>
      <w:r w:rsidRPr="00E54C11">
        <w:t xml:space="preserve"> o</w:t>
      </w:r>
      <w:r w:rsidRPr="00E77F77">
        <w:t>n</w:t>
      </w:r>
      <w:r w:rsidRPr="00E54C11">
        <w:t xml:space="preserve"> </w:t>
      </w:r>
      <w:r w:rsidRPr="00E77F77">
        <w:t>a</w:t>
      </w:r>
      <w:r w:rsidRPr="00E54C11">
        <w:t xml:space="preserve"> phon</w:t>
      </w:r>
      <w:r w:rsidRPr="00E77F77">
        <w:t>e</w:t>
      </w:r>
      <w:r w:rsidRPr="00E54C11">
        <w:t xml:space="preserve"> cal</w:t>
      </w:r>
      <w:r w:rsidRPr="00E77F77">
        <w:t>l</w:t>
      </w:r>
      <w:r w:rsidRPr="00E54C11">
        <w:t xml:space="preserve"> f</w:t>
      </w:r>
      <w:r w:rsidRPr="00E77F77">
        <w:t>r</w:t>
      </w:r>
      <w:r w:rsidRPr="00E54C11">
        <w:t>o</w:t>
      </w:r>
      <w:r w:rsidRPr="00E77F77">
        <w:t>m</w:t>
      </w:r>
      <w:r w:rsidRPr="00E54C11">
        <w:t xml:space="preserve"> th</w:t>
      </w:r>
      <w:r w:rsidRPr="00E77F77">
        <w:t>e</w:t>
      </w:r>
      <w:r w:rsidRPr="00E54C11">
        <w:t xml:space="preserve"> p</w:t>
      </w:r>
      <w:r w:rsidRPr="00E77F77">
        <w:t>r</w:t>
      </w:r>
      <w:r w:rsidRPr="00E54C11">
        <w:t>actice</w:t>
      </w:r>
      <w:r w:rsidRPr="00E77F77">
        <w:t>,</w:t>
      </w:r>
      <w:r w:rsidRPr="00E54C11">
        <w:t xml:space="preserve"> ye</w:t>
      </w:r>
      <w:r w:rsidRPr="00E77F77">
        <w:t>t</w:t>
      </w:r>
      <w:r w:rsidRPr="00E54C11">
        <w:t xml:space="preserve"> som</w:t>
      </w:r>
      <w:r w:rsidRPr="00E77F77">
        <w:t>e</w:t>
      </w:r>
      <w:r w:rsidRPr="00E54C11">
        <w:t xml:space="preserve"> </w:t>
      </w:r>
      <w:r w:rsidRPr="00E77F77">
        <w:t>S</w:t>
      </w:r>
      <w:r w:rsidRPr="00E54C11">
        <w:t>A</w:t>
      </w:r>
      <w:r w:rsidRPr="00E77F77">
        <w:t>S</w:t>
      </w:r>
      <w:r w:rsidRPr="00E54C11">
        <w:t xml:space="preserve"> </w:t>
      </w:r>
      <w:r w:rsidRPr="00E77F77">
        <w:t>r</w:t>
      </w:r>
      <w:r w:rsidRPr="00E54C11">
        <w:t>equi</w:t>
      </w:r>
      <w:r w:rsidRPr="00E77F77">
        <w:t xml:space="preserve">re </w:t>
      </w:r>
      <w:r w:rsidRPr="00E54C11">
        <w:lastRenderedPageBreak/>
        <w:t>Commissione</w:t>
      </w:r>
      <w:r w:rsidRPr="00E77F77">
        <w:t>r</w:t>
      </w:r>
      <w:r w:rsidRPr="00E54C11">
        <w:t xml:space="preserve"> inte</w:t>
      </w:r>
      <w:r w:rsidRPr="00E77F77">
        <w:t>r</w:t>
      </w:r>
      <w:r w:rsidRPr="00E54C11">
        <w:t>ventio</w:t>
      </w:r>
      <w:r w:rsidRPr="00E77F77">
        <w:t>n</w:t>
      </w:r>
      <w:r w:rsidRPr="00E54C11">
        <w:t xml:space="preserve"> o</w:t>
      </w:r>
      <w:r w:rsidRPr="00E77F77">
        <w:t>f</w:t>
      </w:r>
      <w:r w:rsidRPr="00E54C11">
        <w:t xml:space="preserve"> som</w:t>
      </w:r>
      <w:r w:rsidRPr="00E77F77">
        <w:t>e</w:t>
      </w:r>
      <w:r w:rsidRPr="00E54C11">
        <w:t xml:space="preserve"> so</w:t>
      </w:r>
      <w:r w:rsidRPr="00E77F77">
        <w:t>rt</w:t>
      </w:r>
      <w:r w:rsidRPr="00E54C11">
        <w:t xml:space="preserve"> </w:t>
      </w:r>
      <w:r w:rsidRPr="00E77F77">
        <w:t>b</w:t>
      </w:r>
      <w:r w:rsidRPr="00E54C11">
        <w:t>efo</w:t>
      </w:r>
      <w:r w:rsidRPr="00E77F77">
        <w:t>re</w:t>
      </w:r>
      <w:r w:rsidRPr="00E54C11">
        <w:t xml:space="preserve"> </w:t>
      </w:r>
      <w:r w:rsidRPr="00E77F77">
        <w:t>a</w:t>
      </w:r>
      <w:r w:rsidRPr="00E54C11">
        <w:t xml:space="preserve"> </w:t>
      </w:r>
      <w:r w:rsidRPr="00E77F77">
        <w:t>r</w:t>
      </w:r>
      <w:r w:rsidRPr="00E54C11">
        <w:t>emova</w:t>
      </w:r>
      <w:r w:rsidRPr="00E77F77">
        <w:t>l</w:t>
      </w:r>
      <w:r w:rsidRPr="00E54C11">
        <w:t xml:space="preserve"> i</w:t>
      </w:r>
      <w:r w:rsidRPr="00E77F77">
        <w:t>s</w:t>
      </w:r>
      <w:r w:rsidRPr="00E54C11">
        <w:t xml:space="preserve"> actioned</w:t>
      </w:r>
      <w:r w:rsidRPr="00E77F77">
        <w:t xml:space="preserve">.  </w:t>
      </w:r>
      <w:r w:rsidRPr="00E54C11">
        <w:t>Thi</w:t>
      </w:r>
      <w:r w:rsidRPr="00E77F77">
        <w:t>s</w:t>
      </w:r>
      <w:r w:rsidRPr="00E54C11">
        <w:t xml:space="preserve"> i</w:t>
      </w:r>
      <w:r w:rsidRPr="00E77F77">
        <w:t>s</w:t>
      </w:r>
      <w:r w:rsidRPr="00E54C11">
        <w:t xml:space="preserve"> ou</w:t>
      </w:r>
      <w:r w:rsidRPr="00793B50">
        <w:t>t</w:t>
      </w:r>
      <w:r w:rsidRPr="00E54C11">
        <w:t xml:space="preserve"> wit</w:t>
      </w:r>
      <w:r w:rsidRPr="00793B50">
        <w:t>h</w:t>
      </w:r>
      <w:r w:rsidRPr="00E54C11">
        <w:t xml:space="preserve"> th</w:t>
      </w:r>
      <w:r w:rsidRPr="00E77F77">
        <w:t>e</w:t>
      </w:r>
      <w:r w:rsidRPr="00E54C11">
        <w:t xml:space="preserve"> p</w:t>
      </w:r>
      <w:r w:rsidRPr="00E77F77">
        <w:t>r</w:t>
      </w:r>
      <w:r w:rsidRPr="00E54C11">
        <w:t>ovision</w:t>
      </w:r>
      <w:r w:rsidRPr="00E77F77">
        <w:t>s</w:t>
      </w:r>
      <w:r w:rsidRPr="00E54C11">
        <w:t xml:space="preserve"> a</w:t>
      </w:r>
      <w:r w:rsidRPr="00E77F77">
        <w:t>s</w:t>
      </w:r>
      <w:r w:rsidRPr="00E54C11">
        <w:t xml:space="preserve"> se</w:t>
      </w:r>
      <w:r w:rsidRPr="00E77F77">
        <w:t>t</w:t>
      </w:r>
      <w:r w:rsidRPr="00E54C11">
        <w:t xml:space="preserve"> ou</w:t>
      </w:r>
      <w:r w:rsidRPr="00E77F77">
        <w:t>t</w:t>
      </w:r>
      <w:r w:rsidRPr="00E54C11">
        <w:t xml:space="preserve"> i</w:t>
      </w:r>
      <w:r w:rsidRPr="00E77F77">
        <w:t>n</w:t>
      </w:r>
      <w:r w:rsidRPr="00E54C11">
        <w:t xml:space="preserve"> th</w:t>
      </w:r>
      <w:r w:rsidRPr="00E77F77">
        <w:t>e</w:t>
      </w:r>
      <w:r w:rsidRPr="00E54C11">
        <w:t xml:space="preserve"> Regulations</w:t>
      </w:r>
      <w:r w:rsidRPr="00E77F77">
        <w:t>.</w:t>
      </w:r>
    </w:p>
    <w:p w14:paraId="0BA5F2E5" w14:textId="3EAE973C" w:rsidR="008F7BB3" w:rsidRDefault="008F7BB3" w:rsidP="008F7BB3">
      <w:pPr>
        <w:pStyle w:val="Heading3"/>
      </w:pPr>
      <w:r w:rsidRPr="00E77F77">
        <w:t>S</w:t>
      </w:r>
      <w:r w:rsidRPr="00E54C11">
        <w:t>econdly</w:t>
      </w:r>
      <w:r w:rsidRPr="00E77F77">
        <w:t>,</w:t>
      </w:r>
      <w:r w:rsidRPr="00E54C11">
        <w:t xml:space="preserve"> th</w:t>
      </w:r>
      <w:r w:rsidRPr="00E77F77">
        <w:t>e</w:t>
      </w:r>
      <w:r w:rsidRPr="00E54C11">
        <w:t xml:space="preserve"> Regulation</w:t>
      </w:r>
      <w:r w:rsidRPr="00E77F77">
        <w:t>s</w:t>
      </w:r>
      <w:r w:rsidRPr="00E54C11">
        <w:t xml:space="preserve"> </w:t>
      </w:r>
      <w:r w:rsidRPr="00E77F77">
        <w:t>r</w:t>
      </w:r>
      <w:r w:rsidRPr="00E54C11">
        <w:t>equi</w:t>
      </w:r>
      <w:r w:rsidRPr="00E77F77">
        <w:t>re</w:t>
      </w:r>
      <w:r w:rsidRPr="00E54C11">
        <w:t xml:space="preserve"> </w:t>
      </w:r>
      <w:r w:rsidRPr="00E77F77">
        <w:t>a</w:t>
      </w:r>
      <w:r w:rsidRPr="00E54C11">
        <w:t xml:space="preserve"> p</w:t>
      </w:r>
      <w:r w:rsidRPr="00E77F77">
        <w:t>r</w:t>
      </w:r>
      <w:r w:rsidRPr="00E54C11">
        <w:t>actic</w:t>
      </w:r>
      <w:r w:rsidRPr="00E77F77">
        <w:t>e</w:t>
      </w:r>
      <w:r w:rsidRPr="00E54C11">
        <w:t xml:space="preserve"> t</w:t>
      </w:r>
      <w:r w:rsidRPr="00E77F77">
        <w:t>o</w:t>
      </w:r>
      <w:r w:rsidRPr="00E54C11">
        <w:t xml:space="preserve"> </w:t>
      </w:r>
      <w:r w:rsidRPr="00E77F77">
        <w:t>r</w:t>
      </w:r>
      <w:r w:rsidRPr="00E54C11">
        <w:t>epo</w:t>
      </w:r>
      <w:r w:rsidRPr="00E77F77">
        <w:t>rt</w:t>
      </w:r>
      <w:r w:rsidRPr="00E54C11">
        <w:t xml:space="preserve"> a</w:t>
      </w:r>
      <w:r w:rsidRPr="00E77F77">
        <w:t>n</w:t>
      </w:r>
      <w:r w:rsidRPr="00E54C11">
        <w:t xml:space="preserve"> inciden</w:t>
      </w:r>
      <w:r w:rsidRPr="00E77F77">
        <w:t>t</w:t>
      </w:r>
      <w:r w:rsidRPr="00E54C11">
        <w:t xml:space="preserve"> t</w:t>
      </w:r>
      <w:r w:rsidRPr="00E77F77">
        <w:t>o</w:t>
      </w:r>
      <w:r w:rsidRPr="00E54C11">
        <w:t xml:space="preserve"> th</w:t>
      </w:r>
      <w:r w:rsidRPr="00E77F77">
        <w:t xml:space="preserve">e </w:t>
      </w:r>
      <w:r w:rsidRPr="00E54C11">
        <w:t>polic</w:t>
      </w:r>
      <w:r w:rsidRPr="00E77F77">
        <w:t>e</w:t>
      </w:r>
      <w:r w:rsidRPr="00E54C11">
        <w:t xml:space="preserve"> bu</w:t>
      </w:r>
      <w:r w:rsidRPr="00E77F77">
        <w:t>t</w:t>
      </w:r>
      <w:r w:rsidRPr="00E54C11">
        <w:t xml:space="preserve"> d</w:t>
      </w:r>
      <w:r w:rsidRPr="00E77F77">
        <w:t>o</w:t>
      </w:r>
      <w:r w:rsidRPr="00E54C11">
        <w:t xml:space="preserve"> no</w:t>
      </w:r>
      <w:r w:rsidRPr="00E77F77">
        <w:t>t</w:t>
      </w:r>
      <w:r w:rsidRPr="00E54C11">
        <w:t xml:space="preserve"> mandat</w:t>
      </w:r>
      <w:r w:rsidRPr="00E77F77">
        <w:t>e</w:t>
      </w:r>
      <w:r w:rsidRPr="00E54C11">
        <w:t xml:space="preserve"> th</w:t>
      </w:r>
      <w:r w:rsidRPr="00E77F77">
        <w:t>e</w:t>
      </w:r>
      <w:r w:rsidRPr="00E54C11">
        <w:t xml:space="preserve"> acquisitio</w:t>
      </w:r>
      <w:r w:rsidRPr="00E77F77">
        <w:t>n</w:t>
      </w:r>
      <w:r w:rsidRPr="00E54C11">
        <w:t xml:space="preserve"> o</w:t>
      </w:r>
      <w:r w:rsidRPr="00E77F77">
        <w:t>f</w:t>
      </w:r>
      <w:r w:rsidRPr="00E54C11">
        <w:t xml:space="preserve"> </w:t>
      </w:r>
      <w:r w:rsidRPr="00E77F77">
        <w:t>a</w:t>
      </w:r>
      <w:r w:rsidRPr="00E54C11">
        <w:t xml:space="preserve"> polic</w:t>
      </w:r>
      <w:r w:rsidRPr="00E77F77">
        <w:t>e</w:t>
      </w:r>
      <w:r w:rsidRPr="00E54C11">
        <w:t xml:space="preserve"> inciden</w:t>
      </w:r>
      <w:r w:rsidRPr="00E77F77">
        <w:t>t</w:t>
      </w:r>
      <w:r w:rsidRPr="00E54C11">
        <w:t xml:space="preserve"> numbe</w:t>
      </w:r>
      <w:r w:rsidRPr="00E77F77">
        <w:t>r</w:t>
      </w:r>
      <w:r w:rsidRPr="00E54C11">
        <w:t xml:space="preserve"> o</w:t>
      </w:r>
      <w:r w:rsidRPr="00E77F77">
        <w:t xml:space="preserve">r </w:t>
      </w:r>
      <w:r w:rsidRPr="00E54C11">
        <w:t>c</w:t>
      </w:r>
      <w:r w:rsidRPr="00E77F77">
        <w:t>r</w:t>
      </w:r>
      <w:r w:rsidRPr="00E54C11">
        <w:t>im</w:t>
      </w:r>
      <w:r w:rsidRPr="00E77F77">
        <w:t>e</w:t>
      </w:r>
      <w:r w:rsidRPr="00E54C11">
        <w:t xml:space="preserve"> numbe</w:t>
      </w:r>
      <w:r w:rsidRPr="00E77F77">
        <w:t>r</w:t>
      </w:r>
      <w:r w:rsidRPr="00E54C11">
        <w:t xml:space="preserve"> befo</w:t>
      </w:r>
      <w:r w:rsidRPr="00E77F77">
        <w:t>re</w:t>
      </w:r>
      <w:r w:rsidRPr="00E54C11">
        <w:t xml:space="preserve"> </w:t>
      </w:r>
      <w:r w:rsidRPr="00E77F77">
        <w:t>a</w:t>
      </w:r>
      <w:r w:rsidRPr="00E54C11">
        <w:t xml:space="preserve"> </w:t>
      </w:r>
      <w:r w:rsidRPr="00E77F77">
        <w:t>r</w:t>
      </w:r>
      <w:r w:rsidRPr="00E54C11">
        <w:t>emova</w:t>
      </w:r>
      <w:r w:rsidRPr="00E77F77">
        <w:t>l</w:t>
      </w:r>
      <w:r w:rsidRPr="00E54C11">
        <w:t xml:space="preserve"> i</w:t>
      </w:r>
      <w:r w:rsidRPr="00E77F77">
        <w:t>s</w:t>
      </w:r>
      <w:r w:rsidRPr="00E54C11">
        <w:t xml:space="preserve"> actioned</w:t>
      </w:r>
      <w:r w:rsidRPr="00E77F77">
        <w:t>.</w:t>
      </w:r>
      <w:r w:rsidRPr="00E54C11">
        <w:t xml:space="preserve"> NH</w:t>
      </w:r>
      <w:r w:rsidRPr="00E77F77">
        <w:t>S</w:t>
      </w:r>
      <w:r w:rsidRPr="00E54C11">
        <w:t xml:space="preserve"> </w:t>
      </w:r>
      <w:r w:rsidRPr="00E77F77">
        <w:t>E</w:t>
      </w:r>
      <w:r w:rsidRPr="00E54C11">
        <w:t>ngland’</w:t>
      </w:r>
      <w:r w:rsidRPr="00E77F77">
        <w:t xml:space="preserve">s </w:t>
      </w:r>
      <w:r w:rsidRPr="00E54C11">
        <w:t>stakeholde</w:t>
      </w:r>
      <w:r w:rsidRPr="00E77F77">
        <w:t>rs</w:t>
      </w:r>
      <w:r w:rsidRPr="00E54C11">
        <w:t xml:space="preserve"> </w:t>
      </w:r>
      <w:r w:rsidRPr="00E77F77">
        <w:t>(</w:t>
      </w:r>
      <w:r w:rsidRPr="00E54C11">
        <w:t>includin</w:t>
      </w:r>
      <w:r w:rsidRPr="00E77F77">
        <w:t>g</w:t>
      </w:r>
      <w:r w:rsidRPr="00E54C11">
        <w:t xml:space="preserve"> G</w:t>
      </w:r>
      <w:r w:rsidRPr="00E77F77">
        <w:t>P</w:t>
      </w:r>
      <w:r w:rsidRPr="00E54C11">
        <w:t>C</w:t>
      </w:r>
      <w:r w:rsidRPr="00E77F77">
        <w:t>)</w:t>
      </w:r>
      <w:r w:rsidRPr="00E54C11">
        <w:t xml:space="preserve"> acknowledg</w:t>
      </w:r>
      <w:r w:rsidRPr="00E77F77">
        <w:t>e</w:t>
      </w:r>
      <w:r w:rsidRPr="00E54C11">
        <w:t xml:space="preserve"> tha</w:t>
      </w:r>
      <w:r w:rsidRPr="00E77F77">
        <w:t>t</w:t>
      </w:r>
      <w:r w:rsidRPr="00E54C11">
        <w:t xml:space="preserve"> th</w:t>
      </w:r>
      <w:r w:rsidRPr="00E77F77">
        <w:t>e</w:t>
      </w:r>
      <w:r w:rsidRPr="00E54C11">
        <w:t xml:space="preserve"> p</w:t>
      </w:r>
      <w:r w:rsidRPr="00E77F77">
        <w:t>r</w:t>
      </w:r>
      <w:r w:rsidRPr="00E54C11">
        <w:t>ovisio</w:t>
      </w:r>
      <w:r w:rsidRPr="00E77F77">
        <w:t>n</w:t>
      </w:r>
      <w:r w:rsidRPr="00E54C11">
        <w:t xml:space="preserve"> o</w:t>
      </w:r>
      <w:r w:rsidRPr="00E77F77">
        <w:t>f</w:t>
      </w:r>
      <w:r w:rsidRPr="00E54C11">
        <w:t xml:space="preserve"> a</w:t>
      </w:r>
      <w:r w:rsidRPr="00E77F77">
        <w:t xml:space="preserve">n </w:t>
      </w:r>
      <w:r w:rsidRPr="00E54C11">
        <w:t>inciden</w:t>
      </w:r>
      <w:r w:rsidRPr="00E77F77">
        <w:t>t</w:t>
      </w:r>
      <w:r w:rsidRPr="00E54C11">
        <w:t xml:space="preserve"> numbe</w:t>
      </w:r>
      <w:r w:rsidRPr="00E77F77">
        <w:t>r</w:t>
      </w:r>
      <w:r w:rsidRPr="00E54C11">
        <w:t xml:space="preserve"> </w:t>
      </w:r>
      <w:r w:rsidRPr="00E77F77">
        <w:t>(</w:t>
      </w:r>
      <w:r w:rsidRPr="00E54C11">
        <w:t>bu</w:t>
      </w:r>
      <w:r w:rsidRPr="00E77F77">
        <w:t>t</w:t>
      </w:r>
      <w:r w:rsidRPr="00E54C11">
        <w:t xml:space="preserve"> no</w:t>
      </w:r>
      <w:r w:rsidRPr="00E77F77">
        <w:t>t</w:t>
      </w:r>
      <w:r w:rsidRPr="00E54C11">
        <w:t xml:space="preserve"> </w:t>
      </w:r>
      <w:r w:rsidRPr="00E77F77">
        <w:t>a</w:t>
      </w:r>
      <w:r w:rsidRPr="00E54C11">
        <w:t xml:space="preserve"> c</w:t>
      </w:r>
      <w:r w:rsidRPr="00E77F77">
        <w:t>r</w:t>
      </w:r>
      <w:r w:rsidRPr="00E54C11">
        <w:t>im</w:t>
      </w:r>
      <w:r w:rsidRPr="00E77F77">
        <w:t>e</w:t>
      </w:r>
      <w:r w:rsidRPr="00E54C11">
        <w:t xml:space="preserve"> numbe</w:t>
      </w:r>
      <w:r w:rsidRPr="00E77F77">
        <w:t>r)</w:t>
      </w:r>
      <w:r w:rsidRPr="00E54C11">
        <w:t xml:space="preserve"> i</w:t>
      </w:r>
      <w:r w:rsidRPr="00E77F77">
        <w:t>s</w:t>
      </w:r>
      <w:r w:rsidRPr="00E54C11">
        <w:t xml:space="preserve"> </w:t>
      </w:r>
      <w:r w:rsidRPr="00E77F77">
        <w:t>a</w:t>
      </w:r>
      <w:r w:rsidRPr="00E54C11">
        <w:t xml:space="preserve"> '</w:t>
      </w:r>
      <w:r w:rsidRPr="00E77F77">
        <w:t>r</w:t>
      </w:r>
      <w:r w:rsidRPr="00E54C11">
        <w:t>easonabl</w:t>
      </w:r>
      <w:r w:rsidRPr="00E77F77">
        <w:t>e</w:t>
      </w:r>
      <w:r w:rsidRPr="00E54C11">
        <w:t xml:space="preserve"> </w:t>
      </w:r>
      <w:r w:rsidRPr="00E77F77">
        <w:t>r</w:t>
      </w:r>
      <w:r w:rsidRPr="00E54C11">
        <w:t>eques</w:t>
      </w:r>
      <w:r w:rsidRPr="00E77F77">
        <w:t>t</w:t>
      </w:r>
      <w:r w:rsidRPr="00E54C11">
        <w:t xml:space="preserve"> fo</w:t>
      </w:r>
      <w:r w:rsidRPr="00E77F77">
        <w:t xml:space="preserve">r </w:t>
      </w:r>
      <w:r w:rsidRPr="00E54C11">
        <w:t>info</w:t>
      </w:r>
      <w:r w:rsidRPr="00E77F77">
        <w:t>r</w:t>
      </w:r>
      <w:r w:rsidRPr="00E54C11">
        <w:t>mation</w:t>
      </w:r>
      <w:r w:rsidRPr="00E77F77">
        <w:t>'</w:t>
      </w:r>
      <w:r w:rsidRPr="00E54C11">
        <w:t xml:space="preserve"> </w:t>
      </w:r>
      <w:r>
        <w:t>in accordance with</w:t>
      </w:r>
      <w:r w:rsidRPr="00E54C11">
        <w:t xml:space="preserve"> th</w:t>
      </w:r>
      <w:r>
        <w:t>e</w:t>
      </w:r>
      <w:r w:rsidRPr="00E54C11">
        <w:t xml:space="preserve"> </w:t>
      </w:r>
      <w:r>
        <w:t>contract</w:t>
      </w:r>
      <w:r w:rsidRPr="00E77F77">
        <w:t>.</w:t>
      </w:r>
      <w:r w:rsidRPr="00E54C11">
        <w:t xml:space="preserve"> However</w:t>
      </w:r>
      <w:r w:rsidRPr="00E77F77">
        <w:t>,</w:t>
      </w:r>
      <w:r w:rsidRPr="00E54C11">
        <w:t xml:space="preserve"> a</w:t>
      </w:r>
      <w:r w:rsidRPr="00E77F77">
        <w:t>n</w:t>
      </w:r>
      <w:r w:rsidRPr="00E54C11">
        <w:t xml:space="preserve"> inciden</w:t>
      </w:r>
      <w:r w:rsidRPr="00E77F77">
        <w:t xml:space="preserve">t </w:t>
      </w:r>
      <w:r w:rsidRPr="00E54C11">
        <w:t>numbe</w:t>
      </w:r>
      <w:r w:rsidRPr="00E77F77">
        <w:t>r</w:t>
      </w:r>
      <w:r w:rsidRPr="00E54C11">
        <w:t xml:space="preserve"> shoul</w:t>
      </w:r>
      <w:r w:rsidRPr="00E77F77">
        <w:t>d</w:t>
      </w:r>
      <w:r w:rsidRPr="00E54C11">
        <w:t xml:space="preserve"> no</w:t>
      </w:r>
      <w:r w:rsidRPr="00E77F77">
        <w:t>t</w:t>
      </w:r>
      <w:r w:rsidRPr="00E54C11">
        <w:t xml:space="preserve"> b</w:t>
      </w:r>
      <w:r w:rsidRPr="00E77F77">
        <w:t>e</w:t>
      </w:r>
      <w:r w:rsidRPr="00E54C11">
        <w:t xml:space="preserve"> </w:t>
      </w:r>
      <w:r w:rsidRPr="00E77F77">
        <w:t>a</w:t>
      </w:r>
      <w:r w:rsidRPr="00E54C11">
        <w:t xml:space="preserve"> p</w:t>
      </w:r>
      <w:r w:rsidRPr="00E77F77">
        <w:t>r</w:t>
      </w:r>
      <w:r w:rsidRPr="00E54C11">
        <w:t>e</w:t>
      </w:r>
      <w:r w:rsidRPr="00E77F77">
        <w:t>r</w:t>
      </w:r>
      <w:r w:rsidRPr="00E54C11">
        <w:t>equisit</w:t>
      </w:r>
      <w:r w:rsidRPr="00E77F77">
        <w:t>e</w:t>
      </w:r>
      <w:r w:rsidRPr="00E54C11">
        <w:t xml:space="preserve"> t</w:t>
      </w:r>
      <w:r w:rsidRPr="00E77F77">
        <w:t>o</w:t>
      </w:r>
      <w:r w:rsidRPr="00E54C11">
        <w:t xml:space="preserve"> th</w:t>
      </w:r>
      <w:r w:rsidRPr="00E77F77">
        <w:t>e</w:t>
      </w:r>
      <w:r w:rsidRPr="00E54C11">
        <w:t xml:space="preserve"> immediat</w:t>
      </w:r>
      <w:r w:rsidRPr="00E77F77">
        <w:t>e</w:t>
      </w:r>
      <w:r w:rsidRPr="00E54C11">
        <w:t xml:space="preserve"> </w:t>
      </w:r>
      <w:r w:rsidRPr="00E77F77">
        <w:t>r</w:t>
      </w:r>
      <w:r w:rsidRPr="00E54C11">
        <w:t>emova</w:t>
      </w:r>
      <w:r w:rsidRPr="00E77F77">
        <w:t>l</w:t>
      </w:r>
      <w:r w:rsidRPr="00E54C11">
        <w:t xml:space="preserve"> o</w:t>
      </w:r>
      <w:r w:rsidRPr="00E77F77">
        <w:t>f</w:t>
      </w:r>
      <w:r w:rsidRPr="00E54C11">
        <w:t xml:space="preserve"> </w:t>
      </w:r>
      <w:r w:rsidRPr="00E77F77">
        <w:t xml:space="preserve">a </w:t>
      </w:r>
      <w:r w:rsidRPr="00E54C11">
        <w:t>patien</w:t>
      </w:r>
      <w:r w:rsidRPr="00E77F77">
        <w:t>t</w:t>
      </w:r>
      <w:r w:rsidRPr="00E54C11">
        <w:t xml:space="preserve"> whos</w:t>
      </w:r>
      <w:r w:rsidRPr="00E77F77">
        <w:t>e</w:t>
      </w:r>
      <w:r w:rsidRPr="00E54C11">
        <w:t xml:space="preserve"> behaviou</w:t>
      </w:r>
      <w:r w:rsidRPr="00E77F77">
        <w:t>r</w:t>
      </w:r>
      <w:r w:rsidRPr="00E54C11">
        <w:t xml:space="preserve"> i</w:t>
      </w:r>
      <w:r w:rsidRPr="00E77F77">
        <w:t>s</w:t>
      </w:r>
      <w:r w:rsidRPr="00E54C11">
        <w:t xml:space="preserve"> suc</w:t>
      </w:r>
      <w:r w:rsidRPr="00E77F77">
        <w:t>h</w:t>
      </w:r>
      <w:r w:rsidRPr="00E54C11">
        <w:t xml:space="preserve"> tha</w:t>
      </w:r>
      <w:r w:rsidRPr="00E77F77">
        <w:t>t</w:t>
      </w:r>
      <w:r w:rsidRPr="00E54C11">
        <w:t xml:space="preserve"> the</w:t>
      </w:r>
      <w:r w:rsidRPr="00E77F77">
        <w:t>y</w:t>
      </w:r>
      <w:r w:rsidRPr="00E54C11">
        <w:t xml:space="preserve"> mee</w:t>
      </w:r>
      <w:r w:rsidRPr="00E77F77">
        <w:t>t</w:t>
      </w:r>
      <w:r w:rsidRPr="00E54C11">
        <w:t xml:space="preserve"> th</w:t>
      </w:r>
      <w:r w:rsidRPr="00E77F77">
        <w:t>e</w:t>
      </w:r>
      <w:r w:rsidRPr="00E54C11">
        <w:t xml:space="preserve"> c</w:t>
      </w:r>
      <w:r w:rsidRPr="00E77F77">
        <w:t>r</w:t>
      </w:r>
      <w:r w:rsidRPr="00E54C11">
        <w:t>ite</w:t>
      </w:r>
      <w:r w:rsidRPr="00E77F77">
        <w:t>r</w:t>
      </w:r>
      <w:r w:rsidRPr="00E54C11">
        <w:t>i</w:t>
      </w:r>
      <w:r w:rsidRPr="00E77F77">
        <w:t xml:space="preserve">a for </w:t>
      </w:r>
      <w:r>
        <w:t>removal</w:t>
      </w:r>
      <w:r w:rsidRPr="00E77F77">
        <w:t xml:space="preserve">. </w:t>
      </w:r>
      <w:r w:rsidRPr="00E77F77">
        <w:br w:type="page"/>
      </w:r>
    </w:p>
    <w:p w14:paraId="3FC3307B" w14:textId="77777777" w:rsidR="004B57CD" w:rsidRPr="004B57CD" w:rsidRDefault="004B57CD" w:rsidP="004B57CD"/>
    <w:p w14:paraId="671FBF2A" w14:textId="74F54634" w:rsidR="004B57CD" w:rsidRPr="004B57CD" w:rsidRDefault="00057ADF" w:rsidP="004B57CD">
      <w:pPr>
        <w:pStyle w:val="Heading2"/>
        <w:rPr>
          <w:rFonts w:cs="Arial"/>
          <w:color w:val="002060"/>
          <w:szCs w:val="24"/>
        </w:rPr>
      </w:pPr>
      <w:bookmarkStart w:id="507" w:name="_Commissioning_a_robust"/>
      <w:bookmarkStart w:id="508" w:name="_bookmark1"/>
      <w:bookmarkStart w:id="509" w:name="_Toc483740422"/>
      <w:bookmarkStart w:id="510" w:name="_Toc498495381"/>
      <w:bookmarkEnd w:id="507"/>
      <w:bookmarkEnd w:id="508"/>
      <w:r>
        <w:t>Commissioning a robust SAS</w:t>
      </w:r>
      <w:bookmarkStart w:id="511" w:name="_Toc483740423"/>
      <w:bookmarkEnd w:id="509"/>
      <w:bookmarkEnd w:id="510"/>
    </w:p>
    <w:bookmarkStart w:id="512" w:name="_1570097922"/>
    <w:bookmarkEnd w:id="512"/>
    <w:p w14:paraId="6270BD4B" w14:textId="10931DAF" w:rsidR="004B57CD" w:rsidRPr="004B57CD" w:rsidRDefault="002306F3" w:rsidP="005A7DDA">
      <w:pPr>
        <w:pStyle w:val="ListParagraph"/>
        <w:numPr>
          <w:ilvl w:val="0"/>
          <w:numId w:val="151"/>
        </w:numPr>
      </w:pPr>
      <w:r>
        <w:fldChar w:fldCharType="begin"/>
      </w:r>
      <w:r>
        <w:instrText xml:space="preserve"> HYPERLINK "https://www.england.nhs.uk/publication/commissioning-a-robust-sas/" </w:instrText>
      </w:r>
      <w:r>
        <w:fldChar w:fldCharType="separate"/>
      </w:r>
      <w:r w:rsidR="004B57CD" w:rsidRPr="006E1E3A">
        <w:rPr>
          <w:rStyle w:val="Hyperlink"/>
        </w:rPr>
        <w:t>Commissioning a robust SAS</w:t>
      </w:r>
      <w:r>
        <w:rPr>
          <w:rStyle w:val="Hyperlink"/>
        </w:rPr>
        <w:fldChar w:fldCharType="end"/>
      </w:r>
    </w:p>
    <w:p w14:paraId="4EACA98B" w14:textId="065EB415" w:rsidR="008F7BB3" w:rsidRPr="002306F3" w:rsidRDefault="008F7BB3" w:rsidP="002306F3"/>
    <w:p w14:paraId="4EE3B4DB" w14:textId="77777777" w:rsidR="008F7BB3" w:rsidRPr="00E54C11" w:rsidRDefault="008F7BB3" w:rsidP="008F7BB3">
      <w:pPr>
        <w:pStyle w:val="Heading2"/>
      </w:pPr>
      <w:bookmarkStart w:id="513" w:name="_When_to_use"/>
      <w:bookmarkStart w:id="514" w:name="_bookmark2"/>
      <w:bookmarkStart w:id="515" w:name="_Toc493831280"/>
      <w:bookmarkStart w:id="516" w:name="_Toc498495382"/>
      <w:bookmarkEnd w:id="513"/>
      <w:bookmarkEnd w:id="514"/>
      <w:r w:rsidRPr="00E54C11">
        <w:t xml:space="preserve">When to </w:t>
      </w:r>
      <w:r>
        <w:t xml:space="preserve">request a removal of this type under the Regulations  </w:t>
      </w:r>
      <w:r w:rsidRPr="00E54C11">
        <w:t xml:space="preserve">(Information on eligibility for Commissioners and </w:t>
      </w:r>
      <w:r>
        <w:t>P</w:t>
      </w:r>
      <w:r w:rsidRPr="00E54C11">
        <w:t>roviders)</w:t>
      </w:r>
      <w:bookmarkEnd w:id="511"/>
      <w:bookmarkEnd w:id="515"/>
      <w:bookmarkEnd w:id="516"/>
    </w:p>
    <w:p w14:paraId="109E2461" w14:textId="77777777" w:rsidR="008F7BB3" w:rsidRPr="00E77F77" w:rsidRDefault="008F7BB3" w:rsidP="008F7BB3">
      <w:pPr>
        <w:pStyle w:val="Heading3"/>
      </w:pPr>
      <w:r w:rsidRPr="00E54C11">
        <w:rPr>
          <w:b/>
        </w:rPr>
        <w:t>It is important that the</w:t>
      </w:r>
      <w:r>
        <w:rPr>
          <w:b/>
        </w:rPr>
        <w:t xml:space="preserve">se regulations are </w:t>
      </w:r>
      <w:r w:rsidRPr="00E54C11">
        <w:rPr>
          <w:b/>
        </w:rPr>
        <w:t>not misused or used lightly but that it is</w:t>
      </w:r>
      <w:r w:rsidRPr="00E77F77">
        <w:t xml:space="preserve"> </w:t>
      </w:r>
      <w:r w:rsidRPr="00E54C11">
        <w:t>onl</w:t>
      </w:r>
      <w:r w:rsidRPr="00E77F77">
        <w:t>y</w:t>
      </w:r>
      <w:r w:rsidRPr="00E54C11">
        <w:t xml:space="preserve"> </w:t>
      </w:r>
      <w:r w:rsidRPr="00E77F77">
        <w:t>r</w:t>
      </w:r>
      <w:r w:rsidRPr="00E54C11">
        <w:t>ese</w:t>
      </w:r>
      <w:r w:rsidRPr="00E77F77">
        <w:t>r</w:t>
      </w:r>
      <w:r w:rsidRPr="00E54C11">
        <w:t>ve</w:t>
      </w:r>
      <w:r w:rsidRPr="00E77F77">
        <w:t>d</w:t>
      </w:r>
      <w:r w:rsidRPr="00E54C11">
        <w:t xml:space="preserve"> fo</w:t>
      </w:r>
      <w:r w:rsidRPr="00E77F77">
        <w:t>r</w:t>
      </w:r>
      <w:r w:rsidRPr="00E54C11">
        <w:t xml:space="preserve"> thos</w:t>
      </w:r>
      <w:r w:rsidRPr="00E77F77">
        <w:t>e</w:t>
      </w:r>
      <w:r w:rsidRPr="00E54C11">
        <w:t xml:space="preserve"> patient</w:t>
      </w:r>
      <w:r w:rsidRPr="00E77F77">
        <w:t>s</w:t>
      </w:r>
      <w:r w:rsidRPr="00E54C11">
        <w:t xml:space="preserve"> wh</w:t>
      </w:r>
      <w:r w:rsidRPr="00E77F77">
        <w:t>o</w:t>
      </w:r>
      <w:r w:rsidRPr="00E54C11">
        <w:t xml:space="preserve"> </w:t>
      </w:r>
      <w:r w:rsidRPr="00E77F77">
        <w:t xml:space="preserve">meet the criteria for </w:t>
      </w:r>
      <w:r>
        <w:t>removal</w:t>
      </w:r>
      <w:r w:rsidRPr="00E77F77">
        <w:t xml:space="preserve"> and r</w:t>
      </w:r>
      <w:r w:rsidRPr="00E54C11">
        <w:t>esultin</w:t>
      </w:r>
      <w:r w:rsidRPr="00E77F77">
        <w:t>g</w:t>
      </w:r>
      <w:r w:rsidRPr="00E54C11">
        <w:t xml:space="preserve"> i</w:t>
      </w:r>
      <w:r w:rsidRPr="00E77F77">
        <w:t>n</w:t>
      </w:r>
      <w:r w:rsidRPr="00E54C11">
        <w:t xml:space="preserve"> a</w:t>
      </w:r>
      <w:r w:rsidRPr="00E77F77">
        <w:t>n</w:t>
      </w:r>
      <w:r w:rsidRPr="00E54C11">
        <w:t xml:space="preserve"> inciden</w:t>
      </w:r>
      <w:r w:rsidRPr="00E77F77">
        <w:t>t</w:t>
      </w:r>
      <w:r w:rsidRPr="00E54C11">
        <w:t xml:space="preserve"> bein</w:t>
      </w:r>
      <w:r w:rsidRPr="00E77F77">
        <w:t>g</w:t>
      </w:r>
      <w:r w:rsidRPr="00E54C11">
        <w:t xml:space="preserve"> </w:t>
      </w:r>
      <w:r w:rsidRPr="00E77F77">
        <w:t>r</w:t>
      </w:r>
      <w:r w:rsidRPr="00E54C11">
        <w:t>epo</w:t>
      </w:r>
      <w:r w:rsidRPr="00E77F77">
        <w:t>r</w:t>
      </w:r>
      <w:r w:rsidRPr="00E54C11">
        <w:t>te</w:t>
      </w:r>
      <w:r w:rsidRPr="00E77F77">
        <w:t>d</w:t>
      </w:r>
      <w:r w:rsidRPr="00E54C11">
        <w:t xml:space="preserve"> t</w:t>
      </w:r>
      <w:r w:rsidRPr="00E77F77">
        <w:t>o</w:t>
      </w:r>
      <w:r w:rsidRPr="00E54C11">
        <w:t xml:space="preserve"> th</w:t>
      </w:r>
      <w:r w:rsidRPr="00E77F77">
        <w:t>e</w:t>
      </w:r>
      <w:r w:rsidRPr="00E54C11">
        <w:t xml:space="preserve"> police</w:t>
      </w:r>
      <w:r w:rsidRPr="00E77F77">
        <w:t>,</w:t>
      </w:r>
      <w:r w:rsidRPr="00E54C11">
        <w:t xml:space="preserve"> o</w:t>
      </w:r>
      <w:r w:rsidRPr="00E77F77">
        <w:t>r</w:t>
      </w:r>
      <w:r w:rsidRPr="00E54C11">
        <w:t xml:space="preserve"> fo</w:t>
      </w:r>
      <w:r w:rsidRPr="00E77F77">
        <w:t>r</w:t>
      </w:r>
      <w:r w:rsidRPr="00E54C11">
        <w:t xml:space="preserve"> patient</w:t>
      </w:r>
      <w:r w:rsidRPr="00E77F77">
        <w:t>s</w:t>
      </w:r>
      <w:r w:rsidRPr="00E54C11">
        <w:t xml:space="preserve"> wh</w:t>
      </w:r>
      <w:r w:rsidRPr="00E77F77">
        <w:t xml:space="preserve">o </w:t>
      </w:r>
      <w:r w:rsidRPr="00E54C11">
        <w:t>a</w:t>
      </w:r>
      <w:r w:rsidRPr="00E77F77">
        <w:t>re</w:t>
      </w:r>
      <w:r w:rsidRPr="00E54C11">
        <w:t xml:space="preserve"> deeme</w:t>
      </w:r>
      <w:r w:rsidRPr="00E77F77">
        <w:t>d</w:t>
      </w:r>
      <w:r w:rsidRPr="00E54C11">
        <w:t xml:space="preserve"> </w:t>
      </w:r>
      <w:r w:rsidRPr="00E77F77">
        <w:t>a</w:t>
      </w:r>
      <w:r w:rsidRPr="00E54C11">
        <w:t xml:space="preserve"> futu</w:t>
      </w:r>
      <w:r w:rsidRPr="00E77F77">
        <w:t>re</w:t>
      </w:r>
      <w:r w:rsidRPr="00E54C11">
        <w:t xml:space="preserve"> safet</w:t>
      </w:r>
      <w:r w:rsidRPr="00E77F77">
        <w:t>y</w:t>
      </w:r>
      <w:r w:rsidRPr="00E54C11">
        <w:t xml:space="preserve"> </w:t>
      </w:r>
      <w:r w:rsidRPr="00E77F77">
        <w:t>r</w:t>
      </w:r>
      <w:r w:rsidRPr="00E54C11">
        <w:t>is</w:t>
      </w:r>
      <w:r w:rsidRPr="00E77F77">
        <w:t>k</w:t>
      </w:r>
      <w:r w:rsidRPr="00E54C11">
        <w:t xml:space="preserve"> t</w:t>
      </w:r>
      <w:r w:rsidRPr="00E77F77">
        <w:t>o</w:t>
      </w:r>
      <w:r w:rsidRPr="00E54C11">
        <w:t xml:space="preserve"> themselve</w:t>
      </w:r>
      <w:r w:rsidRPr="00E77F77">
        <w:t>s</w:t>
      </w:r>
      <w:r w:rsidRPr="00E54C11">
        <w:t xml:space="preserve"> o</w:t>
      </w:r>
      <w:r w:rsidRPr="00E77F77">
        <w:t>r</w:t>
      </w:r>
      <w:r w:rsidRPr="00E54C11">
        <w:t xml:space="preserve"> othe</w:t>
      </w:r>
      <w:r w:rsidRPr="00E77F77">
        <w:t>rs</w:t>
      </w:r>
      <w:r w:rsidRPr="00E54C11">
        <w:t xml:space="preserve"> withi</w:t>
      </w:r>
      <w:r w:rsidRPr="00E77F77">
        <w:t>n</w:t>
      </w:r>
      <w:r w:rsidRPr="00E54C11">
        <w:t xml:space="preserve"> th</w:t>
      </w:r>
      <w:r w:rsidRPr="00E77F77">
        <w:t xml:space="preserve">e </w:t>
      </w:r>
      <w:r w:rsidRPr="00E54C11">
        <w:t>p</w:t>
      </w:r>
      <w:r w:rsidRPr="00E77F77">
        <w:t>r</w:t>
      </w:r>
      <w:r w:rsidRPr="00E54C11">
        <w:t>ima</w:t>
      </w:r>
      <w:r w:rsidRPr="00E77F77">
        <w:t>ry</w:t>
      </w:r>
      <w:r w:rsidRPr="00E54C11">
        <w:t xml:space="preserve"> ca</w:t>
      </w:r>
      <w:r w:rsidRPr="00E77F77">
        <w:t>re</w:t>
      </w:r>
      <w:r w:rsidRPr="00E54C11">
        <w:t xml:space="preserve"> setting</w:t>
      </w:r>
      <w:r w:rsidRPr="00E77F77">
        <w:t xml:space="preserve">.  </w:t>
      </w:r>
    </w:p>
    <w:p w14:paraId="1DE66985" w14:textId="77777777" w:rsidR="008F7BB3" w:rsidRPr="00E77F77" w:rsidRDefault="008F7BB3" w:rsidP="008F7BB3">
      <w:pPr>
        <w:pStyle w:val="Heading3"/>
      </w:pPr>
      <w:r w:rsidRPr="00E54C11">
        <w:t>I</w:t>
      </w:r>
      <w:r w:rsidRPr="00E77F77">
        <w:t>t</w:t>
      </w:r>
      <w:r w:rsidRPr="00E54C11">
        <w:t xml:space="preserve"> i</w:t>
      </w:r>
      <w:r w:rsidRPr="00E77F77">
        <w:t>s</w:t>
      </w:r>
      <w:r w:rsidRPr="00E54C11">
        <w:t xml:space="preserve"> no</w:t>
      </w:r>
      <w:r w:rsidRPr="00E77F77">
        <w:t>t</w:t>
      </w:r>
      <w:r w:rsidRPr="00E54C11">
        <w:t xml:space="preserve"> th</w:t>
      </w:r>
      <w:r w:rsidRPr="00E77F77">
        <w:t>e</w:t>
      </w:r>
      <w:r w:rsidRPr="00E54C11">
        <w:t xml:space="preserve"> intentio</w:t>
      </w:r>
      <w:r w:rsidRPr="00E77F77">
        <w:t>n</w:t>
      </w:r>
      <w:r w:rsidRPr="00E54C11">
        <w:t xml:space="preserve"> t</w:t>
      </w:r>
      <w:r w:rsidRPr="00E77F77">
        <w:t>o</w:t>
      </w:r>
      <w:r w:rsidRPr="00E54C11">
        <w:t xml:space="preserve"> encou</w:t>
      </w:r>
      <w:r w:rsidRPr="00E77F77">
        <w:t>r</w:t>
      </w:r>
      <w:r w:rsidRPr="00E54C11">
        <w:t>ag</w:t>
      </w:r>
      <w:r w:rsidRPr="00E77F77">
        <w:t>e</w:t>
      </w:r>
      <w:r w:rsidRPr="00E54C11">
        <w:t xml:space="preserve"> </w:t>
      </w:r>
      <w:r w:rsidRPr="00E77F77">
        <w:t>a</w:t>
      </w:r>
      <w:r w:rsidRPr="00E54C11">
        <w:t xml:space="preserve"> situatio</w:t>
      </w:r>
      <w:r w:rsidRPr="00E77F77">
        <w:t>n</w:t>
      </w:r>
      <w:r w:rsidRPr="00E54C11">
        <w:t xml:space="preserve"> whe</w:t>
      </w:r>
      <w:r w:rsidRPr="00E77F77">
        <w:t>re</w:t>
      </w:r>
      <w:r w:rsidRPr="00E54C11">
        <w:t xml:space="preserve"> patient</w:t>
      </w:r>
      <w:r w:rsidRPr="00E77F77">
        <w:t>s</w:t>
      </w:r>
      <w:r w:rsidRPr="00E54C11">
        <w:t xml:space="preserve"> a</w:t>
      </w:r>
      <w:r w:rsidRPr="00E77F77">
        <w:t xml:space="preserve">re </w:t>
      </w:r>
      <w:r w:rsidRPr="00E54C11">
        <w:t>immediatel</w:t>
      </w:r>
      <w:r w:rsidRPr="00E77F77">
        <w:t>y</w:t>
      </w:r>
      <w:r w:rsidRPr="00E54C11">
        <w:t xml:space="preserve"> </w:t>
      </w:r>
      <w:r w:rsidRPr="00E77F77">
        <w:t>r</w:t>
      </w:r>
      <w:r w:rsidRPr="00E54C11">
        <w:t>emove</w:t>
      </w:r>
      <w:r w:rsidRPr="00E77F77">
        <w:t>d</w:t>
      </w:r>
      <w:r w:rsidRPr="00E54C11">
        <w:t xml:space="preserve"> fo</w:t>
      </w:r>
      <w:r w:rsidRPr="00E77F77">
        <w:t>r</w:t>
      </w:r>
      <w:r w:rsidRPr="00E54C11">
        <w:t xml:space="preserve"> compa</w:t>
      </w:r>
      <w:r w:rsidRPr="00E77F77">
        <w:t>r</w:t>
      </w:r>
      <w:r w:rsidRPr="00E54C11">
        <w:t>ativel</w:t>
      </w:r>
      <w:r w:rsidRPr="00E77F77">
        <w:t>y</w:t>
      </w:r>
      <w:r w:rsidRPr="00E54C11">
        <w:t xml:space="preserve"> mino</w:t>
      </w:r>
      <w:r w:rsidRPr="00E77F77">
        <w:t>r</w:t>
      </w:r>
      <w:r w:rsidRPr="00E54C11">
        <w:t xml:space="preserve"> offence</w:t>
      </w:r>
      <w:r w:rsidRPr="00E77F77">
        <w:t>s</w:t>
      </w:r>
      <w:r w:rsidRPr="00E54C11">
        <w:t xml:space="preserve"> </w:t>
      </w:r>
      <w:r>
        <w:t xml:space="preserve">(e.g. that have not been reported to the police) </w:t>
      </w:r>
      <w:r w:rsidRPr="00E54C11">
        <w:t>o</w:t>
      </w:r>
      <w:r w:rsidRPr="00E77F77">
        <w:t>r</w:t>
      </w:r>
      <w:r w:rsidRPr="00E54C11">
        <w:t xml:space="preserve"> fo</w:t>
      </w:r>
      <w:r w:rsidRPr="00E77F77">
        <w:t>r</w:t>
      </w:r>
      <w:r w:rsidRPr="00E54C11">
        <w:t xml:space="preserve"> behaviou</w:t>
      </w:r>
      <w:r w:rsidRPr="00E77F77">
        <w:t xml:space="preserve">r </w:t>
      </w:r>
      <w:r w:rsidRPr="00E54C11">
        <w:t>tha</w:t>
      </w:r>
      <w:r w:rsidRPr="00E77F77">
        <w:t>t</w:t>
      </w:r>
      <w:r w:rsidRPr="00E54C11">
        <w:t xml:space="preserve"> coul</w:t>
      </w:r>
      <w:r w:rsidRPr="00E77F77">
        <w:t>d</w:t>
      </w:r>
      <w:r w:rsidRPr="00E54C11">
        <w:t xml:space="preserve"> b</w:t>
      </w:r>
      <w:r w:rsidRPr="00E77F77">
        <w:t>e</w:t>
      </w:r>
      <w:r w:rsidRPr="00E54C11">
        <w:t xml:space="preserve"> asc</w:t>
      </w:r>
      <w:r w:rsidRPr="00E77F77">
        <w:t>r</w:t>
      </w:r>
      <w:r w:rsidRPr="00E54C11">
        <w:t>ibe</w:t>
      </w:r>
      <w:r w:rsidRPr="00E77F77">
        <w:t>d</w:t>
      </w:r>
      <w:r w:rsidRPr="00E54C11">
        <w:t xml:space="preserve"> t</w:t>
      </w:r>
      <w:r w:rsidRPr="00E77F77">
        <w:t>o</w:t>
      </w:r>
      <w:r w:rsidRPr="00E54C11">
        <w:t xml:space="preserve"> </w:t>
      </w:r>
      <w:r w:rsidRPr="00E77F77">
        <w:t>a</w:t>
      </w:r>
      <w:r w:rsidRPr="00E54C11">
        <w:t xml:space="preserve"> healt</w:t>
      </w:r>
      <w:r w:rsidRPr="00E77F77">
        <w:t>h</w:t>
      </w:r>
      <w:r w:rsidRPr="00E54C11">
        <w:t xml:space="preserve"> conditio</w:t>
      </w:r>
      <w:r w:rsidRPr="00E77F77">
        <w:t xml:space="preserve">n </w:t>
      </w:r>
      <w:r w:rsidRPr="00E54C11">
        <w:t>an</w:t>
      </w:r>
      <w:r w:rsidRPr="00E77F77">
        <w:t>d</w:t>
      </w:r>
      <w:r w:rsidRPr="00E54C11">
        <w:t xml:space="preserve"> whic</w:t>
      </w:r>
      <w:r w:rsidRPr="00E77F77">
        <w:t>h</w:t>
      </w:r>
      <w:r w:rsidRPr="00E54C11">
        <w:t xml:space="preserve"> i</w:t>
      </w:r>
      <w:r w:rsidRPr="00E77F77">
        <w:t>s</w:t>
      </w:r>
      <w:r w:rsidRPr="00E54C11">
        <w:t xml:space="preserve"> capabl</w:t>
      </w:r>
      <w:r w:rsidRPr="00E77F77">
        <w:t>e</w:t>
      </w:r>
      <w:r w:rsidRPr="00E54C11">
        <w:t xml:space="preserve"> o</w:t>
      </w:r>
      <w:r w:rsidRPr="00E77F77">
        <w:t xml:space="preserve">f </w:t>
      </w:r>
      <w:r w:rsidRPr="00E54C11">
        <w:t>bein</w:t>
      </w:r>
      <w:r w:rsidRPr="00E77F77">
        <w:t>g</w:t>
      </w:r>
      <w:r w:rsidRPr="00E54C11">
        <w:t xml:space="preserve"> alleviate</w:t>
      </w:r>
      <w:r w:rsidRPr="00E77F77">
        <w:t>d</w:t>
      </w:r>
      <w:r w:rsidRPr="00E54C11">
        <w:t xml:space="preserve"> th</w:t>
      </w:r>
      <w:r w:rsidRPr="00E77F77">
        <w:t>r</w:t>
      </w:r>
      <w:r w:rsidRPr="00E54C11">
        <w:t>oug</w:t>
      </w:r>
      <w:r w:rsidRPr="00E77F77">
        <w:t>h</w:t>
      </w:r>
      <w:r w:rsidRPr="00E54C11">
        <w:t xml:space="preserve"> ca</w:t>
      </w:r>
      <w:r w:rsidRPr="00E77F77">
        <w:t>r</w:t>
      </w:r>
      <w:r w:rsidRPr="00E54C11">
        <w:t>efu</w:t>
      </w:r>
      <w:r w:rsidRPr="00E77F77">
        <w:t>l</w:t>
      </w:r>
      <w:r w:rsidRPr="00E54C11">
        <w:t xml:space="preserve"> management</w:t>
      </w:r>
      <w:r w:rsidRPr="00E77F77">
        <w:t>,</w:t>
      </w:r>
      <w:r w:rsidRPr="00E54C11">
        <w:t xml:space="preserve"> ca</w:t>
      </w:r>
      <w:r w:rsidRPr="00E77F77">
        <w:t>re</w:t>
      </w:r>
      <w:r w:rsidRPr="00E54C11">
        <w:t xml:space="preserve"> an</w:t>
      </w:r>
      <w:r w:rsidRPr="00E77F77">
        <w:t>d</w:t>
      </w:r>
      <w:r w:rsidRPr="00E54C11">
        <w:t xml:space="preserve"> t</w:t>
      </w:r>
      <w:r w:rsidRPr="00E77F77">
        <w:t>r</w:t>
      </w:r>
      <w:r w:rsidRPr="00E54C11">
        <w:t>eatment</w:t>
      </w:r>
      <w:r w:rsidRPr="00E77F77">
        <w:t>.</w:t>
      </w:r>
    </w:p>
    <w:p w14:paraId="2B6AC359" w14:textId="77777777" w:rsidR="008F7BB3" w:rsidRPr="00E77F77" w:rsidRDefault="008F7BB3" w:rsidP="008F7BB3">
      <w:pPr>
        <w:pStyle w:val="Heading3"/>
      </w:pPr>
      <w:r w:rsidRPr="00E54C11">
        <w:t>W</w:t>
      </w:r>
      <w:r w:rsidRPr="00E77F77">
        <w:t>e</w:t>
      </w:r>
      <w:r w:rsidRPr="00E54C11">
        <w:t xml:space="preserve"> the</w:t>
      </w:r>
      <w:r w:rsidRPr="00E77F77">
        <w:t>r</w:t>
      </w:r>
      <w:r w:rsidRPr="00E54C11">
        <w:t>efo</w:t>
      </w:r>
      <w:r w:rsidRPr="00E77F77">
        <w:t>re</w:t>
      </w:r>
      <w:r w:rsidRPr="00E54C11">
        <w:t xml:space="preserve"> p</w:t>
      </w:r>
      <w:r w:rsidRPr="00E77F77">
        <w:t>r</w:t>
      </w:r>
      <w:r w:rsidRPr="00E54C11">
        <w:t>ovid</w:t>
      </w:r>
      <w:r w:rsidRPr="00E77F77">
        <w:t>e</w:t>
      </w:r>
      <w:r w:rsidRPr="00E54C11">
        <w:t xml:space="preserve"> th</w:t>
      </w:r>
      <w:r w:rsidRPr="00E77F77">
        <w:t>e</w:t>
      </w:r>
      <w:r w:rsidRPr="00E54C11">
        <w:t xml:space="preserve"> followin</w:t>
      </w:r>
      <w:r w:rsidRPr="00E77F77">
        <w:t>g</w:t>
      </w:r>
      <w:r w:rsidRPr="00E54C11">
        <w:t xml:space="preserve"> comp</w:t>
      </w:r>
      <w:r w:rsidRPr="00E77F77">
        <w:t>r</w:t>
      </w:r>
      <w:r w:rsidRPr="00E54C11">
        <w:t>ehensiv</w:t>
      </w:r>
      <w:r w:rsidRPr="00E77F77">
        <w:t>e</w:t>
      </w:r>
      <w:r w:rsidRPr="00E54C11">
        <w:t xml:space="preserve"> guidanc</w:t>
      </w:r>
      <w:r w:rsidRPr="00E77F77">
        <w:t>e</w:t>
      </w:r>
      <w:r w:rsidRPr="00E54C11">
        <w:t xml:space="preserve"> tha</w:t>
      </w:r>
      <w:r w:rsidRPr="00E77F77">
        <w:t xml:space="preserve">t </w:t>
      </w:r>
      <w:r w:rsidRPr="009B6340">
        <w:t xml:space="preserve">outlines circumstances deemed appropriate to remove a patient from the patient list (although this is a guide and not exhaustive) and </w:t>
      </w:r>
      <w:r w:rsidRPr="00E54C11">
        <w:t>emphasise</w:t>
      </w:r>
      <w:r w:rsidRPr="009B6340">
        <w:t>s</w:t>
      </w:r>
      <w:r w:rsidRPr="00E54C11">
        <w:t xml:space="preserve"> th</w:t>
      </w:r>
      <w:r w:rsidRPr="009B6340">
        <w:t>e</w:t>
      </w:r>
      <w:r w:rsidRPr="00E54C11">
        <w:t xml:space="preserve"> impo</w:t>
      </w:r>
      <w:r w:rsidRPr="009B6340">
        <w:t>r</w:t>
      </w:r>
      <w:r w:rsidRPr="00E54C11">
        <w:t>tanc</w:t>
      </w:r>
      <w:r w:rsidRPr="009B6340">
        <w:t>e</w:t>
      </w:r>
      <w:r w:rsidRPr="00E54C11">
        <w:t xml:space="preserve"> o</w:t>
      </w:r>
      <w:r w:rsidRPr="009B6340">
        <w:t>f</w:t>
      </w:r>
      <w:r w:rsidRPr="00E54C11">
        <w:t xml:space="preserve"> applyin</w:t>
      </w:r>
      <w:r w:rsidRPr="009B6340">
        <w:t>g</w:t>
      </w:r>
      <w:r w:rsidRPr="00E54C11">
        <w:t xml:space="preserve"> thi</w:t>
      </w:r>
      <w:r w:rsidRPr="009B6340">
        <w:t>s</w:t>
      </w:r>
      <w:r w:rsidRPr="00E54C11">
        <w:t xml:space="preserve"> p</w:t>
      </w:r>
      <w:r w:rsidRPr="009B6340">
        <w:t>r</w:t>
      </w:r>
      <w:r w:rsidRPr="00E54C11">
        <w:t>ocedu</w:t>
      </w:r>
      <w:r w:rsidRPr="009B6340">
        <w:t>re</w:t>
      </w:r>
      <w:r w:rsidRPr="00E54C11">
        <w:t xml:space="preserve"> whe</w:t>
      </w:r>
      <w:r w:rsidRPr="009B6340">
        <w:t>n</w:t>
      </w:r>
      <w:r w:rsidRPr="00E54C11">
        <w:t xml:space="preserve"> st</w:t>
      </w:r>
      <w:r w:rsidRPr="009B6340">
        <w:t>r</w:t>
      </w:r>
      <w:r w:rsidRPr="00E54C11">
        <w:t>ictl</w:t>
      </w:r>
      <w:r w:rsidRPr="009B6340">
        <w:t xml:space="preserve">y </w:t>
      </w:r>
      <w:r w:rsidRPr="00E54C11">
        <w:t>necessa</w:t>
      </w:r>
      <w:r w:rsidRPr="009B6340">
        <w:t>r</w:t>
      </w:r>
      <w:r w:rsidRPr="00E54C11">
        <w:t>y. Th</w:t>
      </w:r>
      <w:r w:rsidRPr="009B6340">
        <w:t>e</w:t>
      </w:r>
      <w:r w:rsidRPr="00E54C11">
        <w:t xml:space="preserve"> ove</w:t>
      </w:r>
      <w:r w:rsidRPr="009B6340">
        <w:t>r</w:t>
      </w:r>
      <w:r w:rsidRPr="00E54C11">
        <w:t>a</w:t>
      </w:r>
      <w:r w:rsidRPr="009B6340">
        <w:t>r</w:t>
      </w:r>
      <w:r w:rsidRPr="00E54C11">
        <w:t>chin</w:t>
      </w:r>
      <w:r w:rsidRPr="009B6340">
        <w:t>g</w:t>
      </w:r>
      <w:r w:rsidRPr="00E54C11">
        <w:t xml:space="preserve"> objective</w:t>
      </w:r>
      <w:r w:rsidRPr="009B6340">
        <w:t xml:space="preserve">s </w:t>
      </w:r>
      <w:r w:rsidRPr="00E54C11">
        <w:t>behin</w:t>
      </w:r>
      <w:r w:rsidRPr="009B6340">
        <w:t>d</w:t>
      </w:r>
      <w:r w:rsidRPr="00E54C11">
        <w:t xml:space="preserve"> </w:t>
      </w:r>
      <w:r w:rsidRPr="009B6340">
        <w:t>a</w:t>
      </w:r>
      <w:r w:rsidRPr="00E54C11">
        <w:t xml:space="preserve"> </w:t>
      </w:r>
      <w:r w:rsidRPr="009B6340">
        <w:t>S</w:t>
      </w:r>
      <w:r w:rsidRPr="00E54C11">
        <w:t>A</w:t>
      </w:r>
      <w:r w:rsidRPr="009B6340">
        <w:t>S</w:t>
      </w:r>
      <w:r w:rsidRPr="00E54C11">
        <w:t xml:space="preserve"> i</w:t>
      </w:r>
      <w:r w:rsidRPr="009B6340">
        <w:t>s</w:t>
      </w:r>
      <w:r w:rsidRPr="00E54C11">
        <w:t xml:space="preserve"> t</w:t>
      </w:r>
      <w:r w:rsidRPr="009B6340">
        <w:t>o</w:t>
      </w:r>
      <w:r w:rsidRPr="00E54C11">
        <w:t xml:space="preserve"> </w:t>
      </w:r>
      <w:r w:rsidRPr="009B6340">
        <w:t xml:space="preserve">ensure any patient removed under the violent patient regulations have access to essential and additional </w:t>
      </w:r>
      <w:r w:rsidRPr="00E54C11">
        <w:t>medica</w:t>
      </w:r>
      <w:r w:rsidRPr="009B6340">
        <w:t>l</w:t>
      </w:r>
      <w:r w:rsidRPr="00E54C11">
        <w:t xml:space="preserve"> se</w:t>
      </w:r>
      <w:r w:rsidRPr="009B6340">
        <w:t>r</w:t>
      </w:r>
      <w:r w:rsidRPr="00E54C11">
        <w:t>vices</w:t>
      </w:r>
      <w:r>
        <w:t xml:space="preserve">. Also, </w:t>
      </w:r>
      <w:r w:rsidRPr="00E54C11">
        <w:t xml:space="preserve"> to communicat</w:t>
      </w:r>
      <w:r w:rsidRPr="00E77F77">
        <w:t>e</w:t>
      </w:r>
      <w:r w:rsidRPr="00E54C11">
        <w:t xml:space="preserve"> behaviou</w:t>
      </w:r>
      <w:r w:rsidRPr="00E77F77">
        <w:t>r</w:t>
      </w:r>
      <w:r w:rsidRPr="00E54C11">
        <w:t>a</w:t>
      </w:r>
      <w:r w:rsidRPr="00E77F77">
        <w:t>l</w:t>
      </w:r>
      <w:r w:rsidRPr="00E54C11">
        <w:t xml:space="preserve"> expectation</w:t>
      </w:r>
      <w:r w:rsidRPr="00E77F77">
        <w:t>s</w:t>
      </w:r>
      <w:r w:rsidRPr="00E54C11">
        <w:t xml:space="preserve"> t</w:t>
      </w:r>
      <w:r w:rsidRPr="00E77F77">
        <w:t xml:space="preserve">o </w:t>
      </w:r>
      <w:r w:rsidRPr="00E54C11">
        <w:t>patient</w:t>
      </w:r>
      <w:r w:rsidRPr="00E77F77">
        <w:t xml:space="preserve">s </w:t>
      </w:r>
      <w:r w:rsidRPr="00E54C11">
        <w:t>an</w:t>
      </w:r>
      <w:r w:rsidRPr="00E77F77">
        <w:t>d</w:t>
      </w:r>
      <w:r w:rsidRPr="00E54C11">
        <w:t xml:space="preserve"> educat</w:t>
      </w:r>
      <w:r w:rsidRPr="00E77F77">
        <w:t>e</w:t>
      </w:r>
      <w:r w:rsidRPr="00E54C11">
        <w:t xml:space="preserve"> the</w:t>
      </w:r>
      <w:r w:rsidRPr="00E77F77">
        <w:t>m</w:t>
      </w:r>
      <w:r w:rsidRPr="00E54C11">
        <w:t xml:space="preserve"> t</w:t>
      </w:r>
      <w:r w:rsidRPr="00E77F77">
        <w:t>o</w:t>
      </w:r>
      <w:r w:rsidRPr="00E54C11">
        <w:t xml:space="preserve"> behav</w:t>
      </w:r>
      <w:r w:rsidRPr="00E77F77">
        <w:t>e</w:t>
      </w:r>
      <w:r w:rsidRPr="00E54C11">
        <w:t xml:space="preserve"> </w:t>
      </w:r>
      <w:r w:rsidRPr="00E77F77">
        <w:t>r</w:t>
      </w:r>
      <w:r w:rsidRPr="00E54C11">
        <w:t>esponsibl</w:t>
      </w:r>
      <w:r w:rsidRPr="00E77F77">
        <w:t>y</w:t>
      </w:r>
      <w:r w:rsidRPr="00E54C11">
        <w:t xml:space="preserve"> whe</w:t>
      </w:r>
      <w:r w:rsidRPr="00E77F77">
        <w:t>r</w:t>
      </w:r>
      <w:r w:rsidRPr="00E54C11">
        <w:t>eve</w:t>
      </w:r>
      <w:r w:rsidRPr="00E77F77">
        <w:t>r</w:t>
      </w:r>
      <w:r w:rsidRPr="00E54C11">
        <w:t xml:space="preserve"> possible</w:t>
      </w:r>
      <w:r w:rsidRPr="00E77F77">
        <w:t>,</w:t>
      </w:r>
      <w:r w:rsidRPr="00E54C11">
        <w:t xml:space="preserve"> whil</w:t>
      </w:r>
      <w:r w:rsidRPr="00E77F77">
        <w:t>e</w:t>
      </w:r>
      <w:r w:rsidRPr="00E54C11">
        <w:t xml:space="preserve"> a</w:t>
      </w:r>
      <w:r w:rsidRPr="00E77F77">
        <w:t xml:space="preserve">t </w:t>
      </w:r>
      <w:r w:rsidRPr="00E54C11">
        <w:t>th</w:t>
      </w:r>
      <w:r w:rsidRPr="00E77F77">
        <w:t>e</w:t>
      </w:r>
      <w:r w:rsidRPr="00E54C11">
        <w:t xml:space="preserve"> sam</w:t>
      </w:r>
      <w:r w:rsidRPr="00E77F77">
        <w:t>e</w:t>
      </w:r>
      <w:r w:rsidRPr="00E54C11">
        <w:t xml:space="preserve"> tim</w:t>
      </w:r>
      <w:r w:rsidRPr="00E77F77">
        <w:t>e</w:t>
      </w:r>
      <w:r w:rsidRPr="00E54C11">
        <w:t xml:space="preserve"> minimisin</w:t>
      </w:r>
      <w:r w:rsidRPr="00E77F77">
        <w:t>g</w:t>
      </w:r>
      <w:r w:rsidRPr="00E54C11">
        <w:t xml:space="preserve"> th</w:t>
      </w:r>
      <w:r w:rsidRPr="00E77F77">
        <w:t>e</w:t>
      </w:r>
      <w:r w:rsidRPr="00E54C11">
        <w:t xml:space="preserve"> </w:t>
      </w:r>
      <w:r w:rsidRPr="00E77F77">
        <w:t>r</w:t>
      </w:r>
      <w:r w:rsidRPr="00E54C11">
        <w:t>isk</w:t>
      </w:r>
      <w:r w:rsidRPr="00E77F77">
        <w:t>s</w:t>
      </w:r>
      <w:r w:rsidRPr="00E54C11">
        <w:t xml:space="preserve"> t</w:t>
      </w:r>
      <w:r w:rsidRPr="00E77F77">
        <w:t>o</w:t>
      </w:r>
      <w:r w:rsidRPr="00E54C11">
        <w:t xml:space="preserve"> th</w:t>
      </w:r>
      <w:r w:rsidRPr="00E77F77">
        <w:t>e</w:t>
      </w:r>
      <w:r w:rsidRPr="00E54C11">
        <w:t xml:space="preserve"> safet</w:t>
      </w:r>
      <w:r w:rsidRPr="00E77F77">
        <w:t>y</w:t>
      </w:r>
      <w:r w:rsidRPr="00E54C11">
        <w:t xml:space="preserve"> o</w:t>
      </w:r>
      <w:r w:rsidRPr="00E77F77">
        <w:t>f</w:t>
      </w:r>
      <w:r w:rsidRPr="00E54C11">
        <w:t xml:space="preserve"> healt</w:t>
      </w:r>
      <w:r w:rsidRPr="00E77F77">
        <w:t>h</w:t>
      </w:r>
      <w:r w:rsidRPr="00E54C11">
        <w:t xml:space="preserve"> p</w:t>
      </w:r>
      <w:r w:rsidRPr="00E77F77">
        <w:t>r</w:t>
      </w:r>
      <w:r w:rsidRPr="00E54C11">
        <w:t>ofessional</w:t>
      </w:r>
      <w:r w:rsidRPr="00E77F77">
        <w:t xml:space="preserve">s </w:t>
      </w:r>
      <w:r w:rsidRPr="00E54C11">
        <w:t>an</w:t>
      </w:r>
      <w:r w:rsidRPr="00E77F77">
        <w:t>d</w:t>
      </w:r>
      <w:r w:rsidRPr="00E54C11">
        <w:t xml:space="preserve"> othe</w:t>
      </w:r>
      <w:r w:rsidRPr="00E77F77">
        <w:t>r</w:t>
      </w:r>
      <w:r w:rsidRPr="00E54C11">
        <w:t>s</w:t>
      </w:r>
      <w:r w:rsidRPr="00E77F77">
        <w:t>.</w:t>
      </w:r>
    </w:p>
    <w:p w14:paraId="39D4F15E" w14:textId="77777777" w:rsidR="008F7BB3" w:rsidRPr="00E54C11" w:rsidRDefault="008F7BB3" w:rsidP="008F7BB3">
      <w:pPr>
        <w:pStyle w:val="Heading3"/>
        <w:rPr>
          <w:b/>
        </w:rPr>
      </w:pPr>
      <w:bookmarkStart w:id="517" w:name="_Toc483740426"/>
      <w:r>
        <w:rPr>
          <w:b/>
        </w:rPr>
        <w:t>Types of</w:t>
      </w:r>
      <w:r w:rsidRPr="00E54C11">
        <w:rPr>
          <w:b/>
        </w:rPr>
        <w:t xml:space="preserve"> behaviour </w:t>
      </w:r>
      <w:r>
        <w:rPr>
          <w:b/>
        </w:rPr>
        <w:t>covered by this guidance</w:t>
      </w:r>
      <w:r w:rsidRPr="00D554A9">
        <w:rPr>
          <w:b/>
        </w:rPr>
        <w:t>?</w:t>
      </w:r>
      <w:bookmarkEnd w:id="517"/>
    </w:p>
    <w:p w14:paraId="393C7A4A" w14:textId="77777777" w:rsidR="008F7BB3" w:rsidRPr="00E77F77" w:rsidRDefault="008F7BB3" w:rsidP="008F7BB3">
      <w:pPr>
        <w:pStyle w:val="Heading4"/>
      </w:pPr>
      <w:r w:rsidRPr="00E54C11">
        <w:lastRenderedPageBreak/>
        <w:t>Th</w:t>
      </w:r>
      <w:r w:rsidRPr="00E77F77">
        <w:t>e</w:t>
      </w:r>
      <w:r w:rsidRPr="00E54C11">
        <w:t xml:space="preserve"> Healt</w:t>
      </w:r>
      <w:r w:rsidRPr="00E77F77">
        <w:t>h</w:t>
      </w:r>
      <w:r w:rsidRPr="00E54C11">
        <w:t xml:space="preserve"> Ci</w:t>
      </w:r>
      <w:r w:rsidRPr="00E77F77">
        <w:t>r</w:t>
      </w:r>
      <w:r w:rsidRPr="00E54C11">
        <w:t>cula</w:t>
      </w:r>
      <w:r w:rsidRPr="00E77F77">
        <w:t>r</w:t>
      </w:r>
      <w:r w:rsidRPr="00E54C11">
        <w:t xml:space="preserve"> 2000/0</w:t>
      </w:r>
      <w:r w:rsidRPr="00E77F77">
        <w:t>1</w:t>
      </w:r>
      <w:r w:rsidRPr="00E54C11">
        <w:t xml:space="preserve"> define</w:t>
      </w:r>
      <w:r w:rsidRPr="00E77F77">
        <w:t>d</w:t>
      </w:r>
      <w:r w:rsidRPr="00E54C11">
        <w:t xml:space="preserve"> violenc</w:t>
      </w:r>
      <w:r w:rsidRPr="00E77F77">
        <w:t>e</w:t>
      </w:r>
      <w:r w:rsidRPr="00E54C11">
        <w:t xml:space="preserve"> i</w:t>
      </w:r>
      <w:r w:rsidRPr="00E77F77">
        <w:t>n</w:t>
      </w:r>
      <w:r w:rsidRPr="00E54C11">
        <w:t xml:space="preserve"> th</w:t>
      </w:r>
      <w:r w:rsidRPr="00E77F77">
        <w:t>e</w:t>
      </w:r>
      <w:r w:rsidRPr="00E54C11">
        <w:t xml:space="preserve"> p</w:t>
      </w:r>
      <w:r w:rsidRPr="00E77F77">
        <w:t>r</w:t>
      </w:r>
      <w:r w:rsidRPr="00E54C11">
        <w:t>ima</w:t>
      </w:r>
      <w:r w:rsidRPr="00E77F77">
        <w:t>ry</w:t>
      </w:r>
      <w:r w:rsidRPr="00E54C11">
        <w:t xml:space="preserve"> ca</w:t>
      </w:r>
      <w:r w:rsidRPr="00E77F77">
        <w:t xml:space="preserve">re </w:t>
      </w:r>
      <w:r w:rsidRPr="00E54C11">
        <w:t>contex</w:t>
      </w:r>
      <w:r w:rsidRPr="00E77F77">
        <w:t>t</w:t>
      </w:r>
      <w:r w:rsidRPr="00E54C11">
        <w:t xml:space="preserve"> as</w:t>
      </w:r>
      <w:r w:rsidRPr="00E77F77">
        <w:t>:</w:t>
      </w:r>
    </w:p>
    <w:p w14:paraId="602C4C3C" w14:textId="77777777" w:rsidR="008F7BB3" w:rsidRPr="00474846" w:rsidRDefault="008F7BB3" w:rsidP="008F7BB3">
      <w:pPr>
        <w:pStyle w:val="Heading4"/>
      </w:pPr>
      <w:r w:rsidRPr="00474846">
        <w:rPr>
          <w:i/>
        </w:rPr>
        <w:t>“A</w:t>
      </w:r>
      <w:r w:rsidRPr="00E54C11">
        <w:rPr>
          <w:i/>
        </w:rPr>
        <w:t>n</w:t>
      </w:r>
      <w:r w:rsidRPr="00474846">
        <w:rPr>
          <w:i/>
        </w:rPr>
        <w:t>y</w:t>
      </w:r>
      <w:r w:rsidRPr="00E54C11">
        <w:rPr>
          <w:i/>
        </w:rPr>
        <w:t xml:space="preserve"> inciden</w:t>
      </w:r>
      <w:r w:rsidRPr="00474846">
        <w:rPr>
          <w:i/>
        </w:rPr>
        <w:t>t</w:t>
      </w:r>
      <w:r w:rsidRPr="00E54C11">
        <w:rPr>
          <w:i/>
        </w:rPr>
        <w:t xml:space="preserve"> whe</w:t>
      </w:r>
      <w:r w:rsidRPr="00474846">
        <w:rPr>
          <w:i/>
        </w:rPr>
        <w:t>re</w:t>
      </w:r>
      <w:r w:rsidRPr="00E54C11">
        <w:rPr>
          <w:i/>
        </w:rPr>
        <w:t xml:space="preserve"> </w:t>
      </w:r>
      <w:r w:rsidRPr="00474846">
        <w:rPr>
          <w:i/>
        </w:rPr>
        <w:t>a</w:t>
      </w:r>
      <w:r w:rsidRPr="00E54C11">
        <w:rPr>
          <w:i/>
        </w:rPr>
        <w:t xml:space="preserve"> G</w:t>
      </w:r>
      <w:r w:rsidRPr="00474846">
        <w:rPr>
          <w:i/>
        </w:rPr>
        <w:t>P,</w:t>
      </w:r>
      <w:r w:rsidRPr="00E54C11">
        <w:rPr>
          <w:i/>
        </w:rPr>
        <w:t xml:space="preserve"> o</w:t>
      </w:r>
      <w:r w:rsidRPr="00474846">
        <w:rPr>
          <w:i/>
        </w:rPr>
        <w:t>r</w:t>
      </w:r>
      <w:r w:rsidRPr="00E54C11">
        <w:rPr>
          <w:i/>
        </w:rPr>
        <w:t xml:space="preserve"> hi</w:t>
      </w:r>
      <w:r w:rsidRPr="00474846">
        <w:rPr>
          <w:i/>
        </w:rPr>
        <w:t>s</w:t>
      </w:r>
      <w:r w:rsidRPr="00E54C11">
        <w:rPr>
          <w:i/>
        </w:rPr>
        <w:t xml:space="preserve"> o</w:t>
      </w:r>
      <w:r w:rsidRPr="00474846">
        <w:rPr>
          <w:i/>
        </w:rPr>
        <w:t>r</w:t>
      </w:r>
      <w:r w:rsidRPr="00E54C11">
        <w:rPr>
          <w:i/>
        </w:rPr>
        <w:t xml:space="preserve"> he</w:t>
      </w:r>
      <w:r w:rsidRPr="00474846">
        <w:rPr>
          <w:i/>
        </w:rPr>
        <w:t>r</w:t>
      </w:r>
      <w:r w:rsidRPr="00E54C11">
        <w:rPr>
          <w:i/>
        </w:rPr>
        <w:t xml:space="preserve"> staff</w:t>
      </w:r>
      <w:r w:rsidRPr="00474846">
        <w:rPr>
          <w:i/>
        </w:rPr>
        <w:t>,</w:t>
      </w:r>
      <w:r w:rsidRPr="00E54C11">
        <w:rPr>
          <w:i/>
        </w:rPr>
        <w:t xml:space="preserve"> a</w:t>
      </w:r>
      <w:r w:rsidRPr="00474846">
        <w:rPr>
          <w:i/>
        </w:rPr>
        <w:t>re</w:t>
      </w:r>
      <w:r w:rsidRPr="00E54C11">
        <w:rPr>
          <w:i/>
        </w:rPr>
        <w:t xml:space="preserve"> abused</w:t>
      </w:r>
      <w:r w:rsidRPr="00474846">
        <w:rPr>
          <w:i/>
        </w:rPr>
        <w:t>,</w:t>
      </w:r>
      <w:r w:rsidRPr="00E54C11">
        <w:rPr>
          <w:i/>
        </w:rPr>
        <w:t xml:space="preserve"> th</w:t>
      </w:r>
      <w:r w:rsidRPr="00474846">
        <w:rPr>
          <w:i/>
        </w:rPr>
        <w:t>r</w:t>
      </w:r>
      <w:r w:rsidRPr="00E54C11">
        <w:rPr>
          <w:i/>
        </w:rPr>
        <w:t>eatene</w:t>
      </w:r>
      <w:r w:rsidRPr="00474846">
        <w:rPr>
          <w:i/>
        </w:rPr>
        <w:t>d</w:t>
      </w:r>
      <w:r w:rsidRPr="00E54C11">
        <w:rPr>
          <w:i/>
        </w:rPr>
        <w:t xml:space="preserve"> o</w:t>
      </w:r>
      <w:r w:rsidRPr="00474846">
        <w:rPr>
          <w:i/>
        </w:rPr>
        <w:t xml:space="preserve">r </w:t>
      </w:r>
      <w:r w:rsidRPr="00E54C11">
        <w:rPr>
          <w:i/>
        </w:rPr>
        <w:t>assaulte</w:t>
      </w:r>
      <w:r w:rsidRPr="00474846">
        <w:rPr>
          <w:i/>
        </w:rPr>
        <w:t>d</w:t>
      </w:r>
      <w:r w:rsidRPr="00E54C11">
        <w:rPr>
          <w:i/>
        </w:rPr>
        <w:t xml:space="preserve"> i</w:t>
      </w:r>
      <w:r w:rsidRPr="00474846">
        <w:rPr>
          <w:i/>
        </w:rPr>
        <w:t>n</w:t>
      </w:r>
      <w:r w:rsidRPr="00E54C11">
        <w:rPr>
          <w:i/>
        </w:rPr>
        <w:t xml:space="preserve"> ci</w:t>
      </w:r>
      <w:r w:rsidRPr="00474846">
        <w:rPr>
          <w:i/>
        </w:rPr>
        <w:t>r</w:t>
      </w:r>
      <w:r w:rsidRPr="00E54C11">
        <w:rPr>
          <w:i/>
        </w:rPr>
        <w:t>cumstance</w:t>
      </w:r>
      <w:r w:rsidRPr="00474846">
        <w:rPr>
          <w:i/>
        </w:rPr>
        <w:t>s</w:t>
      </w:r>
      <w:r w:rsidRPr="00E54C11">
        <w:rPr>
          <w:i/>
        </w:rPr>
        <w:t xml:space="preserve"> </w:t>
      </w:r>
      <w:r w:rsidRPr="00474846">
        <w:rPr>
          <w:i/>
        </w:rPr>
        <w:t>r</w:t>
      </w:r>
      <w:r w:rsidRPr="00E54C11">
        <w:rPr>
          <w:i/>
        </w:rPr>
        <w:t>elate</w:t>
      </w:r>
      <w:r w:rsidRPr="00474846">
        <w:rPr>
          <w:i/>
        </w:rPr>
        <w:t>d</w:t>
      </w:r>
      <w:r w:rsidRPr="00E54C11">
        <w:rPr>
          <w:i/>
        </w:rPr>
        <w:t xml:space="preserve"> t</w:t>
      </w:r>
      <w:r w:rsidRPr="00474846">
        <w:rPr>
          <w:i/>
        </w:rPr>
        <w:t>o</w:t>
      </w:r>
      <w:r w:rsidRPr="00E54C11">
        <w:rPr>
          <w:i/>
        </w:rPr>
        <w:t xml:space="preserve"> thei</w:t>
      </w:r>
      <w:r w:rsidRPr="00474846">
        <w:rPr>
          <w:i/>
        </w:rPr>
        <w:t>r</w:t>
      </w:r>
      <w:r w:rsidRPr="00E54C11">
        <w:rPr>
          <w:i/>
        </w:rPr>
        <w:t xml:space="preserve"> wo</w:t>
      </w:r>
      <w:r w:rsidRPr="00474846">
        <w:rPr>
          <w:i/>
        </w:rPr>
        <w:t>r</w:t>
      </w:r>
      <w:r w:rsidRPr="00E54C11">
        <w:rPr>
          <w:i/>
        </w:rPr>
        <w:t>k</w:t>
      </w:r>
      <w:r w:rsidRPr="00474846">
        <w:rPr>
          <w:i/>
        </w:rPr>
        <w:t>,</w:t>
      </w:r>
      <w:r w:rsidRPr="00E54C11">
        <w:rPr>
          <w:i/>
        </w:rPr>
        <w:t xml:space="preserve"> involvin</w:t>
      </w:r>
      <w:r w:rsidRPr="00474846">
        <w:rPr>
          <w:i/>
        </w:rPr>
        <w:t>g</w:t>
      </w:r>
      <w:r w:rsidRPr="00E54C11">
        <w:rPr>
          <w:i/>
        </w:rPr>
        <w:t xml:space="preserve"> a</w:t>
      </w:r>
      <w:r w:rsidRPr="00474846">
        <w:rPr>
          <w:i/>
        </w:rPr>
        <w:t>n</w:t>
      </w:r>
      <w:r w:rsidRPr="00E54C11">
        <w:rPr>
          <w:i/>
        </w:rPr>
        <w:t xml:space="preserve"> explicit</w:t>
      </w:r>
      <w:r w:rsidRPr="00474846">
        <w:rPr>
          <w:i/>
        </w:rPr>
        <w:t>,</w:t>
      </w:r>
      <w:r w:rsidRPr="00E54C11">
        <w:rPr>
          <w:i/>
        </w:rPr>
        <w:t xml:space="preserve"> o</w:t>
      </w:r>
      <w:r w:rsidRPr="00474846">
        <w:rPr>
          <w:i/>
        </w:rPr>
        <w:t xml:space="preserve">r </w:t>
      </w:r>
      <w:r w:rsidRPr="00E54C11">
        <w:rPr>
          <w:i/>
        </w:rPr>
        <w:t>implicit</w:t>
      </w:r>
      <w:r w:rsidRPr="00474846">
        <w:rPr>
          <w:i/>
        </w:rPr>
        <w:t>,</w:t>
      </w:r>
      <w:r w:rsidRPr="00E54C11">
        <w:rPr>
          <w:i/>
        </w:rPr>
        <w:t xml:space="preserve"> challeng</w:t>
      </w:r>
      <w:r w:rsidRPr="00474846">
        <w:rPr>
          <w:i/>
        </w:rPr>
        <w:t>e</w:t>
      </w:r>
      <w:r w:rsidRPr="00E54C11">
        <w:rPr>
          <w:i/>
        </w:rPr>
        <w:t xml:space="preserve"> t</w:t>
      </w:r>
      <w:r w:rsidRPr="00474846">
        <w:rPr>
          <w:i/>
        </w:rPr>
        <w:t>o</w:t>
      </w:r>
      <w:r w:rsidRPr="00E54C11">
        <w:rPr>
          <w:i/>
        </w:rPr>
        <w:t xml:space="preserve"> thei</w:t>
      </w:r>
      <w:r w:rsidRPr="00474846">
        <w:rPr>
          <w:i/>
        </w:rPr>
        <w:t>r</w:t>
      </w:r>
      <w:r w:rsidRPr="00E54C11">
        <w:rPr>
          <w:i/>
        </w:rPr>
        <w:t xml:space="preserve"> safety</w:t>
      </w:r>
      <w:r w:rsidRPr="00474846">
        <w:rPr>
          <w:i/>
        </w:rPr>
        <w:t>,</w:t>
      </w:r>
      <w:r w:rsidRPr="00E54C11">
        <w:rPr>
          <w:i/>
        </w:rPr>
        <w:t xml:space="preserve"> wellbeing</w:t>
      </w:r>
      <w:r w:rsidRPr="00474846">
        <w:rPr>
          <w:i/>
        </w:rPr>
        <w:t xml:space="preserve">, </w:t>
      </w:r>
      <w:r w:rsidRPr="00E54C11">
        <w:rPr>
          <w:i/>
        </w:rPr>
        <w:t>o</w:t>
      </w:r>
      <w:r w:rsidRPr="00474846">
        <w:rPr>
          <w:i/>
        </w:rPr>
        <w:t>r</w:t>
      </w:r>
      <w:r w:rsidRPr="00E54C11">
        <w:rPr>
          <w:i/>
        </w:rPr>
        <w:t xml:space="preserve"> health”</w:t>
      </w:r>
      <w:r w:rsidRPr="00474846">
        <w:t>.</w:t>
      </w:r>
    </w:p>
    <w:p w14:paraId="1E759475" w14:textId="77777777" w:rsidR="008F7BB3" w:rsidRDefault="008F7BB3" w:rsidP="008F7BB3">
      <w:pPr>
        <w:pStyle w:val="Heading4"/>
      </w:pPr>
      <w:r>
        <w:rPr>
          <w:spacing w:val="-3"/>
        </w:rPr>
        <w:t>T</w:t>
      </w:r>
      <w:r>
        <w:rPr>
          <w:spacing w:val="-6"/>
        </w:rPr>
        <w:t>h</w:t>
      </w:r>
      <w:r>
        <w:t>e</w:t>
      </w:r>
      <w:r>
        <w:rPr>
          <w:spacing w:val="4"/>
        </w:rPr>
        <w:t xml:space="preserve"> </w:t>
      </w:r>
      <w:r>
        <w:rPr>
          <w:spacing w:val="8"/>
        </w:rPr>
        <w:t>m</w:t>
      </w:r>
      <w:r>
        <w:rPr>
          <w:spacing w:val="-6"/>
        </w:rPr>
        <w:t>ai</w:t>
      </w:r>
      <w:r>
        <w:t>n</w:t>
      </w:r>
      <w:r>
        <w:rPr>
          <w:spacing w:val="6"/>
        </w:rPr>
        <w:t xml:space="preserve"> </w:t>
      </w:r>
      <w:r>
        <w:rPr>
          <w:spacing w:val="-8"/>
        </w:rPr>
        <w:t>k</w:t>
      </w:r>
      <w:r>
        <w:rPr>
          <w:spacing w:val="-6"/>
        </w:rPr>
        <w:t>ind</w:t>
      </w:r>
      <w:r>
        <w:t>s</w:t>
      </w:r>
      <w:r>
        <w:rPr>
          <w:spacing w:val="19"/>
        </w:rPr>
        <w:t xml:space="preserve"> </w:t>
      </w:r>
      <w:r>
        <w:rPr>
          <w:spacing w:val="-6"/>
        </w:rPr>
        <w:t>o</w:t>
      </w:r>
      <w:r>
        <w:t>f</w:t>
      </w:r>
      <w:r>
        <w:rPr>
          <w:spacing w:val="7"/>
        </w:rPr>
        <w:t xml:space="preserve"> </w:t>
      </w:r>
      <w:r>
        <w:rPr>
          <w:spacing w:val="-6"/>
        </w:rPr>
        <w:t>beha</w:t>
      </w:r>
      <w:r>
        <w:rPr>
          <w:spacing w:val="-8"/>
        </w:rPr>
        <w:t>v</w:t>
      </w:r>
      <w:r>
        <w:rPr>
          <w:spacing w:val="-6"/>
        </w:rPr>
        <w:t>iou</w:t>
      </w:r>
      <w:r>
        <w:t>r</w:t>
      </w:r>
      <w:r>
        <w:rPr>
          <w:spacing w:val="10"/>
        </w:rPr>
        <w:t xml:space="preserve"> </w:t>
      </w:r>
      <w:r>
        <w:rPr>
          <w:spacing w:val="2"/>
        </w:rPr>
        <w:t>w</w:t>
      </w:r>
      <w:r>
        <w:rPr>
          <w:spacing w:val="-6"/>
        </w:rPr>
        <w:t>hi</w:t>
      </w:r>
      <w:r>
        <w:rPr>
          <w:spacing w:val="7"/>
        </w:rPr>
        <w:t>c</w:t>
      </w:r>
      <w:r>
        <w:t>h</w:t>
      </w:r>
      <w:r>
        <w:rPr>
          <w:spacing w:val="4"/>
        </w:rPr>
        <w:t xml:space="preserve"> are considered to </w:t>
      </w:r>
      <w:r>
        <w:rPr>
          <w:spacing w:val="-6"/>
        </w:rPr>
        <w:t>b</w:t>
      </w:r>
      <w:r>
        <w:t>r</w:t>
      </w:r>
      <w:r>
        <w:rPr>
          <w:spacing w:val="-6"/>
        </w:rPr>
        <w:t>in</w:t>
      </w:r>
      <w:r>
        <w:t xml:space="preserve">g </w:t>
      </w:r>
      <w:r>
        <w:rPr>
          <w:spacing w:val="4"/>
        </w:rPr>
        <w:t xml:space="preserve"> </w:t>
      </w:r>
      <w:r>
        <w:t>a</w:t>
      </w:r>
      <w:r>
        <w:rPr>
          <w:spacing w:val="54"/>
        </w:rPr>
        <w:t xml:space="preserve"> </w:t>
      </w:r>
      <w:r>
        <w:rPr>
          <w:spacing w:val="-6"/>
        </w:rPr>
        <w:t>pa</w:t>
      </w:r>
      <w:r>
        <w:rPr>
          <w:spacing w:val="-3"/>
        </w:rPr>
        <w:t>t</w:t>
      </w:r>
      <w:r>
        <w:rPr>
          <w:spacing w:val="-6"/>
        </w:rPr>
        <w:t>ien</w:t>
      </w:r>
      <w:r>
        <w:t>t</w:t>
      </w:r>
      <w:r>
        <w:rPr>
          <w:spacing w:val="58"/>
        </w:rPr>
        <w:t xml:space="preserve"> </w:t>
      </w:r>
      <w:r>
        <w:rPr>
          <w:spacing w:val="2"/>
        </w:rPr>
        <w:t>w</w:t>
      </w:r>
      <w:r>
        <w:rPr>
          <w:spacing w:val="-6"/>
        </w:rPr>
        <w:t>i</w:t>
      </w:r>
      <w:r>
        <w:rPr>
          <w:spacing w:val="-3"/>
        </w:rPr>
        <w:t>t</w:t>
      </w:r>
      <w:r>
        <w:rPr>
          <w:spacing w:val="-6"/>
        </w:rPr>
        <w:t>hi</w:t>
      </w:r>
      <w:r>
        <w:t>n</w:t>
      </w:r>
      <w:r>
        <w:rPr>
          <w:spacing w:val="55"/>
        </w:rPr>
        <w:t xml:space="preserve"> </w:t>
      </w:r>
      <w:r>
        <w:rPr>
          <w:spacing w:val="-3"/>
        </w:rPr>
        <w:t>t</w:t>
      </w:r>
      <w:r>
        <w:rPr>
          <w:spacing w:val="-6"/>
        </w:rPr>
        <w:t>h</w:t>
      </w:r>
      <w:r>
        <w:t xml:space="preserve">e regulations covered by this guidance </w:t>
      </w:r>
      <w:r>
        <w:rPr>
          <w:spacing w:val="-6"/>
        </w:rPr>
        <w:t>a</w:t>
      </w:r>
      <w:r>
        <w:t>r</w:t>
      </w:r>
      <w:r>
        <w:rPr>
          <w:spacing w:val="-6"/>
        </w:rPr>
        <w:t>e (the</w:t>
      </w:r>
      <w:r>
        <w:rPr>
          <w:spacing w:val="7"/>
        </w:rPr>
        <w:t>s</w:t>
      </w:r>
      <w:r>
        <w:t>e</w:t>
      </w:r>
      <w:r>
        <w:rPr>
          <w:spacing w:val="39"/>
        </w:rPr>
        <w:t xml:space="preserve"> </w:t>
      </w:r>
      <w:r>
        <w:rPr>
          <w:spacing w:val="-6"/>
        </w:rPr>
        <w:t>a</w:t>
      </w:r>
      <w:r>
        <w:t>re</w:t>
      </w:r>
      <w:r>
        <w:rPr>
          <w:spacing w:val="40"/>
        </w:rPr>
        <w:t xml:space="preserve"> </w:t>
      </w:r>
      <w:r>
        <w:rPr>
          <w:spacing w:val="-6"/>
        </w:rPr>
        <w:t>onl</w:t>
      </w:r>
      <w:r>
        <w:t>y</w:t>
      </w:r>
      <w:r>
        <w:rPr>
          <w:spacing w:val="36"/>
        </w:rPr>
        <w:t xml:space="preserve"> </w:t>
      </w:r>
      <w:r>
        <w:rPr>
          <w:spacing w:val="-6"/>
        </w:rPr>
        <w:t>in</w:t>
      </w:r>
      <w:r>
        <w:rPr>
          <w:spacing w:val="-3"/>
        </w:rPr>
        <w:t>t</w:t>
      </w:r>
      <w:r>
        <w:rPr>
          <w:spacing w:val="-6"/>
        </w:rPr>
        <w:t>ende</w:t>
      </w:r>
      <w:r>
        <w:t>d</w:t>
      </w:r>
      <w:r>
        <w:rPr>
          <w:spacing w:val="39"/>
        </w:rPr>
        <w:t xml:space="preserve"> </w:t>
      </w:r>
      <w:r>
        <w:rPr>
          <w:spacing w:val="-3"/>
        </w:rPr>
        <w:t>t</w:t>
      </w:r>
      <w:r>
        <w:t>o</w:t>
      </w:r>
      <w:r>
        <w:rPr>
          <w:spacing w:val="39"/>
        </w:rPr>
        <w:t xml:space="preserve"> </w:t>
      </w:r>
      <w:r>
        <w:rPr>
          <w:spacing w:val="-6"/>
        </w:rPr>
        <w:t>b</w:t>
      </w:r>
      <w:r>
        <w:t>e</w:t>
      </w:r>
      <w:r>
        <w:rPr>
          <w:spacing w:val="39"/>
        </w:rPr>
        <w:t xml:space="preserve"> </w:t>
      </w:r>
      <w:r>
        <w:rPr>
          <w:spacing w:val="-6"/>
        </w:rPr>
        <w:t>u</w:t>
      </w:r>
      <w:r>
        <w:rPr>
          <w:spacing w:val="7"/>
        </w:rPr>
        <w:t>s</w:t>
      </w:r>
      <w:r>
        <w:rPr>
          <w:spacing w:val="-6"/>
        </w:rPr>
        <w:t>e</w:t>
      </w:r>
      <w:r>
        <w:t>d</w:t>
      </w:r>
      <w:r>
        <w:rPr>
          <w:spacing w:val="38"/>
        </w:rPr>
        <w:t xml:space="preserve"> </w:t>
      </w:r>
      <w:r>
        <w:rPr>
          <w:spacing w:val="-6"/>
        </w:rPr>
        <w:t>a</w:t>
      </w:r>
      <w:r>
        <w:t>s</w:t>
      </w:r>
      <w:r>
        <w:rPr>
          <w:spacing w:val="53"/>
        </w:rPr>
        <w:t xml:space="preserve"> </w:t>
      </w:r>
      <w:r>
        <w:t>a</w:t>
      </w:r>
      <w:r>
        <w:rPr>
          <w:spacing w:val="39"/>
        </w:rPr>
        <w:t xml:space="preserve"> </w:t>
      </w:r>
      <w:r>
        <w:rPr>
          <w:spacing w:val="-6"/>
        </w:rPr>
        <w:t>guid</w:t>
      </w:r>
      <w:r>
        <w:t>e</w:t>
      </w:r>
      <w:r>
        <w:rPr>
          <w:spacing w:val="38"/>
        </w:rPr>
        <w:t xml:space="preserve"> </w:t>
      </w:r>
      <w:r>
        <w:rPr>
          <w:spacing w:val="-6"/>
        </w:rPr>
        <w:t>an</w:t>
      </w:r>
      <w:r>
        <w:t xml:space="preserve">d </w:t>
      </w:r>
      <w:r>
        <w:rPr>
          <w:spacing w:val="-3"/>
        </w:rPr>
        <w:t>t</w:t>
      </w:r>
      <w:r>
        <w:rPr>
          <w:spacing w:val="-6"/>
        </w:rPr>
        <w:t>he</w:t>
      </w:r>
      <w:r>
        <w:t>r</w:t>
      </w:r>
      <w:r>
        <w:rPr>
          <w:spacing w:val="-6"/>
        </w:rPr>
        <w:t>e</w:t>
      </w:r>
      <w:r>
        <w:rPr>
          <w:spacing w:val="-3"/>
        </w:rPr>
        <w:t>f</w:t>
      </w:r>
      <w:r>
        <w:rPr>
          <w:spacing w:val="-6"/>
        </w:rPr>
        <w:t>o</w:t>
      </w:r>
      <w:r>
        <w:rPr>
          <w:spacing w:val="1"/>
        </w:rPr>
        <w:t>r</w:t>
      </w:r>
      <w:r>
        <w:t>e</w:t>
      </w:r>
      <w:r>
        <w:rPr>
          <w:spacing w:val="23"/>
        </w:rPr>
        <w:t xml:space="preserve"> </w:t>
      </w:r>
      <w:r>
        <w:rPr>
          <w:spacing w:val="-3"/>
        </w:rPr>
        <w:t>t</w:t>
      </w:r>
      <w:r>
        <w:rPr>
          <w:spacing w:val="-6"/>
        </w:rPr>
        <w:t>h</w:t>
      </w:r>
      <w:r>
        <w:t>e</w:t>
      </w:r>
      <w:r>
        <w:rPr>
          <w:spacing w:val="7"/>
        </w:rPr>
        <w:t xml:space="preserve"> </w:t>
      </w:r>
      <w:r>
        <w:rPr>
          <w:spacing w:val="-6"/>
        </w:rPr>
        <w:t>li</w:t>
      </w:r>
      <w:r>
        <w:rPr>
          <w:spacing w:val="7"/>
        </w:rPr>
        <w:t>s</w:t>
      </w:r>
      <w:r>
        <w:t>t</w:t>
      </w:r>
      <w:r>
        <w:rPr>
          <w:spacing w:val="10"/>
        </w:rPr>
        <w:t xml:space="preserve"> </w:t>
      </w:r>
      <w:r>
        <w:rPr>
          <w:spacing w:val="-6"/>
        </w:rPr>
        <w:t>i</w:t>
      </w:r>
      <w:r>
        <w:t>s</w:t>
      </w:r>
      <w:r>
        <w:rPr>
          <w:spacing w:val="5"/>
        </w:rPr>
        <w:t xml:space="preserve"> </w:t>
      </w:r>
      <w:r>
        <w:rPr>
          <w:spacing w:val="-6"/>
        </w:rPr>
        <w:t>no</w:t>
      </w:r>
      <w:r>
        <w:t>t</w:t>
      </w:r>
      <w:r>
        <w:rPr>
          <w:spacing w:val="10"/>
        </w:rPr>
        <w:t xml:space="preserve"> </w:t>
      </w:r>
      <w:r>
        <w:rPr>
          <w:spacing w:val="-6"/>
        </w:rPr>
        <w:t>e</w:t>
      </w:r>
      <w:r>
        <w:rPr>
          <w:spacing w:val="-8"/>
        </w:rPr>
        <w:t>x</w:t>
      </w:r>
      <w:r>
        <w:rPr>
          <w:spacing w:val="-6"/>
        </w:rPr>
        <w:t>hau</w:t>
      </w:r>
      <w:r>
        <w:rPr>
          <w:spacing w:val="7"/>
        </w:rPr>
        <w:t>s</w:t>
      </w:r>
      <w:r>
        <w:rPr>
          <w:spacing w:val="-3"/>
        </w:rPr>
        <w:t>t</w:t>
      </w:r>
      <w:r>
        <w:rPr>
          <w:spacing w:val="-6"/>
        </w:rPr>
        <w:t>i</w:t>
      </w:r>
      <w:r>
        <w:rPr>
          <w:spacing w:val="-8"/>
        </w:rPr>
        <w:t>v</w:t>
      </w:r>
      <w:r>
        <w:t>e)</w:t>
      </w:r>
      <w:r w:rsidRPr="00E77F77">
        <w:t xml:space="preserve">:  </w:t>
      </w:r>
    </w:p>
    <w:p w14:paraId="1FCD0D3F" w14:textId="77777777" w:rsidR="008F7BB3" w:rsidRPr="00E54C11" w:rsidRDefault="008F7BB3" w:rsidP="008F7BB3">
      <w:pPr>
        <w:pStyle w:val="Heading3"/>
        <w:rPr>
          <w:b/>
        </w:rPr>
      </w:pPr>
      <w:r w:rsidRPr="00E54C11">
        <w:rPr>
          <w:b/>
        </w:rPr>
        <w:t xml:space="preserve">Assault </w:t>
      </w:r>
    </w:p>
    <w:p w14:paraId="1881DAF8" w14:textId="77777777" w:rsidR="008F7BB3" w:rsidRPr="00E77F77" w:rsidRDefault="008F7BB3" w:rsidP="008F7BB3">
      <w:pPr>
        <w:pStyle w:val="Heading4"/>
      </w:pPr>
      <w:r w:rsidRPr="00E54C11">
        <w:t>Fo</w:t>
      </w:r>
      <w:r w:rsidRPr="00E77F77">
        <w:t>r</w:t>
      </w:r>
      <w:r w:rsidRPr="00E54C11">
        <w:t xml:space="preserve"> a</w:t>
      </w:r>
      <w:r w:rsidRPr="00E77F77">
        <w:t>n</w:t>
      </w:r>
      <w:r w:rsidRPr="00E54C11">
        <w:t xml:space="preserve"> assaul</w:t>
      </w:r>
      <w:r w:rsidRPr="00E77F77">
        <w:t>t</w:t>
      </w:r>
      <w:r w:rsidRPr="00E54C11">
        <w:t xml:space="preserve"> t</w:t>
      </w:r>
      <w:r w:rsidRPr="00E77F77">
        <w:t>o</w:t>
      </w:r>
      <w:r w:rsidRPr="00E54C11">
        <w:t xml:space="preserve"> fal</w:t>
      </w:r>
      <w:r w:rsidRPr="00E77F77">
        <w:t>l</w:t>
      </w:r>
      <w:r w:rsidRPr="00E54C11">
        <w:t xml:space="preserve"> withi</w:t>
      </w:r>
      <w:r w:rsidRPr="00E77F77">
        <w:t>n</w:t>
      </w:r>
      <w:r w:rsidRPr="00E54C11">
        <w:t xml:space="preserve"> th</w:t>
      </w:r>
      <w:r w:rsidRPr="00E77F77">
        <w:t>e</w:t>
      </w:r>
      <w:r w:rsidRPr="00E54C11">
        <w:t xml:space="preserve"> scop</w:t>
      </w:r>
      <w:r w:rsidRPr="00E77F77">
        <w:t>e</w:t>
      </w:r>
      <w:r w:rsidRPr="00E54C11">
        <w:t xml:space="preserve"> o</w:t>
      </w:r>
      <w:r w:rsidRPr="00E77F77">
        <w:t xml:space="preserve">f a </w:t>
      </w:r>
      <w:r>
        <w:t>removal from the list</w:t>
      </w:r>
      <w:r w:rsidRPr="00E77F77">
        <w:t>,</w:t>
      </w:r>
      <w:r w:rsidRPr="00E54C11">
        <w:t xml:space="preserve"> i</w:t>
      </w:r>
      <w:r w:rsidRPr="00E77F77">
        <w:t>t</w:t>
      </w:r>
      <w:r w:rsidRPr="00E54C11">
        <w:t xml:space="preserve"> shoul</w:t>
      </w:r>
      <w:r w:rsidRPr="00E77F77">
        <w:t xml:space="preserve">d </w:t>
      </w:r>
      <w:r w:rsidRPr="00E54C11">
        <w:t>involv</w:t>
      </w:r>
      <w:r w:rsidRPr="00E77F77">
        <w:t>e</w:t>
      </w:r>
      <w:r w:rsidRPr="00E54C11">
        <w:t xml:space="preserve"> </w:t>
      </w:r>
      <w:r w:rsidRPr="00E77F77">
        <w:t>a</w:t>
      </w:r>
      <w:r w:rsidRPr="00E54C11">
        <w:t xml:space="preserve"> pe</w:t>
      </w:r>
      <w:r w:rsidRPr="00E77F77">
        <w:t>r</w:t>
      </w:r>
      <w:r w:rsidRPr="00E54C11">
        <w:t>so</w:t>
      </w:r>
      <w:r w:rsidRPr="00E77F77">
        <w:t>n</w:t>
      </w:r>
      <w:r w:rsidRPr="00E54C11">
        <w:t xml:space="preserve"> intentionall</w:t>
      </w:r>
      <w:r w:rsidRPr="00E77F77">
        <w:t>y</w:t>
      </w:r>
      <w:r w:rsidRPr="00E54C11">
        <w:t xml:space="preserve"> o</w:t>
      </w:r>
      <w:r w:rsidRPr="00E77F77">
        <w:t>r</w:t>
      </w:r>
      <w:r w:rsidRPr="00E54C11">
        <w:t xml:space="preserve"> </w:t>
      </w:r>
      <w:r w:rsidRPr="00E77F77">
        <w:t>r</w:t>
      </w:r>
      <w:r w:rsidRPr="00E54C11">
        <w:t>ecklessl</w:t>
      </w:r>
      <w:r w:rsidRPr="00E77F77">
        <w:t>y</w:t>
      </w:r>
      <w:r w:rsidRPr="00E54C11">
        <w:t xml:space="preserve"> </w:t>
      </w:r>
      <w:r w:rsidRPr="00E77F77">
        <w:t>causing</w:t>
      </w:r>
      <w:r w:rsidRPr="00E54C11">
        <w:t xml:space="preserve"> anothe</w:t>
      </w:r>
      <w:r w:rsidRPr="00E77F77">
        <w:t>r to apprehend the immediate infliction of</w:t>
      </w:r>
      <w:r w:rsidRPr="00E54C11">
        <w:t xml:space="preserve"> unlawfu</w:t>
      </w:r>
      <w:r w:rsidRPr="00E77F77">
        <w:t>l</w:t>
      </w:r>
      <w:r w:rsidRPr="00E54C11">
        <w:t xml:space="preserve"> fo</w:t>
      </w:r>
      <w:r w:rsidRPr="00E77F77">
        <w:t>r</w:t>
      </w:r>
      <w:r w:rsidRPr="00E54C11">
        <w:t>c</w:t>
      </w:r>
      <w:r w:rsidRPr="00E77F77">
        <w:t>e</w:t>
      </w:r>
      <w:r w:rsidRPr="00E54C11">
        <w:t xml:space="preserve"> o</w:t>
      </w:r>
      <w:r w:rsidRPr="00E77F77">
        <w:t>n</w:t>
      </w:r>
      <w:r w:rsidRPr="00E54C11">
        <w:t xml:space="preserve"> a</w:t>
      </w:r>
      <w:r w:rsidRPr="00E77F77">
        <w:t xml:space="preserve">n </w:t>
      </w:r>
      <w:r w:rsidRPr="00E54C11">
        <w:t>individua</w:t>
      </w:r>
      <w:r w:rsidRPr="00E77F77">
        <w:t>l</w:t>
      </w:r>
      <w:r w:rsidRPr="00E54C11">
        <w:t xml:space="preserve"> i</w:t>
      </w:r>
      <w:r w:rsidRPr="00E77F77">
        <w:t>n</w:t>
      </w:r>
      <w:r w:rsidRPr="00E54C11">
        <w:t xml:space="preserve"> </w:t>
      </w:r>
      <w:r w:rsidRPr="00E77F77">
        <w:t>a</w:t>
      </w:r>
      <w:r w:rsidRPr="00E54C11">
        <w:t xml:space="preserve"> manne</w:t>
      </w:r>
      <w:r w:rsidRPr="00E77F77">
        <w:t>r</w:t>
      </w:r>
      <w:r w:rsidRPr="00E54C11">
        <w:t xml:space="preserve"> whic</w:t>
      </w:r>
      <w:r w:rsidRPr="00E77F77">
        <w:t>h</w:t>
      </w:r>
      <w:r w:rsidRPr="00E54C11">
        <w:t xml:space="preserve"> eithe</w:t>
      </w:r>
      <w:r w:rsidRPr="00E77F77">
        <w:t>r</w:t>
      </w:r>
      <w:r w:rsidRPr="00E54C11">
        <w:t xml:space="preserve"> </w:t>
      </w:r>
      <w:r w:rsidRPr="00E77F77">
        <w:t>r</w:t>
      </w:r>
      <w:r w:rsidRPr="00E54C11">
        <w:t>esult</w:t>
      </w:r>
      <w:r w:rsidRPr="00E77F77">
        <w:t>s</w:t>
      </w:r>
      <w:r w:rsidRPr="00E54C11">
        <w:t xml:space="preserve"> i</w:t>
      </w:r>
      <w:r w:rsidRPr="00E77F77">
        <w:t>n</w:t>
      </w:r>
      <w:r w:rsidRPr="00E54C11">
        <w:t xml:space="preserve"> inju</w:t>
      </w:r>
      <w:r w:rsidRPr="00E77F77">
        <w:t>ry</w:t>
      </w:r>
      <w:r w:rsidRPr="00E54C11">
        <w:t xml:space="preserve"> o</w:t>
      </w:r>
      <w:r w:rsidRPr="00E77F77">
        <w:t>r</w:t>
      </w:r>
      <w:r w:rsidRPr="00E54C11">
        <w:t xml:space="preserve"> cause</w:t>
      </w:r>
      <w:r w:rsidRPr="00E77F77">
        <w:t xml:space="preserve">s </w:t>
      </w:r>
      <w:r w:rsidRPr="00E54C11">
        <w:t>tha</w:t>
      </w:r>
      <w:r w:rsidRPr="00E77F77">
        <w:t>t</w:t>
      </w:r>
      <w:r w:rsidRPr="00E54C11">
        <w:t xml:space="preserve"> individua</w:t>
      </w:r>
      <w:r w:rsidRPr="00E77F77">
        <w:t>l</w:t>
      </w:r>
      <w:r w:rsidRPr="00E54C11">
        <w:t xml:space="preserve"> t</w:t>
      </w:r>
      <w:r w:rsidRPr="00E77F77">
        <w:t>o</w:t>
      </w:r>
      <w:r w:rsidRPr="00E54C11">
        <w:t xml:space="preserve"> fea</w:t>
      </w:r>
      <w:r w:rsidRPr="00E77F77">
        <w:t>r</w:t>
      </w:r>
      <w:r w:rsidRPr="00E54C11">
        <w:t xml:space="preserve"> inju</w:t>
      </w:r>
      <w:r w:rsidRPr="00E77F77">
        <w:t>ry</w:t>
      </w:r>
      <w:r w:rsidRPr="00E54C11">
        <w:t xml:space="preserve"> o</w:t>
      </w:r>
      <w:r w:rsidRPr="00E77F77">
        <w:t>r</w:t>
      </w:r>
      <w:r w:rsidRPr="00E54C11">
        <w:t xml:space="preserve"> som</w:t>
      </w:r>
      <w:r w:rsidRPr="00E77F77">
        <w:t>e</w:t>
      </w:r>
      <w:r w:rsidRPr="00E54C11">
        <w:t xml:space="preserve"> othe</w:t>
      </w:r>
      <w:r w:rsidRPr="00E77F77">
        <w:t>r</w:t>
      </w:r>
      <w:r w:rsidRPr="00E54C11">
        <w:t xml:space="preserve"> immediat</w:t>
      </w:r>
      <w:r w:rsidRPr="00E77F77">
        <w:t>e</w:t>
      </w:r>
      <w:r w:rsidRPr="00E54C11">
        <w:t xml:space="preserve"> th</w:t>
      </w:r>
      <w:r w:rsidRPr="00E77F77">
        <w:t>r</w:t>
      </w:r>
      <w:r w:rsidRPr="00E54C11">
        <w:t>ea</w:t>
      </w:r>
      <w:r w:rsidRPr="00E77F77">
        <w:t>t</w:t>
      </w:r>
      <w:r w:rsidRPr="00E54C11">
        <w:t xml:space="preserve"> t</w:t>
      </w:r>
      <w:r w:rsidRPr="00E77F77">
        <w:t xml:space="preserve">o </w:t>
      </w:r>
      <w:r w:rsidRPr="00E54C11">
        <w:t>thei</w:t>
      </w:r>
      <w:r w:rsidRPr="00E77F77">
        <w:t>r</w:t>
      </w:r>
      <w:r w:rsidRPr="00E54C11">
        <w:t xml:space="preserve"> pe</w:t>
      </w:r>
      <w:r w:rsidRPr="00E77F77">
        <w:t>r</w:t>
      </w:r>
      <w:r w:rsidRPr="00E54C11">
        <w:t>sona</w:t>
      </w:r>
      <w:r w:rsidRPr="00E77F77">
        <w:t>l</w:t>
      </w:r>
      <w:r w:rsidRPr="00E54C11">
        <w:t xml:space="preserve"> safety</w:t>
      </w:r>
      <w:r w:rsidRPr="00E77F77">
        <w:t>.</w:t>
      </w:r>
    </w:p>
    <w:p w14:paraId="48BA0E98" w14:textId="77777777" w:rsidR="008F7BB3" w:rsidRPr="00E54C11" w:rsidRDefault="008F7BB3" w:rsidP="008F7BB3">
      <w:pPr>
        <w:pStyle w:val="Heading3"/>
        <w:rPr>
          <w:b/>
        </w:rPr>
      </w:pPr>
      <w:r w:rsidRPr="00E54C11">
        <w:rPr>
          <w:b/>
        </w:rPr>
        <w:t>Threatening behaviour</w:t>
      </w:r>
    </w:p>
    <w:p w14:paraId="24CEC765" w14:textId="77777777" w:rsidR="008F7BB3" w:rsidRPr="00E77F77" w:rsidRDefault="008F7BB3" w:rsidP="008F7BB3">
      <w:pPr>
        <w:pStyle w:val="Heading4"/>
      </w:pPr>
      <w:r w:rsidRPr="00E54C11">
        <w:t>An</w:t>
      </w:r>
      <w:r w:rsidRPr="00E77F77">
        <w:t>y</w:t>
      </w:r>
      <w:r w:rsidRPr="00E54C11">
        <w:t xml:space="preserve"> ve</w:t>
      </w:r>
      <w:r w:rsidRPr="00E77F77">
        <w:t>r</w:t>
      </w:r>
      <w:r w:rsidRPr="00E54C11">
        <w:t>ball</w:t>
      </w:r>
      <w:r w:rsidRPr="00E77F77">
        <w:t>y</w:t>
      </w:r>
      <w:r w:rsidRPr="00E54C11">
        <w:t xml:space="preserve"> th</w:t>
      </w:r>
      <w:r w:rsidRPr="00E77F77">
        <w:t>r</w:t>
      </w:r>
      <w:r w:rsidRPr="00E54C11">
        <w:t>eatene</w:t>
      </w:r>
      <w:r w:rsidRPr="00E77F77">
        <w:t>d</w:t>
      </w:r>
      <w:r w:rsidRPr="00E54C11">
        <w:t xml:space="preserve"> ha</w:t>
      </w:r>
      <w:r w:rsidRPr="00E77F77">
        <w:t>rm</w:t>
      </w:r>
      <w:r w:rsidRPr="00E54C11">
        <w:t xml:space="preserve"> towa</w:t>
      </w:r>
      <w:r w:rsidRPr="00E77F77">
        <w:t>r</w:t>
      </w:r>
      <w:r w:rsidRPr="00E54C11">
        <w:t>d</w:t>
      </w:r>
      <w:r w:rsidRPr="00E77F77">
        <w:t>s</w:t>
      </w:r>
      <w:r w:rsidRPr="00E54C11">
        <w:t xml:space="preserve"> othe</w:t>
      </w:r>
      <w:r w:rsidRPr="00E77F77">
        <w:t>r</w:t>
      </w:r>
      <w:r w:rsidRPr="00E54C11">
        <w:t>s</w:t>
      </w:r>
      <w:r w:rsidRPr="00E77F77">
        <w:t>,</w:t>
      </w:r>
      <w:r w:rsidRPr="00E54C11">
        <w:t xml:space="preserve"> wit</w:t>
      </w:r>
      <w:r w:rsidRPr="00E77F77">
        <w:t>h</w:t>
      </w:r>
      <w:r w:rsidRPr="00E54C11">
        <w:t xml:space="preserve"> o</w:t>
      </w:r>
      <w:r w:rsidRPr="00E77F77">
        <w:t>r</w:t>
      </w:r>
      <w:r w:rsidRPr="00E54C11">
        <w:t xml:space="preserve"> withou</w:t>
      </w:r>
      <w:r w:rsidRPr="00E77F77">
        <w:t xml:space="preserve">t </w:t>
      </w:r>
      <w:r w:rsidRPr="00E54C11">
        <w:t>accompanyin</w:t>
      </w:r>
      <w:r w:rsidRPr="00E77F77">
        <w:t>g</w:t>
      </w:r>
      <w:r w:rsidRPr="00E54C11">
        <w:t xml:space="preserve"> gestu</w:t>
      </w:r>
      <w:r w:rsidRPr="00E77F77">
        <w:t>r</w:t>
      </w:r>
      <w:r w:rsidRPr="00E54C11">
        <w:t>es</w:t>
      </w:r>
      <w:r w:rsidRPr="00E77F77">
        <w:t>,</w:t>
      </w:r>
      <w:r w:rsidRPr="00E54C11">
        <w:t xml:space="preserve"> wil</w:t>
      </w:r>
      <w:r w:rsidRPr="00E77F77">
        <w:t>l</w:t>
      </w:r>
      <w:r w:rsidRPr="00E54C11">
        <w:t xml:space="preserve"> fal</w:t>
      </w:r>
      <w:r w:rsidRPr="00E77F77">
        <w:t>l</w:t>
      </w:r>
      <w:r w:rsidRPr="00E54C11">
        <w:t xml:space="preserve"> withi</w:t>
      </w:r>
      <w:r w:rsidRPr="00E77F77">
        <w:t>n</w:t>
      </w:r>
      <w:r w:rsidRPr="00E54C11">
        <w:t xml:space="preserve"> th</w:t>
      </w:r>
      <w:r w:rsidRPr="00E77F77">
        <w:t>e</w:t>
      </w:r>
      <w:r w:rsidRPr="00E54C11">
        <w:t xml:space="preserve"> scop</w:t>
      </w:r>
      <w:r w:rsidRPr="00E77F77">
        <w:t xml:space="preserve">e of a </w:t>
      </w:r>
      <w:r>
        <w:t>removal</w:t>
      </w:r>
      <w:r w:rsidRPr="00E77F77">
        <w:t xml:space="preserve">. </w:t>
      </w:r>
      <w:r w:rsidRPr="00E54C11">
        <w:t>Th</w:t>
      </w:r>
      <w:r w:rsidRPr="00E77F77">
        <w:t>r</w:t>
      </w:r>
      <w:r w:rsidRPr="00E54C11">
        <w:t>eat</w:t>
      </w:r>
      <w:r w:rsidRPr="00E77F77">
        <w:t>s</w:t>
      </w:r>
      <w:r w:rsidRPr="00E54C11">
        <w:t xml:space="preserve"> o</w:t>
      </w:r>
      <w:r w:rsidRPr="00E77F77">
        <w:t>f</w:t>
      </w:r>
      <w:r w:rsidRPr="00E54C11">
        <w:t xml:space="preserve"> nonviolen</w:t>
      </w:r>
      <w:r w:rsidRPr="00E77F77">
        <w:t>t</w:t>
      </w:r>
      <w:r w:rsidRPr="00E54C11">
        <w:t xml:space="preserve"> act</w:t>
      </w:r>
      <w:r w:rsidRPr="00E77F77">
        <w:t>s</w:t>
      </w:r>
      <w:r w:rsidRPr="00E54C11">
        <w:t xml:space="preserve"> a</w:t>
      </w:r>
      <w:r w:rsidRPr="00E77F77">
        <w:t>re</w:t>
      </w:r>
      <w:r w:rsidRPr="00E54C11">
        <w:t xml:space="preserve"> unlikel</w:t>
      </w:r>
      <w:r w:rsidRPr="00E77F77">
        <w:t>y</w:t>
      </w:r>
      <w:r w:rsidRPr="00E54C11">
        <w:t xml:space="preserve"> t</w:t>
      </w:r>
      <w:r w:rsidRPr="00E77F77">
        <w:t>o</w:t>
      </w:r>
      <w:r w:rsidRPr="00E54C11">
        <w:t xml:space="preserve"> d</w:t>
      </w:r>
      <w:r w:rsidRPr="00E77F77">
        <w:t>o</w:t>
      </w:r>
      <w:r w:rsidRPr="00E54C11">
        <w:t xml:space="preserve"> s</w:t>
      </w:r>
      <w:r w:rsidRPr="00E77F77">
        <w:t>o</w:t>
      </w:r>
      <w:r w:rsidRPr="00E54C11">
        <w:t xml:space="preserve"> </w:t>
      </w:r>
      <w:r w:rsidRPr="00E77F77">
        <w:t>(</w:t>
      </w:r>
      <w:r w:rsidRPr="00E54C11">
        <w:t>e.g</w:t>
      </w:r>
      <w:r w:rsidRPr="00E77F77">
        <w:t>.</w:t>
      </w:r>
      <w:r w:rsidRPr="00E54C11">
        <w:t xml:space="preserve"> blackmai</w:t>
      </w:r>
      <w:r w:rsidRPr="00E77F77">
        <w:t xml:space="preserve">l </w:t>
      </w:r>
      <w:r w:rsidRPr="00E54C11">
        <w:t>o</w:t>
      </w:r>
      <w:r w:rsidRPr="00E77F77">
        <w:t>r</w:t>
      </w:r>
      <w:r w:rsidRPr="00E54C11">
        <w:t xml:space="preserve"> us</w:t>
      </w:r>
      <w:r w:rsidRPr="00E77F77">
        <w:t>e</w:t>
      </w:r>
      <w:r w:rsidRPr="00E54C11">
        <w:t xml:space="preserve"> o</w:t>
      </w:r>
      <w:r w:rsidRPr="00E77F77">
        <w:t>f</w:t>
      </w:r>
      <w:r w:rsidRPr="00E54C11">
        <w:t xml:space="preserve"> </w:t>
      </w:r>
      <w:r>
        <w:t>offensive</w:t>
      </w:r>
      <w:r w:rsidRPr="00E54C11">
        <w:t xml:space="preserve"> languag</w:t>
      </w:r>
      <w:r w:rsidRPr="00E77F77">
        <w:t>e without more).</w:t>
      </w:r>
    </w:p>
    <w:p w14:paraId="2BC42FEE" w14:textId="77777777" w:rsidR="008F7BB3" w:rsidRPr="00E54C11" w:rsidRDefault="008F7BB3" w:rsidP="008F7BB3">
      <w:pPr>
        <w:pStyle w:val="Heading3"/>
        <w:rPr>
          <w:b/>
        </w:rPr>
      </w:pPr>
      <w:r w:rsidRPr="00E54C11">
        <w:rPr>
          <w:b/>
        </w:rPr>
        <w:t>Behaviour resulting in damage to property</w:t>
      </w:r>
    </w:p>
    <w:p w14:paraId="206F86D1" w14:textId="77777777" w:rsidR="008F7BB3" w:rsidRDefault="008F7BB3" w:rsidP="008F7BB3">
      <w:pPr>
        <w:pStyle w:val="Heading4"/>
      </w:pPr>
      <w:r w:rsidRPr="00E54C11">
        <w:t>An</w:t>
      </w:r>
      <w:r w:rsidRPr="00E77F77">
        <w:t>y</w:t>
      </w:r>
      <w:r w:rsidRPr="00E54C11">
        <w:t xml:space="preserve"> behaviou</w:t>
      </w:r>
      <w:r w:rsidRPr="00E77F77">
        <w:t>r</w:t>
      </w:r>
      <w:r w:rsidRPr="00E54C11">
        <w:t xml:space="preserve"> </w:t>
      </w:r>
      <w:r w:rsidRPr="00E77F77">
        <w:t>r</w:t>
      </w:r>
      <w:r w:rsidRPr="00E54C11">
        <w:t>esultin</w:t>
      </w:r>
      <w:r w:rsidRPr="00E77F77">
        <w:t>g</w:t>
      </w:r>
      <w:r w:rsidRPr="00E54C11">
        <w:t xml:space="preserve"> i</w:t>
      </w:r>
      <w:r w:rsidRPr="00E77F77">
        <w:t>n</w:t>
      </w:r>
      <w:r w:rsidRPr="00E54C11">
        <w:t xml:space="preserve"> damag</w:t>
      </w:r>
      <w:r w:rsidRPr="00E77F77">
        <w:t>e</w:t>
      </w:r>
      <w:r w:rsidRPr="00E54C11">
        <w:t xml:space="preserve"> t</w:t>
      </w:r>
      <w:r w:rsidRPr="00E77F77">
        <w:t>o</w:t>
      </w:r>
      <w:r w:rsidRPr="00E54C11">
        <w:t xml:space="preserve"> p</w:t>
      </w:r>
      <w:r w:rsidRPr="00E77F77">
        <w:t>r</w:t>
      </w:r>
      <w:r w:rsidRPr="00E54C11">
        <w:t>ope</w:t>
      </w:r>
      <w:r w:rsidRPr="00E77F77">
        <w:t>r</w:t>
      </w:r>
      <w:r w:rsidRPr="00E54C11">
        <w:t>ty</w:t>
      </w:r>
      <w:r w:rsidRPr="00E77F77">
        <w:t>,</w:t>
      </w:r>
      <w:r w:rsidRPr="00E54C11">
        <w:t xml:space="preserve"> whethe</w:t>
      </w:r>
      <w:r w:rsidRPr="00E77F77">
        <w:t xml:space="preserve">r  </w:t>
      </w:r>
      <w:r w:rsidRPr="00E54C11">
        <w:t>accompanie</w:t>
      </w:r>
      <w:r w:rsidRPr="00E77F77">
        <w:t>d</w:t>
      </w:r>
      <w:r w:rsidRPr="00E54C11">
        <w:t xml:space="preserve"> b</w:t>
      </w:r>
      <w:r w:rsidRPr="00E77F77">
        <w:t>y</w:t>
      </w:r>
      <w:r w:rsidRPr="00E54C11">
        <w:t xml:space="preserve"> ve</w:t>
      </w:r>
      <w:r w:rsidRPr="00E77F77">
        <w:t>r</w:t>
      </w:r>
      <w:r w:rsidRPr="00E54C11">
        <w:t>ba</w:t>
      </w:r>
      <w:r w:rsidRPr="00E77F77">
        <w:t>l</w:t>
      </w:r>
      <w:r w:rsidRPr="00E54C11">
        <w:t xml:space="preserve"> th</w:t>
      </w:r>
      <w:r w:rsidRPr="00E77F77">
        <w:t>r</w:t>
      </w:r>
      <w:r w:rsidRPr="00E54C11">
        <w:t>eat</w:t>
      </w:r>
      <w:r w:rsidRPr="00E77F77">
        <w:t>s</w:t>
      </w:r>
      <w:r w:rsidRPr="00E54C11">
        <w:t xml:space="preserve"> o</w:t>
      </w:r>
      <w:r w:rsidRPr="00E77F77">
        <w:t>r</w:t>
      </w:r>
      <w:r w:rsidRPr="00E54C11">
        <w:t xml:space="preserve"> no</w:t>
      </w:r>
      <w:r w:rsidRPr="00E77F77">
        <w:t>t</w:t>
      </w:r>
      <w:r w:rsidRPr="00E54C11">
        <w:t xml:space="preserve"> an</w:t>
      </w:r>
      <w:r w:rsidRPr="00E77F77">
        <w:t>d</w:t>
      </w:r>
      <w:r w:rsidRPr="00E54C11">
        <w:t xml:space="preserve"> whethe</w:t>
      </w:r>
      <w:r w:rsidRPr="00E77F77">
        <w:t>r</w:t>
      </w:r>
      <w:r w:rsidRPr="00E54C11">
        <w:t xml:space="preserve"> tha</w:t>
      </w:r>
      <w:r w:rsidRPr="00E77F77">
        <w:t xml:space="preserve">t </w:t>
      </w:r>
      <w:r w:rsidRPr="00E54C11">
        <w:t>damag</w:t>
      </w:r>
      <w:r w:rsidRPr="00E77F77">
        <w:t>e</w:t>
      </w:r>
      <w:r w:rsidRPr="00E54C11">
        <w:t xml:space="preserve"> i</w:t>
      </w:r>
      <w:r w:rsidRPr="00E77F77">
        <w:t>s</w:t>
      </w:r>
      <w:r w:rsidRPr="00E54C11">
        <w:t xml:space="preserve"> intentiona</w:t>
      </w:r>
      <w:r w:rsidRPr="00E77F77">
        <w:t>l</w:t>
      </w:r>
      <w:r w:rsidRPr="00E54C11">
        <w:t xml:space="preserve"> o</w:t>
      </w:r>
      <w:r w:rsidRPr="00E77F77">
        <w:t>r</w:t>
      </w:r>
      <w:r w:rsidRPr="00E54C11">
        <w:t xml:space="preserve"> not</w:t>
      </w:r>
      <w:r w:rsidRPr="00E77F77">
        <w:t xml:space="preserve">, </w:t>
      </w:r>
      <w:r w:rsidRPr="00E54C11">
        <w:t xml:space="preserve"> i</w:t>
      </w:r>
      <w:r w:rsidRPr="00E77F77">
        <w:t>s</w:t>
      </w:r>
      <w:r w:rsidRPr="00E54C11">
        <w:t xml:space="preserve"> likel</w:t>
      </w:r>
      <w:r w:rsidRPr="00E77F77">
        <w:t>y</w:t>
      </w:r>
      <w:r w:rsidRPr="00E54C11">
        <w:t xml:space="preserve"> t</w:t>
      </w:r>
      <w:r w:rsidRPr="00E77F77">
        <w:t>o</w:t>
      </w:r>
      <w:r w:rsidRPr="00E54C11">
        <w:t xml:space="preserve"> b</w:t>
      </w:r>
      <w:r w:rsidRPr="00E77F77">
        <w:t>e</w:t>
      </w:r>
      <w:r w:rsidRPr="00E54C11">
        <w:t xml:space="preserve"> withi</w:t>
      </w:r>
      <w:r w:rsidRPr="00E77F77">
        <w:t>n</w:t>
      </w:r>
      <w:r w:rsidRPr="00E54C11">
        <w:t xml:space="preserve"> scop</w:t>
      </w:r>
      <w:r w:rsidRPr="00E77F77">
        <w:t>e</w:t>
      </w:r>
      <w:r w:rsidRPr="00E54C11">
        <w:t xml:space="preserve"> o</w:t>
      </w:r>
      <w:r w:rsidRPr="00E77F77">
        <w:t>f</w:t>
      </w:r>
      <w:r w:rsidRPr="00E54C11">
        <w:t xml:space="preserve"> th</w:t>
      </w:r>
      <w:r w:rsidRPr="00E77F77">
        <w:t xml:space="preserve">e </w:t>
      </w:r>
      <w:r w:rsidRPr="00E54C11">
        <w:t>schem</w:t>
      </w:r>
      <w:r w:rsidRPr="00E77F77">
        <w:t>e</w:t>
      </w:r>
      <w:r w:rsidRPr="00E54C11">
        <w:t xml:space="preserve"> i</w:t>
      </w:r>
      <w:r w:rsidRPr="00E77F77">
        <w:t>f</w:t>
      </w:r>
      <w:r w:rsidRPr="00E54C11">
        <w:t xml:space="preserve"> th</w:t>
      </w:r>
      <w:r w:rsidRPr="00E77F77">
        <w:t>e</w:t>
      </w:r>
      <w:r w:rsidRPr="00E54C11">
        <w:t xml:space="preserve"> behaviou</w:t>
      </w:r>
      <w:r w:rsidRPr="00E77F77">
        <w:t>r</w:t>
      </w:r>
      <w:r w:rsidRPr="00E54C11">
        <w:t xml:space="preserve"> wa</w:t>
      </w:r>
      <w:r w:rsidRPr="00E77F77">
        <w:t>s</w:t>
      </w:r>
      <w:r w:rsidRPr="00E54C11">
        <w:t xml:space="preserve"> intende</w:t>
      </w:r>
      <w:r w:rsidRPr="00E77F77">
        <w:t>d</w:t>
      </w:r>
      <w:r w:rsidRPr="00E54C11">
        <w:t xml:space="preserve"> t</w:t>
      </w:r>
      <w:r w:rsidRPr="00E77F77">
        <w:t>o</w:t>
      </w:r>
      <w:r w:rsidRPr="00E54C11">
        <w:t xml:space="preserve"> te</w:t>
      </w:r>
      <w:r w:rsidRPr="00E77F77">
        <w:t>rr</w:t>
      </w:r>
      <w:r w:rsidRPr="00E54C11">
        <w:t>o</w:t>
      </w:r>
      <w:r w:rsidRPr="00E77F77">
        <w:t>r</w:t>
      </w:r>
      <w:r w:rsidRPr="00E54C11">
        <w:t>is</w:t>
      </w:r>
      <w:r w:rsidRPr="00E77F77">
        <w:t>e</w:t>
      </w:r>
      <w:r w:rsidRPr="00E54C11">
        <w:t xml:space="preserve"> o</w:t>
      </w:r>
      <w:r w:rsidRPr="00E77F77">
        <w:t>r</w:t>
      </w:r>
      <w:r w:rsidRPr="00E54C11">
        <w:t xml:space="preserve"> intimidat</w:t>
      </w:r>
      <w:r w:rsidRPr="00E77F77">
        <w:t xml:space="preserve">e </w:t>
      </w:r>
      <w:r w:rsidRPr="00E54C11">
        <w:t>individual</w:t>
      </w:r>
      <w:r w:rsidRPr="00E77F77">
        <w:t>s</w:t>
      </w:r>
      <w:r w:rsidRPr="00E54C11">
        <w:t xml:space="preserve"> o</w:t>
      </w:r>
      <w:r w:rsidRPr="00E77F77">
        <w:t>r</w:t>
      </w:r>
      <w:r w:rsidRPr="00E54C11">
        <w:t xml:space="preserve"> i</w:t>
      </w:r>
      <w:r w:rsidRPr="00E77F77">
        <w:t>s</w:t>
      </w:r>
      <w:r w:rsidRPr="00E54C11">
        <w:t xml:space="preserve"> see</w:t>
      </w:r>
      <w:r w:rsidRPr="00E77F77">
        <w:t>n</w:t>
      </w:r>
      <w:r w:rsidRPr="00E54C11">
        <w:t xml:space="preserve"> a</w:t>
      </w:r>
      <w:r w:rsidRPr="00E77F77">
        <w:t>s</w:t>
      </w:r>
      <w:r w:rsidRPr="00E54C11">
        <w:t xml:space="preserve"> </w:t>
      </w:r>
      <w:r w:rsidRPr="00E77F77">
        <w:t>a</w:t>
      </w:r>
      <w:r w:rsidRPr="00E54C11">
        <w:t xml:space="preserve"> p</w:t>
      </w:r>
      <w:r w:rsidRPr="00E77F77">
        <w:t>r</w:t>
      </w:r>
      <w:r w:rsidRPr="00E54C11">
        <w:t>ecu</w:t>
      </w:r>
      <w:r w:rsidRPr="00E77F77">
        <w:t>r</w:t>
      </w:r>
      <w:r w:rsidRPr="00E54C11">
        <w:t>so</w:t>
      </w:r>
      <w:r w:rsidRPr="00E77F77">
        <w:t>r</w:t>
      </w:r>
      <w:r w:rsidRPr="00E54C11">
        <w:t xml:space="preserve"> t</w:t>
      </w:r>
      <w:r w:rsidRPr="00E77F77">
        <w:t>o</w:t>
      </w:r>
      <w:r w:rsidRPr="00E54C11">
        <w:t xml:space="preserve"> </w:t>
      </w:r>
      <w:r w:rsidRPr="00E77F77">
        <w:t>a</w:t>
      </w:r>
      <w:r w:rsidRPr="00E54C11">
        <w:t xml:space="preserve"> pe</w:t>
      </w:r>
      <w:r w:rsidRPr="00E77F77">
        <w:t>r</w:t>
      </w:r>
      <w:r w:rsidRPr="00E54C11">
        <w:t>sona</w:t>
      </w:r>
      <w:r w:rsidRPr="00E77F77">
        <w:t>l</w:t>
      </w:r>
      <w:r w:rsidRPr="00E54C11">
        <w:t xml:space="preserve"> assault</w:t>
      </w:r>
      <w:r w:rsidRPr="00E77F77">
        <w:t>.</w:t>
      </w:r>
    </w:p>
    <w:p w14:paraId="7193D318" w14:textId="0CD8D681" w:rsidR="008F7BB3" w:rsidRPr="00D554A9" w:rsidRDefault="008F7BB3" w:rsidP="008F7BB3">
      <w:pPr>
        <w:pStyle w:val="Heading3"/>
        <w:rPr>
          <w:b/>
        </w:rPr>
      </w:pPr>
      <w:r>
        <w:rPr>
          <w:b/>
        </w:rPr>
        <w:t>Further considerations in relation to 6.4.5 – 6.4.7</w:t>
      </w:r>
    </w:p>
    <w:p w14:paraId="4F163162" w14:textId="77777777" w:rsidR="008F7BB3" w:rsidRPr="00E54C11" w:rsidRDefault="008F7BB3" w:rsidP="008F7BB3"/>
    <w:p w14:paraId="21716B93" w14:textId="77777777" w:rsidR="008F7BB3" w:rsidRPr="00E54C11" w:rsidRDefault="008F7BB3" w:rsidP="008F7BB3">
      <w:pPr>
        <w:pStyle w:val="Heading4"/>
        <w:rPr>
          <w:rFonts w:cs="Arial"/>
          <w:color w:val="auto"/>
          <w:szCs w:val="24"/>
        </w:rPr>
      </w:pPr>
      <w:r w:rsidRPr="00E54C11">
        <w:rPr>
          <w:rFonts w:cs="Arial"/>
          <w:color w:val="auto"/>
          <w:szCs w:val="24"/>
        </w:rPr>
        <w:lastRenderedPageBreak/>
        <w:t xml:space="preserve">Examples of the cases referred to above would include any incident in which the patient has: </w:t>
      </w:r>
    </w:p>
    <w:p w14:paraId="17389A41" w14:textId="77777777" w:rsidR="008F7BB3" w:rsidRPr="00E54C11" w:rsidRDefault="008F7BB3" w:rsidP="008F7BB3">
      <w:pPr>
        <w:pStyle w:val="Heading5"/>
        <w:rPr>
          <w:color w:val="auto"/>
          <w:szCs w:val="24"/>
        </w:rPr>
      </w:pPr>
      <w:r w:rsidRPr="00E54C11">
        <w:rPr>
          <w:color w:val="auto"/>
          <w:szCs w:val="24"/>
        </w:rPr>
        <w:t>struck, grabbed or punched a GP,  member of staff or other individuals, either within the practice premises, or if elsewhere, if in a targeted attack</w:t>
      </w:r>
    </w:p>
    <w:p w14:paraId="71827DC3" w14:textId="77777777" w:rsidR="008F7BB3" w:rsidRPr="00E54C11" w:rsidRDefault="008F7BB3" w:rsidP="008F7BB3">
      <w:pPr>
        <w:pStyle w:val="Heading5"/>
        <w:rPr>
          <w:color w:val="auto"/>
          <w:szCs w:val="24"/>
        </w:rPr>
      </w:pPr>
      <w:r w:rsidRPr="00E54C11">
        <w:rPr>
          <w:color w:val="auto"/>
          <w:szCs w:val="24"/>
        </w:rPr>
        <w:t>thrown an inanimate object at a GP, member of staff either within the practice premises or elsewhere, if in a targeted attack</w:t>
      </w:r>
    </w:p>
    <w:p w14:paraId="361F8CFD" w14:textId="77777777" w:rsidR="008F7BB3" w:rsidRPr="00E54C11" w:rsidRDefault="008F7BB3" w:rsidP="008F7BB3">
      <w:pPr>
        <w:pStyle w:val="Heading5"/>
        <w:rPr>
          <w:color w:val="auto"/>
          <w:szCs w:val="24"/>
        </w:rPr>
      </w:pPr>
      <w:r w:rsidRPr="00E54C11">
        <w:rPr>
          <w:color w:val="auto"/>
          <w:szCs w:val="24"/>
        </w:rPr>
        <w:t>struck, grabbed, punched or thrown an inanimate object at another patient(s) within the practice premises</w:t>
      </w:r>
    </w:p>
    <w:p w14:paraId="73709628" w14:textId="77777777" w:rsidR="008F7BB3" w:rsidRPr="00E54C11" w:rsidRDefault="008F7BB3" w:rsidP="008F7BB3">
      <w:pPr>
        <w:pStyle w:val="Heading5"/>
        <w:rPr>
          <w:color w:val="auto"/>
          <w:szCs w:val="24"/>
        </w:rPr>
      </w:pPr>
      <w:r w:rsidRPr="00E54C11">
        <w:rPr>
          <w:color w:val="auto"/>
          <w:szCs w:val="24"/>
        </w:rPr>
        <w:t>wielded a weapon, or used an object as one, in an actual or intended assault or in a manner intended to intimidate or terrorise staff, patients or other persons on the practice premises</w:t>
      </w:r>
    </w:p>
    <w:p w14:paraId="413D6AFA" w14:textId="77777777" w:rsidR="008F7BB3" w:rsidRPr="00E54C11" w:rsidRDefault="008F7BB3" w:rsidP="008F7BB3">
      <w:pPr>
        <w:pStyle w:val="Heading5"/>
        <w:rPr>
          <w:color w:val="auto"/>
          <w:szCs w:val="24"/>
        </w:rPr>
      </w:pPr>
      <w:r w:rsidRPr="00E54C11">
        <w:rPr>
          <w:color w:val="auto"/>
          <w:szCs w:val="24"/>
        </w:rPr>
        <w:t xml:space="preserve">threatened  to assault or physically harm a primary care worker </w:t>
      </w:r>
    </w:p>
    <w:p w14:paraId="6C3DC8C4" w14:textId="77777777" w:rsidR="008F7BB3" w:rsidRPr="00E54C11" w:rsidRDefault="008F7BB3" w:rsidP="008F7BB3">
      <w:pPr>
        <w:pStyle w:val="Heading5"/>
        <w:rPr>
          <w:color w:val="auto"/>
          <w:szCs w:val="24"/>
        </w:rPr>
      </w:pPr>
      <w:r w:rsidRPr="00E54C11">
        <w:rPr>
          <w:color w:val="auto"/>
          <w:szCs w:val="24"/>
        </w:rPr>
        <w:t xml:space="preserve">threatened to damage property or  to ‘seek revenge’ in a menacing way </w:t>
      </w:r>
    </w:p>
    <w:p w14:paraId="194C0024" w14:textId="77777777" w:rsidR="008F7BB3" w:rsidRDefault="008F7BB3" w:rsidP="008F7BB3">
      <w:pPr>
        <w:pStyle w:val="Heading5"/>
        <w:rPr>
          <w:color w:val="auto"/>
          <w:szCs w:val="24"/>
        </w:rPr>
      </w:pPr>
      <w:r w:rsidRPr="00E54C11">
        <w:rPr>
          <w:color w:val="auto"/>
          <w:szCs w:val="24"/>
        </w:rPr>
        <w:t>caused damage to property with an intention to intimidate or cause harm.</w:t>
      </w:r>
    </w:p>
    <w:p w14:paraId="69DCF48E" w14:textId="77777777" w:rsidR="00575CE7" w:rsidRDefault="00575CE7" w:rsidP="0000534D"/>
    <w:p w14:paraId="2F3B52B7" w14:textId="05677DF6" w:rsidR="00575CE7" w:rsidRPr="0000534D" w:rsidRDefault="00575CE7" w:rsidP="0000534D">
      <w:pPr>
        <w:ind w:left="720"/>
        <w:rPr>
          <w:b/>
          <w:color w:val="FF0000"/>
        </w:rPr>
      </w:pPr>
      <w:r w:rsidRPr="0000534D">
        <w:rPr>
          <w:b/>
          <w:color w:val="FF0000"/>
          <w:lang w:eastAsia="en-GB"/>
        </w:rPr>
        <w:t>This list is not exhaustive</w:t>
      </w:r>
    </w:p>
    <w:p w14:paraId="2DE6AC29" w14:textId="77777777" w:rsidR="00575CE7" w:rsidRPr="00F17535" w:rsidRDefault="00575CE7" w:rsidP="0000534D"/>
    <w:p w14:paraId="13AE1F27" w14:textId="77777777" w:rsidR="008F7BB3" w:rsidRPr="00E54C11" w:rsidRDefault="008F7BB3" w:rsidP="008F7BB3">
      <w:pPr>
        <w:pStyle w:val="Heading3"/>
        <w:rPr>
          <w:rFonts w:cs="Arial"/>
          <w:b/>
          <w:szCs w:val="24"/>
        </w:rPr>
      </w:pPr>
      <w:bookmarkStart w:id="518" w:name="_Toc483740427"/>
      <w:r w:rsidRPr="00E54C11">
        <w:rPr>
          <w:rFonts w:cs="Arial"/>
          <w:b/>
          <w:szCs w:val="24"/>
        </w:rPr>
        <w:t>What behaviour this scheme does not ordinarily cover?</w:t>
      </w:r>
      <w:bookmarkEnd w:id="518"/>
    </w:p>
    <w:p w14:paraId="19EDC5E1" w14:textId="3EBEC099" w:rsidR="008F7BB3" w:rsidRPr="00E77F77" w:rsidRDefault="008F7BB3" w:rsidP="008F7BB3">
      <w:pPr>
        <w:pStyle w:val="Heading3"/>
      </w:pPr>
      <w:r w:rsidRPr="00E54C11">
        <w:rPr>
          <w:rFonts w:cs="Arial"/>
          <w:szCs w:val="24"/>
        </w:rPr>
        <w:t xml:space="preserve">Below are some examples of the types of behaviours that would not ordinarily fall within the scope of </w:t>
      </w:r>
      <w:r>
        <w:rPr>
          <w:rFonts w:cs="Arial"/>
          <w:szCs w:val="24"/>
        </w:rPr>
        <w:t xml:space="preserve">the </w:t>
      </w:r>
      <w:r w:rsidRPr="00E54C11">
        <w:rPr>
          <w:rFonts w:cs="Arial"/>
          <w:szCs w:val="24"/>
        </w:rPr>
        <w:t>Regulations</w:t>
      </w:r>
      <w:r>
        <w:rPr>
          <w:rFonts w:cs="Arial"/>
          <w:szCs w:val="24"/>
        </w:rPr>
        <w:t xml:space="preserve"> covered by this guidance</w:t>
      </w:r>
      <w:r w:rsidRPr="00E54C11">
        <w:rPr>
          <w:rFonts w:cs="Arial"/>
          <w:szCs w:val="24"/>
        </w:rPr>
        <w:t xml:space="preserve">.  These are only intended to be used as a guide and therefore the list is not exhaustive.  Any person felt threatened or fearful of their own safety, should still report the incident.  </w:t>
      </w:r>
      <w:r w:rsidR="00BC5F9C" w:rsidRPr="00E54C11">
        <w:rPr>
          <w:rFonts w:cs="Arial"/>
          <w:szCs w:val="24"/>
        </w:rPr>
        <w:t>These removal regulations cover all person</w:t>
      </w:r>
      <w:r w:rsidR="00BC5F9C">
        <w:rPr>
          <w:rFonts w:cs="Arial"/>
          <w:szCs w:val="24"/>
        </w:rPr>
        <w:t>s</w:t>
      </w:r>
      <w:r w:rsidR="00BC5F9C" w:rsidRPr="00E54C11">
        <w:rPr>
          <w:rFonts w:cs="Arial"/>
          <w:szCs w:val="24"/>
        </w:rPr>
        <w:t xml:space="preserve"> on the practice premises</w:t>
      </w:r>
      <w:r w:rsidR="00BC5F9C">
        <w:t>.</w:t>
      </w:r>
      <w:r w:rsidR="00BC5F9C" w:rsidRPr="00E77F77">
        <w:t xml:space="preserve"> </w:t>
      </w:r>
    </w:p>
    <w:p w14:paraId="51CD10BE" w14:textId="77777777" w:rsidR="008F7BB3" w:rsidRPr="00E77F77" w:rsidRDefault="008F7BB3" w:rsidP="008F7BB3">
      <w:pPr>
        <w:pStyle w:val="Heading4"/>
      </w:pPr>
      <w:r w:rsidRPr="00E54C11">
        <w:lastRenderedPageBreak/>
        <w:t>ve</w:t>
      </w:r>
      <w:r w:rsidRPr="00E77F77">
        <w:t>r</w:t>
      </w:r>
      <w:r w:rsidRPr="00E54C11">
        <w:t>ba</w:t>
      </w:r>
      <w:r w:rsidRPr="00E77F77">
        <w:t>l</w:t>
      </w:r>
      <w:r w:rsidRPr="00E54C11">
        <w:t xml:space="preserve"> abus</w:t>
      </w:r>
      <w:r w:rsidRPr="00E77F77">
        <w:t>e</w:t>
      </w:r>
      <w:r w:rsidRPr="00E54C11">
        <w:t xml:space="preserve"> includin</w:t>
      </w:r>
      <w:r w:rsidRPr="00E77F77">
        <w:t>g</w:t>
      </w:r>
      <w:r w:rsidRPr="00E54C11">
        <w:t xml:space="preserve"> swea</w:t>
      </w:r>
      <w:r w:rsidRPr="00E77F77">
        <w:t>r</w:t>
      </w:r>
      <w:r w:rsidRPr="00E54C11">
        <w:t>ing</w:t>
      </w:r>
      <w:r w:rsidRPr="00E77F77">
        <w:t>,</w:t>
      </w:r>
      <w:r w:rsidRPr="00E54C11">
        <w:t xml:space="preserve"> eithe</w:t>
      </w:r>
      <w:r w:rsidRPr="00E77F77">
        <w:t>r</w:t>
      </w:r>
      <w:r w:rsidRPr="00E54C11">
        <w:t xml:space="preserve"> o</w:t>
      </w:r>
      <w:r w:rsidRPr="00E77F77">
        <w:t>f</w:t>
      </w:r>
      <w:r w:rsidRPr="00E54C11">
        <w:t xml:space="preserve"> </w:t>
      </w:r>
      <w:r w:rsidRPr="00E77F77">
        <w:t>a</w:t>
      </w:r>
      <w:r w:rsidRPr="00E54C11">
        <w:t xml:space="preserve"> specifi</w:t>
      </w:r>
      <w:r w:rsidRPr="00E77F77">
        <w:t>c</w:t>
      </w:r>
      <w:r w:rsidRPr="00E54C11">
        <w:t xml:space="preserve"> o</w:t>
      </w:r>
      <w:r w:rsidRPr="00E77F77">
        <w:t>r</w:t>
      </w:r>
      <w:r w:rsidRPr="00E54C11">
        <w:t xml:space="preserve"> non</w:t>
      </w:r>
      <w:r w:rsidRPr="00E77F77">
        <w:t>-</w:t>
      </w:r>
      <w:r w:rsidRPr="00E54C11">
        <w:t>specifi</w:t>
      </w:r>
      <w:r w:rsidRPr="00E77F77">
        <w:t>c</w:t>
      </w:r>
      <w:r w:rsidRPr="00E54C11">
        <w:t xml:space="preserve"> natu</w:t>
      </w:r>
      <w:r w:rsidRPr="00E77F77">
        <w:t>r</w:t>
      </w:r>
      <w:r w:rsidRPr="00E54C11">
        <w:t>e</w:t>
      </w:r>
      <w:r w:rsidRPr="00E77F77">
        <w:t>,</w:t>
      </w:r>
      <w:r w:rsidRPr="00E54C11">
        <w:t xml:space="preserve"> i</w:t>
      </w:r>
      <w:r w:rsidRPr="00E77F77">
        <w:t>f</w:t>
      </w:r>
      <w:r w:rsidRPr="00E54C11">
        <w:t xml:space="preserve"> no</w:t>
      </w:r>
      <w:r w:rsidRPr="00E77F77">
        <w:t>t</w:t>
      </w:r>
      <w:r w:rsidRPr="00E54C11">
        <w:t xml:space="preserve"> accompanie</w:t>
      </w:r>
      <w:r w:rsidRPr="00E77F77">
        <w:t>d</w:t>
      </w:r>
      <w:r w:rsidRPr="00E54C11">
        <w:t xml:space="preserve"> b</w:t>
      </w:r>
      <w:r w:rsidRPr="00E77F77">
        <w:t>y</w:t>
      </w:r>
      <w:r w:rsidRPr="00E54C11">
        <w:t xml:space="preserve"> an</w:t>
      </w:r>
      <w:r w:rsidRPr="00E77F77">
        <w:t>y</w:t>
      </w:r>
      <w:r w:rsidRPr="00E54C11">
        <w:t xml:space="preserve"> genuinel</w:t>
      </w:r>
      <w:r w:rsidRPr="00E77F77">
        <w:t xml:space="preserve">y </w:t>
      </w:r>
      <w:r w:rsidRPr="00E54C11">
        <w:t>th</w:t>
      </w:r>
      <w:r w:rsidRPr="00E77F77">
        <w:t>r</w:t>
      </w:r>
      <w:r w:rsidRPr="00E54C11">
        <w:t>eatenin</w:t>
      </w:r>
      <w:r w:rsidRPr="00E77F77">
        <w:t>g</w:t>
      </w:r>
      <w:r w:rsidRPr="00E54C11">
        <w:t xml:space="preserve"> behaviou</w:t>
      </w:r>
      <w:r w:rsidRPr="00E77F77">
        <w:t>r,</w:t>
      </w:r>
      <w:r w:rsidRPr="00E54C11">
        <w:t xml:space="preserve"> e.g</w:t>
      </w:r>
      <w:r w:rsidRPr="00E77F77">
        <w:t>.</w:t>
      </w:r>
      <w:r w:rsidRPr="00E54C11">
        <w:t xml:space="preserve"> whe</w:t>
      </w:r>
      <w:r w:rsidRPr="00E77F77">
        <w:t>n</w:t>
      </w:r>
      <w:r w:rsidRPr="00E54C11">
        <w:t xml:space="preserve"> i</w:t>
      </w:r>
      <w:r w:rsidRPr="00E77F77">
        <w:t>t</w:t>
      </w:r>
      <w:r w:rsidRPr="00E54C11">
        <w:t xml:space="preserve"> ca</w:t>
      </w:r>
      <w:r w:rsidRPr="00E77F77">
        <w:t>n</w:t>
      </w:r>
      <w:r w:rsidRPr="00E54C11">
        <w:t xml:space="preserve"> </w:t>
      </w:r>
      <w:r w:rsidRPr="00E77F77">
        <w:t>r</w:t>
      </w:r>
      <w:r w:rsidRPr="00E54C11">
        <w:t>easonabl</w:t>
      </w:r>
      <w:r w:rsidRPr="00E77F77">
        <w:t>y</w:t>
      </w:r>
      <w:r w:rsidRPr="00E54C11">
        <w:t xml:space="preserve"> b</w:t>
      </w:r>
      <w:r w:rsidRPr="00E77F77">
        <w:t>e</w:t>
      </w:r>
      <w:r w:rsidRPr="00E54C11">
        <w:t xml:space="preserve"> see</w:t>
      </w:r>
      <w:r w:rsidRPr="00E77F77">
        <w:t>n</w:t>
      </w:r>
      <w:r w:rsidRPr="00E54C11">
        <w:t xml:space="preserve"> a</w:t>
      </w:r>
      <w:r w:rsidRPr="00E77F77">
        <w:t xml:space="preserve">s </w:t>
      </w:r>
      <w:r w:rsidRPr="00E54C11">
        <w:t>me</w:t>
      </w:r>
      <w:r w:rsidRPr="00E77F77">
        <w:t>r</w:t>
      </w:r>
      <w:r w:rsidRPr="00E54C11">
        <w:t>el</w:t>
      </w:r>
      <w:r w:rsidRPr="00E77F77">
        <w:t>y</w:t>
      </w:r>
      <w:r w:rsidRPr="00E54C11">
        <w:t xml:space="preserve"> ventin</w:t>
      </w:r>
      <w:r w:rsidRPr="00E77F77">
        <w:t>g</w:t>
      </w:r>
      <w:r w:rsidRPr="00E54C11">
        <w:t xml:space="preserve"> f</w:t>
      </w:r>
      <w:r w:rsidRPr="00E77F77">
        <w:t>r</w:t>
      </w:r>
      <w:r w:rsidRPr="00E54C11">
        <w:t>ust</w:t>
      </w:r>
      <w:r w:rsidRPr="00E77F77">
        <w:t>r</w:t>
      </w:r>
      <w:r w:rsidRPr="00E54C11">
        <w:t>atio</w:t>
      </w:r>
      <w:r w:rsidRPr="00E77F77">
        <w:t>n</w:t>
      </w:r>
      <w:r w:rsidRPr="00E54C11">
        <w:t xml:space="preserve"> o</w:t>
      </w:r>
      <w:r w:rsidRPr="00E77F77">
        <w:t>r</w:t>
      </w:r>
      <w:r w:rsidRPr="00E54C11">
        <w:t xml:space="preserve"> ‘blowin</w:t>
      </w:r>
      <w:r w:rsidRPr="00E77F77">
        <w:t>g</w:t>
      </w:r>
      <w:r w:rsidRPr="00E54C11">
        <w:t xml:space="preserve"> of</w:t>
      </w:r>
      <w:r w:rsidRPr="00E77F77">
        <w:t>f</w:t>
      </w:r>
      <w:r w:rsidRPr="00E54C11">
        <w:t xml:space="preserve"> steam’</w:t>
      </w:r>
      <w:r w:rsidRPr="00E77F77">
        <w:t>.</w:t>
      </w:r>
      <w:r w:rsidRPr="00E54C11">
        <w:t xml:space="preserve"> </w:t>
      </w:r>
      <w:r w:rsidRPr="00E77F77">
        <w:t>Pr</w:t>
      </w:r>
      <w:r w:rsidRPr="00E54C11">
        <w:t>actice</w:t>
      </w:r>
      <w:r w:rsidRPr="00E77F77">
        <w:t xml:space="preserve">s </w:t>
      </w:r>
      <w:r>
        <w:t>should</w:t>
      </w:r>
      <w:r w:rsidRPr="00E77F77">
        <w:t xml:space="preserve"> </w:t>
      </w:r>
      <w:r w:rsidRPr="00E54C11">
        <w:t>exe</w:t>
      </w:r>
      <w:r w:rsidRPr="00E77F77">
        <w:t>r</w:t>
      </w:r>
      <w:r w:rsidRPr="00E54C11">
        <w:t>cis</w:t>
      </w:r>
      <w:r w:rsidRPr="00E77F77">
        <w:t>e</w:t>
      </w:r>
      <w:r w:rsidRPr="00E54C11">
        <w:t xml:space="preserve"> disc</w:t>
      </w:r>
      <w:r w:rsidRPr="00E77F77">
        <w:t>r</w:t>
      </w:r>
      <w:r w:rsidRPr="00E54C11">
        <w:t>etio</w:t>
      </w:r>
      <w:r w:rsidRPr="00E77F77">
        <w:t>n</w:t>
      </w:r>
      <w:r w:rsidRPr="00E54C11">
        <w:t xml:space="preserve"> whe</w:t>
      </w:r>
      <w:r w:rsidRPr="00E77F77">
        <w:t>n</w:t>
      </w:r>
      <w:r w:rsidRPr="00E54C11">
        <w:t xml:space="preserve"> conside</w:t>
      </w:r>
      <w:r w:rsidRPr="00E77F77">
        <w:t>r</w:t>
      </w:r>
      <w:r w:rsidRPr="00E54C11">
        <w:t>in</w:t>
      </w:r>
      <w:r w:rsidRPr="00E77F77">
        <w:t>g</w:t>
      </w:r>
      <w:r w:rsidRPr="00E54C11">
        <w:t xml:space="preserve"> whethe</w:t>
      </w:r>
      <w:r w:rsidRPr="00E77F77">
        <w:t>r</w:t>
      </w:r>
      <w:r w:rsidRPr="00E54C11">
        <w:t xml:space="preserve"> </w:t>
      </w:r>
      <w:r w:rsidRPr="00E77F77">
        <w:t xml:space="preserve">a </w:t>
      </w:r>
      <w:r w:rsidRPr="00E54C11">
        <w:t>pe</w:t>
      </w:r>
      <w:r w:rsidRPr="00E77F77">
        <w:t>r</w:t>
      </w:r>
      <w:r w:rsidRPr="00E54C11">
        <w:t>ceive</w:t>
      </w:r>
      <w:r w:rsidRPr="00E77F77">
        <w:t>d</w:t>
      </w:r>
      <w:r w:rsidRPr="00E54C11">
        <w:t xml:space="preserve"> fea</w:t>
      </w:r>
      <w:r w:rsidRPr="00E77F77">
        <w:t>r</w:t>
      </w:r>
      <w:r w:rsidRPr="00E54C11">
        <w:t xml:space="preserve"> o</w:t>
      </w:r>
      <w:r w:rsidRPr="00E77F77">
        <w:t>r</w:t>
      </w:r>
      <w:r w:rsidRPr="00E54C11">
        <w:t xml:space="preserve"> belie</w:t>
      </w:r>
      <w:r w:rsidRPr="00E77F77">
        <w:t>f</w:t>
      </w:r>
      <w:r w:rsidRPr="00E54C11">
        <w:t xml:space="preserve"> tha</w:t>
      </w:r>
      <w:r w:rsidRPr="00E77F77">
        <w:t>t</w:t>
      </w:r>
      <w:r w:rsidRPr="00E54C11">
        <w:t xml:space="preserve"> behaviou</w:t>
      </w:r>
      <w:r w:rsidRPr="00E77F77">
        <w:t>r</w:t>
      </w:r>
      <w:r w:rsidRPr="00E54C11">
        <w:t xml:space="preserve"> i</w:t>
      </w:r>
      <w:r w:rsidRPr="00E77F77">
        <w:t>s</w:t>
      </w:r>
      <w:r w:rsidRPr="00E54C11">
        <w:t xml:space="preserve"> th</w:t>
      </w:r>
      <w:r w:rsidRPr="00E77F77">
        <w:t>r</w:t>
      </w:r>
      <w:r w:rsidRPr="00E54C11">
        <w:t>eatenin</w:t>
      </w:r>
      <w:r w:rsidRPr="00E77F77">
        <w:t>g</w:t>
      </w:r>
      <w:r w:rsidRPr="00E54C11">
        <w:t xml:space="preserve"> i</w:t>
      </w:r>
      <w:r w:rsidRPr="00E77F77">
        <w:t>s r</w:t>
      </w:r>
      <w:r w:rsidRPr="00E54C11">
        <w:t>easonable.</w:t>
      </w:r>
    </w:p>
    <w:p w14:paraId="43083838" w14:textId="77777777" w:rsidR="008F7BB3" w:rsidRPr="00E77F77" w:rsidRDefault="008F7BB3" w:rsidP="008F7BB3">
      <w:pPr>
        <w:pStyle w:val="Heading4"/>
      </w:pPr>
      <w:r w:rsidRPr="00E54C11">
        <w:t>invasio</w:t>
      </w:r>
      <w:r w:rsidRPr="00E77F77">
        <w:t>n</w:t>
      </w:r>
      <w:r w:rsidRPr="00E54C11">
        <w:t xml:space="preserve"> o</w:t>
      </w:r>
      <w:r w:rsidRPr="00E77F77">
        <w:t>f</w:t>
      </w:r>
      <w:r w:rsidRPr="00E54C11">
        <w:t xml:space="preserve"> anothe</w:t>
      </w:r>
      <w:r w:rsidRPr="00E77F77">
        <w:t>r</w:t>
      </w:r>
      <w:r w:rsidRPr="00E54C11">
        <w:t xml:space="preserve"> pe</w:t>
      </w:r>
      <w:r w:rsidRPr="00E77F77">
        <w:t>r</w:t>
      </w:r>
      <w:r w:rsidRPr="00E54C11">
        <w:t>son’</w:t>
      </w:r>
      <w:r w:rsidRPr="00E77F77">
        <w:t>s</w:t>
      </w:r>
      <w:r w:rsidRPr="00E54C11">
        <w:t xml:space="preserve"> pe</w:t>
      </w:r>
      <w:r w:rsidRPr="00E77F77">
        <w:t>r</w:t>
      </w:r>
      <w:r w:rsidRPr="00E54C11">
        <w:t>sona</w:t>
      </w:r>
      <w:r w:rsidRPr="00E77F77">
        <w:t>l</w:t>
      </w:r>
      <w:r w:rsidRPr="00E54C11">
        <w:t xml:space="preserve"> spac</w:t>
      </w:r>
      <w:r w:rsidRPr="00E77F77">
        <w:t>e</w:t>
      </w:r>
    </w:p>
    <w:p w14:paraId="2D61851A" w14:textId="77777777" w:rsidR="008F7BB3" w:rsidRPr="00E77F77" w:rsidRDefault="008F7BB3" w:rsidP="008F7BB3">
      <w:pPr>
        <w:pStyle w:val="Heading4"/>
      </w:pPr>
      <w:r w:rsidRPr="00E54C11">
        <w:t>shoutin</w:t>
      </w:r>
      <w:r w:rsidRPr="00E77F77">
        <w:t>g</w:t>
      </w:r>
      <w:r w:rsidRPr="00E54C11">
        <w:t xml:space="preserve"> o</w:t>
      </w:r>
      <w:r w:rsidRPr="00E77F77">
        <w:t>r</w:t>
      </w:r>
      <w:r w:rsidRPr="00E54C11">
        <w:t xml:space="preserve"> bangin</w:t>
      </w:r>
      <w:r w:rsidRPr="00E77F77">
        <w:t>g</w:t>
      </w:r>
      <w:r w:rsidRPr="00E54C11">
        <w:t xml:space="preserve"> th</w:t>
      </w:r>
      <w:r w:rsidRPr="00E77F77">
        <w:t>e</w:t>
      </w:r>
      <w:r w:rsidRPr="00E54C11">
        <w:t xml:space="preserve"> </w:t>
      </w:r>
      <w:r w:rsidRPr="00E77F77">
        <w:t>r</w:t>
      </w:r>
      <w:r w:rsidRPr="00E54C11">
        <w:t>eceptio</w:t>
      </w:r>
      <w:r w:rsidRPr="00E77F77">
        <w:t>n</w:t>
      </w:r>
      <w:r w:rsidRPr="00E54C11">
        <w:t xml:space="preserve"> des</w:t>
      </w:r>
      <w:r w:rsidRPr="00E77F77">
        <w:t>k</w:t>
      </w:r>
    </w:p>
    <w:p w14:paraId="113BF83C" w14:textId="77777777" w:rsidR="008F7BB3" w:rsidRPr="00E77F77" w:rsidRDefault="008F7BB3" w:rsidP="008F7BB3">
      <w:pPr>
        <w:pStyle w:val="Heading4"/>
      </w:pPr>
      <w:r w:rsidRPr="00E54C11">
        <w:t>behaviou</w:t>
      </w:r>
      <w:r w:rsidRPr="00E77F77">
        <w:t>r</w:t>
      </w:r>
      <w:r w:rsidRPr="00E54C11">
        <w:t xml:space="preserve"> </w:t>
      </w:r>
      <w:r>
        <w:t xml:space="preserve"> </w:t>
      </w:r>
      <w:r w:rsidRPr="00E54C11">
        <w:t>tha</w:t>
      </w:r>
      <w:r>
        <w:t>t</w:t>
      </w:r>
      <w:r w:rsidRPr="00E54C11">
        <w:t xml:space="preserve"> </w:t>
      </w:r>
      <w:r>
        <w:t>was</w:t>
      </w:r>
      <w:r w:rsidRPr="00E54C11">
        <w:t xml:space="preserve"> no</w:t>
      </w:r>
      <w:r>
        <w:t>t appropriate to report to the police (e.g.</w:t>
      </w:r>
      <w:r w:rsidRPr="00E54C11">
        <w:t xml:space="preserve"> </w:t>
      </w:r>
      <w:r w:rsidRPr="00E77F77">
        <w:t>a</w:t>
      </w:r>
      <w:r w:rsidRPr="00E54C11">
        <w:t xml:space="preserve"> patien</w:t>
      </w:r>
      <w:r w:rsidRPr="00E77F77">
        <w:t>t</w:t>
      </w:r>
      <w:r w:rsidRPr="00E54C11">
        <w:t xml:space="preserve"> wh</w:t>
      </w:r>
      <w:r w:rsidRPr="00E77F77">
        <w:t>o</w:t>
      </w:r>
      <w:r w:rsidRPr="00E54C11">
        <w:t xml:space="preserve"> ha</w:t>
      </w:r>
      <w:r w:rsidRPr="00E77F77">
        <w:t xml:space="preserve">s </w:t>
      </w:r>
      <w:r w:rsidRPr="00E54C11">
        <w:t>neve</w:t>
      </w:r>
      <w:r w:rsidRPr="00E77F77">
        <w:t>r</w:t>
      </w:r>
      <w:r w:rsidRPr="00E54C11">
        <w:t xml:space="preserve"> bee</w:t>
      </w:r>
      <w:r w:rsidRPr="00E77F77">
        <w:t>n</w:t>
      </w:r>
      <w:r w:rsidRPr="00E54C11">
        <w:t xml:space="preserve"> agg</w:t>
      </w:r>
      <w:r w:rsidRPr="00E77F77">
        <w:t>r</w:t>
      </w:r>
      <w:r w:rsidRPr="00E54C11">
        <w:t>essiv</w:t>
      </w:r>
      <w:r w:rsidRPr="00E77F77">
        <w:t>e</w:t>
      </w:r>
      <w:r w:rsidRPr="00E54C11">
        <w:t xml:space="preserve"> befo</w:t>
      </w:r>
      <w:r w:rsidRPr="00E77F77">
        <w:t>re</w:t>
      </w:r>
      <w:r w:rsidRPr="00E54C11">
        <w:t xml:space="preserve"> an</w:t>
      </w:r>
      <w:r w:rsidRPr="00E77F77">
        <w:t>d</w:t>
      </w:r>
      <w:r w:rsidRPr="00E54C11">
        <w:t xml:space="preserve"> wh</w:t>
      </w:r>
      <w:r w:rsidRPr="00E77F77">
        <w:t>o</w:t>
      </w:r>
      <w:r w:rsidRPr="00E54C11">
        <w:t xml:space="preserve"> i</w:t>
      </w:r>
      <w:r w:rsidRPr="00E77F77">
        <w:t>s</w:t>
      </w:r>
      <w:r w:rsidRPr="00E54C11">
        <w:t xml:space="preserve"> clea</w:t>
      </w:r>
      <w:r w:rsidRPr="00E77F77">
        <w:t>r</w:t>
      </w:r>
      <w:r w:rsidRPr="00E54C11">
        <w:t>l</w:t>
      </w:r>
      <w:r w:rsidRPr="00E77F77">
        <w:t>y</w:t>
      </w:r>
      <w:r w:rsidRPr="00E54C11">
        <w:t xml:space="preserve"> suffe</w:t>
      </w:r>
      <w:r w:rsidRPr="00E77F77">
        <w:t>r</w:t>
      </w:r>
      <w:r w:rsidRPr="00E54C11">
        <w:t>in</w:t>
      </w:r>
      <w:r w:rsidRPr="00E77F77">
        <w:t xml:space="preserve">g </w:t>
      </w:r>
      <w:r w:rsidRPr="00E54C11">
        <w:t>menta</w:t>
      </w:r>
      <w:r w:rsidRPr="00E77F77">
        <w:t>l</w:t>
      </w:r>
      <w:r w:rsidRPr="00E54C11">
        <w:t xml:space="preserve"> o</w:t>
      </w:r>
      <w:r w:rsidRPr="00E77F77">
        <w:t>r</w:t>
      </w:r>
      <w:r w:rsidRPr="00E54C11">
        <w:t xml:space="preserve"> physica</w:t>
      </w:r>
      <w:r w:rsidRPr="00E77F77">
        <w:t>l</w:t>
      </w:r>
      <w:r w:rsidRPr="00E54C11">
        <w:t xml:space="preserve"> anguis</w:t>
      </w:r>
      <w:r w:rsidRPr="00E77F77">
        <w:t>h</w:t>
      </w:r>
      <w:r>
        <w:t>)</w:t>
      </w:r>
      <w:r w:rsidRPr="00E77F77">
        <w:t xml:space="preserve"> . </w:t>
      </w:r>
      <w:r w:rsidRPr="00E54C11">
        <w:t xml:space="preserve"> I</w:t>
      </w:r>
      <w:r w:rsidRPr="00E77F77">
        <w:t>n</w:t>
      </w:r>
      <w:r w:rsidRPr="00E54C11">
        <w:t xml:space="preserve"> suc</w:t>
      </w:r>
      <w:r w:rsidRPr="00E77F77">
        <w:t>h</w:t>
      </w:r>
      <w:r w:rsidRPr="00E54C11">
        <w:t xml:space="preserve"> ci</w:t>
      </w:r>
      <w:r w:rsidRPr="00E77F77">
        <w:t>r</w:t>
      </w:r>
      <w:r w:rsidRPr="00E54C11">
        <w:t>cumstances</w:t>
      </w:r>
      <w:r w:rsidRPr="00E77F77">
        <w:t>,</w:t>
      </w:r>
      <w:r w:rsidRPr="00E54C11">
        <w:t xml:space="preserve"> i</w:t>
      </w:r>
      <w:r w:rsidRPr="00E77F77">
        <w:t>t</w:t>
      </w:r>
      <w:r w:rsidRPr="00E54C11">
        <w:t xml:space="preserve"> migh</w:t>
      </w:r>
      <w:r w:rsidRPr="00E77F77">
        <w:t xml:space="preserve">t </w:t>
      </w:r>
      <w:r w:rsidRPr="00E54C11">
        <w:t>b</w:t>
      </w:r>
      <w:r w:rsidRPr="00E77F77">
        <w:t>e</w:t>
      </w:r>
      <w:r w:rsidRPr="00E54C11">
        <w:t xml:space="preserve"> mo</w:t>
      </w:r>
      <w:r w:rsidRPr="00E77F77">
        <w:t>re</w:t>
      </w:r>
      <w:r w:rsidRPr="00E54C11">
        <w:t xml:space="preserve"> app</w:t>
      </w:r>
      <w:r w:rsidRPr="00E77F77">
        <w:t>r</w:t>
      </w:r>
      <w:r w:rsidRPr="00E54C11">
        <w:t>op</w:t>
      </w:r>
      <w:r w:rsidRPr="00E77F77">
        <w:t>r</w:t>
      </w:r>
      <w:r w:rsidRPr="00E54C11">
        <w:t>iat</w:t>
      </w:r>
      <w:r w:rsidRPr="00E77F77">
        <w:t>e</w:t>
      </w:r>
      <w:r w:rsidRPr="00E54C11">
        <w:t xml:space="preserve"> t</w:t>
      </w:r>
      <w:r w:rsidRPr="00E77F77">
        <w:t>o</w:t>
      </w:r>
      <w:r w:rsidRPr="00E54C11">
        <w:t xml:space="preserve"> us</w:t>
      </w:r>
      <w:r w:rsidRPr="00E77F77">
        <w:t>e</w:t>
      </w:r>
      <w:r w:rsidRPr="00E54C11">
        <w:t xml:space="preserve"> th</w:t>
      </w:r>
      <w:r w:rsidRPr="00E77F77">
        <w:t>e</w:t>
      </w:r>
      <w:r w:rsidRPr="00E54C11">
        <w:t xml:space="preserve"> standa</w:t>
      </w:r>
      <w:r w:rsidRPr="00E77F77">
        <w:t>rd</w:t>
      </w:r>
      <w:r w:rsidRPr="00E54C11">
        <w:t xml:space="preserve"> p</w:t>
      </w:r>
      <w:r w:rsidRPr="00E77F77">
        <w:t>r</w:t>
      </w:r>
      <w:r w:rsidRPr="00E54C11">
        <w:t>ocedu</w:t>
      </w:r>
      <w:r w:rsidRPr="00E77F77">
        <w:t>re</w:t>
      </w:r>
      <w:r w:rsidRPr="00E54C11">
        <w:t xml:space="preserve"> fo</w:t>
      </w:r>
      <w:r w:rsidRPr="00E77F77">
        <w:t xml:space="preserve">r </w:t>
      </w:r>
      <w:r w:rsidRPr="00E54C11">
        <w:t>b</w:t>
      </w:r>
      <w:r w:rsidRPr="00E77F77">
        <w:t>r</w:t>
      </w:r>
      <w:r w:rsidRPr="00E54C11">
        <w:t>eakdow</w:t>
      </w:r>
      <w:r w:rsidRPr="00E77F77">
        <w:t>n</w:t>
      </w:r>
      <w:r w:rsidRPr="00E54C11">
        <w:t xml:space="preserve"> i</w:t>
      </w:r>
      <w:r w:rsidRPr="00E77F77">
        <w:t>n</w:t>
      </w:r>
      <w:r w:rsidRPr="00E54C11">
        <w:t xml:space="preserve"> p</w:t>
      </w:r>
      <w:r w:rsidRPr="00E77F77">
        <w:t>r</w:t>
      </w:r>
      <w:r w:rsidRPr="00E54C11">
        <w:t>actice/patien</w:t>
      </w:r>
      <w:r w:rsidRPr="00E77F77">
        <w:t>t</w:t>
      </w:r>
      <w:r w:rsidRPr="00E54C11">
        <w:t xml:space="preserve"> </w:t>
      </w:r>
      <w:r w:rsidRPr="00E77F77">
        <w:t>r</w:t>
      </w:r>
      <w:r w:rsidRPr="00E54C11">
        <w:t>elationshi</w:t>
      </w:r>
      <w:r w:rsidRPr="00E77F77">
        <w:t>p</w:t>
      </w:r>
      <w:r w:rsidRPr="00E54C11">
        <w:t xml:space="preserve"> b</w:t>
      </w:r>
      <w:r w:rsidRPr="00E77F77">
        <w:t>y</w:t>
      </w:r>
      <w:r w:rsidRPr="00E54C11">
        <w:t xml:space="preserve"> w</w:t>
      </w:r>
      <w:r w:rsidRPr="00E77F77">
        <w:t>r</w:t>
      </w:r>
      <w:r w:rsidRPr="00E54C11">
        <w:t>itin</w:t>
      </w:r>
      <w:r w:rsidRPr="00E77F77">
        <w:t>g</w:t>
      </w:r>
      <w:r w:rsidRPr="00E54C11">
        <w:t xml:space="preserve"> t</w:t>
      </w:r>
      <w:r w:rsidRPr="00E77F77">
        <w:t>o</w:t>
      </w:r>
      <w:r w:rsidRPr="00E54C11">
        <w:t xml:space="preserve"> the</w:t>
      </w:r>
      <w:r w:rsidRPr="00E77F77">
        <w:t xml:space="preserve">m </w:t>
      </w:r>
      <w:r w:rsidRPr="00E54C11">
        <w:t>afte</w:t>
      </w:r>
      <w:r w:rsidRPr="00E77F77">
        <w:t>r</w:t>
      </w:r>
      <w:r w:rsidRPr="00E54C11">
        <w:t xml:space="preserve"> th</w:t>
      </w:r>
      <w:r w:rsidRPr="00E77F77">
        <w:t>e</w:t>
      </w:r>
      <w:r w:rsidRPr="00E54C11">
        <w:t xml:space="preserve"> event</w:t>
      </w:r>
      <w:r w:rsidRPr="00E77F77">
        <w:t>,</w:t>
      </w:r>
      <w:r w:rsidRPr="00E54C11">
        <w:t xml:space="preserve"> </w:t>
      </w:r>
      <w:r w:rsidRPr="00E77F77">
        <w:t>r</w:t>
      </w:r>
      <w:r w:rsidRPr="00E54C11">
        <w:t>equestin</w:t>
      </w:r>
      <w:r w:rsidRPr="00E77F77">
        <w:t>g</w:t>
      </w:r>
      <w:r w:rsidRPr="00E54C11">
        <w:t xml:space="preserve"> a</w:t>
      </w:r>
      <w:r w:rsidRPr="00E77F77">
        <w:t>n</w:t>
      </w:r>
      <w:r w:rsidRPr="00E54C11">
        <w:t xml:space="preserve"> explanatio</w:t>
      </w:r>
      <w:r w:rsidRPr="00E77F77">
        <w:t>n</w:t>
      </w:r>
      <w:r w:rsidRPr="00E54C11">
        <w:t xml:space="preserve"> o</w:t>
      </w:r>
      <w:r w:rsidRPr="00E77F77">
        <w:t>r</w:t>
      </w:r>
      <w:r w:rsidRPr="00E54C11">
        <w:t xml:space="preserve"> apolog</w:t>
      </w:r>
      <w:r w:rsidRPr="00E77F77">
        <w:t>y</w:t>
      </w:r>
      <w:r w:rsidRPr="00E54C11">
        <w:t xml:space="preserve"> an</w:t>
      </w:r>
      <w:r w:rsidRPr="00E77F77">
        <w:t xml:space="preserve">d </w:t>
      </w:r>
      <w:r w:rsidRPr="00E54C11">
        <w:t>wa</w:t>
      </w:r>
      <w:r w:rsidRPr="00E77F77">
        <w:t>r</w:t>
      </w:r>
      <w:r w:rsidRPr="00E54C11">
        <w:t>nin</w:t>
      </w:r>
      <w:r w:rsidRPr="00E77F77">
        <w:t>g</w:t>
      </w:r>
      <w:r w:rsidRPr="00E54C11">
        <w:t xml:space="preserve"> tha</w:t>
      </w:r>
      <w:r w:rsidRPr="00E77F77">
        <w:t>t</w:t>
      </w:r>
      <w:r w:rsidRPr="00E54C11">
        <w:t xml:space="preserve"> </w:t>
      </w:r>
      <w:r w:rsidRPr="00E77F77">
        <w:t>a</w:t>
      </w:r>
      <w:r w:rsidRPr="00E54C11">
        <w:t xml:space="preserve"> continuatio</w:t>
      </w:r>
      <w:r w:rsidRPr="00E77F77">
        <w:t>n</w:t>
      </w:r>
      <w:r w:rsidRPr="00E54C11">
        <w:t xml:space="preserve"> o</w:t>
      </w:r>
      <w:r w:rsidRPr="00E77F77">
        <w:t>f</w:t>
      </w:r>
      <w:r w:rsidRPr="00E54C11">
        <w:t xml:space="preserve"> suc</w:t>
      </w:r>
      <w:r w:rsidRPr="00E77F77">
        <w:t>h</w:t>
      </w:r>
      <w:r w:rsidRPr="00E54C11">
        <w:t xml:space="preserve"> behaviou</w:t>
      </w:r>
      <w:r w:rsidRPr="00E77F77">
        <w:t>r</w:t>
      </w:r>
      <w:r w:rsidRPr="00E54C11">
        <w:t xml:space="preserve"> coul</w:t>
      </w:r>
      <w:r w:rsidRPr="00E77F77">
        <w:t>d</w:t>
      </w:r>
      <w:r w:rsidRPr="00E54C11">
        <w:t xml:space="preserve"> </w:t>
      </w:r>
      <w:r w:rsidRPr="00E77F77">
        <w:t>r</w:t>
      </w:r>
      <w:r w:rsidRPr="00E54C11">
        <w:t>esul</w:t>
      </w:r>
      <w:r w:rsidRPr="00E77F77">
        <w:t>t</w:t>
      </w:r>
      <w:r w:rsidRPr="00E54C11">
        <w:t xml:space="preserve"> i</w:t>
      </w:r>
      <w:r w:rsidRPr="00E77F77">
        <w:t xml:space="preserve">n </w:t>
      </w:r>
      <w:r w:rsidRPr="00E54C11">
        <w:t>the</w:t>
      </w:r>
      <w:r w:rsidRPr="00E77F77">
        <w:t>m</w:t>
      </w:r>
      <w:r w:rsidRPr="00E54C11">
        <w:t xml:space="preserve"> bein</w:t>
      </w:r>
      <w:r w:rsidRPr="00E77F77">
        <w:t>g</w:t>
      </w:r>
      <w:r w:rsidRPr="00E54C11">
        <w:t xml:space="preserve"> </w:t>
      </w:r>
      <w:r w:rsidRPr="00E77F77">
        <w:t>r</w:t>
      </w:r>
      <w:r w:rsidRPr="00E54C11">
        <w:t>emove</w:t>
      </w:r>
      <w:r w:rsidRPr="00E77F77">
        <w:t>d</w:t>
      </w:r>
      <w:r w:rsidRPr="00E54C11">
        <w:t xml:space="preserve"> f</w:t>
      </w:r>
      <w:r w:rsidRPr="00E77F77">
        <w:t>r</w:t>
      </w:r>
      <w:r w:rsidRPr="00E54C11">
        <w:t>o</w:t>
      </w:r>
      <w:r w:rsidRPr="00E77F77">
        <w:t>m</w:t>
      </w:r>
      <w:r w:rsidRPr="00E54C11">
        <w:t xml:space="preserve"> th</w:t>
      </w:r>
      <w:r w:rsidRPr="00E77F77">
        <w:t>e</w:t>
      </w:r>
      <w:r w:rsidRPr="00E54C11">
        <w:t xml:space="preserve"> p</w:t>
      </w:r>
      <w:r w:rsidRPr="00E77F77">
        <w:t>r</w:t>
      </w:r>
      <w:r w:rsidRPr="00E54C11">
        <w:t>actice’</w:t>
      </w:r>
      <w:r w:rsidRPr="00E77F77">
        <w:t>s</w:t>
      </w:r>
      <w:r w:rsidRPr="00E54C11">
        <w:t xml:space="preserve"> list</w:t>
      </w:r>
      <w:r w:rsidRPr="00E77F77">
        <w:t>.</w:t>
      </w:r>
      <w:r w:rsidRPr="00E54C11">
        <w:t xml:space="preserve"> </w:t>
      </w:r>
      <w:r w:rsidRPr="00E77F77">
        <w:t xml:space="preserve"> P</w:t>
      </w:r>
      <w:r w:rsidRPr="00E54C11">
        <w:t>atient</w:t>
      </w:r>
      <w:r w:rsidRPr="00E77F77">
        <w:t>s</w:t>
      </w:r>
      <w:r w:rsidRPr="00E54C11">
        <w:t xml:space="preserve"> mus</w:t>
      </w:r>
      <w:r w:rsidRPr="00E77F77">
        <w:t>t</w:t>
      </w:r>
      <w:r w:rsidRPr="00E54C11">
        <w:t xml:space="preserve"> no</w:t>
      </w:r>
      <w:r w:rsidRPr="00E77F77">
        <w:t xml:space="preserve">t </w:t>
      </w:r>
      <w:r w:rsidRPr="00E54C11">
        <w:t>b</w:t>
      </w:r>
      <w:r w:rsidRPr="00E77F77">
        <w:t>e</w:t>
      </w:r>
      <w:r w:rsidRPr="00E54C11">
        <w:t xml:space="preserve"> immediatel</w:t>
      </w:r>
      <w:r w:rsidRPr="00E77F77">
        <w:t>y</w:t>
      </w:r>
      <w:r w:rsidRPr="00E54C11">
        <w:t xml:space="preserve"> </w:t>
      </w:r>
      <w:r w:rsidRPr="00E77F77">
        <w:t>r</w:t>
      </w:r>
      <w:r w:rsidRPr="00E54C11">
        <w:t>emove</w:t>
      </w:r>
      <w:r w:rsidRPr="00E77F77">
        <w:t>d</w:t>
      </w:r>
      <w:r w:rsidRPr="00E54C11">
        <w:t xml:space="preserve"> fo</w:t>
      </w:r>
      <w:r w:rsidRPr="00E77F77">
        <w:t>r</w:t>
      </w:r>
      <w:r w:rsidRPr="00E54C11">
        <w:t xml:space="preserve"> mino</w:t>
      </w:r>
      <w:r w:rsidRPr="00E77F77">
        <w:t>r</w:t>
      </w:r>
      <w:r w:rsidRPr="00E54C11">
        <w:t xml:space="preserve"> offences</w:t>
      </w:r>
      <w:r>
        <w:t xml:space="preserve"> not reported to the police</w:t>
      </w:r>
      <w:r w:rsidRPr="00E77F77">
        <w:t>,</w:t>
      </w:r>
      <w:r w:rsidRPr="00E54C11">
        <w:t xml:space="preserve"> no</w:t>
      </w:r>
      <w:r w:rsidRPr="00E77F77">
        <w:t>r</w:t>
      </w:r>
      <w:r w:rsidRPr="00E54C11">
        <w:t xml:space="preserve"> shoul</w:t>
      </w:r>
      <w:r w:rsidRPr="00E77F77">
        <w:t>d</w:t>
      </w:r>
      <w:r w:rsidRPr="00E54C11">
        <w:t xml:space="preserve"> the</w:t>
      </w:r>
      <w:r w:rsidRPr="00E77F77">
        <w:t xml:space="preserve">y </w:t>
      </w:r>
      <w:r w:rsidRPr="00E54C11">
        <w:t>b</w:t>
      </w:r>
      <w:r w:rsidRPr="00E77F77">
        <w:t>e</w:t>
      </w:r>
      <w:r w:rsidRPr="00E54C11">
        <w:t xml:space="preserve"> </w:t>
      </w:r>
      <w:r w:rsidRPr="00E77F77">
        <w:t>r</w:t>
      </w:r>
      <w:r w:rsidRPr="00E54C11">
        <w:t>emove</w:t>
      </w:r>
      <w:r w:rsidRPr="00E77F77">
        <w:t>d</w:t>
      </w:r>
      <w:r w:rsidRPr="00E54C11">
        <w:t xml:space="preserve"> fo</w:t>
      </w:r>
      <w:r w:rsidRPr="00E77F77">
        <w:t>r</w:t>
      </w:r>
      <w:r w:rsidRPr="00E54C11">
        <w:t xml:space="preserve"> behaviou</w:t>
      </w:r>
      <w:r w:rsidRPr="00E77F77">
        <w:t>r</w:t>
      </w:r>
      <w:r w:rsidRPr="00E54C11">
        <w:t xml:space="preserve"> whic</w:t>
      </w:r>
      <w:r w:rsidRPr="00E77F77">
        <w:t>h</w:t>
      </w:r>
      <w:r w:rsidRPr="00E54C11">
        <w:t xml:space="preserve"> ca</w:t>
      </w:r>
      <w:r w:rsidRPr="00E77F77">
        <w:t>n</w:t>
      </w:r>
      <w:r w:rsidRPr="00E54C11">
        <w:t xml:space="preserve"> b</w:t>
      </w:r>
      <w:r w:rsidRPr="00E77F77">
        <w:t>e</w:t>
      </w:r>
      <w:r w:rsidRPr="00E54C11">
        <w:t xml:space="preserve"> asc</w:t>
      </w:r>
      <w:r w:rsidRPr="00E77F77">
        <w:t>r</w:t>
      </w:r>
      <w:r w:rsidRPr="00E54C11">
        <w:t>ibe</w:t>
      </w:r>
      <w:r w:rsidRPr="00E77F77">
        <w:t>d</w:t>
      </w:r>
      <w:r w:rsidRPr="00E54C11">
        <w:t xml:space="preserve"> t</w:t>
      </w:r>
      <w:r w:rsidRPr="00E77F77">
        <w:t>o</w:t>
      </w:r>
      <w:r w:rsidRPr="00E54C11">
        <w:t xml:space="preserve"> </w:t>
      </w:r>
      <w:r w:rsidRPr="00E77F77">
        <w:t xml:space="preserve">a </w:t>
      </w:r>
      <w:r w:rsidRPr="00E54C11">
        <w:t>conditio</w:t>
      </w:r>
      <w:r w:rsidRPr="00E77F77">
        <w:t>n</w:t>
      </w:r>
      <w:r w:rsidRPr="00E54C11">
        <w:t xml:space="preserve"> capabl</w:t>
      </w:r>
      <w:r w:rsidRPr="00E77F77">
        <w:t>e</w:t>
      </w:r>
      <w:r w:rsidRPr="00E54C11">
        <w:t xml:space="preserve"> o</w:t>
      </w:r>
      <w:r w:rsidRPr="00E77F77">
        <w:t>f</w:t>
      </w:r>
      <w:r w:rsidRPr="00E54C11">
        <w:t xml:space="preserve"> bein</w:t>
      </w:r>
      <w:r w:rsidRPr="00E77F77">
        <w:t>g</w:t>
      </w:r>
      <w:r w:rsidRPr="00E54C11">
        <w:t xml:space="preserve"> </w:t>
      </w:r>
      <w:r w:rsidRPr="00E77F77">
        <w:t>r</w:t>
      </w:r>
      <w:r w:rsidRPr="00E54C11">
        <w:t>apidl</w:t>
      </w:r>
      <w:r w:rsidRPr="00E77F77">
        <w:t>y</w:t>
      </w:r>
      <w:r w:rsidRPr="00E54C11">
        <w:t xml:space="preserve"> alleviate</w:t>
      </w:r>
      <w:r w:rsidRPr="00E77F77">
        <w:t>d</w:t>
      </w:r>
      <w:r w:rsidRPr="00E54C11">
        <w:t xml:space="preserve"> b</w:t>
      </w:r>
      <w:r w:rsidRPr="00E77F77">
        <w:t>y</w:t>
      </w:r>
      <w:r w:rsidRPr="00E54C11">
        <w:t xml:space="preserve"> t</w:t>
      </w:r>
      <w:r w:rsidRPr="00E77F77">
        <w:t>r</w:t>
      </w:r>
      <w:r w:rsidRPr="00E54C11">
        <w:t>eatmen</w:t>
      </w:r>
      <w:r w:rsidRPr="00E77F77">
        <w:t>t</w:t>
      </w:r>
      <w:r w:rsidRPr="00E54C11">
        <w:t xml:space="preserve"> e.g</w:t>
      </w:r>
      <w:r w:rsidRPr="00E77F77">
        <w:t xml:space="preserve">. </w:t>
      </w:r>
      <w:r w:rsidRPr="00E54C11">
        <w:t>menta</w:t>
      </w:r>
      <w:r w:rsidRPr="00E77F77">
        <w:t>l</w:t>
      </w:r>
      <w:r w:rsidRPr="00E54C11">
        <w:t xml:space="preserve"> healt</w:t>
      </w:r>
      <w:r w:rsidRPr="00E77F77">
        <w:t>h</w:t>
      </w:r>
      <w:r w:rsidRPr="00E54C11">
        <w:t xml:space="preserve"> illness</w:t>
      </w:r>
      <w:r>
        <w:t xml:space="preserve"> or medical / acute conditions with known behavioural changes (e.g. head injury) T</w:t>
      </w:r>
      <w:r w:rsidRPr="00E77F77">
        <w:t xml:space="preserve">herefore, </w:t>
      </w:r>
      <w:r w:rsidRPr="00E54C11">
        <w:t>ca</w:t>
      </w:r>
      <w:r w:rsidRPr="00E77F77">
        <w:t>r</w:t>
      </w:r>
      <w:r w:rsidRPr="00E54C11">
        <w:t>efu</w:t>
      </w:r>
      <w:r w:rsidRPr="00E77F77">
        <w:t>l</w:t>
      </w:r>
      <w:r w:rsidRPr="00E54C11">
        <w:t xml:space="preserve"> conside</w:t>
      </w:r>
      <w:r w:rsidRPr="00E77F77">
        <w:t>r</w:t>
      </w:r>
      <w:r w:rsidRPr="00E54C11">
        <w:t>atio</w:t>
      </w:r>
      <w:r w:rsidRPr="00E77F77">
        <w:t>n</w:t>
      </w:r>
      <w:r w:rsidRPr="00E54C11">
        <w:t xml:space="preserve"> o</w:t>
      </w:r>
      <w:r w:rsidRPr="00E77F77">
        <w:t>f</w:t>
      </w:r>
      <w:r w:rsidRPr="00E54C11">
        <w:t xml:space="preserve"> an</w:t>
      </w:r>
      <w:r w:rsidRPr="00E77F77">
        <w:t>y</w:t>
      </w:r>
      <w:r w:rsidRPr="00E54C11">
        <w:t xml:space="preserve"> mitigatin</w:t>
      </w:r>
      <w:r w:rsidRPr="00E77F77">
        <w:t>g</w:t>
      </w:r>
      <w:r w:rsidRPr="00E54C11">
        <w:t xml:space="preserve"> ci</w:t>
      </w:r>
      <w:r w:rsidRPr="00E77F77">
        <w:t>r</w:t>
      </w:r>
      <w:r w:rsidRPr="00E54C11">
        <w:t>cumstance</w:t>
      </w:r>
      <w:r w:rsidRPr="00E77F77">
        <w:t>s</w:t>
      </w:r>
      <w:r w:rsidRPr="00E54C11">
        <w:t xml:space="preserve"> mus</w:t>
      </w:r>
      <w:r w:rsidRPr="00E77F77">
        <w:t>t</w:t>
      </w:r>
      <w:r w:rsidRPr="00E54C11">
        <w:t xml:space="preserve"> b</w:t>
      </w:r>
      <w:r w:rsidRPr="00E77F77">
        <w:t xml:space="preserve">e </w:t>
      </w:r>
      <w:r w:rsidRPr="00E54C11">
        <w:t>give</w:t>
      </w:r>
      <w:r w:rsidRPr="00E77F77">
        <w:t>n</w:t>
      </w:r>
      <w:r w:rsidRPr="00E54C11">
        <w:t xml:space="preserve"> a</w:t>
      </w:r>
      <w:r w:rsidRPr="00E77F77">
        <w:t>s</w:t>
      </w:r>
      <w:r w:rsidRPr="00E54C11">
        <w:t xml:space="preserve"> t</w:t>
      </w:r>
      <w:r w:rsidRPr="00E77F77">
        <w:t>o</w:t>
      </w:r>
      <w:r w:rsidRPr="00E54C11">
        <w:t xml:space="preserve"> whethe</w:t>
      </w:r>
      <w:r w:rsidRPr="00E77F77">
        <w:t>r</w:t>
      </w:r>
      <w:r w:rsidRPr="00E54C11">
        <w:t xml:space="preserve"> </w:t>
      </w:r>
      <w:r w:rsidRPr="00E77F77">
        <w:t>a</w:t>
      </w:r>
      <w:r w:rsidRPr="00E54C11">
        <w:t xml:space="preserve"> </w:t>
      </w:r>
      <w:r w:rsidRPr="00E77F77">
        <w:t>r</w:t>
      </w:r>
      <w:r w:rsidRPr="00E54C11">
        <w:t>efe</w:t>
      </w:r>
      <w:r w:rsidRPr="00E77F77">
        <w:t>rr</w:t>
      </w:r>
      <w:r w:rsidRPr="00E54C11">
        <w:t>a</w:t>
      </w:r>
      <w:r w:rsidRPr="00E77F77">
        <w:t>l</w:t>
      </w:r>
      <w:r w:rsidRPr="00E54C11">
        <w:t xml:space="preserve"> t</w:t>
      </w:r>
      <w:r w:rsidRPr="00E77F77">
        <w:t>o</w:t>
      </w:r>
      <w:r w:rsidRPr="00E54C11">
        <w:t xml:space="preserve"> thi</w:t>
      </w:r>
      <w:r w:rsidRPr="00E77F77">
        <w:t>s</w:t>
      </w:r>
      <w:r w:rsidRPr="00E54C11">
        <w:t xml:space="preserve"> schem</w:t>
      </w:r>
      <w:r w:rsidRPr="00E77F77">
        <w:t>e</w:t>
      </w:r>
      <w:r w:rsidRPr="00E54C11">
        <w:t xml:space="preserve"> i</w:t>
      </w:r>
      <w:r w:rsidRPr="00E77F77">
        <w:t>s</w:t>
      </w:r>
      <w:r w:rsidRPr="00E54C11">
        <w:t xml:space="preserve"> i</w:t>
      </w:r>
      <w:r w:rsidRPr="00E77F77">
        <w:t>n</w:t>
      </w:r>
      <w:r w:rsidRPr="00E54C11">
        <w:t xml:space="preserve"> th</w:t>
      </w:r>
      <w:r w:rsidRPr="00E77F77">
        <w:t>e</w:t>
      </w:r>
      <w:r w:rsidRPr="00E54C11">
        <w:t xml:space="preserve"> bes</w:t>
      </w:r>
      <w:r w:rsidRPr="00E77F77">
        <w:t xml:space="preserve">t </w:t>
      </w:r>
      <w:r w:rsidRPr="00E54C11">
        <w:t>inte</w:t>
      </w:r>
      <w:r w:rsidRPr="00E77F77">
        <w:t>r</w:t>
      </w:r>
      <w:r w:rsidRPr="00E54C11">
        <w:t>est</w:t>
      </w:r>
      <w:r w:rsidRPr="00E77F77">
        <w:t>s</w:t>
      </w:r>
      <w:r w:rsidRPr="00E54C11">
        <w:t xml:space="preserve"> o</w:t>
      </w:r>
      <w:r w:rsidRPr="00E77F77">
        <w:t>f</w:t>
      </w:r>
      <w:r w:rsidRPr="00E54C11">
        <w:t xml:space="preserve"> th</w:t>
      </w:r>
      <w:r w:rsidRPr="00E77F77">
        <w:t>e</w:t>
      </w:r>
      <w:r w:rsidRPr="00E54C11">
        <w:t xml:space="preserve"> patient</w:t>
      </w:r>
      <w:r w:rsidRPr="00E77F77">
        <w:t xml:space="preserve">. </w:t>
      </w:r>
    </w:p>
    <w:p w14:paraId="44AEDBB4" w14:textId="77777777" w:rsidR="008F7BB3" w:rsidRPr="00E77F77" w:rsidRDefault="008F7BB3" w:rsidP="008F7BB3">
      <w:pPr>
        <w:pStyle w:val="Heading3"/>
      </w:pPr>
      <w:r w:rsidRPr="00E54C11">
        <w:t>Incident</w:t>
      </w:r>
      <w:r w:rsidRPr="00E77F77">
        <w:t>s</w:t>
      </w:r>
      <w:r w:rsidRPr="00E54C11">
        <w:t xml:space="preserve"> tha</w:t>
      </w:r>
      <w:r w:rsidRPr="00E77F77">
        <w:t>t occur outside of the primary care setting and</w:t>
      </w:r>
      <w:r w:rsidRPr="00E54C11">
        <w:t xml:space="preserve"> hav</w:t>
      </w:r>
      <w:r w:rsidRPr="00E77F77">
        <w:t>e</w:t>
      </w:r>
      <w:r w:rsidRPr="00E54C11">
        <w:t xml:space="preserve"> n</w:t>
      </w:r>
      <w:r w:rsidRPr="00E77F77">
        <w:t xml:space="preserve">o </w:t>
      </w:r>
      <w:r w:rsidRPr="00E54C11">
        <w:t>connectio</w:t>
      </w:r>
      <w:r w:rsidRPr="00E77F77">
        <w:t>n</w:t>
      </w:r>
      <w:r w:rsidRPr="00E54C11">
        <w:t xml:space="preserve"> wit</w:t>
      </w:r>
      <w:r w:rsidRPr="00E77F77">
        <w:t>h</w:t>
      </w:r>
      <w:r w:rsidRPr="00E54C11">
        <w:t xml:space="preserve"> th</w:t>
      </w:r>
      <w:r w:rsidRPr="00E77F77">
        <w:t>e</w:t>
      </w:r>
      <w:r w:rsidRPr="00E54C11">
        <w:t xml:space="preserve"> p</w:t>
      </w:r>
      <w:r w:rsidRPr="00E77F77">
        <w:t>r</w:t>
      </w:r>
      <w:r w:rsidRPr="00E54C11">
        <w:t>actice</w:t>
      </w:r>
      <w:r w:rsidRPr="00E77F77">
        <w:t>,</w:t>
      </w:r>
      <w:r w:rsidRPr="00E54C11">
        <w:t xml:space="preserve"> suc</w:t>
      </w:r>
      <w:r w:rsidRPr="00E77F77">
        <w:t>h</w:t>
      </w:r>
      <w:r w:rsidRPr="00E54C11">
        <w:t xml:space="preserve"> a</w:t>
      </w:r>
      <w:r w:rsidRPr="00E77F77">
        <w:t>s</w:t>
      </w:r>
      <w:r w:rsidRPr="00E54C11">
        <w:t xml:space="preserve"> communit</w:t>
      </w:r>
      <w:r w:rsidRPr="00E77F77">
        <w:t>y</w:t>
      </w:r>
      <w:r w:rsidRPr="00E54C11">
        <w:t xml:space="preserve"> o</w:t>
      </w:r>
      <w:r w:rsidRPr="00E77F77">
        <w:t>r</w:t>
      </w:r>
      <w:r w:rsidRPr="00E54C11">
        <w:t xml:space="preserve"> hospita</w:t>
      </w:r>
      <w:r w:rsidRPr="00E77F77">
        <w:t>l</w:t>
      </w:r>
      <w:r w:rsidRPr="00E54C11">
        <w:t xml:space="preserve"> base</w:t>
      </w:r>
      <w:r w:rsidRPr="00E77F77">
        <w:t xml:space="preserve">d </w:t>
      </w:r>
      <w:r w:rsidRPr="00E54C11">
        <w:t>incidents</w:t>
      </w:r>
      <w:r w:rsidRPr="00E77F77">
        <w:t>.</w:t>
      </w:r>
      <w:r w:rsidRPr="00E54C11">
        <w:t xml:space="preserve"> Thes</w:t>
      </w:r>
      <w:r w:rsidRPr="00E77F77">
        <w:t>e</w:t>
      </w:r>
      <w:r w:rsidRPr="00E54C11">
        <w:t xml:space="preserve"> woul</w:t>
      </w:r>
      <w:r w:rsidRPr="00E77F77">
        <w:t>d</w:t>
      </w:r>
      <w:r w:rsidRPr="00E54C11">
        <w:t xml:space="preserve"> o</w:t>
      </w:r>
      <w:r w:rsidRPr="00E77F77">
        <w:t>r</w:t>
      </w:r>
      <w:r w:rsidRPr="00E54C11">
        <w:t>dina</w:t>
      </w:r>
      <w:r w:rsidRPr="00E77F77">
        <w:t>r</w:t>
      </w:r>
      <w:r w:rsidRPr="00E54C11">
        <w:t>il</w:t>
      </w:r>
      <w:r w:rsidRPr="00E77F77">
        <w:t>y</w:t>
      </w:r>
      <w:r w:rsidRPr="00E54C11">
        <w:t xml:space="preserve"> defaul</w:t>
      </w:r>
      <w:r w:rsidRPr="00E77F77">
        <w:t>t</w:t>
      </w:r>
      <w:r w:rsidRPr="00E54C11">
        <w:t xml:space="preserve"> t</w:t>
      </w:r>
      <w:r w:rsidRPr="00E77F77">
        <w:t>o</w:t>
      </w:r>
      <w:r w:rsidRPr="00E54C11">
        <w:t xml:space="preserve"> an</w:t>
      </w:r>
      <w:r w:rsidRPr="00E77F77">
        <w:t>d</w:t>
      </w:r>
      <w:r w:rsidRPr="00E54C11">
        <w:t xml:space="preserve"> deal</w:t>
      </w:r>
      <w:r w:rsidRPr="00E77F77">
        <w:t>t</w:t>
      </w:r>
      <w:r w:rsidRPr="00E54C11">
        <w:t xml:space="preserve"> wit</w:t>
      </w:r>
      <w:r w:rsidRPr="00E77F77">
        <w:t>h</w:t>
      </w:r>
      <w:r w:rsidRPr="00E54C11">
        <w:t xml:space="preserve"> b</w:t>
      </w:r>
      <w:r w:rsidRPr="00E77F77">
        <w:t>y</w:t>
      </w:r>
      <w:r w:rsidRPr="00E54C11">
        <w:t xml:space="preserve"> tha</w:t>
      </w:r>
      <w:r w:rsidRPr="00E77F77">
        <w:t xml:space="preserve">t </w:t>
      </w:r>
      <w:r w:rsidRPr="00E54C11">
        <w:t>specifi</w:t>
      </w:r>
      <w:r w:rsidRPr="00E77F77">
        <w:t>c</w:t>
      </w:r>
      <w:r w:rsidRPr="00E54C11">
        <w:t xml:space="preserve"> setting</w:t>
      </w:r>
      <w:r w:rsidRPr="00E77F77">
        <w:t>s</w:t>
      </w:r>
      <w:r w:rsidRPr="00E54C11">
        <w:t xml:space="preserve"> policy</w:t>
      </w:r>
      <w:r w:rsidRPr="00E77F77">
        <w:t>.</w:t>
      </w:r>
    </w:p>
    <w:p w14:paraId="032F744B" w14:textId="77777777" w:rsidR="008F7BB3" w:rsidRDefault="008F7BB3" w:rsidP="008F7BB3">
      <w:pPr>
        <w:pStyle w:val="Heading3"/>
      </w:pPr>
      <w:r w:rsidRPr="00E54C11">
        <w:t>I</w:t>
      </w:r>
      <w:r w:rsidRPr="00E77F77">
        <w:t>t</w:t>
      </w:r>
      <w:r w:rsidRPr="00E54C11">
        <w:t xml:space="preserve"> i</w:t>
      </w:r>
      <w:r w:rsidRPr="00E77F77">
        <w:t>s</w:t>
      </w:r>
      <w:r w:rsidRPr="00E54C11">
        <w:t xml:space="preserve"> impo</w:t>
      </w:r>
      <w:r w:rsidRPr="00E77F77">
        <w:t>r</w:t>
      </w:r>
      <w:r w:rsidRPr="00E54C11">
        <w:t>tan</w:t>
      </w:r>
      <w:r w:rsidRPr="00E77F77">
        <w:t>t</w:t>
      </w:r>
      <w:r w:rsidRPr="00E54C11">
        <w:t xml:space="preserve"> t</w:t>
      </w:r>
      <w:r w:rsidRPr="00E77F77">
        <w:t>o</w:t>
      </w:r>
      <w:r w:rsidRPr="00E54C11">
        <w:t xml:space="preserve"> </w:t>
      </w:r>
      <w:r w:rsidRPr="00E77F77">
        <w:t>r</w:t>
      </w:r>
      <w:r w:rsidRPr="00E54C11">
        <w:t>ecognis</w:t>
      </w:r>
      <w:r w:rsidRPr="00E77F77">
        <w:t>e</w:t>
      </w:r>
      <w:r w:rsidRPr="00E54C11">
        <w:t xml:space="preserve"> tha</w:t>
      </w:r>
      <w:r w:rsidRPr="00E77F77">
        <w:t>t</w:t>
      </w:r>
      <w:r w:rsidRPr="00E54C11">
        <w:t xml:space="preserve"> th</w:t>
      </w:r>
      <w:r w:rsidRPr="00E77F77">
        <w:t>e</w:t>
      </w:r>
      <w:r w:rsidRPr="00E54C11">
        <w:t xml:space="preserve"> </w:t>
      </w:r>
      <w:r w:rsidRPr="00E77F77">
        <w:t>S</w:t>
      </w:r>
      <w:r w:rsidRPr="00E54C11">
        <w:t>A</w:t>
      </w:r>
      <w:r w:rsidRPr="00E77F77">
        <w:t>S</w:t>
      </w:r>
      <w:r w:rsidRPr="00E54C11">
        <w:t xml:space="preserve"> doe</w:t>
      </w:r>
      <w:r w:rsidRPr="00E77F77">
        <w:t>s</w:t>
      </w:r>
      <w:r w:rsidRPr="00E54C11">
        <w:t xml:space="preserve"> no</w:t>
      </w:r>
      <w:r w:rsidRPr="00E77F77">
        <w:t>t</w:t>
      </w:r>
      <w:r w:rsidRPr="00E54C11">
        <w:t xml:space="preserve"> p</w:t>
      </w:r>
      <w:r w:rsidRPr="00E77F77">
        <w:t>r</w:t>
      </w:r>
      <w:r w:rsidRPr="00E54C11">
        <w:t>ovid</w:t>
      </w:r>
      <w:r w:rsidRPr="00E77F77">
        <w:t>e</w:t>
      </w:r>
      <w:r w:rsidRPr="00E54C11">
        <w:t xml:space="preserve"> fo</w:t>
      </w:r>
      <w:r w:rsidRPr="00E77F77">
        <w:t>r</w:t>
      </w:r>
      <w:r w:rsidRPr="00E54C11">
        <w:t xml:space="preserve"> th</w:t>
      </w:r>
      <w:r w:rsidRPr="00E77F77">
        <w:t xml:space="preserve">e </w:t>
      </w:r>
      <w:r w:rsidRPr="00E54C11">
        <w:t>ongoin</w:t>
      </w:r>
      <w:r w:rsidRPr="00E77F77">
        <w:t>g</w:t>
      </w:r>
      <w:r w:rsidRPr="00E54C11">
        <w:t xml:space="preserve"> treatmen</w:t>
      </w:r>
      <w:r w:rsidRPr="00E77F77">
        <w:t>t</w:t>
      </w:r>
      <w:r w:rsidRPr="00E54C11">
        <w:t xml:space="preserve"> o</w:t>
      </w:r>
      <w:r w:rsidRPr="00E77F77">
        <w:t>f</w:t>
      </w:r>
      <w:r w:rsidRPr="00E54C11">
        <w:t xml:space="preserve"> th</w:t>
      </w:r>
      <w:r w:rsidRPr="00E77F77">
        <w:t>e</w:t>
      </w:r>
      <w:r w:rsidRPr="00E54C11">
        <w:t xml:space="preserve"> familie</w:t>
      </w:r>
      <w:r w:rsidRPr="00E77F77">
        <w:t>s</w:t>
      </w:r>
      <w:r w:rsidRPr="00E54C11">
        <w:t xml:space="preserve"> o</w:t>
      </w:r>
      <w:r w:rsidRPr="00E77F77">
        <w:t>f</w:t>
      </w:r>
      <w:r w:rsidRPr="00E54C11">
        <w:t xml:space="preserve"> thos</w:t>
      </w:r>
      <w:r w:rsidRPr="00E77F77">
        <w:t>e</w:t>
      </w:r>
      <w:r w:rsidRPr="00E54C11">
        <w:t xml:space="preserve"> patient</w:t>
      </w:r>
      <w:r w:rsidRPr="00E77F77">
        <w:t>s</w:t>
      </w:r>
      <w:r w:rsidRPr="00E54C11">
        <w:t xml:space="preserve"> allocate</w:t>
      </w:r>
      <w:r w:rsidRPr="00E77F77">
        <w:t>d</w:t>
      </w:r>
      <w:r w:rsidRPr="00E54C11">
        <w:t xml:space="preserve"> t</w:t>
      </w:r>
      <w:r w:rsidRPr="00E77F77">
        <w:t>o</w:t>
      </w:r>
      <w:r w:rsidRPr="00E54C11">
        <w:t xml:space="preserve"> the schem</w:t>
      </w:r>
      <w:r w:rsidRPr="00E77F77">
        <w:t>e</w:t>
      </w:r>
      <w:r w:rsidRPr="00E54C11">
        <w:t xml:space="preserve"> fo</w:t>
      </w:r>
      <w:r w:rsidRPr="00E77F77">
        <w:t>r</w:t>
      </w:r>
      <w:r w:rsidRPr="00E54C11">
        <w:t xml:space="preserve"> incidence</w:t>
      </w:r>
      <w:r w:rsidRPr="00E77F77">
        <w:t>s</w:t>
      </w:r>
      <w:r w:rsidRPr="00E54C11">
        <w:t xml:space="preserve"> o</w:t>
      </w:r>
      <w:r w:rsidRPr="00E77F77">
        <w:t>f</w:t>
      </w:r>
      <w:r w:rsidRPr="00E54C11">
        <w:t xml:space="preserve"> violence</w:t>
      </w:r>
      <w:r w:rsidRPr="00E77F77">
        <w:t>.</w:t>
      </w:r>
      <w:r w:rsidRPr="00E54C11">
        <w:t xml:space="preserve"> </w:t>
      </w:r>
      <w:r w:rsidRPr="00E77F77">
        <w:t xml:space="preserve"> A</w:t>
      </w:r>
      <w:r w:rsidRPr="00E54C11">
        <w:t xml:space="preserve"> p</w:t>
      </w:r>
      <w:r w:rsidRPr="00E77F77">
        <w:t>r</w:t>
      </w:r>
      <w:r w:rsidRPr="00E54C11">
        <w:t>actic</w:t>
      </w:r>
      <w:r w:rsidRPr="00E77F77">
        <w:t>e</w:t>
      </w:r>
      <w:r w:rsidRPr="00E54C11">
        <w:t xml:space="preserve"> mus</w:t>
      </w:r>
      <w:r w:rsidRPr="00E77F77">
        <w:t>t</w:t>
      </w:r>
      <w:r w:rsidRPr="00E54C11">
        <w:t xml:space="preserve"> no</w:t>
      </w:r>
      <w:r w:rsidRPr="00E77F77">
        <w:t>t</w:t>
      </w:r>
      <w:r w:rsidRPr="00E54C11">
        <w:t xml:space="preserve"> </w:t>
      </w:r>
      <w:r>
        <w:t xml:space="preserve">unilaterally </w:t>
      </w:r>
      <w:r w:rsidRPr="00E77F77">
        <w:t>r</w:t>
      </w:r>
      <w:r w:rsidRPr="00E54C11">
        <w:t>emov</w:t>
      </w:r>
      <w:r w:rsidRPr="00E77F77">
        <w:t>e</w:t>
      </w:r>
      <w:r w:rsidRPr="00E54C11">
        <w:t xml:space="preserve"> </w:t>
      </w:r>
      <w:r>
        <w:t xml:space="preserve">all </w:t>
      </w:r>
      <w:r w:rsidRPr="00E54C11">
        <w:t>famil</w:t>
      </w:r>
      <w:r w:rsidRPr="00E77F77">
        <w:t xml:space="preserve">y </w:t>
      </w:r>
      <w:r w:rsidRPr="00E54C11">
        <w:t>membe</w:t>
      </w:r>
      <w:r w:rsidRPr="00E77F77">
        <w:t>rs</w:t>
      </w:r>
      <w:r w:rsidRPr="00E54C11">
        <w:t xml:space="preserve"> unles</w:t>
      </w:r>
      <w:r w:rsidRPr="00E77F77">
        <w:t>s</w:t>
      </w:r>
      <w:r w:rsidRPr="00E54C11">
        <w:t xml:space="preserve"> the</w:t>
      </w:r>
      <w:r w:rsidRPr="00E77F77">
        <w:t>y</w:t>
      </w:r>
      <w:r w:rsidRPr="00E54C11">
        <w:t xml:space="preserve"> hav</w:t>
      </w:r>
      <w:r w:rsidRPr="00E77F77">
        <w:t>e</w:t>
      </w:r>
      <w:r w:rsidRPr="00E54C11">
        <w:t xml:space="preserve"> als</w:t>
      </w:r>
      <w:r w:rsidRPr="00E77F77">
        <w:t>o</w:t>
      </w:r>
      <w:r w:rsidRPr="00E54C11">
        <w:t xml:space="preserve"> behave</w:t>
      </w:r>
      <w:r w:rsidRPr="00E77F77">
        <w:t>d</w:t>
      </w:r>
      <w:r w:rsidRPr="00E54C11">
        <w:t xml:space="preserve"> i</w:t>
      </w:r>
      <w:r w:rsidRPr="00E77F77">
        <w:t>n</w:t>
      </w:r>
      <w:r w:rsidRPr="00E54C11">
        <w:t xml:space="preserve"> wa</w:t>
      </w:r>
      <w:r w:rsidRPr="00E77F77">
        <w:t>y</w:t>
      </w:r>
      <w:r w:rsidRPr="00E54C11">
        <w:t xml:space="preserve"> a</w:t>
      </w:r>
      <w:r w:rsidRPr="00E77F77">
        <w:t>s</w:t>
      </w:r>
      <w:r w:rsidRPr="00E54C11">
        <w:t xml:space="preserve"> t</w:t>
      </w:r>
      <w:r w:rsidRPr="00E77F77">
        <w:t>o</w:t>
      </w:r>
      <w:r w:rsidRPr="00E54C11">
        <w:t xml:space="preserve"> </w:t>
      </w:r>
      <w:r w:rsidRPr="00E77F77">
        <w:t>r</w:t>
      </w:r>
      <w:r w:rsidRPr="00E54C11">
        <w:t>equi</w:t>
      </w:r>
      <w:r w:rsidRPr="00E77F77">
        <w:t>re</w:t>
      </w:r>
      <w:r w:rsidRPr="00E54C11">
        <w:t xml:space="preserve"> allocatio</w:t>
      </w:r>
      <w:r w:rsidRPr="00E77F77">
        <w:t xml:space="preserve">n </w:t>
      </w:r>
      <w:r w:rsidRPr="00E54C11">
        <w:t>t</w:t>
      </w:r>
      <w:r w:rsidRPr="00E77F77">
        <w:t>o</w:t>
      </w:r>
      <w:r w:rsidRPr="00E54C11">
        <w:t xml:space="preserve"> </w:t>
      </w:r>
      <w:r w:rsidRPr="00E77F77">
        <w:t>a</w:t>
      </w:r>
      <w:r w:rsidRPr="00E54C11">
        <w:t xml:space="preserve"> </w:t>
      </w:r>
      <w:r w:rsidRPr="00E77F77">
        <w:t>S</w:t>
      </w:r>
      <w:r w:rsidRPr="00E54C11">
        <w:t>A</w:t>
      </w:r>
      <w:r w:rsidRPr="00E77F77">
        <w:t>S</w:t>
      </w:r>
      <w:r w:rsidRPr="00E54C11">
        <w:t xml:space="preserve"> an</w:t>
      </w:r>
      <w:r w:rsidRPr="00E77F77">
        <w:t>d</w:t>
      </w:r>
      <w:r w:rsidRPr="00E54C11">
        <w:t xml:space="preserve"> eac</w:t>
      </w:r>
      <w:r w:rsidRPr="00E77F77">
        <w:t>h</w:t>
      </w:r>
      <w:r w:rsidRPr="00E54C11">
        <w:t xml:space="preserve"> patien</w:t>
      </w:r>
      <w:r w:rsidRPr="00E77F77">
        <w:t>t</w:t>
      </w:r>
      <w:r w:rsidRPr="00E54C11">
        <w:t xml:space="preserve"> mus</w:t>
      </w:r>
      <w:r w:rsidRPr="00E77F77">
        <w:t>t</w:t>
      </w:r>
      <w:r w:rsidRPr="00E54C11">
        <w:t xml:space="preserve"> b</w:t>
      </w:r>
      <w:r w:rsidRPr="00E77F77">
        <w:t>e</w:t>
      </w:r>
      <w:r w:rsidRPr="00E54C11">
        <w:t xml:space="preserve"> </w:t>
      </w:r>
      <w:r w:rsidRPr="00E77F77">
        <w:t>r</w:t>
      </w:r>
      <w:r w:rsidRPr="00E54C11">
        <w:t>efe</w:t>
      </w:r>
      <w:r w:rsidRPr="00E77F77">
        <w:t>rr</w:t>
      </w:r>
      <w:r w:rsidRPr="00E54C11">
        <w:t>e</w:t>
      </w:r>
      <w:r w:rsidRPr="00E77F77">
        <w:t>d</w:t>
      </w:r>
      <w:r w:rsidRPr="00E54C11">
        <w:t xml:space="preserve"> sepa</w:t>
      </w:r>
      <w:r w:rsidRPr="00E77F77">
        <w:t>r</w:t>
      </w:r>
      <w:r w:rsidRPr="00E54C11">
        <w:t>ately</w:t>
      </w:r>
      <w:r w:rsidRPr="00E77F77">
        <w:t>.</w:t>
      </w:r>
      <w:r w:rsidRPr="00E54C11">
        <w:t xml:space="preserve"> </w:t>
      </w:r>
      <w:r>
        <w:t>However, careful consideration will need to be given to the ongoing arrangements of any dependants of family the member who has been removed from the practice.  These should be considered on a case by case basis.</w:t>
      </w:r>
    </w:p>
    <w:p w14:paraId="4E8D03F0" w14:textId="77777777" w:rsidR="008F7BB3" w:rsidRPr="00E77F77" w:rsidRDefault="008F7BB3" w:rsidP="008F7BB3">
      <w:pPr>
        <w:pStyle w:val="Heading3"/>
      </w:pPr>
      <w:r w:rsidRPr="00E54C11">
        <w:lastRenderedPageBreak/>
        <w:t>Whe</w:t>
      </w:r>
      <w:r w:rsidRPr="00E77F77">
        <w:t>re</w:t>
      </w:r>
      <w:r w:rsidRPr="00E54C11">
        <w:t xml:space="preserve"> </w:t>
      </w:r>
      <w:r w:rsidRPr="00E77F77">
        <w:t xml:space="preserve">a </w:t>
      </w:r>
      <w:r w:rsidRPr="00E54C11">
        <w:t>b</w:t>
      </w:r>
      <w:r w:rsidRPr="00E77F77">
        <w:t>r</w:t>
      </w:r>
      <w:r w:rsidRPr="00E54C11">
        <w:t>eakdow</w:t>
      </w:r>
      <w:r w:rsidRPr="00E77F77">
        <w:t>n</w:t>
      </w:r>
      <w:r w:rsidRPr="00E54C11">
        <w:t xml:space="preserve"> i</w:t>
      </w:r>
      <w:r w:rsidRPr="00E77F77">
        <w:t>n</w:t>
      </w:r>
      <w:r w:rsidRPr="00E54C11">
        <w:t xml:space="preserve"> </w:t>
      </w:r>
      <w:r w:rsidRPr="00E77F77">
        <w:t>r</w:t>
      </w:r>
      <w:r w:rsidRPr="00E54C11">
        <w:t>elationshi</w:t>
      </w:r>
      <w:r w:rsidRPr="00E77F77">
        <w:t>p</w:t>
      </w:r>
      <w:r w:rsidRPr="00E54C11">
        <w:t xml:space="preserve"> ha</w:t>
      </w:r>
      <w:r w:rsidRPr="00E77F77">
        <w:t>d</w:t>
      </w:r>
      <w:r w:rsidRPr="00E54C11">
        <w:t xml:space="preserve"> occu</w:t>
      </w:r>
      <w:r w:rsidRPr="00E77F77">
        <w:t>rr</w:t>
      </w:r>
      <w:r w:rsidRPr="00E54C11">
        <w:t>e</w:t>
      </w:r>
      <w:r w:rsidRPr="00E77F77">
        <w:t>d</w:t>
      </w:r>
      <w:r w:rsidRPr="00E54C11">
        <w:t xml:space="preserve"> wit</w:t>
      </w:r>
      <w:r w:rsidRPr="00E77F77">
        <w:t>h</w:t>
      </w:r>
      <w:r w:rsidRPr="00E54C11">
        <w:t xml:space="preserve"> </w:t>
      </w:r>
      <w:r>
        <w:t xml:space="preserve">non-dependant </w:t>
      </w:r>
      <w:r w:rsidRPr="00E54C11">
        <w:t>famil</w:t>
      </w:r>
      <w:r w:rsidRPr="00E77F77">
        <w:t>y</w:t>
      </w:r>
      <w:r w:rsidRPr="00E54C11">
        <w:t xml:space="preserve"> membe</w:t>
      </w:r>
      <w:r w:rsidRPr="00E77F77">
        <w:t>rs</w:t>
      </w:r>
      <w:r w:rsidRPr="00E54C11">
        <w:t xml:space="preserve"> a</w:t>
      </w:r>
      <w:r w:rsidRPr="00E77F77">
        <w:t>s</w:t>
      </w:r>
      <w:r w:rsidRPr="00E54C11">
        <w:t xml:space="preserve"> </w:t>
      </w:r>
      <w:r w:rsidRPr="00E77F77">
        <w:t>a</w:t>
      </w:r>
      <w:r w:rsidRPr="00E54C11">
        <w:t xml:space="preserve"> </w:t>
      </w:r>
      <w:r w:rsidRPr="00E77F77">
        <w:t>r</w:t>
      </w:r>
      <w:r w:rsidRPr="00E54C11">
        <w:t>esul</w:t>
      </w:r>
      <w:r w:rsidRPr="00E77F77">
        <w:t xml:space="preserve">t </w:t>
      </w:r>
      <w:r w:rsidRPr="00E54C11">
        <w:t>o</w:t>
      </w:r>
      <w:r w:rsidRPr="00E77F77">
        <w:t>f</w:t>
      </w:r>
      <w:r w:rsidRPr="00E54C11">
        <w:t xml:space="preserve"> on</w:t>
      </w:r>
      <w:r w:rsidRPr="00E77F77">
        <w:t>e</w:t>
      </w:r>
      <w:r w:rsidRPr="00E54C11">
        <w:t xml:space="preserve"> famil</w:t>
      </w:r>
      <w:r w:rsidRPr="00E77F77">
        <w:t>y</w:t>
      </w:r>
      <w:r w:rsidRPr="00E54C11">
        <w:t xml:space="preserve"> membe</w:t>
      </w:r>
      <w:r w:rsidRPr="00E77F77">
        <w:t>r</w:t>
      </w:r>
      <w:r w:rsidRPr="00E54C11">
        <w:t xml:space="preserve"> bein</w:t>
      </w:r>
      <w:r w:rsidRPr="00E77F77">
        <w:t>g</w:t>
      </w:r>
      <w:r w:rsidRPr="00E54C11">
        <w:t xml:space="preserve"> place</w:t>
      </w:r>
      <w:r w:rsidRPr="00E77F77">
        <w:t>d</w:t>
      </w:r>
      <w:r w:rsidRPr="00E54C11">
        <w:t xml:space="preserve"> o</w:t>
      </w:r>
      <w:r w:rsidRPr="00E77F77">
        <w:t>n</w:t>
      </w:r>
      <w:r w:rsidRPr="00E54C11">
        <w:t xml:space="preserve"> th</w:t>
      </w:r>
      <w:r w:rsidRPr="00E77F77">
        <w:t>e</w:t>
      </w:r>
      <w:r w:rsidRPr="00E54C11">
        <w:t xml:space="preserve"> </w:t>
      </w:r>
      <w:r w:rsidRPr="00E77F77">
        <w:t>S</w:t>
      </w:r>
      <w:r w:rsidRPr="00E54C11">
        <w:t>A</w:t>
      </w:r>
      <w:r w:rsidRPr="00E77F77">
        <w:t>S,</w:t>
      </w:r>
      <w:r w:rsidRPr="00E54C11">
        <w:t xml:space="preserve"> the</w:t>
      </w:r>
      <w:r w:rsidRPr="00E77F77">
        <w:t>n</w:t>
      </w:r>
      <w:r w:rsidRPr="00E54C11">
        <w:t xml:space="preserve"> the</w:t>
      </w:r>
      <w:r w:rsidRPr="00E77F77">
        <w:t>y</w:t>
      </w:r>
      <w:r w:rsidRPr="00E54C11">
        <w:t xml:space="preserve"> shoul</w:t>
      </w:r>
      <w:r w:rsidRPr="00E77F77">
        <w:t>d</w:t>
      </w:r>
      <w:r w:rsidRPr="00E54C11">
        <w:t xml:space="preserve"> b</w:t>
      </w:r>
      <w:r w:rsidRPr="00E77F77">
        <w:t>e r</w:t>
      </w:r>
      <w:r w:rsidRPr="00E54C11">
        <w:t>emove</w:t>
      </w:r>
      <w:r w:rsidRPr="00E77F77">
        <w:t>d</w:t>
      </w:r>
      <w:r w:rsidRPr="00E54C11">
        <w:t xml:space="preserve"> usin</w:t>
      </w:r>
      <w:r w:rsidRPr="00E77F77">
        <w:t>g</w:t>
      </w:r>
      <w:r w:rsidRPr="00E54C11">
        <w:t xml:space="preserve"> </w:t>
      </w:r>
      <w:r w:rsidRPr="00E77F77">
        <w:t>a</w:t>
      </w:r>
      <w:r w:rsidRPr="00E54C11">
        <w:t xml:space="preserve"> mo</w:t>
      </w:r>
      <w:r w:rsidRPr="00E77F77">
        <w:t>re</w:t>
      </w:r>
      <w:r w:rsidRPr="00E54C11">
        <w:t xml:space="preserve"> </w:t>
      </w:r>
      <w:r w:rsidRPr="00E77F77">
        <w:t>r</w:t>
      </w:r>
      <w:r w:rsidRPr="00E54C11">
        <w:t>elevan</w:t>
      </w:r>
      <w:r w:rsidRPr="00E77F77">
        <w:t>t</w:t>
      </w:r>
      <w:r w:rsidRPr="00E54C11">
        <w:t xml:space="preserve"> p</w:t>
      </w:r>
      <w:r w:rsidRPr="00E77F77">
        <w:t>r</w:t>
      </w:r>
      <w:r w:rsidRPr="00E54C11">
        <w:t>oces</w:t>
      </w:r>
      <w:r w:rsidRPr="00E77F77">
        <w:t>s</w:t>
      </w:r>
      <w:r w:rsidRPr="00E54C11">
        <w:t xml:space="preserve"> e.g</w:t>
      </w:r>
      <w:r w:rsidRPr="00E77F77">
        <w:t>.</w:t>
      </w:r>
      <w:r w:rsidRPr="00E54C11">
        <w:t xml:space="preserve"> </w:t>
      </w:r>
      <w:r w:rsidRPr="00E77F77">
        <w:t>8</w:t>
      </w:r>
      <w:r w:rsidRPr="00E54C11">
        <w:t xml:space="preserve"> da</w:t>
      </w:r>
      <w:r w:rsidRPr="00E77F77">
        <w:t>y</w:t>
      </w:r>
      <w:r w:rsidRPr="00E54C11">
        <w:t xml:space="preserve"> </w:t>
      </w:r>
      <w:r w:rsidRPr="00E77F77">
        <w:t>r</w:t>
      </w:r>
      <w:r w:rsidRPr="00E54C11">
        <w:t>emoval</w:t>
      </w:r>
      <w:r w:rsidRPr="00E77F77">
        <w:t>.</w:t>
      </w:r>
      <w:r w:rsidRPr="00E77F77" w:rsidDel="006D1DF9">
        <w:t xml:space="preserve"> </w:t>
      </w:r>
    </w:p>
    <w:p w14:paraId="12DCEBDA" w14:textId="77777777" w:rsidR="008F7BB3" w:rsidRPr="00E54C11" w:rsidRDefault="008F7BB3" w:rsidP="008F7BB3">
      <w:pPr>
        <w:pStyle w:val="Body1"/>
        <w:spacing w:line="276" w:lineRule="auto"/>
        <w:rPr>
          <w:b/>
          <w:sz w:val="24"/>
        </w:rPr>
      </w:pPr>
      <w:r w:rsidRPr="00E54C11">
        <w:rPr>
          <w:b/>
          <w:sz w:val="24"/>
        </w:rPr>
        <w:t>NB – where a practice is unsure how to proceed having read these examples, they can contact the commissioner for support, advice and guidance</w:t>
      </w:r>
      <w:r>
        <w:rPr>
          <w:b/>
          <w:sz w:val="24"/>
        </w:rPr>
        <w:t>. The practice may also choose to seek guidance from the Local Medical Committee</w:t>
      </w:r>
      <w:r w:rsidRPr="00E54C11">
        <w:rPr>
          <w:b/>
          <w:sz w:val="24"/>
        </w:rPr>
        <w:t>.</w:t>
      </w:r>
      <w:r w:rsidRPr="00E77F77">
        <w:rPr>
          <w:b/>
          <w:sz w:val="24"/>
        </w:rPr>
        <w:t xml:space="preserve"> </w:t>
      </w:r>
    </w:p>
    <w:p w14:paraId="4050D69F" w14:textId="77777777" w:rsidR="008F7BB3" w:rsidRPr="00E77F77" w:rsidRDefault="008F7BB3" w:rsidP="008F7BB3">
      <w:pPr>
        <w:pStyle w:val="Heading3"/>
      </w:pPr>
      <w:r w:rsidRPr="00E77F77">
        <w:t>P</w:t>
      </w:r>
      <w:r w:rsidRPr="00E54C11">
        <w:t>leas</w:t>
      </w:r>
      <w:r w:rsidRPr="00E77F77">
        <w:t>e</w:t>
      </w:r>
      <w:r w:rsidRPr="00E54C11">
        <w:t xml:space="preserve"> not</w:t>
      </w:r>
      <w:r w:rsidRPr="00E77F77">
        <w:t>e</w:t>
      </w:r>
      <w:r w:rsidRPr="00E54C11">
        <w:t xml:space="preserve"> tha</w:t>
      </w:r>
      <w:r w:rsidRPr="00E77F77">
        <w:t>t</w:t>
      </w:r>
      <w:r w:rsidRPr="00E54C11">
        <w:t xml:space="preserve"> withi</w:t>
      </w:r>
      <w:r w:rsidRPr="00E77F77">
        <w:t>n</w:t>
      </w:r>
      <w:r w:rsidRPr="00E54C11">
        <w:t xml:space="preserve"> th</w:t>
      </w:r>
      <w:r w:rsidRPr="00E77F77">
        <w:t>e</w:t>
      </w:r>
      <w:r w:rsidRPr="00E54C11">
        <w:t xml:space="preserve"> ‘Managin</w:t>
      </w:r>
      <w:r w:rsidRPr="00E77F77">
        <w:t>g</w:t>
      </w:r>
      <w:r w:rsidRPr="00E54C11">
        <w:t xml:space="preserve"> </w:t>
      </w:r>
      <w:r w:rsidRPr="00E77F77">
        <w:t>P</w:t>
      </w:r>
      <w:r w:rsidRPr="00E54C11">
        <w:t>atien</w:t>
      </w:r>
      <w:r w:rsidRPr="00E77F77">
        <w:t>t</w:t>
      </w:r>
      <w:r w:rsidRPr="00E54C11">
        <w:t xml:space="preserve"> Lists</w:t>
      </w:r>
      <w:r w:rsidRPr="00E77F77">
        <w:t>’</w:t>
      </w:r>
      <w:r w:rsidRPr="00E54C11">
        <w:t xml:space="preserve"> chapte</w:t>
      </w:r>
      <w:r w:rsidRPr="00E77F77">
        <w:t>r</w:t>
      </w:r>
      <w:r w:rsidRPr="00E54C11">
        <w:t xml:space="preserve"> the</w:t>
      </w:r>
      <w:r w:rsidRPr="00E77F77">
        <w:t>re</w:t>
      </w:r>
      <w:r w:rsidRPr="00E54C11">
        <w:t xml:space="preserve"> i</w:t>
      </w:r>
      <w:r w:rsidRPr="00E77F77">
        <w:t>s</w:t>
      </w:r>
      <w:r w:rsidRPr="00E54C11">
        <w:t xml:space="preserve"> su</w:t>
      </w:r>
      <w:r w:rsidRPr="00E77F77">
        <w:t xml:space="preserve">b </w:t>
      </w:r>
      <w:r w:rsidRPr="00E54C11">
        <w:t>sectio</w:t>
      </w:r>
      <w:r w:rsidRPr="00E77F77">
        <w:t xml:space="preserve">n </w:t>
      </w:r>
      <w:r w:rsidRPr="00E54C11">
        <w:t xml:space="preserve"> ‘Removin</w:t>
      </w:r>
      <w:r w:rsidRPr="00E77F77">
        <w:t>g</w:t>
      </w:r>
      <w:r w:rsidRPr="00E54C11">
        <w:t xml:space="preserve"> </w:t>
      </w:r>
      <w:r w:rsidRPr="00E77F77">
        <w:t>a</w:t>
      </w:r>
      <w:r w:rsidRPr="00E54C11">
        <w:t xml:space="preserve"> </w:t>
      </w:r>
      <w:r w:rsidRPr="00E77F77">
        <w:t>P</w:t>
      </w:r>
      <w:r w:rsidRPr="00E54C11">
        <w:t>atien</w:t>
      </w:r>
      <w:r w:rsidRPr="00E77F77">
        <w:t>t</w:t>
      </w:r>
      <w:r w:rsidRPr="00E54C11">
        <w:t xml:space="preserve"> f</w:t>
      </w:r>
      <w:r w:rsidRPr="00E77F77">
        <w:t>r</w:t>
      </w:r>
      <w:r w:rsidRPr="00E54C11">
        <w:t>o</w:t>
      </w:r>
      <w:r w:rsidRPr="00E77F77">
        <w:t>m</w:t>
      </w:r>
      <w:r w:rsidRPr="00E54C11">
        <w:t xml:space="preserve"> </w:t>
      </w:r>
      <w:r w:rsidRPr="00E77F77">
        <w:t>a</w:t>
      </w:r>
      <w:r w:rsidRPr="00E54C11">
        <w:t xml:space="preserve"> </w:t>
      </w:r>
      <w:r w:rsidRPr="00E77F77">
        <w:t>Pr</w:t>
      </w:r>
      <w:r w:rsidRPr="00E54C11">
        <w:t>actic</w:t>
      </w:r>
      <w:r w:rsidRPr="00E77F77">
        <w:t>e</w:t>
      </w:r>
      <w:r w:rsidRPr="00E54C11">
        <w:t xml:space="preserve"> List</w:t>
      </w:r>
      <w:r w:rsidRPr="00E77F77">
        <w:t>’</w:t>
      </w:r>
      <w:r w:rsidRPr="00E54C11">
        <w:t xml:space="preserve"> whic</w:t>
      </w:r>
      <w:r w:rsidRPr="00E77F77">
        <w:t>h</w:t>
      </w:r>
      <w:r w:rsidRPr="00E54C11">
        <w:t xml:space="preserve"> desc</w:t>
      </w:r>
      <w:r w:rsidRPr="00E77F77">
        <w:t>r</w:t>
      </w:r>
      <w:r w:rsidRPr="00E54C11">
        <w:t>ibe</w:t>
      </w:r>
      <w:r w:rsidRPr="00E77F77">
        <w:t>s</w:t>
      </w:r>
      <w:r w:rsidRPr="00E54C11">
        <w:t xml:space="preserve"> </w:t>
      </w:r>
      <w:r w:rsidRPr="00E77F77">
        <w:t>a r</w:t>
      </w:r>
      <w:r w:rsidRPr="00E54C11">
        <w:t>out</w:t>
      </w:r>
      <w:r w:rsidRPr="00E77F77">
        <w:t>e</w:t>
      </w:r>
      <w:r w:rsidRPr="00E54C11">
        <w:t xml:space="preserve"> t</w:t>
      </w:r>
      <w:r w:rsidRPr="00E77F77">
        <w:t>o</w:t>
      </w:r>
      <w:r w:rsidRPr="00E54C11">
        <w:t xml:space="preserve"> b</w:t>
      </w:r>
      <w:r w:rsidRPr="00E77F77">
        <w:t>e</w:t>
      </w:r>
      <w:r w:rsidRPr="00E54C11">
        <w:t xml:space="preserve"> take</w:t>
      </w:r>
      <w:r w:rsidRPr="00E77F77">
        <w:t>n</w:t>
      </w:r>
      <w:r w:rsidRPr="00E54C11">
        <w:t xml:space="preserve"> i</w:t>
      </w:r>
      <w:r w:rsidRPr="00E77F77">
        <w:t>n</w:t>
      </w:r>
      <w:r w:rsidRPr="00E54C11">
        <w:t xml:space="preserve"> th</w:t>
      </w:r>
      <w:r w:rsidRPr="00E77F77">
        <w:t>e</w:t>
      </w:r>
      <w:r w:rsidRPr="00E54C11">
        <w:t xml:space="preserve"> even</w:t>
      </w:r>
      <w:r w:rsidRPr="00E77F77">
        <w:t>t</w:t>
      </w:r>
      <w:r w:rsidRPr="00E54C11">
        <w:t xml:space="preserve"> o</w:t>
      </w:r>
      <w:r w:rsidRPr="00E77F77">
        <w:t>f</w:t>
      </w:r>
      <w:r w:rsidRPr="00E54C11">
        <w:t xml:space="preserve"> a</w:t>
      </w:r>
      <w:r w:rsidRPr="00E77F77">
        <w:t>n</w:t>
      </w:r>
      <w:r w:rsidRPr="00E54C11">
        <w:t xml:space="preserve"> i</w:t>
      </w:r>
      <w:r w:rsidRPr="00E77F77">
        <w:t>rr</w:t>
      </w:r>
      <w:r w:rsidRPr="00E54C11">
        <w:t>evocabl</w:t>
      </w:r>
      <w:r w:rsidRPr="00E77F77">
        <w:t>e</w:t>
      </w:r>
      <w:r w:rsidRPr="00E54C11">
        <w:t xml:space="preserve"> b</w:t>
      </w:r>
      <w:r w:rsidRPr="00E77F77">
        <w:t>r</w:t>
      </w:r>
      <w:r w:rsidRPr="00E54C11">
        <w:t>eakdow</w:t>
      </w:r>
      <w:r w:rsidRPr="00E77F77">
        <w:t>n</w:t>
      </w:r>
      <w:r w:rsidRPr="00E54C11">
        <w:t xml:space="preserve"> i</w:t>
      </w:r>
      <w:r w:rsidRPr="00E77F77">
        <w:t>n</w:t>
      </w:r>
      <w:r w:rsidRPr="00E54C11">
        <w:t xml:space="preserve"> G</w:t>
      </w:r>
      <w:r w:rsidRPr="00E77F77">
        <w:t>P</w:t>
      </w:r>
      <w:r w:rsidRPr="00E54C11">
        <w:t>/patien</w:t>
      </w:r>
      <w:r w:rsidRPr="00E77F77">
        <w:t>t r</w:t>
      </w:r>
      <w:r w:rsidRPr="00E54C11">
        <w:t>elationship</w:t>
      </w:r>
      <w:r w:rsidRPr="00E77F77">
        <w:t>,</w:t>
      </w:r>
      <w:r w:rsidRPr="00E54C11">
        <w:t xml:space="preserve"> whic</w:t>
      </w:r>
      <w:r w:rsidRPr="00E77F77">
        <w:t>h</w:t>
      </w:r>
      <w:r w:rsidRPr="00E54C11">
        <w:t xml:space="preserve"> ca</w:t>
      </w:r>
      <w:r w:rsidRPr="00E77F77">
        <w:t>n</w:t>
      </w:r>
      <w:r w:rsidRPr="00E54C11">
        <w:t xml:space="preserve"> b</w:t>
      </w:r>
      <w:r w:rsidRPr="00E77F77">
        <w:t>e</w:t>
      </w:r>
      <w:r w:rsidRPr="00E54C11">
        <w:t xml:space="preserve"> th</w:t>
      </w:r>
      <w:r w:rsidRPr="00E77F77">
        <w:t>e</w:t>
      </w:r>
      <w:r w:rsidRPr="00E54C11">
        <w:t xml:space="preserve"> mo</w:t>
      </w:r>
      <w:r w:rsidRPr="00E77F77">
        <w:t>re</w:t>
      </w:r>
      <w:r w:rsidRPr="00E54C11">
        <w:t xml:space="preserve"> app</w:t>
      </w:r>
      <w:r w:rsidRPr="00E77F77">
        <w:t>r</w:t>
      </w:r>
      <w:r w:rsidRPr="00E54C11">
        <w:t>op</w:t>
      </w:r>
      <w:r w:rsidRPr="00E77F77">
        <w:t>r</w:t>
      </w:r>
      <w:r w:rsidRPr="00E54C11">
        <w:t>iat</w:t>
      </w:r>
      <w:r w:rsidRPr="00E77F77">
        <w:t>e</w:t>
      </w:r>
      <w:r w:rsidRPr="00E54C11">
        <w:t xml:space="preserve"> </w:t>
      </w:r>
      <w:r w:rsidRPr="00E77F77">
        <w:t>r</w:t>
      </w:r>
      <w:r w:rsidRPr="00E54C11">
        <w:t>oute</w:t>
      </w:r>
      <w:r w:rsidRPr="00E77F77">
        <w:t>,</w:t>
      </w:r>
      <w:r w:rsidRPr="00E54C11">
        <w:t xml:space="preserve"> howeve</w:t>
      </w:r>
      <w:r w:rsidRPr="00E77F77">
        <w:t>r,</w:t>
      </w:r>
      <w:r w:rsidRPr="00E54C11">
        <w:t xml:space="preserve"> </w:t>
      </w:r>
      <w:r w:rsidRPr="00E77F77">
        <w:t xml:space="preserve">a </w:t>
      </w:r>
      <w:r w:rsidRPr="00E54C11">
        <w:t>patien</w:t>
      </w:r>
      <w:r w:rsidRPr="00E77F77">
        <w:t>t</w:t>
      </w:r>
      <w:r w:rsidRPr="00E54C11">
        <w:t xml:space="preserve"> mus</w:t>
      </w:r>
      <w:r w:rsidRPr="00E77F77">
        <w:t>t</w:t>
      </w:r>
      <w:r w:rsidRPr="00E54C11">
        <w:t xml:space="preserve"> b</w:t>
      </w:r>
      <w:r w:rsidRPr="00E77F77">
        <w:t>e</w:t>
      </w:r>
      <w:r w:rsidRPr="00E54C11">
        <w:t xml:space="preserve"> sen</w:t>
      </w:r>
      <w:r w:rsidRPr="00E77F77">
        <w:t>t</w:t>
      </w:r>
      <w:r w:rsidRPr="00E54C11">
        <w:t xml:space="preserve"> </w:t>
      </w:r>
      <w:r w:rsidRPr="00E77F77">
        <w:t>a</w:t>
      </w:r>
      <w:r w:rsidRPr="00E54C11">
        <w:t xml:space="preserve"> wa</w:t>
      </w:r>
      <w:r w:rsidRPr="00E77F77">
        <w:t>r</w:t>
      </w:r>
      <w:r w:rsidRPr="00E54C11">
        <w:t>nin</w:t>
      </w:r>
      <w:r w:rsidRPr="00E77F77">
        <w:t>g</w:t>
      </w:r>
      <w:r w:rsidRPr="00E54C11">
        <w:t xml:space="preserve"> lette</w:t>
      </w:r>
      <w:r w:rsidRPr="00E77F77">
        <w:t>r</w:t>
      </w:r>
      <w:r w:rsidRPr="00E54C11">
        <w:t xml:space="preserve"> withi</w:t>
      </w:r>
      <w:r w:rsidRPr="00E77F77">
        <w:t>n</w:t>
      </w:r>
      <w:r w:rsidRPr="00E54C11">
        <w:t xml:space="preserve"> th</w:t>
      </w:r>
      <w:r w:rsidRPr="00E77F77">
        <w:t>e</w:t>
      </w:r>
      <w:r w:rsidRPr="00E54C11">
        <w:t xml:space="preserve"> p</w:t>
      </w:r>
      <w:r w:rsidRPr="00E77F77">
        <w:t>r</w:t>
      </w:r>
      <w:r w:rsidRPr="00E54C11">
        <w:t>oceedin</w:t>
      </w:r>
      <w:r w:rsidRPr="00E77F77">
        <w:t>g r</w:t>
      </w:r>
      <w:r w:rsidRPr="00E54C11">
        <w:t>ollin</w:t>
      </w:r>
      <w:r w:rsidRPr="00E77F77">
        <w:t xml:space="preserve">g </w:t>
      </w:r>
      <w:r w:rsidRPr="00E54C11">
        <w:t>twelv</w:t>
      </w:r>
      <w:r w:rsidRPr="00E77F77">
        <w:t>e</w:t>
      </w:r>
      <w:r w:rsidRPr="00E54C11">
        <w:t xml:space="preserve"> mont</w:t>
      </w:r>
      <w:r w:rsidRPr="00E77F77">
        <w:t>h</w:t>
      </w:r>
      <w:r w:rsidRPr="00E54C11">
        <w:t xml:space="preserve"> pe</w:t>
      </w:r>
      <w:r w:rsidRPr="00E77F77">
        <w:t>r</w:t>
      </w:r>
      <w:r w:rsidRPr="00E54C11">
        <w:t>io</w:t>
      </w:r>
      <w:r w:rsidRPr="00E77F77">
        <w:t>d</w:t>
      </w:r>
      <w:r w:rsidRPr="00E54C11">
        <w:t xml:space="preserve"> an</w:t>
      </w:r>
      <w:r w:rsidRPr="00E77F77">
        <w:t>d</w:t>
      </w:r>
      <w:r w:rsidRPr="00E54C11">
        <w:t xml:space="preserve"> give</w:t>
      </w:r>
      <w:r w:rsidRPr="00E77F77">
        <w:t>n</w:t>
      </w:r>
      <w:r w:rsidRPr="00E54C11">
        <w:t xml:space="preserve"> th</w:t>
      </w:r>
      <w:r w:rsidRPr="00E77F77">
        <w:t>e</w:t>
      </w:r>
      <w:r w:rsidRPr="00E54C11">
        <w:t xml:space="preserve"> o</w:t>
      </w:r>
      <w:r w:rsidRPr="00E77F77">
        <w:t>p</w:t>
      </w:r>
      <w:r w:rsidRPr="00E54C11">
        <w:t>po</w:t>
      </w:r>
      <w:r w:rsidRPr="00E77F77">
        <w:t>r</w:t>
      </w:r>
      <w:r w:rsidRPr="00E54C11">
        <w:t>tunit</w:t>
      </w:r>
      <w:r w:rsidRPr="00E77F77">
        <w:t>y</w:t>
      </w:r>
      <w:r w:rsidRPr="00E54C11">
        <w:t xml:space="preserve"> t</w:t>
      </w:r>
      <w:r w:rsidRPr="00E77F77">
        <w:t>o</w:t>
      </w:r>
      <w:r w:rsidRPr="00E54C11">
        <w:t xml:space="preserve"> mode</w:t>
      </w:r>
      <w:r w:rsidRPr="00E77F77">
        <w:t>r</w:t>
      </w:r>
      <w:r w:rsidRPr="00E54C11">
        <w:t>at</w:t>
      </w:r>
      <w:r w:rsidRPr="00E77F77">
        <w:t>e</w:t>
      </w:r>
      <w:r w:rsidRPr="00E54C11">
        <w:t xml:space="preserve"> thei</w:t>
      </w:r>
      <w:r w:rsidRPr="00E77F77">
        <w:t xml:space="preserve">r </w:t>
      </w:r>
      <w:r w:rsidRPr="00E54C11">
        <w:t>behaviou</w:t>
      </w:r>
      <w:r w:rsidRPr="00E77F77">
        <w:t xml:space="preserve">r. </w:t>
      </w:r>
      <w:r w:rsidRPr="00E54C11">
        <w:t xml:space="preserve"> Remova</w:t>
      </w:r>
      <w:r w:rsidRPr="00E77F77">
        <w:t>l</w:t>
      </w:r>
      <w:r w:rsidRPr="00E54C11">
        <w:t xml:space="preserve"> ca</w:t>
      </w:r>
      <w:r w:rsidRPr="00E77F77">
        <w:t>n</w:t>
      </w:r>
      <w:r w:rsidRPr="00E54C11">
        <w:t xml:space="preserve"> onl</w:t>
      </w:r>
      <w:r w:rsidRPr="00E77F77">
        <w:t>y</w:t>
      </w:r>
      <w:r w:rsidRPr="00E54C11">
        <w:t xml:space="preserve"> b</w:t>
      </w:r>
      <w:r w:rsidRPr="00E77F77">
        <w:t>e</w:t>
      </w:r>
      <w:r w:rsidRPr="00E54C11">
        <w:t xml:space="preserve"> effecte</w:t>
      </w:r>
      <w:r w:rsidRPr="00E77F77">
        <w:t>d</w:t>
      </w:r>
      <w:r w:rsidRPr="00E54C11">
        <w:t xml:space="preserve"> i</w:t>
      </w:r>
      <w:r w:rsidRPr="00E77F77">
        <w:t>f</w:t>
      </w:r>
      <w:r w:rsidRPr="00E54C11">
        <w:t xml:space="preserve"> th</w:t>
      </w:r>
      <w:r w:rsidRPr="00E77F77">
        <w:t>e</w:t>
      </w:r>
      <w:r w:rsidRPr="00E54C11">
        <w:t xml:space="preserve"> behaviou</w:t>
      </w:r>
      <w:r w:rsidRPr="00E77F77">
        <w:t>r</w:t>
      </w:r>
      <w:r w:rsidRPr="00E54C11">
        <w:t xml:space="preserve"> i</w:t>
      </w:r>
      <w:r w:rsidRPr="00E77F77">
        <w:t>s</w:t>
      </w:r>
      <w:r w:rsidRPr="00E54C11">
        <w:t xml:space="preserve"> </w:t>
      </w:r>
      <w:r w:rsidRPr="00E77F77">
        <w:t>r</w:t>
      </w:r>
      <w:r w:rsidRPr="00E54C11">
        <w:t>epeate</w:t>
      </w:r>
      <w:r w:rsidRPr="00E77F77">
        <w:t xml:space="preserve">d </w:t>
      </w:r>
      <w:r w:rsidRPr="00E54C11">
        <w:t>an</w:t>
      </w:r>
      <w:r w:rsidRPr="00E77F77">
        <w:t>d</w:t>
      </w:r>
      <w:r w:rsidRPr="00E54C11">
        <w:t xml:space="preserve"> the</w:t>
      </w:r>
      <w:r w:rsidRPr="00E77F77">
        <w:t>n</w:t>
      </w:r>
      <w:r w:rsidRPr="00E54C11">
        <w:t xml:space="preserve"> th</w:t>
      </w:r>
      <w:r w:rsidRPr="00E77F77">
        <w:t>e</w:t>
      </w:r>
      <w:r w:rsidRPr="00E54C11">
        <w:t xml:space="preserve"> patien</w:t>
      </w:r>
      <w:r w:rsidRPr="00E77F77">
        <w:t>t</w:t>
      </w:r>
      <w:r w:rsidRPr="00E54C11">
        <w:t xml:space="preserve"> ca</w:t>
      </w:r>
      <w:r w:rsidRPr="00E77F77">
        <w:t>n</w:t>
      </w:r>
      <w:r w:rsidRPr="00E54C11">
        <w:t xml:space="preserve"> b</w:t>
      </w:r>
      <w:r w:rsidRPr="00E77F77">
        <w:t>e</w:t>
      </w:r>
      <w:r w:rsidRPr="00E54C11">
        <w:t xml:space="preserve"> give</w:t>
      </w:r>
      <w:r w:rsidRPr="00E77F77">
        <w:t>n</w:t>
      </w:r>
      <w:r w:rsidRPr="00E54C11">
        <w:t xml:space="preserve"> </w:t>
      </w:r>
      <w:r w:rsidRPr="00E77F77">
        <w:t>8</w:t>
      </w:r>
      <w:r w:rsidRPr="00E54C11">
        <w:t xml:space="preserve"> days</w:t>
      </w:r>
      <w:r w:rsidRPr="00E77F77">
        <w:t>’</w:t>
      </w:r>
      <w:r w:rsidRPr="00E54C11">
        <w:t xml:space="preserve"> notic</w:t>
      </w:r>
      <w:r w:rsidRPr="00E77F77">
        <w:t>e</w:t>
      </w:r>
      <w:r w:rsidRPr="00E54C11">
        <w:t xml:space="preserve"> t</w:t>
      </w:r>
      <w:r w:rsidRPr="00E77F77">
        <w:t>o</w:t>
      </w:r>
      <w:r w:rsidRPr="00E54C11">
        <w:t xml:space="preserve"> fin</w:t>
      </w:r>
      <w:r w:rsidRPr="00E77F77">
        <w:t>d</w:t>
      </w:r>
      <w:r w:rsidRPr="00E54C11">
        <w:t xml:space="preserve"> </w:t>
      </w:r>
      <w:r w:rsidRPr="00E77F77">
        <w:t>a</w:t>
      </w:r>
      <w:r w:rsidRPr="00E54C11">
        <w:t xml:space="preserve"> ne</w:t>
      </w:r>
      <w:r w:rsidRPr="00E77F77">
        <w:t>w</w:t>
      </w:r>
      <w:r w:rsidRPr="00E54C11">
        <w:t xml:space="preserve"> G</w:t>
      </w:r>
      <w:r w:rsidRPr="00E77F77">
        <w:t>P.</w:t>
      </w:r>
      <w:r w:rsidRPr="00E54C11">
        <w:t xml:space="preserve"> </w:t>
      </w:r>
      <w:r w:rsidRPr="00E77F77">
        <w:t xml:space="preserve"> </w:t>
      </w:r>
      <w:r w:rsidRPr="00E54C11">
        <w:t>Les</w:t>
      </w:r>
      <w:r w:rsidRPr="00E77F77">
        <w:t xml:space="preserve">s </w:t>
      </w:r>
      <w:r w:rsidRPr="00E54C11">
        <w:t>se</w:t>
      </w:r>
      <w:r w:rsidRPr="00E77F77">
        <w:t>r</w:t>
      </w:r>
      <w:r w:rsidRPr="00E54C11">
        <w:t>iou</w:t>
      </w:r>
      <w:r w:rsidRPr="00E77F77">
        <w:t>s</w:t>
      </w:r>
      <w:r w:rsidRPr="00E54C11">
        <w:t xml:space="preserve"> ci</w:t>
      </w:r>
      <w:r w:rsidRPr="00E77F77">
        <w:t>r</w:t>
      </w:r>
      <w:r w:rsidRPr="00E54C11">
        <w:t>cumstance</w:t>
      </w:r>
      <w:r w:rsidRPr="00E77F77">
        <w:t>s</w:t>
      </w:r>
      <w:r w:rsidRPr="00E54C11">
        <w:t xml:space="preserve"> a</w:t>
      </w:r>
      <w:r w:rsidRPr="00E77F77">
        <w:t>re</w:t>
      </w:r>
      <w:r w:rsidRPr="00E54C11">
        <w:t xml:space="preserve"> suitabl</w:t>
      </w:r>
      <w:r w:rsidRPr="00E77F77">
        <w:t>e</w:t>
      </w:r>
      <w:r w:rsidRPr="00E54C11">
        <w:t xml:space="preserve"> fo</w:t>
      </w:r>
      <w:r w:rsidRPr="00E77F77">
        <w:t>r</w:t>
      </w:r>
      <w:r w:rsidRPr="00E54C11">
        <w:t xml:space="preserve"> thi</w:t>
      </w:r>
      <w:r w:rsidRPr="00E77F77">
        <w:t>s</w:t>
      </w:r>
      <w:r w:rsidRPr="00E54C11">
        <w:t xml:space="preserve"> metho</w:t>
      </w:r>
      <w:r>
        <w:t>d</w:t>
      </w:r>
      <w:r w:rsidRPr="00E54C11">
        <w:t xml:space="preserve"> o</w:t>
      </w:r>
      <w:r>
        <w:t>f</w:t>
      </w:r>
      <w:r w:rsidRPr="00E54C11">
        <w:t xml:space="preserve"> </w:t>
      </w:r>
      <w:r>
        <w:t>r</w:t>
      </w:r>
      <w:r w:rsidRPr="00E54C11">
        <w:t>emova</w:t>
      </w:r>
      <w:r>
        <w:t>l</w:t>
      </w:r>
      <w:r w:rsidRPr="00E54C11">
        <w:t xml:space="preserve"> b</w:t>
      </w:r>
      <w:r>
        <w:t>y</w:t>
      </w:r>
      <w:r w:rsidRPr="00E54C11">
        <w:t xml:space="preserve"> th</w:t>
      </w:r>
      <w:r>
        <w:t xml:space="preserve">e </w:t>
      </w:r>
      <w:r w:rsidRPr="00E54C11">
        <w:t>cont</w:t>
      </w:r>
      <w:r>
        <w:t>r</w:t>
      </w:r>
      <w:r w:rsidRPr="00E54C11">
        <w:t>acto</w:t>
      </w:r>
      <w:r>
        <w:t>r.</w:t>
      </w:r>
      <w:r w:rsidRPr="00E77F77">
        <w:t xml:space="preserve"> </w:t>
      </w:r>
      <w:r>
        <w:t>P</w:t>
      </w:r>
      <w:r w:rsidRPr="00E77F77">
        <w:t xml:space="preserve">atients must </w:t>
      </w:r>
      <w:r>
        <w:t xml:space="preserve">not </w:t>
      </w:r>
      <w:r w:rsidRPr="00E77F77">
        <w:t>be removed using the ’immediate removal’ process</w:t>
      </w:r>
      <w:r>
        <w:t xml:space="preserve"> unless the matter has resulted in the incident being reported to the police</w:t>
      </w:r>
      <w:r w:rsidRPr="00E77F77">
        <w:t xml:space="preserve">. </w:t>
      </w:r>
    </w:p>
    <w:p w14:paraId="78467616" w14:textId="77777777" w:rsidR="008F7BB3" w:rsidRPr="00E54C11" w:rsidRDefault="008F7BB3" w:rsidP="008F7BB3">
      <w:pPr>
        <w:pStyle w:val="Heading3"/>
        <w:rPr>
          <w:b/>
        </w:rPr>
      </w:pPr>
      <w:bookmarkStart w:id="519" w:name="_Once_satisfied_that"/>
      <w:bookmarkStart w:id="520" w:name="_bookmark3"/>
      <w:bookmarkEnd w:id="519"/>
      <w:bookmarkEnd w:id="520"/>
      <w:r w:rsidRPr="00E54C11">
        <w:rPr>
          <w:b/>
        </w:rPr>
        <w:t>Once satisfied that a patient's behaviour warrants removal from the practice list, in order to remove a patient immediately, the practice is required under GMS and PMS regulations to:</w:t>
      </w:r>
    </w:p>
    <w:p w14:paraId="422D3283" w14:textId="77777777" w:rsidR="008F7BB3" w:rsidRPr="00E54C11" w:rsidRDefault="008F7BB3" w:rsidP="008F7BB3">
      <w:pPr>
        <w:pStyle w:val="Heading3"/>
        <w:rPr>
          <w:b/>
        </w:rPr>
      </w:pPr>
      <w:r w:rsidRPr="00E54C11">
        <w:rPr>
          <w:b/>
        </w:rPr>
        <w:t>No</w:t>
      </w:r>
      <w:r w:rsidRPr="00474846">
        <w:rPr>
          <w:b/>
        </w:rPr>
        <w:t>t</w:t>
      </w:r>
      <w:r w:rsidRPr="00E54C11">
        <w:rPr>
          <w:b/>
        </w:rPr>
        <w:t>i</w:t>
      </w:r>
      <w:r w:rsidRPr="00474846">
        <w:rPr>
          <w:b/>
        </w:rPr>
        <w:t>fy</w:t>
      </w:r>
      <w:r w:rsidRPr="00E54C11">
        <w:rPr>
          <w:b/>
        </w:rPr>
        <w:t xml:space="preserve"> </w:t>
      </w:r>
      <w:r w:rsidRPr="00474846">
        <w:rPr>
          <w:b/>
        </w:rPr>
        <w:t>t</w:t>
      </w:r>
      <w:r w:rsidRPr="00E54C11">
        <w:rPr>
          <w:b/>
        </w:rPr>
        <w:t>h</w:t>
      </w:r>
      <w:r w:rsidRPr="00474846">
        <w:rPr>
          <w:b/>
        </w:rPr>
        <w:t>e</w:t>
      </w:r>
      <w:r w:rsidRPr="00E54C11">
        <w:rPr>
          <w:b/>
        </w:rPr>
        <w:t xml:space="preserve"> </w:t>
      </w:r>
      <w:r w:rsidRPr="00474846">
        <w:rPr>
          <w:b/>
        </w:rPr>
        <w:t>P</w:t>
      </w:r>
      <w:r w:rsidRPr="00E54C11">
        <w:rPr>
          <w:b/>
        </w:rPr>
        <w:t>olic</w:t>
      </w:r>
      <w:r w:rsidRPr="00474846">
        <w:rPr>
          <w:b/>
        </w:rPr>
        <w:t>e</w:t>
      </w:r>
    </w:p>
    <w:p w14:paraId="5AF7A3A1" w14:textId="77777777" w:rsidR="008F7BB3" w:rsidRPr="00E77F77" w:rsidRDefault="008F7BB3" w:rsidP="008F7BB3">
      <w:pPr>
        <w:pStyle w:val="Heading4"/>
      </w:pPr>
      <w:r w:rsidRPr="00E54C11">
        <w:lastRenderedPageBreak/>
        <w:t>I</w:t>
      </w:r>
      <w:r w:rsidRPr="00E77F77">
        <w:t>n</w:t>
      </w:r>
      <w:r w:rsidRPr="00E54C11">
        <w:t xml:space="preserve"> o</w:t>
      </w:r>
      <w:r w:rsidRPr="00E77F77">
        <w:t>r</w:t>
      </w:r>
      <w:r w:rsidRPr="00E54C11">
        <w:t>de</w:t>
      </w:r>
      <w:r w:rsidRPr="00E77F77">
        <w:t>r</w:t>
      </w:r>
      <w:r w:rsidRPr="00E54C11">
        <w:t xml:space="preserve"> t</w:t>
      </w:r>
      <w:r w:rsidRPr="00E77F77">
        <w:t>o</w:t>
      </w:r>
      <w:r w:rsidRPr="00E54C11">
        <w:t xml:space="preserve"> </w:t>
      </w:r>
      <w:r w:rsidRPr="00E77F77">
        <w:t>r</w:t>
      </w:r>
      <w:r w:rsidRPr="00E54C11">
        <w:t>emov</w:t>
      </w:r>
      <w:r w:rsidRPr="00E77F77">
        <w:t>e</w:t>
      </w:r>
      <w:r w:rsidRPr="00E54C11">
        <w:t xml:space="preserve"> </w:t>
      </w:r>
      <w:r w:rsidRPr="00E77F77">
        <w:t>a</w:t>
      </w:r>
      <w:r w:rsidRPr="00E54C11">
        <w:t xml:space="preserve"> patien</w:t>
      </w:r>
      <w:r w:rsidRPr="00E77F77">
        <w:t>t</w:t>
      </w:r>
      <w:r w:rsidRPr="00E54C11">
        <w:t xml:space="preserve"> immediatel</w:t>
      </w:r>
      <w:r w:rsidRPr="00E77F77">
        <w:t>y</w:t>
      </w:r>
      <w:r w:rsidRPr="00E54C11">
        <w:t xml:space="preserve"> </w:t>
      </w:r>
      <w:r w:rsidRPr="00E77F77">
        <w:t xml:space="preserve">for cases of serious violent assault, threat or damage, </w:t>
      </w:r>
      <w:r w:rsidRPr="00E54C11">
        <w:t>th</w:t>
      </w:r>
      <w:r w:rsidRPr="00E77F77">
        <w:t>e</w:t>
      </w:r>
      <w:r w:rsidRPr="00E54C11">
        <w:t xml:space="preserve"> situatio</w:t>
      </w:r>
      <w:r w:rsidRPr="00E77F77">
        <w:t>n</w:t>
      </w:r>
      <w:r w:rsidRPr="00E54C11">
        <w:t xml:space="preserve"> ha</w:t>
      </w:r>
      <w:r w:rsidRPr="00E77F77">
        <w:t>s</w:t>
      </w:r>
      <w:r w:rsidRPr="00E54C11">
        <w:t xml:space="preserve"> t</w:t>
      </w:r>
      <w:r w:rsidRPr="00E77F77">
        <w:t>o</w:t>
      </w:r>
      <w:r w:rsidRPr="00E54C11">
        <w:t xml:space="preserve"> b</w:t>
      </w:r>
      <w:r w:rsidRPr="00E77F77">
        <w:t>e</w:t>
      </w:r>
      <w:r w:rsidRPr="00E54C11">
        <w:t xml:space="preserve"> se</w:t>
      </w:r>
      <w:r w:rsidRPr="00E77F77">
        <w:t>r</w:t>
      </w:r>
      <w:r w:rsidRPr="00E54C11">
        <w:t>iou</w:t>
      </w:r>
      <w:r w:rsidRPr="00E77F77">
        <w:t>s</w:t>
      </w:r>
      <w:r w:rsidRPr="00E54C11">
        <w:t xml:space="preserve"> enoug</w:t>
      </w:r>
      <w:r w:rsidRPr="00E77F77">
        <w:t>h</w:t>
      </w:r>
      <w:r w:rsidRPr="00E54C11">
        <w:t xml:space="preserve"> t</w:t>
      </w:r>
      <w:r w:rsidRPr="00E77F77">
        <w:t xml:space="preserve">o justify </w:t>
      </w:r>
      <w:r>
        <w:t xml:space="preserve">reporting the incident to </w:t>
      </w:r>
      <w:r w:rsidRPr="00E54C11">
        <w:t>th</w:t>
      </w:r>
      <w:r w:rsidRPr="00E77F77">
        <w:t>e</w:t>
      </w:r>
      <w:r w:rsidRPr="00E54C11">
        <w:t xml:space="preserve"> polic</w:t>
      </w:r>
      <w:r w:rsidRPr="00E77F77">
        <w:t>e</w:t>
      </w:r>
      <w:r w:rsidRPr="00E54C11">
        <w:t xml:space="preserve"> </w:t>
      </w:r>
      <w:r>
        <w:t xml:space="preserve">in an appropriate timeframe, </w:t>
      </w:r>
      <w:r w:rsidRPr="00E54C11">
        <w:t>du</w:t>
      </w:r>
      <w:r w:rsidRPr="00E77F77">
        <w:t>e</w:t>
      </w:r>
      <w:r w:rsidRPr="00E54C11">
        <w:t xml:space="preserve"> t</w:t>
      </w:r>
      <w:r w:rsidRPr="00E77F77">
        <w:t>o</w:t>
      </w:r>
      <w:r w:rsidRPr="00E54C11">
        <w:t xml:space="preserve"> th</w:t>
      </w:r>
      <w:r w:rsidRPr="00E77F77">
        <w:t>e</w:t>
      </w:r>
      <w:r w:rsidRPr="00E54C11">
        <w:t xml:space="preserve"> inciden</w:t>
      </w:r>
      <w:r w:rsidRPr="00E77F77">
        <w:t>t</w:t>
      </w:r>
      <w:r w:rsidRPr="00E54C11">
        <w:t xml:space="preserve"> havin</w:t>
      </w:r>
      <w:r w:rsidRPr="00E77F77">
        <w:t>g</w:t>
      </w:r>
      <w:r w:rsidRPr="00E54C11">
        <w:t xml:space="preserve"> lef</w:t>
      </w:r>
      <w:r w:rsidRPr="00E77F77">
        <w:t>t</w:t>
      </w:r>
      <w:r w:rsidRPr="00E54C11">
        <w:t xml:space="preserve"> th</w:t>
      </w:r>
      <w:r w:rsidRPr="00E77F77">
        <w:t xml:space="preserve">e </w:t>
      </w:r>
      <w:r w:rsidRPr="00E54C11">
        <w:t>pe</w:t>
      </w:r>
      <w:r w:rsidRPr="00E77F77">
        <w:t>r</w:t>
      </w:r>
      <w:r w:rsidRPr="00E54C11">
        <w:t>so</w:t>
      </w:r>
      <w:r w:rsidRPr="00E77F77">
        <w:t>n</w:t>
      </w:r>
      <w:r w:rsidRPr="00E54C11">
        <w:t xml:space="preserve"> feelin</w:t>
      </w:r>
      <w:r w:rsidRPr="00E77F77">
        <w:t>g</w:t>
      </w:r>
      <w:r w:rsidRPr="00E54C11">
        <w:t xml:space="preserve"> sufficientl</w:t>
      </w:r>
      <w:r w:rsidRPr="00E77F77">
        <w:t>y</w:t>
      </w:r>
      <w:r w:rsidRPr="00E54C11">
        <w:t xml:space="preserve"> threatene</w:t>
      </w:r>
      <w:r w:rsidRPr="00E77F77">
        <w:t>d</w:t>
      </w:r>
      <w:r w:rsidRPr="00E54C11">
        <w:t xml:space="preserve"> fo</w:t>
      </w:r>
      <w:r w:rsidRPr="00E77F77">
        <w:t>r</w:t>
      </w:r>
      <w:r w:rsidRPr="00E54C11">
        <w:t xml:space="preserve"> thei</w:t>
      </w:r>
      <w:r w:rsidRPr="00E77F77">
        <w:t>r</w:t>
      </w:r>
      <w:r w:rsidRPr="00E54C11">
        <w:t xml:space="preserve"> ow</w:t>
      </w:r>
      <w:r w:rsidRPr="00E77F77">
        <w:t>n</w:t>
      </w:r>
      <w:r w:rsidRPr="00E54C11">
        <w:t xml:space="preserve"> safety</w:t>
      </w:r>
      <w:r w:rsidRPr="00E77F77">
        <w:t>,</w:t>
      </w:r>
      <w:r w:rsidRPr="00E54C11">
        <w:t xml:space="preserve"> o</w:t>
      </w:r>
      <w:r w:rsidRPr="00E77F77">
        <w:t>r</w:t>
      </w:r>
      <w:r w:rsidRPr="00E54C11">
        <w:t xml:space="preserve"> tha</w:t>
      </w:r>
      <w:r w:rsidRPr="00E77F77">
        <w:t>t</w:t>
      </w:r>
      <w:r w:rsidRPr="00E54C11">
        <w:t xml:space="preserve"> o</w:t>
      </w:r>
      <w:r w:rsidRPr="00E77F77">
        <w:t xml:space="preserve">f </w:t>
      </w:r>
      <w:r w:rsidRPr="00E54C11">
        <w:t>anothe</w:t>
      </w:r>
      <w:r w:rsidRPr="00E77F77">
        <w:t>r.</w:t>
      </w:r>
    </w:p>
    <w:p w14:paraId="694D41BC" w14:textId="77777777" w:rsidR="008F7BB3" w:rsidRPr="00E77F77" w:rsidRDefault="008F7BB3" w:rsidP="008F7BB3">
      <w:pPr>
        <w:pStyle w:val="Heading4"/>
      </w:pPr>
      <w:r w:rsidRPr="00E54C11">
        <w:t>Th</w:t>
      </w:r>
      <w:r w:rsidRPr="00E77F77">
        <w:t>e</w:t>
      </w:r>
      <w:r w:rsidRPr="00E54C11">
        <w:t xml:space="preserve"> p</w:t>
      </w:r>
      <w:r w:rsidRPr="00E77F77">
        <w:t>r</w:t>
      </w:r>
      <w:r w:rsidRPr="00E54C11">
        <w:t>actice</w:t>
      </w:r>
      <w:r w:rsidRPr="00E77F77">
        <w:t>,</w:t>
      </w:r>
      <w:r w:rsidRPr="00E54C11">
        <w:t xml:space="preserve"> whe</w:t>
      </w:r>
      <w:r w:rsidRPr="00E77F77">
        <w:t>re</w:t>
      </w:r>
      <w:r w:rsidRPr="00E54C11">
        <w:t xml:space="preserve"> app</w:t>
      </w:r>
      <w:r w:rsidRPr="00E77F77">
        <w:t>r</w:t>
      </w:r>
      <w:r w:rsidRPr="00E54C11">
        <w:t>op</w:t>
      </w:r>
      <w:r w:rsidRPr="00E77F77">
        <w:t>r</w:t>
      </w:r>
      <w:r w:rsidRPr="00E54C11">
        <w:t>iate</w:t>
      </w:r>
      <w:r w:rsidRPr="00E77F77">
        <w:t>,</w:t>
      </w:r>
      <w:r w:rsidRPr="00E54C11">
        <w:t xml:space="preserve"> shoul</w:t>
      </w:r>
      <w:r w:rsidRPr="00E77F77">
        <w:t>d</w:t>
      </w:r>
      <w:r w:rsidRPr="00E54C11">
        <w:t xml:space="preserve"> dia</w:t>
      </w:r>
      <w:r w:rsidRPr="00E77F77">
        <w:t>l</w:t>
      </w:r>
      <w:r w:rsidRPr="00E54C11">
        <w:t xml:space="preserve"> 99</w:t>
      </w:r>
      <w:r w:rsidRPr="00E77F77">
        <w:t>9</w:t>
      </w:r>
      <w:r w:rsidRPr="00E54C11">
        <w:t xml:space="preserve"> o</w:t>
      </w:r>
      <w:r w:rsidRPr="00E77F77">
        <w:t>n</w:t>
      </w:r>
      <w:r w:rsidRPr="00E54C11">
        <w:t xml:space="preserve"> th</w:t>
      </w:r>
      <w:r w:rsidRPr="00E77F77">
        <w:t>e</w:t>
      </w:r>
      <w:r w:rsidRPr="00E54C11">
        <w:t xml:space="preserve"> da</w:t>
      </w:r>
      <w:r w:rsidRPr="00E77F77">
        <w:t>y</w:t>
      </w:r>
      <w:r w:rsidRPr="00E54C11">
        <w:t xml:space="preserve"> o</w:t>
      </w:r>
      <w:r w:rsidRPr="00E77F77">
        <w:t>f</w:t>
      </w:r>
      <w:r w:rsidRPr="00E54C11">
        <w:t xml:space="preserve"> th</w:t>
      </w:r>
      <w:r w:rsidRPr="00E77F77">
        <w:t xml:space="preserve">e </w:t>
      </w:r>
      <w:r w:rsidRPr="00E54C11">
        <w:t>inciden</w:t>
      </w:r>
      <w:r w:rsidRPr="00E77F77">
        <w:t>t</w:t>
      </w:r>
      <w:r w:rsidRPr="00E54C11">
        <w:t xml:space="preserve"> an</w:t>
      </w:r>
      <w:r w:rsidRPr="00E77F77">
        <w:t>d</w:t>
      </w:r>
      <w:r w:rsidRPr="00E54C11">
        <w:t xml:space="preserve"> i</w:t>
      </w:r>
      <w:r w:rsidRPr="00E77F77">
        <w:t xml:space="preserve">f </w:t>
      </w:r>
      <w:r w:rsidRPr="00E54C11">
        <w:t>necessa</w:t>
      </w:r>
      <w:r w:rsidRPr="00E77F77">
        <w:t>r</w:t>
      </w:r>
      <w:r w:rsidRPr="00E54C11">
        <w:t>y</w:t>
      </w:r>
      <w:r w:rsidRPr="00E77F77">
        <w:t xml:space="preserve">, </w:t>
      </w:r>
      <w:r w:rsidRPr="00E54C11">
        <w:t>summo</w:t>
      </w:r>
      <w:r w:rsidRPr="00E77F77">
        <w:t xml:space="preserve">n </w:t>
      </w:r>
      <w:r w:rsidRPr="00E54C11">
        <w:t>polic</w:t>
      </w:r>
      <w:r w:rsidRPr="00E77F77">
        <w:t xml:space="preserve">e </w:t>
      </w:r>
      <w:r w:rsidRPr="00E54C11">
        <w:t>assistance/attendance</w:t>
      </w:r>
      <w:r w:rsidRPr="00E77F77">
        <w:t xml:space="preserve">.  </w:t>
      </w:r>
      <w:r w:rsidRPr="00E54C11">
        <w:t>Whe</w:t>
      </w:r>
      <w:r w:rsidRPr="00E77F77">
        <w:t>n</w:t>
      </w:r>
      <w:r w:rsidRPr="00E54C11">
        <w:t xml:space="preserve"> contactin</w:t>
      </w:r>
      <w:r w:rsidRPr="00E77F77">
        <w:t>g</w:t>
      </w:r>
      <w:r w:rsidRPr="00E54C11">
        <w:t xml:space="preserve"> th</w:t>
      </w:r>
      <w:r w:rsidRPr="00E77F77">
        <w:t>e</w:t>
      </w:r>
      <w:r w:rsidRPr="00E54C11">
        <w:t xml:space="preserve"> polic</w:t>
      </w:r>
      <w:r w:rsidRPr="00E77F77">
        <w:t>e</w:t>
      </w:r>
      <w:r w:rsidRPr="00E54C11">
        <w:t xml:space="preserve"> i</w:t>
      </w:r>
      <w:r w:rsidRPr="00E77F77">
        <w:t>t</w:t>
      </w:r>
      <w:r w:rsidRPr="00E54C11">
        <w:t xml:space="preserve"> i</w:t>
      </w:r>
      <w:r w:rsidRPr="00E77F77">
        <w:t>s</w:t>
      </w:r>
      <w:r w:rsidRPr="00E54C11">
        <w:t xml:space="preserve"> impo</w:t>
      </w:r>
      <w:r w:rsidRPr="00E77F77">
        <w:t>r</w:t>
      </w:r>
      <w:r w:rsidRPr="00E54C11">
        <w:t>tan</w:t>
      </w:r>
      <w:r w:rsidRPr="00E77F77">
        <w:t>t</w:t>
      </w:r>
      <w:r w:rsidRPr="00E54C11">
        <w:t xml:space="preserve"> tha</w:t>
      </w:r>
      <w:r w:rsidRPr="00E77F77">
        <w:t>t</w:t>
      </w:r>
      <w:r w:rsidRPr="00E54C11">
        <w:t xml:space="preserve"> th</w:t>
      </w:r>
      <w:r w:rsidRPr="00E77F77">
        <w:t>e</w:t>
      </w:r>
      <w:r w:rsidRPr="00E54C11">
        <w:t xml:space="preserve"> p</w:t>
      </w:r>
      <w:r w:rsidRPr="00E77F77">
        <w:t>r</w:t>
      </w:r>
      <w:r w:rsidRPr="00E54C11">
        <w:t>actic</w:t>
      </w:r>
      <w:r w:rsidRPr="00E77F77">
        <w:t>e</w:t>
      </w:r>
      <w:r w:rsidRPr="00E54C11">
        <w:t xml:space="preserve"> make</w:t>
      </w:r>
      <w:r w:rsidRPr="00E77F77">
        <w:t>s</w:t>
      </w:r>
      <w:r w:rsidRPr="00E54C11">
        <w:t xml:space="preserve"> i</w:t>
      </w:r>
      <w:r w:rsidRPr="00E77F77">
        <w:t xml:space="preserve">t </w:t>
      </w:r>
      <w:r w:rsidRPr="00E54C11">
        <w:t>clea</w:t>
      </w:r>
      <w:r w:rsidRPr="00E77F77">
        <w:t>r</w:t>
      </w:r>
      <w:r w:rsidRPr="00E54C11">
        <w:t xml:space="preserve"> tha</w:t>
      </w:r>
      <w:r w:rsidRPr="00E77F77">
        <w:t>t</w:t>
      </w:r>
      <w:r w:rsidRPr="00E54C11">
        <w:t xml:space="preserve"> a</w:t>
      </w:r>
      <w:r w:rsidRPr="00E77F77">
        <w:t>n</w:t>
      </w:r>
      <w:r w:rsidRPr="00E54C11">
        <w:t xml:space="preserve"> inciden</w:t>
      </w:r>
      <w:r w:rsidRPr="00E77F77">
        <w:t>t</w:t>
      </w:r>
      <w:r w:rsidRPr="00E54C11">
        <w:t xml:space="preserve"> ha</w:t>
      </w:r>
      <w:r w:rsidRPr="00E77F77">
        <w:t>s</w:t>
      </w:r>
      <w:r w:rsidRPr="00E54C11">
        <w:t xml:space="preserve"> occu</w:t>
      </w:r>
      <w:r w:rsidRPr="00E77F77">
        <w:t>rr</w:t>
      </w:r>
      <w:r w:rsidRPr="00E54C11">
        <w:t>e</w:t>
      </w:r>
      <w:r w:rsidRPr="00E77F77">
        <w:t>d</w:t>
      </w:r>
      <w:r w:rsidRPr="00E54C11">
        <w:t xml:space="preserve"> abou</w:t>
      </w:r>
      <w:r w:rsidRPr="00E77F77">
        <w:t>t</w:t>
      </w:r>
      <w:r w:rsidRPr="00E54C11">
        <w:t xml:space="preserve"> whic</w:t>
      </w:r>
      <w:r w:rsidRPr="00E77F77">
        <w:t>h</w:t>
      </w:r>
      <w:r w:rsidRPr="00E54C11">
        <w:t xml:space="preserve"> th</w:t>
      </w:r>
      <w:r w:rsidRPr="00E77F77">
        <w:t>e</w:t>
      </w:r>
      <w:r w:rsidRPr="00E54C11">
        <w:t xml:space="preserve"> p</w:t>
      </w:r>
      <w:r w:rsidRPr="00E77F77">
        <w:t>r</w:t>
      </w:r>
      <w:r w:rsidRPr="00E54C11">
        <w:t>actic</w:t>
      </w:r>
      <w:r w:rsidRPr="00E77F77">
        <w:t>e</w:t>
      </w:r>
      <w:r w:rsidRPr="00E54C11">
        <w:t xml:space="preserve"> want</w:t>
      </w:r>
      <w:r w:rsidRPr="00E77F77">
        <w:t>s</w:t>
      </w:r>
      <w:r w:rsidRPr="00E54C11">
        <w:t xml:space="preserve"> t</w:t>
      </w:r>
      <w:r w:rsidRPr="00E77F77">
        <w:t xml:space="preserve">o </w:t>
      </w:r>
      <w:r w:rsidRPr="00E54C11">
        <w:t>mak</w:t>
      </w:r>
      <w:r w:rsidRPr="00E77F77">
        <w:t>e</w:t>
      </w:r>
      <w:r w:rsidRPr="00E54C11">
        <w:t xml:space="preserve"> </w:t>
      </w:r>
      <w:r w:rsidRPr="00E77F77">
        <w:t>a</w:t>
      </w:r>
      <w:r w:rsidRPr="00E54C11">
        <w:t xml:space="preserve"> fo</w:t>
      </w:r>
      <w:r w:rsidRPr="00E77F77">
        <w:t>r</w:t>
      </w:r>
      <w:r w:rsidRPr="00E54C11">
        <w:t>ma</w:t>
      </w:r>
      <w:r w:rsidRPr="00E77F77">
        <w:t>l</w:t>
      </w:r>
      <w:r w:rsidRPr="00E54C11">
        <w:t xml:space="preserve"> statemen</w:t>
      </w:r>
      <w:r w:rsidRPr="00E77F77">
        <w:t>t</w:t>
      </w:r>
      <w:r w:rsidRPr="00E54C11">
        <w:t xml:space="preserve"> a</w:t>
      </w:r>
      <w:r w:rsidRPr="00E77F77">
        <w:t>s</w:t>
      </w:r>
      <w:r w:rsidRPr="00E54C11">
        <w:t xml:space="preserve"> soo</w:t>
      </w:r>
      <w:r w:rsidRPr="00E77F77">
        <w:t>n</w:t>
      </w:r>
      <w:r w:rsidRPr="00E54C11">
        <w:t xml:space="preserve"> a</w:t>
      </w:r>
      <w:r w:rsidRPr="00E77F77">
        <w:t>s</w:t>
      </w:r>
      <w:r w:rsidRPr="00E54C11">
        <w:t xml:space="preserve"> possible</w:t>
      </w:r>
      <w:r w:rsidRPr="00E77F77">
        <w:t>,</w:t>
      </w:r>
      <w:r w:rsidRPr="00E54C11">
        <w:t xml:space="preserve"> s</w:t>
      </w:r>
      <w:r w:rsidRPr="00E77F77">
        <w:t>o</w:t>
      </w:r>
      <w:r w:rsidRPr="00E54C11">
        <w:t xml:space="preserve"> a</w:t>
      </w:r>
      <w:r w:rsidRPr="00E77F77">
        <w:t>s</w:t>
      </w:r>
      <w:r w:rsidRPr="00E54C11">
        <w:t xml:space="preserve"> t</w:t>
      </w:r>
      <w:r w:rsidRPr="00E77F77">
        <w:t>o</w:t>
      </w:r>
      <w:r w:rsidRPr="00E54C11">
        <w:t xml:space="preserve"> suppo</w:t>
      </w:r>
      <w:r w:rsidRPr="00E77F77">
        <w:t>rt</w:t>
      </w:r>
      <w:r w:rsidRPr="00E54C11">
        <w:t xml:space="preserve"> th</w:t>
      </w:r>
      <w:r w:rsidRPr="00E77F77">
        <w:t xml:space="preserve">e </w:t>
      </w:r>
      <w:r w:rsidRPr="00E54C11">
        <w:t>situatio</w:t>
      </w:r>
      <w:r w:rsidRPr="00E77F77">
        <w:t>n</w:t>
      </w:r>
      <w:r w:rsidRPr="00E54C11">
        <w:t xml:space="preserve"> tha</w:t>
      </w:r>
      <w:r w:rsidRPr="00E77F77">
        <w:t>t</w:t>
      </w:r>
      <w:r w:rsidRPr="00E54C11">
        <w:t xml:space="preserve"> i</w:t>
      </w:r>
      <w:r w:rsidRPr="00E77F77">
        <w:t>s</w:t>
      </w:r>
      <w:r w:rsidRPr="00E54C11">
        <w:t xml:space="preserve"> t</w:t>
      </w:r>
      <w:r w:rsidRPr="00E77F77">
        <w:t>o</w:t>
      </w:r>
      <w:r w:rsidRPr="00E54C11">
        <w:t xml:space="preserve"> qualif</w:t>
      </w:r>
      <w:r w:rsidRPr="00E77F77">
        <w:t>y</w:t>
      </w:r>
      <w:r w:rsidRPr="00E54C11">
        <w:t xml:space="preserve"> fo</w:t>
      </w:r>
      <w:r w:rsidRPr="00E77F77">
        <w:t>r</w:t>
      </w:r>
      <w:r w:rsidRPr="00E54C11">
        <w:t xml:space="preserve"> immediat</w:t>
      </w:r>
      <w:r w:rsidRPr="00E77F77">
        <w:t>e</w:t>
      </w:r>
      <w:r w:rsidRPr="00E54C11">
        <w:t xml:space="preserve"> </w:t>
      </w:r>
      <w:r w:rsidRPr="00E77F77">
        <w:t>r</w:t>
      </w:r>
      <w:r w:rsidRPr="00E54C11">
        <w:t>emoval</w:t>
      </w:r>
      <w:r w:rsidRPr="00E77F77">
        <w:t xml:space="preserve">. </w:t>
      </w:r>
    </w:p>
    <w:p w14:paraId="53DFB8DD" w14:textId="77777777" w:rsidR="008F7BB3" w:rsidRPr="00E77F77" w:rsidRDefault="008F7BB3" w:rsidP="008F7BB3">
      <w:pPr>
        <w:pStyle w:val="Heading4"/>
      </w:pPr>
      <w:r w:rsidRPr="00E54C11">
        <w:t>Du</w:t>
      </w:r>
      <w:r w:rsidRPr="00E77F77">
        <w:t>e</w:t>
      </w:r>
      <w:r w:rsidRPr="00E54C11">
        <w:t xml:space="preserve"> t</w:t>
      </w:r>
      <w:r w:rsidRPr="00E77F77">
        <w:t>o</w:t>
      </w:r>
      <w:r w:rsidRPr="00E54C11">
        <w:t xml:space="preserve"> th</w:t>
      </w:r>
      <w:r w:rsidRPr="00E77F77">
        <w:t>e</w:t>
      </w:r>
      <w:r w:rsidRPr="00E54C11">
        <w:t xml:space="preserve"> natu</w:t>
      </w:r>
      <w:r w:rsidRPr="00E77F77">
        <w:t>re</w:t>
      </w:r>
      <w:r w:rsidRPr="00E54C11">
        <w:t xml:space="preserve"> o</w:t>
      </w:r>
      <w:r w:rsidRPr="00E77F77">
        <w:t>f</w:t>
      </w:r>
      <w:r w:rsidRPr="00E54C11">
        <w:t xml:space="preserve"> incident</w:t>
      </w:r>
      <w:r w:rsidRPr="00E77F77">
        <w:t>s</w:t>
      </w:r>
      <w:r w:rsidRPr="00E54C11">
        <w:t xml:space="preserve"> </w:t>
      </w:r>
      <w:r w:rsidRPr="00E77F77">
        <w:t>r</w:t>
      </w:r>
      <w:r w:rsidRPr="00E54C11">
        <w:t>equi</w:t>
      </w:r>
      <w:r>
        <w:t>r</w:t>
      </w:r>
      <w:r w:rsidRPr="00E54C11">
        <w:t>in</w:t>
      </w:r>
      <w:r>
        <w:t>g</w:t>
      </w:r>
      <w:r w:rsidRPr="00E54C11">
        <w:t xml:space="preserve"> </w:t>
      </w:r>
      <w:r>
        <w:t>an immediate removal under these regulations</w:t>
      </w:r>
      <w:r w:rsidRPr="00E77F77">
        <w:t>,</w:t>
      </w:r>
      <w:r w:rsidRPr="00E54C11">
        <w:t xml:space="preserve"> i</w:t>
      </w:r>
      <w:r w:rsidRPr="00E77F77">
        <w:t xml:space="preserve">t </w:t>
      </w:r>
      <w:r w:rsidRPr="00E54C11">
        <w:t>woul</w:t>
      </w:r>
      <w:r w:rsidRPr="00E77F77">
        <w:t>d</w:t>
      </w:r>
      <w:r w:rsidRPr="00E54C11">
        <w:t xml:space="preserve"> no</w:t>
      </w:r>
      <w:r w:rsidRPr="00E77F77">
        <w:t>t</w:t>
      </w:r>
      <w:r w:rsidRPr="00E54C11">
        <w:t xml:space="preserve"> b</w:t>
      </w:r>
      <w:r w:rsidRPr="00E77F77">
        <w:t>e</w:t>
      </w:r>
      <w:r w:rsidRPr="00E54C11">
        <w:t xml:space="preserve"> expecte</w:t>
      </w:r>
      <w:r w:rsidRPr="00E77F77">
        <w:t>d</w:t>
      </w:r>
      <w:r w:rsidRPr="00E54C11">
        <w:t xml:space="preserve"> tha</w:t>
      </w:r>
      <w:r w:rsidRPr="00E77F77">
        <w:t>t</w:t>
      </w:r>
      <w:r w:rsidRPr="00E54C11">
        <w:t xml:space="preserve"> th</w:t>
      </w:r>
      <w:r w:rsidRPr="00E77F77">
        <w:t>e</w:t>
      </w:r>
      <w:r w:rsidRPr="00E54C11">
        <w:t xml:space="preserve"> p</w:t>
      </w:r>
      <w:r w:rsidRPr="00E77F77">
        <w:t>r</w:t>
      </w:r>
      <w:r w:rsidRPr="00E54C11">
        <w:t>actic</w:t>
      </w:r>
      <w:r w:rsidRPr="00E77F77">
        <w:t>e</w:t>
      </w:r>
      <w:r w:rsidRPr="00E54C11">
        <w:t xml:space="preserve"> notif</w:t>
      </w:r>
      <w:r w:rsidRPr="00E77F77">
        <w:t>y</w:t>
      </w:r>
      <w:r w:rsidRPr="00E54C11">
        <w:t xml:space="preserve"> th</w:t>
      </w:r>
      <w:r w:rsidRPr="00E77F77">
        <w:t>e</w:t>
      </w:r>
      <w:r w:rsidRPr="00E54C11">
        <w:t xml:space="preserve"> polic</w:t>
      </w:r>
      <w:r w:rsidRPr="00E77F77">
        <w:t xml:space="preserve">e </w:t>
      </w:r>
      <w:r w:rsidRPr="00E54C11">
        <w:t>day</w:t>
      </w:r>
      <w:r w:rsidRPr="00E77F77">
        <w:t>s</w:t>
      </w:r>
      <w:r w:rsidRPr="00E54C11">
        <w:t xml:space="preserve"> afte</w:t>
      </w:r>
      <w:r w:rsidRPr="00E77F77">
        <w:t>r</w:t>
      </w:r>
      <w:r w:rsidRPr="00E54C11">
        <w:t xml:space="preserve"> th</w:t>
      </w:r>
      <w:r w:rsidRPr="00E77F77">
        <w:t xml:space="preserve">e </w:t>
      </w:r>
      <w:r w:rsidRPr="00E54C11">
        <w:t>incident</w:t>
      </w:r>
      <w:r w:rsidRPr="00E77F77">
        <w:t>.</w:t>
      </w:r>
      <w:r w:rsidRPr="00E54C11">
        <w:t xml:space="preserve"> </w:t>
      </w:r>
      <w:r w:rsidRPr="00E77F77">
        <w:t>A</w:t>
      </w:r>
      <w:r w:rsidRPr="00E54C11">
        <w:t xml:space="preserve"> fu</w:t>
      </w:r>
      <w:r w:rsidRPr="00E77F77">
        <w:t>r</w:t>
      </w:r>
      <w:r w:rsidRPr="00E54C11">
        <w:t>the</w:t>
      </w:r>
      <w:r w:rsidRPr="00E77F77">
        <w:t>r</w:t>
      </w:r>
      <w:r w:rsidRPr="00E54C11">
        <w:t xml:space="preserve"> contac</w:t>
      </w:r>
      <w:r w:rsidRPr="00E77F77">
        <w:t>t</w:t>
      </w:r>
      <w:r w:rsidRPr="00E54C11">
        <w:t xml:space="preserve"> t</w:t>
      </w:r>
      <w:r w:rsidRPr="00E77F77">
        <w:t>o</w:t>
      </w:r>
      <w:r w:rsidRPr="00E54C11">
        <w:t xml:space="preserve"> th</w:t>
      </w:r>
      <w:r w:rsidRPr="00E77F77">
        <w:t>e</w:t>
      </w:r>
      <w:r w:rsidRPr="00E54C11">
        <w:t xml:space="preserve"> polic</w:t>
      </w:r>
      <w:r w:rsidRPr="00E77F77">
        <w:t>e</w:t>
      </w:r>
      <w:r w:rsidRPr="00E54C11">
        <w:t xml:space="preserve"> withi</w:t>
      </w:r>
      <w:r w:rsidRPr="00E77F77">
        <w:t>n</w:t>
      </w:r>
      <w:r w:rsidRPr="00E54C11">
        <w:t xml:space="preserve"> </w:t>
      </w:r>
      <w:r w:rsidRPr="00E77F77">
        <w:t>7</w:t>
      </w:r>
      <w:r w:rsidRPr="00E54C11">
        <w:t xml:space="preserve"> day</w:t>
      </w:r>
      <w:r w:rsidRPr="00E77F77">
        <w:t>s</w:t>
      </w:r>
      <w:r w:rsidRPr="00E54C11">
        <w:t xml:space="preserve"> ma</w:t>
      </w:r>
      <w:r w:rsidRPr="00E77F77">
        <w:t>y</w:t>
      </w:r>
      <w:r w:rsidRPr="00E54C11">
        <w:t xml:space="preserve"> b</w:t>
      </w:r>
      <w:r w:rsidRPr="00E77F77">
        <w:t>e</w:t>
      </w:r>
      <w:r w:rsidRPr="00E54C11">
        <w:t xml:space="preserve"> </w:t>
      </w:r>
      <w:r w:rsidRPr="00E77F77">
        <w:t>r</w:t>
      </w:r>
      <w:r w:rsidRPr="00E54C11">
        <w:t>equi</w:t>
      </w:r>
      <w:r w:rsidRPr="00E77F77">
        <w:t>r</w:t>
      </w:r>
      <w:r w:rsidRPr="00E54C11">
        <w:t>e</w:t>
      </w:r>
      <w:r w:rsidRPr="00E77F77">
        <w:t>d</w:t>
      </w:r>
      <w:r w:rsidRPr="00E54C11">
        <w:t xml:space="preserve"> i</w:t>
      </w:r>
      <w:r w:rsidRPr="00E77F77">
        <w:t xml:space="preserve">f </w:t>
      </w:r>
      <w:r w:rsidRPr="00E54C11">
        <w:t>th</w:t>
      </w:r>
      <w:r w:rsidRPr="00E77F77">
        <w:t>e</w:t>
      </w:r>
      <w:r w:rsidRPr="00E54C11">
        <w:t xml:space="preserve"> inciden</w:t>
      </w:r>
      <w:r w:rsidRPr="00E77F77">
        <w:t>t</w:t>
      </w:r>
      <w:r w:rsidRPr="00E54C11">
        <w:t xml:space="preserve"> numbe</w:t>
      </w:r>
      <w:r w:rsidRPr="00E77F77">
        <w:t>r</w:t>
      </w:r>
      <w:r w:rsidRPr="00E54C11">
        <w:t xml:space="preserve"> fo</w:t>
      </w:r>
      <w:r>
        <w:t>r</w:t>
      </w:r>
      <w:r w:rsidRPr="00E54C11">
        <w:t xml:space="preserve"> th</w:t>
      </w:r>
      <w:r>
        <w:t>e</w:t>
      </w:r>
      <w:r w:rsidRPr="00E54C11">
        <w:t xml:space="preserve"> cal</w:t>
      </w:r>
      <w:r>
        <w:t>l</w:t>
      </w:r>
      <w:r w:rsidRPr="00E54C11">
        <w:t xml:space="preserve"> wasn’</w:t>
      </w:r>
      <w:r>
        <w:t xml:space="preserve">t recorded, </w:t>
      </w:r>
      <w:r w:rsidRPr="00E77F77">
        <w:t xml:space="preserve">retained </w:t>
      </w:r>
      <w:r>
        <w:t xml:space="preserve">or provided </w:t>
      </w:r>
      <w:r w:rsidRPr="00E54C11">
        <w:t>a</w:t>
      </w:r>
      <w:r w:rsidRPr="00E77F77">
        <w:t>t</w:t>
      </w:r>
      <w:r w:rsidRPr="00E54C11">
        <w:t xml:space="preserve"> th</w:t>
      </w:r>
      <w:r w:rsidRPr="00E77F77">
        <w:t>e</w:t>
      </w:r>
      <w:r w:rsidRPr="00E54C11">
        <w:t xml:space="preserve"> tim</w:t>
      </w:r>
      <w:r w:rsidRPr="00E77F77">
        <w:t xml:space="preserve">e </w:t>
      </w:r>
      <w:r w:rsidRPr="00E54C11">
        <w:t>o</w:t>
      </w:r>
      <w:r w:rsidRPr="00E77F77">
        <w:t>f</w:t>
      </w:r>
      <w:r w:rsidRPr="00E54C11">
        <w:t xml:space="preserve"> th</w:t>
      </w:r>
      <w:r w:rsidRPr="00E77F77">
        <w:t>e</w:t>
      </w:r>
      <w:r w:rsidRPr="00E54C11">
        <w:t xml:space="preserve"> call</w:t>
      </w:r>
      <w:r w:rsidRPr="00E77F77">
        <w:t xml:space="preserve">. </w:t>
      </w:r>
      <w:r w:rsidRPr="00E54C11">
        <w:t xml:space="preserve"> Th</w:t>
      </w:r>
      <w:r w:rsidRPr="00E77F77">
        <w:t>e</w:t>
      </w:r>
      <w:r w:rsidRPr="00E54C11">
        <w:t xml:space="preserve"> </w:t>
      </w:r>
      <w:r w:rsidRPr="00E77F77">
        <w:t>S</w:t>
      </w:r>
      <w:r w:rsidRPr="00E54C11">
        <w:t>A</w:t>
      </w:r>
      <w:r w:rsidRPr="00E77F77">
        <w:t>S</w:t>
      </w:r>
      <w:r w:rsidRPr="00E54C11">
        <w:t xml:space="preserve"> polic</w:t>
      </w:r>
      <w:r w:rsidRPr="00E77F77">
        <w:t>y</w:t>
      </w:r>
      <w:r w:rsidRPr="00E54C11">
        <w:t xml:space="preserve"> i</w:t>
      </w:r>
      <w:r w:rsidRPr="00E77F77">
        <w:t>s</w:t>
      </w:r>
      <w:r w:rsidRPr="00E54C11">
        <w:t xml:space="preserve"> i</w:t>
      </w:r>
      <w:r w:rsidRPr="00E77F77">
        <w:t>n</w:t>
      </w:r>
      <w:r w:rsidRPr="00E54C11">
        <w:t xml:space="preserve"> plac</w:t>
      </w:r>
      <w:r w:rsidRPr="00E77F77">
        <w:t>e</w:t>
      </w:r>
      <w:r w:rsidRPr="00E54C11">
        <w:t xml:space="preserve"> fo</w:t>
      </w:r>
      <w:r w:rsidRPr="00E77F77">
        <w:t>r</w:t>
      </w:r>
      <w:r w:rsidRPr="00E54C11">
        <w:t xml:space="preserve"> u</w:t>
      </w:r>
      <w:r w:rsidRPr="00E77F77">
        <w:t>r</w:t>
      </w:r>
      <w:r w:rsidRPr="00E54C11">
        <w:t>gen</w:t>
      </w:r>
      <w:r w:rsidRPr="00E77F77">
        <w:t>t</w:t>
      </w:r>
      <w:r w:rsidRPr="00E54C11">
        <w:t xml:space="preserve"> incidence</w:t>
      </w:r>
      <w:r w:rsidRPr="00E77F77">
        <w:t>s</w:t>
      </w:r>
      <w:r w:rsidRPr="00E54C11">
        <w:t xml:space="preserve"> an</w:t>
      </w:r>
      <w:r w:rsidRPr="00E77F77">
        <w:t>d</w:t>
      </w:r>
      <w:r w:rsidRPr="00E54C11">
        <w:t xml:space="preserve"> a</w:t>
      </w:r>
      <w:r w:rsidRPr="00E77F77">
        <w:t xml:space="preserve">s </w:t>
      </w:r>
      <w:r w:rsidRPr="00E54C11">
        <w:t>such</w:t>
      </w:r>
      <w:r w:rsidRPr="00E77F77">
        <w:t>,</w:t>
      </w:r>
      <w:r w:rsidRPr="00E54C11">
        <w:t xml:space="preserve"> thi</w:t>
      </w:r>
      <w:r w:rsidRPr="00E77F77">
        <w:t>s</w:t>
      </w:r>
      <w:r w:rsidRPr="00E54C11">
        <w:t xml:space="preserve"> info</w:t>
      </w:r>
      <w:r w:rsidRPr="00E77F77">
        <w:t>r</w:t>
      </w:r>
      <w:r w:rsidRPr="00E54C11">
        <w:t>matio</w:t>
      </w:r>
      <w:r w:rsidRPr="00E77F77">
        <w:t>n</w:t>
      </w:r>
      <w:r w:rsidRPr="00E54C11">
        <w:t xml:space="preserve"> an</w:t>
      </w:r>
      <w:r w:rsidRPr="00E77F77">
        <w:t>d</w:t>
      </w:r>
      <w:r w:rsidRPr="00E54C11">
        <w:t xml:space="preserve"> evidenc</w:t>
      </w:r>
      <w:r w:rsidRPr="00E77F77">
        <w:t>e</w:t>
      </w:r>
      <w:r w:rsidRPr="00E54C11">
        <w:t xml:space="preserve"> ma</w:t>
      </w:r>
      <w:r w:rsidRPr="00E77F77">
        <w:t>y</w:t>
      </w:r>
      <w:r w:rsidRPr="00E54C11">
        <w:t xml:space="preserve"> b</w:t>
      </w:r>
      <w:r w:rsidRPr="00E77F77">
        <w:t>e</w:t>
      </w:r>
      <w:r w:rsidRPr="00E54C11">
        <w:t xml:space="preserve"> use</w:t>
      </w:r>
      <w:r w:rsidRPr="00E77F77">
        <w:t>d</w:t>
      </w:r>
      <w:r w:rsidRPr="00E54C11">
        <w:t xml:space="preserve"> fo</w:t>
      </w:r>
      <w:r w:rsidRPr="00E77F77">
        <w:t>r</w:t>
      </w:r>
      <w:r w:rsidRPr="00E54C11">
        <w:t xml:space="preserve"> loca</w:t>
      </w:r>
      <w:r w:rsidRPr="00E77F77">
        <w:t>l</w:t>
      </w:r>
      <w:r w:rsidRPr="00E54C11">
        <w:t xml:space="preserve"> audi</w:t>
      </w:r>
      <w:r w:rsidRPr="00E77F77">
        <w:t xml:space="preserve">t </w:t>
      </w:r>
      <w:r w:rsidRPr="00E54C11">
        <w:t>pu</w:t>
      </w:r>
      <w:r w:rsidRPr="00E77F77">
        <w:t>r</w:t>
      </w:r>
      <w:r w:rsidRPr="00E54C11">
        <w:t>poses</w:t>
      </w:r>
      <w:r w:rsidRPr="00F60783">
        <w:t>.</w:t>
      </w:r>
    </w:p>
    <w:p w14:paraId="48C3E1E2" w14:textId="77777777" w:rsidR="008F7BB3" w:rsidRPr="00E54C11" w:rsidRDefault="008F7BB3" w:rsidP="008F7BB3">
      <w:pPr>
        <w:pStyle w:val="Heading3"/>
        <w:rPr>
          <w:b/>
        </w:rPr>
      </w:pPr>
      <w:r w:rsidRPr="00E54C11">
        <w:rPr>
          <w:b/>
        </w:rPr>
        <w:t>Notify the Commissioner (via PCSE)</w:t>
      </w:r>
    </w:p>
    <w:p w14:paraId="1DBD6EA6" w14:textId="36EF8361" w:rsidR="008F7BB3" w:rsidRPr="00E77F77" w:rsidRDefault="008F7BB3" w:rsidP="008F7BB3">
      <w:pPr>
        <w:pStyle w:val="Heading4"/>
      </w:pPr>
      <w:r w:rsidRPr="00E54C11">
        <w:lastRenderedPageBreak/>
        <w:t>Th</w:t>
      </w:r>
      <w:r w:rsidRPr="00E77F77">
        <w:t>e</w:t>
      </w:r>
      <w:r w:rsidRPr="00E54C11">
        <w:t xml:space="preserve"> p</w:t>
      </w:r>
      <w:r w:rsidRPr="00E77F77">
        <w:t>r</w:t>
      </w:r>
      <w:r w:rsidRPr="00E54C11">
        <w:t>actic</w:t>
      </w:r>
      <w:r w:rsidRPr="00E77F77">
        <w:t>e</w:t>
      </w:r>
      <w:r w:rsidRPr="00E54C11">
        <w:t xml:space="preserve"> i</w:t>
      </w:r>
      <w:r w:rsidRPr="00E77F77">
        <w:t>s</w:t>
      </w:r>
      <w:r w:rsidRPr="00E54C11">
        <w:t xml:space="preserve"> </w:t>
      </w:r>
      <w:r w:rsidRPr="00E77F77">
        <w:t>r</w:t>
      </w:r>
      <w:r w:rsidRPr="00E54C11">
        <w:t>equi</w:t>
      </w:r>
      <w:r w:rsidRPr="00E77F77">
        <w:t>r</w:t>
      </w:r>
      <w:r w:rsidRPr="00E54C11">
        <w:t>e</w:t>
      </w:r>
      <w:r w:rsidRPr="00E77F77">
        <w:t>d</w:t>
      </w:r>
      <w:r w:rsidRPr="00E54C11">
        <w:t xml:space="preserve"> t</w:t>
      </w:r>
      <w:r w:rsidRPr="00E77F77">
        <w:t>o</w:t>
      </w:r>
      <w:r w:rsidRPr="00E54C11">
        <w:t xml:space="preserve"> notif</w:t>
      </w:r>
      <w:r w:rsidRPr="00E77F77">
        <w:t>y</w:t>
      </w:r>
      <w:r w:rsidRPr="00E54C11">
        <w:t xml:space="preserve"> th</w:t>
      </w:r>
      <w:r w:rsidRPr="00E77F77">
        <w:t>e</w:t>
      </w:r>
      <w:r w:rsidRPr="00E54C11">
        <w:t xml:space="preserve"> Commissione</w:t>
      </w:r>
      <w:r w:rsidRPr="00E77F77">
        <w:t>r</w:t>
      </w:r>
      <w:r w:rsidRPr="00E54C11">
        <w:t xml:space="preserve"> vi</w:t>
      </w:r>
      <w:r w:rsidRPr="00E77F77">
        <w:t>a</w:t>
      </w:r>
      <w:r w:rsidRPr="00E54C11">
        <w:t xml:space="preserve"> </w:t>
      </w:r>
      <w:r w:rsidRPr="00E77F77">
        <w:t>P</w:t>
      </w:r>
      <w:r w:rsidRPr="00E54C11">
        <w:t>C</w:t>
      </w:r>
      <w:r w:rsidRPr="00E77F77">
        <w:t>SE</w:t>
      </w:r>
      <w:r w:rsidRPr="00E54C11">
        <w:t xml:space="preserve"> eithe</w:t>
      </w:r>
      <w:r w:rsidRPr="00E77F77">
        <w:t>r</w:t>
      </w:r>
      <w:r w:rsidRPr="00E54C11">
        <w:t xml:space="preserve"> b</w:t>
      </w:r>
      <w:r w:rsidRPr="00E77F77">
        <w:t xml:space="preserve">y </w:t>
      </w:r>
      <w:r w:rsidRPr="00E54C11">
        <w:t>telephon</w:t>
      </w:r>
      <w:r w:rsidRPr="00E77F77">
        <w:t>e (</w:t>
      </w:r>
      <w:r w:rsidRPr="00E54C11">
        <w:t>033</w:t>
      </w:r>
      <w:r w:rsidRPr="00E77F77">
        <w:t>3</w:t>
      </w:r>
      <w:r w:rsidRPr="00E54C11">
        <w:t xml:space="preserve"> 01</w:t>
      </w:r>
      <w:r w:rsidRPr="00E77F77">
        <w:t xml:space="preserve">4 </w:t>
      </w:r>
      <w:r w:rsidRPr="00E54C11">
        <w:t>2884)</w:t>
      </w:r>
      <w:r w:rsidRPr="00E77F77">
        <w:t xml:space="preserve">, </w:t>
      </w:r>
      <w:r w:rsidRPr="00E54C11">
        <w:t>o</w:t>
      </w:r>
      <w:r w:rsidRPr="00E77F77">
        <w:t xml:space="preserve">r </w:t>
      </w:r>
      <w:r w:rsidRPr="00E54C11">
        <w:t>emailin</w:t>
      </w:r>
      <w:r w:rsidRPr="00E77F77">
        <w:t xml:space="preserve">g </w:t>
      </w:r>
      <w:hyperlink r:id="rId76" w:history="1">
        <w:r w:rsidRPr="00E77F77">
          <w:t>Pcse.immediateremovals@nhs.net</w:t>
        </w:r>
      </w:hyperlink>
      <w:r w:rsidRPr="00E77F77">
        <w:t xml:space="preserve">.  </w:t>
      </w:r>
      <w:r w:rsidRPr="00E54C11">
        <w:t>A</w:t>
      </w:r>
      <w:r w:rsidRPr="00E77F77">
        <w:t>t</w:t>
      </w:r>
      <w:r w:rsidRPr="00E54C11">
        <w:t xml:space="preserve"> thi</w:t>
      </w:r>
      <w:r w:rsidRPr="00E77F77">
        <w:t>s</w:t>
      </w:r>
      <w:r w:rsidRPr="00E54C11">
        <w:t xml:space="preserve"> poin</w:t>
      </w:r>
      <w:r w:rsidRPr="00E77F77">
        <w:t>t</w:t>
      </w:r>
      <w:r w:rsidRPr="00E54C11">
        <w:t xml:space="preserve"> </w:t>
      </w:r>
      <w:r>
        <w:t xml:space="preserve">the will be a reasonable expectation that </w:t>
      </w:r>
      <w:r w:rsidRPr="00E54C11">
        <w:t>p</w:t>
      </w:r>
      <w:r w:rsidRPr="00E77F77">
        <w:t>r</w:t>
      </w:r>
      <w:r w:rsidRPr="00E54C11">
        <w:t>actice</w:t>
      </w:r>
      <w:r w:rsidRPr="00E77F77">
        <w:t>s</w:t>
      </w:r>
      <w:r w:rsidRPr="00E54C11">
        <w:t xml:space="preserve"> wil</w:t>
      </w:r>
      <w:r w:rsidRPr="00E77F77">
        <w:t>l</w:t>
      </w:r>
      <w:r w:rsidRPr="00E54C11">
        <w:t xml:space="preserve"> b</w:t>
      </w:r>
      <w:r w:rsidRPr="00E77F77">
        <w:t xml:space="preserve">e able to evidence contact with the police by passing on details of an </w:t>
      </w:r>
      <w:r w:rsidRPr="00E54C11">
        <w:t>inciden</w:t>
      </w:r>
      <w:r w:rsidRPr="00E77F77">
        <w:t>t</w:t>
      </w:r>
      <w:r w:rsidRPr="00E54C11">
        <w:t xml:space="preserve"> numbe</w:t>
      </w:r>
      <w:r w:rsidRPr="00E77F77">
        <w:t xml:space="preserve">r or detail why this has not been possible and </w:t>
      </w:r>
      <w:r>
        <w:t xml:space="preserve">if possible </w:t>
      </w:r>
      <w:r w:rsidRPr="00E77F77">
        <w:t xml:space="preserve">call back with an incident number </w:t>
      </w:r>
      <w:r w:rsidRPr="00E54C11">
        <w:t>a</w:t>
      </w:r>
      <w:r w:rsidRPr="00E77F77">
        <w:t>s</w:t>
      </w:r>
      <w:r w:rsidRPr="00E54C11">
        <w:t xml:space="preserve"> soo</w:t>
      </w:r>
      <w:r w:rsidRPr="00E77F77">
        <w:t>n</w:t>
      </w:r>
      <w:r w:rsidRPr="00E54C11">
        <w:t xml:space="preserve"> a</w:t>
      </w:r>
      <w:r w:rsidRPr="00E77F77">
        <w:t>s</w:t>
      </w:r>
      <w:r w:rsidRPr="00E54C11">
        <w:t xml:space="preserve"> p</w:t>
      </w:r>
      <w:r w:rsidRPr="00E77F77">
        <w:t>r</w:t>
      </w:r>
      <w:r w:rsidRPr="00E54C11">
        <w:t>actica</w:t>
      </w:r>
      <w:r w:rsidRPr="00E77F77">
        <w:t>l.</w:t>
      </w:r>
      <w:r w:rsidRPr="00E54C11">
        <w:t xml:space="preserve"> </w:t>
      </w:r>
      <w:r w:rsidRPr="00E77F77">
        <w:t>The practice will be required to follow up the call with a written report of the incident</w:t>
      </w:r>
      <w:r>
        <w:t xml:space="preserve"> (including police incident number)</w:t>
      </w:r>
      <w:r w:rsidRPr="00E77F77">
        <w:t xml:space="preserve">, preferably within 24 hours but no more than 7 days after the incident occurring and via email to the Commissioner .  A sample reporting form for recording the incident can be found at Appendix One. </w:t>
      </w:r>
    </w:p>
    <w:p w14:paraId="074A9E17" w14:textId="77777777" w:rsidR="008F7BB3" w:rsidRPr="002F4261" w:rsidRDefault="008F7BB3" w:rsidP="008F7BB3">
      <w:pPr>
        <w:pStyle w:val="Heading4"/>
      </w:pPr>
      <w:r w:rsidRPr="00E54C11">
        <w:t>Th</w:t>
      </w:r>
      <w:r w:rsidRPr="00E77F77">
        <w:t>e</w:t>
      </w:r>
      <w:r w:rsidRPr="00E54C11">
        <w:t xml:space="preserve"> practic</w:t>
      </w:r>
      <w:r w:rsidRPr="00E77F77">
        <w:t>e</w:t>
      </w:r>
      <w:r w:rsidRPr="00E54C11">
        <w:t xml:space="preserve"> must notif</w:t>
      </w:r>
      <w:r w:rsidRPr="00E77F77">
        <w:t>y</w:t>
      </w:r>
      <w:r w:rsidRPr="00E54C11">
        <w:t xml:space="preserve"> th</w:t>
      </w:r>
      <w:r w:rsidRPr="00E77F77">
        <w:t>e</w:t>
      </w:r>
      <w:r w:rsidRPr="00E54C11">
        <w:t xml:space="preserve"> patien</w:t>
      </w:r>
      <w:r w:rsidRPr="00E77F77">
        <w:t>t</w:t>
      </w:r>
      <w:r w:rsidRPr="00E54C11">
        <w:t xml:space="preserve"> tha</w:t>
      </w:r>
      <w:r w:rsidRPr="00E77F77">
        <w:t>t</w:t>
      </w:r>
      <w:r w:rsidRPr="00E54C11">
        <w:t xml:space="preserve"> i</w:t>
      </w:r>
      <w:r w:rsidRPr="00E77F77">
        <w:t>t</w:t>
      </w:r>
      <w:r w:rsidRPr="00E54C11">
        <w:t xml:space="preserve"> ha</w:t>
      </w:r>
      <w:r w:rsidRPr="00E77F77">
        <w:t>s</w:t>
      </w:r>
      <w:r w:rsidRPr="00E54C11">
        <w:t xml:space="preserve"> </w:t>
      </w:r>
      <w:r w:rsidRPr="00E77F77">
        <w:t>r</w:t>
      </w:r>
      <w:r w:rsidRPr="00E54C11">
        <w:t>equeste</w:t>
      </w:r>
      <w:r w:rsidRPr="00E77F77">
        <w:t>d</w:t>
      </w:r>
      <w:r w:rsidRPr="00E54C11">
        <w:t xml:space="preserve"> thei</w:t>
      </w:r>
      <w:r w:rsidRPr="00E77F77">
        <w:t>r</w:t>
      </w:r>
      <w:r w:rsidRPr="00E54C11">
        <w:t xml:space="preserve"> </w:t>
      </w:r>
      <w:r w:rsidRPr="00E77F77">
        <w:t>r</w:t>
      </w:r>
      <w:r w:rsidRPr="00E54C11">
        <w:t>emova</w:t>
      </w:r>
      <w:r w:rsidRPr="00E77F77">
        <w:t xml:space="preserve">l </w:t>
      </w:r>
      <w:r w:rsidRPr="00E54C11">
        <w:t>f</w:t>
      </w:r>
      <w:r w:rsidRPr="00E77F77">
        <w:t>r</w:t>
      </w:r>
      <w:r w:rsidRPr="00E54C11">
        <w:t>o</w:t>
      </w:r>
      <w:r w:rsidRPr="00E77F77">
        <w:t>m</w:t>
      </w:r>
      <w:r w:rsidRPr="00E54C11">
        <w:t xml:space="preserve"> th</w:t>
      </w:r>
      <w:r w:rsidRPr="00E77F77">
        <w:t>e</w:t>
      </w:r>
      <w:r w:rsidRPr="00E54C11">
        <w:t xml:space="preserve"> patien</w:t>
      </w:r>
      <w:r w:rsidRPr="00E77F77">
        <w:t>t</w:t>
      </w:r>
      <w:r w:rsidRPr="00E54C11">
        <w:t xml:space="preserve"> list</w:t>
      </w:r>
      <w:r>
        <w:t xml:space="preserve"> </w:t>
      </w:r>
      <w:r w:rsidRPr="00E54C11">
        <w:t>, as set out in the regulations, unles</w:t>
      </w:r>
      <w:r w:rsidRPr="002F4261">
        <w:t>s</w:t>
      </w:r>
      <w:r w:rsidRPr="00E54C11">
        <w:t xml:space="preserve"> a</w:t>
      </w:r>
      <w:r w:rsidRPr="002F4261">
        <w:t>n</w:t>
      </w:r>
      <w:r w:rsidRPr="00E54C11">
        <w:t xml:space="preserve"> exceptio</w:t>
      </w:r>
      <w:r w:rsidRPr="002F4261">
        <w:t>n</w:t>
      </w:r>
      <w:r w:rsidRPr="00E54C11">
        <w:t xml:space="preserve"> applie</w:t>
      </w:r>
      <w:r w:rsidRPr="002F4261">
        <w:t>s</w:t>
      </w:r>
      <w:r w:rsidRPr="00E54C11">
        <w:t xml:space="preserve"> unde</w:t>
      </w:r>
      <w:r w:rsidRPr="002F4261">
        <w:t>r</w:t>
      </w:r>
      <w:r w:rsidRPr="00E54C11">
        <w:t xml:space="preserve"> th</w:t>
      </w:r>
      <w:r w:rsidRPr="002F4261">
        <w:t>e</w:t>
      </w:r>
      <w:r w:rsidRPr="00E54C11">
        <w:t xml:space="preserve"> Regulation</w:t>
      </w:r>
      <w:r w:rsidRPr="002F4261">
        <w:t>s</w:t>
      </w:r>
      <w:r w:rsidRPr="00E54C11">
        <w:t xml:space="preserve"> </w:t>
      </w:r>
      <w:r w:rsidRPr="002F4261">
        <w:t>(</w:t>
      </w:r>
      <w:r w:rsidRPr="00E54C11">
        <w:t>se</w:t>
      </w:r>
      <w:r w:rsidRPr="002F4261">
        <w:t xml:space="preserve">e </w:t>
      </w:r>
      <w:r w:rsidRPr="00E54C11">
        <w:t>sectio</w:t>
      </w:r>
      <w:r w:rsidRPr="002F4261">
        <w:t>n</w:t>
      </w:r>
      <w:r w:rsidRPr="00E54C11">
        <w:t xml:space="preserve"> 2.14</w:t>
      </w:r>
      <w:r w:rsidRPr="002F4261">
        <w:t>).</w:t>
      </w:r>
    </w:p>
    <w:p w14:paraId="549F8C48" w14:textId="77777777" w:rsidR="008F7BB3" w:rsidRDefault="008F7BB3" w:rsidP="008F7BB3">
      <w:pPr>
        <w:pStyle w:val="Heading4"/>
      </w:pPr>
      <w:r w:rsidRPr="00E77F77">
        <w:t>P</w:t>
      </w:r>
      <w:r w:rsidRPr="00E54C11">
        <w:t>C</w:t>
      </w:r>
      <w:r w:rsidRPr="00E77F77">
        <w:t>SE</w:t>
      </w:r>
      <w:r w:rsidRPr="00E54C11">
        <w:t xml:space="preserve"> wil</w:t>
      </w:r>
      <w:r w:rsidRPr="00E77F77">
        <w:t>l</w:t>
      </w:r>
      <w:r w:rsidRPr="00E54C11">
        <w:t xml:space="preserve"> ensu</w:t>
      </w:r>
      <w:r w:rsidRPr="00E77F77">
        <w:t xml:space="preserve">re </w:t>
      </w:r>
      <w:r w:rsidRPr="00E54C11">
        <w:t>th</w:t>
      </w:r>
      <w:r w:rsidRPr="00E77F77">
        <w:t>e</w:t>
      </w:r>
      <w:r w:rsidRPr="00E54C11">
        <w:t xml:space="preserve"> patien</w:t>
      </w:r>
      <w:r w:rsidRPr="00E77F77">
        <w:t>t</w:t>
      </w:r>
      <w:r w:rsidRPr="00E54C11">
        <w:t xml:space="preserve"> </w:t>
      </w:r>
      <w:r w:rsidRPr="00E77F77">
        <w:t>r</w:t>
      </w:r>
      <w:r w:rsidRPr="00E54C11">
        <w:t>emova</w:t>
      </w:r>
      <w:r w:rsidRPr="00E77F77">
        <w:t>l</w:t>
      </w:r>
      <w:r w:rsidRPr="00E54C11">
        <w:t xml:space="preserve"> p</w:t>
      </w:r>
      <w:r w:rsidRPr="00E77F77">
        <w:t>r</w:t>
      </w:r>
      <w:r w:rsidRPr="00E54C11">
        <w:t>oces</w:t>
      </w:r>
      <w:r w:rsidRPr="00E77F77">
        <w:t>s</w:t>
      </w:r>
      <w:r w:rsidRPr="00E54C11">
        <w:t xml:space="preserve"> commence</w:t>
      </w:r>
      <w:r w:rsidRPr="00E77F77">
        <w:t>s</w:t>
      </w:r>
      <w:r>
        <w:t>. Following the removal and in conjunction with the commissioners as necessary,</w:t>
      </w:r>
      <w:r w:rsidRPr="00E54C11">
        <w:t xml:space="preserve"> </w:t>
      </w:r>
      <w:r>
        <w:t xml:space="preserve">PCSE </w:t>
      </w:r>
      <w:r w:rsidRPr="00E54C11">
        <w:t>wil</w:t>
      </w:r>
      <w:r w:rsidRPr="00E77F77">
        <w:t>l</w:t>
      </w:r>
      <w:r w:rsidRPr="00E54C11">
        <w:t xml:space="preserve"> decid</w:t>
      </w:r>
      <w:r w:rsidRPr="00E77F77">
        <w:t>e</w:t>
      </w:r>
      <w:r w:rsidRPr="00E54C11">
        <w:t xml:space="preserve"> o</w:t>
      </w:r>
      <w:r w:rsidRPr="00E77F77">
        <w:t>n</w:t>
      </w:r>
      <w:r w:rsidRPr="00E54C11">
        <w:t xml:space="preserve"> th</w:t>
      </w:r>
      <w:r w:rsidRPr="00E77F77">
        <w:t>e</w:t>
      </w:r>
      <w:r w:rsidRPr="00E54C11">
        <w:t xml:space="preserve"> bes</w:t>
      </w:r>
      <w:r w:rsidRPr="00E77F77">
        <w:t xml:space="preserve">t </w:t>
      </w:r>
      <w:r w:rsidRPr="00E54C11">
        <w:t>a</w:t>
      </w:r>
      <w:r w:rsidRPr="00E77F77">
        <w:t>rr</w:t>
      </w:r>
      <w:r w:rsidRPr="00E54C11">
        <w:t>angemen</w:t>
      </w:r>
      <w:r w:rsidRPr="00E77F77">
        <w:t>t</w:t>
      </w:r>
      <w:r w:rsidRPr="00E54C11">
        <w:t xml:space="preserve"> t</w:t>
      </w:r>
      <w:r w:rsidRPr="00E77F77">
        <w:t>o</w:t>
      </w:r>
      <w:r w:rsidRPr="00E54C11">
        <w:t xml:space="preserve"> ensu</w:t>
      </w:r>
      <w:r w:rsidRPr="00E77F77">
        <w:t>re</w:t>
      </w:r>
      <w:r w:rsidRPr="00E54C11">
        <w:t xml:space="preserve"> continuit</w:t>
      </w:r>
      <w:r w:rsidRPr="00E77F77">
        <w:t>y</w:t>
      </w:r>
      <w:r w:rsidRPr="00E54C11">
        <w:t xml:space="preserve"> i</w:t>
      </w:r>
      <w:r w:rsidRPr="00E77F77">
        <w:t>n</w:t>
      </w:r>
      <w:r w:rsidRPr="00E54C11">
        <w:t xml:space="preserve"> p</w:t>
      </w:r>
      <w:r w:rsidRPr="00E77F77">
        <w:t>r</w:t>
      </w:r>
      <w:r w:rsidRPr="00E54C11">
        <w:t>ima</w:t>
      </w:r>
      <w:r>
        <w:t>ry</w:t>
      </w:r>
      <w:r w:rsidRPr="00E54C11">
        <w:t xml:space="preserve"> ca</w:t>
      </w:r>
      <w:r>
        <w:t>re</w:t>
      </w:r>
      <w:r w:rsidRPr="00E54C11">
        <w:t xml:space="preserve"> se</w:t>
      </w:r>
      <w:r>
        <w:t>r</w:t>
      </w:r>
      <w:r w:rsidRPr="00E54C11">
        <w:t>vic</w:t>
      </w:r>
      <w:r>
        <w:t>e</w:t>
      </w:r>
      <w:r w:rsidRPr="00E54C11">
        <w:t xml:space="preserve"> fo</w:t>
      </w:r>
      <w:r>
        <w:t>r</w:t>
      </w:r>
      <w:r w:rsidRPr="00E54C11">
        <w:t xml:space="preserve"> th</w:t>
      </w:r>
      <w:r>
        <w:t>e</w:t>
      </w:r>
      <w:r w:rsidRPr="00E54C11">
        <w:t xml:space="preserve"> patient</w:t>
      </w:r>
      <w:r>
        <w:t>.</w:t>
      </w:r>
      <w:r w:rsidRPr="00E77F77">
        <w:t xml:space="preserve"> </w:t>
      </w:r>
      <w:r>
        <w:t>This</w:t>
      </w:r>
      <w:r w:rsidRPr="00E54C11">
        <w:t xml:space="preserve"> ma</w:t>
      </w:r>
      <w:r w:rsidRPr="00E77F77">
        <w:t>y</w:t>
      </w:r>
      <w:r w:rsidRPr="00E54C11">
        <w:t xml:space="preserve"> includ</w:t>
      </w:r>
      <w:r w:rsidRPr="00E77F77">
        <w:t>e</w:t>
      </w:r>
      <w:r w:rsidRPr="00E54C11">
        <w:t xml:space="preserve"> allocatio</w:t>
      </w:r>
      <w:r w:rsidRPr="00E77F77">
        <w:t>n</w:t>
      </w:r>
      <w:r w:rsidRPr="00E54C11">
        <w:t xml:space="preserve"> t</w:t>
      </w:r>
      <w:r w:rsidRPr="00E77F77">
        <w:t>o</w:t>
      </w:r>
      <w:r w:rsidRPr="00E54C11">
        <w:t xml:space="preserve"> th</w:t>
      </w:r>
      <w:r w:rsidRPr="00E77F77">
        <w:t>e</w:t>
      </w:r>
      <w:r w:rsidRPr="00E54C11">
        <w:t xml:space="preserve"> </w:t>
      </w:r>
      <w:r w:rsidRPr="00E77F77">
        <w:t>S</w:t>
      </w:r>
      <w:r w:rsidRPr="00E54C11">
        <w:t>A</w:t>
      </w:r>
      <w:r w:rsidRPr="00E77F77">
        <w:t>S</w:t>
      </w:r>
      <w:r w:rsidRPr="00E54C11">
        <w:t xml:space="preserve"> </w:t>
      </w:r>
      <w:r>
        <w:t>(but recognises the patient retains the right to choose not to be registered at all)</w:t>
      </w:r>
      <w:r w:rsidRPr="00E77F77">
        <w:t xml:space="preserve">. </w:t>
      </w:r>
      <w:r>
        <w:t>A flag is placed on the patient record which prevents the patient from registering at other GP Practices.</w:t>
      </w:r>
    </w:p>
    <w:p w14:paraId="07D57B47" w14:textId="77777777" w:rsidR="008F7BB3" w:rsidRPr="00E77F77" w:rsidRDefault="008F7BB3" w:rsidP="008F7BB3">
      <w:pPr>
        <w:pStyle w:val="Heading4"/>
      </w:pPr>
      <w:r w:rsidRPr="00E77F77">
        <w:t>P</w:t>
      </w:r>
      <w:r w:rsidRPr="00E54C11">
        <w:t>C</w:t>
      </w:r>
      <w:r w:rsidRPr="00E77F77">
        <w:t>SE</w:t>
      </w:r>
      <w:r w:rsidRPr="00E54C11">
        <w:t xml:space="preserve"> wil</w:t>
      </w:r>
      <w:r w:rsidRPr="00E77F77">
        <w:t>l</w:t>
      </w:r>
      <w:r w:rsidRPr="00E54C11">
        <w:t xml:space="preserve"> w</w:t>
      </w:r>
      <w:r w:rsidRPr="00E77F77">
        <w:t>r</w:t>
      </w:r>
      <w:r w:rsidRPr="00E54C11">
        <w:t>it</w:t>
      </w:r>
      <w:r w:rsidRPr="00E77F77">
        <w:t>e</w:t>
      </w:r>
      <w:r w:rsidRPr="00E54C11">
        <w:t xml:space="preserve"> t</w:t>
      </w:r>
      <w:r w:rsidRPr="00E77F77">
        <w:t>o</w:t>
      </w:r>
      <w:r w:rsidRPr="00E54C11">
        <w:t xml:space="preserve"> th</w:t>
      </w:r>
      <w:r w:rsidRPr="00E77F77">
        <w:t xml:space="preserve">e </w:t>
      </w:r>
      <w:r w:rsidRPr="00E54C11">
        <w:t>patien</w:t>
      </w:r>
      <w:r w:rsidRPr="00E77F77">
        <w:t>t</w:t>
      </w:r>
      <w:r w:rsidRPr="00E54C11">
        <w:t xml:space="preserve"> t</w:t>
      </w:r>
      <w:r w:rsidRPr="00E77F77">
        <w:t>o</w:t>
      </w:r>
      <w:r w:rsidRPr="00E54C11">
        <w:t xml:space="preserve"> notif</w:t>
      </w:r>
      <w:r w:rsidRPr="00E77F77">
        <w:t>y</w:t>
      </w:r>
      <w:r w:rsidRPr="00E54C11">
        <w:t xml:space="preserve"> the</w:t>
      </w:r>
      <w:r w:rsidRPr="00E77F77">
        <w:t xml:space="preserve">m </w:t>
      </w:r>
      <w:r w:rsidRPr="00E54C11">
        <w:t>o</w:t>
      </w:r>
      <w:r w:rsidRPr="00E77F77">
        <w:t>f</w:t>
      </w:r>
      <w:r w:rsidRPr="00E54C11">
        <w:t xml:space="preserve"> th</w:t>
      </w:r>
      <w:r w:rsidRPr="00E77F77">
        <w:t>e</w:t>
      </w:r>
      <w:r w:rsidRPr="00E54C11">
        <w:t xml:space="preserve"> </w:t>
      </w:r>
      <w:r w:rsidRPr="00E77F77">
        <w:t>r</w:t>
      </w:r>
      <w:r w:rsidRPr="00E54C11">
        <w:t>emova</w:t>
      </w:r>
      <w:r w:rsidRPr="00E77F77">
        <w:t>l</w:t>
      </w:r>
      <w:r w:rsidRPr="00E54C11">
        <w:t xml:space="preserve"> an</w:t>
      </w:r>
      <w:r w:rsidRPr="00E77F77">
        <w:t>d</w:t>
      </w:r>
      <w:r w:rsidRPr="00E54C11">
        <w:t xml:space="preserve"> ongoin</w:t>
      </w:r>
      <w:r w:rsidRPr="00E77F77">
        <w:t>g</w:t>
      </w:r>
      <w:r w:rsidRPr="00E54C11">
        <w:t xml:space="preserve"> managemen</w:t>
      </w:r>
      <w:r w:rsidRPr="00E77F77">
        <w:t xml:space="preserve">t </w:t>
      </w:r>
      <w:r w:rsidRPr="00E54C11">
        <w:t>a</w:t>
      </w:r>
      <w:r w:rsidRPr="00E77F77">
        <w:t>rr</w:t>
      </w:r>
      <w:r w:rsidRPr="00E54C11">
        <w:t>angement</w:t>
      </w:r>
      <w:r w:rsidRPr="00E77F77">
        <w:t>s</w:t>
      </w:r>
      <w:r w:rsidRPr="00E54C11">
        <w:t xml:space="preserve"> </w:t>
      </w:r>
      <w:r>
        <w:t>(</w:t>
      </w:r>
      <w:r w:rsidRPr="00E54C11">
        <w:t>standa</w:t>
      </w:r>
      <w:r>
        <w:t>r</w:t>
      </w:r>
      <w:r w:rsidRPr="00E54C11">
        <w:t>dise</w:t>
      </w:r>
      <w:r>
        <w:t>d</w:t>
      </w:r>
      <w:r w:rsidRPr="00E54C11">
        <w:t xml:space="preserve"> lette</w:t>
      </w:r>
      <w:r>
        <w:t>r</w:t>
      </w:r>
      <w:r w:rsidRPr="00E54C11">
        <w:t xml:space="preserve"> a</w:t>
      </w:r>
      <w:r>
        <w:t>t</w:t>
      </w:r>
      <w:r w:rsidRPr="00E54C11">
        <w:t xml:space="preserve"> appendi</w:t>
      </w:r>
      <w:r>
        <w:t>x</w:t>
      </w:r>
      <w:r w:rsidRPr="00E54C11">
        <w:t xml:space="preserve"> 7)</w:t>
      </w:r>
      <w:r w:rsidRPr="00E77F77">
        <w:t>.</w:t>
      </w:r>
      <w:r w:rsidRPr="00E54C11">
        <w:t xml:space="preserve"> </w:t>
      </w:r>
      <w:r w:rsidRPr="00E77F77">
        <w:t xml:space="preserve"> </w:t>
      </w:r>
      <w:r w:rsidRPr="00E54C11">
        <w:t>I</w:t>
      </w:r>
      <w:r w:rsidRPr="00E77F77">
        <w:t>t</w:t>
      </w:r>
      <w:r w:rsidRPr="00E54C11">
        <w:t xml:space="preserve"> i</w:t>
      </w:r>
      <w:r w:rsidRPr="00E77F77">
        <w:t>s</w:t>
      </w:r>
      <w:r w:rsidRPr="00E54C11">
        <w:t xml:space="preserve"> expecte</w:t>
      </w:r>
      <w:r w:rsidRPr="00E77F77">
        <w:t>d</w:t>
      </w:r>
      <w:r w:rsidRPr="00E54C11">
        <w:t xml:space="preserve"> tha</w:t>
      </w:r>
      <w:r w:rsidRPr="00E77F77">
        <w:t xml:space="preserve">t </w:t>
      </w:r>
      <w:r w:rsidRPr="00E54C11">
        <w:t>thi</w:t>
      </w:r>
      <w:r w:rsidRPr="00E77F77">
        <w:t>s</w:t>
      </w:r>
      <w:r w:rsidRPr="00E54C11">
        <w:t xml:space="preserve"> p</w:t>
      </w:r>
      <w:r w:rsidRPr="00E77F77">
        <w:t>r</w:t>
      </w:r>
      <w:r w:rsidRPr="00E54C11">
        <w:t>oces</w:t>
      </w:r>
      <w:r w:rsidRPr="00E77F77">
        <w:t>s</w:t>
      </w:r>
      <w:r w:rsidRPr="00E54C11">
        <w:t xml:space="preserve"> wil</w:t>
      </w:r>
      <w:r w:rsidRPr="00E77F77">
        <w:t>l</w:t>
      </w:r>
      <w:r w:rsidRPr="00E54C11">
        <w:t xml:space="preserve"> b</w:t>
      </w:r>
      <w:r w:rsidRPr="00E77F77">
        <w:t>e</w:t>
      </w:r>
      <w:r w:rsidRPr="00E54C11">
        <w:t xml:space="preserve"> complete</w:t>
      </w:r>
      <w:r w:rsidRPr="00E77F77">
        <w:t>d</w:t>
      </w:r>
      <w:r w:rsidRPr="00E54C11">
        <w:t xml:space="preserve"> withi</w:t>
      </w:r>
      <w:r w:rsidRPr="00E77F77">
        <w:t>n</w:t>
      </w:r>
      <w:r w:rsidRPr="00E54C11">
        <w:t xml:space="preserve"> </w:t>
      </w:r>
      <w:r w:rsidRPr="00E77F77">
        <w:t>a</w:t>
      </w:r>
      <w:r w:rsidRPr="00E54C11">
        <w:t xml:space="preserve"> 2</w:t>
      </w:r>
      <w:r w:rsidRPr="00E77F77">
        <w:t>4</w:t>
      </w:r>
      <w:r w:rsidRPr="00E54C11">
        <w:t xml:space="preserve"> hou</w:t>
      </w:r>
      <w:r w:rsidRPr="00E77F77">
        <w:t>r</w:t>
      </w:r>
      <w:r w:rsidRPr="00E54C11">
        <w:t xml:space="preserve"> wo</w:t>
      </w:r>
      <w:r w:rsidRPr="00E77F77">
        <w:t>r</w:t>
      </w:r>
      <w:r w:rsidRPr="00E54C11">
        <w:t>kin</w:t>
      </w:r>
      <w:r w:rsidRPr="00E77F77">
        <w:t>g</w:t>
      </w:r>
      <w:r w:rsidRPr="00E54C11">
        <w:t xml:space="preserve"> pe</w:t>
      </w:r>
      <w:r w:rsidRPr="00E77F77">
        <w:t>r</w:t>
      </w:r>
      <w:r w:rsidRPr="00E54C11">
        <w:t>io</w:t>
      </w:r>
      <w:r w:rsidRPr="00E77F77">
        <w:t>d</w:t>
      </w:r>
      <w:r w:rsidRPr="00E54C11">
        <w:t xml:space="preserve"> f</w:t>
      </w:r>
      <w:r w:rsidRPr="00E77F77">
        <w:t>r</w:t>
      </w:r>
      <w:r w:rsidRPr="00E54C11">
        <w:t>o</w:t>
      </w:r>
      <w:r w:rsidRPr="00E77F77">
        <w:t>m</w:t>
      </w:r>
      <w:r w:rsidRPr="00E54C11">
        <w:t xml:space="preserve"> th</w:t>
      </w:r>
      <w:r w:rsidRPr="00E77F77">
        <w:t xml:space="preserve">e </w:t>
      </w:r>
      <w:r w:rsidRPr="00E54C11">
        <w:t>initia</w:t>
      </w:r>
      <w:r w:rsidRPr="00E77F77">
        <w:t>l</w:t>
      </w:r>
      <w:r w:rsidRPr="00E54C11">
        <w:t xml:space="preserve"> notification</w:t>
      </w:r>
      <w:r w:rsidRPr="00E77F77">
        <w:t xml:space="preserve">. </w:t>
      </w:r>
    </w:p>
    <w:p w14:paraId="23E71375" w14:textId="36187B60" w:rsidR="008F7BB3" w:rsidRDefault="008F7BB3" w:rsidP="008F7BB3">
      <w:pPr>
        <w:pStyle w:val="Body1"/>
        <w:spacing w:line="276" w:lineRule="auto"/>
        <w:ind w:left="0"/>
        <w:rPr>
          <w:b/>
          <w:sz w:val="24"/>
        </w:rPr>
      </w:pPr>
      <w:r w:rsidRPr="00E77F77">
        <w:rPr>
          <w:b/>
          <w:sz w:val="24"/>
        </w:rPr>
        <w:t xml:space="preserve">NB After removal, all requests and allocations to SAS will be reviewed by a </w:t>
      </w:r>
      <w:r>
        <w:rPr>
          <w:b/>
          <w:sz w:val="24"/>
        </w:rPr>
        <w:t>SAS</w:t>
      </w:r>
      <w:r w:rsidRPr="00E77F77">
        <w:rPr>
          <w:b/>
          <w:sz w:val="24"/>
        </w:rPr>
        <w:t xml:space="preserve"> Panel</w:t>
      </w:r>
      <w:r w:rsidR="005A53C0">
        <w:rPr>
          <w:b/>
          <w:sz w:val="24"/>
        </w:rPr>
        <w:t xml:space="preserve">. The panel will </w:t>
      </w:r>
      <w:r w:rsidRPr="00E77F77">
        <w:rPr>
          <w:b/>
          <w:sz w:val="24"/>
        </w:rPr>
        <w:t xml:space="preserve">monitor the </w:t>
      </w:r>
      <w:r w:rsidR="005A53C0">
        <w:rPr>
          <w:b/>
          <w:sz w:val="24"/>
        </w:rPr>
        <w:t xml:space="preserve">ongoing </w:t>
      </w:r>
      <w:r w:rsidRPr="00E77F77">
        <w:rPr>
          <w:b/>
          <w:sz w:val="24"/>
        </w:rPr>
        <w:t>appropriateness of the removal</w:t>
      </w:r>
      <w:r w:rsidR="001417D9">
        <w:rPr>
          <w:b/>
          <w:sz w:val="24"/>
        </w:rPr>
        <w:t>,</w:t>
      </w:r>
      <w:r w:rsidRPr="00E77F77">
        <w:rPr>
          <w:b/>
          <w:sz w:val="24"/>
        </w:rPr>
        <w:t xml:space="preserve"> allocation</w:t>
      </w:r>
      <w:r w:rsidR="005A53C0">
        <w:rPr>
          <w:b/>
          <w:sz w:val="24"/>
        </w:rPr>
        <w:t xml:space="preserve"> and rehabilitation</w:t>
      </w:r>
      <w:r w:rsidR="001417D9">
        <w:rPr>
          <w:b/>
          <w:sz w:val="24"/>
        </w:rPr>
        <w:t xml:space="preserve"> of the patient</w:t>
      </w:r>
      <w:r w:rsidRPr="00F60783">
        <w:rPr>
          <w:rFonts w:cs="Arial"/>
          <w:b/>
          <w:sz w:val="24"/>
        </w:rPr>
        <w:t>.</w:t>
      </w:r>
      <w:r w:rsidR="001417D9">
        <w:rPr>
          <w:rFonts w:cs="Arial"/>
          <w:b/>
          <w:sz w:val="24"/>
        </w:rPr>
        <w:t xml:space="preserve">  This is with a view to safely returning choice to the patient in timely way</w:t>
      </w:r>
      <w:r w:rsidR="001417D9">
        <w:rPr>
          <w:b/>
          <w:sz w:val="24"/>
        </w:rPr>
        <w:t xml:space="preserve"> and reintegration to mainstream Primary Care.</w:t>
      </w:r>
    </w:p>
    <w:p w14:paraId="11F57A1D" w14:textId="77777777" w:rsidR="00197420" w:rsidRPr="00E77F77" w:rsidRDefault="00197420" w:rsidP="008F7BB3">
      <w:pPr>
        <w:pStyle w:val="Body1"/>
        <w:spacing w:line="276" w:lineRule="auto"/>
        <w:ind w:left="0"/>
        <w:rPr>
          <w:b/>
          <w:sz w:val="24"/>
        </w:rPr>
      </w:pPr>
    </w:p>
    <w:p w14:paraId="72E23FF9" w14:textId="77777777" w:rsidR="008F7BB3" w:rsidRPr="00E77F77" w:rsidRDefault="008F7BB3" w:rsidP="008F7BB3">
      <w:pPr>
        <w:pStyle w:val="Heading3"/>
      </w:pPr>
      <w:r w:rsidRPr="00E54C11">
        <w:t>Registe</w:t>
      </w:r>
      <w:r w:rsidRPr="00E77F77">
        <w:t>r</w:t>
      </w:r>
      <w:r w:rsidRPr="00E54C11">
        <w:t>e</w:t>
      </w:r>
      <w:r w:rsidRPr="00E77F77">
        <w:t>d</w:t>
      </w:r>
      <w:r w:rsidRPr="00E54C11">
        <w:t xml:space="preserve"> p</w:t>
      </w:r>
      <w:r w:rsidRPr="00E77F77">
        <w:t>r</w:t>
      </w:r>
      <w:r w:rsidRPr="00E54C11">
        <w:t>ovide</w:t>
      </w:r>
      <w:r w:rsidRPr="00E77F77">
        <w:t>rs</w:t>
      </w:r>
      <w:r w:rsidRPr="00E54C11">
        <w:t xml:space="preserve"> an</w:t>
      </w:r>
      <w:r w:rsidRPr="00E77F77">
        <w:t>d</w:t>
      </w:r>
      <w:r w:rsidRPr="00E54C11">
        <w:t xml:space="preserve"> manage</w:t>
      </w:r>
      <w:r w:rsidRPr="00E77F77">
        <w:t>rs</w:t>
      </w:r>
      <w:r w:rsidRPr="00E54C11">
        <w:t xml:space="preserve"> o</w:t>
      </w:r>
      <w:r w:rsidRPr="00E77F77">
        <w:t>f</w:t>
      </w:r>
      <w:r w:rsidRPr="00E54C11">
        <w:t xml:space="preserve"> NH</w:t>
      </w:r>
      <w:r w:rsidRPr="00E77F77">
        <w:t>S</w:t>
      </w:r>
      <w:r w:rsidRPr="00E54C11">
        <w:t xml:space="preserve"> G</w:t>
      </w:r>
      <w:r w:rsidRPr="00E77F77">
        <w:t>P</w:t>
      </w:r>
      <w:r w:rsidRPr="00E54C11">
        <w:t xml:space="preserve"> an</w:t>
      </w:r>
      <w:r w:rsidRPr="00E77F77">
        <w:t>d</w:t>
      </w:r>
      <w:r w:rsidRPr="00E54C11">
        <w:t xml:space="preserve"> othe</w:t>
      </w:r>
      <w:r w:rsidRPr="00E77F77">
        <w:t>r</w:t>
      </w:r>
      <w:r w:rsidRPr="00E54C11">
        <w:t xml:space="preserve"> p</w:t>
      </w:r>
      <w:r w:rsidRPr="00E77F77">
        <w:t>r</w:t>
      </w:r>
      <w:r w:rsidRPr="00E54C11">
        <w:t>ima</w:t>
      </w:r>
      <w:r w:rsidRPr="00E77F77">
        <w:t xml:space="preserve">ry </w:t>
      </w:r>
      <w:r w:rsidRPr="00E54C11">
        <w:t>medica</w:t>
      </w:r>
      <w:r w:rsidRPr="00E77F77">
        <w:t>l</w:t>
      </w:r>
      <w:r w:rsidRPr="00E54C11">
        <w:t xml:space="preserve"> se</w:t>
      </w:r>
      <w:r w:rsidRPr="00E77F77">
        <w:t>r</w:t>
      </w:r>
      <w:r w:rsidRPr="00E54C11">
        <w:t>vice</w:t>
      </w:r>
      <w:r w:rsidRPr="00E77F77">
        <w:t>s</w:t>
      </w:r>
      <w:r w:rsidRPr="00E54C11">
        <w:t xml:space="preserve"> mus</w:t>
      </w:r>
      <w:r w:rsidRPr="00E77F77">
        <w:t>t</w:t>
      </w:r>
      <w:r w:rsidRPr="00E54C11">
        <w:t xml:space="preserve"> als</w:t>
      </w:r>
      <w:r w:rsidRPr="00E77F77">
        <w:t>o</w:t>
      </w:r>
      <w:r w:rsidRPr="00E54C11">
        <w:t xml:space="preserve"> compl</w:t>
      </w:r>
      <w:r w:rsidRPr="00E77F77">
        <w:t>y</w:t>
      </w:r>
      <w:r w:rsidRPr="00E54C11">
        <w:t xml:space="preserve"> wit</w:t>
      </w:r>
      <w:r w:rsidRPr="00E77F77">
        <w:t>h</w:t>
      </w:r>
      <w:r w:rsidRPr="00E54C11">
        <w:t xml:space="preserve"> thei</w:t>
      </w:r>
      <w:r w:rsidRPr="00E77F77">
        <w:t>r</w:t>
      </w:r>
      <w:r w:rsidRPr="00E54C11">
        <w:t xml:space="preserve"> </w:t>
      </w:r>
      <w:r w:rsidRPr="00E77F77">
        <w:t>r</w:t>
      </w:r>
      <w:r w:rsidRPr="00E54C11">
        <w:t>egulato</w:t>
      </w:r>
      <w:r w:rsidRPr="00E77F77">
        <w:t>ry</w:t>
      </w:r>
      <w:r w:rsidRPr="00E54C11">
        <w:t xml:space="preserve"> obligations</w:t>
      </w:r>
      <w:r w:rsidRPr="00E77F77">
        <w:t>,</w:t>
      </w:r>
      <w:r w:rsidRPr="00E54C11">
        <w:t xml:space="preserve"> fo</w:t>
      </w:r>
      <w:r w:rsidRPr="00E77F77">
        <w:t xml:space="preserve">r </w:t>
      </w:r>
      <w:r w:rsidRPr="00E54C11">
        <w:t>exampl</w:t>
      </w:r>
      <w:r w:rsidRPr="00E77F77">
        <w:t>e</w:t>
      </w:r>
      <w:r w:rsidRPr="00E54C11">
        <w:t xml:space="preserve"> t</w:t>
      </w:r>
      <w:r w:rsidRPr="00E77F77">
        <w:t>o</w:t>
      </w:r>
      <w:r w:rsidRPr="00E54C11">
        <w:t xml:space="preserve"> </w:t>
      </w:r>
      <w:r w:rsidRPr="00E54C11">
        <w:lastRenderedPageBreak/>
        <w:t>notif</w:t>
      </w:r>
      <w:r w:rsidRPr="00E77F77">
        <w:t>y</w:t>
      </w:r>
      <w:r w:rsidRPr="00E54C11">
        <w:t xml:space="preserve"> CQ</w:t>
      </w:r>
      <w:r w:rsidRPr="00E77F77">
        <w:t>C</w:t>
      </w:r>
      <w:r w:rsidRPr="00E54C11">
        <w:t xml:space="preserve"> abou</w:t>
      </w:r>
      <w:r w:rsidRPr="00E77F77">
        <w:t>t</w:t>
      </w:r>
      <w:r w:rsidRPr="00E54C11">
        <w:t xml:space="preserve"> ce</w:t>
      </w:r>
      <w:r w:rsidRPr="00E77F77">
        <w:t>r</w:t>
      </w:r>
      <w:r w:rsidRPr="00E54C11">
        <w:t>tai</w:t>
      </w:r>
      <w:r w:rsidRPr="00E77F77">
        <w:t>n</w:t>
      </w:r>
      <w:r w:rsidRPr="00E54C11">
        <w:t xml:space="preserve"> incident</w:t>
      </w:r>
      <w:r w:rsidRPr="00E77F77">
        <w:t>s</w:t>
      </w:r>
      <w:r w:rsidRPr="00E54C11">
        <w:t xml:space="preserve"> tha</w:t>
      </w:r>
      <w:r w:rsidRPr="00E77F77">
        <w:t>t</w:t>
      </w:r>
      <w:r w:rsidRPr="00E54C11">
        <w:t xml:space="preserve"> too</w:t>
      </w:r>
      <w:r w:rsidRPr="00E77F77">
        <w:t>k</w:t>
      </w:r>
      <w:r w:rsidRPr="00E54C11">
        <w:t xml:space="preserve"> plac</w:t>
      </w:r>
      <w:r w:rsidRPr="00E77F77">
        <w:t>e</w:t>
      </w:r>
      <w:r w:rsidRPr="00E54C11">
        <w:t xml:space="preserve"> </w:t>
      </w:r>
      <w:r w:rsidRPr="00E77F77">
        <w:t>“</w:t>
      </w:r>
      <w:r w:rsidRPr="00E54C11">
        <w:t>whil</w:t>
      </w:r>
      <w:r w:rsidRPr="00E77F77">
        <w:t>e</w:t>
      </w:r>
      <w:r w:rsidRPr="00E54C11">
        <w:t xml:space="preserve"> a</w:t>
      </w:r>
      <w:r w:rsidRPr="00E77F77">
        <w:t xml:space="preserve">n </w:t>
      </w:r>
      <w:r w:rsidRPr="00E54C11">
        <w:t>activit</w:t>
      </w:r>
      <w:r w:rsidRPr="00E77F77">
        <w:t>y</w:t>
      </w:r>
      <w:r w:rsidRPr="00E54C11">
        <w:t xml:space="preserve"> i</w:t>
      </w:r>
      <w:r w:rsidRPr="00E77F77">
        <w:t>s</w:t>
      </w:r>
      <w:r w:rsidRPr="00E54C11">
        <w:t xml:space="preserve"> actuall</w:t>
      </w:r>
      <w:r w:rsidRPr="00E77F77">
        <w:t>y</w:t>
      </w:r>
      <w:r w:rsidRPr="00E54C11">
        <w:t xml:space="preserve"> bein</w:t>
      </w:r>
      <w:r w:rsidRPr="00E77F77">
        <w:t>g</w:t>
      </w:r>
      <w:r w:rsidRPr="00E54C11">
        <w:t xml:space="preserve"> p</w:t>
      </w:r>
      <w:r w:rsidRPr="00E77F77">
        <w:t>r</w:t>
      </w:r>
      <w:r w:rsidRPr="00E54C11">
        <w:t>ovide</w:t>
      </w:r>
      <w:r w:rsidRPr="00E77F77">
        <w:t>d</w:t>
      </w:r>
      <w:r w:rsidRPr="00E54C11">
        <w:t xml:space="preserve"> o</w:t>
      </w:r>
      <w:r w:rsidRPr="00E77F77">
        <w:t>r</w:t>
      </w:r>
      <w:r w:rsidRPr="00E54C11">
        <w:t xml:space="preserve"> a</w:t>
      </w:r>
      <w:r w:rsidRPr="00E77F77">
        <w:t>s</w:t>
      </w:r>
      <w:r w:rsidRPr="00E54C11">
        <w:t xml:space="preserve"> </w:t>
      </w:r>
      <w:r w:rsidRPr="00E77F77">
        <w:t>“a</w:t>
      </w:r>
      <w:r w:rsidRPr="00E54C11">
        <w:t xml:space="preserve"> consequenc</w:t>
      </w:r>
      <w:r w:rsidRPr="00E77F77">
        <w:t>e</w:t>
      </w:r>
      <w:r w:rsidRPr="00E54C11">
        <w:t xml:space="preserve"> o</w:t>
      </w:r>
      <w:r w:rsidRPr="00E77F77">
        <w:t>f</w:t>
      </w:r>
      <w:r w:rsidRPr="00E54C11">
        <w:t xml:space="preserve"> it</w:t>
      </w:r>
      <w:r w:rsidRPr="00E77F77">
        <w:t>s</w:t>
      </w:r>
      <w:r w:rsidRPr="00E54C11">
        <w:t xml:space="preserve"> bein</w:t>
      </w:r>
      <w:r w:rsidRPr="00E77F77">
        <w:t xml:space="preserve">g </w:t>
      </w:r>
      <w:r w:rsidRPr="00E54C11">
        <w:t>p</w:t>
      </w:r>
      <w:r w:rsidRPr="00E77F77">
        <w:t>r</w:t>
      </w:r>
      <w:r w:rsidRPr="00E54C11">
        <w:t>ovided</w:t>
      </w:r>
      <w:r w:rsidRPr="00E77F77">
        <w:t>”</w:t>
      </w:r>
      <w:r w:rsidRPr="00E54C11">
        <w:t xml:space="preserve"> </w:t>
      </w:r>
      <w:r w:rsidRPr="00E77F77">
        <w:t>(</w:t>
      </w:r>
      <w:r w:rsidRPr="00E54C11">
        <w:t>CQC</w:t>
      </w:r>
      <w:r w:rsidRPr="00E77F77">
        <w:t>,</w:t>
      </w:r>
      <w:r w:rsidRPr="00E54C11">
        <w:t xml:space="preserve"> 2013</w:t>
      </w:r>
      <w:r w:rsidRPr="00E77F77">
        <w:t>)</w:t>
      </w:r>
      <w:r w:rsidRPr="00E54C11">
        <w:t xml:space="preserve"> an</w:t>
      </w:r>
      <w:r w:rsidRPr="00E77F77">
        <w:t>d</w:t>
      </w:r>
      <w:r w:rsidRPr="00E54C11">
        <w:t xml:space="preserve"> whe</w:t>
      </w:r>
      <w:r w:rsidRPr="00E77F77">
        <w:t>n</w:t>
      </w:r>
      <w:r w:rsidRPr="00E54C11">
        <w:t xml:space="preserve"> a</w:t>
      </w:r>
      <w:r w:rsidRPr="00E77F77">
        <w:t>n</w:t>
      </w:r>
      <w:r w:rsidRPr="00E54C11">
        <w:t xml:space="preserve"> inciden</w:t>
      </w:r>
      <w:r w:rsidRPr="00E77F77">
        <w:t>t</w:t>
      </w:r>
      <w:r w:rsidRPr="00E54C11">
        <w:t xml:space="preserve"> i</w:t>
      </w:r>
      <w:r w:rsidRPr="00E77F77">
        <w:t>s</w:t>
      </w:r>
      <w:r w:rsidRPr="00E54C11">
        <w:t xml:space="preserve"> </w:t>
      </w:r>
      <w:r w:rsidRPr="00E77F77">
        <w:t>r</w:t>
      </w:r>
      <w:r w:rsidRPr="00E54C11">
        <w:t>epo</w:t>
      </w:r>
      <w:r w:rsidRPr="00E77F77">
        <w:t>r</w:t>
      </w:r>
      <w:r w:rsidRPr="00E54C11">
        <w:t>te</w:t>
      </w:r>
      <w:r w:rsidRPr="00E77F77">
        <w:t>d</w:t>
      </w:r>
      <w:r w:rsidRPr="00E54C11">
        <w:t xml:space="preserve"> t</w:t>
      </w:r>
      <w:r w:rsidRPr="00E77F77">
        <w:t>o</w:t>
      </w:r>
      <w:r w:rsidRPr="00E54C11">
        <w:t xml:space="preserve"> o</w:t>
      </w:r>
      <w:r w:rsidRPr="00E77F77">
        <w:t xml:space="preserve">r </w:t>
      </w:r>
      <w:r w:rsidRPr="00E54C11">
        <w:t>investigate</w:t>
      </w:r>
      <w:r w:rsidRPr="00E77F77">
        <w:t>d</w:t>
      </w:r>
      <w:r w:rsidRPr="00E54C11">
        <w:t xml:space="preserve"> b</w:t>
      </w:r>
      <w:r w:rsidRPr="00E77F77">
        <w:t>y</w:t>
      </w:r>
      <w:r w:rsidRPr="00E54C11">
        <w:t xml:space="preserve"> th</w:t>
      </w:r>
      <w:r w:rsidRPr="00E77F77">
        <w:t>e</w:t>
      </w:r>
      <w:r w:rsidRPr="00E54C11">
        <w:t xml:space="preserve"> police</w:t>
      </w:r>
      <w:r w:rsidRPr="00E77F77">
        <w:t>.</w:t>
      </w:r>
      <w:r w:rsidRPr="00E54C11">
        <w:t xml:space="preserve"> Fo</w:t>
      </w:r>
      <w:r w:rsidRPr="00E77F77">
        <w:t>r</w:t>
      </w:r>
      <w:r w:rsidRPr="00E54C11">
        <w:t xml:space="preserve"> mo</w:t>
      </w:r>
      <w:r w:rsidRPr="00E77F77">
        <w:t>re</w:t>
      </w:r>
      <w:r w:rsidRPr="00E54C11">
        <w:t xml:space="preserve"> info</w:t>
      </w:r>
      <w:r w:rsidRPr="00E77F77">
        <w:t>r</w:t>
      </w:r>
      <w:r w:rsidRPr="00E54C11">
        <w:t>mation</w:t>
      </w:r>
      <w:r w:rsidRPr="00E77F77">
        <w:t>,</w:t>
      </w:r>
      <w:r w:rsidRPr="00E54C11">
        <w:t xml:space="preserve"> </w:t>
      </w:r>
      <w:hyperlink r:id="rId77" w:history="1">
        <w:r w:rsidRPr="00871194">
          <w:rPr>
            <w:color w:val="0000FF"/>
            <w:u w:val="single"/>
          </w:rPr>
          <w:t>click here</w:t>
        </w:r>
      </w:hyperlink>
      <w:r w:rsidRPr="00E77F77">
        <w:t>.</w:t>
      </w:r>
    </w:p>
    <w:p w14:paraId="6CBD36CE" w14:textId="77777777" w:rsidR="008F7BB3" w:rsidRPr="00E77F77" w:rsidRDefault="008F7BB3" w:rsidP="008F7BB3">
      <w:pPr>
        <w:pStyle w:val="Heading3"/>
      </w:pPr>
      <w:r w:rsidRPr="00E54C11">
        <w:t>Fo</w:t>
      </w:r>
      <w:r w:rsidRPr="00E77F77">
        <w:t>r</w:t>
      </w:r>
      <w:r w:rsidRPr="00E54C11">
        <w:t xml:space="preserve"> fu</w:t>
      </w:r>
      <w:r w:rsidRPr="00E77F77">
        <w:t>r</w:t>
      </w:r>
      <w:r w:rsidRPr="00E54C11">
        <w:t>the</w:t>
      </w:r>
      <w:r w:rsidRPr="00E77F77">
        <w:t>r</w:t>
      </w:r>
      <w:r w:rsidRPr="00E54C11">
        <w:t xml:space="preserve"> info</w:t>
      </w:r>
      <w:r w:rsidRPr="00E77F77">
        <w:t>r</w:t>
      </w:r>
      <w:r w:rsidRPr="00E54C11">
        <w:t>matio</w:t>
      </w:r>
      <w:r w:rsidRPr="00E77F77">
        <w:t>n</w:t>
      </w:r>
      <w:r w:rsidRPr="00E54C11">
        <w:t xml:space="preserve"> </w:t>
      </w:r>
      <w:r w:rsidRPr="00E77F77">
        <w:t>r</w:t>
      </w:r>
      <w:r w:rsidRPr="00E54C11">
        <w:t>elatin</w:t>
      </w:r>
      <w:r w:rsidRPr="00E77F77">
        <w:t>g</w:t>
      </w:r>
      <w:r w:rsidRPr="00E54C11">
        <w:t xml:space="preserve"> t</w:t>
      </w:r>
      <w:r w:rsidRPr="00E77F77">
        <w:t>o</w:t>
      </w:r>
      <w:r w:rsidRPr="00E54C11">
        <w:t xml:space="preserve"> th</w:t>
      </w:r>
      <w:r w:rsidRPr="00E77F77">
        <w:t>e</w:t>
      </w:r>
      <w:r w:rsidRPr="00E54C11">
        <w:t xml:space="preserve"> p</w:t>
      </w:r>
      <w:r w:rsidRPr="00E77F77">
        <w:t>r</w:t>
      </w:r>
      <w:r w:rsidRPr="00E54C11">
        <w:t>oces</w:t>
      </w:r>
      <w:r w:rsidRPr="00E77F77">
        <w:t>s</w:t>
      </w:r>
      <w:r w:rsidRPr="00E54C11">
        <w:t xml:space="preserve"> followin</w:t>
      </w:r>
      <w:r w:rsidRPr="00E77F77">
        <w:t>g</w:t>
      </w:r>
      <w:r w:rsidRPr="00E54C11">
        <w:t xml:space="preserve"> a</w:t>
      </w:r>
      <w:r w:rsidRPr="00E77F77">
        <w:t>n</w:t>
      </w:r>
      <w:r w:rsidRPr="00E54C11">
        <w:t xml:space="preserve"> allocatio</w:t>
      </w:r>
      <w:r w:rsidRPr="00E77F77">
        <w:t>n</w:t>
      </w:r>
      <w:r w:rsidRPr="00E54C11">
        <w:t xml:space="preserve"> t</w:t>
      </w:r>
      <w:r w:rsidRPr="00E77F77">
        <w:t xml:space="preserve">o </w:t>
      </w:r>
      <w:r w:rsidRPr="00E54C11">
        <w:t>th</w:t>
      </w:r>
      <w:r w:rsidRPr="00E77F77">
        <w:t>e</w:t>
      </w:r>
      <w:r w:rsidRPr="00E54C11">
        <w:t xml:space="preserve"> scheme</w:t>
      </w:r>
      <w:r w:rsidRPr="00E77F77">
        <w:t>,</w:t>
      </w:r>
      <w:r w:rsidRPr="00E54C11">
        <w:t xml:space="preserve"> pleas</w:t>
      </w:r>
      <w:r w:rsidRPr="00E77F77">
        <w:t>e</w:t>
      </w:r>
      <w:r w:rsidRPr="00E54C11">
        <w:t xml:space="preserve"> </w:t>
      </w:r>
      <w:r w:rsidRPr="00E77F77">
        <w:t>r</w:t>
      </w:r>
      <w:r w:rsidRPr="00E54C11">
        <w:t>efe</w:t>
      </w:r>
      <w:r w:rsidRPr="00E77F77">
        <w:t>r</w:t>
      </w:r>
      <w:r w:rsidRPr="00E54C11">
        <w:t xml:space="preserve"> t</w:t>
      </w:r>
      <w:r w:rsidRPr="00E77F77">
        <w:t>o</w:t>
      </w:r>
      <w:r w:rsidRPr="00E54C11">
        <w:t xml:space="preserve"> Appendi</w:t>
      </w:r>
      <w:r w:rsidRPr="00E77F77">
        <w:t>x</w:t>
      </w:r>
      <w:r w:rsidRPr="00E54C11">
        <w:t xml:space="preserve"> Two</w:t>
      </w:r>
      <w:r w:rsidRPr="00E77F77">
        <w:t>.</w:t>
      </w:r>
    </w:p>
    <w:p w14:paraId="31EC66B6" w14:textId="77777777" w:rsidR="008F7BB3" w:rsidRPr="00E77F77" w:rsidRDefault="008F7BB3" w:rsidP="008F7BB3">
      <w:pPr>
        <w:pStyle w:val="Heading3"/>
      </w:pPr>
      <w:r w:rsidRPr="00E54C11">
        <w:t>Th</w:t>
      </w:r>
      <w:r w:rsidRPr="00E77F77">
        <w:t>e</w:t>
      </w:r>
      <w:r w:rsidRPr="00E54C11">
        <w:t xml:space="preserve"> p</w:t>
      </w:r>
      <w:r w:rsidRPr="00E77F77">
        <w:t>r</w:t>
      </w:r>
      <w:r w:rsidRPr="00E54C11">
        <w:t>actic</w:t>
      </w:r>
      <w:r w:rsidRPr="00E77F77">
        <w:t>e</w:t>
      </w:r>
      <w:r w:rsidRPr="00E54C11">
        <w:t xml:space="preserve"> shoul</w:t>
      </w:r>
      <w:r w:rsidRPr="00E77F77">
        <w:t>d</w:t>
      </w:r>
      <w:r w:rsidRPr="00E54C11">
        <w:t xml:space="preserve"> notif</w:t>
      </w:r>
      <w:r w:rsidRPr="00E77F77">
        <w:t>y</w:t>
      </w:r>
      <w:r w:rsidRPr="00E54C11">
        <w:t xml:space="preserve"> th</w:t>
      </w:r>
      <w:r w:rsidRPr="00E77F77">
        <w:t>e</w:t>
      </w:r>
      <w:r w:rsidRPr="00E54C11">
        <w:t xml:space="preserve"> patien</w:t>
      </w:r>
      <w:r w:rsidRPr="00E77F77">
        <w:t>t</w:t>
      </w:r>
      <w:r w:rsidRPr="00E54C11">
        <w:t xml:space="preserve"> tha</w:t>
      </w:r>
      <w:r w:rsidRPr="00E77F77">
        <w:t>t</w:t>
      </w:r>
      <w:r w:rsidRPr="00E54C11">
        <w:t xml:space="preserve"> i</w:t>
      </w:r>
      <w:r w:rsidRPr="00E77F77">
        <w:t>t</w:t>
      </w:r>
      <w:r w:rsidRPr="00E54C11">
        <w:t xml:space="preserve"> ha</w:t>
      </w:r>
      <w:r w:rsidRPr="00E77F77">
        <w:t>s</w:t>
      </w:r>
      <w:r w:rsidRPr="00E54C11">
        <w:t xml:space="preserve"> </w:t>
      </w:r>
      <w:r w:rsidRPr="00E77F77">
        <w:t>r</w:t>
      </w:r>
      <w:r w:rsidRPr="00E54C11">
        <w:t>equeste</w:t>
      </w:r>
      <w:r w:rsidRPr="00E77F77">
        <w:t>d</w:t>
      </w:r>
      <w:r w:rsidRPr="00E54C11">
        <w:t xml:space="preserve"> thei</w:t>
      </w:r>
      <w:r w:rsidRPr="00E77F77">
        <w:t>r</w:t>
      </w:r>
      <w:r w:rsidRPr="00E54C11">
        <w:t xml:space="preserve"> </w:t>
      </w:r>
      <w:r w:rsidRPr="00E77F77">
        <w:t>r</w:t>
      </w:r>
      <w:r w:rsidRPr="00E54C11">
        <w:t>emova</w:t>
      </w:r>
      <w:r w:rsidRPr="00E77F77">
        <w:t xml:space="preserve">l </w:t>
      </w:r>
      <w:r w:rsidRPr="00E54C11">
        <w:t>f</w:t>
      </w:r>
      <w:r w:rsidRPr="00E77F77">
        <w:t>r</w:t>
      </w:r>
      <w:r w:rsidRPr="00E54C11">
        <w:t>o</w:t>
      </w:r>
      <w:r w:rsidRPr="00E77F77">
        <w:t>m</w:t>
      </w:r>
      <w:r w:rsidRPr="00E54C11">
        <w:t xml:space="preserve"> th</w:t>
      </w:r>
      <w:r w:rsidRPr="00E77F77">
        <w:t>e</w:t>
      </w:r>
      <w:r w:rsidRPr="00E54C11">
        <w:t xml:space="preserve"> lis</w:t>
      </w:r>
      <w:r w:rsidRPr="00E77F77">
        <w:t>t</w:t>
      </w:r>
      <w:r w:rsidRPr="00E54C11">
        <w:t xml:space="preserve"> unles</w:t>
      </w:r>
      <w:r w:rsidRPr="00E77F77">
        <w:t>s</w:t>
      </w:r>
      <w:r w:rsidRPr="00E54C11">
        <w:t xml:space="preserve"> a</w:t>
      </w:r>
      <w:r w:rsidRPr="00E77F77">
        <w:t>n</w:t>
      </w:r>
      <w:r w:rsidRPr="00E54C11">
        <w:t xml:space="preserve"> exceptio</w:t>
      </w:r>
      <w:r w:rsidRPr="00E77F77">
        <w:t>n</w:t>
      </w:r>
      <w:r w:rsidRPr="00E54C11">
        <w:t xml:space="preserve"> applie</w:t>
      </w:r>
      <w:r w:rsidRPr="00E77F77">
        <w:t>s</w:t>
      </w:r>
      <w:r w:rsidRPr="00E54C11">
        <w:t xml:space="preserve"> unde</w:t>
      </w:r>
      <w:r w:rsidRPr="00E77F77">
        <w:t>r</w:t>
      </w:r>
      <w:r w:rsidRPr="00E54C11">
        <w:t xml:space="preserve"> th</w:t>
      </w:r>
      <w:r w:rsidRPr="00E77F77">
        <w:t>e</w:t>
      </w:r>
      <w:r w:rsidRPr="00E54C11">
        <w:t xml:space="preserve"> Regulation</w:t>
      </w:r>
      <w:r w:rsidRPr="00E77F77">
        <w:t>s</w:t>
      </w:r>
      <w:r w:rsidRPr="00E54C11">
        <w:t xml:space="preserve"> </w:t>
      </w:r>
      <w:r w:rsidRPr="00E77F77">
        <w:t>(</w:t>
      </w:r>
      <w:r w:rsidRPr="00E54C11">
        <w:t>se</w:t>
      </w:r>
      <w:r w:rsidRPr="00E77F77">
        <w:t xml:space="preserve">e </w:t>
      </w:r>
      <w:r w:rsidRPr="00E54C11">
        <w:t>sectio</w:t>
      </w:r>
      <w:r w:rsidRPr="00E77F77">
        <w:t>n</w:t>
      </w:r>
      <w:r w:rsidRPr="00E54C11">
        <w:t xml:space="preserve"> 2.14</w:t>
      </w:r>
      <w:r w:rsidRPr="00E77F77">
        <w:t>)</w:t>
      </w:r>
    </w:p>
    <w:p w14:paraId="552D20EB" w14:textId="77777777" w:rsidR="008F7BB3" w:rsidRPr="00E54C11" w:rsidRDefault="008F7BB3" w:rsidP="008F7BB3">
      <w:pPr>
        <w:pStyle w:val="Heading3"/>
        <w:rPr>
          <w:b/>
        </w:rPr>
      </w:pPr>
      <w:bookmarkStart w:id="521" w:name="_Toc483740430"/>
      <w:r w:rsidRPr="00E54C11">
        <w:rPr>
          <w:b/>
        </w:rPr>
        <w:t>Patient Appeals Process</w:t>
      </w:r>
      <w:bookmarkEnd w:id="521"/>
    </w:p>
    <w:p w14:paraId="3F54B82E" w14:textId="77777777" w:rsidR="008F7BB3" w:rsidRPr="00420171" w:rsidRDefault="008F7BB3" w:rsidP="008F7BB3">
      <w:pPr>
        <w:pStyle w:val="Heading4"/>
      </w:pPr>
      <w:r w:rsidRPr="00E54C11">
        <w:lastRenderedPageBreak/>
        <w:t>I</w:t>
      </w:r>
      <w:r w:rsidRPr="00420171">
        <w:t>t</w:t>
      </w:r>
      <w:r w:rsidRPr="00E54C11">
        <w:t xml:space="preserve"> i</w:t>
      </w:r>
      <w:r w:rsidRPr="00420171">
        <w:t>s</w:t>
      </w:r>
      <w:r w:rsidRPr="00E54C11">
        <w:t xml:space="preserve"> </w:t>
      </w:r>
      <w:r w:rsidRPr="00420171">
        <w:t>r</w:t>
      </w:r>
      <w:r w:rsidRPr="00E54C11">
        <w:t>ecognise</w:t>
      </w:r>
      <w:r w:rsidRPr="00420171">
        <w:t>d</w:t>
      </w:r>
      <w:r w:rsidRPr="00E54C11">
        <w:t xml:space="preserve"> tha</w:t>
      </w:r>
      <w:r w:rsidRPr="00420171">
        <w:t>t</w:t>
      </w:r>
      <w:r w:rsidRPr="00E54C11">
        <w:t xml:space="preserve"> G</w:t>
      </w:r>
      <w:r w:rsidRPr="00420171">
        <w:t>P</w:t>
      </w:r>
      <w:r w:rsidRPr="00E54C11">
        <w:t xml:space="preserve"> p</w:t>
      </w:r>
      <w:r w:rsidRPr="00420171">
        <w:t>r</w:t>
      </w:r>
      <w:r w:rsidRPr="00E54C11">
        <w:t>actice</w:t>
      </w:r>
      <w:r w:rsidRPr="00420171">
        <w:t>s</w:t>
      </w:r>
      <w:r w:rsidRPr="00E54C11">
        <w:t xml:space="preserve"> </w:t>
      </w:r>
      <w:r w:rsidRPr="00420171">
        <w:t>r</w:t>
      </w:r>
      <w:r w:rsidRPr="00E54C11">
        <w:t>epo</w:t>
      </w:r>
      <w:r w:rsidRPr="00420171">
        <w:t>rt</w:t>
      </w:r>
      <w:r w:rsidRPr="00E54C11">
        <w:t xml:space="preserve"> incident</w:t>
      </w:r>
      <w:r w:rsidRPr="00420171">
        <w:t>s</w:t>
      </w:r>
      <w:r w:rsidRPr="00E54C11">
        <w:t xml:space="preserve"> t</w:t>
      </w:r>
      <w:r w:rsidRPr="00420171">
        <w:t>o</w:t>
      </w:r>
      <w:r w:rsidRPr="00E54C11">
        <w:t xml:space="preserve"> th</w:t>
      </w:r>
      <w:r w:rsidRPr="00420171">
        <w:t>e</w:t>
      </w:r>
      <w:r w:rsidRPr="00E54C11">
        <w:t xml:space="preserve"> polic</w:t>
      </w:r>
      <w:r w:rsidRPr="00420171">
        <w:t>e</w:t>
      </w:r>
      <w:r w:rsidRPr="00E54C11">
        <w:t xml:space="preserve"> an</w:t>
      </w:r>
      <w:r w:rsidRPr="00420171">
        <w:t>d r</w:t>
      </w:r>
      <w:r w:rsidRPr="00E54C11">
        <w:t>eques</w:t>
      </w:r>
      <w:r w:rsidRPr="00420171">
        <w:t>t</w:t>
      </w:r>
      <w:r w:rsidRPr="00E54C11">
        <w:t xml:space="preserve"> a</w:t>
      </w:r>
      <w:r w:rsidRPr="00420171">
        <w:t>n</w:t>
      </w:r>
      <w:r w:rsidRPr="00E54C11">
        <w:t xml:space="preserve"> immediat</w:t>
      </w:r>
      <w:r w:rsidRPr="00420171">
        <w:t>e</w:t>
      </w:r>
      <w:r w:rsidRPr="00E54C11">
        <w:t xml:space="preserve"> </w:t>
      </w:r>
      <w:r w:rsidRPr="00420171">
        <w:t>r</w:t>
      </w:r>
      <w:r w:rsidRPr="00E54C11">
        <w:t>emova</w:t>
      </w:r>
      <w:r w:rsidRPr="00420171">
        <w:t>l</w:t>
      </w:r>
      <w:r w:rsidRPr="00E54C11">
        <w:t xml:space="preserve"> whe</w:t>
      </w:r>
      <w:r w:rsidRPr="00420171">
        <w:t>re</w:t>
      </w:r>
      <w:r w:rsidRPr="00E54C11">
        <w:t xml:space="preserve"> the</w:t>
      </w:r>
      <w:r w:rsidRPr="00420171">
        <w:t>re</w:t>
      </w:r>
      <w:r w:rsidRPr="00E54C11">
        <w:t xml:space="preserve"> i</w:t>
      </w:r>
      <w:r w:rsidRPr="00420171">
        <w:t>s</w:t>
      </w:r>
      <w:r w:rsidRPr="00E54C11">
        <w:t xml:space="preserve"> du</w:t>
      </w:r>
      <w:r w:rsidRPr="00420171">
        <w:t>e</w:t>
      </w:r>
      <w:r w:rsidRPr="00E54C11">
        <w:t xml:space="preserve"> caus</w:t>
      </w:r>
      <w:r w:rsidRPr="00420171">
        <w:t>e</w:t>
      </w:r>
      <w:r w:rsidRPr="00E54C11">
        <w:t xml:space="preserve"> an</w:t>
      </w:r>
      <w:r w:rsidRPr="00420171">
        <w:t>d</w:t>
      </w:r>
      <w:r w:rsidRPr="00E54C11">
        <w:t xml:space="preserve"> t</w:t>
      </w:r>
      <w:r w:rsidRPr="00420171">
        <w:t>o</w:t>
      </w:r>
      <w:r w:rsidRPr="00E54C11">
        <w:t xml:space="preserve"> p</w:t>
      </w:r>
      <w:r w:rsidRPr="00420171">
        <w:t>r</w:t>
      </w:r>
      <w:r w:rsidRPr="00E54C11">
        <w:t>otec</w:t>
      </w:r>
      <w:r w:rsidRPr="00420171">
        <w:t xml:space="preserve">t </w:t>
      </w:r>
      <w:r w:rsidRPr="00E54C11">
        <w:t>th</w:t>
      </w:r>
      <w:r w:rsidRPr="00420171">
        <w:t>e</w:t>
      </w:r>
      <w:r w:rsidRPr="00E54C11">
        <w:t xml:space="preserve"> safet</w:t>
      </w:r>
      <w:r w:rsidRPr="00420171">
        <w:t>y</w:t>
      </w:r>
      <w:r w:rsidRPr="00E54C11">
        <w:t xml:space="preserve"> o</w:t>
      </w:r>
      <w:r w:rsidRPr="00420171">
        <w:t>f</w:t>
      </w:r>
      <w:r w:rsidRPr="00E54C11">
        <w:t xml:space="preserve"> p</w:t>
      </w:r>
      <w:r w:rsidRPr="00420171">
        <w:t>r</w:t>
      </w:r>
      <w:r w:rsidRPr="00E54C11">
        <w:t>actic</w:t>
      </w:r>
      <w:r w:rsidRPr="00420171">
        <w:t>e</w:t>
      </w:r>
      <w:r w:rsidRPr="00E54C11">
        <w:t xml:space="preserve"> staff</w:t>
      </w:r>
      <w:r w:rsidRPr="00420171">
        <w:t>,</w:t>
      </w:r>
      <w:r w:rsidRPr="00E54C11">
        <w:t xml:space="preserve"> patient</w:t>
      </w:r>
      <w:r w:rsidRPr="00420171">
        <w:t>s</w:t>
      </w:r>
      <w:r w:rsidRPr="00E54C11">
        <w:t xml:space="preserve"> an</w:t>
      </w:r>
      <w:r w:rsidRPr="00420171">
        <w:t>d</w:t>
      </w:r>
      <w:r w:rsidRPr="00E54C11">
        <w:t xml:space="preserve"> visito</w:t>
      </w:r>
      <w:r w:rsidRPr="00420171">
        <w:t>r</w:t>
      </w:r>
      <w:r w:rsidRPr="00E54C11">
        <w:t>s</w:t>
      </w:r>
      <w:r w:rsidRPr="00420171">
        <w:t xml:space="preserve">. </w:t>
      </w:r>
    </w:p>
    <w:p w14:paraId="302A8A43" w14:textId="77777777" w:rsidR="008F7BB3" w:rsidRPr="00420171" w:rsidRDefault="008F7BB3" w:rsidP="008F7BB3">
      <w:pPr>
        <w:pStyle w:val="Heading4"/>
      </w:pPr>
      <w:r w:rsidRPr="00E54C11">
        <w:t>Th</w:t>
      </w:r>
      <w:r w:rsidRPr="00420171">
        <w:t>e</w:t>
      </w:r>
      <w:r w:rsidRPr="00E54C11">
        <w:t xml:space="preserve"> appeal</w:t>
      </w:r>
      <w:r w:rsidRPr="00420171">
        <w:t>s</w:t>
      </w:r>
      <w:r w:rsidRPr="00E54C11">
        <w:t xml:space="preserve"> p</w:t>
      </w:r>
      <w:r w:rsidRPr="00420171">
        <w:t>r</w:t>
      </w:r>
      <w:r w:rsidRPr="00E54C11">
        <w:t>oces</w:t>
      </w:r>
      <w:r w:rsidRPr="00420171">
        <w:t>s</w:t>
      </w:r>
      <w:r w:rsidRPr="00E54C11">
        <w:t xml:space="preserve"> mus</w:t>
      </w:r>
      <w:r w:rsidRPr="00420171">
        <w:t>t</w:t>
      </w:r>
      <w:r w:rsidRPr="00E54C11">
        <w:t xml:space="preserve"> </w:t>
      </w:r>
      <w:r w:rsidRPr="00420171">
        <w:t>r</w:t>
      </w:r>
      <w:r w:rsidRPr="00E54C11">
        <w:t>ecognis</w:t>
      </w:r>
      <w:r w:rsidRPr="00420171">
        <w:t>e</w:t>
      </w:r>
      <w:r w:rsidRPr="00E54C11">
        <w:t xml:space="preserve"> tha</w:t>
      </w:r>
      <w:r w:rsidRPr="00420171">
        <w:t>t</w:t>
      </w:r>
      <w:r w:rsidRPr="00E54C11">
        <w:t xml:space="preserve"> </w:t>
      </w:r>
      <w:r w:rsidRPr="00420171">
        <w:t>a</w:t>
      </w:r>
      <w:r w:rsidRPr="00E54C11">
        <w:t xml:space="preserve"> p</w:t>
      </w:r>
      <w:r w:rsidRPr="00420171">
        <w:t>r</w:t>
      </w:r>
      <w:r w:rsidRPr="00E54C11">
        <w:t>actic</w:t>
      </w:r>
      <w:r w:rsidRPr="00420171">
        <w:t>e</w:t>
      </w:r>
      <w:r w:rsidRPr="00E54C11">
        <w:t xml:space="preserve"> ha</w:t>
      </w:r>
      <w:r w:rsidRPr="00420171">
        <w:t>s</w:t>
      </w:r>
      <w:r w:rsidRPr="00E54C11">
        <w:t xml:space="preserve"> al</w:t>
      </w:r>
      <w:r w:rsidRPr="00420171">
        <w:t>r</w:t>
      </w:r>
      <w:r w:rsidRPr="00E54C11">
        <w:t>ead</w:t>
      </w:r>
      <w:r w:rsidRPr="00420171">
        <w:t>y</w:t>
      </w:r>
      <w:r w:rsidRPr="00E54C11">
        <w:t xml:space="preserve"> fulfille</w:t>
      </w:r>
      <w:r w:rsidRPr="00420171">
        <w:t xml:space="preserve">d </w:t>
      </w:r>
      <w:r w:rsidRPr="00E54C11">
        <w:t>it</w:t>
      </w:r>
      <w:r w:rsidRPr="00420171">
        <w:t>s</w:t>
      </w:r>
      <w:r w:rsidRPr="00E54C11">
        <w:t xml:space="preserve"> obligatio</w:t>
      </w:r>
      <w:r w:rsidRPr="00420171">
        <w:t>n</w:t>
      </w:r>
      <w:r w:rsidRPr="00E54C11">
        <w:t xml:space="preserve"> unde</w:t>
      </w:r>
      <w:r w:rsidRPr="00420171">
        <w:t>r</w:t>
      </w:r>
      <w:r w:rsidRPr="00E54C11">
        <w:t xml:space="preserve"> th</w:t>
      </w:r>
      <w:r w:rsidRPr="00420171">
        <w:t>e</w:t>
      </w:r>
      <w:r w:rsidRPr="00E54C11">
        <w:t xml:space="preserve"> Regulation</w:t>
      </w:r>
      <w:r w:rsidRPr="00420171">
        <w:t>s</w:t>
      </w:r>
      <w:r w:rsidRPr="00E54C11">
        <w:t xml:space="preserve"> b</w:t>
      </w:r>
      <w:r w:rsidRPr="00420171">
        <w:t>y</w:t>
      </w:r>
      <w:r w:rsidRPr="00E54C11">
        <w:t xml:space="preserve"> </w:t>
      </w:r>
      <w:r w:rsidRPr="00420171">
        <w:t>r</w:t>
      </w:r>
      <w:r w:rsidRPr="00E54C11">
        <w:t>epo</w:t>
      </w:r>
      <w:r w:rsidRPr="00420171">
        <w:t>r</w:t>
      </w:r>
      <w:r w:rsidRPr="00E54C11">
        <w:t>tin</w:t>
      </w:r>
      <w:r w:rsidRPr="00420171">
        <w:t>g</w:t>
      </w:r>
      <w:r w:rsidRPr="00E54C11">
        <w:t xml:space="preserve"> th</w:t>
      </w:r>
      <w:r w:rsidRPr="00420171">
        <w:t>e</w:t>
      </w:r>
      <w:r w:rsidRPr="00E54C11">
        <w:t xml:space="preserve"> inciden</w:t>
      </w:r>
      <w:r w:rsidRPr="00420171">
        <w:t xml:space="preserve">t </w:t>
      </w:r>
      <w:r w:rsidRPr="00E54C11">
        <w:t>t</w:t>
      </w:r>
      <w:r w:rsidRPr="00420171">
        <w:t>o</w:t>
      </w:r>
      <w:r w:rsidRPr="00E54C11">
        <w:t xml:space="preserve"> th</w:t>
      </w:r>
      <w:r w:rsidRPr="00420171">
        <w:t xml:space="preserve">e </w:t>
      </w:r>
      <w:r w:rsidRPr="00E54C11">
        <w:t>polic</w:t>
      </w:r>
      <w:r w:rsidRPr="00420171">
        <w:t>e</w:t>
      </w:r>
      <w:r w:rsidRPr="00E54C11">
        <w:t xml:space="preserve"> an</w:t>
      </w:r>
      <w:r w:rsidRPr="00420171">
        <w:t>d</w:t>
      </w:r>
      <w:r w:rsidRPr="00E54C11">
        <w:t xml:space="preserve"> notifyin</w:t>
      </w:r>
      <w:r w:rsidRPr="00420171">
        <w:t>g</w:t>
      </w:r>
      <w:r w:rsidRPr="00E54C11">
        <w:t xml:space="preserve"> th</w:t>
      </w:r>
      <w:r w:rsidRPr="00420171">
        <w:t>e</w:t>
      </w:r>
      <w:r w:rsidRPr="00E54C11">
        <w:t xml:space="preserve"> Commissione</w:t>
      </w:r>
      <w:r w:rsidRPr="00420171">
        <w:t>r.</w:t>
      </w:r>
    </w:p>
    <w:p w14:paraId="6B07061A" w14:textId="77777777" w:rsidR="008F7BB3" w:rsidRPr="00420171" w:rsidRDefault="008F7BB3" w:rsidP="008F7BB3">
      <w:pPr>
        <w:pStyle w:val="Heading4"/>
      </w:pPr>
      <w:r w:rsidRPr="00E54C11">
        <w:t>Th</w:t>
      </w:r>
      <w:r w:rsidRPr="00420171">
        <w:t>e</w:t>
      </w:r>
      <w:r w:rsidRPr="00E54C11">
        <w:t xml:space="preserve"> patien</w:t>
      </w:r>
      <w:r w:rsidRPr="00420171">
        <w:t>t</w:t>
      </w:r>
      <w:r w:rsidRPr="00E54C11">
        <w:t xml:space="preserve"> </w:t>
      </w:r>
      <w:r w:rsidRPr="00420171">
        <w:t>r</w:t>
      </w:r>
      <w:r w:rsidRPr="00E54C11">
        <w:t>efe</w:t>
      </w:r>
      <w:r w:rsidRPr="00420171">
        <w:t>rr</w:t>
      </w:r>
      <w:r w:rsidRPr="00E54C11">
        <w:t>e</w:t>
      </w:r>
      <w:r w:rsidRPr="00420171">
        <w:t>d</w:t>
      </w:r>
      <w:r w:rsidRPr="00E54C11">
        <w:t xml:space="preserve"> t</w:t>
      </w:r>
      <w:r w:rsidRPr="00420171">
        <w:t>o</w:t>
      </w:r>
      <w:r w:rsidRPr="00E54C11">
        <w:t xml:space="preserve"> th</w:t>
      </w:r>
      <w:r w:rsidRPr="00420171">
        <w:t>e</w:t>
      </w:r>
      <w:r w:rsidRPr="00E54C11">
        <w:t xml:space="preserve"> </w:t>
      </w:r>
      <w:r w:rsidRPr="00420171">
        <w:t>S</w:t>
      </w:r>
      <w:r w:rsidRPr="00E54C11">
        <w:t>A</w:t>
      </w:r>
      <w:r w:rsidRPr="00420171">
        <w:t>S</w:t>
      </w:r>
      <w:r w:rsidRPr="00E54C11">
        <w:t xml:space="preserve"> ha</w:t>
      </w:r>
      <w:r w:rsidRPr="00420171">
        <w:t>s</w:t>
      </w:r>
      <w:r w:rsidRPr="00E54C11">
        <w:t xml:space="preserve"> </w:t>
      </w:r>
      <w:r w:rsidRPr="00420171">
        <w:t>a</w:t>
      </w:r>
      <w:r w:rsidRPr="00E54C11">
        <w:t xml:space="preserve"> </w:t>
      </w:r>
      <w:r w:rsidRPr="00420171">
        <w:t>r</w:t>
      </w:r>
      <w:r w:rsidRPr="00E54C11">
        <w:t>igh</w:t>
      </w:r>
      <w:r w:rsidRPr="00420171">
        <w:t>t</w:t>
      </w:r>
      <w:r w:rsidRPr="00E54C11">
        <w:t xml:space="preserve"> o</w:t>
      </w:r>
      <w:r w:rsidRPr="00420171">
        <w:t>f</w:t>
      </w:r>
      <w:r w:rsidRPr="00E54C11">
        <w:t xml:space="preserve"> appea</w:t>
      </w:r>
      <w:r w:rsidRPr="00420171">
        <w:t>l</w:t>
      </w:r>
      <w:r w:rsidRPr="00E54C11">
        <w:t xml:space="preserve"> an</w:t>
      </w:r>
      <w:r w:rsidRPr="00420171">
        <w:t>d</w:t>
      </w:r>
      <w:r w:rsidRPr="00E54C11">
        <w:t xml:space="preserve"> shoul</w:t>
      </w:r>
      <w:r w:rsidRPr="00420171">
        <w:t>d</w:t>
      </w:r>
      <w:r w:rsidRPr="00E54C11">
        <w:t xml:space="preserve"> the</w:t>
      </w:r>
      <w:r w:rsidRPr="00420171">
        <w:t xml:space="preserve">y </w:t>
      </w:r>
      <w:r w:rsidRPr="00E54C11">
        <w:t>wis</w:t>
      </w:r>
      <w:r w:rsidRPr="00420171">
        <w:t>h</w:t>
      </w:r>
      <w:r w:rsidRPr="00E54C11">
        <w:t xml:space="preserve"> t</w:t>
      </w:r>
      <w:r w:rsidRPr="00420171">
        <w:t>o</w:t>
      </w:r>
      <w:r w:rsidRPr="00E54C11">
        <w:t xml:space="preserve"> d</w:t>
      </w:r>
      <w:r w:rsidRPr="00420171">
        <w:t>o</w:t>
      </w:r>
      <w:r w:rsidRPr="00E54C11">
        <w:t xml:space="preserve"> so</w:t>
      </w:r>
      <w:r w:rsidRPr="00420171">
        <w:t>,</w:t>
      </w:r>
      <w:r w:rsidRPr="00E54C11">
        <w:t xml:space="preserve"> ca</w:t>
      </w:r>
      <w:r w:rsidRPr="00420171">
        <w:t>n</w:t>
      </w:r>
      <w:r w:rsidRPr="00E54C11">
        <w:t xml:space="preserve"> appea</w:t>
      </w:r>
      <w:r w:rsidRPr="00420171">
        <w:t>l</w:t>
      </w:r>
      <w:r w:rsidRPr="00E54C11">
        <w:t xml:space="preserve"> agains</w:t>
      </w:r>
      <w:r w:rsidRPr="00420171">
        <w:t>t</w:t>
      </w:r>
      <w:r w:rsidRPr="00E54C11">
        <w:t xml:space="preserve"> th</w:t>
      </w:r>
      <w:r w:rsidRPr="00420171">
        <w:t>e</w:t>
      </w:r>
      <w:r w:rsidRPr="00E54C11">
        <w:t xml:space="preserve"> decisio</w:t>
      </w:r>
      <w:r w:rsidRPr="00420171">
        <w:t>n</w:t>
      </w:r>
      <w:r w:rsidRPr="00E54C11">
        <w:t xml:space="preserve"> b</w:t>
      </w:r>
      <w:r w:rsidRPr="00420171">
        <w:t>y</w:t>
      </w:r>
      <w:r w:rsidRPr="00E54C11">
        <w:t xml:space="preserve"> puttin</w:t>
      </w:r>
      <w:r w:rsidRPr="00420171">
        <w:t>g</w:t>
      </w:r>
      <w:r w:rsidRPr="00E54C11">
        <w:t xml:space="preserve"> thi</w:t>
      </w:r>
      <w:r w:rsidRPr="00420171">
        <w:t>s</w:t>
      </w:r>
      <w:r w:rsidRPr="00E54C11">
        <w:t xml:space="preserve"> i</w:t>
      </w:r>
      <w:r w:rsidRPr="00420171">
        <w:t>n</w:t>
      </w:r>
      <w:r w:rsidRPr="00E54C11">
        <w:t xml:space="preserve"> w</w:t>
      </w:r>
      <w:r w:rsidRPr="00420171">
        <w:t>r</w:t>
      </w:r>
      <w:r w:rsidRPr="00E54C11">
        <w:t>itin</w:t>
      </w:r>
      <w:r w:rsidRPr="00420171">
        <w:t xml:space="preserve">g </w:t>
      </w:r>
      <w:r w:rsidRPr="00E54C11">
        <w:t>withi</w:t>
      </w:r>
      <w:r w:rsidRPr="00420171">
        <w:t>n</w:t>
      </w:r>
      <w:r w:rsidRPr="00E54C11">
        <w:t xml:space="preserve"> 1</w:t>
      </w:r>
      <w:r w:rsidRPr="00420171">
        <w:t>4</w:t>
      </w:r>
      <w:r w:rsidRPr="00E54C11">
        <w:t xml:space="preserve"> day</w:t>
      </w:r>
      <w:r w:rsidRPr="00420171">
        <w:t>s</w:t>
      </w:r>
      <w:r w:rsidRPr="00E54C11">
        <w:t xml:space="preserve"> o</w:t>
      </w:r>
      <w:r w:rsidRPr="00420171">
        <w:t>f</w:t>
      </w:r>
      <w:r w:rsidRPr="00E54C11">
        <w:t xml:space="preserve"> th</w:t>
      </w:r>
      <w:r w:rsidRPr="00420171">
        <w:t>e</w:t>
      </w:r>
      <w:r w:rsidRPr="00E54C11">
        <w:t xml:space="preserve"> notificatio</w:t>
      </w:r>
      <w:r w:rsidRPr="00420171">
        <w:t>n</w:t>
      </w:r>
      <w:r w:rsidRPr="00E54C11">
        <w:t xml:space="preserve"> o</w:t>
      </w:r>
      <w:r w:rsidRPr="00420171">
        <w:t>f</w:t>
      </w:r>
      <w:r w:rsidRPr="00E54C11">
        <w:t xml:space="preserve"> th</w:t>
      </w:r>
      <w:r w:rsidRPr="00420171">
        <w:t>e</w:t>
      </w:r>
      <w:r w:rsidRPr="00E54C11">
        <w:t xml:space="preserve"> </w:t>
      </w:r>
      <w:r w:rsidRPr="00420171">
        <w:t>r</w:t>
      </w:r>
      <w:r w:rsidRPr="00E54C11">
        <w:t>efe</w:t>
      </w:r>
      <w:r w:rsidRPr="00420171">
        <w:t>rr</w:t>
      </w:r>
      <w:r w:rsidRPr="00E54C11">
        <w:t>al</w:t>
      </w:r>
      <w:r w:rsidRPr="00420171">
        <w:t>,</w:t>
      </w:r>
      <w:r w:rsidRPr="00E54C11">
        <w:t xml:space="preserve"> add</w:t>
      </w:r>
      <w:r w:rsidRPr="00420171">
        <w:t>r</w:t>
      </w:r>
      <w:r w:rsidRPr="00E54C11">
        <w:t>essin</w:t>
      </w:r>
      <w:r w:rsidRPr="00420171">
        <w:t>g</w:t>
      </w:r>
      <w:r w:rsidRPr="00E54C11">
        <w:t xml:space="preserve"> i</w:t>
      </w:r>
      <w:r w:rsidRPr="00420171">
        <w:t>t</w:t>
      </w:r>
      <w:r w:rsidRPr="00E54C11">
        <w:t xml:space="preserve"> t</w:t>
      </w:r>
      <w:r w:rsidRPr="00420171">
        <w:t>o</w:t>
      </w:r>
      <w:r w:rsidRPr="00E54C11">
        <w:t xml:space="preserve"> th</w:t>
      </w:r>
      <w:r w:rsidRPr="00420171">
        <w:t xml:space="preserve">e </w:t>
      </w:r>
      <w:r w:rsidRPr="00E54C11">
        <w:t>Commissione</w:t>
      </w:r>
      <w:r w:rsidRPr="00420171">
        <w:t>r</w:t>
      </w:r>
      <w:r w:rsidRPr="00E54C11">
        <w:t>'</w:t>
      </w:r>
      <w:r w:rsidRPr="00420171">
        <w:t>s</w:t>
      </w:r>
      <w:r w:rsidRPr="00E54C11">
        <w:t xml:space="preserve"> </w:t>
      </w:r>
      <w:r w:rsidRPr="00420171">
        <w:t>S</w:t>
      </w:r>
      <w:r w:rsidRPr="00E54C11">
        <w:t>A</w:t>
      </w:r>
      <w:r w:rsidRPr="00420171">
        <w:t>S</w:t>
      </w:r>
      <w:r w:rsidRPr="00E54C11">
        <w:t xml:space="preserve"> Liaiso</w:t>
      </w:r>
      <w:r w:rsidRPr="00420171">
        <w:t>n</w:t>
      </w:r>
      <w:r w:rsidRPr="00E54C11">
        <w:t xml:space="preserve"> Team</w:t>
      </w:r>
      <w:r w:rsidRPr="00420171">
        <w:t>. </w:t>
      </w:r>
      <w:r w:rsidRPr="00E54C11">
        <w:t xml:space="preserve"> Th</w:t>
      </w:r>
      <w:r w:rsidRPr="00420171">
        <w:t>e</w:t>
      </w:r>
      <w:r w:rsidRPr="00E54C11">
        <w:t xml:space="preserve"> Commissione</w:t>
      </w:r>
      <w:r w:rsidRPr="00420171">
        <w:t>r</w:t>
      </w:r>
      <w:r w:rsidRPr="00E54C11">
        <w:t xml:space="preserve"> wil</w:t>
      </w:r>
      <w:r w:rsidRPr="00420171">
        <w:t>l</w:t>
      </w:r>
      <w:r w:rsidRPr="00E54C11">
        <w:t xml:space="preserve"> contac</w:t>
      </w:r>
      <w:r w:rsidRPr="00420171">
        <w:t>t</w:t>
      </w:r>
      <w:r w:rsidRPr="00E54C11">
        <w:t xml:space="preserve"> th</w:t>
      </w:r>
      <w:r w:rsidRPr="00420171">
        <w:t xml:space="preserve">e </w:t>
      </w:r>
      <w:r w:rsidRPr="00E54C11">
        <w:t>p</w:t>
      </w:r>
      <w:r w:rsidRPr="00420171">
        <w:t>r</w:t>
      </w:r>
      <w:r w:rsidRPr="00E54C11">
        <w:t>actic</w:t>
      </w:r>
      <w:r w:rsidRPr="00420171">
        <w:t>e</w:t>
      </w:r>
      <w:r w:rsidRPr="00E54C11">
        <w:t xml:space="preserve"> t</w:t>
      </w:r>
      <w:r w:rsidRPr="00420171">
        <w:t>o</w:t>
      </w:r>
      <w:r w:rsidRPr="00E54C11">
        <w:t xml:space="preserve"> no</w:t>
      </w:r>
      <w:r w:rsidRPr="00420171">
        <w:t>t</w:t>
      </w:r>
      <w:r w:rsidRPr="00E54C11">
        <w:t>if</w:t>
      </w:r>
      <w:r w:rsidRPr="00420171">
        <w:t>y</w:t>
      </w:r>
      <w:r w:rsidRPr="00E54C11">
        <w:t xml:space="preserve"> the</w:t>
      </w:r>
      <w:r w:rsidRPr="00420171">
        <w:t>m</w:t>
      </w:r>
      <w:r w:rsidRPr="00E54C11">
        <w:t xml:space="preserve"> o</w:t>
      </w:r>
      <w:r w:rsidRPr="00420171">
        <w:t>f</w:t>
      </w:r>
      <w:r w:rsidRPr="00E54C11">
        <w:t xml:space="preserve"> th</w:t>
      </w:r>
      <w:r w:rsidRPr="00420171">
        <w:t>e</w:t>
      </w:r>
      <w:r w:rsidRPr="00E54C11">
        <w:t xml:space="preserve"> appea</w:t>
      </w:r>
      <w:r w:rsidRPr="00420171">
        <w:t>l</w:t>
      </w:r>
      <w:r w:rsidRPr="00E54C11">
        <w:t xml:space="preserve"> an</w:t>
      </w:r>
      <w:r w:rsidRPr="00420171">
        <w:t>d</w:t>
      </w:r>
      <w:r w:rsidRPr="00E54C11">
        <w:t xml:space="preserve"> invit</w:t>
      </w:r>
      <w:r w:rsidRPr="00420171">
        <w:t>e</w:t>
      </w:r>
      <w:r w:rsidRPr="00E54C11">
        <w:t xml:space="preserve"> the</w:t>
      </w:r>
      <w:r w:rsidRPr="00420171">
        <w:t>m</w:t>
      </w:r>
      <w:r w:rsidRPr="00E54C11">
        <w:t xml:space="preserve"> t</w:t>
      </w:r>
      <w:r w:rsidRPr="00420171">
        <w:t>o</w:t>
      </w:r>
      <w:r w:rsidRPr="00E54C11">
        <w:t xml:space="preserve"> p</w:t>
      </w:r>
      <w:r w:rsidRPr="00420171">
        <w:t>r</w:t>
      </w:r>
      <w:r w:rsidRPr="00E54C11">
        <w:t>ovid</w:t>
      </w:r>
      <w:r w:rsidRPr="00420171">
        <w:t>e</w:t>
      </w:r>
      <w:r w:rsidRPr="00E54C11">
        <w:t xml:space="preserve"> an</w:t>
      </w:r>
      <w:r w:rsidRPr="00420171">
        <w:t xml:space="preserve">y </w:t>
      </w:r>
      <w:r w:rsidRPr="00E54C11">
        <w:t>supplementa</w:t>
      </w:r>
      <w:r w:rsidRPr="00420171">
        <w:t>ry</w:t>
      </w:r>
      <w:r w:rsidRPr="00E54C11">
        <w:t xml:space="preserve"> info</w:t>
      </w:r>
      <w:r w:rsidRPr="00420171">
        <w:t>r</w:t>
      </w:r>
      <w:r w:rsidRPr="00E54C11">
        <w:t>matio</w:t>
      </w:r>
      <w:r w:rsidRPr="00420171">
        <w:t>n</w:t>
      </w:r>
      <w:r w:rsidRPr="00E54C11">
        <w:t xml:space="preserve"> i</w:t>
      </w:r>
      <w:r w:rsidRPr="00420171">
        <w:t>n</w:t>
      </w:r>
      <w:r w:rsidRPr="00E54C11">
        <w:t xml:space="preserve"> </w:t>
      </w:r>
      <w:r w:rsidRPr="00420171">
        <w:t>r</w:t>
      </w:r>
      <w:r w:rsidRPr="00E54C11">
        <w:t>elatio</w:t>
      </w:r>
      <w:r w:rsidRPr="00420171">
        <w:t>n</w:t>
      </w:r>
      <w:r w:rsidRPr="00E54C11">
        <w:t xml:space="preserve"> t</w:t>
      </w:r>
      <w:r w:rsidRPr="00420171">
        <w:t>o</w:t>
      </w:r>
      <w:r w:rsidRPr="00E54C11">
        <w:t xml:space="preserve"> th</w:t>
      </w:r>
      <w:r w:rsidRPr="00420171">
        <w:t>e</w:t>
      </w:r>
      <w:r w:rsidRPr="00E54C11">
        <w:t xml:space="preserve"> </w:t>
      </w:r>
      <w:r w:rsidRPr="00420171">
        <w:t>r</w:t>
      </w:r>
      <w:r w:rsidRPr="00E54C11">
        <w:t>emoval</w:t>
      </w:r>
      <w:r w:rsidRPr="00420171">
        <w:t>.  </w:t>
      </w:r>
    </w:p>
    <w:p w14:paraId="07820484" w14:textId="77777777" w:rsidR="008F7BB3" w:rsidRPr="00E54C11" w:rsidRDefault="008F7BB3" w:rsidP="008F7BB3">
      <w:pPr>
        <w:pStyle w:val="Heading4"/>
        <w:rPr>
          <w:b/>
          <w:color w:val="FF0000"/>
        </w:rPr>
      </w:pPr>
      <w:r w:rsidRPr="00E54C11">
        <w:rPr>
          <w:b/>
          <w:color w:val="FF0000"/>
        </w:rPr>
        <w:t>The appeals process does not delay the immediate removal of a patient following an incident that has been reported the police and the commissioner (via PCSE)</w:t>
      </w:r>
    </w:p>
    <w:p w14:paraId="21F3F32D" w14:textId="77777777" w:rsidR="008F7BB3" w:rsidRDefault="008F7BB3" w:rsidP="008F7BB3">
      <w:pPr>
        <w:pStyle w:val="Heading4"/>
      </w:pPr>
      <w:r w:rsidRPr="00E54C11">
        <w:t>Th</w:t>
      </w:r>
      <w:r w:rsidRPr="00420171">
        <w:t>e</w:t>
      </w:r>
      <w:r w:rsidRPr="00E54C11">
        <w:t xml:space="preserve"> appea</w:t>
      </w:r>
      <w:r w:rsidRPr="00420171">
        <w:t>l</w:t>
      </w:r>
      <w:r w:rsidRPr="00E54C11">
        <w:t xml:space="preserve"> shoul</w:t>
      </w:r>
      <w:r w:rsidRPr="00420171">
        <w:t>d</w:t>
      </w:r>
      <w:r w:rsidRPr="00E54C11">
        <w:t xml:space="preserve"> b</w:t>
      </w:r>
      <w:r w:rsidRPr="00420171">
        <w:t>e</w:t>
      </w:r>
      <w:r w:rsidRPr="00E54C11">
        <w:t xml:space="preserve"> </w:t>
      </w:r>
      <w:r w:rsidRPr="00420171">
        <w:t>r</w:t>
      </w:r>
      <w:r w:rsidRPr="00E54C11">
        <w:t>eviewe</w:t>
      </w:r>
      <w:r w:rsidRPr="00420171">
        <w:t>d</w:t>
      </w:r>
      <w:r w:rsidRPr="00E54C11">
        <w:t xml:space="preserve"> b</w:t>
      </w:r>
      <w:r w:rsidRPr="00420171">
        <w:t>y</w:t>
      </w:r>
      <w:r w:rsidRPr="00E54C11">
        <w:t xml:space="preserve"> </w:t>
      </w:r>
      <w:r w:rsidRPr="00420171">
        <w:t>a</w:t>
      </w:r>
      <w:r w:rsidRPr="00E54C11">
        <w:t xml:space="preserve"> pane</w:t>
      </w:r>
      <w:r w:rsidRPr="00420171">
        <w:t>l</w:t>
      </w:r>
      <w:r w:rsidRPr="00E54C11">
        <w:t xml:space="preserve"> convene</w:t>
      </w:r>
      <w:r w:rsidRPr="00420171">
        <w:t>d</w:t>
      </w:r>
      <w:r w:rsidRPr="00E54C11">
        <w:t xml:space="preserve"> b</w:t>
      </w:r>
      <w:r w:rsidRPr="00420171">
        <w:t xml:space="preserve">y </w:t>
      </w:r>
      <w:r w:rsidRPr="00E54C11">
        <w:t>th</w:t>
      </w:r>
      <w:r w:rsidRPr="00420171">
        <w:t xml:space="preserve">e </w:t>
      </w:r>
      <w:r w:rsidRPr="00E54C11">
        <w:t>Commissione</w:t>
      </w:r>
      <w:r w:rsidRPr="00420171">
        <w:t>r</w:t>
      </w:r>
      <w:r w:rsidRPr="00E54C11">
        <w:t xml:space="preserve"> </w:t>
      </w:r>
      <w:r w:rsidRPr="00420171">
        <w:t>(a</w:t>
      </w:r>
      <w:r w:rsidRPr="00E54C11">
        <w:t xml:space="preserve"> ‘</w:t>
      </w:r>
      <w:r w:rsidRPr="00420171">
        <w:t>S</w:t>
      </w:r>
      <w:r w:rsidRPr="00E54C11">
        <w:t>A</w:t>
      </w:r>
      <w:r w:rsidRPr="00420171">
        <w:t>S</w:t>
      </w:r>
      <w:r w:rsidRPr="00E54C11">
        <w:t xml:space="preserve"> </w:t>
      </w:r>
      <w:r w:rsidRPr="00420171">
        <w:t>P</w:t>
      </w:r>
      <w:r w:rsidRPr="00E54C11">
        <w:t>anel’</w:t>
      </w:r>
      <w:r w:rsidRPr="00420171">
        <w:t>).</w:t>
      </w:r>
      <w:r w:rsidRPr="00E54C11">
        <w:t xml:space="preserve"> </w:t>
      </w:r>
      <w:r>
        <w:t>The panel should include appropriate representations (including LMCs and a patient representative group as appropriate).</w:t>
      </w:r>
    </w:p>
    <w:p w14:paraId="26C4DA2B" w14:textId="77777777" w:rsidR="008F7BB3" w:rsidRPr="00420171" w:rsidRDefault="008F7BB3" w:rsidP="008F7BB3">
      <w:pPr>
        <w:pStyle w:val="Heading4"/>
      </w:pPr>
      <w:r w:rsidRPr="00E54C11">
        <w:t>Th</w:t>
      </w:r>
      <w:r w:rsidRPr="00420171">
        <w:t>e</w:t>
      </w:r>
      <w:r w:rsidRPr="00E54C11">
        <w:t xml:space="preserve"> Commissione</w:t>
      </w:r>
      <w:r w:rsidRPr="00420171">
        <w:t>r</w:t>
      </w:r>
      <w:r w:rsidRPr="00E54C11">
        <w:t xml:space="preserve"> wil</w:t>
      </w:r>
      <w:r w:rsidRPr="00420171">
        <w:t>l</w:t>
      </w:r>
      <w:r w:rsidRPr="00E54C11">
        <w:t xml:space="preserve"> notif</w:t>
      </w:r>
      <w:r w:rsidRPr="00420171">
        <w:t>y</w:t>
      </w:r>
      <w:r w:rsidRPr="00E54C11">
        <w:t xml:space="preserve"> th</w:t>
      </w:r>
      <w:r w:rsidRPr="00420171">
        <w:t>e</w:t>
      </w:r>
      <w:r w:rsidRPr="00E54C11">
        <w:t xml:space="preserve"> patien</w:t>
      </w:r>
      <w:r w:rsidRPr="00420171">
        <w:t xml:space="preserve">t </w:t>
      </w:r>
      <w:r w:rsidRPr="00E54C11">
        <w:t>o</w:t>
      </w:r>
      <w:r w:rsidRPr="00420171">
        <w:t>f</w:t>
      </w:r>
      <w:r w:rsidRPr="00E54C11">
        <w:t xml:space="preserve"> th</w:t>
      </w:r>
      <w:r w:rsidRPr="00420171">
        <w:t>e</w:t>
      </w:r>
      <w:r w:rsidRPr="00E54C11">
        <w:t xml:space="preserve"> decisio</w:t>
      </w:r>
      <w:r w:rsidRPr="00420171">
        <w:t>n</w:t>
      </w:r>
      <w:r w:rsidRPr="00E54C11">
        <w:t xml:space="preserve"> i</w:t>
      </w:r>
      <w:r w:rsidRPr="00420171">
        <w:t>n</w:t>
      </w:r>
      <w:r w:rsidRPr="00E54C11">
        <w:t xml:space="preserve"> w</w:t>
      </w:r>
      <w:r w:rsidRPr="00420171">
        <w:t>r</w:t>
      </w:r>
      <w:r w:rsidRPr="00E54C11">
        <w:t>itin</w:t>
      </w:r>
      <w:r w:rsidRPr="00420171">
        <w:t>g</w:t>
      </w:r>
      <w:r w:rsidRPr="00E54C11">
        <w:t xml:space="preserve"> withi</w:t>
      </w:r>
      <w:r w:rsidRPr="00420171">
        <w:t>n</w:t>
      </w:r>
      <w:r w:rsidRPr="00E54C11">
        <w:t xml:space="preserve"> 1</w:t>
      </w:r>
      <w:r w:rsidRPr="00420171">
        <w:t>4</w:t>
      </w:r>
      <w:r w:rsidRPr="00E54C11">
        <w:t xml:space="preserve"> day</w:t>
      </w:r>
      <w:r w:rsidRPr="00420171">
        <w:t>s</w:t>
      </w:r>
      <w:r w:rsidRPr="00E54C11">
        <w:t xml:space="preserve"> o</w:t>
      </w:r>
      <w:r w:rsidRPr="00420171">
        <w:t>f</w:t>
      </w:r>
      <w:r w:rsidRPr="00E54C11">
        <w:t xml:space="preserve"> th</w:t>
      </w:r>
      <w:r w:rsidRPr="00420171">
        <w:t>e</w:t>
      </w:r>
      <w:r w:rsidRPr="00E54C11">
        <w:t xml:space="preserve"> </w:t>
      </w:r>
      <w:r w:rsidRPr="00420171">
        <w:t>S</w:t>
      </w:r>
      <w:r w:rsidRPr="00E54C11">
        <w:t>A</w:t>
      </w:r>
      <w:r w:rsidRPr="00420171">
        <w:t>S</w:t>
      </w:r>
      <w:r w:rsidRPr="00E54C11">
        <w:t xml:space="preserve"> </w:t>
      </w:r>
      <w:r w:rsidRPr="00420171">
        <w:t>P</w:t>
      </w:r>
      <w:r w:rsidRPr="00E54C11">
        <w:t>anel</w:t>
      </w:r>
      <w:r w:rsidRPr="00420171">
        <w:t>,</w:t>
      </w:r>
      <w:r w:rsidRPr="00E54C11">
        <w:t xml:space="preserve"> havin</w:t>
      </w:r>
      <w:r w:rsidRPr="00420171">
        <w:t>g</w:t>
      </w:r>
      <w:r w:rsidRPr="00E54C11">
        <w:t xml:space="preserve"> fi</w:t>
      </w:r>
      <w:r w:rsidRPr="00420171">
        <w:t>r</w:t>
      </w:r>
      <w:r w:rsidRPr="00E54C11">
        <w:t>s</w:t>
      </w:r>
      <w:r w:rsidRPr="00420171">
        <w:t xml:space="preserve">t </w:t>
      </w:r>
      <w:r w:rsidRPr="00E54C11">
        <w:t>discusse</w:t>
      </w:r>
      <w:r w:rsidRPr="00420171">
        <w:t>d</w:t>
      </w:r>
      <w:r w:rsidRPr="00E54C11">
        <w:t xml:space="preserve"> th</w:t>
      </w:r>
      <w:r w:rsidRPr="00420171">
        <w:t>e</w:t>
      </w:r>
      <w:r w:rsidRPr="00E54C11">
        <w:t xml:space="preserve"> outcom</w:t>
      </w:r>
      <w:r w:rsidRPr="00420171">
        <w:t>e</w:t>
      </w:r>
      <w:r w:rsidRPr="00E54C11">
        <w:t xml:space="preserve"> wit</w:t>
      </w:r>
      <w:r w:rsidRPr="00420171">
        <w:t>h</w:t>
      </w:r>
      <w:r w:rsidRPr="00E54C11">
        <w:t xml:space="preserve"> th</w:t>
      </w:r>
      <w:r w:rsidRPr="00420171">
        <w:t>e</w:t>
      </w:r>
      <w:r w:rsidRPr="00E54C11">
        <w:t xml:space="preserve"> p</w:t>
      </w:r>
      <w:r w:rsidRPr="00420171">
        <w:t>r</w:t>
      </w:r>
      <w:r w:rsidRPr="00E54C11">
        <w:t>actic</w:t>
      </w:r>
      <w:r w:rsidRPr="00420171">
        <w:t>e</w:t>
      </w:r>
      <w:r w:rsidRPr="00E54C11">
        <w:t xml:space="preserve"> f</w:t>
      </w:r>
      <w:r w:rsidRPr="00420171">
        <w:t>r</w:t>
      </w:r>
      <w:r w:rsidRPr="00E54C11">
        <w:t>o</w:t>
      </w:r>
      <w:r w:rsidRPr="00420171">
        <w:t>m</w:t>
      </w:r>
      <w:r w:rsidRPr="00E54C11">
        <w:t xml:space="preserve"> whic</w:t>
      </w:r>
      <w:r w:rsidRPr="00420171">
        <w:t>h</w:t>
      </w:r>
      <w:r w:rsidRPr="00E54C11">
        <w:t xml:space="preserve"> th</w:t>
      </w:r>
      <w:r w:rsidRPr="00420171">
        <w:t>e</w:t>
      </w:r>
      <w:r w:rsidRPr="00E54C11">
        <w:t xml:space="preserve"> patien</w:t>
      </w:r>
      <w:r w:rsidRPr="00420171">
        <w:t>t</w:t>
      </w:r>
      <w:r w:rsidRPr="00E54C11">
        <w:t xml:space="preserve"> wa</w:t>
      </w:r>
      <w:r w:rsidRPr="00420171">
        <w:t>s r</w:t>
      </w:r>
      <w:r w:rsidRPr="00E54C11">
        <w:t>emoved</w:t>
      </w:r>
      <w:r w:rsidRPr="00420171">
        <w:t xml:space="preserve">.  </w:t>
      </w:r>
    </w:p>
    <w:p w14:paraId="68F26EC6" w14:textId="77777777" w:rsidR="008F7BB3" w:rsidRPr="00420171" w:rsidRDefault="008F7BB3" w:rsidP="008F7BB3">
      <w:pPr>
        <w:pStyle w:val="Heading4"/>
      </w:pPr>
      <w:r w:rsidRPr="00E54C11">
        <w:t>I</w:t>
      </w:r>
      <w:r w:rsidRPr="00420171">
        <w:t>t</w:t>
      </w:r>
      <w:r w:rsidRPr="00E54C11">
        <w:t xml:space="preserve"> i</w:t>
      </w:r>
      <w:r w:rsidRPr="00420171">
        <w:t>s</w:t>
      </w:r>
      <w:r w:rsidRPr="00E54C11">
        <w:t xml:space="preserve"> th</w:t>
      </w:r>
      <w:r w:rsidRPr="00420171">
        <w:t>e</w:t>
      </w:r>
      <w:r w:rsidRPr="00E54C11">
        <w:t xml:space="preserve"> </w:t>
      </w:r>
      <w:r w:rsidRPr="00420171">
        <w:t>r</w:t>
      </w:r>
      <w:r w:rsidRPr="00E54C11">
        <w:t>esponsibilit</w:t>
      </w:r>
      <w:r w:rsidRPr="00420171">
        <w:t>y</w:t>
      </w:r>
      <w:r w:rsidRPr="00E54C11">
        <w:t xml:space="preserve"> o</w:t>
      </w:r>
      <w:r w:rsidRPr="00420171">
        <w:t>f</w:t>
      </w:r>
      <w:r w:rsidRPr="00E54C11">
        <w:t xml:space="preserve"> th</w:t>
      </w:r>
      <w:r w:rsidRPr="00420171">
        <w:t>e</w:t>
      </w:r>
      <w:r w:rsidRPr="00E54C11">
        <w:t xml:space="preserve"> </w:t>
      </w:r>
      <w:r w:rsidRPr="00420171">
        <w:t>S</w:t>
      </w:r>
      <w:r w:rsidRPr="00E54C11">
        <w:t>A</w:t>
      </w:r>
      <w:r w:rsidRPr="00420171">
        <w:t>S</w:t>
      </w:r>
      <w:r w:rsidRPr="00E54C11">
        <w:t xml:space="preserve"> pane</w:t>
      </w:r>
      <w:r w:rsidRPr="00420171">
        <w:t>l</w:t>
      </w:r>
      <w:r w:rsidRPr="00E54C11">
        <w:t xml:space="preserve"> t</w:t>
      </w:r>
      <w:r w:rsidRPr="00420171">
        <w:t>o</w:t>
      </w:r>
      <w:r w:rsidRPr="00E54C11">
        <w:t xml:space="preserve"> </w:t>
      </w:r>
      <w:r w:rsidRPr="00420171">
        <w:t>r</w:t>
      </w:r>
      <w:r w:rsidRPr="00E54C11">
        <w:t>evie</w:t>
      </w:r>
      <w:r w:rsidRPr="00420171">
        <w:t>w</w:t>
      </w:r>
      <w:r w:rsidRPr="00E54C11">
        <w:t xml:space="preserve"> th</w:t>
      </w:r>
      <w:r w:rsidRPr="00420171">
        <w:t>e</w:t>
      </w:r>
      <w:r w:rsidRPr="00E54C11">
        <w:t xml:space="preserve"> evidenc</w:t>
      </w:r>
      <w:r w:rsidRPr="00420171">
        <w:t>e</w:t>
      </w:r>
      <w:r w:rsidRPr="00E54C11">
        <w:t xml:space="preserve"> p</w:t>
      </w:r>
      <w:r w:rsidRPr="00420171">
        <w:t>r</w:t>
      </w:r>
      <w:r w:rsidRPr="00E54C11">
        <w:t>ovide</w:t>
      </w:r>
      <w:r w:rsidRPr="00420171">
        <w:t xml:space="preserve">d </w:t>
      </w:r>
      <w:r w:rsidRPr="00E54C11">
        <w:t>b</w:t>
      </w:r>
      <w:r w:rsidRPr="00420171">
        <w:t>y</w:t>
      </w:r>
      <w:r w:rsidRPr="00E54C11">
        <w:t xml:space="preserve"> th</w:t>
      </w:r>
      <w:r w:rsidRPr="00420171">
        <w:t>e</w:t>
      </w:r>
      <w:r w:rsidRPr="00E54C11">
        <w:t xml:space="preserve"> patien</w:t>
      </w:r>
      <w:r w:rsidRPr="00420171">
        <w:t>t</w:t>
      </w:r>
      <w:r w:rsidRPr="00E54C11">
        <w:t xml:space="preserve"> i</w:t>
      </w:r>
      <w:r w:rsidRPr="00420171">
        <w:t>n</w:t>
      </w:r>
      <w:r w:rsidRPr="00E54C11">
        <w:t xml:space="preserve"> suppo</w:t>
      </w:r>
      <w:r w:rsidRPr="00420171">
        <w:t>rt</w:t>
      </w:r>
      <w:r w:rsidRPr="00E54C11">
        <w:t xml:space="preserve"> o</w:t>
      </w:r>
      <w:r w:rsidRPr="00420171">
        <w:t>f</w:t>
      </w:r>
      <w:r w:rsidRPr="00E54C11">
        <w:t xml:space="preserve"> thei</w:t>
      </w:r>
      <w:r w:rsidRPr="00420171">
        <w:t>r</w:t>
      </w:r>
      <w:r w:rsidRPr="00E54C11">
        <w:t xml:space="preserve"> appeal</w:t>
      </w:r>
      <w:r w:rsidRPr="00420171">
        <w:t>. </w:t>
      </w:r>
      <w:r w:rsidRPr="00E54C11">
        <w:t xml:space="preserve"> Th</w:t>
      </w:r>
      <w:r w:rsidRPr="00420171">
        <w:t>e</w:t>
      </w:r>
      <w:r w:rsidRPr="00E54C11">
        <w:t xml:space="preserve"> </w:t>
      </w:r>
      <w:r w:rsidRPr="00420171">
        <w:t>S</w:t>
      </w:r>
      <w:r w:rsidRPr="00E54C11">
        <w:t>A</w:t>
      </w:r>
      <w:r w:rsidRPr="00420171">
        <w:t>S</w:t>
      </w:r>
      <w:r w:rsidRPr="00E54C11">
        <w:t xml:space="preserve"> </w:t>
      </w:r>
      <w:r w:rsidRPr="00420171">
        <w:t>P</w:t>
      </w:r>
      <w:r w:rsidRPr="00E54C11">
        <w:t>ane</w:t>
      </w:r>
      <w:r w:rsidRPr="00420171">
        <w:t>l</w:t>
      </w:r>
      <w:r w:rsidRPr="00E54C11">
        <w:t xml:space="preserve"> wil</w:t>
      </w:r>
      <w:r w:rsidRPr="00420171">
        <w:t>l</w:t>
      </w:r>
      <w:r w:rsidRPr="00E54C11">
        <w:t xml:space="preserve"> uphol</w:t>
      </w:r>
      <w:r w:rsidRPr="00420171">
        <w:t>d</w:t>
      </w:r>
      <w:r w:rsidRPr="00E54C11">
        <w:t xml:space="preserve"> o</w:t>
      </w:r>
      <w:r w:rsidRPr="00420171">
        <w:t>r r</w:t>
      </w:r>
      <w:r w:rsidRPr="00E54C11">
        <w:t>ejec</w:t>
      </w:r>
      <w:r w:rsidRPr="00420171">
        <w:t>t</w:t>
      </w:r>
      <w:r w:rsidRPr="00E54C11">
        <w:t xml:space="preserve"> th</w:t>
      </w:r>
      <w:r w:rsidRPr="00420171">
        <w:t>e</w:t>
      </w:r>
      <w:r w:rsidRPr="00E54C11">
        <w:t xml:space="preserve"> appea</w:t>
      </w:r>
      <w:r w:rsidRPr="00420171">
        <w:t>l</w:t>
      </w:r>
      <w:r w:rsidRPr="00E54C11">
        <w:t xml:space="preserve"> </w:t>
      </w:r>
      <w:r w:rsidRPr="00420171">
        <w:t xml:space="preserve">  </w:t>
      </w:r>
      <w:r w:rsidRPr="00E54C11">
        <w:t>whe</w:t>
      </w:r>
      <w:r w:rsidRPr="00420171">
        <w:t>re</w:t>
      </w:r>
      <w:r w:rsidRPr="00E54C11">
        <w:t xml:space="preserve"> i</w:t>
      </w:r>
      <w:r w:rsidRPr="00420171">
        <w:t>t</w:t>
      </w:r>
      <w:r w:rsidRPr="00E54C11">
        <w:t xml:space="preserve"> ha</w:t>
      </w:r>
      <w:r w:rsidRPr="00420171">
        <w:t>s r</w:t>
      </w:r>
      <w:r w:rsidRPr="00E54C11">
        <w:t>easonabl</w:t>
      </w:r>
      <w:r w:rsidRPr="00420171">
        <w:t>y</w:t>
      </w:r>
      <w:r w:rsidRPr="00E54C11">
        <w:t xml:space="preserve"> conside</w:t>
      </w:r>
      <w:r w:rsidRPr="00420171">
        <w:t>r</w:t>
      </w:r>
      <w:r w:rsidRPr="00E54C11">
        <w:t>e</w:t>
      </w:r>
      <w:r w:rsidRPr="00420171">
        <w:t>d</w:t>
      </w:r>
      <w:r w:rsidRPr="00E54C11">
        <w:t xml:space="preserve"> i</w:t>
      </w:r>
      <w:r w:rsidRPr="00420171">
        <w:t>f</w:t>
      </w:r>
      <w:r w:rsidRPr="00E54C11">
        <w:t xml:space="preserve"> </w:t>
      </w:r>
      <w:r w:rsidRPr="00420171">
        <w:t>a</w:t>
      </w:r>
      <w:r w:rsidRPr="00E54C11">
        <w:t xml:space="preserve"> </w:t>
      </w:r>
      <w:r w:rsidRPr="00420171">
        <w:t>r</w:t>
      </w:r>
      <w:r w:rsidRPr="00E54C11">
        <w:t>emova</w:t>
      </w:r>
      <w:r w:rsidRPr="00420171">
        <w:t xml:space="preserve">l </w:t>
      </w:r>
      <w:r w:rsidRPr="00E54C11">
        <w:t>unde</w:t>
      </w:r>
      <w:r w:rsidRPr="00420171">
        <w:t>r</w:t>
      </w:r>
      <w:r w:rsidRPr="00E54C11">
        <w:t xml:space="preserve"> th</w:t>
      </w:r>
      <w:r w:rsidRPr="00420171">
        <w:t>e</w:t>
      </w:r>
      <w:r w:rsidRPr="00E54C11">
        <w:t xml:space="preserve"> </w:t>
      </w:r>
      <w:r>
        <w:t>regulations</w:t>
      </w:r>
      <w:r w:rsidRPr="00E54C11">
        <w:t xml:space="preserve"> wa</w:t>
      </w:r>
      <w:r w:rsidRPr="00420171">
        <w:t>s</w:t>
      </w:r>
      <w:r w:rsidRPr="00E54C11">
        <w:t xml:space="preserve"> mad</w:t>
      </w:r>
      <w:r w:rsidRPr="00420171">
        <w:t>e</w:t>
      </w:r>
      <w:r w:rsidRPr="00E54C11">
        <w:t xml:space="preserve"> i</w:t>
      </w:r>
      <w:r w:rsidRPr="00420171">
        <w:t>n</w:t>
      </w:r>
      <w:r w:rsidRPr="00E54C11">
        <w:t xml:space="preserve"> e</w:t>
      </w:r>
      <w:r w:rsidRPr="00420171">
        <w:t>rr</w:t>
      </w:r>
      <w:r w:rsidRPr="00E54C11">
        <w:t>o</w:t>
      </w:r>
      <w:r w:rsidRPr="00420171">
        <w:t>r,</w:t>
      </w:r>
      <w:r w:rsidRPr="00E54C11">
        <w:t xml:space="preserve"> o</w:t>
      </w:r>
      <w:r w:rsidRPr="00420171">
        <w:t>r</w:t>
      </w:r>
      <w:r w:rsidRPr="00E54C11">
        <w:t xml:space="preserve"> inapp</w:t>
      </w:r>
      <w:r w:rsidRPr="00420171">
        <w:t>r</w:t>
      </w:r>
      <w:r w:rsidRPr="00E54C11">
        <w:t>op</w:t>
      </w:r>
      <w:r w:rsidRPr="00420171">
        <w:t>r</w:t>
      </w:r>
      <w:r w:rsidRPr="00E54C11">
        <w:t>iately</w:t>
      </w:r>
      <w:r w:rsidRPr="00420171">
        <w:t>.</w:t>
      </w:r>
    </w:p>
    <w:p w14:paraId="379082E3" w14:textId="77777777" w:rsidR="008F7BB3" w:rsidRPr="00420171" w:rsidRDefault="008F7BB3" w:rsidP="008F7BB3">
      <w:pPr>
        <w:pStyle w:val="Heading4"/>
      </w:pPr>
      <w:r w:rsidRPr="00420171">
        <w:t>P</w:t>
      </w:r>
      <w:r w:rsidRPr="00E54C11">
        <w:t>endin</w:t>
      </w:r>
      <w:r w:rsidRPr="00420171">
        <w:t>g</w:t>
      </w:r>
      <w:r w:rsidRPr="00E54C11">
        <w:t xml:space="preserve"> th</w:t>
      </w:r>
      <w:r w:rsidRPr="00420171">
        <w:t>e</w:t>
      </w:r>
      <w:r w:rsidRPr="00E54C11">
        <w:t xml:space="preserve"> outcom</w:t>
      </w:r>
      <w:r w:rsidRPr="00420171">
        <w:t>e</w:t>
      </w:r>
      <w:r w:rsidRPr="00E54C11">
        <w:t xml:space="preserve"> o</w:t>
      </w:r>
      <w:r w:rsidRPr="00420171">
        <w:t>f</w:t>
      </w:r>
      <w:r w:rsidRPr="00E54C11">
        <w:t xml:space="preserve"> an</w:t>
      </w:r>
      <w:r w:rsidRPr="00420171">
        <w:t>y</w:t>
      </w:r>
      <w:r w:rsidRPr="00E54C11">
        <w:t xml:space="preserve"> appeal</w:t>
      </w:r>
      <w:r w:rsidRPr="00420171">
        <w:t>s</w:t>
      </w:r>
      <w:r w:rsidRPr="00E54C11">
        <w:t xml:space="preserve"> p</w:t>
      </w:r>
      <w:r w:rsidRPr="00420171">
        <w:t>r</w:t>
      </w:r>
      <w:r w:rsidRPr="00E54C11">
        <w:t>ocess</w:t>
      </w:r>
      <w:r w:rsidRPr="00420171">
        <w:t>,</w:t>
      </w:r>
      <w:r w:rsidRPr="00E54C11">
        <w:t xml:space="preserve"> shoul</w:t>
      </w:r>
      <w:r w:rsidRPr="00420171">
        <w:t>d</w:t>
      </w:r>
      <w:r w:rsidRPr="00E54C11">
        <w:t xml:space="preserve"> th</w:t>
      </w:r>
      <w:r w:rsidRPr="00420171">
        <w:t>e</w:t>
      </w:r>
      <w:r w:rsidRPr="00E54C11">
        <w:t xml:space="preserve"> patien</w:t>
      </w:r>
      <w:r w:rsidRPr="00420171">
        <w:t>t</w:t>
      </w:r>
      <w:r w:rsidRPr="00E54C11">
        <w:t xml:space="preserve"> nee</w:t>
      </w:r>
      <w:r w:rsidRPr="00420171">
        <w:t xml:space="preserve">d </w:t>
      </w:r>
      <w:r w:rsidRPr="00E54C11">
        <w:t>t</w:t>
      </w:r>
      <w:r w:rsidRPr="00420171">
        <w:t>o</w:t>
      </w:r>
      <w:r w:rsidRPr="00E54C11">
        <w:t xml:space="preserve"> acces</w:t>
      </w:r>
      <w:r w:rsidRPr="00420171">
        <w:t>s</w:t>
      </w:r>
      <w:r w:rsidRPr="00E54C11">
        <w:t xml:space="preserve"> </w:t>
      </w:r>
      <w:r w:rsidRPr="00420171">
        <w:t>Pr</w:t>
      </w:r>
      <w:r w:rsidRPr="00E54C11">
        <w:t>ima</w:t>
      </w:r>
      <w:r w:rsidRPr="00420171">
        <w:t>ry</w:t>
      </w:r>
      <w:r w:rsidRPr="00E54C11">
        <w:t xml:space="preserve"> Medica</w:t>
      </w:r>
      <w:r w:rsidRPr="00420171">
        <w:t>l</w:t>
      </w:r>
      <w:r w:rsidRPr="00E54C11">
        <w:t xml:space="preserve"> Ca</w:t>
      </w:r>
      <w:r w:rsidRPr="00420171">
        <w:t>r</w:t>
      </w:r>
      <w:r w:rsidRPr="00E54C11">
        <w:t>e</w:t>
      </w:r>
      <w:r w:rsidRPr="00420171">
        <w:t>,</w:t>
      </w:r>
      <w:r w:rsidRPr="00E54C11">
        <w:t xml:space="preserve"> thi</w:t>
      </w:r>
      <w:r w:rsidRPr="00420171">
        <w:t>s</w:t>
      </w:r>
      <w:r w:rsidRPr="00E54C11">
        <w:t xml:space="preserve"> woul</w:t>
      </w:r>
      <w:r w:rsidRPr="00420171">
        <w:t>d</w:t>
      </w:r>
      <w:r w:rsidRPr="00E54C11">
        <w:t xml:space="preserve"> hav</w:t>
      </w:r>
      <w:r w:rsidRPr="00420171">
        <w:t>e</w:t>
      </w:r>
      <w:r w:rsidRPr="00E54C11">
        <w:t xml:space="preserve"> t</w:t>
      </w:r>
      <w:r w:rsidRPr="00420171">
        <w:t>o</w:t>
      </w:r>
      <w:r w:rsidRPr="00E54C11">
        <w:t xml:space="preserve"> b</w:t>
      </w:r>
      <w:r w:rsidRPr="00420171">
        <w:t>e</w:t>
      </w:r>
      <w:r w:rsidRPr="00E54C11">
        <w:t xml:space="preserve"> p</w:t>
      </w:r>
      <w:r w:rsidRPr="00420171">
        <w:t>r</w:t>
      </w:r>
      <w:r w:rsidRPr="00E54C11">
        <w:t>ovide</w:t>
      </w:r>
      <w:r w:rsidRPr="00420171">
        <w:t>d</w:t>
      </w:r>
      <w:r w:rsidRPr="00E54C11">
        <w:t xml:space="preserve"> b</w:t>
      </w:r>
      <w:r w:rsidRPr="00420171">
        <w:t>y</w:t>
      </w:r>
      <w:r w:rsidRPr="00E54C11">
        <w:t xml:space="preserve"> th</w:t>
      </w:r>
      <w:r w:rsidRPr="00420171">
        <w:t>e S</w:t>
      </w:r>
      <w:r w:rsidRPr="00E54C11">
        <w:t>A</w:t>
      </w:r>
      <w:r w:rsidRPr="00420171">
        <w:t>S</w:t>
      </w:r>
      <w:r w:rsidRPr="00E54C11">
        <w:t xml:space="preserve"> t</w:t>
      </w:r>
      <w:r w:rsidRPr="00420171">
        <w:t>o</w:t>
      </w:r>
      <w:r w:rsidRPr="00E54C11">
        <w:t xml:space="preserve"> whic</w:t>
      </w:r>
      <w:r w:rsidRPr="00420171">
        <w:t>h</w:t>
      </w:r>
      <w:r w:rsidRPr="00E54C11">
        <w:t xml:space="preserve"> th</w:t>
      </w:r>
      <w:r w:rsidRPr="00420171">
        <w:t>e</w:t>
      </w:r>
      <w:r w:rsidRPr="00E54C11">
        <w:t xml:space="preserve"> patien</w:t>
      </w:r>
      <w:r w:rsidRPr="00420171">
        <w:t>t</w:t>
      </w:r>
      <w:r w:rsidRPr="00E54C11">
        <w:t xml:space="preserve"> ha</w:t>
      </w:r>
      <w:r w:rsidRPr="00420171">
        <w:t>d</w:t>
      </w:r>
      <w:r w:rsidRPr="00E54C11">
        <w:t xml:space="preserve"> bee</w:t>
      </w:r>
      <w:r w:rsidRPr="00420171">
        <w:t>n</w:t>
      </w:r>
      <w:r w:rsidRPr="00E54C11">
        <w:t xml:space="preserve"> allocate</w:t>
      </w:r>
      <w:r w:rsidRPr="00420171">
        <w:t>d</w:t>
      </w:r>
    </w:p>
    <w:p w14:paraId="3DFA19F4" w14:textId="77777777" w:rsidR="008F7BB3" w:rsidRDefault="008F7BB3" w:rsidP="008F7BB3">
      <w:pPr>
        <w:rPr>
          <w:b/>
          <w:caps/>
        </w:rPr>
      </w:pPr>
      <w:r>
        <w:br w:type="page"/>
      </w:r>
    </w:p>
    <w:p w14:paraId="3EC2772A" w14:textId="77777777" w:rsidR="008F7BB3" w:rsidRPr="00E54C11" w:rsidRDefault="008F7BB3" w:rsidP="008F7BB3">
      <w:pPr>
        <w:pStyle w:val="Heading2"/>
      </w:pPr>
      <w:bookmarkStart w:id="522" w:name="_Toc493831281"/>
      <w:bookmarkStart w:id="523" w:name="_Toc498495383"/>
      <w:r w:rsidRPr="00E54C11">
        <w:t>Working with Primary Care Support England (PCSE) (delivered on behalf of NHS England by Capita)</w:t>
      </w:r>
      <w:bookmarkEnd w:id="522"/>
      <w:bookmarkEnd w:id="523"/>
    </w:p>
    <w:p w14:paraId="456251B6" w14:textId="77777777" w:rsidR="008F7BB3" w:rsidRPr="00E54C11" w:rsidRDefault="008F7BB3" w:rsidP="008F7BB3">
      <w:pPr>
        <w:pStyle w:val="Heading3"/>
        <w:rPr>
          <w:b/>
        </w:rPr>
      </w:pPr>
      <w:r w:rsidRPr="00E54C11">
        <w:rPr>
          <w:b/>
        </w:rPr>
        <w:t>Brief Introduction to PCSE</w:t>
      </w:r>
    </w:p>
    <w:p w14:paraId="67E58995" w14:textId="77777777" w:rsidR="008F7BB3" w:rsidRPr="00E77F77" w:rsidRDefault="008F7BB3" w:rsidP="008F7BB3">
      <w:pPr>
        <w:pStyle w:val="Heading4"/>
      </w:pPr>
      <w:r w:rsidRPr="00E54C11">
        <w:t>I</w:t>
      </w:r>
      <w:r w:rsidRPr="00E77F77">
        <w:t>n</w:t>
      </w:r>
      <w:r w:rsidRPr="00E54C11">
        <w:t xml:space="preserve"> </w:t>
      </w:r>
      <w:r w:rsidRPr="00E77F77">
        <w:t>S</w:t>
      </w:r>
      <w:r w:rsidRPr="00E54C11">
        <w:t>eptembe</w:t>
      </w:r>
      <w:r w:rsidRPr="00E77F77">
        <w:t>r</w:t>
      </w:r>
      <w:r w:rsidRPr="00E54C11">
        <w:t xml:space="preserve"> 2015</w:t>
      </w:r>
      <w:r w:rsidRPr="00E77F77">
        <w:t>,</w:t>
      </w:r>
      <w:r w:rsidRPr="00E54C11">
        <w:t xml:space="preserve"> </w:t>
      </w:r>
      <w:r w:rsidRPr="00E77F77">
        <w:t>P</w:t>
      </w:r>
      <w:r w:rsidRPr="00E54C11">
        <w:t>C</w:t>
      </w:r>
      <w:r w:rsidRPr="00E77F77">
        <w:t>SE</w:t>
      </w:r>
      <w:r w:rsidRPr="00E54C11">
        <w:t xml:space="preserve"> too</w:t>
      </w:r>
      <w:r w:rsidRPr="00E77F77">
        <w:t>k</w:t>
      </w:r>
      <w:r w:rsidRPr="00E54C11">
        <w:t xml:space="preserve"> o</w:t>
      </w:r>
      <w:r w:rsidRPr="00E77F77">
        <w:t>n</w:t>
      </w:r>
      <w:r w:rsidRPr="00E54C11">
        <w:t xml:space="preserve"> </w:t>
      </w:r>
      <w:r w:rsidRPr="00E77F77">
        <w:t>r</w:t>
      </w:r>
      <w:r w:rsidRPr="00E54C11">
        <w:t>esponsibilit</w:t>
      </w:r>
      <w:r w:rsidRPr="00E77F77">
        <w:t>y</w:t>
      </w:r>
      <w:r w:rsidRPr="00E54C11">
        <w:t xml:space="preserve"> fo</w:t>
      </w:r>
      <w:r w:rsidRPr="00E77F77">
        <w:t>r</w:t>
      </w:r>
      <w:r w:rsidRPr="00E54C11">
        <w:t xml:space="preserve"> th</w:t>
      </w:r>
      <w:r w:rsidRPr="00E77F77">
        <w:t>e</w:t>
      </w:r>
      <w:r w:rsidRPr="00E54C11">
        <w:t xml:space="preserve"> delive</w:t>
      </w:r>
      <w:r w:rsidRPr="00E77F77">
        <w:t>ry</w:t>
      </w:r>
      <w:r w:rsidRPr="00E54C11">
        <w:t xml:space="preserve"> o</w:t>
      </w:r>
      <w:r w:rsidRPr="00E77F77">
        <w:t>f</w:t>
      </w:r>
      <w:r w:rsidRPr="00E54C11">
        <w:t xml:space="preserve"> NH</w:t>
      </w:r>
      <w:r w:rsidRPr="00E77F77">
        <w:t>S E</w:t>
      </w:r>
      <w:r w:rsidRPr="00E54C11">
        <w:t>ngland’</w:t>
      </w:r>
      <w:r w:rsidRPr="00E77F77">
        <w:t>s</w:t>
      </w:r>
      <w:r w:rsidRPr="00E54C11">
        <w:t xml:space="preserve"> p</w:t>
      </w:r>
      <w:r w:rsidRPr="00E77F77">
        <w:t>r</w:t>
      </w:r>
      <w:r w:rsidRPr="00E54C11">
        <w:t>ima</w:t>
      </w:r>
      <w:r w:rsidRPr="00E77F77">
        <w:t>ry</w:t>
      </w:r>
      <w:r w:rsidRPr="00E54C11">
        <w:t xml:space="preserve"> ca</w:t>
      </w:r>
      <w:r w:rsidRPr="00E77F77">
        <w:t>re</w:t>
      </w:r>
      <w:r w:rsidRPr="00E54C11">
        <w:t xml:space="preserve"> suppo</w:t>
      </w:r>
      <w:r w:rsidRPr="00E77F77">
        <w:t>rt</w:t>
      </w:r>
      <w:r w:rsidRPr="00E54C11">
        <w:t xml:space="preserve"> se</w:t>
      </w:r>
      <w:r w:rsidRPr="00E77F77">
        <w:t>r</w:t>
      </w:r>
      <w:r w:rsidRPr="00E54C11">
        <w:t>vices</w:t>
      </w:r>
      <w:r w:rsidRPr="00E77F77">
        <w:t>.</w:t>
      </w:r>
      <w:r w:rsidRPr="00E54C11">
        <w:t xml:space="preserve"> </w:t>
      </w:r>
      <w:r w:rsidRPr="00E77F77">
        <w:t>P</w:t>
      </w:r>
      <w:r w:rsidRPr="00E54C11">
        <w:t>C</w:t>
      </w:r>
      <w:r w:rsidRPr="00E77F77">
        <w:t>SE</w:t>
      </w:r>
      <w:r w:rsidRPr="00E54C11">
        <w:t xml:space="preserve"> p</w:t>
      </w:r>
      <w:r w:rsidRPr="00E77F77">
        <w:t>r</w:t>
      </w:r>
      <w:r w:rsidRPr="00E54C11">
        <w:t>ovide</w:t>
      </w:r>
      <w:r w:rsidRPr="00E77F77">
        <w:t>s</w:t>
      </w:r>
      <w:r w:rsidRPr="00E54C11">
        <w:t xml:space="preserve"> suppo</w:t>
      </w:r>
      <w:r w:rsidRPr="00E77F77">
        <w:t xml:space="preserve">rt </w:t>
      </w:r>
      <w:r w:rsidRPr="00E54C11">
        <w:t>se</w:t>
      </w:r>
      <w:r w:rsidRPr="00E77F77">
        <w:t>r</w:t>
      </w:r>
      <w:r w:rsidRPr="00E54C11">
        <w:t>vice</w:t>
      </w:r>
      <w:r w:rsidRPr="00E77F77">
        <w:t>s</w:t>
      </w:r>
      <w:r w:rsidRPr="00E54C11">
        <w:t xml:space="preserve"> t</w:t>
      </w:r>
      <w:r w:rsidRPr="00E77F77">
        <w:t>o</w:t>
      </w:r>
      <w:r w:rsidRPr="00E54C11">
        <w:t xml:space="preserve"> G</w:t>
      </w:r>
      <w:r w:rsidRPr="00E77F77">
        <w:t>P</w:t>
      </w:r>
      <w:r w:rsidRPr="00E54C11">
        <w:t xml:space="preserve"> P</w:t>
      </w:r>
      <w:r w:rsidRPr="00E77F77">
        <w:t>r</w:t>
      </w:r>
      <w:r w:rsidRPr="00E54C11">
        <w:t>actices</w:t>
      </w:r>
      <w:r w:rsidRPr="00E77F77">
        <w:t>,</w:t>
      </w:r>
      <w:r w:rsidRPr="00E54C11">
        <w:t xml:space="preserve"> </w:t>
      </w:r>
      <w:r w:rsidRPr="00E77F77">
        <w:t>P</w:t>
      </w:r>
      <w:r w:rsidRPr="00E54C11">
        <w:t>ha</w:t>
      </w:r>
      <w:r w:rsidRPr="00E77F77">
        <w:t>r</w:t>
      </w:r>
      <w:r w:rsidRPr="00E54C11">
        <w:t>macies</w:t>
      </w:r>
      <w:r w:rsidRPr="00E77F77">
        <w:t>,</w:t>
      </w:r>
      <w:r w:rsidRPr="00E54C11">
        <w:t xml:space="preserve"> Dentist</w:t>
      </w:r>
      <w:r w:rsidRPr="00E77F77">
        <w:t>s</w:t>
      </w:r>
      <w:r w:rsidRPr="00E54C11">
        <w:t xml:space="preserve"> an</w:t>
      </w:r>
      <w:r w:rsidRPr="00E77F77">
        <w:t>d</w:t>
      </w:r>
      <w:r w:rsidRPr="00E54C11">
        <w:t xml:space="preserve"> Opticians</w:t>
      </w:r>
      <w:r w:rsidRPr="00E77F77">
        <w:t>.</w:t>
      </w:r>
      <w:r w:rsidRPr="00E54C11">
        <w:t xml:space="preserve"> </w:t>
      </w:r>
      <w:r w:rsidRPr="00E77F77">
        <w:t xml:space="preserve"> </w:t>
      </w:r>
      <w:r w:rsidRPr="00E54C11">
        <w:t>Fo</w:t>
      </w:r>
      <w:r w:rsidRPr="00E77F77">
        <w:t xml:space="preserve">r </w:t>
      </w:r>
      <w:r w:rsidRPr="00E54C11">
        <w:t>Gene</w:t>
      </w:r>
      <w:r w:rsidRPr="00E77F77">
        <w:t>r</w:t>
      </w:r>
      <w:r w:rsidRPr="00E54C11">
        <w:t>a</w:t>
      </w:r>
      <w:r w:rsidRPr="00E77F77">
        <w:t>l</w:t>
      </w:r>
      <w:r w:rsidRPr="00E54C11">
        <w:t xml:space="preserve"> p</w:t>
      </w:r>
      <w:r w:rsidRPr="00E77F77">
        <w:t>r</w:t>
      </w:r>
      <w:r w:rsidRPr="00E54C11">
        <w:t>actice</w:t>
      </w:r>
      <w:r w:rsidRPr="00E77F77">
        <w:t>s</w:t>
      </w:r>
      <w:r w:rsidRPr="00E54C11">
        <w:t xml:space="preserve"> the</w:t>
      </w:r>
      <w:r w:rsidRPr="00E77F77">
        <w:t>y</w:t>
      </w:r>
      <w:r w:rsidRPr="00E54C11">
        <w:t xml:space="preserve"> p</w:t>
      </w:r>
      <w:r w:rsidRPr="00E77F77">
        <w:t>r</w:t>
      </w:r>
      <w:r w:rsidRPr="00E54C11">
        <w:t>ovid</w:t>
      </w:r>
      <w:r w:rsidRPr="00E77F77">
        <w:t>e</w:t>
      </w:r>
      <w:r w:rsidRPr="00E54C11">
        <w:t xml:space="preserve"> se</w:t>
      </w:r>
      <w:r w:rsidRPr="00E77F77">
        <w:t>r</w:t>
      </w:r>
      <w:r w:rsidRPr="00E54C11">
        <w:t>vice</w:t>
      </w:r>
      <w:r w:rsidRPr="00E77F77">
        <w:t>s</w:t>
      </w:r>
      <w:r w:rsidRPr="00E54C11">
        <w:t xml:space="preserve"> cove</w:t>
      </w:r>
      <w:r w:rsidRPr="00E77F77">
        <w:t>r</w:t>
      </w:r>
      <w:r w:rsidRPr="00E54C11">
        <w:t>ing</w:t>
      </w:r>
      <w:r w:rsidRPr="00E77F77">
        <w:t>:</w:t>
      </w:r>
    </w:p>
    <w:p w14:paraId="6BDC0A7E" w14:textId="77777777" w:rsidR="008F7BB3" w:rsidRPr="00E54C11" w:rsidRDefault="008F7BB3" w:rsidP="005A7DDA">
      <w:pPr>
        <w:pStyle w:val="SchedClauses"/>
        <w:widowControl/>
        <w:numPr>
          <w:ilvl w:val="0"/>
          <w:numId w:val="123"/>
        </w:numPr>
        <w:spacing w:line="276" w:lineRule="auto"/>
        <w:rPr>
          <w:sz w:val="24"/>
        </w:rPr>
      </w:pPr>
      <w:r w:rsidRPr="00E54C11">
        <w:rPr>
          <w:sz w:val="24"/>
        </w:rPr>
        <w:t>Registrations and List Maintenance (Exeter and PDS);</w:t>
      </w:r>
    </w:p>
    <w:p w14:paraId="738B7D28" w14:textId="77777777" w:rsidR="008F7BB3" w:rsidRPr="00E54C11" w:rsidRDefault="008F7BB3" w:rsidP="005A7DDA">
      <w:pPr>
        <w:pStyle w:val="SchedClauses"/>
        <w:widowControl/>
        <w:numPr>
          <w:ilvl w:val="0"/>
          <w:numId w:val="123"/>
        </w:numPr>
        <w:spacing w:line="276" w:lineRule="auto"/>
        <w:rPr>
          <w:sz w:val="24"/>
        </w:rPr>
      </w:pPr>
      <w:r w:rsidRPr="00E54C11">
        <w:rPr>
          <w:sz w:val="24"/>
        </w:rPr>
        <w:t>Medical Records – Responsible for moving hard copy patient medical records between practices and into storage;</w:t>
      </w:r>
    </w:p>
    <w:p w14:paraId="494D4B43" w14:textId="77777777" w:rsidR="008F7BB3" w:rsidRPr="00E54C11" w:rsidRDefault="008F7BB3" w:rsidP="005A7DDA">
      <w:pPr>
        <w:pStyle w:val="SchedClauses"/>
        <w:widowControl/>
        <w:numPr>
          <w:ilvl w:val="0"/>
          <w:numId w:val="123"/>
        </w:numPr>
        <w:spacing w:line="276" w:lineRule="auto"/>
        <w:rPr>
          <w:sz w:val="24"/>
        </w:rPr>
      </w:pPr>
      <w:r w:rsidRPr="00E54C11">
        <w:rPr>
          <w:sz w:val="24"/>
        </w:rPr>
        <w:t>Supplies</w:t>
      </w:r>
      <w:r w:rsidRPr="00E77F77">
        <w:rPr>
          <w:sz w:val="24"/>
        </w:rPr>
        <w:t xml:space="preserve"> – </w:t>
      </w:r>
      <w:r w:rsidRPr="00E54C11">
        <w:rPr>
          <w:sz w:val="24"/>
        </w:rPr>
        <w:t>Providing</w:t>
      </w:r>
      <w:r w:rsidRPr="00E77F77">
        <w:rPr>
          <w:sz w:val="24"/>
        </w:rPr>
        <w:t xml:space="preserve"> </w:t>
      </w:r>
      <w:r w:rsidRPr="00E54C11">
        <w:rPr>
          <w:sz w:val="24"/>
        </w:rPr>
        <w:t>NHS</w:t>
      </w:r>
      <w:r w:rsidRPr="00E77F77">
        <w:rPr>
          <w:sz w:val="24"/>
        </w:rPr>
        <w:t xml:space="preserve"> </w:t>
      </w:r>
      <w:r w:rsidRPr="00E54C11">
        <w:rPr>
          <w:sz w:val="24"/>
        </w:rPr>
        <w:t>stationery,</w:t>
      </w:r>
      <w:r w:rsidRPr="00E77F77">
        <w:rPr>
          <w:sz w:val="24"/>
        </w:rPr>
        <w:t xml:space="preserve"> </w:t>
      </w:r>
      <w:r w:rsidRPr="00E54C11">
        <w:rPr>
          <w:sz w:val="24"/>
        </w:rPr>
        <w:t>pre-printed</w:t>
      </w:r>
      <w:r w:rsidRPr="00E77F77">
        <w:rPr>
          <w:sz w:val="24"/>
        </w:rPr>
        <w:t xml:space="preserve"> </w:t>
      </w:r>
      <w:r w:rsidRPr="00E54C11">
        <w:rPr>
          <w:sz w:val="24"/>
        </w:rPr>
        <w:t>forms, needles and syringes via an online portal;</w:t>
      </w:r>
    </w:p>
    <w:p w14:paraId="354D1A30" w14:textId="77777777" w:rsidR="008F7BB3" w:rsidRPr="00E54C11" w:rsidRDefault="008F7BB3" w:rsidP="005A7DDA">
      <w:pPr>
        <w:pStyle w:val="SchedClauses"/>
        <w:widowControl/>
        <w:numPr>
          <w:ilvl w:val="0"/>
          <w:numId w:val="123"/>
        </w:numPr>
        <w:spacing w:line="276" w:lineRule="auto"/>
        <w:rPr>
          <w:sz w:val="24"/>
        </w:rPr>
      </w:pPr>
      <w:r w:rsidRPr="00E54C11">
        <w:rPr>
          <w:sz w:val="24"/>
        </w:rPr>
        <w:t>GP</w:t>
      </w:r>
      <w:r w:rsidRPr="00E77F77">
        <w:rPr>
          <w:sz w:val="24"/>
        </w:rPr>
        <w:t xml:space="preserve"> </w:t>
      </w:r>
      <w:r w:rsidRPr="00E54C11">
        <w:rPr>
          <w:sz w:val="24"/>
        </w:rPr>
        <w:t>Payments</w:t>
      </w:r>
      <w:r w:rsidRPr="00E77F77">
        <w:rPr>
          <w:sz w:val="24"/>
        </w:rPr>
        <w:t xml:space="preserve"> – </w:t>
      </w:r>
      <w:r w:rsidRPr="00E54C11">
        <w:rPr>
          <w:sz w:val="24"/>
        </w:rPr>
        <w:t>Administrating</w:t>
      </w:r>
      <w:r w:rsidRPr="00E77F77">
        <w:rPr>
          <w:sz w:val="24"/>
        </w:rPr>
        <w:t xml:space="preserve"> </w:t>
      </w:r>
      <w:r w:rsidRPr="00E54C11">
        <w:rPr>
          <w:sz w:val="24"/>
        </w:rPr>
        <w:t>monthly</w:t>
      </w:r>
      <w:r w:rsidRPr="00E77F77">
        <w:rPr>
          <w:sz w:val="24"/>
        </w:rPr>
        <w:t xml:space="preserve"> </w:t>
      </w:r>
      <w:r w:rsidRPr="00E54C11">
        <w:rPr>
          <w:sz w:val="24"/>
        </w:rPr>
        <w:t>contracts</w:t>
      </w:r>
      <w:r w:rsidRPr="00E77F77">
        <w:rPr>
          <w:sz w:val="24"/>
        </w:rPr>
        <w:t xml:space="preserve"> </w:t>
      </w:r>
      <w:r w:rsidRPr="00E54C11">
        <w:rPr>
          <w:sz w:val="24"/>
        </w:rPr>
        <w:t>and reimbursements to GP practices;</w:t>
      </w:r>
    </w:p>
    <w:p w14:paraId="69F27CE6" w14:textId="77777777" w:rsidR="008F7BB3" w:rsidRPr="00E54C11" w:rsidRDefault="008F7BB3" w:rsidP="005A7DDA">
      <w:pPr>
        <w:pStyle w:val="SchedClauses"/>
        <w:widowControl/>
        <w:numPr>
          <w:ilvl w:val="0"/>
          <w:numId w:val="123"/>
        </w:numPr>
        <w:spacing w:line="276" w:lineRule="auto"/>
        <w:rPr>
          <w:sz w:val="24"/>
        </w:rPr>
      </w:pPr>
      <w:r w:rsidRPr="00E54C11">
        <w:rPr>
          <w:sz w:val="24"/>
        </w:rPr>
        <w:t>The National Performers List (NPL) – Administering entry and changes to Performers Lists on behalf of NHS England;</w:t>
      </w:r>
    </w:p>
    <w:p w14:paraId="16AE7F1D" w14:textId="77777777" w:rsidR="008F7BB3" w:rsidRPr="00E54C11" w:rsidRDefault="008F7BB3" w:rsidP="005A7DDA">
      <w:pPr>
        <w:pStyle w:val="SchedClauses"/>
        <w:widowControl/>
        <w:numPr>
          <w:ilvl w:val="0"/>
          <w:numId w:val="123"/>
        </w:numPr>
        <w:spacing w:line="276" w:lineRule="auto"/>
        <w:rPr>
          <w:sz w:val="24"/>
        </w:rPr>
      </w:pPr>
      <w:r w:rsidRPr="00E54C11">
        <w:rPr>
          <w:sz w:val="24"/>
        </w:rPr>
        <w:t>Cervical</w:t>
      </w:r>
      <w:r w:rsidRPr="00E77F77">
        <w:rPr>
          <w:sz w:val="24"/>
        </w:rPr>
        <w:t xml:space="preserve"> </w:t>
      </w:r>
      <w:r w:rsidRPr="00E54C11">
        <w:rPr>
          <w:sz w:val="24"/>
        </w:rPr>
        <w:t>Screening</w:t>
      </w:r>
      <w:r w:rsidRPr="00E77F77">
        <w:rPr>
          <w:sz w:val="24"/>
        </w:rPr>
        <w:t xml:space="preserve"> – </w:t>
      </w:r>
      <w:r w:rsidRPr="00E54C11">
        <w:rPr>
          <w:sz w:val="24"/>
        </w:rPr>
        <w:t>Delivering</w:t>
      </w:r>
      <w:r w:rsidRPr="00E77F77">
        <w:rPr>
          <w:sz w:val="24"/>
        </w:rPr>
        <w:t xml:space="preserve"> </w:t>
      </w:r>
      <w:r w:rsidRPr="00E54C11">
        <w:rPr>
          <w:sz w:val="24"/>
        </w:rPr>
        <w:t>prior</w:t>
      </w:r>
      <w:r w:rsidRPr="00E77F77">
        <w:rPr>
          <w:sz w:val="24"/>
        </w:rPr>
        <w:t xml:space="preserve"> </w:t>
      </w:r>
      <w:r w:rsidRPr="00E54C11">
        <w:rPr>
          <w:sz w:val="24"/>
        </w:rPr>
        <w:t>notification lists of patients eligible for screening to GPs, sending out call;</w:t>
      </w:r>
    </w:p>
    <w:p w14:paraId="3F4F432B" w14:textId="77777777" w:rsidR="008F7BB3" w:rsidRPr="00E54C11" w:rsidRDefault="008F7BB3" w:rsidP="005A7DDA">
      <w:pPr>
        <w:pStyle w:val="SchedClauses"/>
        <w:widowControl/>
        <w:numPr>
          <w:ilvl w:val="0"/>
          <w:numId w:val="123"/>
        </w:numPr>
        <w:spacing w:line="276" w:lineRule="auto"/>
        <w:rPr>
          <w:sz w:val="24"/>
        </w:rPr>
      </w:pPr>
      <w:r w:rsidRPr="00E54C11">
        <w:rPr>
          <w:sz w:val="24"/>
        </w:rPr>
        <w:t xml:space="preserve">Open Exeter </w:t>
      </w:r>
      <w:r w:rsidRPr="00E77F77">
        <w:rPr>
          <w:sz w:val="24"/>
        </w:rPr>
        <w:t>–</w:t>
      </w:r>
      <w:r w:rsidRPr="00E54C11">
        <w:rPr>
          <w:sz w:val="24"/>
        </w:rPr>
        <w:t xml:space="preserve"> Providing access control support for Open Exeter.</w:t>
      </w:r>
    </w:p>
    <w:p w14:paraId="5ED094F9" w14:textId="77777777" w:rsidR="008F7BB3" w:rsidRPr="006146DE" w:rsidRDefault="008F7BB3" w:rsidP="008F7BB3">
      <w:pPr>
        <w:spacing w:before="200" w:after="60" w:line="276" w:lineRule="auto"/>
        <w:rPr>
          <w:rFonts w:cs="Arial"/>
          <w:color w:val="002060"/>
          <w:szCs w:val="24"/>
        </w:rPr>
      </w:pPr>
      <w:r w:rsidRPr="006146DE">
        <w:rPr>
          <w:rFonts w:cs="Arial"/>
          <w:color w:val="002060"/>
          <w:szCs w:val="24"/>
        </w:rPr>
        <w:br w:type="page"/>
      </w:r>
    </w:p>
    <w:p w14:paraId="02EFF1D2" w14:textId="77777777" w:rsidR="008F7BB3" w:rsidRPr="00E54C11" w:rsidRDefault="008F7BB3" w:rsidP="008F7BB3">
      <w:pPr>
        <w:pStyle w:val="Heading2"/>
      </w:pPr>
      <w:r w:rsidRPr="0015283D">
        <w:t xml:space="preserve"> </w:t>
      </w:r>
      <w:bookmarkStart w:id="524" w:name="_Toc483740431"/>
      <w:bookmarkStart w:id="525" w:name="_Toc493831282"/>
      <w:bookmarkStart w:id="526" w:name="_Toc498495384"/>
      <w:r w:rsidRPr="00E54C11">
        <w:t>Appendices</w:t>
      </w:r>
      <w:bookmarkEnd w:id="524"/>
      <w:bookmarkEnd w:id="525"/>
      <w:bookmarkEnd w:id="526"/>
    </w:p>
    <w:p w14:paraId="4A1CC534" w14:textId="77777777" w:rsidR="008F7BB3" w:rsidRPr="00E54C11" w:rsidRDefault="008F7BB3" w:rsidP="008F7BB3">
      <w:pPr>
        <w:pStyle w:val="Heading3"/>
        <w:rPr>
          <w:b/>
        </w:rPr>
      </w:pPr>
      <w:bookmarkStart w:id="527" w:name="_Appendix_One_–"/>
      <w:bookmarkStart w:id="528" w:name="_bookmark4"/>
      <w:bookmarkStart w:id="529" w:name="_Toc483740432"/>
      <w:bookmarkEnd w:id="527"/>
      <w:bookmarkEnd w:id="528"/>
      <w:r w:rsidRPr="00E54C11">
        <w:rPr>
          <w:b/>
        </w:rPr>
        <w:t>Appendix One – Sample Violence Reporting Form</w:t>
      </w:r>
      <w:bookmarkEnd w:id="529"/>
    </w:p>
    <w:bookmarkStart w:id="530" w:name="_1552446984"/>
    <w:bookmarkEnd w:id="530"/>
    <w:p w14:paraId="4CC63369" w14:textId="4F3078D7" w:rsidR="008F7BB3" w:rsidRPr="004B57CD" w:rsidRDefault="002306F3" w:rsidP="005A7DDA">
      <w:pPr>
        <w:pStyle w:val="ListParagraph"/>
        <w:numPr>
          <w:ilvl w:val="0"/>
          <w:numId w:val="152"/>
        </w:numPr>
      </w:pPr>
      <w:r>
        <w:fldChar w:fldCharType="begin"/>
      </w:r>
      <w:r>
        <w:instrText xml:space="preserve"> HYPERLINK "https://www.england.nhs.uk/publication/primary-medical-care-policy-and-guidance-manual-working-with-primary-care-support-england-pcse-annexes/" </w:instrText>
      </w:r>
      <w:r>
        <w:fldChar w:fldCharType="separate"/>
      </w:r>
      <w:r w:rsidR="004B57CD" w:rsidRPr="00877180">
        <w:rPr>
          <w:rStyle w:val="Hyperlink"/>
        </w:rPr>
        <w:t>Sample Violence Reporting Form</w:t>
      </w:r>
      <w:r>
        <w:rPr>
          <w:rStyle w:val="Hyperlink"/>
        </w:rPr>
        <w:fldChar w:fldCharType="end"/>
      </w:r>
      <w:r w:rsidR="004B57CD">
        <w:br/>
      </w:r>
    </w:p>
    <w:p w14:paraId="6AAF139E" w14:textId="77777777" w:rsidR="008F7BB3" w:rsidRPr="00E54C11" w:rsidRDefault="008F7BB3" w:rsidP="008F7BB3">
      <w:pPr>
        <w:pStyle w:val="Heading3"/>
        <w:rPr>
          <w:b/>
        </w:rPr>
      </w:pPr>
      <w:bookmarkStart w:id="531" w:name="_Toc483740433"/>
      <w:r w:rsidRPr="00E54C11">
        <w:rPr>
          <w:b/>
        </w:rPr>
        <w:t>Appendix Two – What happens to the patient following allocation?</w:t>
      </w:r>
      <w:bookmarkEnd w:id="531"/>
    </w:p>
    <w:p w14:paraId="59907162" w14:textId="5F8EA8EA" w:rsidR="008F7BB3" w:rsidRPr="00E77F77" w:rsidRDefault="008F7BB3" w:rsidP="008F7BB3">
      <w:pPr>
        <w:pStyle w:val="Heading4"/>
      </w:pPr>
      <w:r w:rsidRPr="00E54C11">
        <w:t>Onc</w:t>
      </w:r>
      <w:r w:rsidRPr="00E77F77">
        <w:t>e</w:t>
      </w:r>
      <w:r w:rsidRPr="00E54C11">
        <w:t xml:space="preserve"> </w:t>
      </w:r>
      <w:r w:rsidRPr="00E77F77">
        <w:t>a</w:t>
      </w:r>
      <w:r w:rsidRPr="00E54C11">
        <w:t xml:space="preserve"> patien</w:t>
      </w:r>
      <w:r w:rsidRPr="00E77F77">
        <w:t>t</w:t>
      </w:r>
      <w:r w:rsidRPr="00E54C11">
        <w:t xml:space="preserve"> ha</w:t>
      </w:r>
      <w:r w:rsidRPr="00E77F77">
        <w:t>s</w:t>
      </w:r>
      <w:r w:rsidRPr="00E54C11">
        <w:t xml:space="preserve"> bee</w:t>
      </w:r>
      <w:r w:rsidRPr="00E77F77">
        <w:t>n</w:t>
      </w:r>
      <w:r w:rsidRPr="00E54C11">
        <w:t xml:space="preserve"> allocate</w:t>
      </w:r>
      <w:r w:rsidRPr="00E77F77">
        <w:t>d</w:t>
      </w:r>
      <w:r w:rsidRPr="00E54C11">
        <w:t xml:space="preserve"> ont</w:t>
      </w:r>
      <w:r w:rsidRPr="00E77F77">
        <w:t>o</w:t>
      </w:r>
      <w:r w:rsidRPr="00E54C11">
        <w:t xml:space="preserve"> th</w:t>
      </w:r>
      <w:r w:rsidRPr="00E77F77">
        <w:t>e</w:t>
      </w:r>
      <w:r w:rsidRPr="00E54C11">
        <w:t xml:space="preserve"> </w:t>
      </w:r>
      <w:r w:rsidRPr="00E77F77">
        <w:t>S</w:t>
      </w:r>
      <w:r w:rsidRPr="00E54C11">
        <w:t>A</w:t>
      </w:r>
      <w:r w:rsidRPr="00E77F77">
        <w:t>S</w:t>
      </w:r>
      <w:r w:rsidRPr="00E54C11">
        <w:t xml:space="preserve"> an</w:t>
      </w:r>
      <w:r w:rsidRPr="00E77F77">
        <w:t>d</w:t>
      </w:r>
      <w:r w:rsidRPr="00E54C11">
        <w:t xml:space="preserve"> notified</w:t>
      </w:r>
      <w:r w:rsidRPr="00E77F77">
        <w:t xml:space="preserve">, </w:t>
      </w:r>
      <w:r w:rsidRPr="00E54C11">
        <w:t>the</w:t>
      </w:r>
      <w:r w:rsidRPr="00E77F77">
        <w:t>y</w:t>
      </w:r>
      <w:r w:rsidRPr="00E54C11">
        <w:t xml:space="preserve"> wil</w:t>
      </w:r>
      <w:r w:rsidRPr="00E77F77">
        <w:t>l</w:t>
      </w:r>
      <w:r w:rsidRPr="00E54C11">
        <w:t xml:space="preserve"> usuall</w:t>
      </w:r>
      <w:r w:rsidRPr="00E77F77">
        <w:t>y</w:t>
      </w:r>
      <w:r w:rsidRPr="00E54C11">
        <w:t xml:space="preserve"> </w:t>
      </w:r>
      <w:r w:rsidRPr="00E77F77">
        <w:t>r</w:t>
      </w:r>
      <w:r w:rsidRPr="00E54C11">
        <w:t>emai</w:t>
      </w:r>
      <w:r w:rsidRPr="00E77F77">
        <w:t>n</w:t>
      </w:r>
      <w:r w:rsidRPr="00E54C11">
        <w:t xml:space="preserve"> o</w:t>
      </w:r>
      <w:r w:rsidRPr="00E77F77">
        <w:t>n</w:t>
      </w:r>
      <w:r w:rsidRPr="00E54C11">
        <w:t xml:space="preserve"> th</w:t>
      </w:r>
      <w:r w:rsidRPr="00E77F77">
        <w:t>e</w:t>
      </w:r>
      <w:r w:rsidRPr="00E54C11">
        <w:t xml:space="preserve"> schem</w:t>
      </w:r>
      <w:r w:rsidRPr="00E77F77">
        <w:t>e</w:t>
      </w:r>
      <w:r w:rsidRPr="00E54C11">
        <w:t xml:space="preserve"> fo</w:t>
      </w:r>
      <w:r w:rsidRPr="00E77F77">
        <w:t>r</w:t>
      </w:r>
      <w:r w:rsidRPr="00E54C11">
        <w:t xml:space="preserve"> </w:t>
      </w:r>
      <w:r w:rsidRPr="00E77F77">
        <w:t>a</w:t>
      </w:r>
      <w:r w:rsidRPr="00E54C11">
        <w:t xml:space="preserve"> minimu</w:t>
      </w:r>
      <w:r w:rsidRPr="00E77F77">
        <w:t>m</w:t>
      </w:r>
      <w:r w:rsidRPr="00E54C11">
        <w:t xml:space="preserve"> o</w:t>
      </w:r>
      <w:r w:rsidRPr="00E77F77">
        <w:t>f</w:t>
      </w:r>
      <w:r w:rsidRPr="00E54C11">
        <w:t xml:space="preserve"> 1</w:t>
      </w:r>
      <w:r w:rsidRPr="00E77F77">
        <w:t xml:space="preserve">2 </w:t>
      </w:r>
      <w:r w:rsidRPr="00E54C11">
        <w:t>months</w:t>
      </w:r>
      <w:r w:rsidRPr="00E77F77">
        <w:t>,</w:t>
      </w:r>
      <w:r w:rsidRPr="00E54C11">
        <w:t xml:space="preserve"> wit</w:t>
      </w:r>
      <w:r w:rsidRPr="00E77F77">
        <w:t>h</w:t>
      </w:r>
      <w:r w:rsidRPr="00E54C11">
        <w:t xml:space="preserve"> th</w:t>
      </w:r>
      <w:r w:rsidRPr="00E77F77">
        <w:t>e</w:t>
      </w:r>
      <w:r w:rsidRPr="00E54C11">
        <w:t xml:space="preserve"> exceptio</w:t>
      </w:r>
      <w:r w:rsidRPr="00E77F77">
        <w:t>n</w:t>
      </w:r>
      <w:r w:rsidRPr="00E54C11">
        <w:t xml:space="preserve"> o</w:t>
      </w:r>
      <w:r w:rsidRPr="00E77F77">
        <w:t>f</w:t>
      </w:r>
      <w:r w:rsidRPr="00E54C11">
        <w:t xml:space="preserve"> a</w:t>
      </w:r>
      <w:r w:rsidRPr="00E77F77">
        <w:t>n</w:t>
      </w:r>
      <w:r w:rsidRPr="00E54C11">
        <w:t xml:space="preserve"> uphel</w:t>
      </w:r>
      <w:r w:rsidRPr="00E77F77">
        <w:t>d</w:t>
      </w:r>
      <w:r w:rsidRPr="00E54C11">
        <w:t xml:space="preserve"> appea</w:t>
      </w:r>
      <w:r w:rsidRPr="00E77F77">
        <w:t>l</w:t>
      </w:r>
      <w:r w:rsidRPr="00E54C11">
        <w:t xml:space="preserve"> o</w:t>
      </w:r>
      <w:r w:rsidRPr="00E77F77">
        <w:t>r</w:t>
      </w:r>
      <w:r w:rsidRPr="00E54C11">
        <w:t xml:space="preserve"> th</w:t>
      </w:r>
      <w:r w:rsidRPr="00E77F77">
        <w:t>e</w:t>
      </w:r>
      <w:r w:rsidRPr="00E54C11">
        <w:t xml:space="preserve"> b</w:t>
      </w:r>
      <w:r w:rsidRPr="00E77F77">
        <w:t>r</w:t>
      </w:r>
      <w:r w:rsidRPr="00E54C11">
        <w:t>ea</w:t>
      </w:r>
      <w:r w:rsidRPr="00E77F77">
        <w:t xml:space="preserve">k </w:t>
      </w:r>
      <w:r w:rsidRPr="00E54C11">
        <w:t>claus</w:t>
      </w:r>
      <w:r w:rsidRPr="00E77F77">
        <w:t>e</w:t>
      </w:r>
      <w:r w:rsidRPr="00E54C11">
        <w:t xml:space="preserve"> o</w:t>
      </w:r>
      <w:r w:rsidRPr="00E77F77">
        <w:t>f</w:t>
      </w:r>
      <w:r w:rsidRPr="00E54C11">
        <w:t xml:space="preserve"> si</w:t>
      </w:r>
      <w:r w:rsidRPr="00E77F77">
        <w:t>x</w:t>
      </w:r>
      <w:r w:rsidRPr="00E54C11">
        <w:t xml:space="preserve"> months</w:t>
      </w:r>
      <w:r w:rsidRPr="00E77F77">
        <w:t>,</w:t>
      </w:r>
      <w:r w:rsidRPr="00E54C11">
        <w:t xml:space="preserve"> whic</w:t>
      </w:r>
      <w:r w:rsidRPr="00E77F77">
        <w:t>h</w:t>
      </w:r>
      <w:r w:rsidRPr="00E54C11">
        <w:t xml:space="preserve"> i</w:t>
      </w:r>
      <w:r w:rsidRPr="00E77F77">
        <w:t>s</w:t>
      </w:r>
      <w:r w:rsidRPr="00E54C11">
        <w:t xml:space="preserve"> conside</w:t>
      </w:r>
      <w:r w:rsidRPr="00E77F77">
        <w:t>r</w:t>
      </w:r>
      <w:r w:rsidRPr="00E54C11">
        <w:t>e</w:t>
      </w:r>
      <w:r w:rsidRPr="00E77F77">
        <w:t>d</w:t>
      </w:r>
      <w:r w:rsidRPr="00E54C11">
        <w:t xml:space="preserve"> b</w:t>
      </w:r>
      <w:r w:rsidRPr="00E77F77">
        <w:t>y</w:t>
      </w:r>
      <w:r w:rsidRPr="00E54C11">
        <w:t xml:space="preserve"> th</w:t>
      </w:r>
      <w:r w:rsidRPr="00E77F77">
        <w:t>e</w:t>
      </w:r>
      <w:r w:rsidRPr="00E54C11">
        <w:t xml:space="preserve"> p</w:t>
      </w:r>
      <w:r w:rsidRPr="00E77F77">
        <w:t>r</w:t>
      </w:r>
      <w:r w:rsidRPr="00E54C11">
        <w:t>ovide</w:t>
      </w:r>
      <w:r w:rsidRPr="00E77F77">
        <w:t>r,</w:t>
      </w:r>
      <w:r w:rsidRPr="00E54C11">
        <w:t xml:space="preserve"> onl</w:t>
      </w:r>
      <w:r w:rsidRPr="00E77F77">
        <w:t xml:space="preserve">y </w:t>
      </w:r>
      <w:r w:rsidRPr="00E54C11">
        <w:t>whe</w:t>
      </w:r>
      <w:r w:rsidRPr="00E77F77">
        <w:t>n</w:t>
      </w:r>
      <w:r w:rsidRPr="00E54C11">
        <w:t xml:space="preserve"> th</w:t>
      </w:r>
      <w:r w:rsidRPr="00E77F77">
        <w:t>e</w:t>
      </w:r>
      <w:r w:rsidRPr="00E54C11">
        <w:t xml:space="preserve"> patien</w:t>
      </w:r>
      <w:r w:rsidRPr="00E77F77">
        <w:t>t</w:t>
      </w:r>
      <w:r w:rsidRPr="00E54C11">
        <w:t xml:space="preserve"> ha</w:t>
      </w:r>
      <w:r w:rsidRPr="00E77F77">
        <w:t>s</w:t>
      </w:r>
      <w:r w:rsidRPr="00E54C11">
        <w:t xml:space="preserve"> </w:t>
      </w:r>
      <w:r w:rsidR="007E5544">
        <w:t xml:space="preserve">been reviewed on </w:t>
      </w:r>
      <w:r w:rsidRPr="00E77F77">
        <w:t>a</w:t>
      </w:r>
      <w:r w:rsidRPr="00E54C11">
        <w:t xml:space="preserve"> minimu</w:t>
      </w:r>
      <w:r w:rsidRPr="00E77F77">
        <w:t>m</w:t>
      </w:r>
      <w:r w:rsidRPr="00E54C11">
        <w:t xml:space="preserve"> o</w:t>
      </w:r>
      <w:r w:rsidRPr="00E77F77">
        <w:t>f</w:t>
      </w:r>
      <w:r w:rsidRPr="00E54C11">
        <w:t xml:space="preserve"> th</w:t>
      </w:r>
      <w:r w:rsidRPr="00E77F77">
        <w:t>r</w:t>
      </w:r>
      <w:r w:rsidRPr="00E54C11">
        <w:t>e</w:t>
      </w:r>
      <w:r w:rsidRPr="00E77F77">
        <w:t>e</w:t>
      </w:r>
      <w:r w:rsidRPr="00E54C11">
        <w:t xml:space="preserve"> </w:t>
      </w:r>
      <w:r w:rsidR="007E5544">
        <w:t xml:space="preserve">occasions </w:t>
      </w:r>
      <w:r w:rsidRPr="00E54C11">
        <w:t>withi</w:t>
      </w:r>
      <w:r w:rsidRPr="00E77F77">
        <w:t>n</w:t>
      </w:r>
      <w:r w:rsidRPr="00E54C11">
        <w:t xml:space="preserve"> th</w:t>
      </w:r>
      <w:r w:rsidRPr="00E77F77">
        <w:t>e</w:t>
      </w:r>
      <w:r w:rsidRPr="00E54C11">
        <w:t xml:space="preserve"> p</w:t>
      </w:r>
      <w:r w:rsidRPr="00E77F77">
        <w:t>r</w:t>
      </w:r>
      <w:r w:rsidRPr="00E54C11">
        <w:t>eviou</w:t>
      </w:r>
      <w:r w:rsidRPr="00E77F77">
        <w:t>s</w:t>
      </w:r>
      <w:r w:rsidRPr="00E54C11">
        <w:t xml:space="preserve"> si</w:t>
      </w:r>
      <w:r w:rsidRPr="00E77F77">
        <w:t>x</w:t>
      </w:r>
      <w:r w:rsidRPr="00E54C11">
        <w:t xml:space="preserve"> months</w:t>
      </w:r>
      <w:r w:rsidRPr="00E77F77">
        <w:t>.</w:t>
      </w:r>
    </w:p>
    <w:p w14:paraId="155AA667" w14:textId="77777777" w:rsidR="008F7BB3" w:rsidRPr="00E77F77" w:rsidRDefault="008F7BB3" w:rsidP="008F7BB3">
      <w:pPr>
        <w:pStyle w:val="Heading4"/>
      </w:pPr>
      <w:r w:rsidRPr="00E54C11">
        <w:t>A</w:t>
      </w:r>
      <w:r w:rsidRPr="00E77F77">
        <w:t>t</w:t>
      </w:r>
      <w:r w:rsidRPr="00E54C11">
        <w:t xml:space="preserve"> thi</w:t>
      </w:r>
      <w:r w:rsidRPr="00E77F77">
        <w:t>s</w:t>
      </w:r>
      <w:r w:rsidRPr="00E54C11">
        <w:t xml:space="preserve"> point</w:t>
      </w:r>
      <w:r w:rsidRPr="00E77F77">
        <w:t>,</w:t>
      </w:r>
      <w:r w:rsidRPr="00E54C11">
        <w:t xml:space="preserve"> th</w:t>
      </w:r>
      <w:r w:rsidRPr="00E77F77">
        <w:t>e</w:t>
      </w:r>
      <w:r w:rsidRPr="00E54C11">
        <w:t xml:space="preserve"> patien</w:t>
      </w:r>
      <w:r w:rsidRPr="00E77F77">
        <w:t>t</w:t>
      </w:r>
      <w:r w:rsidRPr="00E54C11">
        <w:t xml:space="preserve"> coul</w:t>
      </w:r>
      <w:r w:rsidRPr="00E77F77">
        <w:t>d</w:t>
      </w:r>
      <w:r w:rsidRPr="00E54C11">
        <w:t xml:space="preserve"> b</w:t>
      </w:r>
      <w:r w:rsidRPr="00E77F77">
        <w:t>e</w:t>
      </w:r>
      <w:r w:rsidRPr="00E54C11">
        <w:t xml:space="preserve"> </w:t>
      </w:r>
      <w:r w:rsidRPr="00E77F77">
        <w:t>r</w:t>
      </w:r>
      <w:r w:rsidRPr="00E54C11">
        <w:t>emove</w:t>
      </w:r>
      <w:r w:rsidRPr="00E77F77">
        <w:t>d</w:t>
      </w:r>
      <w:r w:rsidRPr="00E54C11">
        <w:t xml:space="preserve"> f</w:t>
      </w:r>
      <w:r w:rsidRPr="00E77F77">
        <w:t>r</w:t>
      </w:r>
      <w:r w:rsidRPr="00E54C11">
        <w:t>o</w:t>
      </w:r>
      <w:r w:rsidRPr="00E77F77">
        <w:t>m</w:t>
      </w:r>
      <w:r w:rsidRPr="00E54C11">
        <w:t xml:space="preserve"> th</w:t>
      </w:r>
      <w:r w:rsidRPr="00E77F77">
        <w:t>e</w:t>
      </w:r>
      <w:r w:rsidRPr="00E54C11">
        <w:t xml:space="preserve"> schem</w:t>
      </w:r>
      <w:r w:rsidRPr="00E77F77">
        <w:t>e</w:t>
      </w:r>
      <w:r w:rsidRPr="00E54C11">
        <w:t xml:space="preserve"> i</w:t>
      </w:r>
      <w:r w:rsidRPr="00E77F77">
        <w:t xml:space="preserve">f </w:t>
      </w:r>
      <w:r w:rsidRPr="00E54C11">
        <w:t>the</w:t>
      </w:r>
      <w:r w:rsidRPr="00E77F77">
        <w:t>re</w:t>
      </w:r>
      <w:r w:rsidRPr="00E54C11">
        <w:t xml:space="preserve"> i</w:t>
      </w:r>
      <w:r w:rsidRPr="00E77F77">
        <w:t>s</w:t>
      </w:r>
      <w:r w:rsidRPr="00E54C11">
        <w:t xml:space="preserve"> clea</w:t>
      </w:r>
      <w:r w:rsidRPr="00E77F77">
        <w:t>r</w:t>
      </w:r>
      <w:r w:rsidRPr="00E54C11">
        <w:t xml:space="preserve"> evidenc</w:t>
      </w:r>
      <w:r w:rsidRPr="00E77F77">
        <w:t>e</w:t>
      </w:r>
      <w:r w:rsidRPr="00E54C11">
        <w:t xml:space="preserve"> o</w:t>
      </w:r>
      <w:r w:rsidRPr="00E77F77">
        <w:t>f</w:t>
      </w:r>
      <w:r w:rsidRPr="00E54C11">
        <w:t xml:space="preserve"> change</w:t>
      </w:r>
      <w:r w:rsidRPr="00E77F77">
        <w:t>d</w:t>
      </w:r>
      <w:r w:rsidRPr="00E54C11">
        <w:t xml:space="preserve"> behaviou</w:t>
      </w:r>
      <w:r w:rsidRPr="00E77F77">
        <w:t>r,</w:t>
      </w:r>
      <w:r w:rsidRPr="00E54C11">
        <w:t xml:space="preserve"> wit</w:t>
      </w:r>
      <w:r w:rsidRPr="00E77F77">
        <w:t>h</w:t>
      </w:r>
      <w:r w:rsidRPr="00E54C11">
        <w:t xml:space="preserve"> th</w:t>
      </w:r>
      <w:r w:rsidRPr="00E77F77">
        <w:t>e</w:t>
      </w:r>
      <w:r w:rsidRPr="00E54C11">
        <w:t xml:space="preserve"> ai</w:t>
      </w:r>
      <w:r w:rsidRPr="00E77F77">
        <w:t xml:space="preserve">m </w:t>
      </w:r>
      <w:r w:rsidRPr="00E54C11">
        <w:t>bein</w:t>
      </w:r>
      <w:r w:rsidRPr="00E77F77">
        <w:t>g</w:t>
      </w:r>
      <w:r w:rsidRPr="00E54C11">
        <w:t xml:space="preserve"> t</w:t>
      </w:r>
      <w:r w:rsidRPr="00E77F77">
        <w:t>o</w:t>
      </w:r>
      <w:r w:rsidRPr="00E54C11">
        <w:t xml:space="preserve"> t</w:t>
      </w:r>
      <w:r w:rsidRPr="00E77F77">
        <w:t xml:space="preserve">ry </w:t>
      </w:r>
      <w:r w:rsidRPr="00E54C11">
        <w:t>an</w:t>
      </w:r>
      <w:r w:rsidRPr="00E77F77">
        <w:t>d</w:t>
      </w:r>
      <w:r w:rsidRPr="00E54C11">
        <w:t xml:space="preserve"> tackl</w:t>
      </w:r>
      <w:r w:rsidRPr="00E77F77">
        <w:t>e</w:t>
      </w:r>
      <w:r w:rsidRPr="00E54C11">
        <w:t xml:space="preserve"> th</w:t>
      </w:r>
      <w:r w:rsidRPr="00E77F77">
        <w:t>e</w:t>
      </w:r>
      <w:r w:rsidRPr="00E54C11">
        <w:t xml:space="preserve"> unde</w:t>
      </w:r>
      <w:r w:rsidRPr="00E77F77">
        <w:t>r</w:t>
      </w:r>
      <w:r w:rsidRPr="00E54C11">
        <w:t>lyin</w:t>
      </w:r>
      <w:r w:rsidRPr="00E77F77">
        <w:t xml:space="preserve">g </w:t>
      </w:r>
      <w:r w:rsidRPr="00E54C11">
        <w:t>cause</w:t>
      </w:r>
      <w:r w:rsidRPr="00E77F77">
        <w:t xml:space="preserve">s </w:t>
      </w:r>
      <w:r w:rsidRPr="00E54C11">
        <w:t>o</w:t>
      </w:r>
      <w:r w:rsidRPr="00E77F77">
        <w:t>f</w:t>
      </w:r>
      <w:r w:rsidRPr="00E54C11">
        <w:t xml:space="preserve"> thei</w:t>
      </w:r>
      <w:r w:rsidRPr="00E77F77">
        <w:t xml:space="preserve">r </w:t>
      </w:r>
      <w:r w:rsidRPr="00E54C11">
        <w:t>behaviou</w:t>
      </w:r>
      <w:r w:rsidRPr="00E77F77">
        <w:t>r,</w:t>
      </w:r>
      <w:r w:rsidRPr="00E54C11">
        <w:t xml:space="preserve"> an</w:t>
      </w:r>
      <w:r w:rsidRPr="00E77F77">
        <w:t>d</w:t>
      </w:r>
      <w:r w:rsidRPr="00E54C11">
        <w:t xml:space="preserve"> </w:t>
      </w:r>
      <w:r w:rsidRPr="00E77F77">
        <w:t>r</w:t>
      </w:r>
      <w:r w:rsidRPr="00E54C11">
        <w:t>ehabilitat</w:t>
      </w:r>
      <w:r w:rsidRPr="00E77F77">
        <w:t>e</w:t>
      </w:r>
      <w:r w:rsidRPr="00E54C11">
        <w:t xml:space="preserve"> them</w:t>
      </w:r>
      <w:r w:rsidRPr="00E77F77">
        <w:t>,</w:t>
      </w:r>
      <w:r w:rsidRPr="00E54C11">
        <w:t xml:space="preserve"> a</w:t>
      </w:r>
      <w:r w:rsidRPr="00E77F77">
        <w:t>s</w:t>
      </w:r>
      <w:r w:rsidRPr="00E54C11">
        <w:t xml:space="preserve"> fa</w:t>
      </w:r>
      <w:r w:rsidRPr="00E77F77">
        <w:t>r</w:t>
      </w:r>
      <w:r w:rsidRPr="00E54C11">
        <w:t xml:space="preserve"> a</w:t>
      </w:r>
      <w:r w:rsidRPr="00E77F77">
        <w:t>s</w:t>
      </w:r>
      <w:r w:rsidRPr="00E54C11">
        <w:t xml:space="preserve"> possible</w:t>
      </w:r>
      <w:r w:rsidRPr="00E77F77">
        <w:t>,</w:t>
      </w:r>
      <w:r w:rsidRPr="00E54C11">
        <w:t xml:space="preserve"> th</w:t>
      </w:r>
      <w:r w:rsidRPr="00E77F77">
        <w:t>r</w:t>
      </w:r>
      <w:r w:rsidRPr="00E54C11">
        <w:t>oug</w:t>
      </w:r>
      <w:r w:rsidRPr="00E77F77">
        <w:t xml:space="preserve">h </w:t>
      </w:r>
      <w:r w:rsidRPr="00E54C11">
        <w:t>counsellin</w:t>
      </w:r>
      <w:r w:rsidRPr="00E77F77">
        <w:t>g</w:t>
      </w:r>
      <w:r w:rsidRPr="00E54C11">
        <w:t xml:space="preserve"> and/o</w:t>
      </w:r>
      <w:r w:rsidRPr="00E77F77">
        <w:t>r</w:t>
      </w:r>
      <w:r w:rsidRPr="00E54C11">
        <w:t xml:space="preserve"> othe</w:t>
      </w:r>
      <w:r w:rsidRPr="00E77F77">
        <w:t>r</w:t>
      </w:r>
      <w:r w:rsidRPr="00E54C11">
        <w:t xml:space="preserve"> fo</w:t>
      </w:r>
      <w:r w:rsidRPr="00E77F77">
        <w:t>r</w:t>
      </w:r>
      <w:r w:rsidRPr="00E54C11">
        <w:t>m</w:t>
      </w:r>
      <w:r w:rsidRPr="00E77F77">
        <w:t>s</w:t>
      </w:r>
      <w:r w:rsidRPr="00E54C11">
        <w:t xml:space="preserve"> o</w:t>
      </w:r>
      <w:r w:rsidRPr="00E77F77">
        <w:t>f</w:t>
      </w:r>
      <w:r w:rsidRPr="00E54C11">
        <w:t xml:space="preserve"> t</w:t>
      </w:r>
      <w:r w:rsidRPr="00E77F77">
        <w:t>r</w:t>
      </w:r>
      <w:r w:rsidRPr="00E54C11">
        <w:t>eatment</w:t>
      </w:r>
      <w:r w:rsidRPr="00E77F77">
        <w:t>.</w:t>
      </w:r>
    </w:p>
    <w:p w14:paraId="51AE832D" w14:textId="77777777" w:rsidR="008F7BB3" w:rsidRPr="00E77F77" w:rsidRDefault="008F7BB3" w:rsidP="008F7BB3">
      <w:pPr>
        <w:pStyle w:val="Heading4"/>
      </w:pPr>
      <w:r w:rsidRPr="00E77F77">
        <w:t xml:space="preserve"> P</w:t>
      </w:r>
      <w:r w:rsidRPr="00E54C11">
        <w:t>atient</w:t>
      </w:r>
      <w:r w:rsidRPr="00E77F77">
        <w:t>s</w:t>
      </w:r>
      <w:r w:rsidRPr="00E54C11">
        <w:t xml:space="preserve"> wh</w:t>
      </w:r>
      <w:r w:rsidRPr="00E77F77">
        <w:t>o</w:t>
      </w:r>
      <w:r w:rsidRPr="00E54C11">
        <w:t xml:space="preserve"> d</w:t>
      </w:r>
      <w:r w:rsidRPr="00E77F77">
        <w:t>o</w:t>
      </w:r>
      <w:r w:rsidRPr="00E54C11">
        <w:t xml:space="preserve"> no</w:t>
      </w:r>
      <w:r w:rsidRPr="00E77F77">
        <w:t>t</w:t>
      </w:r>
      <w:r w:rsidRPr="00E54C11">
        <w:t xml:space="preserve"> c</w:t>
      </w:r>
      <w:r w:rsidRPr="00E77F77">
        <w:t>o-</w:t>
      </w:r>
      <w:r w:rsidRPr="00E54C11">
        <w:t>ope</w:t>
      </w:r>
      <w:r w:rsidRPr="00E77F77">
        <w:t>r</w:t>
      </w:r>
      <w:r w:rsidRPr="00E54C11">
        <w:t>ate</w:t>
      </w:r>
      <w:r w:rsidRPr="00E77F77">
        <w:t>,</w:t>
      </w:r>
      <w:r w:rsidRPr="00E54C11">
        <w:t xml:space="preserve"> o</w:t>
      </w:r>
      <w:r w:rsidRPr="00E77F77">
        <w:t>r</w:t>
      </w:r>
      <w:r w:rsidRPr="00E54C11">
        <w:t xml:space="preserve"> sho</w:t>
      </w:r>
      <w:r w:rsidRPr="00E77F77">
        <w:t>w</w:t>
      </w:r>
      <w:r w:rsidRPr="00E54C11">
        <w:t xml:space="preserve"> n</w:t>
      </w:r>
      <w:r w:rsidRPr="00E77F77">
        <w:t>o</w:t>
      </w:r>
      <w:r w:rsidRPr="00E54C11">
        <w:t xml:space="preserve"> sign</w:t>
      </w:r>
      <w:r w:rsidRPr="00E77F77">
        <w:t>s</w:t>
      </w:r>
      <w:r w:rsidRPr="00E54C11">
        <w:t xml:space="preserve"> o</w:t>
      </w:r>
      <w:r w:rsidRPr="00E77F77">
        <w:t>f</w:t>
      </w:r>
      <w:r w:rsidRPr="00E54C11">
        <w:t xml:space="preserve"> chang</w:t>
      </w:r>
      <w:r w:rsidRPr="00E77F77">
        <w:t xml:space="preserve">e </w:t>
      </w:r>
      <w:r w:rsidRPr="00E54C11">
        <w:t>i</w:t>
      </w:r>
      <w:r w:rsidRPr="00E77F77">
        <w:t>n</w:t>
      </w:r>
      <w:r w:rsidRPr="00E54C11">
        <w:t xml:space="preserve"> behaviou</w:t>
      </w:r>
      <w:r w:rsidRPr="00E77F77">
        <w:t>r,</w:t>
      </w:r>
      <w:r w:rsidRPr="00E54C11">
        <w:t xml:space="preserve"> wil</w:t>
      </w:r>
      <w:r w:rsidRPr="00E77F77">
        <w:t>l</w:t>
      </w:r>
      <w:r w:rsidRPr="00E54C11">
        <w:t xml:space="preserve"> </w:t>
      </w:r>
      <w:r w:rsidRPr="00E77F77">
        <w:t>r</w:t>
      </w:r>
      <w:r w:rsidRPr="00E54C11">
        <w:t>emai</w:t>
      </w:r>
      <w:r w:rsidRPr="00E77F77">
        <w:t>n</w:t>
      </w:r>
      <w:r w:rsidRPr="00E54C11">
        <w:t xml:space="preserve"> </w:t>
      </w:r>
      <w:r w:rsidRPr="00E77F77">
        <w:t>r</w:t>
      </w:r>
      <w:r w:rsidRPr="00E54C11">
        <w:t>egiste</w:t>
      </w:r>
      <w:r w:rsidRPr="00E77F77">
        <w:t>r</w:t>
      </w:r>
      <w:r w:rsidRPr="00E54C11">
        <w:t>e</w:t>
      </w:r>
      <w:r w:rsidRPr="00E77F77">
        <w:t>d</w:t>
      </w:r>
      <w:r w:rsidRPr="00E54C11">
        <w:t xml:space="preserve"> wit</w:t>
      </w:r>
      <w:r w:rsidRPr="00E77F77">
        <w:t xml:space="preserve">h </w:t>
      </w:r>
      <w:r w:rsidRPr="00E54C11">
        <w:t>th</w:t>
      </w:r>
      <w:r w:rsidRPr="00E77F77">
        <w:t>e</w:t>
      </w:r>
      <w:r w:rsidRPr="00E54C11">
        <w:t xml:space="preserve"> designate</w:t>
      </w:r>
      <w:r w:rsidRPr="00E77F77">
        <w:t xml:space="preserve">d </w:t>
      </w:r>
      <w:r w:rsidRPr="00E54C11">
        <w:t>p</w:t>
      </w:r>
      <w:r w:rsidRPr="00E77F77">
        <w:t>r</w:t>
      </w:r>
      <w:r w:rsidRPr="00E54C11">
        <w:t>actic</w:t>
      </w:r>
      <w:r w:rsidRPr="00E77F77">
        <w:t>e</w:t>
      </w:r>
      <w:r w:rsidRPr="00E54C11">
        <w:t xml:space="preserve"> fo</w:t>
      </w:r>
      <w:r w:rsidRPr="00E77F77">
        <w:t>r</w:t>
      </w:r>
      <w:r w:rsidRPr="00E54C11">
        <w:t xml:space="preserve"> </w:t>
      </w:r>
      <w:r w:rsidRPr="00E77F77">
        <w:t>a</w:t>
      </w:r>
      <w:r w:rsidRPr="00E54C11">
        <w:t xml:space="preserve"> minimu</w:t>
      </w:r>
      <w:r w:rsidRPr="00E77F77">
        <w:t>m</w:t>
      </w:r>
      <w:r w:rsidRPr="00E54C11">
        <w:t xml:space="preserve"> o</w:t>
      </w:r>
      <w:r w:rsidRPr="00E77F77">
        <w:t>f</w:t>
      </w:r>
      <w:r w:rsidRPr="00E54C11">
        <w:t xml:space="preserve"> 1</w:t>
      </w:r>
      <w:r w:rsidRPr="00E77F77">
        <w:t>2</w:t>
      </w:r>
      <w:r w:rsidRPr="00E54C11">
        <w:t xml:space="preserve"> months</w:t>
      </w:r>
      <w:r w:rsidRPr="00E77F77">
        <w:t xml:space="preserve">. </w:t>
      </w:r>
      <w:r w:rsidRPr="00E54C11">
        <w:t xml:space="preserve"> Thi</w:t>
      </w:r>
      <w:r w:rsidRPr="00E77F77">
        <w:t>s</w:t>
      </w:r>
      <w:r w:rsidRPr="00E54C11">
        <w:t xml:space="preserve"> wil</w:t>
      </w:r>
      <w:r w:rsidRPr="00E77F77">
        <w:t>l</w:t>
      </w:r>
      <w:r w:rsidRPr="00E54C11">
        <w:t xml:space="preserve"> b</w:t>
      </w:r>
      <w:r w:rsidRPr="00E77F77">
        <w:t>e</w:t>
      </w:r>
      <w:r w:rsidRPr="00E54C11">
        <w:t xml:space="preserve"> th</w:t>
      </w:r>
      <w:r w:rsidRPr="00E77F77">
        <w:t>e</w:t>
      </w:r>
      <w:r w:rsidRPr="00E54C11">
        <w:t xml:space="preserve"> cas</w:t>
      </w:r>
      <w:r w:rsidRPr="00E77F77">
        <w:t xml:space="preserve">e </w:t>
      </w:r>
      <w:r w:rsidRPr="00E54C11">
        <w:t>eve</w:t>
      </w:r>
      <w:r w:rsidRPr="00E77F77">
        <w:t>n</w:t>
      </w:r>
      <w:r w:rsidRPr="00E54C11">
        <w:t xml:space="preserve"> i</w:t>
      </w:r>
      <w:r w:rsidRPr="00E77F77">
        <w:t>f</w:t>
      </w:r>
      <w:r w:rsidRPr="00E54C11">
        <w:t xml:space="preserve"> th</w:t>
      </w:r>
      <w:r w:rsidRPr="00E77F77">
        <w:t>e</w:t>
      </w:r>
      <w:r w:rsidRPr="00E54C11">
        <w:t xml:space="preserve"> patien</w:t>
      </w:r>
      <w:r w:rsidRPr="00E77F77">
        <w:t>t</w:t>
      </w:r>
      <w:r w:rsidRPr="00E54C11">
        <w:t xml:space="preserve"> change</w:t>
      </w:r>
      <w:r w:rsidRPr="00E77F77">
        <w:t>s</w:t>
      </w:r>
      <w:r w:rsidRPr="00E54C11">
        <w:t xml:space="preserve"> add</w:t>
      </w:r>
      <w:r w:rsidRPr="00E77F77">
        <w:t>r</w:t>
      </w:r>
      <w:r w:rsidRPr="00E54C11">
        <w:t>ess but remains within the commissioning area</w:t>
      </w:r>
      <w:r>
        <w:t>.</w:t>
      </w:r>
      <w:r w:rsidRPr="00E77F77">
        <w:t xml:space="preserve">.  </w:t>
      </w:r>
    </w:p>
    <w:p w14:paraId="2EEB334F" w14:textId="77777777" w:rsidR="008F7BB3" w:rsidRDefault="008F7BB3" w:rsidP="008F7BB3">
      <w:pPr>
        <w:pStyle w:val="Heading4"/>
      </w:pPr>
      <w:r>
        <w:t>Where the patient changes address and moves out of the area</w:t>
      </w:r>
      <w:r w:rsidRPr="00E77F77">
        <w:t xml:space="preserve">, </w:t>
      </w:r>
      <w:r w:rsidRPr="00E54C11">
        <w:t>th</w:t>
      </w:r>
      <w:r w:rsidRPr="00E77F77">
        <w:t>e</w:t>
      </w:r>
      <w:r w:rsidRPr="00E54C11">
        <w:t xml:space="preserve"> patien</w:t>
      </w:r>
      <w:r w:rsidRPr="00E77F77">
        <w:t>t</w:t>
      </w:r>
      <w:r w:rsidRPr="00E54C11">
        <w:t xml:space="preserve"> wil</w:t>
      </w:r>
      <w:r w:rsidRPr="00E77F77">
        <w:t>l</w:t>
      </w:r>
      <w:r w:rsidRPr="00E54C11">
        <w:t xml:space="preserve"> b</w:t>
      </w:r>
      <w:r w:rsidRPr="00E77F77">
        <w:t>e</w:t>
      </w:r>
      <w:r w:rsidRPr="00E54C11">
        <w:t xml:space="preserve"> t</w:t>
      </w:r>
      <w:r w:rsidRPr="00E77F77">
        <w:t>r</w:t>
      </w:r>
      <w:r w:rsidRPr="00E54C11">
        <w:t>ansfe</w:t>
      </w:r>
      <w:r w:rsidRPr="00E77F77">
        <w:t>rr</w:t>
      </w:r>
      <w:r w:rsidRPr="00E54C11">
        <w:t>e</w:t>
      </w:r>
      <w:r w:rsidRPr="00E77F77">
        <w:t>d</w:t>
      </w:r>
      <w:r w:rsidRPr="00E54C11">
        <w:t xml:space="preserve"> t</w:t>
      </w:r>
      <w:r w:rsidRPr="00E77F77">
        <w:t>o</w:t>
      </w:r>
      <w:r w:rsidRPr="00E54C11">
        <w:t xml:space="preserve"> </w:t>
      </w:r>
      <w:r w:rsidRPr="00E77F77">
        <w:t>a</w:t>
      </w:r>
      <w:r w:rsidRPr="00E54C11">
        <w:t xml:space="preserve"> p</w:t>
      </w:r>
      <w:r w:rsidRPr="00E77F77">
        <w:t>r</w:t>
      </w:r>
      <w:r w:rsidRPr="00E54C11">
        <w:t>ovide</w:t>
      </w:r>
      <w:r w:rsidRPr="00E77F77">
        <w:t xml:space="preserve">r </w:t>
      </w:r>
      <w:r w:rsidRPr="00E54C11">
        <w:t>o</w:t>
      </w:r>
      <w:r w:rsidRPr="00E77F77">
        <w:t>f</w:t>
      </w:r>
      <w:r w:rsidRPr="00E54C11">
        <w:t xml:space="preserve"> th</w:t>
      </w:r>
      <w:r w:rsidRPr="00E77F77">
        <w:t>e</w:t>
      </w:r>
      <w:r w:rsidRPr="00E54C11">
        <w:t xml:space="preserve"> </w:t>
      </w:r>
      <w:r w:rsidRPr="00E77F77">
        <w:t>S</w:t>
      </w:r>
      <w:r w:rsidRPr="00E54C11">
        <w:t>A</w:t>
      </w:r>
      <w:r w:rsidRPr="00E77F77">
        <w:t>S</w:t>
      </w:r>
      <w:r w:rsidRPr="00E54C11">
        <w:t xml:space="preserve"> i</w:t>
      </w:r>
      <w:r w:rsidRPr="00E77F77">
        <w:t>n</w:t>
      </w:r>
      <w:r w:rsidRPr="00E54C11">
        <w:t xml:space="preserve"> th</w:t>
      </w:r>
      <w:r w:rsidRPr="00E77F77">
        <w:t>e</w:t>
      </w:r>
      <w:r w:rsidRPr="00E54C11">
        <w:t xml:space="preserve"> a</w:t>
      </w:r>
      <w:r w:rsidRPr="00E77F77">
        <w:t>r</w:t>
      </w:r>
      <w:r w:rsidRPr="00E54C11">
        <w:t>e</w:t>
      </w:r>
      <w:r w:rsidRPr="00E77F77">
        <w:t>a</w:t>
      </w:r>
      <w:r w:rsidRPr="00E54C11">
        <w:t xml:space="preserve"> whe</w:t>
      </w:r>
      <w:r w:rsidRPr="00E77F77">
        <w:t>re</w:t>
      </w:r>
      <w:r w:rsidRPr="00E54C11">
        <w:t xml:space="preserve"> the</w:t>
      </w:r>
      <w:r w:rsidRPr="00E77F77">
        <w:t>y</w:t>
      </w:r>
      <w:r w:rsidRPr="00E54C11">
        <w:t xml:space="preserve"> hav</w:t>
      </w:r>
      <w:r w:rsidRPr="00E77F77">
        <w:t>e</w:t>
      </w:r>
      <w:r w:rsidRPr="00E54C11">
        <w:t xml:space="preserve"> move</w:t>
      </w:r>
      <w:r w:rsidRPr="00E77F77">
        <w:t>d</w:t>
      </w:r>
      <w:r w:rsidRPr="00E54C11">
        <w:t xml:space="preserve"> into</w:t>
      </w:r>
      <w:r w:rsidRPr="00E77F77">
        <w:t xml:space="preserve">.  </w:t>
      </w:r>
    </w:p>
    <w:p w14:paraId="101C2F00" w14:textId="77777777" w:rsidR="008F7BB3" w:rsidRPr="00E54C11" w:rsidRDefault="008F7BB3" w:rsidP="008F7BB3"/>
    <w:p w14:paraId="2443C98D" w14:textId="77777777" w:rsidR="008F7BB3" w:rsidRPr="00E54C11" w:rsidRDefault="008F7BB3" w:rsidP="008F7BB3">
      <w:pPr>
        <w:pStyle w:val="Heading3"/>
        <w:rPr>
          <w:b/>
        </w:rPr>
      </w:pPr>
      <w:bookmarkStart w:id="532" w:name="_Toc483740434"/>
      <w:r w:rsidRPr="00E54C11">
        <w:rPr>
          <w:b/>
        </w:rPr>
        <w:t>Appendix Three – SAS Sample Good Conduct Guide</w:t>
      </w:r>
      <w:bookmarkEnd w:id="532"/>
    </w:p>
    <w:bookmarkStart w:id="533" w:name="_1552737528"/>
    <w:bookmarkEnd w:id="533"/>
    <w:p w14:paraId="5797E2B0" w14:textId="1198AA9F" w:rsidR="008F7BB3" w:rsidRPr="004B57CD" w:rsidRDefault="002306F3" w:rsidP="005A7DDA">
      <w:pPr>
        <w:pStyle w:val="ListParagraph"/>
        <w:numPr>
          <w:ilvl w:val="0"/>
          <w:numId w:val="152"/>
        </w:numPr>
      </w:pPr>
      <w:r>
        <w:fldChar w:fldCharType="begin"/>
      </w:r>
      <w:r>
        <w:instrText xml:space="preserve"> HYPERLINK "https://www.england.nhs.uk/publication/primary-medical-care-policy-and-guidance-manual-working-with-primary-care-support-england-pcse-annexes/" </w:instrText>
      </w:r>
      <w:r>
        <w:fldChar w:fldCharType="separate"/>
      </w:r>
      <w:r w:rsidR="004B57CD" w:rsidRPr="00877180">
        <w:rPr>
          <w:rStyle w:val="Hyperlink"/>
        </w:rPr>
        <w:t>SAS Sample Good Conduct Guide</w:t>
      </w:r>
      <w:r>
        <w:rPr>
          <w:rStyle w:val="Hyperlink"/>
        </w:rPr>
        <w:fldChar w:fldCharType="end"/>
      </w:r>
      <w:r w:rsidR="004B57CD">
        <w:br/>
      </w:r>
    </w:p>
    <w:p w14:paraId="78E06A2D" w14:textId="77777777" w:rsidR="008F7BB3" w:rsidRPr="00E54C11" w:rsidRDefault="008F7BB3" w:rsidP="008F7BB3">
      <w:pPr>
        <w:pStyle w:val="Heading3"/>
        <w:rPr>
          <w:b/>
        </w:rPr>
      </w:pPr>
      <w:bookmarkStart w:id="534" w:name="_Toc483740435"/>
      <w:r w:rsidRPr="00E54C11">
        <w:rPr>
          <w:b/>
        </w:rPr>
        <w:t>Appendix Four – Information Sharing Agreement</w:t>
      </w:r>
      <w:bookmarkEnd w:id="534"/>
    </w:p>
    <w:p w14:paraId="5456444C" w14:textId="77777777" w:rsidR="008F7BB3" w:rsidRPr="00E77F77" w:rsidRDefault="008F7BB3" w:rsidP="008F7BB3">
      <w:pPr>
        <w:pStyle w:val="Heading4"/>
      </w:pPr>
      <w:r w:rsidRPr="00E54C11">
        <w:t>T</w:t>
      </w:r>
      <w:r w:rsidRPr="00E77F77">
        <w:t>o</w:t>
      </w:r>
      <w:r w:rsidRPr="00E54C11">
        <w:t xml:space="preserve"> b</w:t>
      </w:r>
      <w:r w:rsidRPr="00E77F77">
        <w:t>e</w:t>
      </w:r>
      <w:r w:rsidRPr="00E54C11">
        <w:t xml:space="preserve"> publishe</w:t>
      </w:r>
      <w:r w:rsidRPr="00E77F77">
        <w:t>d</w:t>
      </w:r>
      <w:r w:rsidRPr="00E54C11">
        <w:t xml:space="preserve"> sepa</w:t>
      </w:r>
      <w:r w:rsidRPr="00E77F77">
        <w:t>r</w:t>
      </w:r>
      <w:r w:rsidRPr="00E54C11">
        <w:t>atel</w:t>
      </w:r>
      <w:r w:rsidRPr="00E77F77">
        <w:t>y</w:t>
      </w:r>
      <w:r w:rsidRPr="00E54C11">
        <w:t xml:space="preserve"> </w:t>
      </w:r>
      <w:r w:rsidRPr="00E77F77">
        <w:t>–</w:t>
      </w:r>
      <w:r w:rsidRPr="00E54C11">
        <w:t xml:space="preserve"> </w:t>
      </w:r>
      <w:r w:rsidRPr="00E77F77">
        <w:t>a</w:t>
      </w:r>
      <w:r w:rsidRPr="00E54C11">
        <w:t xml:space="preserve"> </w:t>
      </w:r>
      <w:r w:rsidRPr="00E77F77">
        <w:t>r</w:t>
      </w:r>
      <w:r w:rsidRPr="00E54C11">
        <w:t>efe</w:t>
      </w:r>
      <w:r w:rsidRPr="00E77F77">
        <w:t>r</w:t>
      </w:r>
      <w:r w:rsidRPr="00E54C11">
        <w:t>enc</w:t>
      </w:r>
      <w:r w:rsidRPr="00E77F77">
        <w:t>e</w:t>
      </w:r>
      <w:r w:rsidRPr="00E54C11">
        <w:t xml:space="preserve"> lin</w:t>
      </w:r>
      <w:r w:rsidRPr="00E77F77">
        <w:t>k</w:t>
      </w:r>
      <w:r w:rsidRPr="00E54C11">
        <w:t xml:space="preserve"> wil</w:t>
      </w:r>
      <w:r w:rsidRPr="00E77F77">
        <w:t>l</w:t>
      </w:r>
      <w:r w:rsidRPr="00E54C11">
        <w:t xml:space="preserve"> b</w:t>
      </w:r>
      <w:r w:rsidRPr="00E77F77">
        <w:t>e</w:t>
      </w:r>
      <w:r w:rsidRPr="00E54C11">
        <w:t xml:space="preserve"> adde</w:t>
      </w:r>
      <w:r w:rsidRPr="00E77F77">
        <w:t xml:space="preserve">d </w:t>
      </w:r>
      <w:r w:rsidRPr="00E54C11">
        <w:t>followin</w:t>
      </w:r>
      <w:r w:rsidRPr="00E77F77">
        <w:t>g</w:t>
      </w:r>
      <w:r w:rsidRPr="00E54C11">
        <w:t xml:space="preserve"> publicatio</w:t>
      </w:r>
      <w:r w:rsidRPr="00E77F77">
        <w:t>n</w:t>
      </w:r>
      <w:r w:rsidRPr="00E54C11">
        <w:t xml:space="preserve"> o</w:t>
      </w:r>
      <w:r w:rsidRPr="00E77F77">
        <w:t>f</w:t>
      </w:r>
      <w:r w:rsidRPr="00E54C11">
        <w:t xml:space="preserve"> thi</w:t>
      </w:r>
      <w:r w:rsidRPr="00E77F77">
        <w:t>s</w:t>
      </w:r>
      <w:r w:rsidRPr="00E54C11">
        <w:t xml:space="preserve"> document</w:t>
      </w:r>
      <w:r>
        <w:t>.</w:t>
      </w:r>
    </w:p>
    <w:p w14:paraId="0C86EC82" w14:textId="77777777" w:rsidR="008F7BB3" w:rsidRPr="00E54C11" w:rsidRDefault="008F7BB3" w:rsidP="008F7BB3">
      <w:pPr>
        <w:pStyle w:val="Heading3"/>
        <w:rPr>
          <w:b/>
        </w:rPr>
      </w:pPr>
      <w:bookmarkStart w:id="535" w:name="_Unavoidably_small_and"/>
      <w:bookmarkEnd w:id="535"/>
      <w:r w:rsidRPr="00E54C11">
        <w:rPr>
          <w:b/>
        </w:rPr>
        <w:t>Appendix Five – Risk Assessment approach</w:t>
      </w:r>
    </w:p>
    <w:p w14:paraId="2F2BE2FC" w14:textId="77777777" w:rsidR="008F7BB3" w:rsidRPr="00E77F77" w:rsidRDefault="008F7BB3" w:rsidP="008F7BB3">
      <w:pPr>
        <w:pStyle w:val="Heading4"/>
      </w:pPr>
      <w:r w:rsidRPr="00E54C11">
        <w:lastRenderedPageBreak/>
        <w:t>A</w:t>
      </w:r>
      <w:r w:rsidRPr="00E77F77">
        <w:t>s</w:t>
      </w:r>
      <w:r w:rsidRPr="00E54C11">
        <w:t xml:space="preserve"> note</w:t>
      </w:r>
      <w:r w:rsidRPr="00E77F77">
        <w:t>d</w:t>
      </w:r>
      <w:r w:rsidRPr="00E54C11">
        <w:t xml:space="preserve"> i</w:t>
      </w:r>
      <w:r w:rsidRPr="00E77F77">
        <w:t>n</w:t>
      </w:r>
      <w:r w:rsidRPr="00E54C11">
        <w:t xml:space="preserve"> sectio</w:t>
      </w:r>
      <w:r w:rsidRPr="00E77F77">
        <w:t>n</w:t>
      </w:r>
      <w:r w:rsidRPr="00E54C11">
        <w:t xml:space="preserve"> </w:t>
      </w:r>
      <w:r w:rsidRPr="00E77F77">
        <w:t>3</w:t>
      </w:r>
      <w:r w:rsidRPr="00E54C11">
        <w:t xml:space="preserve"> [pa</w:t>
      </w:r>
      <w:r w:rsidRPr="00E77F77">
        <w:t>ra</w:t>
      </w:r>
      <w:r w:rsidRPr="00E54C11">
        <w:t xml:space="preserve"> 3.27]</w:t>
      </w:r>
      <w:r w:rsidRPr="00E77F77">
        <w:t>,</w:t>
      </w:r>
      <w:r w:rsidRPr="00E54C11">
        <w:t xml:space="preserve"> NH</w:t>
      </w:r>
      <w:r w:rsidRPr="00E77F77">
        <w:t>S</w:t>
      </w:r>
      <w:r w:rsidRPr="00E54C11">
        <w:t xml:space="preserve"> staf</w:t>
      </w:r>
      <w:r w:rsidRPr="00E77F77">
        <w:t>f</w:t>
      </w:r>
      <w:r w:rsidRPr="00E54C11">
        <w:t xml:space="preserve"> hav</w:t>
      </w:r>
      <w:r w:rsidRPr="00E77F77">
        <w:t>e</w:t>
      </w:r>
      <w:r w:rsidRPr="00E54C11">
        <w:t xml:space="preserve"> th</w:t>
      </w:r>
      <w:r w:rsidRPr="00E77F77">
        <w:t>e</w:t>
      </w:r>
      <w:r w:rsidRPr="00E54C11">
        <w:t xml:space="preserve"> </w:t>
      </w:r>
      <w:r w:rsidRPr="00E77F77">
        <w:t>r</w:t>
      </w:r>
      <w:r w:rsidRPr="00E54C11">
        <w:t>igh</w:t>
      </w:r>
      <w:r w:rsidRPr="00E77F77">
        <w:t>t</w:t>
      </w:r>
      <w:r w:rsidRPr="00E54C11">
        <w:t xml:space="preserve"> t</w:t>
      </w:r>
      <w:r w:rsidRPr="00E77F77">
        <w:t xml:space="preserve">o </w:t>
      </w:r>
      <w:r w:rsidRPr="00E54C11">
        <w:t>wo</w:t>
      </w:r>
      <w:r w:rsidRPr="00E77F77">
        <w:t>rk</w:t>
      </w:r>
      <w:r w:rsidRPr="00E54C11">
        <w:t xml:space="preserve"> i</w:t>
      </w:r>
      <w:r w:rsidRPr="00E77F77">
        <w:t>n</w:t>
      </w:r>
      <w:r w:rsidRPr="00E54C11">
        <w:t xml:space="preserve"> a</w:t>
      </w:r>
      <w:r w:rsidRPr="00E77F77">
        <w:t>n</w:t>
      </w:r>
      <w:r w:rsidRPr="00E54C11">
        <w:t xml:space="preserve"> envi</w:t>
      </w:r>
      <w:r w:rsidRPr="00E77F77">
        <w:t>r</w:t>
      </w:r>
      <w:r w:rsidRPr="00E54C11">
        <w:t>onmen</w:t>
      </w:r>
      <w:r w:rsidRPr="00E77F77">
        <w:t>t</w:t>
      </w:r>
      <w:r w:rsidRPr="00E54C11">
        <w:t xml:space="preserve"> tha</w:t>
      </w:r>
      <w:r w:rsidRPr="00E77F77">
        <w:t>t</w:t>
      </w:r>
      <w:r w:rsidRPr="00E54C11">
        <w:t xml:space="preserve"> keep</w:t>
      </w:r>
      <w:r w:rsidRPr="00E77F77">
        <w:t>s</w:t>
      </w:r>
      <w:r w:rsidRPr="00E54C11">
        <w:t xml:space="preserve"> the</w:t>
      </w:r>
      <w:r w:rsidRPr="00E77F77">
        <w:t>m</w:t>
      </w:r>
      <w:r w:rsidRPr="00E54C11">
        <w:t xml:space="preserve"> saf</w:t>
      </w:r>
      <w:r w:rsidRPr="00E77F77">
        <w:t>e</w:t>
      </w:r>
      <w:r w:rsidRPr="00E54C11">
        <w:t xml:space="preserve"> f</w:t>
      </w:r>
      <w:r w:rsidRPr="00E77F77">
        <w:t>r</w:t>
      </w:r>
      <w:r w:rsidRPr="00E54C11">
        <w:t>o</w:t>
      </w:r>
      <w:r w:rsidRPr="00E77F77">
        <w:t>m</w:t>
      </w:r>
      <w:r w:rsidRPr="00E54C11">
        <w:t xml:space="preserve"> violenc</w:t>
      </w:r>
      <w:r w:rsidRPr="00E77F77">
        <w:t xml:space="preserve">e </w:t>
      </w:r>
      <w:r w:rsidRPr="00E54C11">
        <w:t>an</w:t>
      </w:r>
      <w:r w:rsidRPr="00E77F77">
        <w:t>d</w:t>
      </w:r>
      <w:r w:rsidRPr="00E54C11">
        <w:t xml:space="preserve"> agg</w:t>
      </w:r>
      <w:r w:rsidRPr="00E77F77">
        <w:t>r</w:t>
      </w:r>
      <w:r w:rsidRPr="00E54C11">
        <w:t>ession</w:t>
      </w:r>
      <w:r w:rsidRPr="00E77F77">
        <w:t>,</w:t>
      </w:r>
      <w:r w:rsidRPr="00E54C11">
        <w:t xml:space="preserve"> enablin</w:t>
      </w:r>
      <w:r w:rsidRPr="00E77F77">
        <w:t>g</w:t>
      </w:r>
      <w:r w:rsidRPr="00E54C11">
        <w:t xml:space="preserve"> the</w:t>
      </w:r>
      <w:r w:rsidRPr="00E77F77">
        <w:t>m</w:t>
      </w:r>
      <w:r w:rsidRPr="00E54C11">
        <w:t xml:space="preserve"> t</w:t>
      </w:r>
      <w:r w:rsidRPr="00E77F77">
        <w:t>o</w:t>
      </w:r>
      <w:r w:rsidRPr="00E54C11">
        <w:t xml:space="preserve"> delive</w:t>
      </w:r>
      <w:r w:rsidRPr="00E77F77">
        <w:t>r</w:t>
      </w:r>
      <w:r w:rsidRPr="00E54C11">
        <w:t xml:space="preserve"> th</w:t>
      </w:r>
      <w:r w:rsidRPr="00E77F77">
        <w:t>e</w:t>
      </w:r>
      <w:r w:rsidRPr="00E54C11">
        <w:t xml:space="preserve"> highes</w:t>
      </w:r>
      <w:r w:rsidRPr="00E77F77">
        <w:t>t</w:t>
      </w:r>
      <w:r w:rsidRPr="00E54C11">
        <w:t xml:space="preserve"> qualit</w:t>
      </w:r>
      <w:r w:rsidRPr="00E77F77">
        <w:t xml:space="preserve">y </w:t>
      </w:r>
      <w:r w:rsidRPr="00E54C11">
        <w:t>se</w:t>
      </w:r>
      <w:r w:rsidRPr="00E77F77">
        <w:t>r</w:t>
      </w:r>
      <w:r w:rsidRPr="00E54C11">
        <w:t>vic</w:t>
      </w:r>
      <w:r w:rsidRPr="00E77F77">
        <w:t>e</w:t>
      </w:r>
      <w:r w:rsidRPr="00E54C11">
        <w:t xml:space="preserve"> an</w:t>
      </w:r>
      <w:r w:rsidRPr="00E77F77">
        <w:t>d</w:t>
      </w:r>
      <w:r w:rsidRPr="00E54C11">
        <w:t xml:space="preserve"> patien</w:t>
      </w:r>
      <w:r w:rsidRPr="00E77F77">
        <w:t>t</w:t>
      </w:r>
      <w:r w:rsidRPr="00E54C11">
        <w:t xml:space="preserve"> ca</w:t>
      </w:r>
      <w:r w:rsidRPr="00E77F77">
        <w:t>r</w:t>
      </w:r>
      <w:r w:rsidRPr="00E54C11">
        <w:t>e</w:t>
      </w:r>
      <w:r w:rsidRPr="00E77F77">
        <w:t>.</w:t>
      </w:r>
    </w:p>
    <w:p w14:paraId="41AFBA62" w14:textId="77777777" w:rsidR="008F7BB3" w:rsidRPr="00E77F77" w:rsidRDefault="008F7BB3" w:rsidP="008F7BB3">
      <w:pPr>
        <w:pStyle w:val="Heading4"/>
      </w:pPr>
      <w:r w:rsidRPr="00E54C11">
        <w:t>Al</w:t>
      </w:r>
      <w:r w:rsidRPr="00E77F77">
        <w:t>l</w:t>
      </w:r>
      <w:r w:rsidRPr="00E54C11">
        <w:t xml:space="preserve"> staf</w:t>
      </w:r>
      <w:r w:rsidRPr="00E77F77">
        <w:t>f</w:t>
      </w:r>
      <w:r w:rsidRPr="00E54C11">
        <w:t xml:space="preserve"> a</w:t>
      </w:r>
      <w:r w:rsidRPr="00E77F77">
        <w:t>re</w:t>
      </w:r>
      <w:r w:rsidRPr="00E54C11">
        <w:t xml:space="preserve"> potentiall</w:t>
      </w:r>
      <w:r w:rsidRPr="00E77F77">
        <w:t>y</w:t>
      </w:r>
      <w:r w:rsidRPr="00E54C11">
        <w:t xml:space="preserve"> vulne</w:t>
      </w:r>
      <w:r w:rsidRPr="00E77F77">
        <w:t>r</w:t>
      </w:r>
      <w:r w:rsidRPr="00E54C11">
        <w:t>abl</w:t>
      </w:r>
      <w:r w:rsidRPr="00E77F77">
        <w:t>e</w:t>
      </w:r>
      <w:r w:rsidRPr="00E54C11">
        <w:t xml:space="preserve"> t</w:t>
      </w:r>
      <w:r w:rsidRPr="00E77F77">
        <w:t>o</w:t>
      </w:r>
      <w:r w:rsidRPr="00E54C11">
        <w:t xml:space="preserve"> violenc</w:t>
      </w:r>
      <w:r w:rsidRPr="00E77F77">
        <w:t>e</w:t>
      </w:r>
      <w:r w:rsidRPr="00E54C11">
        <w:t xml:space="preserve"> an</w:t>
      </w:r>
      <w:r w:rsidRPr="00E77F77">
        <w:t>d</w:t>
      </w:r>
      <w:r w:rsidRPr="00E54C11">
        <w:t xml:space="preserve"> agg</w:t>
      </w:r>
      <w:r w:rsidRPr="00E77F77">
        <w:t>r</w:t>
      </w:r>
      <w:r w:rsidRPr="00E54C11">
        <w:t>essio</w:t>
      </w:r>
      <w:r w:rsidRPr="00E77F77">
        <w:t xml:space="preserve">n </w:t>
      </w:r>
      <w:r w:rsidRPr="00E54C11">
        <w:t>an</w:t>
      </w:r>
      <w:r w:rsidRPr="00E77F77">
        <w:t>d</w:t>
      </w:r>
      <w:r w:rsidRPr="00E54C11">
        <w:t xml:space="preserve"> th</w:t>
      </w:r>
      <w:r w:rsidRPr="00E77F77">
        <w:t>e</w:t>
      </w:r>
      <w:r w:rsidRPr="00E54C11">
        <w:t xml:space="preserve"> employin</w:t>
      </w:r>
      <w:r w:rsidRPr="00E77F77">
        <w:t>g</w:t>
      </w:r>
      <w:r w:rsidRPr="00E54C11">
        <w:t xml:space="preserve"> o</w:t>
      </w:r>
      <w:r w:rsidRPr="00E77F77">
        <w:t>r</w:t>
      </w:r>
      <w:r w:rsidRPr="00E54C11">
        <w:t>ganisatio</w:t>
      </w:r>
      <w:r w:rsidRPr="00E77F77">
        <w:t>n</w:t>
      </w:r>
      <w:r w:rsidRPr="00E54C11">
        <w:t xml:space="preserve"> ha</w:t>
      </w:r>
      <w:r w:rsidRPr="00E77F77">
        <w:t>s</w:t>
      </w:r>
      <w:r w:rsidRPr="00E54C11">
        <w:t xml:space="preserve"> </w:t>
      </w:r>
      <w:r w:rsidRPr="00E77F77">
        <w:t>a</w:t>
      </w:r>
      <w:r w:rsidRPr="00E54C11">
        <w:t xml:space="preserve"> lega</w:t>
      </w:r>
      <w:r w:rsidRPr="00E77F77">
        <w:t>l</w:t>
      </w:r>
      <w:r w:rsidRPr="00E54C11">
        <w:t xml:space="preserve"> obligatio</w:t>
      </w:r>
      <w:r w:rsidRPr="00E77F77">
        <w:t>n</w:t>
      </w:r>
      <w:r w:rsidRPr="00E54C11">
        <w:t xml:space="preserve"> t</w:t>
      </w:r>
      <w:r w:rsidRPr="00E77F77">
        <w:t>o</w:t>
      </w:r>
      <w:r w:rsidRPr="00E54C11">
        <w:t xml:space="preserve"> hav</w:t>
      </w:r>
      <w:r w:rsidRPr="00E77F77">
        <w:t xml:space="preserve">e </w:t>
      </w:r>
      <w:r w:rsidRPr="00E54C11">
        <w:t>st</w:t>
      </w:r>
      <w:r w:rsidRPr="00E77F77">
        <w:t>r</w:t>
      </w:r>
      <w:r w:rsidRPr="00E54C11">
        <w:t>ategie</w:t>
      </w:r>
      <w:r w:rsidRPr="00E77F77">
        <w:t>s</w:t>
      </w:r>
      <w:r w:rsidRPr="00E54C11">
        <w:t xml:space="preserve"> i</w:t>
      </w:r>
      <w:r w:rsidRPr="00E77F77">
        <w:t>n</w:t>
      </w:r>
      <w:r w:rsidRPr="00E54C11">
        <w:t xml:space="preserve"> plac</w:t>
      </w:r>
      <w:r w:rsidRPr="00E77F77">
        <w:t>e</w:t>
      </w:r>
      <w:r w:rsidRPr="00E54C11">
        <w:t xml:space="preserve"> t</w:t>
      </w:r>
      <w:r w:rsidRPr="00E77F77">
        <w:t>o</w:t>
      </w:r>
      <w:r w:rsidRPr="00E54C11">
        <w:t xml:space="preserve"> mitigat</w:t>
      </w:r>
      <w:r w:rsidRPr="00E77F77">
        <w:t>e</w:t>
      </w:r>
      <w:r w:rsidRPr="00E54C11">
        <w:t xml:space="preserve"> th</w:t>
      </w:r>
      <w:r w:rsidRPr="00E77F77">
        <w:t>e</w:t>
      </w:r>
      <w:r w:rsidRPr="00E54C11">
        <w:t xml:space="preserve"> </w:t>
      </w:r>
      <w:r w:rsidRPr="00E77F77">
        <w:t>r</w:t>
      </w:r>
      <w:r w:rsidRPr="00E54C11">
        <w:t>isks</w:t>
      </w:r>
      <w:r w:rsidRPr="00E77F77">
        <w:t xml:space="preserve">. </w:t>
      </w:r>
    </w:p>
    <w:p w14:paraId="0D8E1D78" w14:textId="77777777" w:rsidR="008F7BB3" w:rsidRPr="00E77F77" w:rsidRDefault="008F7BB3" w:rsidP="008F7BB3">
      <w:pPr>
        <w:pStyle w:val="Heading4"/>
      </w:pPr>
      <w:r w:rsidRPr="00E54C11">
        <w:t>Unde</w:t>
      </w:r>
      <w:r w:rsidRPr="00E77F77">
        <w:t>r</w:t>
      </w:r>
      <w:r w:rsidRPr="00E54C11">
        <w:t xml:space="preserve"> th</w:t>
      </w:r>
      <w:r w:rsidRPr="00E77F77">
        <w:t>e</w:t>
      </w:r>
      <w:r w:rsidRPr="00E54C11">
        <w:t xml:space="preserve"> Healt</w:t>
      </w:r>
      <w:r w:rsidRPr="00E77F77">
        <w:t>h</w:t>
      </w:r>
      <w:r w:rsidRPr="00E54C11">
        <w:t xml:space="preserve"> an</w:t>
      </w:r>
      <w:r w:rsidRPr="00E77F77">
        <w:t>d</w:t>
      </w:r>
      <w:r w:rsidRPr="00E54C11">
        <w:t xml:space="preserve"> </w:t>
      </w:r>
      <w:r w:rsidRPr="00E77F77">
        <w:t>S</w:t>
      </w:r>
      <w:r w:rsidRPr="00E54C11">
        <w:t>afet</w:t>
      </w:r>
      <w:r w:rsidRPr="00E77F77">
        <w:t>y</w:t>
      </w:r>
      <w:r w:rsidRPr="00E54C11">
        <w:t xml:space="preserve"> a</w:t>
      </w:r>
      <w:r w:rsidRPr="00E77F77">
        <w:t>t</w:t>
      </w:r>
      <w:r w:rsidRPr="00E54C11">
        <w:t xml:space="preserve"> Wo</w:t>
      </w:r>
      <w:r w:rsidRPr="00E77F77">
        <w:t>rk</w:t>
      </w:r>
      <w:r w:rsidRPr="00E54C11">
        <w:t xml:space="preserve"> Ac</w:t>
      </w:r>
      <w:r w:rsidRPr="00E77F77">
        <w:t>t</w:t>
      </w:r>
      <w:r w:rsidRPr="00E54C11">
        <w:t xml:space="preserve"> 197</w:t>
      </w:r>
      <w:r w:rsidRPr="00E77F77">
        <w:t>4</w:t>
      </w:r>
      <w:r w:rsidRPr="00E54C11">
        <w:t xml:space="preserve"> an</w:t>
      </w:r>
      <w:r w:rsidRPr="00E77F77">
        <w:t>d</w:t>
      </w:r>
      <w:r w:rsidRPr="00E54C11">
        <w:t xml:space="preserve"> th</w:t>
      </w:r>
      <w:r w:rsidRPr="00E77F77">
        <w:t xml:space="preserve">e </w:t>
      </w:r>
      <w:r w:rsidRPr="00E54C11">
        <w:t>Managemen</w:t>
      </w:r>
      <w:r w:rsidRPr="00E77F77">
        <w:t>t</w:t>
      </w:r>
      <w:r w:rsidRPr="00E54C11">
        <w:t xml:space="preserve"> o</w:t>
      </w:r>
      <w:r w:rsidRPr="00E77F77">
        <w:t>f</w:t>
      </w:r>
      <w:r w:rsidRPr="00E54C11">
        <w:t xml:space="preserve"> Healt</w:t>
      </w:r>
      <w:r w:rsidRPr="00E77F77">
        <w:t>h</w:t>
      </w:r>
      <w:r w:rsidRPr="00E54C11">
        <w:t xml:space="preserve"> an</w:t>
      </w:r>
      <w:r w:rsidRPr="00E77F77">
        <w:t>d</w:t>
      </w:r>
      <w:r w:rsidRPr="00E54C11">
        <w:t xml:space="preserve"> </w:t>
      </w:r>
      <w:r w:rsidRPr="00E77F77">
        <w:t>S</w:t>
      </w:r>
      <w:r w:rsidRPr="00E54C11">
        <w:t>afet</w:t>
      </w:r>
      <w:r w:rsidRPr="00E77F77">
        <w:t>y</w:t>
      </w:r>
      <w:r w:rsidRPr="00E54C11">
        <w:t xml:space="preserve"> a</w:t>
      </w:r>
      <w:r w:rsidRPr="00E77F77">
        <w:t>t</w:t>
      </w:r>
      <w:r w:rsidRPr="00E54C11">
        <w:t xml:space="preserve"> Wo</w:t>
      </w:r>
      <w:r w:rsidRPr="00E77F77">
        <w:t>rk</w:t>
      </w:r>
      <w:r w:rsidRPr="00E54C11">
        <w:t xml:space="preserve"> Regulation</w:t>
      </w:r>
      <w:r w:rsidRPr="00E77F77">
        <w:t>s</w:t>
      </w:r>
      <w:r w:rsidRPr="00E54C11">
        <w:t xml:space="preserve"> 199</w:t>
      </w:r>
      <w:r w:rsidRPr="00E77F77">
        <w:t xml:space="preserve">9 </w:t>
      </w:r>
      <w:r w:rsidRPr="00E54C11">
        <w:t>employe</w:t>
      </w:r>
      <w:r w:rsidRPr="00E77F77">
        <w:t>rs</w:t>
      </w:r>
      <w:r w:rsidRPr="00E54C11">
        <w:t xml:space="preserve"> hav</w:t>
      </w:r>
      <w:r w:rsidRPr="00E77F77">
        <w:t>e</w:t>
      </w:r>
      <w:r w:rsidRPr="00E54C11">
        <w:t xml:space="preserve"> </w:t>
      </w:r>
      <w:r w:rsidRPr="00E77F77">
        <w:t>a</w:t>
      </w:r>
      <w:r w:rsidRPr="00E54C11">
        <w:t xml:space="preserve"> dut</w:t>
      </w:r>
      <w:r w:rsidRPr="00E77F77">
        <w:t>y</w:t>
      </w:r>
      <w:r w:rsidRPr="00E54C11">
        <w:t xml:space="preserve"> t</w:t>
      </w:r>
      <w:r w:rsidRPr="00E77F77">
        <w:t>o</w:t>
      </w:r>
      <w:r w:rsidRPr="00E54C11">
        <w:t xml:space="preserve"> ensu</w:t>
      </w:r>
      <w:r w:rsidRPr="00E77F77">
        <w:t>re</w:t>
      </w:r>
      <w:r w:rsidRPr="00E54C11">
        <w:t xml:space="preserve"> th</w:t>
      </w:r>
      <w:r w:rsidRPr="00E77F77">
        <w:t>e</w:t>
      </w:r>
      <w:r w:rsidRPr="00E54C11">
        <w:t xml:space="preserve"> health</w:t>
      </w:r>
      <w:r w:rsidRPr="00E77F77">
        <w:t>,</w:t>
      </w:r>
      <w:r w:rsidRPr="00E54C11">
        <w:t xml:space="preserve"> safet</w:t>
      </w:r>
      <w:r w:rsidRPr="00E77F77">
        <w:t>y</w:t>
      </w:r>
      <w:r w:rsidRPr="00E54C11">
        <w:t xml:space="preserve"> an</w:t>
      </w:r>
      <w:r w:rsidRPr="00E77F77">
        <w:t xml:space="preserve">d </w:t>
      </w:r>
      <w:r w:rsidRPr="00E54C11">
        <w:t>welfa</w:t>
      </w:r>
      <w:r w:rsidRPr="00E77F77">
        <w:t>re</w:t>
      </w:r>
      <w:r w:rsidRPr="00E54C11">
        <w:t xml:space="preserve"> o</w:t>
      </w:r>
      <w:r w:rsidRPr="00E77F77">
        <w:t>f</w:t>
      </w:r>
      <w:r w:rsidRPr="00E54C11">
        <w:t xml:space="preserve"> thei</w:t>
      </w:r>
      <w:r w:rsidRPr="00E77F77">
        <w:t>r</w:t>
      </w:r>
      <w:r w:rsidRPr="00E54C11">
        <w:t xml:space="preserve"> staff</w:t>
      </w:r>
      <w:r w:rsidRPr="00E77F77">
        <w:t>.</w:t>
      </w:r>
      <w:r w:rsidRPr="00E54C11">
        <w:t xml:space="preserve"> </w:t>
      </w:r>
      <w:r w:rsidRPr="00E77F77">
        <w:t xml:space="preserve"> </w:t>
      </w:r>
      <w:r w:rsidRPr="00E54C11">
        <w:t>Whe</w:t>
      </w:r>
      <w:r w:rsidRPr="00E77F77">
        <w:t>re</w:t>
      </w:r>
      <w:r w:rsidRPr="00E54C11">
        <w:t xml:space="preserve"> the</w:t>
      </w:r>
      <w:r w:rsidRPr="00E77F77">
        <w:t>y</w:t>
      </w:r>
      <w:r w:rsidRPr="00E54C11">
        <w:t xml:space="preserve"> ma</w:t>
      </w:r>
      <w:r w:rsidRPr="00E77F77">
        <w:t>y</w:t>
      </w:r>
      <w:r w:rsidRPr="00E54C11">
        <w:t xml:space="preserve"> b</w:t>
      </w:r>
      <w:r w:rsidRPr="00E77F77">
        <w:t>e</w:t>
      </w:r>
      <w:r w:rsidRPr="00E54C11">
        <w:t xml:space="preserve"> a</w:t>
      </w:r>
      <w:r w:rsidRPr="00E77F77">
        <w:t>t</w:t>
      </w:r>
      <w:r w:rsidRPr="00E54C11">
        <w:t xml:space="preserve"> </w:t>
      </w:r>
      <w:r w:rsidRPr="00E77F77">
        <w:t>r</w:t>
      </w:r>
      <w:r w:rsidRPr="00E54C11">
        <w:t>isk</w:t>
      </w:r>
      <w:r w:rsidRPr="00E77F77">
        <w:t>,</w:t>
      </w:r>
      <w:r w:rsidRPr="00E54C11">
        <w:t xml:space="preserve"> thi</w:t>
      </w:r>
      <w:r w:rsidRPr="00E77F77">
        <w:t>s</w:t>
      </w:r>
      <w:r w:rsidRPr="00E54C11">
        <w:t xml:space="preserve"> mus</w:t>
      </w:r>
      <w:r w:rsidRPr="00E77F77">
        <w:t>t</w:t>
      </w:r>
      <w:r w:rsidRPr="00E54C11">
        <w:t xml:space="preserve"> b</w:t>
      </w:r>
      <w:r w:rsidRPr="00E77F77">
        <w:t xml:space="preserve">e </w:t>
      </w:r>
      <w:r w:rsidRPr="00E54C11">
        <w:t>assessed</w:t>
      </w:r>
      <w:r w:rsidRPr="00E77F77">
        <w:t>,</w:t>
      </w:r>
      <w:r w:rsidRPr="00E54C11">
        <w:t xml:space="preserve"> documente</w:t>
      </w:r>
      <w:r w:rsidRPr="00E77F77">
        <w:t>d</w:t>
      </w:r>
      <w:r w:rsidRPr="00E54C11">
        <w:t xml:space="preserve"> an</w:t>
      </w:r>
      <w:r w:rsidRPr="00E77F77">
        <w:t>d</w:t>
      </w:r>
      <w:r w:rsidRPr="00E54C11">
        <w:t xml:space="preserve"> staf</w:t>
      </w:r>
      <w:r w:rsidRPr="00E77F77">
        <w:t>f</w:t>
      </w:r>
      <w:r w:rsidRPr="00E54C11">
        <w:t xml:space="preserve"> p</w:t>
      </w:r>
      <w:r w:rsidRPr="00E77F77">
        <w:t>r</w:t>
      </w:r>
      <w:r w:rsidRPr="00E54C11">
        <w:t>ovide</w:t>
      </w:r>
      <w:r w:rsidRPr="00E77F77">
        <w:t>d</w:t>
      </w:r>
      <w:r w:rsidRPr="00E54C11">
        <w:t xml:space="preserve"> wit</w:t>
      </w:r>
      <w:r w:rsidRPr="00E77F77">
        <w:t>h</w:t>
      </w:r>
      <w:r w:rsidRPr="00E54C11">
        <w:t xml:space="preserve"> adequat</w:t>
      </w:r>
      <w:r w:rsidRPr="00E77F77">
        <w:t xml:space="preserve">e </w:t>
      </w:r>
      <w:r w:rsidRPr="00E54C11">
        <w:t>info</w:t>
      </w:r>
      <w:r w:rsidRPr="00E77F77">
        <w:t>r</w:t>
      </w:r>
      <w:r w:rsidRPr="00E54C11">
        <w:t>mation</w:t>
      </w:r>
      <w:r w:rsidRPr="00E77F77">
        <w:t>,</w:t>
      </w:r>
      <w:r w:rsidRPr="00E54C11">
        <w:t xml:space="preserve"> inst</w:t>
      </w:r>
      <w:r w:rsidRPr="00E77F77">
        <w:t>r</w:t>
      </w:r>
      <w:r w:rsidRPr="00E54C11">
        <w:t>uctio</w:t>
      </w:r>
      <w:r w:rsidRPr="00E77F77">
        <w:t>n</w:t>
      </w:r>
      <w:r w:rsidRPr="00E54C11">
        <w:t xml:space="preserve"> an</w:t>
      </w:r>
      <w:r w:rsidRPr="00E77F77">
        <w:t>d</w:t>
      </w:r>
      <w:r w:rsidRPr="00E54C11">
        <w:t xml:space="preserve"> t</w:t>
      </w:r>
      <w:r w:rsidRPr="00E77F77">
        <w:t>r</w:t>
      </w:r>
      <w:r w:rsidRPr="00E54C11">
        <w:t>aining</w:t>
      </w:r>
      <w:r w:rsidRPr="00E77F77">
        <w:t>.</w:t>
      </w:r>
      <w:r w:rsidRPr="00E54C11">
        <w:t xml:space="preserve"> Th</w:t>
      </w:r>
      <w:r w:rsidRPr="00E77F77">
        <w:t>e</w:t>
      </w:r>
      <w:r w:rsidRPr="00E54C11">
        <w:t xml:space="preserve"> ultimat</w:t>
      </w:r>
      <w:r w:rsidRPr="00E77F77">
        <w:t>e</w:t>
      </w:r>
      <w:r w:rsidRPr="00E54C11">
        <w:t xml:space="preserve"> </w:t>
      </w:r>
      <w:r w:rsidRPr="00E77F77">
        <w:t>r</w:t>
      </w:r>
      <w:r w:rsidRPr="00E54C11">
        <w:t>esponsibilit</w:t>
      </w:r>
      <w:r w:rsidRPr="00E77F77">
        <w:t xml:space="preserve">y </w:t>
      </w:r>
      <w:r w:rsidRPr="00E54C11">
        <w:t>fo</w:t>
      </w:r>
      <w:r w:rsidRPr="00E77F77">
        <w:t>r</w:t>
      </w:r>
      <w:r w:rsidRPr="00E54C11">
        <w:t xml:space="preserve"> th</w:t>
      </w:r>
      <w:r w:rsidRPr="00E77F77">
        <w:t>e</w:t>
      </w:r>
      <w:r w:rsidRPr="00E54C11">
        <w:t xml:space="preserve"> healt</w:t>
      </w:r>
      <w:r w:rsidRPr="00E77F77">
        <w:t>h</w:t>
      </w:r>
      <w:r w:rsidRPr="00E54C11">
        <w:t xml:space="preserve"> an</w:t>
      </w:r>
      <w:r w:rsidRPr="00E77F77">
        <w:t>d</w:t>
      </w:r>
      <w:r w:rsidRPr="00E54C11">
        <w:t xml:space="preserve"> safet</w:t>
      </w:r>
      <w:r w:rsidRPr="00E77F77">
        <w:t>y</w:t>
      </w:r>
      <w:r w:rsidRPr="00E54C11">
        <w:t xml:space="preserve"> o</w:t>
      </w:r>
      <w:r w:rsidRPr="00E77F77">
        <w:t>f</w:t>
      </w:r>
      <w:r w:rsidRPr="00E54C11">
        <w:t xml:space="preserve"> staf</w:t>
      </w:r>
      <w:r w:rsidRPr="00E77F77">
        <w:t>f</w:t>
      </w:r>
      <w:r w:rsidRPr="00E54C11">
        <w:t xml:space="preserve"> </w:t>
      </w:r>
      <w:r w:rsidRPr="00E77F77">
        <w:t>r</w:t>
      </w:r>
      <w:r w:rsidRPr="00E54C11">
        <w:t>est</w:t>
      </w:r>
      <w:r w:rsidRPr="00E77F77">
        <w:t>s</w:t>
      </w:r>
      <w:r w:rsidRPr="00E54C11">
        <w:t xml:space="preserve"> wit</w:t>
      </w:r>
      <w:r w:rsidRPr="00E77F77">
        <w:t>h</w:t>
      </w:r>
      <w:r w:rsidRPr="00E54C11">
        <w:t xml:space="preserve"> th</w:t>
      </w:r>
      <w:r w:rsidRPr="00E77F77">
        <w:t>e</w:t>
      </w:r>
      <w:r w:rsidRPr="00E54C11">
        <w:t xml:space="preserve"> employin</w:t>
      </w:r>
      <w:r w:rsidRPr="00E77F77">
        <w:t xml:space="preserve">g </w:t>
      </w:r>
      <w:r w:rsidRPr="00E54C11">
        <w:t>o</w:t>
      </w:r>
      <w:r w:rsidRPr="00E77F77">
        <w:t>r</w:t>
      </w:r>
      <w:r w:rsidRPr="00E54C11">
        <w:t>ganisation</w:t>
      </w:r>
      <w:r w:rsidRPr="00E77F77">
        <w:t xml:space="preserve">.  </w:t>
      </w:r>
    </w:p>
    <w:p w14:paraId="200D2C3C" w14:textId="77777777" w:rsidR="008F7BB3" w:rsidRPr="00E77F77" w:rsidRDefault="008F7BB3" w:rsidP="008F7BB3">
      <w:pPr>
        <w:pStyle w:val="Heading4"/>
      </w:pPr>
      <w:r w:rsidRPr="00E54C11">
        <w:t>I</w:t>
      </w:r>
      <w:r w:rsidRPr="00E77F77">
        <w:t>t</w:t>
      </w:r>
      <w:r w:rsidRPr="00E54C11">
        <w:t xml:space="preserve"> i</w:t>
      </w:r>
      <w:r w:rsidRPr="00E77F77">
        <w:t>s</w:t>
      </w:r>
      <w:r w:rsidRPr="00E54C11">
        <w:t xml:space="preserve"> impo</w:t>
      </w:r>
      <w:r w:rsidRPr="00E77F77">
        <w:t>r</w:t>
      </w:r>
      <w:r w:rsidRPr="00E54C11">
        <w:t>tan</w:t>
      </w:r>
      <w:r w:rsidRPr="00E77F77">
        <w:t>t</w:t>
      </w:r>
      <w:r w:rsidRPr="00E54C11">
        <w:t xml:space="preserve"> tha</w:t>
      </w:r>
      <w:r w:rsidRPr="00E77F77">
        <w:t>t</w:t>
      </w:r>
      <w:r w:rsidRPr="00E54C11">
        <w:t xml:space="preserve"> NH</w:t>
      </w:r>
      <w:r w:rsidRPr="00E77F77">
        <w:t>S</w:t>
      </w:r>
      <w:r w:rsidRPr="00E54C11">
        <w:t xml:space="preserve"> funde</w:t>
      </w:r>
      <w:r w:rsidRPr="00E77F77">
        <w:t>d</w:t>
      </w:r>
      <w:r w:rsidRPr="00E54C11">
        <w:t xml:space="preserve"> p</w:t>
      </w:r>
      <w:r w:rsidRPr="00E77F77">
        <w:t>r</w:t>
      </w:r>
      <w:r w:rsidRPr="00E54C11">
        <w:t>ovide</w:t>
      </w:r>
      <w:r w:rsidRPr="00E77F77">
        <w:t>rs</w:t>
      </w:r>
      <w:r w:rsidRPr="00E54C11">
        <w:t xml:space="preserve"> </w:t>
      </w:r>
      <w:r w:rsidRPr="00E77F77">
        <w:t>r</w:t>
      </w:r>
      <w:r w:rsidRPr="00E54C11">
        <w:t>ecognis</w:t>
      </w:r>
      <w:r w:rsidRPr="00E77F77">
        <w:t>e</w:t>
      </w:r>
      <w:r w:rsidRPr="00E54C11">
        <w:t xml:space="preserve"> th</w:t>
      </w:r>
      <w:r w:rsidRPr="00E77F77">
        <w:t>e</w:t>
      </w:r>
      <w:r w:rsidRPr="00E54C11">
        <w:t xml:space="preserve"> nee</w:t>
      </w:r>
      <w:r w:rsidRPr="00E77F77">
        <w:t xml:space="preserve">d </w:t>
      </w:r>
      <w:r w:rsidRPr="00E54C11">
        <w:t>fo</w:t>
      </w:r>
      <w:r w:rsidRPr="00E77F77">
        <w:t>r</w:t>
      </w:r>
      <w:r w:rsidRPr="00E54C11">
        <w:t xml:space="preserve"> t</w:t>
      </w:r>
      <w:r w:rsidRPr="00E77F77">
        <w:t>r</w:t>
      </w:r>
      <w:r w:rsidRPr="00E54C11">
        <w:t>ainin</w:t>
      </w:r>
      <w:r w:rsidRPr="00E77F77">
        <w:t>g</w:t>
      </w:r>
      <w:r w:rsidRPr="00E54C11">
        <w:t xml:space="preserve"> standa</w:t>
      </w:r>
      <w:r w:rsidRPr="00E77F77">
        <w:t>r</w:t>
      </w:r>
      <w:r w:rsidRPr="00E54C11">
        <w:t>d</w:t>
      </w:r>
      <w:r w:rsidRPr="00E77F77">
        <w:t>s</w:t>
      </w:r>
      <w:r w:rsidRPr="00E54C11">
        <w:t xml:space="preserve"> i</w:t>
      </w:r>
      <w:r w:rsidRPr="00E77F77">
        <w:t>n</w:t>
      </w:r>
      <w:r w:rsidRPr="00E54C11">
        <w:t xml:space="preserve"> violenc</w:t>
      </w:r>
      <w:r w:rsidRPr="00E77F77">
        <w:t>e</w:t>
      </w:r>
      <w:r w:rsidRPr="00E54C11">
        <w:t xml:space="preserve"> an</w:t>
      </w:r>
      <w:r w:rsidRPr="00E77F77">
        <w:t>d</w:t>
      </w:r>
      <w:r w:rsidRPr="00E54C11">
        <w:t xml:space="preserve"> agg</w:t>
      </w:r>
      <w:r w:rsidRPr="00E77F77">
        <w:t>r</w:t>
      </w:r>
      <w:r w:rsidRPr="00E54C11">
        <w:t>ession</w:t>
      </w:r>
      <w:r w:rsidRPr="00E77F77">
        <w:t>.</w:t>
      </w:r>
      <w:r w:rsidRPr="00E54C11">
        <w:t xml:space="preserve"> </w:t>
      </w:r>
      <w:r w:rsidRPr="00E77F77">
        <w:t xml:space="preserve"> </w:t>
      </w:r>
      <w:r w:rsidRPr="00E54C11">
        <w:t>The</w:t>
      </w:r>
      <w:r w:rsidRPr="00E77F77">
        <w:t>re</w:t>
      </w:r>
      <w:r w:rsidRPr="00E54C11">
        <w:t xml:space="preserve"> i</w:t>
      </w:r>
      <w:r w:rsidRPr="00E77F77">
        <w:t>s</w:t>
      </w:r>
      <w:r w:rsidRPr="00E54C11">
        <w:t xml:space="preserve"> </w:t>
      </w:r>
      <w:r w:rsidRPr="00E77F77">
        <w:t xml:space="preserve">a </w:t>
      </w:r>
      <w:r w:rsidRPr="00E54C11">
        <w:t>lega</w:t>
      </w:r>
      <w:r w:rsidRPr="00E77F77">
        <w:t>l</w:t>
      </w:r>
      <w:r w:rsidRPr="00E54C11">
        <w:t xml:space="preserve"> </w:t>
      </w:r>
      <w:r w:rsidRPr="00E77F77">
        <w:t>r</w:t>
      </w:r>
      <w:r w:rsidRPr="00E54C11">
        <w:t>equi</w:t>
      </w:r>
      <w:r w:rsidRPr="00E77F77">
        <w:t>r</w:t>
      </w:r>
      <w:r w:rsidRPr="00E54C11">
        <w:t>emen</w:t>
      </w:r>
      <w:r w:rsidRPr="00E77F77">
        <w:t>t</w:t>
      </w:r>
      <w:r w:rsidRPr="00E54C11">
        <w:t xml:space="preserve"> t</w:t>
      </w:r>
      <w:r w:rsidRPr="00E77F77">
        <w:t>o</w:t>
      </w:r>
      <w:r w:rsidRPr="00E54C11">
        <w:t xml:space="preserve"> ensu</w:t>
      </w:r>
      <w:r w:rsidRPr="00E77F77">
        <w:t>re</w:t>
      </w:r>
      <w:r w:rsidRPr="00E54C11">
        <w:t xml:space="preserve"> tha</w:t>
      </w:r>
      <w:r w:rsidRPr="00E77F77">
        <w:t>t</w:t>
      </w:r>
      <w:r w:rsidRPr="00E54C11">
        <w:t xml:space="preserve"> thos</w:t>
      </w:r>
      <w:r w:rsidRPr="00E77F77">
        <w:t>e</w:t>
      </w:r>
      <w:r w:rsidRPr="00E54C11">
        <w:t xml:space="preserve"> advisin</w:t>
      </w:r>
      <w:r w:rsidRPr="00E77F77">
        <w:t>g</w:t>
      </w:r>
      <w:r w:rsidRPr="00E54C11">
        <w:t xml:space="preserve"> an</w:t>
      </w:r>
      <w:r w:rsidRPr="00E77F77">
        <w:t>d</w:t>
      </w:r>
      <w:r w:rsidRPr="00E54C11">
        <w:t xml:space="preserve"> t</w:t>
      </w:r>
      <w:r w:rsidRPr="00E77F77">
        <w:t>r</w:t>
      </w:r>
      <w:r w:rsidRPr="00E54C11">
        <w:t>ainin</w:t>
      </w:r>
      <w:r w:rsidRPr="00E77F77">
        <w:t xml:space="preserve">g </w:t>
      </w:r>
      <w:r w:rsidRPr="00E54C11">
        <w:t>othe</w:t>
      </w:r>
      <w:r w:rsidRPr="00E77F77">
        <w:t>rs</w:t>
      </w:r>
      <w:r w:rsidRPr="00E54C11">
        <w:t xml:space="preserve"> i</w:t>
      </w:r>
      <w:r w:rsidRPr="00E77F77">
        <w:t>n</w:t>
      </w:r>
      <w:r w:rsidRPr="00E54C11">
        <w:t xml:space="preserve"> th</w:t>
      </w:r>
      <w:r w:rsidRPr="00E77F77">
        <w:t>e</w:t>
      </w:r>
      <w:r w:rsidRPr="00E54C11">
        <w:t xml:space="preserve"> saf</w:t>
      </w:r>
      <w:r w:rsidRPr="00E77F77">
        <w:t>e</w:t>
      </w:r>
      <w:r w:rsidRPr="00E54C11">
        <w:t xml:space="preserve"> managemen</w:t>
      </w:r>
      <w:r w:rsidRPr="00E77F77">
        <w:t>t</w:t>
      </w:r>
      <w:r w:rsidRPr="00E54C11">
        <w:t xml:space="preserve"> o</w:t>
      </w:r>
      <w:r w:rsidRPr="00E77F77">
        <w:t>f</w:t>
      </w:r>
      <w:r w:rsidRPr="00E54C11">
        <w:t xml:space="preserve"> violenc</w:t>
      </w:r>
      <w:r w:rsidRPr="00E77F77">
        <w:t>e</w:t>
      </w:r>
      <w:r w:rsidRPr="00E54C11">
        <w:t xml:space="preserve"> an</w:t>
      </w:r>
      <w:r w:rsidRPr="00E77F77">
        <w:t>d</w:t>
      </w:r>
      <w:r w:rsidRPr="00E54C11">
        <w:t xml:space="preserve"> agg</w:t>
      </w:r>
      <w:r w:rsidRPr="00E77F77">
        <w:t>r</w:t>
      </w:r>
      <w:r w:rsidRPr="00E54C11">
        <w:t>essio</w:t>
      </w:r>
      <w:r w:rsidRPr="00E77F77">
        <w:t xml:space="preserve">n </w:t>
      </w:r>
      <w:r w:rsidRPr="00E54C11">
        <w:t>hav</w:t>
      </w:r>
      <w:r w:rsidRPr="00E77F77">
        <w:t>e</w:t>
      </w:r>
      <w:r w:rsidRPr="00E54C11">
        <w:t xml:space="preserve"> th</w:t>
      </w:r>
      <w:r w:rsidRPr="00E77F77">
        <w:t>e</w:t>
      </w:r>
      <w:r w:rsidRPr="00E54C11">
        <w:t xml:space="preserve"> app</w:t>
      </w:r>
      <w:r w:rsidRPr="00E77F77">
        <w:t>r</w:t>
      </w:r>
      <w:r w:rsidRPr="00E54C11">
        <w:t>op</w:t>
      </w:r>
      <w:r w:rsidRPr="00E77F77">
        <w:t>r</w:t>
      </w:r>
      <w:r w:rsidRPr="00E54C11">
        <w:t>iat</w:t>
      </w:r>
      <w:r w:rsidRPr="00E77F77">
        <w:t>e</w:t>
      </w:r>
      <w:r w:rsidRPr="00E54C11">
        <w:t xml:space="preserve"> skill</w:t>
      </w:r>
      <w:r w:rsidRPr="00E77F77">
        <w:t>s</w:t>
      </w:r>
      <w:r w:rsidRPr="00E54C11">
        <w:t xml:space="preserve"> an</w:t>
      </w:r>
      <w:r w:rsidRPr="00E77F77">
        <w:t>d</w:t>
      </w:r>
      <w:r w:rsidRPr="00E54C11">
        <w:t xml:space="preserve"> knowledge</w:t>
      </w:r>
      <w:r w:rsidRPr="00E77F77">
        <w:t xml:space="preserve">. </w:t>
      </w:r>
    </w:p>
    <w:p w14:paraId="3466B0A5" w14:textId="77777777" w:rsidR="008F7BB3" w:rsidRPr="00E77F77" w:rsidRDefault="008F7BB3" w:rsidP="008F7BB3">
      <w:pPr>
        <w:pStyle w:val="Heading4"/>
      </w:pPr>
      <w:r w:rsidRPr="00E77F77">
        <w:t>A</w:t>
      </w:r>
      <w:r w:rsidRPr="00E54C11">
        <w:t xml:space="preserve"> T</w:t>
      </w:r>
      <w:r w:rsidRPr="00E77F77">
        <w:t>r</w:t>
      </w:r>
      <w:r w:rsidRPr="00E54C11">
        <w:t>ainin</w:t>
      </w:r>
      <w:r w:rsidRPr="00E77F77">
        <w:t>g</w:t>
      </w:r>
      <w:r w:rsidRPr="00E54C11">
        <w:t xml:space="preserve"> Need</w:t>
      </w:r>
      <w:r w:rsidRPr="00E77F77">
        <w:t>s</w:t>
      </w:r>
      <w:r w:rsidRPr="00E54C11">
        <w:t xml:space="preserve"> Analysi</w:t>
      </w:r>
      <w:r w:rsidRPr="00E77F77">
        <w:t>s</w:t>
      </w:r>
      <w:r w:rsidRPr="00E54C11">
        <w:t xml:space="preserve"> shoul</w:t>
      </w:r>
      <w:r w:rsidRPr="00E77F77">
        <w:t>d</w:t>
      </w:r>
      <w:r w:rsidRPr="00E54C11">
        <w:t xml:space="preserve"> hav</w:t>
      </w:r>
      <w:r w:rsidRPr="00E77F77">
        <w:t>e</w:t>
      </w:r>
      <w:r w:rsidRPr="00E54C11">
        <w:t xml:space="preserve"> bee</w:t>
      </w:r>
      <w:r w:rsidRPr="00E77F77">
        <w:t>n</w:t>
      </w:r>
      <w:r w:rsidRPr="00E54C11">
        <w:t xml:space="preserve"> unde</w:t>
      </w:r>
      <w:r w:rsidRPr="00E77F77">
        <w:t>r</w:t>
      </w:r>
      <w:r w:rsidRPr="00E54C11">
        <w:t>take</w:t>
      </w:r>
      <w:r w:rsidRPr="00E77F77">
        <w:t>n</w:t>
      </w:r>
      <w:r w:rsidRPr="00E54C11">
        <w:t xml:space="preserve"> t</w:t>
      </w:r>
      <w:r w:rsidRPr="00E77F77">
        <w:t xml:space="preserve">o </w:t>
      </w:r>
      <w:r w:rsidRPr="00E54C11">
        <w:t>identif</w:t>
      </w:r>
      <w:r w:rsidRPr="00E77F77">
        <w:t>y</w:t>
      </w:r>
      <w:r w:rsidRPr="00E54C11">
        <w:t xml:space="preserve"> th</w:t>
      </w:r>
      <w:r w:rsidRPr="00E77F77">
        <w:t>e</w:t>
      </w:r>
      <w:r w:rsidRPr="00E54C11">
        <w:t xml:space="preserve"> leve</w:t>
      </w:r>
      <w:r w:rsidRPr="00E77F77">
        <w:t>l</w:t>
      </w:r>
      <w:r w:rsidRPr="00E54C11">
        <w:t xml:space="preserve"> o</w:t>
      </w:r>
      <w:r w:rsidRPr="00E77F77">
        <w:t>f</w:t>
      </w:r>
      <w:r w:rsidRPr="00E54C11">
        <w:t xml:space="preserve"> t</w:t>
      </w:r>
      <w:r w:rsidRPr="00E77F77">
        <w:t>r</w:t>
      </w:r>
      <w:r w:rsidRPr="00E54C11">
        <w:t>ainin</w:t>
      </w:r>
      <w:r w:rsidRPr="00E77F77">
        <w:t>g</w:t>
      </w:r>
      <w:r w:rsidRPr="00E54C11">
        <w:t xml:space="preserve"> tha</w:t>
      </w:r>
      <w:r w:rsidRPr="00E77F77">
        <w:t>t</w:t>
      </w:r>
      <w:r w:rsidRPr="00E54C11">
        <w:t xml:space="preserve"> i</w:t>
      </w:r>
      <w:r w:rsidRPr="00E77F77">
        <w:t>s</w:t>
      </w:r>
      <w:r w:rsidRPr="00E54C11">
        <w:t xml:space="preserve"> </w:t>
      </w:r>
      <w:r w:rsidRPr="00E77F77">
        <w:t>r</w:t>
      </w:r>
      <w:r w:rsidRPr="00E54C11">
        <w:t>equi</w:t>
      </w:r>
      <w:r w:rsidRPr="00E77F77">
        <w:t>r</w:t>
      </w:r>
      <w:r w:rsidRPr="00E54C11">
        <w:t>ed</w:t>
      </w:r>
      <w:r w:rsidRPr="00E77F77">
        <w:t>.</w:t>
      </w:r>
      <w:r w:rsidRPr="00E54C11">
        <w:t xml:space="preserve"> </w:t>
      </w:r>
      <w:r w:rsidRPr="00E77F77">
        <w:t xml:space="preserve"> </w:t>
      </w:r>
      <w:r w:rsidRPr="00E54C11">
        <w:t>Howeve</w:t>
      </w:r>
      <w:r w:rsidRPr="00E77F77">
        <w:t>r,</w:t>
      </w:r>
      <w:r w:rsidRPr="00E54C11">
        <w:t xml:space="preserve"> t</w:t>
      </w:r>
      <w:r w:rsidRPr="00E77F77">
        <w:t>r</w:t>
      </w:r>
      <w:r w:rsidRPr="00E54C11">
        <w:t>ainin</w:t>
      </w:r>
      <w:r w:rsidRPr="00E77F77">
        <w:t>g r</w:t>
      </w:r>
      <w:r w:rsidRPr="00E54C11">
        <w:t>equi</w:t>
      </w:r>
      <w:r w:rsidRPr="00E77F77">
        <w:t>r</w:t>
      </w:r>
      <w:r w:rsidRPr="00E54C11">
        <w:t>ement</w:t>
      </w:r>
      <w:r w:rsidRPr="00E77F77">
        <w:t>s</w:t>
      </w:r>
      <w:r w:rsidRPr="00E54C11">
        <w:t xml:space="preserve"> ma</w:t>
      </w:r>
      <w:r w:rsidRPr="00E77F77">
        <w:t>y</w:t>
      </w:r>
      <w:r w:rsidRPr="00E54C11">
        <w:t xml:space="preserve"> chang</w:t>
      </w:r>
      <w:r w:rsidRPr="00E77F77">
        <w:t>e</w:t>
      </w:r>
      <w:r w:rsidRPr="00E54C11">
        <w:t xml:space="preserve"> becaus</w:t>
      </w:r>
      <w:r w:rsidRPr="00E77F77">
        <w:t>e</w:t>
      </w:r>
      <w:r w:rsidRPr="00E54C11">
        <w:t xml:space="preserve"> o</w:t>
      </w:r>
      <w:r w:rsidRPr="00E77F77">
        <w:t>f</w:t>
      </w:r>
      <w:r w:rsidRPr="00E54C11">
        <w:t xml:space="preserve"> </w:t>
      </w:r>
      <w:r w:rsidRPr="00E77F77">
        <w:t>a</w:t>
      </w:r>
      <w:r w:rsidRPr="00E54C11">
        <w:t xml:space="preserve"> </w:t>
      </w:r>
      <w:r w:rsidRPr="00E77F77">
        <w:t>r</w:t>
      </w:r>
      <w:r w:rsidRPr="00E54C11">
        <w:t>is</w:t>
      </w:r>
      <w:r w:rsidRPr="00E77F77">
        <w:t>k</w:t>
      </w:r>
      <w:r w:rsidRPr="00E54C11">
        <w:t xml:space="preserve"> assessmen</w:t>
      </w:r>
      <w:r w:rsidRPr="00E77F77">
        <w:t>t</w:t>
      </w:r>
      <w:r w:rsidRPr="00E54C11">
        <w:t xml:space="preserve"> an</w:t>
      </w:r>
      <w:r w:rsidRPr="00E77F77">
        <w:t xml:space="preserve">d </w:t>
      </w:r>
      <w:r w:rsidRPr="00E54C11">
        <w:t>th</w:t>
      </w:r>
      <w:r w:rsidRPr="00E77F77">
        <w:t>e</w:t>
      </w:r>
      <w:r w:rsidRPr="00E54C11">
        <w:t xml:space="preserve"> int</w:t>
      </w:r>
      <w:r w:rsidRPr="00E77F77">
        <w:t>r</w:t>
      </w:r>
      <w:r w:rsidRPr="00E54C11">
        <w:t>oductio</w:t>
      </w:r>
      <w:r w:rsidRPr="00E77F77">
        <w:t>n</w:t>
      </w:r>
      <w:r w:rsidRPr="00E54C11">
        <w:t xml:space="preserve"> o</w:t>
      </w:r>
      <w:r w:rsidRPr="00E77F77">
        <w:t>f</w:t>
      </w:r>
      <w:r w:rsidRPr="00E54C11">
        <w:t xml:space="preserve"> additiona</w:t>
      </w:r>
      <w:r w:rsidRPr="00E77F77">
        <w:t>l</w:t>
      </w:r>
      <w:r w:rsidRPr="00E54C11">
        <w:t xml:space="preserve"> cont</w:t>
      </w:r>
      <w:r w:rsidRPr="00E77F77">
        <w:t>r</w:t>
      </w:r>
      <w:r w:rsidRPr="00E54C11">
        <w:t>o</w:t>
      </w:r>
      <w:r w:rsidRPr="00E77F77">
        <w:t>l</w:t>
      </w:r>
      <w:r w:rsidRPr="00E54C11">
        <w:t xml:space="preserve"> measu</w:t>
      </w:r>
      <w:r w:rsidRPr="00E77F77">
        <w:t>r</w:t>
      </w:r>
      <w:r w:rsidRPr="00E54C11">
        <w:t>es</w:t>
      </w:r>
      <w:r w:rsidRPr="00E77F77">
        <w:t>.</w:t>
      </w:r>
    </w:p>
    <w:p w14:paraId="62938248" w14:textId="77777777" w:rsidR="008F7BB3" w:rsidRPr="00E54C11" w:rsidRDefault="008F7BB3" w:rsidP="008F7BB3">
      <w:pPr>
        <w:pStyle w:val="Heading4"/>
        <w:rPr>
          <w:b/>
        </w:rPr>
      </w:pPr>
      <w:r w:rsidRPr="00E54C11">
        <w:rPr>
          <w:b/>
        </w:rPr>
        <w:t>Aims</w:t>
      </w:r>
    </w:p>
    <w:p w14:paraId="4FF9E3EA" w14:textId="77777777" w:rsidR="008F7BB3" w:rsidRPr="00E77F77" w:rsidRDefault="008F7BB3" w:rsidP="008F7BB3">
      <w:pPr>
        <w:pStyle w:val="Heading4"/>
      </w:pPr>
      <w:r w:rsidRPr="00E54C11">
        <w:t>Th</w:t>
      </w:r>
      <w:r w:rsidRPr="00E77F77">
        <w:t>e</w:t>
      </w:r>
      <w:r w:rsidRPr="00E54C11">
        <w:t xml:space="preserve"> ke</w:t>
      </w:r>
      <w:r w:rsidRPr="00E77F77">
        <w:t>y</w:t>
      </w:r>
      <w:r w:rsidRPr="00E54C11">
        <w:t xml:space="preserve"> ai</w:t>
      </w:r>
      <w:r w:rsidRPr="00E77F77">
        <w:t>m</w:t>
      </w:r>
      <w:r w:rsidRPr="00E54C11">
        <w:t xml:space="preserve"> o</w:t>
      </w:r>
      <w:r w:rsidRPr="00E77F77">
        <w:t>f</w:t>
      </w:r>
      <w:r w:rsidRPr="00E54C11">
        <w:t xml:space="preserve"> thi</w:t>
      </w:r>
      <w:r w:rsidRPr="00E77F77">
        <w:t>s</w:t>
      </w:r>
      <w:r w:rsidRPr="00E54C11">
        <w:t xml:space="preserve"> Anne</w:t>
      </w:r>
      <w:r w:rsidRPr="00E77F77">
        <w:t>x</w:t>
      </w:r>
      <w:r w:rsidRPr="00E54C11">
        <w:t xml:space="preserve"> i</w:t>
      </w:r>
      <w:r w:rsidRPr="00E77F77">
        <w:t>s</w:t>
      </w:r>
      <w:r w:rsidRPr="00E54C11">
        <w:t xml:space="preserve"> t</w:t>
      </w:r>
      <w:r w:rsidRPr="00E77F77">
        <w:t>o</w:t>
      </w:r>
      <w:r w:rsidRPr="00E54C11">
        <w:t xml:space="preserve"> outlin</w:t>
      </w:r>
      <w:r w:rsidRPr="00E77F77">
        <w:t>e</w:t>
      </w:r>
      <w:r w:rsidRPr="00E54C11">
        <w:t xml:space="preserve"> </w:t>
      </w:r>
      <w:r w:rsidRPr="00E77F77">
        <w:t>a</w:t>
      </w:r>
      <w:r w:rsidRPr="00E54C11">
        <w:t xml:space="preserve"> </w:t>
      </w:r>
      <w:r w:rsidRPr="00E77F77">
        <w:t>r</w:t>
      </w:r>
      <w:r w:rsidRPr="00E54C11">
        <w:t>isk</w:t>
      </w:r>
      <w:r w:rsidRPr="00E77F77">
        <w:t>-</w:t>
      </w:r>
      <w:r w:rsidRPr="00E54C11">
        <w:t>base</w:t>
      </w:r>
      <w:r w:rsidRPr="00E77F77">
        <w:t>d</w:t>
      </w:r>
      <w:r w:rsidRPr="00E54C11">
        <w:t xml:space="preserve"> app</w:t>
      </w:r>
      <w:r w:rsidRPr="00E77F77">
        <w:t>r</w:t>
      </w:r>
      <w:r w:rsidRPr="00E54C11">
        <w:t>oach</w:t>
      </w:r>
      <w:r w:rsidRPr="00E77F77">
        <w:t xml:space="preserve">, </w:t>
      </w:r>
      <w:r w:rsidRPr="00E54C11">
        <w:t>whic</w:t>
      </w:r>
      <w:r w:rsidRPr="00E77F77">
        <w:t>h</w:t>
      </w:r>
      <w:r w:rsidRPr="00E54C11">
        <w:t xml:space="preserve"> conside</w:t>
      </w:r>
      <w:r w:rsidRPr="00E77F77">
        <w:t>rs</w:t>
      </w:r>
      <w:r w:rsidRPr="00E54C11">
        <w:t xml:space="preserve"> th</w:t>
      </w:r>
      <w:r w:rsidRPr="00E77F77">
        <w:t>e</w:t>
      </w:r>
      <w:r w:rsidRPr="00E54C11">
        <w:t xml:space="preserve"> </w:t>
      </w:r>
      <w:r w:rsidRPr="00E77F77">
        <w:t>r</w:t>
      </w:r>
      <w:r w:rsidRPr="00E54C11">
        <w:t>is</w:t>
      </w:r>
      <w:r w:rsidRPr="00E77F77">
        <w:t>k</w:t>
      </w:r>
      <w:r w:rsidRPr="00E54C11">
        <w:t xml:space="preserve"> facto</w:t>
      </w:r>
      <w:r w:rsidRPr="00E77F77">
        <w:t>rs</w:t>
      </w:r>
      <w:r w:rsidRPr="00E54C11">
        <w:t xml:space="preserve"> an</w:t>
      </w:r>
      <w:r w:rsidRPr="00E77F77">
        <w:t>d</w:t>
      </w:r>
      <w:r w:rsidRPr="00E54C11">
        <w:t xml:space="preserve"> </w:t>
      </w:r>
      <w:r w:rsidRPr="00E77F77">
        <w:t>r</w:t>
      </w:r>
      <w:r w:rsidRPr="00E54C11">
        <w:t>is</w:t>
      </w:r>
      <w:r w:rsidRPr="00E77F77">
        <w:t>k</w:t>
      </w:r>
      <w:r w:rsidRPr="00E54C11">
        <w:t xml:space="preserve"> mitigatio</w:t>
      </w:r>
      <w:r w:rsidRPr="00E77F77">
        <w:t>n</w:t>
      </w:r>
      <w:r w:rsidRPr="00E54C11">
        <w:t xml:space="preserve"> options</w:t>
      </w:r>
      <w:r w:rsidRPr="00E77F77">
        <w:t xml:space="preserve">. </w:t>
      </w:r>
      <w:r w:rsidRPr="00E54C11">
        <w:t>Thus</w:t>
      </w:r>
      <w:r w:rsidRPr="00E77F77">
        <w:t>,</w:t>
      </w:r>
      <w:r w:rsidRPr="00E54C11">
        <w:t xml:space="preserve"> ensu</w:t>
      </w:r>
      <w:r w:rsidRPr="00E77F77">
        <w:t>r</w:t>
      </w:r>
      <w:r w:rsidRPr="00E54C11">
        <w:t>in</w:t>
      </w:r>
      <w:r w:rsidRPr="00E77F77">
        <w:t>g</w:t>
      </w:r>
      <w:r w:rsidRPr="00E54C11">
        <w:t xml:space="preserve"> NH</w:t>
      </w:r>
      <w:r w:rsidRPr="00E77F77">
        <w:t>S</w:t>
      </w:r>
      <w:r w:rsidRPr="00E54C11">
        <w:t xml:space="preserve"> Funde</w:t>
      </w:r>
      <w:r w:rsidRPr="00E77F77">
        <w:t>d</w:t>
      </w:r>
      <w:r w:rsidRPr="00E54C11">
        <w:t xml:space="preserve"> p</w:t>
      </w:r>
      <w:r w:rsidRPr="00E77F77">
        <w:t>r</w:t>
      </w:r>
      <w:r w:rsidRPr="00E54C11">
        <w:t>ovide</w:t>
      </w:r>
      <w:r w:rsidRPr="00E77F77">
        <w:t>rs</w:t>
      </w:r>
      <w:r w:rsidRPr="00E54C11">
        <w:t xml:space="preserve"> wh</w:t>
      </w:r>
      <w:r w:rsidRPr="00E77F77">
        <w:t>o</w:t>
      </w:r>
      <w:r w:rsidRPr="00E54C11">
        <w:t xml:space="preserve"> delive</w:t>
      </w:r>
      <w:r w:rsidRPr="00E77F77">
        <w:t>r</w:t>
      </w:r>
      <w:r w:rsidRPr="00E54C11">
        <w:t xml:space="preserve"> th</w:t>
      </w:r>
      <w:r w:rsidRPr="00E77F77">
        <w:t>e</w:t>
      </w:r>
      <w:r w:rsidRPr="00E54C11">
        <w:t xml:space="preserve"> </w:t>
      </w:r>
      <w:r w:rsidRPr="00E77F77">
        <w:t>S</w:t>
      </w:r>
      <w:r w:rsidRPr="00E54C11">
        <w:t>A</w:t>
      </w:r>
      <w:r w:rsidRPr="00E77F77">
        <w:t xml:space="preserve">S </w:t>
      </w:r>
      <w:r w:rsidRPr="00E54C11">
        <w:t>a</w:t>
      </w:r>
      <w:r w:rsidRPr="00E77F77">
        <w:t>re</w:t>
      </w:r>
      <w:r w:rsidRPr="00E54C11">
        <w:t xml:space="preserve"> abl</w:t>
      </w:r>
      <w:r w:rsidRPr="00E77F77">
        <w:t>e</w:t>
      </w:r>
      <w:r w:rsidRPr="00E54C11">
        <w:t xml:space="preserve"> t</w:t>
      </w:r>
      <w:r w:rsidRPr="00E77F77">
        <w:t>o</w:t>
      </w:r>
      <w:r w:rsidRPr="00E54C11">
        <w:t xml:space="preserve"> delive</w:t>
      </w:r>
      <w:r w:rsidRPr="00E77F77">
        <w:t>r</w:t>
      </w:r>
      <w:r w:rsidRPr="00E54C11">
        <w:t xml:space="preserve"> th</w:t>
      </w:r>
      <w:r w:rsidRPr="00E77F77">
        <w:t>e</w:t>
      </w:r>
      <w:r w:rsidRPr="00E54C11">
        <w:t xml:space="preserve"> highes</w:t>
      </w:r>
      <w:r w:rsidRPr="00E77F77">
        <w:t>t</w:t>
      </w:r>
      <w:r w:rsidRPr="00E54C11">
        <w:t xml:space="preserve"> qualit</w:t>
      </w:r>
      <w:r w:rsidRPr="00E77F77">
        <w:t>y</w:t>
      </w:r>
      <w:r w:rsidRPr="00E54C11">
        <w:t xml:space="preserve"> o</w:t>
      </w:r>
      <w:r w:rsidRPr="00E77F77">
        <w:t>f</w:t>
      </w:r>
      <w:r w:rsidRPr="00E54C11">
        <w:t xml:space="preserve"> clinica</w:t>
      </w:r>
      <w:r w:rsidRPr="00E77F77">
        <w:t>l</w:t>
      </w:r>
      <w:r w:rsidRPr="00E54C11">
        <w:t xml:space="preserve"> ca</w:t>
      </w:r>
      <w:r w:rsidRPr="00E77F77">
        <w:t>re</w:t>
      </w:r>
      <w:r w:rsidRPr="00E54C11">
        <w:t xml:space="preserve"> availabl</w:t>
      </w:r>
      <w:r w:rsidRPr="00E77F77">
        <w:t xml:space="preserve">e </w:t>
      </w:r>
      <w:r w:rsidRPr="00E54C11">
        <w:t>t</w:t>
      </w:r>
      <w:r w:rsidRPr="00E77F77">
        <w:t>o</w:t>
      </w:r>
      <w:r w:rsidRPr="00E54C11">
        <w:t xml:space="preserve"> patients</w:t>
      </w:r>
      <w:r w:rsidRPr="00E77F77">
        <w:t>.</w:t>
      </w:r>
    </w:p>
    <w:p w14:paraId="40A96718" w14:textId="77777777" w:rsidR="008F7BB3" w:rsidRPr="00E54C11" w:rsidRDefault="008F7BB3" w:rsidP="008F7BB3">
      <w:pPr>
        <w:pStyle w:val="Heading4"/>
        <w:rPr>
          <w:b/>
        </w:rPr>
      </w:pPr>
      <w:r w:rsidRPr="00E54C11">
        <w:rPr>
          <w:b/>
        </w:rPr>
        <w:t>Requirements</w:t>
      </w:r>
    </w:p>
    <w:p w14:paraId="3DE4CA74" w14:textId="77777777" w:rsidR="008F7BB3" w:rsidRPr="00E77F77" w:rsidRDefault="008F7BB3" w:rsidP="008F7BB3">
      <w:pPr>
        <w:pStyle w:val="Heading4"/>
      </w:pPr>
      <w:r w:rsidRPr="00E54C11">
        <w:t>Al</w:t>
      </w:r>
      <w:r w:rsidRPr="00E77F77">
        <w:t>l</w:t>
      </w:r>
      <w:r w:rsidRPr="00E54C11">
        <w:t xml:space="preserve"> NH</w:t>
      </w:r>
      <w:r w:rsidRPr="00E77F77">
        <w:t>S</w:t>
      </w:r>
      <w:r w:rsidRPr="00E54C11">
        <w:t xml:space="preserve"> Funde</w:t>
      </w:r>
      <w:r w:rsidRPr="00E77F77">
        <w:t xml:space="preserve">d </w:t>
      </w:r>
      <w:r w:rsidRPr="00E54C11">
        <w:t>p</w:t>
      </w:r>
      <w:r w:rsidRPr="00E77F77">
        <w:t>r</w:t>
      </w:r>
      <w:r w:rsidRPr="00E54C11">
        <w:t>ovide</w:t>
      </w:r>
      <w:r w:rsidRPr="00E77F77">
        <w:t xml:space="preserve">rs </w:t>
      </w:r>
      <w:r w:rsidRPr="00E54C11">
        <w:t>wh</w:t>
      </w:r>
      <w:r w:rsidRPr="00E77F77">
        <w:t xml:space="preserve">o </w:t>
      </w:r>
      <w:r w:rsidRPr="00E54C11">
        <w:t>delive</w:t>
      </w:r>
      <w:r w:rsidRPr="00E77F77">
        <w:t xml:space="preserve">r </w:t>
      </w:r>
      <w:r w:rsidRPr="00E54C11">
        <w:t>th</w:t>
      </w:r>
      <w:r w:rsidRPr="00E77F77">
        <w:t>e</w:t>
      </w:r>
      <w:r w:rsidRPr="00E54C11">
        <w:t xml:space="preserve"> </w:t>
      </w:r>
      <w:r w:rsidRPr="00E77F77">
        <w:t>S</w:t>
      </w:r>
      <w:r w:rsidRPr="00E54C11">
        <w:t>A</w:t>
      </w:r>
      <w:r w:rsidRPr="00E77F77">
        <w:t xml:space="preserve">S </w:t>
      </w:r>
      <w:r w:rsidRPr="00E54C11">
        <w:t xml:space="preserve"> mus</w:t>
      </w:r>
      <w:r w:rsidRPr="00E77F77">
        <w:t xml:space="preserve">t </w:t>
      </w:r>
      <w:r w:rsidRPr="00E54C11">
        <w:t>unde</w:t>
      </w:r>
      <w:r w:rsidRPr="00E77F77">
        <w:t>r</w:t>
      </w:r>
      <w:r w:rsidRPr="00E54C11">
        <w:t>tak</w:t>
      </w:r>
      <w:r w:rsidRPr="00E77F77">
        <w:t>e</w:t>
      </w:r>
      <w:r w:rsidRPr="00E54C11">
        <w:t xml:space="preserve"> suitabl</w:t>
      </w:r>
      <w:r w:rsidRPr="00E77F77">
        <w:t>e</w:t>
      </w:r>
      <w:r w:rsidRPr="00E54C11">
        <w:t xml:space="preserve"> an</w:t>
      </w:r>
      <w:r w:rsidRPr="00E77F77">
        <w:t>d</w:t>
      </w:r>
      <w:r w:rsidRPr="00E54C11">
        <w:t xml:space="preserve"> sufficien</w:t>
      </w:r>
      <w:r w:rsidRPr="00E77F77">
        <w:t>t</w:t>
      </w:r>
      <w:r w:rsidRPr="00E54C11">
        <w:t xml:space="preserve"> </w:t>
      </w:r>
      <w:r w:rsidRPr="00E77F77">
        <w:t>r</w:t>
      </w:r>
      <w:r w:rsidRPr="00E54C11">
        <w:t>is</w:t>
      </w:r>
      <w:r w:rsidRPr="00E77F77">
        <w:t>k</w:t>
      </w:r>
      <w:r w:rsidRPr="00E54C11">
        <w:t xml:space="preserve"> assessment</w:t>
      </w:r>
      <w:r w:rsidRPr="00E77F77">
        <w:t>s</w:t>
      </w:r>
      <w:r w:rsidRPr="00E54C11">
        <w:t xml:space="preserve"> s</w:t>
      </w:r>
      <w:r w:rsidRPr="00E77F77">
        <w:t>o</w:t>
      </w:r>
      <w:r w:rsidRPr="00E54C11">
        <w:t xml:space="preserve"> tha</w:t>
      </w:r>
      <w:r w:rsidRPr="00E77F77">
        <w:t>t</w:t>
      </w:r>
      <w:r w:rsidRPr="00E54C11">
        <w:t xml:space="preserve"> a</w:t>
      </w:r>
      <w:r w:rsidRPr="00E77F77">
        <w:t xml:space="preserve">re </w:t>
      </w:r>
      <w:r w:rsidRPr="00E54C11">
        <w:t>abl</w:t>
      </w:r>
      <w:r w:rsidRPr="00E77F77">
        <w:t>e</w:t>
      </w:r>
      <w:r w:rsidRPr="00E54C11">
        <w:t xml:space="preserve"> t</w:t>
      </w:r>
      <w:r w:rsidRPr="00E77F77">
        <w:t>o</w:t>
      </w:r>
      <w:r w:rsidRPr="00E54C11">
        <w:t xml:space="preserve"> delive</w:t>
      </w:r>
      <w:r w:rsidRPr="00E77F77">
        <w:t>r</w:t>
      </w:r>
      <w:r w:rsidRPr="00E54C11">
        <w:t xml:space="preserve"> th</w:t>
      </w:r>
      <w:r w:rsidRPr="00E77F77">
        <w:t>e</w:t>
      </w:r>
      <w:r w:rsidRPr="00E54C11">
        <w:t xml:space="preserve"> highes</w:t>
      </w:r>
      <w:r w:rsidRPr="00E77F77">
        <w:t>t</w:t>
      </w:r>
      <w:r w:rsidRPr="00E54C11">
        <w:t xml:space="preserve"> qualit</w:t>
      </w:r>
      <w:r w:rsidRPr="00E77F77">
        <w:t>y</w:t>
      </w:r>
      <w:r w:rsidRPr="00E54C11">
        <w:t xml:space="preserve"> o</w:t>
      </w:r>
      <w:r w:rsidRPr="00E77F77">
        <w:t>f</w:t>
      </w:r>
      <w:r w:rsidRPr="00E54C11">
        <w:t xml:space="preserve"> clinica</w:t>
      </w:r>
      <w:r w:rsidRPr="00E77F77">
        <w:t>l</w:t>
      </w:r>
      <w:r w:rsidRPr="00E54C11">
        <w:t xml:space="preserve"> ca</w:t>
      </w:r>
      <w:r w:rsidRPr="00E77F77">
        <w:t>re</w:t>
      </w:r>
      <w:r w:rsidRPr="00E54C11">
        <w:t xml:space="preserve"> availabl</w:t>
      </w:r>
      <w:r w:rsidRPr="00E77F77">
        <w:t>e</w:t>
      </w:r>
      <w:r w:rsidRPr="00E54C11">
        <w:t xml:space="preserve"> t</w:t>
      </w:r>
      <w:r w:rsidRPr="00E77F77">
        <w:t xml:space="preserve">o </w:t>
      </w:r>
      <w:r w:rsidRPr="00E54C11">
        <w:t>patient</w:t>
      </w:r>
      <w:r w:rsidRPr="00E77F77">
        <w:t>s</w:t>
      </w:r>
      <w:r w:rsidRPr="00E54C11">
        <w:t xml:space="preserve"> an</w:t>
      </w:r>
      <w:r w:rsidRPr="00E77F77">
        <w:t>d</w:t>
      </w:r>
      <w:r w:rsidRPr="00E54C11">
        <w:t xml:space="preserve"> ensu</w:t>
      </w:r>
      <w:r w:rsidRPr="00E77F77">
        <w:t>re</w:t>
      </w:r>
      <w:r w:rsidRPr="00E54C11">
        <w:t xml:space="preserve"> tha</w:t>
      </w:r>
      <w:r w:rsidRPr="00E77F77">
        <w:t>t</w:t>
      </w:r>
      <w:r w:rsidRPr="00E54C11">
        <w:t xml:space="preserve"> the</w:t>
      </w:r>
      <w:r w:rsidRPr="00E77F77">
        <w:t>y</w:t>
      </w:r>
      <w:r w:rsidRPr="00E54C11">
        <w:t xml:space="preserve"> compl</w:t>
      </w:r>
      <w:r w:rsidRPr="00E77F77">
        <w:t>y</w:t>
      </w:r>
      <w:r w:rsidRPr="00E54C11">
        <w:t xml:space="preserve"> wit</w:t>
      </w:r>
      <w:r w:rsidRPr="00E77F77">
        <w:t>h</w:t>
      </w:r>
      <w:r w:rsidRPr="00E54C11">
        <w:t xml:space="preserve"> th</w:t>
      </w:r>
      <w:r w:rsidRPr="00E77F77">
        <w:t>e</w:t>
      </w:r>
      <w:r w:rsidRPr="00E54C11">
        <w:t xml:space="preserve"> lega</w:t>
      </w:r>
      <w:r w:rsidRPr="00E77F77">
        <w:t>l</w:t>
      </w:r>
      <w:r w:rsidRPr="00E54C11">
        <w:t xml:space="preserve"> dutie</w:t>
      </w:r>
      <w:r w:rsidRPr="00E77F77">
        <w:t xml:space="preserve">s </w:t>
      </w:r>
      <w:r w:rsidRPr="00E54C11">
        <w:t>outline</w:t>
      </w:r>
      <w:r w:rsidRPr="00E77F77">
        <w:t>d</w:t>
      </w:r>
      <w:r w:rsidRPr="00E54C11">
        <w:t xml:space="preserve"> i</w:t>
      </w:r>
      <w:r w:rsidRPr="00E77F77">
        <w:t>n</w:t>
      </w:r>
      <w:r w:rsidRPr="00E54C11">
        <w:t xml:space="preserve"> th</w:t>
      </w:r>
      <w:r w:rsidRPr="00E77F77">
        <w:t>e</w:t>
      </w:r>
      <w:r w:rsidRPr="00E54C11">
        <w:t xml:space="preserve"> healt</w:t>
      </w:r>
      <w:r w:rsidRPr="00E77F77">
        <w:t>h</w:t>
      </w:r>
      <w:r w:rsidRPr="00E54C11">
        <w:t xml:space="preserve"> an</w:t>
      </w:r>
      <w:r w:rsidRPr="00E77F77">
        <w:t>d</w:t>
      </w:r>
      <w:r w:rsidRPr="00E54C11">
        <w:t xml:space="preserve"> safet</w:t>
      </w:r>
      <w:r w:rsidRPr="00E77F77">
        <w:t>y</w:t>
      </w:r>
      <w:r w:rsidRPr="00E54C11">
        <w:t xml:space="preserve"> legislation</w:t>
      </w:r>
      <w:r w:rsidRPr="00E77F77">
        <w:t>.</w:t>
      </w:r>
      <w:r w:rsidRPr="00E54C11">
        <w:t xml:space="preserve"> Thes</w:t>
      </w:r>
      <w:r w:rsidRPr="00E77F77">
        <w:t>e</w:t>
      </w:r>
      <w:r w:rsidRPr="00E54C11">
        <w:t xml:space="preserve"> include</w:t>
      </w:r>
      <w:r w:rsidRPr="00E77F77">
        <w:t>:</w:t>
      </w:r>
    </w:p>
    <w:p w14:paraId="0D37899A" w14:textId="77777777" w:rsidR="008F7BB3" w:rsidRPr="00E54C11" w:rsidRDefault="008F7BB3" w:rsidP="00836ECF">
      <w:pPr>
        <w:pStyle w:val="SchedClauses"/>
        <w:widowControl/>
        <w:numPr>
          <w:ilvl w:val="3"/>
          <w:numId w:val="34"/>
        </w:numPr>
        <w:tabs>
          <w:tab w:val="clear" w:pos="0"/>
        </w:tabs>
        <w:spacing w:line="276" w:lineRule="auto"/>
        <w:ind w:left="3686" w:hanging="1276"/>
        <w:rPr>
          <w:sz w:val="24"/>
        </w:rPr>
      </w:pPr>
      <w:r w:rsidRPr="00E54C11">
        <w:rPr>
          <w:sz w:val="24"/>
        </w:rPr>
        <w:lastRenderedPageBreak/>
        <w:t>Health and Safety at Work Act 1974, section 2 and 3, which requires the provision and maintenance of a working environment for employees that is, so far as is reasonably practicable, safe, without risks to health, and adequate as regards facilities and arrangements for their welfare at work which includes adequate training:</w:t>
      </w:r>
    </w:p>
    <w:p w14:paraId="26A69B09" w14:textId="77777777" w:rsidR="008F7BB3" w:rsidRPr="00E54C11" w:rsidRDefault="008F7BB3" w:rsidP="008F7BB3">
      <w:pPr>
        <w:pStyle w:val="Heading4"/>
        <w:rPr>
          <w:b/>
        </w:rPr>
      </w:pPr>
      <w:r w:rsidRPr="00E54C11">
        <w:rPr>
          <w:b/>
        </w:rPr>
        <w:t>Section 2 General duties of employers to their employees</w:t>
      </w:r>
    </w:p>
    <w:p w14:paraId="609663B0" w14:textId="77777777" w:rsidR="008F7BB3" w:rsidRPr="00E77F77" w:rsidRDefault="008F7BB3" w:rsidP="008F7BB3">
      <w:pPr>
        <w:pStyle w:val="Heading4"/>
      </w:pPr>
      <w:r w:rsidRPr="00E54C11">
        <w:t>I</w:t>
      </w:r>
      <w:r w:rsidRPr="00E77F77">
        <w:t>t</w:t>
      </w:r>
      <w:r w:rsidRPr="00E54C11">
        <w:t xml:space="preserve"> shal</w:t>
      </w:r>
      <w:r w:rsidRPr="00E77F77">
        <w:t>l</w:t>
      </w:r>
      <w:r w:rsidRPr="00E54C11">
        <w:t xml:space="preserve"> b</w:t>
      </w:r>
      <w:r w:rsidRPr="00E77F77">
        <w:t>e</w:t>
      </w:r>
      <w:r w:rsidRPr="00E54C11">
        <w:t xml:space="preserve"> th</w:t>
      </w:r>
      <w:r w:rsidRPr="00E77F77">
        <w:t>e</w:t>
      </w:r>
      <w:r w:rsidRPr="00E54C11">
        <w:t xml:space="preserve"> dut</w:t>
      </w:r>
      <w:r w:rsidRPr="00E77F77">
        <w:t>y</w:t>
      </w:r>
      <w:r w:rsidRPr="00E54C11">
        <w:t xml:space="preserve"> o</w:t>
      </w:r>
      <w:r w:rsidRPr="00E77F77">
        <w:t>f</w:t>
      </w:r>
      <w:r w:rsidRPr="00E54C11">
        <w:t xml:space="preserve"> eve</w:t>
      </w:r>
      <w:r w:rsidRPr="00E77F77">
        <w:t>ry</w:t>
      </w:r>
      <w:r w:rsidRPr="00E54C11">
        <w:t xml:space="preserve"> employe</w:t>
      </w:r>
      <w:r w:rsidRPr="00E77F77">
        <w:t>r</w:t>
      </w:r>
      <w:r w:rsidRPr="00E54C11">
        <w:t xml:space="preserve"> t</w:t>
      </w:r>
      <w:r w:rsidRPr="00E77F77">
        <w:t>o</w:t>
      </w:r>
      <w:r w:rsidRPr="00E54C11">
        <w:t xml:space="preserve"> ensu</w:t>
      </w:r>
      <w:r w:rsidRPr="00E77F77">
        <w:t>r</w:t>
      </w:r>
      <w:r w:rsidRPr="00E54C11">
        <w:t>e</w:t>
      </w:r>
      <w:r w:rsidRPr="00E77F77">
        <w:t>,</w:t>
      </w:r>
      <w:r w:rsidRPr="00E54C11">
        <w:t xml:space="preserve"> s</w:t>
      </w:r>
      <w:r w:rsidRPr="00E77F77">
        <w:t>o</w:t>
      </w:r>
      <w:r w:rsidRPr="00E54C11">
        <w:t xml:space="preserve"> fa</w:t>
      </w:r>
      <w:r w:rsidRPr="00E77F77">
        <w:t>r</w:t>
      </w:r>
      <w:r w:rsidRPr="00E54C11">
        <w:t xml:space="preserve"> a</w:t>
      </w:r>
      <w:r w:rsidRPr="00E77F77">
        <w:t>s</w:t>
      </w:r>
      <w:r w:rsidRPr="00E54C11">
        <w:t xml:space="preserve"> i</w:t>
      </w:r>
      <w:r w:rsidRPr="00E77F77">
        <w:t>s r</w:t>
      </w:r>
      <w:r w:rsidRPr="00E54C11">
        <w:t>easonabl</w:t>
      </w:r>
      <w:r w:rsidRPr="00E77F77">
        <w:t>y</w:t>
      </w:r>
      <w:r w:rsidRPr="00E54C11">
        <w:t xml:space="preserve"> p</w:t>
      </w:r>
      <w:r w:rsidRPr="00E77F77">
        <w:t>r</w:t>
      </w:r>
      <w:r w:rsidRPr="00E54C11">
        <w:t>acticable</w:t>
      </w:r>
      <w:r w:rsidRPr="00E77F77">
        <w:t>,</w:t>
      </w:r>
      <w:r w:rsidRPr="00E54C11">
        <w:t xml:space="preserve"> th</w:t>
      </w:r>
      <w:r w:rsidRPr="00E77F77">
        <w:t>e</w:t>
      </w:r>
      <w:r w:rsidRPr="00E54C11">
        <w:t xml:space="preserve"> health</w:t>
      </w:r>
      <w:r w:rsidRPr="00E77F77">
        <w:t>,</w:t>
      </w:r>
      <w:r w:rsidRPr="00E54C11">
        <w:t xml:space="preserve"> safet</w:t>
      </w:r>
      <w:r w:rsidRPr="00E77F77">
        <w:t>y</w:t>
      </w:r>
      <w:r w:rsidRPr="00E54C11">
        <w:t xml:space="preserve"> an</w:t>
      </w:r>
      <w:r w:rsidRPr="00E77F77">
        <w:t>d</w:t>
      </w:r>
      <w:r w:rsidRPr="00E54C11">
        <w:t xml:space="preserve"> welfa</w:t>
      </w:r>
      <w:r w:rsidRPr="00E77F77">
        <w:t>re</w:t>
      </w:r>
      <w:r w:rsidRPr="00E54C11">
        <w:t xml:space="preserve"> a</w:t>
      </w:r>
      <w:r w:rsidRPr="00E77F77">
        <w:t>t</w:t>
      </w:r>
      <w:r w:rsidRPr="00E54C11">
        <w:t xml:space="preserve"> wo</w:t>
      </w:r>
      <w:r w:rsidRPr="00E77F77">
        <w:t xml:space="preserve">rk </w:t>
      </w:r>
      <w:r w:rsidRPr="00E54C11">
        <w:t>o</w:t>
      </w:r>
      <w:r w:rsidRPr="00E77F77">
        <w:t>f</w:t>
      </w:r>
      <w:r w:rsidRPr="00E54C11">
        <w:t xml:space="preserve"> al</w:t>
      </w:r>
      <w:r w:rsidRPr="00E77F77">
        <w:t>l</w:t>
      </w:r>
      <w:r w:rsidRPr="00E54C11">
        <w:t xml:space="preserve"> hi</w:t>
      </w:r>
      <w:r w:rsidRPr="00E77F77">
        <w:t>s</w:t>
      </w:r>
      <w:r w:rsidRPr="00E54C11">
        <w:t xml:space="preserve"> employees</w:t>
      </w:r>
      <w:r w:rsidRPr="00E77F77">
        <w:t>.</w:t>
      </w:r>
    </w:p>
    <w:p w14:paraId="047B325B" w14:textId="77777777" w:rsidR="008F7BB3" w:rsidRPr="00E77F77" w:rsidRDefault="008F7BB3" w:rsidP="008F7BB3">
      <w:pPr>
        <w:pStyle w:val="Heading4"/>
      </w:pPr>
      <w:r w:rsidRPr="00E54C11">
        <w:t>Withou</w:t>
      </w:r>
      <w:r w:rsidRPr="00E77F77">
        <w:t>t</w:t>
      </w:r>
      <w:r w:rsidRPr="00E54C11">
        <w:t xml:space="preserve"> p</w:t>
      </w:r>
      <w:r w:rsidRPr="00E77F77">
        <w:t>r</w:t>
      </w:r>
      <w:r w:rsidRPr="00E54C11">
        <w:t>ejudic</w:t>
      </w:r>
      <w:r w:rsidRPr="00E77F77">
        <w:t>e</w:t>
      </w:r>
      <w:r w:rsidRPr="00E54C11">
        <w:t xml:space="preserve"> t</w:t>
      </w:r>
      <w:r w:rsidRPr="00E77F77">
        <w:t>o</w:t>
      </w:r>
      <w:r w:rsidRPr="00E54C11">
        <w:t xml:space="preserve"> th</w:t>
      </w:r>
      <w:r w:rsidRPr="00E77F77">
        <w:t>e</w:t>
      </w:r>
      <w:r w:rsidRPr="00E54C11">
        <w:t xml:space="preserve"> gene</w:t>
      </w:r>
      <w:r w:rsidRPr="00E77F77">
        <w:t>r</w:t>
      </w:r>
      <w:r w:rsidRPr="00E54C11">
        <w:t>alit</w:t>
      </w:r>
      <w:r w:rsidRPr="00E77F77">
        <w:t>y</w:t>
      </w:r>
      <w:r w:rsidRPr="00E54C11">
        <w:t xml:space="preserve"> o</w:t>
      </w:r>
      <w:r w:rsidRPr="00E77F77">
        <w:t>f</w:t>
      </w:r>
      <w:r w:rsidRPr="00E54C11">
        <w:t xml:space="preserve"> a</w:t>
      </w:r>
      <w:r w:rsidRPr="00E77F77">
        <w:t>n</w:t>
      </w:r>
      <w:r w:rsidRPr="00E54C11">
        <w:t xml:space="preserve"> employe</w:t>
      </w:r>
      <w:r w:rsidRPr="00E77F77">
        <w:t>r</w:t>
      </w:r>
      <w:r w:rsidRPr="00E54C11">
        <w:t>’</w:t>
      </w:r>
      <w:r w:rsidRPr="00E77F77">
        <w:t>s</w:t>
      </w:r>
      <w:r w:rsidRPr="00E54C11">
        <w:t xml:space="preserve"> dut</w:t>
      </w:r>
      <w:r w:rsidRPr="00E77F77">
        <w:t>y</w:t>
      </w:r>
      <w:r w:rsidRPr="00E54C11">
        <w:t xml:space="preserve"> unde</w:t>
      </w:r>
      <w:r w:rsidRPr="00E77F77">
        <w:t xml:space="preserve">r </w:t>
      </w:r>
      <w:r w:rsidRPr="00E54C11">
        <w:t>th</w:t>
      </w:r>
      <w:r w:rsidRPr="00E77F77">
        <w:t>e</w:t>
      </w:r>
      <w:r w:rsidRPr="00E54C11">
        <w:t xml:space="preserve"> p</w:t>
      </w:r>
      <w:r w:rsidRPr="00E77F77">
        <w:t>r</w:t>
      </w:r>
      <w:r w:rsidRPr="00E54C11">
        <w:t>ecedin</w:t>
      </w:r>
      <w:r w:rsidRPr="00E77F77">
        <w:t>g</w:t>
      </w:r>
      <w:r w:rsidRPr="00E54C11">
        <w:t xml:space="preserve"> subsection</w:t>
      </w:r>
      <w:r w:rsidRPr="00E77F77">
        <w:t>,</w:t>
      </w:r>
      <w:r w:rsidRPr="00E54C11">
        <w:t xml:space="preserve"> th</w:t>
      </w:r>
      <w:r w:rsidRPr="00E77F77">
        <w:t>e</w:t>
      </w:r>
      <w:r w:rsidRPr="00E54C11">
        <w:t xml:space="preserve"> matte</w:t>
      </w:r>
      <w:r w:rsidRPr="00E77F77">
        <w:t>rs</w:t>
      </w:r>
      <w:r w:rsidRPr="00E54C11">
        <w:t xml:space="preserve"> t</w:t>
      </w:r>
      <w:r w:rsidRPr="00E77F77">
        <w:t>o</w:t>
      </w:r>
      <w:r w:rsidRPr="00E54C11">
        <w:t xml:space="preserve"> whic</w:t>
      </w:r>
      <w:r w:rsidRPr="00E77F77">
        <w:t>h</w:t>
      </w:r>
      <w:r w:rsidRPr="00E54C11">
        <w:t xml:space="preserve"> tha</w:t>
      </w:r>
      <w:r w:rsidRPr="00E77F77">
        <w:t>t</w:t>
      </w:r>
      <w:r w:rsidRPr="00E54C11">
        <w:t xml:space="preserve"> dut</w:t>
      </w:r>
      <w:r w:rsidRPr="00E77F77">
        <w:t xml:space="preserve">y </w:t>
      </w:r>
      <w:r w:rsidRPr="00E54C11">
        <w:t>extend</w:t>
      </w:r>
      <w:r w:rsidRPr="00E77F77">
        <w:t>s</w:t>
      </w:r>
      <w:r w:rsidRPr="00E54C11">
        <w:t xml:space="preserve"> includ</w:t>
      </w:r>
      <w:r w:rsidRPr="00E77F77">
        <w:t>e</w:t>
      </w:r>
      <w:r w:rsidRPr="00E54C11">
        <w:t xml:space="preserve"> i</w:t>
      </w:r>
      <w:r w:rsidRPr="00E77F77">
        <w:t>n</w:t>
      </w:r>
      <w:r w:rsidRPr="00E54C11">
        <w:t xml:space="preserve"> pa</w:t>
      </w:r>
      <w:r w:rsidRPr="00E77F77">
        <w:t>r</w:t>
      </w:r>
      <w:r w:rsidRPr="00E54C11">
        <w:t>ticular</w:t>
      </w:r>
      <w:r w:rsidRPr="00E77F77">
        <w:t>—</w:t>
      </w:r>
    </w:p>
    <w:p w14:paraId="05477141" w14:textId="77777777" w:rsidR="008F7BB3" w:rsidRPr="00E54C11" w:rsidRDefault="008F7BB3" w:rsidP="00836ECF">
      <w:pPr>
        <w:pStyle w:val="SchedClauses"/>
        <w:widowControl/>
        <w:numPr>
          <w:ilvl w:val="3"/>
          <w:numId w:val="34"/>
        </w:numPr>
        <w:tabs>
          <w:tab w:val="clear" w:pos="0"/>
        </w:tabs>
        <w:spacing w:line="276" w:lineRule="auto"/>
        <w:ind w:left="3686" w:hanging="1276"/>
        <w:rPr>
          <w:sz w:val="24"/>
        </w:rPr>
      </w:pPr>
      <w:r w:rsidRPr="00E54C11">
        <w:rPr>
          <w:sz w:val="24"/>
        </w:rPr>
        <w:t>The provision of such information, instruction, training and supervision as is necessary to ensure, so far as is reasonably practicable, the health and safety at work of his employees;</w:t>
      </w:r>
    </w:p>
    <w:p w14:paraId="20D073D3" w14:textId="77777777" w:rsidR="008F7BB3" w:rsidRPr="00E54C11" w:rsidRDefault="008F7BB3" w:rsidP="00836ECF">
      <w:pPr>
        <w:pStyle w:val="SchedClauses"/>
        <w:widowControl/>
        <w:numPr>
          <w:ilvl w:val="3"/>
          <w:numId w:val="34"/>
        </w:numPr>
        <w:tabs>
          <w:tab w:val="clear" w:pos="0"/>
        </w:tabs>
        <w:spacing w:line="276" w:lineRule="auto"/>
        <w:ind w:left="3686" w:hanging="1276"/>
        <w:rPr>
          <w:sz w:val="24"/>
        </w:rPr>
      </w:pPr>
      <w:r w:rsidRPr="00E54C11">
        <w:rPr>
          <w:sz w:val="24"/>
        </w:rPr>
        <w:t>Health and Safety At Work Act 1974, section 7 which requires that employees should take reasonable care of their own health and safety and that of others who may be affected by their acts or omissions at work; and cooperate by following any requirement imposed on them by their employer :</w:t>
      </w:r>
    </w:p>
    <w:p w14:paraId="77F83BBE" w14:textId="77777777" w:rsidR="008F7BB3" w:rsidRPr="00E54C11" w:rsidRDefault="008F7BB3" w:rsidP="008F7BB3">
      <w:pPr>
        <w:pStyle w:val="Heading4"/>
        <w:rPr>
          <w:b/>
        </w:rPr>
      </w:pPr>
      <w:r w:rsidRPr="00E54C11">
        <w:rPr>
          <w:b/>
        </w:rPr>
        <w:t>Section 7 General duties of employees at work</w:t>
      </w:r>
    </w:p>
    <w:p w14:paraId="0918DCEA" w14:textId="77777777" w:rsidR="008F7BB3" w:rsidRPr="00E77F77" w:rsidRDefault="008F7BB3" w:rsidP="008F7BB3">
      <w:pPr>
        <w:pStyle w:val="Heading4"/>
      </w:pPr>
      <w:r w:rsidRPr="00E54C11">
        <w:t>I</w:t>
      </w:r>
      <w:r w:rsidRPr="00E77F77">
        <w:t>t</w:t>
      </w:r>
      <w:r w:rsidRPr="00E54C11">
        <w:t xml:space="preserve"> shal</w:t>
      </w:r>
      <w:r w:rsidRPr="00E77F77">
        <w:t>l</w:t>
      </w:r>
      <w:r w:rsidRPr="00E54C11">
        <w:t xml:space="preserve"> b</w:t>
      </w:r>
      <w:r w:rsidRPr="00E77F77">
        <w:t>e</w:t>
      </w:r>
      <w:r w:rsidRPr="00E54C11">
        <w:t xml:space="preserve"> th</w:t>
      </w:r>
      <w:r w:rsidRPr="00E77F77">
        <w:t>e</w:t>
      </w:r>
      <w:r w:rsidRPr="00E54C11">
        <w:t xml:space="preserve"> dut</w:t>
      </w:r>
      <w:r w:rsidRPr="00E77F77">
        <w:t>y</w:t>
      </w:r>
      <w:r w:rsidRPr="00E54C11">
        <w:t xml:space="preserve"> o</w:t>
      </w:r>
      <w:r w:rsidRPr="00E77F77">
        <w:t>f</w:t>
      </w:r>
      <w:r w:rsidRPr="00E54C11">
        <w:t xml:space="preserve"> eve</w:t>
      </w:r>
      <w:r w:rsidRPr="00E77F77">
        <w:t>ry</w:t>
      </w:r>
      <w:r w:rsidRPr="00E54C11">
        <w:t xml:space="preserve"> employe</w:t>
      </w:r>
      <w:r w:rsidRPr="00E77F77">
        <w:t>e</w:t>
      </w:r>
      <w:r w:rsidRPr="00E54C11">
        <w:t xml:space="preserve"> whil</w:t>
      </w:r>
      <w:r w:rsidRPr="00E77F77">
        <w:t>e</w:t>
      </w:r>
      <w:r w:rsidRPr="00E54C11">
        <w:t xml:space="preserve"> a</w:t>
      </w:r>
      <w:r w:rsidRPr="00E77F77">
        <w:t>t</w:t>
      </w:r>
      <w:r w:rsidRPr="00E54C11">
        <w:t xml:space="preserve"> wo</w:t>
      </w:r>
      <w:r w:rsidRPr="00E77F77">
        <w:t>r</w:t>
      </w:r>
      <w:r w:rsidRPr="00E54C11">
        <w:t>k</w:t>
      </w:r>
      <w:r w:rsidRPr="00E77F77">
        <w:t xml:space="preserve">— </w:t>
      </w:r>
    </w:p>
    <w:p w14:paraId="19DFBE46" w14:textId="77777777" w:rsidR="008F7BB3" w:rsidRPr="00E54C11" w:rsidRDefault="008F7BB3" w:rsidP="00836ECF">
      <w:pPr>
        <w:pStyle w:val="SchedClauses"/>
        <w:widowControl/>
        <w:numPr>
          <w:ilvl w:val="3"/>
          <w:numId w:val="34"/>
        </w:numPr>
        <w:tabs>
          <w:tab w:val="clear" w:pos="0"/>
        </w:tabs>
        <w:spacing w:line="276" w:lineRule="auto"/>
        <w:ind w:left="3686" w:hanging="1276"/>
        <w:rPr>
          <w:sz w:val="24"/>
        </w:rPr>
      </w:pPr>
      <w:r w:rsidRPr="00E54C11">
        <w:rPr>
          <w:sz w:val="24"/>
        </w:rPr>
        <w:t>to take reasonable care for the health and safety of himself and of other persons who may be affected by his acts or omissions at work; and</w:t>
      </w:r>
    </w:p>
    <w:p w14:paraId="37933EEC" w14:textId="77777777" w:rsidR="008F7BB3" w:rsidRPr="00E54C11" w:rsidRDefault="008F7BB3" w:rsidP="00836ECF">
      <w:pPr>
        <w:pStyle w:val="SchedClauses"/>
        <w:widowControl/>
        <w:numPr>
          <w:ilvl w:val="3"/>
          <w:numId w:val="34"/>
        </w:numPr>
        <w:tabs>
          <w:tab w:val="clear" w:pos="0"/>
        </w:tabs>
        <w:spacing w:line="276" w:lineRule="auto"/>
        <w:ind w:left="3686" w:hanging="1276"/>
        <w:rPr>
          <w:sz w:val="24"/>
        </w:rPr>
      </w:pPr>
      <w:r w:rsidRPr="00E54C11">
        <w:rPr>
          <w:sz w:val="24"/>
        </w:rPr>
        <w:t>as regards any duty or requirement imposed on his employer or any other person by or under any of the relevant statutory provisions, to co-operate with him so far as is necessary to enable that duty or requirement to be performed or complied with.</w:t>
      </w:r>
    </w:p>
    <w:p w14:paraId="26E1C61E" w14:textId="77777777" w:rsidR="008F7BB3" w:rsidRPr="00E54C11" w:rsidRDefault="008F7BB3" w:rsidP="00836ECF">
      <w:pPr>
        <w:pStyle w:val="SchedClauses"/>
        <w:widowControl/>
        <w:numPr>
          <w:ilvl w:val="2"/>
          <w:numId w:val="34"/>
        </w:numPr>
        <w:tabs>
          <w:tab w:val="clear" w:pos="0"/>
        </w:tabs>
        <w:spacing w:line="276" w:lineRule="auto"/>
        <w:ind w:left="2410" w:hanging="992"/>
        <w:rPr>
          <w:sz w:val="24"/>
        </w:rPr>
      </w:pPr>
      <w:r w:rsidRPr="00E54C11">
        <w:rPr>
          <w:rStyle w:val="Heading4Char"/>
        </w:rPr>
        <w:lastRenderedPageBreak/>
        <w:t>The Safety Representatives and Safety Committees Regulations 1977 and Health and Safety (Consultation with Employees) Regulations 1996 impose a duty on employers to</w:t>
      </w:r>
      <w:r w:rsidRPr="00E54C11">
        <w:rPr>
          <w:sz w:val="24"/>
        </w:rPr>
        <w:t xml:space="preserve"> consult workers on matters pertaining to their health and safety.</w:t>
      </w:r>
    </w:p>
    <w:p w14:paraId="3E7A3355" w14:textId="77777777" w:rsidR="008F7BB3" w:rsidRPr="00E77F77" w:rsidRDefault="008F7BB3" w:rsidP="008F7BB3">
      <w:pPr>
        <w:pStyle w:val="Heading4"/>
      </w:pPr>
      <w:r w:rsidRPr="00E54C11">
        <w:lastRenderedPageBreak/>
        <w:t>Th</w:t>
      </w:r>
      <w:r w:rsidRPr="00E77F77">
        <w:t>e</w:t>
      </w:r>
      <w:r w:rsidRPr="00E54C11">
        <w:t xml:space="preserve"> Ca</w:t>
      </w:r>
      <w:r w:rsidRPr="00E77F77">
        <w:t>re</w:t>
      </w:r>
      <w:r w:rsidRPr="00E54C11">
        <w:t xml:space="preserve"> Qualit</w:t>
      </w:r>
      <w:r w:rsidRPr="00E77F77">
        <w:t>y</w:t>
      </w:r>
      <w:r w:rsidRPr="00E54C11">
        <w:t xml:space="preserve"> Commission’</w:t>
      </w:r>
      <w:r w:rsidRPr="00E77F77">
        <w:t>s</w:t>
      </w:r>
      <w:r w:rsidRPr="00E54C11">
        <w:t xml:space="preserve"> </w:t>
      </w:r>
      <w:r w:rsidRPr="00E77F77">
        <w:t>E</w:t>
      </w:r>
      <w:r w:rsidRPr="00E54C11">
        <w:t>ssentia</w:t>
      </w:r>
      <w:r w:rsidRPr="00E77F77">
        <w:t>l</w:t>
      </w:r>
      <w:r w:rsidRPr="00E54C11">
        <w:t xml:space="preserve"> </w:t>
      </w:r>
      <w:r w:rsidRPr="00E77F77">
        <w:t>S</w:t>
      </w:r>
      <w:r w:rsidRPr="00E54C11">
        <w:t>tanda</w:t>
      </w:r>
      <w:r w:rsidRPr="00E77F77">
        <w:t>r</w:t>
      </w:r>
      <w:r w:rsidRPr="00E54C11">
        <w:t>d</w:t>
      </w:r>
      <w:r w:rsidRPr="00E77F77">
        <w:t>s</w:t>
      </w:r>
      <w:r w:rsidRPr="00E54C11">
        <w:t xml:space="preserve"> o</w:t>
      </w:r>
      <w:r w:rsidRPr="00E77F77">
        <w:t>f</w:t>
      </w:r>
      <w:r w:rsidRPr="00E54C11">
        <w:t xml:space="preserve"> Qualit</w:t>
      </w:r>
      <w:r w:rsidRPr="00E77F77">
        <w:t xml:space="preserve">y </w:t>
      </w:r>
      <w:r w:rsidRPr="00E54C11">
        <w:t>an</w:t>
      </w:r>
      <w:r w:rsidRPr="00E77F77">
        <w:t>d</w:t>
      </w:r>
      <w:r w:rsidRPr="00E54C11">
        <w:t xml:space="preserve"> </w:t>
      </w:r>
      <w:r w:rsidRPr="00E77F77">
        <w:t>S</w:t>
      </w:r>
      <w:r w:rsidRPr="00E54C11">
        <w:t>afet</w:t>
      </w:r>
      <w:r w:rsidRPr="00E77F77">
        <w:t>y</w:t>
      </w:r>
      <w:r w:rsidRPr="00E54C11">
        <w:t xml:space="preserve"> set</w:t>
      </w:r>
      <w:r w:rsidRPr="00E77F77">
        <w:t>s</w:t>
      </w:r>
      <w:r w:rsidRPr="00E54C11">
        <w:t xml:space="preserve"> ou</w:t>
      </w:r>
      <w:r w:rsidRPr="00E77F77">
        <w:t>t</w:t>
      </w:r>
      <w:r w:rsidRPr="00E54C11">
        <w:t xml:space="preserve"> th</w:t>
      </w:r>
      <w:r w:rsidRPr="00E77F77">
        <w:t>e</w:t>
      </w:r>
      <w:r w:rsidRPr="00E54C11">
        <w:t xml:space="preserve"> gene</w:t>
      </w:r>
      <w:r w:rsidRPr="00E77F77">
        <w:t>r</w:t>
      </w:r>
      <w:r w:rsidRPr="00E54C11">
        <w:t>a</w:t>
      </w:r>
      <w:r w:rsidRPr="00E77F77">
        <w:t>l</w:t>
      </w:r>
      <w:r w:rsidRPr="00E54C11">
        <w:t xml:space="preserve"> </w:t>
      </w:r>
      <w:r w:rsidRPr="00E77F77">
        <w:t>r</w:t>
      </w:r>
      <w:r w:rsidRPr="00E54C11">
        <w:t>equi</w:t>
      </w:r>
      <w:r w:rsidRPr="00E77F77">
        <w:t>r</w:t>
      </w:r>
      <w:r w:rsidRPr="00E54C11">
        <w:t>ement</w:t>
      </w:r>
      <w:r w:rsidRPr="00E77F77">
        <w:t>s</w:t>
      </w:r>
      <w:r w:rsidRPr="00E54C11">
        <w:t xml:space="preserve"> fo</w:t>
      </w:r>
      <w:r w:rsidRPr="00E77F77">
        <w:t>r</w:t>
      </w:r>
      <w:r w:rsidRPr="00E54C11">
        <w:t xml:space="preserve"> </w:t>
      </w:r>
      <w:r w:rsidRPr="00E77F77">
        <w:t>a</w:t>
      </w:r>
      <w:r w:rsidRPr="00E54C11">
        <w:t xml:space="preserve"> saf</w:t>
      </w:r>
      <w:r w:rsidRPr="00E77F77">
        <w:t xml:space="preserve">e </w:t>
      </w:r>
      <w:r w:rsidRPr="00E54C11">
        <w:t>wo</w:t>
      </w:r>
      <w:r w:rsidRPr="00E77F77">
        <w:t>r</w:t>
      </w:r>
      <w:r w:rsidRPr="00E54C11">
        <w:t>kin</w:t>
      </w:r>
      <w:r w:rsidRPr="00E77F77">
        <w:t>g</w:t>
      </w:r>
      <w:r w:rsidRPr="00E54C11">
        <w:t xml:space="preserve"> envi</w:t>
      </w:r>
      <w:r w:rsidRPr="00E77F77">
        <w:t>r</w:t>
      </w:r>
      <w:r w:rsidRPr="00E54C11">
        <w:t>onment</w:t>
      </w:r>
      <w:r w:rsidRPr="00E77F77">
        <w:t>.</w:t>
      </w:r>
      <w:r w:rsidRPr="00E54C11">
        <w:t xml:space="preserve"> Outcom</w:t>
      </w:r>
      <w:r w:rsidRPr="00E77F77">
        <w:t>e</w:t>
      </w:r>
      <w:r w:rsidRPr="00E54C11">
        <w:t xml:space="preserve"> 14</w:t>
      </w:r>
      <w:r w:rsidRPr="00E77F77">
        <w:t>D</w:t>
      </w:r>
      <w:r w:rsidRPr="00E54C11">
        <w:t xml:space="preserve"> specificall</w:t>
      </w:r>
      <w:r w:rsidRPr="00E77F77">
        <w:t>y</w:t>
      </w:r>
      <w:r w:rsidRPr="00E54C11">
        <w:t xml:space="preserve"> </w:t>
      </w:r>
      <w:r w:rsidRPr="00E77F77">
        <w:t>r</w:t>
      </w:r>
      <w:r w:rsidRPr="00E54C11">
        <w:t>equi</w:t>
      </w:r>
      <w:r w:rsidRPr="00E77F77">
        <w:t>r</w:t>
      </w:r>
      <w:r w:rsidRPr="00E54C11">
        <w:t>e</w:t>
      </w:r>
      <w:r w:rsidRPr="00E77F77">
        <w:t>s</w:t>
      </w:r>
      <w:r w:rsidRPr="00E54C11">
        <w:t xml:space="preserve"> tha</w:t>
      </w:r>
      <w:r w:rsidRPr="00E77F77">
        <w:t xml:space="preserve">t </w:t>
      </w:r>
      <w:r w:rsidRPr="00E54C11">
        <w:t>membe</w:t>
      </w:r>
      <w:r w:rsidRPr="00E77F77">
        <w:t xml:space="preserve">rs </w:t>
      </w:r>
      <w:r w:rsidRPr="00E54C11">
        <w:t>o</w:t>
      </w:r>
      <w:r w:rsidRPr="00E77F77">
        <w:t xml:space="preserve">f </w:t>
      </w:r>
      <w:r w:rsidRPr="00E54C11">
        <w:t>staf</w:t>
      </w:r>
      <w:r w:rsidRPr="00E77F77">
        <w:t xml:space="preserve">f </w:t>
      </w:r>
      <w:r w:rsidRPr="00E54C11">
        <w:t>a</w:t>
      </w:r>
      <w:r w:rsidRPr="00E77F77">
        <w:t xml:space="preserve">re </w:t>
      </w:r>
      <w:r w:rsidRPr="00E54C11">
        <w:t>suppo</w:t>
      </w:r>
      <w:r w:rsidRPr="00E77F77">
        <w:t>r</w:t>
      </w:r>
      <w:r w:rsidRPr="00E54C11">
        <w:t>te</w:t>
      </w:r>
      <w:r w:rsidRPr="00E77F77">
        <w:t xml:space="preserve">d </w:t>
      </w:r>
      <w:r w:rsidRPr="00E54C11">
        <w:t>t</w:t>
      </w:r>
      <w:r w:rsidRPr="00E77F77">
        <w:t>o</w:t>
      </w:r>
      <w:r w:rsidRPr="00E54C11">
        <w:t xml:space="preserve"> d</w:t>
      </w:r>
      <w:r w:rsidRPr="00E77F77">
        <w:t>o</w:t>
      </w:r>
      <w:r w:rsidRPr="00E54C11">
        <w:t xml:space="preserve"> thei</w:t>
      </w:r>
      <w:r w:rsidRPr="00E77F77">
        <w:t>r</w:t>
      </w:r>
      <w:r w:rsidRPr="00E54C11">
        <w:t xml:space="preserve"> wo</w:t>
      </w:r>
      <w:r w:rsidRPr="00E77F77">
        <w:t>rk</w:t>
      </w:r>
      <w:r w:rsidRPr="00E54C11">
        <w:t xml:space="preserve"> i</w:t>
      </w:r>
      <w:r w:rsidRPr="00E77F77">
        <w:t>n</w:t>
      </w:r>
      <w:r w:rsidRPr="00E54C11">
        <w:t xml:space="preserve"> </w:t>
      </w:r>
      <w:r w:rsidRPr="00E77F77">
        <w:t>a</w:t>
      </w:r>
      <w:r w:rsidRPr="00E54C11">
        <w:t xml:space="preserve"> saf</w:t>
      </w:r>
      <w:r w:rsidRPr="00E77F77">
        <w:t>e working environment where risk of violence, harassment and bullying are assessed and minimised.</w:t>
      </w:r>
    </w:p>
    <w:p w14:paraId="711013D3" w14:textId="77777777" w:rsidR="008F7BB3" w:rsidRPr="00E77F77" w:rsidRDefault="008F7BB3" w:rsidP="008F7BB3">
      <w:pPr>
        <w:pStyle w:val="Heading4"/>
      </w:pPr>
      <w:r w:rsidRPr="00E54C11">
        <w:t>Th</w:t>
      </w:r>
      <w:r w:rsidRPr="00E77F77">
        <w:t>e</w:t>
      </w:r>
      <w:r w:rsidRPr="00E54C11">
        <w:t xml:space="preserve"> Managemen</w:t>
      </w:r>
      <w:r w:rsidRPr="00E77F77">
        <w:t>t</w:t>
      </w:r>
      <w:r w:rsidRPr="00E54C11">
        <w:t xml:space="preserve"> o</w:t>
      </w:r>
      <w:r w:rsidRPr="00E77F77">
        <w:t>f</w:t>
      </w:r>
      <w:r w:rsidRPr="00E54C11">
        <w:t xml:space="preserve"> Healt</w:t>
      </w:r>
      <w:r w:rsidRPr="00E77F77">
        <w:t>h</w:t>
      </w:r>
      <w:r w:rsidRPr="00E54C11">
        <w:t xml:space="preserve"> an</w:t>
      </w:r>
      <w:r w:rsidRPr="00E77F77">
        <w:t>d</w:t>
      </w:r>
      <w:r w:rsidRPr="00E54C11">
        <w:t xml:space="preserve"> </w:t>
      </w:r>
      <w:r w:rsidRPr="00E77F77">
        <w:t>S</w:t>
      </w:r>
      <w:r w:rsidRPr="00E54C11">
        <w:t>afet</w:t>
      </w:r>
      <w:r w:rsidRPr="00E77F77">
        <w:t>y</w:t>
      </w:r>
      <w:r w:rsidRPr="00E54C11">
        <w:t xml:space="preserve"> a</w:t>
      </w:r>
      <w:r w:rsidRPr="00E77F77">
        <w:t>t</w:t>
      </w:r>
      <w:r w:rsidRPr="00E54C11">
        <w:t xml:space="preserve"> Wo</w:t>
      </w:r>
      <w:r w:rsidRPr="00E77F77">
        <w:t>rk</w:t>
      </w:r>
      <w:r w:rsidRPr="00E54C11">
        <w:t xml:space="preserve"> Regulations</w:t>
      </w:r>
      <w:r w:rsidRPr="00E77F77">
        <w:t xml:space="preserve">, </w:t>
      </w:r>
      <w:r w:rsidRPr="00E54C11">
        <w:t>199</w:t>
      </w:r>
      <w:r w:rsidRPr="00E77F77">
        <w:t>9</w:t>
      </w:r>
      <w:r w:rsidRPr="00E54C11">
        <w:t xml:space="preserve"> Regulation</w:t>
      </w:r>
      <w:r w:rsidRPr="00E77F77">
        <w:t>s</w:t>
      </w:r>
      <w:r w:rsidRPr="00E54C11">
        <w:t xml:space="preserve"> </w:t>
      </w:r>
      <w:r w:rsidRPr="00E77F77">
        <w:t>3</w:t>
      </w:r>
      <w:r w:rsidRPr="00E54C11">
        <w:t xml:space="preserve"> an</w:t>
      </w:r>
      <w:r w:rsidRPr="00E77F77">
        <w:t>d</w:t>
      </w:r>
      <w:r w:rsidRPr="00E54C11">
        <w:t xml:space="preserve"> </w:t>
      </w:r>
      <w:r w:rsidRPr="00E77F77">
        <w:t>5</w:t>
      </w:r>
      <w:r w:rsidRPr="00E54C11">
        <w:t xml:space="preserve"> impos</w:t>
      </w:r>
      <w:r w:rsidRPr="00E77F77">
        <w:t>e</w:t>
      </w:r>
      <w:r w:rsidRPr="00E54C11">
        <w:t xml:space="preserve"> a</w:t>
      </w:r>
      <w:r w:rsidRPr="00E77F77">
        <w:t>n</w:t>
      </w:r>
      <w:r w:rsidRPr="00E54C11">
        <w:t xml:space="preserve"> overa</w:t>
      </w:r>
      <w:r w:rsidRPr="00E77F77">
        <w:t>r</w:t>
      </w:r>
      <w:r w:rsidRPr="00E54C11">
        <w:t>chin</w:t>
      </w:r>
      <w:r w:rsidRPr="00E77F77">
        <w:t>g</w:t>
      </w:r>
      <w:r w:rsidRPr="00E54C11">
        <w:t xml:space="preserve"> dut</w:t>
      </w:r>
      <w:r w:rsidRPr="00E77F77">
        <w:t>y</w:t>
      </w:r>
      <w:r w:rsidRPr="00E54C11">
        <w:t xml:space="preserve"> on employe</w:t>
      </w:r>
      <w:r w:rsidRPr="00E77F77">
        <w:t>rs</w:t>
      </w:r>
      <w:r w:rsidRPr="00E54C11">
        <w:t xml:space="preserve"> t</w:t>
      </w:r>
      <w:r w:rsidRPr="00E77F77">
        <w:t>o</w:t>
      </w:r>
      <w:r w:rsidRPr="00E54C11">
        <w:t xml:space="preserve"> ca</w:t>
      </w:r>
      <w:r w:rsidRPr="00E77F77">
        <w:t>rry</w:t>
      </w:r>
      <w:r w:rsidRPr="00E54C11">
        <w:t xml:space="preserve"> ou</w:t>
      </w:r>
      <w:r w:rsidRPr="00E77F77">
        <w:t>t</w:t>
      </w:r>
      <w:r w:rsidRPr="00E54C11">
        <w:t xml:space="preserve"> suitabl</w:t>
      </w:r>
      <w:r w:rsidRPr="00E77F77">
        <w:t>e</w:t>
      </w:r>
      <w:r w:rsidRPr="00E54C11">
        <w:t xml:space="preserve"> an</w:t>
      </w:r>
      <w:r w:rsidRPr="00E77F77">
        <w:t>d</w:t>
      </w:r>
      <w:r w:rsidRPr="00E54C11">
        <w:t xml:space="preserve"> sufficien</w:t>
      </w:r>
      <w:r w:rsidRPr="00E77F77">
        <w:t>t</w:t>
      </w:r>
      <w:r w:rsidRPr="00E54C11">
        <w:t xml:space="preserve"> </w:t>
      </w:r>
      <w:r w:rsidRPr="00E77F77">
        <w:t>r</w:t>
      </w:r>
      <w:r w:rsidRPr="00E54C11">
        <w:t>is</w:t>
      </w:r>
      <w:r w:rsidRPr="00E77F77">
        <w:t>k</w:t>
      </w:r>
      <w:r w:rsidRPr="00E54C11">
        <w:t xml:space="preserve"> assessment</w:t>
      </w:r>
      <w:r w:rsidRPr="00E77F77">
        <w:t xml:space="preserve">s </w:t>
      </w:r>
      <w:r w:rsidRPr="00E54C11">
        <w:t>an</w:t>
      </w:r>
      <w:r w:rsidRPr="00E77F77">
        <w:t>d</w:t>
      </w:r>
      <w:r w:rsidRPr="00E54C11">
        <w:t xml:space="preserve"> int</w:t>
      </w:r>
      <w:r w:rsidRPr="00E77F77">
        <w:t>r</w:t>
      </w:r>
      <w:r w:rsidRPr="00E54C11">
        <w:t>oduc</w:t>
      </w:r>
      <w:r w:rsidRPr="00E77F77">
        <w:t>e</w:t>
      </w:r>
      <w:r w:rsidRPr="00E54C11">
        <w:t xml:space="preserve"> p</w:t>
      </w:r>
      <w:r w:rsidRPr="00E77F77">
        <w:t>r</w:t>
      </w:r>
      <w:r w:rsidRPr="00E54C11">
        <w:t>eventativ</w:t>
      </w:r>
      <w:r w:rsidRPr="00E77F77">
        <w:t>e</w:t>
      </w:r>
      <w:r w:rsidRPr="00E54C11">
        <w:t xml:space="preserve"> an</w:t>
      </w:r>
      <w:r w:rsidRPr="00E77F77">
        <w:t>d</w:t>
      </w:r>
      <w:r w:rsidRPr="00E54C11">
        <w:t xml:space="preserve"> p</w:t>
      </w:r>
      <w:r w:rsidRPr="00E77F77">
        <w:t>r</w:t>
      </w:r>
      <w:r w:rsidRPr="00E54C11">
        <w:t>otectiv</w:t>
      </w:r>
      <w:r w:rsidRPr="00E77F77">
        <w:t>e</w:t>
      </w:r>
      <w:r w:rsidRPr="00E54C11">
        <w:t xml:space="preserve"> measu</w:t>
      </w:r>
      <w:r w:rsidRPr="00E77F77">
        <w:t>r</w:t>
      </w:r>
      <w:r w:rsidRPr="00E54C11">
        <w:t>e</w:t>
      </w:r>
      <w:r w:rsidRPr="00E77F77">
        <w:t>s</w:t>
      </w:r>
      <w:r w:rsidRPr="00E54C11">
        <w:t xml:space="preserve"> t</w:t>
      </w:r>
      <w:r w:rsidRPr="00E77F77">
        <w:t>o</w:t>
      </w:r>
      <w:r w:rsidRPr="00E54C11">
        <w:t xml:space="preserve"> cont</w:t>
      </w:r>
      <w:r w:rsidRPr="00E77F77">
        <w:t>r</w:t>
      </w:r>
      <w:r w:rsidRPr="00E54C11">
        <w:t>o</w:t>
      </w:r>
      <w:r w:rsidRPr="00E77F77">
        <w:t xml:space="preserve">l </w:t>
      </w:r>
      <w:r w:rsidRPr="00E54C11">
        <w:t>th</w:t>
      </w:r>
      <w:r w:rsidRPr="00E77F77">
        <w:t>e</w:t>
      </w:r>
      <w:r w:rsidRPr="00E54C11">
        <w:t xml:space="preserve"> identifie</w:t>
      </w:r>
      <w:r w:rsidRPr="00E77F77">
        <w:t>d</w:t>
      </w:r>
      <w:r w:rsidRPr="00E54C11">
        <w:t xml:space="preserve"> </w:t>
      </w:r>
      <w:r w:rsidRPr="00E77F77">
        <w:t>r</w:t>
      </w:r>
      <w:r w:rsidRPr="00E54C11">
        <w:t>isks</w:t>
      </w:r>
      <w:r w:rsidRPr="00E77F77">
        <w:t>.</w:t>
      </w:r>
      <w:r w:rsidRPr="00E54C11">
        <w:t xml:space="preserve"> Thi</w:t>
      </w:r>
      <w:r w:rsidRPr="00E77F77">
        <w:t>s</w:t>
      </w:r>
      <w:r w:rsidRPr="00E54C11">
        <w:t xml:space="preserve"> include</w:t>
      </w:r>
      <w:r w:rsidRPr="00E77F77">
        <w:t>s</w:t>
      </w:r>
      <w:r w:rsidRPr="00E54C11">
        <w:t xml:space="preserve"> th</w:t>
      </w:r>
      <w:r w:rsidRPr="00E77F77">
        <w:t>e</w:t>
      </w:r>
      <w:r w:rsidRPr="00E54C11">
        <w:t xml:space="preserve"> </w:t>
      </w:r>
      <w:r w:rsidRPr="00E77F77">
        <w:t>r</w:t>
      </w:r>
      <w:r w:rsidRPr="00E54C11">
        <w:t>is</w:t>
      </w:r>
      <w:r w:rsidRPr="00E77F77">
        <w:t>k</w:t>
      </w:r>
      <w:r w:rsidRPr="00E54C11">
        <w:t xml:space="preserve"> o</w:t>
      </w:r>
      <w:r w:rsidRPr="00E77F77">
        <w:t>f</w:t>
      </w:r>
      <w:r w:rsidRPr="00E54C11">
        <w:t xml:space="preserve"> violenc</w:t>
      </w:r>
      <w:r w:rsidRPr="00E77F77">
        <w:t>e</w:t>
      </w:r>
      <w:r w:rsidRPr="00E54C11">
        <w:t xml:space="preserve"> an</w:t>
      </w:r>
      <w:r w:rsidRPr="00E77F77">
        <w:t xml:space="preserve">d </w:t>
      </w:r>
      <w:r w:rsidRPr="00E54C11">
        <w:t>agg</w:t>
      </w:r>
      <w:r w:rsidRPr="00E77F77">
        <w:t>r</w:t>
      </w:r>
      <w:r w:rsidRPr="00E54C11">
        <w:t>ession</w:t>
      </w:r>
      <w:r w:rsidRPr="00E77F77">
        <w:t>.</w:t>
      </w:r>
      <w:r w:rsidRPr="00E54C11">
        <w:t xml:space="preserve"> </w:t>
      </w:r>
      <w:r w:rsidRPr="00E77F77">
        <w:t xml:space="preserve"> </w:t>
      </w:r>
      <w:r w:rsidRPr="00E54C11">
        <w:t>Th</w:t>
      </w:r>
      <w:r w:rsidRPr="00E77F77">
        <w:t>e</w:t>
      </w:r>
      <w:r w:rsidRPr="00E54C11">
        <w:t xml:space="preserve"> assessmen</w:t>
      </w:r>
      <w:r w:rsidRPr="00E77F77">
        <w:t>t</w:t>
      </w:r>
      <w:r w:rsidRPr="00E54C11">
        <w:t xml:space="preserve"> shoul</w:t>
      </w:r>
      <w:r w:rsidRPr="00E77F77">
        <w:t>d</w:t>
      </w:r>
      <w:r w:rsidRPr="00E54C11">
        <w:t xml:space="preserve"> identif</w:t>
      </w:r>
      <w:r w:rsidRPr="00E77F77">
        <w:t>y</w:t>
      </w:r>
      <w:r w:rsidRPr="00E54C11">
        <w:t xml:space="preserve"> th</w:t>
      </w:r>
      <w:r w:rsidRPr="00E77F77">
        <w:t>e</w:t>
      </w:r>
      <w:r w:rsidRPr="00E54C11">
        <w:t xml:space="preserve"> measu</w:t>
      </w:r>
      <w:r w:rsidRPr="00E77F77">
        <w:t>r</w:t>
      </w:r>
      <w:r w:rsidRPr="00E54C11">
        <w:t>e</w:t>
      </w:r>
      <w:r w:rsidRPr="00E77F77">
        <w:t xml:space="preserve">s </w:t>
      </w:r>
      <w:r w:rsidRPr="00E54C11">
        <w:t>neede</w:t>
      </w:r>
      <w:r w:rsidRPr="00E77F77">
        <w:t>d</w:t>
      </w:r>
      <w:r w:rsidRPr="00E54C11">
        <w:t xml:space="preserve"> t</w:t>
      </w:r>
      <w:r w:rsidRPr="00E77F77">
        <w:t>o</w:t>
      </w:r>
      <w:r w:rsidRPr="00E54C11">
        <w:t xml:space="preserve"> eithe</w:t>
      </w:r>
      <w:r w:rsidRPr="00E77F77">
        <w:t>r</w:t>
      </w:r>
      <w:r w:rsidRPr="00E54C11">
        <w:t xml:space="preserve"> eliminat</w:t>
      </w:r>
      <w:r w:rsidRPr="00E77F77">
        <w:t>e</w:t>
      </w:r>
      <w:r w:rsidRPr="00E54C11">
        <w:t xml:space="preserve"> th</w:t>
      </w:r>
      <w:r w:rsidRPr="00E77F77">
        <w:t>e</w:t>
      </w:r>
      <w:r w:rsidRPr="00E54C11">
        <w:t xml:space="preserve"> </w:t>
      </w:r>
      <w:r w:rsidRPr="00E77F77">
        <w:t>r</w:t>
      </w:r>
      <w:r w:rsidRPr="00E54C11">
        <w:t>isk</w:t>
      </w:r>
      <w:r w:rsidRPr="00E77F77">
        <w:t>s</w:t>
      </w:r>
      <w:r w:rsidRPr="00E54C11">
        <w:t xml:space="preserve"> o</w:t>
      </w:r>
      <w:r w:rsidRPr="00E77F77">
        <w:t>r,</w:t>
      </w:r>
      <w:r w:rsidRPr="00E54C11">
        <w:t xml:space="preserve"> i</w:t>
      </w:r>
      <w:r w:rsidRPr="00E77F77">
        <w:t>f</w:t>
      </w:r>
      <w:r w:rsidRPr="00E54C11">
        <w:t xml:space="preserve"> thi</w:t>
      </w:r>
      <w:r w:rsidRPr="00E77F77">
        <w:t>s</w:t>
      </w:r>
      <w:r w:rsidRPr="00E54C11">
        <w:t xml:space="preserve"> i</w:t>
      </w:r>
      <w:r w:rsidRPr="00E77F77">
        <w:t>s</w:t>
      </w:r>
      <w:r w:rsidRPr="00E54C11">
        <w:t xml:space="preserve"> no</w:t>
      </w:r>
      <w:r w:rsidRPr="00E77F77">
        <w:t>t</w:t>
      </w:r>
      <w:r w:rsidRPr="00E54C11">
        <w:t xml:space="preserve"> </w:t>
      </w:r>
      <w:r w:rsidRPr="00E77F77">
        <w:t>r</w:t>
      </w:r>
      <w:r w:rsidRPr="00E54C11">
        <w:t>easonabl</w:t>
      </w:r>
      <w:r w:rsidRPr="00E77F77">
        <w:t xml:space="preserve">y </w:t>
      </w:r>
      <w:r w:rsidRPr="00E54C11">
        <w:t>p</w:t>
      </w:r>
      <w:r w:rsidRPr="00E77F77">
        <w:t>r</w:t>
      </w:r>
      <w:r w:rsidRPr="00E54C11">
        <w:t>acticable</w:t>
      </w:r>
      <w:r w:rsidRPr="00E77F77">
        <w:t>,</w:t>
      </w:r>
      <w:r w:rsidRPr="00E54C11">
        <w:t xml:space="preserve"> adequatel</w:t>
      </w:r>
      <w:r w:rsidRPr="00E77F77">
        <w:t>y</w:t>
      </w:r>
      <w:r w:rsidRPr="00E54C11">
        <w:t xml:space="preserve"> cont</w:t>
      </w:r>
      <w:r w:rsidRPr="00E77F77">
        <w:t>r</w:t>
      </w:r>
      <w:r w:rsidRPr="00E54C11">
        <w:t>o</w:t>
      </w:r>
      <w:r w:rsidRPr="00E77F77">
        <w:t>l</w:t>
      </w:r>
      <w:r w:rsidRPr="00E54C11">
        <w:t xml:space="preserve"> them</w:t>
      </w:r>
      <w:r w:rsidRPr="00E77F77">
        <w:t>.</w:t>
      </w:r>
      <w:r w:rsidRPr="00E54C11">
        <w:t xml:space="preserve"> Th</w:t>
      </w:r>
      <w:r w:rsidRPr="00E77F77">
        <w:t>e</w:t>
      </w:r>
      <w:r w:rsidRPr="00E54C11">
        <w:t xml:space="preserve"> Regulation</w:t>
      </w:r>
      <w:r w:rsidRPr="00E77F77">
        <w:t>s</w:t>
      </w:r>
      <w:r w:rsidRPr="00E54C11">
        <w:t xml:space="preserve"> d</w:t>
      </w:r>
      <w:r w:rsidRPr="00E77F77">
        <w:t>o</w:t>
      </w:r>
      <w:r w:rsidRPr="00E54C11">
        <w:t xml:space="preserve"> no</w:t>
      </w:r>
      <w:r w:rsidRPr="00E77F77">
        <w:t xml:space="preserve">t </w:t>
      </w:r>
      <w:r w:rsidRPr="00E54C11">
        <w:t>specif</w:t>
      </w:r>
      <w:r w:rsidRPr="00E77F77">
        <w:t>y</w:t>
      </w:r>
      <w:r w:rsidRPr="00E54C11">
        <w:t xml:space="preserve"> whic</w:t>
      </w:r>
      <w:r w:rsidRPr="00E77F77">
        <w:t>h</w:t>
      </w:r>
      <w:r w:rsidRPr="00E54C11">
        <w:t xml:space="preserve"> measu</w:t>
      </w:r>
      <w:r w:rsidRPr="00E77F77">
        <w:t>r</w:t>
      </w:r>
      <w:r w:rsidRPr="00E54C11">
        <w:t>e</w:t>
      </w:r>
      <w:r w:rsidRPr="00E77F77">
        <w:t>s</w:t>
      </w:r>
      <w:r w:rsidRPr="00E54C11">
        <w:t xml:space="preserve"> shoul</w:t>
      </w:r>
      <w:r w:rsidRPr="00E77F77">
        <w:t>d</w:t>
      </w:r>
      <w:r w:rsidRPr="00E54C11">
        <w:t xml:space="preserve"> b</w:t>
      </w:r>
      <w:r w:rsidRPr="00E77F77">
        <w:t>e</w:t>
      </w:r>
      <w:r w:rsidRPr="00E54C11">
        <w:t xml:space="preserve"> int</w:t>
      </w:r>
      <w:r w:rsidRPr="00E77F77">
        <w:t>r</w:t>
      </w:r>
      <w:r w:rsidRPr="00E54C11">
        <w:t>oduce</w:t>
      </w:r>
      <w:r w:rsidRPr="00E77F77">
        <w:t>d</w:t>
      </w:r>
      <w:r w:rsidRPr="00E54C11">
        <w:t xml:space="preserve"> t</w:t>
      </w:r>
      <w:r w:rsidRPr="00E77F77">
        <w:t>o</w:t>
      </w:r>
      <w:r w:rsidRPr="00E54C11">
        <w:t xml:space="preserve"> cont</w:t>
      </w:r>
      <w:r w:rsidRPr="00E77F77">
        <w:t>r</w:t>
      </w:r>
      <w:r w:rsidRPr="00E54C11">
        <w:t>o</w:t>
      </w:r>
      <w:r w:rsidRPr="00E77F77">
        <w:t>l</w:t>
      </w:r>
      <w:r w:rsidRPr="00E54C11">
        <w:t xml:space="preserve"> th</w:t>
      </w:r>
      <w:r w:rsidRPr="00E77F77">
        <w:t>e r</w:t>
      </w:r>
      <w:r w:rsidRPr="00E54C11">
        <w:t>isk</w:t>
      </w:r>
      <w:r w:rsidRPr="00E77F77">
        <w:t>.</w:t>
      </w:r>
      <w:r w:rsidRPr="00E54C11">
        <w:t xml:space="preserve"> </w:t>
      </w:r>
      <w:r w:rsidRPr="00E77F77">
        <w:t xml:space="preserve"> </w:t>
      </w:r>
      <w:r w:rsidRPr="00E54C11">
        <w:t>I</w:t>
      </w:r>
      <w:r w:rsidRPr="00E77F77">
        <w:t>t</w:t>
      </w:r>
      <w:r w:rsidRPr="00E54C11">
        <w:t xml:space="preserve"> i</w:t>
      </w:r>
      <w:r w:rsidRPr="00E77F77">
        <w:t>s</w:t>
      </w:r>
      <w:r w:rsidRPr="00E54C11">
        <w:t xml:space="preserve"> fo</w:t>
      </w:r>
      <w:r w:rsidRPr="00E77F77">
        <w:t>r</w:t>
      </w:r>
      <w:r w:rsidRPr="00E54C11">
        <w:t xml:space="preserve"> th</w:t>
      </w:r>
      <w:r w:rsidRPr="00E77F77">
        <w:t>e</w:t>
      </w:r>
      <w:r w:rsidRPr="00E54C11">
        <w:t xml:space="preserve"> employe</w:t>
      </w:r>
      <w:r w:rsidRPr="00E77F77">
        <w:t>rs</w:t>
      </w:r>
      <w:r w:rsidRPr="00E54C11">
        <w:t xml:space="preserve"> t</w:t>
      </w:r>
      <w:r w:rsidRPr="00E77F77">
        <w:t>o</w:t>
      </w:r>
      <w:r w:rsidRPr="00E54C11">
        <w:t xml:space="preserve"> satisf</w:t>
      </w:r>
      <w:r w:rsidRPr="00E77F77">
        <w:t>y</w:t>
      </w:r>
      <w:r w:rsidRPr="00E54C11">
        <w:t xml:space="preserve"> themselve</w:t>
      </w:r>
      <w:r w:rsidRPr="00E77F77">
        <w:t>s</w:t>
      </w:r>
      <w:r w:rsidRPr="00E54C11">
        <w:t xml:space="preserve"> tha</w:t>
      </w:r>
      <w:r w:rsidRPr="00E77F77">
        <w:t>t</w:t>
      </w:r>
      <w:r w:rsidRPr="00E54C11">
        <w:t xml:space="preserve"> th</w:t>
      </w:r>
      <w:r w:rsidRPr="00E77F77">
        <w:t xml:space="preserve">e </w:t>
      </w:r>
      <w:r w:rsidRPr="00E54C11">
        <w:t>measu</w:t>
      </w:r>
      <w:r w:rsidRPr="00E77F77">
        <w:t>r</w:t>
      </w:r>
      <w:r w:rsidRPr="00E54C11">
        <w:t>e</w:t>
      </w:r>
      <w:r w:rsidRPr="00E77F77">
        <w:t>s</w:t>
      </w:r>
      <w:r w:rsidRPr="00E54C11">
        <w:t xml:space="preserve"> the</w:t>
      </w:r>
      <w:r w:rsidRPr="00E77F77">
        <w:t>y</w:t>
      </w:r>
      <w:r w:rsidRPr="00E54C11">
        <w:t xml:space="preserve"> hav</w:t>
      </w:r>
      <w:r w:rsidRPr="00E77F77">
        <w:t>e</w:t>
      </w:r>
      <w:r w:rsidRPr="00E54C11">
        <w:t xml:space="preserve"> take</w:t>
      </w:r>
      <w:r w:rsidRPr="00E77F77">
        <w:t>n</w:t>
      </w:r>
      <w:r w:rsidRPr="00E54C11">
        <w:t xml:space="preserve"> a</w:t>
      </w:r>
      <w:r w:rsidRPr="00E77F77">
        <w:t>re</w:t>
      </w:r>
      <w:r w:rsidRPr="00E54C11">
        <w:t xml:space="preserve"> adequate</w:t>
      </w:r>
      <w:r w:rsidRPr="00E77F77">
        <w:t>.</w:t>
      </w:r>
      <w:r w:rsidRPr="00E54C11">
        <w:t xml:space="preserve"> I</w:t>
      </w:r>
      <w:r w:rsidRPr="00E77F77">
        <w:t>n</w:t>
      </w:r>
      <w:r w:rsidRPr="00E54C11">
        <w:t xml:space="preserve"> doin</w:t>
      </w:r>
      <w:r w:rsidRPr="00E77F77">
        <w:t>g</w:t>
      </w:r>
      <w:r w:rsidRPr="00E54C11">
        <w:t xml:space="preserve"> so</w:t>
      </w:r>
      <w:r w:rsidRPr="00E77F77">
        <w:t>,</w:t>
      </w:r>
      <w:r w:rsidRPr="00E54C11">
        <w:t xml:space="preserve"> th</w:t>
      </w:r>
      <w:r w:rsidRPr="00E77F77">
        <w:t>e</w:t>
      </w:r>
      <w:r w:rsidRPr="00E54C11">
        <w:t xml:space="preserve"> NH</w:t>
      </w:r>
      <w:r w:rsidRPr="00E77F77">
        <w:t xml:space="preserve">S </w:t>
      </w:r>
      <w:r w:rsidRPr="00E54C11">
        <w:t>funde</w:t>
      </w:r>
      <w:r w:rsidRPr="00E77F77">
        <w:t>d</w:t>
      </w:r>
      <w:r w:rsidRPr="00E54C11">
        <w:t xml:space="preserve"> p</w:t>
      </w:r>
      <w:r w:rsidRPr="00E77F77">
        <w:t>r</w:t>
      </w:r>
      <w:r w:rsidRPr="00E54C11">
        <w:t>ovide</w:t>
      </w:r>
      <w:r w:rsidRPr="00E77F77">
        <w:t>r</w:t>
      </w:r>
      <w:r w:rsidRPr="00E54C11">
        <w:t xml:space="preserve"> mus</w:t>
      </w:r>
      <w:r w:rsidRPr="00E77F77">
        <w:t>t</w:t>
      </w:r>
      <w:r w:rsidRPr="00E54C11">
        <w:t xml:space="preserve"> conside</w:t>
      </w:r>
      <w:r w:rsidRPr="00E77F77">
        <w:t>r</w:t>
      </w:r>
      <w:r w:rsidRPr="00E54C11">
        <w:t xml:space="preserve"> th</w:t>
      </w:r>
      <w:r w:rsidRPr="00E77F77">
        <w:t>e</w:t>
      </w:r>
      <w:r w:rsidRPr="00E54C11">
        <w:t xml:space="preserve"> goo</w:t>
      </w:r>
      <w:r w:rsidRPr="00E77F77">
        <w:t>d</w:t>
      </w:r>
      <w:r w:rsidRPr="00E54C11">
        <w:t xml:space="preserve"> p</w:t>
      </w:r>
      <w:r w:rsidRPr="00E77F77">
        <w:t>r</w:t>
      </w:r>
      <w:r w:rsidRPr="00E54C11">
        <w:t>actic</w:t>
      </w:r>
      <w:r w:rsidRPr="00E77F77">
        <w:t>e</w:t>
      </w:r>
      <w:r w:rsidRPr="00E54C11">
        <w:t xml:space="preserve"> o</w:t>
      </w:r>
      <w:r w:rsidRPr="00E77F77">
        <w:t>f</w:t>
      </w:r>
      <w:r w:rsidRPr="00E54C11">
        <w:t xml:space="preserve"> othe</w:t>
      </w:r>
      <w:r w:rsidRPr="00E77F77">
        <w:t xml:space="preserve">r </w:t>
      </w:r>
      <w:r w:rsidRPr="00E54C11">
        <w:t>employe</w:t>
      </w:r>
      <w:r w:rsidRPr="00E77F77">
        <w:t>rs</w:t>
      </w:r>
      <w:r w:rsidRPr="00E54C11">
        <w:t xml:space="preserve"> managin</w:t>
      </w:r>
      <w:r w:rsidRPr="00E77F77">
        <w:t>g</w:t>
      </w:r>
      <w:r w:rsidRPr="00E54C11">
        <w:t xml:space="preserve"> simila</w:t>
      </w:r>
      <w:r w:rsidRPr="00E77F77">
        <w:t>r</w:t>
      </w:r>
      <w:r w:rsidRPr="00E54C11">
        <w:t xml:space="preserve"> issues</w:t>
      </w:r>
      <w:r w:rsidRPr="00E77F77">
        <w:t>.</w:t>
      </w:r>
    </w:p>
    <w:p w14:paraId="10D57E97" w14:textId="77777777" w:rsidR="008F7BB3" w:rsidRPr="00E77F77" w:rsidRDefault="008F7BB3" w:rsidP="008F7BB3">
      <w:pPr>
        <w:pStyle w:val="Heading4"/>
      </w:pPr>
      <w:r w:rsidRPr="00E77F77">
        <w:t xml:space="preserve">A </w:t>
      </w:r>
      <w:r w:rsidRPr="00E54C11">
        <w:t xml:space="preserve"> Violenc</w:t>
      </w:r>
      <w:r w:rsidRPr="00E77F77">
        <w:t>e</w:t>
      </w:r>
      <w:r w:rsidRPr="00E54C11">
        <w:t xml:space="preserve"> an</w:t>
      </w:r>
      <w:r w:rsidRPr="00E77F77">
        <w:t>d</w:t>
      </w:r>
      <w:r w:rsidRPr="00E54C11">
        <w:t xml:space="preserve"> Agg</w:t>
      </w:r>
      <w:r w:rsidRPr="00E77F77">
        <w:t>r</w:t>
      </w:r>
      <w:r w:rsidRPr="00E54C11">
        <w:t>essio</w:t>
      </w:r>
      <w:r w:rsidRPr="00E77F77">
        <w:t>n</w:t>
      </w:r>
      <w:r w:rsidRPr="00E54C11">
        <w:t xml:space="preserve"> Ris</w:t>
      </w:r>
      <w:r w:rsidRPr="00E77F77">
        <w:t>k</w:t>
      </w:r>
      <w:r w:rsidRPr="00E54C11">
        <w:t xml:space="preserve"> Assessmen</w:t>
      </w:r>
      <w:r w:rsidRPr="00E77F77">
        <w:t>t</w:t>
      </w:r>
      <w:r w:rsidRPr="00E54C11">
        <w:t xml:space="preserve"> shoul</w:t>
      </w:r>
      <w:r w:rsidRPr="00E77F77">
        <w:t>d</w:t>
      </w:r>
      <w:r w:rsidRPr="00E54C11">
        <w:t xml:space="preserve"> b</w:t>
      </w:r>
      <w:r w:rsidRPr="00E77F77">
        <w:t xml:space="preserve">e </w:t>
      </w:r>
      <w:r w:rsidRPr="00E54C11">
        <w:t>documente</w:t>
      </w:r>
      <w:r w:rsidRPr="00E77F77">
        <w:t>d</w:t>
      </w:r>
      <w:r w:rsidRPr="00E54C11">
        <w:t xml:space="preserve"> fo</w:t>
      </w:r>
      <w:r w:rsidRPr="00E77F77">
        <w:t>r</w:t>
      </w:r>
      <w:r w:rsidRPr="00E54C11">
        <w:t xml:space="preserve"> an</w:t>
      </w:r>
      <w:r w:rsidRPr="00E77F77">
        <w:t>y</w:t>
      </w:r>
      <w:r w:rsidRPr="00E54C11">
        <w:t xml:space="preserve"> tas</w:t>
      </w:r>
      <w:r w:rsidRPr="00E77F77">
        <w:t>k</w:t>
      </w:r>
      <w:r w:rsidRPr="00E54C11">
        <w:t xml:space="preserve"> </w:t>
      </w:r>
      <w:r w:rsidRPr="00E77F77">
        <w:t>/</w:t>
      </w:r>
      <w:r w:rsidRPr="00E54C11">
        <w:t xml:space="preserve"> activit</w:t>
      </w:r>
      <w:r w:rsidRPr="00E77F77">
        <w:t>y</w:t>
      </w:r>
      <w:r w:rsidRPr="00E54C11">
        <w:t xml:space="preserve"> whic</w:t>
      </w:r>
      <w:r w:rsidRPr="00E77F77">
        <w:t>h</w:t>
      </w:r>
      <w:r w:rsidRPr="00E54C11">
        <w:t xml:space="preserve"> p</w:t>
      </w:r>
      <w:r w:rsidRPr="00E77F77">
        <w:t>r</w:t>
      </w:r>
      <w:r w:rsidRPr="00E54C11">
        <w:t>esent</w:t>
      </w:r>
      <w:r w:rsidRPr="00E77F77">
        <w:t>s</w:t>
      </w:r>
      <w:r w:rsidRPr="00E54C11">
        <w:t xml:space="preserve"> </w:t>
      </w:r>
      <w:r w:rsidRPr="00E77F77">
        <w:t>a</w:t>
      </w:r>
      <w:r w:rsidRPr="00E54C11">
        <w:t xml:space="preserve"> significan</w:t>
      </w:r>
      <w:r w:rsidRPr="00E77F77">
        <w:t>t r</w:t>
      </w:r>
      <w:r w:rsidRPr="00E54C11">
        <w:t>isk</w:t>
      </w:r>
      <w:r w:rsidRPr="00E77F77">
        <w:t>.</w:t>
      </w:r>
      <w:r w:rsidRPr="00E54C11">
        <w:t xml:space="preserve"> I</w:t>
      </w:r>
      <w:r w:rsidRPr="00E77F77">
        <w:t>n</w:t>
      </w:r>
      <w:r w:rsidRPr="00E54C11">
        <w:t xml:space="preserve"> additio</w:t>
      </w:r>
      <w:r w:rsidRPr="00E77F77">
        <w:t>n</w:t>
      </w:r>
      <w:r w:rsidRPr="00E54C11">
        <w:t xml:space="preserve"> t</w:t>
      </w:r>
      <w:r w:rsidRPr="00E77F77">
        <w:t>o</w:t>
      </w:r>
      <w:r w:rsidRPr="00E54C11">
        <w:t xml:space="preserve"> fo</w:t>
      </w:r>
      <w:r w:rsidRPr="00E77F77">
        <w:t>r</w:t>
      </w:r>
      <w:r w:rsidRPr="00E54C11">
        <w:t>ma</w:t>
      </w:r>
      <w:r w:rsidRPr="00E77F77">
        <w:t>l</w:t>
      </w:r>
      <w:r w:rsidRPr="00E54C11">
        <w:t xml:space="preserve"> documente</w:t>
      </w:r>
      <w:r w:rsidRPr="00E77F77">
        <w:t>d</w:t>
      </w:r>
      <w:r w:rsidRPr="00E54C11">
        <w:t xml:space="preserve"> </w:t>
      </w:r>
      <w:r w:rsidRPr="00E77F77">
        <w:t>r</w:t>
      </w:r>
      <w:r w:rsidRPr="00E54C11">
        <w:t>is</w:t>
      </w:r>
      <w:r w:rsidRPr="00E77F77">
        <w:t>k</w:t>
      </w:r>
      <w:r w:rsidRPr="00E54C11">
        <w:t xml:space="preserve"> assessments</w:t>
      </w:r>
      <w:r w:rsidRPr="00E77F77">
        <w:t xml:space="preserve">, </w:t>
      </w:r>
      <w:r w:rsidRPr="00E54C11">
        <w:t>employee</w:t>
      </w:r>
      <w:r w:rsidRPr="00E77F77">
        <w:t>s</w:t>
      </w:r>
      <w:r w:rsidRPr="00E54C11">
        <w:t xml:space="preserve"> mus</w:t>
      </w:r>
      <w:r w:rsidRPr="00E77F77">
        <w:t>t</w:t>
      </w:r>
      <w:r w:rsidRPr="00E54C11">
        <w:t xml:space="preserve"> conduc</w:t>
      </w:r>
      <w:r w:rsidRPr="00E77F77">
        <w:t>t</w:t>
      </w:r>
      <w:r w:rsidRPr="00E54C11">
        <w:t xml:space="preserve"> </w:t>
      </w:r>
      <w:r w:rsidRPr="00E77F77">
        <w:t>a</w:t>
      </w:r>
      <w:r w:rsidRPr="00E54C11">
        <w:t xml:space="preserve"> </w:t>
      </w:r>
      <w:r w:rsidRPr="00E77F77">
        <w:t>P</w:t>
      </w:r>
      <w:r w:rsidRPr="00E54C11">
        <w:t>e</w:t>
      </w:r>
      <w:r w:rsidRPr="00E77F77">
        <w:t>r</w:t>
      </w:r>
      <w:r w:rsidRPr="00E54C11">
        <w:t>sona</w:t>
      </w:r>
      <w:r w:rsidRPr="00E77F77">
        <w:t>l</w:t>
      </w:r>
      <w:r w:rsidRPr="00E54C11">
        <w:t xml:space="preserve"> Ris</w:t>
      </w:r>
      <w:r w:rsidRPr="00E77F77">
        <w:t>k</w:t>
      </w:r>
      <w:r w:rsidRPr="00E54C11">
        <w:t xml:space="preserve"> Assessmen</w:t>
      </w:r>
      <w:r w:rsidRPr="00E77F77">
        <w:t>t</w:t>
      </w:r>
      <w:r w:rsidRPr="00E54C11">
        <w:t xml:space="preserve"> befo</w:t>
      </w:r>
      <w:r w:rsidRPr="00E77F77">
        <w:t xml:space="preserve">re </w:t>
      </w:r>
      <w:r w:rsidRPr="00E54C11">
        <w:t>the</w:t>
      </w:r>
      <w:r w:rsidRPr="00E77F77">
        <w:t>y</w:t>
      </w:r>
      <w:r w:rsidRPr="00E54C11">
        <w:t xml:space="preserve"> pe</w:t>
      </w:r>
      <w:r w:rsidRPr="00E77F77">
        <w:t>r</w:t>
      </w:r>
      <w:r w:rsidRPr="00E54C11">
        <w:t>fo</w:t>
      </w:r>
      <w:r w:rsidRPr="00E77F77">
        <w:t>rm</w:t>
      </w:r>
      <w:r w:rsidRPr="00E54C11">
        <w:t xml:space="preserve"> </w:t>
      </w:r>
      <w:r w:rsidRPr="00E77F77">
        <w:t>a</w:t>
      </w:r>
      <w:r w:rsidRPr="00E54C11">
        <w:t xml:space="preserve"> task/activity</w:t>
      </w:r>
      <w:r w:rsidRPr="00E77F77">
        <w:t>,</w:t>
      </w:r>
      <w:r w:rsidRPr="00E54C11">
        <w:t xml:space="preserve"> whic</w:t>
      </w:r>
      <w:r w:rsidRPr="00E77F77">
        <w:t>h</w:t>
      </w:r>
      <w:r w:rsidRPr="00E54C11">
        <w:t xml:space="preserve"> ma</w:t>
      </w:r>
      <w:r w:rsidRPr="00E77F77">
        <w:t>y</w:t>
      </w:r>
      <w:r w:rsidRPr="00E54C11">
        <w:t xml:space="preserve"> p</w:t>
      </w:r>
      <w:r w:rsidRPr="00E77F77">
        <w:t>r</w:t>
      </w:r>
      <w:r w:rsidRPr="00E54C11">
        <w:t>esen</w:t>
      </w:r>
      <w:r w:rsidRPr="00E77F77">
        <w:t>t</w:t>
      </w:r>
      <w:r w:rsidRPr="00E54C11">
        <w:t xml:space="preserve"> </w:t>
      </w:r>
      <w:r w:rsidRPr="00E77F77">
        <w:t>a</w:t>
      </w:r>
      <w:r w:rsidRPr="00E54C11">
        <w:t xml:space="preserve"> </w:t>
      </w:r>
      <w:r w:rsidRPr="00E77F77">
        <w:t>r</w:t>
      </w:r>
      <w:r w:rsidRPr="00E54C11">
        <w:t>is</w:t>
      </w:r>
      <w:r w:rsidRPr="00E77F77">
        <w:t>k</w:t>
      </w:r>
      <w:r w:rsidRPr="00E54C11">
        <w:t xml:space="preserve"> o</w:t>
      </w:r>
      <w:r w:rsidRPr="00E77F77">
        <w:t xml:space="preserve">f </w:t>
      </w:r>
      <w:r w:rsidRPr="00E54C11">
        <w:t>violenc</w:t>
      </w:r>
      <w:r w:rsidRPr="00E77F77">
        <w:t>e</w:t>
      </w:r>
      <w:r w:rsidRPr="00E54C11">
        <w:t xml:space="preserve"> an</w:t>
      </w:r>
      <w:r w:rsidRPr="00E77F77">
        <w:t>d</w:t>
      </w:r>
      <w:r w:rsidRPr="00E54C11">
        <w:t xml:space="preserve"> agg</w:t>
      </w:r>
      <w:r w:rsidRPr="00E77F77">
        <w:t>r</w:t>
      </w:r>
      <w:r w:rsidRPr="00E54C11">
        <w:t>ession</w:t>
      </w:r>
      <w:r w:rsidRPr="00E77F77">
        <w:t>.</w:t>
      </w:r>
      <w:r w:rsidRPr="00E54C11">
        <w:t xml:space="preserve"> Thi</w:t>
      </w:r>
      <w:r w:rsidRPr="00E77F77">
        <w:t>s</w:t>
      </w:r>
      <w:r w:rsidRPr="00E54C11">
        <w:t xml:space="preserve"> assessmen</w:t>
      </w:r>
      <w:r w:rsidRPr="00E77F77">
        <w:t xml:space="preserve">t </w:t>
      </w:r>
      <w:r w:rsidRPr="00E54C11">
        <w:t>shoul</w:t>
      </w:r>
      <w:r w:rsidRPr="00E77F77">
        <w:t>d</w:t>
      </w:r>
      <w:r w:rsidRPr="00E54C11">
        <w:t xml:space="preserve"> examin</w:t>
      </w:r>
      <w:r w:rsidRPr="00E77F77">
        <w:t xml:space="preserve">e </w:t>
      </w:r>
      <w:r w:rsidRPr="00E54C11">
        <w:t>th</w:t>
      </w:r>
      <w:r w:rsidRPr="00E77F77">
        <w:t>e</w:t>
      </w:r>
      <w:r w:rsidRPr="00E54C11">
        <w:t xml:space="preserve"> </w:t>
      </w:r>
      <w:r w:rsidRPr="00E77F77">
        <w:t>r</w:t>
      </w:r>
      <w:r w:rsidRPr="00E54C11">
        <w:t>is</w:t>
      </w:r>
      <w:r w:rsidRPr="00E77F77">
        <w:t>k</w:t>
      </w:r>
      <w:r w:rsidRPr="00E54C11">
        <w:t xml:space="preserve"> t</w:t>
      </w:r>
      <w:r w:rsidRPr="00E77F77">
        <w:t>o</w:t>
      </w:r>
      <w:r w:rsidRPr="00E54C11">
        <w:t xml:space="preserve"> themselve</w:t>
      </w:r>
      <w:r w:rsidRPr="00E77F77">
        <w:t>s</w:t>
      </w:r>
      <w:r w:rsidRPr="00E54C11">
        <w:t xml:space="preserve"> an</w:t>
      </w:r>
      <w:r w:rsidRPr="00E77F77">
        <w:t>d</w:t>
      </w:r>
      <w:r w:rsidRPr="00E54C11">
        <w:t xml:space="preserve"> othe</w:t>
      </w:r>
      <w:r w:rsidRPr="00E77F77">
        <w:t>rs</w:t>
      </w:r>
      <w:r w:rsidRPr="00E54C11">
        <w:t xml:space="preserve"> wh</w:t>
      </w:r>
      <w:r w:rsidRPr="00E77F77">
        <w:t>o</w:t>
      </w:r>
      <w:r w:rsidRPr="00E54C11">
        <w:t xml:space="preserve"> ma</w:t>
      </w:r>
      <w:r w:rsidRPr="00E77F77">
        <w:t>y</w:t>
      </w:r>
      <w:r w:rsidRPr="00E54C11">
        <w:t xml:space="preserve"> b</w:t>
      </w:r>
      <w:r w:rsidRPr="00E77F77">
        <w:t>e</w:t>
      </w:r>
      <w:r w:rsidRPr="00E54C11">
        <w:t xml:space="preserve"> affecte</w:t>
      </w:r>
      <w:r w:rsidRPr="00E77F77">
        <w:t>d</w:t>
      </w:r>
      <w:r w:rsidRPr="00E54C11">
        <w:t xml:space="preserve"> b</w:t>
      </w:r>
      <w:r w:rsidRPr="00E77F77">
        <w:t>y</w:t>
      </w:r>
      <w:r w:rsidRPr="00E54C11">
        <w:t xml:space="preserve"> th</w:t>
      </w:r>
      <w:r w:rsidRPr="00E77F77">
        <w:t xml:space="preserve">e </w:t>
      </w:r>
      <w:r w:rsidRPr="00E54C11">
        <w:t>activity</w:t>
      </w:r>
      <w:r w:rsidRPr="00E77F77">
        <w:t>.</w:t>
      </w:r>
      <w:r w:rsidRPr="00E54C11">
        <w:t xml:space="preserve"> I</w:t>
      </w:r>
      <w:r w:rsidRPr="00E77F77">
        <w:t>f</w:t>
      </w:r>
      <w:r w:rsidRPr="00E54C11">
        <w:t xml:space="preserve"> necessa</w:t>
      </w:r>
      <w:r w:rsidRPr="00E77F77">
        <w:t>r</w:t>
      </w:r>
      <w:r w:rsidRPr="00E54C11">
        <w:t>y</w:t>
      </w:r>
      <w:r w:rsidRPr="00E77F77">
        <w:t>,</w:t>
      </w:r>
      <w:r w:rsidRPr="00E54C11">
        <w:t xml:space="preserve"> the</w:t>
      </w:r>
      <w:r w:rsidRPr="00E77F77">
        <w:t>y</w:t>
      </w:r>
      <w:r w:rsidRPr="00E54C11">
        <w:t xml:space="preserve"> mus</w:t>
      </w:r>
      <w:r w:rsidRPr="00E77F77">
        <w:t>t</w:t>
      </w:r>
      <w:r w:rsidRPr="00E54C11">
        <w:t xml:space="preserve"> communicat</w:t>
      </w:r>
      <w:r w:rsidRPr="00E77F77">
        <w:t>e</w:t>
      </w:r>
      <w:r w:rsidRPr="00E54C11">
        <w:t xml:space="preserve"> thei</w:t>
      </w:r>
      <w:r w:rsidRPr="00E77F77">
        <w:t>r</w:t>
      </w:r>
      <w:r w:rsidRPr="00E54C11">
        <w:t xml:space="preserve"> finding</w:t>
      </w:r>
      <w:r w:rsidRPr="00E77F77">
        <w:t>s</w:t>
      </w:r>
      <w:r w:rsidRPr="00E54C11">
        <w:t xml:space="preserve"> t</w:t>
      </w:r>
      <w:r w:rsidRPr="00E77F77">
        <w:t xml:space="preserve">o </w:t>
      </w:r>
      <w:r w:rsidRPr="00E54C11">
        <w:t>othe</w:t>
      </w:r>
      <w:r w:rsidRPr="00E77F77">
        <w:t>r</w:t>
      </w:r>
      <w:r w:rsidRPr="00E54C11">
        <w:t>s</w:t>
      </w:r>
      <w:r w:rsidRPr="00E77F77">
        <w:t>.</w:t>
      </w:r>
    </w:p>
    <w:p w14:paraId="696620EC" w14:textId="77777777" w:rsidR="008F7BB3" w:rsidRPr="00E54C11" w:rsidRDefault="008F7BB3" w:rsidP="008F7BB3">
      <w:pPr>
        <w:pStyle w:val="Heading4"/>
        <w:rPr>
          <w:b/>
        </w:rPr>
      </w:pPr>
      <w:r w:rsidRPr="00E54C11">
        <w:rPr>
          <w:b/>
        </w:rPr>
        <w:t>Roles and Responsibilities</w:t>
      </w:r>
    </w:p>
    <w:p w14:paraId="0E09F52C" w14:textId="77777777" w:rsidR="008F7BB3" w:rsidRPr="00E54C11" w:rsidRDefault="008F7BB3" w:rsidP="008F7BB3">
      <w:pPr>
        <w:pStyle w:val="Heading4"/>
        <w:rPr>
          <w:b/>
        </w:rPr>
      </w:pPr>
      <w:r w:rsidRPr="00E54C11">
        <w:rPr>
          <w:b/>
        </w:rPr>
        <w:t>Th</w:t>
      </w:r>
      <w:r w:rsidRPr="00474846">
        <w:rPr>
          <w:b/>
        </w:rPr>
        <w:t>e</w:t>
      </w:r>
      <w:r w:rsidRPr="00E54C11">
        <w:rPr>
          <w:b/>
        </w:rPr>
        <w:t xml:space="preserve"> Commissione</w:t>
      </w:r>
      <w:r w:rsidRPr="00474846">
        <w:rPr>
          <w:b/>
        </w:rPr>
        <w:t>r</w:t>
      </w:r>
      <w:r w:rsidRPr="009F1946">
        <w:rPr>
          <w:b/>
        </w:rPr>
        <w:t xml:space="preserve"> </w:t>
      </w:r>
    </w:p>
    <w:p w14:paraId="2F0F60FE" w14:textId="77777777" w:rsidR="008F7BB3" w:rsidRPr="00E77F77" w:rsidRDefault="008F7BB3" w:rsidP="008F7BB3">
      <w:pPr>
        <w:pStyle w:val="Heading4"/>
      </w:pPr>
      <w:r w:rsidRPr="00E54C11">
        <w:lastRenderedPageBreak/>
        <w:t>Th</w:t>
      </w:r>
      <w:r w:rsidRPr="00E77F77">
        <w:t>e</w:t>
      </w:r>
      <w:r w:rsidRPr="00E54C11">
        <w:t xml:space="preserve"> Commissione</w:t>
      </w:r>
      <w:r w:rsidRPr="00E77F77">
        <w:t>r</w:t>
      </w:r>
      <w:r w:rsidRPr="00E54C11">
        <w:t xml:space="preserve"> </w:t>
      </w:r>
      <w:r w:rsidRPr="00E77F77">
        <w:t>(</w:t>
      </w:r>
      <w:r w:rsidRPr="00E54C11">
        <w:t>o</w:t>
      </w:r>
      <w:r w:rsidRPr="00E77F77">
        <w:t>r</w:t>
      </w:r>
      <w:r w:rsidRPr="00E54C11">
        <w:t xml:space="preserve"> equivalent</w:t>
      </w:r>
      <w:r w:rsidRPr="00E77F77">
        <w:t>)</w:t>
      </w:r>
      <w:r w:rsidRPr="00E54C11">
        <w:t xml:space="preserve"> i</w:t>
      </w:r>
      <w:r w:rsidRPr="00E77F77">
        <w:t>s</w:t>
      </w:r>
      <w:r w:rsidRPr="00E54C11">
        <w:t xml:space="preserve"> </w:t>
      </w:r>
      <w:r w:rsidRPr="00E77F77">
        <w:t>r</w:t>
      </w:r>
      <w:r w:rsidRPr="00E54C11">
        <w:t>esponsibl</w:t>
      </w:r>
      <w:r w:rsidRPr="00E77F77">
        <w:t>e</w:t>
      </w:r>
      <w:r w:rsidRPr="00E54C11">
        <w:t xml:space="preserve"> fo</w:t>
      </w:r>
      <w:r w:rsidRPr="00E77F77">
        <w:t>r</w:t>
      </w:r>
      <w:r w:rsidRPr="00E54C11">
        <w:t xml:space="preserve"> </w:t>
      </w:r>
      <w:r w:rsidRPr="00E77F77">
        <w:t>r</w:t>
      </w:r>
      <w:r w:rsidRPr="00E54C11">
        <w:t>eceivin</w:t>
      </w:r>
      <w:r w:rsidRPr="00E77F77">
        <w:t xml:space="preserve">g </w:t>
      </w:r>
      <w:r w:rsidRPr="00E54C11">
        <w:t>assu</w:t>
      </w:r>
      <w:r w:rsidRPr="00E77F77">
        <w:t>r</w:t>
      </w:r>
      <w:r w:rsidRPr="00E54C11">
        <w:t>anc</w:t>
      </w:r>
      <w:r w:rsidRPr="00E77F77">
        <w:t>e</w:t>
      </w:r>
      <w:r w:rsidRPr="00E54C11">
        <w:t xml:space="preserve"> tha</w:t>
      </w:r>
      <w:r w:rsidRPr="00E77F77">
        <w:t>t</w:t>
      </w:r>
      <w:r w:rsidRPr="00E54C11">
        <w:t xml:space="preserve"> th</w:t>
      </w:r>
      <w:r w:rsidRPr="00E77F77">
        <w:t>e</w:t>
      </w:r>
      <w:r w:rsidRPr="00E54C11">
        <w:t xml:space="preserve"> o</w:t>
      </w:r>
      <w:r w:rsidRPr="00E77F77">
        <w:t>r</w:t>
      </w:r>
      <w:r w:rsidRPr="00E54C11">
        <w:t>ganisatio</w:t>
      </w:r>
      <w:r w:rsidRPr="00E77F77">
        <w:t>n</w:t>
      </w:r>
      <w:r w:rsidRPr="00E54C11">
        <w:t xml:space="preserve"> ha</w:t>
      </w:r>
      <w:r w:rsidRPr="00E77F77">
        <w:t>s</w:t>
      </w:r>
      <w:r w:rsidRPr="00E54C11">
        <w:t xml:space="preserve"> a</w:t>
      </w:r>
      <w:r w:rsidRPr="00E77F77">
        <w:t>n</w:t>
      </w:r>
      <w:r w:rsidRPr="00E54C11">
        <w:t xml:space="preserve"> effectiv</w:t>
      </w:r>
      <w:r w:rsidRPr="00E77F77">
        <w:t>e</w:t>
      </w:r>
      <w:r w:rsidRPr="00E54C11">
        <w:t xml:space="preserve"> p</w:t>
      </w:r>
      <w:r w:rsidRPr="00E77F77">
        <w:t>r</w:t>
      </w:r>
      <w:r w:rsidRPr="00E54C11">
        <w:t>og</w:t>
      </w:r>
      <w:r w:rsidRPr="00E77F77">
        <w:t>r</w:t>
      </w:r>
      <w:r w:rsidRPr="00E54C11">
        <w:t>amm</w:t>
      </w:r>
      <w:r w:rsidRPr="00E77F77">
        <w:t>e</w:t>
      </w:r>
      <w:r w:rsidRPr="00E54C11">
        <w:t xml:space="preserve"> i</w:t>
      </w:r>
      <w:r w:rsidRPr="00E77F77">
        <w:t xml:space="preserve">n </w:t>
      </w:r>
      <w:r w:rsidRPr="00E54C11">
        <w:t>plac</w:t>
      </w:r>
      <w:r w:rsidRPr="00E77F77">
        <w:t>e</w:t>
      </w:r>
      <w:r w:rsidRPr="00E54C11">
        <w:t xml:space="preserve"> fo</w:t>
      </w:r>
      <w:r w:rsidRPr="00E77F77">
        <w:t>r</w:t>
      </w:r>
      <w:r w:rsidRPr="00E54C11">
        <w:t xml:space="preserve"> managin</w:t>
      </w:r>
      <w:r w:rsidRPr="00E77F77">
        <w:t>g</w:t>
      </w:r>
      <w:r w:rsidRPr="00E54C11">
        <w:t xml:space="preserve"> clinical</w:t>
      </w:r>
      <w:r w:rsidRPr="00E77F77">
        <w:t>,</w:t>
      </w:r>
      <w:r w:rsidRPr="00E54C11">
        <w:t xml:space="preserve"> financia</w:t>
      </w:r>
      <w:r w:rsidRPr="00E77F77">
        <w:t>l</w:t>
      </w:r>
      <w:r w:rsidRPr="00E54C11">
        <w:t xml:space="preserve"> an</w:t>
      </w:r>
      <w:r w:rsidRPr="00E77F77">
        <w:t>d</w:t>
      </w:r>
      <w:r w:rsidRPr="00E54C11">
        <w:t xml:space="preserve"> st</w:t>
      </w:r>
      <w:r w:rsidRPr="00E77F77">
        <w:t>r</w:t>
      </w:r>
      <w:r w:rsidRPr="00E54C11">
        <w:t>ategi</w:t>
      </w:r>
      <w:r w:rsidRPr="00E77F77">
        <w:t>c</w:t>
      </w:r>
      <w:r w:rsidRPr="00E54C11">
        <w:t xml:space="preserve"> </w:t>
      </w:r>
      <w:r w:rsidRPr="00E77F77">
        <w:t>r</w:t>
      </w:r>
      <w:r w:rsidRPr="00E54C11">
        <w:t>isks</w:t>
      </w:r>
      <w:r w:rsidRPr="00E77F77">
        <w:t>.</w:t>
      </w:r>
      <w:r w:rsidRPr="00E54C11">
        <w:t xml:space="preserve"> </w:t>
      </w:r>
      <w:r w:rsidRPr="00E77F77">
        <w:t xml:space="preserve"> </w:t>
      </w:r>
      <w:r w:rsidRPr="00E54C11">
        <w:t>I</w:t>
      </w:r>
      <w:r w:rsidRPr="00E77F77">
        <w:t xml:space="preserve">n </w:t>
      </w:r>
      <w:r w:rsidRPr="00E54C11">
        <w:t>o</w:t>
      </w:r>
      <w:r w:rsidRPr="00E77F77">
        <w:t>r</w:t>
      </w:r>
      <w:r w:rsidRPr="00E54C11">
        <w:t>de</w:t>
      </w:r>
      <w:r w:rsidRPr="00E77F77">
        <w:t>r</w:t>
      </w:r>
      <w:r w:rsidRPr="00E54C11">
        <w:t xml:space="preserve"> t</w:t>
      </w:r>
      <w:r w:rsidRPr="00E77F77">
        <w:t>o</w:t>
      </w:r>
      <w:r w:rsidRPr="00E54C11">
        <w:t xml:space="preserve"> p</w:t>
      </w:r>
      <w:r w:rsidRPr="00E77F77">
        <w:t>r</w:t>
      </w:r>
      <w:r w:rsidRPr="00E54C11">
        <w:t>ovid</w:t>
      </w:r>
      <w:r w:rsidRPr="00E77F77">
        <w:t>e</w:t>
      </w:r>
      <w:r w:rsidRPr="00E54C11">
        <w:t xml:space="preserve"> suc</w:t>
      </w:r>
      <w:r w:rsidRPr="00E77F77">
        <w:t>h</w:t>
      </w:r>
      <w:r w:rsidRPr="00E54C11">
        <w:t xml:space="preserve"> assu</w:t>
      </w:r>
      <w:r w:rsidRPr="00E77F77">
        <w:t>r</w:t>
      </w:r>
      <w:r w:rsidRPr="00E54C11">
        <w:t>ance</w:t>
      </w:r>
      <w:r w:rsidRPr="00E77F77">
        <w:t>,</w:t>
      </w:r>
      <w:r w:rsidRPr="00E54C11">
        <w:t xml:space="preserve"> th</w:t>
      </w:r>
      <w:r w:rsidRPr="00E77F77">
        <w:t>e</w:t>
      </w:r>
      <w:r w:rsidRPr="00E54C11">
        <w:t xml:space="preserve"> Commissione</w:t>
      </w:r>
      <w:r w:rsidRPr="00E77F77">
        <w:t>r</w:t>
      </w:r>
      <w:r w:rsidRPr="00E54C11">
        <w:t xml:space="preserve"> wil</w:t>
      </w:r>
      <w:r w:rsidRPr="00E77F77">
        <w:t>l r</w:t>
      </w:r>
      <w:r w:rsidRPr="00E54C11">
        <w:t>eceiv</w:t>
      </w:r>
      <w:r w:rsidRPr="00E77F77">
        <w:t>e</w:t>
      </w:r>
      <w:r w:rsidRPr="00E54C11">
        <w:t xml:space="preserve"> </w:t>
      </w:r>
      <w:r w:rsidRPr="00E77F77">
        <w:t>r</w:t>
      </w:r>
      <w:r w:rsidRPr="00E54C11">
        <w:t>epo</w:t>
      </w:r>
      <w:r w:rsidRPr="00E77F77">
        <w:t>r</w:t>
      </w:r>
      <w:r w:rsidRPr="00E54C11">
        <w:t>t</w:t>
      </w:r>
      <w:r w:rsidRPr="00E77F77">
        <w:t>s</w:t>
      </w:r>
      <w:r w:rsidRPr="00E54C11">
        <w:t xml:space="preserve"> f</w:t>
      </w:r>
      <w:r w:rsidRPr="00E77F77">
        <w:t>r</w:t>
      </w:r>
      <w:r w:rsidRPr="00E54C11">
        <w:t>o</w:t>
      </w:r>
      <w:r w:rsidRPr="00E77F77">
        <w:t>m</w:t>
      </w:r>
      <w:r w:rsidRPr="00E54C11">
        <w:t xml:space="preserve"> th</w:t>
      </w:r>
      <w:r w:rsidRPr="00E77F77">
        <w:t>e</w:t>
      </w:r>
      <w:r w:rsidRPr="00E54C11">
        <w:t xml:space="preserve"> </w:t>
      </w:r>
      <w:r w:rsidRPr="00E77F77">
        <w:t>r</w:t>
      </w:r>
      <w:r w:rsidRPr="00E54C11">
        <w:t>elevan</w:t>
      </w:r>
      <w:r w:rsidRPr="00E77F77">
        <w:t>t</w:t>
      </w:r>
      <w:r w:rsidRPr="00E54C11">
        <w:t xml:space="preserve"> panels</w:t>
      </w:r>
      <w:r w:rsidRPr="00E77F77">
        <w:t>,</w:t>
      </w:r>
      <w:r w:rsidRPr="00E54C11">
        <w:t xml:space="preserve"> g</w:t>
      </w:r>
      <w:r w:rsidRPr="00E77F77">
        <w:t>r</w:t>
      </w:r>
      <w:r w:rsidRPr="00E54C11">
        <w:t>oup</w:t>
      </w:r>
      <w:r w:rsidRPr="00E77F77">
        <w:t>s</w:t>
      </w:r>
      <w:r w:rsidRPr="00E54C11">
        <w:t xml:space="preserve"> o</w:t>
      </w:r>
      <w:r w:rsidRPr="00E77F77">
        <w:t xml:space="preserve">r </w:t>
      </w:r>
      <w:r w:rsidRPr="00E54C11">
        <w:t>committee</w:t>
      </w:r>
      <w:r w:rsidRPr="00E77F77">
        <w:t>s</w:t>
      </w:r>
      <w:r w:rsidRPr="00E54C11">
        <w:t xml:space="preserve"> dealin</w:t>
      </w:r>
      <w:r w:rsidRPr="00E77F77">
        <w:t>g</w:t>
      </w:r>
      <w:r w:rsidRPr="00E54C11">
        <w:t xml:space="preserve"> wit</w:t>
      </w:r>
      <w:r w:rsidRPr="00E77F77">
        <w:t>h</w:t>
      </w:r>
      <w:r w:rsidRPr="00E54C11">
        <w:t xml:space="preserve"> </w:t>
      </w:r>
      <w:r w:rsidRPr="00E77F77">
        <w:t>r</w:t>
      </w:r>
      <w:r w:rsidRPr="00E54C11">
        <w:t>is</w:t>
      </w:r>
      <w:r w:rsidRPr="00E77F77">
        <w:t>k</w:t>
      </w:r>
      <w:r w:rsidRPr="00E54C11">
        <w:t xml:space="preserve"> managemen</w:t>
      </w:r>
      <w:r w:rsidRPr="00E77F77">
        <w:t>t</w:t>
      </w:r>
      <w:r w:rsidRPr="00E54C11">
        <w:t xml:space="preserve"> an</w:t>
      </w:r>
      <w:r w:rsidRPr="00E77F77">
        <w:t>d</w:t>
      </w:r>
      <w:r w:rsidRPr="00E54C11">
        <w:t xml:space="preserve"> p</w:t>
      </w:r>
      <w:r w:rsidRPr="00E77F77">
        <w:t>r</w:t>
      </w:r>
      <w:r w:rsidRPr="00E54C11">
        <w:t>ovidin</w:t>
      </w:r>
      <w:r w:rsidRPr="00E77F77">
        <w:t>g</w:t>
      </w:r>
      <w:r w:rsidRPr="00E54C11">
        <w:t xml:space="preserve"> </w:t>
      </w:r>
      <w:r w:rsidRPr="00E77F77">
        <w:t>r</w:t>
      </w:r>
      <w:r w:rsidRPr="00E54C11">
        <w:t>is</w:t>
      </w:r>
      <w:r w:rsidRPr="00E77F77">
        <w:t xml:space="preserve">k </w:t>
      </w:r>
      <w:r w:rsidRPr="00E54C11">
        <w:t>dat</w:t>
      </w:r>
      <w:r w:rsidRPr="00E77F77">
        <w:t>a</w:t>
      </w:r>
      <w:r w:rsidRPr="00E54C11">
        <w:t xml:space="preserve"> </w:t>
      </w:r>
      <w:r w:rsidRPr="00E77F77">
        <w:t>(</w:t>
      </w:r>
      <w:r w:rsidRPr="00E54C11">
        <w:t>th</w:t>
      </w:r>
      <w:r w:rsidRPr="00E77F77">
        <w:t>e</w:t>
      </w:r>
      <w:r w:rsidRPr="00E54C11">
        <w:t xml:space="preserve"> exac</w:t>
      </w:r>
      <w:r w:rsidRPr="00E77F77">
        <w:t>t</w:t>
      </w:r>
      <w:r w:rsidRPr="00E54C11">
        <w:t xml:space="preserve"> name</w:t>
      </w:r>
      <w:r w:rsidRPr="00E77F77">
        <w:t>s</w:t>
      </w:r>
      <w:r w:rsidRPr="00E54C11">
        <w:t xml:space="preserve"> o</w:t>
      </w:r>
      <w:r w:rsidRPr="00E77F77">
        <w:t>f</w:t>
      </w:r>
      <w:r w:rsidRPr="00E54C11">
        <w:t xml:space="preserve"> thes</w:t>
      </w:r>
      <w:r w:rsidRPr="00E77F77">
        <w:t>e</w:t>
      </w:r>
      <w:r w:rsidRPr="00E54C11">
        <w:t xml:space="preserve"> bodie</w:t>
      </w:r>
      <w:r w:rsidRPr="00E77F77">
        <w:t>s</w:t>
      </w:r>
      <w:r w:rsidRPr="00E54C11">
        <w:t xml:space="preserve"> va</w:t>
      </w:r>
      <w:r w:rsidRPr="00E77F77">
        <w:t>r</w:t>
      </w:r>
      <w:r w:rsidRPr="00E54C11">
        <w:t>ie</w:t>
      </w:r>
      <w:r w:rsidRPr="00E77F77">
        <w:t>s</w:t>
      </w:r>
      <w:r w:rsidRPr="00E54C11">
        <w:t xml:space="preserve"> betwee</w:t>
      </w:r>
      <w:r w:rsidRPr="00E77F77">
        <w:t xml:space="preserve">n </w:t>
      </w:r>
      <w:r w:rsidRPr="00E54C11">
        <w:t>o</w:t>
      </w:r>
      <w:r w:rsidRPr="00E77F77">
        <w:t>r</w:t>
      </w:r>
      <w:r w:rsidRPr="00E54C11">
        <w:t>ganisations</w:t>
      </w:r>
      <w:r w:rsidRPr="00E77F77">
        <w:t>,</w:t>
      </w:r>
      <w:r w:rsidRPr="00E54C11">
        <w:t xml:space="preserve"> althoug</w:t>
      </w:r>
      <w:r w:rsidRPr="00E77F77">
        <w:t>h</w:t>
      </w:r>
      <w:r w:rsidRPr="00E54C11">
        <w:t xml:space="preserve"> thei</w:t>
      </w:r>
      <w:r w:rsidRPr="00E77F77">
        <w:t>r</w:t>
      </w:r>
      <w:r w:rsidRPr="00E54C11">
        <w:t xml:space="preserve"> b</w:t>
      </w:r>
      <w:r w:rsidRPr="00E77F77">
        <w:t>r</w:t>
      </w:r>
      <w:r w:rsidRPr="00E54C11">
        <w:t>oa</w:t>
      </w:r>
      <w:r w:rsidRPr="00E77F77">
        <w:t>d</w:t>
      </w:r>
      <w:r w:rsidRPr="00E54C11">
        <w:t xml:space="preserve"> function</w:t>
      </w:r>
      <w:r w:rsidRPr="00E77F77">
        <w:t>s</w:t>
      </w:r>
      <w:r w:rsidRPr="00E54C11">
        <w:t xml:space="preserve"> wil</w:t>
      </w:r>
      <w:r w:rsidRPr="00E77F77">
        <w:t>l</w:t>
      </w:r>
      <w:r w:rsidRPr="00E54C11">
        <w:t xml:space="preserve"> not</w:t>
      </w:r>
      <w:r w:rsidRPr="00E77F77">
        <w:t>).</w:t>
      </w:r>
    </w:p>
    <w:p w14:paraId="7C08B91A" w14:textId="77777777" w:rsidR="008F7BB3" w:rsidRPr="00E54C11" w:rsidRDefault="008F7BB3" w:rsidP="008F7BB3">
      <w:pPr>
        <w:pStyle w:val="Heading4"/>
        <w:rPr>
          <w:b/>
        </w:rPr>
      </w:pPr>
      <w:r w:rsidRPr="00E54C11">
        <w:rPr>
          <w:b/>
        </w:rPr>
        <w:t>Senior managers</w:t>
      </w:r>
    </w:p>
    <w:p w14:paraId="75B20990" w14:textId="77777777" w:rsidR="008F7BB3" w:rsidRPr="00E77F77" w:rsidRDefault="008F7BB3" w:rsidP="008F7BB3">
      <w:pPr>
        <w:pStyle w:val="Heading4"/>
      </w:pPr>
      <w:r w:rsidRPr="00E77F77">
        <w:t>S</w:t>
      </w:r>
      <w:r w:rsidRPr="00E54C11">
        <w:t>enio</w:t>
      </w:r>
      <w:r w:rsidRPr="00E77F77">
        <w:t>r</w:t>
      </w:r>
      <w:r w:rsidRPr="00E54C11">
        <w:t xml:space="preserve"> manage</w:t>
      </w:r>
      <w:r w:rsidRPr="00E77F77">
        <w:t>rs</w:t>
      </w:r>
      <w:r w:rsidRPr="00E54C11">
        <w:t xml:space="preserve"> hav</w:t>
      </w:r>
      <w:r w:rsidRPr="00E77F77">
        <w:t>e</w:t>
      </w:r>
      <w:r w:rsidRPr="00E54C11">
        <w:t xml:space="preserve"> th</w:t>
      </w:r>
      <w:r w:rsidRPr="00E77F77">
        <w:t>e</w:t>
      </w:r>
      <w:r w:rsidRPr="00E54C11">
        <w:t xml:space="preserve"> </w:t>
      </w:r>
      <w:r w:rsidRPr="00E77F77">
        <w:t>r</w:t>
      </w:r>
      <w:r w:rsidRPr="00E54C11">
        <w:t>esponsibilit</w:t>
      </w:r>
      <w:r w:rsidRPr="00E77F77">
        <w:t>y</w:t>
      </w:r>
      <w:r w:rsidRPr="00E54C11">
        <w:t xml:space="preserve"> fo</w:t>
      </w:r>
      <w:r w:rsidRPr="00E77F77">
        <w:t>r</w:t>
      </w:r>
      <w:r w:rsidRPr="00E54C11">
        <w:t xml:space="preserve"> ens</w:t>
      </w:r>
      <w:r w:rsidRPr="00E77F77">
        <w:t>ur</w:t>
      </w:r>
      <w:r w:rsidRPr="00E54C11">
        <w:t>in</w:t>
      </w:r>
      <w:r w:rsidRPr="00E77F77">
        <w:t>g</w:t>
      </w:r>
      <w:r w:rsidRPr="00E54C11">
        <w:t xml:space="preserve"> tha</w:t>
      </w:r>
      <w:r w:rsidRPr="00E77F77">
        <w:t>t</w:t>
      </w:r>
      <w:r w:rsidRPr="00E54C11">
        <w:t xml:space="preserve"> thei</w:t>
      </w:r>
      <w:r w:rsidRPr="00E77F77">
        <w:t xml:space="preserve">r </w:t>
      </w:r>
      <w:r w:rsidRPr="00E54C11">
        <w:t>a</w:t>
      </w:r>
      <w:r w:rsidRPr="00E77F77">
        <w:t>r</w:t>
      </w:r>
      <w:r w:rsidRPr="00E54C11">
        <w:t>ea</w:t>
      </w:r>
      <w:r w:rsidRPr="00E77F77">
        <w:t>s</w:t>
      </w:r>
      <w:r w:rsidRPr="00E54C11">
        <w:t xml:space="preserve"> o</w:t>
      </w:r>
      <w:r w:rsidRPr="00E77F77">
        <w:t>f</w:t>
      </w:r>
      <w:r w:rsidRPr="00E54C11">
        <w:t xml:space="preserve"> wo</w:t>
      </w:r>
      <w:r w:rsidRPr="00E77F77">
        <w:t>rk</w:t>
      </w:r>
      <w:r w:rsidRPr="00E54C11">
        <w:t xml:space="preserve"> compl</w:t>
      </w:r>
      <w:r w:rsidRPr="00E77F77">
        <w:t>y</w:t>
      </w:r>
      <w:r w:rsidRPr="00E54C11">
        <w:t xml:space="preserve"> wit</w:t>
      </w:r>
      <w:r w:rsidRPr="00E77F77">
        <w:t>h</w:t>
      </w:r>
      <w:r w:rsidRPr="00E54C11">
        <w:t xml:space="preserve"> th</w:t>
      </w:r>
      <w:r w:rsidRPr="00E77F77">
        <w:t>e</w:t>
      </w:r>
      <w:r w:rsidRPr="00E54C11">
        <w:t xml:space="preserve"> </w:t>
      </w:r>
      <w:r w:rsidRPr="00E77F77">
        <w:t>r</w:t>
      </w:r>
      <w:r w:rsidRPr="00E54C11">
        <w:t>is</w:t>
      </w:r>
      <w:r w:rsidRPr="00E77F77">
        <w:t>k</w:t>
      </w:r>
      <w:r w:rsidRPr="00E54C11">
        <w:t xml:space="preserve"> managemen</w:t>
      </w:r>
      <w:r w:rsidRPr="00E77F77">
        <w:t xml:space="preserve">t </w:t>
      </w:r>
      <w:r w:rsidRPr="00E54C11">
        <w:t>p</w:t>
      </w:r>
      <w:r w:rsidRPr="00E77F77">
        <w:t>r</w:t>
      </w:r>
      <w:r w:rsidRPr="00E54C11">
        <w:t>ocess</w:t>
      </w:r>
      <w:r w:rsidRPr="00E77F77">
        <w:t xml:space="preserve">.  </w:t>
      </w:r>
      <w:r w:rsidRPr="00E54C11">
        <w:t>The</w:t>
      </w:r>
      <w:r w:rsidRPr="00E77F77">
        <w:t>y</w:t>
      </w:r>
      <w:r w:rsidRPr="00E54C11">
        <w:t xml:space="preserve"> wil</w:t>
      </w:r>
      <w:r w:rsidRPr="00E77F77">
        <w:t>l</w:t>
      </w:r>
      <w:r w:rsidRPr="00E54C11">
        <w:t xml:space="preserve"> ensu</w:t>
      </w:r>
      <w:r w:rsidRPr="00E77F77">
        <w:t>re</w:t>
      </w:r>
      <w:r w:rsidRPr="00E54C11">
        <w:t xml:space="preserve"> tha</w:t>
      </w:r>
      <w:r w:rsidRPr="00E77F77">
        <w:t>t</w:t>
      </w:r>
      <w:r w:rsidRPr="00E54C11">
        <w:t xml:space="preserve"> the</w:t>
      </w:r>
      <w:r w:rsidRPr="00E77F77">
        <w:t>re</w:t>
      </w:r>
      <w:r w:rsidRPr="00E54C11">
        <w:t xml:space="preserve"> a</w:t>
      </w:r>
      <w:r w:rsidRPr="00E77F77">
        <w:t>re</w:t>
      </w:r>
      <w:r w:rsidRPr="00E54C11">
        <w:t xml:space="preserve"> effectiv</w:t>
      </w:r>
      <w:r w:rsidRPr="00E77F77">
        <w:t>e</w:t>
      </w:r>
      <w:r w:rsidRPr="00E54C11">
        <w:t xml:space="preserve"> </w:t>
      </w:r>
      <w:r w:rsidRPr="00E77F77">
        <w:t>r</w:t>
      </w:r>
      <w:r w:rsidRPr="00E54C11">
        <w:t>is</w:t>
      </w:r>
      <w:r w:rsidRPr="00E77F77">
        <w:t>k</w:t>
      </w:r>
      <w:r w:rsidRPr="00E54C11">
        <w:t xml:space="preserve"> managemen</w:t>
      </w:r>
      <w:r w:rsidRPr="00E77F77">
        <w:t xml:space="preserve">t </w:t>
      </w:r>
      <w:r w:rsidRPr="00E54C11">
        <w:t>p</w:t>
      </w:r>
      <w:r w:rsidRPr="00E77F77">
        <w:t>r</w:t>
      </w:r>
      <w:r w:rsidRPr="00E54C11">
        <w:t>ocesse</w:t>
      </w:r>
      <w:r w:rsidRPr="00E77F77">
        <w:t xml:space="preserve">s </w:t>
      </w:r>
      <w:r w:rsidRPr="00E54C11">
        <w:t>a</w:t>
      </w:r>
      <w:r w:rsidRPr="00E77F77">
        <w:t>re</w:t>
      </w:r>
      <w:r w:rsidRPr="00E54C11">
        <w:t xml:space="preserve"> i</w:t>
      </w:r>
      <w:r w:rsidRPr="00E77F77">
        <w:t>n</w:t>
      </w:r>
      <w:r w:rsidRPr="00E54C11">
        <w:t xml:space="preserve"> plac</w:t>
      </w:r>
      <w:r w:rsidRPr="00E77F77">
        <w:t>e</w:t>
      </w:r>
      <w:r w:rsidRPr="00E54C11">
        <w:t xml:space="preserve"> t</w:t>
      </w:r>
      <w:r w:rsidRPr="00E77F77">
        <w:t>o</w:t>
      </w:r>
      <w:r w:rsidRPr="00E54C11">
        <w:t xml:space="preserve"> identify</w:t>
      </w:r>
      <w:r w:rsidRPr="00E77F77">
        <w:t>,</w:t>
      </w:r>
      <w:r w:rsidRPr="00E54C11">
        <w:t xml:space="preserve"> assess</w:t>
      </w:r>
      <w:r w:rsidRPr="00E77F77">
        <w:t>,</w:t>
      </w:r>
      <w:r w:rsidRPr="00E54C11">
        <w:t xml:space="preserve"> evaluate</w:t>
      </w:r>
      <w:r w:rsidRPr="00E77F77">
        <w:t>,</w:t>
      </w:r>
      <w:r w:rsidRPr="00E54C11">
        <w:t xml:space="preserve"> cont</w:t>
      </w:r>
      <w:r w:rsidRPr="00E77F77">
        <w:t>r</w:t>
      </w:r>
      <w:r w:rsidRPr="00E54C11">
        <w:t>ol</w:t>
      </w:r>
      <w:r w:rsidRPr="00E77F77">
        <w:t xml:space="preserve">, </w:t>
      </w:r>
      <w:r w:rsidRPr="00E54C11">
        <w:t>monito</w:t>
      </w:r>
      <w:r w:rsidRPr="00E77F77">
        <w:t>r</w:t>
      </w:r>
      <w:r w:rsidRPr="00E54C11">
        <w:t xml:space="preserve"> an</w:t>
      </w:r>
      <w:r w:rsidRPr="00E77F77">
        <w:t>d</w:t>
      </w:r>
      <w:r w:rsidRPr="00E54C11">
        <w:t xml:space="preserve"> </w:t>
      </w:r>
      <w:r w:rsidRPr="00E77F77">
        <w:t>r</w:t>
      </w:r>
      <w:r w:rsidRPr="00E54C11">
        <w:t>evie</w:t>
      </w:r>
      <w:r w:rsidRPr="00E77F77">
        <w:t>w</w:t>
      </w:r>
      <w:r w:rsidRPr="00E54C11">
        <w:t xml:space="preserve"> </w:t>
      </w:r>
      <w:r w:rsidRPr="00E77F77">
        <w:t>r</w:t>
      </w:r>
      <w:r w:rsidRPr="00E54C11">
        <w:t>isks</w:t>
      </w:r>
      <w:r w:rsidRPr="00E77F77">
        <w:t>.</w:t>
      </w:r>
      <w:r w:rsidRPr="00E54C11">
        <w:t xml:space="preserve"> I</w:t>
      </w:r>
      <w:r w:rsidRPr="00E77F77">
        <w:t>n</w:t>
      </w:r>
      <w:r w:rsidRPr="00E54C11">
        <w:t xml:space="preserve"> addition</w:t>
      </w:r>
      <w:r w:rsidRPr="00E77F77">
        <w:t>,</w:t>
      </w:r>
      <w:r w:rsidRPr="00E54C11">
        <w:t xml:space="preserve"> the</w:t>
      </w:r>
      <w:r w:rsidRPr="00E77F77">
        <w:t>y</w:t>
      </w:r>
      <w:r w:rsidRPr="00E54C11">
        <w:t xml:space="preserve"> a</w:t>
      </w:r>
      <w:r w:rsidRPr="00E77F77">
        <w:t>re</w:t>
      </w:r>
      <w:r w:rsidRPr="00E54C11">
        <w:t xml:space="preserve"> </w:t>
      </w:r>
      <w:r w:rsidRPr="00E77F77">
        <w:t>r</w:t>
      </w:r>
      <w:r w:rsidRPr="00E54C11">
        <w:t>esponsibl</w:t>
      </w:r>
      <w:r w:rsidRPr="00E77F77">
        <w:t>e</w:t>
      </w:r>
      <w:r w:rsidRPr="00E54C11">
        <w:t xml:space="preserve"> fo</w:t>
      </w:r>
      <w:r w:rsidRPr="00E77F77">
        <w:t xml:space="preserve">r </w:t>
      </w:r>
      <w:r w:rsidRPr="00E54C11">
        <w:t>ensu</w:t>
      </w:r>
      <w:r w:rsidRPr="00E77F77">
        <w:t>r</w:t>
      </w:r>
      <w:r w:rsidRPr="00E54C11">
        <w:t>in</w:t>
      </w:r>
      <w:r w:rsidRPr="00E77F77">
        <w:t>g</w:t>
      </w:r>
      <w:r w:rsidRPr="00E54C11">
        <w:t xml:space="preserve"> tha</w:t>
      </w:r>
      <w:r w:rsidRPr="00E77F77">
        <w:t>t</w:t>
      </w:r>
      <w:r w:rsidRPr="00E54C11">
        <w:t xml:space="preserve"> member</w:t>
      </w:r>
      <w:r w:rsidRPr="00E77F77">
        <w:t>s</w:t>
      </w:r>
      <w:r w:rsidRPr="00E54C11">
        <w:t xml:space="preserve"> o</w:t>
      </w:r>
      <w:r w:rsidRPr="00E77F77">
        <w:t>f</w:t>
      </w:r>
      <w:r w:rsidRPr="00E54C11">
        <w:t xml:space="preserve"> staf</w:t>
      </w:r>
      <w:r w:rsidRPr="00E77F77">
        <w:t>f</w:t>
      </w:r>
      <w:r w:rsidRPr="00E54C11">
        <w:t xml:space="preserve"> a</w:t>
      </w:r>
      <w:r w:rsidRPr="00E77F77">
        <w:t>re</w:t>
      </w:r>
      <w:r w:rsidRPr="00E54C11">
        <w:t xml:space="preserve"> info</w:t>
      </w:r>
      <w:r w:rsidRPr="00E77F77">
        <w:t>r</w:t>
      </w:r>
      <w:r w:rsidRPr="00E54C11">
        <w:t>me</w:t>
      </w:r>
      <w:r w:rsidRPr="00E77F77">
        <w:t>d</w:t>
      </w:r>
      <w:r w:rsidRPr="00E54C11">
        <w:t xml:space="preserve"> o</w:t>
      </w:r>
      <w:r w:rsidRPr="00E77F77">
        <w:t>f</w:t>
      </w:r>
      <w:r w:rsidRPr="00E54C11">
        <w:t xml:space="preserve"> th</w:t>
      </w:r>
      <w:r w:rsidRPr="00E77F77">
        <w:t>e</w:t>
      </w:r>
      <w:r w:rsidRPr="00E54C11">
        <w:t xml:space="preserve"> </w:t>
      </w:r>
      <w:r w:rsidRPr="00E77F77">
        <w:t>r</w:t>
      </w:r>
      <w:r w:rsidRPr="00E54C11">
        <w:t>isk</w:t>
      </w:r>
      <w:r w:rsidRPr="00E77F77">
        <w:t>s</w:t>
      </w:r>
      <w:r w:rsidRPr="00E54C11">
        <w:t xml:space="preserve"> withi</w:t>
      </w:r>
      <w:r w:rsidRPr="00E77F77">
        <w:t xml:space="preserve">n </w:t>
      </w:r>
      <w:r w:rsidRPr="00E54C11">
        <w:t>thei</w:t>
      </w:r>
      <w:r w:rsidRPr="00E77F77">
        <w:t>r</w:t>
      </w:r>
      <w:r w:rsidRPr="00E54C11">
        <w:t xml:space="preserve"> wo</w:t>
      </w:r>
      <w:r w:rsidRPr="00E77F77">
        <w:t>rk</w:t>
      </w:r>
      <w:r w:rsidRPr="00E54C11">
        <w:t xml:space="preserve"> envi</w:t>
      </w:r>
      <w:r w:rsidRPr="00E77F77">
        <w:t>r</w:t>
      </w:r>
      <w:r w:rsidRPr="00E54C11">
        <w:t>onment</w:t>
      </w:r>
      <w:r w:rsidRPr="00E77F77">
        <w:t>.</w:t>
      </w:r>
      <w:r w:rsidRPr="00E54C11">
        <w:t xml:space="preserve"> </w:t>
      </w:r>
      <w:r w:rsidRPr="00E77F77">
        <w:t>S</w:t>
      </w:r>
      <w:r w:rsidRPr="00E54C11">
        <w:t>enio</w:t>
      </w:r>
      <w:r w:rsidRPr="00E77F77">
        <w:t>r</w:t>
      </w:r>
      <w:r w:rsidRPr="00E54C11">
        <w:t xml:space="preserve"> manage</w:t>
      </w:r>
      <w:r w:rsidRPr="00E77F77">
        <w:t>rs</w:t>
      </w:r>
      <w:r w:rsidRPr="00E54C11">
        <w:t xml:space="preserve"> a</w:t>
      </w:r>
      <w:r w:rsidRPr="00E77F77">
        <w:t>re</w:t>
      </w:r>
      <w:r w:rsidRPr="00E54C11">
        <w:t xml:space="preserve"> </w:t>
      </w:r>
      <w:r w:rsidRPr="00E77F77">
        <w:t>r</w:t>
      </w:r>
      <w:r w:rsidRPr="00E54C11">
        <w:t>esponsibl</w:t>
      </w:r>
      <w:r w:rsidRPr="00E77F77">
        <w:t>e</w:t>
      </w:r>
      <w:r w:rsidRPr="00E54C11">
        <w:t xml:space="preserve"> fo</w:t>
      </w:r>
      <w:r w:rsidRPr="00E77F77">
        <w:t xml:space="preserve">r </w:t>
      </w:r>
      <w:r w:rsidRPr="00E54C11">
        <w:t>implementin</w:t>
      </w:r>
      <w:r w:rsidRPr="00E77F77">
        <w:t>g</w:t>
      </w:r>
      <w:r w:rsidRPr="00E54C11">
        <w:t xml:space="preserve"> an</w:t>
      </w:r>
      <w:r w:rsidRPr="00E77F77">
        <w:t>d</w:t>
      </w:r>
      <w:r w:rsidRPr="00E54C11">
        <w:t xml:space="preserve"> monito</w:t>
      </w:r>
      <w:r w:rsidRPr="00E77F77">
        <w:t>r</w:t>
      </w:r>
      <w:r w:rsidRPr="00E54C11">
        <w:t>in</w:t>
      </w:r>
      <w:r w:rsidRPr="00E77F77">
        <w:t>g</w:t>
      </w:r>
      <w:r w:rsidRPr="00E54C11">
        <w:t xml:space="preserve"> an</w:t>
      </w:r>
      <w:r w:rsidRPr="00E77F77">
        <w:t>y</w:t>
      </w:r>
      <w:r w:rsidRPr="00E54C11">
        <w:t xml:space="preserve"> identifie</w:t>
      </w:r>
      <w:r w:rsidRPr="00E77F77">
        <w:t>d</w:t>
      </w:r>
      <w:r w:rsidRPr="00E54C11">
        <w:t xml:space="preserve"> </w:t>
      </w:r>
      <w:r w:rsidRPr="00E77F77">
        <w:t>r</w:t>
      </w:r>
      <w:r w:rsidRPr="00E54C11">
        <w:t>is</w:t>
      </w:r>
      <w:r w:rsidRPr="00E77F77">
        <w:t>k</w:t>
      </w:r>
      <w:r w:rsidRPr="00E54C11">
        <w:t xml:space="preserve"> managemen</w:t>
      </w:r>
      <w:r w:rsidRPr="00E77F77">
        <w:t xml:space="preserve">t </w:t>
      </w:r>
      <w:r w:rsidRPr="00E54C11">
        <w:t>cont</w:t>
      </w:r>
      <w:r w:rsidRPr="00E77F77">
        <w:t>r</w:t>
      </w:r>
      <w:r w:rsidRPr="00E54C11">
        <w:t>o</w:t>
      </w:r>
      <w:r w:rsidRPr="00E77F77">
        <w:t>l</w:t>
      </w:r>
      <w:r w:rsidRPr="00E54C11">
        <w:t xml:space="preserve"> measu</w:t>
      </w:r>
      <w:r w:rsidRPr="00E77F77">
        <w:t>r</w:t>
      </w:r>
      <w:r w:rsidRPr="00E54C11">
        <w:t>es</w:t>
      </w:r>
      <w:r w:rsidRPr="00E77F77">
        <w:t>.</w:t>
      </w:r>
    </w:p>
    <w:p w14:paraId="4A25C18A" w14:textId="77777777" w:rsidR="008F7BB3" w:rsidRPr="00E54C11" w:rsidRDefault="008F7BB3" w:rsidP="008F7BB3">
      <w:pPr>
        <w:pStyle w:val="Heading4"/>
        <w:rPr>
          <w:b/>
        </w:rPr>
      </w:pPr>
      <w:r w:rsidRPr="00E54C11">
        <w:rPr>
          <w:b/>
        </w:rPr>
        <w:t>Local Managers</w:t>
      </w:r>
      <w:r w:rsidRPr="009F1946">
        <w:rPr>
          <w:b/>
        </w:rPr>
        <w:t xml:space="preserve"> </w:t>
      </w:r>
    </w:p>
    <w:p w14:paraId="257E9816" w14:textId="77777777" w:rsidR="008F7BB3" w:rsidRPr="00E77F77" w:rsidRDefault="008F7BB3" w:rsidP="008F7BB3">
      <w:pPr>
        <w:pStyle w:val="Heading4"/>
      </w:pPr>
      <w:r w:rsidRPr="00E54C11">
        <w:t>Loca</w:t>
      </w:r>
      <w:r w:rsidRPr="00E77F77">
        <w:t>l</w:t>
      </w:r>
      <w:r w:rsidRPr="00E54C11">
        <w:t xml:space="preserve"> Manage</w:t>
      </w:r>
      <w:r w:rsidRPr="00E77F77">
        <w:t>rs</w:t>
      </w:r>
      <w:r w:rsidRPr="00E54C11">
        <w:t xml:space="preserve"> hav</w:t>
      </w:r>
      <w:r w:rsidRPr="00E77F77">
        <w:t>e</w:t>
      </w:r>
      <w:r w:rsidRPr="00E54C11">
        <w:t xml:space="preserve"> </w:t>
      </w:r>
      <w:r w:rsidRPr="00E77F77">
        <w:t>a</w:t>
      </w:r>
      <w:r w:rsidRPr="00E54C11">
        <w:t xml:space="preserve"> </w:t>
      </w:r>
      <w:r w:rsidRPr="00E77F77">
        <w:t>r</w:t>
      </w:r>
      <w:r w:rsidRPr="00E54C11">
        <w:t>esponsibilit</w:t>
      </w:r>
      <w:r w:rsidRPr="00E77F77">
        <w:t xml:space="preserve">y </w:t>
      </w:r>
      <w:r w:rsidRPr="00E54C11">
        <w:t>i</w:t>
      </w:r>
      <w:r w:rsidRPr="00E77F77">
        <w:t>n</w:t>
      </w:r>
      <w:r w:rsidRPr="00E54C11">
        <w:t xml:space="preserve"> </w:t>
      </w:r>
      <w:r w:rsidRPr="00E77F77">
        <w:t>r</w:t>
      </w:r>
      <w:r w:rsidRPr="00E54C11">
        <w:t>elatio</w:t>
      </w:r>
      <w:r w:rsidRPr="00E77F77">
        <w:t>n</w:t>
      </w:r>
      <w:r w:rsidRPr="00E54C11">
        <w:t xml:space="preserve"> t</w:t>
      </w:r>
      <w:r w:rsidRPr="00E77F77">
        <w:t>o</w:t>
      </w:r>
      <w:r w:rsidRPr="00E54C11">
        <w:t xml:space="preserve"> th</w:t>
      </w:r>
      <w:r w:rsidRPr="00E77F77">
        <w:t xml:space="preserve">e </w:t>
      </w:r>
      <w:r w:rsidRPr="00E54C11">
        <w:t>identificatio</w:t>
      </w:r>
      <w:r w:rsidRPr="00E77F77">
        <w:t>n</w:t>
      </w:r>
      <w:r w:rsidRPr="00E54C11">
        <w:t xml:space="preserve"> o</w:t>
      </w:r>
      <w:r w:rsidRPr="00E77F77">
        <w:t>f</w:t>
      </w:r>
      <w:r w:rsidRPr="00E54C11">
        <w:t xml:space="preserve"> haza</w:t>
      </w:r>
      <w:r w:rsidRPr="00E77F77">
        <w:t>r</w:t>
      </w:r>
      <w:r w:rsidRPr="00E54C11">
        <w:t>ds</w:t>
      </w:r>
      <w:r w:rsidRPr="00E77F77">
        <w:t>,</w:t>
      </w:r>
      <w:r w:rsidRPr="00E54C11">
        <w:t xml:space="preserve"> </w:t>
      </w:r>
      <w:r w:rsidRPr="00E77F77">
        <w:t>r</w:t>
      </w:r>
      <w:r w:rsidRPr="00E54C11">
        <w:t>is</w:t>
      </w:r>
      <w:r w:rsidRPr="00E77F77">
        <w:t>k</w:t>
      </w:r>
      <w:r w:rsidRPr="00E54C11">
        <w:t xml:space="preserve"> assessing</w:t>
      </w:r>
      <w:r w:rsidRPr="00E77F77">
        <w:t>,</w:t>
      </w:r>
      <w:r w:rsidRPr="00E54C11">
        <w:t xml:space="preserve"> developmen</w:t>
      </w:r>
      <w:r w:rsidRPr="00E77F77">
        <w:t>t</w:t>
      </w:r>
      <w:r w:rsidRPr="00E54C11">
        <w:t xml:space="preserve"> an</w:t>
      </w:r>
      <w:r w:rsidRPr="00E77F77">
        <w:t xml:space="preserve">d </w:t>
      </w:r>
      <w:r w:rsidRPr="00E54C11">
        <w:t>delive</w:t>
      </w:r>
      <w:r w:rsidRPr="00E77F77">
        <w:t>ry</w:t>
      </w:r>
      <w:r w:rsidRPr="00E54C11">
        <w:t xml:space="preserve"> o</w:t>
      </w:r>
      <w:r w:rsidRPr="00E77F77">
        <w:t>f</w:t>
      </w:r>
      <w:r w:rsidRPr="00E54C11">
        <w:t xml:space="preserve"> th</w:t>
      </w:r>
      <w:r w:rsidRPr="00E77F77">
        <w:t>e</w:t>
      </w:r>
      <w:r w:rsidRPr="00E54C11">
        <w:t xml:space="preserve"> actio</w:t>
      </w:r>
      <w:r w:rsidRPr="00E77F77">
        <w:t>n</w:t>
      </w:r>
      <w:r w:rsidRPr="00E54C11">
        <w:t xml:space="preserve"> plans</w:t>
      </w:r>
      <w:r w:rsidRPr="00E77F77">
        <w:t>.</w:t>
      </w:r>
      <w:r w:rsidRPr="00E54C11">
        <w:t xml:space="preserve"> The</w:t>
      </w:r>
      <w:r w:rsidRPr="00E77F77">
        <w:t>y</w:t>
      </w:r>
      <w:r w:rsidRPr="00E54C11">
        <w:t xml:space="preserve"> a</w:t>
      </w:r>
      <w:r w:rsidRPr="00E77F77">
        <w:t>re</w:t>
      </w:r>
      <w:r w:rsidRPr="00E54C11">
        <w:t xml:space="preserve"> </w:t>
      </w:r>
      <w:r w:rsidRPr="00E77F77">
        <w:t>r</w:t>
      </w:r>
      <w:r w:rsidRPr="00E54C11">
        <w:t>esponsibl</w:t>
      </w:r>
      <w:r w:rsidRPr="00E77F77">
        <w:t>e</w:t>
      </w:r>
      <w:r w:rsidRPr="00E54C11">
        <w:t xml:space="preserve"> fo</w:t>
      </w:r>
      <w:r w:rsidRPr="00E77F77">
        <w:t>r</w:t>
      </w:r>
      <w:r w:rsidRPr="00E54C11">
        <w:t xml:space="preserve"> ensu</w:t>
      </w:r>
      <w:r w:rsidRPr="00E77F77">
        <w:t>r</w:t>
      </w:r>
      <w:r w:rsidRPr="00E54C11">
        <w:t>in</w:t>
      </w:r>
      <w:r w:rsidRPr="00E77F77">
        <w:t xml:space="preserve">g </w:t>
      </w:r>
      <w:r w:rsidRPr="00E54C11">
        <w:t>tha</w:t>
      </w:r>
      <w:r w:rsidRPr="00E77F77">
        <w:t>t</w:t>
      </w:r>
      <w:r w:rsidRPr="00E54C11">
        <w:t xml:space="preserve"> thei</w:t>
      </w:r>
      <w:r w:rsidRPr="00E77F77">
        <w:t>r</w:t>
      </w:r>
      <w:r w:rsidRPr="00E54C11">
        <w:t xml:space="preserve"> staf</w:t>
      </w:r>
      <w:r w:rsidRPr="00E77F77">
        <w:t>f</w:t>
      </w:r>
      <w:r w:rsidRPr="00E54C11">
        <w:t xml:space="preserve"> engag</w:t>
      </w:r>
      <w:r w:rsidRPr="00E77F77">
        <w:t>e</w:t>
      </w:r>
      <w:r w:rsidRPr="00E54C11">
        <w:t xml:space="preserve"> wit</w:t>
      </w:r>
      <w:r w:rsidRPr="00E77F77">
        <w:t>h</w:t>
      </w:r>
      <w:r w:rsidRPr="00E54C11">
        <w:t xml:space="preserve"> th</w:t>
      </w:r>
      <w:r w:rsidRPr="00E77F77">
        <w:t>e</w:t>
      </w:r>
      <w:r w:rsidRPr="00E54C11">
        <w:t xml:space="preserve"> </w:t>
      </w:r>
      <w:r w:rsidRPr="00E77F77">
        <w:t>r</w:t>
      </w:r>
      <w:r w:rsidRPr="00E54C11">
        <w:t>is</w:t>
      </w:r>
      <w:r w:rsidRPr="00E77F77">
        <w:t>k</w:t>
      </w:r>
      <w:r w:rsidRPr="00E54C11">
        <w:t xml:space="preserve"> managemen</w:t>
      </w:r>
      <w:r w:rsidRPr="00E77F77">
        <w:t>t</w:t>
      </w:r>
      <w:r w:rsidRPr="00E54C11">
        <w:t xml:space="preserve"> p</w:t>
      </w:r>
      <w:r w:rsidRPr="00E77F77">
        <w:t>r</w:t>
      </w:r>
      <w:r w:rsidRPr="00E54C11">
        <w:t>ocess</w:t>
      </w:r>
      <w:r w:rsidRPr="00E77F77">
        <w:t>,</w:t>
      </w:r>
      <w:r w:rsidRPr="00E54C11">
        <w:t xml:space="preserve"> i</w:t>
      </w:r>
      <w:r w:rsidRPr="00E77F77">
        <w:t xml:space="preserve">n </w:t>
      </w:r>
      <w:r w:rsidRPr="00E54C11">
        <w:t>pa</w:t>
      </w:r>
      <w:r w:rsidRPr="00E77F77">
        <w:t>r</w:t>
      </w:r>
      <w:r w:rsidRPr="00E54C11">
        <w:t>ticula</w:t>
      </w:r>
      <w:r w:rsidRPr="00E77F77">
        <w:t>r</w:t>
      </w:r>
      <w:r w:rsidRPr="00E54C11">
        <w:t xml:space="preserve"> b</w:t>
      </w:r>
      <w:r w:rsidRPr="00E77F77">
        <w:t>y</w:t>
      </w:r>
      <w:r w:rsidRPr="00E54C11">
        <w:t xml:space="preserve"> </w:t>
      </w:r>
      <w:r w:rsidRPr="00E77F77">
        <w:t>r</w:t>
      </w:r>
      <w:r w:rsidRPr="00E54C11">
        <w:t>epo</w:t>
      </w:r>
      <w:r w:rsidRPr="00E77F77">
        <w:t>r</w:t>
      </w:r>
      <w:r w:rsidRPr="00E54C11">
        <w:t>tin</w:t>
      </w:r>
      <w:r w:rsidRPr="00E77F77">
        <w:t>g</w:t>
      </w:r>
      <w:r w:rsidRPr="00E54C11">
        <w:t xml:space="preserve"> al</w:t>
      </w:r>
      <w:r w:rsidRPr="00E77F77">
        <w:t>l</w:t>
      </w:r>
      <w:r w:rsidRPr="00E54C11">
        <w:t xml:space="preserve"> incident</w:t>
      </w:r>
      <w:r w:rsidRPr="00E77F77">
        <w:t>s</w:t>
      </w:r>
      <w:r w:rsidRPr="00E54C11">
        <w:t xml:space="preserve"> o</w:t>
      </w:r>
      <w:r w:rsidRPr="00E77F77">
        <w:t>f</w:t>
      </w:r>
      <w:r w:rsidRPr="00E54C11">
        <w:t xml:space="preserve"> violence</w:t>
      </w:r>
      <w:r w:rsidRPr="00E77F77">
        <w:t>,</w:t>
      </w:r>
      <w:r w:rsidRPr="00E54C11">
        <w:t xml:space="preserve"> assistin</w:t>
      </w:r>
      <w:r w:rsidRPr="00E77F77">
        <w:t>g</w:t>
      </w:r>
      <w:r w:rsidRPr="00E54C11">
        <w:t xml:space="preserve"> wit</w:t>
      </w:r>
      <w:r w:rsidRPr="00E77F77">
        <w:t xml:space="preserve">h </w:t>
      </w:r>
      <w:r w:rsidRPr="00E54C11">
        <w:t>th</w:t>
      </w:r>
      <w:r w:rsidRPr="00E77F77">
        <w:t>e</w:t>
      </w:r>
      <w:r w:rsidRPr="00E54C11">
        <w:t xml:space="preserve"> inciden</w:t>
      </w:r>
      <w:r w:rsidRPr="00E77F77">
        <w:t>t</w:t>
      </w:r>
      <w:r w:rsidRPr="00E54C11">
        <w:t xml:space="preserve"> investigatio</w:t>
      </w:r>
      <w:r w:rsidRPr="00E77F77">
        <w:t>n</w:t>
      </w:r>
      <w:r w:rsidRPr="00E54C11">
        <w:t xml:space="preserve"> an</w:t>
      </w:r>
      <w:r w:rsidRPr="00E77F77">
        <w:t>d</w:t>
      </w:r>
      <w:r w:rsidRPr="00E54C11">
        <w:t xml:space="preserve"> deb</w:t>
      </w:r>
      <w:r w:rsidRPr="00E77F77">
        <w:t>r</w:t>
      </w:r>
      <w:r w:rsidRPr="00E54C11">
        <w:t>ief</w:t>
      </w:r>
      <w:r w:rsidRPr="00E77F77">
        <w:t>,</w:t>
      </w:r>
      <w:r w:rsidRPr="00E54C11">
        <w:t xml:space="preserve"> an</w:t>
      </w:r>
      <w:r w:rsidRPr="00E77F77">
        <w:t>d</w:t>
      </w:r>
      <w:r w:rsidRPr="00E54C11">
        <w:t xml:space="preserve"> implementatio</w:t>
      </w:r>
      <w:r w:rsidRPr="00E77F77">
        <w:t>n</w:t>
      </w:r>
      <w:r w:rsidRPr="00E54C11">
        <w:t xml:space="preserve"> o</w:t>
      </w:r>
      <w:r w:rsidRPr="00E77F77">
        <w:t xml:space="preserve">f </w:t>
      </w:r>
      <w:r w:rsidRPr="00E54C11">
        <w:t>an</w:t>
      </w:r>
      <w:r w:rsidRPr="00E77F77">
        <w:t>y</w:t>
      </w:r>
      <w:r w:rsidRPr="00E54C11">
        <w:t xml:space="preserve"> actio</w:t>
      </w:r>
      <w:r w:rsidRPr="00E77F77">
        <w:t>n</w:t>
      </w:r>
      <w:r w:rsidRPr="00E54C11">
        <w:t xml:space="preserve"> plans</w:t>
      </w:r>
      <w:r w:rsidRPr="00E77F77">
        <w:t xml:space="preserve">. </w:t>
      </w:r>
    </w:p>
    <w:p w14:paraId="049D4C60" w14:textId="77777777" w:rsidR="008F7BB3" w:rsidRPr="00E77F77" w:rsidRDefault="008F7BB3" w:rsidP="008F7BB3">
      <w:pPr>
        <w:pStyle w:val="Heading4"/>
      </w:pPr>
      <w:r w:rsidRPr="00E54C11">
        <w:t>The</w:t>
      </w:r>
      <w:r w:rsidRPr="00E77F77">
        <w:t>y</w:t>
      </w:r>
      <w:r w:rsidRPr="00E54C11">
        <w:t xml:space="preserve"> shoul</w:t>
      </w:r>
      <w:r w:rsidRPr="00E77F77">
        <w:t>d</w:t>
      </w:r>
      <w:r w:rsidRPr="00E54C11">
        <w:t xml:space="preserve"> ensu</w:t>
      </w:r>
      <w:r w:rsidRPr="00E77F77">
        <w:t>re</w:t>
      </w:r>
      <w:r w:rsidRPr="00E54C11">
        <w:t xml:space="preserve"> tha</w:t>
      </w:r>
      <w:r w:rsidRPr="00E77F77">
        <w:t>t</w:t>
      </w:r>
      <w:r w:rsidRPr="00E54C11">
        <w:t xml:space="preserve"> </w:t>
      </w:r>
      <w:r w:rsidRPr="00E77F77">
        <w:t>r</w:t>
      </w:r>
      <w:r w:rsidRPr="00E54C11">
        <w:t>is</w:t>
      </w:r>
      <w:r w:rsidRPr="00E77F77">
        <w:t>k</w:t>
      </w:r>
      <w:r w:rsidRPr="00E54C11">
        <w:t xml:space="preserve"> assessment</w:t>
      </w:r>
      <w:r w:rsidRPr="00E77F77">
        <w:t>s</w:t>
      </w:r>
      <w:r w:rsidRPr="00E54C11">
        <w:t xml:space="preserve"> a</w:t>
      </w:r>
      <w:r w:rsidRPr="00E77F77">
        <w:t>re</w:t>
      </w:r>
      <w:r w:rsidRPr="00E54C11">
        <w:t xml:space="preserve"> </w:t>
      </w:r>
      <w:r w:rsidRPr="00E77F77">
        <w:t>r</w:t>
      </w:r>
      <w:r w:rsidRPr="00E54C11">
        <w:t>eadil</w:t>
      </w:r>
      <w:r w:rsidRPr="00E77F77">
        <w:t xml:space="preserve">y </w:t>
      </w:r>
      <w:r w:rsidRPr="00E54C11">
        <w:t>availabl</w:t>
      </w:r>
      <w:r w:rsidRPr="00E77F77">
        <w:t>e</w:t>
      </w:r>
      <w:r w:rsidRPr="00E54C11">
        <w:t xml:space="preserve"> fo</w:t>
      </w:r>
      <w:r w:rsidRPr="00E77F77">
        <w:t>r</w:t>
      </w:r>
      <w:r w:rsidRPr="00E54C11">
        <w:t xml:space="preserve"> inspectio</w:t>
      </w:r>
      <w:r w:rsidRPr="00E77F77">
        <w:t>n</w:t>
      </w:r>
      <w:r w:rsidRPr="00E54C11">
        <w:t xml:space="preserve"> an</w:t>
      </w:r>
      <w:r w:rsidRPr="00E77F77">
        <w:t>d</w:t>
      </w:r>
      <w:r w:rsidRPr="00E54C11">
        <w:t xml:space="preserve"> tha</w:t>
      </w:r>
      <w:r w:rsidRPr="00E77F77">
        <w:t>t</w:t>
      </w:r>
      <w:r w:rsidRPr="00E54C11">
        <w:t xml:space="preserve"> staf</w:t>
      </w:r>
      <w:r w:rsidRPr="00E77F77">
        <w:t>f</w:t>
      </w:r>
      <w:r w:rsidRPr="00E54C11">
        <w:t xml:space="preserve"> awa</w:t>
      </w:r>
      <w:r w:rsidRPr="00E77F77">
        <w:t>r</w:t>
      </w:r>
      <w:r w:rsidRPr="00E54C11">
        <w:t>enes</w:t>
      </w:r>
      <w:r w:rsidRPr="00E77F77">
        <w:t>s</w:t>
      </w:r>
      <w:r w:rsidRPr="00E54C11">
        <w:t xml:space="preserve"> an</w:t>
      </w:r>
      <w:r w:rsidRPr="00E77F77">
        <w:t xml:space="preserve">d </w:t>
      </w:r>
      <w:r w:rsidRPr="00E54C11">
        <w:t>knowledg</w:t>
      </w:r>
      <w:r w:rsidRPr="00E77F77">
        <w:t>e</w:t>
      </w:r>
      <w:r w:rsidRPr="00E54C11">
        <w:t xml:space="preserve"> o</w:t>
      </w:r>
      <w:r w:rsidRPr="00E77F77">
        <w:t>f</w:t>
      </w:r>
      <w:r w:rsidRPr="00E54C11">
        <w:t xml:space="preserve"> th</w:t>
      </w:r>
      <w:r w:rsidRPr="00E77F77">
        <w:t>e</w:t>
      </w:r>
      <w:r w:rsidRPr="00E54C11">
        <w:t xml:space="preserve"> </w:t>
      </w:r>
      <w:r w:rsidRPr="00E77F77">
        <w:t>r</w:t>
      </w:r>
      <w:r w:rsidRPr="00E54C11">
        <w:t>is</w:t>
      </w:r>
      <w:r w:rsidRPr="00E77F77">
        <w:t>k</w:t>
      </w:r>
      <w:r w:rsidRPr="00E54C11">
        <w:t xml:space="preserve"> assessmen</w:t>
      </w:r>
      <w:r w:rsidRPr="00E77F77">
        <w:t>t</w:t>
      </w:r>
      <w:r w:rsidRPr="00E54C11">
        <w:t xml:space="preserve"> p</w:t>
      </w:r>
      <w:r w:rsidRPr="00E77F77">
        <w:t>r</w:t>
      </w:r>
      <w:r w:rsidRPr="00E54C11">
        <w:t>oces</w:t>
      </w:r>
      <w:r w:rsidRPr="00E77F77">
        <w:t>s</w:t>
      </w:r>
      <w:r w:rsidRPr="00E54C11">
        <w:t xml:space="preserve"> alon</w:t>
      </w:r>
      <w:r w:rsidRPr="00E77F77">
        <w:t>g</w:t>
      </w:r>
      <w:r w:rsidRPr="00E54C11">
        <w:t xml:space="preserve"> wit</w:t>
      </w:r>
      <w:r w:rsidRPr="00E77F77">
        <w:t xml:space="preserve">h </w:t>
      </w:r>
      <w:r w:rsidRPr="00E54C11">
        <w:t>associate</w:t>
      </w:r>
      <w:r w:rsidRPr="00E77F77">
        <w:t>d</w:t>
      </w:r>
      <w:r w:rsidRPr="00E54C11">
        <w:t xml:space="preserve"> cont</w:t>
      </w:r>
      <w:r w:rsidRPr="00E77F77">
        <w:t>r</w:t>
      </w:r>
      <w:r w:rsidRPr="00E54C11">
        <w:t>o</w:t>
      </w:r>
      <w:r w:rsidRPr="00E77F77">
        <w:t>l</w:t>
      </w:r>
      <w:r w:rsidRPr="00E54C11">
        <w:t xml:space="preserve"> measu</w:t>
      </w:r>
      <w:r w:rsidRPr="00E77F77">
        <w:t>r</w:t>
      </w:r>
      <w:r w:rsidRPr="00E54C11">
        <w:t>e</w:t>
      </w:r>
      <w:r w:rsidRPr="00E77F77">
        <w:t>s</w:t>
      </w:r>
      <w:r w:rsidRPr="00E54C11">
        <w:t xml:space="preserve"> i</w:t>
      </w:r>
      <w:r w:rsidRPr="00E77F77">
        <w:t>s</w:t>
      </w:r>
      <w:r w:rsidRPr="00E54C11">
        <w:t xml:space="preserve"> tested</w:t>
      </w:r>
      <w:r w:rsidRPr="00E77F77">
        <w:t>.</w:t>
      </w:r>
      <w:r w:rsidRPr="00E54C11">
        <w:t xml:space="preserve"> The</w:t>
      </w:r>
      <w:r w:rsidRPr="00E77F77">
        <w:t>y</w:t>
      </w:r>
      <w:r w:rsidRPr="00E54C11">
        <w:t xml:space="preserve"> als</w:t>
      </w:r>
      <w:r w:rsidRPr="00E77F77">
        <w:t>o</w:t>
      </w:r>
      <w:r w:rsidRPr="00E54C11">
        <w:t xml:space="preserve"> hav</w:t>
      </w:r>
      <w:r w:rsidRPr="00E77F77">
        <w:t>e</w:t>
      </w:r>
      <w:r w:rsidRPr="00E54C11">
        <w:t xml:space="preserve"> </w:t>
      </w:r>
      <w:r w:rsidRPr="00E77F77">
        <w:t>a r</w:t>
      </w:r>
      <w:r w:rsidRPr="00E54C11">
        <w:t>esponsibilit</w:t>
      </w:r>
      <w:r w:rsidRPr="00E77F77">
        <w:t>y</w:t>
      </w:r>
      <w:r w:rsidRPr="00E54C11">
        <w:t xml:space="preserve"> t</w:t>
      </w:r>
      <w:r w:rsidRPr="00E77F77">
        <w:t>o</w:t>
      </w:r>
      <w:r w:rsidRPr="00E54C11">
        <w:t xml:space="preserve"> manag</w:t>
      </w:r>
      <w:r w:rsidRPr="00E77F77">
        <w:t>e</w:t>
      </w:r>
      <w:r w:rsidRPr="00E54C11">
        <w:t xml:space="preserve"> th</w:t>
      </w:r>
      <w:r w:rsidRPr="00E77F77">
        <w:t>e</w:t>
      </w:r>
      <w:r w:rsidRPr="00E54C11">
        <w:t xml:space="preserve"> expectation</w:t>
      </w:r>
      <w:r w:rsidRPr="00E77F77">
        <w:t>s</w:t>
      </w:r>
      <w:r w:rsidRPr="00E54C11">
        <w:t xml:space="preserve"> o</w:t>
      </w:r>
      <w:r w:rsidRPr="00E77F77">
        <w:t xml:space="preserve">f </w:t>
      </w:r>
      <w:r w:rsidRPr="00E54C11">
        <w:t>staff</w:t>
      </w:r>
      <w:r w:rsidRPr="00E77F77">
        <w:t>,</w:t>
      </w:r>
      <w:r w:rsidRPr="00E54C11">
        <w:t xml:space="preserve"> an</w:t>
      </w:r>
      <w:r w:rsidRPr="00E77F77">
        <w:t xml:space="preserve">d </w:t>
      </w:r>
      <w:r w:rsidRPr="00E54C11">
        <w:t>ensu</w:t>
      </w:r>
      <w:r w:rsidRPr="00E77F77">
        <w:t>r</w:t>
      </w:r>
      <w:r w:rsidRPr="00E54C11">
        <w:t>in</w:t>
      </w:r>
      <w:r w:rsidRPr="00E77F77">
        <w:t>g</w:t>
      </w:r>
      <w:r w:rsidRPr="00E54C11">
        <w:t xml:space="preserve"> tha</w:t>
      </w:r>
      <w:r w:rsidRPr="00E77F77">
        <w:t>t</w:t>
      </w:r>
      <w:r w:rsidRPr="00E54C11">
        <w:t xml:space="preserve"> staf</w:t>
      </w:r>
      <w:r w:rsidRPr="00E77F77">
        <w:t>f</w:t>
      </w:r>
      <w:r w:rsidRPr="00E54C11">
        <w:t xml:space="preserve"> a</w:t>
      </w:r>
      <w:r w:rsidRPr="00E77F77">
        <w:t>re</w:t>
      </w:r>
      <w:r w:rsidRPr="00E54C11">
        <w:t xml:space="preserve"> mad</w:t>
      </w:r>
      <w:r w:rsidRPr="00E77F77">
        <w:t>e</w:t>
      </w:r>
      <w:r w:rsidRPr="00E54C11">
        <w:t xml:space="preserve"> awa</w:t>
      </w:r>
      <w:r w:rsidRPr="00E77F77">
        <w:t>re</w:t>
      </w:r>
      <w:r w:rsidRPr="00E54C11">
        <w:t xml:space="preserve"> o</w:t>
      </w:r>
      <w:r w:rsidRPr="00E77F77">
        <w:t>f</w:t>
      </w:r>
      <w:r w:rsidRPr="00E54C11">
        <w:t xml:space="preserve"> th</w:t>
      </w:r>
      <w:r w:rsidRPr="00E77F77">
        <w:t>e</w:t>
      </w:r>
      <w:r w:rsidRPr="00E54C11">
        <w:t xml:space="preserve"> </w:t>
      </w:r>
      <w:r w:rsidRPr="00E77F77">
        <w:t>r</w:t>
      </w:r>
      <w:r w:rsidRPr="00E54C11">
        <w:t>isk</w:t>
      </w:r>
      <w:r w:rsidRPr="00E77F77">
        <w:t>s</w:t>
      </w:r>
      <w:r w:rsidRPr="00E54C11">
        <w:t xml:space="preserve"> withi</w:t>
      </w:r>
      <w:r w:rsidRPr="00E77F77">
        <w:t>n</w:t>
      </w:r>
      <w:r w:rsidRPr="00E54C11">
        <w:t xml:space="preserve"> thei</w:t>
      </w:r>
      <w:r w:rsidRPr="00E77F77">
        <w:t xml:space="preserve">r </w:t>
      </w:r>
      <w:r w:rsidRPr="00E54C11">
        <w:t>wo</w:t>
      </w:r>
      <w:r w:rsidRPr="00E77F77">
        <w:t>rk</w:t>
      </w:r>
      <w:r w:rsidRPr="00E54C11">
        <w:t xml:space="preserve"> envi</w:t>
      </w:r>
      <w:r w:rsidRPr="00E77F77">
        <w:t>r</w:t>
      </w:r>
      <w:r w:rsidRPr="00E54C11">
        <w:t>onmen</w:t>
      </w:r>
      <w:r w:rsidRPr="00E77F77">
        <w:t>t</w:t>
      </w:r>
      <w:r w:rsidRPr="00E54C11">
        <w:t xml:space="preserve"> an</w:t>
      </w:r>
      <w:r w:rsidRPr="00E77F77">
        <w:t>d</w:t>
      </w:r>
      <w:r w:rsidRPr="00E54C11">
        <w:t xml:space="preserve"> kno</w:t>
      </w:r>
      <w:r w:rsidRPr="00E77F77">
        <w:t>w</w:t>
      </w:r>
      <w:r w:rsidRPr="00E54C11">
        <w:t xml:space="preserve"> ho</w:t>
      </w:r>
      <w:r w:rsidRPr="00E77F77">
        <w:t>w</w:t>
      </w:r>
      <w:r w:rsidRPr="00E54C11">
        <w:t xml:space="preserve"> t</w:t>
      </w:r>
      <w:r w:rsidRPr="00E77F77">
        <w:t>o</w:t>
      </w:r>
      <w:r w:rsidRPr="00E54C11">
        <w:t xml:space="preserve"> mitigat</w:t>
      </w:r>
      <w:r w:rsidRPr="00E77F77">
        <w:t>e</w:t>
      </w:r>
      <w:r w:rsidRPr="00E54C11">
        <w:t xml:space="preserve"> them</w:t>
      </w:r>
      <w:r w:rsidRPr="00E77F77">
        <w:t xml:space="preserve">. </w:t>
      </w:r>
    </w:p>
    <w:p w14:paraId="2187C430" w14:textId="77777777" w:rsidR="008F7BB3" w:rsidRPr="00E54C11" w:rsidRDefault="008F7BB3" w:rsidP="008F7BB3">
      <w:pPr>
        <w:pStyle w:val="Heading4"/>
        <w:rPr>
          <w:b/>
        </w:rPr>
      </w:pPr>
      <w:r w:rsidRPr="00E54C11">
        <w:rPr>
          <w:b/>
        </w:rPr>
        <w:t>All staff</w:t>
      </w:r>
    </w:p>
    <w:p w14:paraId="707E1996" w14:textId="77777777" w:rsidR="008F7BB3" w:rsidRPr="00E77F77" w:rsidRDefault="008F7BB3" w:rsidP="008F7BB3">
      <w:pPr>
        <w:pStyle w:val="Heading4"/>
      </w:pPr>
      <w:r w:rsidRPr="00E54C11">
        <w:lastRenderedPageBreak/>
        <w:t>Al</w:t>
      </w:r>
      <w:r w:rsidRPr="00E77F77">
        <w:t>l</w:t>
      </w:r>
      <w:r w:rsidRPr="00E54C11">
        <w:t xml:space="preserve"> membe</w:t>
      </w:r>
      <w:r w:rsidRPr="00E77F77">
        <w:t>rs</w:t>
      </w:r>
      <w:r w:rsidRPr="00E54C11">
        <w:t xml:space="preserve"> o</w:t>
      </w:r>
      <w:r w:rsidRPr="00E77F77">
        <w:t>f</w:t>
      </w:r>
      <w:r w:rsidRPr="00E54C11">
        <w:t xml:space="preserve"> staf</w:t>
      </w:r>
      <w:r w:rsidRPr="00E77F77">
        <w:t>f</w:t>
      </w:r>
      <w:r w:rsidRPr="00E54C11">
        <w:t xml:space="preserve"> hav</w:t>
      </w:r>
      <w:r w:rsidRPr="00E77F77">
        <w:t>e</w:t>
      </w:r>
      <w:r w:rsidRPr="00E54C11">
        <w:t xml:space="preserve"> </w:t>
      </w:r>
      <w:r w:rsidRPr="00E77F77">
        <w:t>a</w:t>
      </w:r>
      <w:r w:rsidRPr="00E54C11">
        <w:t xml:space="preserve"> </w:t>
      </w:r>
      <w:r w:rsidRPr="00E77F77">
        <w:t>r</w:t>
      </w:r>
      <w:r w:rsidRPr="00E54C11">
        <w:t>esponsibilit</w:t>
      </w:r>
      <w:r w:rsidRPr="00E77F77">
        <w:t>y</w:t>
      </w:r>
      <w:r w:rsidRPr="00E54C11">
        <w:t xml:space="preserve"> towa</w:t>
      </w:r>
      <w:r w:rsidRPr="00E77F77">
        <w:t>r</w:t>
      </w:r>
      <w:r w:rsidRPr="00E54C11">
        <w:t>d</w:t>
      </w:r>
      <w:r w:rsidRPr="00E77F77">
        <w:t>s</w:t>
      </w:r>
      <w:r w:rsidRPr="00E54C11">
        <w:t xml:space="preserve"> th</w:t>
      </w:r>
      <w:r w:rsidRPr="00E77F77">
        <w:t xml:space="preserve">e </w:t>
      </w:r>
      <w:r w:rsidRPr="00E54C11">
        <w:t>managemen</w:t>
      </w:r>
      <w:r w:rsidRPr="00E77F77">
        <w:t>t</w:t>
      </w:r>
      <w:r w:rsidRPr="00E54C11">
        <w:t xml:space="preserve"> o</w:t>
      </w:r>
      <w:r w:rsidRPr="00E77F77">
        <w:t>f</w:t>
      </w:r>
      <w:r w:rsidRPr="00E54C11">
        <w:t xml:space="preserve"> </w:t>
      </w:r>
      <w:r w:rsidRPr="00E77F77">
        <w:t>r</w:t>
      </w:r>
      <w:r w:rsidRPr="00E54C11">
        <w:t>isk</w:t>
      </w:r>
      <w:r w:rsidRPr="00E77F77">
        <w:t>.</w:t>
      </w:r>
      <w:r w:rsidRPr="00E54C11">
        <w:t xml:space="preserve"> </w:t>
      </w:r>
      <w:r w:rsidRPr="00E77F77">
        <w:t>T</w:t>
      </w:r>
      <w:r w:rsidRPr="00E54C11">
        <w:t>hi</w:t>
      </w:r>
      <w:r w:rsidRPr="00E77F77">
        <w:t>s</w:t>
      </w:r>
      <w:r w:rsidRPr="00E54C11">
        <w:t xml:space="preserve"> include</w:t>
      </w:r>
      <w:r w:rsidRPr="00E77F77">
        <w:t>s</w:t>
      </w:r>
      <w:r w:rsidRPr="00E54C11">
        <w:t xml:space="preserve"> </w:t>
      </w:r>
      <w:r w:rsidRPr="00E77F77">
        <w:t>r</w:t>
      </w:r>
      <w:r w:rsidRPr="00E54C11">
        <w:t>epo</w:t>
      </w:r>
      <w:r w:rsidRPr="00E77F77">
        <w:t>r</w:t>
      </w:r>
      <w:r w:rsidRPr="00E54C11">
        <w:t>tin</w:t>
      </w:r>
      <w:r w:rsidRPr="00E77F77">
        <w:t>g</w:t>
      </w:r>
      <w:r w:rsidRPr="00E54C11">
        <w:t xml:space="preserve"> incidents</w:t>
      </w:r>
      <w:r w:rsidRPr="00E77F77">
        <w:t xml:space="preserve">, </w:t>
      </w:r>
      <w:r w:rsidRPr="00E54C11">
        <w:t>accidents</w:t>
      </w:r>
      <w:r w:rsidRPr="00E77F77">
        <w:t>,</w:t>
      </w:r>
      <w:r w:rsidRPr="00E54C11">
        <w:t xml:space="preserve"> nea</w:t>
      </w:r>
      <w:r w:rsidRPr="00E77F77">
        <w:t>r</w:t>
      </w:r>
      <w:r w:rsidRPr="00E54C11">
        <w:t xml:space="preserve"> misses</w:t>
      </w:r>
      <w:r w:rsidRPr="00E77F77">
        <w:t>,</w:t>
      </w:r>
      <w:r w:rsidRPr="00E54C11">
        <w:t xml:space="preserve"> usin</w:t>
      </w:r>
      <w:r w:rsidRPr="00E77F77">
        <w:t>g</w:t>
      </w:r>
      <w:r w:rsidRPr="00E54C11">
        <w:t xml:space="preserve"> th</w:t>
      </w:r>
      <w:r w:rsidRPr="00E77F77">
        <w:t>e</w:t>
      </w:r>
      <w:r w:rsidRPr="00E54C11">
        <w:t xml:space="preserve"> o</w:t>
      </w:r>
      <w:r w:rsidRPr="00E77F77">
        <w:t>r</w:t>
      </w:r>
      <w:r w:rsidRPr="00E54C11">
        <w:t>ganisation’</w:t>
      </w:r>
      <w:r w:rsidRPr="00E77F77">
        <w:t>s</w:t>
      </w:r>
      <w:r w:rsidRPr="00E54C11">
        <w:t xml:space="preserve"> </w:t>
      </w:r>
      <w:r w:rsidRPr="00E77F77">
        <w:t>r</w:t>
      </w:r>
      <w:r w:rsidRPr="00E54C11">
        <w:t>epo</w:t>
      </w:r>
      <w:r w:rsidRPr="00E77F77">
        <w:t>r</w:t>
      </w:r>
      <w:r w:rsidRPr="00E54C11">
        <w:t>tin</w:t>
      </w:r>
      <w:r w:rsidRPr="00E77F77">
        <w:t>g</w:t>
      </w:r>
      <w:r w:rsidRPr="00E54C11">
        <w:t xml:space="preserve"> fo</w:t>
      </w:r>
      <w:r w:rsidRPr="00E77F77">
        <w:t xml:space="preserve">rm </w:t>
      </w:r>
      <w:r w:rsidRPr="00E54C11">
        <w:t>th</w:t>
      </w:r>
      <w:r w:rsidRPr="00E77F77">
        <w:t>r</w:t>
      </w:r>
      <w:r w:rsidRPr="00E54C11">
        <w:t>oug</w:t>
      </w:r>
      <w:r w:rsidRPr="00E77F77">
        <w:t>h</w:t>
      </w:r>
      <w:r w:rsidRPr="00E54C11">
        <w:t xml:space="preserve"> th</w:t>
      </w:r>
      <w:r w:rsidRPr="00E77F77">
        <w:t>e</w:t>
      </w:r>
      <w:r w:rsidRPr="00E54C11">
        <w:t xml:space="preserve"> inte</w:t>
      </w:r>
      <w:r w:rsidRPr="00E77F77">
        <w:t>r</w:t>
      </w:r>
      <w:r w:rsidRPr="00E54C11">
        <w:t>na</w:t>
      </w:r>
      <w:r w:rsidRPr="00E77F77">
        <w:t>l</w:t>
      </w:r>
      <w:r w:rsidRPr="00E54C11">
        <w:t xml:space="preserve"> </w:t>
      </w:r>
      <w:r w:rsidRPr="00E77F77">
        <w:t>r</w:t>
      </w:r>
      <w:r w:rsidRPr="00E54C11">
        <w:t>epo</w:t>
      </w:r>
      <w:r w:rsidRPr="00E77F77">
        <w:t>r</w:t>
      </w:r>
      <w:r w:rsidRPr="00E54C11">
        <w:t>tin</w:t>
      </w:r>
      <w:r w:rsidRPr="00E77F77">
        <w:t>g</w:t>
      </w:r>
      <w:r w:rsidRPr="00E54C11">
        <w:t xml:space="preserve"> system</w:t>
      </w:r>
      <w:r w:rsidRPr="00E77F77">
        <w:t>.</w:t>
      </w:r>
      <w:r w:rsidRPr="00E54C11">
        <w:t xml:space="preserve"> The</w:t>
      </w:r>
      <w:r w:rsidRPr="00E77F77">
        <w:t>y</w:t>
      </w:r>
      <w:r w:rsidRPr="00E54C11">
        <w:t xml:space="preserve"> mus</w:t>
      </w:r>
      <w:r w:rsidRPr="00E77F77">
        <w:t>t</w:t>
      </w:r>
      <w:r w:rsidRPr="00E54C11">
        <w:t xml:space="preserve"> b</w:t>
      </w:r>
      <w:r w:rsidRPr="00E77F77">
        <w:t>e</w:t>
      </w:r>
      <w:r w:rsidRPr="00E54C11">
        <w:t xml:space="preserve"> awa</w:t>
      </w:r>
      <w:r w:rsidRPr="00E77F77">
        <w:t xml:space="preserve">re </w:t>
      </w:r>
      <w:r w:rsidRPr="00E54C11">
        <w:t>tha</w:t>
      </w:r>
      <w:r w:rsidRPr="00E77F77">
        <w:t>t</w:t>
      </w:r>
      <w:r w:rsidRPr="00E54C11">
        <w:t xml:space="preserve"> the</w:t>
      </w:r>
      <w:r w:rsidRPr="00E77F77">
        <w:t>y</w:t>
      </w:r>
      <w:r w:rsidRPr="00E54C11">
        <w:t xml:space="preserve"> hav</w:t>
      </w:r>
      <w:r w:rsidRPr="00E77F77">
        <w:t>e</w:t>
      </w:r>
      <w:r w:rsidRPr="00E54C11">
        <w:t xml:space="preserve"> </w:t>
      </w:r>
      <w:r w:rsidRPr="00E77F77">
        <w:t>a</w:t>
      </w:r>
      <w:r w:rsidRPr="00E54C11">
        <w:t xml:space="preserve"> dut</w:t>
      </w:r>
      <w:r w:rsidRPr="00E77F77">
        <w:t>y</w:t>
      </w:r>
      <w:r w:rsidRPr="00E54C11">
        <w:t xml:space="preserve"> t</w:t>
      </w:r>
      <w:r w:rsidRPr="00E77F77">
        <w:t>o</w:t>
      </w:r>
      <w:r w:rsidRPr="00E54C11">
        <w:t xml:space="preserve"> tak</w:t>
      </w:r>
      <w:r w:rsidRPr="00E77F77">
        <w:t>e</w:t>
      </w:r>
      <w:r w:rsidRPr="00E54C11">
        <w:t xml:space="preserve"> </w:t>
      </w:r>
      <w:r w:rsidRPr="00E77F77">
        <w:t>r</w:t>
      </w:r>
      <w:r w:rsidRPr="00E54C11">
        <w:t>easonabl</w:t>
      </w:r>
      <w:r w:rsidRPr="00E77F77">
        <w:t>e</w:t>
      </w:r>
      <w:r w:rsidRPr="00E54C11">
        <w:t xml:space="preserve"> ca</w:t>
      </w:r>
      <w:r w:rsidRPr="00E77F77">
        <w:t>re</w:t>
      </w:r>
      <w:r w:rsidRPr="00E54C11">
        <w:t xml:space="preserve"> o</w:t>
      </w:r>
      <w:r w:rsidRPr="00E77F77">
        <w:t>f</w:t>
      </w:r>
      <w:r w:rsidRPr="00E54C11">
        <w:t xml:space="preserve"> thei</w:t>
      </w:r>
      <w:r w:rsidRPr="00E77F77">
        <w:t>r</w:t>
      </w:r>
      <w:r w:rsidRPr="00E54C11">
        <w:t xml:space="preserve"> ow</w:t>
      </w:r>
      <w:r w:rsidRPr="00E77F77">
        <w:t xml:space="preserve">n </w:t>
      </w:r>
      <w:r w:rsidRPr="00E54C11">
        <w:t>safet</w:t>
      </w:r>
      <w:r w:rsidRPr="00E77F77">
        <w:t>y</w:t>
      </w:r>
      <w:r w:rsidRPr="00E54C11">
        <w:t xml:space="preserve"> an</w:t>
      </w:r>
      <w:r w:rsidRPr="00E77F77">
        <w:t>d</w:t>
      </w:r>
      <w:r w:rsidRPr="00E54C11">
        <w:t xml:space="preserve"> th</w:t>
      </w:r>
      <w:r w:rsidRPr="00E77F77">
        <w:t>e</w:t>
      </w:r>
      <w:r w:rsidRPr="00E54C11">
        <w:t xml:space="preserve"> safet</w:t>
      </w:r>
      <w:r w:rsidRPr="00E77F77">
        <w:t>y</w:t>
      </w:r>
      <w:r w:rsidRPr="00E54C11">
        <w:t xml:space="preserve"> o</w:t>
      </w:r>
      <w:r w:rsidRPr="00E77F77">
        <w:t>f</w:t>
      </w:r>
      <w:r w:rsidRPr="00E54C11">
        <w:t xml:space="preserve"> othe</w:t>
      </w:r>
      <w:r w:rsidRPr="00E77F77">
        <w:t>r</w:t>
      </w:r>
      <w:r w:rsidRPr="00E54C11">
        <w:t>s</w:t>
      </w:r>
      <w:r w:rsidRPr="00E77F77">
        <w:t>.</w:t>
      </w:r>
      <w:r w:rsidRPr="00E54C11">
        <w:t xml:space="preserve"> The</w:t>
      </w:r>
      <w:r w:rsidRPr="00E77F77">
        <w:t>y</w:t>
      </w:r>
      <w:r w:rsidRPr="00E54C11">
        <w:t xml:space="preserve"> mus</w:t>
      </w:r>
      <w:r w:rsidRPr="00E77F77">
        <w:t>t</w:t>
      </w:r>
      <w:r w:rsidRPr="00E54C11">
        <w:t xml:space="preserve"> b</w:t>
      </w:r>
      <w:r w:rsidRPr="00E77F77">
        <w:t>e</w:t>
      </w:r>
      <w:r w:rsidRPr="00E54C11">
        <w:t xml:space="preserve"> familia</w:t>
      </w:r>
      <w:r w:rsidRPr="00E77F77">
        <w:t>r</w:t>
      </w:r>
      <w:r w:rsidRPr="00E54C11">
        <w:t xml:space="preserve"> wit</w:t>
      </w:r>
      <w:r w:rsidRPr="00E77F77">
        <w:t>h</w:t>
      </w:r>
      <w:r w:rsidRPr="00E54C11">
        <w:t xml:space="preserve"> th</w:t>
      </w:r>
      <w:r w:rsidRPr="00E77F77">
        <w:t xml:space="preserve">e </w:t>
      </w:r>
      <w:r w:rsidRPr="00E54C11">
        <w:t>Ris</w:t>
      </w:r>
      <w:r w:rsidRPr="00E77F77">
        <w:t>k</w:t>
      </w:r>
      <w:r w:rsidRPr="00E54C11">
        <w:t xml:space="preserve"> Managemen</w:t>
      </w:r>
      <w:r w:rsidRPr="00E77F77">
        <w:t>t</w:t>
      </w:r>
      <w:r w:rsidRPr="00E54C11">
        <w:t xml:space="preserve"> </w:t>
      </w:r>
      <w:r w:rsidRPr="00E77F77">
        <w:t>S</w:t>
      </w:r>
      <w:r w:rsidRPr="00E54C11">
        <w:t>t</w:t>
      </w:r>
      <w:r w:rsidRPr="00E77F77">
        <w:t>r</w:t>
      </w:r>
      <w:r w:rsidRPr="00E54C11">
        <w:t>ateg</w:t>
      </w:r>
      <w:r w:rsidRPr="00E77F77">
        <w:t>y</w:t>
      </w:r>
      <w:r w:rsidRPr="00E54C11">
        <w:t xml:space="preserve"> an</w:t>
      </w:r>
      <w:r w:rsidRPr="00E77F77">
        <w:t>d</w:t>
      </w:r>
      <w:r w:rsidRPr="00E54C11">
        <w:t xml:space="preserve"> compl</w:t>
      </w:r>
      <w:r w:rsidRPr="00E77F77">
        <w:t>y</w:t>
      </w:r>
      <w:r w:rsidRPr="00E54C11">
        <w:t xml:space="preserve"> wit</w:t>
      </w:r>
      <w:r w:rsidRPr="00E77F77">
        <w:t>h</w:t>
      </w:r>
      <w:r w:rsidRPr="00E54C11">
        <w:t xml:space="preserve"> al</w:t>
      </w:r>
      <w:r w:rsidRPr="00E77F77">
        <w:t>l</w:t>
      </w:r>
      <w:r w:rsidRPr="00E54C11">
        <w:t xml:space="preserve"> o</w:t>
      </w:r>
      <w:r w:rsidRPr="00E77F77">
        <w:t>r</w:t>
      </w:r>
      <w:r w:rsidRPr="00E54C11">
        <w:t>ganisationa</w:t>
      </w:r>
      <w:r w:rsidRPr="00E77F77">
        <w:t xml:space="preserve">l </w:t>
      </w:r>
      <w:r w:rsidRPr="00E54C11">
        <w:t>policies</w:t>
      </w:r>
      <w:r w:rsidRPr="00E77F77">
        <w:t>,</w:t>
      </w:r>
      <w:r w:rsidRPr="00E54C11">
        <w:t xml:space="preserve"> Regulations</w:t>
      </w:r>
      <w:r w:rsidRPr="00E77F77">
        <w:t>,</w:t>
      </w:r>
      <w:r w:rsidRPr="00E54C11">
        <w:t xml:space="preserve"> p</w:t>
      </w:r>
      <w:r w:rsidRPr="00E77F77">
        <w:t>r</w:t>
      </w:r>
      <w:r w:rsidRPr="00E54C11">
        <w:t>ocedu</w:t>
      </w:r>
      <w:r w:rsidRPr="00E77F77">
        <w:t>r</w:t>
      </w:r>
      <w:r w:rsidRPr="00E54C11">
        <w:t>e</w:t>
      </w:r>
      <w:r w:rsidRPr="00E77F77">
        <w:t>s</w:t>
      </w:r>
      <w:r w:rsidRPr="00E54C11">
        <w:t xml:space="preserve"> an</w:t>
      </w:r>
      <w:r w:rsidRPr="00E77F77">
        <w:t>d</w:t>
      </w:r>
      <w:r w:rsidRPr="00E54C11">
        <w:t xml:space="preserve"> inst</w:t>
      </w:r>
      <w:r w:rsidRPr="00E77F77">
        <w:t>r</w:t>
      </w:r>
      <w:r w:rsidRPr="00E54C11">
        <w:t>uction</w:t>
      </w:r>
      <w:r w:rsidRPr="00E77F77">
        <w:t>s</w:t>
      </w:r>
      <w:r w:rsidRPr="00E54C11">
        <w:t xml:space="preserve"> i</w:t>
      </w:r>
      <w:r w:rsidRPr="00E77F77">
        <w:t>n</w:t>
      </w:r>
      <w:r w:rsidRPr="00E54C11">
        <w:t xml:space="preserve"> o</w:t>
      </w:r>
      <w:r w:rsidRPr="00E77F77">
        <w:t>r</w:t>
      </w:r>
      <w:r w:rsidRPr="00E54C11">
        <w:t>de</w:t>
      </w:r>
      <w:r w:rsidRPr="00E77F77">
        <w:t>r</w:t>
      </w:r>
      <w:r w:rsidRPr="00E54C11">
        <w:t xml:space="preserve"> t</w:t>
      </w:r>
      <w:r w:rsidRPr="00E77F77">
        <w:t xml:space="preserve">o </w:t>
      </w:r>
      <w:r w:rsidRPr="00E54C11">
        <w:t>p</w:t>
      </w:r>
      <w:r w:rsidRPr="00E77F77">
        <w:t>r</w:t>
      </w:r>
      <w:r w:rsidRPr="00E54C11">
        <w:t>otec</w:t>
      </w:r>
      <w:r w:rsidRPr="00E77F77">
        <w:t>t</w:t>
      </w:r>
      <w:r w:rsidRPr="00E54C11">
        <w:t xml:space="preserve"> th</w:t>
      </w:r>
      <w:r w:rsidRPr="00E77F77">
        <w:t>e</w:t>
      </w:r>
      <w:r w:rsidRPr="00E54C11">
        <w:t xml:space="preserve"> health</w:t>
      </w:r>
      <w:r w:rsidRPr="00E77F77">
        <w:t>,</w:t>
      </w:r>
      <w:r w:rsidRPr="00E54C11">
        <w:t xml:space="preserve"> safet</w:t>
      </w:r>
      <w:r w:rsidRPr="00E77F77">
        <w:t>y</w:t>
      </w:r>
      <w:r w:rsidRPr="00E54C11">
        <w:t xml:space="preserve"> an</w:t>
      </w:r>
      <w:r w:rsidRPr="00E77F77">
        <w:t>d</w:t>
      </w:r>
      <w:r w:rsidRPr="00E54C11">
        <w:t xml:space="preserve"> welfa</w:t>
      </w:r>
      <w:r w:rsidRPr="00E77F77">
        <w:t>re</w:t>
      </w:r>
      <w:r w:rsidRPr="00E54C11">
        <w:t xml:space="preserve"> o</w:t>
      </w:r>
      <w:r w:rsidRPr="00E77F77">
        <w:t>f</w:t>
      </w:r>
      <w:r w:rsidRPr="00E54C11">
        <w:t xml:space="preserve"> an</w:t>
      </w:r>
      <w:r w:rsidRPr="00E77F77">
        <w:t>y</w:t>
      </w:r>
      <w:r w:rsidRPr="00E54C11">
        <w:t xml:space="preserve"> individua</w:t>
      </w:r>
      <w:r w:rsidRPr="00E77F77">
        <w:t>l</w:t>
      </w:r>
      <w:r w:rsidRPr="00E54C11">
        <w:t xml:space="preserve"> affecte</w:t>
      </w:r>
      <w:r w:rsidRPr="00E77F77">
        <w:t xml:space="preserve">d </w:t>
      </w:r>
      <w:r w:rsidRPr="00E54C11">
        <w:t>b</w:t>
      </w:r>
      <w:r w:rsidRPr="00E77F77">
        <w:t>y</w:t>
      </w:r>
      <w:r w:rsidRPr="00E54C11">
        <w:t xml:space="preserve"> th</w:t>
      </w:r>
      <w:r w:rsidRPr="00E77F77">
        <w:t>e</w:t>
      </w:r>
      <w:r w:rsidRPr="00E54C11">
        <w:t xml:space="preserve"> o</w:t>
      </w:r>
      <w:r w:rsidRPr="00E77F77">
        <w:t>r</w:t>
      </w:r>
      <w:r w:rsidRPr="00E54C11">
        <w:t>ganisation</w:t>
      </w:r>
      <w:r w:rsidRPr="00E77F77">
        <w:t>.</w:t>
      </w:r>
    </w:p>
    <w:p w14:paraId="30A87984" w14:textId="77777777" w:rsidR="008F7BB3" w:rsidRPr="00E77F77" w:rsidRDefault="008F7BB3" w:rsidP="008F7BB3">
      <w:pPr>
        <w:pStyle w:val="Heading4"/>
      </w:pPr>
      <w:r w:rsidRPr="00E54C11">
        <w:t>On</w:t>
      </w:r>
      <w:r w:rsidRPr="00E77F77">
        <w:t>e</w:t>
      </w:r>
      <w:r w:rsidRPr="00E54C11">
        <w:t xml:space="preserve"> ke</w:t>
      </w:r>
      <w:r w:rsidRPr="00E77F77">
        <w:t>y</w:t>
      </w:r>
      <w:r w:rsidRPr="00E54C11">
        <w:t xml:space="preserve"> p</w:t>
      </w:r>
      <w:r w:rsidRPr="00E77F77">
        <w:t>r</w:t>
      </w:r>
      <w:r w:rsidRPr="00E54C11">
        <w:t>incipl</w:t>
      </w:r>
      <w:r w:rsidRPr="00E77F77">
        <w:t>e</w:t>
      </w:r>
      <w:r w:rsidRPr="00E54C11">
        <w:t xml:space="preserve"> i</w:t>
      </w:r>
      <w:r w:rsidRPr="00E77F77">
        <w:t>s</w:t>
      </w:r>
      <w:r w:rsidRPr="00E54C11">
        <w:t xml:space="preserve"> tha</w:t>
      </w:r>
      <w:r w:rsidRPr="00E77F77">
        <w:t>t</w:t>
      </w:r>
      <w:r w:rsidRPr="00E54C11">
        <w:t xml:space="preserve"> al</w:t>
      </w:r>
      <w:r w:rsidRPr="00E77F77">
        <w:t>l</w:t>
      </w:r>
      <w:r w:rsidRPr="00E54C11">
        <w:t xml:space="preserve"> staf</w:t>
      </w:r>
      <w:r w:rsidRPr="00E77F77">
        <w:t>f</w:t>
      </w:r>
      <w:r w:rsidRPr="00E54C11">
        <w:t xml:space="preserve"> g</w:t>
      </w:r>
      <w:r w:rsidRPr="00E77F77">
        <w:t>r</w:t>
      </w:r>
      <w:r w:rsidRPr="00E54C11">
        <w:t>oup</w:t>
      </w:r>
      <w:r w:rsidRPr="00E77F77">
        <w:t>s</w:t>
      </w:r>
      <w:r w:rsidRPr="00E54C11">
        <w:t xml:space="preserve"> whos</w:t>
      </w:r>
      <w:r w:rsidRPr="00E77F77">
        <w:t>e</w:t>
      </w:r>
      <w:r w:rsidRPr="00E54C11">
        <w:t xml:space="preserve"> wo</w:t>
      </w:r>
      <w:r w:rsidRPr="00E77F77">
        <w:t>r</w:t>
      </w:r>
      <w:r w:rsidRPr="00E54C11">
        <w:t>k</w:t>
      </w:r>
      <w:r w:rsidRPr="00E77F77">
        <w:t>,</w:t>
      </w:r>
      <w:r w:rsidRPr="00E54C11">
        <w:t xml:space="preserve"> b</w:t>
      </w:r>
      <w:r w:rsidRPr="00E77F77">
        <w:t>r</w:t>
      </w:r>
      <w:r w:rsidRPr="00E54C11">
        <w:t>ing</w:t>
      </w:r>
      <w:r w:rsidRPr="00E77F77">
        <w:t xml:space="preserve">s </w:t>
      </w:r>
      <w:r w:rsidRPr="00E54C11">
        <w:t>the</w:t>
      </w:r>
      <w:r w:rsidRPr="00E77F77">
        <w:t>m</w:t>
      </w:r>
      <w:r w:rsidRPr="00E54C11">
        <w:t xml:space="preserve"> int</w:t>
      </w:r>
      <w:r w:rsidRPr="00E77F77">
        <w:t>o</w:t>
      </w:r>
      <w:r w:rsidRPr="00E54C11">
        <w:t xml:space="preserve"> contac</w:t>
      </w:r>
      <w:r w:rsidRPr="00E77F77">
        <w:t>t</w:t>
      </w:r>
      <w:r w:rsidRPr="00E54C11">
        <w:t xml:space="preserve"> wit</w:t>
      </w:r>
      <w:r w:rsidRPr="00E77F77">
        <w:t>h</w:t>
      </w:r>
      <w:r w:rsidRPr="00E54C11">
        <w:t xml:space="preserve"> membe</w:t>
      </w:r>
      <w:r w:rsidRPr="00E77F77">
        <w:t>rs</w:t>
      </w:r>
      <w:r w:rsidRPr="00E54C11">
        <w:t xml:space="preserve"> o</w:t>
      </w:r>
      <w:r w:rsidRPr="00E77F77">
        <w:t>f</w:t>
      </w:r>
      <w:r w:rsidRPr="00E54C11">
        <w:t xml:space="preserve"> th</w:t>
      </w:r>
      <w:r w:rsidRPr="00E77F77">
        <w:t>e</w:t>
      </w:r>
      <w:r w:rsidRPr="00E54C11">
        <w:t xml:space="preserve"> public</w:t>
      </w:r>
      <w:r w:rsidRPr="00E77F77">
        <w:t>,</w:t>
      </w:r>
      <w:r w:rsidRPr="00E54C11">
        <w:t xml:space="preserve"> </w:t>
      </w:r>
      <w:r w:rsidRPr="00E77F77">
        <w:t>r</w:t>
      </w:r>
      <w:r w:rsidRPr="00E54C11">
        <w:t>eceiv</w:t>
      </w:r>
      <w:r w:rsidRPr="00E77F77">
        <w:t>e</w:t>
      </w:r>
      <w:r w:rsidRPr="00E54C11">
        <w:t xml:space="preserve"> </w:t>
      </w:r>
      <w:r w:rsidRPr="00E77F77">
        <w:t>a</w:t>
      </w:r>
      <w:r w:rsidRPr="00E54C11">
        <w:t xml:space="preserve"> leve</w:t>
      </w:r>
      <w:r w:rsidRPr="00E77F77">
        <w:t xml:space="preserve">l </w:t>
      </w:r>
      <w:r w:rsidRPr="00E54C11">
        <w:t>o</w:t>
      </w:r>
      <w:r w:rsidRPr="00E77F77">
        <w:t>f</w:t>
      </w:r>
      <w:r w:rsidRPr="00E54C11">
        <w:t xml:space="preserve"> conflic</w:t>
      </w:r>
      <w:r w:rsidRPr="00E77F77">
        <w:t>t</w:t>
      </w:r>
      <w:r w:rsidRPr="00E54C11">
        <w:t xml:space="preserve"> </w:t>
      </w:r>
      <w:r w:rsidRPr="00E77F77">
        <w:t>r</w:t>
      </w:r>
      <w:r w:rsidRPr="00E54C11">
        <w:t>esolutio</w:t>
      </w:r>
      <w:r w:rsidRPr="00E77F77">
        <w:t>n</w:t>
      </w:r>
      <w:r w:rsidRPr="00E54C11">
        <w:t xml:space="preserve"> t</w:t>
      </w:r>
      <w:r w:rsidRPr="00E77F77">
        <w:t>r</w:t>
      </w:r>
      <w:r w:rsidRPr="00E54C11">
        <w:t>ainin</w:t>
      </w:r>
      <w:r w:rsidRPr="00E77F77">
        <w:t>g</w:t>
      </w:r>
      <w:r w:rsidRPr="00E54C11">
        <w:t xml:space="preserve"> whic</w:t>
      </w:r>
      <w:r w:rsidRPr="00E77F77">
        <w:t>h</w:t>
      </w:r>
      <w:r w:rsidRPr="00E54C11">
        <w:t xml:space="preserve"> i</w:t>
      </w:r>
      <w:r w:rsidRPr="00E77F77">
        <w:t>s</w:t>
      </w:r>
      <w:r w:rsidRPr="00E54C11">
        <w:t xml:space="preserve"> commensu</w:t>
      </w:r>
      <w:r w:rsidRPr="00E77F77">
        <w:t>r</w:t>
      </w:r>
      <w:r w:rsidRPr="00E54C11">
        <w:t>at</w:t>
      </w:r>
      <w:r w:rsidRPr="00E77F77">
        <w:t>e</w:t>
      </w:r>
      <w:r w:rsidRPr="00E54C11">
        <w:t xml:space="preserve"> t</w:t>
      </w:r>
      <w:r w:rsidRPr="00E77F77">
        <w:t>o</w:t>
      </w:r>
      <w:r w:rsidRPr="00E54C11">
        <w:t xml:space="preserve"> th</w:t>
      </w:r>
      <w:r w:rsidRPr="00E77F77">
        <w:t>e r</w:t>
      </w:r>
      <w:r w:rsidRPr="00E54C11">
        <w:t>isk</w:t>
      </w:r>
      <w:r w:rsidRPr="00E77F77">
        <w:t>s</w:t>
      </w:r>
      <w:r w:rsidRPr="00E54C11">
        <w:t xml:space="preserve"> the</w:t>
      </w:r>
      <w:r w:rsidRPr="00E77F77">
        <w:t>y</w:t>
      </w:r>
      <w:r w:rsidRPr="00E54C11">
        <w:t xml:space="preserve"> face</w:t>
      </w:r>
      <w:r w:rsidRPr="00E77F77">
        <w:t xml:space="preserve">.  </w:t>
      </w:r>
    </w:p>
    <w:p w14:paraId="4A4A97B1" w14:textId="77777777" w:rsidR="008F7BB3" w:rsidRPr="00E54C11" w:rsidRDefault="008F7BB3" w:rsidP="008F7BB3">
      <w:pPr>
        <w:pStyle w:val="Heading4"/>
        <w:rPr>
          <w:b/>
        </w:rPr>
      </w:pPr>
      <w:r w:rsidRPr="00E54C11">
        <w:rPr>
          <w:b/>
        </w:rPr>
        <w:t>Risk assessment process</w:t>
      </w:r>
    </w:p>
    <w:p w14:paraId="2AAA39DE" w14:textId="77777777" w:rsidR="008F7BB3" w:rsidRPr="00E77F77" w:rsidRDefault="008F7BB3" w:rsidP="008F7BB3">
      <w:pPr>
        <w:pStyle w:val="Heading4"/>
      </w:pPr>
      <w:r w:rsidRPr="00E54C11">
        <w:t>A</w:t>
      </w:r>
      <w:r w:rsidRPr="00E77F77">
        <w:t>n</w:t>
      </w:r>
      <w:r w:rsidRPr="00E54C11">
        <w:t xml:space="preserve"> impo</w:t>
      </w:r>
      <w:r w:rsidRPr="00E77F77">
        <w:t>r</w:t>
      </w:r>
      <w:r w:rsidRPr="00E54C11">
        <w:t>tan</w:t>
      </w:r>
      <w:r w:rsidRPr="00E77F77">
        <w:t>t</w:t>
      </w:r>
      <w:r w:rsidRPr="00E54C11">
        <w:t xml:space="preserve"> pa</w:t>
      </w:r>
      <w:r w:rsidRPr="00E77F77">
        <w:t>rt</w:t>
      </w:r>
      <w:r w:rsidRPr="00E54C11">
        <w:t xml:space="preserve"> o</w:t>
      </w:r>
      <w:r w:rsidRPr="00E77F77">
        <w:t>f</w:t>
      </w:r>
      <w:r w:rsidRPr="00E54C11">
        <w:t xml:space="preserve"> th</w:t>
      </w:r>
      <w:r w:rsidRPr="00E77F77">
        <w:t>e</w:t>
      </w:r>
      <w:r w:rsidRPr="00E54C11">
        <w:t xml:space="preserve"> </w:t>
      </w:r>
      <w:r w:rsidRPr="00E77F77">
        <w:t>r</w:t>
      </w:r>
      <w:r w:rsidRPr="00E54C11">
        <w:t>is</w:t>
      </w:r>
      <w:r w:rsidRPr="00E77F77">
        <w:t>k</w:t>
      </w:r>
      <w:r w:rsidRPr="00E54C11">
        <w:t xml:space="preserve"> assessmen</w:t>
      </w:r>
      <w:r w:rsidRPr="00E77F77">
        <w:t>t</w:t>
      </w:r>
      <w:r w:rsidRPr="00E54C11">
        <w:t xml:space="preserve"> p</w:t>
      </w:r>
      <w:r w:rsidRPr="00E77F77">
        <w:t>r</w:t>
      </w:r>
      <w:r w:rsidRPr="00E54C11">
        <w:t>oces</w:t>
      </w:r>
      <w:r w:rsidRPr="00E77F77">
        <w:t>s</w:t>
      </w:r>
      <w:r w:rsidRPr="00E54C11">
        <w:t xml:space="preserve"> i</w:t>
      </w:r>
      <w:r w:rsidRPr="00E77F77">
        <w:t>s</w:t>
      </w:r>
      <w:r w:rsidRPr="00E54C11">
        <w:t xml:space="preserve"> bein</w:t>
      </w:r>
      <w:r w:rsidRPr="00E77F77">
        <w:t>g</w:t>
      </w:r>
      <w:r w:rsidRPr="00E54C11">
        <w:t xml:space="preserve"> abl</w:t>
      </w:r>
      <w:r w:rsidRPr="00E77F77">
        <w:t xml:space="preserve">e </w:t>
      </w:r>
      <w:r w:rsidRPr="00E54C11">
        <w:t>t</w:t>
      </w:r>
      <w:r w:rsidRPr="00E77F77">
        <w:t>o</w:t>
      </w:r>
      <w:r w:rsidRPr="00E54C11">
        <w:t xml:space="preserve"> identif</w:t>
      </w:r>
      <w:r w:rsidRPr="00E77F77">
        <w:t>y</w:t>
      </w:r>
      <w:r w:rsidRPr="00E54C11">
        <w:t xml:space="preserve"> th</w:t>
      </w:r>
      <w:r w:rsidRPr="00E77F77">
        <w:t>e</w:t>
      </w:r>
      <w:r w:rsidRPr="00E54C11">
        <w:t xml:space="preserve"> potentia</w:t>
      </w:r>
      <w:r w:rsidRPr="00E77F77">
        <w:t>l</w:t>
      </w:r>
      <w:r w:rsidRPr="00E54C11">
        <w:t xml:space="preserve"> sou</w:t>
      </w:r>
      <w:r w:rsidRPr="00E77F77">
        <w:t>r</w:t>
      </w:r>
      <w:r w:rsidRPr="00E54C11">
        <w:t>ce</w:t>
      </w:r>
      <w:r w:rsidRPr="00E77F77">
        <w:t>s</w:t>
      </w:r>
      <w:r w:rsidRPr="00E54C11">
        <w:t xml:space="preserve"> o</w:t>
      </w:r>
      <w:r w:rsidRPr="00E77F77">
        <w:t>f</w:t>
      </w:r>
      <w:r w:rsidRPr="00E54C11">
        <w:t xml:space="preserve"> info</w:t>
      </w:r>
      <w:r w:rsidRPr="00E77F77">
        <w:t>r</w:t>
      </w:r>
      <w:r w:rsidRPr="00E54C11">
        <w:t>matio</w:t>
      </w:r>
      <w:r w:rsidRPr="00E77F77">
        <w:t>n</w:t>
      </w:r>
      <w:r w:rsidRPr="00E54C11">
        <w:t xml:space="preserve"> neede</w:t>
      </w:r>
      <w:r w:rsidRPr="00E77F77">
        <w:t>d</w:t>
      </w:r>
      <w:r w:rsidRPr="00E54C11">
        <w:t xml:space="preserve"> t</w:t>
      </w:r>
      <w:r w:rsidRPr="00E77F77">
        <w:t>o</w:t>
      </w:r>
      <w:r w:rsidRPr="00E54C11">
        <w:t xml:space="preserve"> fee</w:t>
      </w:r>
      <w:r w:rsidRPr="00E77F77">
        <w:t>d into the risk assessment and identify the level or training required, such as:</w:t>
      </w:r>
    </w:p>
    <w:p w14:paraId="5F7AC7F2" w14:textId="77777777" w:rsidR="008F7BB3" w:rsidRPr="00E54C11" w:rsidRDefault="008F7BB3" w:rsidP="005A7DDA">
      <w:pPr>
        <w:pStyle w:val="SchedClauses"/>
        <w:widowControl/>
        <w:numPr>
          <w:ilvl w:val="2"/>
          <w:numId w:val="68"/>
        </w:numPr>
        <w:spacing w:line="276" w:lineRule="auto"/>
        <w:rPr>
          <w:sz w:val="24"/>
        </w:rPr>
      </w:pPr>
      <w:r w:rsidRPr="00E54C11">
        <w:rPr>
          <w:sz w:val="24"/>
        </w:rPr>
        <w:t xml:space="preserve">Reported incidents, near misses, serious untoward </w:t>
      </w:r>
      <w:r w:rsidRPr="00E77F77">
        <w:rPr>
          <w:sz w:val="24"/>
        </w:rPr>
        <w:t>incidents</w:t>
      </w:r>
      <w:r w:rsidRPr="00E54C11">
        <w:rPr>
          <w:sz w:val="24"/>
        </w:rPr>
        <w:t>;</w:t>
      </w:r>
    </w:p>
    <w:p w14:paraId="04558801" w14:textId="77777777" w:rsidR="008F7BB3" w:rsidRPr="00E54C11" w:rsidRDefault="008F7BB3" w:rsidP="005A7DDA">
      <w:pPr>
        <w:pStyle w:val="SchedClauses"/>
        <w:widowControl/>
        <w:numPr>
          <w:ilvl w:val="2"/>
          <w:numId w:val="68"/>
        </w:numPr>
        <w:spacing w:line="276" w:lineRule="auto"/>
        <w:rPr>
          <w:sz w:val="24"/>
        </w:rPr>
      </w:pPr>
      <w:r w:rsidRPr="00E54C11">
        <w:rPr>
          <w:sz w:val="24"/>
        </w:rPr>
        <w:t>Patient and members of the public considerations;</w:t>
      </w:r>
    </w:p>
    <w:p w14:paraId="604F2FDB" w14:textId="77777777" w:rsidR="008F7BB3" w:rsidRPr="00E54C11" w:rsidRDefault="008F7BB3" w:rsidP="005A7DDA">
      <w:pPr>
        <w:pStyle w:val="SchedClauses"/>
        <w:widowControl/>
        <w:numPr>
          <w:ilvl w:val="2"/>
          <w:numId w:val="68"/>
        </w:numPr>
        <w:spacing w:line="276" w:lineRule="auto"/>
        <w:rPr>
          <w:sz w:val="24"/>
        </w:rPr>
      </w:pPr>
      <w:r w:rsidRPr="00E54C11">
        <w:rPr>
          <w:sz w:val="24"/>
        </w:rPr>
        <w:t>Staff roles and responsibilities;</w:t>
      </w:r>
    </w:p>
    <w:p w14:paraId="58EBC5D0" w14:textId="77777777" w:rsidR="008F7BB3" w:rsidRPr="00E54C11" w:rsidRDefault="008F7BB3" w:rsidP="005A7DDA">
      <w:pPr>
        <w:pStyle w:val="SchedClauses"/>
        <w:widowControl/>
        <w:numPr>
          <w:ilvl w:val="2"/>
          <w:numId w:val="68"/>
        </w:numPr>
        <w:spacing w:line="276" w:lineRule="auto"/>
        <w:rPr>
          <w:sz w:val="24"/>
        </w:rPr>
      </w:pPr>
      <w:r w:rsidRPr="00E54C11">
        <w:rPr>
          <w:sz w:val="24"/>
        </w:rPr>
        <w:t>Duties performed by staff in high risk roles (according to risk assessments);</w:t>
      </w:r>
    </w:p>
    <w:p w14:paraId="6810B3EC" w14:textId="77777777" w:rsidR="008F7BB3" w:rsidRPr="00E54C11" w:rsidRDefault="008F7BB3" w:rsidP="005A7DDA">
      <w:pPr>
        <w:pStyle w:val="SchedClauses"/>
        <w:widowControl/>
        <w:numPr>
          <w:ilvl w:val="2"/>
          <w:numId w:val="68"/>
        </w:numPr>
        <w:spacing w:line="276" w:lineRule="auto"/>
        <w:rPr>
          <w:sz w:val="24"/>
        </w:rPr>
      </w:pPr>
      <w:r w:rsidRPr="00E54C11">
        <w:rPr>
          <w:sz w:val="24"/>
        </w:rPr>
        <w:t>Current levels of skills and training, staff expectations;</w:t>
      </w:r>
    </w:p>
    <w:p w14:paraId="63D34C22" w14:textId="77777777" w:rsidR="008F7BB3" w:rsidRPr="00E54C11" w:rsidRDefault="008F7BB3" w:rsidP="005A7DDA">
      <w:pPr>
        <w:pStyle w:val="SchedClauses"/>
        <w:widowControl/>
        <w:numPr>
          <w:ilvl w:val="2"/>
          <w:numId w:val="68"/>
        </w:numPr>
        <w:spacing w:line="276" w:lineRule="auto"/>
        <w:rPr>
          <w:sz w:val="24"/>
        </w:rPr>
      </w:pPr>
      <w:r w:rsidRPr="00E54C11">
        <w:rPr>
          <w:sz w:val="24"/>
        </w:rPr>
        <w:t>Statutory requirements, policy and guidance.</w:t>
      </w:r>
      <w:r w:rsidRPr="00E77F77">
        <w:rPr>
          <w:sz w:val="24"/>
        </w:rPr>
        <w:t xml:space="preserve"> </w:t>
      </w:r>
    </w:p>
    <w:p w14:paraId="3C1CA7AB" w14:textId="77777777" w:rsidR="008F7BB3" w:rsidRPr="00E54C11" w:rsidRDefault="008F7BB3" w:rsidP="008F7BB3">
      <w:pPr>
        <w:pStyle w:val="Heading4"/>
        <w:rPr>
          <w:b/>
        </w:rPr>
      </w:pPr>
      <w:r w:rsidRPr="00E54C11">
        <w:rPr>
          <w:b/>
        </w:rPr>
        <w:t>Risk factors</w:t>
      </w:r>
    </w:p>
    <w:p w14:paraId="32591381" w14:textId="77777777" w:rsidR="008F7BB3" w:rsidRPr="00E77F77" w:rsidRDefault="008F7BB3" w:rsidP="008F7BB3">
      <w:pPr>
        <w:pStyle w:val="Heading4"/>
      </w:pPr>
      <w:r w:rsidRPr="00E54C11">
        <w:t>I</w:t>
      </w:r>
      <w:r w:rsidRPr="00E77F77">
        <w:t>t</w:t>
      </w:r>
      <w:r w:rsidRPr="00E54C11">
        <w:t xml:space="preserve"> i</w:t>
      </w:r>
      <w:r w:rsidRPr="00E77F77">
        <w:t>s</w:t>
      </w:r>
      <w:r w:rsidRPr="00E54C11">
        <w:t xml:space="preserve"> possibl</w:t>
      </w:r>
      <w:r w:rsidRPr="00E77F77">
        <w:t>e</w:t>
      </w:r>
      <w:r w:rsidRPr="00E54C11">
        <w:t xml:space="preserve"> t</w:t>
      </w:r>
      <w:r w:rsidRPr="00E77F77">
        <w:t>o</w:t>
      </w:r>
      <w:r w:rsidRPr="00E54C11">
        <w:t xml:space="preserve"> identif</w:t>
      </w:r>
      <w:r w:rsidRPr="00E77F77">
        <w:t>y</w:t>
      </w:r>
      <w:r w:rsidRPr="00E54C11">
        <w:t xml:space="preserve"> t</w:t>
      </w:r>
      <w:r w:rsidRPr="00E77F77">
        <w:t>r</w:t>
      </w:r>
      <w:r w:rsidRPr="00E54C11">
        <w:t>end</w:t>
      </w:r>
      <w:r w:rsidRPr="00E77F77">
        <w:t>s</w:t>
      </w:r>
      <w:r w:rsidRPr="00E54C11">
        <w:t xml:space="preserve"> an</w:t>
      </w:r>
      <w:r w:rsidRPr="00E77F77">
        <w:t>d</w:t>
      </w:r>
      <w:r w:rsidRPr="00E54C11">
        <w:t xml:space="preserve"> theme</w:t>
      </w:r>
      <w:r w:rsidRPr="00E77F77">
        <w:t>s</w:t>
      </w:r>
      <w:r w:rsidRPr="00E54C11">
        <w:t xml:space="preserve"> i</w:t>
      </w:r>
      <w:r w:rsidRPr="00E77F77">
        <w:t>n</w:t>
      </w:r>
      <w:r w:rsidRPr="00E54C11">
        <w:t xml:space="preserve"> te</w:t>
      </w:r>
      <w:r w:rsidRPr="00E77F77">
        <w:t>r</w:t>
      </w:r>
      <w:r w:rsidRPr="00E54C11">
        <w:t>m</w:t>
      </w:r>
      <w:r w:rsidRPr="00E77F77">
        <w:t>s</w:t>
      </w:r>
      <w:r w:rsidRPr="00E54C11">
        <w:t xml:space="preserve"> o</w:t>
      </w:r>
      <w:r w:rsidRPr="00E77F77">
        <w:t>f</w:t>
      </w:r>
      <w:r w:rsidRPr="00E54C11">
        <w:t xml:space="preserve"> th</w:t>
      </w:r>
      <w:r w:rsidRPr="00E77F77">
        <w:t xml:space="preserve">e </w:t>
      </w:r>
      <w:r w:rsidRPr="00E54C11">
        <w:t>haza</w:t>
      </w:r>
      <w:r w:rsidRPr="00E77F77">
        <w:t>r</w:t>
      </w:r>
      <w:r w:rsidRPr="00E54C11">
        <w:t>d</w:t>
      </w:r>
      <w:r w:rsidRPr="00E77F77">
        <w:t>s</w:t>
      </w:r>
      <w:r w:rsidRPr="00E54C11">
        <w:t xml:space="preserve"> tha</w:t>
      </w:r>
      <w:r w:rsidRPr="00E77F77">
        <w:t>t</w:t>
      </w:r>
      <w:r w:rsidRPr="00E54C11">
        <w:t xml:space="preserve"> staf</w:t>
      </w:r>
      <w:r w:rsidRPr="00E77F77">
        <w:t>f</w:t>
      </w:r>
      <w:r w:rsidRPr="00E54C11">
        <w:t xml:space="preserve"> fac</w:t>
      </w:r>
      <w:r w:rsidRPr="00E77F77">
        <w:t>e</w:t>
      </w:r>
      <w:r w:rsidRPr="00E54C11">
        <w:t xml:space="preserve"> an</w:t>
      </w:r>
      <w:r w:rsidRPr="00E77F77">
        <w:t>d</w:t>
      </w:r>
      <w:r w:rsidRPr="00E54C11">
        <w:t xml:space="preserve"> th</w:t>
      </w:r>
      <w:r w:rsidRPr="00E77F77">
        <w:t>e</w:t>
      </w:r>
      <w:r w:rsidRPr="00E54C11">
        <w:t xml:space="preserve"> possibl</w:t>
      </w:r>
      <w:r w:rsidRPr="00E77F77">
        <w:t>e</w:t>
      </w:r>
      <w:r w:rsidRPr="00E54C11">
        <w:t xml:space="preserve"> level</w:t>
      </w:r>
      <w:r w:rsidRPr="00E77F77">
        <w:t>s</w:t>
      </w:r>
      <w:r w:rsidRPr="00E54C11">
        <w:t xml:space="preserve"> o</w:t>
      </w:r>
      <w:r w:rsidRPr="00E77F77">
        <w:t>f</w:t>
      </w:r>
      <w:r w:rsidRPr="00E54C11">
        <w:t xml:space="preserve"> t</w:t>
      </w:r>
      <w:r w:rsidRPr="00E77F77">
        <w:t>r</w:t>
      </w:r>
      <w:r w:rsidRPr="00E54C11">
        <w:t>ainin</w:t>
      </w:r>
      <w:r w:rsidRPr="00E77F77">
        <w:t>g r</w:t>
      </w:r>
      <w:r w:rsidRPr="00E54C11">
        <w:t>equi</w:t>
      </w:r>
      <w:r w:rsidRPr="00E77F77">
        <w:t>r</w:t>
      </w:r>
      <w:r w:rsidRPr="00E54C11">
        <w:t>ed</w:t>
      </w:r>
      <w:r w:rsidRPr="00E77F77">
        <w:t>,</w:t>
      </w:r>
      <w:r w:rsidRPr="00E54C11">
        <w:t xml:space="preserve"> an</w:t>
      </w:r>
      <w:r w:rsidRPr="00E77F77">
        <w:t>d</w:t>
      </w:r>
      <w:r w:rsidRPr="00E54C11">
        <w:t xml:space="preserve"> asse</w:t>
      </w:r>
      <w:r w:rsidRPr="00E77F77">
        <w:t>s</w:t>
      </w:r>
      <w:r w:rsidRPr="00E54C11">
        <w:t xml:space="preserve"> agains</w:t>
      </w:r>
      <w:r w:rsidRPr="00E77F77">
        <w:t>t</w:t>
      </w:r>
      <w:r w:rsidRPr="00E54C11">
        <w:t xml:space="preserve"> eac</w:t>
      </w:r>
      <w:r w:rsidRPr="00E77F77">
        <w:t>h</w:t>
      </w:r>
      <w:r w:rsidRPr="00E54C11">
        <w:t xml:space="preserve"> suc</w:t>
      </w:r>
      <w:r w:rsidRPr="00E77F77">
        <w:t>h</w:t>
      </w:r>
      <w:r w:rsidRPr="00E54C11">
        <w:t xml:space="preserve"> as</w:t>
      </w:r>
      <w:r w:rsidRPr="00E77F77">
        <w:t>:</w:t>
      </w:r>
    </w:p>
    <w:p w14:paraId="1E4E012D" w14:textId="77777777" w:rsidR="008F7BB3" w:rsidRPr="00E54C11" w:rsidRDefault="008F7BB3" w:rsidP="005A7DDA">
      <w:pPr>
        <w:pStyle w:val="SchedClauses"/>
        <w:widowControl/>
        <w:numPr>
          <w:ilvl w:val="2"/>
          <w:numId w:val="69"/>
        </w:numPr>
        <w:spacing w:line="276" w:lineRule="auto"/>
        <w:rPr>
          <w:sz w:val="24"/>
        </w:rPr>
      </w:pPr>
      <w:r w:rsidRPr="00E54C11">
        <w:rPr>
          <w:sz w:val="24"/>
        </w:rPr>
        <w:t>Prevalence of clinically related challenging behaviours;</w:t>
      </w:r>
    </w:p>
    <w:p w14:paraId="318FCF80" w14:textId="77777777" w:rsidR="008F7BB3" w:rsidRPr="00E54C11" w:rsidRDefault="008F7BB3" w:rsidP="005A7DDA">
      <w:pPr>
        <w:pStyle w:val="SchedClauses"/>
        <w:widowControl/>
        <w:numPr>
          <w:ilvl w:val="2"/>
          <w:numId w:val="69"/>
        </w:numPr>
        <w:spacing w:line="276" w:lineRule="auto"/>
        <w:rPr>
          <w:sz w:val="24"/>
        </w:rPr>
      </w:pPr>
      <w:r w:rsidRPr="00E54C11">
        <w:rPr>
          <w:sz w:val="24"/>
        </w:rPr>
        <w:t>Presence of aggravating factors;</w:t>
      </w:r>
      <w:r w:rsidRPr="00E77F77">
        <w:rPr>
          <w:sz w:val="24"/>
        </w:rPr>
        <w:t xml:space="preserve"> </w:t>
      </w:r>
    </w:p>
    <w:p w14:paraId="75182528" w14:textId="77777777" w:rsidR="008F7BB3" w:rsidRPr="00E54C11" w:rsidRDefault="008F7BB3" w:rsidP="005A7DDA">
      <w:pPr>
        <w:pStyle w:val="SchedClauses"/>
        <w:widowControl/>
        <w:numPr>
          <w:ilvl w:val="2"/>
          <w:numId w:val="69"/>
        </w:numPr>
        <w:spacing w:line="276" w:lineRule="auto"/>
        <w:rPr>
          <w:sz w:val="24"/>
        </w:rPr>
      </w:pPr>
      <w:r w:rsidRPr="00E54C11">
        <w:rPr>
          <w:sz w:val="24"/>
        </w:rPr>
        <w:lastRenderedPageBreak/>
        <w:t>Inefficient services such as cancelled appointments, delays to services, long waiting times;</w:t>
      </w:r>
    </w:p>
    <w:p w14:paraId="3A56708F" w14:textId="77777777" w:rsidR="008F7BB3" w:rsidRPr="00E54C11" w:rsidRDefault="008F7BB3" w:rsidP="005A7DDA">
      <w:pPr>
        <w:pStyle w:val="SchedClauses"/>
        <w:widowControl/>
        <w:numPr>
          <w:ilvl w:val="2"/>
          <w:numId w:val="69"/>
        </w:numPr>
        <w:spacing w:line="276" w:lineRule="auto"/>
        <w:rPr>
          <w:sz w:val="24"/>
        </w:rPr>
      </w:pPr>
      <w:r w:rsidRPr="00E54C11">
        <w:rPr>
          <w:sz w:val="24"/>
        </w:rPr>
        <w:t>Environmental factors: building design, stressful or heightened activity, crowded, noisy areas;</w:t>
      </w:r>
    </w:p>
    <w:p w14:paraId="2128EFB3" w14:textId="77777777" w:rsidR="008F7BB3" w:rsidRPr="00E54C11" w:rsidRDefault="008F7BB3" w:rsidP="005A7DDA">
      <w:pPr>
        <w:pStyle w:val="SchedClauses"/>
        <w:widowControl/>
        <w:numPr>
          <w:ilvl w:val="2"/>
          <w:numId w:val="69"/>
        </w:numPr>
        <w:spacing w:line="276" w:lineRule="auto"/>
        <w:rPr>
          <w:sz w:val="24"/>
        </w:rPr>
      </w:pPr>
      <w:r w:rsidRPr="00E54C11">
        <w:rPr>
          <w:sz w:val="24"/>
        </w:rPr>
        <w:t>Location of premises which may be isolated;</w:t>
      </w:r>
    </w:p>
    <w:p w14:paraId="3A806006" w14:textId="77777777" w:rsidR="008F7BB3" w:rsidRPr="00E54C11" w:rsidRDefault="008F7BB3" w:rsidP="005A7DDA">
      <w:pPr>
        <w:pStyle w:val="SchedClauses"/>
        <w:widowControl/>
        <w:numPr>
          <w:ilvl w:val="2"/>
          <w:numId w:val="69"/>
        </w:numPr>
        <w:spacing w:line="276" w:lineRule="auto"/>
        <w:rPr>
          <w:sz w:val="24"/>
        </w:rPr>
      </w:pPr>
      <w:r w:rsidRPr="00E54C11">
        <w:rPr>
          <w:sz w:val="24"/>
        </w:rPr>
        <w:t>Insufficient appropriately trained staff and resources, including shortage of qualified staff;</w:t>
      </w:r>
    </w:p>
    <w:p w14:paraId="69F09048" w14:textId="77777777" w:rsidR="008F7BB3" w:rsidRPr="00E54C11" w:rsidRDefault="008F7BB3" w:rsidP="005A7DDA">
      <w:pPr>
        <w:pStyle w:val="SchedClauses"/>
        <w:widowControl/>
        <w:numPr>
          <w:ilvl w:val="2"/>
          <w:numId w:val="69"/>
        </w:numPr>
        <w:spacing w:line="276" w:lineRule="auto"/>
        <w:rPr>
          <w:sz w:val="24"/>
        </w:rPr>
      </w:pPr>
      <w:r w:rsidRPr="00E54C11">
        <w:rPr>
          <w:sz w:val="24"/>
        </w:rPr>
        <w:t>Language skills;</w:t>
      </w:r>
    </w:p>
    <w:p w14:paraId="4CDC0CA5" w14:textId="77777777" w:rsidR="008F7BB3" w:rsidRPr="00E54C11" w:rsidRDefault="008F7BB3" w:rsidP="005A7DDA">
      <w:pPr>
        <w:pStyle w:val="SchedClauses"/>
        <w:widowControl/>
        <w:numPr>
          <w:ilvl w:val="2"/>
          <w:numId w:val="69"/>
        </w:numPr>
        <w:spacing w:line="276" w:lineRule="auto"/>
        <w:rPr>
          <w:sz w:val="24"/>
        </w:rPr>
      </w:pPr>
      <w:r w:rsidRPr="00E54C11">
        <w:rPr>
          <w:sz w:val="24"/>
        </w:rPr>
        <w:t>Fatigue and tolerance.</w:t>
      </w:r>
    </w:p>
    <w:p w14:paraId="30DE04C3" w14:textId="77777777" w:rsidR="008F7BB3" w:rsidRPr="00E77F77" w:rsidRDefault="008F7BB3" w:rsidP="008F7BB3">
      <w:pPr>
        <w:pStyle w:val="Heading4"/>
      </w:pPr>
      <w:r w:rsidRPr="00E54C11">
        <w:lastRenderedPageBreak/>
        <w:t>Th</w:t>
      </w:r>
      <w:r w:rsidRPr="00E77F77">
        <w:t>e</w:t>
      </w:r>
      <w:r w:rsidRPr="00E54C11">
        <w:t xml:space="preserve"> finding</w:t>
      </w:r>
      <w:r w:rsidRPr="00E77F77">
        <w:t>s</w:t>
      </w:r>
      <w:r w:rsidRPr="00E54C11">
        <w:t xml:space="preserve"> f</w:t>
      </w:r>
      <w:r w:rsidRPr="00E77F77">
        <w:t>r</w:t>
      </w:r>
      <w:r w:rsidRPr="00E54C11">
        <w:t>o</w:t>
      </w:r>
      <w:r w:rsidRPr="00E77F77">
        <w:t>m</w:t>
      </w:r>
      <w:r w:rsidRPr="00E54C11">
        <w:t xml:space="preserve"> th</w:t>
      </w:r>
      <w:r w:rsidRPr="00E77F77">
        <w:t>e</w:t>
      </w:r>
      <w:r w:rsidRPr="00E54C11">
        <w:t xml:space="preserve"> abov</w:t>
      </w:r>
      <w:r w:rsidRPr="00E77F77">
        <w:t>e</w:t>
      </w:r>
      <w:r w:rsidRPr="00E54C11">
        <w:t xml:space="preserve"> p</w:t>
      </w:r>
      <w:r w:rsidRPr="00E77F77">
        <w:t>r</w:t>
      </w:r>
      <w:r w:rsidRPr="00E54C11">
        <w:t>oces</w:t>
      </w:r>
      <w:r w:rsidRPr="00E77F77">
        <w:t>s</w:t>
      </w:r>
      <w:r w:rsidRPr="00E54C11">
        <w:t xml:space="preserve"> shoul</w:t>
      </w:r>
      <w:r w:rsidRPr="00E77F77">
        <w:t>d</w:t>
      </w:r>
      <w:r w:rsidRPr="00E54C11">
        <w:t xml:space="preserve"> b</w:t>
      </w:r>
      <w:r w:rsidRPr="00E77F77">
        <w:t>e</w:t>
      </w:r>
      <w:r w:rsidRPr="00E54C11">
        <w:t xml:space="preserve"> </w:t>
      </w:r>
      <w:r w:rsidRPr="00E77F77">
        <w:t>r</w:t>
      </w:r>
      <w:r w:rsidRPr="00E54C11">
        <w:t>eco</w:t>
      </w:r>
      <w:r w:rsidRPr="00E77F77">
        <w:t>r</w:t>
      </w:r>
      <w:r w:rsidRPr="00E54C11">
        <w:t>de</w:t>
      </w:r>
      <w:r w:rsidRPr="00E77F77">
        <w:t xml:space="preserve">d </w:t>
      </w:r>
      <w:r w:rsidRPr="00E54C11">
        <w:t>clea</w:t>
      </w:r>
      <w:r w:rsidRPr="00E77F77">
        <w:t>r</w:t>
      </w:r>
      <w:r w:rsidRPr="00E54C11">
        <w:t>l</w:t>
      </w:r>
      <w:r w:rsidRPr="00E77F77">
        <w:t>y</w:t>
      </w:r>
      <w:r w:rsidRPr="00E54C11">
        <w:t xml:space="preserve"> o</w:t>
      </w:r>
      <w:r w:rsidRPr="00E77F77">
        <w:t>n</w:t>
      </w:r>
      <w:r w:rsidRPr="00E54C11">
        <w:t xml:space="preserve"> </w:t>
      </w:r>
      <w:r w:rsidRPr="00E77F77">
        <w:t>a</w:t>
      </w:r>
      <w:r w:rsidRPr="00E54C11">
        <w:t xml:space="preserve"> violenc</w:t>
      </w:r>
      <w:r w:rsidRPr="00E77F77">
        <w:t>e</w:t>
      </w:r>
      <w:r w:rsidRPr="00E54C11">
        <w:t xml:space="preserve"> </w:t>
      </w:r>
      <w:r w:rsidRPr="00E77F77">
        <w:t>&amp;</w:t>
      </w:r>
      <w:r w:rsidRPr="00E54C11">
        <w:t xml:space="preserve"> agg</w:t>
      </w:r>
      <w:r w:rsidRPr="00E77F77">
        <w:t>r</w:t>
      </w:r>
      <w:r w:rsidRPr="00E54C11">
        <w:t>essio</w:t>
      </w:r>
      <w:r w:rsidRPr="00E77F77">
        <w:t>n</w:t>
      </w:r>
      <w:r w:rsidRPr="00E54C11">
        <w:t xml:space="preserve"> </w:t>
      </w:r>
      <w:r w:rsidRPr="00E77F77">
        <w:t>r</w:t>
      </w:r>
      <w:r w:rsidRPr="00E54C11">
        <w:t>is</w:t>
      </w:r>
      <w:r w:rsidRPr="00E77F77">
        <w:t>k</w:t>
      </w:r>
      <w:r w:rsidRPr="00E54C11">
        <w:t xml:space="preserve"> assessmen</w:t>
      </w:r>
      <w:r w:rsidRPr="00E77F77">
        <w:t>t</w:t>
      </w:r>
      <w:r w:rsidRPr="00E54C11">
        <w:t xml:space="preserve"> fo</w:t>
      </w:r>
      <w:r w:rsidRPr="00E77F77">
        <w:t>r</w:t>
      </w:r>
      <w:r w:rsidRPr="00E54C11">
        <w:t>m</w:t>
      </w:r>
      <w:r w:rsidRPr="00E77F77">
        <w:t>.</w:t>
      </w:r>
      <w:r w:rsidRPr="00E54C11">
        <w:t xml:space="preserve"> Th</w:t>
      </w:r>
      <w:r w:rsidRPr="00E77F77">
        <w:t xml:space="preserve">e </w:t>
      </w:r>
      <w:r w:rsidRPr="00E54C11">
        <w:t>followin</w:t>
      </w:r>
      <w:r w:rsidRPr="00E77F77">
        <w:t>g</w:t>
      </w:r>
      <w:r w:rsidRPr="00E54C11">
        <w:t xml:space="preserve"> a</w:t>
      </w:r>
      <w:r w:rsidRPr="00E77F77">
        <w:t>re</w:t>
      </w:r>
      <w:r w:rsidRPr="00E54C11">
        <w:t xml:space="preserve"> guidanc</w:t>
      </w:r>
      <w:r w:rsidRPr="00E77F77">
        <w:t>e</w:t>
      </w:r>
      <w:r w:rsidRPr="00E54C11">
        <w:t xml:space="preserve"> note</w:t>
      </w:r>
      <w:r w:rsidRPr="00E77F77">
        <w:t>s</w:t>
      </w:r>
      <w:r w:rsidRPr="00E54C11">
        <w:t xml:space="preserve"> o</w:t>
      </w:r>
      <w:r w:rsidRPr="00E77F77">
        <w:t>n</w:t>
      </w:r>
      <w:r w:rsidRPr="00E54C11">
        <w:t xml:space="preserve"> completin</w:t>
      </w:r>
      <w:r w:rsidRPr="00E77F77">
        <w:t>g</w:t>
      </w:r>
      <w:r w:rsidRPr="00E54C11">
        <w:t xml:space="preserve"> th</w:t>
      </w:r>
      <w:r w:rsidRPr="00E77F77">
        <w:t>e</w:t>
      </w:r>
      <w:r w:rsidRPr="00E54C11">
        <w:t xml:space="preserve"> violenc</w:t>
      </w:r>
      <w:r w:rsidRPr="00E77F77">
        <w:t>e</w:t>
      </w:r>
      <w:r w:rsidRPr="00E54C11">
        <w:t xml:space="preserve"> </w:t>
      </w:r>
      <w:r w:rsidRPr="00E77F77">
        <w:t xml:space="preserve">&amp; </w:t>
      </w:r>
      <w:r w:rsidRPr="00E54C11">
        <w:t>agg</w:t>
      </w:r>
      <w:r w:rsidRPr="00E77F77">
        <w:t>r</w:t>
      </w:r>
      <w:r w:rsidRPr="00E54C11">
        <w:t>essio</w:t>
      </w:r>
      <w:r w:rsidRPr="00E77F77">
        <w:t>n</w:t>
      </w:r>
      <w:r w:rsidRPr="00E54C11">
        <w:t xml:space="preserve"> </w:t>
      </w:r>
      <w:r w:rsidRPr="00E77F77">
        <w:t>r</w:t>
      </w:r>
      <w:r w:rsidRPr="00E54C11">
        <w:t>is</w:t>
      </w:r>
      <w:r w:rsidRPr="00E77F77">
        <w:t>k</w:t>
      </w:r>
      <w:r w:rsidRPr="00E54C11">
        <w:t xml:space="preserve"> assessmen</w:t>
      </w:r>
      <w:r w:rsidRPr="00E77F77">
        <w:t>t</w:t>
      </w:r>
      <w:r w:rsidRPr="00E54C11">
        <w:t xml:space="preserve"> fo</w:t>
      </w:r>
      <w:r w:rsidRPr="00E77F77">
        <w:t>r</w:t>
      </w:r>
      <w:r w:rsidRPr="00E54C11">
        <w:t>m</w:t>
      </w:r>
      <w:r w:rsidRPr="00E77F77">
        <w:t>.</w:t>
      </w:r>
      <w:r w:rsidRPr="00E54C11">
        <w:t xml:space="preserve"> The</w:t>
      </w:r>
      <w:r w:rsidRPr="00E77F77">
        <w:t>y</w:t>
      </w:r>
      <w:r w:rsidRPr="00E54C11">
        <w:t xml:space="preserve"> a</w:t>
      </w:r>
      <w:r w:rsidRPr="00E77F77">
        <w:t>re</w:t>
      </w:r>
      <w:r w:rsidRPr="00E54C11">
        <w:t xml:space="preserve"> designe</w:t>
      </w:r>
      <w:r w:rsidRPr="00E77F77">
        <w:t>d</w:t>
      </w:r>
      <w:r w:rsidRPr="00E54C11">
        <w:t xml:space="preserve"> t</w:t>
      </w:r>
      <w:r w:rsidRPr="00E77F77">
        <w:t>o</w:t>
      </w:r>
      <w:r w:rsidRPr="00E54C11">
        <w:t xml:space="preserve"> allo</w:t>
      </w:r>
      <w:r w:rsidRPr="00E77F77">
        <w:t xml:space="preserve">w </w:t>
      </w:r>
      <w:r w:rsidRPr="00E54C11">
        <w:t>yo</w:t>
      </w:r>
      <w:r w:rsidRPr="00E77F77">
        <w:t>u</w:t>
      </w:r>
      <w:r w:rsidRPr="00E54C11">
        <w:t xml:space="preserve"> t</w:t>
      </w:r>
      <w:r w:rsidRPr="00E77F77">
        <w:t>o</w:t>
      </w:r>
      <w:r w:rsidRPr="00E54C11">
        <w:t xml:space="preserve"> ca</w:t>
      </w:r>
      <w:r w:rsidRPr="00E77F77">
        <w:t>rry</w:t>
      </w:r>
      <w:r w:rsidRPr="00E54C11">
        <w:t xml:space="preserve"> ou</w:t>
      </w:r>
      <w:r w:rsidRPr="00E77F77">
        <w:t>t</w:t>
      </w:r>
      <w:r w:rsidRPr="00E54C11">
        <w:t xml:space="preserve"> </w:t>
      </w:r>
      <w:r w:rsidRPr="00E77F77">
        <w:t>a</w:t>
      </w:r>
      <w:r w:rsidRPr="00E54C11">
        <w:t xml:space="preserve"> suitabl</w:t>
      </w:r>
      <w:r w:rsidRPr="00E77F77">
        <w:t>e</w:t>
      </w:r>
      <w:r w:rsidRPr="00E54C11">
        <w:t xml:space="preserve"> an</w:t>
      </w:r>
      <w:r w:rsidRPr="00E77F77">
        <w:t>d</w:t>
      </w:r>
      <w:r w:rsidRPr="00E54C11">
        <w:t xml:space="preserve"> sufficien</w:t>
      </w:r>
      <w:r w:rsidRPr="00E77F77">
        <w:t>t</w:t>
      </w:r>
      <w:r w:rsidRPr="00E54C11">
        <w:t xml:space="preserve"> assessmen</w:t>
      </w:r>
      <w:r w:rsidRPr="00E77F77">
        <w:t>t</w:t>
      </w:r>
      <w:r w:rsidRPr="00E54C11">
        <w:t xml:space="preserve"> o</w:t>
      </w:r>
      <w:r w:rsidRPr="00E77F77">
        <w:t>f</w:t>
      </w:r>
      <w:r w:rsidRPr="00E54C11">
        <w:t xml:space="preserve"> th</w:t>
      </w:r>
      <w:r w:rsidRPr="00E77F77">
        <w:t>e r</w:t>
      </w:r>
      <w:r w:rsidRPr="00E54C11">
        <w:t>is</w:t>
      </w:r>
      <w:r w:rsidRPr="00E77F77">
        <w:t>k</w:t>
      </w:r>
      <w:r w:rsidRPr="00E54C11">
        <w:t xml:space="preserve"> o</w:t>
      </w:r>
      <w:r w:rsidRPr="00E77F77">
        <w:t>f</w:t>
      </w:r>
      <w:r w:rsidRPr="00E54C11">
        <w:t xml:space="preserve"> violenc</w:t>
      </w:r>
      <w:r w:rsidRPr="00E77F77">
        <w:t>e</w:t>
      </w:r>
      <w:r w:rsidRPr="00E54C11">
        <w:t xml:space="preserve"> an</w:t>
      </w:r>
      <w:r w:rsidRPr="00E77F77">
        <w:t>d</w:t>
      </w:r>
      <w:r w:rsidRPr="00E54C11">
        <w:t xml:space="preserve"> agg</w:t>
      </w:r>
      <w:r w:rsidRPr="00E77F77">
        <w:t>r</w:t>
      </w:r>
      <w:r w:rsidRPr="00E54C11">
        <w:t>essio</w:t>
      </w:r>
      <w:r w:rsidRPr="00E77F77">
        <w:t>n</w:t>
      </w:r>
      <w:r w:rsidRPr="00E54C11">
        <w:t xml:space="preserve"> i</w:t>
      </w:r>
      <w:r w:rsidRPr="00E77F77">
        <w:t>n</w:t>
      </w:r>
      <w:r w:rsidRPr="00E54C11">
        <w:t xml:space="preserve"> you</w:t>
      </w:r>
      <w:r w:rsidRPr="00E77F77">
        <w:t>r</w:t>
      </w:r>
      <w:r w:rsidRPr="00E54C11">
        <w:t xml:space="preserve"> wo</w:t>
      </w:r>
      <w:r w:rsidRPr="00E77F77">
        <w:t>r</w:t>
      </w:r>
      <w:r w:rsidRPr="00E54C11">
        <w:t>kin</w:t>
      </w:r>
      <w:r w:rsidRPr="00E77F77">
        <w:t>g</w:t>
      </w:r>
      <w:r w:rsidRPr="00E54C11">
        <w:t xml:space="preserve"> envi</w:t>
      </w:r>
      <w:r w:rsidRPr="00E77F77">
        <w:t>r</w:t>
      </w:r>
      <w:r w:rsidRPr="00E54C11">
        <w:t>onment</w:t>
      </w:r>
      <w:r w:rsidRPr="00E77F77">
        <w:t xml:space="preserve">.  </w:t>
      </w:r>
      <w:r w:rsidRPr="00E54C11">
        <w:t>Th</w:t>
      </w:r>
      <w:r w:rsidRPr="00E77F77">
        <w:t>e</w:t>
      </w:r>
      <w:r w:rsidRPr="00E54C11">
        <w:t xml:space="preserve"> fo</w:t>
      </w:r>
      <w:r w:rsidRPr="00E77F77">
        <w:t>rm</w:t>
      </w:r>
      <w:r w:rsidRPr="00E54C11">
        <w:t xml:space="preserve"> i</w:t>
      </w:r>
      <w:r w:rsidRPr="00E77F77">
        <w:t>s</w:t>
      </w:r>
      <w:r w:rsidRPr="00E54C11">
        <w:t xml:space="preserve"> divide</w:t>
      </w:r>
      <w:r w:rsidRPr="00E77F77">
        <w:t>d</w:t>
      </w:r>
      <w:r w:rsidRPr="00E54C11">
        <w:t xml:space="preserve"> int</w:t>
      </w:r>
      <w:r w:rsidRPr="00E77F77">
        <w:t>o</w:t>
      </w:r>
      <w:r w:rsidRPr="00E54C11">
        <w:t xml:space="preserve"> si</w:t>
      </w:r>
      <w:r w:rsidRPr="00E77F77">
        <w:t>x</w:t>
      </w:r>
      <w:r w:rsidRPr="00E54C11">
        <w:t xml:space="preserve"> mai</w:t>
      </w:r>
      <w:r w:rsidRPr="00E77F77">
        <w:t>n</w:t>
      </w:r>
      <w:r w:rsidRPr="00E54C11">
        <w:t xml:space="preserve"> sections</w:t>
      </w:r>
      <w:r w:rsidRPr="00E77F77">
        <w:t>.</w:t>
      </w:r>
      <w:r w:rsidRPr="00E54C11">
        <w:t xml:space="preserve"> </w:t>
      </w:r>
      <w:r w:rsidRPr="00E77F77">
        <w:t xml:space="preserve"> </w:t>
      </w:r>
      <w:r w:rsidRPr="00E54C11">
        <w:t>Th</w:t>
      </w:r>
      <w:r w:rsidRPr="00E77F77">
        <w:t>e</w:t>
      </w:r>
      <w:r w:rsidRPr="00E54C11">
        <w:t xml:space="preserve"> ai</w:t>
      </w:r>
      <w:r w:rsidRPr="00E77F77">
        <w:t>m</w:t>
      </w:r>
      <w:r w:rsidRPr="00E54C11">
        <w:t xml:space="preserve"> ha</w:t>
      </w:r>
      <w:r w:rsidRPr="00E77F77">
        <w:t>s</w:t>
      </w:r>
      <w:r w:rsidRPr="00E54C11">
        <w:t xml:space="preserve"> bee</w:t>
      </w:r>
      <w:r w:rsidRPr="00E77F77">
        <w:t xml:space="preserve">n </w:t>
      </w:r>
      <w:r w:rsidRPr="00E54C11">
        <w:t>t</w:t>
      </w:r>
      <w:r w:rsidRPr="00E77F77">
        <w:t>o</w:t>
      </w:r>
      <w:r w:rsidRPr="00E54C11">
        <w:t xml:space="preserve"> mak</w:t>
      </w:r>
      <w:r w:rsidRPr="00E77F77">
        <w:t>e</w:t>
      </w:r>
      <w:r w:rsidRPr="00E54C11">
        <w:t xml:space="preserve"> th</w:t>
      </w:r>
      <w:r w:rsidRPr="00E77F77">
        <w:t>e</w:t>
      </w:r>
      <w:r w:rsidRPr="00E54C11">
        <w:t xml:space="preserve"> a</w:t>
      </w:r>
      <w:r w:rsidRPr="00E77F77">
        <w:t>r</w:t>
      </w:r>
      <w:r w:rsidRPr="00E54C11">
        <w:t>ea</w:t>
      </w:r>
      <w:r w:rsidRPr="00E77F77">
        <w:t>s</w:t>
      </w:r>
      <w:r w:rsidRPr="00E54C11">
        <w:t xml:space="preserve"> t</w:t>
      </w:r>
      <w:r w:rsidRPr="00E77F77">
        <w:t>o</w:t>
      </w:r>
      <w:r w:rsidRPr="00E54C11">
        <w:t xml:space="preserve"> b</w:t>
      </w:r>
      <w:r w:rsidRPr="00E77F77">
        <w:t>e</w:t>
      </w:r>
      <w:r w:rsidRPr="00E54C11">
        <w:t xml:space="preserve"> assesse</w:t>
      </w:r>
      <w:r w:rsidRPr="00E77F77">
        <w:t>d</w:t>
      </w:r>
      <w:r w:rsidRPr="00E54C11">
        <w:t xml:space="preserve"> a</w:t>
      </w:r>
      <w:r w:rsidRPr="00E77F77">
        <w:t>s</w:t>
      </w:r>
      <w:r w:rsidRPr="00E54C11">
        <w:t xml:space="preserve"> clea</w:t>
      </w:r>
      <w:r w:rsidRPr="00E77F77">
        <w:t>r</w:t>
      </w:r>
      <w:r w:rsidRPr="00E54C11">
        <w:t xml:space="preserve"> a</w:t>
      </w:r>
      <w:r w:rsidRPr="00E77F77">
        <w:t>s</w:t>
      </w:r>
      <w:r w:rsidRPr="00E54C11">
        <w:t xml:space="preserve"> possible</w:t>
      </w:r>
      <w:r w:rsidRPr="00E77F77">
        <w:t xml:space="preserve">.  </w:t>
      </w:r>
      <w:r w:rsidRPr="00E54C11">
        <w:t xml:space="preserve"> I</w:t>
      </w:r>
      <w:r w:rsidRPr="00E77F77">
        <w:t>t</w:t>
      </w:r>
      <w:r w:rsidRPr="00E54C11">
        <w:t xml:space="preserve"> i</w:t>
      </w:r>
      <w:r w:rsidRPr="00E77F77">
        <w:t xml:space="preserve">s </w:t>
      </w:r>
      <w:r w:rsidRPr="00E54C11">
        <w:t>no</w:t>
      </w:r>
      <w:r w:rsidRPr="00E77F77">
        <w:t>t</w:t>
      </w:r>
      <w:r w:rsidRPr="00E54C11">
        <w:t xml:space="preserve"> possibl</w:t>
      </w:r>
      <w:r w:rsidRPr="00E77F77">
        <w:t>e</w:t>
      </w:r>
      <w:r w:rsidRPr="00E54C11">
        <w:t xml:space="preserve"> t</w:t>
      </w:r>
      <w:r w:rsidRPr="00E77F77">
        <w:t>o</w:t>
      </w:r>
      <w:r w:rsidRPr="00E54C11">
        <w:t xml:space="preserve"> cove</w:t>
      </w:r>
      <w:r w:rsidRPr="00E77F77">
        <w:t>r</w:t>
      </w:r>
      <w:r w:rsidRPr="00E54C11">
        <w:t xml:space="preserve"> al</w:t>
      </w:r>
      <w:r w:rsidRPr="00E77F77">
        <w:t>l</w:t>
      </w:r>
      <w:r w:rsidRPr="00E54C11">
        <w:t xml:space="preserve"> eventualitie</w:t>
      </w:r>
      <w:r w:rsidRPr="00E77F77">
        <w:t>s</w:t>
      </w:r>
      <w:r w:rsidRPr="00E54C11">
        <w:t xml:space="preserve"> an</w:t>
      </w:r>
      <w:r w:rsidRPr="00E77F77">
        <w:t>d</w:t>
      </w:r>
      <w:r w:rsidRPr="00E54C11">
        <w:t xml:space="preserve"> thos</w:t>
      </w:r>
      <w:r w:rsidRPr="00E77F77">
        <w:t>e</w:t>
      </w:r>
      <w:r w:rsidRPr="00E54C11">
        <w:t xml:space="preserve"> completin</w:t>
      </w:r>
      <w:r w:rsidRPr="00E77F77">
        <w:t>g</w:t>
      </w:r>
      <w:r w:rsidRPr="00E54C11">
        <w:t xml:space="preserve"> th</w:t>
      </w:r>
      <w:r w:rsidRPr="00E77F77">
        <w:t xml:space="preserve">e </w:t>
      </w:r>
      <w:r w:rsidRPr="00E54C11">
        <w:t>fo</w:t>
      </w:r>
      <w:r w:rsidRPr="00E77F77">
        <w:t>rm</w:t>
      </w:r>
      <w:r w:rsidRPr="00E54C11">
        <w:t xml:space="preserve"> mus</w:t>
      </w:r>
      <w:r w:rsidRPr="00E77F77">
        <w:t>t</w:t>
      </w:r>
      <w:r w:rsidRPr="00E54C11">
        <w:t xml:space="preserve"> no</w:t>
      </w:r>
      <w:r w:rsidRPr="00E77F77">
        <w:t>t</w:t>
      </w:r>
      <w:r w:rsidRPr="00E54C11">
        <w:t xml:space="preserve"> fee</w:t>
      </w:r>
      <w:r w:rsidRPr="00E77F77">
        <w:t>l</w:t>
      </w:r>
      <w:r w:rsidRPr="00E54C11">
        <w:t xml:space="preserve"> tha</w:t>
      </w:r>
      <w:r w:rsidRPr="00E77F77">
        <w:t>t</w:t>
      </w:r>
      <w:r w:rsidRPr="00E54C11">
        <w:t xml:space="preserve"> the</w:t>
      </w:r>
      <w:r w:rsidRPr="00E77F77">
        <w:t>y</w:t>
      </w:r>
      <w:r w:rsidRPr="00E54C11">
        <w:t xml:space="preserve"> canno</w:t>
      </w:r>
      <w:r w:rsidRPr="00E77F77">
        <w:t>t</w:t>
      </w:r>
      <w:r w:rsidRPr="00E54C11">
        <w:t xml:space="preserve"> </w:t>
      </w:r>
      <w:r w:rsidRPr="00E77F77">
        <w:t>r</w:t>
      </w:r>
      <w:r w:rsidRPr="00E54C11">
        <w:t>eco</w:t>
      </w:r>
      <w:r w:rsidRPr="00E77F77">
        <w:t>rd</w:t>
      </w:r>
      <w:r w:rsidRPr="00E54C11">
        <w:t xml:space="preserve"> an</w:t>
      </w:r>
      <w:r w:rsidRPr="00E77F77">
        <w:t>y</w:t>
      </w:r>
      <w:r w:rsidRPr="00E54C11">
        <w:t xml:space="preserve"> othe</w:t>
      </w:r>
      <w:r w:rsidRPr="00E77F77">
        <w:t>r</w:t>
      </w:r>
      <w:r w:rsidRPr="00E54C11">
        <w:t xml:space="preserve"> </w:t>
      </w:r>
      <w:r w:rsidRPr="00E77F77">
        <w:t>r</w:t>
      </w:r>
      <w:r w:rsidRPr="00E54C11">
        <w:t>elevan</w:t>
      </w:r>
      <w:r w:rsidRPr="00E77F77">
        <w:t xml:space="preserve">t </w:t>
      </w:r>
      <w:r w:rsidRPr="00E54C11">
        <w:t>details</w:t>
      </w:r>
      <w:r w:rsidRPr="00E77F77">
        <w:t xml:space="preserve">.  </w:t>
      </w:r>
      <w:r w:rsidRPr="00E54C11">
        <w:t xml:space="preserve"> Wher</w:t>
      </w:r>
      <w:r w:rsidRPr="00E77F77">
        <w:t>e</w:t>
      </w:r>
      <w:r w:rsidRPr="00E54C11">
        <w:t xml:space="preserve"> necessa</w:t>
      </w:r>
      <w:r w:rsidRPr="00E77F77">
        <w:t>r</w:t>
      </w:r>
      <w:r w:rsidRPr="00E54C11">
        <w:t>y</w:t>
      </w:r>
      <w:r w:rsidRPr="00E77F77">
        <w:t>,</w:t>
      </w:r>
      <w:r w:rsidRPr="00E54C11">
        <w:t xml:space="preserve"> continuatio</w:t>
      </w:r>
      <w:r w:rsidRPr="00E77F77">
        <w:t>n</w:t>
      </w:r>
      <w:r w:rsidRPr="00E54C11">
        <w:t xml:space="preserve"> sheet</w:t>
      </w:r>
      <w:r w:rsidRPr="00E77F77">
        <w:t>s</w:t>
      </w:r>
      <w:r w:rsidRPr="00E54C11">
        <w:t xml:space="preserve"> ca</w:t>
      </w:r>
      <w:r w:rsidRPr="00E77F77">
        <w:t>n</w:t>
      </w:r>
      <w:r w:rsidRPr="00E54C11">
        <w:t xml:space="preserve"> b</w:t>
      </w:r>
      <w:r w:rsidRPr="00E77F77">
        <w:t>e</w:t>
      </w:r>
      <w:r w:rsidRPr="00E54C11">
        <w:t xml:space="preserve"> used</w:t>
      </w:r>
      <w:r w:rsidRPr="00E77F77">
        <w:t>.</w:t>
      </w:r>
    </w:p>
    <w:p w14:paraId="5069791E" w14:textId="77777777" w:rsidR="008F7BB3" w:rsidRPr="00E77F77" w:rsidRDefault="008F7BB3" w:rsidP="008F7BB3">
      <w:pPr>
        <w:pStyle w:val="Heading4"/>
      </w:pPr>
      <w:r w:rsidRPr="00E54C11">
        <w:t>Ris</w:t>
      </w:r>
      <w:r w:rsidRPr="00E77F77">
        <w:t>k</w:t>
      </w:r>
      <w:r w:rsidRPr="00E54C11">
        <w:t xml:space="preserve"> Assessmen</w:t>
      </w:r>
      <w:r w:rsidRPr="00E77F77">
        <w:t>ts</w:t>
      </w:r>
      <w:r w:rsidRPr="00E54C11">
        <w:t xml:space="preserve"> shoul</w:t>
      </w:r>
      <w:r w:rsidRPr="00E77F77">
        <w:t>d</w:t>
      </w:r>
      <w:r w:rsidRPr="00E54C11">
        <w:t xml:space="preserve"> b</w:t>
      </w:r>
      <w:r w:rsidRPr="00E77F77">
        <w:t>e</w:t>
      </w:r>
      <w:r w:rsidRPr="00E54C11">
        <w:t xml:space="preserve"> unde</w:t>
      </w:r>
      <w:r w:rsidRPr="00E77F77">
        <w:t>r</w:t>
      </w:r>
      <w:r w:rsidRPr="00E54C11">
        <w:t>take</w:t>
      </w:r>
      <w:r w:rsidRPr="00E77F77">
        <w:t>n</w:t>
      </w:r>
      <w:r w:rsidRPr="00E54C11">
        <w:t xml:space="preserve"> i</w:t>
      </w:r>
      <w:r w:rsidRPr="00E77F77">
        <w:t>n</w:t>
      </w:r>
      <w:r w:rsidRPr="00E54C11">
        <w:t xml:space="preserve"> consultatio</w:t>
      </w:r>
      <w:r w:rsidRPr="00E77F77">
        <w:t>n</w:t>
      </w:r>
      <w:r w:rsidRPr="00E54C11">
        <w:t xml:space="preserve"> wit</w:t>
      </w:r>
      <w:r w:rsidRPr="00E77F77">
        <w:t xml:space="preserve">h </w:t>
      </w:r>
      <w:r w:rsidRPr="00E54C11">
        <w:t>employee</w:t>
      </w:r>
      <w:r w:rsidRPr="00E77F77">
        <w:t>s</w:t>
      </w:r>
      <w:r w:rsidRPr="00E54C11">
        <w:t xml:space="preserve"> an</w:t>
      </w:r>
      <w:r w:rsidRPr="00E77F77">
        <w:t>d</w:t>
      </w:r>
      <w:r w:rsidRPr="00E54C11">
        <w:t xml:space="preserve"> </w:t>
      </w:r>
      <w:r w:rsidRPr="00E77F77">
        <w:t>r</w:t>
      </w:r>
      <w:r w:rsidRPr="00E54C11">
        <w:t>eviewe</w:t>
      </w:r>
      <w:r w:rsidRPr="00E77F77">
        <w:t>d</w:t>
      </w:r>
      <w:r w:rsidRPr="00E54C11">
        <w:t xml:space="preserve"> a</w:t>
      </w:r>
      <w:r w:rsidRPr="00E77F77">
        <w:t>t</w:t>
      </w:r>
      <w:r w:rsidRPr="00E54C11">
        <w:t xml:space="preserve"> leas</w:t>
      </w:r>
      <w:r w:rsidRPr="00E77F77">
        <w:t>t</w:t>
      </w:r>
      <w:r w:rsidRPr="00E54C11">
        <w:t xml:space="preserve"> annuall</w:t>
      </w:r>
      <w:r w:rsidRPr="00E77F77">
        <w:t>y</w:t>
      </w:r>
      <w:r w:rsidRPr="00E54C11">
        <w:t xml:space="preserve"> o</w:t>
      </w:r>
      <w:r w:rsidRPr="00E77F77">
        <w:t>r</w:t>
      </w:r>
      <w:r w:rsidRPr="00E54C11">
        <w:t xml:space="preserve"> afte</w:t>
      </w:r>
      <w:r w:rsidRPr="00E77F77">
        <w:t>r</w:t>
      </w:r>
      <w:r w:rsidRPr="00E54C11">
        <w:t xml:space="preserve"> a</w:t>
      </w:r>
      <w:r w:rsidRPr="00E77F77">
        <w:t>n</w:t>
      </w:r>
      <w:r w:rsidRPr="00E54C11">
        <w:t xml:space="preserve"> inciden</w:t>
      </w:r>
      <w:r w:rsidRPr="00E77F77">
        <w:t xml:space="preserve">t </w:t>
      </w:r>
      <w:r w:rsidRPr="00E54C11">
        <w:t>ha</w:t>
      </w:r>
      <w:r w:rsidRPr="00E77F77">
        <w:t>s</w:t>
      </w:r>
      <w:r w:rsidRPr="00E54C11">
        <w:t xml:space="preserve"> occu</w:t>
      </w:r>
      <w:r w:rsidRPr="00E77F77">
        <w:t>rr</w:t>
      </w:r>
      <w:r w:rsidRPr="00E54C11">
        <w:t>e</w:t>
      </w:r>
      <w:r w:rsidRPr="00E77F77">
        <w:t>d</w:t>
      </w:r>
      <w:r w:rsidRPr="00E54C11">
        <w:t xml:space="preserve"> o</w:t>
      </w:r>
      <w:r w:rsidRPr="00E77F77">
        <w:t>r</w:t>
      </w:r>
      <w:r w:rsidRPr="00E54C11">
        <w:t xml:space="preserve"> a</w:t>
      </w:r>
      <w:r w:rsidRPr="00E77F77">
        <w:t>s</w:t>
      </w:r>
      <w:r w:rsidRPr="00E54C11">
        <w:t xml:space="preserve"> </w:t>
      </w:r>
      <w:r w:rsidRPr="00E77F77">
        <w:t>a</w:t>
      </w:r>
      <w:r w:rsidRPr="00E54C11">
        <w:t xml:space="preserve"> </w:t>
      </w:r>
      <w:r w:rsidRPr="00E77F77">
        <w:t>r</w:t>
      </w:r>
      <w:r w:rsidRPr="00E54C11">
        <w:t>esul</w:t>
      </w:r>
      <w:r w:rsidRPr="00E77F77">
        <w:t>t</w:t>
      </w:r>
      <w:r w:rsidRPr="00E54C11">
        <w:t xml:space="preserve"> o</w:t>
      </w:r>
      <w:r w:rsidRPr="00E77F77">
        <w:t>f</w:t>
      </w:r>
      <w:r w:rsidRPr="00E54C11">
        <w:t xml:space="preserve"> </w:t>
      </w:r>
      <w:r w:rsidRPr="00E77F77">
        <w:t>a</w:t>
      </w:r>
      <w:r w:rsidRPr="00E54C11">
        <w:t xml:space="preserve"> change</w:t>
      </w:r>
      <w:r w:rsidRPr="00E77F77">
        <w:t>.</w:t>
      </w:r>
      <w:r w:rsidRPr="00E54C11">
        <w:t xml:space="preserve"> I</w:t>
      </w:r>
      <w:r w:rsidRPr="00E77F77">
        <w:t>f</w:t>
      </w:r>
      <w:r w:rsidRPr="00E54C11">
        <w:t xml:space="preserve"> </w:t>
      </w:r>
      <w:r w:rsidRPr="00E77F77">
        <w:t>a</w:t>
      </w:r>
      <w:r w:rsidRPr="00E54C11">
        <w:t xml:space="preserve"> majo</w:t>
      </w:r>
      <w:r w:rsidRPr="00E77F77">
        <w:t>r</w:t>
      </w:r>
      <w:r w:rsidRPr="00E54C11">
        <w:t xml:space="preserve"> chang</w:t>
      </w:r>
      <w:r w:rsidRPr="00E77F77">
        <w:t>e</w:t>
      </w:r>
      <w:r w:rsidRPr="00E54C11">
        <w:t xml:space="preserve"> i</w:t>
      </w:r>
      <w:r w:rsidRPr="00E77F77">
        <w:t>s r</w:t>
      </w:r>
      <w:r w:rsidRPr="00E54C11">
        <w:t>equi</w:t>
      </w:r>
      <w:r w:rsidRPr="00E77F77">
        <w:t>r</w:t>
      </w:r>
      <w:r w:rsidRPr="00E54C11">
        <w:t>e</w:t>
      </w:r>
      <w:r w:rsidRPr="00E77F77">
        <w:t>d</w:t>
      </w:r>
      <w:r w:rsidRPr="00E54C11">
        <w:t xml:space="preserve"> a</w:t>
      </w:r>
      <w:r w:rsidRPr="00E77F77">
        <w:t>s</w:t>
      </w:r>
      <w:r w:rsidRPr="00E54C11">
        <w:t xml:space="preserve"> pa</w:t>
      </w:r>
      <w:r w:rsidRPr="00E77F77">
        <w:t>rt</w:t>
      </w:r>
      <w:r w:rsidRPr="00E54C11">
        <w:t xml:space="preserve"> o</w:t>
      </w:r>
      <w:r w:rsidRPr="00E77F77">
        <w:t>f</w:t>
      </w:r>
      <w:r w:rsidRPr="00E54C11">
        <w:t xml:space="preserve"> </w:t>
      </w:r>
      <w:r w:rsidRPr="00E77F77">
        <w:t>a</w:t>
      </w:r>
      <w:r w:rsidRPr="00E54C11">
        <w:t xml:space="preserve"> </w:t>
      </w:r>
      <w:r w:rsidRPr="00E77F77">
        <w:t>r</w:t>
      </w:r>
      <w:r w:rsidRPr="00E54C11">
        <w:t>evi</w:t>
      </w:r>
      <w:r w:rsidRPr="00E77F77">
        <w:t>ew</w:t>
      </w:r>
      <w:r w:rsidRPr="00E54C11">
        <w:t xml:space="preserve"> </w:t>
      </w:r>
      <w:r w:rsidRPr="00E77F77">
        <w:t>a</w:t>
      </w:r>
      <w:r w:rsidRPr="00E54C11">
        <w:t xml:space="preserve"> ne</w:t>
      </w:r>
      <w:r w:rsidRPr="00E77F77">
        <w:t>w</w:t>
      </w:r>
      <w:r w:rsidRPr="00E54C11">
        <w:t xml:space="preserve"> fo</w:t>
      </w:r>
      <w:r w:rsidRPr="00E77F77">
        <w:t>rm</w:t>
      </w:r>
      <w:r w:rsidRPr="00E54C11">
        <w:t xml:space="preserve"> mus</w:t>
      </w:r>
      <w:r w:rsidRPr="00E77F77">
        <w:t>t</w:t>
      </w:r>
      <w:r w:rsidRPr="00E54C11">
        <w:t xml:space="preserve"> b</w:t>
      </w:r>
      <w:r w:rsidRPr="00E77F77">
        <w:t>e</w:t>
      </w:r>
      <w:r w:rsidRPr="00E54C11">
        <w:t xml:space="preserve"> completed</w:t>
      </w:r>
      <w:r w:rsidRPr="00E77F77">
        <w:t>.</w:t>
      </w:r>
      <w:r w:rsidRPr="00E54C11">
        <w:t xml:space="preserve"> I</w:t>
      </w:r>
      <w:r w:rsidRPr="00E77F77">
        <w:t xml:space="preserve">f </w:t>
      </w:r>
      <w:r w:rsidRPr="00E54C11">
        <w:t>th</w:t>
      </w:r>
      <w:r w:rsidRPr="00E77F77">
        <w:t>e</w:t>
      </w:r>
      <w:r w:rsidRPr="00E54C11">
        <w:t xml:space="preserve"> ci</w:t>
      </w:r>
      <w:r w:rsidRPr="00E77F77">
        <w:t>r</w:t>
      </w:r>
      <w:r w:rsidRPr="00E54C11">
        <w:t>cumstance</w:t>
      </w:r>
      <w:r w:rsidRPr="00E77F77">
        <w:t>s</w:t>
      </w:r>
      <w:r w:rsidRPr="00E54C11">
        <w:t xml:space="preserve"> </w:t>
      </w:r>
      <w:r w:rsidRPr="00E77F77">
        <w:t>r</w:t>
      </w:r>
      <w:r w:rsidRPr="00E54C11">
        <w:t>emai</w:t>
      </w:r>
      <w:r w:rsidRPr="00E77F77">
        <w:t>n</w:t>
      </w:r>
      <w:r w:rsidRPr="00E54C11">
        <w:t xml:space="preserve"> la</w:t>
      </w:r>
      <w:r w:rsidRPr="00E77F77">
        <w:t>r</w:t>
      </w:r>
      <w:r w:rsidRPr="00E54C11">
        <w:t>gel</w:t>
      </w:r>
      <w:r w:rsidRPr="00E77F77">
        <w:t>y</w:t>
      </w:r>
      <w:r w:rsidRPr="00E54C11">
        <w:t xml:space="preserve"> th</w:t>
      </w:r>
      <w:r w:rsidRPr="00E77F77">
        <w:t>e</w:t>
      </w:r>
      <w:r w:rsidRPr="00E54C11">
        <w:t xml:space="preserve"> sam</w:t>
      </w:r>
      <w:r w:rsidRPr="00E77F77">
        <w:t>e</w:t>
      </w:r>
      <w:r w:rsidRPr="00E54C11">
        <w:t xml:space="preserve"> the</w:t>
      </w:r>
      <w:r w:rsidRPr="00E77F77">
        <w:t>n</w:t>
      </w:r>
      <w:r w:rsidRPr="00E54C11">
        <w:t xml:space="preserve"> the</w:t>
      </w:r>
      <w:r w:rsidRPr="00E77F77">
        <w:t>re</w:t>
      </w:r>
      <w:r w:rsidRPr="00E54C11">
        <w:t xml:space="preserve"> i</w:t>
      </w:r>
      <w:r w:rsidRPr="00E77F77">
        <w:t>s</w:t>
      </w:r>
      <w:r w:rsidRPr="00E54C11">
        <w:t xml:space="preserve"> </w:t>
      </w:r>
      <w:r w:rsidRPr="00E77F77">
        <w:t xml:space="preserve">a </w:t>
      </w:r>
      <w:r w:rsidRPr="00E54C11">
        <w:t>sectio</w:t>
      </w:r>
      <w:r w:rsidRPr="00E77F77">
        <w:t>n</w:t>
      </w:r>
      <w:r w:rsidRPr="00E54C11">
        <w:t xml:space="preserve"> t</w:t>
      </w:r>
      <w:r w:rsidRPr="00E77F77">
        <w:t>o</w:t>
      </w:r>
      <w:r w:rsidRPr="00E54C11">
        <w:t xml:space="preserve"> </w:t>
      </w:r>
      <w:r w:rsidRPr="00E77F77">
        <w:t>r</w:t>
      </w:r>
      <w:r w:rsidRPr="00E54C11">
        <w:t>eco</w:t>
      </w:r>
      <w:r w:rsidRPr="00E77F77">
        <w:t>rd</w:t>
      </w:r>
      <w:r w:rsidRPr="00E54C11">
        <w:t xml:space="preserve"> tha</w:t>
      </w:r>
      <w:r w:rsidRPr="00E77F77">
        <w:t>t</w:t>
      </w:r>
      <w:r w:rsidRPr="00E54C11">
        <w:t xml:space="preserve"> </w:t>
      </w:r>
      <w:r w:rsidRPr="00E77F77">
        <w:t>a</w:t>
      </w:r>
      <w:r w:rsidRPr="00E54C11">
        <w:t xml:space="preserve"> </w:t>
      </w:r>
      <w:r w:rsidRPr="00E77F77">
        <w:t>r</w:t>
      </w:r>
      <w:r w:rsidRPr="00E54C11">
        <w:t>evie</w:t>
      </w:r>
      <w:r w:rsidRPr="00E77F77">
        <w:t>w</w:t>
      </w:r>
      <w:r w:rsidRPr="00E54C11">
        <w:t xml:space="preserve"> ha</w:t>
      </w:r>
      <w:r w:rsidRPr="00E77F77">
        <w:t>s</w:t>
      </w:r>
      <w:r w:rsidRPr="00E54C11">
        <w:t xml:space="preserve"> bee</w:t>
      </w:r>
      <w:r w:rsidRPr="00E77F77">
        <w:t>n</w:t>
      </w:r>
      <w:r w:rsidRPr="00E54C11">
        <w:t xml:space="preserve"> unde</w:t>
      </w:r>
      <w:r w:rsidRPr="00E77F77">
        <w:t>r</w:t>
      </w:r>
      <w:r w:rsidRPr="00E54C11">
        <w:t>taken</w:t>
      </w:r>
      <w:r w:rsidRPr="00E77F77">
        <w:t>.</w:t>
      </w:r>
    </w:p>
    <w:p w14:paraId="79584A4A" w14:textId="77777777" w:rsidR="008F7BB3" w:rsidRPr="00E54C11" w:rsidRDefault="008F7BB3" w:rsidP="008F7BB3">
      <w:pPr>
        <w:pStyle w:val="Heading4"/>
        <w:rPr>
          <w:b/>
        </w:rPr>
      </w:pPr>
      <w:r w:rsidRPr="00E54C11">
        <w:rPr>
          <w:b/>
        </w:rPr>
        <w:t>Section A – Administration Details</w:t>
      </w:r>
    </w:p>
    <w:p w14:paraId="4B26E348" w14:textId="77777777" w:rsidR="008F7BB3" w:rsidRPr="00E77F77" w:rsidRDefault="008F7BB3" w:rsidP="008F7BB3">
      <w:pPr>
        <w:pStyle w:val="Heading4"/>
      </w:pPr>
      <w:r w:rsidRPr="00E54C11">
        <w:t>Thi</w:t>
      </w:r>
      <w:r w:rsidRPr="00E77F77">
        <w:t>s</w:t>
      </w:r>
      <w:r w:rsidRPr="00E54C11">
        <w:t xml:space="preserve"> sectio</w:t>
      </w:r>
      <w:r w:rsidRPr="00E77F77">
        <w:t>n</w:t>
      </w:r>
      <w:r w:rsidRPr="00E54C11">
        <w:t xml:space="preserve"> i</w:t>
      </w:r>
      <w:r w:rsidRPr="00E77F77">
        <w:t>s</w:t>
      </w:r>
      <w:r w:rsidRPr="00E54C11">
        <w:t xml:space="preserve"> designe</w:t>
      </w:r>
      <w:r w:rsidRPr="00E77F77">
        <w:t>d</w:t>
      </w:r>
      <w:r w:rsidRPr="00E54C11">
        <w:t xml:space="preserve"> t</w:t>
      </w:r>
      <w:r w:rsidRPr="00E77F77">
        <w:t>o</w:t>
      </w:r>
      <w:r w:rsidRPr="00E54C11">
        <w:t xml:space="preserve"> identif</w:t>
      </w:r>
      <w:r w:rsidRPr="00E77F77">
        <w:t>y</w:t>
      </w:r>
      <w:r w:rsidRPr="00E54C11">
        <w:t xml:space="preserve"> th</w:t>
      </w:r>
      <w:r w:rsidRPr="00E77F77">
        <w:t>e</w:t>
      </w:r>
      <w:r w:rsidRPr="00E54C11">
        <w:t xml:space="preserve"> locatio</w:t>
      </w:r>
      <w:r w:rsidRPr="00E77F77">
        <w:t>n</w:t>
      </w:r>
      <w:r w:rsidRPr="00E54C11">
        <w:t xml:space="preserve"> whe</w:t>
      </w:r>
      <w:r w:rsidRPr="00E77F77">
        <w:t>re</w:t>
      </w:r>
      <w:r w:rsidRPr="00E54C11">
        <w:t xml:space="preserve"> th</w:t>
      </w:r>
      <w:r w:rsidRPr="00E77F77">
        <w:t xml:space="preserve">e </w:t>
      </w:r>
      <w:r w:rsidRPr="00E54C11">
        <w:t>assessmen</w:t>
      </w:r>
      <w:r w:rsidRPr="00E77F77">
        <w:t>t</w:t>
      </w:r>
      <w:r w:rsidRPr="00E54C11">
        <w:t xml:space="preserve"> i</w:t>
      </w:r>
      <w:r w:rsidRPr="00E77F77">
        <w:t>s</w:t>
      </w:r>
      <w:r w:rsidRPr="00E54C11">
        <w:t xml:space="preserve"> bein</w:t>
      </w:r>
      <w:r w:rsidRPr="00E77F77">
        <w:t>g</w:t>
      </w:r>
      <w:r w:rsidRPr="00E54C11">
        <w:t xml:space="preserve"> conducted</w:t>
      </w:r>
      <w:r w:rsidRPr="00E77F77">
        <w:t>.</w:t>
      </w:r>
    </w:p>
    <w:p w14:paraId="2DEA184D" w14:textId="77777777" w:rsidR="008F7BB3" w:rsidRPr="00E54C11" w:rsidRDefault="008F7BB3" w:rsidP="008F7BB3">
      <w:pPr>
        <w:pStyle w:val="Heading4"/>
        <w:rPr>
          <w:b/>
        </w:rPr>
      </w:pPr>
      <w:r w:rsidRPr="00E54C11">
        <w:rPr>
          <w:b/>
        </w:rPr>
        <w:t>Section B – Task or Activity</w:t>
      </w:r>
    </w:p>
    <w:p w14:paraId="08B2FEF8" w14:textId="77777777" w:rsidR="008F7BB3" w:rsidRPr="00E77F77" w:rsidRDefault="008F7BB3" w:rsidP="008F7BB3">
      <w:pPr>
        <w:pStyle w:val="Heading4"/>
      </w:pPr>
      <w:r w:rsidRPr="00E54C11">
        <w:t>W</w:t>
      </w:r>
      <w:r w:rsidRPr="00E77F77">
        <w:t>r</w:t>
      </w:r>
      <w:r w:rsidRPr="00E54C11">
        <w:t>it</w:t>
      </w:r>
      <w:r w:rsidRPr="00E77F77">
        <w:t>e</w:t>
      </w:r>
      <w:r w:rsidRPr="00E54C11">
        <w:t xml:space="preserve"> dow</w:t>
      </w:r>
      <w:r w:rsidRPr="00E77F77">
        <w:t>n</w:t>
      </w:r>
      <w:r w:rsidRPr="00E54C11">
        <w:t xml:space="preserve"> th</w:t>
      </w:r>
      <w:r w:rsidRPr="00E77F77">
        <w:t>e</w:t>
      </w:r>
      <w:r w:rsidRPr="00E54C11">
        <w:t xml:space="preserve"> task</w:t>
      </w:r>
      <w:r w:rsidRPr="00E77F77">
        <w:t>s</w:t>
      </w:r>
      <w:r w:rsidRPr="00E54C11">
        <w:t xml:space="preserve"> o</w:t>
      </w:r>
      <w:r w:rsidRPr="00E77F77">
        <w:t>r</w:t>
      </w:r>
      <w:r w:rsidRPr="00E54C11">
        <w:t xml:space="preserve"> activitie</w:t>
      </w:r>
      <w:r w:rsidRPr="00E77F77">
        <w:t>s</w:t>
      </w:r>
      <w:r w:rsidRPr="00E54C11">
        <w:t xml:space="preserve"> whic</w:t>
      </w:r>
      <w:r w:rsidRPr="00E77F77">
        <w:t>h</w:t>
      </w:r>
      <w:r w:rsidRPr="00E54C11">
        <w:t xml:space="preserve"> coul</w:t>
      </w:r>
      <w:r w:rsidRPr="00E77F77">
        <w:t>d</w:t>
      </w:r>
      <w:r w:rsidRPr="00E54C11">
        <w:t xml:space="preserve"> lea</w:t>
      </w:r>
      <w:r w:rsidRPr="00E77F77">
        <w:t>d</w:t>
      </w:r>
      <w:r w:rsidRPr="00E54C11">
        <w:t xml:space="preserve"> t</w:t>
      </w:r>
      <w:r w:rsidRPr="00E77F77">
        <w:t>o</w:t>
      </w:r>
      <w:r w:rsidRPr="00E54C11">
        <w:t xml:space="preserve"> </w:t>
      </w:r>
      <w:r w:rsidRPr="00E77F77">
        <w:t>a</w:t>
      </w:r>
      <w:r w:rsidRPr="00E54C11">
        <w:t xml:space="preserve"> </w:t>
      </w:r>
      <w:r w:rsidRPr="00E77F77">
        <w:t>r</w:t>
      </w:r>
      <w:r w:rsidRPr="00E54C11">
        <w:t>is</w:t>
      </w:r>
      <w:r w:rsidRPr="00E77F77">
        <w:t>k</w:t>
      </w:r>
      <w:r w:rsidRPr="00E54C11">
        <w:t xml:space="preserve"> o</w:t>
      </w:r>
      <w:r w:rsidRPr="00E77F77">
        <w:t xml:space="preserve">f </w:t>
      </w:r>
      <w:r w:rsidRPr="00E54C11">
        <w:t>violenc</w:t>
      </w:r>
      <w:r w:rsidRPr="00E77F77">
        <w:t>e</w:t>
      </w:r>
      <w:r w:rsidRPr="00E54C11">
        <w:t xml:space="preserve"> an</w:t>
      </w:r>
      <w:r w:rsidRPr="00E77F77">
        <w:t>d</w:t>
      </w:r>
      <w:r w:rsidRPr="00E54C11">
        <w:t xml:space="preserve"> agg</w:t>
      </w:r>
      <w:r w:rsidRPr="00E77F77">
        <w:t>r</w:t>
      </w:r>
      <w:r w:rsidRPr="00E54C11">
        <w:t>ession</w:t>
      </w:r>
      <w:r w:rsidRPr="00E77F77">
        <w:t>.</w:t>
      </w:r>
      <w:r w:rsidRPr="00E54C11">
        <w:t xml:space="preserve"> I</w:t>
      </w:r>
      <w:r w:rsidRPr="00E77F77">
        <w:t>f</w:t>
      </w:r>
      <w:r w:rsidRPr="00E54C11">
        <w:t xml:space="preserve"> the</w:t>
      </w:r>
      <w:r w:rsidRPr="00E77F77">
        <w:t>re</w:t>
      </w:r>
      <w:r w:rsidRPr="00E54C11">
        <w:t xml:space="preserve"> i</w:t>
      </w:r>
      <w:r w:rsidRPr="00E77F77">
        <w:t>s</w:t>
      </w:r>
      <w:r w:rsidRPr="00E54C11">
        <w:t xml:space="preserve"> </w:t>
      </w:r>
      <w:r w:rsidRPr="00E77F77">
        <w:t>a</w:t>
      </w:r>
      <w:r w:rsidRPr="00E54C11">
        <w:t xml:space="preserve"> specifi</w:t>
      </w:r>
      <w:r w:rsidRPr="00E77F77">
        <w:t>c</w:t>
      </w:r>
      <w:r w:rsidRPr="00E54C11">
        <w:t xml:space="preserve"> activit</w:t>
      </w:r>
      <w:r w:rsidRPr="00E77F77">
        <w:t>y</w:t>
      </w:r>
      <w:r w:rsidRPr="00E54C11">
        <w:t xml:space="preserve"> tha</w:t>
      </w:r>
      <w:r w:rsidRPr="00E77F77">
        <w:t xml:space="preserve">t </w:t>
      </w:r>
      <w:r w:rsidRPr="00E54C11">
        <w:t>p</w:t>
      </w:r>
      <w:r w:rsidRPr="00E77F77">
        <w:t>r</w:t>
      </w:r>
      <w:r w:rsidRPr="00E54C11">
        <w:t>esent</w:t>
      </w:r>
      <w:r w:rsidRPr="00E77F77">
        <w:t>s</w:t>
      </w:r>
      <w:r w:rsidRPr="00E54C11">
        <w:t xml:space="preserve"> a</w:t>
      </w:r>
      <w:r w:rsidRPr="00E77F77">
        <w:t>n</w:t>
      </w:r>
      <w:r w:rsidRPr="00E54C11">
        <w:t xml:space="preserve"> elevate</w:t>
      </w:r>
      <w:r w:rsidRPr="00E77F77">
        <w:t>d</w:t>
      </w:r>
      <w:r w:rsidRPr="00E54C11">
        <w:t xml:space="preserve"> </w:t>
      </w:r>
      <w:r w:rsidRPr="00E77F77">
        <w:t>r</w:t>
      </w:r>
      <w:r w:rsidRPr="00E54C11">
        <w:t>is</w:t>
      </w:r>
      <w:r w:rsidRPr="00E77F77">
        <w:t>k</w:t>
      </w:r>
      <w:r w:rsidRPr="00E54C11">
        <w:t xml:space="preserve"> thi</w:t>
      </w:r>
      <w:r w:rsidRPr="00E77F77">
        <w:t>s</w:t>
      </w:r>
      <w:r w:rsidRPr="00E54C11">
        <w:t xml:space="preserve"> ma</w:t>
      </w:r>
      <w:r w:rsidRPr="00E77F77">
        <w:t>y</w:t>
      </w:r>
      <w:r w:rsidRPr="00E54C11">
        <w:t xml:space="preserve"> nee</w:t>
      </w:r>
      <w:r w:rsidRPr="00E77F77">
        <w:t>d</w:t>
      </w:r>
      <w:r w:rsidRPr="00E54C11">
        <w:t xml:space="preserve"> t</w:t>
      </w:r>
      <w:r w:rsidRPr="00E77F77">
        <w:t>o</w:t>
      </w:r>
      <w:r w:rsidRPr="00E54C11">
        <w:t xml:space="preserve"> b</w:t>
      </w:r>
      <w:r w:rsidRPr="00E77F77">
        <w:t>e</w:t>
      </w:r>
      <w:r w:rsidRPr="00E54C11">
        <w:t xml:space="preserve"> documente</w:t>
      </w:r>
      <w:r w:rsidRPr="00E77F77">
        <w:t xml:space="preserve">d </w:t>
      </w:r>
      <w:r w:rsidRPr="00E54C11">
        <w:t>sepa</w:t>
      </w:r>
      <w:r w:rsidRPr="00E77F77">
        <w:t>r</w:t>
      </w:r>
      <w:r w:rsidRPr="00E54C11">
        <w:t>ately</w:t>
      </w:r>
      <w:r w:rsidRPr="00E77F77">
        <w:t>.</w:t>
      </w:r>
      <w:r w:rsidRPr="00E54C11">
        <w:t xml:space="preserve"> </w:t>
      </w:r>
      <w:r w:rsidRPr="00E77F77">
        <w:t xml:space="preserve"> S</w:t>
      </w:r>
      <w:r w:rsidRPr="00E54C11">
        <w:t>pecif</w:t>
      </w:r>
      <w:r w:rsidRPr="00E77F77">
        <w:t>y</w:t>
      </w:r>
      <w:r w:rsidRPr="00E54C11">
        <w:t xml:space="preserve"> th</w:t>
      </w:r>
      <w:r w:rsidRPr="00E77F77">
        <w:t>e</w:t>
      </w:r>
      <w:r w:rsidRPr="00E54C11">
        <w:t xml:space="preserve"> pe</w:t>
      </w:r>
      <w:r w:rsidRPr="00E77F77">
        <w:t>r</w:t>
      </w:r>
      <w:r w:rsidRPr="00E54C11">
        <w:t>sonne</w:t>
      </w:r>
      <w:r w:rsidRPr="00E77F77">
        <w:t>l</w:t>
      </w:r>
      <w:r w:rsidRPr="00E54C11">
        <w:t xml:space="preserve"> tha</w:t>
      </w:r>
      <w:r w:rsidRPr="00E77F77">
        <w:t>t</w:t>
      </w:r>
      <w:r w:rsidRPr="00E54C11">
        <w:t xml:space="preserve"> ma</w:t>
      </w:r>
      <w:r w:rsidRPr="00E77F77">
        <w:t xml:space="preserve">y </w:t>
      </w:r>
      <w:r w:rsidRPr="00E54C11">
        <w:t>b</w:t>
      </w:r>
      <w:r w:rsidRPr="00E77F77">
        <w:t xml:space="preserve">e </w:t>
      </w:r>
      <w:r w:rsidRPr="00E54C11">
        <w:t>involve</w:t>
      </w:r>
      <w:r w:rsidRPr="00E77F77">
        <w:t xml:space="preserve">d </w:t>
      </w:r>
      <w:r w:rsidRPr="00E54C11">
        <w:t>i</w:t>
      </w:r>
      <w:r w:rsidRPr="00E77F77">
        <w:t xml:space="preserve">n </w:t>
      </w:r>
      <w:r w:rsidRPr="00E54C11">
        <w:t>eac</w:t>
      </w:r>
      <w:r w:rsidRPr="00E77F77">
        <w:t>h</w:t>
      </w:r>
      <w:r w:rsidRPr="00E54C11">
        <w:t xml:space="preserve"> tas</w:t>
      </w:r>
      <w:r w:rsidRPr="00E77F77">
        <w:t>k</w:t>
      </w:r>
      <w:r w:rsidRPr="00E54C11">
        <w:t xml:space="preserve"> o</w:t>
      </w:r>
      <w:r w:rsidRPr="00E77F77">
        <w:t>r</w:t>
      </w:r>
      <w:r w:rsidRPr="00E54C11">
        <w:t xml:space="preserve"> activity</w:t>
      </w:r>
      <w:r w:rsidRPr="00E77F77">
        <w:t>.</w:t>
      </w:r>
      <w:r w:rsidRPr="00E54C11">
        <w:t xml:space="preserve"> Remembe</w:t>
      </w:r>
      <w:r w:rsidRPr="00E77F77">
        <w:t>r</w:t>
      </w:r>
      <w:r w:rsidRPr="00E54C11">
        <w:t xml:space="preserve"> t</w:t>
      </w:r>
      <w:r w:rsidRPr="00E77F77">
        <w:t>o</w:t>
      </w:r>
      <w:r w:rsidRPr="00E54C11">
        <w:t xml:space="preserve"> conside</w:t>
      </w:r>
      <w:r w:rsidRPr="00E77F77">
        <w:t>r</w:t>
      </w:r>
      <w:r w:rsidRPr="00E54C11">
        <w:t xml:space="preserve"> an</w:t>
      </w:r>
      <w:r w:rsidRPr="00E77F77">
        <w:t>y</w:t>
      </w:r>
      <w:r w:rsidRPr="00E54C11">
        <w:t xml:space="preserve"> othe</w:t>
      </w:r>
      <w:r w:rsidRPr="00E77F77">
        <w:t xml:space="preserve">r </w:t>
      </w:r>
      <w:r w:rsidRPr="00E54C11">
        <w:t>pe</w:t>
      </w:r>
      <w:r w:rsidRPr="00E77F77">
        <w:t>r</w:t>
      </w:r>
      <w:r w:rsidRPr="00E54C11">
        <w:t>sonne</w:t>
      </w:r>
      <w:r w:rsidRPr="00E77F77">
        <w:t>l</w:t>
      </w:r>
      <w:r w:rsidRPr="00E54C11">
        <w:t xml:space="preserve"> wh</w:t>
      </w:r>
      <w:r w:rsidRPr="00E77F77">
        <w:t>o</w:t>
      </w:r>
      <w:r w:rsidRPr="00E54C11">
        <w:t xml:space="preserve"> ma</w:t>
      </w:r>
      <w:r w:rsidRPr="00E77F77">
        <w:t>y</w:t>
      </w:r>
      <w:r w:rsidRPr="00E54C11">
        <w:t xml:space="preserve"> b</w:t>
      </w:r>
      <w:r w:rsidRPr="00E77F77">
        <w:t>e</w:t>
      </w:r>
      <w:r w:rsidRPr="00E54C11">
        <w:t xml:space="preserve"> simila</w:t>
      </w:r>
      <w:r w:rsidRPr="00E77F77">
        <w:t>r</w:t>
      </w:r>
      <w:r w:rsidRPr="00E54C11">
        <w:t>l</w:t>
      </w:r>
      <w:r w:rsidRPr="00E77F77">
        <w:t>y</w:t>
      </w:r>
      <w:r w:rsidRPr="00E54C11">
        <w:t xml:space="preserve"> a</w:t>
      </w:r>
      <w:r w:rsidRPr="00E77F77">
        <w:t>t</w:t>
      </w:r>
      <w:r w:rsidRPr="00E54C11">
        <w:t xml:space="preserve"> </w:t>
      </w:r>
      <w:r w:rsidRPr="00E77F77">
        <w:t>r</w:t>
      </w:r>
      <w:r w:rsidRPr="00E54C11">
        <w:t>isk</w:t>
      </w:r>
      <w:r w:rsidRPr="00E77F77">
        <w:t>.</w:t>
      </w:r>
    </w:p>
    <w:p w14:paraId="55EC1E06" w14:textId="77777777" w:rsidR="008F7BB3" w:rsidRPr="00E54C11" w:rsidRDefault="008F7BB3" w:rsidP="008F7BB3">
      <w:pPr>
        <w:pStyle w:val="Heading4"/>
        <w:rPr>
          <w:b/>
        </w:rPr>
      </w:pPr>
      <w:r w:rsidRPr="00E54C11">
        <w:rPr>
          <w:b/>
        </w:rPr>
        <w:t>Section C – Assessment of Risk</w:t>
      </w:r>
    </w:p>
    <w:p w14:paraId="5E48B348" w14:textId="77777777" w:rsidR="008F7BB3" w:rsidRPr="00E77F77" w:rsidRDefault="008F7BB3" w:rsidP="008F7BB3">
      <w:pPr>
        <w:pStyle w:val="Heading4"/>
      </w:pPr>
      <w:r w:rsidRPr="00E54C11">
        <w:t>Thi</w:t>
      </w:r>
      <w:r w:rsidRPr="00E77F77">
        <w:t>s</w:t>
      </w:r>
      <w:r w:rsidRPr="00E54C11">
        <w:t xml:space="preserve"> sectio</w:t>
      </w:r>
      <w:r w:rsidRPr="00E77F77">
        <w:t>n</w:t>
      </w:r>
      <w:r w:rsidRPr="00E54C11">
        <w:t xml:space="preserve"> i</w:t>
      </w:r>
      <w:r w:rsidRPr="00E77F77">
        <w:t>s</w:t>
      </w:r>
      <w:r w:rsidRPr="00E54C11">
        <w:t xml:space="preserve"> designe</w:t>
      </w:r>
      <w:r w:rsidRPr="00E77F77">
        <w:t>d</w:t>
      </w:r>
      <w:r w:rsidRPr="00E54C11">
        <w:t xml:space="preserve"> t</w:t>
      </w:r>
      <w:r w:rsidRPr="00E77F77">
        <w:t>o</w:t>
      </w:r>
      <w:r w:rsidRPr="00E54C11">
        <w:t xml:space="preserve"> identif</w:t>
      </w:r>
      <w:r w:rsidRPr="00E77F77">
        <w:t>y</w:t>
      </w:r>
      <w:r w:rsidRPr="00E54C11">
        <w:t xml:space="preserve"> th</w:t>
      </w:r>
      <w:r w:rsidRPr="00E77F77">
        <w:t>e</w:t>
      </w:r>
      <w:r w:rsidRPr="00E54C11">
        <w:t xml:space="preserve"> likelihoo</w:t>
      </w:r>
      <w:r w:rsidRPr="00E77F77">
        <w:t>d</w:t>
      </w:r>
      <w:r w:rsidRPr="00E54C11">
        <w:t xml:space="preserve"> o</w:t>
      </w:r>
      <w:r w:rsidRPr="00E77F77">
        <w:t>f</w:t>
      </w:r>
      <w:r w:rsidRPr="00E54C11">
        <w:t xml:space="preserve"> th</w:t>
      </w:r>
      <w:r w:rsidRPr="00E77F77">
        <w:t>e</w:t>
      </w:r>
      <w:r w:rsidRPr="00E54C11">
        <w:t xml:space="preserve"> </w:t>
      </w:r>
      <w:r w:rsidRPr="00E77F77">
        <w:t>r</w:t>
      </w:r>
      <w:r w:rsidRPr="00E54C11">
        <w:t>is</w:t>
      </w:r>
      <w:r w:rsidRPr="00E77F77">
        <w:t>k</w:t>
      </w:r>
      <w:r w:rsidRPr="00E54C11">
        <w:t xml:space="preserve"> o</w:t>
      </w:r>
      <w:r w:rsidRPr="00E77F77">
        <w:t xml:space="preserve">f </w:t>
      </w:r>
      <w:r w:rsidRPr="00E54C11">
        <w:t>violenc</w:t>
      </w:r>
      <w:r w:rsidRPr="00E77F77">
        <w:t>e</w:t>
      </w:r>
      <w:r w:rsidRPr="00E54C11">
        <w:t xml:space="preserve"> t</w:t>
      </w:r>
      <w:r w:rsidRPr="00E77F77">
        <w:t>o</w:t>
      </w:r>
      <w:r w:rsidRPr="00E54C11">
        <w:t xml:space="preserve"> employee</w:t>
      </w:r>
      <w:r w:rsidRPr="00E77F77">
        <w:t>s</w:t>
      </w:r>
      <w:r w:rsidRPr="00E54C11">
        <w:t xml:space="preserve"> base</w:t>
      </w:r>
      <w:r w:rsidRPr="00E77F77">
        <w:t>d</w:t>
      </w:r>
      <w:r w:rsidRPr="00E54C11">
        <w:t xml:space="preserve"> o</w:t>
      </w:r>
      <w:r w:rsidRPr="00E77F77">
        <w:t>n</w:t>
      </w:r>
      <w:r w:rsidRPr="00E54C11">
        <w:t xml:space="preserve"> th</w:t>
      </w:r>
      <w:r w:rsidRPr="00E77F77">
        <w:t>e</w:t>
      </w:r>
      <w:r w:rsidRPr="00E54C11">
        <w:t xml:space="preserve"> va</w:t>
      </w:r>
      <w:r w:rsidRPr="00E77F77">
        <w:t>r</w:t>
      </w:r>
      <w:r w:rsidRPr="00E54C11">
        <w:t>iou</w:t>
      </w:r>
      <w:r w:rsidRPr="00E77F77">
        <w:t>s</w:t>
      </w:r>
      <w:r w:rsidRPr="00E54C11">
        <w:t xml:space="preserve"> haza</w:t>
      </w:r>
      <w:r w:rsidRPr="00E77F77">
        <w:t>r</w:t>
      </w:r>
      <w:r w:rsidRPr="00E54C11">
        <w:t>d</w:t>
      </w:r>
      <w:r w:rsidRPr="00E77F77">
        <w:t>s</w:t>
      </w:r>
      <w:r w:rsidRPr="00E54C11">
        <w:t xml:space="preserve"> tha</w:t>
      </w:r>
      <w:r w:rsidRPr="00E77F77">
        <w:t xml:space="preserve">t </w:t>
      </w:r>
      <w:r w:rsidRPr="00E54C11">
        <w:t>employee</w:t>
      </w:r>
      <w:r w:rsidRPr="00E77F77">
        <w:t>s</w:t>
      </w:r>
      <w:r w:rsidRPr="00E54C11">
        <w:t xml:space="preserve"> ma</w:t>
      </w:r>
      <w:r w:rsidRPr="00E77F77">
        <w:t>y</w:t>
      </w:r>
      <w:r w:rsidRPr="00E54C11">
        <w:t xml:space="preserve"> b</w:t>
      </w:r>
      <w:r w:rsidRPr="00E77F77">
        <w:t>e</w:t>
      </w:r>
      <w:r w:rsidRPr="00E54C11">
        <w:t xml:space="preserve"> expose</w:t>
      </w:r>
      <w:r w:rsidRPr="00E77F77">
        <w:t>d</w:t>
      </w:r>
      <w:r w:rsidRPr="00E54C11">
        <w:t xml:space="preserve"> t</w:t>
      </w:r>
      <w:r w:rsidRPr="00E77F77">
        <w:t>o</w:t>
      </w:r>
      <w:r w:rsidRPr="00E54C11">
        <w:t xml:space="preserve"> i</w:t>
      </w:r>
      <w:r w:rsidRPr="00E77F77">
        <w:t xml:space="preserve">n </w:t>
      </w:r>
      <w:r w:rsidRPr="00E54C11">
        <w:t>unde</w:t>
      </w:r>
      <w:r w:rsidRPr="00E77F77">
        <w:t>r</w:t>
      </w:r>
      <w:r w:rsidRPr="00E54C11">
        <w:t>takin</w:t>
      </w:r>
      <w:r w:rsidRPr="00E77F77">
        <w:t xml:space="preserve">g </w:t>
      </w:r>
      <w:r w:rsidRPr="00E54C11">
        <w:t>thei</w:t>
      </w:r>
      <w:r w:rsidRPr="00E77F77">
        <w:t xml:space="preserve">r </w:t>
      </w:r>
      <w:r w:rsidRPr="00E54C11">
        <w:t>duties</w:t>
      </w:r>
      <w:r w:rsidRPr="00E77F77">
        <w:t xml:space="preserve">.  </w:t>
      </w:r>
      <w:r w:rsidRPr="00E54C11">
        <w:t>Th</w:t>
      </w:r>
      <w:r w:rsidRPr="00E77F77">
        <w:t>e</w:t>
      </w:r>
      <w:r w:rsidRPr="00E54C11">
        <w:t xml:space="preserve"> sectio</w:t>
      </w:r>
      <w:r w:rsidRPr="00E77F77">
        <w:t>n</w:t>
      </w:r>
      <w:r w:rsidRPr="00E54C11">
        <w:t xml:space="preserve"> shoul</w:t>
      </w:r>
      <w:r w:rsidRPr="00E77F77">
        <w:t>d</w:t>
      </w:r>
      <w:r w:rsidRPr="00E54C11">
        <w:t xml:space="preserve"> b</w:t>
      </w:r>
      <w:r w:rsidRPr="00E77F77">
        <w:t>e</w:t>
      </w:r>
      <w:r w:rsidRPr="00E54C11">
        <w:t xml:space="preserve"> complete</w:t>
      </w:r>
      <w:r w:rsidRPr="00E77F77">
        <w:t>d</w:t>
      </w:r>
      <w:r w:rsidRPr="00E54C11">
        <w:t xml:space="preserve"> b</w:t>
      </w:r>
      <w:r w:rsidRPr="00E77F77">
        <w:t>y</w:t>
      </w:r>
      <w:r w:rsidRPr="00E54C11">
        <w:t xml:space="preserve"> answe</w:t>
      </w:r>
      <w:r w:rsidRPr="00E77F77">
        <w:t>r</w:t>
      </w:r>
      <w:r w:rsidRPr="00E54C11">
        <w:t>in</w:t>
      </w:r>
      <w:r w:rsidRPr="00E77F77">
        <w:t>g</w:t>
      </w:r>
      <w:r w:rsidRPr="00E54C11">
        <w:t xml:space="preserve"> al</w:t>
      </w:r>
      <w:r w:rsidRPr="00E77F77">
        <w:t>l</w:t>
      </w:r>
      <w:r w:rsidRPr="00E54C11">
        <w:t xml:space="preserve"> o</w:t>
      </w:r>
      <w:r w:rsidRPr="00E77F77">
        <w:t>f</w:t>
      </w:r>
      <w:r w:rsidRPr="00E54C11">
        <w:t xml:space="preserve"> th</w:t>
      </w:r>
      <w:r w:rsidRPr="00E77F77">
        <w:t>e r</w:t>
      </w:r>
      <w:r w:rsidRPr="00E54C11">
        <w:t>elevan</w:t>
      </w:r>
      <w:r w:rsidRPr="00E77F77">
        <w:t>t</w:t>
      </w:r>
      <w:r w:rsidRPr="00E54C11">
        <w:t xml:space="preserve"> questions</w:t>
      </w:r>
      <w:r w:rsidRPr="00E77F77">
        <w:t xml:space="preserve">. </w:t>
      </w:r>
      <w:r w:rsidRPr="00E54C11">
        <w:t xml:space="preserve"> Onc</w:t>
      </w:r>
      <w:r w:rsidRPr="00E77F77">
        <w:t>e</w:t>
      </w:r>
      <w:r w:rsidRPr="00E54C11">
        <w:t xml:space="preserve"> thi</w:t>
      </w:r>
      <w:r w:rsidRPr="00E77F77">
        <w:t>s</w:t>
      </w:r>
      <w:r w:rsidRPr="00E54C11">
        <w:t xml:space="preserve"> ha</w:t>
      </w:r>
      <w:r w:rsidRPr="00E77F77">
        <w:t>s</w:t>
      </w:r>
      <w:r w:rsidRPr="00E54C11">
        <w:t xml:space="preserve"> bee</w:t>
      </w:r>
      <w:r w:rsidRPr="00E77F77">
        <w:t>n</w:t>
      </w:r>
      <w:r w:rsidRPr="00E54C11">
        <w:t xml:space="preserve"> unde</w:t>
      </w:r>
      <w:r w:rsidRPr="00E77F77">
        <w:t>r</w:t>
      </w:r>
      <w:r w:rsidRPr="00E54C11">
        <w:t>taken</w:t>
      </w:r>
      <w:r w:rsidRPr="00E77F77">
        <w:t>,</w:t>
      </w:r>
      <w:r w:rsidRPr="00E54C11">
        <w:t xml:space="preserve"> th</w:t>
      </w:r>
      <w:r w:rsidRPr="00E77F77">
        <w:t xml:space="preserve">e </w:t>
      </w:r>
      <w:r w:rsidRPr="00E54C11">
        <w:t>answe</w:t>
      </w:r>
      <w:r w:rsidRPr="00E77F77">
        <w:t>rs</w:t>
      </w:r>
      <w:r w:rsidRPr="00E54C11">
        <w:t xml:space="preserve"> shoul</w:t>
      </w:r>
      <w:r w:rsidRPr="00E77F77">
        <w:t>d</w:t>
      </w:r>
      <w:r w:rsidRPr="00E54C11">
        <w:t xml:space="preserve"> b</w:t>
      </w:r>
      <w:r w:rsidRPr="00E77F77">
        <w:t>e</w:t>
      </w:r>
      <w:r w:rsidRPr="00E54C11">
        <w:t xml:space="preserve"> </w:t>
      </w:r>
      <w:r w:rsidRPr="00E77F77">
        <w:t>r</w:t>
      </w:r>
      <w:r w:rsidRPr="00E54C11">
        <w:t>eviewe</w:t>
      </w:r>
      <w:r w:rsidRPr="00E77F77">
        <w:t>d</w:t>
      </w:r>
      <w:r w:rsidRPr="00E54C11">
        <w:t xml:space="preserve"> an</w:t>
      </w:r>
      <w:r w:rsidRPr="00E77F77">
        <w:t>d</w:t>
      </w:r>
      <w:r w:rsidRPr="00E54C11">
        <w:t xml:space="preserve"> </w:t>
      </w:r>
      <w:r w:rsidRPr="00E77F77">
        <w:t>a</w:t>
      </w:r>
      <w:r w:rsidRPr="00E54C11">
        <w:t xml:space="preserve"> decisio</w:t>
      </w:r>
      <w:r w:rsidRPr="00E77F77">
        <w:t>n</w:t>
      </w:r>
      <w:r w:rsidRPr="00E54C11">
        <w:t xml:space="preserve"> o</w:t>
      </w:r>
      <w:r w:rsidRPr="00E77F77">
        <w:t>f</w:t>
      </w:r>
      <w:r w:rsidRPr="00E54C11">
        <w:t xml:space="preserve"> th</w:t>
      </w:r>
      <w:r w:rsidRPr="00E77F77">
        <w:t>e</w:t>
      </w:r>
      <w:r w:rsidRPr="00E54C11">
        <w:t xml:space="preserve"> deg</w:t>
      </w:r>
      <w:r w:rsidRPr="00E77F77">
        <w:t>r</w:t>
      </w:r>
      <w:r w:rsidRPr="00E54C11">
        <w:t>e</w:t>
      </w:r>
      <w:r w:rsidRPr="00E77F77">
        <w:t>e</w:t>
      </w:r>
      <w:r w:rsidRPr="00E54C11">
        <w:t xml:space="preserve"> o</w:t>
      </w:r>
      <w:r w:rsidRPr="00E77F77">
        <w:t xml:space="preserve">f </w:t>
      </w:r>
      <w:r w:rsidRPr="00E54C11">
        <w:t>pe</w:t>
      </w:r>
      <w:r w:rsidRPr="00E77F77">
        <w:t>r</w:t>
      </w:r>
      <w:r w:rsidRPr="00E54C11">
        <w:t>ceived/actua</w:t>
      </w:r>
      <w:r w:rsidRPr="00E77F77">
        <w:t>l</w:t>
      </w:r>
      <w:r w:rsidRPr="00E54C11">
        <w:t xml:space="preserve"> </w:t>
      </w:r>
      <w:r w:rsidRPr="00E77F77">
        <w:t>r</w:t>
      </w:r>
      <w:r w:rsidRPr="00E54C11">
        <w:t>is</w:t>
      </w:r>
      <w:r w:rsidRPr="00E77F77">
        <w:t>k</w:t>
      </w:r>
      <w:r w:rsidRPr="00E54C11">
        <w:t xml:space="preserve"> made</w:t>
      </w:r>
      <w:r w:rsidRPr="00E77F77">
        <w:t>.</w:t>
      </w:r>
    </w:p>
    <w:p w14:paraId="2612A899" w14:textId="77777777" w:rsidR="008F7BB3" w:rsidRPr="00E77F77" w:rsidRDefault="008F7BB3" w:rsidP="008F7BB3">
      <w:pPr>
        <w:pStyle w:val="Heading4"/>
      </w:pPr>
      <w:r w:rsidRPr="00E54C11">
        <w:lastRenderedPageBreak/>
        <w:t>I</w:t>
      </w:r>
      <w:r w:rsidRPr="00E77F77">
        <w:t>t</w:t>
      </w:r>
      <w:r w:rsidRPr="00E54C11">
        <w:t xml:space="preserve"> i</w:t>
      </w:r>
      <w:r w:rsidRPr="00E77F77">
        <w:t>s</w:t>
      </w:r>
      <w:r w:rsidRPr="00E54C11">
        <w:t xml:space="preserve"> impo</w:t>
      </w:r>
      <w:r w:rsidRPr="00E77F77">
        <w:t>r</w:t>
      </w:r>
      <w:r w:rsidRPr="00E54C11">
        <w:t>tan</w:t>
      </w:r>
      <w:r w:rsidRPr="00E77F77">
        <w:t>t</w:t>
      </w:r>
      <w:r w:rsidRPr="00E54C11">
        <w:t xml:space="preserve"> t</w:t>
      </w:r>
      <w:r w:rsidRPr="00E77F77">
        <w:t>o</w:t>
      </w:r>
      <w:r w:rsidRPr="00E54C11">
        <w:t xml:space="preserve"> consul</w:t>
      </w:r>
      <w:r w:rsidRPr="00E77F77">
        <w:t>t</w:t>
      </w:r>
      <w:r w:rsidRPr="00E54C11">
        <w:t xml:space="preserve"> al</w:t>
      </w:r>
      <w:r w:rsidRPr="00E77F77">
        <w:t>l</w:t>
      </w:r>
      <w:r w:rsidRPr="00E54C11">
        <w:t xml:space="preserve"> thos</w:t>
      </w:r>
      <w:r w:rsidRPr="00E77F77">
        <w:t>e</w:t>
      </w:r>
      <w:r w:rsidRPr="00E54C11">
        <w:t xml:space="preserve"> wh</w:t>
      </w:r>
      <w:r w:rsidRPr="00E77F77">
        <w:t>o</w:t>
      </w:r>
      <w:r w:rsidRPr="00E54C11">
        <w:t xml:space="preserve"> ma</w:t>
      </w:r>
      <w:r w:rsidRPr="00E77F77">
        <w:t>y</w:t>
      </w:r>
      <w:r w:rsidRPr="00E54C11">
        <w:t xml:space="preserve"> b</w:t>
      </w:r>
      <w:r w:rsidRPr="00E77F77">
        <w:t>e</w:t>
      </w:r>
      <w:r w:rsidRPr="00E54C11">
        <w:t xml:space="preserve"> involve</w:t>
      </w:r>
      <w:r w:rsidRPr="00E77F77">
        <w:t>d</w:t>
      </w:r>
      <w:r w:rsidRPr="00E54C11">
        <w:t xml:space="preserve"> i</w:t>
      </w:r>
      <w:r w:rsidRPr="00E77F77">
        <w:t>n</w:t>
      </w:r>
      <w:r w:rsidRPr="00E54C11">
        <w:t xml:space="preserve"> th</w:t>
      </w:r>
      <w:r w:rsidRPr="00E77F77">
        <w:t xml:space="preserve">e </w:t>
      </w:r>
      <w:r w:rsidRPr="00E54C11">
        <w:t>activity/tas</w:t>
      </w:r>
      <w:r w:rsidRPr="00E77F77">
        <w:t>k</w:t>
      </w:r>
      <w:r w:rsidRPr="00E54C11">
        <w:t xml:space="preserve"> whe</w:t>
      </w:r>
      <w:r w:rsidRPr="00E77F77">
        <w:t>n</w:t>
      </w:r>
      <w:r w:rsidRPr="00E54C11">
        <w:t xml:space="preserve"> unde</w:t>
      </w:r>
      <w:r w:rsidRPr="00E77F77">
        <w:t>r</w:t>
      </w:r>
      <w:r w:rsidRPr="00E54C11">
        <w:t>takin</w:t>
      </w:r>
      <w:r w:rsidRPr="00E77F77">
        <w:t>g</w:t>
      </w:r>
      <w:r w:rsidRPr="00E54C11">
        <w:t xml:space="preserve"> </w:t>
      </w:r>
      <w:r w:rsidRPr="00E77F77">
        <w:t>a</w:t>
      </w:r>
      <w:r w:rsidRPr="00E54C11">
        <w:t xml:space="preserve"> </w:t>
      </w:r>
      <w:r w:rsidRPr="00E77F77">
        <w:t>r</w:t>
      </w:r>
      <w:r w:rsidRPr="00E54C11">
        <w:t>is</w:t>
      </w:r>
      <w:r w:rsidRPr="00E77F77">
        <w:t>k</w:t>
      </w:r>
      <w:r w:rsidRPr="00E54C11">
        <w:t xml:space="preserve"> assessment</w:t>
      </w:r>
      <w:r w:rsidRPr="00E77F77">
        <w:t>.</w:t>
      </w:r>
      <w:r w:rsidRPr="00E54C11">
        <w:t xml:space="preserve"> </w:t>
      </w:r>
      <w:r w:rsidRPr="00E77F77">
        <w:t xml:space="preserve"> P</w:t>
      </w:r>
      <w:r w:rsidRPr="00E54C11">
        <w:t>e</w:t>
      </w:r>
      <w:r w:rsidRPr="00E77F77">
        <w:t>r</w:t>
      </w:r>
      <w:r w:rsidRPr="00E54C11">
        <w:t>ceptio</w:t>
      </w:r>
      <w:r w:rsidRPr="00E77F77">
        <w:t xml:space="preserve">n </w:t>
      </w:r>
      <w:r w:rsidRPr="00E54C11">
        <w:t>o</w:t>
      </w:r>
      <w:r w:rsidRPr="00E77F77">
        <w:t>f</w:t>
      </w:r>
      <w:r w:rsidRPr="00E54C11">
        <w:t xml:space="preserve"> </w:t>
      </w:r>
      <w:r w:rsidRPr="00E77F77">
        <w:t>r</w:t>
      </w:r>
      <w:r w:rsidRPr="00E54C11">
        <w:t>is</w:t>
      </w:r>
      <w:r w:rsidRPr="00E77F77">
        <w:t>k</w:t>
      </w:r>
      <w:r w:rsidRPr="00E54C11">
        <w:t xml:space="preserve"> ma</w:t>
      </w:r>
      <w:r w:rsidRPr="00E77F77">
        <w:t>y</w:t>
      </w:r>
      <w:r w:rsidRPr="00E54C11">
        <w:t xml:space="preserve"> va</w:t>
      </w:r>
      <w:r w:rsidRPr="00E77F77">
        <w:t>ry</w:t>
      </w:r>
      <w:r w:rsidRPr="00E54C11">
        <w:t xml:space="preserve"> f</w:t>
      </w:r>
      <w:r w:rsidRPr="00E77F77">
        <w:t>r</w:t>
      </w:r>
      <w:r w:rsidRPr="00E54C11">
        <w:t>o</w:t>
      </w:r>
      <w:r w:rsidRPr="00E77F77">
        <w:t>m</w:t>
      </w:r>
      <w:r w:rsidRPr="00E54C11">
        <w:t xml:space="preserve"> individua</w:t>
      </w:r>
      <w:r w:rsidRPr="00E77F77">
        <w:t>l</w:t>
      </w:r>
      <w:r w:rsidRPr="00E54C11">
        <w:t xml:space="preserve"> t</w:t>
      </w:r>
      <w:r w:rsidRPr="00E77F77">
        <w:t>o</w:t>
      </w:r>
      <w:r w:rsidRPr="00E54C11">
        <w:t xml:space="preserve"> individual</w:t>
      </w:r>
      <w:r w:rsidRPr="00E77F77">
        <w:t>.</w:t>
      </w:r>
      <w:r w:rsidRPr="00E54C11">
        <w:t xml:space="preserve"> I</w:t>
      </w:r>
      <w:r w:rsidRPr="00E77F77">
        <w:t>n</w:t>
      </w:r>
      <w:r w:rsidRPr="00E54C11">
        <w:t xml:space="preserve"> addition</w:t>
      </w:r>
      <w:r w:rsidRPr="00E77F77">
        <w:t xml:space="preserve">, </w:t>
      </w:r>
      <w:r w:rsidRPr="00E54C11">
        <w:t>employee</w:t>
      </w:r>
      <w:r w:rsidRPr="00E77F77">
        <w:t>s</w:t>
      </w:r>
      <w:r w:rsidRPr="00E54C11">
        <w:t xml:space="preserve"> ma</w:t>
      </w:r>
      <w:r w:rsidRPr="00E77F77">
        <w:t>y</w:t>
      </w:r>
      <w:r w:rsidRPr="00E54C11">
        <w:t xml:space="preserve"> hav</w:t>
      </w:r>
      <w:r w:rsidRPr="00E77F77">
        <w:t>e</w:t>
      </w:r>
      <w:r w:rsidRPr="00E54C11">
        <w:t xml:space="preserve"> bee</w:t>
      </w:r>
      <w:r w:rsidRPr="00E77F77">
        <w:t>n</w:t>
      </w:r>
      <w:r w:rsidRPr="00E54C11">
        <w:t xml:space="preserve"> involve</w:t>
      </w:r>
      <w:r w:rsidRPr="00E77F77">
        <w:t>d</w:t>
      </w:r>
      <w:r w:rsidRPr="00E54C11">
        <w:t xml:space="preserve"> i</w:t>
      </w:r>
      <w:r w:rsidRPr="00E77F77">
        <w:t>n</w:t>
      </w:r>
      <w:r w:rsidRPr="00E54C11">
        <w:t xml:space="preserve"> incidents</w:t>
      </w:r>
      <w:r w:rsidRPr="00E77F77">
        <w:t>,</w:t>
      </w:r>
      <w:r w:rsidRPr="00E54C11">
        <w:t xml:space="preserve"> whic</w:t>
      </w:r>
      <w:r w:rsidRPr="00E77F77">
        <w:t>h</w:t>
      </w:r>
      <w:r w:rsidRPr="00E54C11">
        <w:t xml:space="preserve"> the</w:t>
      </w:r>
      <w:r w:rsidRPr="00E77F77">
        <w:t xml:space="preserve">y </w:t>
      </w:r>
      <w:r w:rsidRPr="00E54C11">
        <w:t>hav</w:t>
      </w:r>
      <w:r w:rsidRPr="00E77F77">
        <w:t>e</w:t>
      </w:r>
      <w:r w:rsidRPr="00E54C11">
        <w:t xml:space="preserve"> no</w:t>
      </w:r>
      <w:r w:rsidRPr="00E77F77">
        <w:t>t</w:t>
      </w:r>
      <w:r w:rsidRPr="00E54C11">
        <w:t xml:space="preserve"> p</w:t>
      </w:r>
      <w:r w:rsidRPr="00E77F77">
        <w:t>r</w:t>
      </w:r>
      <w:r w:rsidRPr="00E54C11">
        <w:t>eviousl</w:t>
      </w:r>
      <w:r w:rsidRPr="00E77F77">
        <w:t>y</w:t>
      </w:r>
      <w:r w:rsidRPr="00E54C11">
        <w:t xml:space="preserve"> </w:t>
      </w:r>
      <w:r w:rsidRPr="00E77F77">
        <w:t>r</w:t>
      </w:r>
      <w:r w:rsidRPr="00E54C11">
        <w:t>epo</w:t>
      </w:r>
      <w:r w:rsidRPr="00E77F77">
        <w:t>r</w:t>
      </w:r>
      <w:r w:rsidRPr="00E54C11">
        <w:t>te</w:t>
      </w:r>
      <w:r w:rsidRPr="00E77F77">
        <w:t>d</w:t>
      </w:r>
      <w:r w:rsidRPr="00E54C11">
        <w:t xml:space="preserve"> o</w:t>
      </w:r>
      <w:r w:rsidRPr="00E77F77">
        <w:t>r</w:t>
      </w:r>
      <w:r w:rsidRPr="00E54C11">
        <w:t xml:space="preserve"> sha</w:t>
      </w:r>
      <w:r w:rsidRPr="00E77F77">
        <w:t>r</w:t>
      </w:r>
      <w:r w:rsidRPr="00E54C11">
        <w:t>e</w:t>
      </w:r>
      <w:r w:rsidRPr="00E77F77">
        <w:t>d</w:t>
      </w:r>
      <w:r w:rsidRPr="00E54C11">
        <w:t xml:space="preserve"> wit</w:t>
      </w:r>
      <w:r w:rsidRPr="00E77F77">
        <w:t>h</w:t>
      </w:r>
      <w:r w:rsidRPr="00E54C11">
        <w:t xml:space="preserve"> thei</w:t>
      </w:r>
      <w:r w:rsidRPr="00E77F77">
        <w:t>r</w:t>
      </w:r>
      <w:r w:rsidRPr="00E54C11">
        <w:t xml:space="preserve"> colleagues</w:t>
      </w:r>
      <w:r w:rsidRPr="00E77F77">
        <w:t>.</w:t>
      </w:r>
    </w:p>
    <w:p w14:paraId="34DACE73" w14:textId="77777777" w:rsidR="008F7BB3" w:rsidRPr="00E54C11" w:rsidRDefault="008F7BB3" w:rsidP="008F7BB3">
      <w:pPr>
        <w:pStyle w:val="Heading4"/>
        <w:rPr>
          <w:b/>
        </w:rPr>
      </w:pPr>
      <w:r w:rsidRPr="00E54C11">
        <w:rPr>
          <w:b/>
        </w:rPr>
        <w:t>Section D – Current Control Measures</w:t>
      </w:r>
    </w:p>
    <w:p w14:paraId="492ED596" w14:textId="77777777" w:rsidR="008F7BB3" w:rsidRPr="00E77F77" w:rsidRDefault="008F7BB3" w:rsidP="008F7BB3">
      <w:pPr>
        <w:pStyle w:val="Heading4"/>
      </w:pPr>
      <w:r w:rsidRPr="00E54C11">
        <w:t>Thi</w:t>
      </w:r>
      <w:r w:rsidRPr="00E77F77">
        <w:t>s</w:t>
      </w:r>
      <w:r w:rsidRPr="00E54C11">
        <w:t xml:space="preserve"> sectio</w:t>
      </w:r>
      <w:r w:rsidRPr="00E77F77">
        <w:t>n</w:t>
      </w:r>
      <w:r w:rsidRPr="00E54C11">
        <w:t xml:space="preserve"> i</w:t>
      </w:r>
      <w:r w:rsidRPr="00E77F77">
        <w:t>s</w:t>
      </w:r>
      <w:r w:rsidRPr="00E54C11">
        <w:t xml:space="preserve"> whe</w:t>
      </w:r>
      <w:r w:rsidRPr="00E77F77">
        <w:t>re</w:t>
      </w:r>
      <w:r w:rsidRPr="00E54C11">
        <w:t xml:space="preserve"> an</w:t>
      </w:r>
      <w:r w:rsidRPr="00E77F77">
        <w:t>y</w:t>
      </w:r>
      <w:r w:rsidRPr="00E54C11">
        <w:t xml:space="preserve"> existin</w:t>
      </w:r>
      <w:r w:rsidRPr="00E77F77">
        <w:t>g</w:t>
      </w:r>
      <w:r w:rsidRPr="00E54C11">
        <w:t xml:space="preserve"> cont</w:t>
      </w:r>
      <w:r w:rsidRPr="00E77F77">
        <w:t>r</w:t>
      </w:r>
      <w:r w:rsidRPr="00E54C11">
        <w:t>o</w:t>
      </w:r>
      <w:r w:rsidRPr="00E77F77">
        <w:t xml:space="preserve">l </w:t>
      </w:r>
      <w:r w:rsidRPr="00E54C11">
        <w:t>measu</w:t>
      </w:r>
      <w:r w:rsidRPr="00E77F77">
        <w:t>r</w:t>
      </w:r>
      <w:r w:rsidRPr="00E54C11">
        <w:t>es/p</w:t>
      </w:r>
      <w:r w:rsidRPr="00E77F77">
        <w:t>r</w:t>
      </w:r>
      <w:r w:rsidRPr="00E54C11">
        <w:t>ecaution</w:t>
      </w:r>
      <w:r w:rsidRPr="00E77F77">
        <w:t>s</w:t>
      </w:r>
      <w:r w:rsidRPr="00E54C11">
        <w:t xml:space="preserve"> a</w:t>
      </w:r>
      <w:r w:rsidRPr="00E77F77">
        <w:t>re</w:t>
      </w:r>
      <w:r w:rsidRPr="00E54C11">
        <w:t xml:space="preserve"> listed</w:t>
      </w:r>
      <w:r w:rsidRPr="00E77F77">
        <w:t>.</w:t>
      </w:r>
      <w:r w:rsidRPr="00E54C11">
        <w:t xml:space="preserve"> Man</w:t>
      </w:r>
      <w:r w:rsidRPr="00E77F77">
        <w:t>y</w:t>
      </w:r>
      <w:r w:rsidRPr="00E54C11">
        <w:t xml:space="preserve"> o</w:t>
      </w:r>
      <w:r w:rsidRPr="00E77F77">
        <w:t>f</w:t>
      </w:r>
      <w:r w:rsidRPr="00E54C11">
        <w:t xml:space="preserve"> thes</w:t>
      </w:r>
      <w:r w:rsidRPr="00E77F77">
        <w:t>e</w:t>
      </w:r>
      <w:r w:rsidRPr="00E54C11">
        <w:t xml:space="preserve"> cont</w:t>
      </w:r>
      <w:r w:rsidRPr="00E77F77">
        <w:t>r</w:t>
      </w:r>
      <w:r w:rsidRPr="00E54C11">
        <w:t>o</w:t>
      </w:r>
      <w:r w:rsidRPr="00E77F77">
        <w:t xml:space="preserve">l </w:t>
      </w:r>
      <w:r w:rsidRPr="00E54C11">
        <w:t>measu</w:t>
      </w:r>
      <w:r w:rsidRPr="00E77F77">
        <w:t>r</w:t>
      </w:r>
      <w:r w:rsidRPr="00E54C11">
        <w:t>e</w:t>
      </w:r>
      <w:r w:rsidRPr="00E77F77">
        <w:t>s</w:t>
      </w:r>
      <w:r w:rsidRPr="00E54C11">
        <w:t xml:space="preserve"> wil</w:t>
      </w:r>
      <w:r w:rsidRPr="00E77F77">
        <w:t>l</w:t>
      </w:r>
      <w:r w:rsidRPr="00E54C11">
        <w:t xml:space="preserve"> hav</w:t>
      </w:r>
      <w:r w:rsidRPr="00E77F77">
        <w:t>e</w:t>
      </w:r>
      <w:r w:rsidRPr="00E54C11">
        <w:t xml:space="preserve"> bee</w:t>
      </w:r>
      <w:r w:rsidRPr="00E77F77">
        <w:t>n</w:t>
      </w:r>
      <w:r w:rsidRPr="00E54C11">
        <w:t xml:space="preserve"> highlighte</w:t>
      </w:r>
      <w:r w:rsidRPr="00E77F77">
        <w:t>d</w:t>
      </w:r>
      <w:r w:rsidRPr="00E54C11">
        <w:t xml:space="preserve"> i</w:t>
      </w:r>
      <w:r w:rsidRPr="00E77F77">
        <w:t>n</w:t>
      </w:r>
      <w:r w:rsidRPr="00E54C11">
        <w:t xml:space="preserve"> </w:t>
      </w:r>
      <w:r w:rsidRPr="00E77F77">
        <w:t>S</w:t>
      </w:r>
      <w:r w:rsidRPr="00E54C11">
        <w:t>ectio</w:t>
      </w:r>
      <w:r w:rsidRPr="00E77F77">
        <w:t>n</w:t>
      </w:r>
      <w:r w:rsidRPr="00E54C11">
        <w:t xml:space="preserve"> C</w:t>
      </w:r>
      <w:r w:rsidRPr="00E77F77">
        <w:t xml:space="preserve">. </w:t>
      </w:r>
      <w:r w:rsidRPr="00E54C11">
        <w:t xml:space="preserve"> </w:t>
      </w:r>
      <w:r w:rsidRPr="00E77F77">
        <w:t>These can be summarised and cross referenced where appropriate. A continuation sheet can be used if necessary.</w:t>
      </w:r>
    </w:p>
    <w:p w14:paraId="24C4C418" w14:textId="77777777" w:rsidR="008F7BB3" w:rsidRPr="00E54C11" w:rsidRDefault="008F7BB3" w:rsidP="008F7BB3">
      <w:pPr>
        <w:pStyle w:val="Heading4"/>
        <w:rPr>
          <w:b/>
        </w:rPr>
      </w:pPr>
      <w:r w:rsidRPr="00E54C11">
        <w:rPr>
          <w:b/>
        </w:rPr>
        <w:t>Section E – Initial Risk Rating Figure</w:t>
      </w:r>
    </w:p>
    <w:p w14:paraId="2BA39613" w14:textId="77777777" w:rsidR="008F7BB3" w:rsidRPr="00E77F77" w:rsidRDefault="008F7BB3" w:rsidP="008F7BB3">
      <w:pPr>
        <w:pStyle w:val="Heading4"/>
      </w:pPr>
      <w:r w:rsidRPr="00E54C11">
        <w:t>I</w:t>
      </w:r>
      <w:r w:rsidRPr="00E77F77">
        <w:t>n</w:t>
      </w:r>
      <w:r w:rsidRPr="00E54C11">
        <w:t xml:space="preserve"> o</w:t>
      </w:r>
      <w:r w:rsidRPr="00E77F77">
        <w:t>r</w:t>
      </w:r>
      <w:r w:rsidRPr="00E54C11">
        <w:t>de</w:t>
      </w:r>
      <w:r w:rsidRPr="00E77F77">
        <w:t>r</w:t>
      </w:r>
      <w:r w:rsidRPr="00E54C11">
        <w:t xml:space="preserve"> t</w:t>
      </w:r>
      <w:r w:rsidRPr="00E77F77">
        <w:t>o</w:t>
      </w:r>
      <w:r w:rsidRPr="00E54C11">
        <w:t xml:space="preserve"> p</w:t>
      </w:r>
      <w:r w:rsidRPr="00E77F77">
        <w:t>r</w:t>
      </w:r>
      <w:r w:rsidRPr="00E54C11">
        <w:t>io</w:t>
      </w:r>
      <w:r w:rsidRPr="00E77F77">
        <w:t>r</w:t>
      </w:r>
      <w:r w:rsidRPr="00E54C11">
        <w:t>itis</w:t>
      </w:r>
      <w:r w:rsidRPr="00E77F77">
        <w:t>e</w:t>
      </w:r>
      <w:r w:rsidRPr="00E54C11">
        <w:t xml:space="preserve"> actions</w:t>
      </w:r>
      <w:r w:rsidRPr="00E77F77">
        <w:t>,</w:t>
      </w:r>
      <w:r w:rsidRPr="00E54C11">
        <w:t xml:space="preserve"> i</w:t>
      </w:r>
      <w:r w:rsidRPr="00E77F77">
        <w:t>t</w:t>
      </w:r>
      <w:r w:rsidRPr="00E54C11">
        <w:t xml:space="preserve"> i</w:t>
      </w:r>
      <w:r w:rsidRPr="00E77F77">
        <w:t>s</w:t>
      </w:r>
      <w:r w:rsidRPr="00E54C11">
        <w:t xml:space="preserve"> necessa</w:t>
      </w:r>
      <w:r w:rsidRPr="00E77F77">
        <w:t>ry</w:t>
      </w:r>
      <w:r w:rsidRPr="00E54C11">
        <w:t xml:space="preserve"> t</w:t>
      </w:r>
      <w:r w:rsidRPr="00E77F77">
        <w:t>o</w:t>
      </w:r>
      <w:r w:rsidRPr="00E54C11">
        <w:t xml:space="preserve"> evaluat</w:t>
      </w:r>
      <w:r w:rsidRPr="00E77F77">
        <w:t>e</w:t>
      </w:r>
      <w:r w:rsidRPr="00E54C11">
        <w:t xml:space="preserve"> th</w:t>
      </w:r>
      <w:r w:rsidRPr="00E77F77">
        <w:t xml:space="preserve">e </w:t>
      </w:r>
      <w:r w:rsidRPr="00E54C11">
        <w:t>leve</w:t>
      </w:r>
      <w:r w:rsidRPr="00E77F77">
        <w:t>l</w:t>
      </w:r>
      <w:r w:rsidRPr="00E54C11">
        <w:t xml:space="preserve"> o</w:t>
      </w:r>
      <w:r w:rsidRPr="00E77F77">
        <w:t>f</w:t>
      </w:r>
      <w:r w:rsidRPr="00E54C11">
        <w:t xml:space="preserve"> </w:t>
      </w:r>
      <w:r w:rsidRPr="00E77F77">
        <w:t>r</w:t>
      </w:r>
      <w:r w:rsidRPr="00E54C11">
        <w:t>is</w:t>
      </w:r>
      <w:r w:rsidRPr="00E77F77">
        <w:t>k</w:t>
      </w:r>
      <w:r w:rsidRPr="00E54C11">
        <w:t xml:space="preserve"> p</w:t>
      </w:r>
      <w:r w:rsidRPr="00E77F77">
        <w:t>r</w:t>
      </w:r>
      <w:r w:rsidRPr="00E54C11">
        <w:t>esente</w:t>
      </w:r>
      <w:r w:rsidRPr="00E77F77">
        <w:t>d</w:t>
      </w:r>
      <w:r w:rsidRPr="00E54C11">
        <w:t xml:space="preserve"> b</w:t>
      </w:r>
      <w:r w:rsidRPr="00E77F77">
        <w:t>y</w:t>
      </w:r>
      <w:r w:rsidRPr="00E54C11">
        <w:t xml:space="preserve"> th</w:t>
      </w:r>
      <w:r w:rsidRPr="00E77F77">
        <w:t>e</w:t>
      </w:r>
      <w:r w:rsidRPr="00E54C11">
        <w:t xml:space="preserve"> haza</w:t>
      </w:r>
      <w:r w:rsidRPr="00E77F77">
        <w:t>r</w:t>
      </w:r>
      <w:r w:rsidRPr="00E54C11">
        <w:t>d</w:t>
      </w:r>
      <w:r w:rsidRPr="00E77F77">
        <w:t>s</w:t>
      </w:r>
      <w:r w:rsidRPr="00E54C11">
        <w:t xml:space="preserve"> identified</w:t>
      </w:r>
      <w:r w:rsidRPr="00E77F77">
        <w:t>.</w:t>
      </w:r>
      <w:r w:rsidRPr="00E54C11">
        <w:t xml:space="preserve"> Thi</w:t>
      </w:r>
      <w:r w:rsidRPr="00E77F77">
        <w:t>s</w:t>
      </w:r>
      <w:r w:rsidRPr="00E54C11">
        <w:t xml:space="preserve"> i</w:t>
      </w:r>
      <w:r w:rsidRPr="00E77F77">
        <w:t xml:space="preserve">s </w:t>
      </w:r>
      <w:r w:rsidRPr="00E54C11">
        <w:t>unde</w:t>
      </w:r>
      <w:r w:rsidRPr="00E77F77">
        <w:t>r</w:t>
      </w:r>
      <w:r w:rsidRPr="00E54C11">
        <w:t>take</w:t>
      </w:r>
      <w:r w:rsidRPr="00E77F77">
        <w:t>n</w:t>
      </w:r>
      <w:r w:rsidRPr="00E54C11">
        <w:t xml:space="preserve"> usin</w:t>
      </w:r>
      <w:r w:rsidRPr="00E77F77">
        <w:t>g</w:t>
      </w:r>
      <w:r w:rsidRPr="00E54C11">
        <w:t xml:space="preserve"> </w:t>
      </w:r>
      <w:r w:rsidRPr="00E77F77">
        <w:t>a</w:t>
      </w:r>
      <w:r w:rsidRPr="00E54C11">
        <w:t xml:space="preserve"> simpl</w:t>
      </w:r>
      <w:r w:rsidRPr="00E77F77">
        <w:t>e</w:t>
      </w:r>
      <w:r w:rsidRPr="00E54C11">
        <w:t xml:space="preserve"> </w:t>
      </w:r>
      <w:r w:rsidRPr="00E77F77">
        <w:t>r</w:t>
      </w:r>
      <w:r w:rsidRPr="00E54C11">
        <w:t>atin</w:t>
      </w:r>
      <w:r w:rsidRPr="00E77F77">
        <w:t>g</w:t>
      </w:r>
      <w:r w:rsidRPr="00E54C11">
        <w:t xml:space="preserve"> syste</w:t>
      </w:r>
      <w:r w:rsidRPr="00E77F77">
        <w:t>m</w:t>
      </w:r>
      <w:r w:rsidRPr="00E54C11">
        <w:t xml:space="preserve"> an</w:t>
      </w:r>
      <w:r w:rsidRPr="00E77F77">
        <w:t>d</w:t>
      </w:r>
      <w:r w:rsidRPr="00E54C11">
        <w:t xml:space="preserve"> </w:t>
      </w:r>
      <w:r w:rsidRPr="00E77F77">
        <w:t>a</w:t>
      </w:r>
      <w:r w:rsidRPr="00E54C11">
        <w:t xml:space="preserve"> basi</w:t>
      </w:r>
      <w:r w:rsidRPr="00E77F77">
        <w:t xml:space="preserve">c </w:t>
      </w:r>
      <w:r w:rsidRPr="00E54C11">
        <w:t>multiplication</w:t>
      </w:r>
      <w:r w:rsidRPr="00E77F77">
        <w:t>.</w:t>
      </w:r>
      <w:r w:rsidRPr="00E54C11">
        <w:t xml:space="preserve"> Fu</w:t>
      </w:r>
      <w:r w:rsidRPr="00E77F77">
        <w:t>r</w:t>
      </w:r>
      <w:r w:rsidRPr="00E54C11">
        <w:t>the</w:t>
      </w:r>
      <w:r w:rsidRPr="00E77F77">
        <w:t>r</w:t>
      </w:r>
      <w:r w:rsidRPr="00E54C11">
        <w:t xml:space="preserve"> guidanc</w:t>
      </w:r>
      <w:r w:rsidRPr="00E77F77">
        <w:t>e</w:t>
      </w:r>
      <w:r w:rsidRPr="00E54C11">
        <w:t xml:space="preserve"> i</w:t>
      </w:r>
      <w:r w:rsidRPr="00E77F77">
        <w:t>s</w:t>
      </w:r>
      <w:r w:rsidRPr="00E54C11">
        <w:t xml:space="preserve"> give</w:t>
      </w:r>
      <w:r w:rsidRPr="00E77F77">
        <w:t>n</w:t>
      </w:r>
      <w:r w:rsidRPr="00E54C11">
        <w:t xml:space="preserve"> i</w:t>
      </w:r>
      <w:r w:rsidRPr="00E77F77">
        <w:t>n</w:t>
      </w:r>
      <w:r w:rsidRPr="00E54C11">
        <w:t xml:space="preserve"> th</w:t>
      </w:r>
      <w:r w:rsidRPr="00E77F77">
        <w:t>e</w:t>
      </w:r>
      <w:r w:rsidRPr="00E54C11">
        <w:t xml:space="preserve"> Ris</w:t>
      </w:r>
      <w:r w:rsidRPr="00E77F77">
        <w:t>k</w:t>
      </w:r>
      <w:r w:rsidRPr="00E54C11">
        <w:t xml:space="preserve"> Mat</w:t>
      </w:r>
      <w:r w:rsidRPr="00E77F77">
        <w:t>r</w:t>
      </w:r>
      <w:r w:rsidRPr="00E54C11">
        <w:t>i</w:t>
      </w:r>
      <w:r w:rsidRPr="00E77F77">
        <w:t>x S</w:t>
      </w:r>
      <w:r w:rsidRPr="00E54C11">
        <w:t>ection</w:t>
      </w:r>
      <w:r w:rsidRPr="00E77F77">
        <w:t>.</w:t>
      </w:r>
    </w:p>
    <w:p w14:paraId="3DC12A13" w14:textId="77777777" w:rsidR="008F7BB3" w:rsidRPr="00E54C11" w:rsidRDefault="008F7BB3" w:rsidP="008F7BB3">
      <w:pPr>
        <w:pStyle w:val="Heading4"/>
        <w:rPr>
          <w:b/>
        </w:rPr>
      </w:pPr>
      <w:r w:rsidRPr="00E54C11">
        <w:rPr>
          <w:b/>
        </w:rPr>
        <w:t>Section F – Additional Risk Control Measures Required</w:t>
      </w:r>
    </w:p>
    <w:p w14:paraId="3677E635" w14:textId="77777777" w:rsidR="008F7BB3" w:rsidRPr="00E77F77" w:rsidRDefault="008F7BB3" w:rsidP="008F7BB3">
      <w:pPr>
        <w:pStyle w:val="Heading4"/>
      </w:pPr>
      <w:r w:rsidRPr="00E54C11">
        <w:t>Whe</w:t>
      </w:r>
      <w:r w:rsidRPr="00E77F77">
        <w:t>re</w:t>
      </w:r>
      <w:r w:rsidRPr="00E54C11">
        <w:t xml:space="preserve"> th</w:t>
      </w:r>
      <w:r w:rsidRPr="00E77F77">
        <w:t>e</w:t>
      </w:r>
      <w:r w:rsidRPr="00E54C11">
        <w:t xml:space="preserve"> leve</w:t>
      </w:r>
      <w:r w:rsidRPr="00E77F77">
        <w:t>l</w:t>
      </w:r>
      <w:r w:rsidRPr="00E54C11">
        <w:t xml:space="preserve"> o</w:t>
      </w:r>
      <w:r w:rsidRPr="00E77F77">
        <w:t>f</w:t>
      </w:r>
      <w:r w:rsidRPr="00E54C11">
        <w:t xml:space="preserve"> </w:t>
      </w:r>
      <w:r w:rsidRPr="00E77F77">
        <w:t>r</w:t>
      </w:r>
      <w:r w:rsidRPr="00E54C11">
        <w:t>is</w:t>
      </w:r>
      <w:r w:rsidRPr="00E77F77">
        <w:t>k</w:t>
      </w:r>
      <w:r w:rsidRPr="00E54C11">
        <w:t xml:space="preserve"> i</w:t>
      </w:r>
      <w:r w:rsidRPr="00E77F77">
        <w:t>s</w:t>
      </w:r>
      <w:r w:rsidRPr="00E54C11">
        <w:t xml:space="preserve"> conside</w:t>
      </w:r>
      <w:r w:rsidRPr="00E77F77">
        <w:t>r</w:t>
      </w:r>
      <w:r w:rsidRPr="00E54C11">
        <w:t>e</w:t>
      </w:r>
      <w:r w:rsidRPr="00E77F77">
        <w:t>d</w:t>
      </w:r>
      <w:r w:rsidRPr="00E54C11">
        <w:t xml:space="preserve"> t</w:t>
      </w:r>
      <w:r w:rsidRPr="00E77F77">
        <w:t>o</w:t>
      </w:r>
      <w:r w:rsidRPr="00E54C11">
        <w:t xml:space="preserve"> b</w:t>
      </w:r>
      <w:r w:rsidRPr="00E77F77">
        <w:t>e</w:t>
      </w:r>
      <w:r w:rsidRPr="00E54C11">
        <w:t xml:space="preserve"> unacceptabl</w:t>
      </w:r>
      <w:r w:rsidRPr="00E77F77">
        <w:t>e</w:t>
      </w:r>
      <w:r w:rsidRPr="00E54C11">
        <w:t xml:space="preserve"> thi</w:t>
      </w:r>
      <w:r w:rsidRPr="00E77F77">
        <w:t xml:space="preserve">s </w:t>
      </w:r>
      <w:r w:rsidRPr="00E54C11">
        <w:t>pa</w:t>
      </w:r>
      <w:r w:rsidRPr="00E77F77">
        <w:t>rt</w:t>
      </w:r>
      <w:r w:rsidRPr="00E54C11">
        <w:t xml:space="preserve"> o</w:t>
      </w:r>
      <w:r w:rsidRPr="00E77F77">
        <w:t>f</w:t>
      </w:r>
      <w:r w:rsidRPr="00E54C11">
        <w:t xml:space="preserve"> th</w:t>
      </w:r>
      <w:r w:rsidRPr="00E77F77">
        <w:t>e</w:t>
      </w:r>
      <w:r w:rsidRPr="00E54C11">
        <w:t xml:space="preserve"> fo</w:t>
      </w:r>
      <w:r w:rsidRPr="00E77F77">
        <w:t>rm</w:t>
      </w:r>
      <w:r w:rsidRPr="00E54C11">
        <w:t xml:space="preserve"> i</w:t>
      </w:r>
      <w:r w:rsidRPr="00E77F77">
        <w:t>s</w:t>
      </w:r>
      <w:r w:rsidRPr="00E54C11">
        <w:t xml:space="preserve"> use</w:t>
      </w:r>
      <w:r w:rsidRPr="00E77F77">
        <w:t>d</w:t>
      </w:r>
      <w:r w:rsidRPr="00E54C11">
        <w:t xml:space="preserve"> t</w:t>
      </w:r>
      <w:r w:rsidRPr="00E77F77">
        <w:t>o</w:t>
      </w:r>
      <w:r w:rsidRPr="00E54C11">
        <w:t xml:space="preserve"> dete</w:t>
      </w:r>
      <w:r w:rsidRPr="00E77F77">
        <w:t>r</w:t>
      </w:r>
      <w:r w:rsidRPr="00E54C11">
        <w:t>min</w:t>
      </w:r>
      <w:r w:rsidRPr="00E77F77">
        <w:t>e</w:t>
      </w:r>
      <w:r w:rsidRPr="00E54C11">
        <w:t xml:space="preserve"> additiona</w:t>
      </w:r>
      <w:r w:rsidRPr="00E77F77">
        <w:t>l</w:t>
      </w:r>
      <w:r w:rsidRPr="00E54C11">
        <w:t xml:space="preserve"> </w:t>
      </w:r>
      <w:r w:rsidRPr="00E77F77">
        <w:t>r</w:t>
      </w:r>
      <w:r w:rsidRPr="00E54C11">
        <w:t>is</w:t>
      </w:r>
      <w:r w:rsidRPr="00E77F77">
        <w:t>k</w:t>
      </w:r>
      <w:r w:rsidRPr="00E54C11">
        <w:t xml:space="preserve"> cont</w:t>
      </w:r>
      <w:r w:rsidRPr="00E77F77">
        <w:t>r</w:t>
      </w:r>
      <w:r w:rsidRPr="00E54C11">
        <w:t>o</w:t>
      </w:r>
      <w:r w:rsidRPr="00E77F77">
        <w:t xml:space="preserve">l </w:t>
      </w:r>
      <w:r w:rsidRPr="00E54C11">
        <w:t>measu</w:t>
      </w:r>
      <w:r w:rsidRPr="00E77F77">
        <w:t>r</w:t>
      </w:r>
      <w:r w:rsidRPr="00E54C11">
        <w:t>es</w:t>
      </w:r>
      <w:r w:rsidRPr="00E77F77">
        <w:t>.</w:t>
      </w:r>
    </w:p>
    <w:p w14:paraId="30C747C9" w14:textId="77777777" w:rsidR="008F7BB3" w:rsidRPr="00E77F77" w:rsidRDefault="008F7BB3" w:rsidP="008F7BB3">
      <w:pPr>
        <w:pStyle w:val="Heading4"/>
      </w:pPr>
      <w:r w:rsidRPr="00E54C11">
        <w:t>Whe</w:t>
      </w:r>
      <w:r w:rsidRPr="00E77F77">
        <w:t>n</w:t>
      </w:r>
      <w:r w:rsidRPr="00E54C11">
        <w:t xml:space="preserve"> conside</w:t>
      </w:r>
      <w:r w:rsidRPr="00E77F77">
        <w:t>r</w:t>
      </w:r>
      <w:r w:rsidRPr="00E54C11">
        <w:t>in</w:t>
      </w:r>
      <w:r w:rsidRPr="00E77F77">
        <w:t>g</w:t>
      </w:r>
      <w:r w:rsidRPr="00E54C11">
        <w:t xml:space="preserve"> action</w:t>
      </w:r>
      <w:r w:rsidRPr="00E77F77">
        <w:t>s</w:t>
      </w:r>
      <w:r w:rsidRPr="00E54C11">
        <w:t xml:space="preserve"> t</w:t>
      </w:r>
      <w:r w:rsidRPr="00E77F77">
        <w:t>o</w:t>
      </w:r>
      <w:r w:rsidRPr="00E54C11">
        <w:t xml:space="preserve"> b</w:t>
      </w:r>
      <w:r w:rsidRPr="00E77F77">
        <w:t>e</w:t>
      </w:r>
      <w:r w:rsidRPr="00E54C11">
        <w:t xml:space="preserve"> take</w:t>
      </w:r>
      <w:r w:rsidRPr="00E77F77">
        <w:t>n</w:t>
      </w:r>
      <w:r w:rsidRPr="00E54C11">
        <w:t xml:space="preserve"> </w:t>
      </w:r>
      <w:r w:rsidRPr="00E77F77">
        <w:t>a</w:t>
      </w:r>
      <w:r w:rsidRPr="00E54C11">
        <w:t xml:space="preserve"> hie</w:t>
      </w:r>
      <w:r w:rsidRPr="00E77F77">
        <w:t>r</w:t>
      </w:r>
      <w:r w:rsidRPr="00E54C11">
        <w:t>a</w:t>
      </w:r>
      <w:r w:rsidRPr="00E77F77">
        <w:t>r</w:t>
      </w:r>
      <w:r w:rsidRPr="00E54C11">
        <w:t>ch</w:t>
      </w:r>
      <w:r w:rsidRPr="00E77F77">
        <w:t>y</w:t>
      </w:r>
      <w:r w:rsidRPr="00E54C11">
        <w:t xml:space="preserve"> o</w:t>
      </w:r>
      <w:r w:rsidRPr="00E77F77">
        <w:t>f</w:t>
      </w:r>
      <w:r w:rsidRPr="00E54C11">
        <w:t xml:space="preserve"> </w:t>
      </w:r>
      <w:r w:rsidRPr="00E77F77">
        <w:t>r</w:t>
      </w:r>
      <w:r w:rsidRPr="00E54C11">
        <w:t>is</w:t>
      </w:r>
      <w:r w:rsidRPr="00E77F77">
        <w:t xml:space="preserve">k </w:t>
      </w:r>
      <w:r w:rsidRPr="00E54C11">
        <w:t>cont</w:t>
      </w:r>
      <w:r w:rsidRPr="00E77F77">
        <w:t>r</w:t>
      </w:r>
      <w:r w:rsidRPr="00E54C11">
        <w:t>o</w:t>
      </w:r>
      <w:r w:rsidRPr="00E77F77">
        <w:t>l</w:t>
      </w:r>
      <w:r w:rsidRPr="00E54C11">
        <w:t xml:space="preserve"> measu</w:t>
      </w:r>
      <w:r w:rsidRPr="00E77F77">
        <w:t>r</w:t>
      </w:r>
      <w:r w:rsidRPr="00E54C11">
        <w:t>e</w:t>
      </w:r>
      <w:r w:rsidRPr="00E77F77">
        <w:t>s</w:t>
      </w:r>
      <w:r w:rsidRPr="00E54C11">
        <w:t xml:space="preserve"> shoul</w:t>
      </w:r>
      <w:r w:rsidRPr="00E77F77">
        <w:t>d</w:t>
      </w:r>
      <w:r w:rsidRPr="00E54C11">
        <w:t xml:space="preserve"> b</w:t>
      </w:r>
      <w:r w:rsidRPr="00E77F77">
        <w:t>e</w:t>
      </w:r>
      <w:r w:rsidRPr="00E54C11">
        <w:t xml:space="preserve"> conside</w:t>
      </w:r>
      <w:r w:rsidRPr="00E77F77">
        <w:t>r</w:t>
      </w:r>
      <w:r w:rsidRPr="00E54C11">
        <w:t>e</w:t>
      </w:r>
      <w:r w:rsidRPr="00E77F77">
        <w:t>d</w:t>
      </w:r>
      <w:r w:rsidRPr="00E54C11">
        <w:t xml:space="preserve"> i</w:t>
      </w:r>
      <w:r w:rsidRPr="00E77F77">
        <w:t>n</w:t>
      </w:r>
      <w:r w:rsidRPr="00E54C11">
        <w:t xml:space="preserve"> th</w:t>
      </w:r>
      <w:r w:rsidRPr="00E77F77">
        <w:t>e</w:t>
      </w:r>
      <w:r w:rsidRPr="00E54C11">
        <w:t xml:space="preserve"> followin</w:t>
      </w:r>
      <w:r w:rsidRPr="00E77F77">
        <w:t>g</w:t>
      </w:r>
      <w:r w:rsidRPr="00E54C11">
        <w:t xml:space="preserve"> o</w:t>
      </w:r>
      <w:r w:rsidRPr="00E77F77">
        <w:t>r</w:t>
      </w:r>
      <w:r w:rsidRPr="00E54C11">
        <w:t>der</w:t>
      </w:r>
      <w:r>
        <w:t>:</w:t>
      </w:r>
    </w:p>
    <w:p w14:paraId="6819BD43" w14:textId="77777777" w:rsidR="008F7BB3" w:rsidRPr="00E54C11" w:rsidRDefault="008F7BB3" w:rsidP="005A7DDA">
      <w:pPr>
        <w:pStyle w:val="SchedClauses"/>
        <w:widowControl/>
        <w:numPr>
          <w:ilvl w:val="2"/>
          <w:numId w:val="70"/>
        </w:numPr>
        <w:spacing w:line="276" w:lineRule="auto"/>
        <w:rPr>
          <w:sz w:val="24"/>
        </w:rPr>
      </w:pPr>
      <w:r w:rsidRPr="00E54C11">
        <w:rPr>
          <w:sz w:val="24"/>
        </w:rPr>
        <w:t>Elimination or removal of the risk;</w:t>
      </w:r>
    </w:p>
    <w:p w14:paraId="3E7EABFA" w14:textId="77777777" w:rsidR="008F7BB3" w:rsidRPr="00E54C11" w:rsidRDefault="008F7BB3" w:rsidP="005A7DDA">
      <w:pPr>
        <w:pStyle w:val="SchedClauses"/>
        <w:widowControl/>
        <w:numPr>
          <w:ilvl w:val="2"/>
          <w:numId w:val="70"/>
        </w:numPr>
        <w:spacing w:line="276" w:lineRule="auto"/>
        <w:rPr>
          <w:sz w:val="24"/>
        </w:rPr>
      </w:pPr>
      <w:r w:rsidRPr="00E54C11">
        <w:rPr>
          <w:sz w:val="24"/>
        </w:rPr>
        <w:t>Substitution with a less risky option;</w:t>
      </w:r>
    </w:p>
    <w:p w14:paraId="1C985A3B" w14:textId="77777777" w:rsidR="008F7BB3" w:rsidRPr="00E54C11" w:rsidRDefault="008F7BB3" w:rsidP="005A7DDA">
      <w:pPr>
        <w:pStyle w:val="SchedClauses"/>
        <w:widowControl/>
        <w:numPr>
          <w:ilvl w:val="2"/>
          <w:numId w:val="70"/>
        </w:numPr>
        <w:spacing w:line="276" w:lineRule="auto"/>
        <w:rPr>
          <w:sz w:val="24"/>
        </w:rPr>
      </w:pPr>
      <w:r w:rsidRPr="00E54C11">
        <w:rPr>
          <w:sz w:val="24"/>
        </w:rPr>
        <w:t>Enclosure or segregation of the risk;</w:t>
      </w:r>
    </w:p>
    <w:p w14:paraId="1BCA5D0E" w14:textId="77777777" w:rsidR="008F7BB3" w:rsidRPr="00E54C11" w:rsidRDefault="008F7BB3" w:rsidP="005A7DDA">
      <w:pPr>
        <w:pStyle w:val="SchedClauses"/>
        <w:widowControl/>
        <w:numPr>
          <w:ilvl w:val="2"/>
          <w:numId w:val="70"/>
        </w:numPr>
        <w:spacing w:line="276" w:lineRule="auto"/>
        <w:rPr>
          <w:sz w:val="24"/>
        </w:rPr>
      </w:pPr>
      <w:r w:rsidRPr="00E54C11">
        <w:rPr>
          <w:sz w:val="24"/>
        </w:rPr>
        <w:t>Prevention of access of/to the risk;</w:t>
      </w:r>
    </w:p>
    <w:p w14:paraId="3D60B0D6" w14:textId="77777777" w:rsidR="008F7BB3" w:rsidRPr="00E54C11" w:rsidRDefault="008F7BB3" w:rsidP="005A7DDA">
      <w:pPr>
        <w:pStyle w:val="SchedClauses"/>
        <w:widowControl/>
        <w:numPr>
          <w:ilvl w:val="2"/>
          <w:numId w:val="70"/>
        </w:numPr>
        <w:spacing w:line="276" w:lineRule="auto"/>
        <w:rPr>
          <w:sz w:val="24"/>
        </w:rPr>
      </w:pPr>
      <w:r w:rsidRPr="00E54C11">
        <w:rPr>
          <w:sz w:val="24"/>
        </w:rPr>
        <w:t>Organising work to reduce exposure to the risk;</w:t>
      </w:r>
    </w:p>
    <w:p w14:paraId="416CD7E9" w14:textId="77777777" w:rsidR="008F7BB3" w:rsidRPr="00E54C11" w:rsidRDefault="008F7BB3" w:rsidP="005A7DDA">
      <w:pPr>
        <w:pStyle w:val="SchedClauses"/>
        <w:widowControl/>
        <w:numPr>
          <w:ilvl w:val="2"/>
          <w:numId w:val="70"/>
        </w:numPr>
        <w:spacing w:line="276" w:lineRule="auto"/>
        <w:rPr>
          <w:sz w:val="24"/>
        </w:rPr>
      </w:pPr>
      <w:r w:rsidRPr="00E54C11">
        <w:rPr>
          <w:sz w:val="24"/>
        </w:rPr>
        <w:t>Safe systems of work/safe operating procedures.</w:t>
      </w:r>
    </w:p>
    <w:p w14:paraId="07A3DB24" w14:textId="77777777" w:rsidR="008F7BB3" w:rsidRPr="00E77F77" w:rsidRDefault="008F7BB3" w:rsidP="008F7BB3">
      <w:pPr>
        <w:pStyle w:val="Heading4"/>
      </w:pPr>
      <w:r w:rsidRPr="00E54C11">
        <w:lastRenderedPageBreak/>
        <w:t>Conside</w:t>
      </w:r>
      <w:r w:rsidRPr="00E77F77">
        <w:t>r</w:t>
      </w:r>
      <w:r w:rsidRPr="00E54C11">
        <w:t>atio</w:t>
      </w:r>
      <w:r w:rsidRPr="00E77F77">
        <w:t>n</w:t>
      </w:r>
      <w:r w:rsidRPr="00E54C11">
        <w:t xml:space="preserve"> shoul</w:t>
      </w:r>
      <w:r w:rsidRPr="00E77F77">
        <w:t>d</w:t>
      </w:r>
      <w:r w:rsidRPr="00E54C11">
        <w:t xml:space="preserve"> als</w:t>
      </w:r>
      <w:r w:rsidRPr="00E77F77">
        <w:t>o</w:t>
      </w:r>
      <w:r w:rsidRPr="00E54C11">
        <w:t xml:space="preserve"> b</w:t>
      </w:r>
      <w:r w:rsidRPr="00E77F77">
        <w:t>e</w:t>
      </w:r>
      <w:r w:rsidRPr="00E54C11">
        <w:t xml:space="preserve"> give</w:t>
      </w:r>
      <w:r w:rsidRPr="00E77F77">
        <w:t>n</w:t>
      </w:r>
      <w:r w:rsidRPr="00E54C11">
        <w:t xml:space="preserve"> t</w:t>
      </w:r>
      <w:r w:rsidRPr="00E77F77">
        <w:t>o</w:t>
      </w:r>
      <w:r w:rsidRPr="00E54C11">
        <w:t xml:space="preserve"> staf</w:t>
      </w:r>
      <w:r w:rsidRPr="00E77F77">
        <w:t>f</w:t>
      </w:r>
      <w:r w:rsidRPr="00E54C11">
        <w:t xml:space="preserve"> t</w:t>
      </w:r>
      <w:r w:rsidRPr="00E77F77">
        <w:t>r</w:t>
      </w:r>
      <w:r w:rsidRPr="00E54C11">
        <w:t>ainin</w:t>
      </w:r>
      <w:r w:rsidRPr="00E77F77">
        <w:t>g r</w:t>
      </w:r>
      <w:r w:rsidRPr="00E54C11">
        <w:t>equi</w:t>
      </w:r>
      <w:r w:rsidRPr="00E77F77">
        <w:t>r</w:t>
      </w:r>
      <w:r w:rsidRPr="00E54C11">
        <w:t>ements</w:t>
      </w:r>
      <w:r w:rsidRPr="00E77F77">
        <w:t>,</w:t>
      </w:r>
      <w:r w:rsidRPr="00E54C11">
        <w:t xml:space="preserve"> includin</w:t>
      </w:r>
      <w:r w:rsidRPr="00E77F77">
        <w:t>g</w:t>
      </w:r>
      <w:r w:rsidRPr="00E54C11">
        <w:t xml:space="preserve"> thos</w:t>
      </w:r>
      <w:r w:rsidRPr="00E77F77">
        <w:t>e</w:t>
      </w:r>
      <w:r w:rsidRPr="00E54C11">
        <w:t xml:space="preserve"> a</w:t>
      </w:r>
      <w:r w:rsidRPr="00E77F77">
        <w:t>r</w:t>
      </w:r>
      <w:r w:rsidRPr="00E54C11">
        <w:t>isin</w:t>
      </w:r>
      <w:r w:rsidRPr="00E77F77">
        <w:t>g</w:t>
      </w:r>
      <w:r w:rsidRPr="00E54C11">
        <w:t xml:space="preserve"> f</w:t>
      </w:r>
      <w:r w:rsidRPr="00E77F77">
        <w:t>r</w:t>
      </w:r>
      <w:r w:rsidRPr="00E54C11">
        <w:t>o</w:t>
      </w:r>
      <w:r w:rsidRPr="00E77F77">
        <w:t>m</w:t>
      </w:r>
      <w:r w:rsidRPr="00E54C11">
        <w:t xml:space="preserve"> implementatio</w:t>
      </w:r>
      <w:r w:rsidRPr="00E77F77">
        <w:t>n</w:t>
      </w:r>
      <w:r w:rsidRPr="00E54C11">
        <w:t xml:space="preserve"> o</w:t>
      </w:r>
      <w:r w:rsidRPr="00E77F77">
        <w:t xml:space="preserve">f </w:t>
      </w:r>
      <w:r w:rsidRPr="00E54C11">
        <w:t>th</w:t>
      </w:r>
      <w:r w:rsidRPr="00E77F77">
        <w:t>e</w:t>
      </w:r>
      <w:r w:rsidRPr="00E54C11">
        <w:t xml:space="preserve"> cont</w:t>
      </w:r>
      <w:r w:rsidRPr="00E77F77">
        <w:t>r</w:t>
      </w:r>
      <w:r w:rsidRPr="00E54C11">
        <w:t>o</w:t>
      </w:r>
      <w:r w:rsidRPr="00E77F77">
        <w:t>l</w:t>
      </w:r>
      <w:r w:rsidRPr="00E54C11">
        <w:t xml:space="preserve"> measu</w:t>
      </w:r>
      <w:r w:rsidRPr="00E77F77">
        <w:t>r</w:t>
      </w:r>
      <w:r w:rsidRPr="00E54C11">
        <w:t>es</w:t>
      </w:r>
      <w:r w:rsidRPr="00E77F77">
        <w:t xml:space="preserve">. </w:t>
      </w:r>
    </w:p>
    <w:p w14:paraId="341AB138" w14:textId="77777777" w:rsidR="008F7BB3" w:rsidRPr="00E77F77" w:rsidRDefault="008F7BB3" w:rsidP="008F7BB3">
      <w:pPr>
        <w:pStyle w:val="Heading4"/>
      </w:pPr>
      <w:r w:rsidRPr="00E54C11">
        <w:t>The</w:t>
      </w:r>
      <w:r w:rsidRPr="00E77F77">
        <w:t>re</w:t>
      </w:r>
      <w:r w:rsidRPr="00E54C11">
        <w:t xml:space="preserve"> wil</w:t>
      </w:r>
      <w:r w:rsidRPr="00E77F77">
        <w:t>l</w:t>
      </w:r>
      <w:r w:rsidRPr="00E54C11">
        <w:t xml:space="preserve"> b</w:t>
      </w:r>
      <w:r w:rsidRPr="00E77F77">
        <w:t>e</w:t>
      </w:r>
      <w:r w:rsidRPr="00E54C11">
        <w:t xml:space="preserve"> occasion</w:t>
      </w:r>
      <w:r w:rsidRPr="00E77F77">
        <w:t>s</w:t>
      </w:r>
      <w:r w:rsidRPr="00E54C11">
        <w:t xml:space="preserve"> whe</w:t>
      </w:r>
      <w:r w:rsidRPr="00E77F77">
        <w:t>n</w:t>
      </w:r>
      <w:r w:rsidRPr="00E54C11">
        <w:t xml:space="preserve"> th</w:t>
      </w:r>
      <w:r w:rsidRPr="00E77F77">
        <w:t>e</w:t>
      </w:r>
      <w:r w:rsidRPr="00E54C11">
        <w:t xml:space="preserve"> additiona</w:t>
      </w:r>
      <w:r w:rsidRPr="00E77F77">
        <w:t>l</w:t>
      </w:r>
      <w:r w:rsidRPr="00E54C11">
        <w:t xml:space="preserve"> cont</w:t>
      </w:r>
      <w:r w:rsidRPr="00E77F77">
        <w:t>r</w:t>
      </w:r>
      <w:r w:rsidRPr="00E54C11">
        <w:t>o</w:t>
      </w:r>
      <w:r w:rsidRPr="00E77F77">
        <w:t>l</w:t>
      </w:r>
      <w:r w:rsidRPr="00E54C11">
        <w:t xml:space="preserve"> measu</w:t>
      </w:r>
      <w:r w:rsidRPr="00E77F77">
        <w:t>r</w:t>
      </w:r>
      <w:r w:rsidRPr="00E54C11">
        <w:t>e</w:t>
      </w:r>
      <w:r w:rsidRPr="00E77F77">
        <w:t>s r</w:t>
      </w:r>
      <w:r w:rsidRPr="00E54C11">
        <w:t>equi</w:t>
      </w:r>
      <w:r w:rsidRPr="00E77F77">
        <w:t>r</w:t>
      </w:r>
      <w:r w:rsidRPr="00E54C11">
        <w:t>e</w:t>
      </w:r>
      <w:r w:rsidRPr="00E77F77">
        <w:t>d</w:t>
      </w:r>
      <w:r w:rsidRPr="00E54C11">
        <w:t xml:space="preserve"> ma</w:t>
      </w:r>
      <w:r w:rsidRPr="00E77F77">
        <w:t>y</w:t>
      </w:r>
      <w:r w:rsidRPr="00E54C11">
        <w:t xml:space="preserve"> tak</w:t>
      </w:r>
      <w:r w:rsidRPr="00E77F77">
        <w:t>e</w:t>
      </w:r>
      <w:r w:rsidRPr="00E54C11">
        <w:t xml:space="preserve"> som</w:t>
      </w:r>
      <w:r w:rsidRPr="00E77F77">
        <w:t>e</w:t>
      </w:r>
      <w:r w:rsidRPr="00E54C11">
        <w:t xml:space="preserve"> tim</w:t>
      </w:r>
      <w:r w:rsidRPr="00E77F77">
        <w:t>e</w:t>
      </w:r>
      <w:r w:rsidRPr="00E54C11">
        <w:t xml:space="preserve"> t</w:t>
      </w:r>
      <w:r w:rsidRPr="00E77F77">
        <w:t>o</w:t>
      </w:r>
      <w:r w:rsidRPr="00E54C11">
        <w:t xml:space="preserve"> implement</w:t>
      </w:r>
      <w:r w:rsidRPr="00E77F77">
        <w:t>.</w:t>
      </w:r>
      <w:r w:rsidRPr="00E54C11">
        <w:t xml:space="preserve"> Th</w:t>
      </w:r>
      <w:r w:rsidRPr="00E77F77">
        <w:t>e</w:t>
      </w:r>
      <w:r w:rsidRPr="00E54C11">
        <w:t xml:space="preserve"> </w:t>
      </w:r>
      <w:r w:rsidRPr="00E77F77">
        <w:t>r</w:t>
      </w:r>
      <w:r w:rsidRPr="00E54C11">
        <w:t>eques</w:t>
      </w:r>
      <w:r w:rsidRPr="00E77F77">
        <w:t>t</w:t>
      </w:r>
      <w:r w:rsidRPr="00E54C11">
        <w:t xml:space="preserve"> fo</w:t>
      </w:r>
      <w:r w:rsidRPr="00E77F77">
        <w:t xml:space="preserve">r </w:t>
      </w:r>
      <w:r w:rsidRPr="00E54C11">
        <w:t>thes</w:t>
      </w:r>
      <w:r w:rsidRPr="00E77F77">
        <w:t>e</w:t>
      </w:r>
      <w:r w:rsidRPr="00E54C11">
        <w:t xml:space="preserve"> cont</w:t>
      </w:r>
      <w:r w:rsidRPr="00E77F77">
        <w:t>r</w:t>
      </w:r>
      <w:r w:rsidRPr="00E54C11">
        <w:t>ol</w:t>
      </w:r>
      <w:r w:rsidRPr="00E77F77">
        <w:t>s</w:t>
      </w:r>
      <w:r w:rsidRPr="00E54C11">
        <w:t xml:space="preserve"> shoul</w:t>
      </w:r>
      <w:r w:rsidRPr="00E77F77">
        <w:t>d</w:t>
      </w:r>
      <w:r w:rsidRPr="00E54C11">
        <w:t xml:space="preserve"> fo</w:t>
      </w:r>
      <w:r w:rsidRPr="00E77F77">
        <w:t>rm</w:t>
      </w:r>
      <w:r w:rsidRPr="00E54C11">
        <w:t xml:space="preserve"> pa</w:t>
      </w:r>
      <w:r w:rsidRPr="00E77F77">
        <w:t>rt</w:t>
      </w:r>
      <w:r w:rsidRPr="00E54C11">
        <w:t xml:space="preserve"> o</w:t>
      </w:r>
      <w:r w:rsidRPr="00E77F77">
        <w:t>f</w:t>
      </w:r>
      <w:r w:rsidRPr="00E54C11">
        <w:t xml:space="preserve"> th</w:t>
      </w:r>
      <w:r w:rsidRPr="00E77F77">
        <w:t>e</w:t>
      </w:r>
      <w:r w:rsidRPr="00E54C11">
        <w:t xml:space="preserve"> Actio</w:t>
      </w:r>
      <w:r w:rsidRPr="00E77F77">
        <w:t>n</w:t>
      </w:r>
      <w:r w:rsidRPr="00E54C11">
        <w:t xml:space="preserve"> </w:t>
      </w:r>
      <w:r w:rsidRPr="00E77F77">
        <w:t>P</w:t>
      </w:r>
      <w:r w:rsidRPr="00E54C11">
        <w:t>la</w:t>
      </w:r>
      <w:r w:rsidRPr="00E77F77">
        <w:t>n</w:t>
      </w:r>
      <w:r w:rsidRPr="00E54C11">
        <w:t xml:space="preserve"> t</w:t>
      </w:r>
      <w:r w:rsidRPr="00E77F77">
        <w:t>o</w:t>
      </w:r>
      <w:r w:rsidRPr="00E54C11">
        <w:t xml:space="preserve"> b</w:t>
      </w:r>
      <w:r w:rsidRPr="00E77F77">
        <w:t>e</w:t>
      </w:r>
      <w:r w:rsidRPr="00E54C11">
        <w:t xml:space="preserve"> ag</w:t>
      </w:r>
      <w:r w:rsidRPr="00E77F77">
        <w:t>r</w:t>
      </w:r>
      <w:r w:rsidRPr="00E54C11">
        <w:t>ee</w:t>
      </w:r>
      <w:r w:rsidRPr="00E77F77">
        <w:t xml:space="preserve">d </w:t>
      </w:r>
      <w:r w:rsidRPr="00E54C11">
        <w:t>wit</w:t>
      </w:r>
      <w:r w:rsidRPr="00E77F77">
        <w:t>h</w:t>
      </w:r>
      <w:r w:rsidRPr="00E54C11">
        <w:t xml:space="preserve"> th</w:t>
      </w:r>
      <w:r w:rsidRPr="00E77F77">
        <w:t>e</w:t>
      </w:r>
      <w:r w:rsidRPr="00E54C11">
        <w:t xml:space="preserve"> Hea</w:t>
      </w:r>
      <w:r w:rsidRPr="00E77F77">
        <w:t>d</w:t>
      </w:r>
      <w:r w:rsidRPr="00E54C11">
        <w:t xml:space="preserve"> o</w:t>
      </w:r>
      <w:r w:rsidRPr="00E77F77">
        <w:t>f</w:t>
      </w:r>
      <w:r w:rsidRPr="00E54C11">
        <w:t xml:space="preserve"> </w:t>
      </w:r>
      <w:r w:rsidRPr="00E77F77">
        <w:t>S</w:t>
      </w:r>
      <w:r w:rsidRPr="00E54C11">
        <w:t>e</w:t>
      </w:r>
      <w:r w:rsidRPr="00E77F77">
        <w:t>r</w:t>
      </w:r>
      <w:r w:rsidRPr="00E54C11">
        <w:t>vice</w:t>
      </w:r>
      <w:r w:rsidRPr="00E77F77">
        <w:t>.</w:t>
      </w:r>
      <w:r w:rsidRPr="00E54C11">
        <w:t xml:space="preserve"> Th</w:t>
      </w:r>
      <w:r w:rsidRPr="00E77F77">
        <w:t>e</w:t>
      </w:r>
      <w:r w:rsidRPr="00E54C11">
        <w:t xml:space="preserve"> ne</w:t>
      </w:r>
      <w:r w:rsidRPr="00E77F77">
        <w:t>w</w:t>
      </w:r>
      <w:r w:rsidRPr="00E54C11">
        <w:t xml:space="preserve"> </w:t>
      </w:r>
      <w:r w:rsidRPr="00E77F77">
        <w:t>r</w:t>
      </w:r>
      <w:r w:rsidRPr="00E54C11">
        <w:t>is</w:t>
      </w:r>
      <w:r w:rsidRPr="00E77F77">
        <w:t>k</w:t>
      </w:r>
      <w:r w:rsidRPr="00E54C11">
        <w:t xml:space="preserve"> </w:t>
      </w:r>
      <w:r w:rsidRPr="00E77F77">
        <w:t>r</w:t>
      </w:r>
      <w:r w:rsidRPr="00E54C11">
        <w:t>atin</w:t>
      </w:r>
      <w:r w:rsidRPr="00E77F77">
        <w:t>g</w:t>
      </w:r>
      <w:r w:rsidRPr="00E54C11">
        <w:t xml:space="preserve"> figu</w:t>
      </w:r>
      <w:r w:rsidRPr="00E77F77">
        <w:t>re</w:t>
      </w:r>
      <w:r w:rsidRPr="00E54C11">
        <w:t xml:space="preserve"> wil</w:t>
      </w:r>
      <w:r w:rsidRPr="00E77F77">
        <w:t xml:space="preserve">l </w:t>
      </w:r>
      <w:r w:rsidRPr="00E54C11">
        <w:t>quantif</w:t>
      </w:r>
      <w:r w:rsidRPr="00E77F77">
        <w:t>y</w:t>
      </w:r>
      <w:r w:rsidRPr="00E54C11">
        <w:t xml:space="preserve"> th</w:t>
      </w:r>
      <w:r w:rsidRPr="00E77F77">
        <w:t>e</w:t>
      </w:r>
      <w:r w:rsidRPr="00E54C11">
        <w:t xml:space="preserve"> p</w:t>
      </w:r>
      <w:r w:rsidRPr="00E77F77">
        <w:t>r</w:t>
      </w:r>
      <w:r w:rsidRPr="00E54C11">
        <w:t>ojecte</w:t>
      </w:r>
      <w:r w:rsidRPr="00E77F77">
        <w:t>d</w:t>
      </w:r>
      <w:r w:rsidRPr="00E54C11">
        <w:t xml:space="preserve"> </w:t>
      </w:r>
      <w:r w:rsidRPr="00E77F77">
        <w:t>r</w:t>
      </w:r>
      <w:r w:rsidRPr="00E54C11">
        <w:t>eductio</w:t>
      </w:r>
      <w:r w:rsidRPr="00E77F77">
        <w:t>n</w:t>
      </w:r>
      <w:r w:rsidRPr="00E54C11">
        <w:t xml:space="preserve"> i</w:t>
      </w:r>
      <w:r w:rsidRPr="00E77F77">
        <w:t>n</w:t>
      </w:r>
      <w:r w:rsidRPr="00E54C11">
        <w:t xml:space="preserve"> </w:t>
      </w:r>
      <w:r w:rsidRPr="00E77F77">
        <w:t>r</w:t>
      </w:r>
      <w:r w:rsidRPr="00E54C11">
        <w:t>isk</w:t>
      </w:r>
      <w:r w:rsidRPr="00E77F77">
        <w:t>.</w:t>
      </w:r>
    </w:p>
    <w:p w14:paraId="7F0D9392" w14:textId="77777777" w:rsidR="008F7BB3" w:rsidRPr="00E54C11" w:rsidRDefault="008F7BB3" w:rsidP="008F7BB3">
      <w:pPr>
        <w:pStyle w:val="Heading4"/>
        <w:rPr>
          <w:b/>
        </w:rPr>
      </w:pPr>
      <w:r w:rsidRPr="00E54C11">
        <w:rPr>
          <w:b/>
        </w:rPr>
        <w:t>Section G – Action Plan Agreed with Manager</w:t>
      </w:r>
    </w:p>
    <w:p w14:paraId="46E34D43" w14:textId="77777777" w:rsidR="008F7BB3" w:rsidRPr="00E77F77" w:rsidRDefault="008F7BB3" w:rsidP="008F7BB3">
      <w:pPr>
        <w:pStyle w:val="Heading4"/>
      </w:pPr>
      <w:r w:rsidRPr="00E54C11">
        <w:t>Th</w:t>
      </w:r>
      <w:r w:rsidRPr="00E77F77">
        <w:t>e</w:t>
      </w:r>
      <w:r w:rsidRPr="00E54C11">
        <w:t xml:space="preserve"> Actio</w:t>
      </w:r>
      <w:r w:rsidRPr="00E77F77">
        <w:t>n</w:t>
      </w:r>
      <w:r w:rsidRPr="00E54C11">
        <w:t xml:space="preserve"> </w:t>
      </w:r>
      <w:r w:rsidRPr="00E77F77">
        <w:t>P</w:t>
      </w:r>
      <w:r w:rsidRPr="00E54C11">
        <w:t>la</w:t>
      </w:r>
      <w:r w:rsidRPr="00E77F77">
        <w:t>n</w:t>
      </w:r>
      <w:r w:rsidRPr="00E54C11">
        <w:t xml:space="preserve"> i</w:t>
      </w:r>
      <w:r w:rsidRPr="00E77F77">
        <w:t>s</w:t>
      </w:r>
      <w:r w:rsidRPr="00E54C11">
        <w:t xml:space="preserve"> documente</w:t>
      </w:r>
      <w:r w:rsidRPr="00E77F77">
        <w:t>d</w:t>
      </w:r>
      <w:r w:rsidRPr="00E54C11">
        <w:t xml:space="preserve"> confi</w:t>
      </w:r>
      <w:r w:rsidRPr="00E77F77">
        <w:t>r</w:t>
      </w:r>
      <w:r w:rsidRPr="00E54C11">
        <w:t>matio</w:t>
      </w:r>
      <w:r w:rsidRPr="00E77F77">
        <w:t>n</w:t>
      </w:r>
      <w:r w:rsidRPr="00E54C11">
        <w:t xml:space="preserve"> tha</w:t>
      </w:r>
      <w:r w:rsidRPr="00E77F77">
        <w:t>t</w:t>
      </w:r>
      <w:r w:rsidRPr="00E54C11">
        <w:t xml:space="preserve"> th</w:t>
      </w:r>
      <w:r w:rsidRPr="00E77F77">
        <w:t>e</w:t>
      </w:r>
      <w:r w:rsidRPr="00E54C11">
        <w:t xml:space="preserve"> additiona</w:t>
      </w:r>
      <w:r w:rsidRPr="00E77F77">
        <w:t>l r</w:t>
      </w:r>
      <w:r w:rsidRPr="00E54C11">
        <w:t>is</w:t>
      </w:r>
      <w:r w:rsidRPr="00E77F77">
        <w:t>k</w:t>
      </w:r>
      <w:r w:rsidRPr="00E54C11">
        <w:t xml:space="preserve"> cont</w:t>
      </w:r>
      <w:r w:rsidRPr="00E77F77">
        <w:t>r</w:t>
      </w:r>
      <w:r w:rsidRPr="00E54C11">
        <w:t>o</w:t>
      </w:r>
      <w:r w:rsidRPr="00E77F77">
        <w:t>l</w:t>
      </w:r>
      <w:r w:rsidRPr="00E54C11">
        <w:t xml:space="preserve"> measu</w:t>
      </w:r>
      <w:r w:rsidRPr="00E77F77">
        <w:t>r</w:t>
      </w:r>
      <w:r w:rsidRPr="00E54C11">
        <w:t>e</w:t>
      </w:r>
      <w:r w:rsidRPr="00E77F77">
        <w:t>s</w:t>
      </w:r>
      <w:r w:rsidRPr="00E54C11">
        <w:t xml:space="preserve"> hav</w:t>
      </w:r>
      <w:r w:rsidRPr="00E77F77">
        <w:t>e</w:t>
      </w:r>
      <w:r w:rsidRPr="00E54C11">
        <w:t xml:space="preserve"> bee</w:t>
      </w:r>
      <w:r w:rsidRPr="00E77F77">
        <w:t>n</w:t>
      </w:r>
      <w:r w:rsidRPr="00E54C11">
        <w:t xml:space="preserve"> identifie</w:t>
      </w:r>
      <w:r w:rsidRPr="00E77F77">
        <w:t>d</w:t>
      </w:r>
      <w:r w:rsidRPr="00E54C11">
        <w:t xml:space="preserve"> an</w:t>
      </w:r>
      <w:r w:rsidRPr="00E77F77">
        <w:t>d</w:t>
      </w:r>
      <w:r w:rsidRPr="00E54C11">
        <w:t xml:space="preserve"> ag</w:t>
      </w:r>
      <w:r w:rsidRPr="00E77F77">
        <w:t>r</w:t>
      </w:r>
      <w:r w:rsidRPr="00E54C11">
        <w:t>ee</w:t>
      </w:r>
      <w:r w:rsidRPr="00E77F77">
        <w:t xml:space="preserve">d </w:t>
      </w:r>
      <w:r w:rsidRPr="00E54C11">
        <w:t>wit</w:t>
      </w:r>
      <w:r w:rsidRPr="00E77F77">
        <w:t xml:space="preserve">h </w:t>
      </w:r>
      <w:r w:rsidRPr="00E54C11">
        <w:t>th</w:t>
      </w:r>
      <w:r w:rsidRPr="00E77F77">
        <w:t>e</w:t>
      </w:r>
      <w:r w:rsidRPr="00E54C11">
        <w:t xml:space="preserve"> manage</w:t>
      </w:r>
      <w:r w:rsidRPr="00E77F77">
        <w:t>r.</w:t>
      </w:r>
      <w:r w:rsidRPr="00E54C11">
        <w:t xml:space="preserve"> Thi</w:t>
      </w:r>
      <w:r w:rsidRPr="00E77F77">
        <w:t>s</w:t>
      </w:r>
      <w:r w:rsidRPr="00E54C11">
        <w:t xml:space="preserve"> shoul</w:t>
      </w:r>
      <w:r w:rsidRPr="00E77F77">
        <w:t>d</w:t>
      </w:r>
      <w:r w:rsidRPr="00E54C11">
        <w:t xml:space="preserve"> specif</w:t>
      </w:r>
      <w:r w:rsidRPr="00E77F77">
        <w:t>y</w:t>
      </w:r>
      <w:r w:rsidRPr="00E54C11">
        <w:t xml:space="preserve"> th</w:t>
      </w:r>
      <w:r w:rsidRPr="00E77F77">
        <w:t>e</w:t>
      </w:r>
      <w:r w:rsidRPr="00E54C11">
        <w:t xml:space="preserve"> expecte</w:t>
      </w:r>
      <w:r w:rsidRPr="00E77F77">
        <w:t>d</w:t>
      </w:r>
      <w:r w:rsidRPr="00E54C11">
        <w:t xml:space="preserve"> completio</w:t>
      </w:r>
      <w:r w:rsidRPr="00E77F77">
        <w:t xml:space="preserve">n </w:t>
      </w:r>
      <w:r w:rsidRPr="00E54C11">
        <w:t>dat</w:t>
      </w:r>
      <w:r w:rsidRPr="00E77F77">
        <w:t>e</w:t>
      </w:r>
      <w:r w:rsidRPr="00E54C11">
        <w:t xml:space="preserve"> an</w:t>
      </w:r>
      <w:r w:rsidRPr="00E77F77">
        <w:t>d</w:t>
      </w:r>
      <w:r w:rsidRPr="00E54C11">
        <w:t xml:space="preserve"> confi</w:t>
      </w:r>
      <w:r w:rsidRPr="00E77F77">
        <w:t>rm</w:t>
      </w:r>
      <w:r w:rsidRPr="00E54C11">
        <w:t xml:space="preserve"> whe</w:t>
      </w:r>
      <w:r w:rsidRPr="00E77F77">
        <w:t>n</w:t>
      </w:r>
      <w:r w:rsidRPr="00E54C11">
        <w:t xml:space="preserve"> cont</w:t>
      </w:r>
      <w:r w:rsidRPr="00E77F77">
        <w:t>r</w:t>
      </w:r>
      <w:r w:rsidRPr="00E54C11">
        <w:t>ol</w:t>
      </w:r>
      <w:r w:rsidRPr="00E77F77">
        <w:t>s</w:t>
      </w:r>
      <w:r w:rsidRPr="00E54C11">
        <w:t xml:space="preserve"> hav</w:t>
      </w:r>
      <w:r w:rsidRPr="00E77F77">
        <w:t>e</w:t>
      </w:r>
      <w:r w:rsidRPr="00E54C11">
        <w:t xml:space="preserve"> bee</w:t>
      </w:r>
      <w:r w:rsidRPr="00E77F77">
        <w:t>n</w:t>
      </w:r>
      <w:r w:rsidRPr="00E54C11">
        <w:t xml:space="preserve"> implemented</w:t>
      </w:r>
      <w:r w:rsidRPr="00E77F77">
        <w:t>.</w:t>
      </w:r>
      <w:r w:rsidRPr="00E54C11">
        <w:t xml:space="preserve"> </w:t>
      </w:r>
      <w:r w:rsidRPr="00E77F77">
        <w:t xml:space="preserve">A </w:t>
      </w:r>
      <w:r w:rsidRPr="00E54C11">
        <w:t>final/</w:t>
      </w:r>
      <w:r w:rsidRPr="00E77F77">
        <w:t>r</w:t>
      </w:r>
      <w:r w:rsidRPr="00E54C11">
        <w:t>esidua</w:t>
      </w:r>
      <w:r w:rsidRPr="00E77F77">
        <w:t>l</w:t>
      </w:r>
      <w:r w:rsidRPr="00E54C11">
        <w:t xml:space="preserve"> </w:t>
      </w:r>
      <w:r w:rsidRPr="00E77F77">
        <w:t>r</w:t>
      </w:r>
      <w:r w:rsidRPr="00E54C11">
        <w:t>is</w:t>
      </w:r>
      <w:r w:rsidRPr="00E77F77">
        <w:t>k</w:t>
      </w:r>
      <w:r w:rsidRPr="00E54C11">
        <w:t xml:space="preserve"> </w:t>
      </w:r>
      <w:r w:rsidRPr="00E77F77">
        <w:t>r</w:t>
      </w:r>
      <w:r w:rsidRPr="00E54C11">
        <w:t>atin</w:t>
      </w:r>
      <w:r w:rsidRPr="00E77F77">
        <w:t>g</w:t>
      </w:r>
      <w:r w:rsidRPr="00E54C11">
        <w:t xml:space="preserve"> figu</w:t>
      </w:r>
      <w:r w:rsidRPr="00E77F77">
        <w:t>re</w:t>
      </w:r>
      <w:r w:rsidRPr="00E54C11">
        <w:t xml:space="preserve"> shoul</w:t>
      </w:r>
      <w:r w:rsidRPr="00E77F77">
        <w:t>d</w:t>
      </w:r>
      <w:r w:rsidRPr="00E54C11">
        <w:t xml:space="preserve"> the</w:t>
      </w:r>
      <w:r w:rsidRPr="00E77F77">
        <w:t>n</w:t>
      </w:r>
      <w:r w:rsidRPr="00E54C11">
        <w:t xml:space="preserve"> b</w:t>
      </w:r>
      <w:r w:rsidRPr="00E77F77">
        <w:t>e</w:t>
      </w:r>
      <w:r w:rsidRPr="00E54C11">
        <w:t xml:space="preserve"> calculated</w:t>
      </w:r>
      <w:r w:rsidRPr="00E77F77">
        <w:t>:</w:t>
      </w:r>
      <w:r w:rsidRPr="00E54C11">
        <w:t xml:space="preserve"> thi</w:t>
      </w:r>
      <w:r w:rsidRPr="00E77F77">
        <w:t xml:space="preserve">s </w:t>
      </w:r>
      <w:r w:rsidRPr="00E54C11">
        <w:t>ma</w:t>
      </w:r>
      <w:r w:rsidRPr="00E77F77">
        <w:t>y</w:t>
      </w:r>
      <w:r w:rsidRPr="00E54C11">
        <w:t xml:space="preserve"> b</w:t>
      </w:r>
      <w:r w:rsidRPr="00E77F77">
        <w:t>e</w:t>
      </w:r>
      <w:r w:rsidRPr="00E54C11">
        <w:t xml:space="preserve"> diffe</w:t>
      </w:r>
      <w:r w:rsidRPr="00E77F77">
        <w:t>r</w:t>
      </w:r>
      <w:r w:rsidRPr="00E54C11">
        <w:t>en</w:t>
      </w:r>
      <w:r w:rsidRPr="00E77F77">
        <w:t>t</w:t>
      </w:r>
      <w:r w:rsidRPr="00E54C11">
        <w:t xml:space="preserve"> t</w:t>
      </w:r>
      <w:r w:rsidRPr="00E77F77">
        <w:t>o</w:t>
      </w:r>
      <w:r w:rsidRPr="00E54C11">
        <w:t xml:space="preserve"> th</w:t>
      </w:r>
      <w:r w:rsidRPr="00E77F77">
        <w:t>e</w:t>
      </w:r>
      <w:r w:rsidRPr="00E54C11">
        <w:t xml:space="preserve"> </w:t>
      </w:r>
      <w:r w:rsidRPr="00E77F77">
        <w:t>r</w:t>
      </w:r>
      <w:r w:rsidRPr="00E54C11">
        <w:t>is</w:t>
      </w:r>
      <w:r w:rsidRPr="00E77F77">
        <w:t>k</w:t>
      </w:r>
      <w:r w:rsidRPr="00E54C11">
        <w:t xml:space="preserve"> </w:t>
      </w:r>
      <w:r w:rsidRPr="00E77F77">
        <w:t>r</w:t>
      </w:r>
      <w:r w:rsidRPr="00E54C11">
        <w:t>atin</w:t>
      </w:r>
      <w:r w:rsidRPr="00E77F77">
        <w:t>g</w:t>
      </w:r>
      <w:r w:rsidRPr="00E54C11">
        <w:t xml:space="preserve"> detaile</w:t>
      </w:r>
      <w:r w:rsidRPr="00E77F77">
        <w:t>d</w:t>
      </w:r>
      <w:r w:rsidRPr="00E54C11">
        <w:t xml:space="preserve"> i</w:t>
      </w:r>
      <w:r w:rsidRPr="00E77F77">
        <w:t>n</w:t>
      </w:r>
      <w:r w:rsidRPr="00E54C11">
        <w:t xml:space="preserve"> </w:t>
      </w:r>
      <w:r w:rsidRPr="00E77F77">
        <w:t>S</w:t>
      </w:r>
      <w:r w:rsidRPr="00E54C11">
        <w:t>ectio</w:t>
      </w:r>
      <w:r w:rsidRPr="00E77F77">
        <w:t>n</w:t>
      </w:r>
      <w:r w:rsidRPr="00E54C11">
        <w:t xml:space="preserve"> </w:t>
      </w:r>
      <w:r w:rsidRPr="00E77F77">
        <w:t>F</w:t>
      </w:r>
      <w:r w:rsidRPr="00E54C11">
        <w:t xml:space="preserve"> i</w:t>
      </w:r>
      <w:r w:rsidRPr="00E77F77">
        <w:t>f</w:t>
      </w:r>
      <w:r w:rsidRPr="00E54C11">
        <w:t xml:space="preserve"> som</w:t>
      </w:r>
      <w:r w:rsidRPr="00E77F77">
        <w:t xml:space="preserve">e </w:t>
      </w:r>
      <w:r w:rsidRPr="00E54C11">
        <w:t>o</w:t>
      </w:r>
      <w:r w:rsidRPr="00E77F77">
        <w:t>f</w:t>
      </w:r>
      <w:r w:rsidRPr="00E54C11">
        <w:t xml:space="preserve"> th</w:t>
      </w:r>
      <w:r w:rsidRPr="00E77F77">
        <w:t>e</w:t>
      </w:r>
      <w:r w:rsidRPr="00E54C11">
        <w:t xml:space="preserve"> </w:t>
      </w:r>
      <w:r w:rsidRPr="00E77F77">
        <w:t>r</w:t>
      </w:r>
      <w:r w:rsidRPr="00E54C11">
        <w:t>ecommendation</w:t>
      </w:r>
      <w:r w:rsidRPr="00E77F77">
        <w:t>s</w:t>
      </w:r>
      <w:r w:rsidRPr="00E54C11">
        <w:t xml:space="preserve"> canno</w:t>
      </w:r>
      <w:r w:rsidRPr="00E77F77">
        <w:t>t</w:t>
      </w:r>
      <w:r w:rsidRPr="00E54C11">
        <w:t xml:space="preserve"> b</w:t>
      </w:r>
      <w:r w:rsidRPr="00E77F77">
        <w:t>e</w:t>
      </w:r>
      <w:r w:rsidRPr="00E54C11">
        <w:t xml:space="preserve"> actioned</w:t>
      </w:r>
      <w:r w:rsidRPr="00E77F77">
        <w:t>.</w:t>
      </w:r>
    </w:p>
    <w:p w14:paraId="1917DBAF" w14:textId="77777777" w:rsidR="008F7BB3" w:rsidRPr="00E54C11" w:rsidRDefault="008F7BB3" w:rsidP="008F7BB3">
      <w:pPr>
        <w:pStyle w:val="Heading4"/>
        <w:rPr>
          <w:b/>
        </w:rPr>
      </w:pPr>
      <w:r w:rsidRPr="00E54C11">
        <w:rPr>
          <w:b/>
        </w:rPr>
        <w:t>Risk Matrix</w:t>
      </w:r>
    </w:p>
    <w:p w14:paraId="435381F8" w14:textId="77777777" w:rsidR="008F7BB3" w:rsidRPr="00E77F77" w:rsidRDefault="008F7BB3" w:rsidP="008F7BB3">
      <w:pPr>
        <w:pStyle w:val="Heading4"/>
      </w:pPr>
      <w:r w:rsidRPr="00E54C11">
        <w:t>Asses</w:t>
      </w:r>
      <w:r w:rsidRPr="00E77F77">
        <w:t>s</w:t>
      </w:r>
      <w:r w:rsidRPr="00E54C11">
        <w:t xml:space="preserve"> eac</w:t>
      </w:r>
      <w:r w:rsidRPr="00E77F77">
        <w:t>h</w:t>
      </w:r>
      <w:r w:rsidRPr="00E54C11">
        <w:t xml:space="preserve"> </w:t>
      </w:r>
      <w:r w:rsidRPr="00E77F77">
        <w:t>r</w:t>
      </w:r>
      <w:r w:rsidRPr="00E54C11">
        <w:t>is</w:t>
      </w:r>
      <w:r w:rsidRPr="00E77F77">
        <w:t>k</w:t>
      </w:r>
      <w:r w:rsidRPr="00E54C11">
        <w:t xml:space="preserve"> agains</w:t>
      </w:r>
      <w:r w:rsidRPr="00E77F77">
        <w:t>t</w:t>
      </w:r>
      <w:r w:rsidRPr="00E54C11">
        <w:t xml:space="preserve"> th</w:t>
      </w:r>
      <w:r w:rsidRPr="00E77F77">
        <w:t>e</w:t>
      </w:r>
      <w:r w:rsidRPr="00E54C11">
        <w:t xml:space="preserve"> likelihoo</w:t>
      </w:r>
      <w:r w:rsidRPr="00E77F77">
        <w:t>d</w:t>
      </w:r>
      <w:r w:rsidRPr="00E54C11">
        <w:t xml:space="preserve"> o</w:t>
      </w:r>
      <w:r w:rsidRPr="00E77F77">
        <w:t>f</w:t>
      </w:r>
      <w:r w:rsidRPr="00E54C11">
        <w:t xml:space="preserve"> a</w:t>
      </w:r>
      <w:r w:rsidRPr="00E77F77">
        <w:t>n</w:t>
      </w:r>
      <w:r w:rsidRPr="00E54C11">
        <w:t xml:space="preserve"> inciden</w:t>
      </w:r>
      <w:r w:rsidRPr="00E77F77">
        <w:t>t</w:t>
      </w:r>
      <w:r w:rsidRPr="00E54C11">
        <w:t xml:space="preserve"> occu</w:t>
      </w:r>
      <w:r w:rsidRPr="00E77F77">
        <w:t>rr</w:t>
      </w:r>
      <w:r w:rsidRPr="00E54C11">
        <w:t>in</w:t>
      </w:r>
      <w:r w:rsidRPr="00E77F77">
        <w:t xml:space="preserve">g </w:t>
      </w:r>
      <w:r w:rsidRPr="00E54C11">
        <w:t>an</w:t>
      </w:r>
      <w:r w:rsidRPr="00E77F77">
        <w:t>d</w:t>
      </w:r>
      <w:r w:rsidRPr="00E54C11">
        <w:t xml:space="preserve"> shoul</w:t>
      </w:r>
      <w:r w:rsidRPr="00E77F77">
        <w:t>d</w:t>
      </w:r>
      <w:r w:rsidRPr="00E54C11">
        <w:t xml:space="preserve"> i</w:t>
      </w:r>
      <w:r w:rsidRPr="00E77F77">
        <w:t>t</w:t>
      </w:r>
      <w:r w:rsidRPr="00E54C11">
        <w:t xml:space="preserve"> happe</w:t>
      </w:r>
      <w:r w:rsidRPr="00E77F77">
        <w:t>n</w:t>
      </w:r>
      <w:r w:rsidRPr="00E54C11">
        <w:t xml:space="preserve"> th</w:t>
      </w:r>
      <w:r w:rsidRPr="00E77F77">
        <w:t>e</w:t>
      </w:r>
      <w:r w:rsidRPr="00E54C11">
        <w:t xml:space="preserve"> seve</w:t>
      </w:r>
      <w:r w:rsidRPr="00E77F77">
        <w:t>r</w:t>
      </w:r>
      <w:r w:rsidRPr="00E54C11">
        <w:t>it</w:t>
      </w:r>
      <w:r w:rsidRPr="00E77F77">
        <w:t>y</w:t>
      </w:r>
      <w:r w:rsidRPr="00E54C11">
        <w:t xml:space="preserve"> o</w:t>
      </w:r>
      <w:r w:rsidRPr="00E77F77">
        <w:t>f</w:t>
      </w:r>
      <w:r w:rsidRPr="00E54C11">
        <w:t xml:space="preserve"> th</w:t>
      </w:r>
      <w:r w:rsidRPr="00E77F77">
        <w:t>e</w:t>
      </w:r>
      <w:r w:rsidRPr="00E54C11">
        <w:t xml:space="preserve"> consequences</w:t>
      </w:r>
      <w:r w:rsidRPr="00E77F77">
        <w:t xml:space="preserve">. </w:t>
      </w:r>
    </w:p>
    <w:p w14:paraId="75ADE62D" w14:textId="77777777" w:rsidR="008F7BB3" w:rsidRPr="00E77F77" w:rsidRDefault="008F7BB3" w:rsidP="008F7BB3">
      <w:pPr>
        <w:pStyle w:val="Heading4"/>
      </w:pPr>
      <w:r w:rsidRPr="00E54C11">
        <w:t>LI</w:t>
      </w:r>
      <w:r w:rsidRPr="00E77F77">
        <w:t>KE</w:t>
      </w:r>
      <w:r w:rsidRPr="00E54C11">
        <w:t>LIHOO</w:t>
      </w:r>
      <w:r w:rsidRPr="00E77F77">
        <w:t>D</w:t>
      </w:r>
      <w:r w:rsidRPr="00E54C11">
        <w:t xml:space="preserve"> Takin</w:t>
      </w:r>
      <w:r w:rsidRPr="00E77F77">
        <w:t>g</w:t>
      </w:r>
      <w:r w:rsidRPr="00E54C11">
        <w:t xml:space="preserve"> int</w:t>
      </w:r>
      <w:r w:rsidRPr="00E77F77">
        <w:t>o</w:t>
      </w:r>
      <w:r w:rsidRPr="00E54C11">
        <w:t xml:space="preserve"> accoun</w:t>
      </w:r>
      <w:r w:rsidRPr="00E77F77">
        <w:t>t</w:t>
      </w:r>
      <w:r w:rsidRPr="00E54C11">
        <w:t xml:space="preserve"> th</w:t>
      </w:r>
      <w:r w:rsidRPr="00E77F77">
        <w:t>e</w:t>
      </w:r>
      <w:r w:rsidRPr="00E54C11">
        <w:t xml:space="preserve"> cont</w:t>
      </w:r>
      <w:r w:rsidRPr="00E77F77">
        <w:t>r</w:t>
      </w:r>
      <w:r w:rsidRPr="00E54C11">
        <w:t>ol</w:t>
      </w:r>
      <w:r w:rsidRPr="00E77F77">
        <w:t>s</w:t>
      </w:r>
      <w:r w:rsidRPr="00E54C11">
        <w:t xml:space="preserve"> i</w:t>
      </w:r>
      <w:r w:rsidRPr="00E77F77">
        <w:t>n</w:t>
      </w:r>
      <w:r w:rsidRPr="00E54C11">
        <w:t xml:space="preserve"> plac</w:t>
      </w:r>
      <w:r w:rsidRPr="00E77F77">
        <w:t>e</w:t>
      </w:r>
      <w:r w:rsidRPr="00E54C11">
        <w:t xml:space="preserve"> an</w:t>
      </w:r>
      <w:r w:rsidRPr="00E77F77">
        <w:t xml:space="preserve">d </w:t>
      </w:r>
      <w:r w:rsidRPr="00E54C11">
        <w:t>thei</w:t>
      </w:r>
      <w:r w:rsidRPr="00E77F77">
        <w:t>r</w:t>
      </w:r>
      <w:r w:rsidRPr="00E54C11">
        <w:t xml:space="preserve"> adequacy</w:t>
      </w:r>
      <w:r w:rsidRPr="00E77F77">
        <w:t>,</w:t>
      </w:r>
      <w:r w:rsidRPr="00E54C11">
        <w:t xml:space="preserve"> ho</w:t>
      </w:r>
      <w:r w:rsidRPr="00E77F77">
        <w:t>w</w:t>
      </w:r>
      <w:r w:rsidRPr="00E54C11">
        <w:t xml:space="preserve"> likel</w:t>
      </w:r>
      <w:r w:rsidRPr="00E77F77">
        <w:t>y</w:t>
      </w:r>
      <w:r w:rsidRPr="00E54C11">
        <w:t xml:space="preserve"> i</w:t>
      </w:r>
      <w:r w:rsidRPr="00E77F77">
        <w:t>s</w:t>
      </w:r>
      <w:r w:rsidRPr="00E54C11">
        <w:t xml:space="preserve"> i</w:t>
      </w:r>
      <w:r w:rsidRPr="00E77F77">
        <w:t>t</w:t>
      </w:r>
      <w:r w:rsidRPr="00E54C11">
        <w:t xml:space="preserve"> tha</w:t>
      </w:r>
      <w:r w:rsidRPr="00E77F77">
        <w:t>t</w:t>
      </w:r>
      <w:r w:rsidRPr="00E54C11">
        <w:t xml:space="preserve"> suc</w:t>
      </w:r>
      <w:r w:rsidRPr="00E77F77">
        <w:t>h</w:t>
      </w:r>
      <w:r w:rsidRPr="00E54C11">
        <w:t xml:space="preserve"> a</w:t>
      </w:r>
      <w:r w:rsidRPr="00E77F77">
        <w:t>n</w:t>
      </w:r>
      <w:r w:rsidRPr="00E54C11">
        <w:t xml:space="preserve"> inciden</w:t>
      </w:r>
      <w:r w:rsidRPr="00E77F77">
        <w:t>t</w:t>
      </w:r>
      <w:r w:rsidRPr="00E54C11">
        <w:t xml:space="preserve"> coul</w:t>
      </w:r>
      <w:r w:rsidRPr="00E77F77">
        <w:t xml:space="preserve">d </w:t>
      </w:r>
      <w:r w:rsidRPr="00E54C11">
        <w:t>occur</w:t>
      </w:r>
      <w:r w:rsidRPr="00E77F77">
        <w:t>?</w:t>
      </w:r>
      <w:r w:rsidRPr="00E54C11">
        <w:t xml:space="preserve"> </w:t>
      </w:r>
      <w:r w:rsidRPr="00E77F77">
        <w:t xml:space="preserve"> </w:t>
      </w:r>
      <w:r w:rsidRPr="00E54C11">
        <w:t>Appl</w:t>
      </w:r>
      <w:r w:rsidRPr="00E77F77">
        <w:t>y</w:t>
      </w:r>
      <w:r w:rsidRPr="00E54C11">
        <w:t xml:space="preserve"> </w:t>
      </w:r>
      <w:r w:rsidRPr="00E77F77">
        <w:t>a</w:t>
      </w:r>
      <w:r w:rsidRPr="00E54C11">
        <w:t xml:space="preserve"> sco</w:t>
      </w:r>
      <w:r w:rsidRPr="00E77F77">
        <w:t>re</w:t>
      </w:r>
      <w:r w:rsidRPr="00E54C11">
        <w:t xml:space="preserve"> acco</w:t>
      </w:r>
      <w:r w:rsidRPr="00E77F77">
        <w:t>r</w:t>
      </w:r>
      <w:r w:rsidRPr="00E54C11">
        <w:t>din</w:t>
      </w:r>
      <w:r w:rsidRPr="00E77F77">
        <w:t>g</w:t>
      </w:r>
      <w:r w:rsidRPr="00E54C11">
        <w:t xml:space="preserve"> t</w:t>
      </w:r>
      <w:r w:rsidRPr="00E77F77">
        <w:t>o</w:t>
      </w:r>
      <w:r w:rsidRPr="00E54C11">
        <w:t xml:space="preserve"> th</w:t>
      </w:r>
      <w:r w:rsidRPr="00E77F77">
        <w:t>e</w:t>
      </w:r>
      <w:r w:rsidRPr="00E54C11">
        <w:t xml:space="preserve"> followin</w:t>
      </w:r>
      <w:r w:rsidRPr="00E77F77">
        <w:t>g</w:t>
      </w:r>
      <w:r w:rsidRPr="00E54C11">
        <w:t xml:space="preserve"> scale</w:t>
      </w:r>
      <w:r w:rsidRPr="00E77F77">
        <w:t>:</w:t>
      </w:r>
    </w:p>
    <w:tbl>
      <w:tblPr>
        <w:tblStyle w:val="TableGrid"/>
        <w:tblW w:w="8505" w:type="dxa"/>
        <w:tblInd w:w="817" w:type="dxa"/>
        <w:tblLook w:val="04A0" w:firstRow="1" w:lastRow="0" w:firstColumn="1" w:lastColumn="0" w:noHBand="0" w:noVBand="1"/>
        <w:tblCaption w:val="A risk matrix table"/>
        <w:tblDescription w:val="a risk matrix table"/>
      </w:tblPr>
      <w:tblGrid>
        <w:gridCol w:w="1242"/>
        <w:gridCol w:w="2018"/>
        <w:gridCol w:w="5245"/>
      </w:tblGrid>
      <w:tr w:rsidR="008F7BB3" w:rsidRPr="00F94BA8" w14:paraId="7623FEA5" w14:textId="77777777" w:rsidTr="00BD5B3E">
        <w:trPr>
          <w:tblHeader/>
        </w:trPr>
        <w:tc>
          <w:tcPr>
            <w:tcW w:w="1242" w:type="dxa"/>
            <w:shd w:val="clear" w:color="auto" w:fill="0070C0"/>
          </w:tcPr>
          <w:p w14:paraId="2B643972" w14:textId="77777777" w:rsidR="008F7BB3" w:rsidRPr="00E54C11" w:rsidRDefault="008F7BB3" w:rsidP="008F7BB3">
            <w:pPr>
              <w:spacing w:before="200" w:after="60" w:line="276" w:lineRule="auto"/>
              <w:rPr>
                <w:b/>
                <w:color w:val="FFFFFF" w:themeColor="background1"/>
              </w:rPr>
            </w:pPr>
            <w:r w:rsidRPr="00E54C11">
              <w:rPr>
                <w:b/>
                <w:color w:val="FFFFFF" w:themeColor="background1"/>
              </w:rPr>
              <w:t>Level</w:t>
            </w:r>
          </w:p>
        </w:tc>
        <w:tc>
          <w:tcPr>
            <w:tcW w:w="2018" w:type="dxa"/>
            <w:shd w:val="clear" w:color="auto" w:fill="0070C0"/>
          </w:tcPr>
          <w:p w14:paraId="3EFC8FDF" w14:textId="77777777" w:rsidR="008F7BB3" w:rsidRPr="00E54C11" w:rsidRDefault="008F7BB3" w:rsidP="008F7BB3">
            <w:pPr>
              <w:spacing w:before="200" w:after="60" w:line="276" w:lineRule="auto"/>
              <w:rPr>
                <w:b/>
                <w:color w:val="FFFFFF" w:themeColor="background1"/>
              </w:rPr>
            </w:pPr>
            <w:r w:rsidRPr="00E54C11">
              <w:rPr>
                <w:b/>
                <w:color w:val="FFFFFF" w:themeColor="background1"/>
              </w:rPr>
              <w:t>Descriptor</w:t>
            </w:r>
          </w:p>
        </w:tc>
        <w:tc>
          <w:tcPr>
            <w:tcW w:w="5245" w:type="dxa"/>
            <w:shd w:val="clear" w:color="auto" w:fill="0070C0"/>
          </w:tcPr>
          <w:p w14:paraId="7A284675" w14:textId="77777777" w:rsidR="008F7BB3" w:rsidRPr="00E54C11" w:rsidRDefault="008F7BB3" w:rsidP="008F7BB3">
            <w:pPr>
              <w:spacing w:before="200" w:after="60" w:line="276" w:lineRule="auto"/>
              <w:rPr>
                <w:b/>
                <w:color w:val="FFFFFF" w:themeColor="background1"/>
              </w:rPr>
            </w:pPr>
            <w:r w:rsidRPr="00E54C11">
              <w:rPr>
                <w:b/>
                <w:color w:val="FFFFFF" w:themeColor="background1"/>
              </w:rPr>
              <w:t>Description</w:t>
            </w:r>
          </w:p>
        </w:tc>
      </w:tr>
      <w:tr w:rsidR="008F7BB3" w:rsidRPr="00F94BA8" w14:paraId="653F72AC" w14:textId="77777777" w:rsidTr="008F7BB3">
        <w:tc>
          <w:tcPr>
            <w:tcW w:w="1242" w:type="dxa"/>
          </w:tcPr>
          <w:p w14:paraId="5DED01CA" w14:textId="77777777" w:rsidR="008F7BB3" w:rsidRPr="00474846" w:rsidRDefault="008F7BB3" w:rsidP="008F7BB3">
            <w:pPr>
              <w:spacing w:before="200" w:after="60" w:line="276" w:lineRule="auto"/>
            </w:pPr>
            <w:r w:rsidRPr="00474846">
              <w:t>5</w:t>
            </w:r>
          </w:p>
        </w:tc>
        <w:tc>
          <w:tcPr>
            <w:tcW w:w="2018" w:type="dxa"/>
          </w:tcPr>
          <w:p w14:paraId="686A9A57" w14:textId="77777777" w:rsidR="008F7BB3" w:rsidRPr="00474846" w:rsidRDefault="008F7BB3" w:rsidP="008F7BB3">
            <w:pPr>
              <w:spacing w:before="200" w:after="60" w:line="276" w:lineRule="auto"/>
            </w:pPr>
            <w:r w:rsidRPr="00E54C11">
              <w:t>Almos</w:t>
            </w:r>
            <w:r w:rsidRPr="00474846">
              <w:t>t</w:t>
            </w:r>
            <w:r w:rsidRPr="00E54C11">
              <w:t xml:space="preserve"> Ce</w:t>
            </w:r>
            <w:r w:rsidRPr="00474846">
              <w:t>r</w:t>
            </w:r>
            <w:r w:rsidRPr="00E54C11">
              <w:t>tai</w:t>
            </w:r>
            <w:r w:rsidRPr="00474846">
              <w:t>n</w:t>
            </w:r>
          </w:p>
        </w:tc>
        <w:tc>
          <w:tcPr>
            <w:tcW w:w="5245" w:type="dxa"/>
          </w:tcPr>
          <w:p w14:paraId="5CAFF463" w14:textId="77777777" w:rsidR="008F7BB3" w:rsidRPr="00474846" w:rsidRDefault="008F7BB3" w:rsidP="008F7BB3">
            <w:pPr>
              <w:spacing w:before="200" w:after="60" w:line="276" w:lineRule="auto"/>
            </w:pPr>
            <w:r w:rsidRPr="00E54C11">
              <w:t>Likel</w:t>
            </w:r>
            <w:r w:rsidRPr="00474846">
              <w:t>y</w:t>
            </w:r>
            <w:r w:rsidRPr="00E77F77">
              <w:t xml:space="preserve"> </w:t>
            </w:r>
            <w:r w:rsidRPr="00E54C11">
              <w:t>t</w:t>
            </w:r>
            <w:r w:rsidRPr="00474846">
              <w:t>o</w:t>
            </w:r>
            <w:r w:rsidRPr="00E77F77">
              <w:t xml:space="preserve"> </w:t>
            </w:r>
            <w:r w:rsidRPr="00E54C11">
              <w:t>occu</w:t>
            </w:r>
            <w:r w:rsidRPr="00474846">
              <w:t>r</w:t>
            </w:r>
            <w:r w:rsidRPr="00E77F77">
              <w:t xml:space="preserve"> </w:t>
            </w:r>
            <w:r w:rsidRPr="00E54C11">
              <w:t>o</w:t>
            </w:r>
            <w:r w:rsidRPr="00474846">
              <w:t>n</w:t>
            </w:r>
            <w:r w:rsidRPr="00E77F77">
              <w:t xml:space="preserve"> </w:t>
            </w:r>
            <w:r w:rsidRPr="00E54C11">
              <w:t>man</w:t>
            </w:r>
            <w:r w:rsidRPr="00474846">
              <w:t>y</w:t>
            </w:r>
            <w:r w:rsidRPr="00E77F77">
              <w:t xml:space="preserve"> </w:t>
            </w:r>
            <w:r w:rsidRPr="00E54C11">
              <w:t>occasions</w:t>
            </w:r>
            <w:r w:rsidRPr="00474846">
              <w:t>,</w:t>
            </w:r>
            <w:r w:rsidRPr="00E77F77">
              <w:t xml:space="preserve"> </w:t>
            </w:r>
            <w:r w:rsidRPr="00474846">
              <w:t xml:space="preserve">a </w:t>
            </w:r>
            <w:r w:rsidRPr="00E54C11">
              <w:t>pe</w:t>
            </w:r>
            <w:r w:rsidRPr="00474846">
              <w:t>r</w:t>
            </w:r>
            <w:r w:rsidRPr="00E54C11">
              <w:t>sisten</w:t>
            </w:r>
            <w:r w:rsidRPr="00474846">
              <w:t>t</w:t>
            </w:r>
            <w:r w:rsidRPr="00E54C11">
              <w:t xml:space="preserve"> issu</w:t>
            </w:r>
            <w:r w:rsidRPr="00474846">
              <w:t>e</w:t>
            </w:r>
          </w:p>
        </w:tc>
      </w:tr>
      <w:tr w:rsidR="008F7BB3" w:rsidRPr="00F94BA8" w14:paraId="1F5A37E8" w14:textId="77777777" w:rsidTr="008F7BB3">
        <w:tc>
          <w:tcPr>
            <w:tcW w:w="1242" w:type="dxa"/>
          </w:tcPr>
          <w:p w14:paraId="4E1F223A" w14:textId="77777777" w:rsidR="008F7BB3" w:rsidRPr="00474846" w:rsidRDefault="008F7BB3" w:rsidP="008F7BB3">
            <w:pPr>
              <w:spacing w:before="200" w:after="60" w:line="276" w:lineRule="auto"/>
            </w:pPr>
            <w:r w:rsidRPr="00474846">
              <w:t>4</w:t>
            </w:r>
          </w:p>
        </w:tc>
        <w:tc>
          <w:tcPr>
            <w:tcW w:w="2018" w:type="dxa"/>
          </w:tcPr>
          <w:p w14:paraId="1B70DA92" w14:textId="77777777" w:rsidR="008F7BB3" w:rsidRPr="00474846" w:rsidRDefault="008F7BB3" w:rsidP="008F7BB3">
            <w:pPr>
              <w:spacing w:before="200" w:after="60" w:line="276" w:lineRule="auto"/>
            </w:pPr>
            <w:r w:rsidRPr="00E54C11">
              <w:t>Likel</w:t>
            </w:r>
            <w:r w:rsidRPr="00474846">
              <w:t>y</w:t>
            </w:r>
          </w:p>
        </w:tc>
        <w:tc>
          <w:tcPr>
            <w:tcW w:w="5245" w:type="dxa"/>
          </w:tcPr>
          <w:p w14:paraId="537DE22A" w14:textId="77777777" w:rsidR="008F7BB3" w:rsidRPr="00474846" w:rsidRDefault="008F7BB3" w:rsidP="008F7BB3">
            <w:pPr>
              <w:spacing w:before="200" w:after="60" w:line="276" w:lineRule="auto"/>
            </w:pPr>
            <w:r w:rsidRPr="00E54C11">
              <w:t>Wil</w:t>
            </w:r>
            <w:r w:rsidRPr="00474846">
              <w:t xml:space="preserve">l </w:t>
            </w:r>
            <w:r w:rsidRPr="00E54C11">
              <w:t>p</w:t>
            </w:r>
            <w:r w:rsidRPr="00474846">
              <w:t>r</w:t>
            </w:r>
            <w:r w:rsidRPr="00E54C11">
              <w:t>obabl</w:t>
            </w:r>
            <w:r w:rsidRPr="00474846">
              <w:t xml:space="preserve">y </w:t>
            </w:r>
            <w:r w:rsidRPr="00E54C11">
              <w:t>occu</w:t>
            </w:r>
            <w:r w:rsidRPr="00474846">
              <w:t xml:space="preserve">r </w:t>
            </w:r>
            <w:r w:rsidRPr="00E54C11">
              <w:t>bu</w:t>
            </w:r>
            <w:r w:rsidRPr="00474846">
              <w:t xml:space="preserve">t </w:t>
            </w:r>
            <w:r w:rsidRPr="00E54C11">
              <w:t>i</w:t>
            </w:r>
            <w:r w:rsidRPr="00474846">
              <w:t>t</w:t>
            </w:r>
            <w:r w:rsidRPr="00E54C11">
              <w:t xml:space="preserve"> i</w:t>
            </w:r>
            <w:r w:rsidRPr="00474846">
              <w:t xml:space="preserve">s </w:t>
            </w:r>
            <w:r w:rsidRPr="00E54C11">
              <w:t>no</w:t>
            </w:r>
            <w:r w:rsidRPr="00474846">
              <w:t>t</w:t>
            </w:r>
            <w:r w:rsidRPr="00E54C11">
              <w:t xml:space="preserve"> </w:t>
            </w:r>
            <w:r w:rsidRPr="00474846">
              <w:t>a</w:t>
            </w:r>
            <w:r w:rsidRPr="00E54C11">
              <w:t xml:space="preserve"> pe</w:t>
            </w:r>
            <w:r w:rsidRPr="00474846">
              <w:t>r</w:t>
            </w:r>
            <w:r w:rsidRPr="00E54C11">
              <w:t>sisten</w:t>
            </w:r>
            <w:r w:rsidRPr="00474846">
              <w:t xml:space="preserve">t </w:t>
            </w:r>
            <w:r w:rsidRPr="00E54C11">
              <w:t>issu</w:t>
            </w:r>
            <w:r w:rsidRPr="00474846">
              <w:t>e</w:t>
            </w:r>
          </w:p>
        </w:tc>
      </w:tr>
      <w:tr w:rsidR="008F7BB3" w:rsidRPr="00F94BA8" w14:paraId="53B41DAF" w14:textId="77777777" w:rsidTr="008F7BB3">
        <w:tc>
          <w:tcPr>
            <w:tcW w:w="1242" w:type="dxa"/>
          </w:tcPr>
          <w:p w14:paraId="631F802B" w14:textId="77777777" w:rsidR="008F7BB3" w:rsidRPr="00474846" w:rsidRDefault="008F7BB3" w:rsidP="008F7BB3">
            <w:pPr>
              <w:spacing w:before="200" w:after="60" w:line="276" w:lineRule="auto"/>
            </w:pPr>
            <w:r w:rsidRPr="00474846">
              <w:t>3</w:t>
            </w:r>
          </w:p>
        </w:tc>
        <w:tc>
          <w:tcPr>
            <w:tcW w:w="2018" w:type="dxa"/>
          </w:tcPr>
          <w:p w14:paraId="4A84D700" w14:textId="77777777" w:rsidR="008F7BB3" w:rsidRPr="00474846" w:rsidRDefault="008F7BB3" w:rsidP="008F7BB3">
            <w:pPr>
              <w:spacing w:before="200" w:after="60" w:line="276" w:lineRule="auto"/>
            </w:pPr>
            <w:r w:rsidRPr="00474846">
              <w:t>P</w:t>
            </w:r>
            <w:r w:rsidRPr="00E54C11">
              <w:t>ossibl</w:t>
            </w:r>
            <w:r w:rsidRPr="00474846">
              <w:t>e</w:t>
            </w:r>
          </w:p>
        </w:tc>
        <w:tc>
          <w:tcPr>
            <w:tcW w:w="5245" w:type="dxa"/>
          </w:tcPr>
          <w:p w14:paraId="6538EB9F" w14:textId="77777777" w:rsidR="008F7BB3" w:rsidRPr="00474846" w:rsidRDefault="008F7BB3" w:rsidP="008F7BB3">
            <w:pPr>
              <w:spacing w:before="200" w:after="60" w:line="276" w:lineRule="auto"/>
            </w:pPr>
            <w:r w:rsidRPr="00E54C11">
              <w:t>Ma</w:t>
            </w:r>
            <w:r w:rsidRPr="00474846">
              <w:t>y</w:t>
            </w:r>
            <w:r w:rsidRPr="00E54C11">
              <w:t xml:space="preserve"> occu</w:t>
            </w:r>
            <w:r w:rsidRPr="00474846">
              <w:t>r</w:t>
            </w:r>
            <w:r w:rsidRPr="00E54C11">
              <w:t xml:space="preserve"> occasionall</w:t>
            </w:r>
            <w:r w:rsidRPr="00474846">
              <w:t>y</w:t>
            </w:r>
          </w:p>
        </w:tc>
      </w:tr>
      <w:tr w:rsidR="008F7BB3" w:rsidRPr="00F94BA8" w14:paraId="1EE45E8F" w14:textId="77777777" w:rsidTr="008F7BB3">
        <w:tc>
          <w:tcPr>
            <w:tcW w:w="1242" w:type="dxa"/>
          </w:tcPr>
          <w:p w14:paraId="3FE3A422" w14:textId="77777777" w:rsidR="008F7BB3" w:rsidRPr="00474846" w:rsidRDefault="008F7BB3" w:rsidP="008F7BB3">
            <w:pPr>
              <w:spacing w:before="200" w:after="60" w:line="276" w:lineRule="auto"/>
            </w:pPr>
            <w:r w:rsidRPr="00474846">
              <w:t>2</w:t>
            </w:r>
          </w:p>
        </w:tc>
        <w:tc>
          <w:tcPr>
            <w:tcW w:w="2018" w:type="dxa"/>
          </w:tcPr>
          <w:p w14:paraId="1B1C72DD" w14:textId="77777777" w:rsidR="008F7BB3" w:rsidRPr="00474846" w:rsidRDefault="008F7BB3" w:rsidP="008F7BB3">
            <w:pPr>
              <w:spacing w:before="200" w:after="60" w:line="276" w:lineRule="auto"/>
            </w:pPr>
            <w:r w:rsidRPr="00E54C11">
              <w:t>Unlikel</w:t>
            </w:r>
            <w:r w:rsidRPr="00474846">
              <w:t>y</w:t>
            </w:r>
          </w:p>
        </w:tc>
        <w:tc>
          <w:tcPr>
            <w:tcW w:w="5245" w:type="dxa"/>
          </w:tcPr>
          <w:p w14:paraId="2D6F38D7" w14:textId="77777777" w:rsidR="008F7BB3" w:rsidRPr="00474846" w:rsidRDefault="008F7BB3" w:rsidP="008F7BB3">
            <w:pPr>
              <w:spacing w:before="200" w:after="60" w:line="276" w:lineRule="auto"/>
            </w:pPr>
            <w:r w:rsidRPr="00E54C11">
              <w:t>D</w:t>
            </w:r>
            <w:r w:rsidRPr="00474846">
              <w:t>o</w:t>
            </w:r>
            <w:r w:rsidRPr="00E54C11">
              <w:t xml:space="preserve"> no</w:t>
            </w:r>
            <w:r w:rsidRPr="00474846">
              <w:t>t</w:t>
            </w:r>
            <w:r w:rsidRPr="00E54C11">
              <w:t xml:space="preserve"> expec</w:t>
            </w:r>
            <w:r w:rsidRPr="00474846">
              <w:t>t</w:t>
            </w:r>
            <w:r w:rsidRPr="00E54C11">
              <w:t xml:space="preserve"> i</w:t>
            </w:r>
            <w:r w:rsidRPr="00474846">
              <w:t>t</w:t>
            </w:r>
            <w:r w:rsidRPr="00E54C11">
              <w:t xml:space="preserve"> t</w:t>
            </w:r>
            <w:r w:rsidRPr="00474846">
              <w:t>o</w:t>
            </w:r>
            <w:r w:rsidRPr="00E54C11">
              <w:t xml:space="preserve"> happe</w:t>
            </w:r>
            <w:r w:rsidRPr="00474846">
              <w:t>n</w:t>
            </w:r>
            <w:r w:rsidRPr="00E54C11">
              <w:t xml:space="preserve"> bu</w:t>
            </w:r>
            <w:r w:rsidRPr="00474846">
              <w:t>t</w:t>
            </w:r>
            <w:r w:rsidRPr="00E54C11">
              <w:t xml:space="preserve"> i</w:t>
            </w:r>
            <w:r w:rsidRPr="00474846">
              <w:t>t</w:t>
            </w:r>
            <w:r w:rsidRPr="00E54C11">
              <w:t xml:space="preserve"> i</w:t>
            </w:r>
            <w:r w:rsidRPr="00474846">
              <w:t>s</w:t>
            </w:r>
            <w:r w:rsidRPr="00E54C11">
              <w:t xml:space="preserve"> possibl</w:t>
            </w:r>
            <w:r w:rsidRPr="00474846">
              <w:t>e</w:t>
            </w:r>
          </w:p>
        </w:tc>
      </w:tr>
      <w:tr w:rsidR="008F7BB3" w:rsidRPr="00F94BA8" w14:paraId="372F4B2F" w14:textId="77777777" w:rsidTr="008F7BB3">
        <w:tc>
          <w:tcPr>
            <w:tcW w:w="1242" w:type="dxa"/>
          </w:tcPr>
          <w:p w14:paraId="3A0C4E3E" w14:textId="77777777" w:rsidR="008F7BB3" w:rsidRPr="00474846" w:rsidRDefault="008F7BB3" w:rsidP="008F7BB3">
            <w:pPr>
              <w:spacing w:before="200" w:after="60" w:line="276" w:lineRule="auto"/>
            </w:pPr>
            <w:r w:rsidRPr="00474846">
              <w:t>1</w:t>
            </w:r>
          </w:p>
        </w:tc>
        <w:tc>
          <w:tcPr>
            <w:tcW w:w="2018" w:type="dxa"/>
          </w:tcPr>
          <w:p w14:paraId="05228681" w14:textId="77777777" w:rsidR="008F7BB3" w:rsidRPr="00474846" w:rsidRDefault="008F7BB3" w:rsidP="008F7BB3">
            <w:pPr>
              <w:spacing w:before="200" w:after="60" w:line="276" w:lineRule="auto"/>
            </w:pPr>
            <w:r w:rsidRPr="00E54C11">
              <w:t>Ra</w:t>
            </w:r>
            <w:r w:rsidRPr="00474846">
              <w:t>re</w:t>
            </w:r>
          </w:p>
        </w:tc>
        <w:tc>
          <w:tcPr>
            <w:tcW w:w="5245" w:type="dxa"/>
          </w:tcPr>
          <w:p w14:paraId="188EBE82" w14:textId="77777777" w:rsidR="008F7BB3" w:rsidRPr="00474846" w:rsidRDefault="008F7BB3" w:rsidP="008F7BB3">
            <w:pPr>
              <w:spacing w:before="200" w:after="60" w:line="276" w:lineRule="auto"/>
            </w:pPr>
            <w:r w:rsidRPr="00E54C11">
              <w:t>Can'</w:t>
            </w:r>
            <w:r w:rsidRPr="00474846">
              <w:t>t</w:t>
            </w:r>
            <w:r w:rsidRPr="00E54C11">
              <w:t xml:space="preserve"> believ</w:t>
            </w:r>
            <w:r w:rsidRPr="00474846">
              <w:t>e</w:t>
            </w:r>
            <w:r w:rsidRPr="00E54C11">
              <w:t xml:space="preserve"> thi</w:t>
            </w:r>
            <w:r w:rsidRPr="00474846">
              <w:t>s</w:t>
            </w:r>
            <w:r w:rsidRPr="00E54C11">
              <w:t xml:space="preserve"> wil</w:t>
            </w:r>
            <w:r w:rsidRPr="00474846">
              <w:t>l</w:t>
            </w:r>
            <w:r w:rsidRPr="00E54C11">
              <w:t xml:space="preserve"> eve</w:t>
            </w:r>
            <w:r w:rsidRPr="00474846">
              <w:t>r</w:t>
            </w:r>
            <w:r w:rsidRPr="00E54C11">
              <w:t xml:space="preserve"> happe</w:t>
            </w:r>
            <w:r w:rsidRPr="00474846">
              <w:t>n</w:t>
            </w:r>
          </w:p>
        </w:tc>
      </w:tr>
    </w:tbl>
    <w:p w14:paraId="2C640844" w14:textId="77777777" w:rsidR="008F7BB3" w:rsidRDefault="008F7BB3" w:rsidP="008F7BB3">
      <w:pPr>
        <w:pStyle w:val="SchedClauses"/>
        <w:spacing w:line="276" w:lineRule="auto"/>
        <w:ind w:left="2410"/>
        <w:rPr>
          <w:sz w:val="24"/>
        </w:rPr>
      </w:pPr>
    </w:p>
    <w:p w14:paraId="149DE967" w14:textId="77777777" w:rsidR="008F7BB3" w:rsidRPr="00E54C11" w:rsidRDefault="008F7BB3" w:rsidP="008F7BB3">
      <w:pPr>
        <w:pStyle w:val="Body3"/>
        <w:spacing w:line="276" w:lineRule="auto"/>
      </w:pPr>
      <w:r w:rsidRPr="00E54C11">
        <w:br w:type="page"/>
      </w:r>
    </w:p>
    <w:p w14:paraId="090FDFF3" w14:textId="77777777" w:rsidR="008F7BB3" w:rsidRPr="00E77F77" w:rsidRDefault="008F7BB3" w:rsidP="008F7BB3">
      <w:pPr>
        <w:pStyle w:val="Heading4"/>
      </w:pPr>
      <w:r w:rsidRPr="00E77F77">
        <w:t>SE</w:t>
      </w:r>
      <w:r w:rsidRPr="00E54C11">
        <w:t>V</w:t>
      </w:r>
      <w:r w:rsidRPr="00E77F77">
        <w:t>E</w:t>
      </w:r>
      <w:r w:rsidRPr="00E54C11">
        <w:t>RIT</w:t>
      </w:r>
      <w:r w:rsidRPr="00E77F77">
        <w:t>Y</w:t>
      </w:r>
      <w:r w:rsidRPr="00E54C11">
        <w:t xml:space="preserve"> Takin</w:t>
      </w:r>
      <w:r w:rsidRPr="00E77F77">
        <w:t>g</w:t>
      </w:r>
      <w:r w:rsidRPr="00E54C11">
        <w:t xml:space="preserve"> int</w:t>
      </w:r>
      <w:r w:rsidRPr="00E77F77">
        <w:t>o</w:t>
      </w:r>
      <w:r w:rsidRPr="00E54C11">
        <w:t xml:space="preserve"> accoun</w:t>
      </w:r>
      <w:r w:rsidRPr="00E77F77">
        <w:t>t</w:t>
      </w:r>
      <w:r w:rsidRPr="00E54C11">
        <w:t xml:space="preserve"> th</w:t>
      </w:r>
      <w:r w:rsidRPr="00E77F77">
        <w:t>e</w:t>
      </w:r>
      <w:r w:rsidRPr="00E54C11">
        <w:t xml:space="preserve"> cont</w:t>
      </w:r>
      <w:r w:rsidRPr="00E77F77">
        <w:t>r</w:t>
      </w:r>
      <w:r w:rsidRPr="00E54C11">
        <w:t>ol</w:t>
      </w:r>
      <w:r w:rsidRPr="00E77F77">
        <w:t>s</w:t>
      </w:r>
      <w:r w:rsidRPr="00E54C11">
        <w:t xml:space="preserve"> i</w:t>
      </w:r>
      <w:r w:rsidRPr="00E77F77">
        <w:t>n</w:t>
      </w:r>
      <w:r w:rsidRPr="00E54C11">
        <w:t xml:space="preserve"> plac</w:t>
      </w:r>
      <w:r w:rsidRPr="00E77F77">
        <w:t>e</w:t>
      </w:r>
      <w:r w:rsidRPr="00E54C11">
        <w:t xml:space="preserve"> an</w:t>
      </w:r>
      <w:r w:rsidRPr="00E77F77">
        <w:t>d</w:t>
      </w:r>
      <w:r w:rsidRPr="00E54C11">
        <w:t xml:space="preserve"> thei</w:t>
      </w:r>
      <w:r w:rsidRPr="00E77F77">
        <w:t xml:space="preserve">r </w:t>
      </w:r>
      <w:r w:rsidRPr="00E54C11">
        <w:t>adequacy</w:t>
      </w:r>
      <w:r w:rsidRPr="00E77F77">
        <w:t>,</w:t>
      </w:r>
      <w:r w:rsidRPr="00E54C11">
        <w:t xml:space="preserve"> ho</w:t>
      </w:r>
      <w:r w:rsidRPr="00E77F77">
        <w:t>w</w:t>
      </w:r>
      <w:r w:rsidRPr="00E54C11">
        <w:t xml:space="preserve"> seve</w:t>
      </w:r>
      <w:r w:rsidRPr="00E77F77">
        <w:t>re</w:t>
      </w:r>
      <w:r w:rsidRPr="00E54C11">
        <w:t xml:space="preserve"> woul</w:t>
      </w:r>
      <w:r w:rsidRPr="00E77F77">
        <w:t>d</w:t>
      </w:r>
      <w:r w:rsidRPr="00E54C11">
        <w:t xml:space="preserve"> th</w:t>
      </w:r>
      <w:r w:rsidRPr="00E77F77">
        <w:t>e</w:t>
      </w:r>
      <w:r w:rsidRPr="00E54C11">
        <w:t xml:space="preserve"> consequence</w:t>
      </w:r>
      <w:r w:rsidRPr="00E77F77">
        <w:t>s</w:t>
      </w:r>
      <w:r w:rsidRPr="00E54C11">
        <w:t xml:space="preserve"> b</w:t>
      </w:r>
      <w:r w:rsidRPr="00E77F77">
        <w:t>e</w:t>
      </w:r>
      <w:r w:rsidRPr="00E54C11">
        <w:t xml:space="preserve"> o</w:t>
      </w:r>
      <w:r w:rsidRPr="00E77F77">
        <w:t>f</w:t>
      </w:r>
      <w:r w:rsidRPr="00E54C11">
        <w:t xml:space="preserve"> suc</w:t>
      </w:r>
      <w:r w:rsidRPr="00E77F77">
        <w:t>h</w:t>
      </w:r>
      <w:r w:rsidRPr="00E54C11">
        <w:t xml:space="preserve"> a</w:t>
      </w:r>
      <w:r w:rsidRPr="00E77F77">
        <w:t xml:space="preserve">n </w:t>
      </w:r>
      <w:r w:rsidRPr="00E54C11">
        <w:t>incident</w:t>
      </w:r>
      <w:r w:rsidRPr="00E77F77">
        <w:t>?</w:t>
      </w:r>
      <w:r w:rsidRPr="00E54C11">
        <w:t xml:space="preserve"> Appl</w:t>
      </w:r>
      <w:r w:rsidRPr="00E77F77">
        <w:t>y</w:t>
      </w:r>
      <w:r w:rsidRPr="00E54C11">
        <w:t xml:space="preserve"> </w:t>
      </w:r>
      <w:r w:rsidRPr="00E77F77">
        <w:t>a</w:t>
      </w:r>
      <w:r w:rsidRPr="00E54C11">
        <w:t xml:space="preserve"> sco</w:t>
      </w:r>
      <w:r w:rsidRPr="00E77F77">
        <w:t>re</w:t>
      </w:r>
      <w:r w:rsidRPr="00E54C11">
        <w:t xml:space="preserve"> acco</w:t>
      </w:r>
      <w:r w:rsidRPr="00E77F77">
        <w:t>r</w:t>
      </w:r>
      <w:r w:rsidRPr="00E54C11">
        <w:t>din</w:t>
      </w:r>
      <w:r w:rsidRPr="00E77F77">
        <w:t>g</w:t>
      </w:r>
      <w:r w:rsidRPr="00E54C11">
        <w:t xml:space="preserve"> t</w:t>
      </w:r>
      <w:r w:rsidRPr="00E77F77">
        <w:t>o</w:t>
      </w:r>
      <w:r w:rsidRPr="00E54C11">
        <w:t xml:space="preserve"> th</w:t>
      </w:r>
      <w:r w:rsidRPr="00E77F77">
        <w:t>e</w:t>
      </w:r>
      <w:r w:rsidRPr="00E54C11">
        <w:t xml:space="preserve"> followin</w:t>
      </w:r>
      <w:r w:rsidRPr="00E77F77">
        <w:t>g</w:t>
      </w:r>
      <w:r w:rsidRPr="00E54C11">
        <w:t xml:space="preserve"> scale</w:t>
      </w:r>
      <w:r w:rsidRPr="00E77F77">
        <w:t>.</w:t>
      </w:r>
    </w:p>
    <w:p w14:paraId="410F245A" w14:textId="77777777" w:rsidR="008F7BB3" w:rsidRPr="00E54C11" w:rsidRDefault="008F7BB3" w:rsidP="008F7BB3">
      <w:pPr>
        <w:pStyle w:val="SchedClauses"/>
        <w:spacing w:line="276" w:lineRule="auto"/>
        <w:ind w:left="2410"/>
        <w:rPr>
          <w:sz w:val="24"/>
        </w:rPr>
      </w:pPr>
    </w:p>
    <w:tbl>
      <w:tblPr>
        <w:tblStyle w:val="TableGrid"/>
        <w:tblW w:w="8816" w:type="dxa"/>
        <w:tblInd w:w="790" w:type="dxa"/>
        <w:tblLook w:val="04A0" w:firstRow="1" w:lastRow="0" w:firstColumn="1" w:lastColumn="0" w:noHBand="0" w:noVBand="1"/>
        <w:tblCaption w:val="A risk matrix description"/>
        <w:tblDescription w:val="A risk matrix description"/>
      </w:tblPr>
      <w:tblGrid>
        <w:gridCol w:w="830"/>
        <w:gridCol w:w="1564"/>
        <w:gridCol w:w="3605"/>
        <w:gridCol w:w="2817"/>
      </w:tblGrid>
      <w:tr w:rsidR="008F7BB3" w:rsidRPr="00F94BA8" w14:paraId="41A70032" w14:textId="77777777" w:rsidTr="00BD5B3E">
        <w:trPr>
          <w:tblHeader/>
        </w:trPr>
        <w:tc>
          <w:tcPr>
            <w:tcW w:w="830" w:type="dxa"/>
            <w:shd w:val="clear" w:color="auto" w:fill="0070C0"/>
          </w:tcPr>
          <w:p w14:paraId="7CF25793" w14:textId="77777777" w:rsidR="008F7BB3" w:rsidRPr="00E77F77" w:rsidRDefault="008F7BB3" w:rsidP="008F7BB3">
            <w:pPr>
              <w:spacing w:before="200" w:after="60" w:line="276" w:lineRule="auto"/>
              <w:rPr>
                <w:b/>
                <w:color w:val="FFFFFF" w:themeColor="background1"/>
              </w:rPr>
            </w:pPr>
            <w:r w:rsidRPr="00E77F77">
              <w:rPr>
                <w:b/>
                <w:color w:val="FFFFFF" w:themeColor="background1"/>
              </w:rPr>
              <w:t>Level</w:t>
            </w:r>
          </w:p>
        </w:tc>
        <w:tc>
          <w:tcPr>
            <w:tcW w:w="1564" w:type="dxa"/>
            <w:shd w:val="clear" w:color="auto" w:fill="0070C0"/>
          </w:tcPr>
          <w:p w14:paraId="78169C28" w14:textId="77777777" w:rsidR="008F7BB3" w:rsidRPr="00E77F77" w:rsidRDefault="008F7BB3" w:rsidP="008F7BB3">
            <w:pPr>
              <w:spacing w:before="200" w:after="60" w:line="276" w:lineRule="auto"/>
              <w:rPr>
                <w:b/>
                <w:color w:val="FFFFFF" w:themeColor="background1"/>
              </w:rPr>
            </w:pPr>
            <w:r w:rsidRPr="00E77F77">
              <w:rPr>
                <w:b/>
                <w:color w:val="FFFFFF" w:themeColor="background1"/>
              </w:rPr>
              <w:t>Descriptor</w:t>
            </w:r>
          </w:p>
        </w:tc>
        <w:tc>
          <w:tcPr>
            <w:tcW w:w="3605" w:type="dxa"/>
            <w:shd w:val="clear" w:color="auto" w:fill="0070C0"/>
          </w:tcPr>
          <w:p w14:paraId="1671B12E" w14:textId="77777777" w:rsidR="008F7BB3" w:rsidRPr="00E77F77" w:rsidRDefault="008F7BB3" w:rsidP="008F7BB3">
            <w:pPr>
              <w:spacing w:before="200" w:after="60" w:line="276" w:lineRule="auto"/>
              <w:rPr>
                <w:b/>
                <w:color w:val="FFFFFF" w:themeColor="background1"/>
              </w:rPr>
            </w:pPr>
            <w:r w:rsidRPr="00E77F77">
              <w:rPr>
                <w:b/>
                <w:color w:val="FFFFFF" w:themeColor="background1"/>
              </w:rPr>
              <w:t>Actual or Potential  Impact on Individual(s)</w:t>
            </w:r>
          </w:p>
        </w:tc>
        <w:tc>
          <w:tcPr>
            <w:tcW w:w="2817" w:type="dxa"/>
            <w:shd w:val="clear" w:color="auto" w:fill="0070C0"/>
          </w:tcPr>
          <w:p w14:paraId="22A6F4EC" w14:textId="77777777" w:rsidR="008F7BB3" w:rsidRPr="00E77F77" w:rsidRDefault="008F7BB3" w:rsidP="008F7BB3">
            <w:pPr>
              <w:spacing w:before="200" w:after="60" w:line="276" w:lineRule="auto"/>
              <w:rPr>
                <w:b/>
                <w:color w:val="FFFFFF" w:themeColor="background1"/>
              </w:rPr>
            </w:pPr>
            <w:r w:rsidRPr="00E77F77">
              <w:rPr>
                <w:b/>
                <w:color w:val="FFFFFF" w:themeColor="background1"/>
              </w:rPr>
              <w:t>Actual or Potential</w:t>
            </w:r>
          </w:p>
          <w:p w14:paraId="7A0ED8F3" w14:textId="77777777" w:rsidR="008F7BB3" w:rsidRPr="00E77F77" w:rsidRDefault="008F7BB3" w:rsidP="008F7BB3">
            <w:pPr>
              <w:spacing w:before="200" w:after="60" w:line="276" w:lineRule="auto"/>
              <w:rPr>
                <w:b/>
                <w:color w:val="FFFFFF" w:themeColor="background1"/>
              </w:rPr>
            </w:pPr>
            <w:r w:rsidRPr="00E77F77">
              <w:rPr>
                <w:b/>
                <w:color w:val="FFFFFF" w:themeColor="background1"/>
              </w:rPr>
              <w:t>Impact on</w:t>
            </w:r>
          </w:p>
          <w:p w14:paraId="26A5CC9A" w14:textId="77777777" w:rsidR="008F7BB3" w:rsidRPr="00E77F77" w:rsidRDefault="008F7BB3" w:rsidP="008F7BB3">
            <w:pPr>
              <w:spacing w:before="200" w:after="60" w:line="276" w:lineRule="auto"/>
              <w:rPr>
                <w:b/>
                <w:color w:val="FFFFFF" w:themeColor="background1"/>
              </w:rPr>
            </w:pPr>
            <w:r w:rsidRPr="00E77F77">
              <w:rPr>
                <w:b/>
                <w:color w:val="FFFFFF" w:themeColor="background1"/>
              </w:rPr>
              <w:t>Organisation</w:t>
            </w:r>
          </w:p>
        </w:tc>
      </w:tr>
      <w:tr w:rsidR="008F7BB3" w:rsidRPr="00F94BA8" w14:paraId="4CAC2C23" w14:textId="77777777" w:rsidTr="008F7BB3">
        <w:tc>
          <w:tcPr>
            <w:tcW w:w="830" w:type="dxa"/>
          </w:tcPr>
          <w:p w14:paraId="3EBF463F" w14:textId="77777777" w:rsidR="008F7BB3" w:rsidRPr="00E77F77" w:rsidRDefault="008F7BB3" w:rsidP="008F7BB3">
            <w:pPr>
              <w:spacing w:before="200" w:after="60" w:line="276" w:lineRule="auto"/>
            </w:pPr>
            <w:r w:rsidRPr="00E77F77">
              <w:t>5</w:t>
            </w:r>
          </w:p>
        </w:tc>
        <w:tc>
          <w:tcPr>
            <w:tcW w:w="1564" w:type="dxa"/>
          </w:tcPr>
          <w:p w14:paraId="4AF6AEAF" w14:textId="77777777" w:rsidR="008F7BB3" w:rsidRPr="00E77F77" w:rsidRDefault="008F7BB3" w:rsidP="008F7BB3">
            <w:pPr>
              <w:spacing w:before="200" w:after="60" w:line="276" w:lineRule="auto"/>
            </w:pPr>
            <w:r w:rsidRPr="00E77F77">
              <w:t>Catastrophic</w:t>
            </w:r>
          </w:p>
        </w:tc>
        <w:tc>
          <w:tcPr>
            <w:tcW w:w="3605" w:type="dxa"/>
          </w:tcPr>
          <w:p w14:paraId="74985A92" w14:textId="77777777" w:rsidR="008F7BB3" w:rsidRPr="00E77F77" w:rsidRDefault="008F7BB3" w:rsidP="008F7BB3">
            <w:pPr>
              <w:spacing w:before="200" w:after="60" w:line="276" w:lineRule="auto"/>
            </w:pPr>
            <w:r w:rsidRPr="00E77F77">
              <w:t>DEATH</w:t>
            </w:r>
          </w:p>
        </w:tc>
        <w:tc>
          <w:tcPr>
            <w:tcW w:w="2817" w:type="dxa"/>
          </w:tcPr>
          <w:p w14:paraId="13D77B91" w14:textId="77777777" w:rsidR="008F7BB3" w:rsidRPr="00E77F77" w:rsidRDefault="008F7BB3" w:rsidP="008F7BB3">
            <w:pPr>
              <w:spacing w:before="200" w:after="60" w:line="276" w:lineRule="auto"/>
            </w:pPr>
            <w:r w:rsidRPr="00E77F77">
              <w:t>National adverse publicity. Investigation. Litigation expected/certain.</w:t>
            </w:r>
          </w:p>
        </w:tc>
      </w:tr>
      <w:tr w:rsidR="008F7BB3" w:rsidRPr="00F94BA8" w14:paraId="37CCB33A" w14:textId="77777777" w:rsidTr="008F7BB3">
        <w:tc>
          <w:tcPr>
            <w:tcW w:w="830" w:type="dxa"/>
          </w:tcPr>
          <w:p w14:paraId="042618FB" w14:textId="77777777" w:rsidR="008F7BB3" w:rsidRPr="00E77F77" w:rsidRDefault="008F7BB3" w:rsidP="008F7BB3">
            <w:pPr>
              <w:spacing w:before="200" w:after="60" w:line="276" w:lineRule="auto"/>
            </w:pPr>
            <w:r w:rsidRPr="00E77F77">
              <w:t>4</w:t>
            </w:r>
          </w:p>
        </w:tc>
        <w:tc>
          <w:tcPr>
            <w:tcW w:w="1564" w:type="dxa"/>
          </w:tcPr>
          <w:p w14:paraId="4498F5A1" w14:textId="77777777" w:rsidR="008F7BB3" w:rsidRPr="00E77F77" w:rsidRDefault="008F7BB3" w:rsidP="008F7BB3">
            <w:pPr>
              <w:spacing w:before="200" w:after="60" w:line="276" w:lineRule="auto"/>
            </w:pPr>
            <w:r w:rsidRPr="00E77F77">
              <w:t>Major</w:t>
            </w:r>
          </w:p>
        </w:tc>
        <w:tc>
          <w:tcPr>
            <w:tcW w:w="3605" w:type="dxa"/>
          </w:tcPr>
          <w:p w14:paraId="3B13EDEA" w14:textId="77777777" w:rsidR="008F7BB3" w:rsidRPr="00E77F77" w:rsidRDefault="008F7BB3" w:rsidP="008F7BB3">
            <w:pPr>
              <w:spacing w:before="200" w:after="60" w:line="276" w:lineRule="auto"/>
            </w:pPr>
            <w:r w:rsidRPr="00E77F77">
              <w:t>PERMANENT INJURY:</w:t>
            </w:r>
          </w:p>
          <w:p w14:paraId="069B0E57" w14:textId="77777777" w:rsidR="008F7BB3" w:rsidRPr="00E77F77" w:rsidRDefault="008F7BB3" w:rsidP="008F7BB3">
            <w:pPr>
              <w:spacing w:before="200" w:after="60" w:line="276" w:lineRule="auto"/>
            </w:pPr>
            <w:r w:rsidRPr="00E77F77">
              <w:t>e</w:t>
            </w:r>
            <w:r>
              <w:t>.</w:t>
            </w:r>
            <w:r w:rsidRPr="00E77F77">
              <w:t>g., RIDDOR reportable injury/ Ill health retirement/redeployment</w:t>
            </w:r>
          </w:p>
        </w:tc>
        <w:tc>
          <w:tcPr>
            <w:tcW w:w="2817" w:type="dxa"/>
          </w:tcPr>
          <w:p w14:paraId="0581DB67" w14:textId="77777777" w:rsidR="008F7BB3" w:rsidRPr="00E77F77" w:rsidRDefault="008F7BB3" w:rsidP="008F7BB3">
            <w:pPr>
              <w:spacing w:before="200" w:after="60" w:line="276" w:lineRule="auto"/>
            </w:pPr>
            <w:r w:rsidRPr="00E77F77">
              <w:t>RIDDOR reportable</w:t>
            </w:r>
          </w:p>
          <w:p w14:paraId="61CAAFF2" w14:textId="77777777" w:rsidR="008F7BB3" w:rsidRPr="00E77F77" w:rsidRDefault="008F7BB3" w:rsidP="008F7BB3">
            <w:pPr>
              <w:spacing w:before="200" w:after="60" w:line="276" w:lineRule="auto"/>
            </w:pPr>
            <w:r w:rsidRPr="00E77F77">
              <w:t>Long-term sickness. Litigation expected/certain.</w:t>
            </w:r>
          </w:p>
        </w:tc>
      </w:tr>
      <w:tr w:rsidR="008F7BB3" w:rsidRPr="00F94BA8" w14:paraId="0ECE6693" w14:textId="77777777" w:rsidTr="008F7BB3">
        <w:tc>
          <w:tcPr>
            <w:tcW w:w="830" w:type="dxa"/>
          </w:tcPr>
          <w:p w14:paraId="43048984" w14:textId="77777777" w:rsidR="008F7BB3" w:rsidRPr="00E77F77" w:rsidRDefault="008F7BB3" w:rsidP="008F7BB3">
            <w:pPr>
              <w:spacing w:before="200" w:after="60" w:line="276" w:lineRule="auto"/>
            </w:pPr>
            <w:r w:rsidRPr="00E77F77">
              <w:t>3</w:t>
            </w:r>
          </w:p>
        </w:tc>
        <w:tc>
          <w:tcPr>
            <w:tcW w:w="1564" w:type="dxa"/>
          </w:tcPr>
          <w:p w14:paraId="201C77CE" w14:textId="77777777" w:rsidR="008F7BB3" w:rsidRPr="00E77F77" w:rsidRDefault="008F7BB3" w:rsidP="008F7BB3">
            <w:pPr>
              <w:spacing w:before="200" w:after="60" w:line="276" w:lineRule="auto"/>
            </w:pPr>
            <w:r w:rsidRPr="00E77F77">
              <w:t>Moderate</w:t>
            </w:r>
          </w:p>
        </w:tc>
        <w:tc>
          <w:tcPr>
            <w:tcW w:w="3605" w:type="dxa"/>
          </w:tcPr>
          <w:p w14:paraId="7F2CCE0F" w14:textId="77777777" w:rsidR="008F7BB3" w:rsidRPr="00E77F77" w:rsidRDefault="008F7BB3" w:rsidP="008F7BB3">
            <w:pPr>
              <w:spacing w:before="200" w:after="60" w:line="276" w:lineRule="auto"/>
            </w:pPr>
            <w:r w:rsidRPr="00E77F77">
              <w:t>SEMI-PERMANENT INJURY/DAMAGE</w:t>
            </w:r>
          </w:p>
          <w:p w14:paraId="74EA0670" w14:textId="77777777" w:rsidR="008F7BB3" w:rsidRPr="00E77F77" w:rsidRDefault="008F7BB3" w:rsidP="008F7BB3">
            <w:pPr>
              <w:spacing w:before="200" w:after="60" w:line="276" w:lineRule="auto"/>
            </w:pPr>
            <w:r w:rsidRPr="00E77F77">
              <w:t>e.g., injury that takes up to one year to resolve or requires</w:t>
            </w:r>
          </w:p>
          <w:p w14:paraId="5105F398" w14:textId="77777777" w:rsidR="008F7BB3" w:rsidRPr="00E77F77" w:rsidRDefault="008F7BB3" w:rsidP="008F7BB3">
            <w:pPr>
              <w:spacing w:before="200" w:after="60" w:line="276" w:lineRule="auto"/>
            </w:pPr>
            <w:r w:rsidRPr="00E77F77">
              <w:t>Occupational Health involvement/rehabilitation</w:t>
            </w:r>
          </w:p>
        </w:tc>
        <w:tc>
          <w:tcPr>
            <w:tcW w:w="2817" w:type="dxa"/>
          </w:tcPr>
          <w:p w14:paraId="6C5EE043" w14:textId="77777777" w:rsidR="008F7BB3" w:rsidRPr="00E77F77" w:rsidRDefault="008F7BB3" w:rsidP="008F7BB3">
            <w:pPr>
              <w:spacing w:before="200" w:after="60" w:line="276" w:lineRule="auto"/>
            </w:pPr>
            <w:r w:rsidRPr="00E77F77">
              <w:t>Litigation possible but not certain. High potential for complaint.</w:t>
            </w:r>
          </w:p>
        </w:tc>
      </w:tr>
      <w:tr w:rsidR="008F7BB3" w:rsidRPr="00F94BA8" w14:paraId="08441D73" w14:textId="77777777" w:rsidTr="008F7BB3">
        <w:tc>
          <w:tcPr>
            <w:tcW w:w="830" w:type="dxa"/>
          </w:tcPr>
          <w:p w14:paraId="1F41CF2D" w14:textId="77777777" w:rsidR="008F7BB3" w:rsidRPr="00E77F77" w:rsidRDefault="008F7BB3" w:rsidP="008F7BB3">
            <w:pPr>
              <w:spacing w:before="200" w:after="60" w:line="276" w:lineRule="auto"/>
            </w:pPr>
            <w:r w:rsidRPr="00E77F77">
              <w:t>2</w:t>
            </w:r>
          </w:p>
        </w:tc>
        <w:tc>
          <w:tcPr>
            <w:tcW w:w="1564" w:type="dxa"/>
          </w:tcPr>
          <w:p w14:paraId="3AB5A68C" w14:textId="77777777" w:rsidR="008F7BB3" w:rsidRPr="00E77F77" w:rsidRDefault="008F7BB3" w:rsidP="008F7BB3">
            <w:pPr>
              <w:spacing w:before="200" w:after="60" w:line="276" w:lineRule="auto"/>
            </w:pPr>
            <w:r w:rsidRPr="00E77F77">
              <w:t>Minor</w:t>
            </w:r>
          </w:p>
        </w:tc>
        <w:tc>
          <w:tcPr>
            <w:tcW w:w="3605" w:type="dxa"/>
          </w:tcPr>
          <w:p w14:paraId="65C32159" w14:textId="77777777" w:rsidR="008F7BB3" w:rsidRPr="00E77F77" w:rsidRDefault="008F7BB3" w:rsidP="008F7BB3">
            <w:pPr>
              <w:spacing w:before="200" w:after="60" w:line="276" w:lineRule="auto"/>
            </w:pPr>
            <w:r w:rsidRPr="00E77F77">
              <w:t>SHORT-TERM INJURY/DAMAGE eg, injury that has been resolved within one month</w:t>
            </w:r>
          </w:p>
          <w:p w14:paraId="09E34108" w14:textId="77777777" w:rsidR="008F7BB3" w:rsidRPr="00E77F77" w:rsidRDefault="008F7BB3" w:rsidP="008F7BB3">
            <w:pPr>
              <w:spacing w:before="200" w:after="60" w:line="276" w:lineRule="auto"/>
            </w:pPr>
            <w:r w:rsidRPr="00E77F77">
              <w:t>Short-term sickness.</w:t>
            </w:r>
          </w:p>
        </w:tc>
        <w:tc>
          <w:tcPr>
            <w:tcW w:w="2817" w:type="dxa"/>
          </w:tcPr>
          <w:p w14:paraId="6E428062" w14:textId="77777777" w:rsidR="008F7BB3" w:rsidRPr="00E77F77" w:rsidRDefault="008F7BB3" w:rsidP="008F7BB3">
            <w:pPr>
              <w:spacing w:before="200" w:after="60" w:line="276" w:lineRule="auto"/>
            </w:pPr>
            <w:r w:rsidRPr="00E77F77">
              <w:t>Minimal risk to organisation. Litigation unlikely. Complaint possible.</w:t>
            </w:r>
          </w:p>
        </w:tc>
      </w:tr>
      <w:tr w:rsidR="008F7BB3" w:rsidRPr="00F94BA8" w14:paraId="7F18125B" w14:textId="77777777" w:rsidTr="008F7BB3">
        <w:tc>
          <w:tcPr>
            <w:tcW w:w="830" w:type="dxa"/>
          </w:tcPr>
          <w:p w14:paraId="382A8358" w14:textId="77777777" w:rsidR="008F7BB3" w:rsidRPr="00E77F77" w:rsidRDefault="008F7BB3" w:rsidP="008F7BB3">
            <w:pPr>
              <w:spacing w:before="200" w:after="60" w:line="276" w:lineRule="auto"/>
            </w:pPr>
            <w:r w:rsidRPr="00E77F77">
              <w:t>1</w:t>
            </w:r>
          </w:p>
        </w:tc>
        <w:tc>
          <w:tcPr>
            <w:tcW w:w="1564" w:type="dxa"/>
          </w:tcPr>
          <w:p w14:paraId="51FD9425" w14:textId="77777777" w:rsidR="008F7BB3" w:rsidRPr="00E77F77" w:rsidRDefault="008F7BB3" w:rsidP="008F7BB3">
            <w:pPr>
              <w:spacing w:before="200" w:after="60" w:line="276" w:lineRule="auto"/>
            </w:pPr>
            <w:r w:rsidRPr="00E77F77">
              <w:t>Insignificant</w:t>
            </w:r>
          </w:p>
        </w:tc>
        <w:tc>
          <w:tcPr>
            <w:tcW w:w="3605" w:type="dxa"/>
          </w:tcPr>
          <w:p w14:paraId="08292CBB" w14:textId="77777777" w:rsidR="008F7BB3" w:rsidRPr="00E77F77" w:rsidRDefault="008F7BB3" w:rsidP="008F7BB3">
            <w:pPr>
              <w:spacing w:before="200" w:after="60" w:line="276" w:lineRule="auto"/>
            </w:pPr>
            <w:r w:rsidRPr="00E77F77">
              <w:t>NO INJURY OR ADVERSE</w:t>
            </w:r>
          </w:p>
          <w:p w14:paraId="2EA5BAE1" w14:textId="77777777" w:rsidR="008F7BB3" w:rsidRPr="00E77F77" w:rsidRDefault="008F7BB3" w:rsidP="008F7BB3">
            <w:pPr>
              <w:spacing w:before="200" w:after="60" w:line="276" w:lineRule="auto"/>
            </w:pPr>
            <w:r w:rsidRPr="00E77F77">
              <w:t>OUTCOME</w:t>
            </w:r>
          </w:p>
        </w:tc>
        <w:tc>
          <w:tcPr>
            <w:tcW w:w="2817" w:type="dxa"/>
          </w:tcPr>
          <w:p w14:paraId="26FF2561" w14:textId="77777777" w:rsidR="008F7BB3" w:rsidRPr="00E77F77" w:rsidRDefault="008F7BB3" w:rsidP="008F7BB3">
            <w:pPr>
              <w:spacing w:before="200" w:after="60" w:line="276" w:lineRule="auto"/>
            </w:pPr>
            <w:r w:rsidRPr="00E77F77">
              <w:t>No risk at all to</w:t>
            </w:r>
          </w:p>
          <w:p w14:paraId="2549B356" w14:textId="77777777" w:rsidR="008F7BB3" w:rsidRPr="00E77F77" w:rsidRDefault="008F7BB3" w:rsidP="008F7BB3">
            <w:pPr>
              <w:spacing w:before="200" w:after="60" w:line="276" w:lineRule="auto"/>
            </w:pPr>
            <w:r w:rsidRPr="00E77F77">
              <w:t>organisation. Unlikely to cause complaint.</w:t>
            </w:r>
          </w:p>
          <w:p w14:paraId="1771AD75" w14:textId="77777777" w:rsidR="008F7BB3" w:rsidRPr="00E77F77" w:rsidRDefault="008F7BB3" w:rsidP="008F7BB3">
            <w:pPr>
              <w:spacing w:before="200" w:after="60" w:line="276" w:lineRule="auto"/>
            </w:pPr>
            <w:r w:rsidRPr="00E77F77">
              <w:t>Litigation risk remote.</w:t>
            </w:r>
          </w:p>
        </w:tc>
      </w:tr>
    </w:tbl>
    <w:p w14:paraId="59851761" w14:textId="77777777" w:rsidR="008F7BB3" w:rsidRPr="00E54C11" w:rsidRDefault="008F7BB3" w:rsidP="008F7BB3">
      <w:pPr>
        <w:pStyle w:val="Heading4"/>
        <w:rPr>
          <w:b/>
        </w:rPr>
      </w:pPr>
      <w:r w:rsidRPr="00E54C11">
        <w:rPr>
          <w:b/>
        </w:rPr>
        <w:lastRenderedPageBreak/>
        <w:t>Risk score action to be taken</w:t>
      </w:r>
    </w:p>
    <w:tbl>
      <w:tblPr>
        <w:tblStyle w:val="TableGrid"/>
        <w:tblW w:w="9655" w:type="dxa"/>
        <w:tblInd w:w="675" w:type="dxa"/>
        <w:tblLayout w:type="fixed"/>
        <w:tblLook w:val="04A0" w:firstRow="1" w:lastRow="0" w:firstColumn="1" w:lastColumn="0" w:noHBand="0" w:noVBand="1"/>
        <w:tblCaption w:val="A risk matrix description"/>
        <w:tblDescription w:val="A risk matrix description"/>
      </w:tblPr>
      <w:tblGrid>
        <w:gridCol w:w="1701"/>
        <w:gridCol w:w="1559"/>
        <w:gridCol w:w="1223"/>
        <w:gridCol w:w="1329"/>
        <w:gridCol w:w="1054"/>
        <w:gridCol w:w="1639"/>
        <w:gridCol w:w="1150"/>
      </w:tblGrid>
      <w:tr w:rsidR="008F7BB3" w:rsidRPr="00F94BA8" w14:paraId="04881384" w14:textId="77777777" w:rsidTr="00BD5B3E">
        <w:trPr>
          <w:tblHeader/>
        </w:trPr>
        <w:tc>
          <w:tcPr>
            <w:tcW w:w="1701" w:type="dxa"/>
            <w:vMerge w:val="restart"/>
            <w:shd w:val="clear" w:color="auto" w:fill="0070C0"/>
          </w:tcPr>
          <w:p w14:paraId="61DEDAD9" w14:textId="77777777" w:rsidR="008F7BB3" w:rsidRPr="00E77F77" w:rsidRDefault="008F7BB3" w:rsidP="008F7BB3">
            <w:pPr>
              <w:spacing w:before="200" w:after="60" w:line="276" w:lineRule="auto"/>
              <w:rPr>
                <w:color w:val="FFFFFF" w:themeColor="background1"/>
              </w:rPr>
            </w:pPr>
          </w:p>
          <w:p w14:paraId="3D7EA547" w14:textId="77777777" w:rsidR="008F7BB3" w:rsidRPr="00E77F77" w:rsidRDefault="008F7BB3" w:rsidP="008F7BB3">
            <w:pPr>
              <w:spacing w:before="200" w:after="60" w:line="276" w:lineRule="auto"/>
              <w:rPr>
                <w:color w:val="FFFFFF" w:themeColor="background1"/>
              </w:rPr>
            </w:pPr>
            <w:r w:rsidRPr="00E77F77">
              <w:rPr>
                <w:color w:val="FFFFFF" w:themeColor="background1"/>
              </w:rPr>
              <w:t>LIKELIHOOD</w:t>
            </w:r>
          </w:p>
        </w:tc>
        <w:tc>
          <w:tcPr>
            <w:tcW w:w="6804" w:type="dxa"/>
            <w:gridSpan w:val="5"/>
            <w:shd w:val="clear" w:color="auto" w:fill="0070C0"/>
          </w:tcPr>
          <w:p w14:paraId="3E976498" w14:textId="77777777" w:rsidR="008F7BB3" w:rsidRPr="00E77F77" w:rsidRDefault="008F7BB3" w:rsidP="008F7BB3">
            <w:pPr>
              <w:spacing w:before="200" w:after="60" w:line="276" w:lineRule="auto"/>
              <w:rPr>
                <w:color w:val="FFFFFF" w:themeColor="background1"/>
              </w:rPr>
            </w:pPr>
            <w:r w:rsidRPr="00E77F77">
              <w:rPr>
                <w:color w:val="FFFFFF" w:themeColor="background1"/>
              </w:rPr>
              <w:t>SEVERITY</w:t>
            </w:r>
          </w:p>
        </w:tc>
        <w:tc>
          <w:tcPr>
            <w:tcW w:w="1150" w:type="dxa"/>
            <w:vMerge w:val="restart"/>
            <w:shd w:val="clear" w:color="auto" w:fill="0070C0"/>
          </w:tcPr>
          <w:p w14:paraId="50FADFDA" w14:textId="77777777" w:rsidR="008F7BB3" w:rsidRPr="00E77F77" w:rsidRDefault="008F7BB3" w:rsidP="008F7BB3">
            <w:pPr>
              <w:spacing w:before="200" w:after="60" w:line="276" w:lineRule="auto"/>
              <w:rPr>
                <w:color w:val="FFFFFF" w:themeColor="background1"/>
              </w:rPr>
            </w:pPr>
          </w:p>
          <w:p w14:paraId="436A96B8" w14:textId="77777777" w:rsidR="008F7BB3" w:rsidRPr="00E77F77" w:rsidRDefault="008F7BB3" w:rsidP="008F7BB3">
            <w:pPr>
              <w:spacing w:before="200" w:after="60" w:line="276" w:lineRule="auto"/>
              <w:rPr>
                <w:color w:val="FFFFFF" w:themeColor="background1"/>
              </w:rPr>
            </w:pPr>
          </w:p>
          <w:p w14:paraId="6B24F997" w14:textId="77777777" w:rsidR="008F7BB3" w:rsidRPr="00E77F77" w:rsidRDefault="008F7BB3" w:rsidP="008F7BB3">
            <w:pPr>
              <w:spacing w:before="200" w:after="60" w:line="276" w:lineRule="auto"/>
              <w:rPr>
                <w:color w:val="FFFFFF" w:themeColor="background1"/>
              </w:rPr>
            </w:pPr>
            <w:r w:rsidRPr="00E77F77">
              <w:rPr>
                <w:color w:val="FFFFFF" w:themeColor="background1"/>
              </w:rPr>
              <w:t xml:space="preserve">Action </w:t>
            </w:r>
          </w:p>
        </w:tc>
      </w:tr>
      <w:tr w:rsidR="008F7BB3" w:rsidRPr="00F94BA8" w14:paraId="78870F1F" w14:textId="77777777" w:rsidTr="00BD5B3E">
        <w:trPr>
          <w:tblHeader/>
        </w:trPr>
        <w:tc>
          <w:tcPr>
            <w:tcW w:w="1701" w:type="dxa"/>
            <w:vMerge/>
            <w:shd w:val="clear" w:color="auto" w:fill="0070C0"/>
          </w:tcPr>
          <w:p w14:paraId="73615397" w14:textId="77777777" w:rsidR="008F7BB3" w:rsidRPr="00E77F77" w:rsidRDefault="008F7BB3" w:rsidP="008F7BB3">
            <w:pPr>
              <w:spacing w:before="200" w:after="60" w:line="276" w:lineRule="auto"/>
              <w:rPr>
                <w:color w:val="FFFFFF" w:themeColor="background1"/>
              </w:rPr>
            </w:pPr>
          </w:p>
        </w:tc>
        <w:tc>
          <w:tcPr>
            <w:tcW w:w="1559" w:type="dxa"/>
            <w:shd w:val="clear" w:color="auto" w:fill="0070C0"/>
          </w:tcPr>
          <w:p w14:paraId="77D0C13C" w14:textId="77777777" w:rsidR="008F7BB3" w:rsidRPr="00E77F77" w:rsidRDefault="008F7BB3" w:rsidP="008F7BB3">
            <w:pPr>
              <w:spacing w:before="200" w:after="60" w:line="276" w:lineRule="auto"/>
              <w:rPr>
                <w:color w:val="FFFFFF" w:themeColor="background1"/>
              </w:rPr>
            </w:pPr>
            <w:r w:rsidRPr="00E77F77">
              <w:rPr>
                <w:color w:val="FFFFFF" w:themeColor="background1"/>
              </w:rPr>
              <w:t>1</w:t>
            </w:r>
          </w:p>
          <w:p w14:paraId="1E9224E4" w14:textId="77777777" w:rsidR="008F7BB3" w:rsidRPr="00E77F77" w:rsidRDefault="008F7BB3" w:rsidP="008F7BB3">
            <w:pPr>
              <w:spacing w:before="200" w:after="60" w:line="276" w:lineRule="auto"/>
              <w:rPr>
                <w:color w:val="FFFFFF" w:themeColor="background1"/>
              </w:rPr>
            </w:pPr>
            <w:r w:rsidRPr="00E77F77">
              <w:rPr>
                <w:color w:val="FFFFFF" w:themeColor="background1"/>
              </w:rPr>
              <w:t xml:space="preserve">Insignificant </w:t>
            </w:r>
          </w:p>
        </w:tc>
        <w:tc>
          <w:tcPr>
            <w:tcW w:w="1223" w:type="dxa"/>
            <w:shd w:val="clear" w:color="auto" w:fill="0070C0"/>
          </w:tcPr>
          <w:p w14:paraId="679E0FAC" w14:textId="77777777" w:rsidR="008F7BB3" w:rsidRPr="00E77F77" w:rsidRDefault="008F7BB3" w:rsidP="008F7BB3">
            <w:pPr>
              <w:spacing w:before="200" w:after="60" w:line="276" w:lineRule="auto"/>
              <w:rPr>
                <w:color w:val="FFFFFF" w:themeColor="background1"/>
              </w:rPr>
            </w:pPr>
            <w:r w:rsidRPr="00E77F77">
              <w:rPr>
                <w:color w:val="FFFFFF" w:themeColor="background1"/>
              </w:rPr>
              <w:t>2</w:t>
            </w:r>
          </w:p>
          <w:p w14:paraId="35CC3950" w14:textId="77777777" w:rsidR="008F7BB3" w:rsidRPr="00E77F77" w:rsidRDefault="008F7BB3" w:rsidP="008F7BB3">
            <w:pPr>
              <w:spacing w:before="200" w:after="60" w:line="276" w:lineRule="auto"/>
              <w:rPr>
                <w:color w:val="FFFFFF" w:themeColor="background1"/>
              </w:rPr>
            </w:pPr>
            <w:r w:rsidRPr="00E77F77">
              <w:rPr>
                <w:color w:val="FFFFFF" w:themeColor="background1"/>
              </w:rPr>
              <w:t>Minor</w:t>
            </w:r>
          </w:p>
        </w:tc>
        <w:tc>
          <w:tcPr>
            <w:tcW w:w="1329" w:type="dxa"/>
            <w:shd w:val="clear" w:color="auto" w:fill="0070C0"/>
          </w:tcPr>
          <w:p w14:paraId="76BF8741" w14:textId="77777777" w:rsidR="008F7BB3" w:rsidRPr="00E77F77" w:rsidRDefault="008F7BB3" w:rsidP="008F7BB3">
            <w:pPr>
              <w:spacing w:before="200" w:after="60" w:line="276" w:lineRule="auto"/>
              <w:rPr>
                <w:color w:val="FFFFFF" w:themeColor="background1"/>
              </w:rPr>
            </w:pPr>
            <w:r w:rsidRPr="00E77F77">
              <w:rPr>
                <w:color w:val="FFFFFF" w:themeColor="background1"/>
              </w:rPr>
              <w:t>3</w:t>
            </w:r>
          </w:p>
          <w:p w14:paraId="2CB4B69C" w14:textId="77777777" w:rsidR="008F7BB3" w:rsidRPr="00E77F77" w:rsidRDefault="008F7BB3" w:rsidP="008F7BB3">
            <w:pPr>
              <w:spacing w:before="200" w:after="60" w:line="276" w:lineRule="auto"/>
              <w:rPr>
                <w:color w:val="FFFFFF" w:themeColor="background1"/>
              </w:rPr>
            </w:pPr>
            <w:r w:rsidRPr="00E77F77">
              <w:rPr>
                <w:color w:val="FFFFFF" w:themeColor="background1"/>
              </w:rPr>
              <w:t>Moderate</w:t>
            </w:r>
          </w:p>
        </w:tc>
        <w:tc>
          <w:tcPr>
            <w:tcW w:w="1054" w:type="dxa"/>
            <w:shd w:val="clear" w:color="auto" w:fill="0070C0"/>
          </w:tcPr>
          <w:p w14:paraId="2BCE4B06" w14:textId="77777777" w:rsidR="008F7BB3" w:rsidRPr="00E77F77" w:rsidRDefault="008F7BB3" w:rsidP="008F7BB3">
            <w:pPr>
              <w:spacing w:before="200" w:after="60" w:line="276" w:lineRule="auto"/>
              <w:rPr>
                <w:color w:val="FFFFFF" w:themeColor="background1"/>
              </w:rPr>
            </w:pPr>
            <w:r w:rsidRPr="00E77F77">
              <w:rPr>
                <w:color w:val="FFFFFF" w:themeColor="background1"/>
              </w:rPr>
              <w:t>4</w:t>
            </w:r>
          </w:p>
          <w:p w14:paraId="2421028B" w14:textId="77777777" w:rsidR="008F7BB3" w:rsidRPr="00E77F77" w:rsidRDefault="008F7BB3" w:rsidP="008F7BB3">
            <w:pPr>
              <w:spacing w:before="200" w:after="60" w:line="276" w:lineRule="auto"/>
              <w:rPr>
                <w:color w:val="FFFFFF" w:themeColor="background1"/>
              </w:rPr>
            </w:pPr>
            <w:r w:rsidRPr="00E77F77">
              <w:rPr>
                <w:color w:val="FFFFFF" w:themeColor="background1"/>
              </w:rPr>
              <w:t>Major</w:t>
            </w:r>
          </w:p>
        </w:tc>
        <w:tc>
          <w:tcPr>
            <w:tcW w:w="1639" w:type="dxa"/>
            <w:shd w:val="clear" w:color="auto" w:fill="0070C0"/>
          </w:tcPr>
          <w:p w14:paraId="216B4E6A" w14:textId="77777777" w:rsidR="008F7BB3" w:rsidRPr="00E77F77" w:rsidRDefault="008F7BB3" w:rsidP="008F7BB3">
            <w:pPr>
              <w:spacing w:before="200" w:after="60" w:line="276" w:lineRule="auto"/>
              <w:rPr>
                <w:color w:val="FFFFFF" w:themeColor="background1"/>
              </w:rPr>
            </w:pPr>
            <w:r w:rsidRPr="00E77F77">
              <w:rPr>
                <w:color w:val="FFFFFF" w:themeColor="background1"/>
              </w:rPr>
              <w:t>5</w:t>
            </w:r>
          </w:p>
          <w:p w14:paraId="2CABE9AA" w14:textId="77777777" w:rsidR="008F7BB3" w:rsidRPr="00E77F77" w:rsidRDefault="008F7BB3" w:rsidP="008F7BB3">
            <w:pPr>
              <w:spacing w:before="200" w:after="60" w:line="276" w:lineRule="auto"/>
              <w:rPr>
                <w:color w:val="FFFFFF" w:themeColor="background1"/>
              </w:rPr>
            </w:pPr>
            <w:r w:rsidRPr="00E77F77">
              <w:rPr>
                <w:color w:val="FFFFFF" w:themeColor="background1"/>
              </w:rPr>
              <w:t>Catastrophic</w:t>
            </w:r>
          </w:p>
        </w:tc>
        <w:tc>
          <w:tcPr>
            <w:tcW w:w="1150" w:type="dxa"/>
            <w:vMerge/>
          </w:tcPr>
          <w:p w14:paraId="5A2FD83A" w14:textId="77777777" w:rsidR="008F7BB3" w:rsidRPr="00E77F77" w:rsidRDefault="008F7BB3" w:rsidP="008F7BB3">
            <w:pPr>
              <w:spacing w:before="200" w:after="60" w:line="276" w:lineRule="auto"/>
            </w:pPr>
          </w:p>
        </w:tc>
      </w:tr>
      <w:tr w:rsidR="008F7BB3" w:rsidRPr="00F94BA8" w14:paraId="260A8511" w14:textId="77777777" w:rsidTr="008F7BB3">
        <w:tc>
          <w:tcPr>
            <w:tcW w:w="1701" w:type="dxa"/>
          </w:tcPr>
          <w:p w14:paraId="705C013C" w14:textId="77777777" w:rsidR="008F7BB3" w:rsidRPr="00E77F77" w:rsidRDefault="008F7BB3" w:rsidP="008F7BB3">
            <w:pPr>
              <w:spacing w:before="200" w:after="60" w:line="276" w:lineRule="auto"/>
            </w:pPr>
            <w:r w:rsidRPr="00E77F77">
              <w:t>1. Rare</w:t>
            </w:r>
          </w:p>
        </w:tc>
        <w:tc>
          <w:tcPr>
            <w:tcW w:w="1559" w:type="dxa"/>
            <w:shd w:val="clear" w:color="auto" w:fill="92D050"/>
          </w:tcPr>
          <w:p w14:paraId="14A84712" w14:textId="77777777" w:rsidR="008F7BB3" w:rsidRPr="00E77F77" w:rsidRDefault="008F7BB3" w:rsidP="008F7BB3">
            <w:pPr>
              <w:spacing w:before="200" w:after="60" w:line="276" w:lineRule="auto"/>
            </w:pPr>
            <w:r w:rsidRPr="00E77F77">
              <w:t>1</w:t>
            </w:r>
          </w:p>
        </w:tc>
        <w:tc>
          <w:tcPr>
            <w:tcW w:w="1223" w:type="dxa"/>
            <w:shd w:val="clear" w:color="auto" w:fill="92D050"/>
          </w:tcPr>
          <w:p w14:paraId="16BB4326" w14:textId="77777777" w:rsidR="008F7BB3" w:rsidRPr="00E77F77" w:rsidRDefault="008F7BB3" w:rsidP="008F7BB3">
            <w:pPr>
              <w:spacing w:before="200" w:after="60" w:line="276" w:lineRule="auto"/>
            </w:pPr>
            <w:r w:rsidRPr="00E77F77">
              <w:t>2</w:t>
            </w:r>
          </w:p>
        </w:tc>
        <w:tc>
          <w:tcPr>
            <w:tcW w:w="1329" w:type="dxa"/>
            <w:shd w:val="clear" w:color="auto" w:fill="92D050"/>
          </w:tcPr>
          <w:p w14:paraId="290BD8D4" w14:textId="77777777" w:rsidR="008F7BB3" w:rsidRPr="00E77F77" w:rsidRDefault="008F7BB3" w:rsidP="008F7BB3">
            <w:pPr>
              <w:spacing w:before="200" w:after="60" w:line="276" w:lineRule="auto"/>
            </w:pPr>
            <w:r w:rsidRPr="00E77F77">
              <w:t>3</w:t>
            </w:r>
          </w:p>
        </w:tc>
        <w:tc>
          <w:tcPr>
            <w:tcW w:w="1054" w:type="dxa"/>
            <w:shd w:val="clear" w:color="auto" w:fill="92D050"/>
          </w:tcPr>
          <w:p w14:paraId="468A168E" w14:textId="77777777" w:rsidR="008F7BB3" w:rsidRPr="00E77F77" w:rsidRDefault="008F7BB3" w:rsidP="008F7BB3">
            <w:pPr>
              <w:spacing w:before="200" w:after="60" w:line="276" w:lineRule="auto"/>
            </w:pPr>
            <w:r w:rsidRPr="00E77F77">
              <w:t>4</w:t>
            </w:r>
          </w:p>
        </w:tc>
        <w:tc>
          <w:tcPr>
            <w:tcW w:w="1639" w:type="dxa"/>
            <w:shd w:val="clear" w:color="auto" w:fill="92D050"/>
          </w:tcPr>
          <w:p w14:paraId="3A9021C0" w14:textId="77777777" w:rsidR="008F7BB3" w:rsidRPr="00E77F77" w:rsidRDefault="008F7BB3" w:rsidP="008F7BB3">
            <w:pPr>
              <w:spacing w:before="200" w:after="60" w:line="276" w:lineRule="auto"/>
            </w:pPr>
            <w:r w:rsidRPr="00E77F77">
              <w:t>5</w:t>
            </w:r>
          </w:p>
        </w:tc>
        <w:tc>
          <w:tcPr>
            <w:tcW w:w="1150" w:type="dxa"/>
            <w:shd w:val="clear" w:color="auto" w:fill="92D050"/>
          </w:tcPr>
          <w:p w14:paraId="466B8643" w14:textId="77777777" w:rsidR="008F7BB3" w:rsidRPr="00E77F77" w:rsidRDefault="008F7BB3" w:rsidP="008F7BB3">
            <w:pPr>
              <w:spacing w:before="200" w:after="60" w:line="276" w:lineRule="auto"/>
            </w:pPr>
            <w:r w:rsidRPr="00E77F77">
              <w:t xml:space="preserve">No Immediate action </w:t>
            </w:r>
          </w:p>
        </w:tc>
      </w:tr>
      <w:tr w:rsidR="008F7BB3" w:rsidRPr="00F94BA8" w14:paraId="1350F2A0" w14:textId="77777777" w:rsidTr="008F7BB3">
        <w:tc>
          <w:tcPr>
            <w:tcW w:w="1701" w:type="dxa"/>
          </w:tcPr>
          <w:p w14:paraId="7C9FB703" w14:textId="77777777" w:rsidR="008F7BB3" w:rsidRPr="00E77F77" w:rsidRDefault="008F7BB3" w:rsidP="008F7BB3">
            <w:pPr>
              <w:spacing w:before="200" w:after="60" w:line="276" w:lineRule="auto"/>
            </w:pPr>
            <w:r w:rsidRPr="00E77F77">
              <w:t xml:space="preserve">2. Unlikely </w:t>
            </w:r>
          </w:p>
        </w:tc>
        <w:tc>
          <w:tcPr>
            <w:tcW w:w="1559" w:type="dxa"/>
            <w:shd w:val="clear" w:color="auto" w:fill="92D050"/>
          </w:tcPr>
          <w:p w14:paraId="163CE621" w14:textId="77777777" w:rsidR="008F7BB3" w:rsidRPr="00E77F77" w:rsidRDefault="008F7BB3" w:rsidP="008F7BB3">
            <w:pPr>
              <w:spacing w:before="200" w:after="60" w:line="276" w:lineRule="auto"/>
            </w:pPr>
            <w:r w:rsidRPr="00E77F77">
              <w:t>2</w:t>
            </w:r>
          </w:p>
        </w:tc>
        <w:tc>
          <w:tcPr>
            <w:tcW w:w="1223" w:type="dxa"/>
            <w:shd w:val="clear" w:color="auto" w:fill="92D050"/>
          </w:tcPr>
          <w:p w14:paraId="3955332A" w14:textId="77777777" w:rsidR="008F7BB3" w:rsidRPr="00E77F77" w:rsidRDefault="008F7BB3" w:rsidP="008F7BB3">
            <w:pPr>
              <w:spacing w:before="200" w:after="60" w:line="276" w:lineRule="auto"/>
            </w:pPr>
            <w:r w:rsidRPr="00E77F77">
              <w:t>4</w:t>
            </w:r>
          </w:p>
        </w:tc>
        <w:tc>
          <w:tcPr>
            <w:tcW w:w="1329" w:type="dxa"/>
            <w:shd w:val="clear" w:color="auto" w:fill="FFC000"/>
          </w:tcPr>
          <w:p w14:paraId="1498AE6C" w14:textId="77777777" w:rsidR="008F7BB3" w:rsidRPr="00E77F77" w:rsidRDefault="008F7BB3" w:rsidP="008F7BB3">
            <w:pPr>
              <w:spacing w:before="200" w:after="60" w:line="276" w:lineRule="auto"/>
            </w:pPr>
            <w:r w:rsidRPr="00E77F77">
              <w:t>6</w:t>
            </w:r>
          </w:p>
        </w:tc>
        <w:tc>
          <w:tcPr>
            <w:tcW w:w="1054" w:type="dxa"/>
            <w:shd w:val="clear" w:color="auto" w:fill="FFC000"/>
          </w:tcPr>
          <w:p w14:paraId="406828BF" w14:textId="77777777" w:rsidR="008F7BB3" w:rsidRPr="00E77F77" w:rsidRDefault="008F7BB3" w:rsidP="008F7BB3">
            <w:pPr>
              <w:spacing w:before="200" w:after="60" w:line="276" w:lineRule="auto"/>
            </w:pPr>
            <w:r w:rsidRPr="00E77F77">
              <w:t>8</w:t>
            </w:r>
          </w:p>
        </w:tc>
        <w:tc>
          <w:tcPr>
            <w:tcW w:w="1639" w:type="dxa"/>
            <w:shd w:val="clear" w:color="auto" w:fill="FFC000"/>
          </w:tcPr>
          <w:p w14:paraId="76EFF41C" w14:textId="77777777" w:rsidR="008F7BB3" w:rsidRPr="00E77F77" w:rsidRDefault="008F7BB3" w:rsidP="008F7BB3">
            <w:pPr>
              <w:spacing w:before="200" w:after="60" w:line="276" w:lineRule="auto"/>
            </w:pPr>
            <w:r w:rsidRPr="00E77F77">
              <w:t>10</w:t>
            </w:r>
          </w:p>
        </w:tc>
        <w:tc>
          <w:tcPr>
            <w:tcW w:w="1150" w:type="dxa"/>
            <w:shd w:val="clear" w:color="auto" w:fill="FFC000"/>
          </w:tcPr>
          <w:p w14:paraId="6E74D65F" w14:textId="77777777" w:rsidR="008F7BB3" w:rsidRPr="00E77F77" w:rsidRDefault="008F7BB3" w:rsidP="008F7BB3">
            <w:pPr>
              <w:spacing w:before="200" w:after="60" w:line="276" w:lineRule="auto"/>
            </w:pPr>
            <w:r w:rsidRPr="00E77F77">
              <w:t xml:space="preserve">Action within 12 months </w:t>
            </w:r>
          </w:p>
        </w:tc>
      </w:tr>
      <w:tr w:rsidR="008F7BB3" w:rsidRPr="00F94BA8" w14:paraId="37450A7C" w14:textId="77777777" w:rsidTr="008F7BB3">
        <w:tc>
          <w:tcPr>
            <w:tcW w:w="1701" w:type="dxa"/>
          </w:tcPr>
          <w:p w14:paraId="23789E32" w14:textId="77777777" w:rsidR="008F7BB3" w:rsidRPr="00E77F77" w:rsidRDefault="008F7BB3" w:rsidP="008F7BB3">
            <w:pPr>
              <w:spacing w:before="200" w:after="60" w:line="276" w:lineRule="auto"/>
            </w:pPr>
            <w:r w:rsidRPr="00E77F77">
              <w:t xml:space="preserve">3. Possible </w:t>
            </w:r>
          </w:p>
        </w:tc>
        <w:tc>
          <w:tcPr>
            <w:tcW w:w="1559" w:type="dxa"/>
            <w:shd w:val="clear" w:color="auto" w:fill="92D050"/>
          </w:tcPr>
          <w:p w14:paraId="6559B53C" w14:textId="77777777" w:rsidR="008F7BB3" w:rsidRPr="00E77F77" w:rsidRDefault="008F7BB3" w:rsidP="008F7BB3">
            <w:pPr>
              <w:spacing w:before="200" w:after="60" w:line="276" w:lineRule="auto"/>
            </w:pPr>
            <w:r w:rsidRPr="00E77F77">
              <w:t>3</w:t>
            </w:r>
          </w:p>
        </w:tc>
        <w:tc>
          <w:tcPr>
            <w:tcW w:w="1223" w:type="dxa"/>
            <w:shd w:val="clear" w:color="auto" w:fill="FFC000"/>
          </w:tcPr>
          <w:p w14:paraId="3D8AAD2B" w14:textId="77777777" w:rsidR="008F7BB3" w:rsidRPr="00E77F77" w:rsidRDefault="008F7BB3" w:rsidP="008F7BB3">
            <w:pPr>
              <w:spacing w:before="200" w:after="60" w:line="276" w:lineRule="auto"/>
            </w:pPr>
            <w:r w:rsidRPr="00E77F77">
              <w:t>6</w:t>
            </w:r>
          </w:p>
        </w:tc>
        <w:tc>
          <w:tcPr>
            <w:tcW w:w="1329" w:type="dxa"/>
            <w:shd w:val="clear" w:color="auto" w:fill="FF0000"/>
          </w:tcPr>
          <w:p w14:paraId="0C221374" w14:textId="77777777" w:rsidR="008F7BB3" w:rsidRPr="00E77F77" w:rsidRDefault="008F7BB3" w:rsidP="008F7BB3">
            <w:pPr>
              <w:spacing w:before="200" w:after="60" w:line="276" w:lineRule="auto"/>
            </w:pPr>
            <w:r w:rsidRPr="00E77F77">
              <w:t>9</w:t>
            </w:r>
          </w:p>
        </w:tc>
        <w:tc>
          <w:tcPr>
            <w:tcW w:w="1054" w:type="dxa"/>
            <w:shd w:val="clear" w:color="auto" w:fill="FF0000"/>
          </w:tcPr>
          <w:p w14:paraId="125111E6" w14:textId="77777777" w:rsidR="008F7BB3" w:rsidRPr="00E77F77" w:rsidRDefault="008F7BB3" w:rsidP="008F7BB3">
            <w:pPr>
              <w:spacing w:before="200" w:after="60" w:line="276" w:lineRule="auto"/>
            </w:pPr>
            <w:r w:rsidRPr="00E77F77">
              <w:t>12</w:t>
            </w:r>
          </w:p>
        </w:tc>
        <w:tc>
          <w:tcPr>
            <w:tcW w:w="1639" w:type="dxa"/>
            <w:shd w:val="clear" w:color="auto" w:fill="FF0000"/>
          </w:tcPr>
          <w:p w14:paraId="4B286657" w14:textId="77777777" w:rsidR="008F7BB3" w:rsidRPr="00E77F77" w:rsidRDefault="008F7BB3" w:rsidP="008F7BB3">
            <w:pPr>
              <w:spacing w:before="200" w:after="60" w:line="276" w:lineRule="auto"/>
            </w:pPr>
            <w:r w:rsidRPr="00E77F77">
              <w:t>15</w:t>
            </w:r>
          </w:p>
        </w:tc>
        <w:tc>
          <w:tcPr>
            <w:tcW w:w="1150" w:type="dxa"/>
            <w:vMerge w:val="restart"/>
            <w:shd w:val="clear" w:color="auto" w:fill="FF0000"/>
          </w:tcPr>
          <w:p w14:paraId="67EB03E0" w14:textId="77777777" w:rsidR="008F7BB3" w:rsidRPr="00E77F77" w:rsidRDefault="008F7BB3" w:rsidP="008F7BB3">
            <w:pPr>
              <w:spacing w:before="200" w:after="60" w:line="276" w:lineRule="auto"/>
            </w:pPr>
          </w:p>
          <w:p w14:paraId="3E009446" w14:textId="77777777" w:rsidR="008F7BB3" w:rsidRPr="00E77F77" w:rsidRDefault="008F7BB3" w:rsidP="008F7BB3">
            <w:pPr>
              <w:spacing w:before="200" w:after="60" w:line="276" w:lineRule="auto"/>
            </w:pPr>
            <w:r w:rsidRPr="00E77F77">
              <w:t xml:space="preserve">Urgent Action </w:t>
            </w:r>
          </w:p>
        </w:tc>
      </w:tr>
      <w:tr w:rsidR="008F7BB3" w:rsidRPr="00F94BA8" w14:paraId="53410A40" w14:textId="77777777" w:rsidTr="008F7BB3">
        <w:tc>
          <w:tcPr>
            <w:tcW w:w="1701" w:type="dxa"/>
          </w:tcPr>
          <w:p w14:paraId="6EB014B4" w14:textId="77777777" w:rsidR="008F7BB3" w:rsidRPr="00E77F77" w:rsidRDefault="008F7BB3" w:rsidP="008F7BB3">
            <w:pPr>
              <w:spacing w:before="200" w:after="60" w:line="276" w:lineRule="auto"/>
            </w:pPr>
            <w:r w:rsidRPr="00E77F77">
              <w:t xml:space="preserve">4. Likely </w:t>
            </w:r>
          </w:p>
        </w:tc>
        <w:tc>
          <w:tcPr>
            <w:tcW w:w="1559" w:type="dxa"/>
            <w:shd w:val="clear" w:color="auto" w:fill="92D050"/>
          </w:tcPr>
          <w:p w14:paraId="74173F8A" w14:textId="77777777" w:rsidR="008F7BB3" w:rsidRPr="00E77F77" w:rsidRDefault="008F7BB3" w:rsidP="008F7BB3">
            <w:pPr>
              <w:spacing w:before="200" w:after="60" w:line="276" w:lineRule="auto"/>
            </w:pPr>
            <w:r w:rsidRPr="00E77F77">
              <w:t>4</w:t>
            </w:r>
          </w:p>
        </w:tc>
        <w:tc>
          <w:tcPr>
            <w:tcW w:w="1223" w:type="dxa"/>
            <w:shd w:val="clear" w:color="auto" w:fill="FFC000"/>
          </w:tcPr>
          <w:p w14:paraId="3AED7E9B" w14:textId="77777777" w:rsidR="008F7BB3" w:rsidRPr="00E77F77" w:rsidRDefault="008F7BB3" w:rsidP="008F7BB3">
            <w:pPr>
              <w:spacing w:before="200" w:after="60" w:line="276" w:lineRule="auto"/>
            </w:pPr>
            <w:r w:rsidRPr="00E77F77">
              <w:t>8</w:t>
            </w:r>
          </w:p>
        </w:tc>
        <w:tc>
          <w:tcPr>
            <w:tcW w:w="1329" w:type="dxa"/>
            <w:shd w:val="clear" w:color="auto" w:fill="FF0000"/>
          </w:tcPr>
          <w:p w14:paraId="441EC252" w14:textId="77777777" w:rsidR="008F7BB3" w:rsidRPr="00E77F77" w:rsidRDefault="008F7BB3" w:rsidP="008F7BB3">
            <w:pPr>
              <w:spacing w:before="200" w:after="60" w:line="276" w:lineRule="auto"/>
            </w:pPr>
            <w:r w:rsidRPr="00E77F77">
              <w:t>12</w:t>
            </w:r>
          </w:p>
        </w:tc>
        <w:tc>
          <w:tcPr>
            <w:tcW w:w="1054" w:type="dxa"/>
            <w:shd w:val="clear" w:color="auto" w:fill="FF0000"/>
          </w:tcPr>
          <w:p w14:paraId="6B119E9A" w14:textId="77777777" w:rsidR="008F7BB3" w:rsidRPr="00E77F77" w:rsidRDefault="008F7BB3" w:rsidP="008F7BB3">
            <w:pPr>
              <w:spacing w:before="200" w:after="60" w:line="276" w:lineRule="auto"/>
            </w:pPr>
            <w:r w:rsidRPr="00E77F77">
              <w:t>16</w:t>
            </w:r>
          </w:p>
        </w:tc>
        <w:tc>
          <w:tcPr>
            <w:tcW w:w="1639" w:type="dxa"/>
            <w:shd w:val="clear" w:color="auto" w:fill="FF0000"/>
          </w:tcPr>
          <w:p w14:paraId="1DFE597B" w14:textId="77777777" w:rsidR="008F7BB3" w:rsidRPr="00E77F77" w:rsidRDefault="008F7BB3" w:rsidP="008F7BB3">
            <w:pPr>
              <w:spacing w:before="200" w:after="60" w:line="276" w:lineRule="auto"/>
            </w:pPr>
            <w:r w:rsidRPr="00E77F77">
              <w:t>20</w:t>
            </w:r>
          </w:p>
        </w:tc>
        <w:tc>
          <w:tcPr>
            <w:tcW w:w="1150" w:type="dxa"/>
            <w:vMerge/>
            <w:shd w:val="clear" w:color="auto" w:fill="FF0000"/>
          </w:tcPr>
          <w:p w14:paraId="41BB8DF0" w14:textId="77777777" w:rsidR="008F7BB3" w:rsidRPr="00E77F77" w:rsidRDefault="008F7BB3" w:rsidP="008F7BB3">
            <w:pPr>
              <w:spacing w:before="200" w:after="60" w:line="276" w:lineRule="auto"/>
            </w:pPr>
          </w:p>
        </w:tc>
      </w:tr>
      <w:tr w:rsidR="008F7BB3" w:rsidRPr="00F94BA8" w14:paraId="00B8A76A" w14:textId="77777777" w:rsidTr="008F7BB3">
        <w:tc>
          <w:tcPr>
            <w:tcW w:w="1701" w:type="dxa"/>
          </w:tcPr>
          <w:p w14:paraId="01331FD5" w14:textId="77777777" w:rsidR="008F7BB3" w:rsidRPr="00E77F77" w:rsidRDefault="008F7BB3" w:rsidP="008F7BB3">
            <w:pPr>
              <w:spacing w:before="200" w:after="60" w:line="276" w:lineRule="auto"/>
            </w:pPr>
            <w:r w:rsidRPr="00E77F77">
              <w:t xml:space="preserve">5. Almost Certain </w:t>
            </w:r>
          </w:p>
        </w:tc>
        <w:tc>
          <w:tcPr>
            <w:tcW w:w="1559" w:type="dxa"/>
            <w:shd w:val="clear" w:color="auto" w:fill="92D050"/>
          </w:tcPr>
          <w:p w14:paraId="2158D50B" w14:textId="77777777" w:rsidR="008F7BB3" w:rsidRPr="00E77F77" w:rsidRDefault="008F7BB3" w:rsidP="008F7BB3">
            <w:pPr>
              <w:spacing w:before="200" w:after="60" w:line="276" w:lineRule="auto"/>
            </w:pPr>
            <w:r w:rsidRPr="00E77F77">
              <w:t>5</w:t>
            </w:r>
          </w:p>
        </w:tc>
        <w:tc>
          <w:tcPr>
            <w:tcW w:w="1223" w:type="dxa"/>
            <w:shd w:val="clear" w:color="auto" w:fill="FFC000"/>
          </w:tcPr>
          <w:p w14:paraId="67F1D658" w14:textId="77777777" w:rsidR="008F7BB3" w:rsidRPr="00E77F77" w:rsidRDefault="008F7BB3" w:rsidP="008F7BB3">
            <w:pPr>
              <w:spacing w:before="200" w:after="60" w:line="276" w:lineRule="auto"/>
            </w:pPr>
            <w:r w:rsidRPr="00E77F77">
              <w:t>10</w:t>
            </w:r>
          </w:p>
        </w:tc>
        <w:tc>
          <w:tcPr>
            <w:tcW w:w="1329" w:type="dxa"/>
            <w:shd w:val="clear" w:color="auto" w:fill="FF0000"/>
          </w:tcPr>
          <w:p w14:paraId="43B8E105" w14:textId="77777777" w:rsidR="008F7BB3" w:rsidRPr="00E77F77" w:rsidRDefault="008F7BB3" w:rsidP="008F7BB3">
            <w:pPr>
              <w:spacing w:before="200" w:after="60" w:line="276" w:lineRule="auto"/>
            </w:pPr>
            <w:r w:rsidRPr="00E77F77">
              <w:t>15</w:t>
            </w:r>
          </w:p>
        </w:tc>
        <w:tc>
          <w:tcPr>
            <w:tcW w:w="1054" w:type="dxa"/>
            <w:shd w:val="clear" w:color="auto" w:fill="FF0000"/>
          </w:tcPr>
          <w:p w14:paraId="269D6651" w14:textId="77777777" w:rsidR="008F7BB3" w:rsidRPr="00E77F77" w:rsidRDefault="008F7BB3" w:rsidP="008F7BB3">
            <w:pPr>
              <w:spacing w:before="200" w:after="60" w:line="276" w:lineRule="auto"/>
            </w:pPr>
            <w:r w:rsidRPr="00E77F77">
              <w:t>20</w:t>
            </w:r>
          </w:p>
        </w:tc>
        <w:tc>
          <w:tcPr>
            <w:tcW w:w="1639" w:type="dxa"/>
            <w:shd w:val="clear" w:color="auto" w:fill="FF0000"/>
          </w:tcPr>
          <w:p w14:paraId="7F6B01AC" w14:textId="77777777" w:rsidR="008F7BB3" w:rsidRPr="00E77F77" w:rsidRDefault="008F7BB3" w:rsidP="008F7BB3">
            <w:pPr>
              <w:spacing w:before="200" w:after="60" w:line="276" w:lineRule="auto"/>
            </w:pPr>
            <w:r w:rsidRPr="00E77F77">
              <w:t>25</w:t>
            </w:r>
          </w:p>
        </w:tc>
        <w:tc>
          <w:tcPr>
            <w:tcW w:w="1150" w:type="dxa"/>
            <w:vMerge/>
            <w:shd w:val="clear" w:color="auto" w:fill="FF0000"/>
          </w:tcPr>
          <w:p w14:paraId="472C11EE" w14:textId="77777777" w:rsidR="008F7BB3" w:rsidRPr="00E77F77" w:rsidRDefault="008F7BB3" w:rsidP="008F7BB3">
            <w:pPr>
              <w:spacing w:before="200" w:after="60" w:line="276" w:lineRule="auto"/>
            </w:pPr>
          </w:p>
        </w:tc>
      </w:tr>
    </w:tbl>
    <w:p w14:paraId="46FB39B7" w14:textId="77777777" w:rsidR="008F7BB3" w:rsidRPr="00E77F77" w:rsidRDefault="008F7BB3" w:rsidP="008F7BB3">
      <w:pPr>
        <w:pStyle w:val="SchedClauses"/>
        <w:spacing w:line="276" w:lineRule="auto"/>
        <w:ind w:left="1418"/>
        <w:rPr>
          <w:b/>
          <w:sz w:val="24"/>
        </w:rPr>
      </w:pPr>
    </w:p>
    <w:p w14:paraId="2EE201C4" w14:textId="77777777" w:rsidR="008F7BB3" w:rsidRPr="00E54C11" w:rsidRDefault="008F7BB3" w:rsidP="008F7BB3">
      <w:pPr>
        <w:pStyle w:val="Heading4"/>
        <w:rPr>
          <w:b/>
        </w:rPr>
      </w:pPr>
      <w:r w:rsidRPr="00E54C11">
        <w:rPr>
          <w:b/>
        </w:rPr>
        <w:t>Sample Risk Assessment Form</w:t>
      </w:r>
      <w:r w:rsidRPr="009F1946">
        <w:rPr>
          <w:b/>
        </w:rPr>
        <w:t xml:space="preserve"> </w:t>
      </w:r>
    </w:p>
    <w:p w14:paraId="2F6A8ACE" w14:textId="7B126F26" w:rsidR="008F7BB3" w:rsidRPr="00E77F77" w:rsidRDefault="000E7846" w:rsidP="008F7BB3">
      <w:pPr>
        <w:pStyle w:val="ListParagraph"/>
        <w:numPr>
          <w:ilvl w:val="0"/>
          <w:numId w:val="152"/>
        </w:numPr>
        <w:spacing w:line="276" w:lineRule="auto"/>
      </w:pPr>
      <w:hyperlink r:id="rId78" w:history="1">
        <w:r w:rsidR="00C86AB7" w:rsidRPr="00877180">
          <w:rPr>
            <w:rStyle w:val="Hyperlink"/>
          </w:rPr>
          <w:t xml:space="preserve">Sample </w:t>
        </w:r>
        <w:r w:rsidR="00C86AB7">
          <w:rPr>
            <w:rStyle w:val="Hyperlink"/>
          </w:rPr>
          <w:t>Risk Assessment Form</w:t>
        </w:r>
      </w:hyperlink>
    </w:p>
    <w:p w14:paraId="4D3D6EE9" w14:textId="4437CBD7" w:rsidR="008F7BB3" w:rsidRPr="00E54C11" w:rsidRDefault="008F7BB3" w:rsidP="002306F3">
      <w:pPr>
        <w:spacing w:before="200" w:after="60" w:line="276" w:lineRule="auto"/>
        <w:rPr>
          <w:b/>
        </w:rPr>
      </w:pPr>
      <w:r w:rsidRPr="006146DE">
        <w:rPr>
          <w:rFonts w:cs="Arial"/>
          <w:color w:val="002060"/>
          <w:szCs w:val="24"/>
        </w:rPr>
        <w:br w:type="page"/>
      </w:r>
      <w:bookmarkStart w:id="536" w:name="_Appendix_Six:_Example"/>
      <w:bookmarkStart w:id="537" w:name="_bookmark5"/>
      <w:bookmarkStart w:id="538" w:name="_Toc483740439"/>
      <w:bookmarkEnd w:id="536"/>
      <w:bookmarkEnd w:id="537"/>
      <w:r w:rsidRPr="00E54C11">
        <w:rPr>
          <w:b/>
        </w:rPr>
        <w:lastRenderedPageBreak/>
        <w:t>Appendix Six: Example Patient Pathway</w:t>
      </w:r>
      <w:bookmarkEnd w:id="538"/>
    </w:p>
    <w:p w14:paraId="5AE6C47F" w14:textId="77777777" w:rsidR="008F7BB3" w:rsidRPr="006146DE" w:rsidRDefault="008F7BB3" w:rsidP="008F7BB3">
      <w:pPr>
        <w:spacing w:before="200" w:after="60" w:line="276" w:lineRule="auto"/>
        <w:rPr>
          <w:rFonts w:cs="Arial"/>
          <w:color w:val="002060"/>
          <w:u w:val="single"/>
        </w:rPr>
      </w:pPr>
      <w:r w:rsidRPr="006146DE">
        <w:rPr>
          <w:rFonts w:cs="Arial"/>
          <w:noProof/>
          <w:color w:val="002060"/>
          <w:lang w:eastAsia="en-GB"/>
        </w:rPr>
        <mc:AlternateContent>
          <mc:Choice Requires="wpg">
            <w:drawing>
              <wp:anchor distT="0" distB="0" distL="114300" distR="114300" simplePos="0" relativeHeight="251722240" behindDoc="1" locked="0" layoutInCell="1" allowOverlap="1" wp14:anchorId="620D1E37" wp14:editId="2C4D1B45">
                <wp:simplePos x="0" y="0"/>
                <wp:positionH relativeFrom="column">
                  <wp:posOffset>-28575</wp:posOffset>
                </wp:positionH>
                <wp:positionV relativeFrom="paragraph">
                  <wp:posOffset>24130</wp:posOffset>
                </wp:positionV>
                <wp:extent cx="5741035" cy="7040880"/>
                <wp:effectExtent l="0" t="0" r="12065" b="26670"/>
                <wp:wrapTight wrapText="bothSides">
                  <wp:wrapPolygon edited="0">
                    <wp:start x="7311" y="0"/>
                    <wp:lineTo x="7311" y="1403"/>
                    <wp:lineTo x="10249" y="1870"/>
                    <wp:lineTo x="7382" y="2630"/>
                    <wp:lineTo x="7167" y="3740"/>
                    <wp:lineTo x="3225" y="4091"/>
                    <wp:lineTo x="2509" y="4208"/>
                    <wp:lineTo x="2509" y="5610"/>
                    <wp:lineTo x="0" y="6312"/>
                    <wp:lineTo x="0" y="11162"/>
                    <wp:lineTo x="1864" y="11221"/>
                    <wp:lineTo x="0" y="12156"/>
                    <wp:lineTo x="0" y="15545"/>
                    <wp:lineTo x="11898" y="15896"/>
                    <wp:lineTo x="2150" y="16013"/>
                    <wp:lineTo x="2150" y="17006"/>
                    <wp:lineTo x="4014" y="17766"/>
                    <wp:lineTo x="2365" y="17883"/>
                    <wp:lineTo x="2150" y="17942"/>
                    <wp:lineTo x="2150" y="19227"/>
                    <wp:lineTo x="3225" y="19636"/>
                    <wp:lineTo x="4515" y="19636"/>
                    <wp:lineTo x="1577" y="19987"/>
                    <wp:lineTo x="1003" y="20104"/>
                    <wp:lineTo x="1003" y="21506"/>
                    <wp:lineTo x="11683" y="21623"/>
                    <wp:lineTo x="18277" y="21623"/>
                    <wp:lineTo x="18420" y="19812"/>
                    <wp:lineTo x="17847" y="19753"/>
                    <wp:lineTo x="10751" y="19636"/>
                    <wp:lineTo x="14621" y="19286"/>
                    <wp:lineTo x="14550" y="18701"/>
                    <wp:lineTo x="16198" y="18701"/>
                    <wp:lineTo x="16700" y="18468"/>
                    <wp:lineTo x="16843" y="15896"/>
                    <wp:lineTo x="17273" y="15253"/>
                    <wp:lineTo x="17202" y="14026"/>
                    <wp:lineTo x="17990" y="14026"/>
                    <wp:lineTo x="20499" y="13325"/>
                    <wp:lineTo x="20642" y="10519"/>
                    <wp:lineTo x="20069" y="10461"/>
                    <wp:lineTo x="12256" y="10286"/>
                    <wp:lineTo x="18993" y="9701"/>
                    <wp:lineTo x="18993" y="7188"/>
                    <wp:lineTo x="15983" y="6838"/>
                    <wp:lineTo x="10464" y="6545"/>
                    <wp:lineTo x="21574" y="6545"/>
                    <wp:lineTo x="21574" y="3916"/>
                    <wp:lineTo x="18420" y="3623"/>
                    <wp:lineTo x="18420" y="2045"/>
                    <wp:lineTo x="17990" y="1987"/>
                    <wp:lineTo x="15553" y="1870"/>
                    <wp:lineTo x="17990" y="1344"/>
                    <wp:lineTo x="17918" y="0"/>
                    <wp:lineTo x="7311" y="0"/>
                  </wp:wrapPolygon>
                </wp:wrapTight>
                <wp:docPr id="2072" name="Group 2072" descr="a flow chart of the process required for a patient removal under the special allocation scheme" title="a flow chart"/>
                <wp:cNvGraphicFramePr/>
                <a:graphic xmlns:a="http://schemas.openxmlformats.org/drawingml/2006/main">
                  <a:graphicData uri="http://schemas.microsoft.com/office/word/2010/wordprocessingGroup">
                    <wpg:wgp>
                      <wpg:cNvGrpSpPr/>
                      <wpg:grpSpPr>
                        <a:xfrm>
                          <a:off x="0" y="0"/>
                          <a:ext cx="5741035" cy="7040880"/>
                          <a:chOff x="0" y="0"/>
                          <a:chExt cx="4839441" cy="6949440"/>
                        </a:xfrm>
                      </wpg:grpSpPr>
                      <wps:wsp>
                        <wps:cNvPr id="2073" name="Rectangle 2073"/>
                        <wps:cNvSpPr/>
                        <wps:spPr>
                          <a:xfrm>
                            <a:off x="1668780" y="0"/>
                            <a:ext cx="2308860" cy="42672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475D6E1A" w14:textId="77777777" w:rsidR="00622FF2" w:rsidRPr="007D2E0A" w:rsidRDefault="00622FF2" w:rsidP="008F7BB3">
                              <w:pPr>
                                <w:jc w:val="center"/>
                                <w:rPr>
                                  <w:rFonts w:cs="Arial"/>
                                  <w:sz w:val="16"/>
                                  <w:szCs w:val="16"/>
                                </w:rPr>
                              </w:pPr>
                              <w:r w:rsidRPr="007D2E0A">
                                <w:rPr>
                                  <w:rFonts w:cs="Arial"/>
                                  <w:sz w:val="16"/>
                                  <w:szCs w:val="16"/>
                                </w:rPr>
                                <w:t>Referral made to Primary Care Support England (PCSE) from Referring GP Practice</w:t>
                              </w:r>
                              <w:r>
                                <w:rPr>
                                  <w:rFonts w:cs="Arial"/>
                                  <w:sz w:val="16"/>
                                  <w:szCs w:val="16"/>
                                </w:rPr>
                                <w:t xml:space="preserve"> and flag placed on patient record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4" name="Rectangle 2074"/>
                        <wps:cNvSpPr/>
                        <wps:spPr>
                          <a:xfrm>
                            <a:off x="2575560" y="662940"/>
                            <a:ext cx="1485900" cy="4953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0282B2E6" w14:textId="77777777" w:rsidR="00622FF2" w:rsidRPr="007D2E0A" w:rsidRDefault="00622FF2" w:rsidP="008F7BB3">
                              <w:pPr>
                                <w:jc w:val="center"/>
                                <w:rPr>
                                  <w:rFonts w:cs="Arial"/>
                                  <w:sz w:val="16"/>
                                  <w:szCs w:val="16"/>
                                </w:rPr>
                              </w:pPr>
                              <w:r w:rsidRPr="007D2E0A">
                                <w:rPr>
                                  <w:rFonts w:cs="Arial"/>
                                  <w:sz w:val="16"/>
                                  <w:szCs w:val="16"/>
                                </w:rPr>
                                <w:t>Within 1 working day PCSE sends the SAS Contractor referral form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5" name="Rectangle 2075"/>
                        <wps:cNvSpPr/>
                        <wps:spPr>
                          <a:xfrm>
                            <a:off x="2887981" y="1287778"/>
                            <a:ext cx="1951460" cy="792483"/>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42354794" w14:textId="77777777" w:rsidR="00622FF2" w:rsidRPr="007D2E0A" w:rsidRDefault="00622FF2" w:rsidP="008F7BB3">
                              <w:pPr>
                                <w:jc w:val="center"/>
                                <w:rPr>
                                  <w:rFonts w:cs="Arial"/>
                                  <w:sz w:val="16"/>
                                  <w:szCs w:val="16"/>
                                </w:rPr>
                              </w:pPr>
                              <w:r w:rsidRPr="007D2E0A">
                                <w:rPr>
                                  <w:rFonts w:cs="Arial"/>
                                  <w:sz w:val="16"/>
                                  <w:szCs w:val="16"/>
                                </w:rPr>
                                <w:t>PCSE confirms:</w:t>
                              </w:r>
                            </w:p>
                            <w:p w14:paraId="1107C5DF" w14:textId="77777777" w:rsidR="00622FF2" w:rsidRPr="007D2E0A" w:rsidRDefault="00622FF2" w:rsidP="008F7BB3">
                              <w:pPr>
                                <w:jc w:val="center"/>
                                <w:rPr>
                                  <w:rFonts w:cs="Arial"/>
                                  <w:sz w:val="16"/>
                                  <w:szCs w:val="16"/>
                                </w:rPr>
                              </w:pPr>
                              <w:r w:rsidRPr="007D2E0A">
                                <w:rPr>
                                  <w:rFonts w:cs="Arial"/>
                                  <w:sz w:val="16"/>
                                  <w:szCs w:val="16"/>
                                </w:rPr>
                                <w:t>Referring GP Practice can deduct patient, SAS Contractor can request patient notes.</w:t>
                              </w:r>
                            </w:p>
                            <w:p w14:paraId="723EABF7" w14:textId="77777777" w:rsidR="00622FF2" w:rsidRPr="007D2E0A" w:rsidRDefault="00622FF2" w:rsidP="008F7BB3">
                              <w:pPr>
                                <w:jc w:val="center"/>
                                <w:rPr>
                                  <w:rFonts w:cs="Arial"/>
                                  <w:sz w:val="16"/>
                                  <w:szCs w:val="16"/>
                                </w:rPr>
                              </w:pPr>
                              <w:r w:rsidRPr="007D2E0A">
                                <w:rPr>
                                  <w:rFonts w:cs="Arial"/>
                                  <w:sz w:val="16"/>
                                  <w:szCs w:val="16"/>
                                </w:rPr>
                                <w:t>PCSE notifies the patient in writing of the allocation to SAS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6" name="Rectangle 2076"/>
                        <wps:cNvSpPr/>
                        <wps:spPr>
                          <a:xfrm>
                            <a:off x="3268980" y="3383280"/>
                            <a:ext cx="1293075" cy="898464"/>
                          </a:xfrm>
                          <a:prstGeom prst="rect">
                            <a:avLst/>
                          </a:prstGeom>
                          <a:noFill/>
                          <a:ln w="12700"/>
                        </wps:spPr>
                        <wps:style>
                          <a:lnRef idx="2">
                            <a:schemeClr val="dk1"/>
                          </a:lnRef>
                          <a:fillRef idx="1">
                            <a:schemeClr val="lt1"/>
                          </a:fillRef>
                          <a:effectRef idx="0">
                            <a:schemeClr val="dk1"/>
                          </a:effectRef>
                          <a:fontRef idx="minor">
                            <a:schemeClr val="dk1"/>
                          </a:fontRef>
                        </wps:style>
                        <wps:txbx>
                          <w:txbxContent>
                            <w:p w14:paraId="70F12E3B" w14:textId="77777777" w:rsidR="00622FF2" w:rsidRPr="00410041" w:rsidRDefault="00622FF2" w:rsidP="008F7BB3">
                              <w:pPr>
                                <w:jc w:val="center"/>
                                <w:rPr>
                                  <w:rFonts w:cs="Arial"/>
                                  <w:color w:val="000000" w:themeColor="text1"/>
                                  <w:sz w:val="16"/>
                                  <w:szCs w:val="16"/>
                                </w:rPr>
                              </w:pPr>
                              <w:r w:rsidRPr="00410041">
                                <w:rPr>
                                  <w:rFonts w:cs="Arial"/>
                                  <w:color w:val="000000" w:themeColor="text1"/>
                                  <w:sz w:val="16"/>
                                  <w:szCs w:val="16"/>
                                </w:rPr>
                                <w:t>It is important that all relevant organisations / contractors are informed of registrations, deductions and any appeals in a timely manner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7" name="Rectangle 2077"/>
                        <wps:cNvSpPr/>
                        <wps:spPr>
                          <a:xfrm>
                            <a:off x="0" y="3905399"/>
                            <a:ext cx="1043940" cy="108204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3AFBBE72" w14:textId="77777777" w:rsidR="00622FF2" w:rsidRPr="007D2E0A" w:rsidRDefault="00622FF2" w:rsidP="008F7BB3">
                              <w:pPr>
                                <w:jc w:val="center"/>
                                <w:rPr>
                                  <w:rFonts w:cs="Arial"/>
                                  <w:sz w:val="16"/>
                                  <w:szCs w:val="16"/>
                                </w:rPr>
                              </w:pPr>
                              <w:r w:rsidRPr="007D2E0A">
                                <w:rPr>
                                  <w:rFonts w:cs="Arial"/>
                                  <w:sz w:val="16"/>
                                  <w:szCs w:val="16"/>
                                </w:rPr>
                                <w:t xml:space="preserve">If confirmed </w:t>
                              </w:r>
                              <w:r w:rsidRPr="007D2E0A">
                                <w:rPr>
                                  <w:rFonts w:cs="Arial"/>
                                  <w:sz w:val="16"/>
                                  <w:szCs w:val="16"/>
                                  <w:u w:val="single"/>
                                </w:rPr>
                                <w:t>not appropriate</w:t>
                              </w:r>
                              <w:r w:rsidRPr="007D2E0A">
                                <w:rPr>
                                  <w:rFonts w:cs="Arial"/>
                                  <w:sz w:val="16"/>
                                  <w:szCs w:val="16"/>
                                </w:rPr>
                                <w:t xml:space="preserve"> Commissioner informs </w:t>
                              </w:r>
                              <w:r>
                                <w:rPr>
                                  <w:rFonts w:cs="Arial"/>
                                  <w:sz w:val="16"/>
                                  <w:szCs w:val="16"/>
                                </w:rPr>
                                <w:t xml:space="preserve">and engages further with </w:t>
                              </w:r>
                              <w:r w:rsidRPr="007D2E0A">
                                <w:rPr>
                                  <w:rFonts w:cs="Arial"/>
                                  <w:sz w:val="16"/>
                                  <w:szCs w:val="16"/>
                                </w:rPr>
                                <w:t>Referring GP Practice and SAS Contractor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8" name="Rectangle 2078"/>
                        <wps:cNvSpPr/>
                        <wps:spPr>
                          <a:xfrm>
                            <a:off x="3162300" y="2407920"/>
                            <a:ext cx="1051560" cy="6858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54D9FF37" w14:textId="77777777" w:rsidR="00622FF2" w:rsidRPr="007D2E0A" w:rsidRDefault="00622FF2" w:rsidP="008F7BB3">
                              <w:pPr>
                                <w:jc w:val="center"/>
                                <w:rPr>
                                  <w:rFonts w:cs="Arial"/>
                                  <w:sz w:val="16"/>
                                  <w:szCs w:val="16"/>
                                </w:rPr>
                              </w:pPr>
                              <w:r w:rsidRPr="007D2E0A">
                                <w:rPr>
                                  <w:rFonts w:cs="Arial"/>
                                  <w:sz w:val="16"/>
                                  <w:szCs w:val="16"/>
                                </w:rPr>
                                <w:t>SAS Contractor contacts referring practice for details of incident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9" name="Rectangle 2079"/>
                        <wps:cNvSpPr/>
                        <wps:spPr>
                          <a:xfrm>
                            <a:off x="1219200" y="3421380"/>
                            <a:ext cx="1356360" cy="8001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639228A2" w14:textId="77777777" w:rsidR="00622FF2" w:rsidRPr="007D2E0A" w:rsidRDefault="00622FF2" w:rsidP="008F7BB3">
                              <w:pPr>
                                <w:jc w:val="center"/>
                                <w:rPr>
                                  <w:rFonts w:cs="Arial"/>
                                  <w:sz w:val="16"/>
                                  <w:szCs w:val="16"/>
                                </w:rPr>
                              </w:pPr>
                              <w:r w:rsidRPr="007D2E0A">
                                <w:rPr>
                                  <w:rFonts w:cs="Arial"/>
                                  <w:sz w:val="16"/>
                                  <w:szCs w:val="16"/>
                                </w:rPr>
                                <w:t>Patient completes registration and consents to data sharing with other NHS organisations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8" name="Rectangle 258"/>
                        <wps:cNvSpPr/>
                        <wps:spPr>
                          <a:xfrm>
                            <a:off x="510540" y="5768340"/>
                            <a:ext cx="1188720" cy="42672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6AA43DD4" w14:textId="77777777" w:rsidR="00622FF2" w:rsidRPr="007D2E0A" w:rsidRDefault="00622FF2" w:rsidP="008F7BB3">
                              <w:pPr>
                                <w:jc w:val="center"/>
                                <w:rPr>
                                  <w:rFonts w:cs="Arial"/>
                                  <w:sz w:val="16"/>
                                  <w:szCs w:val="16"/>
                                </w:rPr>
                              </w:pPr>
                              <w:r w:rsidRPr="007D2E0A">
                                <w:rPr>
                                  <w:rFonts w:cs="Arial"/>
                                  <w:sz w:val="16"/>
                                  <w:szCs w:val="16"/>
                                </w:rPr>
                                <w:t>Patient ready to be discharged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Rectangle 260"/>
                        <wps:cNvSpPr/>
                        <wps:spPr>
                          <a:xfrm>
                            <a:off x="510540" y="5166360"/>
                            <a:ext cx="2308860" cy="31242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1C774455" w14:textId="77777777" w:rsidR="00622FF2" w:rsidRPr="007D2E0A" w:rsidRDefault="00622FF2" w:rsidP="008F7BB3">
                              <w:pPr>
                                <w:jc w:val="center"/>
                                <w:rPr>
                                  <w:rFonts w:cs="Arial"/>
                                  <w:sz w:val="16"/>
                                  <w:szCs w:val="16"/>
                                </w:rPr>
                              </w:pPr>
                              <w:r w:rsidRPr="007D2E0A">
                                <w:rPr>
                                  <w:rFonts w:cs="Arial"/>
                                  <w:sz w:val="16"/>
                                  <w:szCs w:val="16"/>
                                </w:rPr>
                                <w:t>Review of patient at 12 monthly intervals (6 if appropriate / relevant)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1" name="Rectangle 261"/>
                        <wps:cNvSpPr/>
                        <wps:spPr>
                          <a:xfrm>
                            <a:off x="2400300" y="4457700"/>
                            <a:ext cx="1417320" cy="51054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5DDEBC93" w14:textId="77777777" w:rsidR="00622FF2" w:rsidRPr="007D2E0A" w:rsidRDefault="00622FF2" w:rsidP="008F7BB3">
                              <w:pPr>
                                <w:jc w:val="center"/>
                                <w:rPr>
                                  <w:rFonts w:cs="Arial"/>
                                  <w:sz w:val="16"/>
                                  <w:szCs w:val="16"/>
                                </w:rPr>
                              </w:pPr>
                              <w:r w:rsidRPr="007D2E0A">
                                <w:rPr>
                                  <w:rFonts w:cs="Arial"/>
                                  <w:sz w:val="16"/>
                                  <w:szCs w:val="16"/>
                                </w:rPr>
                                <w:t>Ongoing service provision and rehabilitation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Rectangle 262"/>
                        <wps:cNvSpPr/>
                        <wps:spPr>
                          <a:xfrm>
                            <a:off x="1219200" y="2407920"/>
                            <a:ext cx="1600200" cy="80772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0C347C71" w14:textId="77777777" w:rsidR="00622FF2" w:rsidRPr="007D2E0A" w:rsidRDefault="00622FF2" w:rsidP="008F7BB3">
                              <w:pPr>
                                <w:jc w:val="center"/>
                                <w:rPr>
                                  <w:rFonts w:cs="Arial"/>
                                  <w:sz w:val="16"/>
                                  <w:szCs w:val="16"/>
                                </w:rPr>
                              </w:pPr>
                              <w:r w:rsidRPr="007D2E0A">
                                <w:rPr>
                                  <w:rFonts w:cs="Arial"/>
                                  <w:sz w:val="16"/>
                                  <w:szCs w:val="16"/>
                                </w:rPr>
                                <w:t>SAS contractor writes to patient to confirm placement and to arrange 1</w:t>
                              </w:r>
                              <w:r w:rsidRPr="007D2E0A">
                                <w:rPr>
                                  <w:rFonts w:cs="Arial"/>
                                  <w:sz w:val="16"/>
                                  <w:szCs w:val="16"/>
                                  <w:vertAlign w:val="superscript"/>
                                </w:rPr>
                                <w:t>st</w:t>
                              </w:r>
                              <w:r w:rsidRPr="007D2E0A">
                                <w:rPr>
                                  <w:rFonts w:cs="Arial"/>
                                  <w:sz w:val="16"/>
                                  <w:szCs w:val="16"/>
                                </w:rPr>
                                <w:t xml:space="preserve"> appointment for initial assessment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3" name="Rectangle 263"/>
                        <wps:cNvSpPr/>
                        <wps:spPr>
                          <a:xfrm>
                            <a:off x="1219200" y="1653540"/>
                            <a:ext cx="1424940" cy="42672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33B80275" w14:textId="77777777" w:rsidR="00622FF2" w:rsidRPr="007D2E0A" w:rsidRDefault="00622FF2" w:rsidP="008F7BB3">
                              <w:pPr>
                                <w:jc w:val="center"/>
                                <w:rPr>
                                  <w:rFonts w:cs="Arial"/>
                                  <w:sz w:val="16"/>
                                  <w:szCs w:val="16"/>
                                </w:rPr>
                              </w:pPr>
                              <w:r w:rsidRPr="007D2E0A">
                                <w:rPr>
                                  <w:rFonts w:cs="Arial"/>
                                  <w:sz w:val="16"/>
                                  <w:szCs w:val="16"/>
                                </w:rPr>
                                <w:t>SAS Contractor confirms referral with PCSE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4" name="Rectangle 264"/>
                        <wps:cNvSpPr/>
                        <wps:spPr>
                          <a:xfrm>
                            <a:off x="0" y="2046119"/>
                            <a:ext cx="1043940" cy="153162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6955BCA4" w14:textId="77777777" w:rsidR="00622FF2" w:rsidRPr="007D2E0A" w:rsidRDefault="00622FF2" w:rsidP="008F7BB3">
                              <w:pPr>
                                <w:jc w:val="center"/>
                                <w:rPr>
                                  <w:rFonts w:cs="Arial"/>
                                  <w:sz w:val="16"/>
                                  <w:szCs w:val="16"/>
                                </w:rPr>
                              </w:pPr>
                              <w:r w:rsidRPr="007D2E0A">
                                <w:rPr>
                                  <w:rFonts w:cs="Arial"/>
                                  <w:sz w:val="16"/>
                                  <w:szCs w:val="16"/>
                                </w:rPr>
                                <w:t>SAS Contractor contacts Commissioner if referral considered not appropriate. This would be an exception</w:t>
                              </w:r>
                              <w:r>
                                <w:rPr>
                                  <w:rFonts w:cs="Arial"/>
                                  <w:sz w:val="16"/>
                                  <w:szCs w:val="16"/>
                                </w:rPr>
                                <w:t xml:space="preserve"> rather than a rule. Commissioner should consider convening a panel to review  e.g. in the same way a patient appeal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5" name="Rectangle 265"/>
                        <wps:cNvSpPr/>
                        <wps:spPr>
                          <a:xfrm>
                            <a:off x="2034540" y="5768340"/>
                            <a:ext cx="1188720" cy="42672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4C9531CC" w14:textId="77777777" w:rsidR="00622FF2" w:rsidRPr="007D2E0A" w:rsidRDefault="00622FF2" w:rsidP="008F7BB3">
                              <w:pPr>
                                <w:jc w:val="center"/>
                                <w:rPr>
                                  <w:rFonts w:cs="Arial"/>
                                  <w:sz w:val="16"/>
                                  <w:szCs w:val="16"/>
                                </w:rPr>
                              </w:pPr>
                              <w:r w:rsidRPr="007D2E0A">
                                <w:rPr>
                                  <w:rFonts w:cs="Arial"/>
                                  <w:sz w:val="16"/>
                                  <w:szCs w:val="16"/>
                                </w:rPr>
                                <w:t>Patient not ready to be discharged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6" name="Rectangle 266"/>
                        <wps:cNvSpPr/>
                        <wps:spPr>
                          <a:xfrm>
                            <a:off x="251460" y="6469380"/>
                            <a:ext cx="1645920" cy="42672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42C78154" w14:textId="77777777" w:rsidR="00622FF2" w:rsidRPr="007D2E0A" w:rsidRDefault="00622FF2" w:rsidP="008F7BB3">
                              <w:pPr>
                                <w:jc w:val="center"/>
                                <w:rPr>
                                  <w:rFonts w:cs="Arial"/>
                                  <w:sz w:val="16"/>
                                  <w:szCs w:val="16"/>
                                </w:rPr>
                              </w:pPr>
                              <w:r w:rsidRPr="007D2E0A">
                                <w:rPr>
                                  <w:rFonts w:cs="Arial"/>
                                  <w:sz w:val="16"/>
                                  <w:szCs w:val="16"/>
                                </w:rPr>
                                <w:t>Patient supported to find alternative GP practice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Rectangle 267"/>
                        <wps:cNvSpPr/>
                        <wps:spPr>
                          <a:xfrm>
                            <a:off x="2644140" y="6377940"/>
                            <a:ext cx="1417320" cy="571500"/>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2F164D8C" w14:textId="77777777" w:rsidR="00622FF2" w:rsidRPr="007D2E0A" w:rsidRDefault="00622FF2" w:rsidP="008F7BB3">
                              <w:pPr>
                                <w:jc w:val="center"/>
                                <w:rPr>
                                  <w:rFonts w:cs="Arial"/>
                                  <w:i/>
                                  <w:sz w:val="16"/>
                                  <w:szCs w:val="16"/>
                                </w:rPr>
                              </w:pPr>
                              <w:r w:rsidRPr="007D2E0A">
                                <w:rPr>
                                  <w:rFonts w:cs="Arial"/>
                                  <w:i/>
                                  <w:sz w:val="16"/>
                                  <w:szCs w:val="16"/>
                                </w:rPr>
                                <w:t>Exceptional Discharge Panel review for patients registered for more than 2 years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8" name="Straight Arrow Connector 268"/>
                        <wps:cNvCnPr/>
                        <wps:spPr>
                          <a:xfrm>
                            <a:off x="3002280" y="426720"/>
                            <a:ext cx="0" cy="23622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wps:wsp>
                        <wps:cNvPr id="269" name="Straight Arrow Connector 269"/>
                        <wps:cNvCnPr/>
                        <wps:spPr>
                          <a:xfrm>
                            <a:off x="604734" y="1352534"/>
                            <a:ext cx="0" cy="693586"/>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wps:wsp>
                        <wps:cNvPr id="270" name="Straight Arrow Connector 270"/>
                        <wps:cNvCnPr/>
                        <wps:spPr>
                          <a:xfrm>
                            <a:off x="3604260" y="2209800"/>
                            <a:ext cx="0" cy="16764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wps:wsp>
                        <wps:cNvPr id="271" name="Straight Connector 271"/>
                        <wps:cNvCnPr/>
                        <wps:spPr>
                          <a:xfrm>
                            <a:off x="2308860" y="2209800"/>
                            <a:ext cx="1295400" cy="0"/>
                          </a:xfrm>
                          <a:prstGeom prst="line">
                            <a:avLst/>
                          </a:prstGeom>
                        </wps:spPr>
                        <wps:style>
                          <a:lnRef idx="2">
                            <a:schemeClr val="accent3"/>
                          </a:lnRef>
                          <a:fillRef idx="0">
                            <a:schemeClr val="accent3"/>
                          </a:fillRef>
                          <a:effectRef idx="1">
                            <a:schemeClr val="accent3"/>
                          </a:effectRef>
                          <a:fontRef idx="minor">
                            <a:schemeClr val="tx1"/>
                          </a:fontRef>
                        </wps:style>
                        <wps:bodyPr/>
                      </wps:wsp>
                      <wps:wsp>
                        <wps:cNvPr id="272" name="Straight Arrow Connector 272"/>
                        <wps:cNvCnPr/>
                        <wps:spPr>
                          <a:xfrm>
                            <a:off x="2506980" y="4213860"/>
                            <a:ext cx="0" cy="23622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wps:wsp>
                        <wps:cNvPr id="273" name="Straight Arrow Connector 273"/>
                        <wps:cNvCnPr/>
                        <wps:spPr>
                          <a:xfrm flipH="1">
                            <a:off x="1668780" y="891540"/>
                            <a:ext cx="90678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74" name="Straight Arrow Connector 274"/>
                        <wps:cNvCnPr/>
                        <wps:spPr>
                          <a:xfrm>
                            <a:off x="1644686" y="1165860"/>
                            <a:ext cx="7620" cy="48768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75" name="Straight Arrow Connector 275"/>
                        <wps:cNvCnPr/>
                        <wps:spPr>
                          <a:xfrm>
                            <a:off x="2308860" y="2080260"/>
                            <a:ext cx="0" cy="3124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76" name="Straight Arrow Connector 276"/>
                        <wps:cNvCnPr/>
                        <wps:spPr>
                          <a:xfrm>
                            <a:off x="1897380" y="3215640"/>
                            <a:ext cx="0" cy="20574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77" name="Straight Arrow Connector 277"/>
                        <wps:cNvCnPr/>
                        <wps:spPr>
                          <a:xfrm>
                            <a:off x="441960" y="3577739"/>
                            <a:ext cx="0" cy="3276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78" name="Straight Arrow Connector 278"/>
                        <wps:cNvCnPr/>
                        <wps:spPr>
                          <a:xfrm>
                            <a:off x="2727960" y="4968240"/>
                            <a:ext cx="0" cy="1981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79" name="Straight Arrow Connector 279"/>
                        <wps:cNvCnPr/>
                        <wps:spPr>
                          <a:xfrm>
                            <a:off x="1043940" y="5478780"/>
                            <a:ext cx="0" cy="2895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80" name="Straight Arrow Connector 280"/>
                        <wps:cNvCnPr/>
                        <wps:spPr>
                          <a:xfrm>
                            <a:off x="2430780" y="5478780"/>
                            <a:ext cx="0" cy="28956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81" name="Straight Arrow Connector 281"/>
                        <wps:cNvCnPr/>
                        <wps:spPr>
                          <a:xfrm>
                            <a:off x="1066800" y="6195060"/>
                            <a:ext cx="0" cy="274320"/>
                          </a:xfrm>
                          <a:prstGeom prst="straightConnector1">
                            <a:avLst/>
                          </a:prstGeom>
                          <a:ln>
                            <a:tailEnd type="arrow"/>
                          </a:ln>
                        </wps:spPr>
                        <wps:style>
                          <a:lnRef idx="2">
                            <a:schemeClr val="accent3"/>
                          </a:lnRef>
                          <a:fillRef idx="0">
                            <a:schemeClr val="accent3"/>
                          </a:fillRef>
                          <a:effectRef idx="1">
                            <a:schemeClr val="accent3"/>
                          </a:effectRef>
                          <a:fontRef idx="minor">
                            <a:schemeClr val="tx1"/>
                          </a:fontRef>
                        </wps:style>
                        <wps:bodyPr/>
                      </wps:wsp>
                      <wps:wsp>
                        <wps:cNvPr id="282" name="Straight Connector 282"/>
                        <wps:cNvCnPr/>
                        <wps:spPr>
                          <a:xfrm>
                            <a:off x="3246120" y="5966460"/>
                            <a:ext cx="441960" cy="0"/>
                          </a:xfrm>
                          <a:prstGeom prst="line">
                            <a:avLst/>
                          </a:prstGeom>
                        </wps:spPr>
                        <wps:style>
                          <a:lnRef idx="1">
                            <a:schemeClr val="dk1"/>
                          </a:lnRef>
                          <a:fillRef idx="0">
                            <a:schemeClr val="dk1"/>
                          </a:fillRef>
                          <a:effectRef idx="0">
                            <a:schemeClr val="dk1"/>
                          </a:effectRef>
                          <a:fontRef idx="minor">
                            <a:schemeClr val="tx1"/>
                          </a:fontRef>
                        </wps:style>
                        <wps:bodyPr/>
                      </wps:wsp>
                      <wps:wsp>
                        <wps:cNvPr id="283" name="Straight Arrow Connector 283"/>
                        <wps:cNvCnPr/>
                        <wps:spPr>
                          <a:xfrm flipV="1">
                            <a:off x="3688080" y="4968240"/>
                            <a:ext cx="0" cy="9982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284" name="Straight Arrow Connector 284"/>
                        <wps:cNvCnPr/>
                        <wps:spPr>
                          <a:xfrm flipV="1">
                            <a:off x="2644140" y="1828800"/>
                            <a:ext cx="243840" cy="762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072" o:spid="_x0000_s1067" alt="Title: a flow chart - Description: a flow chart of the process required for a patient removal under the special allocation scheme" style="position:absolute;margin-left:-2.25pt;margin-top:1.9pt;width:452.05pt;height:554.4pt;z-index:-251594240;mso-position-horizontal-relative:text;mso-position-vertical-relative:text;mso-width-relative:margin;mso-height-relative:margin" coordsize="48394,694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">
                <v:rect id="Rectangle 2073" o:spid="_x0000_s1068" style="position:absolute;left:16687;width:23089;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SJRsYA&#10;AADdAAAADwAAAGRycy9kb3ducmV2LnhtbESPT2sCMRTE7wW/Q3hCbzVRwT+rUUQqFFoqVQ8eH5vn&#10;7uLmZUnS3fXbN4VCj8PM/IZZb3tbi5Z8qBxrGI8UCOLcmYoLDZfz4WUBIkRkg7Vj0vCgANvN4GmN&#10;mXEdf1F7ioVIEA4ZaihjbDIpQ16SxTByDXHybs5bjEn6QhqPXYLbWk6UmkmLFaeFEhval5TfT99W&#10;gztWj3rnl5/tB82v78eoun72qvXzsN+tQETq43/4r/1mNEzUfAq/b9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SJRsYAAADdAAAADwAAAAAAAAAAAAAAAACYAgAAZHJz&#10;L2Rvd25yZXYueG1sUEsFBgAAAAAEAAQA9QAAAIsDAAAAAA==&#10;" fillcolor="white [3201]" strokecolor="black [3200]" strokeweight="1pt">
                  <v:textbox>
                    <w:txbxContent>
                      <w:p w14:paraId="475D6E1A" w14:textId="77777777" w:rsidR="00622FF2" w:rsidRPr="007D2E0A" w:rsidRDefault="00622FF2" w:rsidP="008F7BB3">
                        <w:pPr>
                          <w:jc w:val="center"/>
                          <w:rPr>
                            <w:rFonts w:cs="Arial"/>
                            <w:sz w:val="16"/>
                            <w:szCs w:val="16"/>
                          </w:rPr>
                        </w:pPr>
                        <w:r w:rsidRPr="007D2E0A">
                          <w:rPr>
                            <w:rFonts w:cs="Arial"/>
                            <w:sz w:val="16"/>
                            <w:szCs w:val="16"/>
                          </w:rPr>
                          <w:t>Referral made to Primary Care Support England (PCSE) from Referring GP Practice</w:t>
                        </w:r>
                        <w:r>
                          <w:rPr>
                            <w:rFonts w:cs="Arial"/>
                            <w:sz w:val="16"/>
                            <w:szCs w:val="16"/>
                          </w:rPr>
                          <w:t xml:space="preserve"> and flag placed on patient record</w:t>
                        </w:r>
                      </w:p>
                    </w:txbxContent>
                  </v:textbox>
                </v:rect>
                <v:rect id="Rectangle 2074" o:spid="_x0000_s1069" style="position:absolute;left:25755;top:6629;width:14859;height:4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0RMsYA&#10;AADdAAAADwAAAGRycy9kb3ducmV2LnhtbESPT2sCMRTE7wW/Q3hCbzVRxD+rUUQqFFoqVQ8eH5vn&#10;7uLmZUnS3fXbN4VCj8PM/IZZb3tbi5Z8qBxrGI8UCOLcmYoLDZfz4WUBIkRkg7Vj0vCgANvN4GmN&#10;mXEdf1F7ioVIEA4ZaihjbDIpQ16SxTByDXHybs5bjEn6QhqPXYLbWk6UmkmLFaeFEhval5TfT99W&#10;gztWj3rnl5/tB82v78eoun72qvXzsN+tQETq43/4r/1mNEzUfAq/b9IT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0RMsYAAADdAAAADwAAAAAAAAAAAAAAAACYAgAAZHJz&#10;L2Rvd25yZXYueG1sUEsFBgAAAAAEAAQA9QAAAIsDAAAAAA==&#10;" fillcolor="white [3201]" strokecolor="black [3200]" strokeweight="1pt">
                  <v:textbox>
                    <w:txbxContent>
                      <w:p w14:paraId="0282B2E6" w14:textId="77777777" w:rsidR="00622FF2" w:rsidRPr="007D2E0A" w:rsidRDefault="00622FF2" w:rsidP="008F7BB3">
                        <w:pPr>
                          <w:jc w:val="center"/>
                          <w:rPr>
                            <w:rFonts w:cs="Arial"/>
                            <w:sz w:val="16"/>
                            <w:szCs w:val="16"/>
                          </w:rPr>
                        </w:pPr>
                        <w:r w:rsidRPr="007D2E0A">
                          <w:rPr>
                            <w:rFonts w:cs="Arial"/>
                            <w:sz w:val="16"/>
                            <w:szCs w:val="16"/>
                          </w:rPr>
                          <w:t>Within 1 working day PCSE sends the SAS Contractor referral form</w:t>
                        </w:r>
                      </w:p>
                    </w:txbxContent>
                  </v:textbox>
                </v:rect>
                <v:rect id="Rectangle 2075" o:spid="_x0000_s1070" style="position:absolute;left:28879;top:12877;width:19515;height:79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G0qcUA&#10;AADdAAAADwAAAGRycy9kb3ducmV2LnhtbESPT2sCMRTE7wW/Q3hCbzVR8N9qFJEKhZZK1YPHx+a5&#10;u7h5WZJ0d/32TaHQ4zAzv2HW297WoiUfKscaxiMFgjh3puJCw+V8eFmACBHZYO2YNDwowHYzeFpj&#10;ZlzHX9SeYiEShEOGGsoYm0zKkJdkMYxcQ5y8m/MWY5K+kMZjl+C2lhOlZtJixWmhxIb2JeX307fV&#10;4I7Vo9755Wf7QfPr+zGqrp+9av087HcrEJH6+B/+a78ZDRM1n8Lvm/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MbSpxQAAAN0AAAAPAAAAAAAAAAAAAAAAAJgCAABkcnMv&#10;ZG93bnJldi54bWxQSwUGAAAAAAQABAD1AAAAigMAAAAA&#10;" fillcolor="white [3201]" strokecolor="black [3200]" strokeweight="1pt">
                  <v:textbox>
                    <w:txbxContent>
                      <w:p w14:paraId="42354794" w14:textId="77777777" w:rsidR="00622FF2" w:rsidRPr="007D2E0A" w:rsidRDefault="00622FF2" w:rsidP="008F7BB3">
                        <w:pPr>
                          <w:jc w:val="center"/>
                          <w:rPr>
                            <w:rFonts w:cs="Arial"/>
                            <w:sz w:val="16"/>
                            <w:szCs w:val="16"/>
                          </w:rPr>
                        </w:pPr>
                        <w:r w:rsidRPr="007D2E0A">
                          <w:rPr>
                            <w:rFonts w:cs="Arial"/>
                            <w:sz w:val="16"/>
                            <w:szCs w:val="16"/>
                          </w:rPr>
                          <w:t>PCSE confirms:</w:t>
                        </w:r>
                      </w:p>
                      <w:p w14:paraId="1107C5DF" w14:textId="77777777" w:rsidR="00622FF2" w:rsidRPr="007D2E0A" w:rsidRDefault="00622FF2" w:rsidP="008F7BB3">
                        <w:pPr>
                          <w:jc w:val="center"/>
                          <w:rPr>
                            <w:rFonts w:cs="Arial"/>
                            <w:sz w:val="16"/>
                            <w:szCs w:val="16"/>
                          </w:rPr>
                        </w:pPr>
                        <w:r w:rsidRPr="007D2E0A">
                          <w:rPr>
                            <w:rFonts w:cs="Arial"/>
                            <w:sz w:val="16"/>
                            <w:szCs w:val="16"/>
                          </w:rPr>
                          <w:t>Referring GP Practice can deduct patient, SAS Contractor can request patient notes.</w:t>
                        </w:r>
                      </w:p>
                      <w:p w14:paraId="723EABF7" w14:textId="77777777" w:rsidR="00622FF2" w:rsidRPr="007D2E0A" w:rsidRDefault="00622FF2" w:rsidP="008F7BB3">
                        <w:pPr>
                          <w:jc w:val="center"/>
                          <w:rPr>
                            <w:rFonts w:cs="Arial"/>
                            <w:sz w:val="16"/>
                            <w:szCs w:val="16"/>
                          </w:rPr>
                        </w:pPr>
                        <w:r w:rsidRPr="007D2E0A">
                          <w:rPr>
                            <w:rFonts w:cs="Arial"/>
                            <w:sz w:val="16"/>
                            <w:szCs w:val="16"/>
                          </w:rPr>
                          <w:t>PCSE notifies the patient in writing of the allocation to SAS</w:t>
                        </w:r>
                      </w:p>
                    </w:txbxContent>
                  </v:textbox>
                </v:rect>
                <v:rect id="Rectangle 2076" o:spid="_x0000_s1071" style="position:absolute;left:32689;top:33832;width:12931;height:89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gz8UA&#10;AADdAAAADwAAAGRycy9kb3ducmV2LnhtbESPQWvCQBSE7wX/w/IEb3XXIFaiq9TSgigI2lx6e2af&#10;SWj2bchuY/z3rlDwOMzMN8xy3dtadNT6yrGGyViBIM6dqbjQkH1/vc5B+IBssHZMGm7kYb0avCwx&#10;Ne7KR+pOoRARwj5FDWUITSqlz0uy6MeuIY7exbUWQ5RtIU2L1wi3tUyUmkmLFceFEhv6KCn/Pf1Z&#10;DdMDf/7cEszkLjt0m/N2fwzqrPVo2L8vQATqwzP8394aDYl6m8HjTXwCcn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SDPxQAAAN0AAAAPAAAAAAAAAAAAAAAAAJgCAABkcnMv&#10;ZG93bnJldi54bWxQSwUGAAAAAAQABAD1AAAAigMAAAAA&#10;" filled="f" strokecolor="black [3200]" strokeweight="1pt">
                  <v:textbox>
                    <w:txbxContent>
                      <w:p w14:paraId="70F12E3B" w14:textId="77777777" w:rsidR="00622FF2" w:rsidRPr="00410041" w:rsidRDefault="00622FF2" w:rsidP="008F7BB3">
                        <w:pPr>
                          <w:jc w:val="center"/>
                          <w:rPr>
                            <w:rFonts w:cs="Arial"/>
                            <w:color w:val="000000" w:themeColor="text1"/>
                            <w:sz w:val="16"/>
                            <w:szCs w:val="16"/>
                          </w:rPr>
                        </w:pPr>
                        <w:r w:rsidRPr="00410041">
                          <w:rPr>
                            <w:rFonts w:cs="Arial"/>
                            <w:color w:val="000000" w:themeColor="text1"/>
                            <w:sz w:val="16"/>
                            <w:szCs w:val="16"/>
                          </w:rPr>
                          <w:t>It is important that all relevant organisations / contractors are informed of registrations, deductions and any appeals in a timely manner</w:t>
                        </w:r>
                      </w:p>
                    </w:txbxContent>
                  </v:textbox>
                </v:rect>
                <v:rect id="Rectangle 2077" o:spid="_x0000_s1072" style="position:absolute;top:39053;width:10439;height:108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PRcUA&#10;AADdAAAADwAAAGRycy9kb3ducmV2LnhtbESPQWsCMRSE70L/Q3iF3jSpB1e3RhFRKLQoag89Pjav&#10;u0s3L0sSd9d/3xQEj8PMfMMs14NtREc+1I41vE4UCOLCmZpLDV+X/XgOIkRkg41j0nCjAOvV02iJ&#10;uXE9n6g7x1IkCIccNVQxtrmUoajIYpi4ljh5P85bjEn6UhqPfYLbRk6VmkmLNaeFClvaVlT8nq9W&#10;gzvWt2bjF4fuk7Lvj2NU/TDbaf3yPGzeQEQa4iN8b78bDVOVZfD/Jj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r49FxQAAAN0AAAAPAAAAAAAAAAAAAAAAAJgCAABkcnMv&#10;ZG93bnJldi54bWxQSwUGAAAAAAQABAD1AAAAigMAAAAA&#10;" fillcolor="white [3201]" strokecolor="black [3200]" strokeweight="1pt">
                  <v:textbox>
                    <w:txbxContent>
                      <w:p w14:paraId="3AFBBE72" w14:textId="77777777" w:rsidR="00622FF2" w:rsidRPr="007D2E0A" w:rsidRDefault="00622FF2" w:rsidP="008F7BB3">
                        <w:pPr>
                          <w:jc w:val="center"/>
                          <w:rPr>
                            <w:rFonts w:cs="Arial"/>
                            <w:sz w:val="16"/>
                            <w:szCs w:val="16"/>
                          </w:rPr>
                        </w:pPr>
                        <w:r w:rsidRPr="007D2E0A">
                          <w:rPr>
                            <w:rFonts w:cs="Arial"/>
                            <w:sz w:val="16"/>
                            <w:szCs w:val="16"/>
                          </w:rPr>
                          <w:t xml:space="preserve">If confirmed </w:t>
                        </w:r>
                        <w:r w:rsidRPr="007D2E0A">
                          <w:rPr>
                            <w:rFonts w:cs="Arial"/>
                            <w:sz w:val="16"/>
                            <w:szCs w:val="16"/>
                            <w:u w:val="single"/>
                          </w:rPr>
                          <w:t>not appropriate</w:t>
                        </w:r>
                        <w:r w:rsidRPr="007D2E0A">
                          <w:rPr>
                            <w:rFonts w:cs="Arial"/>
                            <w:sz w:val="16"/>
                            <w:szCs w:val="16"/>
                          </w:rPr>
                          <w:t xml:space="preserve"> Commissioner informs </w:t>
                        </w:r>
                        <w:r>
                          <w:rPr>
                            <w:rFonts w:cs="Arial"/>
                            <w:sz w:val="16"/>
                            <w:szCs w:val="16"/>
                          </w:rPr>
                          <w:t xml:space="preserve">and engages further with </w:t>
                        </w:r>
                        <w:r w:rsidRPr="007D2E0A">
                          <w:rPr>
                            <w:rFonts w:cs="Arial"/>
                            <w:sz w:val="16"/>
                            <w:szCs w:val="16"/>
                          </w:rPr>
                          <w:t>Referring GP Practice and SAS Contractor</w:t>
                        </w:r>
                      </w:p>
                    </w:txbxContent>
                  </v:textbox>
                </v:rect>
                <v:rect id="Rectangle 2078" o:spid="_x0000_s1073" style="position:absolute;left:31623;top:24079;width:10515;height:68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AbN8IA&#10;AADdAAAADwAAAGRycy9kb3ducmV2LnhtbERPz2vCMBS+D/wfwhN2m4kedKumRWQDYWMy9eDx0Tzb&#10;YvNSktjW/345DHb8+H5vitG2oicfGsca5jMFgrh0puFKw/n08fIKIkRkg61j0vCgAEU+edpgZtzA&#10;P9QfYyVSCIcMNdQxdpmUoazJYpi5jjhxV+ctxgR9JY3HIYXbVi6UWkqLDaeGGjva1VTejnerwR2a&#10;R7v1b9/9F60un4eohnH5rvXzdNyuQUQa47/4z703GhZqleamN+kJ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MBs3wgAAAN0AAAAPAAAAAAAAAAAAAAAAAJgCAABkcnMvZG93&#10;bnJldi54bWxQSwUGAAAAAAQABAD1AAAAhwMAAAAA&#10;" fillcolor="white [3201]" strokecolor="black [3200]" strokeweight="1pt">
                  <v:textbox>
                    <w:txbxContent>
                      <w:p w14:paraId="54D9FF37" w14:textId="77777777" w:rsidR="00622FF2" w:rsidRPr="007D2E0A" w:rsidRDefault="00622FF2" w:rsidP="008F7BB3">
                        <w:pPr>
                          <w:jc w:val="center"/>
                          <w:rPr>
                            <w:rFonts w:cs="Arial"/>
                            <w:sz w:val="16"/>
                            <w:szCs w:val="16"/>
                          </w:rPr>
                        </w:pPr>
                        <w:r w:rsidRPr="007D2E0A">
                          <w:rPr>
                            <w:rFonts w:cs="Arial"/>
                            <w:sz w:val="16"/>
                            <w:szCs w:val="16"/>
                          </w:rPr>
                          <w:t>SAS Contractor contacts referring practice for details of incident</w:t>
                        </w:r>
                      </w:p>
                    </w:txbxContent>
                  </v:textbox>
                </v:rect>
                <v:rect id="Rectangle 2079" o:spid="_x0000_s1074" style="position:absolute;left:12192;top:34213;width:13563;height:8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y+rMUA&#10;AADdAAAADwAAAGRycy9kb3ducmV2LnhtbESPQWsCMRSE74L/ITyhN03qQetqFBGFQoui9tDjY/Pc&#10;Xbp5WZK4u/77piD0OMzMN8xq09tatORD5VjD60SBIM6dqbjQ8HU9jN9AhIhssHZMGh4UYLMeDlaY&#10;GdfxmdpLLESCcMhQQxljk0kZ8pIsholriJN3c95iTNIX0njsEtzWcqrUTFqsOC2U2NCupPzncrca&#10;3Kl61Fu/OLafNP/+OEXV9bO91i+jfrsEEamP/+Fn+91omKr5Av7epCc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fL6sxQAAAN0AAAAPAAAAAAAAAAAAAAAAAJgCAABkcnMv&#10;ZG93bnJldi54bWxQSwUGAAAAAAQABAD1AAAAigMAAAAA&#10;" fillcolor="white [3201]" strokecolor="black [3200]" strokeweight="1pt">
                  <v:textbox>
                    <w:txbxContent>
                      <w:p w14:paraId="639228A2" w14:textId="77777777" w:rsidR="00622FF2" w:rsidRPr="007D2E0A" w:rsidRDefault="00622FF2" w:rsidP="008F7BB3">
                        <w:pPr>
                          <w:jc w:val="center"/>
                          <w:rPr>
                            <w:rFonts w:cs="Arial"/>
                            <w:sz w:val="16"/>
                            <w:szCs w:val="16"/>
                          </w:rPr>
                        </w:pPr>
                        <w:r w:rsidRPr="007D2E0A">
                          <w:rPr>
                            <w:rFonts w:cs="Arial"/>
                            <w:sz w:val="16"/>
                            <w:szCs w:val="16"/>
                          </w:rPr>
                          <w:t>Patient completes registration and consents to data sharing with other NHS organisations</w:t>
                        </w:r>
                      </w:p>
                    </w:txbxContent>
                  </v:textbox>
                </v:rect>
                <v:rect id="Rectangle 258" o:spid="_x0000_s1075" style="position:absolute;left:5105;top:57683;width:11887;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fJcIA&#10;AADcAAAADwAAAGRycy9kb3ducmV2LnhtbERPz2vCMBS+D/wfwhN2m4nC3OyMIqIgOFZWd9jx0by1&#10;xealJLGt//1yGOz48f1eb0fbip58aBxrmM8UCOLSmYYrDV+X49MriBCRDbaOScOdAmw3k4c1ZsYN&#10;/El9ESuRQjhkqKGOscukDGVNFsPMdcSJ+3HeYkzQV9J4HFK4beVCqaW02HBqqLGjfU3ltbhZDS5v&#10;7u3Orz76d3r5PudRDePyoPXjdNy9gYg0xn/xn/tkNCye09p0Jh0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Jx8lwgAAANwAAAAPAAAAAAAAAAAAAAAAAJgCAABkcnMvZG93&#10;bnJldi54bWxQSwUGAAAAAAQABAD1AAAAhwMAAAAA&#10;" fillcolor="white [3201]" strokecolor="black [3200]" strokeweight="1pt">
                  <v:textbox>
                    <w:txbxContent>
                      <w:p w14:paraId="6AA43DD4" w14:textId="77777777" w:rsidR="00622FF2" w:rsidRPr="007D2E0A" w:rsidRDefault="00622FF2" w:rsidP="008F7BB3">
                        <w:pPr>
                          <w:jc w:val="center"/>
                          <w:rPr>
                            <w:rFonts w:cs="Arial"/>
                            <w:sz w:val="16"/>
                            <w:szCs w:val="16"/>
                          </w:rPr>
                        </w:pPr>
                        <w:r w:rsidRPr="007D2E0A">
                          <w:rPr>
                            <w:rFonts w:cs="Arial"/>
                            <w:sz w:val="16"/>
                            <w:szCs w:val="16"/>
                          </w:rPr>
                          <w:t>Patient ready to be discharged</w:t>
                        </w:r>
                      </w:p>
                    </w:txbxContent>
                  </v:textbox>
                </v:rect>
                <v:rect id="Rectangle 260" o:spid="_x0000_s1076" style="position:absolute;left:5105;top:51663;width:23089;height:31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3ZnsIA&#10;AADcAAAADwAAAGRycy9kb3ducmV2LnhtbERPu2rDMBTdC/kHcQPdajke3NaJEkJIodDSEDdDxot1&#10;Y5tYV0ZS/fj7aih0PJz3ZjeZTgzkfGtZwSpJQRBXVrdcK7h8vz29gPABWWNnmRTM5GG3XTxssNB2&#10;5DMNZahFDGFfoIImhL6Q0lcNGfSJ7Ykjd7POYIjQ1VI7HGO46WSWprk02HJsaLCnQ0PVvfwxCuyp&#10;nbu9e/0aPun5+nEK6TjlR6Uel9N+DSLQFP7Ff+53rSDL4/x4Jh4Buf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PdmewgAAANwAAAAPAAAAAAAAAAAAAAAAAJgCAABkcnMvZG93&#10;bnJldi54bWxQSwUGAAAAAAQABAD1AAAAhwMAAAAA&#10;" fillcolor="white [3201]" strokecolor="black [3200]" strokeweight="1pt">
                  <v:textbox>
                    <w:txbxContent>
                      <w:p w14:paraId="1C774455" w14:textId="77777777" w:rsidR="00622FF2" w:rsidRPr="007D2E0A" w:rsidRDefault="00622FF2" w:rsidP="008F7BB3">
                        <w:pPr>
                          <w:jc w:val="center"/>
                          <w:rPr>
                            <w:rFonts w:cs="Arial"/>
                            <w:sz w:val="16"/>
                            <w:szCs w:val="16"/>
                          </w:rPr>
                        </w:pPr>
                        <w:r w:rsidRPr="007D2E0A">
                          <w:rPr>
                            <w:rFonts w:cs="Arial"/>
                            <w:sz w:val="16"/>
                            <w:szCs w:val="16"/>
                          </w:rPr>
                          <w:t>Review of patient at 12 monthly intervals (6 if appropriate / relevant)</w:t>
                        </w:r>
                      </w:p>
                    </w:txbxContent>
                  </v:textbox>
                </v:rect>
                <v:rect id="Rectangle 261" o:spid="_x0000_s1077" style="position:absolute;left:24003;top:44577;width:14173;height:51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8BcQA&#10;AADcAAAADwAAAGRycy9kb3ducmV2LnhtbESPQWvCQBSE7wX/w/KE3upGD6lGVxFpQWipGD14fGSf&#10;STD7NuyuSfz33ULB4zAz3zCrzWAa0ZHztWUF00kCgriwuuZSwfn0+TYH4QOyxsYyKXiQh8169LLC&#10;TNuej9TloRQRwj5DBVUIbSalLyoy6Ce2JY7e1TqDIUpXSu2wj3DTyFmSpNJgzXGhwpZ2FRW3/G4U&#10;2EP9aLZu8dN90/vl6xCSfkg/lHodD9sliEBDeIb/23utYJZO4e9MP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xfAXEAAAA3AAAAA8AAAAAAAAAAAAAAAAAmAIAAGRycy9k&#10;b3ducmV2LnhtbFBLBQYAAAAABAAEAPUAAACJAwAAAAA=&#10;" fillcolor="white [3201]" strokecolor="black [3200]" strokeweight="1pt">
                  <v:textbox>
                    <w:txbxContent>
                      <w:p w14:paraId="5DDEBC93" w14:textId="77777777" w:rsidR="00622FF2" w:rsidRPr="007D2E0A" w:rsidRDefault="00622FF2" w:rsidP="008F7BB3">
                        <w:pPr>
                          <w:jc w:val="center"/>
                          <w:rPr>
                            <w:rFonts w:cs="Arial"/>
                            <w:sz w:val="16"/>
                            <w:szCs w:val="16"/>
                          </w:rPr>
                        </w:pPr>
                        <w:r w:rsidRPr="007D2E0A">
                          <w:rPr>
                            <w:rFonts w:cs="Arial"/>
                            <w:sz w:val="16"/>
                            <w:szCs w:val="16"/>
                          </w:rPr>
                          <w:t>Ongoing service provision and rehabilitation</w:t>
                        </w:r>
                      </w:p>
                    </w:txbxContent>
                  </v:textbox>
                </v:rect>
                <v:rect id="Rectangle 262" o:spid="_x0000_s1078" style="position:absolute;left:12192;top:24079;width:16002;height:80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PicsUA&#10;AADcAAAADwAAAGRycy9kb3ducmV2LnhtbESPT2vCQBTE74LfYXlCb7oxh1RTVxFREFoq/jn0+Mi+&#10;JqHZt2F3TeK37xYKHoeZ+Q2z2gymER05X1tWMJ8lIIgLq2suFdyuh+kChA/IGhvLpOBBHjbr8WiF&#10;ubY9n6m7hFJECPscFVQhtLmUvqjIoJ/Zljh639YZDFG6UmqHfYSbRqZJkkmDNceFClvaVVT8XO5G&#10;gT3Vj2brlp/dB71+vZ9C0g/ZXqmXybB9AxFoCM/wf/uoFaRZC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o+JyxQAAANwAAAAPAAAAAAAAAAAAAAAAAJgCAABkcnMv&#10;ZG93bnJldi54bWxQSwUGAAAAAAQABAD1AAAAigMAAAAA&#10;" fillcolor="white [3201]" strokecolor="black [3200]" strokeweight="1pt">
                  <v:textbox>
                    <w:txbxContent>
                      <w:p w14:paraId="0C347C71" w14:textId="77777777" w:rsidR="00622FF2" w:rsidRPr="007D2E0A" w:rsidRDefault="00622FF2" w:rsidP="008F7BB3">
                        <w:pPr>
                          <w:jc w:val="center"/>
                          <w:rPr>
                            <w:rFonts w:cs="Arial"/>
                            <w:sz w:val="16"/>
                            <w:szCs w:val="16"/>
                          </w:rPr>
                        </w:pPr>
                        <w:r w:rsidRPr="007D2E0A">
                          <w:rPr>
                            <w:rFonts w:cs="Arial"/>
                            <w:sz w:val="16"/>
                            <w:szCs w:val="16"/>
                          </w:rPr>
                          <w:t>SAS contractor writes to patient to confirm placement and to arrange 1</w:t>
                        </w:r>
                        <w:r w:rsidRPr="007D2E0A">
                          <w:rPr>
                            <w:rFonts w:cs="Arial"/>
                            <w:sz w:val="16"/>
                            <w:szCs w:val="16"/>
                            <w:vertAlign w:val="superscript"/>
                          </w:rPr>
                          <w:t>st</w:t>
                        </w:r>
                        <w:r w:rsidRPr="007D2E0A">
                          <w:rPr>
                            <w:rFonts w:cs="Arial"/>
                            <w:sz w:val="16"/>
                            <w:szCs w:val="16"/>
                          </w:rPr>
                          <w:t xml:space="preserve"> appointment for initial assessment</w:t>
                        </w:r>
                      </w:p>
                    </w:txbxContent>
                  </v:textbox>
                </v:rect>
                <v:rect id="Rectangle 263" o:spid="_x0000_s1079" style="position:absolute;left:12192;top:16535;width:14249;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9H6cQA&#10;AADcAAAADwAAAGRycy9kb3ducmV2LnhtbESPQWvCQBSE74L/YXmCN92okLbRVUQsCEqltoceH9ln&#10;Esy+DbvbJP57t1DwOMzMN8xq05tatOR8ZVnBbJqAIM6trrhQ8P31PnkF4QOyxtoyKbiTh816OFhh&#10;pm3Hn9ReQiEihH2GCsoQmkxKn5dk0E9tQxy9q3UGQ5SukNphF+GmlvMkSaXBiuNCiQ3tSspvl1+j&#10;wJ6re711bx/tiV5+jueQdH26V2o86rdLEIH68Az/tw9awTxdwN+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vR+nEAAAA3AAAAA8AAAAAAAAAAAAAAAAAmAIAAGRycy9k&#10;b3ducmV2LnhtbFBLBQYAAAAABAAEAPUAAACJAwAAAAA=&#10;" fillcolor="white [3201]" strokecolor="black [3200]" strokeweight="1pt">
                  <v:textbox>
                    <w:txbxContent>
                      <w:p w14:paraId="33B80275" w14:textId="77777777" w:rsidR="00622FF2" w:rsidRPr="007D2E0A" w:rsidRDefault="00622FF2" w:rsidP="008F7BB3">
                        <w:pPr>
                          <w:jc w:val="center"/>
                          <w:rPr>
                            <w:rFonts w:cs="Arial"/>
                            <w:sz w:val="16"/>
                            <w:szCs w:val="16"/>
                          </w:rPr>
                        </w:pPr>
                        <w:r w:rsidRPr="007D2E0A">
                          <w:rPr>
                            <w:rFonts w:cs="Arial"/>
                            <w:sz w:val="16"/>
                            <w:szCs w:val="16"/>
                          </w:rPr>
                          <w:t>SAS Contractor confirms referral with PCSE</w:t>
                        </w:r>
                      </w:p>
                    </w:txbxContent>
                  </v:textbox>
                </v:rect>
                <v:rect id="Rectangle 264" o:spid="_x0000_s1080" style="position:absolute;top:20461;width:10439;height:15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bfncQA&#10;AADcAAAADwAAAGRycy9kb3ducmV2LnhtbESPQWvCQBSE74L/YXmCN90okrbRVUQsCEqltoceH9ln&#10;Esy+DbvbJP57t1DwOMzMN8xq05tatOR8ZVnBbJqAIM6trrhQ8P31PnkF4QOyxtoyKbiTh816OFhh&#10;pm3Hn9ReQiEihH2GCsoQmkxKn5dk0E9tQxy9q3UGQ5SukNphF+GmlvMkSaXBiuNCiQ3tSspvl1+j&#10;wJ6re711bx/tiV5+jueQdH26V2o86rdLEIH68Az/tw9awTxdwN+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G353EAAAA3AAAAA8AAAAAAAAAAAAAAAAAmAIAAGRycy9k&#10;b3ducmV2LnhtbFBLBQYAAAAABAAEAPUAAACJAwAAAAA=&#10;" fillcolor="white [3201]" strokecolor="black [3200]" strokeweight="1pt">
                  <v:textbox>
                    <w:txbxContent>
                      <w:p w14:paraId="6955BCA4" w14:textId="77777777" w:rsidR="00622FF2" w:rsidRPr="007D2E0A" w:rsidRDefault="00622FF2" w:rsidP="008F7BB3">
                        <w:pPr>
                          <w:jc w:val="center"/>
                          <w:rPr>
                            <w:rFonts w:cs="Arial"/>
                            <w:sz w:val="16"/>
                            <w:szCs w:val="16"/>
                          </w:rPr>
                        </w:pPr>
                        <w:r w:rsidRPr="007D2E0A">
                          <w:rPr>
                            <w:rFonts w:cs="Arial"/>
                            <w:sz w:val="16"/>
                            <w:szCs w:val="16"/>
                          </w:rPr>
                          <w:t>SAS Contractor contacts Commissioner if referral considered not appropriate. This would be an exception</w:t>
                        </w:r>
                        <w:r>
                          <w:rPr>
                            <w:rFonts w:cs="Arial"/>
                            <w:sz w:val="16"/>
                            <w:szCs w:val="16"/>
                          </w:rPr>
                          <w:t xml:space="preserve"> rather than a rule. Commissioner should consider convening a panel to </w:t>
                        </w:r>
                        <w:proofErr w:type="gramStart"/>
                        <w:r>
                          <w:rPr>
                            <w:rFonts w:cs="Arial"/>
                            <w:sz w:val="16"/>
                            <w:szCs w:val="16"/>
                          </w:rPr>
                          <w:t>review  e.g</w:t>
                        </w:r>
                        <w:proofErr w:type="gramEnd"/>
                        <w:r>
                          <w:rPr>
                            <w:rFonts w:cs="Arial"/>
                            <w:sz w:val="16"/>
                            <w:szCs w:val="16"/>
                          </w:rPr>
                          <w:t>. in the same way a patient appeal</w:t>
                        </w:r>
                      </w:p>
                    </w:txbxContent>
                  </v:textbox>
                </v:rect>
                <v:rect id="Rectangle 265" o:spid="_x0000_s1081" style="position:absolute;left:20345;top:57683;width:11887;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p6BsQA&#10;AADcAAAADwAAAGRycy9kb3ducmV2LnhtbESPQWvCQBSE74L/YXmCN90omLbRVUQsCEqltoceH9ln&#10;Esy+DbvbJP57t1DwOMzMN8xq05tatOR8ZVnBbJqAIM6trrhQ8P31PnkF4QOyxtoyKbiTh816OFhh&#10;pm3Hn9ReQiEihH2GCsoQmkxKn5dk0E9tQxy9q3UGQ5SukNphF+GmlvMkSaXBiuNCiQ3tSspvl1+j&#10;wJ6re711bx/tiV5+jueQdH26V2o86rdLEIH68Az/tw9awTxdwN+Ze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KegbEAAAA3AAAAA8AAAAAAAAAAAAAAAAAmAIAAGRycy9k&#10;b3ducmV2LnhtbFBLBQYAAAAABAAEAPUAAACJAwAAAAA=&#10;" fillcolor="white [3201]" strokecolor="black [3200]" strokeweight="1pt">
                  <v:textbox>
                    <w:txbxContent>
                      <w:p w14:paraId="4C9531CC" w14:textId="77777777" w:rsidR="00622FF2" w:rsidRPr="007D2E0A" w:rsidRDefault="00622FF2" w:rsidP="008F7BB3">
                        <w:pPr>
                          <w:jc w:val="center"/>
                          <w:rPr>
                            <w:rFonts w:cs="Arial"/>
                            <w:sz w:val="16"/>
                            <w:szCs w:val="16"/>
                          </w:rPr>
                        </w:pPr>
                        <w:r w:rsidRPr="007D2E0A">
                          <w:rPr>
                            <w:rFonts w:cs="Arial"/>
                            <w:sz w:val="16"/>
                            <w:szCs w:val="16"/>
                          </w:rPr>
                          <w:t>Patient not ready to be discharged</w:t>
                        </w:r>
                      </w:p>
                    </w:txbxContent>
                  </v:textbox>
                </v:rect>
                <v:rect id="Rectangle 266" o:spid="_x0000_s1082" style="position:absolute;left:2514;top:64693;width:16459;height:42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kccQA&#10;AADcAAAADwAAAGRycy9kb3ducmV2LnhtbESPQWvCQBSE70L/w/IK3nRTD9FGV5GiIChKbQ8eH9nX&#10;JDT7NuyuSfz3riB4HGbmG2ax6k0tWnK+sqzgY5yAIM6trrhQ8PuzHc1A+ICssbZMCm7kYbV8Gyww&#10;07bjb2rPoRARwj5DBWUITSalz0sy6Me2IY7en3UGQ5SukNphF+GmlpMkSaXBiuNCiQ19lZT/n69G&#10;gT1Vt3rtPo/tgaaX/SkkXZ9ulBq+9+s5iEB9eIWf7Z1WMElTeJy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Y5HHEAAAA3AAAAA8AAAAAAAAAAAAAAAAAmAIAAGRycy9k&#10;b3ducmV2LnhtbFBLBQYAAAAABAAEAPUAAACJAwAAAAA=&#10;" fillcolor="white [3201]" strokecolor="black [3200]" strokeweight="1pt">
                  <v:textbox>
                    <w:txbxContent>
                      <w:p w14:paraId="42C78154" w14:textId="77777777" w:rsidR="00622FF2" w:rsidRPr="007D2E0A" w:rsidRDefault="00622FF2" w:rsidP="008F7BB3">
                        <w:pPr>
                          <w:jc w:val="center"/>
                          <w:rPr>
                            <w:rFonts w:cs="Arial"/>
                            <w:sz w:val="16"/>
                            <w:szCs w:val="16"/>
                          </w:rPr>
                        </w:pPr>
                        <w:r w:rsidRPr="007D2E0A">
                          <w:rPr>
                            <w:rFonts w:cs="Arial"/>
                            <w:sz w:val="16"/>
                            <w:szCs w:val="16"/>
                          </w:rPr>
                          <w:t>Patient supported to find alternative GP practice</w:t>
                        </w:r>
                      </w:p>
                    </w:txbxContent>
                  </v:textbox>
                </v:rect>
                <v:rect id="Rectangle 267" o:spid="_x0000_s1083" style="position:absolute;left:26441;top:63779;width:14173;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RB6sQA&#10;AADcAAAADwAAAGRycy9kb3ducmV2LnhtbESPQWvCQBSE70L/w/IK3nRTD9FGV5FSQbAoWg8eH9ln&#10;Epp9G3bXJP57tyB4HGbmG2ax6k0tWnK+sqzgY5yAIM6trrhQcP7djGYgfEDWWFsmBXfysFq+DRaY&#10;advxkdpTKESEsM9QQRlCk0np85IM+rFtiKN3tc5giNIVUjvsItzUcpIkqTRYcVwosaGvkvK/080o&#10;sIfqXq/d5779oelldwhJ16ffSg3f+/UcRKA+vMLP9lYrmKRT+D8Tj4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UQerEAAAA3AAAAA8AAAAAAAAAAAAAAAAAmAIAAGRycy9k&#10;b3ducmV2LnhtbFBLBQYAAAAABAAEAPUAAACJAwAAAAA=&#10;" fillcolor="white [3201]" strokecolor="black [3200]" strokeweight="1pt">
                  <v:textbox>
                    <w:txbxContent>
                      <w:p w14:paraId="2F164D8C" w14:textId="77777777" w:rsidR="00622FF2" w:rsidRPr="007D2E0A" w:rsidRDefault="00622FF2" w:rsidP="008F7BB3">
                        <w:pPr>
                          <w:jc w:val="center"/>
                          <w:rPr>
                            <w:rFonts w:cs="Arial"/>
                            <w:i/>
                            <w:sz w:val="16"/>
                            <w:szCs w:val="16"/>
                          </w:rPr>
                        </w:pPr>
                        <w:r w:rsidRPr="007D2E0A">
                          <w:rPr>
                            <w:rFonts w:cs="Arial"/>
                            <w:i/>
                            <w:sz w:val="16"/>
                            <w:szCs w:val="16"/>
                          </w:rPr>
                          <w:t>Exceptional Discharge Panel review for patients registered for more than 2 years</w:t>
                        </w:r>
                      </w:p>
                    </w:txbxContent>
                  </v:textbox>
                </v:rect>
                <v:shapetype id="_x0000_t32" coordsize="21600,21600" o:spt="32" o:oned="t" path="m,l21600,21600e" filled="f">
                  <v:path arrowok="t" fillok="f" o:connecttype="none"/>
                  <o:lock v:ext="edit" shapetype="t"/>
                </v:shapetype>
                <v:shape id="Straight Arrow Connector 268" o:spid="_x0000_s1084" type="#_x0000_t32" style="position:absolute;left:30022;top:4267;width:0;height:23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de8IAAADcAAAADwAAAGRycy9kb3ducmV2LnhtbERPTYvCMBC9C/sfwgh701QXRapRZFUQ&#10;D6Lugnobmtm2bDOpSdT6781B8Ph435NZYypxI+dLywp63QQEcWZ1ybmC359VZwTCB2SNlWVS8CAP&#10;s+lHa4Kptnfe0+0QchFD2KeooAihTqX0WUEGfdfWxJH7s85giNDlUju8x3BTyX6SDKXBkmNDgTV9&#10;F5T9H65GQSKXx8c525zqy/rytV0ucjeY75T6bDfzMYhATXiLX+61VtAfxrXxTDwCcvo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q+de8IAAADcAAAADwAAAAAAAAAAAAAA&#10;AAChAgAAZHJzL2Rvd25yZXYueG1sUEsFBgAAAAAEAAQA+QAAAJADAAAAAA==&#10;" strokecolor="#00a9ce [3206]" strokeweight="2pt">
                  <v:stroke endarrow="open"/>
                  <v:shadow on="t" color="black" opacity="24903f" origin=",.5" offset="0,.55556mm"/>
                </v:shape>
                <v:shape id="Straight Arrow Connector 269" o:spid="_x0000_s1085" type="#_x0000_t32" style="position:absolute;left:6047;top:13525;width:0;height:69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M44McAAADcAAAADwAAAGRycy9kb3ducmV2LnhtbESPQWvCQBSE74X+h+UVetONlkobsxGx&#10;FsRDUVtQb4/sMwlm38bdrcZ/7xaEHoeZ+YbJJp1pxJmcry0rGPQTEMSF1TWXCn6+P3tvIHxA1thY&#10;JgVX8jDJHx8yTLW98JrOm1CKCGGfooIqhDaV0hcVGfR92xJH72CdwRClK6V2eIlw08hhkoykwZrj&#10;QoUtzSoqjptfoyCR8+11Xyx37Wlxevmaf5TudbpS6vmpm45BBOrCf/jeXmgFw9E7/J2JR0DmN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4zjgxwAAANwAAAAPAAAAAAAA&#10;AAAAAAAAAKECAABkcnMvZG93bnJldi54bWxQSwUGAAAAAAQABAD5AAAAlQMAAAAA&#10;" strokecolor="#00a9ce [3206]" strokeweight="2pt">
                  <v:stroke endarrow="open"/>
                  <v:shadow on="t" color="black" opacity="24903f" origin=",.5" offset="0,.55556mm"/>
                </v:shape>
                <v:shape id="Straight Arrow Connector 270" o:spid="_x0000_s1086" type="#_x0000_t32" style="position:absolute;left:36042;top:22098;width:0;height:16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AHoMMAAADcAAAADwAAAGRycy9kb3ducmV2LnhtbERPy2oCMRTdF/yHcAV3NaNiLaNRxAeI&#10;i+Kj0Lq7TK4zg5ObMYk6/r1ZFLo8nPdk1phK3Mn50rKCXjcBQZxZXXKu4Pu4fv8E4QOyxsoyKXiS&#10;h9m09TbBVNsH7+l+CLmIIexTVFCEUKdS+qwgg75ra+LIna0zGCJ0udQOHzHcVLKfJB/SYMmxocCa&#10;FgVll8PNKEjk6ud5yra/9XVzHXytlrkbzndKddrNfAwiUBP+xX/ujVbQH8X58Uw8An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kAB6DDAAAA3AAAAA8AAAAAAAAAAAAA&#10;AAAAoQIAAGRycy9kb3ducmV2LnhtbFBLBQYAAAAABAAEAPkAAACRAwAAAAA=&#10;" strokecolor="#00a9ce [3206]" strokeweight="2pt">
                  <v:stroke endarrow="open"/>
                  <v:shadow on="t" color="black" opacity="24903f" origin=",.5" offset="0,.55556mm"/>
                </v:shape>
                <v:line id="Straight Connector 271" o:spid="_x0000_s1087" style="position:absolute;visibility:visible;mso-wrap-style:square" from="23088,22098" to="36042,22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V6SMUAAADcAAAADwAAAGRycy9kb3ducmV2LnhtbESP3UrDQBSE7wu+w3IE7+ymAWsbsyn+&#10;IK2gBasPcMieJqHZs2H32KZv7wpCL4eZ+YYpV6Pr1ZFC7DwbmE0zUMS1tx03Br6/Xm8XoKIgW+w9&#10;k4EzRVhVV5MSC+tP/EnHnTQqQTgWaKAVGQqtY92Swzj1A3Hy9j44lCRDo23AU4K7XudZNtcOO04L&#10;LQ703FJ92P04A7L25/fNNl8+Dfot3NmXZRM/xJib6/HxAZTQKJfwf3tjDeT3M/g7k46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ZV6SMUAAADcAAAADwAAAAAAAAAA&#10;AAAAAAChAgAAZHJzL2Rvd25yZXYueG1sUEsFBgAAAAAEAAQA+QAAAJMDAAAAAA==&#10;" strokecolor="#00a9ce [3206]" strokeweight="2pt">
                  <v:shadow on="t" color="black" opacity="24903f" origin=",.5" offset="0,.55556mm"/>
                </v:line>
                <v:shape id="Straight Arrow Connector 272" o:spid="_x0000_s1088" type="#_x0000_t32" style="position:absolute;left:25069;top:42138;width:0;height:23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48TMcAAADcAAAADwAAAGRycy9kb3ducmV2LnhtbESPQWvCQBSE7wX/w/KE3urGFLVEVxG1&#10;IB6KpoW2t0f2mQSzb+PuVuO/7wqFHoeZ+YaZLTrTiAs5X1tWMBwkIIgLq2suFXy8vz69gPABWWNj&#10;mRTcyMNi3nuYYabtlQ90yUMpIoR9hgqqENpMSl9UZNAPbEscvaN1BkOUrpTa4TXCTSPTJBlLgzXH&#10;hQpbWlVUnPIfoyCRm8/bd7H7as/b8/PbZl260XKv1GO/W05BBOrCf/ivvdUK0kkK9zPxCMj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WnjxMxwAAANwAAAAPAAAAAAAA&#10;AAAAAAAAAKECAABkcnMvZG93bnJldi54bWxQSwUGAAAAAAQABAD5AAAAlQMAAAAA&#10;" strokecolor="#00a9ce [3206]" strokeweight="2pt">
                  <v:stroke endarrow="open"/>
                  <v:shadow on="t" color="black" opacity="24903f" origin=",.5" offset="0,.55556mm"/>
                </v:shape>
                <v:shape id="Straight Arrow Connector 273" o:spid="_x0000_s1089" type="#_x0000_t32" style="position:absolute;left:16687;top:8915;width:9068;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A0M8cAAADcAAAADwAAAGRycy9kb3ducmV2LnhtbESP3WrCQBSE7wu+w3KE3tVNE2kkdRVR&#10;pJUKxR8K3h2yp9lg9mzMbjV9+26h0MthZr5hpvPeNuJKna8dK3gcJSCIS6drrhQcD+uHCQgfkDU2&#10;jknBN3mYzwZ3Uyy0u/GOrvtQiQhhX6ACE0JbSOlLQxb9yLXE0ft0ncUQZVdJ3eEtwm0j0yR5khZr&#10;jgsGW1oaKs/7L6tgtfkY55f+8p69nMy2pCw/pYs3pe6H/eIZRKA+/If/2q9aQZpn8HsmHgE5+w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MMDQzxwAAANwAAAAPAAAAAAAA&#10;AAAAAAAAAKECAABkcnMvZG93bnJldi54bWxQSwUGAAAAAAQABAD5AAAAlQMAAAAA&#10;" strokecolor="black [3040]">
                  <v:stroke endarrow="open"/>
                </v:shape>
                <v:shape id="Straight Arrow Connector 274" o:spid="_x0000_s1090" type="#_x0000_t32" style="position:absolute;left:16446;top:11658;width:77;height:48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9NNcQAAADcAAAADwAAAGRycy9kb3ducmV2LnhtbESPT4vCMBTE7wv7HcJb8LamK6Ju11RE&#10;KHjQg//w+mjetqXNS21ird/eCILHYWZ+w8wXvalFR60rLSv4GUYgiDOrS84VHA/p9wyE88gaa8uk&#10;4E4OFsnnxxxjbW+8o27vcxEg7GJUUHjfxFK6rCCDbmgb4uD929agD7LNpW7xFuCmlqMomkiDJYeF&#10;AhtaFZRV+6tRELlJelkdqm13zP1uc5bp+v57Umrw1S//QHjq/Tv8aq+1gtF0DM8z4QjI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P001xAAAANwAAAAPAAAAAAAAAAAA&#10;AAAAAKECAABkcnMvZG93bnJldi54bWxQSwUGAAAAAAQABAD5AAAAkgMAAAAA&#10;" strokecolor="black [3040]">
                  <v:stroke endarrow="open"/>
                </v:shape>
                <v:shape id="Straight Arrow Connector 275" o:spid="_x0000_s1091" type="#_x0000_t32" style="position:absolute;left:23088;top:20802;width:0;height:31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PorsUAAADcAAAADwAAAGRycy9kb3ducmV2LnhtbESPS4vCQBCE7wv7H4Ze8LZOVvCxWSci&#10;QsCDHnzhtcn0JiGZnpgZY/z3jiB4LKrqK2q+6E0tOmpdaVnBzzACQZxZXXKu4HhIv2cgnEfWWFsm&#10;BXdysEg+P+YYa3vjHXV7n4sAYRejgsL7JpbSZQUZdEPbEAfv37YGfZBtLnWLtwA3tRxF0UQaLDks&#10;FNjQqqCs2l+NgshN0svqUG27Y+53m7NM1/ffk1KDr375B8JT79/hV3utFYymY3ieCUdAJg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XPorsUAAADcAAAADwAAAAAAAAAA&#10;AAAAAAChAgAAZHJzL2Rvd25yZXYueG1sUEsFBgAAAAAEAAQA+QAAAJMDAAAAAA==&#10;" strokecolor="black [3040]">
                  <v:stroke endarrow="open"/>
                </v:shape>
                <v:shape id="Straight Arrow Connector 276" o:spid="_x0000_s1092" type="#_x0000_t32" style="position:absolute;left:18973;top:32156;width:0;height:205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F22cUAAADcAAAADwAAAGRycy9kb3ducmV2LnhtbESPQWvCQBSE74X+h+UVequbeoiauooI&#10;AQ/tIYnS6yP7TILZt2l2G5N/7wqCx2FmvmHW29G0YqDeNZYVfM4iEMSl1Q1XCo5F+rEE4TyyxtYy&#10;KZjIwXbz+rLGRNsrZzTkvhIBwi5BBbX3XSKlK2sy6Ga2Iw7e2fYGfZB9JXWP1wA3rZxHUSwNNhwW&#10;auxoX1N5yf+NgsjF6d++uPwMx8pn378yPUyrk1Lvb+PuC4Sn0T/Dj/ZBK5gvYrifCUdAb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aF22cUAAADcAAAADwAAAAAAAAAA&#10;AAAAAAChAgAAZHJzL2Rvd25yZXYueG1sUEsFBgAAAAAEAAQA+QAAAJMDAAAAAA==&#10;" strokecolor="black [3040]">
                  <v:stroke endarrow="open"/>
                </v:shape>
                <v:shape id="Straight Arrow Connector 277" o:spid="_x0000_s1093" type="#_x0000_t32" style="position:absolute;left:4419;top:35777;width:0;height:32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TQsUAAADcAAAADwAAAGRycy9kb3ducmV2LnhtbESPT2vCQBTE7wW/w/IEb3VjDlpTVxEh&#10;kIM9xD94fWRfk2D2bcyuMfn23UKhx2FmfsNsdoNpRE+dqy0rWMwjEMSF1TWXCi7n9P0DhPPIGhvL&#10;pGAkB7vt5G2DibYvzqk/+VIECLsEFVTet4mUrqjIoJvbljh437Yz6IPsSqk7fAW4aWQcRUtpsOaw&#10;UGFLh4qK++lpFERumT4O5/tXfyl9frzJNBvXV6Vm02H/CcLT4P/Df+1MK4hXK/g9E46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3TQsUAAADcAAAADwAAAAAAAAAA&#10;AAAAAAChAgAAZHJzL2Rvd25yZXYueG1sUEsFBgAAAAAEAAQA+QAAAJMDAAAAAA==&#10;" strokecolor="black [3040]">
                  <v:stroke endarrow="open"/>
                </v:shape>
                <v:shape id="Straight Arrow Connector 278" o:spid="_x0000_s1094" type="#_x0000_t32" style="position:absolute;left:27279;top:49682;width:0;height:198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JHML4AAADcAAAADwAAAGRycy9kb3ducmV2LnhtbERPuwrCMBTdBf8hXMFNUx18VKOIUHDQ&#10;wReul+baFpub2sRa/94MguPhvJfr1pSiodoVlhWMhhEI4tTqgjMFl3MymIFwHlljaZkUfMjBetXt&#10;LDHW9s1Hak4+EyGEXYwKcu+rWEqX5mTQDW1FHLi7rQ36AOtM6hrfIdyUchxFE2mw4NCQY0XbnNLH&#10;6WUURG6SPLfnx6G5ZP64v8lk95lfler32s0ChKfW/8U/904rGE/D2nAmHAG5+gI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LckcwvgAAANwAAAAPAAAAAAAAAAAAAAAAAKEC&#10;AABkcnMvZG93bnJldi54bWxQSwUGAAAAAAQABAD5AAAAjAMAAAAA&#10;" strokecolor="black [3040]">
                  <v:stroke endarrow="open"/>
                </v:shape>
                <v:shape id="Straight Arrow Connector 279" o:spid="_x0000_s1095" type="#_x0000_t32" style="position:absolute;left:10439;top:54787;width:0;height:28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7iq8IAAADcAAAADwAAAGRycy9kb3ducmV2LnhtbESPS6vCMBSE94L/IRzBnaa68FGNIkLB&#10;xXXhC7eH5tgWm5Pa5Nb6740guBxm5htmuW5NKRqqXWFZwWgYgSBOrS44U3A+JYMZCOeRNZaWScGL&#10;HKxX3c4SY22ffKDm6DMRIOxiVJB7X8VSujQng25oK+Lg3Wxt0AdZZ1LX+AxwU8pxFE2kwYLDQo4V&#10;bXNK78d/oyByk+SxPd33zTnzh7+rTHav+UWpfq/dLEB4av0v/G3vtILxdA6fM+EIyNU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D7iq8IAAADcAAAADwAAAAAAAAAAAAAA&#10;AAChAgAAZHJzL2Rvd25yZXYueG1sUEsFBgAAAAAEAAQA+QAAAJADAAAAAA==&#10;" strokecolor="black [3040]">
                  <v:stroke endarrow="open"/>
                </v:shape>
                <v:shape id="Straight Arrow Connector 280" o:spid="_x0000_s1096" type="#_x0000_t32" style="position:absolute;left:24307;top:54787;width:0;height:289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E7Eb4AAADcAAAADwAAAGRycy9kb3ducmV2LnhtbERPuwrCMBTdBf8hXMHNpjqIVqOIUHDQ&#10;wReul+baFpub2sRa/94MguPhvJfrzlSipcaVlhWMoxgEcWZ1ybmCyzkdzUA4j6yxskwKPuRgver3&#10;lpho++YjtSefixDCLkEFhfd1IqXLCjLoIlsTB+5uG4M+wCaXusF3CDeVnMTxVBosOTQUWNO2oOxx&#10;ehkFsZumz+35cWgvuT/ubzLdfeZXpYaDbrMA4anzf/HPvdMKJrMwP5wJR0Cuvg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A0TsRvgAAANwAAAAPAAAAAAAAAAAAAAAAAKEC&#10;AABkcnMvZG93bnJldi54bWxQSwUGAAAAAAQABAD5AAAAjAMAAAAA&#10;" strokecolor="black [3040]">
                  <v:stroke endarrow="open"/>
                </v:shape>
                <v:shape id="Straight Arrow Connector 281" o:spid="_x0000_s1097" type="#_x0000_t32" style="position:absolute;left:10668;top:61950;width:0;height:27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5nSHMYAAADcAAAADwAAAGRycy9kb3ducmV2LnhtbESPT2sCMRTE74LfITyhN81qUWRrFFEL&#10;4kHqH9DeHpvX3aWblzVJdf32piB4HGbmN8xk1phKXMn50rKCfi8BQZxZXXKu4Hj47I5B+ICssbJM&#10;Cu7kYTZttyaYanvjHV33IRcRwj5FBUUIdSqlzwoy6Hu2Jo7ej3UGQ5Qul9rhLcJNJQdJMpIGS44L&#10;Bda0KCj73f8ZBYlcne7f2eZcX9aX9+1qmbvh/Eupt04z/wARqAmv8LO91goG4z78n4lHQE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Z0hzGAAAA3AAAAA8AAAAAAAAA&#10;AAAAAAAAoQIAAGRycy9kb3ducmV2LnhtbFBLBQYAAAAABAAEAPkAAACUAwAAAAA=&#10;" strokecolor="#00a9ce [3206]" strokeweight="2pt">
                  <v:stroke endarrow="open"/>
                  <v:shadow on="t" color="black" opacity="24903f" origin=",.5" offset="0,.55556mm"/>
                </v:shape>
                <v:line id="Straight Connector 282" o:spid="_x0000_s1098" style="position:absolute;visibility:visible;mso-wrap-style:square" from="32461,59664" to="36880,596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v4aBsMAAADcAAAADwAAAGRycy9kb3ducmV2LnhtbESPQWsCMRSE74X+h/AKvdWsWxS7mhWR&#10;lpZ6Uuv9sXnuLrt5WZNU039vCoLHYWa+YRbLaHpxJudbywrGowwEcWV1y7WCn/3HywyED8gae8uk&#10;4I88LMvHhwUW2l54S+ddqEWCsC9QQRPCUEjpq4YM+pEdiJN3tM5gSNLVUju8JLjpZZ5lU2mw5bTQ&#10;4EDrhqpu92sSZXw4GfnZveHh223c++s0TuJJqeenuJqDCBTDPXxrf2kF+SyH/zPpCMjyC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r+GgbDAAAA3AAAAA8AAAAAAAAAAAAA&#10;AAAAoQIAAGRycy9kb3ducmV2LnhtbFBLBQYAAAAABAAEAPkAAACRAwAAAAA=&#10;" strokecolor="black [3040]"/>
                <v:shape id="Straight Arrow Connector 283" o:spid="_x0000_s1099" type="#_x0000_t32" style="position:absolute;left:36880;top:49682;width:0;height:998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VEFMYAAADcAAAADwAAAGRycy9kb3ducmV2LnhtbESPQWvCQBSE74X+h+UVequbJqISXUUU&#10;qdKCaIvg7ZF9zQazb2N21fTfdwtCj8PMfMNMZp2txZVaXzlW8NpLQBAXTldcKvj6XL2MQPiArLF2&#10;TAp+yMNs+vgwwVy7G+/oug+liBD2OSowITS5lL4wZNH3XEMcvW/XWgxRtqXULd4i3NYyTZKBtFhx&#10;XDDY0MJQcdpfrILl5tAfnrvzNns7mo+CsuExnb8r9fzUzccgAnXhP3xvr7WCdJTB35l4BOT0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nlRBTGAAAA3AAAAA8AAAAAAAAA&#10;AAAAAAAAoQIAAGRycy9kb3ducmV2LnhtbFBLBQYAAAAABAAEAPkAAACUAwAAAAA=&#10;" strokecolor="black [3040]">
                  <v:stroke endarrow="open"/>
                </v:shape>
                <v:shape id="Straight Arrow Connector 284" o:spid="_x0000_s1100" type="#_x0000_t32" style="position:absolute;left:26441;top:18288;width:2438;height: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gzcYMcAAADcAAAADwAAAGRycy9kb3ducmV2LnhtbESP3WoCMRSE7wt9h3CE3tWsq6isRpGW&#10;YkuF4g+Cd4fNcbN0c7Juoq5vbwpCL4eZ+YaZzltbiQs1vnSsoNdNQBDnTpdcKNhtP17HIHxA1lg5&#10;JgU38jCfPT9NMdPuymu6bEIhIoR9hgpMCHUmpc8NWfRdVxNH7+gaiyHKppC6wWuE20qmSTKUFkuO&#10;CwZrejOU/27OVsH7134wOrWnn/7yYFY59UeHdPGt1EunXUxABGrDf/jR/tQK0vEA/s7EIyBnd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2DNxgxwAAANwAAAAPAAAAAAAA&#10;AAAAAAAAAKECAABkcnMvZG93bnJldi54bWxQSwUGAAAAAAQABAD5AAAAlQMAAAAA&#10;" strokecolor="black [3040]">
                  <v:stroke endarrow="open"/>
                </v:shape>
                <w10:wrap type="tight"/>
              </v:group>
            </w:pict>
          </mc:Fallback>
        </mc:AlternateContent>
      </w:r>
    </w:p>
    <w:p w14:paraId="25590955" w14:textId="77777777" w:rsidR="008F7BB3" w:rsidRPr="00E54C11" w:rsidRDefault="008F7BB3" w:rsidP="008F7BB3">
      <w:pPr>
        <w:pStyle w:val="Body1"/>
        <w:spacing w:line="276" w:lineRule="auto"/>
        <w:rPr>
          <w:sz w:val="22"/>
          <w:u w:val="single"/>
        </w:rPr>
      </w:pPr>
      <w:r w:rsidRPr="00E54C11">
        <w:rPr>
          <w:sz w:val="22"/>
          <w:u w:val="single"/>
        </w:rPr>
        <w:t>PATIENT PATHWAY</w:t>
      </w:r>
    </w:p>
    <w:p w14:paraId="63C7BD38" w14:textId="77777777" w:rsidR="008F7BB3" w:rsidRPr="006146DE" w:rsidRDefault="008F7BB3" w:rsidP="008F7BB3">
      <w:pPr>
        <w:spacing w:before="200" w:after="60" w:line="276" w:lineRule="auto"/>
        <w:rPr>
          <w:rFonts w:cs="Arial"/>
          <w:color w:val="002060"/>
          <w:szCs w:val="24"/>
        </w:rPr>
      </w:pPr>
      <w:r w:rsidRPr="006146DE">
        <w:rPr>
          <w:rFonts w:cs="Arial"/>
          <w:noProof/>
          <w:lang w:eastAsia="en-GB"/>
        </w:rPr>
        <mc:AlternateContent>
          <mc:Choice Requires="wps">
            <w:drawing>
              <wp:anchor distT="0" distB="0" distL="114300" distR="114300" simplePos="0" relativeHeight="251706880" behindDoc="0" locked="0" layoutInCell="1" allowOverlap="1" wp14:anchorId="5404ED3E" wp14:editId="5C0E5557">
                <wp:simplePos x="0" y="0"/>
                <wp:positionH relativeFrom="column">
                  <wp:posOffset>490220</wp:posOffset>
                </wp:positionH>
                <wp:positionV relativeFrom="paragraph">
                  <wp:posOffset>231775</wp:posOffset>
                </wp:positionV>
                <wp:extent cx="1477645" cy="560705"/>
                <wp:effectExtent l="0" t="0" r="27305" b="10795"/>
                <wp:wrapNone/>
                <wp:docPr id="237" name="Rectangle 237"/>
                <wp:cNvGraphicFramePr/>
                <a:graphic xmlns:a="http://schemas.openxmlformats.org/drawingml/2006/main">
                  <a:graphicData uri="http://schemas.microsoft.com/office/word/2010/wordprocessingShape">
                    <wps:wsp>
                      <wps:cNvSpPr/>
                      <wps:spPr>
                        <a:xfrm>
                          <a:off x="0" y="0"/>
                          <a:ext cx="1477645" cy="560705"/>
                        </a:xfrm>
                        <a:prstGeom prst="rect">
                          <a:avLst/>
                        </a:prstGeom>
                        <a:ln w="12700"/>
                      </wps:spPr>
                      <wps:style>
                        <a:lnRef idx="2">
                          <a:schemeClr val="dk1"/>
                        </a:lnRef>
                        <a:fillRef idx="1">
                          <a:schemeClr val="lt1"/>
                        </a:fillRef>
                        <a:effectRef idx="0">
                          <a:schemeClr val="dk1"/>
                        </a:effectRef>
                        <a:fontRef idx="minor">
                          <a:schemeClr val="dk1"/>
                        </a:fontRef>
                      </wps:style>
                      <wps:txbx>
                        <w:txbxContent>
                          <w:p w14:paraId="478F04AE" w14:textId="77777777" w:rsidR="00622FF2" w:rsidRPr="00ED0341" w:rsidRDefault="00622FF2" w:rsidP="008F7BB3">
                            <w:pPr>
                              <w:jc w:val="center"/>
                              <w:rPr>
                                <w:sz w:val="16"/>
                              </w:rPr>
                            </w:pPr>
                            <w:r>
                              <w:rPr>
                                <w:sz w:val="16"/>
                              </w:rPr>
                              <w:t>The SAS Contractor  receives and reviews the referral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237" o:spid="_x0000_s1101" style="position:absolute;margin-left:38.6pt;margin-top:18.25pt;width:116.35pt;height:44.15pt;z-index:251706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" fillcolor="white [3201]" strokecolor="black [3200]" strokeweight="1pt">
                <v:textbox>
                  <w:txbxContent>
                    <w:p w14:paraId="478F04AE" w14:textId="77777777" w:rsidR="00622FF2" w:rsidRPr="00ED0341" w:rsidRDefault="00622FF2" w:rsidP="008F7BB3">
                      <w:pPr>
                        <w:jc w:val="center"/>
                        <w:rPr>
                          <w:sz w:val="16"/>
                        </w:rPr>
                      </w:pPr>
                      <w:r>
                        <w:rPr>
                          <w:sz w:val="16"/>
                        </w:rPr>
                        <w:t xml:space="preserve">The SAS </w:t>
                      </w:r>
                      <w:proofErr w:type="gramStart"/>
                      <w:r>
                        <w:rPr>
                          <w:sz w:val="16"/>
                        </w:rPr>
                        <w:t>Contractor  receives</w:t>
                      </w:r>
                      <w:proofErr w:type="gramEnd"/>
                      <w:r>
                        <w:rPr>
                          <w:sz w:val="16"/>
                        </w:rPr>
                        <w:t xml:space="preserve"> and reviews the referral</w:t>
                      </w:r>
                    </w:p>
                  </w:txbxContent>
                </v:textbox>
              </v:rect>
            </w:pict>
          </mc:Fallback>
        </mc:AlternateContent>
      </w:r>
    </w:p>
    <w:p w14:paraId="00B30828" w14:textId="77777777" w:rsidR="008F7BB3" w:rsidRPr="006146DE" w:rsidRDefault="008F7BB3" w:rsidP="008F7BB3">
      <w:pPr>
        <w:spacing w:before="200" w:after="60" w:line="276" w:lineRule="auto"/>
        <w:rPr>
          <w:rFonts w:cs="Arial"/>
          <w:color w:val="002060"/>
          <w:szCs w:val="24"/>
        </w:rPr>
      </w:pPr>
    </w:p>
    <w:p w14:paraId="6F4C8ED7" w14:textId="77777777" w:rsidR="008F7BB3" w:rsidRPr="006146DE" w:rsidRDefault="008F7BB3" w:rsidP="008F7BB3">
      <w:pPr>
        <w:spacing w:before="200" w:after="60" w:line="276" w:lineRule="auto"/>
        <w:rPr>
          <w:rFonts w:cs="Arial"/>
          <w:color w:val="002060"/>
          <w:szCs w:val="24"/>
        </w:rPr>
      </w:pPr>
    </w:p>
    <w:p w14:paraId="6710C3AB" w14:textId="77777777" w:rsidR="008F7BB3" w:rsidRPr="006146DE" w:rsidRDefault="008F7BB3" w:rsidP="008F7BB3">
      <w:pPr>
        <w:spacing w:before="200" w:after="60" w:line="276" w:lineRule="auto"/>
        <w:rPr>
          <w:rFonts w:cs="Arial"/>
          <w:color w:val="002060"/>
          <w:szCs w:val="24"/>
        </w:rPr>
      </w:pPr>
    </w:p>
    <w:p w14:paraId="092F5C5A" w14:textId="77777777" w:rsidR="008F7BB3" w:rsidRPr="006146DE" w:rsidRDefault="008F7BB3" w:rsidP="008F7BB3">
      <w:pPr>
        <w:spacing w:before="200" w:after="60" w:line="276" w:lineRule="auto"/>
        <w:rPr>
          <w:rFonts w:cs="Arial"/>
          <w:color w:val="002060"/>
          <w:szCs w:val="24"/>
        </w:rPr>
      </w:pPr>
    </w:p>
    <w:p w14:paraId="78F6AB61" w14:textId="77777777" w:rsidR="008F7BB3" w:rsidRPr="006146DE" w:rsidRDefault="008F7BB3" w:rsidP="008F7BB3">
      <w:pPr>
        <w:spacing w:before="200" w:after="60" w:line="276" w:lineRule="auto"/>
        <w:rPr>
          <w:rFonts w:cs="Arial"/>
          <w:color w:val="002060"/>
          <w:szCs w:val="24"/>
        </w:rPr>
      </w:pPr>
    </w:p>
    <w:p w14:paraId="2A199B68" w14:textId="77777777" w:rsidR="008F7BB3" w:rsidRPr="006146DE" w:rsidRDefault="008F7BB3" w:rsidP="008F7BB3">
      <w:pPr>
        <w:spacing w:before="200" w:after="60" w:line="276" w:lineRule="auto"/>
        <w:rPr>
          <w:rFonts w:cs="Arial"/>
          <w:color w:val="002060"/>
          <w:szCs w:val="24"/>
        </w:rPr>
      </w:pPr>
    </w:p>
    <w:p w14:paraId="336B9F4D" w14:textId="77777777" w:rsidR="008F7BB3" w:rsidRPr="006146DE" w:rsidRDefault="008F7BB3" w:rsidP="008F7BB3">
      <w:pPr>
        <w:spacing w:before="200" w:after="60" w:line="276" w:lineRule="auto"/>
        <w:rPr>
          <w:rFonts w:cs="Arial"/>
          <w:color w:val="002060"/>
          <w:szCs w:val="24"/>
        </w:rPr>
      </w:pPr>
    </w:p>
    <w:p w14:paraId="42CB217E" w14:textId="77777777" w:rsidR="008F7BB3" w:rsidRPr="006146DE" w:rsidRDefault="008F7BB3" w:rsidP="008F7BB3">
      <w:pPr>
        <w:spacing w:before="200" w:after="60" w:line="276" w:lineRule="auto"/>
        <w:rPr>
          <w:rFonts w:cs="Arial"/>
          <w:color w:val="002060"/>
          <w:szCs w:val="24"/>
        </w:rPr>
      </w:pPr>
    </w:p>
    <w:p w14:paraId="05D0B46C" w14:textId="77777777" w:rsidR="008F7BB3" w:rsidRPr="006146DE" w:rsidRDefault="008F7BB3" w:rsidP="008F7BB3">
      <w:pPr>
        <w:spacing w:before="200" w:after="60" w:line="276" w:lineRule="auto"/>
        <w:rPr>
          <w:rFonts w:cs="Arial"/>
          <w:color w:val="002060"/>
          <w:szCs w:val="24"/>
        </w:rPr>
      </w:pPr>
    </w:p>
    <w:p w14:paraId="32A637F3" w14:textId="77777777" w:rsidR="008F7BB3" w:rsidRPr="006146DE" w:rsidRDefault="008F7BB3" w:rsidP="008F7BB3">
      <w:pPr>
        <w:spacing w:before="200" w:after="60" w:line="276" w:lineRule="auto"/>
        <w:rPr>
          <w:rFonts w:cs="Arial"/>
          <w:color w:val="002060"/>
          <w:szCs w:val="24"/>
        </w:rPr>
      </w:pPr>
    </w:p>
    <w:p w14:paraId="2DBD3F45" w14:textId="77777777" w:rsidR="008F7BB3" w:rsidRPr="006146DE" w:rsidRDefault="008F7BB3" w:rsidP="008F7BB3">
      <w:pPr>
        <w:spacing w:before="200" w:after="60" w:line="276" w:lineRule="auto"/>
        <w:rPr>
          <w:rFonts w:cs="Arial"/>
          <w:color w:val="002060"/>
          <w:szCs w:val="24"/>
        </w:rPr>
      </w:pPr>
      <w:r w:rsidRPr="006146DE">
        <w:rPr>
          <w:rFonts w:cs="Arial"/>
          <w:color w:val="002060"/>
          <w:szCs w:val="24"/>
        </w:rPr>
        <w:t xml:space="preserve"> </w:t>
      </w:r>
    </w:p>
    <w:p w14:paraId="5030F350" w14:textId="77777777" w:rsidR="008F7BB3" w:rsidRPr="006146DE" w:rsidRDefault="008F7BB3" w:rsidP="008F7BB3">
      <w:pPr>
        <w:spacing w:before="200" w:after="60" w:line="276" w:lineRule="auto"/>
        <w:rPr>
          <w:rFonts w:cs="Arial"/>
          <w:color w:val="002060"/>
          <w:szCs w:val="24"/>
        </w:rPr>
      </w:pPr>
    </w:p>
    <w:p w14:paraId="00F31537" w14:textId="77777777" w:rsidR="008F7BB3" w:rsidRPr="006146DE" w:rsidRDefault="008F7BB3" w:rsidP="008F7BB3">
      <w:pPr>
        <w:spacing w:before="200" w:after="60" w:line="276" w:lineRule="auto"/>
        <w:rPr>
          <w:rFonts w:cs="Arial"/>
          <w:color w:val="002060"/>
          <w:szCs w:val="24"/>
        </w:rPr>
      </w:pPr>
    </w:p>
    <w:p w14:paraId="08818798" w14:textId="77777777" w:rsidR="008F7BB3" w:rsidRPr="006146DE" w:rsidRDefault="008F7BB3" w:rsidP="008F7BB3">
      <w:pPr>
        <w:spacing w:before="200" w:after="60" w:line="276" w:lineRule="auto"/>
        <w:rPr>
          <w:rFonts w:cs="Arial"/>
          <w:color w:val="002060"/>
          <w:szCs w:val="24"/>
        </w:rPr>
      </w:pPr>
    </w:p>
    <w:p w14:paraId="6C3B96ED" w14:textId="489B8108" w:rsidR="008F7BB3" w:rsidRPr="006146DE" w:rsidRDefault="00410041" w:rsidP="008F7BB3">
      <w:pPr>
        <w:spacing w:before="200" w:after="60" w:line="276" w:lineRule="auto"/>
        <w:rPr>
          <w:rFonts w:cs="Arial"/>
          <w:color w:val="002060"/>
          <w:szCs w:val="24"/>
        </w:rPr>
      </w:pPr>
      <w:r>
        <w:rPr>
          <w:noProof/>
          <w:lang w:eastAsia="en-GB"/>
        </w:rPr>
        <mc:AlternateContent>
          <mc:Choice Requires="wps">
            <w:drawing>
              <wp:anchor distT="0" distB="0" distL="114300" distR="114300" simplePos="0" relativeHeight="251713024" behindDoc="0" locked="0" layoutInCell="1" allowOverlap="1" wp14:anchorId="102C82B7" wp14:editId="11B20BC9">
                <wp:simplePos x="0" y="0"/>
                <wp:positionH relativeFrom="column">
                  <wp:posOffset>3799205</wp:posOffset>
                </wp:positionH>
                <wp:positionV relativeFrom="paragraph">
                  <wp:posOffset>276860</wp:posOffset>
                </wp:positionV>
                <wp:extent cx="551180" cy="337185"/>
                <wp:effectExtent l="38100" t="38100" r="77470" b="100965"/>
                <wp:wrapNone/>
                <wp:docPr id="2" name="Straight Arrow Connector 2" descr=" straight arrow connector" title=" straight arrow connector"/>
                <wp:cNvGraphicFramePr/>
                <a:graphic xmlns:a="http://schemas.openxmlformats.org/drawingml/2006/main">
                  <a:graphicData uri="http://schemas.microsoft.com/office/word/2010/wordprocessingShape">
                    <wps:wsp>
                      <wps:cNvCnPr/>
                      <wps:spPr>
                        <a:xfrm>
                          <a:off x="0" y="0"/>
                          <a:ext cx="551180" cy="337185"/>
                        </a:xfrm>
                        <a:prstGeom prst="straightConnector1">
                          <a:avLst/>
                        </a:prstGeom>
                        <a:noFill/>
                        <a:ln w="25400" cap="flat" cmpd="sng" algn="ctr">
                          <a:solidFill>
                            <a:srgbClr val="00A9CE"/>
                          </a:solidFill>
                          <a:prstDash val="dash"/>
                          <a:headEnd type="triangle"/>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 o:spid="_x0000_s1026" type="#_x0000_t32" alt="Title:  straight arrow connector - Description:  straight arrow connector" style="position:absolute;margin-left:299.15pt;margin-top:21.8pt;width:43.4pt;height:26.5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" strokecolor="#00a9ce" strokeweight="2pt">
                <v:stroke dashstyle="dash" startarrow="block" endarrow="block"/>
                <v:shadow on="t" color="black" opacity="24903f" origin=",.5" offset="0,.55556mm"/>
              </v:shape>
            </w:pict>
          </mc:Fallback>
        </mc:AlternateContent>
      </w:r>
    </w:p>
    <w:p w14:paraId="4519FD18" w14:textId="517D2259" w:rsidR="008F7BB3" w:rsidRPr="006146DE" w:rsidRDefault="00410041" w:rsidP="008F7BB3">
      <w:pPr>
        <w:spacing w:before="200" w:after="60" w:line="276" w:lineRule="auto"/>
        <w:rPr>
          <w:rFonts w:cs="Arial"/>
          <w:color w:val="002060"/>
          <w:szCs w:val="24"/>
        </w:rPr>
      </w:pPr>
      <w:r>
        <w:rPr>
          <w:noProof/>
          <w:lang w:eastAsia="en-GB"/>
        </w:rPr>
        <mc:AlternateContent>
          <mc:Choice Requires="wps">
            <w:drawing>
              <wp:anchor distT="0" distB="0" distL="114300" distR="114300" simplePos="0" relativeHeight="251710976" behindDoc="0" locked="0" layoutInCell="1" allowOverlap="1" wp14:anchorId="059DDBFD" wp14:editId="5F4857E1">
                <wp:simplePos x="0" y="0"/>
                <wp:positionH relativeFrom="column">
                  <wp:posOffset>1955166</wp:posOffset>
                </wp:positionH>
                <wp:positionV relativeFrom="paragraph">
                  <wp:posOffset>100330</wp:posOffset>
                </wp:positionV>
                <wp:extent cx="1157451" cy="429895"/>
                <wp:effectExtent l="38100" t="38100" r="81280" b="103505"/>
                <wp:wrapNone/>
                <wp:docPr id="1" name="Straight Arrow Connector 1" descr=" straight arrow connector" title=" straight arrow connector"/>
                <wp:cNvGraphicFramePr/>
                <a:graphic xmlns:a="http://schemas.openxmlformats.org/drawingml/2006/main">
                  <a:graphicData uri="http://schemas.microsoft.com/office/word/2010/wordprocessingShape">
                    <wps:wsp>
                      <wps:cNvCnPr/>
                      <wps:spPr>
                        <a:xfrm>
                          <a:off x="0" y="0"/>
                          <a:ext cx="1157451" cy="429895"/>
                        </a:xfrm>
                        <a:prstGeom prst="straightConnector1">
                          <a:avLst/>
                        </a:prstGeom>
                        <a:noFill/>
                        <a:ln w="25400" cap="flat" cmpd="sng" algn="ctr">
                          <a:solidFill>
                            <a:srgbClr val="00A9CE"/>
                          </a:solidFill>
                          <a:prstDash val="dash"/>
                          <a:headEnd type="triangle"/>
                          <a:tailEnd type="triangle"/>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 o:spid="_x0000_s1026" type="#_x0000_t32" alt="Title:  straight arrow connector - Description:  straight arrow connector" style="position:absolute;margin-left:153.95pt;margin-top:7.9pt;width:91.15pt;height:33.8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" strokecolor="#00a9ce" strokeweight="2pt">
                <v:stroke dashstyle="dash" startarrow="block" endarrow="block"/>
                <v:shadow on="t" color="black" opacity="24903f" origin=",.5" offset="0,.55556mm"/>
              </v:shape>
            </w:pict>
          </mc:Fallback>
        </mc:AlternateContent>
      </w:r>
    </w:p>
    <w:p w14:paraId="110F4EAC" w14:textId="20EF431B" w:rsidR="008F7BB3" w:rsidRPr="00E54C11" w:rsidRDefault="008F7BB3" w:rsidP="008F7BB3">
      <w:pPr>
        <w:spacing w:before="200" w:after="60" w:line="276" w:lineRule="auto"/>
        <w:rPr>
          <w:color w:val="002060"/>
        </w:rPr>
      </w:pPr>
    </w:p>
    <w:p w14:paraId="1349E4DE" w14:textId="77777777" w:rsidR="008F7BB3" w:rsidRPr="00E54C11" w:rsidRDefault="008F7BB3" w:rsidP="008F7BB3">
      <w:pPr>
        <w:spacing w:before="200" w:after="60" w:line="276" w:lineRule="auto"/>
        <w:rPr>
          <w:color w:val="002060"/>
        </w:rPr>
      </w:pPr>
    </w:p>
    <w:p w14:paraId="14DDDDF6" w14:textId="77777777" w:rsidR="008F7BB3" w:rsidRPr="00E54C11" w:rsidRDefault="008F7BB3" w:rsidP="008F7BB3">
      <w:pPr>
        <w:spacing w:before="200" w:after="60" w:line="276" w:lineRule="auto"/>
        <w:rPr>
          <w:color w:val="002060"/>
        </w:rPr>
      </w:pPr>
    </w:p>
    <w:p w14:paraId="1E98DA85" w14:textId="77777777" w:rsidR="008F7BB3" w:rsidRPr="00E54C11" w:rsidRDefault="008F7BB3" w:rsidP="008F7BB3">
      <w:pPr>
        <w:spacing w:before="200" w:after="60" w:line="276" w:lineRule="auto"/>
        <w:rPr>
          <w:color w:val="002060"/>
        </w:rPr>
      </w:pPr>
    </w:p>
    <w:p w14:paraId="6903E3F9" w14:textId="77777777" w:rsidR="008F7BB3" w:rsidRPr="00E54C11" w:rsidRDefault="008F7BB3" w:rsidP="008F7BB3">
      <w:pPr>
        <w:spacing w:before="200" w:after="60" w:line="276" w:lineRule="auto"/>
        <w:rPr>
          <w:color w:val="002060"/>
        </w:rPr>
      </w:pPr>
    </w:p>
    <w:p w14:paraId="554DC87C" w14:textId="77777777" w:rsidR="008F7BB3" w:rsidRPr="00E54C11" w:rsidRDefault="008F7BB3" w:rsidP="008F7BB3">
      <w:pPr>
        <w:spacing w:before="200" w:after="60" w:line="276" w:lineRule="auto"/>
        <w:rPr>
          <w:b/>
          <w:color w:val="002060"/>
        </w:rPr>
      </w:pPr>
    </w:p>
    <w:p w14:paraId="24110EA5" w14:textId="77777777" w:rsidR="008F7BB3" w:rsidRPr="00E54C11" w:rsidRDefault="008F7BB3" w:rsidP="008F7BB3">
      <w:pPr>
        <w:spacing w:before="200" w:after="60" w:line="276" w:lineRule="auto"/>
        <w:rPr>
          <w:b/>
        </w:rPr>
      </w:pPr>
      <w:r w:rsidRPr="00E54C11">
        <w:rPr>
          <w:b/>
        </w:rPr>
        <w:lastRenderedPageBreak/>
        <w:t>Green arrows represent data transfer flows</w:t>
      </w:r>
    </w:p>
    <w:p w14:paraId="3D6BA25D" w14:textId="77777777" w:rsidR="008F7BB3" w:rsidRPr="00474846" w:rsidRDefault="008F7BB3" w:rsidP="008F7BB3">
      <w:pPr>
        <w:pStyle w:val="Heading4"/>
      </w:pPr>
      <w:r w:rsidRPr="00E54C11">
        <w:rPr>
          <w:b/>
        </w:rPr>
        <w:t>Thi</w:t>
      </w:r>
      <w:r w:rsidRPr="00474846">
        <w:rPr>
          <w:b/>
        </w:rPr>
        <w:t>s</w:t>
      </w:r>
      <w:r w:rsidRPr="00E54C11">
        <w:rPr>
          <w:b/>
        </w:rPr>
        <w:t xml:space="preserve"> pa</w:t>
      </w:r>
      <w:r w:rsidRPr="00474846">
        <w:rPr>
          <w:b/>
        </w:rPr>
        <w:t>t</w:t>
      </w:r>
      <w:r w:rsidRPr="00E54C11">
        <w:rPr>
          <w:b/>
        </w:rPr>
        <w:t>hwa</w:t>
      </w:r>
      <w:r w:rsidRPr="00474846">
        <w:rPr>
          <w:b/>
        </w:rPr>
        <w:t>y</w:t>
      </w:r>
      <w:r w:rsidRPr="00E54C11">
        <w:rPr>
          <w:b/>
        </w:rPr>
        <w:t xml:space="preserve"> doe</w:t>
      </w:r>
      <w:r w:rsidRPr="00474846">
        <w:rPr>
          <w:b/>
        </w:rPr>
        <w:t>s</w:t>
      </w:r>
      <w:r w:rsidRPr="00E54C11">
        <w:rPr>
          <w:b/>
        </w:rPr>
        <w:t xml:space="preserve"> no</w:t>
      </w:r>
      <w:r w:rsidRPr="00474846">
        <w:rPr>
          <w:b/>
        </w:rPr>
        <w:t>t</w:t>
      </w:r>
      <w:r w:rsidRPr="00E54C11">
        <w:rPr>
          <w:b/>
        </w:rPr>
        <w:t xml:space="preserve"> prejudic</w:t>
      </w:r>
      <w:r w:rsidRPr="00474846">
        <w:rPr>
          <w:b/>
        </w:rPr>
        <w:t>e</w:t>
      </w:r>
      <w:r w:rsidRPr="00E54C11">
        <w:rPr>
          <w:b/>
        </w:rPr>
        <w:t xml:space="preserve"> </w:t>
      </w:r>
      <w:r w:rsidRPr="00474846">
        <w:rPr>
          <w:b/>
        </w:rPr>
        <w:t>t</w:t>
      </w:r>
      <w:r w:rsidRPr="00E54C11">
        <w:rPr>
          <w:b/>
        </w:rPr>
        <w:t>h</w:t>
      </w:r>
      <w:r w:rsidRPr="00474846">
        <w:rPr>
          <w:b/>
        </w:rPr>
        <w:t>e</w:t>
      </w:r>
      <w:r w:rsidRPr="00E54C11">
        <w:rPr>
          <w:b/>
        </w:rPr>
        <w:t xml:space="preserve"> pa</w:t>
      </w:r>
      <w:r w:rsidRPr="00474846">
        <w:rPr>
          <w:b/>
        </w:rPr>
        <w:t>t</w:t>
      </w:r>
      <w:r w:rsidRPr="00E54C11">
        <w:rPr>
          <w:b/>
        </w:rPr>
        <w:t>ient’</w:t>
      </w:r>
      <w:r w:rsidRPr="00474846">
        <w:rPr>
          <w:b/>
        </w:rPr>
        <w:t>s</w:t>
      </w:r>
      <w:r w:rsidRPr="00E54C11">
        <w:rPr>
          <w:b/>
        </w:rPr>
        <w:t xml:space="preserve"> ha</w:t>
      </w:r>
      <w:r w:rsidRPr="00474846">
        <w:rPr>
          <w:b/>
        </w:rPr>
        <w:t>s</w:t>
      </w:r>
      <w:r w:rsidRPr="00E54C11">
        <w:rPr>
          <w:b/>
        </w:rPr>
        <w:t xml:space="preserve"> </w:t>
      </w:r>
      <w:r w:rsidRPr="00474846">
        <w:rPr>
          <w:b/>
        </w:rPr>
        <w:t>a</w:t>
      </w:r>
      <w:r w:rsidRPr="00E54C11">
        <w:rPr>
          <w:b/>
        </w:rPr>
        <w:t xml:space="preserve"> righ</w:t>
      </w:r>
      <w:r w:rsidRPr="00474846">
        <w:rPr>
          <w:b/>
        </w:rPr>
        <w:t>t</w:t>
      </w:r>
      <w:r w:rsidRPr="00E54C11">
        <w:rPr>
          <w:b/>
        </w:rPr>
        <w:t xml:space="preserve"> o</w:t>
      </w:r>
      <w:r w:rsidRPr="00474846">
        <w:rPr>
          <w:b/>
        </w:rPr>
        <w:t>f</w:t>
      </w:r>
      <w:r w:rsidRPr="00E54C11">
        <w:rPr>
          <w:b/>
        </w:rPr>
        <w:t xml:space="preserve"> appea</w:t>
      </w:r>
      <w:r w:rsidRPr="00474846">
        <w:rPr>
          <w:b/>
        </w:rPr>
        <w:t>l</w:t>
      </w:r>
      <w:r w:rsidRPr="00E54C11">
        <w:rPr>
          <w:b/>
        </w:rPr>
        <w:t xml:space="preserve"> </w:t>
      </w:r>
      <w:r w:rsidRPr="00474846">
        <w:rPr>
          <w:b/>
        </w:rPr>
        <w:t>(</w:t>
      </w:r>
      <w:r w:rsidRPr="00E54C11">
        <w:rPr>
          <w:b/>
        </w:rPr>
        <w:t>se</w:t>
      </w:r>
      <w:r w:rsidRPr="00474846">
        <w:rPr>
          <w:b/>
        </w:rPr>
        <w:t xml:space="preserve">e </w:t>
      </w:r>
      <w:r w:rsidRPr="00E54C11">
        <w:rPr>
          <w:b/>
        </w:rPr>
        <w:t>sec</w:t>
      </w:r>
      <w:r w:rsidRPr="00474846">
        <w:rPr>
          <w:b/>
        </w:rPr>
        <w:t>t</w:t>
      </w:r>
      <w:r w:rsidRPr="00E54C11">
        <w:rPr>
          <w:b/>
        </w:rPr>
        <w:t>io</w:t>
      </w:r>
      <w:r w:rsidRPr="00474846">
        <w:rPr>
          <w:b/>
        </w:rPr>
        <w:t>n</w:t>
      </w:r>
      <w:r w:rsidRPr="00E54C11">
        <w:rPr>
          <w:b/>
        </w:rPr>
        <w:t xml:space="preserve"> </w:t>
      </w:r>
      <w:r w:rsidRPr="00474846">
        <w:rPr>
          <w:b/>
        </w:rPr>
        <w:t>4</w:t>
      </w:r>
      <w:r w:rsidRPr="00E54C11">
        <w:rPr>
          <w:b/>
        </w:rPr>
        <w:t xml:space="preserve"> </w:t>
      </w:r>
      <w:r w:rsidRPr="00474846">
        <w:rPr>
          <w:b/>
        </w:rPr>
        <w:t>–</w:t>
      </w:r>
      <w:r w:rsidRPr="00E54C11">
        <w:rPr>
          <w:b/>
        </w:rPr>
        <w:t xml:space="preserve"> par</w:t>
      </w:r>
      <w:r w:rsidRPr="00474846">
        <w:rPr>
          <w:b/>
        </w:rPr>
        <w:t>a</w:t>
      </w:r>
      <w:r w:rsidRPr="00E54C11">
        <w:rPr>
          <w:b/>
        </w:rPr>
        <w:t xml:space="preserve"> 4.9)</w:t>
      </w:r>
      <w:r w:rsidRPr="00474846">
        <w:t>.</w:t>
      </w:r>
      <w:r w:rsidRPr="00E54C11">
        <w:t xml:space="preserve"> </w:t>
      </w:r>
      <w:r w:rsidRPr="00E77F77">
        <w:t xml:space="preserve"> </w:t>
      </w:r>
      <w:r w:rsidRPr="00474846">
        <w:t>E</w:t>
      </w:r>
      <w:r w:rsidRPr="00E54C11">
        <w:t>ac</w:t>
      </w:r>
      <w:r w:rsidRPr="00474846">
        <w:t>h</w:t>
      </w:r>
      <w:r w:rsidRPr="00E54C11">
        <w:t xml:space="preserve"> Commissione</w:t>
      </w:r>
      <w:r w:rsidRPr="00474846">
        <w:t>r</w:t>
      </w:r>
      <w:r w:rsidRPr="00E54C11">
        <w:t>’</w:t>
      </w:r>
      <w:r w:rsidRPr="00474846">
        <w:t>s</w:t>
      </w:r>
      <w:r w:rsidRPr="00E54C11">
        <w:t xml:space="preserve"> </w:t>
      </w:r>
      <w:r w:rsidRPr="00474846">
        <w:t>S</w:t>
      </w:r>
      <w:r w:rsidRPr="00E54C11">
        <w:t>A</w:t>
      </w:r>
      <w:r w:rsidRPr="00474846">
        <w:t>S</w:t>
      </w:r>
      <w:r w:rsidRPr="00E54C11">
        <w:t xml:space="preserve"> </w:t>
      </w:r>
      <w:r w:rsidRPr="00474846">
        <w:t>P</w:t>
      </w:r>
      <w:r w:rsidRPr="00E54C11">
        <w:t>ane</w:t>
      </w:r>
      <w:r w:rsidRPr="00474846">
        <w:t>l</w:t>
      </w:r>
      <w:r w:rsidRPr="00E54C11">
        <w:t xml:space="preserve"> shoul</w:t>
      </w:r>
      <w:r w:rsidRPr="00474846">
        <w:t>d</w:t>
      </w:r>
      <w:r w:rsidRPr="00E54C11">
        <w:t xml:space="preserve"> conside</w:t>
      </w:r>
      <w:r w:rsidRPr="00474846">
        <w:t>r</w:t>
      </w:r>
      <w:r w:rsidRPr="00E54C11">
        <w:t xml:space="preserve"> an</w:t>
      </w:r>
      <w:r w:rsidRPr="00474846">
        <w:t xml:space="preserve">y </w:t>
      </w:r>
      <w:r w:rsidRPr="00E54C11">
        <w:t>patien</w:t>
      </w:r>
      <w:r w:rsidRPr="00474846">
        <w:t>t</w:t>
      </w:r>
      <w:r w:rsidRPr="00E54C11">
        <w:t xml:space="preserve"> appeal</w:t>
      </w:r>
      <w:r w:rsidRPr="00474846">
        <w:t>.</w:t>
      </w:r>
      <w:r w:rsidRPr="00E77F77">
        <w:t xml:space="preserve"> </w:t>
      </w:r>
      <w:r w:rsidRPr="00E54C11">
        <w:t xml:space="preserve"> Th</w:t>
      </w:r>
      <w:r w:rsidRPr="00474846">
        <w:t>e</w:t>
      </w:r>
      <w:r w:rsidRPr="00E54C11">
        <w:t xml:space="preserve"> panel’</w:t>
      </w:r>
      <w:r w:rsidRPr="00474846">
        <w:t>s</w:t>
      </w:r>
      <w:r w:rsidRPr="00E54C11">
        <w:t xml:space="preserve"> decisio</w:t>
      </w:r>
      <w:r w:rsidRPr="00474846">
        <w:t>n</w:t>
      </w:r>
      <w:r w:rsidRPr="00E54C11">
        <w:t xml:space="preserve"> wit</w:t>
      </w:r>
      <w:r w:rsidRPr="00474846">
        <w:t>h</w:t>
      </w:r>
      <w:r w:rsidRPr="00E54C11">
        <w:t xml:space="preserve"> </w:t>
      </w:r>
      <w:r w:rsidRPr="00474846">
        <w:t>r</w:t>
      </w:r>
      <w:r w:rsidRPr="00E54C11">
        <w:t>ega</w:t>
      </w:r>
      <w:r w:rsidRPr="00474846">
        <w:t>rd</w:t>
      </w:r>
      <w:r w:rsidRPr="00E54C11">
        <w:t xml:space="preserve"> t</w:t>
      </w:r>
      <w:r w:rsidRPr="00474846">
        <w:t>o</w:t>
      </w:r>
      <w:r w:rsidRPr="00E54C11">
        <w:t xml:space="preserve"> th</w:t>
      </w:r>
      <w:r w:rsidRPr="00474846">
        <w:t>e</w:t>
      </w:r>
      <w:r w:rsidRPr="00E54C11">
        <w:t xml:space="preserve"> </w:t>
      </w:r>
      <w:r w:rsidRPr="00474846">
        <w:t>r</w:t>
      </w:r>
      <w:r w:rsidRPr="00E54C11">
        <w:t>emova</w:t>
      </w:r>
      <w:r w:rsidRPr="00474846">
        <w:t>l</w:t>
      </w:r>
      <w:r w:rsidRPr="00E54C11">
        <w:t xml:space="preserve"> an</w:t>
      </w:r>
      <w:r w:rsidRPr="00474846">
        <w:t>d</w:t>
      </w:r>
      <w:r w:rsidRPr="00E54C11">
        <w:t xml:space="preserve"> </w:t>
      </w:r>
      <w:r w:rsidRPr="00474846">
        <w:t>S</w:t>
      </w:r>
      <w:r w:rsidRPr="00E54C11">
        <w:t>A</w:t>
      </w:r>
      <w:r w:rsidRPr="00474846">
        <w:t xml:space="preserve">S </w:t>
      </w:r>
      <w:r w:rsidRPr="00E54C11">
        <w:t>allocatio</w:t>
      </w:r>
      <w:r w:rsidRPr="00474846">
        <w:t>n</w:t>
      </w:r>
      <w:r w:rsidRPr="00E54C11">
        <w:t xml:space="preserve"> doe</w:t>
      </w:r>
      <w:r w:rsidRPr="00474846">
        <w:t>s</w:t>
      </w:r>
      <w:r w:rsidRPr="00E54C11">
        <w:t xml:space="preserve"> no</w:t>
      </w:r>
      <w:r w:rsidRPr="00474846">
        <w:t>t</w:t>
      </w:r>
      <w:r w:rsidRPr="00E54C11">
        <w:t xml:space="preserve"> affec</w:t>
      </w:r>
      <w:r w:rsidRPr="00474846">
        <w:t>t</w:t>
      </w:r>
      <w:r w:rsidRPr="00E54C11">
        <w:t xml:space="preserve"> th</w:t>
      </w:r>
      <w:r w:rsidRPr="00474846">
        <w:t>e</w:t>
      </w:r>
      <w:r w:rsidRPr="00E54C11">
        <w:t xml:space="preserve"> patient’</w:t>
      </w:r>
      <w:r w:rsidRPr="00474846">
        <w:t>s</w:t>
      </w:r>
      <w:r w:rsidRPr="00E54C11">
        <w:t xml:space="preserve"> </w:t>
      </w:r>
      <w:r w:rsidRPr="00474846">
        <w:t>r</w:t>
      </w:r>
      <w:r w:rsidRPr="00E54C11">
        <w:t>igh</w:t>
      </w:r>
      <w:r w:rsidRPr="00474846">
        <w:t>t</w:t>
      </w:r>
      <w:r w:rsidRPr="00E54C11">
        <w:t xml:space="preserve"> t</w:t>
      </w:r>
      <w:r w:rsidRPr="00474846">
        <w:t>o</w:t>
      </w:r>
      <w:r w:rsidRPr="00E54C11">
        <w:t xml:space="preserve"> escalat</w:t>
      </w:r>
      <w:r w:rsidRPr="00474846">
        <w:t xml:space="preserve">e </w:t>
      </w:r>
      <w:r w:rsidRPr="00E54C11">
        <w:t>th</w:t>
      </w:r>
      <w:r w:rsidRPr="00474846">
        <w:t>e</w:t>
      </w:r>
      <w:r w:rsidRPr="00E54C11">
        <w:t xml:space="preserve"> matte</w:t>
      </w:r>
      <w:r w:rsidRPr="00474846">
        <w:t>r</w:t>
      </w:r>
      <w:r w:rsidRPr="00E54C11">
        <w:t xml:space="preserve"> t</w:t>
      </w:r>
      <w:r w:rsidRPr="00474846">
        <w:t>o</w:t>
      </w:r>
      <w:r w:rsidRPr="00E54C11">
        <w:t xml:space="preserve"> NH</w:t>
      </w:r>
      <w:r w:rsidRPr="00474846">
        <w:t>S E</w:t>
      </w:r>
      <w:r w:rsidRPr="00E54C11">
        <w:t>nglan</w:t>
      </w:r>
      <w:r w:rsidRPr="00474846">
        <w:t>d</w:t>
      </w:r>
      <w:r w:rsidRPr="00E54C11">
        <w:t xml:space="preserve"> vi</w:t>
      </w:r>
      <w:r w:rsidRPr="00474846">
        <w:t>a</w:t>
      </w:r>
      <w:r w:rsidRPr="00E54C11">
        <w:t xml:space="preserve"> th</w:t>
      </w:r>
      <w:r w:rsidRPr="00474846">
        <w:t>e</w:t>
      </w:r>
      <w:r w:rsidRPr="00E54C11">
        <w:t xml:space="preserve"> custome</w:t>
      </w:r>
      <w:r w:rsidRPr="00474846">
        <w:t>r</w:t>
      </w:r>
      <w:r w:rsidRPr="00E54C11">
        <w:t xml:space="preserve"> contac</w:t>
      </w:r>
      <w:r w:rsidRPr="00474846">
        <w:t>t</w:t>
      </w:r>
      <w:r w:rsidRPr="00E54C11">
        <w:t xml:space="preserve"> cent</w:t>
      </w:r>
      <w:r w:rsidRPr="00474846">
        <w:t>re</w:t>
      </w:r>
      <w:r w:rsidRPr="00E54C11">
        <w:t xml:space="preserve"> </w:t>
      </w:r>
      <w:r w:rsidRPr="00E77F77">
        <w:t>(</w:t>
      </w:r>
      <w:hyperlink r:id="rId79" w:history="1">
        <w:r w:rsidRPr="00E77F77">
          <w:rPr>
            <w:rStyle w:val="Hyperlink"/>
          </w:rPr>
          <w:t>https://www.england.nhs.uk/contact-us/complaint/</w:t>
        </w:r>
      </w:hyperlink>
      <w:r w:rsidRPr="00474846">
        <w:t>).</w:t>
      </w:r>
    </w:p>
    <w:p w14:paraId="65409C21" w14:textId="77777777" w:rsidR="008F7BB3" w:rsidRPr="00E54C11" w:rsidRDefault="008F7BB3" w:rsidP="008F7BB3">
      <w:pPr>
        <w:spacing w:before="200" w:after="60" w:line="276" w:lineRule="auto"/>
        <w:ind w:left="720"/>
        <w:rPr>
          <w:color w:val="002060"/>
        </w:rPr>
      </w:pPr>
    </w:p>
    <w:p w14:paraId="7AB28FBA" w14:textId="77777777" w:rsidR="008F7BB3" w:rsidRPr="00E54C11" w:rsidRDefault="008F7BB3" w:rsidP="008F7BB3">
      <w:pPr>
        <w:spacing w:before="200" w:after="60" w:line="276" w:lineRule="auto"/>
        <w:ind w:left="720"/>
        <w:rPr>
          <w:b/>
        </w:rPr>
      </w:pPr>
      <w:r w:rsidRPr="00E54C11">
        <w:rPr>
          <w:b/>
        </w:rPr>
        <w:t xml:space="preserve">N.B. If a patient appeal is upheld, the Commissioner </w:t>
      </w:r>
      <w:r w:rsidRPr="00E54C11">
        <w:rPr>
          <w:b/>
          <w:u w:val="single"/>
        </w:rPr>
        <w:t>MUST</w:t>
      </w:r>
      <w:r w:rsidRPr="00E54C11">
        <w:rPr>
          <w:b/>
        </w:rPr>
        <w:t xml:space="preserve"> notify PCSE via </w:t>
      </w:r>
      <w:hyperlink r:id="rId80" w:history="1">
        <w:r w:rsidRPr="00537175">
          <w:rPr>
            <w:rStyle w:val="Hyperlink"/>
            <w:b/>
          </w:rPr>
          <w:t>pcse.immediateremovals@nhs.net</w:t>
        </w:r>
      </w:hyperlink>
      <w:r w:rsidRPr="00E77F77">
        <w:rPr>
          <w:b/>
        </w:rPr>
        <w:t xml:space="preserve"> </w:t>
      </w:r>
    </w:p>
    <w:p w14:paraId="2F40C86F" w14:textId="77777777" w:rsidR="008F7BB3" w:rsidRPr="00E77F77" w:rsidRDefault="008F7BB3" w:rsidP="008F7BB3">
      <w:pPr>
        <w:pStyle w:val="Heading4"/>
      </w:pPr>
      <w:r w:rsidRPr="00E54C11">
        <w:t>Th</w:t>
      </w:r>
      <w:r w:rsidRPr="00E77F77">
        <w:t>e</w:t>
      </w:r>
      <w:r w:rsidRPr="00E54C11">
        <w:t xml:space="preserve"> Commissione</w:t>
      </w:r>
      <w:r w:rsidRPr="00E77F77">
        <w:t>r</w:t>
      </w:r>
      <w:r w:rsidRPr="00E54C11">
        <w:t xml:space="preserve"> shoul</w:t>
      </w:r>
      <w:r w:rsidRPr="00E77F77">
        <w:t>d</w:t>
      </w:r>
      <w:r w:rsidRPr="00E54C11">
        <w:t xml:space="preserve"> not</w:t>
      </w:r>
      <w:r w:rsidRPr="00E77F77">
        <w:t>e</w:t>
      </w:r>
      <w:r w:rsidRPr="00E54C11">
        <w:t xml:space="preserve"> tha</w:t>
      </w:r>
      <w:r w:rsidRPr="00E77F77">
        <w:t>t</w:t>
      </w:r>
      <w:r w:rsidRPr="00E54C11">
        <w:t xml:space="preserve"> whe</w:t>
      </w:r>
      <w:r w:rsidRPr="00E77F77">
        <w:t>n</w:t>
      </w:r>
      <w:r w:rsidRPr="00E54C11">
        <w:t xml:space="preserve"> </w:t>
      </w:r>
      <w:r w:rsidRPr="00E77F77">
        <w:t>a</w:t>
      </w:r>
      <w:r w:rsidRPr="00E54C11">
        <w:t xml:space="preserve"> matte</w:t>
      </w:r>
      <w:r w:rsidRPr="00E77F77">
        <w:t>r</w:t>
      </w:r>
      <w:r w:rsidRPr="00E54C11">
        <w:t xml:space="preserve"> i</w:t>
      </w:r>
      <w:r w:rsidRPr="00E77F77">
        <w:t>s</w:t>
      </w:r>
      <w:r w:rsidRPr="00E54C11">
        <w:t xml:space="preserve"> </w:t>
      </w:r>
      <w:r w:rsidRPr="00E77F77">
        <w:t>r</w:t>
      </w:r>
      <w:r w:rsidRPr="00E54C11">
        <w:t>efe</w:t>
      </w:r>
      <w:r w:rsidRPr="00E77F77">
        <w:t>rr</w:t>
      </w:r>
      <w:r w:rsidRPr="00E54C11">
        <w:t>e</w:t>
      </w:r>
      <w:r w:rsidRPr="00E77F77">
        <w:t>d</w:t>
      </w:r>
      <w:r w:rsidRPr="00E54C11">
        <w:t xml:space="preserve"> t</w:t>
      </w:r>
      <w:r w:rsidRPr="00E77F77">
        <w:t>o</w:t>
      </w:r>
      <w:r w:rsidRPr="00E54C11">
        <w:t xml:space="preserve"> NH</w:t>
      </w:r>
      <w:r w:rsidRPr="00E77F77">
        <w:t>S</w:t>
      </w:r>
      <w:r w:rsidRPr="00E54C11">
        <w:t xml:space="preserve"> </w:t>
      </w:r>
      <w:r w:rsidRPr="00E77F77">
        <w:t>E</w:t>
      </w:r>
      <w:r w:rsidRPr="00E54C11">
        <w:t>nglan</w:t>
      </w:r>
      <w:r w:rsidRPr="00E77F77">
        <w:t xml:space="preserve">d </w:t>
      </w:r>
      <w:r w:rsidRPr="00E54C11">
        <w:t>fo</w:t>
      </w:r>
      <w:r w:rsidRPr="00E77F77">
        <w:t>r</w:t>
      </w:r>
      <w:r w:rsidRPr="00E54C11">
        <w:t xml:space="preserve"> conside</w:t>
      </w:r>
      <w:r w:rsidRPr="00E77F77">
        <w:t>r</w:t>
      </w:r>
      <w:r w:rsidRPr="00E54C11">
        <w:t>ation</w:t>
      </w:r>
      <w:r w:rsidRPr="00E77F77">
        <w:t>,</w:t>
      </w:r>
      <w:r w:rsidRPr="00E54C11">
        <w:t xml:space="preserve"> NH</w:t>
      </w:r>
      <w:r w:rsidRPr="00E77F77">
        <w:t>S</w:t>
      </w:r>
      <w:r w:rsidRPr="00E54C11">
        <w:t xml:space="preserve"> </w:t>
      </w:r>
      <w:r w:rsidRPr="00E77F77">
        <w:t>E</w:t>
      </w:r>
      <w:r w:rsidRPr="00E54C11">
        <w:t>nglan</w:t>
      </w:r>
      <w:r w:rsidRPr="00E77F77">
        <w:t>d</w:t>
      </w:r>
      <w:r w:rsidRPr="00E54C11">
        <w:t xml:space="preserve"> wil</w:t>
      </w:r>
      <w:r w:rsidRPr="00E77F77">
        <w:t>l</w:t>
      </w:r>
      <w:r w:rsidRPr="00E54C11">
        <w:t xml:space="preserve"> </w:t>
      </w:r>
      <w:r w:rsidRPr="00E77F77">
        <w:t>r</w:t>
      </w:r>
      <w:r w:rsidRPr="00E54C11">
        <w:t>equi</w:t>
      </w:r>
      <w:r w:rsidRPr="00E77F77">
        <w:t>re</w:t>
      </w:r>
      <w:r w:rsidRPr="00E54C11">
        <w:t xml:space="preserve"> info</w:t>
      </w:r>
      <w:r w:rsidRPr="00E77F77">
        <w:t>r</w:t>
      </w:r>
      <w:r w:rsidRPr="00E54C11">
        <w:t>matio</w:t>
      </w:r>
      <w:r w:rsidRPr="00E77F77">
        <w:t>n</w:t>
      </w:r>
      <w:r w:rsidRPr="00E54C11">
        <w:t xml:space="preserve"> </w:t>
      </w:r>
      <w:r w:rsidRPr="00E77F77">
        <w:t>r</w:t>
      </w:r>
      <w:r w:rsidRPr="00E54C11">
        <w:t>ega</w:t>
      </w:r>
      <w:r w:rsidRPr="00E77F77">
        <w:t>r</w:t>
      </w:r>
      <w:r w:rsidRPr="00E54C11">
        <w:t>din</w:t>
      </w:r>
      <w:r w:rsidRPr="00E77F77">
        <w:t>g</w:t>
      </w:r>
      <w:r w:rsidRPr="00E54C11">
        <w:t xml:space="preserve"> th</w:t>
      </w:r>
      <w:r w:rsidRPr="00E77F77">
        <w:t>e</w:t>
      </w:r>
      <w:r w:rsidRPr="00E54C11">
        <w:t xml:space="preserve"> p</w:t>
      </w:r>
      <w:r w:rsidRPr="00E77F77">
        <w:t>r</w:t>
      </w:r>
      <w:r w:rsidRPr="00E54C11">
        <w:t>oces</w:t>
      </w:r>
      <w:r w:rsidRPr="00E77F77">
        <w:t xml:space="preserve">s </w:t>
      </w:r>
      <w:r w:rsidRPr="00E54C11">
        <w:t>followe</w:t>
      </w:r>
      <w:r w:rsidRPr="00E77F77">
        <w:t>d</w:t>
      </w:r>
      <w:r w:rsidRPr="00E54C11">
        <w:t xml:space="preserve"> i</w:t>
      </w:r>
      <w:r w:rsidRPr="00E77F77">
        <w:t>n</w:t>
      </w:r>
      <w:r w:rsidRPr="00E54C11">
        <w:t xml:space="preserve"> th</w:t>
      </w:r>
      <w:r w:rsidRPr="00E77F77">
        <w:t>e</w:t>
      </w:r>
      <w:r w:rsidRPr="00E54C11">
        <w:t xml:space="preserve"> patient’</w:t>
      </w:r>
      <w:r w:rsidRPr="00E77F77">
        <w:t>s</w:t>
      </w:r>
      <w:r w:rsidRPr="00E54C11">
        <w:t xml:space="preserve"> appea</w:t>
      </w:r>
      <w:r w:rsidRPr="00E77F77">
        <w:t>l</w:t>
      </w:r>
      <w:r w:rsidRPr="00E54C11">
        <w:t xml:space="preserve"> an</w:t>
      </w:r>
      <w:r w:rsidRPr="00E77F77">
        <w:t>d</w:t>
      </w:r>
      <w:r w:rsidRPr="00E54C11">
        <w:t xml:space="preserve"> th</w:t>
      </w:r>
      <w:r w:rsidRPr="00E77F77">
        <w:t>e</w:t>
      </w:r>
      <w:r w:rsidRPr="00E54C11">
        <w:t xml:space="preserve"> </w:t>
      </w:r>
      <w:r w:rsidRPr="00E77F77">
        <w:t>r</w:t>
      </w:r>
      <w:r w:rsidRPr="00E54C11">
        <w:t>eason</w:t>
      </w:r>
      <w:r w:rsidRPr="00E77F77">
        <w:t>s</w:t>
      </w:r>
      <w:r w:rsidRPr="00E54C11">
        <w:t xml:space="preserve"> fo</w:t>
      </w:r>
      <w:r w:rsidRPr="00E77F77">
        <w:t>r</w:t>
      </w:r>
      <w:r w:rsidRPr="00E54C11">
        <w:t xml:space="preserve"> th</w:t>
      </w:r>
      <w:r w:rsidRPr="00E77F77">
        <w:t>e</w:t>
      </w:r>
      <w:r w:rsidRPr="00E54C11">
        <w:t xml:space="preserve"> dete</w:t>
      </w:r>
      <w:r w:rsidRPr="00E77F77">
        <w:t>r</w:t>
      </w:r>
      <w:r w:rsidRPr="00E54C11">
        <w:t>minatio</w:t>
      </w:r>
      <w:r w:rsidRPr="00E77F77">
        <w:t>n</w:t>
      </w:r>
      <w:r w:rsidRPr="00E54C11">
        <w:t xml:space="preserve"> o</w:t>
      </w:r>
      <w:r w:rsidRPr="00E77F77">
        <w:t>f</w:t>
      </w:r>
      <w:r w:rsidRPr="00E54C11">
        <w:t xml:space="preserve"> th</w:t>
      </w:r>
      <w:r w:rsidRPr="00E77F77">
        <w:t xml:space="preserve">e </w:t>
      </w:r>
      <w:r w:rsidRPr="00E54C11">
        <w:t>panel</w:t>
      </w:r>
      <w:r w:rsidRPr="00E77F77">
        <w:t>.</w:t>
      </w:r>
    </w:p>
    <w:p w14:paraId="63561986" w14:textId="77777777" w:rsidR="008F7BB3" w:rsidRDefault="008F7BB3" w:rsidP="008F7BB3">
      <w:pPr>
        <w:spacing w:before="200" w:after="60" w:line="276" w:lineRule="auto"/>
        <w:rPr>
          <w:rFonts w:cs="Arial"/>
          <w:color w:val="002060"/>
        </w:rPr>
      </w:pPr>
      <w:r w:rsidRPr="006146DE">
        <w:rPr>
          <w:rFonts w:cs="Arial"/>
          <w:color w:val="002060"/>
          <w:szCs w:val="24"/>
        </w:rPr>
        <w:br w:type="textWrapping" w:clear="all"/>
      </w:r>
    </w:p>
    <w:p w14:paraId="791E034A" w14:textId="77777777" w:rsidR="008F7BB3" w:rsidRPr="00E54C11" w:rsidRDefault="008F7BB3" w:rsidP="008F7BB3">
      <w:pPr>
        <w:pStyle w:val="Heading3"/>
        <w:rPr>
          <w:b/>
        </w:rPr>
      </w:pPr>
      <w:r w:rsidRPr="00E54C11">
        <w:rPr>
          <w:b/>
        </w:rPr>
        <w:t>Appendix Seven: Standardised Patient Communication from PCSE</w:t>
      </w:r>
    </w:p>
    <w:p w14:paraId="25AF82B4" w14:textId="44935C34" w:rsidR="00C86AB7" w:rsidRPr="002306F3" w:rsidRDefault="000E7846" w:rsidP="002306F3">
      <w:pPr>
        <w:pStyle w:val="ListParagraph"/>
        <w:numPr>
          <w:ilvl w:val="0"/>
          <w:numId w:val="152"/>
        </w:numPr>
      </w:pPr>
      <w:hyperlink r:id="rId81" w:history="1">
        <w:r w:rsidR="00C86AB7" w:rsidRPr="00877180">
          <w:rPr>
            <w:rStyle w:val="Hyperlink"/>
          </w:rPr>
          <w:t>S</w:t>
        </w:r>
        <w:r w:rsidR="00C86AB7">
          <w:rPr>
            <w:rStyle w:val="Hyperlink"/>
          </w:rPr>
          <w:t>tandardised Patient Communication from PCSE</w:t>
        </w:r>
      </w:hyperlink>
      <w:bookmarkStart w:id="539" w:name="_1567603828"/>
      <w:bookmarkEnd w:id="539"/>
    </w:p>
    <w:p w14:paraId="3F402476" w14:textId="77777777" w:rsidR="008F7BB3" w:rsidRDefault="008F7BB3" w:rsidP="008F7BB3">
      <w:pPr>
        <w:spacing w:before="200" w:after="60" w:line="276" w:lineRule="auto"/>
        <w:ind w:left="709"/>
      </w:pPr>
      <w:r w:rsidRPr="00E54C11">
        <w:t>NH</w:t>
      </w:r>
      <w:r w:rsidRPr="00E77F77">
        <w:t>S</w:t>
      </w:r>
      <w:r w:rsidRPr="00E54C11">
        <w:t xml:space="preserve"> </w:t>
      </w:r>
      <w:r w:rsidRPr="00E77F77">
        <w:t>E</w:t>
      </w:r>
      <w:r w:rsidRPr="00E54C11">
        <w:t>nglan</w:t>
      </w:r>
      <w:r w:rsidRPr="00E77F77">
        <w:t>d</w:t>
      </w:r>
      <w:r w:rsidRPr="00E54C11">
        <w:t xml:space="preserve"> i</w:t>
      </w:r>
      <w:r>
        <w:t>s</w:t>
      </w:r>
      <w:r w:rsidRPr="00E54C11">
        <w:t xml:space="preserve"> committe</w:t>
      </w:r>
      <w:r>
        <w:t>d</w:t>
      </w:r>
      <w:r w:rsidRPr="00E54C11">
        <w:t xml:space="preserve"> t</w:t>
      </w:r>
      <w:r>
        <w:t>o</w:t>
      </w:r>
      <w:r w:rsidRPr="00E54C11">
        <w:t xml:space="preserve"> wo</w:t>
      </w:r>
      <w:r>
        <w:t>r</w:t>
      </w:r>
      <w:r w:rsidRPr="00E54C11">
        <w:t>kin</w:t>
      </w:r>
      <w:r>
        <w:t>g</w:t>
      </w:r>
      <w:r w:rsidRPr="00E54C11">
        <w:t xml:space="preserve"> wit</w:t>
      </w:r>
      <w:r>
        <w:t>h</w:t>
      </w:r>
      <w:r w:rsidRPr="00E54C11">
        <w:t xml:space="preserve"> it</w:t>
      </w:r>
      <w:r>
        <w:t>s</w:t>
      </w:r>
      <w:r w:rsidRPr="00E54C11">
        <w:t xml:space="preserve"> pa</w:t>
      </w:r>
      <w:r>
        <w:t>r</w:t>
      </w:r>
      <w:r w:rsidRPr="00E54C11">
        <w:t>tne</w:t>
      </w:r>
      <w:r>
        <w:t>r</w:t>
      </w:r>
      <w:r w:rsidRPr="00E54C11">
        <w:t>s</w:t>
      </w:r>
      <w:r>
        <w:t>,</w:t>
      </w:r>
      <w:r w:rsidRPr="00E54C11">
        <w:t xml:space="preserve"> patient</w:t>
      </w:r>
      <w:r>
        <w:t>s</w:t>
      </w:r>
      <w:r w:rsidRPr="00E54C11">
        <w:t xml:space="preserve"> an</w:t>
      </w:r>
      <w:r>
        <w:t>d</w:t>
      </w:r>
      <w:r w:rsidRPr="00E54C11">
        <w:t xml:space="preserve"> patien</w:t>
      </w:r>
      <w:r>
        <w:t>t r</w:t>
      </w:r>
      <w:r w:rsidRPr="00E54C11">
        <w:t>ep</w:t>
      </w:r>
      <w:r>
        <w:t>r</w:t>
      </w:r>
      <w:r w:rsidRPr="00E54C11">
        <w:t>esentativ</w:t>
      </w:r>
      <w:r>
        <w:t>e</w:t>
      </w:r>
      <w:r w:rsidRPr="00E54C11">
        <w:t xml:space="preserve"> g</w:t>
      </w:r>
      <w:r>
        <w:t>r</w:t>
      </w:r>
      <w:r w:rsidRPr="00E54C11">
        <w:t>oup</w:t>
      </w:r>
      <w:r>
        <w:t>s</w:t>
      </w:r>
      <w:r w:rsidRPr="00E54C11">
        <w:t xml:space="preserve"> t</w:t>
      </w:r>
      <w:r>
        <w:t>o</w:t>
      </w:r>
      <w:r w:rsidRPr="00E54C11">
        <w:t xml:space="preserve"> </w:t>
      </w:r>
      <w:r>
        <w:t>r</w:t>
      </w:r>
      <w:r w:rsidRPr="00E54C11">
        <w:t>efin</w:t>
      </w:r>
      <w:r>
        <w:t>e</w:t>
      </w:r>
      <w:r w:rsidRPr="00E54C11">
        <w:t xml:space="preserve"> an</w:t>
      </w:r>
      <w:r>
        <w:t>d</w:t>
      </w:r>
      <w:r w:rsidRPr="00E54C11">
        <w:t xml:space="preserve"> imp</w:t>
      </w:r>
      <w:r>
        <w:t>r</w:t>
      </w:r>
      <w:r w:rsidRPr="00E54C11">
        <w:t>ov</w:t>
      </w:r>
      <w:r>
        <w:t>e</w:t>
      </w:r>
      <w:r w:rsidRPr="00E54C11">
        <w:t xml:space="preserve"> thi</w:t>
      </w:r>
      <w:r>
        <w:t xml:space="preserve">s </w:t>
      </w:r>
      <w:r w:rsidRPr="00E54C11">
        <w:t>standa</w:t>
      </w:r>
      <w:r>
        <w:t>r</w:t>
      </w:r>
      <w:r w:rsidRPr="00E54C11">
        <w:t>dise</w:t>
      </w:r>
      <w:r>
        <w:t xml:space="preserve">d </w:t>
      </w:r>
      <w:r w:rsidRPr="00E54C11">
        <w:t>lette</w:t>
      </w:r>
      <w:r>
        <w:t xml:space="preserve">r </w:t>
      </w:r>
      <w:r w:rsidRPr="00E54C11">
        <w:t>fu</w:t>
      </w:r>
      <w:r>
        <w:t>r</w:t>
      </w:r>
      <w:r w:rsidRPr="00E54C11">
        <w:t>the</w:t>
      </w:r>
      <w:r>
        <w:t xml:space="preserve">r </w:t>
      </w:r>
      <w:r w:rsidRPr="00E54C11">
        <w:t>ove</w:t>
      </w:r>
      <w:r>
        <w:t>r</w:t>
      </w:r>
      <w:r w:rsidRPr="00E54C11">
        <w:t xml:space="preserve"> th</w:t>
      </w:r>
      <w:r>
        <w:t>e</w:t>
      </w:r>
      <w:r w:rsidRPr="00E54C11">
        <w:t xml:space="preserve"> comin</w:t>
      </w:r>
      <w:r>
        <w:t>g</w:t>
      </w:r>
      <w:r w:rsidRPr="00E54C11">
        <w:t xml:space="preserve"> months</w:t>
      </w:r>
      <w:r>
        <w:t>.</w:t>
      </w:r>
      <w:r w:rsidRPr="00E54C11">
        <w:t xml:space="preserve"> </w:t>
      </w:r>
      <w:r>
        <w:t xml:space="preserve"> </w:t>
      </w:r>
      <w:r w:rsidRPr="00E54C11">
        <w:t>W</w:t>
      </w:r>
      <w:r>
        <w:t>e</w:t>
      </w:r>
      <w:r w:rsidRPr="00E54C11">
        <w:t xml:space="preserve"> a</w:t>
      </w:r>
      <w:r>
        <w:t>re</w:t>
      </w:r>
      <w:r w:rsidRPr="00E54C11">
        <w:t xml:space="preserve"> als</w:t>
      </w:r>
      <w:r>
        <w:t>o</w:t>
      </w:r>
      <w:r w:rsidRPr="00E54C11">
        <w:t xml:space="preserve"> committe</w:t>
      </w:r>
      <w:r>
        <w:t>d</w:t>
      </w:r>
      <w:r w:rsidRPr="00E54C11">
        <w:t xml:space="preserve"> t</w:t>
      </w:r>
      <w:r>
        <w:t>o</w:t>
      </w:r>
      <w:r w:rsidRPr="00E54C11">
        <w:t xml:space="preserve"> makin</w:t>
      </w:r>
      <w:r>
        <w:t>g</w:t>
      </w:r>
      <w:r w:rsidRPr="00E54C11">
        <w:t xml:space="preserve"> thi</w:t>
      </w:r>
      <w:r>
        <w:t xml:space="preserve">s </w:t>
      </w:r>
      <w:r w:rsidRPr="00E54C11">
        <w:t>communicatio</w:t>
      </w:r>
      <w:r>
        <w:t>n</w:t>
      </w:r>
      <w:r w:rsidRPr="00E54C11">
        <w:t xml:space="preserve"> availabl</w:t>
      </w:r>
      <w:r>
        <w:t>e</w:t>
      </w:r>
      <w:r w:rsidRPr="00E54C11">
        <w:t xml:space="preserve"> i</w:t>
      </w:r>
      <w:r>
        <w:t>n</w:t>
      </w:r>
      <w:r w:rsidRPr="00E54C11">
        <w:t xml:space="preserve"> alte</w:t>
      </w:r>
      <w:r>
        <w:t>r</w:t>
      </w:r>
      <w:r w:rsidRPr="00E54C11">
        <w:t>nativ</w:t>
      </w:r>
      <w:r>
        <w:t>e</w:t>
      </w:r>
      <w:r w:rsidRPr="00E54C11">
        <w:t xml:space="preserve"> languages</w:t>
      </w:r>
      <w:r>
        <w:t>.</w:t>
      </w:r>
    </w:p>
    <w:p w14:paraId="1AC39511" w14:textId="77777777" w:rsidR="008F7BB3" w:rsidRPr="0015247B" w:rsidRDefault="008F7BB3" w:rsidP="008F7BB3">
      <w:pPr>
        <w:rPr>
          <w:lang w:eastAsia="en-GB"/>
        </w:rPr>
      </w:pPr>
    </w:p>
    <w:p w14:paraId="5C3A6A9E" w14:textId="77777777" w:rsidR="008F7BB3" w:rsidRDefault="008F7BB3" w:rsidP="008F7BB3"/>
    <w:p w14:paraId="6FCB20EF" w14:textId="4C007C3A" w:rsidR="0015247B" w:rsidRPr="00420DAA" w:rsidRDefault="00B42132" w:rsidP="008F7BB3">
      <w:pPr>
        <w:pStyle w:val="Heading1"/>
      </w:pPr>
      <w:r>
        <w:rPr>
          <w:lang w:eastAsia="en-GB"/>
        </w:rPr>
        <w:br w:type="page"/>
      </w:r>
      <w:bookmarkStart w:id="540" w:name="_Toc498495385"/>
      <w:r w:rsidR="00202DD3" w:rsidRPr="00420DAA">
        <w:lastRenderedPageBreak/>
        <w:t>Contract Variations (templates available)</w:t>
      </w:r>
      <w:bookmarkEnd w:id="540"/>
    </w:p>
    <w:p w14:paraId="2D11A527" w14:textId="77777777" w:rsidR="0015247B" w:rsidRDefault="0015247B" w:rsidP="0015247B">
      <w:pPr>
        <w:rPr>
          <w:lang w:eastAsia="en-GB"/>
        </w:rPr>
      </w:pPr>
    </w:p>
    <w:p w14:paraId="3A614FC7" w14:textId="77777777" w:rsidR="00977693" w:rsidRPr="00CE0885" w:rsidRDefault="00977693" w:rsidP="00202DD3">
      <w:pPr>
        <w:pStyle w:val="Heading2"/>
        <w:rPr>
          <w:lang w:eastAsia="en-GB"/>
        </w:rPr>
      </w:pPr>
      <w:bookmarkStart w:id="541" w:name="_Toc440981698"/>
      <w:bookmarkStart w:id="542" w:name="_Toc498495386"/>
      <w:r w:rsidRPr="00CE0885">
        <w:rPr>
          <w:lang w:eastAsia="en-GB"/>
        </w:rPr>
        <w:t>Introduction</w:t>
      </w:r>
      <w:bookmarkEnd w:id="541"/>
      <w:bookmarkEnd w:id="542"/>
    </w:p>
    <w:p w14:paraId="423E5AA3" w14:textId="77777777" w:rsidR="00977693" w:rsidRPr="00CE0885" w:rsidRDefault="00977693" w:rsidP="006B781A">
      <w:pPr>
        <w:pStyle w:val="Heading3"/>
        <w:rPr>
          <w:lang w:eastAsia="en-GB"/>
        </w:rPr>
      </w:pPr>
      <w:bookmarkStart w:id="543" w:name="_Toc440981699"/>
      <w:r w:rsidRPr="00CE0885">
        <w:rPr>
          <w:spacing w:val="2"/>
          <w:lang w:eastAsia="en-GB"/>
        </w:rPr>
        <w:t>T</w:t>
      </w:r>
      <w:r w:rsidRPr="00CE0885">
        <w:rPr>
          <w:lang w:eastAsia="en-GB"/>
        </w:rPr>
        <w:t>his</w:t>
      </w:r>
      <w:r w:rsidRPr="00CE0885">
        <w:rPr>
          <w:spacing w:val="-7"/>
          <w:lang w:eastAsia="en-GB"/>
        </w:rPr>
        <w:t xml:space="preserve"> </w:t>
      </w:r>
      <w:r w:rsidRPr="00CE0885">
        <w:rPr>
          <w:lang w:eastAsia="en-GB"/>
        </w:rPr>
        <w:t>policy</w:t>
      </w:r>
      <w:r w:rsidRPr="00CE0885">
        <w:rPr>
          <w:spacing w:val="-12"/>
          <w:lang w:eastAsia="en-GB"/>
        </w:rPr>
        <w:t xml:space="preserve"> </w:t>
      </w:r>
      <w:r w:rsidRPr="00CE0885">
        <w:rPr>
          <w:lang w:eastAsia="en-GB"/>
        </w:rPr>
        <w:t>desc</w:t>
      </w:r>
      <w:r w:rsidRPr="00CE0885">
        <w:rPr>
          <w:spacing w:val="-1"/>
          <w:lang w:eastAsia="en-GB"/>
        </w:rPr>
        <w:t>r</w:t>
      </w:r>
      <w:r w:rsidRPr="00CE0885">
        <w:rPr>
          <w:lang w:eastAsia="en-GB"/>
        </w:rPr>
        <w:t>i</w:t>
      </w:r>
      <w:r w:rsidRPr="00CE0885">
        <w:rPr>
          <w:spacing w:val="-1"/>
          <w:lang w:eastAsia="en-GB"/>
        </w:rPr>
        <w:t>b</w:t>
      </w:r>
      <w:r w:rsidRPr="00CE0885">
        <w:rPr>
          <w:lang w:eastAsia="en-GB"/>
        </w:rPr>
        <w:t>es</w:t>
      </w:r>
      <w:r w:rsidRPr="00CE0885">
        <w:rPr>
          <w:spacing w:val="-10"/>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p</w:t>
      </w:r>
      <w:r w:rsidRPr="00CE0885">
        <w:rPr>
          <w:spacing w:val="-1"/>
          <w:lang w:eastAsia="en-GB"/>
        </w:rPr>
        <w:t>r</w:t>
      </w:r>
      <w:r w:rsidRPr="00CE0885">
        <w:rPr>
          <w:lang w:eastAsia="en-GB"/>
        </w:rPr>
        <w:t>o</w:t>
      </w:r>
      <w:r w:rsidRPr="00CE0885">
        <w:rPr>
          <w:spacing w:val="-2"/>
          <w:lang w:eastAsia="en-GB"/>
        </w:rPr>
        <w:t>c</w:t>
      </w:r>
      <w:r w:rsidRPr="00CE0885">
        <w:rPr>
          <w:lang w:eastAsia="en-GB"/>
        </w:rPr>
        <w:t>ess</w:t>
      </w:r>
      <w:r w:rsidRPr="00CE0885">
        <w:rPr>
          <w:spacing w:val="-8"/>
          <w:lang w:eastAsia="en-GB"/>
        </w:rPr>
        <w:t xml:space="preserve"> </w:t>
      </w:r>
      <w:r w:rsidRPr="00CE0885">
        <w:rPr>
          <w:lang w:eastAsia="en-GB"/>
        </w:rPr>
        <w:t>to</w:t>
      </w:r>
      <w:r w:rsidRPr="00CE0885">
        <w:rPr>
          <w:spacing w:val="-3"/>
          <w:lang w:eastAsia="en-GB"/>
        </w:rPr>
        <w:t xml:space="preserve"> </w:t>
      </w:r>
      <w:r w:rsidRPr="00CE0885">
        <w:rPr>
          <w:lang w:eastAsia="en-GB"/>
        </w:rPr>
        <w:t>d</w:t>
      </w:r>
      <w:r w:rsidRPr="00CE0885">
        <w:rPr>
          <w:spacing w:val="-1"/>
          <w:lang w:eastAsia="en-GB"/>
        </w:rPr>
        <w:t>e</w:t>
      </w:r>
      <w:r w:rsidRPr="00CE0885">
        <w:rPr>
          <w:lang w:eastAsia="en-GB"/>
        </w:rPr>
        <w:t>te</w:t>
      </w:r>
      <w:r w:rsidRPr="00CE0885">
        <w:rPr>
          <w:spacing w:val="-3"/>
          <w:lang w:eastAsia="en-GB"/>
        </w:rPr>
        <w:t>r</w:t>
      </w:r>
      <w:r w:rsidRPr="00CE0885">
        <w:rPr>
          <w:spacing w:val="2"/>
          <w:lang w:eastAsia="en-GB"/>
        </w:rPr>
        <w:t>m</w:t>
      </w:r>
      <w:r w:rsidRPr="00CE0885">
        <w:rPr>
          <w:lang w:eastAsia="en-GB"/>
        </w:rPr>
        <w:t>ine</w:t>
      </w:r>
      <w:r w:rsidRPr="00CE0885">
        <w:rPr>
          <w:spacing w:val="-12"/>
          <w:lang w:eastAsia="en-GB"/>
        </w:rPr>
        <w:t xml:space="preserve"> </w:t>
      </w:r>
      <w:r w:rsidRPr="00CE0885">
        <w:rPr>
          <w:lang w:eastAsia="en-GB"/>
        </w:rPr>
        <w:t>any</w:t>
      </w:r>
      <w:r w:rsidRPr="00CE0885">
        <w:rPr>
          <w:spacing w:val="-6"/>
          <w:lang w:eastAsia="en-GB"/>
        </w:rPr>
        <w:t xml:space="preserve"> </w:t>
      </w:r>
      <w:r w:rsidRPr="00CE0885">
        <w:rPr>
          <w:lang w:eastAsia="en-GB"/>
        </w:rPr>
        <w:t>cont</w:t>
      </w:r>
      <w:r w:rsidRPr="00CE0885">
        <w:rPr>
          <w:spacing w:val="-1"/>
          <w:lang w:eastAsia="en-GB"/>
        </w:rPr>
        <w:t>r</w:t>
      </w:r>
      <w:r w:rsidRPr="00CE0885">
        <w:rPr>
          <w:lang w:eastAsia="en-GB"/>
        </w:rPr>
        <w:t>a</w:t>
      </w:r>
      <w:r w:rsidRPr="00CE0885">
        <w:rPr>
          <w:spacing w:val="-2"/>
          <w:lang w:eastAsia="en-GB"/>
        </w:rPr>
        <w:t>c</w:t>
      </w:r>
      <w:r w:rsidRPr="00CE0885">
        <w:rPr>
          <w:lang w:eastAsia="en-GB"/>
        </w:rPr>
        <w:t xml:space="preserve">t </w:t>
      </w:r>
      <w:r w:rsidRPr="00CE0885">
        <w:rPr>
          <w:spacing w:val="-2"/>
          <w:lang w:eastAsia="en-GB"/>
        </w:rPr>
        <w:t>v</w:t>
      </w:r>
      <w:r w:rsidRPr="00CE0885">
        <w:rPr>
          <w:lang w:eastAsia="en-GB"/>
        </w:rPr>
        <w:t>a</w:t>
      </w:r>
      <w:r w:rsidRPr="00CE0885">
        <w:rPr>
          <w:spacing w:val="-1"/>
          <w:lang w:eastAsia="en-GB"/>
        </w:rPr>
        <w:t>r</w:t>
      </w:r>
      <w:r w:rsidRPr="00CE0885">
        <w:rPr>
          <w:lang w:eastAsia="en-GB"/>
        </w:rPr>
        <w:t>iation,</w:t>
      </w:r>
      <w:r w:rsidRPr="00CE0885">
        <w:rPr>
          <w:spacing w:val="-9"/>
          <w:lang w:eastAsia="en-GB"/>
        </w:rPr>
        <w:t xml:space="preserve"> </w:t>
      </w:r>
      <w:r w:rsidRPr="00CE0885">
        <w:rPr>
          <w:spacing w:val="-3"/>
          <w:lang w:eastAsia="en-GB"/>
        </w:rPr>
        <w:t>w</w:t>
      </w:r>
      <w:r w:rsidRPr="00CE0885">
        <w:rPr>
          <w:lang w:eastAsia="en-GB"/>
        </w:rPr>
        <w:t>hether</w:t>
      </w:r>
      <w:r w:rsidRPr="00CE0885">
        <w:rPr>
          <w:spacing w:val="-9"/>
          <w:lang w:eastAsia="en-GB"/>
        </w:rPr>
        <w:t xml:space="preserve"> </w:t>
      </w:r>
      <w:r w:rsidRPr="00CE0885">
        <w:rPr>
          <w:lang w:eastAsia="en-GB"/>
        </w:rPr>
        <w:t>by</w:t>
      </w:r>
      <w:r w:rsidRPr="00CE0885">
        <w:rPr>
          <w:spacing w:val="-5"/>
          <w:lang w:eastAsia="en-GB"/>
        </w:rPr>
        <w:t xml:space="preserve"> </w:t>
      </w:r>
      <w:r w:rsidRPr="00CE0885">
        <w:rPr>
          <w:spacing w:val="2"/>
          <w:lang w:eastAsia="en-GB"/>
        </w:rPr>
        <w:t>m</w:t>
      </w:r>
      <w:r w:rsidRPr="00CE0885">
        <w:rPr>
          <w:lang w:eastAsia="en-GB"/>
        </w:rPr>
        <w:t>u</w:t>
      </w:r>
      <w:r w:rsidRPr="00CE0885">
        <w:rPr>
          <w:spacing w:val="-2"/>
          <w:lang w:eastAsia="en-GB"/>
        </w:rPr>
        <w:t>t</w:t>
      </w:r>
      <w:r w:rsidRPr="00CE0885">
        <w:rPr>
          <w:lang w:eastAsia="en-GB"/>
        </w:rPr>
        <w:t>ual</w:t>
      </w:r>
      <w:r w:rsidRPr="00CE0885">
        <w:rPr>
          <w:spacing w:val="-7"/>
          <w:lang w:eastAsia="en-GB"/>
        </w:rPr>
        <w:t xml:space="preserve"> </w:t>
      </w:r>
      <w:r w:rsidRPr="00CE0885">
        <w:rPr>
          <w:lang w:eastAsia="en-GB"/>
        </w:rPr>
        <w:t>a</w:t>
      </w:r>
      <w:r w:rsidRPr="00CE0885">
        <w:rPr>
          <w:spacing w:val="-1"/>
          <w:lang w:eastAsia="en-GB"/>
        </w:rPr>
        <w:t>gr</w:t>
      </w:r>
      <w:r w:rsidRPr="00CE0885">
        <w:rPr>
          <w:lang w:eastAsia="en-GB"/>
        </w:rPr>
        <w:t>e</w:t>
      </w:r>
      <w:r w:rsidRPr="00CE0885">
        <w:rPr>
          <w:spacing w:val="-1"/>
          <w:lang w:eastAsia="en-GB"/>
        </w:rPr>
        <w:t>e</w:t>
      </w:r>
      <w:r w:rsidRPr="00CE0885">
        <w:rPr>
          <w:spacing w:val="2"/>
          <w:lang w:eastAsia="en-GB"/>
        </w:rPr>
        <w:t>m</w:t>
      </w:r>
      <w:r w:rsidRPr="00CE0885">
        <w:rPr>
          <w:spacing w:val="-1"/>
          <w:lang w:eastAsia="en-GB"/>
        </w:rPr>
        <w:t>e</w:t>
      </w:r>
      <w:r w:rsidRPr="00CE0885">
        <w:rPr>
          <w:lang w:eastAsia="en-GB"/>
        </w:rPr>
        <w:t>nt</w:t>
      </w:r>
      <w:r w:rsidRPr="00CE0885">
        <w:rPr>
          <w:spacing w:val="-12"/>
          <w:lang w:eastAsia="en-GB"/>
        </w:rPr>
        <w:t xml:space="preserve"> </w:t>
      </w:r>
      <w:r w:rsidRPr="00CE0885">
        <w:rPr>
          <w:lang w:eastAsia="en-GB"/>
        </w:rPr>
        <w:t>or</w:t>
      </w:r>
      <w:r w:rsidRPr="00CE0885">
        <w:rPr>
          <w:spacing w:val="-2"/>
          <w:lang w:eastAsia="en-GB"/>
        </w:rPr>
        <w:t xml:space="preserve"> </w:t>
      </w:r>
      <w:r w:rsidRPr="00CE0885">
        <w:rPr>
          <w:spacing w:val="-1"/>
          <w:lang w:eastAsia="en-GB"/>
        </w:rPr>
        <w:t>r</w:t>
      </w:r>
      <w:r w:rsidRPr="00CE0885">
        <w:rPr>
          <w:lang w:eastAsia="en-GB"/>
        </w:rPr>
        <w:t>e</w:t>
      </w:r>
      <w:r w:rsidRPr="00CE0885">
        <w:rPr>
          <w:spacing w:val="-1"/>
          <w:lang w:eastAsia="en-GB"/>
        </w:rPr>
        <w:t>q</w:t>
      </w:r>
      <w:r w:rsidRPr="00CE0885">
        <w:rPr>
          <w:lang w:eastAsia="en-GB"/>
        </w:rPr>
        <w:t>ui</w:t>
      </w:r>
      <w:r w:rsidRPr="00CE0885">
        <w:rPr>
          <w:spacing w:val="-1"/>
          <w:lang w:eastAsia="en-GB"/>
        </w:rPr>
        <w:t>r</w:t>
      </w:r>
      <w:r w:rsidRPr="00CE0885">
        <w:rPr>
          <w:lang w:eastAsia="en-GB"/>
        </w:rPr>
        <w:t>ed</w:t>
      </w:r>
      <w:r w:rsidRPr="00CE0885">
        <w:rPr>
          <w:spacing w:val="-7"/>
          <w:lang w:eastAsia="en-GB"/>
        </w:rPr>
        <w:t xml:space="preserve"> </w:t>
      </w:r>
      <w:r w:rsidRPr="00CE0885">
        <w:rPr>
          <w:lang w:eastAsia="en-GB"/>
        </w:rPr>
        <w:t>by</w:t>
      </w:r>
      <w:r w:rsidRPr="00CE0885">
        <w:rPr>
          <w:spacing w:val="-5"/>
          <w:lang w:eastAsia="en-GB"/>
        </w:rPr>
        <w:t xml:space="preserve"> </w:t>
      </w:r>
      <w:r w:rsidRPr="00CE0885">
        <w:rPr>
          <w:spacing w:val="-1"/>
          <w:lang w:eastAsia="en-GB"/>
        </w:rPr>
        <w:t>r</w:t>
      </w:r>
      <w:r w:rsidRPr="00CE0885">
        <w:rPr>
          <w:lang w:eastAsia="en-GB"/>
        </w:rPr>
        <w:t>e</w:t>
      </w:r>
      <w:r w:rsidRPr="00CE0885">
        <w:rPr>
          <w:spacing w:val="-1"/>
          <w:lang w:eastAsia="en-GB"/>
        </w:rPr>
        <w:t>g</w:t>
      </w:r>
      <w:r w:rsidRPr="00CE0885">
        <w:rPr>
          <w:lang w:eastAsia="en-GB"/>
        </w:rPr>
        <w:t>ulato</w:t>
      </w:r>
      <w:r w:rsidRPr="00CE0885">
        <w:rPr>
          <w:spacing w:val="-1"/>
          <w:lang w:eastAsia="en-GB"/>
        </w:rPr>
        <w:t>r</w:t>
      </w:r>
      <w:r w:rsidRPr="00CE0885">
        <w:rPr>
          <w:lang w:eastAsia="en-GB"/>
        </w:rPr>
        <w:t>y a</w:t>
      </w:r>
      <w:r w:rsidRPr="00CE0885">
        <w:rPr>
          <w:spacing w:val="2"/>
          <w:lang w:eastAsia="en-GB"/>
        </w:rPr>
        <w:t>m</w:t>
      </w:r>
      <w:r w:rsidRPr="00CE0885">
        <w:rPr>
          <w:spacing w:val="-1"/>
          <w:lang w:eastAsia="en-GB"/>
        </w:rPr>
        <w:t>e</w:t>
      </w:r>
      <w:r w:rsidRPr="00CE0885">
        <w:rPr>
          <w:lang w:eastAsia="en-GB"/>
        </w:rPr>
        <w:t>n</w:t>
      </w:r>
      <w:r w:rsidRPr="00CE0885">
        <w:rPr>
          <w:spacing w:val="-1"/>
          <w:lang w:eastAsia="en-GB"/>
        </w:rPr>
        <w:t>d</w:t>
      </w:r>
      <w:r w:rsidRPr="00CE0885">
        <w:rPr>
          <w:spacing w:val="2"/>
          <w:lang w:eastAsia="en-GB"/>
        </w:rPr>
        <w:t>m</w:t>
      </w:r>
      <w:r w:rsidRPr="00CE0885">
        <w:rPr>
          <w:spacing w:val="-1"/>
          <w:lang w:eastAsia="en-GB"/>
        </w:rPr>
        <w:t>e</w:t>
      </w:r>
      <w:r w:rsidRPr="00CE0885">
        <w:rPr>
          <w:lang w:eastAsia="en-GB"/>
        </w:rPr>
        <w:t>nts,</w:t>
      </w:r>
      <w:r w:rsidRPr="00CE0885">
        <w:rPr>
          <w:spacing w:val="-16"/>
          <w:lang w:eastAsia="en-GB"/>
        </w:rPr>
        <w:t xml:space="preserve"> </w:t>
      </w:r>
      <w:r w:rsidRPr="00CE0885">
        <w:rPr>
          <w:lang w:eastAsia="en-GB"/>
        </w:rPr>
        <w:t xml:space="preserve">to </w:t>
      </w:r>
      <w:r w:rsidRPr="00CE0885">
        <w:rPr>
          <w:spacing w:val="-1"/>
          <w:lang w:eastAsia="en-GB"/>
        </w:rPr>
        <w:t>e</w:t>
      </w:r>
      <w:r w:rsidRPr="00CE0885">
        <w:rPr>
          <w:lang w:eastAsia="en-GB"/>
        </w:rPr>
        <w:t>nsu</w:t>
      </w:r>
      <w:r w:rsidRPr="00CE0885">
        <w:rPr>
          <w:spacing w:val="-3"/>
          <w:lang w:eastAsia="en-GB"/>
        </w:rPr>
        <w:t>r</w:t>
      </w:r>
      <w:r w:rsidRPr="00CE0885">
        <w:rPr>
          <w:lang w:eastAsia="en-GB"/>
        </w:rPr>
        <w:t>e</w:t>
      </w:r>
      <w:r w:rsidRPr="00CE0885">
        <w:rPr>
          <w:spacing w:val="-5"/>
          <w:lang w:eastAsia="en-GB"/>
        </w:rPr>
        <w:t xml:space="preserve"> </w:t>
      </w:r>
      <w:r w:rsidRPr="00CE0885">
        <w:rPr>
          <w:lang w:eastAsia="en-GB"/>
        </w:rPr>
        <w:t>t</w:t>
      </w:r>
      <w:r w:rsidRPr="00CE0885">
        <w:rPr>
          <w:spacing w:val="-1"/>
          <w:lang w:eastAsia="en-GB"/>
        </w:rPr>
        <w:t>h</w:t>
      </w:r>
      <w:r w:rsidRPr="00CE0885">
        <w:rPr>
          <w:lang w:eastAsia="en-GB"/>
        </w:rPr>
        <w:t>at</w:t>
      </w:r>
      <w:r w:rsidRPr="00CE0885">
        <w:rPr>
          <w:spacing w:val="-3"/>
          <w:lang w:eastAsia="en-GB"/>
        </w:rPr>
        <w:t xml:space="preserve"> </w:t>
      </w:r>
      <w:r w:rsidRPr="00CE0885">
        <w:rPr>
          <w:spacing w:val="-1"/>
          <w:lang w:eastAsia="en-GB"/>
        </w:rPr>
        <w:t>a</w:t>
      </w:r>
      <w:r w:rsidRPr="00CE0885">
        <w:rPr>
          <w:lang w:eastAsia="en-GB"/>
        </w:rPr>
        <w:t>ny</w:t>
      </w:r>
      <w:r w:rsidRPr="00CE0885">
        <w:rPr>
          <w:spacing w:val="-6"/>
          <w:lang w:eastAsia="en-GB"/>
        </w:rPr>
        <w:t xml:space="preserve"> </w:t>
      </w:r>
      <w:r w:rsidRPr="00CE0885">
        <w:rPr>
          <w:lang w:eastAsia="en-GB"/>
        </w:rPr>
        <w:t>chan</w:t>
      </w:r>
      <w:r w:rsidRPr="00CE0885">
        <w:rPr>
          <w:spacing w:val="-1"/>
          <w:lang w:eastAsia="en-GB"/>
        </w:rPr>
        <w:t>g</w:t>
      </w:r>
      <w:r w:rsidRPr="00CE0885">
        <w:rPr>
          <w:lang w:eastAsia="en-GB"/>
        </w:rPr>
        <w:t>es</w:t>
      </w:r>
      <w:r w:rsidRPr="00CE0885">
        <w:rPr>
          <w:spacing w:val="-9"/>
          <w:lang w:eastAsia="en-GB"/>
        </w:rPr>
        <w:t xml:space="preserve"> </w:t>
      </w:r>
      <w:r w:rsidRPr="00CE0885">
        <w:rPr>
          <w:spacing w:val="-1"/>
          <w:lang w:eastAsia="en-GB"/>
        </w:rPr>
        <w:t>re</w:t>
      </w:r>
      <w:r w:rsidRPr="00CE0885">
        <w:rPr>
          <w:spacing w:val="3"/>
          <w:lang w:eastAsia="en-GB"/>
        </w:rPr>
        <w:t>f</w:t>
      </w:r>
      <w:r w:rsidRPr="00CE0885">
        <w:rPr>
          <w:spacing w:val="-3"/>
          <w:lang w:eastAsia="en-GB"/>
        </w:rPr>
        <w:t>l</w:t>
      </w:r>
      <w:r w:rsidRPr="00CE0885">
        <w:rPr>
          <w:lang w:eastAsia="en-GB"/>
        </w:rPr>
        <w:t>ect</w:t>
      </w:r>
      <w:r w:rsidRPr="00CE0885">
        <w:rPr>
          <w:spacing w:val="-6"/>
          <w:lang w:eastAsia="en-GB"/>
        </w:rPr>
        <w:t xml:space="preserve"> </w:t>
      </w:r>
      <w:r w:rsidRPr="00CE0885">
        <w:rPr>
          <w:spacing w:val="-1"/>
          <w:lang w:eastAsia="en-GB"/>
        </w:rPr>
        <w:t>a</w:t>
      </w:r>
      <w:r w:rsidRPr="00CE0885">
        <w:rPr>
          <w:lang w:eastAsia="en-GB"/>
        </w:rPr>
        <w:t>nd</w:t>
      </w:r>
      <w:r w:rsidRPr="00CE0885">
        <w:rPr>
          <w:spacing w:val="-2"/>
          <w:lang w:eastAsia="en-GB"/>
        </w:rPr>
        <w:t xml:space="preserve"> c</w:t>
      </w:r>
      <w:r w:rsidRPr="00CE0885">
        <w:rPr>
          <w:lang w:eastAsia="en-GB"/>
        </w:rPr>
        <w:t>o</w:t>
      </w:r>
      <w:r w:rsidRPr="00CE0885">
        <w:rPr>
          <w:spacing w:val="-1"/>
          <w:lang w:eastAsia="en-GB"/>
        </w:rPr>
        <w:t>m</w:t>
      </w:r>
      <w:r w:rsidRPr="00CE0885">
        <w:rPr>
          <w:lang w:eastAsia="en-GB"/>
        </w:rPr>
        <w:t>ply</w:t>
      </w:r>
      <w:r w:rsidRPr="00CE0885">
        <w:rPr>
          <w:spacing w:val="-8"/>
          <w:lang w:eastAsia="en-GB"/>
        </w:rPr>
        <w:t xml:space="preserve"> </w:t>
      </w:r>
      <w:r w:rsidRPr="00CE0885">
        <w:rPr>
          <w:spacing w:val="-3"/>
          <w:lang w:eastAsia="en-GB"/>
        </w:rPr>
        <w:t>w</w:t>
      </w:r>
      <w:r w:rsidRPr="00CE0885">
        <w:rPr>
          <w:lang w:eastAsia="en-GB"/>
        </w:rPr>
        <w:t>ith legislation</w:t>
      </w:r>
      <w:r w:rsidRPr="00CE0885">
        <w:rPr>
          <w:spacing w:val="-12"/>
          <w:lang w:eastAsia="en-GB"/>
        </w:rPr>
        <w:t xml:space="preserve"> </w:t>
      </w:r>
      <w:r w:rsidRPr="00CE0885">
        <w:rPr>
          <w:lang w:eastAsia="en-GB"/>
        </w:rPr>
        <w:t>so</w:t>
      </w:r>
      <w:r w:rsidRPr="00CE0885">
        <w:rPr>
          <w:spacing w:val="-4"/>
          <w:lang w:eastAsia="en-GB"/>
        </w:rPr>
        <w:t xml:space="preserve"> </w:t>
      </w:r>
      <w:r w:rsidRPr="00CE0885">
        <w:rPr>
          <w:lang w:eastAsia="en-GB"/>
        </w:rPr>
        <w:t>as</w:t>
      </w:r>
      <w:r w:rsidRPr="00CE0885">
        <w:rPr>
          <w:spacing w:val="-3"/>
          <w:lang w:eastAsia="en-GB"/>
        </w:rPr>
        <w:t xml:space="preserve"> </w:t>
      </w:r>
      <w:r w:rsidRPr="00CE0885">
        <w:rPr>
          <w:lang w:eastAsia="en-GB"/>
        </w:rPr>
        <w:t>to</w:t>
      </w:r>
      <w:r w:rsidRPr="00CE0885">
        <w:rPr>
          <w:spacing w:val="-3"/>
          <w:lang w:eastAsia="en-GB"/>
        </w:rPr>
        <w:t xml:space="preserve"> </w:t>
      </w:r>
      <w:r w:rsidRPr="00CE0885">
        <w:rPr>
          <w:spacing w:val="-1"/>
          <w:lang w:eastAsia="en-GB"/>
        </w:rPr>
        <w:t>m</w:t>
      </w:r>
      <w:r w:rsidRPr="00CE0885">
        <w:rPr>
          <w:lang w:eastAsia="en-GB"/>
        </w:rPr>
        <w:t>ainta</w:t>
      </w:r>
      <w:r w:rsidRPr="00CE0885">
        <w:rPr>
          <w:spacing w:val="-3"/>
          <w:lang w:eastAsia="en-GB"/>
        </w:rPr>
        <w:t>i</w:t>
      </w:r>
      <w:r w:rsidRPr="00CE0885">
        <w:rPr>
          <w:lang w:eastAsia="en-GB"/>
        </w:rPr>
        <w:t>n</w:t>
      </w:r>
      <w:r w:rsidRPr="00CE0885">
        <w:rPr>
          <w:spacing w:val="-7"/>
          <w:lang w:eastAsia="en-GB"/>
        </w:rPr>
        <w:t xml:space="preserve"> </w:t>
      </w:r>
      <w:r w:rsidRPr="00CE0885">
        <w:rPr>
          <w:spacing w:val="-1"/>
          <w:lang w:eastAsia="en-GB"/>
        </w:rPr>
        <w:t>r</w:t>
      </w:r>
      <w:r w:rsidRPr="00CE0885">
        <w:rPr>
          <w:lang w:eastAsia="en-GB"/>
        </w:rPr>
        <w:t>o</w:t>
      </w:r>
      <w:r w:rsidRPr="00CE0885">
        <w:rPr>
          <w:spacing w:val="-1"/>
          <w:lang w:eastAsia="en-GB"/>
        </w:rPr>
        <w:t>b</w:t>
      </w:r>
      <w:r w:rsidRPr="00CE0885">
        <w:rPr>
          <w:lang w:eastAsia="en-GB"/>
        </w:rPr>
        <w:t>ust</w:t>
      </w:r>
      <w:r w:rsidRPr="00CE0885">
        <w:rPr>
          <w:spacing w:val="-8"/>
          <w:lang w:eastAsia="en-GB"/>
        </w:rPr>
        <w:t xml:space="preserve"> </w:t>
      </w:r>
      <w:r w:rsidRPr="00CE0885">
        <w:rPr>
          <w:lang w:eastAsia="en-GB"/>
        </w:rPr>
        <w:t>cont</w:t>
      </w:r>
      <w:r w:rsidRPr="00CE0885">
        <w:rPr>
          <w:spacing w:val="-1"/>
          <w:lang w:eastAsia="en-GB"/>
        </w:rPr>
        <w:t>r</w:t>
      </w:r>
      <w:r w:rsidRPr="00CE0885">
        <w:rPr>
          <w:lang w:eastAsia="en-GB"/>
        </w:rPr>
        <w:t>acts.</w:t>
      </w:r>
      <w:bookmarkEnd w:id="543"/>
    </w:p>
    <w:p w14:paraId="6D27F4C8" w14:textId="77777777" w:rsidR="00977693" w:rsidRPr="00CE0885" w:rsidRDefault="00977693" w:rsidP="00202DD3">
      <w:pPr>
        <w:pStyle w:val="Heading2"/>
        <w:rPr>
          <w:lang w:eastAsia="en-GB"/>
        </w:rPr>
      </w:pPr>
      <w:bookmarkStart w:id="544" w:name="_Toc440981700"/>
      <w:bookmarkStart w:id="545" w:name="_Toc498495387"/>
      <w:r w:rsidRPr="00CE0885">
        <w:rPr>
          <w:lang w:eastAsia="en-GB"/>
        </w:rPr>
        <w:t>Types of Contract Variation</w:t>
      </w:r>
      <w:bookmarkEnd w:id="544"/>
      <w:bookmarkEnd w:id="545"/>
    </w:p>
    <w:p w14:paraId="30E68721" w14:textId="77777777" w:rsidR="00977693" w:rsidRPr="00CE0885" w:rsidRDefault="00977693" w:rsidP="006B781A">
      <w:pPr>
        <w:pStyle w:val="Heading3"/>
        <w:rPr>
          <w:lang w:eastAsia="en-GB"/>
        </w:rPr>
      </w:pPr>
      <w:bookmarkStart w:id="546" w:name="_Toc440981701"/>
      <w:r w:rsidRPr="00CE0885">
        <w:rPr>
          <w:lang w:eastAsia="en-GB"/>
        </w:rPr>
        <w:t>Va</w:t>
      </w:r>
      <w:r w:rsidRPr="00CE0885">
        <w:rPr>
          <w:spacing w:val="-1"/>
          <w:lang w:eastAsia="en-GB"/>
        </w:rPr>
        <w:t>r</w:t>
      </w:r>
      <w:r w:rsidRPr="00CE0885">
        <w:rPr>
          <w:lang w:eastAsia="en-GB"/>
        </w:rPr>
        <w:t>iations</w:t>
      </w:r>
      <w:r w:rsidRPr="00CE0885">
        <w:rPr>
          <w:spacing w:val="-13"/>
          <w:lang w:eastAsia="en-GB"/>
        </w:rPr>
        <w:t xml:space="preserve"> </w:t>
      </w:r>
      <w:r w:rsidRPr="00CE0885">
        <w:rPr>
          <w:lang w:eastAsia="en-GB"/>
        </w:rPr>
        <w:t xml:space="preserve">to </w:t>
      </w:r>
      <w:r w:rsidRPr="00CE0885">
        <w:rPr>
          <w:spacing w:val="-2"/>
          <w:lang w:eastAsia="en-GB"/>
        </w:rPr>
        <w:t>c</w:t>
      </w:r>
      <w:r w:rsidRPr="00CE0885">
        <w:rPr>
          <w:lang w:eastAsia="en-GB"/>
        </w:rPr>
        <w:t>ont</w:t>
      </w:r>
      <w:r w:rsidRPr="00CE0885">
        <w:rPr>
          <w:spacing w:val="-1"/>
          <w:lang w:eastAsia="en-GB"/>
        </w:rPr>
        <w:t>r</w:t>
      </w:r>
      <w:r w:rsidRPr="00CE0885">
        <w:rPr>
          <w:lang w:eastAsia="en-GB"/>
        </w:rPr>
        <w:t>a</w:t>
      </w:r>
      <w:r w:rsidRPr="00CE0885">
        <w:rPr>
          <w:spacing w:val="-2"/>
          <w:lang w:eastAsia="en-GB"/>
        </w:rPr>
        <w:t>c</w:t>
      </w:r>
      <w:r w:rsidRPr="00CE0885">
        <w:rPr>
          <w:lang w:eastAsia="en-GB"/>
        </w:rPr>
        <w:t>ts</w:t>
      </w:r>
      <w:r w:rsidRPr="00CE0885">
        <w:rPr>
          <w:spacing w:val="-12"/>
          <w:lang w:eastAsia="en-GB"/>
        </w:rPr>
        <w:t xml:space="preserve"> </w:t>
      </w:r>
      <w:r w:rsidRPr="00CE0885">
        <w:rPr>
          <w:lang w:eastAsia="en-GB"/>
        </w:rPr>
        <w:t>fall</w:t>
      </w:r>
      <w:r w:rsidRPr="00CE0885">
        <w:rPr>
          <w:spacing w:val="-3"/>
          <w:lang w:eastAsia="en-GB"/>
        </w:rPr>
        <w:t xml:space="preserve"> </w:t>
      </w:r>
      <w:r w:rsidRPr="00CE0885">
        <w:rPr>
          <w:lang w:eastAsia="en-GB"/>
        </w:rPr>
        <w:t>b</w:t>
      </w:r>
      <w:r w:rsidRPr="00CE0885">
        <w:rPr>
          <w:spacing w:val="-1"/>
          <w:lang w:eastAsia="en-GB"/>
        </w:rPr>
        <w:t>r</w:t>
      </w:r>
      <w:r w:rsidRPr="00CE0885">
        <w:rPr>
          <w:lang w:eastAsia="en-GB"/>
        </w:rPr>
        <w:t>o</w:t>
      </w:r>
      <w:r w:rsidRPr="00CE0885">
        <w:rPr>
          <w:spacing w:val="-1"/>
          <w:lang w:eastAsia="en-GB"/>
        </w:rPr>
        <w:t>a</w:t>
      </w:r>
      <w:r w:rsidRPr="00CE0885">
        <w:rPr>
          <w:lang w:eastAsia="en-GB"/>
        </w:rPr>
        <w:t>dly</w:t>
      </w:r>
      <w:r w:rsidRPr="00CE0885">
        <w:rPr>
          <w:spacing w:val="-8"/>
          <w:lang w:eastAsia="en-GB"/>
        </w:rPr>
        <w:t xml:space="preserve"> </w:t>
      </w:r>
      <w:r w:rsidRPr="00CE0885">
        <w:rPr>
          <w:spacing w:val="-3"/>
          <w:lang w:eastAsia="en-GB"/>
        </w:rPr>
        <w:t>w</w:t>
      </w:r>
      <w:r w:rsidRPr="00CE0885">
        <w:rPr>
          <w:lang w:eastAsia="en-GB"/>
        </w:rPr>
        <w:t>ithin</w:t>
      </w:r>
      <w:r w:rsidRPr="00CE0885">
        <w:rPr>
          <w:spacing w:val="-4"/>
          <w:lang w:eastAsia="en-GB"/>
        </w:rPr>
        <w:t xml:space="preserve"> </w:t>
      </w:r>
      <w:r w:rsidRPr="00CE0885">
        <w:rPr>
          <w:lang w:eastAsia="en-GB"/>
        </w:rPr>
        <w:t>four</w:t>
      </w:r>
      <w:r w:rsidRPr="00CE0885">
        <w:rPr>
          <w:spacing w:val="-6"/>
          <w:lang w:eastAsia="en-GB"/>
        </w:rPr>
        <w:t xml:space="preserve"> </w:t>
      </w:r>
      <w:r w:rsidRPr="00CE0885">
        <w:rPr>
          <w:lang w:eastAsia="en-GB"/>
        </w:rPr>
        <w:t>cate</w:t>
      </w:r>
      <w:r w:rsidRPr="00CE0885">
        <w:rPr>
          <w:spacing w:val="-1"/>
          <w:lang w:eastAsia="en-GB"/>
        </w:rPr>
        <w:t>g</w:t>
      </w:r>
      <w:r w:rsidRPr="00CE0885">
        <w:rPr>
          <w:lang w:eastAsia="en-GB"/>
        </w:rPr>
        <w:t>o</w:t>
      </w:r>
      <w:r w:rsidRPr="00CE0885">
        <w:rPr>
          <w:spacing w:val="-1"/>
          <w:lang w:eastAsia="en-GB"/>
        </w:rPr>
        <w:t>r</w:t>
      </w:r>
      <w:r w:rsidRPr="00CE0885">
        <w:rPr>
          <w:lang w:eastAsia="en-GB"/>
        </w:rPr>
        <w:t>ies:</w:t>
      </w:r>
      <w:bookmarkEnd w:id="546"/>
      <w:r w:rsidRPr="00CE0885">
        <w:rPr>
          <w:spacing w:val="-11"/>
          <w:lang w:eastAsia="en-GB"/>
        </w:rPr>
        <w:t xml:space="preserve"> </w:t>
      </w:r>
    </w:p>
    <w:p w14:paraId="16DADB2D" w14:textId="77777777" w:rsidR="00977693" w:rsidRPr="006B781A" w:rsidRDefault="00977693" w:rsidP="00FA6A70">
      <w:pPr>
        <w:pStyle w:val="Heading4"/>
      </w:pPr>
      <w:bookmarkStart w:id="547" w:name="_Toc440981702"/>
      <w:r w:rsidRPr="006B781A">
        <w:t>changes due to legislation or regulatory change;</w:t>
      </w:r>
      <w:bookmarkEnd w:id="547"/>
    </w:p>
    <w:p w14:paraId="65170D2F" w14:textId="77777777" w:rsidR="00977693" w:rsidRPr="006B781A" w:rsidRDefault="00977693" w:rsidP="00FA6A70">
      <w:pPr>
        <w:pStyle w:val="Heading4"/>
      </w:pPr>
      <w:bookmarkStart w:id="548" w:name="_Toc440981703"/>
      <w:r w:rsidRPr="006B781A">
        <w:t>changes to the cont</w:t>
      </w:r>
      <w:r w:rsidRPr="006B781A">
        <w:rPr>
          <w:spacing w:val="-1"/>
        </w:rPr>
        <w:t>r</w:t>
      </w:r>
      <w:r w:rsidRPr="006B781A">
        <w:t>acting</w:t>
      </w:r>
      <w:r w:rsidRPr="006B781A">
        <w:rPr>
          <w:spacing w:val="-13"/>
        </w:rPr>
        <w:t xml:space="preserve"> </w:t>
      </w:r>
      <w:r w:rsidRPr="006B781A">
        <w:rPr>
          <w:spacing w:val="-1"/>
        </w:rPr>
        <w:t>p</w:t>
      </w:r>
      <w:r w:rsidRPr="006B781A">
        <w:t>a</w:t>
      </w:r>
      <w:r w:rsidRPr="006B781A">
        <w:rPr>
          <w:spacing w:val="-1"/>
        </w:rPr>
        <w:t>r</w:t>
      </w:r>
      <w:r w:rsidRPr="006B781A">
        <w:t>ty</w:t>
      </w:r>
      <w:r w:rsidRPr="006B781A">
        <w:rPr>
          <w:spacing w:val="-7"/>
        </w:rPr>
        <w:t>;</w:t>
      </w:r>
      <w:bookmarkEnd w:id="548"/>
    </w:p>
    <w:p w14:paraId="4061BAFC" w14:textId="77777777" w:rsidR="00977693" w:rsidRPr="006B781A" w:rsidRDefault="00977693" w:rsidP="00FA6A70">
      <w:pPr>
        <w:pStyle w:val="Heading4"/>
      </w:pPr>
      <w:bookmarkStart w:id="549" w:name="_Toc440981704"/>
      <w:r w:rsidRPr="006B781A">
        <w:t>chan</w:t>
      </w:r>
      <w:r w:rsidRPr="006B781A">
        <w:rPr>
          <w:spacing w:val="-1"/>
        </w:rPr>
        <w:t>g</w:t>
      </w:r>
      <w:r w:rsidRPr="006B781A">
        <w:t>es</w:t>
      </w:r>
      <w:r w:rsidRPr="006B781A">
        <w:rPr>
          <w:spacing w:val="-10"/>
        </w:rPr>
        <w:t xml:space="preserve"> </w:t>
      </w:r>
      <w:r w:rsidRPr="006B781A">
        <w:t>to</w:t>
      </w:r>
      <w:r w:rsidRPr="006B781A">
        <w:rPr>
          <w:spacing w:val="-3"/>
        </w:rPr>
        <w:t xml:space="preserve"> </w:t>
      </w:r>
      <w:r w:rsidRPr="006B781A">
        <w:t>se</w:t>
      </w:r>
      <w:r w:rsidRPr="006B781A">
        <w:rPr>
          <w:spacing w:val="-1"/>
        </w:rPr>
        <w:t>r</w:t>
      </w:r>
      <w:r w:rsidRPr="006B781A">
        <w:t>vices; or</w:t>
      </w:r>
      <w:bookmarkEnd w:id="549"/>
    </w:p>
    <w:p w14:paraId="004F3981" w14:textId="77777777" w:rsidR="00977693" w:rsidRPr="006B781A" w:rsidRDefault="00977693" w:rsidP="00FA6A70">
      <w:pPr>
        <w:pStyle w:val="Heading4"/>
      </w:pPr>
      <w:bookmarkStart w:id="550" w:name="_Toc440981705"/>
      <w:r w:rsidRPr="006B781A">
        <w:t>chan</w:t>
      </w:r>
      <w:r w:rsidRPr="006B781A">
        <w:rPr>
          <w:spacing w:val="-1"/>
        </w:rPr>
        <w:t>g</w:t>
      </w:r>
      <w:r w:rsidRPr="006B781A">
        <w:t>es</w:t>
      </w:r>
      <w:r w:rsidRPr="006B781A">
        <w:rPr>
          <w:spacing w:val="-10"/>
        </w:rPr>
        <w:t xml:space="preserve"> </w:t>
      </w:r>
      <w:r w:rsidRPr="006B781A">
        <w:t>to</w:t>
      </w:r>
      <w:r w:rsidRPr="006B781A">
        <w:rPr>
          <w:spacing w:val="-3"/>
        </w:rPr>
        <w:t xml:space="preserve"> </w:t>
      </w:r>
      <w:r w:rsidRPr="006B781A">
        <w:t>t</w:t>
      </w:r>
      <w:r w:rsidRPr="006B781A">
        <w:rPr>
          <w:spacing w:val="-1"/>
        </w:rPr>
        <w:t>h</w:t>
      </w:r>
      <w:r w:rsidRPr="006B781A">
        <w:t>e</w:t>
      </w:r>
      <w:r w:rsidRPr="006B781A">
        <w:rPr>
          <w:spacing w:val="-1"/>
        </w:rPr>
        <w:t xml:space="preserve"> p</w:t>
      </w:r>
      <w:r w:rsidRPr="006B781A">
        <w:t>ay</w:t>
      </w:r>
      <w:r w:rsidRPr="006B781A">
        <w:rPr>
          <w:spacing w:val="2"/>
        </w:rPr>
        <w:t>m</w:t>
      </w:r>
      <w:r w:rsidRPr="006B781A">
        <w:rPr>
          <w:spacing w:val="-1"/>
        </w:rPr>
        <w:t>e</w:t>
      </w:r>
      <w:r w:rsidRPr="006B781A">
        <w:t>nt</w:t>
      </w:r>
      <w:r w:rsidRPr="006B781A">
        <w:rPr>
          <w:spacing w:val="-8"/>
        </w:rPr>
        <w:t xml:space="preserve"> </w:t>
      </w:r>
      <w:r w:rsidRPr="006B781A">
        <w:t>a</w:t>
      </w:r>
      <w:r w:rsidRPr="006B781A">
        <w:rPr>
          <w:spacing w:val="-1"/>
        </w:rPr>
        <w:t>rr</w:t>
      </w:r>
      <w:r w:rsidRPr="006B781A">
        <w:t>an</w:t>
      </w:r>
      <w:r w:rsidRPr="006B781A">
        <w:rPr>
          <w:spacing w:val="-1"/>
        </w:rPr>
        <w:t>ge</w:t>
      </w:r>
      <w:r w:rsidRPr="006B781A">
        <w:rPr>
          <w:spacing w:val="2"/>
        </w:rPr>
        <w:t>m</w:t>
      </w:r>
      <w:r w:rsidRPr="006B781A">
        <w:rPr>
          <w:spacing w:val="-1"/>
        </w:rPr>
        <w:t>e</w:t>
      </w:r>
      <w:r w:rsidRPr="006B781A">
        <w:t>nts.</w:t>
      </w:r>
      <w:bookmarkEnd w:id="550"/>
    </w:p>
    <w:p w14:paraId="7A5DC92D" w14:textId="77777777" w:rsidR="00977693" w:rsidRPr="00CE0885" w:rsidRDefault="00977693" w:rsidP="006B781A">
      <w:pPr>
        <w:pStyle w:val="Heading3"/>
        <w:rPr>
          <w:lang w:eastAsia="en-GB"/>
        </w:rPr>
      </w:pPr>
      <w:bookmarkStart w:id="551" w:name="_Toc440981706"/>
      <w:r w:rsidRPr="00CE0885">
        <w:rPr>
          <w:lang w:eastAsia="en-GB"/>
        </w:rPr>
        <w:t>Where a GMS contract or PMS agreement is varied, the Commissioner is required by the Regulations to notify relevant patients where such variation:</w:t>
      </w:r>
      <w:bookmarkEnd w:id="551"/>
    </w:p>
    <w:p w14:paraId="7AFBAFD8" w14:textId="77777777" w:rsidR="00977693" w:rsidRPr="006B781A" w:rsidRDefault="00977693" w:rsidP="00FA6A70">
      <w:pPr>
        <w:pStyle w:val="Heading4"/>
      </w:pPr>
      <w:bookmarkStart w:id="552" w:name="_Toc440981707"/>
      <w:r w:rsidRPr="006B781A">
        <w:t>changes the range of services provided to the contractor's registered patients; or</w:t>
      </w:r>
      <w:bookmarkEnd w:id="552"/>
    </w:p>
    <w:p w14:paraId="2495DA4C" w14:textId="77777777" w:rsidR="00977693" w:rsidRPr="006B781A" w:rsidRDefault="00977693" w:rsidP="00FA6A70">
      <w:pPr>
        <w:pStyle w:val="Heading4"/>
      </w:pPr>
      <w:bookmarkStart w:id="553" w:name="_Toc440981708"/>
      <w:r w:rsidRPr="006B781A">
        <w:t>where patients who are on the contractor's list of patients are to be removed from that list.</w:t>
      </w:r>
      <w:bookmarkEnd w:id="553"/>
    </w:p>
    <w:p w14:paraId="23E44D95" w14:textId="77777777" w:rsidR="00977693" w:rsidRPr="00CE0885" w:rsidRDefault="00977693" w:rsidP="006B781A">
      <w:pPr>
        <w:pStyle w:val="Heading3"/>
        <w:rPr>
          <w:lang w:eastAsia="en-GB"/>
        </w:rPr>
      </w:pPr>
      <w:bookmarkStart w:id="554" w:name="_Toc440981709"/>
      <w:r w:rsidRPr="00CE0885">
        <w:rPr>
          <w:lang w:eastAsia="en-GB"/>
        </w:rPr>
        <w:t>The Commissioner must inform those patients of the steps they can take to obtain elsewhere the services in question or register elsewhere for the provision of essential services (or their equivalent).</w:t>
      </w:r>
      <w:bookmarkEnd w:id="554"/>
    </w:p>
    <w:p w14:paraId="08811AE8" w14:textId="77777777" w:rsidR="00977693" w:rsidRPr="00CE0885" w:rsidRDefault="00977693" w:rsidP="006B781A">
      <w:pPr>
        <w:pStyle w:val="Heading3"/>
        <w:rPr>
          <w:lang w:eastAsia="en-GB"/>
        </w:rPr>
      </w:pPr>
      <w:bookmarkStart w:id="555" w:name="_Toc440981710"/>
      <w:r w:rsidRPr="00CE0885">
        <w:rPr>
          <w:lang w:eastAsia="en-GB"/>
        </w:rPr>
        <w:t>The Commissioner should consider whether any such provision is contained within an APMS, MCP or PACS contract.</w:t>
      </w:r>
      <w:bookmarkEnd w:id="555"/>
    </w:p>
    <w:p w14:paraId="5BF1FE96" w14:textId="77777777" w:rsidR="00977693" w:rsidRPr="00CE0885" w:rsidRDefault="00977693" w:rsidP="00202DD3">
      <w:pPr>
        <w:pStyle w:val="Heading2"/>
        <w:rPr>
          <w:lang w:eastAsia="en-GB"/>
        </w:rPr>
      </w:pPr>
      <w:bookmarkStart w:id="556" w:name="_Toc440981711"/>
      <w:bookmarkStart w:id="557" w:name="_Toc498495388"/>
      <w:r w:rsidRPr="00CE0885">
        <w:rPr>
          <w:lang w:eastAsia="en-GB"/>
        </w:rPr>
        <w:t>Legislation / Regulatory Changes</w:t>
      </w:r>
      <w:bookmarkEnd w:id="556"/>
      <w:bookmarkEnd w:id="557"/>
    </w:p>
    <w:p w14:paraId="6DC0A531" w14:textId="77777777" w:rsidR="00977693" w:rsidRPr="00CE0885" w:rsidRDefault="00977693" w:rsidP="006B781A">
      <w:pPr>
        <w:pStyle w:val="Heading3"/>
        <w:rPr>
          <w:lang w:eastAsia="en-GB"/>
        </w:rPr>
      </w:pPr>
      <w:bookmarkStart w:id="558" w:name="_Toc440981712"/>
      <w:r w:rsidRPr="00CE0885">
        <w:rPr>
          <w:lang w:eastAsia="en-GB"/>
        </w:rPr>
        <w:t>Usually both parties to a primary medical contract must agree a variation in order for it to take effect. The Commissioner</w:t>
      </w:r>
      <w:r w:rsidRPr="00CE0885">
        <w:rPr>
          <w:spacing w:val="-10"/>
          <w:lang w:eastAsia="en-GB"/>
        </w:rPr>
        <w:t xml:space="preserve"> </w:t>
      </w:r>
      <w:r w:rsidRPr="00CE0885">
        <w:rPr>
          <w:spacing w:val="2"/>
          <w:lang w:eastAsia="en-GB"/>
        </w:rPr>
        <w:t>m</w:t>
      </w:r>
      <w:r w:rsidRPr="00CE0885">
        <w:rPr>
          <w:spacing w:val="1"/>
          <w:lang w:eastAsia="en-GB"/>
        </w:rPr>
        <w:t>a</w:t>
      </w:r>
      <w:r w:rsidRPr="00CE0885">
        <w:rPr>
          <w:lang w:eastAsia="en-GB"/>
        </w:rPr>
        <w:t>y, however,</w:t>
      </w:r>
      <w:r w:rsidRPr="00CE0885">
        <w:rPr>
          <w:spacing w:val="-7"/>
          <w:lang w:eastAsia="en-GB"/>
        </w:rPr>
        <w:t xml:space="preserve"> </w:t>
      </w:r>
      <w:r w:rsidRPr="00CE0885">
        <w:rPr>
          <w:spacing w:val="-2"/>
          <w:lang w:eastAsia="en-GB"/>
        </w:rPr>
        <w:t>v</w:t>
      </w:r>
      <w:r w:rsidRPr="00CE0885">
        <w:rPr>
          <w:spacing w:val="1"/>
          <w:lang w:eastAsia="en-GB"/>
        </w:rPr>
        <w:t>a</w:t>
      </w:r>
      <w:r w:rsidRPr="00CE0885">
        <w:rPr>
          <w:spacing w:val="2"/>
          <w:lang w:eastAsia="en-GB"/>
        </w:rPr>
        <w:t>r</w:t>
      </w:r>
      <w:r w:rsidRPr="00CE0885">
        <w:rPr>
          <w:lang w:eastAsia="en-GB"/>
        </w:rPr>
        <w:t>y</w:t>
      </w:r>
      <w:r w:rsidRPr="00CE0885">
        <w:rPr>
          <w:spacing w:val="-7"/>
          <w:lang w:eastAsia="en-GB"/>
        </w:rPr>
        <w:t xml:space="preserve"> </w:t>
      </w:r>
      <w:r w:rsidRPr="00CE0885">
        <w:rPr>
          <w:spacing w:val="1"/>
          <w:lang w:eastAsia="en-GB"/>
        </w:rPr>
        <w:t>th</w:t>
      </w:r>
      <w:r w:rsidRPr="00CE0885">
        <w:rPr>
          <w:lang w:eastAsia="en-GB"/>
        </w:rPr>
        <w:t>e</w:t>
      </w:r>
      <w:r w:rsidRPr="00CE0885">
        <w:rPr>
          <w:spacing w:val="-1"/>
          <w:lang w:eastAsia="en-GB"/>
        </w:rPr>
        <w:t xml:space="preserve"> </w:t>
      </w:r>
      <w:r w:rsidRPr="00CE0885">
        <w:rPr>
          <w:lang w:eastAsia="en-GB"/>
        </w:rPr>
        <w:t>c</w:t>
      </w:r>
      <w:r w:rsidRPr="00CE0885">
        <w:rPr>
          <w:spacing w:val="-1"/>
          <w:lang w:eastAsia="en-GB"/>
        </w:rPr>
        <w:t>o</w:t>
      </w:r>
      <w:r w:rsidRPr="00CE0885">
        <w:rPr>
          <w:spacing w:val="1"/>
          <w:lang w:eastAsia="en-GB"/>
        </w:rPr>
        <w:t>nt</w:t>
      </w:r>
      <w:r w:rsidRPr="00CE0885">
        <w:rPr>
          <w:spacing w:val="-1"/>
          <w:lang w:eastAsia="en-GB"/>
        </w:rPr>
        <w:t>r</w:t>
      </w:r>
      <w:r w:rsidRPr="00CE0885">
        <w:rPr>
          <w:spacing w:val="1"/>
          <w:lang w:eastAsia="en-GB"/>
        </w:rPr>
        <w:t>a</w:t>
      </w:r>
      <w:r w:rsidRPr="00CE0885">
        <w:rPr>
          <w:lang w:eastAsia="en-GB"/>
        </w:rPr>
        <w:t xml:space="preserve">ct </w:t>
      </w:r>
      <w:r w:rsidRPr="00CE0885">
        <w:rPr>
          <w:spacing w:val="-3"/>
          <w:lang w:eastAsia="en-GB"/>
        </w:rPr>
        <w:t>w</w:t>
      </w:r>
      <w:r w:rsidRPr="00CE0885">
        <w:rPr>
          <w:lang w:eastAsia="en-GB"/>
        </w:rPr>
        <w:t>i</w:t>
      </w:r>
      <w:r w:rsidRPr="00CE0885">
        <w:rPr>
          <w:spacing w:val="1"/>
          <w:lang w:eastAsia="en-GB"/>
        </w:rPr>
        <w:t>thou</w:t>
      </w:r>
      <w:r w:rsidRPr="00CE0885">
        <w:rPr>
          <w:lang w:eastAsia="en-GB"/>
        </w:rPr>
        <w:t>t</w:t>
      </w:r>
      <w:r w:rsidRPr="00CE0885">
        <w:rPr>
          <w:spacing w:val="-7"/>
          <w:lang w:eastAsia="en-GB"/>
        </w:rPr>
        <w:t xml:space="preserve"> </w:t>
      </w:r>
      <w:r w:rsidRPr="00CE0885">
        <w:rPr>
          <w:spacing w:val="1"/>
          <w:lang w:eastAsia="en-GB"/>
        </w:rPr>
        <w:t>th</w:t>
      </w:r>
      <w:r w:rsidRPr="00CE0885">
        <w:rPr>
          <w:lang w:eastAsia="en-GB"/>
        </w:rPr>
        <w:t>e</w:t>
      </w:r>
      <w:r w:rsidRPr="00CE0885">
        <w:rPr>
          <w:spacing w:val="-4"/>
          <w:lang w:eastAsia="en-GB"/>
        </w:rPr>
        <w:t xml:space="preserve"> </w:t>
      </w:r>
      <w:r w:rsidRPr="00CE0885">
        <w:rPr>
          <w:lang w:eastAsia="en-GB"/>
        </w:rPr>
        <w:t>c</w:t>
      </w:r>
      <w:r w:rsidRPr="00CE0885">
        <w:rPr>
          <w:spacing w:val="1"/>
          <w:lang w:eastAsia="en-GB"/>
        </w:rPr>
        <w:t>o</w:t>
      </w:r>
      <w:r w:rsidRPr="00CE0885">
        <w:rPr>
          <w:spacing w:val="-1"/>
          <w:lang w:eastAsia="en-GB"/>
        </w:rPr>
        <w:t>n</w:t>
      </w:r>
      <w:r w:rsidRPr="00CE0885">
        <w:rPr>
          <w:spacing w:val="1"/>
          <w:lang w:eastAsia="en-GB"/>
        </w:rPr>
        <w:t>t</w:t>
      </w:r>
      <w:r w:rsidRPr="00CE0885">
        <w:rPr>
          <w:spacing w:val="-1"/>
          <w:lang w:eastAsia="en-GB"/>
        </w:rPr>
        <w:t>r</w:t>
      </w:r>
      <w:r w:rsidRPr="00CE0885">
        <w:rPr>
          <w:spacing w:val="1"/>
          <w:lang w:eastAsia="en-GB"/>
        </w:rPr>
        <w:t>a</w:t>
      </w:r>
      <w:r w:rsidRPr="00CE0885">
        <w:rPr>
          <w:lang w:eastAsia="en-GB"/>
        </w:rPr>
        <w:t>c</w:t>
      </w:r>
      <w:r w:rsidRPr="00CE0885">
        <w:rPr>
          <w:spacing w:val="1"/>
          <w:lang w:eastAsia="en-GB"/>
        </w:rPr>
        <w:t>to</w:t>
      </w:r>
      <w:r w:rsidRPr="00CE0885">
        <w:rPr>
          <w:spacing w:val="-1"/>
          <w:lang w:eastAsia="en-GB"/>
        </w:rPr>
        <w:t>r</w:t>
      </w:r>
      <w:r w:rsidRPr="00CE0885">
        <w:rPr>
          <w:spacing w:val="-3"/>
          <w:lang w:eastAsia="en-GB"/>
        </w:rPr>
        <w:t>’</w:t>
      </w:r>
      <w:r w:rsidRPr="00CE0885">
        <w:rPr>
          <w:lang w:eastAsia="en-GB"/>
        </w:rPr>
        <w:t>s</w:t>
      </w:r>
      <w:r w:rsidRPr="00CE0885">
        <w:rPr>
          <w:spacing w:val="-12"/>
          <w:lang w:eastAsia="en-GB"/>
        </w:rPr>
        <w:t xml:space="preserve"> </w:t>
      </w:r>
      <w:r w:rsidRPr="00CE0885">
        <w:rPr>
          <w:lang w:eastAsia="en-GB"/>
        </w:rPr>
        <w:t>c</w:t>
      </w:r>
      <w:r w:rsidRPr="00CE0885">
        <w:rPr>
          <w:spacing w:val="1"/>
          <w:lang w:eastAsia="en-GB"/>
        </w:rPr>
        <w:t>on</w:t>
      </w:r>
      <w:r w:rsidRPr="00CE0885">
        <w:rPr>
          <w:lang w:eastAsia="en-GB"/>
        </w:rPr>
        <w:t>s</w:t>
      </w:r>
      <w:r w:rsidRPr="00CE0885">
        <w:rPr>
          <w:spacing w:val="-1"/>
          <w:lang w:eastAsia="en-GB"/>
        </w:rPr>
        <w:t>e</w:t>
      </w:r>
      <w:r w:rsidRPr="00CE0885">
        <w:rPr>
          <w:spacing w:val="1"/>
          <w:lang w:eastAsia="en-GB"/>
        </w:rPr>
        <w:t>n</w:t>
      </w:r>
      <w:r w:rsidRPr="00CE0885">
        <w:rPr>
          <w:lang w:eastAsia="en-GB"/>
        </w:rPr>
        <w:t>t</w:t>
      </w:r>
      <w:r w:rsidRPr="00CE0885">
        <w:rPr>
          <w:spacing w:val="-7"/>
          <w:lang w:eastAsia="en-GB"/>
        </w:rPr>
        <w:t xml:space="preserve"> </w:t>
      </w:r>
      <w:r w:rsidRPr="00CE0885">
        <w:rPr>
          <w:spacing w:val="-3"/>
          <w:lang w:eastAsia="en-GB"/>
        </w:rPr>
        <w:t>w</w:t>
      </w:r>
      <w:r w:rsidRPr="00CE0885">
        <w:rPr>
          <w:spacing w:val="1"/>
          <w:lang w:eastAsia="en-GB"/>
        </w:rPr>
        <w:t>he</w:t>
      </w:r>
      <w:r w:rsidRPr="00CE0885">
        <w:rPr>
          <w:spacing w:val="-1"/>
          <w:lang w:eastAsia="en-GB"/>
        </w:rPr>
        <w:t>r</w:t>
      </w:r>
      <w:r w:rsidRPr="00CE0885">
        <w:rPr>
          <w:lang w:eastAsia="en-GB"/>
        </w:rPr>
        <w:t>e</w:t>
      </w:r>
      <w:r w:rsidRPr="00CE0885">
        <w:rPr>
          <w:spacing w:val="-5"/>
          <w:lang w:eastAsia="en-GB"/>
        </w:rPr>
        <w:t xml:space="preserve"> </w:t>
      </w:r>
      <w:r w:rsidRPr="00CE0885">
        <w:rPr>
          <w:lang w:eastAsia="en-GB"/>
        </w:rPr>
        <w:t>it is</w:t>
      </w:r>
      <w:r w:rsidRPr="00CE0885">
        <w:rPr>
          <w:spacing w:val="-2"/>
          <w:lang w:eastAsia="en-GB"/>
        </w:rPr>
        <w:t xml:space="preserve"> </w:t>
      </w:r>
      <w:r w:rsidRPr="00CE0885">
        <w:rPr>
          <w:spacing w:val="-1"/>
          <w:lang w:eastAsia="en-GB"/>
        </w:rPr>
        <w:t>re</w:t>
      </w:r>
      <w:r w:rsidRPr="00CE0885">
        <w:rPr>
          <w:spacing w:val="1"/>
          <w:lang w:eastAsia="en-GB"/>
        </w:rPr>
        <w:t>a</w:t>
      </w:r>
      <w:r w:rsidRPr="00CE0885">
        <w:rPr>
          <w:lang w:eastAsia="en-GB"/>
        </w:rPr>
        <w:t>s</w:t>
      </w:r>
      <w:r w:rsidRPr="00CE0885">
        <w:rPr>
          <w:spacing w:val="1"/>
          <w:lang w:eastAsia="en-GB"/>
        </w:rPr>
        <w:t>o</w:t>
      </w:r>
      <w:r w:rsidRPr="00CE0885">
        <w:rPr>
          <w:spacing w:val="-1"/>
          <w:lang w:eastAsia="en-GB"/>
        </w:rPr>
        <w:t>n</w:t>
      </w:r>
      <w:r w:rsidRPr="00CE0885">
        <w:rPr>
          <w:spacing w:val="1"/>
          <w:lang w:eastAsia="en-GB"/>
        </w:rPr>
        <w:t>ab</w:t>
      </w:r>
      <w:r w:rsidRPr="00CE0885">
        <w:rPr>
          <w:lang w:eastAsia="en-GB"/>
        </w:rPr>
        <w:t>ly</w:t>
      </w:r>
      <w:r w:rsidRPr="00CE0885">
        <w:rPr>
          <w:spacing w:val="-14"/>
          <w:lang w:eastAsia="en-GB"/>
        </w:rPr>
        <w:t xml:space="preserve"> </w:t>
      </w:r>
      <w:r w:rsidRPr="00CE0885">
        <w:rPr>
          <w:lang w:eastAsia="en-GB"/>
        </w:rPr>
        <w:t>s</w:t>
      </w:r>
      <w:r w:rsidRPr="00CE0885">
        <w:rPr>
          <w:spacing w:val="1"/>
          <w:lang w:eastAsia="en-GB"/>
        </w:rPr>
        <w:t>at</w:t>
      </w:r>
      <w:r w:rsidRPr="00CE0885">
        <w:rPr>
          <w:lang w:eastAsia="en-GB"/>
        </w:rPr>
        <w:t>is</w:t>
      </w:r>
      <w:r w:rsidRPr="00CE0885">
        <w:rPr>
          <w:spacing w:val="3"/>
          <w:lang w:eastAsia="en-GB"/>
        </w:rPr>
        <w:t>f</w:t>
      </w:r>
      <w:r w:rsidRPr="00CE0885">
        <w:rPr>
          <w:spacing w:val="-3"/>
          <w:lang w:eastAsia="en-GB"/>
        </w:rPr>
        <w:t>i</w:t>
      </w:r>
      <w:r w:rsidRPr="00CE0885">
        <w:rPr>
          <w:spacing w:val="1"/>
          <w:lang w:eastAsia="en-GB"/>
        </w:rPr>
        <w:t>e</w:t>
      </w:r>
      <w:r w:rsidRPr="00CE0885">
        <w:rPr>
          <w:lang w:eastAsia="en-GB"/>
        </w:rPr>
        <w:t>d</w:t>
      </w:r>
      <w:r w:rsidRPr="00CE0885">
        <w:rPr>
          <w:spacing w:val="-7"/>
          <w:lang w:eastAsia="en-GB"/>
        </w:rPr>
        <w:t xml:space="preserve"> </w:t>
      </w:r>
      <w:r w:rsidRPr="00CE0885">
        <w:rPr>
          <w:spacing w:val="-2"/>
          <w:lang w:eastAsia="en-GB"/>
        </w:rPr>
        <w:t>t</w:t>
      </w:r>
      <w:r w:rsidRPr="00CE0885">
        <w:rPr>
          <w:spacing w:val="1"/>
          <w:lang w:eastAsia="en-GB"/>
        </w:rPr>
        <w:t>ha</w:t>
      </w:r>
      <w:r w:rsidRPr="00CE0885">
        <w:rPr>
          <w:lang w:eastAsia="en-GB"/>
        </w:rPr>
        <w:t>t</w:t>
      </w:r>
      <w:r w:rsidRPr="00CE0885">
        <w:rPr>
          <w:spacing w:val="-8"/>
          <w:lang w:eastAsia="en-GB"/>
        </w:rPr>
        <w:t xml:space="preserve"> </w:t>
      </w:r>
      <w:r w:rsidRPr="00CE0885">
        <w:rPr>
          <w:lang w:eastAsia="en-GB"/>
        </w:rPr>
        <w:t xml:space="preserve">it is </w:t>
      </w:r>
      <w:r w:rsidRPr="00CE0885">
        <w:rPr>
          <w:spacing w:val="1"/>
          <w:lang w:eastAsia="en-GB"/>
        </w:rPr>
        <w:t>ne</w:t>
      </w:r>
      <w:r w:rsidRPr="00CE0885">
        <w:rPr>
          <w:lang w:eastAsia="en-GB"/>
        </w:rPr>
        <w:t>c</w:t>
      </w:r>
      <w:r w:rsidRPr="00CE0885">
        <w:rPr>
          <w:spacing w:val="1"/>
          <w:lang w:eastAsia="en-GB"/>
        </w:rPr>
        <w:t>e</w:t>
      </w:r>
      <w:r w:rsidRPr="00CE0885">
        <w:rPr>
          <w:lang w:eastAsia="en-GB"/>
        </w:rPr>
        <w:t>s</w:t>
      </w:r>
      <w:r w:rsidRPr="00CE0885">
        <w:rPr>
          <w:spacing w:val="-2"/>
          <w:lang w:eastAsia="en-GB"/>
        </w:rPr>
        <w:t>s</w:t>
      </w:r>
      <w:r w:rsidRPr="00CE0885">
        <w:rPr>
          <w:spacing w:val="1"/>
          <w:lang w:eastAsia="en-GB"/>
        </w:rPr>
        <w:t>a</w:t>
      </w:r>
      <w:r w:rsidRPr="00CE0885">
        <w:rPr>
          <w:spacing w:val="-1"/>
          <w:lang w:eastAsia="en-GB"/>
        </w:rPr>
        <w:t>r</w:t>
      </w:r>
      <w:r w:rsidRPr="00CE0885">
        <w:rPr>
          <w:lang w:eastAsia="en-GB"/>
        </w:rPr>
        <w:t>y</w:t>
      </w:r>
      <w:r w:rsidRPr="00CE0885">
        <w:rPr>
          <w:spacing w:val="-13"/>
          <w:lang w:eastAsia="en-GB"/>
        </w:rPr>
        <w:t xml:space="preserve"> </w:t>
      </w:r>
      <w:r w:rsidRPr="00CE0885">
        <w:rPr>
          <w:spacing w:val="1"/>
          <w:lang w:eastAsia="en-GB"/>
        </w:rPr>
        <w:t>t</w:t>
      </w:r>
      <w:r w:rsidRPr="00CE0885">
        <w:rPr>
          <w:lang w:eastAsia="en-GB"/>
        </w:rPr>
        <w:t xml:space="preserve">o </w:t>
      </w:r>
      <w:r w:rsidRPr="00CE0885">
        <w:rPr>
          <w:spacing w:val="1"/>
          <w:lang w:eastAsia="en-GB"/>
        </w:rPr>
        <w:t>d</w:t>
      </w:r>
      <w:r w:rsidRPr="00CE0885">
        <w:rPr>
          <w:lang w:eastAsia="en-GB"/>
        </w:rPr>
        <w:t>o</w:t>
      </w:r>
      <w:r w:rsidRPr="00CE0885">
        <w:rPr>
          <w:spacing w:val="-1"/>
          <w:lang w:eastAsia="en-GB"/>
        </w:rPr>
        <w:t xml:space="preserve"> </w:t>
      </w:r>
      <w:r w:rsidRPr="00CE0885">
        <w:rPr>
          <w:spacing w:val="-2"/>
          <w:lang w:eastAsia="en-GB"/>
        </w:rPr>
        <w:t>s</w:t>
      </w:r>
      <w:r w:rsidRPr="00CE0885">
        <w:rPr>
          <w:lang w:eastAsia="en-GB"/>
        </w:rPr>
        <w:t>o</w:t>
      </w:r>
      <w:r w:rsidRPr="00CE0885">
        <w:rPr>
          <w:spacing w:val="-1"/>
          <w:lang w:eastAsia="en-GB"/>
        </w:rPr>
        <w:t xml:space="preserve"> </w:t>
      </w:r>
      <w:r w:rsidRPr="00CE0885">
        <w:rPr>
          <w:spacing w:val="1"/>
          <w:lang w:eastAsia="en-GB"/>
        </w:rPr>
        <w:t>t</w:t>
      </w:r>
      <w:r w:rsidRPr="00CE0885">
        <w:rPr>
          <w:lang w:eastAsia="en-GB"/>
        </w:rPr>
        <w:t>o</w:t>
      </w:r>
      <w:r w:rsidRPr="00CE0885">
        <w:rPr>
          <w:spacing w:val="-5"/>
          <w:lang w:eastAsia="en-GB"/>
        </w:rPr>
        <w:t xml:space="preserve"> </w:t>
      </w:r>
      <w:r w:rsidRPr="00CE0885">
        <w:rPr>
          <w:lang w:eastAsia="en-GB"/>
        </w:rPr>
        <w:t>c</w:t>
      </w:r>
      <w:r w:rsidRPr="00CE0885">
        <w:rPr>
          <w:spacing w:val="1"/>
          <w:lang w:eastAsia="en-GB"/>
        </w:rPr>
        <w:t>o</w:t>
      </w:r>
      <w:r w:rsidRPr="00CE0885">
        <w:rPr>
          <w:spacing w:val="2"/>
          <w:lang w:eastAsia="en-GB"/>
        </w:rPr>
        <w:t>m</w:t>
      </w:r>
      <w:r w:rsidRPr="00CE0885">
        <w:rPr>
          <w:spacing w:val="1"/>
          <w:lang w:eastAsia="en-GB"/>
        </w:rPr>
        <w:t>p</w:t>
      </w:r>
      <w:r w:rsidRPr="00CE0885">
        <w:rPr>
          <w:lang w:eastAsia="en-GB"/>
        </w:rPr>
        <w:t>ly</w:t>
      </w:r>
      <w:r w:rsidRPr="00CE0885">
        <w:rPr>
          <w:spacing w:val="-10"/>
          <w:lang w:eastAsia="en-GB"/>
        </w:rPr>
        <w:t xml:space="preserve"> </w:t>
      </w:r>
      <w:r w:rsidRPr="00CE0885">
        <w:rPr>
          <w:spacing w:val="-3"/>
          <w:lang w:eastAsia="en-GB"/>
        </w:rPr>
        <w:t>w</w:t>
      </w:r>
      <w:r w:rsidRPr="00CE0885">
        <w:rPr>
          <w:lang w:eastAsia="en-GB"/>
        </w:rPr>
        <w:t>i</w:t>
      </w:r>
      <w:r w:rsidRPr="00CE0885">
        <w:rPr>
          <w:spacing w:val="1"/>
          <w:lang w:eastAsia="en-GB"/>
        </w:rPr>
        <w:t>t</w:t>
      </w:r>
      <w:r w:rsidRPr="00CE0885">
        <w:rPr>
          <w:lang w:eastAsia="en-GB"/>
        </w:rPr>
        <w:t>h</w:t>
      </w:r>
      <w:r w:rsidRPr="00CE0885">
        <w:rPr>
          <w:spacing w:val="-2"/>
          <w:lang w:eastAsia="en-GB"/>
        </w:rPr>
        <w:t xml:space="preserve"> </w:t>
      </w:r>
      <w:r w:rsidRPr="00CE0885">
        <w:rPr>
          <w:spacing w:val="1"/>
          <w:lang w:eastAsia="en-GB"/>
        </w:rPr>
        <w:t>th</w:t>
      </w:r>
      <w:r w:rsidRPr="00CE0885">
        <w:rPr>
          <w:lang w:eastAsia="en-GB"/>
        </w:rPr>
        <w:t>e</w:t>
      </w:r>
      <w:r w:rsidRPr="00CE0885">
        <w:rPr>
          <w:spacing w:val="-1"/>
          <w:lang w:eastAsia="en-GB"/>
        </w:rPr>
        <w:t xml:space="preserve"> </w:t>
      </w:r>
      <w:r w:rsidRPr="00CE0885">
        <w:rPr>
          <w:lang w:eastAsia="en-GB"/>
        </w:rPr>
        <w:t>NHS</w:t>
      </w:r>
      <w:r w:rsidRPr="00CE0885">
        <w:rPr>
          <w:spacing w:val="-4"/>
          <w:lang w:eastAsia="en-GB"/>
        </w:rPr>
        <w:t xml:space="preserve"> </w:t>
      </w:r>
      <w:r w:rsidRPr="00CE0885">
        <w:rPr>
          <w:spacing w:val="-2"/>
          <w:lang w:eastAsia="en-GB"/>
        </w:rPr>
        <w:t>A</w:t>
      </w:r>
      <w:r w:rsidRPr="00CE0885">
        <w:rPr>
          <w:lang w:eastAsia="en-GB"/>
        </w:rPr>
        <w:t>c</w:t>
      </w:r>
      <w:r w:rsidRPr="00CE0885">
        <w:rPr>
          <w:spacing w:val="1"/>
          <w:lang w:eastAsia="en-GB"/>
        </w:rPr>
        <w:t>t</w:t>
      </w:r>
      <w:r w:rsidRPr="00CE0885">
        <w:rPr>
          <w:lang w:eastAsia="en-GB"/>
        </w:rPr>
        <w:t>,</w:t>
      </w:r>
      <w:r w:rsidRPr="00CE0885">
        <w:rPr>
          <w:spacing w:val="-3"/>
          <w:lang w:eastAsia="en-GB"/>
        </w:rPr>
        <w:t xml:space="preserve"> </w:t>
      </w:r>
      <w:r w:rsidRPr="00CE0885">
        <w:rPr>
          <w:spacing w:val="1"/>
          <w:lang w:eastAsia="en-GB"/>
        </w:rPr>
        <w:t>an</w:t>
      </w:r>
      <w:r w:rsidRPr="00CE0885">
        <w:rPr>
          <w:lang w:eastAsia="en-GB"/>
        </w:rPr>
        <w:t>y</w:t>
      </w:r>
      <w:r w:rsidRPr="00CE0885">
        <w:rPr>
          <w:spacing w:val="-6"/>
          <w:lang w:eastAsia="en-GB"/>
        </w:rPr>
        <w:t xml:space="preserve"> </w:t>
      </w:r>
      <w:r w:rsidRPr="00CE0885">
        <w:rPr>
          <w:spacing w:val="-1"/>
          <w:lang w:eastAsia="en-GB"/>
        </w:rPr>
        <w:t>r</w:t>
      </w:r>
      <w:r w:rsidRPr="00CE0885">
        <w:rPr>
          <w:spacing w:val="1"/>
          <w:lang w:eastAsia="en-GB"/>
        </w:rPr>
        <w:t>e</w:t>
      </w:r>
      <w:r w:rsidRPr="00CE0885">
        <w:rPr>
          <w:spacing w:val="-1"/>
          <w:lang w:eastAsia="en-GB"/>
        </w:rPr>
        <w:t>g</w:t>
      </w:r>
      <w:r w:rsidRPr="00CE0885">
        <w:rPr>
          <w:spacing w:val="1"/>
          <w:lang w:eastAsia="en-GB"/>
        </w:rPr>
        <w:t>u</w:t>
      </w:r>
      <w:r w:rsidRPr="00CE0885">
        <w:rPr>
          <w:lang w:eastAsia="en-GB"/>
        </w:rPr>
        <w:t>l</w:t>
      </w:r>
      <w:r w:rsidRPr="00CE0885">
        <w:rPr>
          <w:spacing w:val="1"/>
          <w:lang w:eastAsia="en-GB"/>
        </w:rPr>
        <w:t>ato</w:t>
      </w:r>
      <w:r w:rsidRPr="00CE0885">
        <w:rPr>
          <w:spacing w:val="-1"/>
          <w:lang w:eastAsia="en-GB"/>
        </w:rPr>
        <w:t>r</w:t>
      </w:r>
      <w:r w:rsidRPr="00CE0885">
        <w:rPr>
          <w:lang w:eastAsia="en-GB"/>
        </w:rPr>
        <w:t>y</w:t>
      </w:r>
      <w:r w:rsidRPr="00CE0885">
        <w:rPr>
          <w:spacing w:val="-13"/>
          <w:lang w:eastAsia="en-GB"/>
        </w:rPr>
        <w:t xml:space="preserve"> </w:t>
      </w:r>
      <w:r w:rsidRPr="00CE0885">
        <w:rPr>
          <w:lang w:eastAsia="en-GB"/>
        </w:rPr>
        <w:t>c</w:t>
      </w:r>
      <w:r w:rsidRPr="00CE0885">
        <w:rPr>
          <w:spacing w:val="1"/>
          <w:lang w:eastAsia="en-GB"/>
        </w:rPr>
        <w:t>ha</w:t>
      </w:r>
      <w:r w:rsidRPr="00CE0885">
        <w:rPr>
          <w:spacing w:val="-1"/>
          <w:lang w:eastAsia="en-GB"/>
        </w:rPr>
        <w:t>ng</w:t>
      </w:r>
      <w:r w:rsidRPr="00CE0885">
        <w:rPr>
          <w:spacing w:val="1"/>
          <w:lang w:eastAsia="en-GB"/>
        </w:rPr>
        <w:t>e</w:t>
      </w:r>
      <w:r w:rsidRPr="00CE0885">
        <w:rPr>
          <w:lang w:eastAsia="en-GB"/>
        </w:rPr>
        <w:t xml:space="preserve">s </w:t>
      </w:r>
      <w:r w:rsidRPr="00CE0885">
        <w:rPr>
          <w:spacing w:val="1"/>
          <w:lang w:eastAsia="en-GB"/>
        </w:rPr>
        <w:t>pu</w:t>
      </w:r>
      <w:r w:rsidRPr="00CE0885">
        <w:rPr>
          <w:spacing w:val="-1"/>
          <w:lang w:eastAsia="en-GB"/>
        </w:rPr>
        <w:t>r</w:t>
      </w:r>
      <w:r w:rsidRPr="00CE0885">
        <w:rPr>
          <w:lang w:eastAsia="en-GB"/>
        </w:rPr>
        <w:t>s</w:t>
      </w:r>
      <w:r w:rsidRPr="00CE0885">
        <w:rPr>
          <w:spacing w:val="1"/>
          <w:lang w:eastAsia="en-GB"/>
        </w:rPr>
        <w:t>u</w:t>
      </w:r>
      <w:r w:rsidRPr="00CE0885">
        <w:rPr>
          <w:spacing w:val="-1"/>
          <w:lang w:eastAsia="en-GB"/>
        </w:rPr>
        <w:t>a</w:t>
      </w:r>
      <w:r w:rsidRPr="00CE0885">
        <w:rPr>
          <w:spacing w:val="1"/>
          <w:lang w:eastAsia="en-GB"/>
        </w:rPr>
        <w:t>n</w:t>
      </w:r>
      <w:r w:rsidRPr="00CE0885">
        <w:rPr>
          <w:lang w:eastAsia="en-GB"/>
        </w:rPr>
        <w:t>t</w:t>
      </w:r>
      <w:r w:rsidRPr="00CE0885">
        <w:rPr>
          <w:spacing w:val="-8"/>
          <w:lang w:eastAsia="en-GB"/>
        </w:rPr>
        <w:t xml:space="preserve"> </w:t>
      </w:r>
      <w:r w:rsidRPr="00CE0885">
        <w:rPr>
          <w:spacing w:val="-2"/>
          <w:lang w:eastAsia="en-GB"/>
        </w:rPr>
        <w:t>t</w:t>
      </w:r>
      <w:r w:rsidRPr="00CE0885">
        <w:rPr>
          <w:lang w:eastAsia="en-GB"/>
        </w:rPr>
        <w:t xml:space="preserve">o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NHS </w:t>
      </w:r>
      <w:r w:rsidRPr="00CE0885">
        <w:rPr>
          <w:spacing w:val="1"/>
          <w:lang w:eastAsia="en-GB"/>
        </w:rPr>
        <w:t>A</w:t>
      </w:r>
      <w:r w:rsidRPr="00CE0885">
        <w:rPr>
          <w:spacing w:val="-2"/>
          <w:lang w:eastAsia="en-GB"/>
        </w:rPr>
        <w:t>c</w:t>
      </w:r>
      <w:r w:rsidRPr="00CE0885">
        <w:rPr>
          <w:lang w:eastAsia="en-GB"/>
        </w:rPr>
        <w:t>t</w:t>
      </w:r>
      <w:r w:rsidRPr="00CE0885">
        <w:rPr>
          <w:spacing w:val="-2"/>
          <w:lang w:eastAsia="en-GB"/>
        </w:rPr>
        <w:t xml:space="preserve"> </w:t>
      </w:r>
      <w:r w:rsidRPr="00CE0885">
        <w:rPr>
          <w:spacing w:val="1"/>
          <w:lang w:eastAsia="en-GB"/>
        </w:rPr>
        <w:t>o</w:t>
      </w:r>
      <w:r w:rsidRPr="00CE0885">
        <w:rPr>
          <w:lang w:eastAsia="en-GB"/>
        </w:rPr>
        <w:t>r</w:t>
      </w:r>
      <w:r w:rsidRPr="00CE0885">
        <w:rPr>
          <w:spacing w:val="-5"/>
          <w:lang w:eastAsia="en-GB"/>
        </w:rPr>
        <w:t xml:space="preserve"> </w:t>
      </w:r>
      <w:r w:rsidRPr="00CE0885">
        <w:rPr>
          <w:spacing w:val="1"/>
          <w:lang w:eastAsia="en-GB"/>
        </w:rPr>
        <w:t>an</w:t>
      </w:r>
      <w:r w:rsidRPr="00CE0885">
        <w:rPr>
          <w:lang w:eastAsia="en-GB"/>
        </w:rPr>
        <w:t>y</w:t>
      </w:r>
      <w:r w:rsidRPr="00CE0885">
        <w:rPr>
          <w:spacing w:val="-6"/>
          <w:lang w:eastAsia="en-GB"/>
        </w:rPr>
        <w:t xml:space="preserve"> </w:t>
      </w:r>
      <w:r w:rsidRPr="00CE0885">
        <w:rPr>
          <w:spacing w:val="1"/>
          <w:lang w:eastAsia="en-GB"/>
        </w:rPr>
        <w:t>d</w:t>
      </w:r>
      <w:r w:rsidRPr="00CE0885">
        <w:rPr>
          <w:lang w:eastAsia="en-GB"/>
        </w:rPr>
        <w:t>i</w:t>
      </w:r>
      <w:r w:rsidRPr="00CE0885">
        <w:rPr>
          <w:spacing w:val="-1"/>
          <w:lang w:eastAsia="en-GB"/>
        </w:rPr>
        <w:t>r</w:t>
      </w:r>
      <w:r w:rsidRPr="00CE0885">
        <w:rPr>
          <w:spacing w:val="1"/>
          <w:lang w:eastAsia="en-GB"/>
        </w:rPr>
        <w:t>e</w:t>
      </w:r>
      <w:r w:rsidRPr="00CE0885">
        <w:rPr>
          <w:lang w:eastAsia="en-GB"/>
        </w:rPr>
        <w:t>c</w:t>
      </w:r>
      <w:r w:rsidRPr="00CE0885">
        <w:rPr>
          <w:spacing w:val="1"/>
          <w:lang w:eastAsia="en-GB"/>
        </w:rPr>
        <w:t>t</w:t>
      </w:r>
      <w:r w:rsidRPr="00CE0885">
        <w:rPr>
          <w:lang w:eastAsia="en-GB"/>
        </w:rPr>
        <w:t>i</w:t>
      </w:r>
      <w:r w:rsidRPr="00CE0885">
        <w:rPr>
          <w:spacing w:val="1"/>
          <w:lang w:eastAsia="en-GB"/>
        </w:rPr>
        <w:t>o</w:t>
      </w:r>
      <w:r w:rsidRPr="00CE0885">
        <w:rPr>
          <w:lang w:eastAsia="en-GB"/>
        </w:rPr>
        <w:t>n</w:t>
      </w:r>
      <w:r w:rsidRPr="00CE0885">
        <w:rPr>
          <w:spacing w:val="-7"/>
          <w:lang w:eastAsia="en-GB"/>
        </w:rPr>
        <w:t xml:space="preserve"> </w:t>
      </w:r>
      <w:r w:rsidRPr="00CE0885">
        <w:rPr>
          <w:spacing w:val="-1"/>
          <w:lang w:eastAsia="en-GB"/>
        </w:rPr>
        <w:t>g</w:t>
      </w:r>
      <w:r w:rsidRPr="00CE0885">
        <w:rPr>
          <w:lang w:eastAsia="en-GB"/>
        </w:rPr>
        <w:t>i</w:t>
      </w:r>
      <w:r w:rsidRPr="00CE0885">
        <w:rPr>
          <w:spacing w:val="-2"/>
          <w:lang w:eastAsia="en-GB"/>
        </w:rPr>
        <w:t>v</w:t>
      </w:r>
      <w:r w:rsidRPr="00CE0885">
        <w:rPr>
          <w:spacing w:val="1"/>
          <w:lang w:eastAsia="en-GB"/>
        </w:rPr>
        <w:t>e</w:t>
      </w:r>
      <w:r w:rsidRPr="00CE0885">
        <w:rPr>
          <w:lang w:eastAsia="en-GB"/>
        </w:rPr>
        <w:t>n</w:t>
      </w:r>
      <w:r w:rsidRPr="00CE0885">
        <w:rPr>
          <w:spacing w:val="-4"/>
          <w:lang w:eastAsia="en-GB"/>
        </w:rPr>
        <w:t xml:space="preserve"> </w:t>
      </w:r>
      <w:r w:rsidRPr="00CE0885">
        <w:rPr>
          <w:spacing w:val="1"/>
          <w:lang w:eastAsia="en-GB"/>
        </w:rPr>
        <w:t>b</w:t>
      </w:r>
      <w:r w:rsidRPr="00CE0885">
        <w:rPr>
          <w:lang w:eastAsia="en-GB"/>
        </w:rPr>
        <w:t>y</w:t>
      </w:r>
      <w:r w:rsidRPr="00CE0885">
        <w:rPr>
          <w:spacing w:val="-5"/>
          <w:lang w:eastAsia="en-GB"/>
        </w:rPr>
        <w:t xml:space="preserve"> </w:t>
      </w:r>
      <w:r w:rsidRPr="00CE0885">
        <w:rPr>
          <w:spacing w:val="1"/>
          <w:lang w:eastAsia="en-GB"/>
        </w:rPr>
        <w:t>th</w:t>
      </w:r>
      <w:r w:rsidRPr="00CE0885">
        <w:rPr>
          <w:lang w:eastAsia="en-GB"/>
        </w:rPr>
        <w:t>e</w:t>
      </w:r>
      <w:r w:rsidRPr="00CE0885">
        <w:rPr>
          <w:spacing w:val="-1"/>
          <w:lang w:eastAsia="en-GB"/>
        </w:rPr>
        <w:t xml:space="preserve"> </w:t>
      </w:r>
      <w:r w:rsidRPr="00CE0885">
        <w:rPr>
          <w:spacing w:val="-2"/>
          <w:lang w:eastAsia="en-GB"/>
        </w:rPr>
        <w:t>S</w:t>
      </w:r>
      <w:r w:rsidRPr="00CE0885">
        <w:rPr>
          <w:spacing w:val="1"/>
          <w:lang w:eastAsia="en-GB"/>
        </w:rPr>
        <w:t>e</w:t>
      </w:r>
      <w:r w:rsidRPr="00CE0885">
        <w:rPr>
          <w:lang w:eastAsia="en-GB"/>
        </w:rPr>
        <w:t>c</w:t>
      </w:r>
      <w:r w:rsidRPr="00CE0885">
        <w:rPr>
          <w:spacing w:val="-1"/>
          <w:lang w:eastAsia="en-GB"/>
        </w:rPr>
        <w:t>r</w:t>
      </w:r>
      <w:r w:rsidRPr="00CE0885">
        <w:rPr>
          <w:spacing w:val="1"/>
          <w:lang w:eastAsia="en-GB"/>
        </w:rPr>
        <w:t>eta</w:t>
      </w:r>
      <w:r w:rsidRPr="00CE0885">
        <w:rPr>
          <w:spacing w:val="-1"/>
          <w:lang w:eastAsia="en-GB"/>
        </w:rPr>
        <w:t>r</w:t>
      </w:r>
      <w:r w:rsidRPr="00CE0885">
        <w:rPr>
          <w:lang w:eastAsia="en-GB"/>
        </w:rPr>
        <w:t>y</w:t>
      </w:r>
      <w:r w:rsidRPr="00CE0885">
        <w:rPr>
          <w:spacing w:val="-12"/>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2"/>
          <w:lang w:eastAsia="en-GB"/>
        </w:rPr>
        <w:t>S</w:t>
      </w:r>
      <w:r w:rsidRPr="00CE0885">
        <w:rPr>
          <w:spacing w:val="1"/>
          <w:lang w:eastAsia="en-GB"/>
        </w:rPr>
        <w:t>ta</w:t>
      </w:r>
      <w:r w:rsidRPr="00CE0885">
        <w:rPr>
          <w:spacing w:val="-2"/>
          <w:lang w:eastAsia="en-GB"/>
        </w:rPr>
        <w:t>t</w:t>
      </w:r>
      <w:r w:rsidRPr="00CE0885">
        <w:rPr>
          <w:lang w:eastAsia="en-GB"/>
        </w:rPr>
        <w:t xml:space="preserve">e </w:t>
      </w:r>
      <w:r w:rsidRPr="00CE0885">
        <w:rPr>
          <w:spacing w:val="1"/>
          <w:lang w:eastAsia="en-GB"/>
        </w:rPr>
        <w:lastRenderedPageBreak/>
        <w:t>pu</w:t>
      </w:r>
      <w:r w:rsidRPr="00CE0885">
        <w:rPr>
          <w:spacing w:val="-1"/>
          <w:lang w:eastAsia="en-GB"/>
        </w:rPr>
        <w:t>r</w:t>
      </w:r>
      <w:r w:rsidRPr="00CE0885">
        <w:rPr>
          <w:lang w:eastAsia="en-GB"/>
        </w:rPr>
        <w:t>s</w:t>
      </w:r>
      <w:r w:rsidRPr="00CE0885">
        <w:rPr>
          <w:spacing w:val="1"/>
          <w:lang w:eastAsia="en-GB"/>
        </w:rPr>
        <w:t>u</w:t>
      </w:r>
      <w:r w:rsidRPr="00CE0885">
        <w:rPr>
          <w:spacing w:val="-1"/>
          <w:lang w:eastAsia="en-GB"/>
        </w:rPr>
        <w:t>a</w:t>
      </w:r>
      <w:r w:rsidRPr="00CE0885">
        <w:rPr>
          <w:spacing w:val="1"/>
          <w:lang w:eastAsia="en-GB"/>
        </w:rPr>
        <w:t>n</w:t>
      </w:r>
      <w:r w:rsidRPr="00CE0885">
        <w:rPr>
          <w:lang w:eastAsia="en-GB"/>
        </w:rPr>
        <w:t>t</w:t>
      </w:r>
      <w:r w:rsidRPr="00CE0885">
        <w:rPr>
          <w:spacing w:val="-8"/>
          <w:lang w:eastAsia="en-GB"/>
        </w:rPr>
        <w:t xml:space="preserve"> </w:t>
      </w:r>
      <w:r w:rsidRPr="00CE0885">
        <w:rPr>
          <w:spacing w:val="-2"/>
          <w:lang w:eastAsia="en-GB"/>
        </w:rPr>
        <w:t>t</w:t>
      </w:r>
      <w:r w:rsidRPr="00CE0885">
        <w:rPr>
          <w:lang w:eastAsia="en-GB"/>
        </w:rPr>
        <w:t xml:space="preserve">o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NHS </w:t>
      </w:r>
      <w:r w:rsidRPr="00CE0885">
        <w:rPr>
          <w:spacing w:val="1"/>
          <w:lang w:eastAsia="en-GB"/>
        </w:rPr>
        <w:t>A</w:t>
      </w:r>
      <w:r w:rsidRPr="00CE0885">
        <w:rPr>
          <w:spacing w:val="-2"/>
          <w:lang w:eastAsia="en-GB"/>
        </w:rPr>
        <w:t>c</w:t>
      </w:r>
      <w:r w:rsidRPr="00CE0885">
        <w:rPr>
          <w:spacing w:val="1"/>
          <w:lang w:eastAsia="en-GB"/>
        </w:rPr>
        <w:t>t</w:t>
      </w:r>
      <w:r w:rsidRPr="00CE0885">
        <w:rPr>
          <w:lang w:eastAsia="en-GB"/>
        </w:rPr>
        <w:t>. This right is contained within all GMS, PMS, APMS and where appropriate MCP/PACS contracts.</w:t>
      </w:r>
      <w:bookmarkEnd w:id="558"/>
      <w:r w:rsidRPr="00CE0885">
        <w:rPr>
          <w:lang w:eastAsia="en-GB"/>
        </w:rPr>
        <w:t xml:space="preserve"> </w:t>
      </w:r>
    </w:p>
    <w:p w14:paraId="128E4DCD" w14:textId="77777777" w:rsidR="00977693" w:rsidRPr="00CE0885" w:rsidRDefault="00977693" w:rsidP="006B781A">
      <w:pPr>
        <w:pStyle w:val="Heading3"/>
        <w:rPr>
          <w:lang w:eastAsia="en-GB"/>
        </w:rPr>
      </w:pPr>
      <w:bookmarkStart w:id="559" w:name="_Toc440981713"/>
      <w:r w:rsidRPr="00CE0885">
        <w:rPr>
          <w:lang w:eastAsia="en-GB"/>
        </w:rPr>
        <w:t>The Commissioner</w:t>
      </w:r>
      <w:r w:rsidRPr="00CE0885">
        <w:rPr>
          <w:spacing w:val="-10"/>
          <w:lang w:eastAsia="en-GB"/>
        </w:rPr>
        <w:t xml:space="preserve"> </w:t>
      </w:r>
      <w:r w:rsidRPr="00CE0885">
        <w:rPr>
          <w:spacing w:val="2"/>
          <w:lang w:eastAsia="en-GB"/>
        </w:rPr>
        <w:t>m</w:t>
      </w:r>
      <w:r w:rsidRPr="00CE0885">
        <w:rPr>
          <w:spacing w:val="1"/>
          <w:lang w:eastAsia="en-GB"/>
        </w:rPr>
        <w:t>u</w:t>
      </w:r>
      <w:r w:rsidRPr="00CE0885">
        <w:rPr>
          <w:spacing w:val="-2"/>
          <w:lang w:eastAsia="en-GB"/>
        </w:rPr>
        <w:t>s</w:t>
      </w:r>
      <w:r w:rsidRPr="00CE0885">
        <w:rPr>
          <w:lang w:eastAsia="en-GB"/>
        </w:rPr>
        <w:t>t</w:t>
      </w:r>
      <w:r w:rsidRPr="00CE0885">
        <w:rPr>
          <w:spacing w:val="-4"/>
          <w:lang w:eastAsia="en-GB"/>
        </w:rPr>
        <w:t xml:space="preserve"> </w:t>
      </w:r>
      <w:r w:rsidRPr="00CE0885">
        <w:rPr>
          <w:spacing w:val="-1"/>
          <w:lang w:eastAsia="en-GB"/>
        </w:rPr>
        <w:t>n</w:t>
      </w:r>
      <w:r w:rsidRPr="00CE0885">
        <w:rPr>
          <w:spacing w:val="1"/>
          <w:lang w:eastAsia="en-GB"/>
        </w:rPr>
        <w:t>o</w:t>
      </w:r>
      <w:r w:rsidRPr="00CE0885">
        <w:rPr>
          <w:spacing w:val="-2"/>
          <w:lang w:eastAsia="en-GB"/>
        </w:rPr>
        <w:t>t</w:t>
      </w:r>
      <w:r w:rsidRPr="00CE0885">
        <w:rPr>
          <w:lang w:eastAsia="en-GB"/>
        </w:rPr>
        <w:t>i</w:t>
      </w:r>
      <w:r w:rsidRPr="00CE0885">
        <w:rPr>
          <w:spacing w:val="3"/>
          <w:lang w:eastAsia="en-GB"/>
        </w:rPr>
        <w:t>f</w:t>
      </w:r>
      <w:r w:rsidRPr="00CE0885">
        <w:rPr>
          <w:lang w:eastAsia="en-GB"/>
        </w:rPr>
        <w:t>y</w:t>
      </w:r>
      <w:r w:rsidRPr="00CE0885">
        <w:rPr>
          <w:spacing w:val="-8"/>
          <w:lang w:eastAsia="en-GB"/>
        </w:rPr>
        <w:t xml:space="preserve"> </w:t>
      </w:r>
      <w:r w:rsidRPr="00CE0885">
        <w:rPr>
          <w:spacing w:val="1"/>
          <w:lang w:eastAsia="en-GB"/>
        </w:rPr>
        <w:t>th</w:t>
      </w:r>
      <w:r w:rsidRPr="00CE0885">
        <w:rPr>
          <w:lang w:eastAsia="en-GB"/>
        </w:rPr>
        <w:t>e</w:t>
      </w:r>
      <w:r w:rsidRPr="00CE0885">
        <w:rPr>
          <w:spacing w:val="-1"/>
          <w:lang w:eastAsia="en-GB"/>
        </w:rPr>
        <w:t xml:space="preserve"> </w:t>
      </w:r>
      <w:r w:rsidRPr="00CE0885">
        <w:rPr>
          <w:spacing w:val="-2"/>
          <w:lang w:eastAsia="en-GB"/>
        </w:rPr>
        <w:t>c</w:t>
      </w:r>
      <w:r w:rsidRPr="00CE0885">
        <w:rPr>
          <w:spacing w:val="1"/>
          <w:lang w:eastAsia="en-GB"/>
        </w:rPr>
        <w:t>ont</w:t>
      </w:r>
      <w:r w:rsidRPr="00CE0885">
        <w:rPr>
          <w:spacing w:val="-1"/>
          <w:lang w:eastAsia="en-GB"/>
        </w:rPr>
        <w:t>r</w:t>
      </w:r>
      <w:r w:rsidRPr="00CE0885">
        <w:rPr>
          <w:spacing w:val="1"/>
          <w:lang w:eastAsia="en-GB"/>
        </w:rPr>
        <w:t>a</w:t>
      </w:r>
      <w:r w:rsidRPr="00CE0885">
        <w:rPr>
          <w:spacing w:val="-2"/>
          <w:lang w:eastAsia="en-GB"/>
        </w:rPr>
        <w:t>c</w:t>
      </w:r>
      <w:r w:rsidRPr="00CE0885">
        <w:rPr>
          <w:spacing w:val="1"/>
          <w:lang w:eastAsia="en-GB"/>
        </w:rPr>
        <w:t>to</w:t>
      </w:r>
      <w:r w:rsidRPr="00CE0885">
        <w:rPr>
          <w:lang w:eastAsia="en-GB"/>
        </w:rPr>
        <w:t>r</w:t>
      </w:r>
      <w:r w:rsidRPr="00CE0885">
        <w:rPr>
          <w:spacing w:val="-11"/>
          <w:lang w:eastAsia="en-GB"/>
        </w:rPr>
        <w:t xml:space="preserve"> </w:t>
      </w:r>
      <w:r w:rsidRPr="00CE0885">
        <w:rPr>
          <w:lang w:eastAsia="en-GB"/>
        </w:rPr>
        <w:t xml:space="preserve">in </w:t>
      </w:r>
      <w:r w:rsidRPr="00CE0885">
        <w:rPr>
          <w:spacing w:val="-3"/>
          <w:lang w:eastAsia="en-GB"/>
        </w:rPr>
        <w:t>w</w:t>
      </w:r>
      <w:r w:rsidRPr="00CE0885">
        <w:rPr>
          <w:spacing w:val="-1"/>
          <w:lang w:eastAsia="en-GB"/>
        </w:rPr>
        <w:t>r</w:t>
      </w:r>
      <w:r w:rsidRPr="00CE0885">
        <w:rPr>
          <w:lang w:eastAsia="en-GB"/>
        </w:rPr>
        <w:t>i</w:t>
      </w:r>
      <w:r w:rsidRPr="00CE0885">
        <w:rPr>
          <w:spacing w:val="1"/>
          <w:lang w:eastAsia="en-GB"/>
        </w:rPr>
        <w:t>t</w:t>
      </w:r>
      <w:r w:rsidRPr="00CE0885">
        <w:rPr>
          <w:lang w:eastAsia="en-GB"/>
        </w:rPr>
        <w:t>i</w:t>
      </w:r>
      <w:r w:rsidRPr="00CE0885">
        <w:rPr>
          <w:spacing w:val="1"/>
          <w:lang w:eastAsia="en-GB"/>
        </w:rPr>
        <w:t>n</w:t>
      </w:r>
      <w:r w:rsidRPr="00CE0885">
        <w:rPr>
          <w:lang w:eastAsia="en-GB"/>
        </w:rPr>
        <w:t>g</w:t>
      </w:r>
      <w:r w:rsidRPr="00CE0885">
        <w:rPr>
          <w:spacing w:val="-8"/>
          <w:lang w:eastAsia="en-GB"/>
        </w:rPr>
        <w:t xml:space="preserve"> </w:t>
      </w:r>
      <w:r w:rsidRPr="00CE0885">
        <w:rPr>
          <w:spacing w:val="-1"/>
          <w:lang w:eastAsia="en-GB"/>
        </w:rPr>
        <w:t>o</w:t>
      </w:r>
      <w:r w:rsidRPr="00CE0885">
        <w:rPr>
          <w:lang w:eastAsia="en-GB"/>
        </w:rPr>
        <w:t>f</w:t>
      </w:r>
      <w:r w:rsidRPr="00CE0885">
        <w:rPr>
          <w:spacing w:val="1"/>
          <w:lang w:eastAsia="en-GB"/>
        </w:rPr>
        <w:t xml:space="preserve"> t</w:t>
      </w:r>
      <w:r w:rsidRPr="00CE0885">
        <w:rPr>
          <w:spacing w:val="-1"/>
          <w:lang w:eastAsia="en-GB"/>
        </w:rPr>
        <w:t>h</w:t>
      </w:r>
      <w:r w:rsidRPr="00CE0885">
        <w:rPr>
          <w:lang w:eastAsia="en-GB"/>
        </w:rPr>
        <w:t>e</w:t>
      </w:r>
      <w:r w:rsidRPr="00CE0885">
        <w:rPr>
          <w:spacing w:val="-1"/>
          <w:lang w:eastAsia="en-GB"/>
        </w:rPr>
        <w:t xml:space="preserve"> </w:t>
      </w:r>
      <w:r w:rsidRPr="00CE0885">
        <w:rPr>
          <w:spacing w:val="-3"/>
          <w:lang w:eastAsia="en-GB"/>
        </w:rPr>
        <w:t>w</w:t>
      </w:r>
      <w:r w:rsidRPr="00CE0885">
        <w:rPr>
          <w:spacing w:val="1"/>
          <w:lang w:eastAsia="en-GB"/>
        </w:rPr>
        <w:t>o</w:t>
      </w:r>
      <w:r w:rsidRPr="00CE0885">
        <w:rPr>
          <w:spacing w:val="-1"/>
          <w:lang w:eastAsia="en-GB"/>
        </w:rPr>
        <w:t>r</w:t>
      </w:r>
      <w:r w:rsidRPr="00CE0885">
        <w:rPr>
          <w:spacing w:val="1"/>
          <w:lang w:eastAsia="en-GB"/>
        </w:rPr>
        <w:t>d</w:t>
      </w:r>
      <w:r w:rsidRPr="00CE0885">
        <w:rPr>
          <w:lang w:eastAsia="en-GB"/>
        </w:rPr>
        <w:t>i</w:t>
      </w:r>
      <w:r w:rsidRPr="00CE0885">
        <w:rPr>
          <w:spacing w:val="1"/>
          <w:lang w:eastAsia="en-GB"/>
        </w:rPr>
        <w:t>n</w:t>
      </w:r>
      <w:r w:rsidRPr="00CE0885">
        <w:rPr>
          <w:lang w:eastAsia="en-GB"/>
        </w:rPr>
        <w:t>g</w:t>
      </w:r>
      <w:r w:rsidRPr="00CE0885">
        <w:rPr>
          <w:spacing w:val="-9"/>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2"/>
          <w:lang w:eastAsia="en-GB"/>
        </w:rPr>
        <w:t>t</w:t>
      </w:r>
      <w:r w:rsidRPr="00CE0885">
        <w:rPr>
          <w:spacing w:val="1"/>
          <w:lang w:eastAsia="en-GB"/>
        </w:rPr>
        <w:t>h</w:t>
      </w:r>
      <w:r w:rsidRPr="00CE0885">
        <w:rPr>
          <w:lang w:eastAsia="en-GB"/>
        </w:rPr>
        <w:t xml:space="preserve">e </w:t>
      </w:r>
      <w:r w:rsidRPr="00CE0885">
        <w:rPr>
          <w:spacing w:val="-2"/>
          <w:lang w:eastAsia="en-GB"/>
        </w:rPr>
        <w:t>v</w:t>
      </w:r>
      <w:r w:rsidRPr="00CE0885">
        <w:rPr>
          <w:spacing w:val="1"/>
          <w:lang w:eastAsia="en-GB"/>
        </w:rPr>
        <w:t>a</w:t>
      </w:r>
      <w:r w:rsidRPr="00CE0885">
        <w:rPr>
          <w:spacing w:val="-1"/>
          <w:lang w:eastAsia="en-GB"/>
        </w:rPr>
        <w:t>r</w:t>
      </w:r>
      <w:r w:rsidRPr="00CE0885">
        <w:rPr>
          <w:lang w:eastAsia="en-GB"/>
        </w:rPr>
        <w:t>i</w:t>
      </w:r>
      <w:r w:rsidRPr="00CE0885">
        <w:rPr>
          <w:spacing w:val="1"/>
          <w:lang w:eastAsia="en-GB"/>
        </w:rPr>
        <w:t>at</w:t>
      </w:r>
      <w:r w:rsidRPr="00CE0885">
        <w:rPr>
          <w:lang w:eastAsia="en-GB"/>
        </w:rPr>
        <w:t>i</w:t>
      </w:r>
      <w:r w:rsidRPr="00CE0885">
        <w:rPr>
          <w:spacing w:val="1"/>
          <w:lang w:eastAsia="en-GB"/>
        </w:rPr>
        <w:t>o</w:t>
      </w:r>
      <w:r w:rsidRPr="00CE0885">
        <w:rPr>
          <w:lang w:eastAsia="en-GB"/>
        </w:rPr>
        <w:t>n</w:t>
      </w:r>
      <w:r w:rsidRPr="00CE0885">
        <w:rPr>
          <w:spacing w:val="-7"/>
          <w:lang w:eastAsia="en-GB"/>
        </w:rPr>
        <w:t xml:space="preserve"> </w:t>
      </w:r>
      <w:r w:rsidRPr="00CE0885">
        <w:rPr>
          <w:spacing w:val="1"/>
          <w:lang w:eastAsia="en-GB"/>
        </w:rPr>
        <w:t>an</w:t>
      </w:r>
      <w:r w:rsidRPr="00CE0885">
        <w:rPr>
          <w:lang w:eastAsia="en-GB"/>
        </w:rPr>
        <w:t>d</w:t>
      </w:r>
      <w:r w:rsidRPr="00CE0885">
        <w:rPr>
          <w:spacing w:val="-5"/>
          <w:lang w:eastAsia="en-GB"/>
        </w:rPr>
        <w:t xml:space="preserve">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d</w:t>
      </w:r>
      <w:r w:rsidRPr="00CE0885">
        <w:rPr>
          <w:spacing w:val="1"/>
          <w:lang w:eastAsia="en-GB"/>
        </w:rPr>
        <w:t>at</w:t>
      </w:r>
      <w:r w:rsidRPr="00CE0885">
        <w:rPr>
          <w:lang w:eastAsia="en-GB"/>
        </w:rPr>
        <w:t>e</w:t>
      </w:r>
      <w:r w:rsidRPr="00CE0885">
        <w:rPr>
          <w:spacing w:val="-6"/>
          <w:lang w:eastAsia="en-GB"/>
        </w:rPr>
        <w:t xml:space="preserve"> </w:t>
      </w:r>
      <w:r w:rsidRPr="00CE0885">
        <w:rPr>
          <w:spacing w:val="-1"/>
          <w:lang w:eastAsia="en-GB"/>
        </w:rPr>
        <w:t xml:space="preserve">it will take effect. Where it is reasonably practicable to do so, the date the variation will take effect must not be </w:t>
      </w:r>
      <w:r w:rsidRPr="00CE0885">
        <w:rPr>
          <w:lang w:eastAsia="en-GB"/>
        </w:rPr>
        <w:t>l</w:t>
      </w:r>
      <w:r w:rsidRPr="00CE0885">
        <w:rPr>
          <w:spacing w:val="1"/>
          <w:lang w:eastAsia="en-GB"/>
        </w:rPr>
        <w:t>e</w:t>
      </w:r>
      <w:r w:rsidRPr="00CE0885">
        <w:rPr>
          <w:lang w:eastAsia="en-GB"/>
        </w:rPr>
        <w:t>ss</w:t>
      </w:r>
      <w:r w:rsidRPr="00CE0885">
        <w:rPr>
          <w:spacing w:val="-4"/>
          <w:lang w:eastAsia="en-GB"/>
        </w:rPr>
        <w:t xml:space="preserve"> </w:t>
      </w:r>
      <w:r w:rsidRPr="00CE0885">
        <w:rPr>
          <w:spacing w:val="-2"/>
          <w:lang w:eastAsia="en-GB"/>
        </w:rPr>
        <w:t>t</w:t>
      </w:r>
      <w:r w:rsidRPr="00CE0885">
        <w:rPr>
          <w:spacing w:val="1"/>
          <w:lang w:eastAsia="en-GB"/>
        </w:rPr>
        <w:t>h</w:t>
      </w:r>
      <w:r w:rsidRPr="00CE0885">
        <w:rPr>
          <w:spacing w:val="-1"/>
          <w:lang w:eastAsia="en-GB"/>
        </w:rPr>
        <w:t>a</w:t>
      </w:r>
      <w:r w:rsidRPr="00CE0885">
        <w:rPr>
          <w:lang w:eastAsia="en-GB"/>
        </w:rPr>
        <w:t>n</w:t>
      </w:r>
      <w:r w:rsidRPr="00CE0885">
        <w:rPr>
          <w:spacing w:val="-3"/>
          <w:lang w:eastAsia="en-GB"/>
        </w:rPr>
        <w:t xml:space="preserve"> </w:t>
      </w:r>
      <w:r w:rsidRPr="00CE0885">
        <w:rPr>
          <w:spacing w:val="1"/>
          <w:lang w:eastAsia="en-GB"/>
        </w:rPr>
        <w:t>1</w:t>
      </w:r>
      <w:r w:rsidRPr="00CE0885">
        <w:rPr>
          <w:lang w:eastAsia="en-GB"/>
        </w:rPr>
        <w:t>4</w:t>
      </w:r>
      <w:r w:rsidRPr="00CE0885">
        <w:rPr>
          <w:spacing w:val="-4"/>
          <w:lang w:eastAsia="en-GB"/>
        </w:rPr>
        <w:t xml:space="preserve"> </w:t>
      </w:r>
      <w:r w:rsidRPr="00CE0885">
        <w:rPr>
          <w:spacing w:val="1"/>
          <w:lang w:eastAsia="en-GB"/>
        </w:rPr>
        <w:t>da</w:t>
      </w:r>
      <w:r w:rsidRPr="00CE0885">
        <w:rPr>
          <w:spacing w:val="-2"/>
          <w:lang w:eastAsia="en-GB"/>
        </w:rPr>
        <w:t>y</w:t>
      </w:r>
      <w:r w:rsidRPr="00CE0885">
        <w:rPr>
          <w:lang w:eastAsia="en-GB"/>
        </w:rPr>
        <w:t xml:space="preserve">s </w:t>
      </w:r>
      <w:r w:rsidRPr="00CE0885">
        <w:rPr>
          <w:spacing w:val="-1"/>
          <w:lang w:eastAsia="en-GB"/>
        </w:rPr>
        <w:t>a</w:t>
      </w:r>
      <w:r w:rsidRPr="00CE0885">
        <w:rPr>
          <w:spacing w:val="3"/>
          <w:lang w:eastAsia="en-GB"/>
        </w:rPr>
        <w:t>f</w:t>
      </w:r>
      <w:r w:rsidRPr="00CE0885">
        <w:rPr>
          <w:spacing w:val="1"/>
          <w:lang w:eastAsia="en-GB"/>
        </w:rPr>
        <w:t>te</w:t>
      </w:r>
      <w:r w:rsidRPr="00CE0885">
        <w:rPr>
          <w:lang w:eastAsia="en-GB"/>
        </w:rPr>
        <w:t>r</w:t>
      </w:r>
      <w:r w:rsidRPr="00CE0885">
        <w:rPr>
          <w:spacing w:val="-5"/>
          <w:lang w:eastAsia="en-GB"/>
        </w:rPr>
        <w:t xml:space="preserve"> </w:t>
      </w:r>
      <w:r w:rsidRPr="00CE0885">
        <w:rPr>
          <w:spacing w:val="-2"/>
          <w:lang w:eastAsia="en-GB"/>
        </w:rPr>
        <w:t>t</w:t>
      </w:r>
      <w:r w:rsidRPr="00CE0885">
        <w:rPr>
          <w:spacing w:val="1"/>
          <w:lang w:eastAsia="en-GB"/>
        </w:rPr>
        <w:t>h</w:t>
      </w:r>
      <w:r w:rsidRPr="00CE0885">
        <w:rPr>
          <w:lang w:eastAsia="en-GB"/>
        </w:rPr>
        <w:t>e</w:t>
      </w:r>
      <w:r w:rsidRPr="00CE0885">
        <w:rPr>
          <w:spacing w:val="-4"/>
          <w:lang w:eastAsia="en-GB"/>
        </w:rPr>
        <w:t xml:space="preserve"> </w:t>
      </w:r>
      <w:r w:rsidRPr="00CE0885">
        <w:rPr>
          <w:spacing w:val="1"/>
          <w:lang w:eastAsia="en-GB"/>
        </w:rPr>
        <w:t>not</w:t>
      </w:r>
      <w:r w:rsidRPr="00CE0885">
        <w:rPr>
          <w:lang w:eastAsia="en-GB"/>
        </w:rPr>
        <w:t>ice</w:t>
      </w:r>
      <w:r w:rsidRPr="00CE0885">
        <w:rPr>
          <w:spacing w:val="-7"/>
          <w:lang w:eastAsia="en-GB"/>
        </w:rPr>
        <w:t xml:space="preserve"> </w:t>
      </w:r>
      <w:r w:rsidRPr="00CE0885">
        <w:rPr>
          <w:lang w:eastAsia="en-GB"/>
        </w:rPr>
        <w:t>is</w:t>
      </w:r>
      <w:r w:rsidRPr="00CE0885">
        <w:rPr>
          <w:spacing w:val="-2"/>
          <w:lang w:eastAsia="en-GB"/>
        </w:rPr>
        <w:t xml:space="preserve"> </w:t>
      </w:r>
      <w:r w:rsidRPr="00CE0885">
        <w:rPr>
          <w:lang w:eastAsia="en-GB"/>
        </w:rPr>
        <w:t>s</w:t>
      </w:r>
      <w:r w:rsidRPr="00CE0885">
        <w:rPr>
          <w:spacing w:val="1"/>
          <w:lang w:eastAsia="en-GB"/>
        </w:rPr>
        <w:t>e</w:t>
      </w:r>
      <w:r w:rsidRPr="00CE0885">
        <w:rPr>
          <w:spacing w:val="-1"/>
          <w:lang w:eastAsia="en-GB"/>
        </w:rPr>
        <w:t>r</w:t>
      </w:r>
      <w:r w:rsidRPr="00CE0885">
        <w:rPr>
          <w:spacing w:val="-2"/>
          <w:lang w:eastAsia="en-GB"/>
        </w:rPr>
        <w:t>v</w:t>
      </w:r>
      <w:r w:rsidRPr="00CE0885">
        <w:rPr>
          <w:spacing w:val="1"/>
          <w:lang w:eastAsia="en-GB"/>
        </w:rPr>
        <w:t>ed</w:t>
      </w:r>
      <w:r w:rsidRPr="00CE0885">
        <w:rPr>
          <w:lang w:eastAsia="en-GB"/>
        </w:rPr>
        <w:t>.</w:t>
      </w:r>
      <w:bookmarkEnd w:id="559"/>
    </w:p>
    <w:p w14:paraId="784B74D5" w14:textId="77777777" w:rsidR="00977693" w:rsidRPr="00CE0885" w:rsidRDefault="00977693" w:rsidP="006B781A">
      <w:pPr>
        <w:pStyle w:val="Heading3"/>
        <w:rPr>
          <w:lang w:eastAsia="en-GB"/>
        </w:rPr>
      </w:pPr>
      <w:bookmarkStart w:id="560" w:name="_Toc440981714"/>
      <w:r w:rsidRPr="00CE0885">
        <w:rPr>
          <w:spacing w:val="2"/>
          <w:lang w:eastAsia="en-GB"/>
        </w:rPr>
        <w:t>T</w:t>
      </w:r>
      <w:r w:rsidRPr="00CE0885">
        <w:rPr>
          <w:spacing w:val="-1"/>
          <w:lang w:eastAsia="en-GB"/>
        </w:rPr>
        <w:t>h</w:t>
      </w:r>
      <w:r w:rsidRPr="00CE0885">
        <w:rPr>
          <w:lang w:eastAsia="en-GB"/>
        </w:rPr>
        <w:t>e</w:t>
      </w:r>
      <w:r w:rsidRPr="00CE0885">
        <w:rPr>
          <w:spacing w:val="-1"/>
          <w:lang w:eastAsia="en-GB"/>
        </w:rPr>
        <w:t>r</w:t>
      </w:r>
      <w:r w:rsidRPr="00CE0885">
        <w:rPr>
          <w:lang w:eastAsia="en-GB"/>
        </w:rPr>
        <w:t>e</w:t>
      </w:r>
      <w:r w:rsidRPr="00CE0885">
        <w:rPr>
          <w:spacing w:val="-4"/>
          <w:lang w:eastAsia="en-GB"/>
        </w:rPr>
        <w:t xml:space="preserve"> </w:t>
      </w:r>
      <w:r w:rsidRPr="00CE0885">
        <w:rPr>
          <w:lang w:eastAsia="en-GB"/>
        </w:rPr>
        <w:t>is</w:t>
      </w:r>
      <w:r w:rsidRPr="00CE0885">
        <w:rPr>
          <w:spacing w:val="-2"/>
          <w:lang w:eastAsia="en-GB"/>
        </w:rPr>
        <w:t xml:space="preserve"> </w:t>
      </w:r>
      <w:r w:rsidRPr="00CE0885">
        <w:rPr>
          <w:lang w:eastAsia="en-GB"/>
        </w:rPr>
        <w:t>no</w:t>
      </w:r>
      <w:r w:rsidRPr="00CE0885">
        <w:rPr>
          <w:spacing w:val="-4"/>
          <w:lang w:eastAsia="en-GB"/>
        </w:rPr>
        <w:t xml:space="preserve"> </w:t>
      </w:r>
      <w:r w:rsidRPr="00CE0885">
        <w:rPr>
          <w:lang w:eastAsia="en-GB"/>
        </w:rPr>
        <w:t>n</w:t>
      </w:r>
      <w:r w:rsidRPr="00CE0885">
        <w:rPr>
          <w:spacing w:val="-1"/>
          <w:lang w:eastAsia="en-GB"/>
        </w:rPr>
        <w:t>e</w:t>
      </w:r>
      <w:r w:rsidRPr="00CE0885">
        <w:rPr>
          <w:lang w:eastAsia="en-GB"/>
        </w:rPr>
        <w:t>ed</w:t>
      </w:r>
      <w:r w:rsidRPr="00CE0885">
        <w:rPr>
          <w:spacing w:val="-6"/>
          <w:lang w:eastAsia="en-GB"/>
        </w:rPr>
        <w:t xml:space="preserve"> </w:t>
      </w:r>
      <w:r w:rsidRPr="00CE0885">
        <w:rPr>
          <w:lang w:eastAsia="en-GB"/>
        </w:rPr>
        <w:t>for</w:t>
      </w:r>
      <w:r w:rsidRPr="00CE0885">
        <w:rPr>
          <w:spacing w:val="-3"/>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4"/>
          <w:lang w:eastAsia="en-GB"/>
        </w:rPr>
        <w:t xml:space="preserve"> </w:t>
      </w:r>
      <w:r w:rsidRPr="00CE0885">
        <w:rPr>
          <w:spacing w:val="-2"/>
          <w:lang w:eastAsia="en-GB"/>
        </w:rPr>
        <w:t>Commissioner</w:t>
      </w:r>
      <w:r w:rsidRPr="00CE0885">
        <w:rPr>
          <w:spacing w:val="-5"/>
          <w:lang w:eastAsia="en-GB"/>
        </w:rPr>
        <w:t xml:space="preserve"> </w:t>
      </w:r>
      <w:r w:rsidRPr="00CE0885">
        <w:rPr>
          <w:lang w:eastAsia="en-GB"/>
        </w:rPr>
        <w:t>to</w:t>
      </w:r>
      <w:r w:rsidRPr="00CE0885">
        <w:rPr>
          <w:spacing w:val="-3"/>
          <w:lang w:eastAsia="en-GB"/>
        </w:rPr>
        <w:t xml:space="preserve"> </w:t>
      </w:r>
      <w:r w:rsidRPr="00CE0885">
        <w:rPr>
          <w:lang w:eastAsia="en-GB"/>
        </w:rPr>
        <w:t>seek a</w:t>
      </w:r>
      <w:r w:rsidRPr="00CE0885">
        <w:rPr>
          <w:spacing w:val="-1"/>
          <w:lang w:eastAsia="en-GB"/>
        </w:rPr>
        <w:t>gr</w:t>
      </w:r>
      <w:r w:rsidRPr="00CE0885">
        <w:rPr>
          <w:lang w:eastAsia="en-GB"/>
        </w:rPr>
        <w:t>ee</w:t>
      </w:r>
      <w:r w:rsidRPr="00CE0885">
        <w:rPr>
          <w:spacing w:val="2"/>
          <w:lang w:eastAsia="en-GB"/>
        </w:rPr>
        <w:t>m</w:t>
      </w:r>
      <w:r w:rsidRPr="00CE0885">
        <w:rPr>
          <w:spacing w:val="-1"/>
          <w:lang w:eastAsia="en-GB"/>
        </w:rPr>
        <w:t>e</w:t>
      </w:r>
      <w:r w:rsidRPr="00CE0885">
        <w:rPr>
          <w:lang w:eastAsia="en-GB"/>
        </w:rPr>
        <w:t>nt</w:t>
      </w:r>
      <w:r w:rsidRPr="00CE0885">
        <w:rPr>
          <w:spacing w:val="-10"/>
          <w:lang w:eastAsia="en-GB"/>
        </w:rPr>
        <w:t xml:space="preserve"> </w:t>
      </w:r>
      <w:r w:rsidRPr="00CE0885">
        <w:rPr>
          <w:lang w:eastAsia="en-GB"/>
        </w:rPr>
        <w:t>or</w:t>
      </w:r>
      <w:r w:rsidRPr="00CE0885">
        <w:rPr>
          <w:spacing w:val="-2"/>
          <w:lang w:eastAsia="en-GB"/>
        </w:rPr>
        <w:t xml:space="preserve"> </w:t>
      </w:r>
      <w:r w:rsidRPr="00CE0885">
        <w:rPr>
          <w:spacing w:val="-1"/>
          <w:lang w:eastAsia="en-GB"/>
        </w:rPr>
        <w:t>r</w:t>
      </w:r>
      <w:r w:rsidRPr="00CE0885">
        <w:rPr>
          <w:lang w:eastAsia="en-GB"/>
        </w:rPr>
        <w:t>e</w:t>
      </w:r>
      <w:r w:rsidRPr="00CE0885">
        <w:rPr>
          <w:spacing w:val="-1"/>
          <w:lang w:eastAsia="en-GB"/>
        </w:rPr>
        <w:t>q</w:t>
      </w:r>
      <w:r w:rsidRPr="00CE0885">
        <w:rPr>
          <w:lang w:eastAsia="en-GB"/>
        </w:rPr>
        <w:t>ui</w:t>
      </w:r>
      <w:r w:rsidRPr="00CE0885">
        <w:rPr>
          <w:spacing w:val="-1"/>
          <w:lang w:eastAsia="en-GB"/>
        </w:rPr>
        <w:t>r</w:t>
      </w:r>
      <w:r w:rsidRPr="00CE0885">
        <w:rPr>
          <w:lang w:eastAsia="en-GB"/>
        </w:rPr>
        <w:t>e</w:t>
      </w:r>
      <w:r w:rsidRPr="00CE0885">
        <w:rPr>
          <w:spacing w:val="-8"/>
          <w:lang w:eastAsia="en-GB"/>
        </w:rPr>
        <w:t xml:space="preserve"> </w:t>
      </w:r>
      <w:r w:rsidRPr="00CE0885">
        <w:rPr>
          <w:lang w:eastAsia="en-GB"/>
        </w:rPr>
        <w:t>a</w:t>
      </w:r>
      <w:r w:rsidRPr="00CE0885">
        <w:rPr>
          <w:spacing w:val="-2"/>
          <w:lang w:eastAsia="en-GB"/>
        </w:rPr>
        <w:t xml:space="preserve"> </w:t>
      </w:r>
      <w:r w:rsidRPr="00CE0885">
        <w:rPr>
          <w:lang w:eastAsia="en-GB"/>
        </w:rPr>
        <w:t>si</w:t>
      </w:r>
      <w:r w:rsidRPr="00CE0885">
        <w:rPr>
          <w:spacing w:val="-1"/>
          <w:lang w:eastAsia="en-GB"/>
        </w:rPr>
        <w:t>g</w:t>
      </w:r>
      <w:r w:rsidRPr="00CE0885">
        <w:rPr>
          <w:lang w:eastAsia="en-GB"/>
        </w:rPr>
        <w:t>natu</w:t>
      </w:r>
      <w:r w:rsidRPr="00CE0885">
        <w:rPr>
          <w:spacing w:val="-1"/>
          <w:lang w:eastAsia="en-GB"/>
        </w:rPr>
        <w:t>r</w:t>
      </w:r>
      <w:r w:rsidRPr="00CE0885">
        <w:rPr>
          <w:lang w:eastAsia="en-GB"/>
        </w:rPr>
        <w:t>e</w:t>
      </w:r>
      <w:r w:rsidRPr="00CE0885">
        <w:rPr>
          <w:spacing w:val="-8"/>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ac</w:t>
      </w:r>
      <w:r w:rsidRPr="00CE0885">
        <w:rPr>
          <w:spacing w:val="-2"/>
          <w:lang w:eastAsia="en-GB"/>
        </w:rPr>
        <w:t>c</w:t>
      </w:r>
      <w:r w:rsidRPr="00CE0885">
        <w:rPr>
          <w:lang w:eastAsia="en-GB"/>
        </w:rPr>
        <w:t>ep</w:t>
      </w:r>
      <w:r w:rsidRPr="00CE0885">
        <w:rPr>
          <w:spacing w:val="-2"/>
          <w:lang w:eastAsia="en-GB"/>
        </w:rPr>
        <w:t>t</w:t>
      </w:r>
      <w:r w:rsidRPr="00CE0885">
        <w:rPr>
          <w:lang w:eastAsia="en-GB"/>
        </w:rPr>
        <w:t>a</w:t>
      </w:r>
      <w:r w:rsidRPr="00CE0885">
        <w:rPr>
          <w:spacing w:val="-1"/>
          <w:lang w:eastAsia="en-GB"/>
        </w:rPr>
        <w:t>n</w:t>
      </w:r>
      <w:r w:rsidRPr="00CE0885">
        <w:rPr>
          <w:lang w:eastAsia="en-GB"/>
        </w:rPr>
        <w:t>ce</w:t>
      </w:r>
      <w:r w:rsidRPr="00CE0885">
        <w:rPr>
          <w:spacing w:val="-13"/>
          <w:lang w:eastAsia="en-GB"/>
        </w:rPr>
        <w:t xml:space="preserve"> </w:t>
      </w:r>
      <w:r w:rsidRPr="00CE0885">
        <w:rPr>
          <w:spacing w:val="3"/>
          <w:lang w:eastAsia="en-GB"/>
        </w:rPr>
        <w:t>f</w:t>
      </w:r>
      <w:r w:rsidRPr="00CE0885">
        <w:rPr>
          <w:lang w:eastAsia="en-GB"/>
        </w:rPr>
        <w:t>or</w:t>
      </w:r>
      <w:r w:rsidRPr="00CE0885">
        <w:rPr>
          <w:spacing w:val="-3"/>
          <w:lang w:eastAsia="en-GB"/>
        </w:rPr>
        <w:t xml:space="preserve"> </w:t>
      </w:r>
      <w:r w:rsidRPr="00CE0885">
        <w:rPr>
          <w:lang w:eastAsia="en-GB"/>
        </w:rPr>
        <w:t>this type of variation,</w:t>
      </w:r>
      <w:r w:rsidRPr="00CE0885">
        <w:rPr>
          <w:spacing w:val="-8"/>
          <w:lang w:eastAsia="en-GB"/>
        </w:rPr>
        <w:t xml:space="preserve"> </w:t>
      </w:r>
      <w:r w:rsidRPr="00CE0885">
        <w:rPr>
          <w:lang w:eastAsia="en-GB"/>
        </w:rPr>
        <w:t>as</w:t>
      </w:r>
      <w:r w:rsidRPr="00CE0885">
        <w:rPr>
          <w:spacing w:val="-3"/>
          <w:lang w:eastAsia="en-GB"/>
        </w:rPr>
        <w:t xml:space="preserve"> </w:t>
      </w:r>
      <w:r w:rsidRPr="00CE0885">
        <w:rPr>
          <w:spacing w:val="-2"/>
          <w:lang w:eastAsia="en-GB"/>
        </w:rPr>
        <w:t>t</w:t>
      </w:r>
      <w:r w:rsidRPr="00CE0885">
        <w:rPr>
          <w:lang w:eastAsia="en-GB"/>
        </w:rPr>
        <w:t>he</w:t>
      </w:r>
      <w:r w:rsidRPr="00CE0885">
        <w:rPr>
          <w:spacing w:val="-1"/>
          <w:lang w:eastAsia="en-GB"/>
        </w:rPr>
        <w:t>r</w:t>
      </w:r>
      <w:r w:rsidRPr="00CE0885">
        <w:rPr>
          <w:lang w:eastAsia="en-GB"/>
        </w:rPr>
        <w:t>e</w:t>
      </w:r>
      <w:r w:rsidRPr="00CE0885">
        <w:rPr>
          <w:spacing w:val="-3"/>
          <w:lang w:eastAsia="en-GB"/>
        </w:rPr>
        <w:t xml:space="preserve"> </w:t>
      </w:r>
      <w:r w:rsidRPr="00CE0885">
        <w:rPr>
          <w:lang w:eastAsia="en-GB"/>
        </w:rPr>
        <w:t>is</w:t>
      </w:r>
      <w:r w:rsidRPr="00CE0885">
        <w:rPr>
          <w:spacing w:val="-4"/>
          <w:lang w:eastAsia="en-GB"/>
        </w:rPr>
        <w:t xml:space="preserve"> </w:t>
      </w:r>
      <w:r w:rsidRPr="00CE0885">
        <w:rPr>
          <w:lang w:eastAsia="en-GB"/>
        </w:rPr>
        <w:t>no</w:t>
      </w:r>
      <w:r w:rsidRPr="00CE0885">
        <w:rPr>
          <w:spacing w:val="-1"/>
          <w:lang w:eastAsia="en-GB"/>
        </w:rPr>
        <w:t xml:space="preserve"> r</w:t>
      </w:r>
      <w:r w:rsidRPr="00CE0885">
        <w:rPr>
          <w:spacing w:val="-3"/>
          <w:lang w:eastAsia="en-GB"/>
        </w:rPr>
        <w:t>i</w:t>
      </w:r>
      <w:r w:rsidRPr="00CE0885">
        <w:rPr>
          <w:spacing w:val="-1"/>
          <w:lang w:eastAsia="en-GB"/>
        </w:rPr>
        <w:t>g</w:t>
      </w:r>
      <w:r w:rsidRPr="00CE0885">
        <w:rPr>
          <w:lang w:eastAsia="en-GB"/>
        </w:rPr>
        <w:t>ht</w:t>
      </w:r>
      <w:r w:rsidRPr="00CE0885">
        <w:rPr>
          <w:spacing w:val="-4"/>
          <w:lang w:eastAsia="en-GB"/>
        </w:rPr>
        <w:t xml:space="preserve"> </w:t>
      </w:r>
      <w:r w:rsidRPr="00CE0885">
        <w:rPr>
          <w:spacing w:val="-1"/>
          <w:lang w:eastAsia="en-GB"/>
        </w:rPr>
        <w:t>o</w:t>
      </w:r>
      <w:r w:rsidRPr="00CE0885">
        <w:rPr>
          <w:lang w:eastAsia="en-GB"/>
        </w:rPr>
        <w:t xml:space="preserve">f </w:t>
      </w:r>
      <w:r w:rsidRPr="00CE0885">
        <w:rPr>
          <w:spacing w:val="-1"/>
          <w:lang w:eastAsia="en-GB"/>
        </w:rPr>
        <w:t>re</w:t>
      </w:r>
      <w:r w:rsidRPr="00CE0885">
        <w:rPr>
          <w:lang w:eastAsia="en-GB"/>
        </w:rPr>
        <w:t>fusal</w:t>
      </w:r>
      <w:r w:rsidRPr="00CE0885">
        <w:rPr>
          <w:spacing w:val="-7"/>
          <w:lang w:eastAsia="en-GB"/>
        </w:rPr>
        <w:t xml:space="preserve"> </w:t>
      </w:r>
      <w:r w:rsidRPr="00CE0885">
        <w:rPr>
          <w:lang w:eastAsia="en-GB"/>
        </w:rPr>
        <w:t>or</w:t>
      </w:r>
      <w:r w:rsidRPr="00CE0885">
        <w:rPr>
          <w:spacing w:val="-5"/>
          <w:lang w:eastAsia="en-GB"/>
        </w:rPr>
        <w:t xml:space="preserve"> </w:t>
      </w:r>
      <w:r w:rsidRPr="00CE0885">
        <w:rPr>
          <w:lang w:eastAsia="en-GB"/>
        </w:rPr>
        <w:t>ne</w:t>
      </w:r>
      <w:r w:rsidRPr="00CE0885">
        <w:rPr>
          <w:spacing w:val="-1"/>
          <w:lang w:eastAsia="en-GB"/>
        </w:rPr>
        <w:t>g</w:t>
      </w:r>
      <w:r w:rsidRPr="00CE0885">
        <w:rPr>
          <w:lang w:eastAsia="en-GB"/>
        </w:rPr>
        <w:t>oti</w:t>
      </w:r>
      <w:r w:rsidRPr="00CE0885">
        <w:rPr>
          <w:spacing w:val="-1"/>
          <w:lang w:eastAsia="en-GB"/>
        </w:rPr>
        <w:t>a</w:t>
      </w:r>
      <w:r w:rsidRPr="00CE0885">
        <w:rPr>
          <w:lang w:eastAsia="en-GB"/>
        </w:rPr>
        <w:t>tion.</w:t>
      </w:r>
      <w:bookmarkEnd w:id="560"/>
    </w:p>
    <w:p w14:paraId="01CDF489" w14:textId="77777777" w:rsidR="00977693" w:rsidRPr="00CE0885" w:rsidRDefault="00977693" w:rsidP="006B781A">
      <w:pPr>
        <w:pStyle w:val="Heading3"/>
        <w:rPr>
          <w:lang w:eastAsia="en-GB"/>
        </w:rPr>
      </w:pPr>
      <w:bookmarkStart w:id="561" w:name="_Toc440981715"/>
      <w:r w:rsidRPr="00CE0885">
        <w:rPr>
          <w:spacing w:val="1"/>
          <w:lang w:eastAsia="en-GB"/>
        </w:rPr>
        <w:t>The p</w:t>
      </w:r>
      <w:r w:rsidRPr="00CE0885">
        <w:rPr>
          <w:lang w:eastAsia="en-GB"/>
        </w:rPr>
        <w:t>ro</w:t>
      </w:r>
      <w:r w:rsidRPr="00CE0885">
        <w:rPr>
          <w:spacing w:val="1"/>
          <w:lang w:eastAsia="en-GB"/>
        </w:rPr>
        <w:t>ce</w:t>
      </w:r>
      <w:r w:rsidRPr="00CE0885">
        <w:rPr>
          <w:spacing w:val="-1"/>
          <w:lang w:eastAsia="en-GB"/>
        </w:rPr>
        <w:t>s</w:t>
      </w:r>
      <w:r w:rsidRPr="00CE0885">
        <w:rPr>
          <w:lang w:eastAsia="en-GB"/>
        </w:rPr>
        <w:t>s</w:t>
      </w:r>
      <w:r w:rsidRPr="00CE0885">
        <w:rPr>
          <w:spacing w:val="-7"/>
          <w:lang w:eastAsia="en-GB"/>
        </w:rPr>
        <w:t xml:space="preserve"> </w:t>
      </w:r>
      <w:r w:rsidRPr="00CE0885">
        <w:rPr>
          <w:spacing w:val="-1"/>
          <w:lang w:eastAsia="en-GB"/>
        </w:rPr>
        <w:t>f</w:t>
      </w:r>
      <w:r w:rsidRPr="00CE0885">
        <w:rPr>
          <w:lang w:eastAsia="en-GB"/>
        </w:rPr>
        <w:t>or</w:t>
      </w:r>
      <w:r w:rsidRPr="00CE0885">
        <w:rPr>
          <w:spacing w:val="-2"/>
          <w:lang w:eastAsia="en-GB"/>
        </w:rPr>
        <w:t xml:space="preserve"> i</w:t>
      </w:r>
      <w:r w:rsidRPr="00CE0885">
        <w:rPr>
          <w:spacing w:val="1"/>
          <w:lang w:eastAsia="en-GB"/>
        </w:rPr>
        <w:t>ss</w:t>
      </w:r>
      <w:r w:rsidRPr="00CE0885">
        <w:rPr>
          <w:lang w:eastAsia="en-GB"/>
        </w:rPr>
        <w:t>u</w:t>
      </w:r>
      <w:r w:rsidRPr="00CE0885">
        <w:rPr>
          <w:spacing w:val="1"/>
          <w:lang w:eastAsia="en-GB"/>
        </w:rPr>
        <w:t>i</w:t>
      </w:r>
      <w:r w:rsidRPr="00CE0885">
        <w:rPr>
          <w:lang w:eastAsia="en-GB"/>
        </w:rPr>
        <w:t>ng</w:t>
      </w:r>
      <w:r w:rsidRPr="00CE0885">
        <w:rPr>
          <w:spacing w:val="-8"/>
          <w:lang w:eastAsia="en-GB"/>
        </w:rPr>
        <w:t xml:space="preserve"> </w:t>
      </w:r>
      <w:r w:rsidRPr="00CE0885">
        <w:rPr>
          <w:lang w:eastAsia="en-GB"/>
        </w:rPr>
        <w:t>a</w:t>
      </w:r>
      <w:r w:rsidRPr="00CE0885">
        <w:rPr>
          <w:spacing w:val="-2"/>
          <w:lang w:eastAsia="en-GB"/>
        </w:rPr>
        <w:t xml:space="preserve"> </w:t>
      </w:r>
      <w:r w:rsidRPr="00CE0885">
        <w:rPr>
          <w:spacing w:val="-4"/>
          <w:lang w:eastAsia="en-GB"/>
        </w:rPr>
        <w:t>v</w:t>
      </w:r>
      <w:r w:rsidRPr="00CE0885">
        <w:rPr>
          <w:spacing w:val="1"/>
          <w:lang w:eastAsia="en-GB"/>
        </w:rPr>
        <w:t>a</w:t>
      </w:r>
      <w:r w:rsidRPr="00CE0885">
        <w:rPr>
          <w:lang w:eastAsia="en-GB"/>
        </w:rPr>
        <w:t>r</w:t>
      </w:r>
      <w:r w:rsidRPr="00CE0885">
        <w:rPr>
          <w:spacing w:val="1"/>
          <w:lang w:eastAsia="en-GB"/>
        </w:rPr>
        <w:t>ia</w:t>
      </w:r>
      <w:r w:rsidRPr="00CE0885">
        <w:rPr>
          <w:spacing w:val="-1"/>
          <w:lang w:eastAsia="en-GB"/>
        </w:rPr>
        <w:t>t</w:t>
      </w:r>
      <w:r w:rsidRPr="00CE0885">
        <w:rPr>
          <w:spacing w:val="1"/>
          <w:lang w:eastAsia="en-GB"/>
        </w:rPr>
        <w:t>i</w:t>
      </w:r>
      <w:r w:rsidRPr="00CE0885">
        <w:rPr>
          <w:lang w:eastAsia="en-GB"/>
        </w:rPr>
        <w:t>on</w:t>
      </w:r>
      <w:r w:rsidRPr="00CE0885">
        <w:rPr>
          <w:spacing w:val="-10"/>
          <w:lang w:eastAsia="en-GB"/>
        </w:rPr>
        <w:t xml:space="preserve"> </w:t>
      </w:r>
      <w:r w:rsidRPr="00CE0885">
        <w:rPr>
          <w:lang w:eastAsia="en-GB"/>
        </w:rPr>
        <w:t>no</w:t>
      </w:r>
      <w:r w:rsidRPr="00CE0885">
        <w:rPr>
          <w:spacing w:val="-1"/>
          <w:lang w:eastAsia="en-GB"/>
        </w:rPr>
        <w:t>t</w:t>
      </w:r>
      <w:r w:rsidRPr="00CE0885">
        <w:rPr>
          <w:spacing w:val="1"/>
          <w:lang w:eastAsia="en-GB"/>
        </w:rPr>
        <w:t>ic</w:t>
      </w:r>
      <w:r w:rsidRPr="00CE0885">
        <w:rPr>
          <w:lang w:eastAsia="en-GB"/>
        </w:rPr>
        <w:t>e</w:t>
      </w:r>
      <w:r w:rsidRPr="00CE0885">
        <w:rPr>
          <w:spacing w:val="-5"/>
          <w:lang w:eastAsia="en-GB"/>
        </w:rPr>
        <w:t xml:space="preserve"> </w:t>
      </w:r>
      <w:r w:rsidRPr="00CE0885">
        <w:rPr>
          <w:lang w:eastAsia="en-GB"/>
        </w:rPr>
        <w:t>due</w:t>
      </w:r>
      <w:r w:rsidRPr="00CE0885">
        <w:rPr>
          <w:spacing w:val="-5"/>
          <w:lang w:eastAsia="en-GB"/>
        </w:rPr>
        <w:t xml:space="preserve"> </w:t>
      </w:r>
      <w:r w:rsidRPr="00CE0885">
        <w:rPr>
          <w:spacing w:val="-1"/>
          <w:lang w:eastAsia="en-GB"/>
        </w:rPr>
        <w:t>t</w:t>
      </w:r>
      <w:r w:rsidRPr="00CE0885">
        <w:rPr>
          <w:lang w:eastAsia="en-GB"/>
        </w:rPr>
        <w:t>o</w:t>
      </w:r>
      <w:r w:rsidRPr="00CE0885">
        <w:rPr>
          <w:spacing w:val="-2"/>
          <w:lang w:eastAsia="en-GB"/>
        </w:rPr>
        <w:t xml:space="preserve"> legislation / regulatory </w:t>
      </w:r>
      <w:r w:rsidRPr="00CE0885">
        <w:rPr>
          <w:spacing w:val="1"/>
          <w:lang w:eastAsia="en-GB"/>
        </w:rPr>
        <w:t>c</w:t>
      </w:r>
      <w:r w:rsidRPr="00CE0885">
        <w:rPr>
          <w:lang w:eastAsia="en-GB"/>
        </w:rPr>
        <w:t>h</w:t>
      </w:r>
      <w:r w:rsidRPr="00CE0885">
        <w:rPr>
          <w:spacing w:val="1"/>
          <w:lang w:eastAsia="en-GB"/>
        </w:rPr>
        <w:t>a</w:t>
      </w:r>
      <w:r w:rsidRPr="00CE0885">
        <w:rPr>
          <w:lang w:eastAsia="en-GB"/>
        </w:rPr>
        <w:t>ng</w:t>
      </w:r>
      <w:r w:rsidRPr="00CE0885">
        <w:rPr>
          <w:spacing w:val="1"/>
          <w:lang w:eastAsia="en-GB"/>
        </w:rPr>
        <w:t>e</w:t>
      </w:r>
      <w:r w:rsidRPr="00CE0885">
        <w:rPr>
          <w:lang w:eastAsia="en-GB"/>
        </w:rPr>
        <w:t>s</w:t>
      </w:r>
      <w:r w:rsidRPr="00CE0885">
        <w:rPr>
          <w:spacing w:val="-8"/>
          <w:lang w:eastAsia="en-GB"/>
        </w:rPr>
        <w:t xml:space="preserve"> </w:t>
      </w:r>
      <w:r w:rsidRPr="00CE0885">
        <w:rPr>
          <w:spacing w:val="-1"/>
          <w:lang w:eastAsia="en-GB"/>
        </w:rPr>
        <w:t>is:</w:t>
      </w:r>
      <w:bookmarkEnd w:id="561"/>
    </w:p>
    <w:p w14:paraId="552AE7A3" w14:textId="77777777" w:rsidR="00977693" w:rsidRPr="00CE0885" w:rsidRDefault="00977693" w:rsidP="006B781A">
      <w:pPr>
        <w:pStyle w:val="Heading4"/>
      </w:pPr>
      <w:bookmarkStart w:id="562" w:name="_Toc440981716"/>
      <w:r w:rsidRPr="00CE0885">
        <w:rPr>
          <w:spacing w:val="2"/>
        </w:rPr>
        <w:lastRenderedPageBreak/>
        <w:t>a</w:t>
      </w:r>
      <w:r w:rsidRPr="00CE0885">
        <w:t xml:space="preserve"> </w:t>
      </w:r>
      <w:r w:rsidRPr="00CE0885">
        <w:rPr>
          <w:spacing w:val="-3"/>
        </w:rPr>
        <w:t>r</w:t>
      </w:r>
      <w:r w:rsidRPr="00CE0885">
        <w:t>e</w:t>
      </w:r>
      <w:r w:rsidRPr="00CE0885">
        <w:rPr>
          <w:spacing w:val="-1"/>
        </w:rPr>
        <w:t>g</w:t>
      </w:r>
      <w:r w:rsidRPr="00CE0885">
        <w:t>ulato</w:t>
      </w:r>
      <w:r w:rsidRPr="00CE0885">
        <w:rPr>
          <w:spacing w:val="-1"/>
        </w:rPr>
        <w:t>r</w:t>
      </w:r>
      <w:r w:rsidRPr="00CE0885">
        <w:t>y</w:t>
      </w:r>
      <w:r w:rsidRPr="00CE0885">
        <w:rPr>
          <w:spacing w:val="-13"/>
        </w:rPr>
        <w:t xml:space="preserve"> </w:t>
      </w:r>
      <w:r w:rsidRPr="00CE0885">
        <w:t>a</w:t>
      </w:r>
      <w:r w:rsidRPr="00CE0885">
        <w:rPr>
          <w:spacing w:val="2"/>
        </w:rPr>
        <w:t>m</w:t>
      </w:r>
      <w:r w:rsidRPr="00CE0885">
        <w:t>e</w:t>
      </w:r>
      <w:r w:rsidRPr="00CE0885">
        <w:rPr>
          <w:spacing w:val="-1"/>
        </w:rPr>
        <w:t>nd</w:t>
      </w:r>
      <w:r w:rsidRPr="00CE0885">
        <w:rPr>
          <w:spacing w:val="2"/>
        </w:rPr>
        <w:t>m</w:t>
      </w:r>
      <w:r w:rsidRPr="00CE0885">
        <w:t>e</w:t>
      </w:r>
      <w:r w:rsidRPr="00CE0885">
        <w:rPr>
          <w:spacing w:val="-1"/>
        </w:rPr>
        <w:t>n</w:t>
      </w:r>
      <w:r w:rsidRPr="00CE0885">
        <w:t>t to existing Regulations or new Directions are issued un</w:t>
      </w:r>
      <w:r w:rsidRPr="00CE0885">
        <w:rPr>
          <w:spacing w:val="-1"/>
        </w:rPr>
        <w:t>d</w:t>
      </w:r>
      <w:r w:rsidRPr="00CE0885">
        <w:t>er</w:t>
      </w:r>
      <w:r w:rsidRPr="00CE0885">
        <w:rPr>
          <w:spacing w:val="-6"/>
        </w:rPr>
        <w:t xml:space="preserve"> </w:t>
      </w:r>
      <w:r w:rsidRPr="00CE0885">
        <w:t>sta</w:t>
      </w:r>
      <w:r w:rsidRPr="00CE0885">
        <w:rPr>
          <w:spacing w:val="-2"/>
        </w:rPr>
        <w:t>t</w:t>
      </w:r>
      <w:r w:rsidRPr="00CE0885">
        <w:t>uto</w:t>
      </w:r>
      <w:r w:rsidRPr="00CE0885">
        <w:rPr>
          <w:spacing w:val="-1"/>
        </w:rPr>
        <w:t>r</w:t>
      </w:r>
      <w:r w:rsidRPr="00CE0885">
        <w:t>y</w:t>
      </w:r>
      <w:r w:rsidRPr="00CE0885">
        <w:rPr>
          <w:spacing w:val="-11"/>
        </w:rPr>
        <w:t xml:space="preserve"> </w:t>
      </w:r>
      <w:r w:rsidRPr="00CE0885">
        <w:t>inst</w:t>
      </w:r>
      <w:r w:rsidRPr="00CE0885">
        <w:rPr>
          <w:spacing w:val="-1"/>
        </w:rPr>
        <w:t>r</w:t>
      </w:r>
      <w:r w:rsidRPr="00CE0885">
        <w:t>u</w:t>
      </w:r>
      <w:r w:rsidRPr="00CE0885">
        <w:rPr>
          <w:spacing w:val="-1"/>
        </w:rPr>
        <w:t>m</w:t>
      </w:r>
      <w:r w:rsidRPr="00CE0885">
        <w:t>ent</w:t>
      </w:r>
      <w:r w:rsidRPr="00CE0885">
        <w:rPr>
          <w:spacing w:val="-10"/>
        </w:rPr>
        <w:t>.</w:t>
      </w:r>
      <w:r w:rsidRPr="00CE0885">
        <w:rPr>
          <w:spacing w:val="-13"/>
        </w:rPr>
        <w:t xml:space="preserve"> </w:t>
      </w:r>
      <w:r w:rsidRPr="00CE0885">
        <w:rPr>
          <w:spacing w:val="-2"/>
        </w:rPr>
        <w:t>Commissioner</w:t>
      </w:r>
      <w:r w:rsidRPr="00CE0885">
        <w:t>s</w:t>
      </w:r>
      <w:r w:rsidRPr="00CE0885">
        <w:rPr>
          <w:spacing w:val="-6"/>
        </w:rPr>
        <w:t xml:space="preserve"> should ensure arrangements are in place </w:t>
      </w:r>
      <w:r w:rsidRPr="00CE0885">
        <w:rPr>
          <w:spacing w:val="2"/>
        </w:rPr>
        <w:t xml:space="preserve">to </w:t>
      </w:r>
      <w:r w:rsidRPr="00CE0885">
        <w:t>ta</w:t>
      </w:r>
      <w:r w:rsidRPr="00CE0885">
        <w:rPr>
          <w:spacing w:val="-2"/>
        </w:rPr>
        <w:t>k</w:t>
      </w:r>
      <w:r w:rsidRPr="00CE0885">
        <w:t>e</w:t>
      </w:r>
      <w:r w:rsidRPr="00CE0885">
        <w:rPr>
          <w:spacing w:val="-3"/>
        </w:rPr>
        <w:t xml:space="preserve"> </w:t>
      </w:r>
      <w:r w:rsidRPr="00CE0885">
        <w:t>t</w:t>
      </w:r>
      <w:r w:rsidRPr="00CE0885">
        <w:rPr>
          <w:spacing w:val="-1"/>
        </w:rPr>
        <w:t>h</w:t>
      </w:r>
      <w:r w:rsidRPr="00CE0885">
        <w:t>e</w:t>
      </w:r>
      <w:r w:rsidRPr="00CE0885">
        <w:rPr>
          <w:spacing w:val="-1"/>
        </w:rPr>
        <w:t xml:space="preserve"> a</w:t>
      </w:r>
      <w:r w:rsidRPr="00CE0885">
        <w:t>pp</w:t>
      </w:r>
      <w:r w:rsidRPr="00CE0885">
        <w:rPr>
          <w:spacing w:val="-1"/>
        </w:rPr>
        <w:t>r</w:t>
      </w:r>
      <w:r w:rsidRPr="00CE0885">
        <w:t>op</w:t>
      </w:r>
      <w:r w:rsidRPr="00CE0885">
        <w:rPr>
          <w:spacing w:val="-1"/>
        </w:rPr>
        <w:t>r</w:t>
      </w:r>
      <w:r w:rsidRPr="00CE0885">
        <w:t>ia</w:t>
      </w:r>
      <w:r w:rsidRPr="00CE0885">
        <w:rPr>
          <w:spacing w:val="-2"/>
        </w:rPr>
        <w:t>t</w:t>
      </w:r>
      <w:r w:rsidRPr="00CE0885">
        <w:t>e</w:t>
      </w:r>
      <w:r w:rsidRPr="00CE0885">
        <w:rPr>
          <w:spacing w:val="-10"/>
        </w:rPr>
        <w:t xml:space="preserve"> </w:t>
      </w:r>
      <w:r w:rsidRPr="00CE0885">
        <w:t>act</w:t>
      </w:r>
      <w:r w:rsidRPr="00CE0885">
        <w:rPr>
          <w:spacing w:val="-3"/>
        </w:rPr>
        <w:t>i</w:t>
      </w:r>
      <w:r w:rsidRPr="00CE0885">
        <w:t>on</w:t>
      </w:r>
      <w:r w:rsidRPr="00CE0885">
        <w:rPr>
          <w:spacing w:val="-7"/>
        </w:rPr>
        <w:t xml:space="preserve"> </w:t>
      </w:r>
      <w:r w:rsidRPr="00CE0885">
        <w:t>as</w:t>
      </w:r>
      <w:r w:rsidRPr="00CE0885">
        <w:rPr>
          <w:spacing w:val="-3"/>
        </w:rPr>
        <w:t xml:space="preserve"> </w:t>
      </w:r>
      <w:r w:rsidRPr="00CE0885">
        <w:rPr>
          <w:spacing w:val="-1"/>
        </w:rPr>
        <w:t>qu</w:t>
      </w:r>
      <w:r w:rsidRPr="00CE0885">
        <w:t>ickly</w:t>
      </w:r>
      <w:r w:rsidRPr="00CE0885">
        <w:rPr>
          <w:spacing w:val="-9"/>
        </w:rPr>
        <w:t xml:space="preserve"> </w:t>
      </w:r>
      <w:r w:rsidRPr="00CE0885">
        <w:t>as</w:t>
      </w:r>
      <w:r w:rsidRPr="00CE0885">
        <w:rPr>
          <w:spacing w:val="-3"/>
        </w:rPr>
        <w:t xml:space="preserve"> </w:t>
      </w:r>
      <w:r w:rsidRPr="00CE0885">
        <w:t>possible</w:t>
      </w:r>
      <w:r w:rsidRPr="00CE0885">
        <w:rPr>
          <w:spacing w:val="-7"/>
        </w:rPr>
        <w:t xml:space="preserve"> </w:t>
      </w:r>
      <w:r w:rsidRPr="00CE0885">
        <w:rPr>
          <w:spacing w:val="-1"/>
        </w:rPr>
        <w:t>a</w:t>
      </w:r>
      <w:r w:rsidRPr="00CE0885">
        <w:rPr>
          <w:spacing w:val="3"/>
        </w:rPr>
        <w:t>f</w:t>
      </w:r>
      <w:r w:rsidRPr="00CE0885">
        <w:rPr>
          <w:spacing w:val="-2"/>
        </w:rPr>
        <w:t>t</w:t>
      </w:r>
      <w:r w:rsidRPr="00CE0885">
        <w:t>er the</w:t>
      </w:r>
      <w:r w:rsidRPr="00CE0885">
        <w:rPr>
          <w:spacing w:val="-1"/>
        </w:rPr>
        <w:t xml:space="preserve"> </w:t>
      </w:r>
      <w:r w:rsidRPr="00CE0885">
        <w:t>iss</w:t>
      </w:r>
      <w:r w:rsidRPr="00CE0885">
        <w:rPr>
          <w:spacing w:val="-1"/>
        </w:rPr>
        <w:t>u</w:t>
      </w:r>
      <w:r w:rsidRPr="00CE0885">
        <w:t>e</w:t>
      </w:r>
      <w:r w:rsidRPr="00CE0885">
        <w:rPr>
          <w:spacing w:val="-4"/>
        </w:rPr>
        <w:t xml:space="preserve"> </w:t>
      </w:r>
      <w:r w:rsidRPr="00CE0885">
        <w:rPr>
          <w:spacing w:val="-1"/>
        </w:rPr>
        <w:t>o</w:t>
      </w:r>
      <w:r w:rsidRPr="00CE0885">
        <w:t>f</w:t>
      </w:r>
      <w:r w:rsidRPr="00CE0885">
        <w:rPr>
          <w:spacing w:val="-1"/>
        </w:rPr>
        <w:t xml:space="preserve"> a</w:t>
      </w:r>
      <w:r w:rsidRPr="00CE0885">
        <w:t>n</w:t>
      </w:r>
      <w:r w:rsidRPr="00CE0885">
        <w:rPr>
          <w:spacing w:val="-1"/>
        </w:rPr>
        <w:t xml:space="preserve"> a</w:t>
      </w:r>
      <w:r w:rsidRPr="00CE0885">
        <w:rPr>
          <w:spacing w:val="2"/>
        </w:rPr>
        <w:t>m</w:t>
      </w:r>
      <w:r w:rsidRPr="00CE0885">
        <w:rPr>
          <w:spacing w:val="-1"/>
        </w:rPr>
        <w:t>e</w:t>
      </w:r>
      <w:r w:rsidRPr="00CE0885">
        <w:t>n</w:t>
      </w:r>
      <w:r w:rsidRPr="00CE0885">
        <w:rPr>
          <w:spacing w:val="-1"/>
        </w:rPr>
        <w:t>d</w:t>
      </w:r>
      <w:r w:rsidRPr="00CE0885">
        <w:rPr>
          <w:spacing w:val="2"/>
        </w:rPr>
        <w:t>m</w:t>
      </w:r>
      <w:r w:rsidRPr="00CE0885">
        <w:t>e</w:t>
      </w:r>
      <w:r w:rsidRPr="00CE0885">
        <w:rPr>
          <w:spacing w:val="-1"/>
        </w:rPr>
        <w:t>n</w:t>
      </w:r>
      <w:r w:rsidRPr="00CE0885">
        <w:t>t.</w:t>
      </w:r>
      <w:bookmarkEnd w:id="562"/>
      <w:r w:rsidRPr="00CE0885">
        <w:t xml:space="preserve"> </w:t>
      </w:r>
    </w:p>
    <w:p w14:paraId="6A053713" w14:textId="77777777" w:rsidR="00977693" w:rsidRPr="00CE0885" w:rsidRDefault="00977693" w:rsidP="006B781A">
      <w:pPr>
        <w:pStyle w:val="Heading4"/>
      </w:pPr>
      <w:bookmarkStart w:id="563" w:name="_Toc440981717"/>
      <w:r w:rsidRPr="00CE0885">
        <w:rPr>
          <w:spacing w:val="6"/>
        </w:rPr>
        <w:t>w</w:t>
      </w:r>
      <w:r w:rsidRPr="00CE0885">
        <w:rPr>
          <w:spacing w:val="-1"/>
        </w:rPr>
        <w:t>her</w:t>
      </w:r>
      <w:r w:rsidRPr="00CE0885">
        <w:t>e</w:t>
      </w:r>
      <w:r w:rsidRPr="00CE0885">
        <w:rPr>
          <w:spacing w:val="-8"/>
        </w:rPr>
        <w:t xml:space="preserve"> </w:t>
      </w:r>
      <w:r w:rsidRPr="00CE0885">
        <w:t>t</w:t>
      </w:r>
      <w:r w:rsidRPr="00CE0885">
        <w:rPr>
          <w:spacing w:val="-1"/>
        </w:rPr>
        <w:t>h</w:t>
      </w:r>
      <w:r w:rsidRPr="00CE0885">
        <w:t>e</w:t>
      </w:r>
      <w:r w:rsidRPr="00CE0885">
        <w:rPr>
          <w:spacing w:val="-1"/>
        </w:rPr>
        <w:t xml:space="preserve"> </w:t>
      </w:r>
      <w:r w:rsidRPr="00CE0885">
        <w:t>G</w:t>
      </w:r>
      <w:r w:rsidRPr="00CE0885">
        <w:rPr>
          <w:spacing w:val="-1"/>
        </w:rPr>
        <w:t>M</w:t>
      </w:r>
      <w:r w:rsidRPr="00CE0885">
        <w:t>S</w:t>
      </w:r>
      <w:r w:rsidRPr="00CE0885">
        <w:rPr>
          <w:spacing w:val="-4"/>
        </w:rPr>
        <w:t xml:space="preserve"> </w:t>
      </w:r>
      <w:r w:rsidRPr="00CE0885">
        <w:rPr>
          <w:spacing w:val="-1"/>
        </w:rPr>
        <w:t>R</w:t>
      </w:r>
      <w:r w:rsidRPr="00CE0885">
        <w:t>e</w:t>
      </w:r>
      <w:r w:rsidRPr="00CE0885">
        <w:rPr>
          <w:spacing w:val="-1"/>
        </w:rPr>
        <w:t>g</w:t>
      </w:r>
      <w:r w:rsidRPr="00CE0885">
        <w:t>ul</w:t>
      </w:r>
      <w:r w:rsidRPr="00CE0885">
        <w:rPr>
          <w:spacing w:val="-1"/>
        </w:rPr>
        <w:t>a</w:t>
      </w:r>
      <w:r w:rsidRPr="00CE0885">
        <w:t>tions</w:t>
      </w:r>
      <w:r w:rsidRPr="00CE0885">
        <w:rPr>
          <w:spacing w:val="-12"/>
        </w:rPr>
        <w:t xml:space="preserve"> </w:t>
      </w:r>
      <w:r w:rsidRPr="00CE0885">
        <w:t>a</w:t>
      </w:r>
      <w:r w:rsidRPr="00CE0885">
        <w:rPr>
          <w:spacing w:val="-1"/>
        </w:rPr>
        <w:t>r</w:t>
      </w:r>
      <w:r w:rsidRPr="00CE0885">
        <w:t>e</w:t>
      </w:r>
      <w:r w:rsidRPr="00CE0885">
        <w:rPr>
          <w:spacing w:val="-4"/>
        </w:rPr>
        <w:t xml:space="preserve"> </w:t>
      </w:r>
      <w:r w:rsidRPr="00CE0885">
        <w:rPr>
          <w:spacing w:val="-1"/>
        </w:rPr>
        <w:t>a</w:t>
      </w:r>
      <w:r w:rsidRPr="00CE0885">
        <w:rPr>
          <w:spacing w:val="2"/>
        </w:rPr>
        <w:t>m</w:t>
      </w:r>
      <w:r w:rsidRPr="00CE0885">
        <w:t>e</w:t>
      </w:r>
      <w:r w:rsidRPr="00CE0885">
        <w:rPr>
          <w:spacing w:val="-1"/>
        </w:rPr>
        <w:t>n</w:t>
      </w:r>
      <w:r w:rsidRPr="00CE0885">
        <w:t>d</w:t>
      </w:r>
      <w:r w:rsidRPr="00CE0885">
        <w:rPr>
          <w:spacing w:val="-1"/>
        </w:rPr>
        <w:t>e</w:t>
      </w:r>
      <w:r w:rsidRPr="00CE0885">
        <w:t>d,</w:t>
      </w:r>
      <w:r w:rsidRPr="00CE0885">
        <w:rPr>
          <w:spacing w:val="-10"/>
        </w:rPr>
        <w:t xml:space="preserve"> </w:t>
      </w:r>
      <w:r w:rsidRPr="00CE0885">
        <w:rPr>
          <w:spacing w:val="-2"/>
        </w:rPr>
        <w:t xml:space="preserve">there may be a centrally </w:t>
      </w:r>
      <w:r w:rsidRPr="00CE0885">
        <w:t>issued</w:t>
      </w:r>
      <w:r w:rsidRPr="00CE0885">
        <w:rPr>
          <w:spacing w:val="-9"/>
        </w:rPr>
        <w:t xml:space="preserve"> </w:t>
      </w:r>
      <w:r w:rsidRPr="00CE0885">
        <w:t>G</w:t>
      </w:r>
      <w:r w:rsidRPr="00CE0885">
        <w:rPr>
          <w:spacing w:val="-1"/>
        </w:rPr>
        <w:t>M</w:t>
      </w:r>
      <w:r w:rsidRPr="00CE0885">
        <w:t>S</w:t>
      </w:r>
      <w:r w:rsidRPr="00CE0885">
        <w:rPr>
          <w:spacing w:val="-4"/>
        </w:rPr>
        <w:t xml:space="preserve"> </w:t>
      </w:r>
      <w:r w:rsidRPr="00CE0885">
        <w:rPr>
          <w:spacing w:val="-2"/>
        </w:rPr>
        <w:t>v</w:t>
      </w:r>
      <w:r w:rsidRPr="00CE0885">
        <w:t>a</w:t>
      </w:r>
      <w:r w:rsidRPr="00CE0885">
        <w:rPr>
          <w:spacing w:val="-1"/>
        </w:rPr>
        <w:t>r</w:t>
      </w:r>
      <w:r w:rsidRPr="00CE0885">
        <w:t>iation</w:t>
      </w:r>
      <w:r w:rsidRPr="00CE0885">
        <w:rPr>
          <w:spacing w:val="-7"/>
        </w:rPr>
        <w:t xml:space="preserve"> </w:t>
      </w:r>
      <w:r w:rsidRPr="00CE0885">
        <w:t>to</w:t>
      </w:r>
      <w:r w:rsidRPr="00CE0885">
        <w:rPr>
          <w:spacing w:val="-3"/>
        </w:rPr>
        <w:t xml:space="preserve"> </w:t>
      </w:r>
      <w:r w:rsidRPr="00CE0885">
        <w:t>the</w:t>
      </w:r>
      <w:r w:rsidRPr="00CE0885">
        <w:rPr>
          <w:spacing w:val="-4"/>
        </w:rPr>
        <w:t xml:space="preserve"> </w:t>
      </w:r>
      <w:r w:rsidRPr="00CE0885">
        <w:t>S</w:t>
      </w:r>
      <w:r w:rsidRPr="00CE0885">
        <w:rPr>
          <w:spacing w:val="-2"/>
        </w:rPr>
        <w:t>t</w:t>
      </w:r>
      <w:r w:rsidRPr="00CE0885">
        <w:t>an</w:t>
      </w:r>
      <w:r w:rsidRPr="00CE0885">
        <w:rPr>
          <w:spacing w:val="-1"/>
        </w:rPr>
        <w:t>d</w:t>
      </w:r>
      <w:r w:rsidRPr="00CE0885">
        <w:t>a</w:t>
      </w:r>
      <w:r w:rsidRPr="00CE0885">
        <w:rPr>
          <w:spacing w:val="-1"/>
        </w:rPr>
        <w:t>r</w:t>
      </w:r>
      <w:r w:rsidRPr="00CE0885">
        <w:t>d</w:t>
      </w:r>
      <w:r w:rsidRPr="00CE0885">
        <w:rPr>
          <w:spacing w:val="-7"/>
        </w:rPr>
        <w:t xml:space="preserve"> </w:t>
      </w:r>
      <w:r w:rsidRPr="00CE0885">
        <w:t xml:space="preserve">GMS </w:t>
      </w:r>
      <w:r w:rsidRPr="00CE0885">
        <w:rPr>
          <w:spacing w:val="-1"/>
        </w:rPr>
        <w:t>Co</w:t>
      </w:r>
      <w:r w:rsidRPr="00CE0885">
        <w:t>nt</w:t>
      </w:r>
      <w:r w:rsidRPr="00CE0885">
        <w:rPr>
          <w:spacing w:val="-1"/>
        </w:rPr>
        <w:t>r</w:t>
      </w:r>
      <w:r w:rsidRPr="00CE0885">
        <w:t>act</w:t>
      </w:r>
      <w:r w:rsidRPr="00CE0885">
        <w:rPr>
          <w:spacing w:val="-10"/>
        </w:rPr>
        <w:t xml:space="preserve"> </w:t>
      </w:r>
      <w:r w:rsidRPr="00CE0885">
        <w:rPr>
          <w:spacing w:val="-1"/>
        </w:rPr>
        <w:t>a</w:t>
      </w:r>
      <w:r w:rsidRPr="00CE0885">
        <w:t>nd</w:t>
      </w:r>
      <w:r w:rsidRPr="00CE0885">
        <w:rPr>
          <w:spacing w:val="-5"/>
        </w:rPr>
        <w:t xml:space="preserve"> </w:t>
      </w:r>
      <w:r w:rsidRPr="00CE0885">
        <w:t>a s</w:t>
      </w:r>
      <w:r w:rsidRPr="00CE0885">
        <w:rPr>
          <w:spacing w:val="-1"/>
        </w:rPr>
        <w:t>u</w:t>
      </w:r>
      <w:r w:rsidRPr="00CE0885">
        <w:t>ppo</w:t>
      </w:r>
      <w:r w:rsidRPr="00CE0885">
        <w:rPr>
          <w:spacing w:val="-1"/>
        </w:rPr>
        <w:t>r</w:t>
      </w:r>
      <w:r w:rsidRPr="00CE0885">
        <w:t>ting notice</w:t>
      </w:r>
      <w:r w:rsidRPr="00CE0885">
        <w:rPr>
          <w:spacing w:val="-7"/>
        </w:rPr>
        <w:t xml:space="preserve"> </w:t>
      </w:r>
      <w:r w:rsidRPr="00CE0885">
        <w:t>bo</w:t>
      </w:r>
      <w:r w:rsidRPr="00CE0885">
        <w:rPr>
          <w:spacing w:val="-2"/>
        </w:rPr>
        <w:t>t</w:t>
      </w:r>
      <w:r w:rsidRPr="00CE0885">
        <w:t>h</w:t>
      </w:r>
      <w:r w:rsidRPr="00CE0885">
        <w:rPr>
          <w:spacing w:val="-3"/>
        </w:rPr>
        <w:t xml:space="preserve"> </w:t>
      </w:r>
      <w:r w:rsidRPr="00CE0885">
        <w:rPr>
          <w:spacing w:val="-1"/>
        </w:rPr>
        <w:t>o</w:t>
      </w:r>
      <w:r w:rsidRPr="00CE0885">
        <w:t>f</w:t>
      </w:r>
      <w:r w:rsidRPr="00CE0885">
        <w:rPr>
          <w:spacing w:val="-1"/>
        </w:rPr>
        <w:t xml:space="preserve"> </w:t>
      </w:r>
      <w:r w:rsidRPr="00CE0885">
        <w:rPr>
          <w:spacing w:val="-3"/>
        </w:rPr>
        <w:t>w</w:t>
      </w:r>
      <w:r w:rsidRPr="00CE0885">
        <w:t>hich</w:t>
      </w:r>
      <w:r w:rsidRPr="00CE0885">
        <w:rPr>
          <w:spacing w:val="-4"/>
        </w:rPr>
        <w:t xml:space="preserve"> </w:t>
      </w:r>
      <w:r w:rsidRPr="00CE0885">
        <w:t>s</w:t>
      </w:r>
      <w:r w:rsidRPr="00CE0885">
        <w:rPr>
          <w:spacing w:val="-1"/>
        </w:rPr>
        <w:t>h</w:t>
      </w:r>
      <w:r w:rsidRPr="00CE0885">
        <w:t>ould</w:t>
      </w:r>
      <w:r w:rsidRPr="00CE0885">
        <w:rPr>
          <w:spacing w:val="-8"/>
        </w:rPr>
        <w:t xml:space="preserve"> </w:t>
      </w:r>
      <w:r w:rsidRPr="00CE0885">
        <w:t>be</w:t>
      </w:r>
      <w:r w:rsidRPr="00CE0885">
        <w:rPr>
          <w:spacing w:val="-1"/>
        </w:rPr>
        <w:t xml:space="preserve"> </w:t>
      </w:r>
      <w:r w:rsidRPr="00CE0885">
        <w:t>u</w:t>
      </w:r>
      <w:r w:rsidRPr="00CE0885">
        <w:rPr>
          <w:spacing w:val="-2"/>
        </w:rPr>
        <w:t>s</w:t>
      </w:r>
      <w:r w:rsidRPr="00CE0885">
        <w:t>ed</w:t>
      </w:r>
      <w:r w:rsidRPr="00CE0885">
        <w:rPr>
          <w:spacing w:val="-6"/>
        </w:rPr>
        <w:t xml:space="preserve"> </w:t>
      </w:r>
      <w:r w:rsidRPr="00CE0885">
        <w:t>to i</w:t>
      </w:r>
      <w:r w:rsidRPr="00CE0885">
        <w:rPr>
          <w:spacing w:val="-1"/>
        </w:rPr>
        <w:t>n</w:t>
      </w:r>
      <w:r w:rsidRPr="00CE0885">
        <w:t>fo</w:t>
      </w:r>
      <w:r w:rsidRPr="00CE0885">
        <w:rPr>
          <w:spacing w:val="-1"/>
        </w:rPr>
        <w:t>r</w:t>
      </w:r>
      <w:r w:rsidRPr="00CE0885">
        <w:t>m</w:t>
      </w:r>
      <w:r w:rsidRPr="00CE0885">
        <w:rPr>
          <w:spacing w:val="-10"/>
        </w:rPr>
        <w:t xml:space="preserve"> </w:t>
      </w:r>
      <w:r w:rsidRPr="00CE0885">
        <w:t>the</w:t>
      </w:r>
      <w:r w:rsidRPr="00CE0885">
        <w:rPr>
          <w:spacing w:val="-1"/>
        </w:rPr>
        <w:t xml:space="preserve"> </w:t>
      </w:r>
      <w:r w:rsidRPr="00CE0885">
        <w:rPr>
          <w:spacing w:val="-2"/>
        </w:rPr>
        <w:t>c</w:t>
      </w:r>
      <w:r w:rsidRPr="00CE0885">
        <w:t>ont</w:t>
      </w:r>
      <w:r w:rsidRPr="00CE0885">
        <w:rPr>
          <w:spacing w:val="-1"/>
        </w:rPr>
        <w:t>r</w:t>
      </w:r>
      <w:r w:rsidRPr="00CE0885">
        <w:t>ac</w:t>
      </w:r>
      <w:r w:rsidRPr="00CE0885">
        <w:rPr>
          <w:spacing w:val="-2"/>
        </w:rPr>
        <w:t>t</w:t>
      </w:r>
      <w:r w:rsidRPr="00CE0885">
        <w:t>o</w:t>
      </w:r>
      <w:r w:rsidRPr="00CE0885">
        <w:rPr>
          <w:spacing w:val="-1"/>
        </w:rPr>
        <w:t>r</w:t>
      </w:r>
      <w:r w:rsidRPr="00CE0885">
        <w:t>s</w:t>
      </w:r>
      <w:r w:rsidRPr="00CE0885">
        <w:rPr>
          <w:spacing w:val="-12"/>
        </w:rPr>
        <w:t xml:space="preserve"> </w:t>
      </w:r>
      <w:r w:rsidRPr="00CE0885">
        <w:rPr>
          <w:spacing w:val="-1"/>
        </w:rPr>
        <w:t>o</w:t>
      </w:r>
      <w:r w:rsidRPr="00CE0885">
        <w:t>f</w:t>
      </w:r>
      <w:r w:rsidRPr="00CE0885">
        <w:rPr>
          <w:spacing w:val="-1"/>
        </w:rPr>
        <w:t xml:space="preserve"> </w:t>
      </w:r>
      <w:r w:rsidRPr="00CE0885">
        <w:t>t</w:t>
      </w:r>
      <w:r w:rsidRPr="00CE0885">
        <w:rPr>
          <w:spacing w:val="-1"/>
        </w:rPr>
        <w:t>h</w:t>
      </w:r>
      <w:r w:rsidRPr="00CE0885">
        <w:t>e chan</w:t>
      </w:r>
      <w:r w:rsidRPr="00CE0885">
        <w:rPr>
          <w:spacing w:val="-1"/>
        </w:rPr>
        <w:t>g</w:t>
      </w:r>
      <w:r w:rsidRPr="00CE0885">
        <w:t>e.</w:t>
      </w:r>
      <w:r w:rsidRPr="00CE0885">
        <w:rPr>
          <w:spacing w:val="-8"/>
        </w:rPr>
        <w:t xml:space="preserve"> </w:t>
      </w:r>
      <w:r w:rsidRPr="00CE0885">
        <w:t>This</w:t>
      </w:r>
      <w:r w:rsidRPr="00CE0885">
        <w:rPr>
          <w:spacing w:val="-6"/>
        </w:rPr>
        <w:t xml:space="preserve"> </w:t>
      </w:r>
      <w:r w:rsidRPr="00CE0885">
        <w:t>is</w:t>
      </w:r>
      <w:r w:rsidRPr="00CE0885">
        <w:rPr>
          <w:spacing w:val="-2"/>
        </w:rPr>
        <w:t xml:space="preserve"> </w:t>
      </w:r>
      <w:r w:rsidRPr="00CE0885">
        <w:t>not</w:t>
      </w:r>
      <w:r w:rsidRPr="00CE0885">
        <w:rPr>
          <w:spacing w:val="-4"/>
        </w:rPr>
        <w:t xml:space="preserve"> </w:t>
      </w:r>
      <w:r w:rsidRPr="00CE0885">
        <w:t>possible</w:t>
      </w:r>
      <w:r w:rsidRPr="00CE0885">
        <w:rPr>
          <w:spacing w:val="-10"/>
        </w:rPr>
        <w:t xml:space="preserve"> </w:t>
      </w:r>
      <w:r w:rsidRPr="00CE0885">
        <w:t>for</w:t>
      </w:r>
      <w:r w:rsidRPr="00CE0885">
        <w:rPr>
          <w:spacing w:val="-3"/>
        </w:rPr>
        <w:t xml:space="preserve"> </w:t>
      </w:r>
      <w:r w:rsidRPr="00CE0885">
        <w:t>P</w:t>
      </w:r>
      <w:r w:rsidRPr="00CE0885">
        <w:rPr>
          <w:spacing w:val="-1"/>
        </w:rPr>
        <w:t>M</w:t>
      </w:r>
      <w:r w:rsidRPr="00CE0885">
        <w:rPr>
          <w:spacing w:val="-2"/>
        </w:rPr>
        <w:t>S</w:t>
      </w:r>
      <w:r w:rsidRPr="00CE0885">
        <w:t>/AP</w:t>
      </w:r>
      <w:r w:rsidRPr="00CE0885">
        <w:rPr>
          <w:spacing w:val="-1"/>
        </w:rPr>
        <w:t>M</w:t>
      </w:r>
      <w:r w:rsidRPr="00CE0885">
        <w:t>S/MCP/PACS</w:t>
      </w:r>
      <w:r w:rsidRPr="00CE0885">
        <w:rPr>
          <w:spacing w:val="-12"/>
        </w:rPr>
        <w:t xml:space="preserve"> </w:t>
      </w:r>
      <w:r w:rsidRPr="00CE0885">
        <w:t>contracts as</w:t>
      </w:r>
      <w:r w:rsidRPr="00CE0885">
        <w:rPr>
          <w:spacing w:val="-5"/>
        </w:rPr>
        <w:t xml:space="preserve"> </w:t>
      </w:r>
      <w:r w:rsidRPr="00CE0885">
        <w:t>t</w:t>
      </w:r>
      <w:r w:rsidRPr="00CE0885">
        <w:rPr>
          <w:spacing w:val="-1"/>
        </w:rPr>
        <w:t>h</w:t>
      </w:r>
      <w:r w:rsidRPr="00CE0885">
        <w:t>ese</w:t>
      </w:r>
      <w:r w:rsidRPr="00CE0885">
        <w:rPr>
          <w:spacing w:val="-7"/>
        </w:rPr>
        <w:t xml:space="preserve"> </w:t>
      </w:r>
      <w:r w:rsidRPr="00CE0885">
        <w:rPr>
          <w:spacing w:val="-1"/>
        </w:rPr>
        <w:t>ar</w:t>
      </w:r>
      <w:r w:rsidRPr="00CE0885">
        <w:t>e</w:t>
      </w:r>
      <w:r w:rsidRPr="00CE0885">
        <w:rPr>
          <w:spacing w:val="-1"/>
        </w:rPr>
        <w:t xml:space="preserve"> </w:t>
      </w:r>
      <w:r w:rsidRPr="00CE0885">
        <w:t>locally</w:t>
      </w:r>
      <w:r w:rsidRPr="00CE0885">
        <w:rPr>
          <w:spacing w:val="-9"/>
        </w:rPr>
        <w:t xml:space="preserve"> </w:t>
      </w:r>
      <w:r w:rsidRPr="00CE0885">
        <w:t>d</w:t>
      </w:r>
      <w:r w:rsidRPr="00CE0885">
        <w:rPr>
          <w:spacing w:val="-1"/>
        </w:rPr>
        <w:t>e</w:t>
      </w:r>
      <w:r w:rsidRPr="00CE0885">
        <w:rPr>
          <w:spacing w:val="3"/>
        </w:rPr>
        <w:t>f</w:t>
      </w:r>
      <w:r w:rsidRPr="00CE0885">
        <w:t>in</w:t>
      </w:r>
      <w:r w:rsidRPr="00CE0885">
        <w:rPr>
          <w:spacing w:val="-1"/>
        </w:rPr>
        <w:t>e</w:t>
      </w:r>
      <w:r w:rsidRPr="00CE0885">
        <w:t>d</w:t>
      </w:r>
      <w:r w:rsidRPr="00CE0885">
        <w:rPr>
          <w:spacing w:val="-6"/>
        </w:rPr>
        <w:t xml:space="preserve"> </w:t>
      </w:r>
      <w:r w:rsidRPr="00CE0885">
        <w:t>co</w:t>
      </w:r>
      <w:r w:rsidRPr="00CE0885">
        <w:rPr>
          <w:spacing w:val="-1"/>
        </w:rPr>
        <w:t>n</w:t>
      </w:r>
      <w:r w:rsidRPr="00CE0885">
        <w:t>t</w:t>
      </w:r>
      <w:r w:rsidRPr="00CE0885">
        <w:rPr>
          <w:spacing w:val="-1"/>
        </w:rPr>
        <w:t>r</w:t>
      </w:r>
      <w:r w:rsidRPr="00CE0885">
        <w:t>acts,</w:t>
      </w:r>
      <w:r w:rsidRPr="00CE0885">
        <w:rPr>
          <w:spacing w:val="-9"/>
        </w:rPr>
        <w:t xml:space="preserve"> </w:t>
      </w:r>
      <w:r w:rsidRPr="00CE0885">
        <w:rPr>
          <w:spacing w:val="-3"/>
        </w:rPr>
        <w:t>w</w:t>
      </w:r>
      <w:r w:rsidRPr="00CE0885">
        <w:t>hich</w:t>
      </w:r>
      <w:r w:rsidRPr="00CE0885">
        <w:rPr>
          <w:spacing w:val="-4"/>
        </w:rPr>
        <w:t xml:space="preserve"> </w:t>
      </w:r>
      <w:r w:rsidRPr="00CE0885">
        <w:rPr>
          <w:spacing w:val="-2"/>
        </w:rPr>
        <w:t>v</w:t>
      </w:r>
      <w:r w:rsidRPr="00CE0885">
        <w:t>a</w:t>
      </w:r>
      <w:r w:rsidRPr="00CE0885">
        <w:rPr>
          <w:spacing w:val="-1"/>
        </w:rPr>
        <w:t>r</w:t>
      </w:r>
      <w:r w:rsidRPr="00CE0885">
        <w:t>y si</w:t>
      </w:r>
      <w:r w:rsidRPr="00CE0885">
        <w:rPr>
          <w:spacing w:val="-1"/>
        </w:rPr>
        <w:t>g</w:t>
      </w:r>
      <w:r w:rsidRPr="00CE0885">
        <w:t>ni</w:t>
      </w:r>
      <w:r w:rsidRPr="00CE0885">
        <w:rPr>
          <w:spacing w:val="3"/>
        </w:rPr>
        <w:t>f</w:t>
      </w:r>
      <w:r w:rsidRPr="00CE0885">
        <w:t>icantly</w:t>
      </w:r>
      <w:r w:rsidRPr="00CE0885">
        <w:rPr>
          <w:spacing w:val="-14"/>
        </w:rPr>
        <w:t xml:space="preserve"> </w:t>
      </w:r>
      <w:r w:rsidRPr="00CE0885">
        <w:t>ac</w:t>
      </w:r>
      <w:r w:rsidRPr="00CE0885">
        <w:rPr>
          <w:spacing w:val="-1"/>
        </w:rPr>
        <w:t>r</w:t>
      </w:r>
      <w:r w:rsidRPr="00CE0885">
        <w:t>oss</w:t>
      </w:r>
      <w:r w:rsidRPr="00CE0885">
        <w:rPr>
          <w:spacing w:val="-7"/>
        </w:rPr>
        <w:t xml:space="preserve"> </w:t>
      </w:r>
      <w:r w:rsidRPr="00CE0885">
        <w:rPr>
          <w:spacing w:val="-2"/>
        </w:rPr>
        <w:t>t</w:t>
      </w:r>
      <w:r w:rsidRPr="00CE0885">
        <w:t>he</w:t>
      </w:r>
      <w:r w:rsidRPr="00CE0885">
        <w:rPr>
          <w:spacing w:val="-4"/>
        </w:rPr>
        <w:t xml:space="preserve"> </w:t>
      </w:r>
      <w:r w:rsidRPr="00CE0885">
        <w:t>cou</w:t>
      </w:r>
      <w:r w:rsidRPr="00CE0885">
        <w:rPr>
          <w:spacing w:val="-1"/>
        </w:rPr>
        <w:t>n</w:t>
      </w:r>
      <w:r w:rsidRPr="00CE0885">
        <w:t>t</w:t>
      </w:r>
      <w:r w:rsidRPr="00CE0885">
        <w:rPr>
          <w:spacing w:val="-1"/>
        </w:rPr>
        <w:t>r</w:t>
      </w:r>
      <w:r w:rsidRPr="00CE0885">
        <w:rPr>
          <w:spacing w:val="-2"/>
        </w:rPr>
        <w:t>y</w:t>
      </w:r>
      <w:r w:rsidRPr="00CE0885">
        <w:t>.</w:t>
      </w:r>
      <w:bookmarkEnd w:id="563"/>
    </w:p>
    <w:p w14:paraId="651EC318" w14:textId="770A2E95" w:rsidR="00977693" w:rsidRPr="00CE0885" w:rsidRDefault="00977693" w:rsidP="006B781A">
      <w:pPr>
        <w:pStyle w:val="Heading4"/>
      </w:pPr>
      <w:bookmarkStart w:id="564" w:name="_Toc440981718"/>
      <w:r w:rsidRPr="00CE0885">
        <w:t>the Commissioner must</w:t>
      </w:r>
      <w:r w:rsidRPr="00CE0885">
        <w:rPr>
          <w:spacing w:val="-4"/>
        </w:rPr>
        <w:t xml:space="preserve"> </w:t>
      </w:r>
      <w:r w:rsidRPr="00CE0885">
        <w:rPr>
          <w:spacing w:val="-1"/>
        </w:rPr>
        <w:t>n</w:t>
      </w:r>
      <w:r w:rsidRPr="00CE0885">
        <w:t>ot</w:t>
      </w:r>
      <w:r w:rsidRPr="00CE0885">
        <w:rPr>
          <w:spacing w:val="-3"/>
        </w:rPr>
        <w:t>i</w:t>
      </w:r>
      <w:r w:rsidRPr="00CE0885">
        <w:rPr>
          <w:spacing w:val="3"/>
        </w:rPr>
        <w:t>f</w:t>
      </w:r>
      <w:r w:rsidRPr="00CE0885">
        <w:t>y</w:t>
      </w:r>
      <w:r w:rsidRPr="00CE0885">
        <w:rPr>
          <w:spacing w:val="-8"/>
        </w:rPr>
        <w:t xml:space="preserve"> </w:t>
      </w:r>
      <w:r w:rsidRPr="00CE0885">
        <w:rPr>
          <w:spacing w:val="-2"/>
        </w:rPr>
        <w:t>c</w:t>
      </w:r>
      <w:r w:rsidRPr="00CE0885">
        <w:t>ont</w:t>
      </w:r>
      <w:r w:rsidRPr="00CE0885">
        <w:rPr>
          <w:spacing w:val="-1"/>
        </w:rPr>
        <w:t>r</w:t>
      </w:r>
      <w:r w:rsidRPr="00CE0885">
        <w:t>ac</w:t>
      </w:r>
      <w:r w:rsidRPr="00CE0885">
        <w:rPr>
          <w:spacing w:val="-2"/>
        </w:rPr>
        <w:t>t</w:t>
      </w:r>
      <w:r w:rsidRPr="00CE0885">
        <w:t>o</w:t>
      </w:r>
      <w:r w:rsidRPr="00CE0885">
        <w:rPr>
          <w:spacing w:val="-1"/>
        </w:rPr>
        <w:t>r</w:t>
      </w:r>
      <w:r w:rsidRPr="00CE0885">
        <w:t>s</w:t>
      </w:r>
      <w:r w:rsidRPr="00CE0885">
        <w:rPr>
          <w:spacing w:val="-7"/>
        </w:rPr>
        <w:t xml:space="preserve"> </w:t>
      </w:r>
      <w:r w:rsidRPr="00CE0885">
        <w:rPr>
          <w:spacing w:val="-1"/>
        </w:rPr>
        <w:t>o</w:t>
      </w:r>
      <w:r w:rsidRPr="00CE0885">
        <w:t xml:space="preserve">f </w:t>
      </w:r>
      <w:r w:rsidRPr="00CE0885">
        <w:rPr>
          <w:spacing w:val="-2"/>
        </w:rPr>
        <w:t>t</w:t>
      </w:r>
      <w:r w:rsidRPr="00CE0885">
        <w:t>he</w:t>
      </w:r>
      <w:r w:rsidRPr="00CE0885">
        <w:rPr>
          <w:spacing w:val="-1"/>
        </w:rPr>
        <w:t xml:space="preserve"> </w:t>
      </w:r>
      <w:r w:rsidRPr="00CE0885">
        <w:rPr>
          <w:spacing w:val="-2"/>
        </w:rPr>
        <w:t>v</w:t>
      </w:r>
      <w:r w:rsidRPr="00CE0885">
        <w:t>a</w:t>
      </w:r>
      <w:r w:rsidRPr="00CE0885">
        <w:rPr>
          <w:spacing w:val="-1"/>
        </w:rPr>
        <w:t>r</w:t>
      </w:r>
      <w:r w:rsidRPr="00CE0885">
        <w:t>iation</w:t>
      </w:r>
      <w:r w:rsidRPr="00CE0885">
        <w:rPr>
          <w:spacing w:val="-12"/>
        </w:rPr>
        <w:t xml:space="preserve"> </w:t>
      </w:r>
      <w:r w:rsidRPr="00CE0885">
        <w:t>and</w:t>
      </w:r>
      <w:r w:rsidRPr="00CE0885">
        <w:rPr>
          <w:spacing w:val="-2"/>
        </w:rPr>
        <w:t xml:space="preserve"> </w:t>
      </w:r>
      <w:r w:rsidRPr="00CE0885">
        <w:t>its</w:t>
      </w:r>
      <w:r w:rsidRPr="00CE0885">
        <w:rPr>
          <w:spacing w:val="-4"/>
        </w:rPr>
        <w:t xml:space="preserve"> </w:t>
      </w:r>
      <w:r w:rsidRPr="00CE0885">
        <w:rPr>
          <w:spacing w:val="-1"/>
        </w:rPr>
        <w:t>e</w:t>
      </w:r>
      <w:r w:rsidRPr="00CE0885">
        <w:t>ffecti</w:t>
      </w:r>
      <w:r w:rsidRPr="00CE0885">
        <w:rPr>
          <w:spacing w:val="-2"/>
        </w:rPr>
        <w:t>v</w:t>
      </w:r>
      <w:r w:rsidRPr="00CE0885">
        <w:t>e</w:t>
      </w:r>
      <w:r w:rsidRPr="00CE0885">
        <w:rPr>
          <w:spacing w:val="-7"/>
        </w:rPr>
        <w:t xml:space="preserve"> </w:t>
      </w:r>
      <w:r w:rsidRPr="00CE0885">
        <w:t>da</w:t>
      </w:r>
      <w:r w:rsidRPr="00CE0885">
        <w:rPr>
          <w:spacing w:val="-2"/>
        </w:rPr>
        <w:t>t</w:t>
      </w:r>
      <w:r w:rsidRPr="00CE0885">
        <w:t>e. A template variation notice is provided in Annex 1 for GMS contracts and Annex 2 for PMS/APMS contracts.</w:t>
      </w:r>
      <w:bookmarkEnd w:id="564"/>
      <w:r w:rsidRPr="00CE0885">
        <w:t xml:space="preserve"> Further information for MCP/PACS can be found </w:t>
      </w:r>
      <w:hyperlink r:id="rId82" w:history="1">
        <w:r w:rsidRPr="00E5058C">
          <w:rPr>
            <w:rStyle w:val="Hyperlink"/>
            <w:b/>
          </w:rPr>
          <w:t>HERE</w:t>
        </w:r>
      </w:hyperlink>
      <w:r w:rsidR="00E5058C" w:rsidRPr="00E5058C">
        <w:t xml:space="preserve"> in the </w:t>
      </w:r>
      <w:r w:rsidR="00E5058C">
        <w:t>New Care Models area od NHS England’s website</w:t>
      </w:r>
    </w:p>
    <w:p w14:paraId="682F5ED6" w14:textId="77777777" w:rsidR="00977693" w:rsidRPr="00CE0885" w:rsidRDefault="00977693" w:rsidP="006B781A">
      <w:pPr>
        <w:pStyle w:val="Heading4"/>
      </w:pPr>
      <w:bookmarkStart w:id="565" w:name="_Toc440981719"/>
      <w:r w:rsidRPr="00CE0885">
        <w:t>for GMS contractors, the notification should</w:t>
      </w:r>
      <w:r w:rsidRPr="00CE0885">
        <w:rPr>
          <w:spacing w:val="-4"/>
        </w:rPr>
        <w:t xml:space="preserve"> </w:t>
      </w:r>
      <w:r w:rsidRPr="00CE0885">
        <w:rPr>
          <w:spacing w:val="-3"/>
        </w:rPr>
        <w:t>i</w:t>
      </w:r>
      <w:r w:rsidRPr="00CE0885">
        <w:t>nclude</w:t>
      </w:r>
      <w:r w:rsidRPr="00CE0885">
        <w:rPr>
          <w:spacing w:val="-10"/>
        </w:rPr>
        <w:t xml:space="preserve"> </w:t>
      </w:r>
      <w:r w:rsidRPr="00CE0885">
        <w:t>t</w:t>
      </w:r>
      <w:r w:rsidRPr="00CE0885">
        <w:rPr>
          <w:spacing w:val="-1"/>
        </w:rPr>
        <w:t>h</w:t>
      </w:r>
      <w:r w:rsidRPr="00CE0885">
        <w:t>e</w:t>
      </w:r>
      <w:r w:rsidRPr="00CE0885">
        <w:rPr>
          <w:spacing w:val="-1"/>
        </w:rPr>
        <w:t xml:space="preserve"> GMS variation and the r</w:t>
      </w:r>
      <w:r w:rsidRPr="00CE0885">
        <w:t>ele</w:t>
      </w:r>
      <w:r w:rsidRPr="00CE0885">
        <w:rPr>
          <w:spacing w:val="-2"/>
        </w:rPr>
        <w:t>v</w:t>
      </w:r>
      <w:r w:rsidRPr="00CE0885">
        <w:t>ant pa</w:t>
      </w:r>
      <w:r w:rsidRPr="00CE0885">
        <w:rPr>
          <w:spacing w:val="-1"/>
        </w:rPr>
        <w:t>g</w:t>
      </w:r>
      <w:r w:rsidRPr="00CE0885">
        <w:t>es</w:t>
      </w:r>
      <w:r w:rsidRPr="00CE0885">
        <w:rPr>
          <w:spacing w:val="-7"/>
        </w:rPr>
        <w:t xml:space="preserve"> </w:t>
      </w:r>
      <w:r w:rsidRPr="00CE0885">
        <w:rPr>
          <w:spacing w:val="-1"/>
        </w:rPr>
        <w:t>o</w:t>
      </w:r>
      <w:r w:rsidRPr="00CE0885">
        <w:t>f</w:t>
      </w:r>
      <w:r w:rsidRPr="00CE0885">
        <w:rPr>
          <w:spacing w:val="-1"/>
        </w:rPr>
        <w:t xml:space="preserve"> </w:t>
      </w:r>
      <w:r w:rsidRPr="00CE0885">
        <w:t>t</w:t>
      </w:r>
      <w:r w:rsidRPr="00CE0885">
        <w:rPr>
          <w:spacing w:val="-1"/>
        </w:rPr>
        <w:t>h</w:t>
      </w:r>
      <w:r w:rsidRPr="00CE0885">
        <w:t>e</w:t>
      </w:r>
      <w:r w:rsidRPr="00CE0885">
        <w:rPr>
          <w:spacing w:val="-1"/>
        </w:rPr>
        <w:t xml:space="preserve"> a</w:t>
      </w:r>
      <w:r w:rsidRPr="00CE0885">
        <w:rPr>
          <w:spacing w:val="2"/>
        </w:rPr>
        <w:t>m</w:t>
      </w:r>
      <w:r w:rsidRPr="00CE0885">
        <w:rPr>
          <w:spacing w:val="-1"/>
        </w:rPr>
        <w:t>e</w:t>
      </w:r>
      <w:r w:rsidRPr="00CE0885">
        <w:t>nd</w:t>
      </w:r>
      <w:r w:rsidRPr="00CE0885">
        <w:rPr>
          <w:spacing w:val="-1"/>
        </w:rPr>
        <w:t>e</w:t>
      </w:r>
      <w:r w:rsidRPr="00CE0885">
        <w:t>d</w:t>
      </w:r>
      <w:r w:rsidRPr="00CE0885">
        <w:rPr>
          <w:spacing w:val="-11"/>
        </w:rPr>
        <w:t xml:space="preserve"> </w:t>
      </w:r>
      <w:r w:rsidRPr="00CE0885">
        <w:t>cont</w:t>
      </w:r>
      <w:r w:rsidRPr="00CE0885">
        <w:rPr>
          <w:spacing w:val="-1"/>
        </w:rPr>
        <w:t>r</w:t>
      </w:r>
      <w:r w:rsidRPr="00CE0885">
        <w:t>act</w:t>
      </w:r>
      <w:r w:rsidRPr="00CE0885">
        <w:rPr>
          <w:spacing w:val="-10"/>
        </w:rPr>
        <w:t xml:space="preserve"> </w:t>
      </w:r>
      <w:r w:rsidRPr="00CE0885">
        <w:t>do</w:t>
      </w:r>
      <w:r w:rsidRPr="00CE0885">
        <w:rPr>
          <w:spacing w:val="-2"/>
        </w:rPr>
        <w:t>c</w:t>
      </w:r>
      <w:r w:rsidRPr="00CE0885">
        <w:t>u</w:t>
      </w:r>
      <w:r w:rsidRPr="00CE0885">
        <w:rPr>
          <w:spacing w:val="-1"/>
        </w:rPr>
        <w:t>m</w:t>
      </w:r>
      <w:r w:rsidRPr="00CE0885">
        <w:t>ent</w:t>
      </w:r>
      <w:r w:rsidRPr="00CE0885">
        <w:rPr>
          <w:spacing w:val="-12"/>
        </w:rPr>
        <w:t xml:space="preserve"> </w:t>
      </w:r>
      <w:r w:rsidRPr="00CE0885">
        <w:t>for</w:t>
      </w:r>
      <w:r w:rsidRPr="00CE0885">
        <w:rPr>
          <w:spacing w:val="-6"/>
        </w:rPr>
        <w:t xml:space="preserve"> </w:t>
      </w:r>
      <w:r w:rsidRPr="00CE0885">
        <w:t>co</w:t>
      </w:r>
      <w:r w:rsidRPr="00CE0885">
        <w:rPr>
          <w:spacing w:val="2"/>
        </w:rPr>
        <w:t>m</w:t>
      </w:r>
      <w:r w:rsidRPr="00CE0885">
        <w:t>p</w:t>
      </w:r>
      <w:r w:rsidRPr="00CE0885">
        <w:rPr>
          <w:spacing w:val="-3"/>
        </w:rPr>
        <w:t>l</w:t>
      </w:r>
      <w:r w:rsidRPr="00CE0885">
        <w:t>et</w:t>
      </w:r>
      <w:r w:rsidRPr="00CE0885">
        <w:rPr>
          <w:spacing w:val="-1"/>
        </w:rPr>
        <w:t>e</w:t>
      </w:r>
      <w:r w:rsidRPr="00CE0885">
        <w:t xml:space="preserve">ness. For PMS and APMS contractors, the Commissioner </w:t>
      </w:r>
      <w:r w:rsidRPr="00CE0885">
        <w:rPr>
          <w:spacing w:val="-3"/>
        </w:rPr>
        <w:t>w</w:t>
      </w:r>
      <w:r w:rsidRPr="00CE0885">
        <w:rPr>
          <w:spacing w:val="2"/>
        </w:rPr>
        <w:t>i</w:t>
      </w:r>
      <w:r w:rsidRPr="00CE0885">
        <w:t>ll</w:t>
      </w:r>
      <w:r w:rsidRPr="00CE0885">
        <w:rPr>
          <w:spacing w:val="-3"/>
        </w:rPr>
        <w:t xml:space="preserve"> </w:t>
      </w:r>
      <w:r w:rsidRPr="00CE0885">
        <w:t>be</w:t>
      </w:r>
      <w:r w:rsidRPr="00CE0885">
        <w:rPr>
          <w:spacing w:val="-1"/>
        </w:rPr>
        <w:t xml:space="preserve"> r</w:t>
      </w:r>
      <w:r w:rsidRPr="00CE0885">
        <w:t>e</w:t>
      </w:r>
      <w:r w:rsidRPr="00CE0885">
        <w:rPr>
          <w:spacing w:val="-1"/>
        </w:rPr>
        <w:t>q</w:t>
      </w:r>
      <w:r w:rsidRPr="00CE0885">
        <w:t>ui</w:t>
      </w:r>
      <w:r w:rsidRPr="00CE0885">
        <w:rPr>
          <w:spacing w:val="-1"/>
        </w:rPr>
        <w:t>r</w:t>
      </w:r>
      <w:r w:rsidRPr="00CE0885">
        <w:t>ed</w:t>
      </w:r>
      <w:r w:rsidRPr="00CE0885">
        <w:rPr>
          <w:spacing w:val="-7"/>
        </w:rPr>
        <w:t xml:space="preserve"> </w:t>
      </w:r>
      <w:r w:rsidRPr="00CE0885">
        <w:rPr>
          <w:spacing w:val="-2"/>
        </w:rPr>
        <w:t>t</w:t>
      </w:r>
      <w:r w:rsidRPr="00CE0885">
        <w:t>o ensure</w:t>
      </w:r>
      <w:r w:rsidRPr="00CE0885">
        <w:rPr>
          <w:spacing w:val="-7"/>
        </w:rPr>
        <w:t xml:space="preserve"> </w:t>
      </w:r>
      <w:r w:rsidRPr="00CE0885">
        <w:t>t</w:t>
      </w:r>
      <w:r w:rsidRPr="00CE0885">
        <w:rPr>
          <w:spacing w:val="-1"/>
        </w:rPr>
        <w:t>h</w:t>
      </w:r>
      <w:r w:rsidRPr="00CE0885">
        <w:t>e</w:t>
      </w:r>
      <w:r w:rsidRPr="00CE0885">
        <w:rPr>
          <w:spacing w:val="-1"/>
        </w:rPr>
        <w:t xml:space="preserve"> r</w:t>
      </w:r>
      <w:r w:rsidRPr="00CE0885">
        <w:t>e</w:t>
      </w:r>
      <w:r w:rsidRPr="00CE0885">
        <w:rPr>
          <w:spacing w:val="-1"/>
        </w:rPr>
        <w:t>g</w:t>
      </w:r>
      <w:r w:rsidRPr="00CE0885">
        <w:t>ula</w:t>
      </w:r>
      <w:r w:rsidRPr="00CE0885">
        <w:rPr>
          <w:spacing w:val="-2"/>
        </w:rPr>
        <w:t>t</w:t>
      </w:r>
      <w:r w:rsidRPr="00CE0885">
        <w:t>o</w:t>
      </w:r>
      <w:r w:rsidRPr="00CE0885">
        <w:rPr>
          <w:spacing w:val="-1"/>
        </w:rPr>
        <w:t>r</w:t>
      </w:r>
      <w:r w:rsidRPr="00CE0885">
        <w:t>y a</w:t>
      </w:r>
      <w:r w:rsidRPr="00CE0885">
        <w:rPr>
          <w:spacing w:val="2"/>
        </w:rPr>
        <w:t>m</w:t>
      </w:r>
      <w:r w:rsidRPr="00CE0885">
        <w:rPr>
          <w:spacing w:val="-1"/>
        </w:rPr>
        <w:t>e</w:t>
      </w:r>
      <w:r w:rsidRPr="00CE0885">
        <w:t>n</w:t>
      </w:r>
      <w:r w:rsidRPr="00CE0885">
        <w:rPr>
          <w:spacing w:val="-1"/>
        </w:rPr>
        <w:t>d</w:t>
      </w:r>
      <w:r w:rsidRPr="00CE0885">
        <w:rPr>
          <w:spacing w:val="2"/>
        </w:rPr>
        <w:t>m</w:t>
      </w:r>
      <w:r w:rsidRPr="00CE0885">
        <w:rPr>
          <w:spacing w:val="-1"/>
        </w:rPr>
        <w:t>e</w:t>
      </w:r>
      <w:r w:rsidRPr="00CE0885">
        <w:t>nts</w:t>
      </w:r>
      <w:r w:rsidRPr="00CE0885">
        <w:rPr>
          <w:spacing w:val="-14"/>
        </w:rPr>
        <w:t xml:space="preserve"> </w:t>
      </w:r>
      <w:r w:rsidRPr="00CE0885">
        <w:t>become</w:t>
      </w:r>
      <w:r w:rsidRPr="00CE0885">
        <w:rPr>
          <w:spacing w:val="-2"/>
        </w:rPr>
        <w:t xml:space="preserve"> </w:t>
      </w:r>
      <w:r w:rsidRPr="00CE0885">
        <w:t>a</w:t>
      </w:r>
      <w:r w:rsidRPr="00CE0885">
        <w:rPr>
          <w:spacing w:val="-2"/>
        </w:rPr>
        <w:t xml:space="preserve"> </w:t>
      </w:r>
      <w:r w:rsidRPr="00CE0885">
        <w:t>c</w:t>
      </w:r>
      <w:r w:rsidRPr="00CE0885">
        <w:rPr>
          <w:spacing w:val="-1"/>
        </w:rPr>
        <w:t>o</w:t>
      </w:r>
      <w:r w:rsidRPr="00CE0885">
        <w:t>nt</w:t>
      </w:r>
      <w:r w:rsidRPr="00CE0885">
        <w:rPr>
          <w:spacing w:val="-1"/>
        </w:rPr>
        <w:t>r</w:t>
      </w:r>
      <w:r w:rsidRPr="00CE0885">
        <w:t>act</w:t>
      </w:r>
      <w:r w:rsidRPr="00CE0885">
        <w:rPr>
          <w:spacing w:val="-1"/>
        </w:rPr>
        <w:t>u</w:t>
      </w:r>
      <w:r w:rsidRPr="00CE0885">
        <w:t>al</w:t>
      </w:r>
      <w:r w:rsidRPr="00CE0885">
        <w:rPr>
          <w:spacing w:val="-12"/>
        </w:rPr>
        <w:t xml:space="preserve"> </w:t>
      </w:r>
      <w:r w:rsidRPr="00CE0885">
        <w:rPr>
          <w:spacing w:val="-1"/>
        </w:rPr>
        <w:t>a</w:t>
      </w:r>
      <w:r w:rsidRPr="00CE0885">
        <w:rPr>
          <w:spacing w:val="2"/>
        </w:rPr>
        <w:t>m</w:t>
      </w:r>
      <w:r w:rsidRPr="00CE0885">
        <w:t>e</w:t>
      </w:r>
      <w:r w:rsidRPr="00CE0885">
        <w:rPr>
          <w:spacing w:val="-1"/>
        </w:rPr>
        <w:t>nd</w:t>
      </w:r>
      <w:r w:rsidRPr="00CE0885">
        <w:rPr>
          <w:spacing w:val="2"/>
        </w:rPr>
        <w:t>m</w:t>
      </w:r>
      <w:r w:rsidRPr="00CE0885">
        <w:t>e</w:t>
      </w:r>
      <w:r w:rsidRPr="00CE0885">
        <w:rPr>
          <w:spacing w:val="-1"/>
        </w:rPr>
        <w:t>n</w:t>
      </w:r>
      <w:r w:rsidRPr="00CE0885">
        <w:t>t,</w:t>
      </w:r>
      <w:r w:rsidRPr="00CE0885">
        <w:rPr>
          <w:spacing w:val="-14"/>
        </w:rPr>
        <w:t xml:space="preserve"> </w:t>
      </w:r>
      <w:r w:rsidRPr="00CE0885">
        <w:t>citing</w:t>
      </w:r>
      <w:r w:rsidRPr="00CE0885">
        <w:rPr>
          <w:spacing w:val="-7"/>
        </w:rPr>
        <w:t xml:space="preserve"> </w:t>
      </w:r>
      <w:r w:rsidRPr="00CE0885">
        <w:t>the</w:t>
      </w:r>
      <w:r w:rsidRPr="00CE0885">
        <w:rPr>
          <w:spacing w:val="-1"/>
        </w:rPr>
        <w:t xml:space="preserve"> </w:t>
      </w:r>
      <w:r w:rsidRPr="00CE0885">
        <w:t>co</w:t>
      </w:r>
      <w:r w:rsidRPr="00CE0885">
        <w:rPr>
          <w:spacing w:val="-1"/>
        </w:rPr>
        <w:t>rr</w:t>
      </w:r>
      <w:r w:rsidRPr="00CE0885">
        <w:t>ect clause</w:t>
      </w:r>
      <w:r w:rsidRPr="00CE0885">
        <w:rPr>
          <w:spacing w:val="-8"/>
        </w:rPr>
        <w:t xml:space="preserve"> </w:t>
      </w:r>
      <w:r w:rsidRPr="00CE0885">
        <w:t>n</w:t>
      </w:r>
      <w:r w:rsidRPr="00CE0885">
        <w:rPr>
          <w:spacing w:val="-1"/>
        </w:rPr>
        <w:t>u</w:t>
      </w:r>
      <w:r w:rsidRPr="00CE0885">
        <w:rPr>
          <w:spacing w:val="2"/>
        </w:rPr>
        <w:t>m</w:t>
      </w:r>
      <w:r w:rsidRPr="00CE0885">
        <w:t>be</w:t>
      </w:r>
      <w:r w:rsidRPr="00CE0885">
        <w:rPr>
          <w:spacing w:val="-1"/>
        </w:rPr>
        <w:t>r</w:t>
      </w:r>
      <w:r w:rsidRPr="00CE0885">
        <w:t>s</w:t>
      </w:r>
      <w:r w:rsidRPr="00CE0885">
        <w:rPr>
          <w:spacing w:val="-11"/>
        </w:rPr>
        <w:t xml:space="preserve"> </w:t>
      </w:r>
      <w:r w:rsidRPr="00CE0885">
        <w:rPr>
          <w:spacing w:val="-1"/>
        </w:rPr>
        <w:t>a</w:t>
      </w:r>
      <w:r w:rsidRPr="00CE0885">
        <w:t>f</w:t>
      </w:r>
      <w:r w:rsidRPr="00CE0885">
        <w:rPr>
          <w:spacing w:val="3"/>
        </w:rPr>
        <w:t>f</w:t>
      </w:r>
      <w:r w:rsidRPr="00CE0885">
        <w:t>e</w:t>
      </w:r>
      <w:r w:rsidRPr="00CE0885">
        <w:rPr>
          <w:spacing w:val="-2"/>
        </w:rPr>
        <w:t>ct</w:t>
      </w:r>
      <w:r w:rsidRPr="00CE0885">
        <w:t>ed</w:t>
      </w:r>
      <w:r w:rsidRPr="00CE0885">
        <w:rPr>
          <w:spacing w:val="-7"/>
        </w:rPr>
        <w:t xml:space="preserve"> </w:t>
      </w:r>
      <w:r w:rsidRPr="00CE0885">
        <w:rPr>
          <w:spacing w:val="-3"/>
        </w:rPr>
        <w:t>w</w:t>
      </w:r>
      <w:r w:rsidRPr="00CE0885">
        <w:t>ithin</w:t>
      </w:r>
      <w:r w:rsidRPr="00CE0885">
        <w:rPr>
          <w:spacing w:val="-4"/>
        </w:rPr>
        <w:t xml:space="preserve"> </w:t>
      </w:r>
      <w:r w:rsidRPr="00CE0885">
        <w:t>the</w:t>
      </w:r>
      <w:r w:rsidRPr="00CE0885">
        <w:rPr>
          <w:spacing w:val="-5"/>
        </w:rPr>
        <w:t xml:space="preserve"> </w:t>
      </w:r>
      <w:r w:rsidRPr="00CE0885">
        <w:t>i</w:t>
      </w:r>
      <w:r w:rsidRPr="00CE0885">
        <w:rPr>
          <w:spacing w:val="-1"/>
        </w:rPr>
        <w:t>n</w:t>
      </w:r>
      <w:r w:rsidRPr="00CE0885">
        <w:t>di</w:t>
      </w:r>
      <w:r w:rsidRPr="00CE0885">
        <w:rPr>
          <w:spacing w:val="-2"/>
        </w:rPr>
        <w:t>v</w:t>
      </w:r>
      <w:r w:rsidRPr="00CE0885">
        <w:t>idually</w:t>
      </w:r>
      <w:r w:rsidRPr="00CE0885">
        <w:rPr>
          <w:spacing w:val="-14"/>
        </w:rPr>
        <w:t xml:space="preserve"> </w:t>
      </w:r>
      <w:r w:rsidRPr="00CE0885">
        <w:t>held</w:t>
      </w:r>
      <w:r w:rsidRPr="00CE0885">
        <w:rPr>
          <w:spacing w:val="-3"/>
        </w:rPr>
        <w:t xml:space="preserve"> </w:t>
      </w:r>
      <w:r w:rsidRPr="00CE0885">
        <w:t>contracts</w:t>
      </w:r>
      <w:r w:rsidRPr="00CE0885">
        <w:rPr>
          <w:spacing w:val="-13"/>
        </w:rPr>
        <w:t xml:space="preserve"> </w:t>
      </w:r>
      <w:r w:rsidRPr="00CE0885">
        <w:rPr>
          <w:spacing w:val="-1"/>
        </w:rPr>
        <w:t>a</w:t>
      </w:r>
      <w:r w:rsidRPr="00CE0885">
        <w:t>nd</w:t>
      </w:r>
      <w:r w:rsidRPr="00CE0885">
        <w:rPr>
          <w:spacing w:val="-2"/>
        </w:rPr>
        <w:t xml:space="preserve"> </w:t>
      </w:r>
      <w:r w:rsidRPr="00CE0885">
        <w:rPr>
          <w:spacing w:val="-3"/>
        </w:rPr>
        <w:t>i</w:t>
      </w:r>
      <w:r w:rsidRPr="00CE0885">
        <w:t>nclu</w:t>
      </w:r>
      <w:r w:rsidRPr="00CE0885">
        <w:rPr>
          <w:spacing w:val="-1"/>
        </w:rPr>
        <w:t>d</w:t>
      </w:r>
      <w:r w:rsidRPr="00CE0885">
        <w:t>ing</w:t>
      </w:r>
      <w:r w:rsidRPr="00CE0885">
        <w:rPr>
          <w:spacing w:val="-10"/>
        </w:rPr>
        <w:t xml:space="preserve"> </w:t>
      </w:r>
      <w:r w:rsidRPr="00CE0885">
        <w:t>the</w:t>
      </w:r>
      <w:r w:rsidRPr="00CE0885">
        <w:rPr>
          <w:spacing w:val="-1"/>
        </w:rPr>
        <w:t xml:space="preserve"> r</w:t>
      </w:r>
      <w:r w:rsidRPr="00CE0885">
        <w:t>ele</w:t>
      </w:r>
      <w:r w:rsidRPr="00CE0885">
        <w:rPr>
          <w:spacing w:val="-2"/>
        </w:rPr>
        <w:t>v</w:t>
      </w:r>
      <w:r w:rsidRPr="00CE0885">
        <w:t>ant</w:t>
      </w:r>
      <w:r w:rsidRPr="00CE0885">
        <w:rPr>
          <w:spacing w:val="-10"/>
        </w:rPr>
        <w:t xml:space="preserve"> </w:t>
      </w:r>
      <w:r w:rsidRPr="00CE0885">
        <w:t>pa</w:t>
      </w:r>
      <w:r w:rsidRPr="00CE0885">
        <w:rPr>
          <w:spacing w:val="-1"/>
        </w:rPr>
        <w:t>g</w:t>
      </w:r>
      <w:r w:rsidRPr="00CE0885">
        <w:t>es</w:t>
      </w:r>
      <w:r w:rsidRPr="00CE0885">
        <w:rPr>
          <w:spacing w:val="-9"/>
        </w:rPr>
        <w:t xml:space="preserve"> </w:t>
      </w:r>
      <w:r w:rsidRPr="00CE0885">
        <w:rPr>
          <w:spacing w:val="-1"/>
        </w:rPr>
        <w:t>o</w:t>
      </w:r>
      <w:r w:rsidRPr="00CE0885">
        <w:t>f t</w:t>
      </w:r>
      <w:r w:rsidRPr="00CE0885">
        <w:rPr>
          <w:spacing w:val="-1"/>
        </w:rPr>
        <w:t>h</w:t>
      </w:r>
      <w:r w:rsidRPr="00CE0885">
        <w:t>e</w:t>
      </w:r>
      <w:r w:rsidRPr="00CE0885">
        <w:rPr>
          <w:spacing w:val="-1"/>
        </w:rPr>
        <w:t xml:space="preserve"> d</w:t>
      </w:r>
      <w:r w:rsidRPr="00CE0885">
        <w:t>oc</w:t>
      </w:r>
      <w:r w:rsidRPr="00CE0885">
        <w:rPr>
          <w:spacing w:val="-1"/>
        </w:rPr>
        <w:t>u</w:t>
      </w:r>
      <w:r w:rsidRPr="00CE0885">
        <w:rPr>
          <w:spacing w:val="2"/>
        </w:rPr>
        <w:t>m</w:t>
      </w:r>
      <w:r w:rsidRPr="00CE0885">
        <w:rPr>
          <w:spacing w:val="-1"/>
        </w:rPr>
        <w:t>e</w:t>
      </w:r>
      <w:r w:rsidRPr="00CE0885">
        <w:t>nt</w:t>
      </w:r>
      <w:r w:rsidRPr="00CE0885">
        <w:rPr>
          <w:spacing w:val="-12"/>
        </w:rPr>
        <w:t xml:space="preserve"> </w:t>
      </w:r>
      <w:r w:rsidRPr="00CE0885">
        <w:t>for co</w:t>
      </w:r>
      <w:r w:rsidRPr="00CE0885">
        <w:rPr>
          <w:spacing w:val="2"/>
        </w:rPr>
        <w:t>m</w:t>
      </w:r>
      <w:r w:rsidRPr="00CE0885">
        <w:t>p</w:t>
      </w:r>
      <w:r w:rsidRPr="00CE0885">
        <w:rPr>
          <w:spacing w:val="-3"/>
        </w:rPr>
        <w:t>l</w:t>
      </w:r>
      <w:r w:rsidRPr="00CE0885">
        <w:t>et</w:t>
      </w:r>
      <w:r w:rsidRPr="00CE0885">
        <w:rPr>
          <w:spacing w:val="-1"/>
        </w:rPr>
        <w:t>e</w:t>
      </w:r>
      <w:r w:rsidRPr="00CE0885">
        <w:t>ness.</w:t>
      </w:r>
      <w:bookmarkEnd w:id="565"/>
    </w:p>
    <w:p w14:paraId="7C561FE4" w14:textId="77777777" w:rsidR="00977693" w:rsidRPr="00CE0885" w:rsidRDefault="00977693" w:rsidP="006B781A">
      <w:pPr>
        <w:pStyle w:val="Heading4"/>
      </w:pPr>
      <w:bookmarkStart w:id="566" w:name="_Toc440981720"/>
      <w:r w:rsidRPr="00CE0885">
        <w:t>all</w:t>
      </w:r>
      <w:r w:rsidRPr="00CE0885">
        <w:rPr>
          <w:spacing w:val="-3"/>
        </w:rPr>
        <w:t xml:space="preserve"> </w:t>
      </w:r>
      <w:r w:rsidRPr="00CE0885">
        <w:t>elect</w:t>
      </w:r>
      <w:r w:rsidRPr="00CE0885">
        <w:rPr>
          <w:spacing w:val="-1"/>
        </w:rPr>
        <w:t>r</w:t>
      </w:r>
      <w:r w:rsidRPr="00CE0885">
        <w:t>onically</w:t>
      </w:r>
      <w:r w:rsidRPr="00CE0885">
        <w:rPr>
          <w:spacing w:val="-16"/>
        </w:rPr>
        <w:t xml:space="preserve"> </w:t>
      </w:r>
      <w:r w:rsidRPr="00CE0885">
        <w:t>held</w:t>
      </w:r>
      <w:r w:rsidRPr="00CE0885">
        <w:rPr>
          <w:spacing w:val="-3"/>
        </w:rPr>
        <w:t xml:space="preserve"> </w:t>
      </w:r>
      <w:r w:rsidRPr="00CE0885">
        <w:rPr>
          <w:spacing w:val="-2"/>
        </w:rPr>
        <w:t>c</w:t>
      </w:r>
      <w:r w:rsidRPr="00CE0885">
        <w:t>ont</w:t>
      </w:r>
      <w:r w:rsidRPr="00CE0885">
        <w:rPr>
          <w:spacing w:val="-1"/>
        </w:rPr>
        <w:t>r</w:t>
      </w:r>
      <w:r w:rsidRPr="00CE0885">
        <w:t>acts</w:t>
      </w:r>
      <w:r w:rsidRPr="00CE0885">
        <w:rPr>
          <w:spacing w:val="-10"/>
        </w:rPr>
        <w:t xml:space="preserve"> </w:t>
      </w:r>
      <w:r w:rsidRPr="00CE0885">
        <w:rPr>
          <w:spacing w:val="-2"/>
        </w:rPr>
        <w:t>s</w:t>
      </w:r>
      <w:r w:rsidRPr="00CE0885">
        <w:t>h</w:t>
      </w:r>
      <w:r w:rsidRPr="00CE0885">
        <w:rPr>
          <w:spacing w:val="-1"/>
        </w:rPr>
        <w:t>o</w:t>
      </w:r>
      <w:r w:rsidRPr="00CE0885">
        <w:t>uld</w:t>
      </w:r>
      <w:r w:rsidRPr="00CE0885">
        <w:rPr>
          <w:spacing w:val="-5"/>
        </w:rPr>
        <w:t xml:space="preserve"> </w:t>
      </w:r>
      <w:r w:rsidRPr="00CE0885">
        <w:rPr>
          <w:spacing w:val="-1"/>
        </w:rPr>
        <w:t>b</w:t>
      </w:r>
      <w:r w:rsidRPr="00CE0885">
        <w:t>e</w:t>
      </w:r>
      <w:r w:rsidRPr="00CE0885">
        <w:rPr>
          <w:spacing w:val="-1"/>
        </w:rPr>
        <w:t xml:space="preserve"> u</w:t>
      </w:r>
      <w:r w:rsidRPr="00CE0885">
        <w:t>p</w:t>
      </w:r>
      <w:r w:rsidRPr="00CE0885">
        <w:rPr>
          <w:spacing w:val="-1"/>
        </w:rPr>
        <w:t>d</w:t>
      </w:r>
      <w:r w:rsidRPr="00CE0885">
        <w:t>ated</w:t>
      </w:r>
      <w:r w:rsidRPr="00CE0885">
        <w:rPr>
          <w:spacing w:val="-10"/>
        </w:rPr>
        <w:t xml:space="preserve"> </w:t>
      </w:r>
      <w:r w:rsidRPr="00CE0885">
        <w:rPr>
          <w:spacing w:val="-3"/>
        </w:rPr>
        <w:t>w</w:t>
      </w:r>
      <w:r w:rsidRPr="00CE0885">
        <w:t>ith</w:t>
      </w:r>
      <w:r w:rsidRPr="00CE0885">
        <w:rPr>
          <w:spacing w:val="-2"/>
        </w:rPr>
        <w:t xml:space="preserve"> </w:t>
      </w:r>
      <w:r w:rsidRPr="00CE0885">
        <w:t xml:space="preserve">the </w:t>
      </w:r>
      <w:r w:rsidRPr="00CE0885">
        <w:rPr>
          <w:spacing w:val="-2"/>
        </w:rPr>
        <w:t>v</w:t>
      </w:r>
      <w:r w:rsidRPr="00CE0885">
        <w:t>a</w:t>
      </w:r>
      <w:r w:rsidRPr="00CE0885">
        <w:rPr>
          <w:spacing w:val="-1"/>
        </w:rPr>
        <w:t>r</w:t>
      </w:r>
      <w:r w:rsidRPr="00CE0885">
        <w:t>iations</w:t>
      </w:r>
      <w:r w:rsidRPr="00CE0885">
        <w:rPr>
          <w:spacing w:val="-10"/>
        </w:rPr>
        <w:t xml:space="preserve"> </w:t>
      </w:r>
      <w:r w:rsidRPr="00CE0885">
        <w:t>at</w:t>
      </w:r>
      <w:r w:rsidRPr="00CE0885">
        <w:rPr>
          <w:spacing w:val="-1"/>
        </w:rPr>
        <w:t xml:space="preserve"> </w:t>
      </w:r>
      <w:r w:rsidRPr="00CE0885">
        <w:rPr>
          <w:spacing w:val="-2"/>
        </w:rPr>
        <w:t>t</w:t>
      </w:r>
      <w:r w:rsidRPr="00CE0885">
        <w:t>his</w:t>
      </w:r>
      <w:r w:rsidRPr="00CE0885">
        <w:rPr>
          <w:spacing w:val="-4"/>
        </w:rPr>
        <w:t xml:space="preserve"> </w:t>
      </w:r>
      <w:r w:rsidRPr="00CE0885">
        <w:t>sta</w:t>
      </w:r>
      <w:r w:rsidRPr="00CE0885">
        <w:rPr>
          <w:spacing w:val="-1"/>
        </w:rPr>
        <w:t>g</w:t>
      </w:r>
      <w:r w:rsidRPr="00CE0885">
        <w:t>e</w:t>
      </w:r>
      <w:r w:rsidRPr="00CE0885">
        <w:rPr>
          <w:spacing w:val="-7"/>
        </w:rPr>
        <w:t xml:space="preserve"> </w:t>
      </w:r>
      <w:r w:rsidRPr="00CE0885">
        <w:t xml:space="preserve">to </w:t>
      </w:r>
      <w:r w:rsidRPr="00CE0885">
        <w:rPr>
          <w:spacing w:val="-1"/>
        </w:rPr>
        <w:t>e</w:t>
      </w:r>
      <w:r w:rsidRPr="00CE0885">
        <w:t>nsu</w:t>
      </w:r>
      <w:r w:rsidRPr="00CE0885">
        <w:rPr>
          <w:spacing w:val="-1"/>
        </w:rPr>
        <w:t>r</w:t>
      </w:r>
      <w:r w:rsidRPr="00CE0885">
        <w:t>e</w:t>
      </w:r>
      <w:r w:rsidRPr="00CE0885">
        <w:rPr>
          <w:spacing w:val="-5"/>
        </w:rPr>
        <w:t xml:space="preserve"> </w:t>
      </w:r>
      <w:r w:rsidRPr="00CE0885">
        <w:rPr>
          <w:spacing w:val="-2"/>
        </w:rPr>
        <w:t>t</w:t>
      </w:r>
      <w:r w:rsidRPr="00CE0885">
        <w:t>hat</w:t>
      </w:r>
      <w:r w:rsidRPr="00CE0885">
        <w:rPr>
          <w:spacing w:val="-5"/>
        </w:rPr>
        <w:t xml:space="preserve"> </w:t>
      </w:r>
      <w:r w:rsidRPr="00CE0885">
        <w:t>t</w:t>
      </w:r>
      <w:r w:rsidRPr="00CE0885">
        <w:rPr>
          <w:spacing w:val="-1"/>
        </w:rPr>
        <w:t>h</w:t>
      </w:r>
      <w:r w:rsidRPr="00CE0885">
        <w:t>e</w:t>
      </w:r>
      <w:r w:rsidRPr="00CE0885">
        <w:rPr>
          <w:spacing w:val="-1"/>
        </w:rPr>
        <w:t xml:space="preserve"> </w:t>
      </w:r>
      <w:r w:rsidRPr="00CE0885">
        <w:t>c</w:t>
      </w:r>
      <w:r w:rsidRPr="00CE0885">
        <w:rPr>
          <w:spacing w:val="-1"/>
        </w:rPr>
        <w:t>e</w:t>
      </w:r>
      <w:r w:rsidRPr="00CE0885">
        <w:t>n</w:t>
      </w:r>
      <w:r w:rsidRPr="00CE0885">
        <w:rPr>
          <w:spacing w:val="-2"/>
        </w:rPr>
        <w:t>t</w:t>
      </w:r>
      <w:r w:rsidRPr="00CE0885">
        <w:rPr>
          <w:spacing w:val="-1"/>
        </w:rPr>
        <w:t>r</w:t>
      </w:r>
      <w:r w:rsidRPr="00CE0885">
        <w:t>ally</w:t>
      </w:r>
      <w:r w:rsidRPr="00CE0885">
        <w:rPr>
          <w:spacing w:val="-11"/>
        </w:rPr>
        <w:t xml:space="preserve"> </w:t>
      </w:r>
      <w:r w:rsidRPr="00CE0885">
        <w:t>held</w:t>
      </w:r>
      <w:r w:rsidRPr="00CE0885">
        <w:rPr>
          <w:spacing w:val="-3"/>
        </w:rPr>
        <w:t xml:space="preserve"> </w:t>
      </w:r>
      <w:r w:rsidRPr="00CE0885">
        <w:t>doc</w:t>
      </w:r>
      <w:r w:rsidRPr="00CE0885">
        <w:rPr>
          <w:spacing w:val="-1"/>
        </w:rPr>
        <w:t>u</w:t>
      </w:r>
      <w:r w:rsidRPr="00CE0885">
        <w:rPr>
          <w:spacing w:val="2"/>
        </w:rPr>
        <w:t>m</w:t>
      </w:r>
      <w:r w:rsidRPr="00CE0885">
        <w:rPr>
          <w:spacing w:val="-1"/>
        </w:rPr>
        <w:t>e</w:t>
      </w:r>
      <w:r w:rsidRPr="00CE0885">
        <w:t xml:space="preserve">nts </w:t>
      </w:r>
      <w:r w:rsidRPr="00CE0885">
        <w:rPr>
          <w:spacing w:val="-1"/>
        </w:rPr>
        <w:t>r</w:t>
      </w:r>
      <w:r w:rsidRPr="00CE0885">
        <w:t>e</w:t>
      </w:r>
      <w:r w:rsidRPr="00CE0885">
        <w:rPr>
          <w:spacing w:val="2"/>
        </w:rPr>
        <w:t>m</w:t>
      </w:r>
      <w:r w:rsidRPr="00CE0885">
        <w:t>ain</w:t>
      </w:r>
      <w:r w:rsidRPr="00CE0885">
        <w:rPr>
          <w:spacing w:val="-8"/>
        </w:rPr>
        <w:t xml:space="preserve"> </w:t>
      </w:r>
      <w:r w:rsidRPr="00CE0885">
        <w:t>up</w:t>
      </w:r>
      <w:r w:rsidRPr="00CE0885">
        <w:rPr>
          <w:spacing w:val="-4"/>
        </w:rPr>
        <w:t xml:space="preserve"> </w:t>
      </w:r>
      <w:r w:rsidRPr="00CE0885">
        <w:t>to</w:t>
      </w:r>
      <w:r w:rsidRPr="00CE0885">
        <w:rPr>
          <w:spacing w:val="-3"/>
        </w:rPr>
        <w:t xml:space="preserve"> </w:t>
      </w:r>
      <w:r w:rsidRPr="00CE0885">
        <w:t>da</w:t>
      </w:r>
      <w:r w:rsidRPr="00CE0885">
        <w:rPr>
          <w:spacing w:val="-2"/>
        </w:rPr>
        <w:t>t</w:t>
      </w:r>
      <w:r w:rsidRPr="00CE0885">
        <w:t>e</w:t>
      </w:r>
      <w:r w:rsidRPr="00CE0885">
        <w:rPr>
          <w:spacing w:val="-3"/>
        </w:rPr>
        <w:t xml:space="preserve"> w</w:t>
      </w:r>
      <w:r w:rsidRPr="00CE0885">
        <w:t>ith</w:t>
      </w:r>
      <w:r w:rsidRPr="00CE0885">
        <w:rPr>
          <w:spacing w:val="-2"/>
        </w:rPr>
        <w:t xml:space="preserve"> </w:t>
      </w:r>
      <w:r w:rsidRPr="00CE0885">
        <w:t>cu</w:t>
      </w:r>
      <w:r w:rsidRPr="00CE0885">
        <w:rPr>
          <w:spacing w:val="-1"/>
        </w:rPr>
        <w:t>rr</w:t>
      </w:r>
      <w:r w:rsidRPr="00CE0885">
        <w:t>ent</w:t>
      </w:r>
      <w:r w:rsidRPr="00CE0885">
        <w:rPr>
          <w:spacing w:val="-6"/>
        </w:rPr>
        <w:t xml:space="preserve"> </w:t>
      </w:r>
      <w:r w:rsidRPr="00CE0885">
        <w:t>le</w:t>
      </w:r>
      <w:r w:rsidRPr="00CE0885">
        <w:rPr>
          <w:spacing w:val="-1"/>
        </w:rPr>
        <w:t>g</w:t>
      </w:r>
      <w:r w:rsidRPr="00CE0885">
        <w:t>islation.</w:t>
      </w:r>
      <w:bookmarkEnd w:id="566"/>
    </w:p>
    <w:p w14:paraId="0F125A1A" w14:textId="77777777" w:rsidR="00977693" w:rsidRPr="00CE0885" w:rsidRDefault="00977693" w:rsidP="006B781A">
      <w:pPr>
        <w:pStyle w:val="Heading4"/>
      </w:pPr>
      <w:bookmarkStart w:id="567" w:name="_Toc440981721"/>
      <w:r w:rsidRPr="00CE0885">
        <w:t>commissioners</w:t>
      </w:r>
      <w:r w:rsidRPr="00CE0885">
        <w:rPr>
          <w:spacing w:val="-4"/>
        </w:rPr>
        <w:t xml:space="preserve"> </w:t>
      </w:r>
      <w:r w:rsidRPr="00CE0885">
        <w:rPr>
          <w:spacing w:val="-2"/>
        </w:rPr>
        <w:t>s</w:t>
      </w:r>
      <w:r w:rsidRPr="00CE0885">
        <w:t>h</w:t>
      </w:r>
      <w:r w:rsidRPr="00CE0885">
        <w:rPr>
          <w:spacing w:val="-1"/>
        </w:rPr>
        <w:t>o</w:t>
      </w:r>
      <w:r w:rsidRPr="00CE0885">
        <w:t>uld</w:t>
      </w:r>
      <w:r w:rsidRPr="00CE0885">
        <w:rPr>
          <w:spacing w:val="-5"/>
        </w:rPr>
        <w:t xml:space="preserve"> </w:t>
      </w:r>
      <w:r w:rsidRPr="00CE0885">
        <w:rPr>
          <w:spacing w:val="-1"/>
        </w:rPr>
        <w:t>r</w:t>
      </w:r>
      <w:r w:rsidRPr="00CE0885">
        <w:t>e</w:t>
      </w:r>
      <w:r w:rsidRPr="00CE0885">
        <w:rPr>
          <w:spacing w:val="-2"/>
        </w:rPr>
        <w:t>t</w:t>
      </w:r>
      <w:r w:rsidRPr="00CE0885">
        <w:t>ain</w:t>
      </w:r>
      <w:r w:rsidRPr="00CE0885">
        <w:rPr>
          <w:spacing w:val="-4"/>
        </w:rPr>
        <w:t xml:space="preserve"> </w:t>
      </w:r>
      <w:r w:rsidRPr="00CE0885">
        <w:t>a</w:t>
      </w:r>
      <w:r w:rsidRPr="00CE0885">
        <w:rPr>
          <w:spacing w:val="-2"/>
        </w:rPr>
        <w:t xml:space="preserve"> </w:t>
      </w:r>
      <w:r w:rsidRPr="00CE0885">
        <w:t>c</w:t>
      </w:r>
      <w:r w:rsidRPr="00CE0885">
        <w:rPr>
          <w:spacing w:val="-1"/>
        </w:rPr>
        <w:t>o</w:t>
      </w:r>
      <w:r w:rsidRPr="00CE0885">
        <w:t>py</w:t>
      </w:r>
      <w:r w:rsidRPr="00CE0885">
        <w:rPr>
          <w:spacing w:val="-7"/>
        </w:rPr>
        <w:t xml:space="preserve"> </w:t>
      </w:r>
      <w:r w:rsidRPr="00CE0885">
        <w:t>of</w:t>
      </w:r>
      <w:r w:rsidRPr="00CE0885">
        <w:rPr>
          <w:spacing w:val="-1"/>
        </w:rPr>
        <w:t xml:space="preserve"> </w:t>
      </w:r>
      <w:r w:rsidRPr="00CE0885">
        <w:t>the</w:t>
      </w:r>
      <w:r w:rsidRPr="00CE0885">
        <w:rPr>
          <w:spacing w:val="-4"/>
        </w:rPr>
        <w:t xml:space="preserve"> </w:t>
      </w:r>
      <w:r w:rsidRPr="00CE0885">
        <w:t>n</w:t>
      </w:r>
      <w:r w:rsidRPr="00CE0885">
        <w:rPr>
          <w:spacing w:val="-1"/>
        </w:rPr>
        <w:t>o</w:t>
      </w:r>
      <w:r w:rsidRPr="00CE0885">
        <w:t>tice</w:t>
      </w:r>
      <w:r w:rsidRPr="00CE0885">
        <w:rPr>
          <w:spacing w:val="-4"/>
        </w:rPr>
        <w:t xml:space="preserve"> </w:t>
      </w:r>
      <w:r w:rsidRPr="00CE0885">
        <w:rPr>
          <w:spacing w:val="-1"/>
        </w:rPr>
        <w:t>o</w:t>
      </w:r>
      <w:r w:rsidRPr="00CE0885">
        <w:t>n</w:t>
      </w:r>
      <w:r w:rsidRPr="00CE0885">
        <w:rPr>
          <w:spacing w:val="-4"/>
        </w:rPr>
        <w:t xml:space="preserve"> </w:t>
      </w:r>
      <w:r w:rsidRPr="00CE0885">
        <w:rPr>
          <w:spacing w:val="3"/>
        </w:rPr>
        <w:t>f</w:t>
      </w:r>
      <w:r w:rsidRPr="00CE0885">
        <w:t>ile</w:t>
      </w:r>
      <w:r w:rsidRPr="00CE0885">
        <w:rPr>
          <w:spacing w:val="-4"/>
        </w:rPr>
        <w:t xml:space="preserve"> </w:t>
      </w:r>
      <w:r w:rsidRPr="00CE0885">
        <w:t>for</w:t>
      </w:r>
      <w:r w:rsidRPr="00CE0885">
        <w:rPr>
          <w:spacing w:val="-3"/>
        </w:rPr>
        <w:t xml:space="preserve"> </w:t>
      </w:r>
      <w:r w:rsidRPr="00CE0885">
        <w:t>c</w:t>
      </w:r>
      <w:r w:rsidRPr="00CE0885">
        <w:rPr>
          <w:spacing w:val="-1"/>
        </w:rPr>
        <w:t>o</w:t>
      </w:r>
      <w:r w:rsidRPr="00CE0885">
        <w:rPr>
          <w:spacing w:val="2"/>
        </w:rPr>
        <w:t>m</w:t>
      </w:r>
      <w:r w:rsidRPr="00CE0885">
        <w:t>ple</w:t>
      </w:r>
      <w:r w:rsidRPr="00CE0885">
        <w:rPr>
          <w:spacing w:val="-2"/>
        </w:rPr>
        <w:t>t</w:t>
      </w:r>
      <w:r w:rsidRPr="00CE0885">
        <w:t>enes</w:t>
      </w:r>
      <w:r w:rsidRPr="00CE0885">
        <w:rPr>
          <w:spacing w:val="-2"/>
        </w:rPr>
        <w:t>s</w:t>
      </w:r>
      <w:r w:rsidRPr="00CE0885">
        <w:t>.</w:t>
      </w:r>
      <w:r w:rsidRPr="00CE0885">
        <w:rPr>
          <w:spacing w:val="1"/>
        </w:rPr>
        <w:t xml:space="preserve"> Ea</w:t>
      </w:r>
      <w:r w:rsidRPr="00CE0885">
        <w:t>ch</w:t>
      </w:r>
      <w:r w:rsidRPr="00CE0885">
        <w:rPr>
          <w:spacing w:val="-3"/>
        </w:rPr>
        <w:t xml:space="preserve"> </w:t>
      </w:r>
      <w:r w:rsidRPr="00CE0885">
        <w:rPr>
          <w:spacing w:val="-2"/>
        </w:rPr>
        <w:t>c</w:t>
      </w:r>
      <w:r w:rsidRPr="00CE0885">
        <w:rPr>
          <w:spacing w:val="1"/>
        </w:rPr>
        <w:t>ont</w:t>
      </w:r>
      <w:r w:rsidRPr="00CE0885">
        <w:rPr>
          <w:spacing w:val="-1"/>
        </w:rPr>
        <w:t>r</w:t>
      </w:r>
      <w:r w:rsidRPr="00CE0885">
        <w:rPr>
          <w:spacing w:val="1"/>
        </w:rPr>
        <w:t>a</w:t>
      </w:r>
      <w:r w:rsidRPr="00CE0885">
        <w:rPr>
          <w:spacing w:val="-2"/>
        </w:rPr>
        <w:t>c</w:t>
      </w:r>
      <w:r w:rsidRPr="00CE0885">
        <w:t>t</w:t>
      </w:r>
      <w:r w:rsidRPr="00CE0885">
        <w:rPr>
          <w:spacing w:val="-10"/>
        </w:rPr>
        <w:t xml:space="preserve"> </w:t>
      </w:r>
      <w:r w:rsidRPr="00CE0885">
        <w:rPr>
          <w:spacing w:val="3"/>
        </w:rPr>
        <w:t>f</w:t>
      </w:r>
      <w:r w:rsidRPr="00CE0885">
        <w:t>ile</w:t>
      </w:r>
      <w:r w:rsidRPr="00CE0885">
        <w:rPr>
          <w:spacing w:val="-1"/>
        </w:rPr>
        <w:t xml:space="preserve"> </w:t>
      </w:r>
      <w:r w:rsidRPr="00CE0885">
        <w:t>s</w:t>
      </w:r>
      <w:r w:rsidRPr="00CE0885">
        <w:rPr>
          <w:spacing w:val="-1"/>
        </w:rPr>
        <w:t>h</w:t>
      </w:r>
      <w:r w:rsidRPr="00CE0885">
        <w:rPr>
          <w:spacing w:val="1"/>
        </w:rPr>
        <w:t>o</w:t>
      </w:r>
      <w:r w:rsidRPr="00CE0885">
        <w:rPr>
          <w:spacing w:val="-1"/>
        </w:rPr>
        <w:t>u</w:t>
      </w:r>
      <w:r w:rsidRPr="00CE0885">
        <w:t>ld</w:t>
      </w:r>
      <w:r w:rsidRPr="00CE0885">
        <w:rPr>
          <w:spacing w:val="-5"/>
        </w:rPr>
        <w:t xml:space="preserve"> </w:t>
      </w:r>
      <w:r w:rsidRPr="00CE0885">
        <w:t>c</w:t>
      </w:r>
      <w:r w:rsidRPr="00CE0885">
        <w:rPr>
          <w:spacing w:val="1"/>
        </w:rPr>
        <w:t>on</w:t>
      </w:r>
      <w:r w:rsidRPr="00CE0885">
        <w:rPr>
          <w:spacing w:val="-2"/>
        </w:rPr>
        <w:t>t</w:t>
      </w:r>
      <w:r w:rsidRPr="00CE0885">
        <w:rPr>
          <w:spacing w:val="1"/>
        </w:rPr>
        <w:t>a</w:t>
      </w:r>
      <w:r w:rsidRPr="00CE0885">
        <w:t>in</w:t>
      </w:r>
      <w:r w:rsidRPr="00CE0885">
        <w:rPr>
          <w:spacing w:val="-6"/>
        </w:rPr>
        <w:t xml:space="preserve"> </w:t>
      </w:r>
      <w:r w:rsidRPr="00CE0885">
        <w:t>a</w:t>
      </w:r>
      <w:r w:rsidRPr="00CE0885">
        <w:rPr>
          <w:spacing w:val="-2"/>
        </w:rPr>
        <w:t xml:space="preserve"> v</w:t>
      </w:r>
      <w:r w:rsidRPr="00CE0885">
        <w:rPr>
          <w:spacing w:val="1"/>
        </w:rPr>
        <w:t>a</w:t>
      </w:r>
      <w:r w:rsidRPr="00CE0885">
        <w:rPr>
          <w:spacing w:val="-1"/>
        </w:rPr>
        <w:t>r</w:t>
      </w:r>
      <w:r w:rsidRPr="00CE0885">
        <w:t>i</w:t>
      </w:r>
      <w:r w:rsidRPr="00CE0885">
        <w:rPr>
          <w:spacing w:val="1"/>
        </w:rPr>
        <w:t>at</w:t>
      </w:r>
      <w:r w:rsidRPr="00CE0885">
        <w:t>i</w:t>
      </w:r>
      <w:r w:rsidRPr="00CE0885">
        <w:rPr>
          <w:spacing w:val="1"/>
        </w:rPr>
        <w:t>o</w:t>
      </w:r>
      <w:r w:rsidRPr="00CE0885">
        <w:t>n</w:t>
      </w:r>
      <w:r w:rsidRPr="00CE0885">
        <w:rPr>
          <w:spacing w:val="-7"/>
        </w:rPr>
        <w:t xml:space="preserve"> </w:t>
      </w:r>
      <w:r w:rsidRPr="00CE0885">
        <w:t>l</w:t>
      </w:r>
      <w:r w:rsidRPr="00CE0885">
        <w:rPr>
          <w:spacing w:val="-1"/>
        </w:rPr>
        <w:t>o</w:t>
      </w:r>
      <w:r w:rsidRPr="00CE0885">
        <w:t>g</w:t>
      </w:r>
      <w:r w:rsidRPr="00CE0885">
        <w:rPr>
          <w:spacing w:val="-4"/>
        </w:rPr>
        <w:t xml:space="preserve"> </w:t>
      </w:r>
      <w:r w:rsidRPr="00CE0885">
        <w:rPr>
          <w:spacing w:val="1"/>
        </w:rPr>
        <w:t>an</w:t>
      </w:r>
      <w:r w:rsidRPr="00CE0885">
        <w:t>d</w:t>
      </w:r>
      <w:r w:rsidRPr="00CE0885">
        <w:rPr>
          <w:spacing w:val="-2"/>
        </w:rPr>
        <w:t xml:space="preserve"> commissioners</w:t>
      </w:r>
      <w:r w:rsidRPr="00CE0885">
        <w:rPr>
          <w:spacing w:val="-4"/>
        </w:rPr>
        <w:t xml:space="preserve"> </w:t>
      </w:r>
      <w:r w:rsidRPr="00CE0885">
        <w:rPr>
          <w:spacing w:val="-2"/>
        </w:rPr>
        <w:t>s</w:t>
      </w:r>
      <w:r w:rsidRPr="00CE0885">
        <w:rPr>
          <w:spacing w:val="1"/>
        </w:rPr>
        <w:t>h</w:t>
      </w:r>
      <w:r w:rsidRPr="00CE0885">
        <w:rPr>
          <w:spacing w:val="-1"/>
        </w:rPr>
        <w:t>o</w:t>
      </w:r>
      <w:r w:rsidRPr="00CE0885">
        <w:rPr>
          <w:spacing w:val="1"/>
        </w:rPr>
        <w:t>u</w:t>
      </w:r>
      <w:r w:rsidRPr="00CE0885">
        <w:t xml:space="preserve">ld </w:t>
      </w:r>
      <w:r w:rsidRPr="00CE0885">
        <w:rPr>
          <w:spacing w:val="1"/>
        </w:rPr>
        <w:t>en</w:t>
      </w:r>
      <w:r w:rsidRPr="00CE0885">
        <w:t>s</w:t>
      </w:r>
      <w:r w:rsidRPr="00CE0885">
        <w:rPr>
          <w:spacing w:val="1"/>
        </w:rPr>
        <w:t>u</w:t>
      </w:r>
      <w:r w:rsidRPr="00CE0885">
        <w:rPr>
          <w:spacing w:val="-1"/>
        </w:rPr>
        <w:t>r</w:t>
      </w:r>
      <w:r w:rsidRPr="00CE0885">
        <w:t>e</w:t>
      </w:r>
      <w:r w:rsidRPr="00CE0885">
        <w:rPr>
          <w:spacing w:val="-8"/>
        </w:rPr>
        <w:t xml:space="preserve"> </w:t>
      </w:r>
      <w:r w:rsidRPr="00CE0885">
        <w:rPr>
          <w:spacing w:val="1"/>
        </w:rPr>
        <w:t>th</w:t>
      </w:r>
      <w:r w:rsidRPr="00CE0885">
        <w:rPr>
          <w:spacing w:val="-1"/>
        </w:rPr>
        <w:t>a</w:t>
      </w:r>
      <w:r w:rsidRPr="00CE0885">
        <w:t>t</w:t>
      </w:r>
      <w:r w:rsidRPr="00CE0885">
        <w:rPr>
          <w:spacing w:val="-3"/>
        </w:rPr>
        <w:t xml:space="preserve"> </w:t>
      </w:r>
      <w:r w:rsidRPr="00CE0885">
        <w:rPr>
          <w:spacing w:val="1"/>
        </w:rPr>
        <w:t>th</w:t>
      </w:r>
      <w:r w:rsidRPr="00CE0885">
        <w:t>is</w:t>
      </w:r>
      <w:r w:rsidRPr="00CE0885">
        <w:rPr>
          <w:spacing w:val="-4"/>
        </w:rPr>
        <w:t xml:space="preserve"> </w:t>
      </w:r>
      <w:r w:rsidRPr="00CE0885">
        <w:t>is</w:t>
      </w:r>
      <w:r w:rsidRPr="00CE0885">
        <w:rPr>
          <w:spacing w:val="-4"/>
        </w:rPr>
        <w:t xml:space="preserve"> </w:t>
      </w:r>
      <w:r w:rsidRPr="00CE0885">
        <w:rPr>
          <w:spacing w:val="1"/>
        </w:rPr>
        <w:t>u</w:t>
      </w:r>
      <w:r w:rsidRPr="00CE0885">
        <w:rPr>
          <w:spacing w:val="-1"/>
        </w:rPr>
        <w:t>pd</w:t>
      </w:r>
      <w:r w:rsidRPr="00CE0885">
        <w:rPr>
          <w:spacing w:val="1"/>
        </w:rPr>
        <w:t>ate</w:t>
      </w:r>
      <w:r w:rsidRPr="00CE0885">
        <w:t>d</w:t>
      </w:r>
      <w:r w:rsidRPr="00CE0885">
        <w:rPr>
          <w:spacing w:val="-10"/>
        </w:rPr>
        <w:t xml:space="preserve"> </w:t>
      </w:r>
      <w:r w:rsidRPr="00CE0885">
        <w:rPr>
          <w:spacing w:val="1"/>
        </w:rPr>
        <w:t>a</w:t>
      </w:r>
      <w:r w:rsidRPr="00CE0885">
        <w:t>cc</w:t>
      </w:r>
      <w:r w:rsidRPr="00CE0885">
        <w:rPr>
          <w:spacing w:val="1"/>
        </w:rPr>
        <w:t>o</w:t>
      </w:r>
      <w:r w:rsidRPr="00CE0885">
        <w:rPr>
          <w:spacing w:val="-1"/>
        </w:rPr>
        <w:t>r</w:t>
      </w:r>
      <w:r w:rsidRPr="00CE0885">
        <w:rPr>
          <w:spacing w:val="1"/>
        </w:rPr>
        <w:t>d</w:t>
      </w:r>
      <w:r w:rsidRPr="00CE0885">
        <w:rPr>
          <w:spacing w:val="-3"/>
        </w:rPr>
        <w:t>i</w:t>
      </w:r>
      <w:r w:rsidRPr="00CE0885">
        <w:rPr>
          <w:spacing w:val="1"/>
        </w:rPr>
        <w:t>n</w:t>
      </w:r>
      <w:r w:rsidRPr="00CE0885">
        <w:rPr>
          <w:spacing w:val="-1"/>
        </w:rPr>
        <w:t>g</w:t>
      </w:r>
      <w:r w:rsidRPr="00CE0885">
        <w:t>l</w:t>
      </w:r>
      <w:r w:rsidRPr="00CE0885">
        <w:rPr>
          <w:spacing w:val="-2"/>
        </w:rPr>
        <w:t>y</w:t>
      </w:r>
      <w:r w:rsidRPr="00CE0885">
        <w:t>.</w:t>
      </w:r>
      <w:bookmarkEnd w:id="567"/>
    </w:p>
    <w:p w14:paraId="4E175D0E" w14:textId="77777777" w:rsidR="00977693" w:rsidRPr="009055A7" w:rsidRDefault="00977693" w:rsidP="00977693">
      <w:pPr>
        <w:widowControl w:val="0"/>
        <w:spacing w:line="360" w:lineRule="auto"/>
        <w:ind w:right="-20"/>
        <w:jc w:val="both"/>
        <w:rPr>
          <w:rFonts w:cs="Arial"/>
          <w:bCs w:val="0"/>
          <w:sz w:val="20"/>
          <w:szCs w:val="20"/>
          <w:lang w:eastAsia="en-GB"/>
        </w:rPr>
      </w:pPr>
    </w:p>
    <w:p w14:paraId="7159B21B" w14:textId="77777777" w:rsidR="00977693" w:rsidRPr="00CE0885" w:rsidRDefault="00977693" w:rsidP="00202DD3">
      <w:pPr>
        <w:pStyle w:val="Heading2"/>
        <w:rPr>
          <w:lang w:eastAsia="en-GB"/>
        </w:rPr>
      </w:pPr>
      <w:bookmarkStart w:id="568" w:name="_Toc440981722"/>
      <w:bookmarkStart w:id="569" w:name="_Toc498495389"/>
      <w:r w:rsidRPr="00CE0885">
        <w:rPr>
          <w:lang w:eastAsia="en-GB"/>
        </w:rPr>
        <w:t>Changes to the Contracting Party</w:t>
      </w:r>
      <w:bookmarkEnd w:id="568"/>
      <w:bookmarkEnd w:id="569"/>
    </w:p>
    <w:p w14:paraId="1912B5B7" w14:textId="77777777" w:rsidR="00977693" w:rsidRPr="00CE0885" w:rsidRDefault="00977693" w:rsidP="006B781A">
      <w:pPr>
        <w:pStyle w:val="Heading3"/>
        <w:rPr>
          <w:lang w:eastAsia="en-GB"/>
        </w:rPr>
      </w:pPr>
      <w:bookmarkStart w:id="570" w:name="_Toc440981723"/>
      <w:r w:rsidRPr="00CE0885">
        <w:rPr>
          <w:lang w:eastAsia="en-GB"/>
        </w:rPr>
        <w:t>Changes to the contracting party may be due to:</w:t>
      </w:r>
      <w:bookmarkEnd w:id="570"/>
    </w:p>
    <w:p w14:paraId="7DD1E35A" w14:textId="77777777" w:rsidR="00977693" w:rsidRPr="006B781A" w:rsidRDefault="00977693" w:rsidP="00FA6A70">
      <w:pPr>
        <w:pStyle w:val="Heading4"/>
      </w:pPr>
      <w:bookmarkStart w:id="571" w:name="_Toc440981724"/>
      <w:r w:rsidRPr="006B781A">
        <w:lastRenderedPageBreak/>
        <w:t>partnership changes;</w:t>
      </w:r>
      <w:bookmarkEnd w:id="571"/>
    </w:p>
    <w:p w14:paraId="780BE489" w14:textId="77777777" w:rsidR="00977693" w:rsidRPr="006B781A" w:rsidRDefault="00977693" w:rsidP="00FA6A70">
      <w:pPr>
        <w:pStyle w:val="Heading4"/>
      </w:pPr>
      <w:bookmarkStart w:id="572" w:name="_Toc440981725"/>
      <w:r w:rsidRPr="006B781A">
        <w:t>company changes;</w:t>
      </w:r>
      <w:bookmarkEnd w:id="572"/>
    </w:p>
    <w:p w14:paraId="7B4B4AE3" w14:textId="77777777" w:rsidR="00977693" w:rsidRPr="006B781A" w:rsidRDefault="00977693" w:rsidP="00FA6A70">
      <w:pPr>
        <w:pStyle w:val="Heading4"/>
      </w:pPr>
      <w:bookmarkStart w:id="573" w:name="_Toc440981726"/>
      <w:r w:rsidRPr="006B781A">
        <w:t>retirement (including 24-hour retirement);</w:t>
      </w:r>
      <w:bookmarkEnd w:id="573"/>
      <w:r w:rsidRPr="006B781A">
        <w:t xml:space="preserve"> </w:t>
      </w:r>
    </w:p>
    <w:p w14:paraId="1284CEB1" w14:textId="77777777" w:rsidR="00977693" w:rsidRPr="006B781A" w:rsidRDefault="00977693" w:rsidP="00FA6A70">
      <w:pPr>
        <w:pStyle w:val="Heading4"/>
      </w:pPr>
      <w:bookmarkStart w:id="574" w:name="_Toc440981727"/>
      <w:r w:rsidRPr="006B781A">
        <w:t>novations, mergers and splits; and/or</w:t>
      </w:r>
      <w:bookmarkEnd w:id="574"/>
    </w:p>
    <w:p w14:paraId="0BFA2941" w14:textId="77777777" w:rsidR="00977693" w:rsidRPr="006B781A" w:rsidRDefault="00977693" w:rsidP="00FA6A70">
      <w:pPr>
        <w:pStyle w:val="Heading4"/>
      </w:pPr>
      <w:bookmarkStart w:id="575" w:name="_Toc440981728"/>
      <w:r w:rsidRPr="006B781A">
        <w:t>death of a contractor</w:t>
      </w:r>
    </w:p>
    <w:p w14:paraId="170D6AFF" w14:textId="77777777" w:rsidR="00977693" w:rsidRPr="006B781A" w:rsidRDefault="00977693" w:rsidP="00FA6A70">
      <w:pPr>
        <w:pStyle w:val="Heading4"/>
      </w:pPr>
      <w:r w:rsidRPr="006B781A">
        <w:t>Joining an MCP or PACS</w:t>
      </w:r>
      <w:bookmarkEnd w:id="575"/>
    </w:p>
    <w:p w14:paraId="78CE7DF1" w14:textId="7EF2FD2F" w:rsidR="00977693" w:rsidRPr="00CE0885" w:rsidRDefault="00977693" w:rsidP="006B781A">
      <w:pPr>
        <w:pStyle w:val="Heading3"/>
        <w:rPr>
          <w:lang w:eastAsia="en-GB"/>
        </w:rPr>
      </w:pPr>
      <w:bookmarkStart w:id="576" w:name="_Toc440981729"/>
      <w:r w:rsidRPr="00CE0885">
        <w:rPr>
          <w:lang w:eastAsia="en-GB"/>
        </w:rPr>
        <w:t xml:space="preserve">There are specific processes to follow on the death of a contractor. Please refer to </w:t>
      </w:r>
      <w:r w:rsidR="00965C81">
        <w:rPr>
          <w:lang w:eastAsia="en-GB"/>
        </w:rPr>
        <w:t>the chapter on</w:t>
      </w:r>
      <w:r w:rsidRPr="00CE0885">
        <w:rPr>
          <w:lang w:eastAsia="en-GB"/>
        </w:rPr>
        <w:t xml:space="preserve"> the death of a contractor for further information.</w:t>
      </w:r>
      <w:bookmarkEnd w:id="576"/>
      <w:r w:rsidRPr="00CE0885">
        <w:rPr>
          <w:lang w:eastAsia="en-GB"/>
        </w:rPr>
        <w:t xml:space="preserve"> </w:t>
      </w:r>
    </w:p>
    <w:p w14:paraId="24C2876E" w14:textId="77777777" w:rsidR="00977693" w:rsidRPr="00CE0885" w:rsidRDefault="00977693" w:rsidP="006B781A">
      <w:pPr>
        <w:pStyle w:val="Heading3"/>
        <w:rPr>
          <w:lang w:eastAsia="en-GB"/>
        </w:rPr>
      </w:pPr>
      <w:bookmarkStart w:id="577" w:name="_Toc440981730"/>
      <w:r w:rsidRPr="00CE0885">
        <w:rPr>
          <w:lang w:eastAsia="en-GB"/>
        </w:rPr>
        <w:t>The GMS and PMS Regulations and the APMS Directions contain provisions relating to the remaining scenarios listed above which are considered in more detail below.</w:t>
      </w:r>
      <w:bookmarkEnd w:id="577"/>
    </w:p>
    <w:p w14:paraId="55D24A9F" w14:textId="77777777" w:rsidR="00977693" w:rsidRPr="009055A7" w:rsidRDefault="00977693" w:rsidP="00977693">
      <w:pPr>
        <w:widowControl w:val="0"/>
        <w:spacing w:line="360" w:lineRule="auto"/>
        <w:ind w:left="1414" w:right="-2"/>
        <w:jc w:val="both"/>
        <w:rPr>
          <w:rFonts w:cs="Arial"/>
          <w:bCs w:val="0"/>
          <w:sz w:val="20"/>
          <w:szCs w:val="20"/>
          <w:lang w:eastAsia="en-GB"/>
        </w:rPr>
      </w:pPr>
    </w:p>
    <w:p w14:paraId="7F85906C" w14:textId="77777777" w:rsidR="00977693" w:rsidRPr="00CE5A3A" w:rsidRDefault="00977693" w:rsidP="00CE5A3A">
      <w:pPr>
        <w:pStyle w:val="Heading2"/>
      </w:pPr>
      <w:bookmarkStart w:id="578" w:name="_Toc440981731"/>
      <w:bookmarkStart w:id="579" w:name="_Toc498495390"/>
      <w:r w:rsidRPr="00CE5A3A">
        <w:t>Partnership Changes</w:t>
      </w:r>
      <w:bookmarkEnd w:id="578"/>
      <w:bookmarkEnd w:id="579"/>
    </w:p>
    <w:p w14:paraId="42027732" w14:textId="77777777" w:rsidR="00977693" w:rsidRPr="00CE0885" w:rsidRDefault="00977693" w:rsidP="006B781A">
      <w:pPr>
        <w:pStyle w:val="Heading3"/>
        <w:rPr>
          <w:lang w:eastAsia="en-GB"/>
        </w:rPr>
      </w:pPr>
      <w:bookmarkStart w:id="580" w:name="_Toc440981732"/>
      <w:r w:rsidRPr="00CE0885">
        <w:rPr>
          <w:lang w:eastAsia="en-GB"/>
        </w:rPr>
        <w:t>C</w:t>
      </w:r>
      <w:r w:rsidRPr="00CE0885">
        <w:rPr>
          <w:spacing w:val="1"/>
          <w:lang w:eastAsia="en-GB"/>
        </w:rPr>
        <w:t>han</w:t>
      </w:r>
      <w:r w:rsidRPr="00CE0885">
        <w:rPr>
          <w:spacing w:val="-1"/>
          <w:lang w:eastAsia="en-GB"/>
        </w:rPr>
        <w:t>g</w:t>
      </w:r>
      <w:r w:rsidRPr="00CE0885">
        <w:rPr>
          <w:spacing w:val="1"/>
          <w:lang w:eastAsia="en-GB"/>
        </w:rPr>
        <w:t>e</w:t>
      </w:r>
      <w:r w:rsidRPr="00CE0885">
        <w:rPr>
          <w:lang w:eastAsia="en-GB"/>
        </w:rPr>
        <w:t>s</w:t>
      </w:r>
      <w:r w:rsidRPr="00CE0885">
        <w:rPr>
          <w:spacing w:val="-10"/>
          <w:lang w:eastAsia="en-GB"/>
        </w:rPr>
        <w:t xml:space="preserve"> </w:t>
      </w:r>
      <w:r w:rsidRPr="00CE0885">
        <w:rPr>
          <w:spacing w:val="1"/>
          <w:lang w:eastAsia="en-GB"/>
        </w:rPr>
        <w:t>t</w:t>
      </w:r>
      <w:r w:rsidRPr="00CE0885">
        <w:rPr>
          <w:lang w:eastAsia="en-GB"/>
        </w:rPr>
        <w:t>o</w:t>
      </w:r>
      <w:r w:rsidRPr="00CE0885">
        <w:rPr>
          <w:spacing w:val="-3"/>
          <w:lang w:eastAsia="en-GB"/>
        </w:rPr>
        <w:t xml:space="preserve">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c</w:t>
      </w:r>
      <w:r w:rsidRPr="00CE0885">
        <w:rPr>
          <w:spacing w:val="-1"/>
          <w:lang w:eastAsia="en-GB"/>
        </w:rPr>
        <w:t>o</w:t>
      </w:r>
      <w:r w:rsidRPr="00CE0885">
        <w:rPr>
          <w:spacing w:val="2"/>
          <w:lang w:eastAsia="en-GB"/>
        </w:rPr>
        <w:t>m</w:t>
      </w:r>
      <w:r w:rsidRPr="00CE0885">
        <w:rPr>
          <w:spacing w:val="-1"/>
          <w:lang w:eastAsia="en-GB"/>
        </w:rPr>
        <w:t>po</w:t>
      </w:r>
      <w:r w:rsidRPr="00CE0885">
        <w:rPr>
          <w:lang w:eastAsia="en-GB"/>
        </w:rPr>
        <w:t>si</w:t>
      </w:r>
      <w:r w:rsidRPr="00CE0885">
        <w:rPr>
          <w:spacing w:val="1"/>
          <w:lang w:eastAsia="en-GB"/>
        </w:rPr>
        <w:t>t</w:t>
      </w:r>
      <w:r w:rsidRPr="00CE0885">
        <w:rPr>
          <w:lang w:eastAsia="en-GB"/>
        </w:rPr>
        <w:t>i</w:t>
      </w:r>
      <w:r w:rsidRPr="00CE0885">
        <w:rPr>
          <w:spacing w:val="1"/>
          <w:lang w:eastAsia="en-GB"/>
        </w:rPr>
        <w:t>o</w:t>
      </w:r>
      <w:r w:rsidRPr="00CE0885">
        <w:rPr>
          <w:lang w:eastAsia="en-GB"/>
        </w:rPr>
        <w:t>n</w:t>
      </w:r>
      <w:r w:rsidRPr="00CE0885">
        <w:rPr>
          <w:spacing w:val="-11"/>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a</w:t>
      </w:r>
      <w:r w:rsidRPr="00CE0885">
        <w:rPr>
          <w:spacing w:val="-2"/>
          <w:lang w:eastAsia="en-GB"/>
        </w:rPr>
        <w:t xml:space="preserve"> </w:t>
      </w:r>
      <w:r w:rsidRPr="00CE0885">
        <w:rPr>
          <w:spacing w:val="1"/>
          <w:lang w:eastAsia="en-GB"/>
        </w:rPr>
        <w:t>pa</w:t>
      </w:r>
      <w:r w:rsidRPr="00CE0885">
        <w:rPr>
          <w:spacing w:val="-1"/>
          <w:lang w:eastAsia="en-GB"/>
        </w:rPr>
        <w:t>r</w:t>
      </w:r>
      <w:r w:rsidRPr="00CE0885">
        <w:rPr>
          <w:spacing w:val="1"/>
          <w:lang w:eastAsia="en-GB"/>
        </w:rPr>
        <w:t>t</w:t>
      </w:r>
      <w:r w:rsidRPr="00CE0885">
        <w:rPr>
          <w:spacing w:val="-1"/>
          <w:lang w:eastAsia="en-GB"/>
        </w:rPr>
        <w:t>n</w:t>
      </w:r>
      <w:r w:rsidRPr="00CE0885">
        <w:rPr>
          <w:spacing w:val="1"/>
          <w:lang w:eastAsia="en-GB"/>
        </w:rPr>
        <w:t>e</w:t>
      </w:r>
      <w:r w:rsidRPr="00CE0885">
        <w:rPr>
          <w:spacing w:val="-1"/>
          <w:lang w:eastAsia="en-GB"/>
        </w:rPr>
        <w:t>r</w:t>
      </w:r>
      <w:r w:rsidRPr="00CE0885">
        <w:rPr>
          <w:lang w:eastAsia="en-GB"/>
        </w:rPr>
        <w:t>s</w:t>
      </w:r>
      <w:r w:rsidRPr="00CE0885">
        <w:rPr>
          <w:spacing w:val="1"/>
          <w:lang w:eastAsia="en-GB"/>
        </w:rPr>
        <w:t>h</w:t>
      </w:r>
      <w:r w:rsidRPr="00CE0885">
        <w:rPr>
          <w:lang w:eastAsia="en-GB"/>
        </w:rPr>
        <w:t>ip will require variation to the contract and</w:t>
      </w:r>
      <w:r w:rsidRPr="00CE0885">
        <w:rPr>
          <w:spacing w:val="-13"/>
          <w:lang w:eastAsia="en-GB"/>
        </w:rPr>
        <w:t xml:space="preserve"> </w:t>
      </w:r>
      <w:r w:rsidRPr="00CE0885">
        <w:rPr>
          <w:spacing w:val="2"/>
          <w:lang w:eastAsia="en-GB"/>
        </w:rPr>
        <w:t>m</w:t>
      </w:r>
      <w:r w:rsidRPr="00CE0885">
        <w:rPr>
          <w:spacing w:val="1"/>
          <w:lang w:eastAsia="en-GB"/>
        </w:rPr>
        <w:t>a</w:t>
      </w:r>
      <w:r w:rsidRPr="00CE0885">
        <w:rPr>
          <w:lang w:eastAsia="en-GB"/>
        </w:rPr>
        <w:t>y</w:t>
      </w:r>
      <w:r w:rsidRPr="00CE0885">
        <w:rPr>
          <w:spacing w:val="-7"/>
          <w:lang w:eastAsia="en-GB"/>
        </w:rPr>
        <w:t xml:space="preserve"> </w:t>
      </w:r>
      <w:r w:rsidRPr="00CE0885">
        <w:rPr>
          <w:spacing w:val="-1"/>
          <w:lang w:eastAsia="en-GB"/>
        </w:rPr>
        <w:t>r</w:t>
      </w:r>
      <w:r w:rsidRPr="00CE0885">
        <w:rPr>
          <w:spacing w:val="1"/>
          <w:lang w:eastAsia="en-GB"/>
        </w:rPr>
        <w:t>e</w:t>
      </w:r>
      <w:r w:rsidRPr="00CE0885">
        <w:rPr>
          <w:spacing w:val="-1"/>
          <w:lang w:eastAsia="en-GB"/>
        </w:rPr>
        <w:t>q</w:t>
      </w:r>
      <w:r w:rsidRPr="00CE0885">
        <w:rPr>
          <w:spacing w:val="1"/>
          <w:lang w:eastAsia="en-GB"/>
        </w:rPr>
        <w:t>u</w:t>
      </w:r>
      <w:r w:rsidRPr="00CE0885">
        <w:rPr>
          <w:lang w:eastAsia="en-GB"/>
        </w:rPr>
        <w:t>i</w:t>
      </w:r>
      <w:r w:rsidRPr="00CE0885">
        <w:rPr>
          <w:spacing w:val="-1"/>
          <w:lang w:eastAsia="en-GB"/>
        </w:rPr>
        <w:t>r</w:t>
      </w:r>
      <w:r w:rsidRPr="00CE0885">
        <w:rPr>
          <w:lang w:eastAsia="en-GB"/>
        </w:rPr>
        <w:t>e</w:t>
      </w:r>
      <w:r w:rsidRPr="00CE0885">
        <w:rPr>
          <w:spacing w:val="-5"/>
          <w:lang w:eastAsia="en-GB"/>
        </w:rPr>
        <w:t xml:space="preserve"> </w:t>
      </w:r>
      <w:r w:rsidRPr="00CE0885">
        <w:rPr>
          <w:lang w:eastAsia="en-GB"/>
        </w:rPr>
        <w:t>a</w:t>
      </w:r>
      <w:r w:rsidRPr="00CE0885">
        <w:rPr>
          <w:spacing w:val="1"/>
          <w:lang w:eastAsia="en-GB"/>
        </w:rPr>
        <w:t xml:space="preserve"> </w:t>
      </w:r>
      <w:r w:rsidRPr="00CE0885">
        <w:rPr>
          <w:spacing w:val="-2"/>
          <w:lang w:eastAsia="en-GB"/>
        </w:rPr>
        <w:t>v</w:t>
      </w:r>
      <w:r w:rsidRPr="00CE0885">
        <w:rPr>
          <w:spacing w:val="1"/>
          <w:lang w:eastAsia="en-GB"/>
        </w:rPr>
        <w:t>a</w:t>
      </w:r>
      <w:r w:rsidRPr="00CE0885">
        <w:rPr>
          <w:spacing w:val="-1"/>
          <w:lang w:eastAsia="en-GB"/>
        </w:rPr>
        <w:t>r</w:t>
      </w:r>
      <w:r w:rsidRPr="00CE0885">
        <w:rPr>
          <w:lang w:eastAsia="en-GB"/>
        </w:rPr>
        <w:t>i</w:t>
      </w:r>
      <w:r w:rsidRPr="00CE0885">
        <w:rPr>
          <w:spacing w:val="1"/>
          <w:lang w:eastAsia="en-GB"/>
        </w:rPr>
        <w:t>at</w:t>
      </w:r>
      <w:r w:rsidRPr="00CE0885">
        <w:rPr>
          <w:lang w:eastAsia="en-GB"/>
        </w:rPr>
        <w:t>i</w:t>
      </w:r>
      <w:r w:rsidRPr="00CE0885">
        <w:rPr>
          <w:spacing w:val="1"/>
          <w:lang w:eastAsia="en-GB"/>
        </w:rPr>
        <w:t>o</w:t>
      </w:r>
      <w:r w:rsidRPr="00CE0885">
        <w:rPr>
          <w:lang w:eastAsia="en-GB"/>
        </w:rPr>
        <w:t>n</w:t>
      </w:r>
      <w:r w:rsidRPr="00CE0885">
        <w:rPr>
          <w:spacing w:val="-10"/>
          <w:lang w:eastAsia="en-GB"/>
        </w:rPr>
        <w:t xml:space="preserve"> </w:t>
      </w:r>
      <w:r w:rsidRPr="00CE0885">
        <w:rPr>
          <w:spacing w:val="1"/>
          <w:lang w:eastAsia="en-GB"/>
        </w:rPr>
        <w:t>t</w:t>
      </w:r>
      <w:r w:rsidRPr="00CE0885">
        <w:rPr>
          <w:lang w:eastAsia="en-GB"/>
        </w:rPr>
        <w:t xml:space="preserve">o </w:t>
      </w:r>
      <w:r w:rsidRPr="00CE0885">
        <w:rPr>
          <w:spacing w:val="1"/>
          <w:lang w:eastAsia="en-GB"/>
        </w:rPr>
        <w:t>th</w:t>
      </w:r>
      <w:r w:rsidRPr="00CE0885">
        <w:rPr>
          <w:lang w:eastAsia="en-GB"/>
        </w:rPr>
        <w:t>e</w:t>
      </w:r>
      <w:r w:rsidRPr="00CE0885">
        <w:rPr>
          <w:spacing w:val="-1"/>
          <w:lang w:eastAsia="en-GB"/>
        </w:rPr>
        <w:t xml:space="preserve"> </w:t>
      </w:r>
      <w:r w:rsidRPr="00CE0885">
        <w:rPr>
          <w:lang w:eastAsia="en-GB"/>
        </w:rPr>
        <w:t>s</w:t>
      </w:r>
      <w:r w:rsidRPr="00CE0885">
        <w:rPr>
          <w:spacing w:val="-2"/>
          <w:lang w:eastAsia="en-GB"/>
        </w:rPr>
        <w:t>t</w:t>
      </w:r>
      <w:r w:rsidRPr="00CE0885">
        <w:rPr>
          <w:spacing w:val="1"/>
          <w:lang w:eastAsia="en-GB"/>
        </w:rPr>
        <w:t>a</w:t>
      </w:r>
      <w:r w:rsidRPr="00CE0885">
        <w:rPr>
          <w:spacing w:val="-1"/>
          <w:lang w:eastAsia="en-GB"/>
        </w:rPr>
        <w:t>n</w:t>
      </w:r>
      <w:r w:rsidRPr="00CE0885">
        <w:rPr>
          <w:spacing w:val="1"/>
          <w:lang w:eastAsia="en-GB"/>
        </w:rPr>
        <w:t>da</w:t>
      </w:r>
      <w:r w:rsidRPr="00CE0885">
        <w:rPr>
          <w:spacing w:val="-1"/>
          <w:lang w:eastAsia="en-GB"/>
        </w:rPr>
        <w:t>r</w:t>
      </w:r>
      <w:r w:rsidRPr="00CE0885">
        <w:rPr>
          <w:lang w:eastAsia="en-GB"/>
        </w:rPr>
        <w:t>d</w:t>
      </w:r>
      <w:r w:rsidRPr="00CE0885">
        <w:rPr>
          <w:spacing w:val="-7"/>
          <w:lang w:eastAsia="en-GB"/>
        </w:rPr>
        <w:t xml:space="preserve"> </w:t>
      </w:r>
      <w:r w:rsidRPr="00CE0885">
        <w:rPr>
          <w:spacing w:val="-1"/>
          <w:lang w:eastAsia="en-GB"/>
        </w:rPr>
        <w:t>r</w:t>
      </w:r>
      <w:r w:rsidRPr="00CE0885">
        <w:rPr>
          <w:spacing w:val="1"/>
          <w:lang w:eastAsia="en-GB"/>
        </w:rPr>
        <w:t>e</w:t>
      </w:r>
      <w:r w:rsidRPr="00CE0885">
        <w:rPr>
          <w:spacing w:val="-1"/>
          <w:lang w:eastAsia="en-GB"/>
        </w:rPr>
        <w:t>g</w:t>
      </w:r>
      <w:r w:rsidRPr="00CE0885">
        <w:rPr>
          <w:lang w:eastAsia="en-GB"/>
        </w:rPr>
        <w:t>is</w:t>
      </w:r>
      <w:r w:rsidRPr="00CE0885">
        <w:rPr>
          <w:spacing w:val="1"/>
          <w:lang w:eastAsia="en-GB"/>
        </w:rPr>
        <w:t>t</w:t>
      </w:r>
      <w:r w:rsidRPr="00CE0885">
        <w:rPr>
          <w:spacing w:val="-1"/>
          <w:lang w:eastAsia="en-GB"/>
        </w:rPr>
        <w:t>r</w:t>
      </w:r>
      <w:r w:rsidRPr="00CE0885">
        <w:rPr>
          <w:spacing w:val="1"/>
          <w:lang w:eastAsia="en-GB"/>
        </w:rPr>
        <w:t>at</w:t>
      </w:r>
      <w:r w:rsidRPr="00CE0885">
        <w:rPr>
          <w:lang w:eastAsia="en-GB"/>
        </w:rPr>
        <w:t>i</w:t>
      </w:r>
      <w:r w:rsidRPr="00CE0885">
        <w:rPr>
          <w:spacing w:val="-1"/>
          <w:lang w:eastAsia="en-GB"/>
        </w:rPr>
        <w:t>o</w:t>
      </w:r>
      <w:r w:rsidRPr="00CE0885">
        <w:rPr>
          <w:lang w:eastAsia="en-GB"/>
        </w:rPr>
        <w:t>n</w:t>
      </w:r>
      <w:r w:rsidRPr="00CE0885">
        <w:rPr>
          <w:spacing w:val="-10"/>
          <w:lang w:eastAsia="en-GB"/>
        </w:rPr>
        <w:t xml:space="preserve"> </w:t>
      </w:r>
      <w:r w:rsidRPr="00CE0885">
        <w:rPr>
          <w:lang w:eastAsia="en-GB"/>
        </w:rPr>
        <w:t>c</w:t>
      </w:r>
      <w:r w:rsidRPr="00CE0885">
        <w:rPr>
          <w:spacing w:val="1"/>
          <w:lang w:eastAsia="en-GB"/>
        </w:rPr>
        <w:t>o</w:t>
      </w:r>
      <w:r w:rsidRPr="00CE0885">
        <w:rPr>
          <w:spacing w:val="-1"/>
          <w:lang w:eastAsia="en-GB"/>
        </w:rPr>
        <w:t>n</w:t>
      </w:r>
      <w:r w:rsidRPr="00CE0885">
        <w:rPr>
          <w:spacing w:val="1"/>
          <w:lang w:eastAsia="en-GB"/>
        </w:rPr>
        <w:t>d</w:t>
      </w:r>
      <w:r w:rsidRPr="00CE0885">
        <w:rPr>
          <w:lang w:eastAsia="en-GB"/>
        </w:rPr>
        <w:t>i</w:t>
      </w:r>
      <w:r w:rsidRPr="00CE0885">
        <w:rPr>
          <w:spacing w:val="1"/>
          <w:lang w:eastAsia="en-GB"/>
        </w:rPr>
        <w:t>t</w:t>
      </w:r>
      <w:r w:rsidRPr="00CE0885">
        <w:rPr>
          <w:lang w:eastAsia="en-GB"/>
        </w:rPr>
        <w:t>i</w:t>
      </w:r>
      <w:r w:rsidRPr="00CE0885">
        <w:rPr>
          <w:spacing w:val="1"/>
          <w:lang w:eastAsia="en-GB"/>
        </w:rPr>
        <w:t>on</w:t>
      </w:r>
      <w:r w:rsidRPr="00CE0885">
        <w:rPr>
          <w:lang w:eastAsia="en-GB"/>
        </w:rPr>
        <w:t>s</w:t>
      </w:r>
      <w:r w:rsidRPr="00CE0885">
        <w:rPr>
          <w:spacing w:val="-11"/>
          <w:lang w:eastAsia="en-GB"/>
        </w:rPr>
        <w:t xml:space="preserve"> </w:t>
      </w:r>
      <w:r w:rsidRPr="00CE0885">
        <w:rPr>
          <w:spacing w:val="-3"/>
          <w:lang w:eastAsia="en-GB"/>
        </w:rPr>
        <w:t>w</w:t>
      </w:r>
      <w:r w:rsidRPr="00CE0885">
        <w:rPr>
          <w:lang w:eastAsia="en-GB"/>
        </w:rPr>
        <w:t>i</w:t>
      </w:r>
      <w:r w:rsidRPr="00CE0885">
        <w:rPr>
          <w:spacing w:val="1"/>
          <w:lang w:eastAsia="en-GB"/>
        </w:rPr>
        <w:t>t</w:t>
      </w:r>
      <w:r w:rsidRPr="00CE0885">
        <w:rPr>
          <w:lang w:eastAsia="en-GB"/>
        </w:rPr>
        <w:t>h</w:t>
      </w:r>
      <w:r w:rsidRPr="00CE0885">
        <w:rPr>
          <w:spacing w:val="-2"/>
          <w:lang w:eastAsia="en-GB"/>
        </w:rPr>
        <w:t xml:space="preserve">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C</w:t>
      </w:r>
      <w:r w:rsidRPr="00CE0885">
        <w:rPr>
          <w:spacing w:val="1"/>
          <w:lang w:eastAsia="en-GB"/>
        </w:rPr>
        <w:t>Q</w:t>
      </w:r>
      <w:r w:rsidRPr="00CE0885">
        <w:rPr>
          <w:lang w:eastAsia="en-GB"/>
        </w:rPr>
        <w:t>C.</w:t>
      </w:r>
      <w:bookmarkEnd w:id="580"/>
    </w:p>
    <w:p w14:paraId="73A38BA8" w14:textId="77777777" w:rsidR="00977693" w:rsidRPr="00CE0885" w:rsidRDefault="00977693" w:rsidP="006B781A">
      <w:pPr>
        <w:pStyle w:val="Heading3"/>
        <w:rPr>
          <w:lang w:eastAsia="en-GB"/>
        </w:rPr>
      </w:pPr>
      <w:bookmarkStart w:id="581" w:name="_Toc440981733"/>
      <w:r w:rsidRPr="00CE0885">
        <w:rPr>
          <w:lang w:eastAsia="en-GB"/>
        </w:rPr>
        <w:t>P</w:t>
      </w:r>
      <w:r w:rsidRPr="00CE0885">
        <w:rPr>
          <w:spacing w:val="-1"/>
          <w:lang w:eastAsia="en-GB"/>
        </w:rPr>
        <w:t>r</w:t>
      </w:r>
      <w:r w:rsidRPr="00CE0885">
        <w:rPr>
          <w:lang w:eastAsia="en-GB"/>
        </w:rPr>
        <w:t>ocu</w:t>
      </w:r>
      <w:r w:rsidRPr="00CE0885">
        <w:rPr>
          <w:spacing w:val="-3"/>
          <w:lang w:eastAsia="en-GB"/>
        </w:rPr>
        <w:t>r</w:t>
      </w:r>
      <w:r w:rsidRPr="00CE0885">
        <w:rPr>
          <w:spacing w:val="-1"/>
          <w:lang w:eastAsia="en-GB"/>
        </w:rPr>
        <w:t>e</w:t>
      </w:r>
      <w:r w:rsidRPr="00CE0885">
        <w:rPr>
          <w:spacing w:val="2"/>
          <w:lang w:eastAsia="en-GB"/>
        </w:rPr>
        <w:t>m</w:t>
      </w:r>
      <w:r w:rsidRPr="00CE0885">
        <w:rPr>
          <w:lang w:eastAsia="en-GB"/>
        </w:rPr>
        <w:t>e</w:t>
      </w:r>
      <w:r w:rsidRPr="00CE0885">
        <w:rPr>
          <w:spacing w:val="-1"/>
          <w:lang w:eastAsia="en-GB"/>
        </w:rPr>
        <w:t>n</w:t>
      </w:r>
      <w:r w:rsidRPr="00CE0885">
        <w:rPr>
          <w:lang w:eastAsia="en-GB"/>
        </w:rPr>
        <w:t>t</w:t>
      </w:r>
      <w:r w:rsidRPr="00CE0885">
        <w:rPr>
          <w:spacing w:val="-12"/>
          <w:lang w:eastAsia="en-GB"/>
        </w:rPr>
        <w:t xml:space="preserve"> </w:t>
      </w:r>
      <w:r w:rsidRPr="00CE0885">
        <w:rPr>
          <w:lang w:eastAsia="en-GB"/>
        </w:rPr>
        <w:t>law</w:t>
      </w:r>
      <w:r w:rsidRPr="00CE0885">
        <w:rPr>
          <w:spacing w:val="-6"/>
          <w:lang w:eastAsia="en-GB"/>
        </w:rPr>
        <w:t xml:space="preserve"> </w:t>
      </w:r>
      <w:r w:rsidRPr="00CE0885">
        <w:rPr>
          <w:spacing w:val="2"/>
          <w:lang w:eastAsia="en-GB"/>
        </w:rPr>
        <w:t>m</w:t>
      </w:r>
      <w:r w:rsidRPr="00CE0885">
        <w:rPr>
          <w:lang w:eastAsia="en-GB"/>
        </w:rPr>
        <w:t>ay</w:t>
      </w:r>
      <w:r w:rsidRPr="00CE0885">
        <w:rPr>
          <w:spacing w:val="-7"/>
          <w:lang w:eastAsia="en-GB"/>
        </w:rPr>
        <w:t xml:space="preserve"> </w:t>
      </w:r>
      <w:r w:rsidRPr="00CE0885">
        <w:rPr>
          <w:lang w:eastAsia="en-GB"/>
        </w:rPr>
        <w:t>be</w:t>
      </w:r>
      <w:r w:rsidRPr="00CE0885">
        <w:rPr>
          <w:spacing w:val="-1"/>
          <w:lang w:eastAsia="en-GB"/>
        </w:rPr>
        <w:t xml:space="preserve"> r</w:t>
      </w:r>
      <w:r w:rsidRPr="00CE0885">
        <w:rPr>
          <w:lang w:eastAsia="en-GB"/>
        </w:rPr>
        <w:t>e</w:t>
      </w:r>
      <w:r w:rsidRPr="00CE0885">
        <w:rPr>
          <w:spacing w:val="-3"/>
          <w:lang w:eastAsia="en-GB"/>
        </w:rPr>
        <w:t>l</w:t>
      </w:r>
      <w:r w:rsidRPr="00CE0885">
        <w:rPr>
          <w:lang w:eastAsia="en-GB"/>
        </w:rPr>
        <w:t>e</w:t>
      </w:r>
      <w:r w:rsidRPr="00CE0885">
        <w:rPr>
          <w:spacing w:val="-2"/>
          <w:lang w:eastAsia="en-GB"/>
        </w:rPr>
        <w:t>v</w:t>
      </w:r>
      <w:r w:rsidRPr="00CE0885">
        <w:rPr>
          <w:lang w:eastAsia="en-GB"/>
        </w:rPr>
        <w:t>ant</w:t>
      </w:r>
      <w:r w:rsidRPr="00CE0885">
        <w:rPr>
          <w:spacing w:val="-10"/>
          <w:lang w:eastAsia="en-GB"/>
        </w:rPr>
        <w:t xml:space="preserve"> </w:t>
      </w:r>
      <w:r w:rsidRPr="00CE0885">
        <w:rPr>
          <w:lang w:eastAsia="en-GB"/>
        </w:rPr>
        <w:t>as,</w:t>
      </w:r>
      <w:r w:rsidRPr="00CE0885">
        <w:rPr>
          <w:spacing w:val="-2"/>
          <w:lang w:eastAsia="en-GB"/>
        </w:rPr>
        <w:t xml:space="preserve"> </w:t>
      </w:r>
      <w:r w:rsidRPr="00CE0885">
        <w:rPr>
          <w:lang w:eastAsia="en-GB"/>
        </w:rPr>
        <w:t xml:space="preserve">in </w:t>
      </w:r>
      <w:r w:rsidRPr="00CE0885">
        <w:rPr>
          <w:spacing w:val="-2"/>
          <w:lang w:eastAsia="en-GB"/>
        </w:rPr>
        <w:t>s</w:t>
      </w:r>
      <w:r w:rsidRPr="00CE0885">
        <w:rPr>
          <w:lang w:eastAsia="en-GB"/>
        </w:rPr>
        <w:t>o</w:t>
      </w:r>
      <w:r w:rsidRPr="00CE0885">
        <w:rPr>
          <w:spacing w:val="-1"/>
          <w:lang w:eastAsia="en-GB"/>
        </w:rPr>
        <w:t>m</w:t>
      </w:r>
      <w:r w:rsidRPr="00CE0885">
        <w:rPr>
          <w:lang w:eastAsia="en-GB"/>
        </w:rPr>
        <w:t>e ci</w:t>
      </w:r>
      <w:r w:rsidRPr="00CE0885">
        <w:rPr>
          <w:spacing w:val="-1"/>
          <w:lang w:eastAsia="en-GB"/>
        </w:rPr>
        <w:t>r</w:t>
      </w:r>
      <w:r w:rsidRPr="00CE0885">
        <w:rPr>
          <w:lang w:eastAsia="en-GB"/>
        </w:rPr>
        <w:t>cu</w:t>
      </w:r>
      <w:r w:rsidRPr="00CE0885">
        <w:rPr>
          <w:spacing w:val="2"/>
          <w:lang w:eastAsia="en-GB"/>
        </w:rPr>
        <w:t>m</w:t>
      </w:r>
      <w:r w:rsidRPr="00CE0885">
        <w:rPr>
          <w:lang w:eastAsia="en-GB"/>
        </w:rPr>
        <w:t>st</w:t>
      </w:r>
      <w:r w:rsidRPr="00CE0885">
        <w:rPr>
          <w:spacing w:val="-1"/>
          <w:lang w:eastAsia="en-GB"/>
        </w:rPr>
        <w:t>a</w:t>
      </w:r>
      <w:r w:rsidRPr="00CE0885">
        <w:rPr>
          <w:lang w:eastAsia="en-GB"/>
        </w:rPr>
        <w:t>nces,</w:t>
      </w:r>
      <w:r w:rsidRPr="00CE0885">
        <w:rPr>
          <w:spacing w:val="-17"/>
          <w:lang w:eastAsia="en-GB"/>
        </w:rPr>
        <w:t xml:space="preserve"> </w:t>
      </w:r>
      <w:r w:rsidRPr="00CE0885">
        <w:rPr>
          <w:lang w:eastAsia="en-GB"/>
        </w:rPr>
        <w:t>the</w:t>
      </w:r>
      <w:r w:rsidRPr="00CE0885">
        <w:rPr>
          <w:spacing w:val="-4"/>
          <w:lang w:eastAsia="en-GB"/>
        </w:rPr>
        <w:t xml:space="preserve"> </w:t>
      </w:r>
      <w:r w:rsidRPr="00CE0885">
        <w:rPr>
          <w:lang w:eastAsia="en-GB"/>
        </w:rPr>
        <w:t>a</w:t>
      </w:r>
      <w:r w:rsidRPr="00CE0885">
        <w:rPr>
          <w:spacing w:val="-1"/>
          <w:lang w:eastAsia="en-GB"/>
        </w:rPr>
        <w:t>d</w:t>
      </w:r>
      <w:r w:rsidRPr="00CE0885">
        <w:rPr>
          <w:spacing w:val="2"/>
          <w:lang w:eastAsia="en-GB"/>
        </w:rPr>
        <w:t>m</w:t>
      </w:r>
      <w:r w:rsidRPr="00CE0885">
        <w:rPr>
          <w:lang w:eastAsia="en-GB"/>
        </w:rPr>
        <w:t>itt</w:t>
      </w:r>
      <w:r w:rsidRPr="00CE0885">
        <w:rPr>
          <w:spacing w:val="-1"/>
          <w:lang w:eastAsia="en-GB"/>
        </w:rPr>
        <w:t>a</w:t>
      </w:r>
      <w:r w:rsidRPr="00CE0885">
        <w:rPr>
          <w:lang w:eastAsia="en-GB"/>
        </w:rPr>
        <w:t>nce</w:t>
      </w:r>
      <w:r w:rsidRPr="00CE0885">
        <w:rPr>
          <w:spacing w:val="-13"/>
          <w:lang w:eastAsia="en-GB"/>
        </w:rPr>
        <w:t xml:space="preserve"> </w:t>
      </w:r>
      <w:r w:rsidRPr="00CE0885">
        <w:rPr>
          <w:spacing w:val="-1"/>
          <w:lang w:eastAsia="en-GB"/>
        </w:rPr>
        <w:t>o</w:t>
      </w:r>
      <w:r w:rsidRPr="00CE0885">
        <w:rPr>
          <w:lang w:eastAsia="en-GB"/>
        </w:rPr>
        <w:t>f a</w:t>
      </w:r>
      <w:r w:rsidRPr="00CE0885">
        <w:rPr>
          <w:spacing w:val="-2"/>
          <w:lang w:eastAsia="en-GB"/>
        </w:rPr>
        <w:t xml:space="preserve"> </w:t>
      </w:r>
      <w:r w:rsidRPr="00CE0885">
        <w:rPr>
          <w:lang w:eastAsia="en-GB"/>
        </w:rPr>
        <w:t>new</w:t>
      </w:r>
      <w:r w:rsidRPr="00CE0885">
        <w:rPr>
          <w:spacing w:val="-6"/>
          <w:lang w:eastAsia="en-GB"/>
        </w:rPr>
        <w:t xml:space="preserve"> </w:t>
      </w:r>
      <w:r w:rsidRPr="00CE0885">
        <w:rPr>
          <w:lang w:eastAsia="en-GB"/>
        </w:rPr>
        <w:t>con</w:t>
      </w:r>
      <w:r w:rsidRPr="00CE0885">
        <w:rPr>
          <w:spacing w:val="-2"/>
          <w:lang w:eastAsia="en-GB"/>
        </w:rPr>
        <w:t>t</w:t>
      </w:r>
      <w:r w:rsidRPr="00CE0885">
        <w:rPr>
          <w:spacing w:val="-1"/>
          <w:lang w:eastAsia="en-GB"/>
        </w:rPr>
        <w:t>r</w:t>
      </w:r>
      <w:r w:rsidRPr="00CE0885">
        <w:rPr>
          <w:lang w:eastAsia="en-GB"/>
        </w:rPr>
        <w:t>acting</w:t>
      </w:r>
      <w:r w:rsidRPr="00CE0885">
        <w:rPr>
          <w:spacing w:val="-13"/>
          <w:lang w:eastAsia="en-GB"/>
        </w:rPr>
        <w:t xml:space="preserve"> </w:t>
      </w:r>
      <w:r w:rsidRPr="00CE0885">
        <w:rPr>
          <w:lang w:eastAsia="en-GB"/>
        </w:rPr>
        <w:t>pa</w:t>
      </w:r>
      <w:r w:rsidRPr="00CE0885">
        <w:rPr>
          <w:spacing w:val="-1"/>
          <w:lang w:eastAsia="en-GB"/>
        </w:rPr>
        <w:t>r</w:t>
      </w:r>
      <w:r w:rsidRPr="00CE0885">
        <w:rPr>
          <w:lang w:eastAsia="en-GB"/>
        </w:rPr>
        <w:t>ty</w:t>
      </w:r>
      <w:r w:rsidRPr="00CE0885">
        <w:rPr>
          <w:spacing w:val="-7"/>
          <w:lang w:eastAsia="en-GB"/>
        </w:rPr>
        <w:t xml:space="preserve"> </w:t>
      </w:r>
      <w:r w:rsidRPr="00CE0885">
        <w:rPr>
          <w:spacing w:val="2"/>
          <w:lang w:eastAsia="en-GB"/>
        </w:rPr>
        <w:t>m</w:t>
      </w:r>
      <w:r w:rsidRPr="00CE0885">
        <w:rPr>
          <w:lang w:eastAsia="en-GB"/>
        </w:rPr>
        <w:t>ay</w:t>
      </w:r>
      <w:r w:rsidRPr="00CE0885">
        <w:rPr>
          <w:spacing w:val="-7"/>
          <w:lang w:eastAsia="en-GB"/>
        </w:rPr>
        <w:t xml:space="preserve"> </w:t>
      </w:r>
      <w:r w:rsidRPr="00CE0885">
        <w:rPr>
          <w:spacing w:val="-1"/>
          <w:lang w:eastAsia="en-GB"/>
        </w:rPr>
        <w:t>g</w:t>
      </w:r>
      <w:r w:rsidRPr="00CE0885">
        <w:rPr>
          <w:spacing w:val="2"/>
          <w:lang w:eastAsia="en-GB"/>
        </w:rPr>
        <w:t>i</w:t>
      </w:r>
      <w:r w:rsidRPr="00CE0885">
        <w:rPr>
          <w:spacing w:val="-2"/>
          <w:lang w:eastAsia="en-GB"/>
        </w:rPr>
        <w:t>v</w:t>
      </w:r>
      <w:r w:rsidRPr="00CE0885">
        <w:rPr>
          <w:lang w:eastAsia="en-GB"/>
        </w:rPr>
        <w:t>e</w:t>
      </w:r>
      <w:r w:rsidRPr="00CE0885">
        <w:rPr>
          <w:spacing w:val="-2"/>
          <w:lang w:eastAsia="en-GB"/>
        </w:rPr>
        <w:t xml:space="preserve"> </w:t>
      </w:r>
      <w:r w:rsidRPr="00CE0885">
        <w:rPr>
          <w:spacing w:val="-1"/>
          <w:lang w:eastAsia="en-GB"/>
        </w:rPr>
        <w:t>r</w:t>
      </w:r>
      <w:r w:rsidRPr="00CE0885">
        <w:rPr>
          <w:lang w:eastAsia="en-GB"/>
        </w:rPr>
        <w:t>ise to p</w:t>
      </w:r>
      <w:r w:rsidRPr="00CE0885">
        <w:rPr>
          <w:spacing w:val="-1"/>
          <w:lang w:eastAsia="en-GB"/>
        </w:rPr>
        <w:t>r</w:t>
      </w:r>
      <w:r w:rsidRPr="00CE0885">
        <w:rPr>
          <w:lang w:eastAsia="en-GB"/>
        </w:rPr>
        <w:t>o</w:t>
      </w:r>
      <w:r w:rsidRPr="00CE0885">
        <w:rPr>
          <w:spacing w:val="-2"/>
          <w:lang w:eastAsia="en-GB"/>
        </w:rPr>
        <w:t>c</w:t>
      </w:r>
      <w:r w:rsidRPr="00CE0885">
        <w:rPr>
          <w:lang w:eastAsia="en-GB"/>
        </w:rPr>
        <w:t>u</w:t>
      </w:r>
      <w:r w:rsidRPr="00CE0885">
        <w:rPr>
          <w:spacing w:val="-1"/>
          <w:lang w:eastAsia="en-GB"/>
        </w:rPr>
        <w:t>r</w:t>
      </w:r>
      <w:r w:rsidRPr="00CE0885">
        <w:rPr>
          <w:lang w:eastAsia="en-GB"/>
        </w:rPr>
        <w:t>e</w:t>
      </w:r>
      <w:r w:rsidRPr="00CE0885">
        <w:rPr>
          <w:spacing w:val="-1"/>
          <w:lang w:eastAsia="en-GB"/>
        </w:rPr>
        <w:t>m</w:t>
      </w:r>
      <w:r w:rsidRPr="00CE0885">
        <w:rPr>
          <w:lang w:eastAsia="en-GB"/>
        </w:rPr>
        <w:t>ent</w:t>
      </w:r>
      <w:r w:rsidRPr="00CE0885">
        <w:rPr>
          <w:spacing w:val="-14"/>
          <w:lang w:eastAsia="en-GB"/>
        </w:rPr>
        <w:t xml:space="preserve"> </w:t>
      </w:r>
      <w:r w:rsidRPr="00CE0885">
        <w:rPr>
          <w:lang w:eastAsia="en-GB"/>
        </w:rPr>
        <w:t>obli</w:t>
      </w:r>
      <w:r w:rsidRPr="00CE0885">
        <w:rPr>
          <w:spacing w:val="-1"/>
          <w:lang w:eastAsia="en-GB"/>
        </w:rPr>
        <w:t>g</w:t>
      </w:r>
      <w:r w:rsidRPr="00CE0885">
        <w:rPr>
          <w:lang w:eastAsia="en-GB"/>
        </w:rPr>
        <w:t>at</w:t>
      </w:r>
      <w:r w:rsidRPr="00CE0885">
        <w:rPr>
          <w:spacing w:val="-3"/>
          <w:lang w:eastAsia="en-GB"/>
        </w:rPr>
        <w:t>i</w:t>
      </w:r>
      <w:r w:rsidRPr="00CE0885">
        <w:rPr>
          <w:lang w:eastAsia="en-GB"/>
        </w:rPr>
        <w:t>ons.</w:t>
      </w:r>
      <w:r w:rsidRPr="00CE0885">
        <w:rPr>
          <w:spacing w:val="54"/>
          <w:lang w:eastAsia="en-GB"/>
        </w:rPr>
        <w:t xml:space="preserve"> </w:t>
      </w:r>
      <w:r w:rsidRPr="00CE0885">
        <w:rPr>
          <w:spacing w:val="-2"/>
          <w:lang w:eastAsia="en-GB"/>
        </w:rPr>
        <w:t>Commissioner</w:t>
      </w:r>
      <w:r w:rsidRPr="00CE0885">
        <w:rPr>
          <w:lang w:eastAsia="en-GB"/>
        </w:rPr>
        <w:t>s</w:t>
      </w:r>
      <w:r w:rsidRPr="00CE0885">
        <w:rPr>
          <w:spacing w:val="-4"/>
          <w:lang w:eastAsia="en-GB"/>
        </w:rPr>
        <w:t xml:space="preserve"> </w:t>
      </w:r>
      <w:r w:rsidRPr="00CE0885">
        <w:rPr>
          <w:lang w:eastAsia="en-GB"/>
        </w:rPr>
        <w:t>s</w:t>
      </w:r>
      <w:r w:rsidRPr="00CE0885">
        <w:rPr>
          <w:spacing w:val="-1"/>
          <w:lang w:eastAsia="en-GB"/>
        </w:rPr>
        <w:t>h</w:t>
      </w:r>
      <w:r w:rsidRPr="00CE0885">
        <w:rPr>
          <w:lang w:eastAsia="en-GB"/>
        </w:rPr>
        <w:t>ould</w:t>
      </w:r>
      <w:r w:rsidRPr="00CE0885">
        <w:rPr>
          <w:spacing w:val="-5"/>
          <w:lang w:eastAsia="en-GB"/>
        </w:rPr>
        <w:t xml:space="preserve"> </w:t>
      </w:r>
      <w:r w:rsidRPr="00CE0885">
        <w:rPr>
          <w:spacing w:val="-1"/>
          <w:lang w:eastAsia="en-GB"/>
        </w:rPr>
        <w:t>re</w:t>
      </w:r>
      <w:r w:rsidRPr="00CE0885">
        <w:rPr>
          <w:lang w:eastAsia="en-GB"/>
        </w:rPr>
        <w:t>fer</w:t>
      </w:r>
      <w:r w:rsidRPr="00CE0885">
        <w:rPr>
          <w:spacing w:val="-8"/>
          <w:lang w:eastAsia="en-GB"/>
        </w:rPr>
        <w:t xml:space="preserve"> </w:t>
      </w:r>
      <w:r w:rsidRPr="00CE0885">
        <w:rPr>
          <w:lang w:eastAsia="en-GB"/>
        </w:rPr>
        <w:t xml:space="preserve">to </w:t>
      </w:r>
      <w:r w:rsidRPr="00CE0885">
        <w:rPr>
          <w:spacing w:val="-1"/>
          <w:lang w:eastAsia="en-GB"/>
        </w:rPr>
        <w:t>r</w:t>
      </w:r>
      <w:r w:rsidRPr="00CE0885">
        <w:rPr>
          <w:lang w:eastAsia="en-GB"/>
        </w:rPr>
        <w:t>ele</w:t>
      </w:r>
      <w:r w:rsidRPr="00CE0885">
        <w:rPr>
          <w:spacing w:val="-2"/>
          <w:lang w:eastAsia="en-GB"/>
        </w:rPr>
        <w:t>v</w:t>
      </w:r>
      <w:r w:rsidRPr="00CE0885">
        <w:rPr>
          <w:lang w:eastAsia="en-GB"/>
        </w:rPr>
        <w:t>ant</w:t>
      </w:r>
      <w:r w:rsidRPr="00CE0885">
        <w:rPr>
          <w:spacing w:val="-10"/>
          <w:lang w:eastAsia="en-GB"/>
        </w:rPr>
        <w:t xml:space="preserve"> </w:t>
      </w:r>
      <w:r w:rsidRPr="00CE0885">
        <w:rPr>
          <w:lang w:eastAsia="en-GB"/>
        </w:rPr>
        <w:t>publis</w:t>
      </w:r>
      <w:r w:rsidRPr="00CE0885">
        <w:rPr>
          <w:spacing w:val="-1"/>
          <w:lang w:eastAsia="en-GB"/>
        </w:rPr>
        <w:t>h</w:t>
      </w:r>
      <w:r w:rsidRPr="00CE0885">
        <w:rPr>
          <w:lang w:eastAsia="en-GB"/>
        </w:rPr>
        <w:t xml:space="preserve">ed </w:t>
      </w:r>
      <w:r w:rsidRPr="00CE0885">
        <w:rPr>
          <w:spacing w:val="-1"/>
          <w:lang w:eastAsia="en-GB"/>
        </w:rPr>
        <w:t>g</w:t>
      </w:r>
      <w:r w:rsidRPr="00CE0885">
        <w:rPr>
          <w:lang w:eastAsia="en-GB"/>
        </w:rPr>
        <w:t>uidance</w:t>
      </w:r>
      <w:r w:rsidRPr="00CE0885">
        <w:rPr>
          <w:spacing w:val="-11"/>
          <w:lang w:eastAsia="en-GB"/>
        </w:rPr>
        <w:t xml:space="preserve"> </w:t>
      </w:r>
      <w:r w:rsidRPr="00CE0885">
        <w:rPr>
          <w:lang w:eastAsia="en-GB"/>
        </w:rPr>
        <w:t>and</w:t>
      </w:r>
      <w:r w:rsidRPr="00CE0885">
        <w:rPr>
          <w:spacing w:val="-5"/>
          <w:lang w:eastAsia="en-GB"/>
        </w:rPr>
        <w:t xml:space="preserve"> </w:t>
      </w:r>
      <w:r w:rsidRPr="00CE0885">
        <w:rPr>
          <w:lang w:eastAsia="en-GB"/>
        </w:rPr>
        <w:t>sh</w:t>
      </w:r>
      <w:r w:rsidRPr="00CE0885">
        <w:rPr>
          <w:spacing w:val="-1"/>
          <w:lang w:eastAsia="en-GB"/>
        </w:rPr>
        <w:t>o</w:t>
      </w:r>
      <w:r w:rsidRPr="00CE0885">
        <w:rPr>
          <w:lang w:eastAsia="en-GB"/>
        </w:rPr>
        <w:t>uld</w:t>
      </w:r>
      <w:r w:rsidRPr="00CE0885">
        <w:rPr>
          <w:spacing w:val="-5"/>
          <w:lang w:eastAsia="en-GB"/>
        </w:rPr>
        <w:t xml:space="preserve"> </w:t>
      </w:r>
      <w:r w:rsidRPr="00CE0885">
        <w:rPr>
          <w:spacing w:val="-2"/>
          <w:lang w:eastAsia="en-GB"/>
        </w:rPr>
        <w:t>t</w:t>
      </w:r>
      <w:r w:rsidRPr="00CE0885">
        <w:rPr>
          <w:lang w:eastAsia="en-GB"/>
        </w:rPr>
        <w:t>ake</w:t>
      </w:r>
      <w:r w:rsidRPr="00CE0885">
        <w:rPr>
          <w:spacing w:val="-3"/>
          <w:lang w:eastAsia="en-GB"/>
        </w:rPr>
        <w:t xml:space="preserve"> </w:t>
      </w:r>
      <w:r w:rsidRPr="00CE0885">
        <w:rPr>
          <w:spacing w:val="-1"/>
          <w:lang w:eastAsia="en-GB"/>
        </w:rPr>
        <w:t>a</w:t>
      </w:r>
      <w:r w:rsidRPr="00CE0885">
        <w:rPr>
          <w:lang w:eastAsia="en-GB"/>
        </w:rPr>
        <w:t>pp</w:t>
      </w:r>
      <w:r w:rsidRPr="00CE0885">
        <w:rPr>
          <w:spacing w:val="-1"/>
          <w:lang w:eastAsia="en-GB"/>
        </w:rPr>
        <w:t>ro</w:t>
      </w:r>
      <w:r w:rsidRPr="00CE0885">
        <w:rPr>
          <w:lang w:eastAsia="en-GB"/>
        </w:rPr>
        <w:t>p</w:t>
      </w:r>
      <w:r w:rsidRPr="00CE0885">
        <w:rPr>
          <w:spacing w:val="-1"/>
          <w:lang w:eastAsia="en-GB"/>
        </w:rPr>
        <w:t>r</w:t>
      </w:r>
      <w:r w:rsidRPr="00CE0885">
        <w:rPr>
          <w:lang w:eastAsia="en-GB"/>
        </w:rPr>
        <w:t>iate</w:t>
      </w:r>
      <w:r w:rsidRPr="00CE0885">
        <w:rPr>
          <w:spacing w:val="-13"/>
          <w:lang w:eastAsia="en-GB"/>
        </w:rPr>
        <w:t xml:space="preserve"> </w:t>
      </w:r>
      <w:r w:rsidRPr="00CE0885">
        <w:rPr>
          <w:lang w:eastAsia="en-GB"/>
        </w:rPr>
        <w:t>ad</w:t>
      </w:r>
      <w:r w:rsidRPr="00CE0885">
        <w:rPr>
          <w:spacing w:val="-2"/>
          <w:lang w:eastAsia="en-GB"/>
        </w:rPr>
        <w:t>v</w:t>
      </w:r>
      <w:r w:rsidRPr="00CE0885">
        <w:rPr>
          <w:lang w:eastAsia="en-GB"/>
        </w:rPr>
        <w:t>ice</w:t>
      </w:r>
      <w:r w:rsidRPr="00CE0885">
        <w:rPr>
          <w:spacing w:val="-5"/>
          <w:lang w:eastAsia="en-GB"/>
        </w:rPr>
        <w:t xml:space="preserve"> </w:t>
      </w:r>
      <w:r w:rsidRPr="00CE0885">
        <w:rPr>
          <w:lang w:eastAsia="en-GB"/>
        </w:rPr>
        <w:t>at</w:t>
      </w:r>
      <w:r w:rsidRPr="00CE0885">
        <w:rPr>
          <w:spacing w:val="-1"/>
          <w:lang w:eastAsia="en-GB"/>
        </w:rPr>
        <w:t xml:space="preserve"> a</w:t>
      </w:r>
      <w:r w:rsidRPr="00CE0885">
        <w:rPr>
          <w:lang w:eastAsia="en-GB"/>
        </w:rPr>
        <w:t>n</w:t>
      </w:r>
      <w:r w:rsidRPr="00CE0885">
        <w:rPr>
          <w:spacing w:val="-1"/>
          <w:lang w:eastAsia="en-GB"/>
        </w:rPr>
        <w:t xml:space="preserve"> e</w:t>
      </w:r>
      <w:r w:rsidRPr="00CE0885">
        <w:rPr>
          <w:lang w:eastAsia="en-GB"/>
        </w:rPr>
        <w:t>a</w:t>
      </w:r>
      <w:r w:rsidRPr="00CE0885">
        <w:rPr>
          <w:spacing w:val="-1"/>
          <w:lang w:eastAsia="en-GB"/>
        </w:rPr>
        <w:t>r</w:t>
      </w:r>
      <w:r w:rsidRPr="00CE0885">
        <w:rPr>
          <w:lang w:eastAsia="en-GB"/>
        </w:rPr>
        <w:t>ly</w:t>
      </w:r>
      <w:r w:rsidRPr="00CE0885">
        <w:rPr>
          <w:spacing w:val="-7"/>
          <w:lang w:eastAsia="en-GB"/>
        </w:rPr>
        <w:t xml:space="preserve"> </w:t>
      </w:r>
      <w:r w:rsidRPr="00CE0885">
        <w:rPr>
          <w:lang w:eastAsia="en-GB"/>
        </w:rPr>
        <w:t>sta</w:t>
      </w:r>
      <w:r w:rsidRPr="00CE0885">
        <w:rPr>
          <w:spacing w:val="-1"/>
          <w:lang w:eastAsia="en-GB"/>
        </w:rPr>
        <w:t>g</w:t>
      </w:r>
      <w:r w:rsidRPr="00CE0885">
        <w:rPr>
          <w:lang w:eastAsia="en-GB"/>
        </w:rPr>
        <w:t>e. Commissioners must also act in accordance with any procurement protocol issued by NHS England.</w:t>
      </w:r>
      <w:bookmarkEnd w:id="581"/>
    </w:p>
    <w:p w14:paraId="6431ABB5" w14:textId="0E8D7B32" w:rsidR="00977693" w:rsidRPr="00CE0885" w:rsidRDefault="00977693" w:rsidP="006B781A">
      <w:pPr>
        <w:pStyle w:val="Heading3"/>
        <w:rPr>
          <w:lang w:eastAsia="en-GB"/>
        </w:rPr>
      </w:pPr>
      <w:bookmarkStart w:id="582" w:name="_Toc440981734"/>
      <w:r w:rsidRPr="00CE0885">
        <w:rPr>
          <w:lang w:eastAsia="en-GB"/>
        </w:rPr>
        <w:t>The GMS Regulations, the PMS Regulations and the APMS Directions</w:t>
      </w:r>
      <w:r w:rsidRPr="00CE0885">
        <w:rPr>
          <w:spacing w:val="-10"/>
          <w:lang w:eastAsia="en-GB"/>
        </w:rPr>
        <w:t xml:space="preserve"> </w:t>
      </w:r>
      <w:r w:rsidRPr="00CE0885">
        <w:rPr>
          <w:lang w:eastAsia="en-GB"/>
        </w:rPr>
        <w:t>pla</w:t>
      </w:r>
      <w:r w:rsidRPr="00CE0885">
        <w:rPr>
          <w:spacing w:val="-2"/>
          <w:lang w:eastAsia="en-GB"/>
        </w:rPr>
        <w:t>c</w:t>
      </w:r>
      <w:r w:rsidRPr="00CE0885">
        <w:rPr>
          <w:lang w:eastAsia="en-GB"/>
        </w:rPr>
        <w:t>e</w:t>
      </w:r>
      <w:r w:rsidRPr="00CE0885">
        <w:rPr>
          <w:spacing w:val="-4"/>
          <w:lang w:eastAsia="en-GB"/>
        </w:rPr>
        <w:t xml:space="preserve"> </w:t>
      </w:r>
      <w:r w:rsidRPr="00CE0885">
        <w:rPr>
          <w:spacing w:val="-1"/>
          <w:lang w:eastAsia="en-GB"/>
        </w:rPr>
        <w:t>r</w:t>
      </w:r>
      <w:r w:rsidRPr="00CE0885">
        <w:rPr>
          <w:lang w:eastAsia="en-GB"/>
        </w:rPr>
        <w:t>est</w:t>
      </w:r>
      <w:r w:rsidRPr="00CE0885">
        <w:rPr>
          <w:spacing w:val="-1"/>
          <w:lang w:eastAsia="en-GB"/>
        </w:rPr>
        <w:t>r</w:t>
      </w:r>
      <w:r w:rsidRPr="00CE0885">
        <w:rPr>
          <w:lang w:eastAsia="en-GB"/>
        </w:rPr>
        <w:t>ictions</w:t>
      </w:r>
      <w:r w:rsidRPr="00CE0885">
        <w:rPr>
          <w:spacing w:val="-16"/>
          <w:lang w:eastAsia="en-GB"/>
        </w:rPr>
        <w:t xml:space="preserve"> </w:t>
      </w:r>
      <w:r w:rsidRPr="00CE0885">
        <w:rPr>
          <w:lang w:eastAsia="en-GB"/>
        </w:rPr>
        <w:t>on</w:t>
      </w:r>
      <w:r w:rsidRPr="00CE0885">
        <w:rPr>
          <w:spacing w:val="-1"/>
          <w:lang w:eastAsia="en-GB"/>
        </w:rPr>
        <w:t xml:space="preserve"> </w:t>
      </w:r>
      <w:r w:rsidRPr="00CE0885">
        <w:rPr>
          <w:spacing w:val="-2"/>
          <w:lang w:eastAsia="en-GB"/>
        </w:rPr>
        <w:t>t</w:t>
      </w:r>
      <w:r w:rsidRPr="00CE0885">
        <w:rPr>
          <w:lang w:eastAsia="en-GB"/>
        </w:rPr>
        <w:t>he</w:t>
      </w:r>
      <w:r w:rsidRPr="00CE0885">
        <w:rPr>
          <w:spacing w:val="-4"/>
          <w:lang w:eastAsia="en-GB"/>
        </w:rPr>
        <w:t xml:space="preserve"> </w:t>
      </w:r>
      <w:r w:rsidRPr="00CE0885">
        <w:rPr>
          <w:lang w:eastAsia="en-GB"/>
        </w:rPr>
        <w:t>o</w:t>
      </w:r>
      <w:r w:rsidRPr="00CE0885">
        <w:rPr>
          <w:spacing w:val="-1"/>
          <w:lang w:eastAsia="en-GB"/>
        </w:rPr>
        <w:t>rg</w:t>
      </w:r>
      <w:r w:rsidRPr="00CE0885">
        <w:rPr>
          <w:lang w:eastAsia="en-GB"/>
        </w:rPr>
        <w:t>anisatio</w:t>
      </w:r>
      <w:r w:rsidRPr="00CE0885">
        <w:rPr>
          <w:spacing w:val="-1"/>
          <w:lang w:eastAsia="en-GB"/>
        </w:rPr>
        <w:t>n</w:t>
      </w:r>
      <w:r w:rsidRPr="00CE0885">
        <w:rPr>
          <w:lang w:eastAsia="en-GB"/>
        </w:rPr>
        <w:t>al st</w:t>
      </w:r>
      <w:r w:rsidRPr="00CE0885">
        <w:rPr>
          <w:spacing w:val="-1"/>
          <w:lang w:eastAsia="en-GB"/>
        </w:rPr>
        <w:t>r</w:t>
      </w:r>
      <w:r w:rsidRPr="00CE0885">
        <w:rPr>
          <w:lang w:eastAsia="en-GB"/>
        </w:rPr>
        <w:t>uctu</w:t>
      </w:r>
      <w:r w:rsidRPr="00CE0885">
        <w:rPr>
          <w:spacing w:val="-1"/>
          <w:lang w:eastAsia="en-GB"/>
        </w:rPr>
        <w:t>r</w:t>
      </w:r>
      <w:r w:rsidRPr="00CE0885">
        <w:rPr>
          <w:lang w:eastAsia="en-GB"/>
        </w:rPr>
        <w:t>es</w:t>
      </w:r>
      <w:r w:rsidRPr="00CE0885">
        <w:rPr>
          <w:spacing w:val="-11"/>
          <w:lang w:eastAsia="en-GB"/>
        </w:rPr>
        <w:t xml:space="preserve"> </w:t>
      </w:r>
      <w:r w:rsidRPr="00CE0885">
        <w:rPr>
          <w:spacing w:val="-2"/>
          <w:lang w:eastAsia="en-GB"/>
        </w:rPr>
        <w:t>t</w:t>
      </w:r>
      <w:r w:rsidRPr="00CE0885">
        <w:rPr>
          <w:lang w:eastAsia="en-GB"/>
        </w:rPr>
        <w:t>hat</w:t>
      </w:r>
      <w:r w:rsidRPr="00CE0885">
        <w:rPr>
          <w:spacing w:val="-5"/>
          <w:lang w:eastAsia="en-GB"/>
        </w:rPr>
        <w:t xml:space="preserve"> </w:t>
      </w:r>
      <w:r w:rsidRPr="00CE0885">
        <w:rPr>
          <w:lang w:eastAsia="en-GB"/>
        </w:rPr>
        <w:t>a</w:t>
      </w:r>
      <w:r w:rsidRPr="00CE0885">
        <w:rPr>
          <w:spacing w:val="-1"/>
          <w:lang w:eastAsia="en-GB"/>
        </w:rPr>
        <w:t>r</w:t>
      </w:r>
      <w:r w:rsidRPr="00CE0885">
        <w:rPr>
          <w:lang w:eastAsia="en-GB"/>
        </w:rPr>
        <w:t>e</w:t>
      </w:r>
      <w:r w:rsidRPr="00CE0885">
        <w:rPr>
          <w:spacing w:val="-4"/>
          <w:lang w:eastAsia="en-GB"/>
        </w:rPr>
        <w:t xml:space="preserve"> </w:t>
      </w:r>
      <w:r w:rsidRPr="00CE0885">
        <w:rPr>
          <w:lang w:eastAsia="en-GB"/>
        </w:rPr>
        <w:t xml:space="preserve">eligible to enter into different types of primary medical contracts. Please refer to </w:t>
      </w:r>
      <w:r w:rsidR="00A114DF">
        <w:rPr>
          <w:lang w:eastAsia="en-GB"/>
        </w:rPr>
        <w:t>the ‘Contracts Described’ chapter</w:t>
      </w:r>
      <w:r w:rsidRPr="00CE0885">
        <w:rPr>
          <w:lang w:eastAsia="en-GB"/>
        </w:rPr>
        <w:t xml:space="preserve"> for details on the eligibility criteria.</w:t>
      </w:r>
      <w:bookmarkEnd w:id="582"/>
      <w:r w:rsidRPr="00CE0885">
        <w:rPr>
          <w:lang w:eastAsia="en-GB"/>
        </w:rPr>
        <w:t xml:space="preserve"> </w:t>
      </w:r>
    </w:p>
    <w:p w14:paraId="60952C5F" w14:textId="77777777" w:rsidR="00977693" w:rsidRPr="00CE0885" w:rsidRDefault="00977693" w:rsidP="006B781A">
      <w:pPr>
        <w:pStyle w:val="Heading3"/>
        <w:rPr>
          <w:lang w:eastAsia="en-GB"/>
        </w:rPr>
      </w:pPr>
      <w:bookmarkStart w:id="583" w:name="_Toc440981735"/>
      <w:r w:rsidRPr="00CE0885">
        <w:rPr>
          <w:lang w:eastAsia="en-GB"/>
        </w:rPr>
        <w:t>Contracts may be varied in a number of ways with relation to partnership matters, including the following which are looked at in more detail below:</w:t>
      </w:r>
      <w:bookmarkEnd w:id="583"/>
    </w:p>
    <w:p w14:paraId="55D42EBF" w14:textId="77777777" w:rsidR="00977693" w:rsidRPr="006B781A" w:rsidRDefault="00977693" w:rsidP="00FA6A70">
      <w:pPr>
        <w:pStyle w:val="Heading4"/>
      </w:pPr>
      <w:bookmarkStart w:id="584" w:name="_Toc440981736"/>
      <w:r w:rsidRPr="006B781A">
        <w:lastRenderedPageBreak/>
        <w:t>individual contractors changing to more than one individual (which may be a partnership which requires a different process depending on whether it is a GMS contract or not); and</w:t>
      </w:r>
      <w:bookmarkEnd w:id="584"/>
    </w:p>
    <w:p w14:paraId="4812475A" w14:textId="77777777" w:rsidR="00977693" w:rsidRPr="006B781A" w:rsidRDefault="00977693" w:rsidP="00FA6A70">
      <w:pPr>
        <w:pStyle w:val="Heading4"/>
      </w:pPr>
      <w:bookmarkStart w:id="585" w:name="_Toc440981737"/>
      <w:r w:rsidRPr="006B781A">
        <w:t>changes to the parties of contracts with more than one individual (which may be from a partnership to an individual contractor or changes to the composition of partnerships).</w:t>
      </w:r>
      <w:bookmarkEnd w:id="585"/>
    </w:p>
    <w:p w14:paraId="00482C1A" w14:textId="77777777" w:rsidR="00977693" w:rsidRPr="00CE0885" w:rsidRDefault="00977693" w:rsidP="006B781A">
      <w:pPr>
        <w:pStyle w:val="Heading3"/>
        <w:rPr>
          <w:lang w:eastAsia="en-GB"/>
        </w:rPr>
      </w:pPr>
      <w:bookmarkStart w:id="586" w:name="_Toc440981738"/>
      <w:r w:rsidRPr="00CE0885">
        <w:rPr>
          <w:lang w:eastAsia="en-GB"/>
        </w:rPr>
        <w:t>There may be many reasons for partnership changes including disputes between parties which are considered further below.</w:t>
      </w:r>
      <w:bookmarkEnd w:id="586"/>
    </w:p>
    <w:p w14:paraId="6BD0A434" w14:textId="77777777" w:rsidR="00977693" w:rsidRPr="00CE0885" w:rsidRDefault="00977693" w:rsidP="00977693">
      <w:pPr>
        <w:widowControl w:val="0"/>
        <w:tabs>
          <w:tab w:val="left" w:pos="2268"/>
        </w:tabs>
        <w:spacing w:line="360" w:lineRule="auto"/>
        <w:ind w:left="1440" w:right="-2" w:hanging="720"/>
        <w:jc w:val="both"/>
        <w:outlineLvl w:val="1"/>
        <w:rPr>
          <w:rFonts w:cs="Arial"/>
          <w:bCs w:val="0"/>
          <w:szCs w:val="24"/>
          <w:lang w:eastAsia="en-GB"/>
        </w:rPr>
      </w:pPr>
    </w:p>
    <w:p w14:paraId="3E385907" w14:textId="77777777" w:rsidR="00977693" w:rsidRPr="00CE5A3A" w:rsidRDefault="00977693" w:rsidP="00CE5A3A">
      <w:pPr>
        <w:pStyle w:val="BodyText"/>
        <w:rPr>
          <w:b/>
          <w:sz w:val="24"/>
          <w:szCs w:val="24"/>
        </w:rPr>
      </w:pPr>
      <w:bookmarkStart w:id="587" w:name="_Toc440981739"/>
      <w:r w:rsidRPr="00CE5A3A">
        <w:rPr>
          <w:b/>
          <w:sz w:val="24"/>
          <w:szCs w:val="24"/>
        </w:rPr>
        <w:t>Individual to partnership – GMS contracts</w:t>
      </w:r>
      <w:bookmarkEnd w:id="587"/>
    </w:p>
    <w:p w14:paraId="12BC2641" w14:textId="77777777" w:rsidR="00977693" w:rsidRPr="00CE0885" w:rsidRDefault="00977693" w:rsidP="006B781A">
      <w:pPr>
        <w:pStyle w:val="Heading3"/>
        <w:rPr>
          <w:lang w:eastAsia="en-GB"/>
        </w:rPr>
      </w:pPr>
      <w:bookmarkStart w:id="588" w:name="_Toc440981740"/>
      <w:r w:rsidRPr="00CE0885">
        <w:rPr>
          <w:lang w:eastAsia="en-GB"/>
        </w:rPr>
        <w:t>If a GMS</w:t>
      </w:r>
      <w:r w:rsidRPr="00CE0885">
        <w:rPr>
          <w:spacing w:val="-1"/>
          <w:lang w:eastAsia="en-GB"/>
        </w:rPr>
        <w:t xml:space="preserve"> </w:t>
      </w:r>
      <w:r w:rsidRPr="00CE0885">
        <w:rPr>
          <w:lang w:eastAsia="en-GB"/>
        </w:rPr>
        <w:t>c</w:t>
      </w:r>
      <w:r w:rsidRPr="00CE0885">
        <w:rPr>
          <w:spacing w:val="-1"/>
          <w:lang w:eastAsia="en-GB"/>
        </w:rPr>
        <w:t>o</w:t>
      </w:r>
      <w:r w:rsidRPr="00CE0885">
        <w:rPr>
          <w:lang w:eastAsia="en-GB"/>
        </w:rPr>
        <w:t>nt</w:t>
      </w:r>
      <w:r w:rsidRPr="00CE0885">
        <w:rPr>
          <w:spacing w:val="-1"/>
          <w:lang w:eastAsia="en-GB"/>
        </w:rPr>
        <w:t>r</w:t>
      </w:r>
      <w:r w:rsidRPr="00CE0885">
        <w:rPr>
          <w:lang w:eastAsia="en-GB"/>
        </w:rPr>
        <w:t>actor</w:t>
      </w:r>
      <w:r w:rsidRPr="00CE0885">
        <w:rPr>
          <w:spacing w:val="-11"/>
          <w:lang w:eastAsia="en-GB"/>
        </w:rPr>
        <w:t xml:space="preserve"> </w:t>
      </w:r>
      <w:r w:rsidRPr="00CE0885">
        <w:rPr>
          <w:lang w:eastAsia="en-GB"/>
        </w:rPr>
        <w:t>is</w:t>
      </w:r>
      <w:r w:rsidRPr="00CE0885">
        <w:rPr>
          <w:spacing w:val="-2"/>
          <w:lang w:eastAsia="en-GB"/>
        </w:rPr>
        <w:t xml:space="preserve"> c</w:t>
      </w:r>
      <w:r w:rsidRPr="00CE0885">
        <w:rPr>
          <w:lang w:eastAsia="en-GB"/>
        </w:rPr>
        <w:t>u</w:t>
      </w:r>
      <w:r w:rsidRPr="00CE0885">
        <w:rPr>
          <w:spacing w:val="-1"/>
          <w:lang w:eastAsia="en-GB"/>
        </w:rPr>
        <w:t>rr</w:t>
      </w:r>
      <w:r w:rsidRPr="00CE0885">
        <w:rPr>
          <w:lang w:eastAsia="en-GB"/>
        </w:rPr>
        <w:t>ently</w:t>
      </w:r>
      <w:r w:rsidRPr="00CE0885">
        <w:rPr>
          <w:spacing w:val="-11"/>
          <w:lang w:eastAsia="en-GB"/>
        </w:rPr>
        <w:t xml:space="preserve"> </w:t>
      </w:r>
      <w:r w:rsidRPr="00CE0885">
        <w:rPr>
          <w:lang w:eastAsia="en-GB"/>
        </w:rPr>
        <w:t>an</w:t>
      </w:r>
      <w:r w:rsidRPr="00CE0885">
        <w:rPr>
          <w:spacing w:val="-1"/>
          <w:lang w:eastAsia="en-GB"/>
        </w:rPr>
        <w:t xml:space="preserve"> </w:t>
      </w:r>
      <w:r w:rsidRPr="00CE0885">
        <w:rPr>
          <w:lang w:eastAsia="en-GB"/>
        </w:rPr>
        <w:t>indi</w:t>
      </w:r>
      <w:r w:rsidRPr="00CE0885">
        <w:rPr>
          <w:spacing w:val="-2"/>
          <w:lang w:eastAsia="en-GB"/>
        </w:rPr>
        <w:t>v</w:t>
      </w:r>
      <w:r w:rsidRPr="00CE0885">
        <w:rPr>
          <w:lang w:eastAsia="en-GB"/>
        </w:rPr>
        <w:t>idual</w:t>
      </w:r>
      <w:r w:rsidRPr="00CE0885">
        <w:rPr>
          <w:spacing w:val="-12"/>
          <w:lang w:eastAsia="en-GB"/>
        </w:rPr>
        <w:t xml:space="preserve"> </w:t>
      </w:r>
      <w:r w:rsidRPr="00CE0885">
        <w:rPr>
          <w:spacing w:val="2"/>
          <w:lang w:eastAsia="en-GB"/>
        </w:rPr>
        <w:t>m</w:t>
      </w:r>
      <w:r w:rsidRPr="00CE0885">
        <w:rPr>
          <w:spacing w:val="-1"/>
          <w:lang w:eastAsia="en-GB"/>
        </w:rPr>
        <w:t>ed</w:t>
      </w:r>
      <w:r w:rsidRPr="00CE0885">
        <w:rPr>
          <w:lang w:eastAsia="en-GB"/>
        </w:rPr>
        <w:t>ical</w:t>
      </w:r>
      <w:r w:rsidRPr="00CE0885">
        <w:rPr>
          <w:spacing w:val="-8"/>
          <w:lang w:eastAsia="en-GB"/>
        </w:rPr>
        <w:t xml:space="preserve"> </w:t>
      </w:r>
      <w:r w:rsidRPr="00CE0885">
        <w:rPr>
          <w:lang w:eastAsia="en-GB"/>
        </w:rPr>
        <w:t>p</w:t>
      </w:r>
      <w:r w:rsidRPr="00CE0885">
        <w:rPr>
          <w:spacing w:val="-1"/>
          <w:lang w:eastAsia="en-GB"/>
        </w:rPr>
        <w:t>r</w:t>
      </w:r>
      <w:r w:rsidRPr="00CE0885">
        <w:rPr>
          <w:lang w:eastAsia="en-GB"/>
        </w:rPr>
        <w:t>actitio</w:t>
      </w:r>
      <w:r w:rsidRPr="00CE0885">
        <w:rPr>
          <w:spacing w:val="-1"/>
          <w:lang w:eastAsia="en-GB"/>
        </w:rPr>
        <w:t>n</w:t>
      </w:r>
      <w:r w:rsidRPr="00CE0885">
        <w:rPr>
          <w:lang w:eastAsia="en-GB"/>
        </w:rPr>
        <w:t>e</w:t>
      </w:r>
      <w:r w:rsidRPr="00CE0885">
        <w:rPr>
          <w:spacing w:val="-1"/>
          <w:lang w:eastAsia="en-GB"/>
        </w:rPr>
        <w:t>r</w:t>
      </w:r>
      <w:r w:rsidRPr="00CE0885">
        <w:rPr>
          <w:lang w:eastAsia="en-GB"/>
        </w:rPr>
        <w:t xml:space="preserve"> </w:t>
      </w:r>
      <w:r w:rsidRPr="00CE0885">
        <w:rPr>
          <w:spacing w:val="-1"/>
          <w:lang w:eastAsia="en-GB"/>
        </w:rPr>
        <w:t>who wishes</w:t>
      </w:r>
      <w:r w:rsidRPr="00CE0885">
        <w:rPr>
          <w:spacing w:val="-3"/>
          <w:lang w:eastAsia="en-GB"/>
        </w:rPr>
        <w:t xml:space="preserve"> </w:t>
      </w:r>
      <w:r w:rsidRPr="00CE0885">
        <w:rPr>
          <w:lang w:eastAsia="en-GB"/>
        </w:rPr>
        <w:t>to en</w:t>
      </w:r>
      <w:r w:rsidRPr="00CE0885">
        <w:rPr>
          <w:spacing w:val="-2"/>
          <w:lang w:eastAsia="en-GB"/>
        </w:rPr>
        <w:t>t</w:t>
      </w:r>
      <w:r w:rsidRPr="00CE0885">
        <w:rPr>
          <w:lang w:eastAsia="en-GB"/>
        </w:rPr>
        <w:t>er</w:t>
      </w:r>
      <w:r w:rsidRPr="00CE0885">
        <w:rPr>
          <w:spacing w:val="-5"/>
          <w:lang w:eastAsia="en-GB"/>
        </w:rPr>
        <w:t xml:space="preserve"> </w:t>
      </w:r>
      <w:r w:rsidRPr="00CE0885">
        <w:rPr>
          <w:lang w:eastAsia="en-GB"/>
        </w:rPr>
        <w:t>into</w:t>
      </w:r>
      <w:r w:rsidRPr="00CE0885">
        <w:rPr>
          <w:spacing w:val="-5"/>
          <w:lang w:eastAsia="en-GB"/>
        </w:rPr>
        <w:t xml:space="preserve"> </w:t>
      </w:r>
      <w:r w:rsidRPr="00CE0885">
        <w:rPr>
          <w:lang w:eastAsia="en-GB"/>
        </w:rPr>
        <w:t>pa</w:t>
      </w:r>
      <w:r w:rsidRPr="00CE0885">
        <w:rPr>
          <w:spacing w:val="-3"/>
          <w:lang w:eastAsia="en-GB"/>
        </w:rPr>
        <w:t>r</w:t>
      </w:r>
      <w:r w:rsidRPr="00CE0885">
        <w:rPr>
          <w:lang w:eastAsia="en-GB"/>
        </w:rPr>
        <w:t>tne</w:t>
      </w:r>
      <w:r w:rsidRPr="00CE0885">
        <w:rPr>
          <w:spacing w:val="-1"/>
          <w:lang w:eastAsia="en-GB"/>
        </w:rPr>
        <w:t>r</w:t>
      </w:r>
      <w:r w:rsidRPr="00CE0885">
        <w:rPr>
          <w:lang w:eastAsia="en-GB"/>
        </w:rPr>
        <w:t>ship</w:t>
      </w:r>
      <w:r w:rsidRPr="00CE0885">
        <w:rPr>
          <w:spacing w:val="-10"/>
          <w:lang w:eastAsia="en-GB"/>
        </w:rPr>
        <w:t xml:space="preserve"> </w:t>
      </w:r>
      <w:r w:rsidRPr="00CE0885">
        <w:rPr>
          <w:spacing w:val="-3"/>
          <w:lang w:eastAsia="en-GB"/>
        </w:rPr>
        <w:t>w</w:t>
      </w:r>
      <w:r w:rsidRPr="00CE0885">
        <w:rPr>
          <w:lang w:eastAsia="en-GB"/>
        </w:rPr>
        <w:t>ith</w:t>
      </w:r>
      <w:r w:rsidRPr="00CE0885">
        <w:rPr>
          <w:spacing w:val="-2"/>
          <w:lang w:eastAsia="en-GB"/>
        </w:rPr>
        <w:t xml:space="preserve"> </w:t>
      </w:r>
      <w:r w:rsidRPr="00CE0885">
        <w:rPr>
          <w:spacing w:val="-1"/>
          <w:lang w:eastAsia="en-GB"/>
        </w:rPr>
        <w:t>o</w:t>
      </w:r>
      <w:r w:rsidRPr="00CE0885">
        <w:rPr>
          <w:lang w:eastAsia="en-GB"/>
        </w:rPr>
        <w:t>ne</w:t>
      </w:r>
      <w:r w:rsidRPr="00CE0885">
        <w:rPr>
          <w:spacing w:val="-5"/>
          <w:lang w:eastAsia="en-GB"/>
        </w:rPr>
        <w:t xml:space="preserve"> </w:t>
      </w:r>
      <w:r w:rsidRPr="00CE0885">
        <w:rPr>
          <w:lang w:eastAsia="en-GB"/>
        </w:rPr>
        <w:t>or</w:t>
      </w:r>
      <w:r w:rsidRPr="00CE0885">
        <w:rPr>
          <w:spacing w:val="-2"/>
          <w:lang w:eastAsia="en-GB"/>
        </w:rPr>
        <w:t xml:space="preserve"> </w:t>
      </w:r>
      <w:r w:rsidRPr="00CE0885">
        <w:rPr>
          <w:spacing w:val="-1"/>
          <w:lang w:eastAsia="en-GB"/>
        </w:rPr>
        <w:t>m</w:t>
      </w:r>
      <w:r w:rsidRPr="00CE0885">
        <w:rPr>
          <w:lang w:eastAsia="en-GB"/>
        </w:rPr>
        <w:t>o</w:t>
      </w:r>
      <w:r w:rsidRPr="00CE0885">
        <w:rPr>
          <w:spacing w:val="-1"/>
          <w:lang w:eastAsia="en-GB"/>
        </w:rPr>
        <w:t>r</w:t>
      </w:r>
      <w:r w:rsidRPr="00CE0885">
        <w:rPr>
          <w:lang w:eastAsia="en-GB"/>
        </w:rPr>
        <w:t>e indi</w:t>
      </w:r>
      <w:r w:rsidRPr="00CE0885">
        <w:rPr>
          <w:spacing w:val="-2"/>
          <w:lang w:eastAsia="en-GB"/>
        </w:rPr>
        <w:t>v</w:t>
      </w:r>
      <w:r w:rsidRPr="00CE0885">
        <w:rPr>
          <w:lang w:eastAsia="en-GB"/>
        </w:rPr>
        <w:t>iduals</w:t>
      </w:r>
      <w:r w:rsidRPr="00CE0885">
        <w:rPr>
          <w:spacing w:val="-11"/>
          <w:lang w:eastAsia="en-GB"/>
        </w:rPr>
        <w:t xml:space="preserve"> </w:t>
      </w:r>
      <w:r w:rsidRPr="00CE0885">
        <w:rPr>
          <w:lang w:eastAsia="en-GB"/>
        </w:rPr>
        <w:t>un</w:t>
      </w:r>
      <w:r w:rsidRPr="00CE0885">
        <w:rPr>
          <w:spacing w:val="-1"/>
          <w:lang w:eastAsia="en-GB"/>
        </w:rPr>
        <w:t>d</w:t>
      </w:r>
      <w:r w:rsidRPr="00CE0885">
        <w:rPr>
          <w:lang w:eastAsia="en-GB"/>
        </w:rPr>
        <w:t>er</w:t>
      </w:r>
      <w:r w:rsidRPr="00CE0885">
        <w:rPr>
          <w:spacing w:val="-6"/>
          <w:lang w:eastAsia="en-GB"/>
        </w:rPr>
        <w:t xml:space="preserve"> </w:t>
      </w:r>
      <w:r w:rsidRPr="00CE0885">
        <w:rPr>
          <w:lang w:eastAsia="en-GB"/>
        </w:rPr>
        <w:t>t</w:t>
      </w:r>
      <w:r w:rsidRPr="00CE0885">
        <w:rPr>
          <w:spacing w:val="-1"/>
          <w:lang w:eastAsia="en-GB"/>
        </w:rPr>
        <w:t>h</w:t>
      </w:r>
      <w:r w:rsidRPr="00CE0885">
        <w:rPr>
          <w:lang w:eastAsia="en-GB"/>
        </w:rPr>
        <w:t>at</w:t>
      </w:r>
      <w:r w:rsidRPr="00CE0885">
        <w:rPr>
          <w:spacing w:val="-3"/>
          <w:lang w:eastAsia="en-GB"/>
        </w:rPr>
        <w:t xml:space="preserve"> </w:t>
      </w:r>
      <w:r w:rsidRPr="00CE0885">
        <w:rPr>
          <w:spacing w:val="-2"/>
          <w:lang w:eastAsia="en-GB"/>
        </w:rPr>
        <w:t>c</w:t>
      </w:r>
      <w:r w:rsidRPr="00CE0885">
        <w:rPr>
          <w:lang w:eastAsia="en-GB"/>
        </w:rPr>
        <w:t>ont</w:t>
      </w:r>
      <w:r w:rsidRPr="00CE0885">
        <w:rPr>
          <w:spacing w:val="-1"/>
          <w:lang w:eastAsia="en-GB"/>
        </w:rPr>
        <w:t>r</w:t>
      </w:r>
      <w:r w:rsidRPr="00CE0885">
        <w:rPr>
          <w:lang w:eastAsia="en-GB"/>
        </w:rPr>
        <w:t>act,</w:t>
      </w:r>
      <w:r w:rsidRPr="00CE0885">
        <w:rPr>
          <w:spacing w:val="-10"/>
          <w:lang w:eastAsia="en-GB"/>
        </w:rPr>
        <w:t xml:space="preserve"> </w:t>
      </w:r>
      <w:r w:rsidRPr="00CE0885">
        <w:rPr>
          <w:lang w:eastAsia="en-GB"/>
        </w:rPr>
        <w:t>the contractor is required to not</w:t>
      </w:r>
      <w:r w:rsidRPr="00CE0885">
        <w:rPr>
          <w:spacing w:val="-3"/>
          <w:lang w:eastAsia="en-GB"/>
        </w:rPr>
        <w:t>i</w:t>
      </w:r>
      <w:r w:rsidRPr="00CE0885">
        <w:rPr>
          <w:spacing w:val="3"/>
          <w:lang w:eastAsia="en-GB"/>
        </w:rPr>
        <w:t>f</w:t>
      </w:r>
      <w:r w:rsidRPr="00CE0885">
        <w:rPr>
          <w:lang w:eastAsia="en-GB"/>
        </w:rPr>
        <w:t>y</w:t>
      </w:r>
      <w:r w:rsidRPr="00CE0885">
        <w:rPr>
          <w:spacing w:val="-8"/>
          <w:lang w:eastAsia="en-GB"/>
        </w:rPr>
        <w:t xml:space="preserve"> </w:t>
      </w:r>
      <w:r w:rsidRPr="00CE0885">
        <w:rPr>
          <w:lang w:eastAsia="en-GB"/>
        </w:rPr>
        <w:t>the Commissioner</w:t>
      </w:r>
      <w:r w:rsidRPr="00CE0885">
        <w:rPr>
          <w:spacing w:val="-10"/>
          <w:lang w:eastAsia="en-GB"/>
        </w:rPr>
        <w:t xml:space="preserve"> </w:t>
      </w:r>
      <w:r w:rsidRPr="00CE0885">
        <w:rPr>
          <w:lang w:eastAsia="en-GB"/>
        </w:rPr>
        <w:t>in w</w:t>
      </w:r>
      <w:r w:rsidRPr="00CE0885">
        <w:rPr>
          <w:spacing w:val="-1"/>
          <w:lang w:eastAsia="en-GB"/>
        </w:rPr>
        <w:t>r</w:t>
      </w:r>
      <w:r w:rsidRPr="00CE0885">
        <w:rPr>
          <w:lang w:eastAsia="en-GB"/>
        </w:rPr>
        <w:t>iting</w:t>
      </w:r>
      <w:r w:rsidRPr="00CE0885">
        <w:rPr>
          <w:spacing w:val="15"/>
          <w:position w:val="11"/>
          <w:lang w:eastAsia="en-GB"/>
        </w:rPr>
        <w:t xml:space="preserve"> </w:t>
      </w:r>
      <w:r w:rsidRPr="00CE0885">
        <w:rPr>
          <w:lang w:eastAsia="en-GB"/>
        </w:rPr>
        <w:t>and</w:t>
      </w:r>
      <w:r w:rsidRPr="00CE0885">
        <w:rPr>
          <w:spacing w:val="-5"/>
          <w:lang w:eastAsia="en-GB"/>
        </w:rPr>
        <w:t xml:space="preserve"> </w:t>
      </w:r>
      <w:r w:rsidRPr="00CE0885">
        <w:rPr>
          <w:lang w:eastAsia="en-GB"/>
        </w:rPr>
        <w:t>p</w:t>
      </w:r>
      <w:r w:rsidRPr="00CE0885">
        <w:rPr>
          <w:spacing w:val="-1"/>
          <w:lang w:eastAsia="en-GB"/>
        </w:rPr>
        <w:t>r</w:t>
      </w:r>
      <w:r w:rsidRPr="00CE0885">
        <w:rPr>
          <w:lang w:eastAsia="en-GB"/>
        </w:rPr>
        <w:t>o</w:t>
      </w:r>
      <w:r w:rsidRPr="00CE0885">
        <w:rPr>
          <w:spacing w:val="-2"/>
          <w:lang w:eastAsia="en-GB"/>
        </w:rPr>
        <w:t>v</w:t>
      </w:r>
      <w:r w:rsidRPr="00CE0885">
        <w:rPr>
          <w:lang w:eastAsia="en-GB"/>
        </w:rPr>
        <w:t>ide</w:t>
      </w:r>
      <w:r w:rsidRPr="00CE0885">
        <w:rPr>
          <w:spacing w:val="-6"/>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4"/>
          <w:lang w:eastAsia="en-GB"/>
        </w:rPr>
        <w:t xml:space="preserve"> </w:t>
      </w:r>
      <w:r w:rsidRPr="00CE0885">
        <w:rPr>
          <w:lang w:eastAsia="en-GB"/>
        </w:rPr>
        <w:t>follo</w:t>
      </w:r>
      <w:r w:rsidRPr="00CE0885">
        <w:rPr>
          <w:spacing w:val="-3"/>
          <w:lang w:eastAsia="en-GB"/>
        </w:rPr>
        <w:t>w</w:t>
      </w:r>
      <w:r w:rsidRPr="00CE0885">
        <w:rPr>
          <w:lang w:eastAsia="en-GB"/>
        </w:rPr>
        <w:t>in</w:t>
      </w:r>
      <w:r w:rsidRPr="00CE0885">
        <w:rPr>
          <w:spacing w:val="-1"/>
          <w:lang w:eastAsia="en-GB"/>
        </w:rPr>
        <w:t>g information</w:t>
      </w:r>
      <w:r w:rsidRPr="00CE0885">
        <w:rPr>
          <w:lang w:eastAsia="en-GB"/>
        </w:rPr>
        <w:t>:</w:t>
      </w:r>
      <w:bookmarkEnd w:id="588"/>
    </w:p>
    <w:p w14:paraId="571454BE" w14:textId="77777777" w:rsidR="00977693" w:rsidRPr="00CE0885" w:rsidRDefault="00977693" w:rsidP="00FA6A70">
      <w:pPr>
        <w:pStyle w:val="Heading4"/>
      </w:pPr>
      <w:bookmarkStart w:id="589" w:name="_Toc440981741"/>
      <w:r w:rsidRPr="00CE0885">
        <w:t>the name of the person or persons with whom the contractor proposes to practice in partnership;</w:t>
      </w:r>
      <w:bookmarkEnd w:id="589"/>
      <w:r w:rsidRPr="00CE0885">
        <w:t xml:space="preserve"> </w:t>
      </w:r>
    </w:p>
    <w:p w14:paraId="4203E1A7" w14:textId="77777777" w:rsidR="00977693" w:rsidRPr="00CE0885" w:rsidRDefault="00977693" w:rsidP="00FA6A70">
      <w:pPr>
        <w:pStyle w:val="Heading4"/>
      </w:pPr>
      <w:bookmarkStart w:id="590" w:name="_Toc440981742"/>
      <w:r w:rsidRPr="00CE0885">
        <w:t>confirmation that the person or persons is either a medical practitioner or a person who satisfies the conditions specified in section 86(2)(b) of the NHS Act;</w:t>
      </w:r>
      <w:bookmarkEnd w:id="590"/>
    </w:p>
    <w:p w14:paraId="29F49B56" w14:textId="357F9EBE" w:rsidR="00977693" w:rsidRPr="00CE0885" w:rsidRDefault="00977693" w:rsidP="00FA6A70">
      <w:pPr>
        <w:pStyle w:val="Heading4"/>
      </w:pPr>
      <w:bookmarkStart w:id="591" w:name="_Toc440981743"/>
      <w:r w:rsidRPr="00CE0885">
        <w:t>c</w:t>
      </w:r>
      <w:r w:rsidRPr="00CE0885">
        <w:rPr>
          <w:spacing w:val="1"/>
        </w:rPr>
        <w:t>o</w:t>
      </w:r>
      <w:r w:rsidRPr="00CE0885">
        <w:rPr>
          <w:spacing w:val="-1"/>
        </w:rPr>
        <w:t>n</w:t>
      </w:r>
      <w:r w:rsidRPr="00CE0885">
        <w:rPr>
          <w:spacing w:val="3"/>
        </w:rPr>
        <w:t>f</w:t>
      </w:r>
      <w:r w:rsidRPr="00CE0885">
        <w:t>i</w:t>
      </w:r>
      <w:r w:rsidRPr="00CE0885">
        <w:rPr>
          <w:spacing w:val="-1"/>
        </w:rPr>
        <w:t>r</w:t>
      </w:r>
      <w:r w:rsidRPr="00CE0885">
        <w:t>mation</w:t>
      </w:r>
      <w:r w:rsidRPr="00CE0885">
        <w:rPr>
          <w:spacing w:val="-8"/>
        </w:rPr>
        <w:t xml:space="preserve"> </w:t>
      </w:r>
      <w:r w:rsidRPr="00CE0885">
        <w:rPr>
          <w:spacing w:val="1"/>
        </w:rPr>
        <w:t>th</w:t>
      </w:r>
      <w:r w:rsidRPr="00CE0885">
        <w:rPr>
          <w:spacing w:val="-1"/>
        </w:rPr>
        <w:t>a</w:t>
      </w:r>
      <w:r w:rsidRPr="00CE0885">
        <w:t>t</w:t>
      </w:r>
      <w:r w:rsidRPr="00CE0885">
        <w:rPr>
          <w:spacing w:val="-3"/>
        </w:rPr>
        <w:t xml:space="preserve"> </w:t>
      </w:r>
      <w:r w:rsidRPr="00CE0885">
        <w:rPr>
          <w:spacing w:val="-1"/>
        </w:rPr>
        <w:t xml:space="preserve">the person or persons </w:t>
      </w:r>
      <w:r w:rsidRPr="00CE0885">
        <w:t>s</w:t>
      </w:r>
      <w:r w:rsidRPr="00CE0885">
        <w:rPr>
          <w:spacing w:val="1"/>
        </w:rPr>
        <w:t>at</w:t>
      </w:r>
      <w:r w:rsidRPr="00CE0885">
        <w:t>i</w:t>
      </w:r>
      <w:r w:rsidRPr="00CE0885">
        <w:rPr>
          <w:spacing w:val="-2"/>
        </w:rPr>
        <w:t>s</w:t>
      </w:r>
      <w:r w:rsidRPr="00CE0885">
        <w:rPr>
          <w:spacing w:val="3"/>
        </w:rPr>
        <w:t>f</w:t>
      </w:r>
      <w:r w:rsidRPr="00CE0885">
        <w:t>i</w:t>
      </w:r>
      <w:r w:rsidRPr="00CE0885">
        <w:rPr>
          <w:spacing w:val="1"/>
        </w:rPr>
        <w:t>e</w:t>
      </w:r>
      <w:r w:rsidRPr="00CE0885">
        <w:t>s</w:t>
      </w:r>
      <w:r w:rsidRPr="00CE0885">
        <w:rPr>
          <w:spacing w:val="-11"/>
        </w:rPr>
        <w:t xml:space="preserve"> </w:t>
      </w:r>
      <w:r w:rsidRPr="00CE0885">
        <w:t>t</w:t>
      </w:r>
      <w:r w:rsidRPr="00CE0885">
        <w:rPr>
          <w:spacing w:val="-1"/>
        </w:rPr>
        <w:t>h</w:t>
      </w:r>
      <w:r w:rsidRPr="00CE0885">
        <w:t>e</w:t>
      </w:r>
      <w:r w:rsidRPr="00CE0885">
        <w:rPr>
          <w:spacing w:val="-1"/>
        </w:rPr>
        <w:t xml:space="preserve"> </w:t>
      </w:r>
      <w:r w:rsidRPr="00CE0885">
        <w:rPr>
          <w:spacing w:val="-2"/>
        </w:rPr>
        <w:t>c</w:t>
      </w:r>
      <w:r w:rsidRPr="00CE0885">
        <w:t>onditi</w:t>
      </w:r>
      <w:r w:rsidRPr="00CE0885">
        <w:rPr>
          <w:spacing w:val="-1"/>
        </w:rPr>
        <w:t>o</w:t>
      </w:r>
      <w:r w:rsidRPr="00CE0885">
        <w:t>ns i</w:t>
      </w:r>
      <w:r w:rsidRPr="00CE0885">
        <w:rPr>
          <w:spacing w:val="2"/>
        </w:rPr>
        <w:t>m</w:t>
      </w:r>
      <w:r w:rsidRPr="00CE0885">
        <w:t>po</w:t>
      </w:r>
      <w:r w:rsidRPr="00CE0885">
        <w:rPr>
          <w:spacing w:val="-2"/>
        </w:rPr>
        <w:t>s</w:t>
      </w:r>
      <w:r w:rsidRPr="00CE0885">
        <w:t>ed</w:t>
      </w:r>
      <w:r w:rsidRPr="00CE0885">
        <w:rPr>
          <w:spacing w:val="-10"/>
        </w:rPr>
        <w:t xml:space="preserve"> </w:t>
      </w:r>
      <w:r w:rsidRPr="00CE0885">
        <w:t>by</w:t>
      </w:r>
      <w:r w:rsidRPr="00CE0885">
        <w:rPr>
          <w:spacing w:val="-5"/>
        </w:rPr>
        <w:t xml:space="preserve"> </w:t>
      </w:r>
      <w:r w:rsidRPr="00CE0885">
        <w:rPr>
          <w:spacing w:val="-1"/>
        </w:rPr>
        <w:t>r</w:t>
      </w:r>
      <w:r w:rsidRPr="00CE0885">
        <w:t>e</w:t>
      </w:r>
      <w:r w:rsidRPr="00CE0885">
        <w:rPr>
          <w:spacing w:val="-1"/>
        </w:rPr>
        <w:t>g</w:t>
      </w:r>
      <w:r w:rsidRPr="00CE0885">
        <w:t>ulatio</w:t>
      </w:r>
      <w:r w:rsidRPr="00CE0885">
        <w:rPr>
          <w:spacing w:val="-1"/>
        </w:rPr>
        <w:t>n</w:t>
      </w:r>
      <w:r w:rsidRPr="00CE0885">
        <w:t>s</w:t>
      </w:r>
      <w:r w:rsidRPr="00CE0885">
        <w:rPr>
          <w:spacing w:val="-12"/>
        </w:rPr>
        <w:t xml:space="preserve"> </w:t>
      </w:r>
      <w:r w:rsidRPr="00CE0885">
        <w:t xml:space="preserve">4 </w:t>
      </w:r>
      <w:r w:rsidRPr="00CE0885">
        <w:rPr>
          <w:spacing w:val="-1"/>
        </w:rPr>
        <w:t>a</w:t>
      </w:r>
      <w:r w:rsidRPr="00CE0885">
        <w:t>nd</w:t>
      </w:r>
      <w:r w:rsidRPr="00CE0885">
        <w:rPr>
          <w:spacing w:val="-5"/>
        </w:rPr>
        <w:t xml:space="preserve"> </w:t>
      </w:r>
      <w:r w:rsidRPr="00CE0885">
        <w:t xml:space="preserve">5 </w:t>
      </w:r>
      <w:r w:rsidRPr="00CE0885">
        <w:rPr>
          <w:spacing w:val="-1"/>
        </w:rPr>
        <w:t>o</w:t>
      </w:r>
      <w:r w:rsidRPr="00CE0885">
        <w:t>f</w:t>
      </w:r>
      <w:r w:rsidRPr="00CE0885">
        <w:rPr>
          <w:spacing w:val="-1"/>
        </w:rPr>
        <w:t xml:space="preserve"> </w:t>
      </w:r>
      <w:r w:rsidRPr="00CE0885">
        <w:t>t</w:t>
      </w:r>
      <w:r w:rsidRPr="00CE0885">
        <w:rPr>
          <w:spacing w:val="-1"/>
        </w:rPr>
        <w:t>h</w:t>
      </w:r>
      <w:r w:rsidRPr="00CE0885">
        <w:t>e</w:t>
      </w:r>
      <w:r w:rsidRPr="00CE0885">
        <w:rPr>
          <w:spacing w:val="-1"/>
        </w:rPr>
        <w:t xml:space="preserve"> GMS R</w:t>
      </w:r>
      <w:r w:rsidRPr="00CE0885">
        <w:t>e</w:t>
      </w:r>
      <w:r w:rsidRPr="00CE0885">
        <w:rPr>
          <w:spacing w:val="-1"/>
        </w:rPr>
        <w:t>g</w:t>
      </w:r>
      <w:r w:rsidRPr="00CE0885">
        <w:t>ula</w:t>
      </w:r>
      <w:r w:rsidRPr="00CE0885">
        <w:rPr>
          <w:spacing w:val="-2"/>
        </w:rPr>
        <w:t>t</w:t>
      </w:r>
      <w:r w:rsidRPr="00CE0885">
        <w:t xml:space="preserve">ions </w:t>
      </w:r>
      <w:r w:rsidR="00A114DF">
        <w:t>(p</w:t>
      </w:r>
      <w:r w:rsidR="00A114DF" w:rsidRPr="00CE0885">
        <w:t xml:space="preserve">lease refer to </w:t>
      </w:r>
      <w:r w:rsidR="00A114DF">
        <w:t>the ‘Contracts Described’ chapter</w:t>
      </w:r>
      <w:r w:rsidR="00A114DF" w:rsidRPr="00CE0885">
        <w:t xml:space="preserve"> </w:t>
      </w:r>
      <w:r w:rsidRPr="00CE0885">
        <w:t>for further information);</w:t>
      </w:r>
      <w:bookmarkEnd w:id="591"/>
      <w:r w:rsidRPr="00CE0885">
        <w:t xml:space="preserve"> </w:t>
      </w:r>
    </w:p>
    <w:p w14:paraId="27F7F9A7" w14:textId="77777777" w:rsidR="00977693" w:rsidRPr="00CE0885" w:rsidRDefault="00977693" w:rsidP="00FA6A70">
      <w:pPr>
        <w:pStyle w:val="Heading4"/>
      </w:pPr>
      <w:bookmarkStart w:id="592" w:name="_Toc440981744"/>
      <w:r w:rsidRPr="00CE0885">
        <w:rPr>
          <w:spacing w:val="-3"/>
        </w:rPr>
        <w:t>w</w:t>
      </w:r>
      <w:r w:rsidRPr="00CE0885">
        <w:rPr>
          <w:spacing w:val="1"/>
        </w:rPr>
        <w:t>hethe</w:t>
      </w:r>
      <w:r w:rsidRPr="00CE0885">
        <w:t>r</w:t>
      </w:r>
      <w:r w:rsidRPr="00CE0885">
        <w:rPr>
          <w:spacing w:val="-9"/>
        </w:rPr>
        <w:t xml:space="preserve"> </w:t>
      </w:r>
      <w:r w:rsidRPr="00CE0885">
        <w:rPr>
          <w:spacing w:val="1"/>
        </w:rPr>
        <w:t>o</w:t>
      </w:r>
      <w:r w:rsidRPr="00CE0885">
        <w:t>r</w:t>
      </w:r>
      <w:r w:rsidRPr="00CE0885">
        <w:rPr>
          <w:spacing w:val="-2"/>
        </w:rPr>
        <w:t xml:space="preserve"> </w:t>
      </w:r>
      <w:r w:rsidRPr="00CE0885">
        <w:rPr>
          <w:spacing w:val="1"/>
        </w:rPr>
        <w:t>n</w:t>
      </w:r>
      <w:r w:rsidRPr="00CE0885">
        <w:rPr>
          <w:spacing w:val="-1"/>
        </w:rPr>
        <w:t>o</w:t>
      </w:r>
      <w:r w:rsidRPr="00CE0885">
        <w:t>t</w:t>
      </w:r>
      <w:r w:rsidRPr="00CE0885">
        <w:rPr>
          <w:spacing w:val="-2"/>
        </w:rPr>
        <w:t xml:space="preserve"> </w:t>
      </w:r>
      <w:r w:rsidRPr="00CE0885">
        <w:t>the partnership is</w:t>
      </w:r>
      <w:r w:rsidRPr="00CE0885">
        <w:rPr>
          <w:spacing w:val="-2"/>
        </w:rPr>
        <w:t xml:space="preserve"> t</w:t>
      </w:r>
      <w:r w:rsidRPr="00CE0885">
        <w:t xml:space="preserve">o </w:t>
      </w:r>
      <w:r w:rsidRPr="00CE0885">
        <w:rPr>
          <w:spacing w:val="-1"/>
        </w:rPr>
        <w:t>b</w:t>
      </w:r>
      <w:r w:rsidRPr="00CE0885">
        <w:t>e</w:t>
      </w:r>
      <w:r w:rsidRPr="00CE0885">
        <w:rPr>
          <w:spacing w:val="-1"/>
        </w:rPr>
        <w:t xml:space="preserve"> </w:t>
      </w:r>
      <w:r w:rsidRPr="00CE0885">
        <w:t>a</w:t>
      </w:r>
      <w:r w:rsidRPr="00CE0885">
        <w:rPr>
          <w:spacing w:val="1"/>
        </w:rPr>
        <w:t xml:space="preserve"> </w:t>
      </w:r>
      <w:r w:rsidRPr="00CE0885">
        <w:t>li</w:t>
      </w:r>
      <w:r w:rsidRPr="00CE0885">
        <w:rPr>
          <w:spacing w:val="2"/>
        </w:rPr>
        <w:t>m</w:t>
      </w:r>
      <w:r w:rsidRPr="00CE0885">
        <w:t>i</w:t>
      </w:r>
      <w:r w:rsidRPr="00CE0885">
        <w:rPr>
          <w:spacing w:val="-2"/>
        </w:rPr>
        <w:t>t</w:t>
      </w:r>
      <w:r w:rsidRPr="00CE0885">
        <w:rPr>
          <w:spacing w:val="1"/>
        </w:rPr>
        <w:t>e</w:t>
      </w:r>
      <w:r w:rsidRPr="00CE0885">
        <w:t>d</w:t>
      </w:r>
      <w:r w:rsidRPr="00CE0885">
        <w:rPr>
          <w:spacing w:val="-8"/>
        </w:rPr>
        <w:t xml:space="preserve"> </w:t>
      </w:r>
      <w:r w:rsidRPr="00CE0885">
        <w:rPr>
          <w:spacing w:val="1"/>
        </w:rPr>
        <w:t>pa</w:t>
      </w:r>
      <w:r w:rsidRPr="00CE0885">
        <w:rPr>
          <w:spacing w:val="-1"/>
        </w:rPr>
        <w:t>r</w:t>
      </w:r>
      <w:r w:rsidRPr="00CE0885">
        <w:rPr>
          <w:spacing w:val="1"/>
        </w:rPr>
        <w:t>t</w:t>
      </w:r>
      <w:r w:rsidRPr="00CE0885">
        <w:rPr>
          <w:spacing w:val="-1"/>
        </w:rPr>
        <w:t>n</w:t>
      </w:r>
      <w:r w:rsidRPr="00CE0885">
        <w:rPr>
          <w:spacing w:val="1"/>
        </w:rPr>
        <w:t>e</w:t>
      </w:r>
      <w:r w:rsidRPr="00CE0885">
        <w:rPr>
          <w:spacing w:val="-1"/>
        </w:rPr>
        <w:t>r</w:t>
      </w:r>
      <w:r w:rsidRPr="00CE0885">
        <w:t>s</w:t>
      </w:r>
      <w:r w:rsidRPr="00CE0885">
        <w:rPr>
          <w:spacing w:val="1"/>
        </w:rPr>
        <w:t>h</w:t>
      </w:r>
      <w:r w:rsidRPr="00CE0885">
        <w:t>ip</w:t>
      </w:r>
      <w:r w:rsidRPr="00CE0885">
        <w:rPr>
          <w:spacing w:val="-13"/>
        </w:rPr>
        <w:t xml:space="preserve"> </w:t>
      </w:r>
      <w:r w:rsidRPr="00CE0885">
        <w:rPr>
          <w:spacing w:val="1"/>
        </w:rPr>
        <w:t>an</w:t>
      </w:r>
      <w:r w:rsidRPr="00CE0885">
        <w:t>d</w:t>
      </w:r>
      <w:r w:rsidRPr="00CE0885">
        <w:rPr>
          <w:spacing w:val="-2"/>
        </w:rPr>
        <w:t xml:space="preserve"> </w:t>
      </w:r>
      <w:r w:rsidRPr="00CE0885">
        <w:rPr>
          <w:spacing w:val="-3"/>
        </w:rPr>
        <w:t>i</w:t>
      </w:r>
      <w:r w:rsidRPr="00CE0885">
        <w:t>f s</w:t>
      </w:r>
      <w:r w:rsidRPr="00CE0885">
        <w:rPr>
          <w:spacing w:val="1"/>
        </w:rPr>
        <w:t>o</w:t>
      </w:r>
      <w:r w:rsidRPr="00CE0885">
        <w:t xml:space="preserve">, </w:t>
      </w:r>
      <w:r w:rsidRPr="00CE0885">
        <w:rPr>
          <w:spacing w:val="-3"/>
        </w:rPr>
        <w:t>w</w:t>
      </w:r>
      <w:r w:rsidRPr="00CE0885">
        <w:rPr>
          <w:spacing w:val="1"/>
        </w:rPr>
        <w:t>h</w:t>
      </w:r>
      <w:r w:rsidRPr="00CE0885">
        <w:t>o</w:t>
      </w:r>
      <w:r w:rsidRPr="00CE0885">
        <w:rPr>
          <w:spacing w:val="-2"/>
        </w:rPr>
        <w:t xml:space="preserve"> </w:t>
      </w:r>
      <w:r w:rsidRPr="00CE0885">
        <w:t>is</w:t>
      </w:r>
      <w:r w:rsidRPr="00CE0885">
        <w:rPr>
          <w:spacing w:val="-2"/>
        </w:rPr>
        <w:t xml:space="preserve"> </w:t>
      </w:r>
      <w:r w:rsidRPr="00CE0885">
        <w:t>a</w:t>
      </w:r>
      <w:r w:rsidRPr="00CE0885">
        <w:rPr>
          <w:spacing w:val="1"/>
        </w:rPr>
        <w:t xml:space="preserve"> </w:t>
      </w:r>
      <w:r w:rsidRPr="00CE0885">
        <w:t>li</w:t>
      </w:r>
      <w:r w:rsidRPr="00CE0885">
        <w:rPr>
          <w:spacing w:val="2"/>
        </w:rPr>
        <w:t>m</w:t>
      </w:r>
      <w:r w:rsidRPr="00CE0885">
        <w:t>i</w:t>
      </w:r>
      <w:r w:rsidRPr="00CE0885">
        <w:rPr>
          <w:spacing w:val="1"/>
        </w:rPr>
        <w:t>te</w:t>
      </w:r>
      <w:r w:rsidRPr="00CE0885">
        <w:t>d</w:t>
      </w:r>
      <w:r w:rsidRPr="00CE0885">
        <w:rPr>
          <w:spacing w:val="-8"/>
        </w:rPr>
        <w:t xml:space="preserve"> </w:t>
      </w:r>
      <w:r w:rsidRPr="00CE0885">
        <w:rPr>
          <w:spacing w:val="1"/>
        </w:rPr>
        <w:t>a</w:t>
      </w:r>
      <w:r w:rsidRPr="00CE0885">
        <w:rPr>
          <w:spacing w:val="-1"/>
        </w:rPr>
        <w:t>n</w:t>
      </w:r>
      <w:r w:rsidRPr="00CE0885">
        <w:t>d</w:t>
      </w:r>
      <w:r w:rsidRPr="00CE0885">
        <w:rPr>
          <w:spacing w:val="-2"/>
        </w:rPr>
        <w:t xml:space="preserve"> </w:t>
      </w:r>
      <w:r w:rsidRPr="00CE0885">
        <w:rPr>
          <w:spacing w:val="-3"/>
        </w:rPr>
        <w:t>w</w:t>
      </w:r>
      <w:r w:rsidRPr="00CE0885">
        <w:rPr>
          <w:spacing w:val="1"/>
        </w:rPr>
        <w:t>h</w:t>
      </w:r>
      <w:r w:rsidRPr="00CE0885">
        <w:t>o</w:t>
      </w:r>
      <w:r w:rsidRPr="00CE0885">
        <w:rPr>
          <w:spacing w:val="-2"/>
        </w:rPr>
        <w:t xml:space="preserve"> </w:t>
      </w:r>
      <w:r w:rsidRPr="00CE0885">
        <w:t>is</w:t>
      </w:r>
      <w:r w:rsidRPr="00CE0885">
        <w:rPr>
          <w:spacing w:val="-2"/>
        </w:rPr>
        <w:t xml:space="preserve"> </w:t>
      </w:r>
      <w:r w:rsidRPr="00CE0885">
        <w:t>a</w:t>
      </w:r>
      <w:r w:rsidRPr="00CE0885">
        <w:rPr>
          <w:spacing w:val="-2"/>
        </w:rPr>
        <w:t xml:space="preserve"> </w:t>
      </w:r>
      <w:r w:rsidRPr="00CE0885">
        <w:rPr>
          <w:spacing w:val="-1"/>
        </w:rPr>
        <w:t>g</w:t>
      </w:r>
      <w:r w:rsidRPr="00CE0885">
        <w:rPr>
          <w:spacing w:val="1"/>
        </w:rPr>
        <w:t>ene</w:t>
      </w:r>
      <w:r w:rsidRPr="00CE0885">
        <w:rPr>
          <w:spacing w:val="-1"/>
        </w:rPr>
        <w:t>r</w:t>
      </w:r>
      <w:r w:rsidRPr="00CE0885">
        <w:rPr>
          <w:spacing w:val="1"/>
        </w:rPr>
        <w:t>a</w:t>
      </w:r>
      <w:r w:rsidRPr="00CE0885">
        <w:t>l</w:t>
      </w:r>
      <w:r w:rsidRPr="00CE0885">
        <w:rPr>
          <w:spacing w:val="-10"/>
        </w:rPr>
        <w:t xml:space="preserve"> </w:t>
      </w:r>
      <w:r w:rsidRPr="00CE0885">
        <w:rPr>
          <w:spacing w:val="1"/>
        </w:rPr>
        <w:t>pa</w:t>
      </w:r>
      <w:r w:rsidRPr="00CE0885">
        <w:rPr>
          <w:spacing w:val="-1"/>
        </w:rPr>
        <w:t>r</w:t>
      </w:r>
      <w:r w:rsidRPr="00CE0885">
        <w:rPr>
          <w:spacing w:val="1"/>
        </w:rPr>
        <w:t>t</w:t>
      </w:r>
      <w:r w:rsidRPr="00CE0885">
        <w:rPr>
          <w:spacing w:val="-1"/>
        </w:rPr>
        <w:t>n</w:t>
      </w:r>
      <w:r w:rsidRPr="00CE0885">
        <w:rPr>
          <w:spacing w:val="1"/>
        </w:rPr>
        <w:t>e</w:t>
      </w:r>
      <w:r w:rsidRPr="00CE0885">
        <w:rPr>
          <w:spacing w:val="-1"/>
        </w:rPr>
        <w:t>r</w:t>
      </w:r>
      <w:r w:rsidRPr="00CE0885">
        <w:t>; and</w:t>
      </w:r>
      <w:bookmarkEnd w:id="592"/>
    </w:p>
    <w:p w14:paraId="6F31331D" w14:textId="77777777" w:rsidR="00977693" w:rsidRPr="00CE0885" w:rsidRDefault="00977693" w:rsidP="00FA6A70">
      <w:pPr>
        <w:pStyle w:val="Heading4"/>
      </w:pPr>
      <w:bookmarkStart w:id="593" w:name="_Toc440981745"/>
      <w:r w:rsidRPr="00CE0885">
        <w:t>the</w:t>
      </w:r>
      <w:r w:rsidRPr="00CE0885">
        <w:rPr>
          <w:spacing w:val="-4"/>
        </w:rPr>
        <w:t xml:space="preserve"> </w:t>
      </w:r>
      <w:r w:rsidRPr="00CE0885">
        <w:t>d</w:t>
      </w:r>
      <w:r w:rsidRPr="00CE0885">
        <w:rPr>
          <w:spacing w:val="-1"/>
        </w:rPr>
        <w:t>a</w:t>
      </w:r>
      <w:r w:rsidRPr="00CE0885">
        <w:t>te</w:t>
      </w:r>
      <w:r w:rsidRPr="00CE0885">
        <w:rPr>
          <w:spacing w:val="-6"/>
        </w:rPr>
        <w:t xml:space="preserve"> </w:t>
      </w:r>
      <w:r w:rsidRPr="00CE0885">
        <w:t xml:space="preserve">on </w:t>
      </w:r>
      <w:r w:rsidRPr="00CE0885">
        <w:rPr>
          <w:spacing w:val="-3"/>
        </w:rPr>
        <w:t>w</w:t>
      </w:r>
      <w:r w:rsidRPr="00CE0885">
        <w:t>hich</w:t>
      </w:r>
      <w:r w:rsidRPr="00CE0885">
        <w:rPr>
          <w:spacing w:val="-4"/>
        </w:rPr>
        <w:t xml:space="preserve"> </w:t>
      </w:r>
      <w:r w:rsidRPr="00CE0885">
        <w:t>the</w:t>
      </w:r>
      <w:r w:rsidRPr="00CE0885">
        <w:rPr>
          <w:spacing w:val="-1"/>
        </w:rPr>
        <w:t xml:space="preserve"> </w:t>
      </w:r>
      <w:r w:rsidRPr="00CE0885">
        <w:t>co</w:t>
      </w:r>
      <w:r w:rsidRPr="00CE0885">
        <w:rPr>
          <w:spacing w:val="-1"/>
        </w:rPr>
        <w:t>n</w:t>
      </w:r>
      <w:r w:rsidRPr="00CE0885">
        <w:t>t</w:t>
      </w:r>
      <w:r w:rsidRPr="00CE0885">
        <w:rPr>
          <w:spacing w:val="-1"/>
        </w:rPr>
        <w:t>r</w:t>
      </w:r>
      <w:r w:rsidRPr="00CE0885">
        <w:t>actor</w:t>
      </w:r>
      <w:r w:rsidRPr="00CE0885">
        <w:rPr>
          <w:spacing w:val="-11"/>
        </w:rPr>
        <w:t xml:space="preserve"> </w:t>
      </w:r>
      <w:r w:rsidRPr="00CE0885">
        <w:rPr>
          <w:spacing w:val="-3"/>
        </w:rPr>
        <w:t>w</w:t>
      </w:r>
      <w:r w:rsidRPr="00CE0885">
        <w:t>ishes</w:t>
      </w:r>
      <w:r w:rsidRPr="00CE0885">
        <w:rPr>
          <w:spacing w:val="-7"/>
        </w:rPr>
        <w:t xml:space="preserve"> </w:t>
      </w:r>
      <w:r w:rsidRPr="00CE0885">
        <w:rPr>
          <w:spacing w:val="-2"/>
        </w:rPr>
        <w:t>t</w:t>
      </w:r>
      <w:r w:rsidRPr="00CE0885">
        <w:t>o c</w:t>
      </w:r>
      <w:r w:rsidRPr="00CE0885">
        <w:rPr>
          <w:spacing w:val="-1"/>
        </w:rPr>
        <w:t>h</w:t>
      </w:r>
      <w:r w:rsidRPr="00CE0885">
        <w:t>an</w:t>
      </w:r>
      <w:r w:rsidRPr="00CE0885">
        <w:rPr>
          <w:spacing w:val="-1"/>
        </w:rPr>
        <w:t>g</w:t>
      </w:r>
      <w:r w:rsidRPr="00CE0885">
        <w:t>e</w:t>
      </w:r>
      <w:r w:rsidRPr="00CE0885">
        <w:rPr>
          <w:spacing w:val="-6"/>
        </w:rPr>
        <w:t xml:space="preserve"> </w:t>
      </w:r>
      <w:r w:rsidRPr="00CE0885">
        <w:t>its</w:t>
      </w:r>
      <w:r w:rsidRPr="00CE0885">
        <w:rPr>
          <w:spacing w:val="-2"/>
        </w:rPr>
        <w:t xml:space="preserve"> </w:t>
      </w:r>
      <w:r w:rsidRPr="00CE0885">
        <w:t>s</w:t>
      </w:r>
      <w:r w:rsidRPr="00CE0885">
        <w:rPr>
          <w:spacing w:val="-2"/>
        </w:rPr>
        <w:t>t</w:t>
      </w:r>
      <w:r w:rsidRPr="00CE0885">
        <w:t>a</w:t>
      </w:r>
      <w:r w:rsidRPr="00CE0885">
        <w:rPr>
          <w:spacing w:val="-2"/>
        </w:rPr>
        <w:t>t</w:t>
      </w:r>
      <w:r w:rsidRPr="00CE0885">
        <w:t>us</w:t>
      </w:r>
      <w:r w:rsidRPr="00CE0885">
        <w:rPr>
          <w:spacing w:val="-6"/>
        </w:rPr>
        <w:t xml:space="preserve"> (</w:t>
      </w:r>
      <w:r w:rsidRPr="00CE0885">
        <w:rPr>
          <w:spacing w:val="-3"/>
        </w:rPr>
        <w:t>w</w:t>
      </w:r>
      <w:r w:rsidRPr="00CE0885">
        <w:t>hich</w:t>
      </w:r>
      <w:r w:rsidRPr="00CE0885">
        <w:rPr>
          <w:spacing w:val="-4"/>
        </w:rPr>
        <w:t xml:space="preserve"> </w:t>
      </w:r>
      <w:r w:rsidRPr="00CE0885">
        <w:t>shall</w:t>
      </w:r>
      <w:r w:rsidRPr="00CE0885">
        <w:rPr>
          <w:spacing w:val="-5"/>
        </w:rPr>
        <w:t xml:space="preserve"> </w:t>
      </w:r>
      <w:r w:rsidRPr="00CE0885">
        <w:rPr>
          <w:spacing w:val="-1"/>
        </w:rPr>
        <w:t>n</w:t>
      </w:r>
      <w:r w:rsidRPr="00CE0885">
        <w:t>ot be</w:t>
      </w:r>
      <w:r w:rsidRPr="00CE0885">
        <w:rPr>
          <w:spacing w:val="-1"/>
        </w:rPr>
        <w:t xml:space="preserve"> </w:t>
      </w:r>
      <w:r w:rsidRPr="00CE0885">
        <w:t>less</w:t>
      </w:r>
      <w:r w:rsidRPr="00CE0885">
        <w:rPr>
          <w:spacing w:val="-6"/>
        </w:rPr>
        <w:t xml:space="preserve"> </w:t>
      </w:r>
      <w:r w:rsidRPr="00CE0885">
        <w:t>th</w:t>
      </w:r>
      <w:r w:rsidRPr="00CE0885">
        <w:rPr>
          <w:spacing w:val="-1"/>
        </w:rPr>
        <w:t>a</w:t>
      </w:r>
      <w:r w:rsidRPr="00CE0885">
        <w:t>n</w:t>
      </w:r>
      <w:r w:rsidRPr="00CE0885">
        <w:rPr>
          <w:spacing w:val="-3"/>
        </w:rPr>
        <w:t xml:space="preserve"> </w:t>
      </w:r>
      <w:r w:rsidRPr="00CE0885">
        <w:rPr>
          <w:spacing w:val="-1"/>
        </w:rPr>
        <w:t>2</w:t>
      </w:r>
      <w:r w:rsidRPr="00CE0885">
        <w:t>8</w:t>
      </w:r>
      <w:r w:rsidRPr="00CE0885">
        <w:rPr>
          <w:spacing w:val="-1"/>
        </w:rPr>
        <w:t xml:space="preserve"> d</w:t>
      </w:r>
      <w:r w:rsidRPr="00CE0885">
        <w:t>a</w:t>
      </w:r>
      <w:r w:rsidRPr="00CE0885">
        <w:rPr>
          <w:spacing w:val="-2"/>
        </w:rPr>
        <w:t>y</w:t>
      </w:r>
      <w:r w:rsidRPr="00CE0885">
        <w:t>s</w:t>
      </w:r>
      <w:r w:rsidRPr="00CE0885">
        <w:rPr>
          <w:spacing w:val="-5"/>
        </w:rPr>
        <w:t xml:space="preserve"> </w:t>
      </w:r>
      <w:r w:rsidRPr="00CE0885">
        <w:rPr>
          <w:spacing w:val="3"/>
        </w:rPr>
        <w:t>f</w:t>
      </w:r>
      <w:r w:rsidRPr="00CE0885">
        <w:rPr>
          <w:spacing w:val="-3"/>
        </w:rPr>
        <w:t>r</w:t>
      </w:r>
      <w:r w:rsidRPr="00CE0885">
        <w:t>om the date on which the notice was served on the Commissioner).</w:t>
      </w:r>
      <w:bookmarkEnd w:id="593"/>
    </w:p>
    <w:p w14:paraId="4D82C942" w14:textId="77777777" w:rsidR="00977693" w:rsidRPr="00CE0885" w:rsidRDefault="00977693" w:rsidP="006B781A">
      <w:pPr>
        <w:pStyle w:val="Heading3"/>
        <w:rPr>
          <w:lang w:eastAsia="en-GB"/>
        </w:rPr>
      </w:pPr>
      <w:bookmarkStart w:id="594" w:name="_Toc440981746"/>
      <w:r w:rsidRPr="00CE0885">
        <w:rPr>
          <w:lang w:eastAsia="en-GB"/>
        </w:rPr>
        <w:t>The</w:t>
      </w:r>
      <w:r w:rsidRPr="00CE0885">
        <w:rPr>
          <w:spacing w:val="-4"/>
          <w:lang w:eastAsia="en-GB"/>
        </w:rPr>
        <w:t xml:space="preserve"> </w:t>
      </w:r>
      <w:r w:rsidRPr="00CE0885">
        <w:rPr>
          <w:lang w:eastAsia="en-GB"/>
        </w:rPr>
        <w:t>n</w:t>
      </w:r>
      <w:r w:rsidRPr="00CE0885">
        <w:rPr>
          <w:spacing w:val="-1"/>
          <w:lang w:eastAsia="en-GB"/>
        </w:rPr>
        <w:t>o</w:t>
      </w:r>
      <w:r w:rsidRPr="00CE0885">
        <w:rPr>
          <w:lang w:eastAsia="en-GB"/>
        </w:rPr>
        <w:t>tice</w:t>
      </w:r>
      <w:r w:rsidRPr="00CE0885">
        <w:rPr>
          <w:spacing w:val="-7"/>
          <w:lang w:eastAsia="en-GB"/>
        </w:rPr>
        <w:t xml:space="preserve"> </w:t>
      </w:r>
      <w:r w:rsidRPr="00CE0885">
        <w:rPr>
          <w:spacing w:val="2"/>
          <w:lang w:eastAsia="en-GB"/>
        </w:rPr>
        <w:t>m</w:t>
      </w:r>
      <w:r w:rsidRPr="00CE0885">
        <w:rPr>
          <w:lang w:eastAsia="en-GB"/>
        </w:rPr>
        <w:t>ust</w:t>
      </w:r>
      <w:r w:rsidRPr="00CE0885">
        <w:rPr>
          <w:spacing w:val="-6"/>
          <w:lang w:eastAsia="en-GB"/>
        </w:rPr>
        <w:t xml:space="preserve"> </w:t>
      </w:r>
      <w:r w:rsidRPr="00CE0885">
        <w:rPr>
          <w:lang w:eastAsia="en-GB"/>
        </w:rPr>
        <w:t>be</w:t>
      </w:r>
      <w:r w:rsidRPr="00CE0885">
        <w:rPr>
          <w:spacing w:val="-4"/>
          <w:lang w:eastAsia="en-GB"/>
        </w:rPr>
        <w:t xml:space="preserve"> </w:t>
      </w:r>
      <w:r w:rsidRPr="00CE0885">
        <w:rPr>
          <w:lang w:eastAsia="en-GB"/>
        </w:rPr>
        <w:t>si</w:t>
      </w:r>
      <w:r w:rsidRPr="00CE0885">
        <w:rPr>
          <w:spacing w:val="-1"/>
          <w:lang w:eastAsia="en-GB"/>
        </w:rPr>
        <w:t>g</w:t>
      </w:r>
      <w:r w:rsidRPr="00CE0885">
        <w:rPr>
          <w:lang w:eastAsia="en-GB"/>
        </w:rPr>
        <w:t>ned</w:t>
      </w:r>
      <w:r w:rsidRPr="00CE0885">
        <w:rPr>
          <w:spacing w:val="-5"/>
          <w:lang w:eastAsia="en-GB"/>
        </w:rPr>
        <w:t xml:space="preserve"> </w:t>
      </w:r>
      <w:r w:rsidRPr="00CE0885">
        <w:rPr>
          <w:lang w:eastAsia="en-GB"/>
        </w:rPr>
        <w:t>by</w:t>
      </w:r>
      <w:r w:rsidRPr="00CE0885">
        <w:rPr>
          <w:spacing w:val="-5"/>
          <w:lang w:eastAsia="en-GB"/>
        </w:rPr>
        <w:t xml:space="preserve"> </w:t>
      </w:r>
      <w:r w:rsidRPr="00CE0885">
        <w:rPr>
          <w:lang w:eastAsia="en-GB"/>
        </w:rPr>
        <w:t>the</w:t>
      </w:r>
      <w:r w:rsidRPr="00CE0885">
        <w:rPr>
          <w:spacing w:val="-4"/>
          <w:lang w:eastAsia="en-GB"/>
        </w:rPr>
        <w:t xml:space="preserve"> </w:t>
      </w:r>
      <w:r w:rsidRPr="00CE0885">
        <w:rPr>
          <w:lang w:eastAsia="en-GB"/>
        </w:rPr>
        <w:t>indi</w:t>
      </w:r>
      <w:r w:rsidRPr="00CE0885">
        <w:rPr>
          <w:spacing w:val="-2"/>
          <w:lang w:eastAsia="en-GB"/>
        </w:rPr>
        <w:t>v</w:t>
      </w:r>
      <w:r w:rsidRPr="00CE0885">
        <w:rPr>
          <w:lang w:eastAsia="en-GB"/>
        </w:rPr>
        <w:t>idual</w:t>
      </w:r>
      <w:r w:rsidRPr="00CE0885">
        <w:rPr>
          <w:spacing w:val="-10"/>
          <w:lang w:eastAsia="en-GB"/>
        </w:rPr>
        <w:t xml:space="preserve"> </w:t>
      </w:r>
      <w:r w:rsidRPr="00CE0885">
        <w:rPr>
          <w:lang w:eastAsia="en-GB"/>
        </w:rPr>
        <w:t>cont</w:t>
      </w:r>
      <w:r w:rsidRPr="00CE0885">
        <w:rPr>
          <w:spacing w:val="-1"/>
          <w:lang w:eastAsia="en-GB"/>
        </w:rPr>
        <w:t>r</w:t>
      </w:r>
      <w:r w:rsidRPr="00CE0885">
        <w:rPr>
          <w:lang w:eastAsia="en-GB"/>
        </w:rPr>
        <w:t>a</w:t>
      </w:r>
      <w:r w:rsidRPr="00CE0885">
        <w:rPr>
          <w:spacing w:val="-2"/>
          <w:lang w:eastAsia="en-GB"/>
        </w:rPr>
        <w:t>c</w:t>
      </w:r>
      <w:r w:rsidRPr="00CE0885">
        <w:rPr>
          <w:lang w:eastAsia="en-GB"/>
        </w:rPr>
        <w:t>tor</w:t>
      </w:r>
      <w:r w:rsidRPr="00CE0885">
        <w:rPr>
          <w:spacing w:val="-11"/>
          <w:lang w:eastAsia="en-GB"/>
        </w:rPr>
        <w:t xml:space="preserve"> </w:t>
      </w:r>
      <w:r w:rsidRPr="00CE0885">
        <w:rPr>
          <w:spacing w:val="-1"/>
          <w:lang w:eastAsia="en-GB"/>
        </w:rPr>
        <w:t>a</w:t>
      </w:r>
      <w:r w:rsidRPr="00CE0885">
        <w:rPr>
          <w:lang w:eastAsia="en-GB"/>
        </w:rPr>
        <w:t>nd</w:t>
      </w:r>
      <w:r w:rsidRPr="00CE0885">
        <w:rPr>
          <w:spacing w:val="-5"/>
          <w:lang w:eastAsia="en-GB"/>
        </w:rPr>
        <w:t xml:space="preserve"> </w:t>
      </w:r>
      <w:r w:rsidRPr="00CE0885">
        <w:rPr>
          <w:lang w:eastAsia="en-GB"/>
        </w:rPr>
        <w:t>by the</w:t>
      </w:r>
      <w:r w:rsidRPr="00CE0885">
        <w:rPr>
          <w:spacing w:val="-4"/>
          <w:lang w:eastAsia="en-GB"/>
        </w:rPr>
        <w:t xml:space="preserve"> </w:t>
      </w:r>
      <w:r w:rsidRPr="00CE0885">
        <w:rPr>
          <w:lang w:eastAsia="en-GB"/>
        </w:rPr>
        <w:t>pe</w:t>
      </w:r>
      <w:r w:rsidRPr="00CE0885">
        <w:rPr>
          <w:spacing w:val="-1"/>
          <w:lang w:eastAsia="en-GB"/>
        </w:rPr>
        <w:t>r</w:t>
      </w:r>
      <w:r w:rsidRPr="00CE0885">
        <w:rPr>
          <w:lang w:eastAsia="en-GB"/>
        </w:rPr>
        <w:t>son</w:t>
      </w:r>
      <w:r w:rsidRPr="00CE0885">
        <w:rPr>
          <w:spacing w:val="-8"/>
          <w:lang w:eastAsia="en-GB"/>
        </w:rPr>
        <w:t xml:space="preserve"> </w:t>
      </w:r>
      <w:r w:rsidRPr="00CE0885">
        <w:rPr>
          <w:lang w:eastAsia="en-GB"/>
        </w:rPr>
        <w:t>or</w:t>
      </w:r>
      <w:r w:rsidRPr="00CE0885">
        <w:rPr>
          <w:spacing w:val="-2"/>
          <w:lang w:eastAsia="en-GB"/>
        </w:rPr>
        <w:t xml:space="preserve"> </w:t>
      </w:r>
      <w:r w:rsidRPr="00CE0885">
        <w:rPr>
          <w:spacing w:val="-1"/>
          <w:lang w:eastAsia="en-GB"/>
        </w:rPr>
        <w:t xml:space="preserve">persons </w:t>
      </w:r>
      <w:r w:rsidRPr="00CE0885">
        <w:rPr>
          <w:spacing w:val="-3"/>
          <w:lang w:eastAsia="en-GB"/>
        </w:rPr>
        <w:t>w</w:t>
      </w:r>
      <w:r w:rsidRPr="00CE0885">
        <w:rPr>
          <w:lang w:eastAsia="en-GB"/>
        </w:rPr>
        <w:t xml:space="preserve">ith </w:t>
      </w:r>
      <w:r w:rsidRPr="00CE0885">
        <w:rPr>
          <w:spacing w:val="-3"/>
          <w:lang w:eastAsia="en-GB"/>
        </w:rPr>
        <w:t>w</w:t>
      </w:r>
      <w:r w:rsidRPr="00CE0885">
        <w:rPr>
          <w:lang w:eastAsia="en-GB"/>
        </w:rPr>
        <w:t>hom</w:t>
      </w:r>
      <w:r w:rsidRPr="00CE0885">
        <w:rPr>
          <w:spacing w:val="-4"/>
          <w:lang w:eastAsia="en-GB"/>
        </w:rPr>
        <w:t xml:space="preserve"> </w:t>
      </w:r>
      <w:r w:rsidRPr="00CE0885">
        <w:rPr>
          <w:lang w:eastAsia="en-GB"/>
        </w:rPr>
        <w:t>the individual contractor</w:t>
      </w:r>
      <w:r w:rsidRPr="00CE0885">
        <w:rPr>
          <w:spacing w:val="-1"/>
          <w:lang w:eastAsia="en-GB"/>
        </w:rPr>
        <w:t xml:space="preserve"> </w:t>
      </w:r>
      <w:r w:rsidRPr="00CE0885">
        <w:rPr>
          <w:lang w:eastAsia="en-GB"/>
        </w:rPr>
        <w:t>is</w:t>
      </w:r>
      <w:r w:rsidRPr="00CE0885">
        <w:rPr>
          <w:spacing w:val="-4"/>
          <w:lang w:eastAsia="en-GB"/>
        </w:rPr>
        <w:t xml:space="preserve"> </w:t>
      </w:r>
      <w:r w:rsidRPr="00CE0885">
        <w:rPr>
          <w:lang w:eastAsia="en-GB"/>
        </w:rPr>
        <w:t>p</w:t>
      </w:r>
      <w:r w:rsidRPr="00CE0885">
        <w:rPr>
          <w:spacing w:val="-1"/>
          <w:lang w:eastAsia="en-GB"/>
        </w:rPr>
        <w:t>r</w:t>
      </w:r>
      <w:r w:rsidRPr="00CE0885">
        <w:rPr>
          <w:lang w:eastAsia="en-GB"/>
        </w:rPr>
        <w:t>o</w:t>
      </w:r>
      <w:r w:rsidRPr="00CE0885">
        <w:rPr>
          <w:spacing w:val="-1"/>
          <w:lang w:eastAsia="en-GB"/>
        </w:rPr>
        <w:t>p</w:t>
      </w:r>
      <w:r w:rsidRPr="00CE0885">
        <w:rPr>
          <w:lang w:eastAsia="en-GB"/>
        </w:rPr>
        <w:t>osing</w:t>
      </w:r>
      <w:r w:rsidRPr="00CE0885">
        <w:rPr>
          <w:spacing w:val="-12"/>
          <w:lang w:eastAsia="en-GB"/>
        </w:rPr>
        <w:t xml:space="preserve"> </w:t>
      </w:r>
      <w:r w:rsidRPr="00CE0885">
        <w:rPr>
          <w:lang w:eastAsia="en-GB"/>
        </w:rPr>
        <w:t>to p</w:t>
      </w:r>
      <w:r w:rsidRPr="00CE0885">
        <w:rPr>
          <w:spacing w:val="-1"/>
          <w:lang w:eastAsia="en-GB"/>
        </w:rPr>
        <w:t>r</w:t>
      </w:r>
      <w:r w:rsidRPr="00CE0885">
        <w:rPr>
          <w:lang w:eastAsia="en-GB"/>
        </w:rPr>
        <w:t>acti</w:t>
      </w:r>
      <w:r w:rsidRPr="00CE0885">
        <w:rPr>
          <w:spacing w:val="-2"/>
          <w:lang w:eastAsia="en-GB"/>
        </w:rPr>
        <w:t>s</w:t>
      </w:r>
      <w:r w:rsidRPr="00CE0885">
        <w:rPr>
          <w:lang w:eastAsia="en-GB"/>
        </w:rPr>
        <w:t>e</w:t>
      </w:r>
      <w:r w:rsidRPr="00CE0885">
        <w:rPr>
          <w:spacing w:val="-6"/>
          <w:lang w:eastAsia="en-GB"/>
        </w:rPr>
        <w:t xml:space="preserve"> </w:t>
      </w:r>
      <w:r w:rsidRPr="00CE0885">
        <w:rPr>
          <w:lang w:eastAsia="en-GB"/>
        </w:rPr>
        <w:t>in</w:t>
      </w:r>
      <w:r w:rsidRPr="00CE0885">
        <w:rPr>
          <w:spacing w:val="-3"/>
          <w:lang w:eastAsia="en-GB"/>
        </w:rPr>
        <w:t xml:space="preserve"> </w:t>
      </w:r>
      <w:r w:rsidRPr="00CE0885">
        <w:rPr>
          <w:lang w:eastAsia="en-GB"/>
        </w:rPr>
        <w:t>pa</w:t>
      </w:r>
      <w:r w:rsidRPr="00CE0885">
        <w:rPr>
          <w:spacing w:val="-1"/>
          <w:lang w:eastAsia="en-GB"/>
        </w:rPr>
        <w:t>r</w:t>
      </w:r>
      <w:r w:rsidRPr="00CE0885">
        <w:rPr>
          <w:lang w:eastAsia="en-GB"/>
        </w:rPr>
        <w:t>t</w:t>
      </w:r>
      <w:r w:rsidRPr="00CE0885">
        <w:rPr>
          <w:spacing w:val="-1"/>
          <w:lang w:eastAsia="en-GB"/>
        </w:rPr>
        <w:t>n</w:t>
      </w:r>
      <w:r w:rsidRPr="00CE0885">
        <w:rPr>
          <w:lang w:eastAsia="en-GB"/>
        </w:rPr>
        <w:t>e</w:t>
      </w:r>
      <w:r w:rsidRPr="00CE0885">
        <w:rPr>
          <w:spacing w:val="-1"/>
          <w:lang w:eastAsia="en-GB"/>
        </w:rPr>
        <w:t>r</w:t>
      </w:r>
      <w:r w:rsidRPr="00CE0885">
        <w:rPr>
          <w:lang w:eastAsia="en-GB"/>
        </w:rPr>
        <w:t>s</w:t>
      </w:r>
      <w:r w:rsidRPr="00CE0885">
        <w:rPr>
          <w:spacing w:val="-1"/>
          <w:lang w:eastAsia="en-GB"/>
        </w:rPr>
        <w:t>h</w:t>
      </w:r>
      <w:r w:rsidRPr="00CE0885">
        <w:rPr>
          <w:lang w:eastAsia="en-GB"/>
        </w:rPr>
        <w:t>ip. Where the contractor contacts the Commissioner about such a change, the Commissioner should send Annex 3A.</w:t>
      </w:r>
      <w:bookmarkEnd w:id="594"/>
    </w:p>
    <w:p w14:paraId="2D6FCE35" w14:textId="77777777" w:rsidR="00977693" w:rsidRPr="00CE0885" w:rsidRDefault="00977693" w:rsidP="006B781A">
      <w:pPr>
        <w:pStyle w:val="Heading3"/>
        <w:rPr>
          <w:lang w:eastAsia="en-GB"/>
        </w:rPr>
      </w:pPr>
      <w:bookmarkStart w:id="595" w:name="_Toc440981747"/>
      <w:r w:rsidRPr="00CE0885">
        <w:rPr>
          <w:lang w:eastAsia="en-GB"/>
        </w:rPr>
        <w:lastRenderedPageBreak/>
        <w:t>The Commissioner</w:t>
      </w:r>
      <w:r w:rsidRPr="00CE0885">
        <w:rPr>
          <w:spacing w:val="-6"/>
          <w:lang w:eastAsia="en-GB"/>
        </w:rPr>
        <w:t xml:space="preserve"> </w:t>
      </w:r>
      <w:r w:rsidRPr="00CE0885">
        <w:rPr>
          <w:spacing w:val="2"/>
          <w:lang w:eastAsia="en-GB"/>
        </w:rPr>
        <w:t>m</w:t>
      </w:r>
      <w:r w:rsidRPr="00CE0885">
        <w:rPr>
          <w:lang w:eastAsia="en-GB"/>
        </w:rPr>
        <w:t>u</w:t>
      </w:r>
      <w:r w:rsidRPr="00CE0885">
        <w:rPr>
          <w:spacing w:val="-2"/>
          <w:lang w:eastAsia="en-GB"/>
        </w:rPr>
        <w:t>s</w:t>
      </w:r>
      <w:r w:rsidRPr="00CE0885">
        <w:rPr>
          <w:lang w:eastAsia="en-GB"/>
        </w:rPr>
        <w:t>t</w:t>
      </w:r>
      <w:r w:rsidRPr="00CE0885">
        <w:rPr>
          <w:spacing w:val="-4"/>
          <w:lang w:eastAsia="en-GB"/>
        </w:rPr>
        <w:t xml:space="preserve"> </w:t>
      </w:r>
      <w:r w:rsidRPr="00CE0885">
        <w:rPr>
          <w:spacing w:val="-1"/>
          <w:lang w:eastAsia="en-GB"/>
        </w:rPr>
        <w:t>e</w:t>
      </w:r>
      <w:r w:rsidRPr="00CE0885">
        <w:rPr>
          <w:lang w:eastAsia="en-GB"/>
        </w:rPr>
        <w:t>nsu</w:t>
      </w:r>
      <w:r w:rsidRPr="00CE0885">
        <w:rPr>
          <w:spacing w:val="-1"/>
          <w:lang w:eastAsia="en-GB"/>
        </w:rPr>
        <w:t>r</w:t>
      </w:r>
      <w:r w:rsidRPr="00CE0885">
        <w:rPr>
          <w:lang w:eastAsia="en-GB"/>
        </w:rPr>
        <w:t>e</w:t>
      </w:r>
      <w:r w:rsidRPr="00CE0885">
        <w:rPr>
          <w:spacing w:val="-8"/>
          <w:lang w:eastAsia="en-GB"/>
        </w:rPr>
        <w:t xml:space="preserve"> </w:t>
      </w:r>
      <w:r w:rsidRPr="00CE0885">
        <w:rPr>
          <w:lang w:eastAsia="en-GB"/>
        </w:rPr>
        <w:t>the</w:t>
      </w:r>
      <w:r w:rsidRPr="00CE0885">
        <w:rPr>
          <w:spacing w:val="-4"/>
          <w:lang w:eastAsia="en-GB"/>
        </w:rPr>
        <w:t xml:space="preserve"> </w:t>
      </w:r>
      <w:r w:rsidRPr="00CE0885">
        <w:rPr>
          <w:spacing w:val="-1"/>
          <w:lang w:eastAsia="en-GB"/>
        </w:rPr>
        <w:t>a</w:t>
      </w:r>
      <w:r w:rsidRPr="00CE0885">
        <w:rPr>
          <w:lang w:eastAsia="en-GB"/>
        </w:rPr>
        <w:t>ccu</w:t>
      </w:r>
      <w:r w:rsidRPr="00CE0885">
        <w:rPr>
          <w:spacing w:val="-1"/>
          <w:lang w:eastAsia="en-GB"/>
        </w:rPr>
        <w:t>r</w:t>
      </w:r>
      <w:r w:rsidRPr="00CE0885">
        <w:rPr>
          <w:lang w:eastAsia="en-GB"/>
        </w:rPr>
        <w:t>acy</w:t>
      </w:r>
      <w:r w:rsidRPr="00CE0885">
        <w:rPr>
          <w:spacing w:val="-12"/>
          <w:lang w:eastAsia="en-GB"/>
        </w:rPr>
        <w:t xml:space="preserve"> </w:t>
      </w:r>
      <w:r w:rsidRPr="00CE0885">
        <w:rPr>
          <w:lang w:eastAsia="en-GB"/>
        </w:rPr>
        <w:t>of</w:t>
      </w:r>
      <w:r w:rsidRPr="00CE0885">
        <w:rPr>
          <w:spacing w:val="-1"/>
          <w:lang w:eastAsia="en-GB"/>
        </w:rPr>
        <w:t xml:space="preserve"> </w:t>
      </w:r>
      <w:r w:rsidRPr="00CE0885">
        <w:rPr>
          <w:lang w:eastAsia="en-GB"/>
        </w:rPr>
        <w:t>the</w:t>
      </w:r>
      <w:r w:rsidRPr="00CE0885">
        <w:rPr>
          <w:spacing w:val="-4"/>
          <w:lang w:eastAsia="en-GB"/>
        </w:rPr>
        <w:t xml:space="preserve"> </w:t>
      </w:r>
      <w:r w:rsidRPr="00CE0885">
        <w:rPr>
          <w:lang w:eastAsia="en-GB"/>
        </w:rPr>
        <w:t>i</w:t>
      </w:r>
      <w:r w:rsidRPr="00CE0885">
        <w:rPr>
          <w:spacing w:val="-1"/>
          <w:lang w:eastAsia="en-GB"/>
        </w:rPr>
        <w:t>n</w:t>
      </w:r>
      <w:r w:rsidRPr="00CE0885">
        <w:rPr>
          <w:spacing w:val="3"/>
          <w:lang w:eastAsia="en-GB"/>
        </w:rPr>
        <w:t>f</w:t>
      </w:r>
      <w:r w:rsidRPr="00CE0885">
        <w:rPr>
          <w:lang w:eastAsia="en-GB"/>
        </w:rPr>
        <w:t>o</w:t>
      </w:r>
      <w:r w:rsidRPr="00CE0885">
        <w:rPr>
          <w:spacing w:val="-3"/>
          <w:lang w:eastAsia="en-GB"/>
        </w:rPr>
        <w:t>r</w:t>
      </w:r>
      <w:r w:rsidRPr="00CE0885">
        <w:rPr>
          <w:spacing w:val="2"/>
          <w:lang w:eastAsia="en-GB"/>
        </w:rPr>
        <w:t>m</w:t>
      </w:r>
      <w:r w:rsidRPr="00CE0885">
        <w:rPr>
          <w:lang w:eastAsia="en-GB"/>
        </w:rPr>
        <w:t>a</w:t>
      </w:r>
      <w:r w:rsidRPr="00CE0885">
        <w:rPr>
          <w:spacing w:val="-2"/>
          <w:lang w:eastAsia="en-GB"/>
        </w:rPr>
        <w:t>t</w:t>
      </w:r>
      <w:r w:rsidRPr="00CE0885">
        <w:rPr>
          <w:lang w:eastAsia="en-GB"/>
        </w:rPr>
        <w:t>ion</w:t>
      </w:r>
      <w:r w:rsidRPr="00CE0885">
        <w:rPr>
          <w:spacing w:val="-10"/>
          <w:lang w:eastAsia="en-GB"/>
        </w:rPr>
        <w:t xml:space="preserve"> </w:t>
      </w:r>
      <w:r w:rsidRPr="00CE0885">
        <w:rPr>
          <w:lang w:eastAsia="en-GB"/>
        </w:rPr>
        <w:t>p</w:t>
      </w:r>
      <w:r w:rsidRPr="00CE0885">
        <w:rPr>
          <w:spacing w:val="-1"/>
          <w:lang w:eastAsia="en-GB"/>
        </w:rPr>
        <w:t>r</w:t>
      </w:r>
      <w:r w:rsidRPr="00CE0885">
        <w:rPr>
          <w:lang w:eastAsia="en-GB"/>
        </w:rPr>
        <w:t>o</w:t>
      </w:r>
      <w:r w:rsidRPr="00CE0885">
        <w:rPr>
          <w:spacing w:val="-2"/>
          <w:lang w:eastAsia="en-GB"/>
        </w:rPr>
        <w:t>v</w:t>
      </w:r>
      <w:r w:rsidRPr="00CE0885">
        <w:rPr>
          <w:lang w:eastAsia="en-GB"/>
        </w:rPr>
        <w:t>ided.</w:t>
      </w:r>
      <w:r w:rsidRPr="00CE0885">
        <w:rPr>
          <w:spacing w:val="57"/>
          <w:lang w:eastAsia="en-GB"/>
        </w:rPr>
        <w:t xml:space="preserve"> </w:t>
      </w:r>
      <w:r w:rsidRPr="00CE0885">
        <w:rPr>
          <w:spacing w:val="2"/>
          <w:lang w:eastAsia="en-GB"/>
        </w:rPr>
        <w:t>T</w:t>
      </w:r>
      <w:r w:rsidRPr="00CE0885">
        <w:rPr>
          <w:lang w:eastAsia="en-GB"/>
        </w:rPr>
        <w:t>his</w:t>
      </w:r>
      <w:r w:rsidRPr="00CE0885">
        <w:rPr>
          <w:spacing w:val="-7"/>
          <w:lang w:eastAsia="en-GB"/>
        </w:rPr>
        <w:t xml:space="preserve"> </w:t>
      </w:r>
      <w:r w:rsidRPr="00CE0885">
        <w:rPr>
          <w:spacing w:val="2"/>
          <w:lang w:eastAsia="en-GB"/>
        </w:rPr>
        <w:t>m</w:t>
      </w:r>
      <w:r w:rsidRPr="00CE0885">
        <w:rPr>
          <w:lang w:eastAsia="en-GB"/>
        </w:rPr>
        <w:t>ay</w:t>
      </w:r>
      <w:r w:rsidRPr="00CE0885">
        <w:rPr>
          <w:spacing w:val="-7"/>
          <w:lang w:eastAsia="en-GB"/>
        </w:rPr>
        <w:t xml:space="preserve"> </w:t>
      </w:r>
      <w:r w:rsidRPr="00CE0885">
        <w:rPr>
          <w:lang w:eastAsia="en-GB"/>
        </w:rPr>
        <w:t>be</w:t>
      </w:r>
      <w:r w:rsidRPr="00CE0885">
        <w:rPr>
          <w:spacing w:val="-4"/>
          <w:lang w:eastAsia="en-GB"/>
        </w:rPr>
        <w:t xml:space="preserve"> </w:t>
      </w:r>
      <w:r w:rsidRPr="00CE0885">
        <w:rPr>
          <w:spacing w:val="-1"/>
          <w:lang w:eastAsia="en-GB"/>
        </w:rPr>
        <w:t>a</w:t>
      </w:r>
      <w:r w:rsidRPr="00CE0885">
        <w:rPr>
          <w:lang w:eastAsia="en-GB"/>
        </w:rPr>
        <w:t>chie</w:t>
      </w:r>
      <w:r w:rsidRPr="00CE0885">
        <w:rPr>
          <w:spacing w:val="-2"/>
          <w:lang w:eastAsia="en-GB"/>
        </w:rPr>
        <w:t>v</w:t>
      </w:r>
      <w:r w:rsidRPr="00CE0885">
        <w:rPr>
          <w:lang w:eastAsia="en-GB"/>
        </w:rPr>
        <w:t>ed,</w:t>
      </w:r>
      <w:r w:rsidRPr="00CE0885">
        <w:rPr>
          <w:spacing w:val="-11"/>
          <w:lang w:eastAsia="en-GB"/>
        </w:rPr>
        <w:t xml:space="preserve"> </w:t>
      </w:r>
      <w:r w:rsidRPr="00CE0885">
        <w:rPr>
          <w:spacing w:val="3"/>
          <w:lang w:eastAsia="en-GB"/>
        </w:rPr>
        <w:t>f</w:t>
      </w:r>
      <w:r w:rsidRPr="00CE0885">
        <w:rPr>
          <w:lang w:eastAsia="en-GB"/>
        </w:rPr>
        <w:t>or</w:t>
      </w:r>
      <w:r w:rsidRPr="00CE0885">
        <w:rPr>
          <w:spacing w:val="-6"/>
          <w:lang w:eastAsia="en-GB"/>
        </w:rPr>
        <w:t xml:space="preserve"> </w:t>
      </w:r>
      <w:r w:rsidRPr="00CE0885">
        <w:rPr>
          <w:lang w:eastAsia="en-GB"/>
        </w:rPr>
        <w:t>e</w:t>
      </w:r>
      <w:r w:rsidRPr="00CE0885">
        <w:rPr>
          <w:spacing w:val="-2"/>
          <w:lang w:eastAsia="en-GB"/>
        </w:rPr>
        <w:t>x</w:t>
      </w:r>
      <w:r w:rsidRPr="00CE0885">
        <w:rPr>
          <w:lang w:eastAsia="en-GB"/>
        </w:rPr>
        <w:t>a</w:t>
      </w:r>
      <w:r w:rsidRPr="00CE0885">
        <w:rPr>
          <w:spacing w:val="2"/>
          <w:lang w:eastAsia="en-GB"/>
        </w:rPr>
        <w:t>m</w:t>
      </w:r>
      <w:r w:rsidRPr="00CE0885">
        <w:rPr>
          <w:lang w:eastAsia="en-GB"/>
        </w:rPr>
        <w:t>ple,</w:t>
      </w:r>
      <w:r w:rsidRPr="00CE0885">
        <w:rPr>
          <w:spacing w:val="-14"/>
          <w:lang w:eastAsia="en-GB"/>
        </w:rPr>
        <w:t xml:space="preserve"> </w:t>
      </w:r>
      <w:r w:rsidRPr="00CE0885">
        <w:rPr>
          <w:lang w:eastAsia="en-GB"/>
        </w:rPr>
        <w:t>by</w:t>
      </w:r>
      <w:r w:rsidRPr="00CE0885">
        <w:rPr>
          <w:spacing w:val="-5"/>
          <w:lang w:eastAsia="en-GB"/>
        </w:rPr>
        <w:t xml:space="preserve"> </w:t>
      </w:r>
      <w:r w:rsidRPr="00CE0885">
        <w:rPr>
          <w:lang w:eastAsia="en-GB"/>
        </w:rPr>
        <w:t>checking</w:t>
      </w:r>
      <w:r w:rsidRPr="00CE0885">
        <w:rPr>
          <w:spacing w:val="-10"/>
          <w:lang w:eastAsia="en-GB"/>
        </w:rPr>
        <w:t xml:space="preserve"> </w:t>
      </w:r>
      <w:r w:rsidRPr="00CE0885">
        <w:rPr>
          <w:lang w:eastAsia="en-GB"/>
        </w:rPr>
        <w:t xml:space="preserve">the </w:t>
      </w:r>
      <w:r w:rsidRPr="00CE0885">
        <w:rPr>
          <w:spacing w:val="-1"/>
          <w:lang w:eastAsia="en-GB"/>
        </w:rPr>
        <w:t>r</w:t>
      </w:r>
      <w:r w:rsidRPr="00CE0885">
        <w:rPr>
          <w:lang w:eastAsia="en-GB"/>
        </w:rPr>
        <w:t>e</w:t>
      </w:r>
      <w:r w:rsidRPr="00CE0885">
        <w:rPr>
          <w:spacing w:val="-1"/>
          <w:lang w:eastAsia="en-GB"/>
        </w:rPr>
        <w:t>g</w:t>
      </w:r>
      <w:r w:rsidRPr="00CE0885">
        <w:rPr>
          <w:lang w:eastAsia="en-GB"/>
        </w:rPr>
        <w:t>ist</w:t>
      </w:r>
      <w:r w:rsidRPr="00CE0885">
        <w:rPr>
          <w:spacing w:val="-1"/>
          <w:lang w:eastAsia="en-GB"/>
        </w:rPr>
        <w:t>r</w:t>
      </w:r>
      <w:r w:rsidRPr="00CE0885">
        <w:rPr>
          <w:lang w:eastAsia="en-GB"/>
        </w:rPr>
        <w:t>ation</w:t>
      </w:r>
      <w:r w:rsidRPr="00CE0885">
        <w:rPr>
          <w:spacing w:val="-10"/>
          <w:lang w:eastAsia="en-GB"/>
        </w:rPr>
        <w:t xml:space="preserve"> </w:t>
      </w:r>
      <w:r w:rsidRPr="00CE0885">
        <w:rPr>
          <w:lang w:eastAsia="en-GB"/>
        </w:rPr>
        <w:t>sta</w:t>
      </w:r>
      <w:r w:rsidRPr="00CE0885">
        <w:rPr>
          <w:spacing w:val="-2"/>
          <w:lang w:eastAsia="en-GB"/>
        </w:rPr>
        <w:t>t</w:t>
      </w:r>
      <w:r w:rsidRPr="00CE0885">
        <w:rPr>
          <w:lang w:eastAsia="en-GB"/>
        </w:rPr>
        <w:t>us</w:t>
      </w:r>
      <w:r w:rsidRPr="00CE0885">
        <w:rPr>
          <w:spacing w:val="-6"/>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p</w:t>
      </w:r>
      <w:r w:rsidRPr="00CE0885">
        <w:rPr>
          <w:spacing w:val="-1"/>
          <w:lang w:eastAsia="en-GB"/>
        </w:rPr>
        <w:t>r</w:t>
      </w:r>
      <w:r w:rsidRPr="00CE0885">
        <w:rPr>
          <w:lang w:eastAsia="en-GB"/>
        </w:rPr>
        <w:t>o</w:t>
      </w:r>
      <w:r w:rsidRPr="00CE0885">
        <w:rPr>
          <w:spacing w:val="-1"/>
          <w:lang w:eastAsia="en-GB"/>
        </w:rPr>
        <w:t>p</w:t>
      </w:r>
      <w:r w:rsidRPr="00CE0885">
        <w:rPr>
          <w:lang w:eastAsia="en-GB"/>
        </w:rPr>
        <w:t>os</w:t>
      </w:r>
      <w:r w:rsidRPr="00CE0885">
        <w:rPr>
          <w:spacing w:val="-1"/>
          <w:lang w:eastAsia="en-GB"/>
        </w:rPr>
        <w:t>e</w:t>
      </w:r>
      <w:r w:rsidRPr="00CE0885">
        <w:rPr>
          <w:lang w:eastAsia="en-GB"/>
        </w:rPr>
        <w:t>d</w:t>
      </w:r>
      <w:r w:rsidRPr="00CE0885">
        <w:rPr>
          <w:spacing w:val="-8"/>
          <w:lang w:eastAsia="en-GB"/>
        </w:rPr>
        <w:t xml:space="preserve"> </w:t>
      </w:r>
      <w:r w:rsidRPr="00CE0885">
        <w:rPr>
          <w:spacing w:val="-1"/>
          <w:lang w:eastAsia="en-GB"/>
        </w:rPr>
        <w:t>p</w:t>
      </w:r>
      <w:r w:rsidRPr="00CE0885">
        <w:rPr>
          <w:lang w:eastAsia="en-GB"/>
        </w:rPr>
        <w:t>a</w:t>
      </w:r>
      <w:r w:rsidRPr="00CE0885">
        <w:rPr>
          <w:spacing w:val="-1"/>
          <w:lang w:eastAsia="en-GB"/>
        </w:rPr>
        <w:t>r</w:t>
      </w:r>
      <w:r w:rsidRPr="00CE0885">
        <w:rPr>
          <w:lang w:eastAsia="en-GB"/>
        </w:rPr>
        <w:t>tne</w:t>
      </w:r>
      <w:r w:rsidRPr="00CE0885">
        <w:rPr>
          <w:spacing w:val="-1"/>
          <w:lang w:eastAsia="en-GB"/>
        </w:rPr>
        <w:t>r(</w:t>
      </w:r>
      <w:r w:rsidRPr="00CE0885">
        <w:rPr>
          <w:lang w:eastAsia="en-GB"/>
        </w:rPr>
        <w:t>s)</w:t>
      </w:r>
      <w:r w:rsidRPr="00CE0885">
        <w:rPr>
          <w:spacing w:val="-13"/>
          <w:lang w:eastAsia="en-GB"/>
        </w:rPr>
        <w:t xml:space="preserve"> </w:t>
      </w:r>
      <w:r w:rsidRPr="00CE0885">
        <w:rPr>
          <w:lang w:eastAsia="en-GB"/>
        </w:rPr>
        <w:t>and</w:t>
      </w:r>
      <w:r w:rsidRPr="00CE0885">
        <w:rPr>
          <w:spacing w:val="-5"/>
          <w:lang w:eastAsia="en-GB"/>
        </w:rPr>
        <w:t xml:space="preserve"> </w:t>
      </w:r>
      <w:r w:rsidRPr="00CE0885">
        <w:rPr>
          <w:lang w:eastAsia="en-GB"/>
        </w:rPr>
        <w:t>th</w:t>
      </w:r>
      <w:r w:rsidRPr="00CE0885">
        <w:rPr>
          <w:spacing w:val="-1"/>
          <w:lang w:eastAsia="en-GB"/>
        </w:rPr>
        <w:t>a</w:t>
      </w:r>
      <w:r w:rsidRPr="00CE0885">
        <w:rPr>
          <w:lang w:eastAsia="en-GB"/>
        </w:rPr>
        <w:t>t</w:t>
      </w:r>
      <w:r w:rsidRPr="00CE0885">
        <w:rPr>
          <w:spacing w:val="-3"/>
          <w:lang w:eastAsia="en-GB"/>
        </w:rPr>
        <w:t xml:space="preserve"> </w:t>
      </w:r>
      <w:r w:rsidRPr="00CE0885">
        <w:rPr>
          <w:lang w:eastAsia="en-GB"/>
        </w:rPr>
        <w:t>t</w:t>
      </w:r>
      <w:r w:rsidRPr="00CE0885">
        <w:rPr>
          <w:spacing w:val="-1"/>
          <w:lang w:eastAsia="en-GB"/>
        </w:rPr>
        <w:t>h</w:t>
      </w:r>
      <w:r w:rsidRPr="00CE0885">
        <w:rPr>
          <w:lang w:eastAsia="en-GB"/>
        </w:rPr>
        <w:t>e p</w:t>
      </w:r>
      <w:r w:rsidRPr="00CE0885">
        <w:rPr>
          <w:spacing w:val="-1"/>
          <w:lang w:eastAsia="en-GB"/>
        </w:rPr>
        <w:t>r</w:t>
      </w:r>
      <w:r w:rsidRPr="00CE0885">
        <w:rPr>
          <w:lang w:eastAsia="en-GB"/>
        </w:rPr>
        <w:t>opo</w:t>
      </w:r>
      <w:r w:rsidRPr="00CE0885">
        <w:rPr>
          <w:spacing w:val="-2"/>
          <w:lang w:eastAsia="en-GB"/>
        </w:rPr>
        <w:t>s</w:t>
      </w:r>
      <w:r w:rsidRPr="00CE0885">
        <w:rPr>
          <w:lang w:eastAsia="en-GB"/>
        </w:rPr>
        <w:t>ed</w:t>
      </w:r>
      <w:r w:rsidRPr="00CE0885">
        <w:rPr>
          <w:spacing w:val="-11"/>
          <w:lang w:eastAsia="en-GB"/>
        </w:rPr>
        <w:t xml:space="preserve"> </w:t>
      </w:r>
      <w:r w:rsidRPr="00CE0885">
        <w:rPr>
          <w:lang w:eastAsia="en-GB"/>
        </w:rPr>
        <w:t>pa</w:t>
      </w:r>
      <w:r w:rsidRPr="00CE0885">
        <w:rPr>
          <w:spacing w:val="-1"/>
          <w:lang w:eastAsia="en-GB"/>
        </w:rPr>
        <w:t>r</w:t>
      </w:r>
      <w:r w:rsidRPr="00CE0885">
        <w:rPr>
          <w:lang w:eastAsia="en-GB"/>
        </w:rPr>
        <w:t>t</w:t>
      </w:r>
      <w:r w:rsidRPr="00CE0885">
        <w:rPr>
          <w:spacing w:val="-1"/>
          <w:lang w:eastAsia="en-GB"/>
        </w:rPr>
        <w:t>n</w:t>
      </w:r>
      <w:r w:rsidRPr="00CE0885">
        <w:rPr>
          <w:lang w:eastAsia="en-GB"/>
        </w:rPr>
        <w:t>e</w:t>
      </w:r>
      <w:r w:rsidRPr="00CE0885">
        <w:rPr>
          <w:spacing w:val="-1"/>
          <w:lang w:eastAsia="en-GB"/>
        </w:rPr>
        <w:t>r(</w:t>
      </w:r>
      <w:r w:rsidRPr="00CE0885">
        <w:rPr>
          <w:lang w:eastAsia="en-GB"/>
        </w:rPr>
        <w:t>s)</w:t>
      </w:r>
      <w:r w:rsidRPr="00CE0885">
        <w:rPr>
          <w:spacing w:val="-10"/>
          <w:lang w:eastAsia="en-GB"/>
        </w:rPr>
        <w:t xml:space="preserve"> </w:t>
      </w:r>
      <w:r w:rsidRPr="00CE0885">
        <w:rPr>
          <w:spacing w:val="-1"/>
          <w:lang w:eastAsia="en-GB"/>
        </w:rPr>
        <w:t>m</w:t>
      </w:r>
      <w:r w:rsidRPr="00CE0885">
        <w:rPr>
          <w:lang w:eastAsia="en-GB"/>
        </w:rPr>
        <w:t>eet</w:t>
      </w:r>
      <w:r w:rsidRPr="00CE0885">
        <w:rPr>
          <w:spacing w:val="-4"/>
          <w:lang w:eastAsia="en-GB"/>
        </w:rPr>
        <w:t xml:space="preserve"> </w:t>
      </w:r>
      <w:r w:rsidRPr="00CE0885">
        <w:rPr>
          <w:spacing w:val="-2"/>
          <w:lang w:eastAsia="en-GB"/>
        </w:rPr>
        <w:t>t</w:t>
      </w:r>
      <w:r w:rsidRPr="00CE0885">
        <w:rPr>
          <w:lang w:eastAsia="en-GB"/>
        </w:rPr>
        <w:t>he</w:t>
      </w:r>
      <w:r w:rsidRPr="00CE0885">
        <w:rPr>
          <w:spacing w:val="-4"/>
          <w:lang w:eastAsia="en-GB"/>
        </w:rPr>
        <w:t xml:space="preserve"> </w:t>
      </w:r>
      <w:r w:rsidRPr="00CE0885">
        <w:rPr>
          <w:lang w:eastAsia="en-GB"/>
        </w:rPr>
        <w:t>eli</w:t>
      </w:r>
      <w:r w:rsidRPr="00CE0885">
        <w:rPr>
          <w:spacing w:val="-1"/>
          <w:lang w:eastAsia="en-GB"/>
        </w:rPr>
        <w:t>g</w:t>
      </w:r>
      <w:r w:rsidRPr="00CE0885">
        <w:rPr>
          <w:lang w:eastAsia="en-GB"/>
        </w:rPr>
        <w:t>ibili</w:t>
      </w:r>
      <w:r w:rsidRPr="00CE0885">
        <w:rPr>
          <w:spacing w:val="3"/>
          <w:lang w:eastAsia="en-GB"/>
        </w:rPr>
        <w:t>t</w:t>
      </w:r>
      <w:r w:rsidRPr="00CE0885">
        <w:rPr>
          <w:lang w:eastAsia="en-GB"/>
        </w:rPr>
        <w:t>y</w:t>
      </w:r>
      <w:r w:rsidRPr="00CE0885">
        <w:rPr>
          <w:spacing w:val="-11"/>
          <w:lang w:eastAsia="en-GB"/>
        </w:rPr>
        <w:t xml:space="preserve"> </w:t>
      </w:r>
      <w:r w:rsidRPr="00CE0885">
        <w:rPr>
          <w:lang w:eastAsia="en-GB"/>
        </w:rPr>
        <w:t>c</w:t>
      </w:r>
      <w:r w:rsidRPr="00CE0885">
        <w:rPr>
          <w:spacing w:val="-1"/>
          <w:lang w:eastAsia="en-GB"/>
        </w:rPr>
        <w:t>r</w:t>
      </w:r>
      <w:r w:rsidRPr="00CE0885">
        <w:rPr>
          <w:lang w:eastAsia="en-GB"/>
        </w:rPr>
        <w:t>ite</w:t>
      </w:r>
      <w:r w:rsidRPr="00CE0885">
        <w:rPr>
          <w:spacing w:val="-1"/>
          <w:lang w:eastAsia="en-GB"/>
        </w:rPr>
        <w:t>r</w:t>
      </w:r>
      <w:r w:rsidRPr="00CE0885">
        <w:rPr>
          <w:spacing w:val="2"/>
          <w:lang w:eastAsia="en-GB"/>
        </w:rPr>
        <w:t>i</w:t>
      </w:r>
      <w:r w:rsidRPr="00CE0885">
        <w:rPr>
          <w:lang w:eastAsia="en-GB"/>
        </w:rPr>
        <w:t>a</w:t>
      </w:r>
      <w:r w:rsidRPr="00CE0885">
        <w:rPr>
          <w:spacing w:val="-8"/>
          <w:lang w:eastAsia="en-GB"/>
        </w:rPr>
        <w:t xml:space="preserve"> </w:t>
      </w:r>
      <w:r w:rsidRPr="00CE0885">
        <w:rPr>
          <w:spacing w:val="3"/>
          <w:lang w:eastAsia="en-GB"/>
        </w:rPr>
        <w:t>f</w:t>
      </w:r>
      <w:r w:rsidRPr="00CE0885">
        <w:rPr>
          <w:lang w:eastAsia="en-GB"/>
        </w:rPr>
        <w:t>or</w:t>
      </w:r>
      <w:r w:rsidRPr="00CE0885">
        <w:rPr>
          <w:spacing w:val="-3"/>
          <w:lang w:eastAsia="en-GB"/>
        </w:rPr>
        <w:t xml:space="preserve"> </w:t>
      </w:r>
      <w:r w:rsidRPr="00CE0885">
        <w:rPr>
          <w:spacing w:val="-1"/>
          <w:lang w:eastAsia="en-GB"/>
        </w:rPr>
        <w:t>h</w:t>
      </w:r>
      <w:r w:rsidRPr="00CE0885">
        <w:rPr>
          <w:lang w:eastAsia="en-GB"/>
        </w:rPr>
        <w:t>olding</w:t>
      </w:r>
      <w:r w:rsidRPr="00CE0885">
        <w:rPr>
          <w:spacing w:val="-9"/>
          <w:lang w:eastAsia="en-GB"/>
        </w:rPr>
        <w:t xml:space="preserve"> </w:t>
      </w:r>
      <w:r w:rsidRPr="00CE0885">
        <w:rPr>
          <w:lang w:eastAsia="en-GB"/>
        </w:rPr>
        <w:t>a</w:t>
      </w:r>
      <w:r w:rsidRPr="00CE0885">
        <w:rPr>
          <w:spacing w:val="-2"/>
          <w:lang w:eastAsia="en-GB"/>
        </w:rPr>
        <w:t xml:space="preserve"> </w:t>
      </w:r>
      <w:r w:rsidRPr="00CE0885">
        <w:rPr>
          <w:lang w:eastAsia="en-GB"/>
        </w:rPr>
        <w:t>G</w:t>
      </w:r>
      <w:r w:rsidRPr="00CE0885">
        <w:rPr>
          <w:spacing w:val="-1"/>
          <w:lang w:eastAsia="en-GB"/>
        </w:rPr>
        <w:t>M</w:t>
      </w:r>
      <w:r w:rsidRPr="00CE0885">
        <w:rPr>
          <w:lang w:eastAsia="en-GB"/>
        </w:rPr>
        <w:t>S cont</w:t>
      </w:r>
      <w:r w:rsidRPr="00CE0885">
        <w:rPr>
          <w:spacing w:val="-1"/>
          <w:lang w:eastAsia="en-GB"/>
        </w:rPr>
        <w:t>r</w:t>
      </w:r>
      <w:r w:rsidRPr="00CE0885">
        <w:rPr>
          <w:lang w:eastAsia="en-GB"/>
        </w:rPr>
        <w:t>act</w:t>
      </w:r>
      <w:r w:rsidRPr="00CE0885">
        <w:rPr>
          <w:spacing w:val="-3"/>
          <w:lang w:eastAsia="en-GB"/>
        </w:rPr>
        <w:t>.</w:t>
      </w:r>
      <w:bookmarkEnd w:id="595"/>
    </w:p>
    <w:p w14:paraId="354689F1" w14:textId="77777777" w:rsidR="00977693" w:rsidRPr="00CE0885" w:rsidRDefault="00977693" w:rsidP="006B781A">
      <w:pPr>
        <w:pStyle w:val="Heading3"/>
        <w:rPr>
          <w:lang w:eastAsia="en-GB"/>
        </w:rPr>
      </w:pPr>
      <w:bookmarkStart w:id="596" w:name="_Toc440981748"/>
      <w:r w:rsidRPr="00CE0885">
        <w:rPr>
          <w:lang w:eastAsia="en-GB"/>
        </w:rPr>
        <w:t>Where the change is agreed, the Commissioner</w:t>
      </w:r>
      <w:r w:rsidRPr="00CE0885">
        <w:rPr>
          <w:spacing w:val="-4"/>
          <w:lang w:eastAsia="en-GB"/>
        </w:rPr>
        <w:t xml:space="preserve"> </w:t>
      </w:r>
      <w:r w:rsidRPr="00CE0885">
        <w:rPr>
          <w:lang w:eastAsia="en-GB"/>
        </w:rPr>
        <w:t>will</w:t>
      </w:r>
      <w:r w:rsidRPr="00CE0885">
        <w:rPr>
          <w:spacing w:val="-5"/>
          <w:lang w:eastAsia="en-GB"/>
        </w:rPr>
        <w:t xml:space="preserve"> </w:t>
      </w:r>
      <w:r w:rsidRPr="00CE0885">
        <w:rPr>
          <w:lang w:eastAsia="en-GB"/>
        </w:rPr>
        <w:t>c</w:t>
      </w:r>
      <w:r w:rsidRPr="00CE0885">
        <w:rPr>
          <w:spacing w:val="-1"/>
          <w:lang w:eastAsia="en-GB"/>
        </w:rPr>
        <w:t>on</w:t>
      </w:r>
      <w:r w:rsidRPr="00CE0885">
        <w:rPr>
          <w:spacing w:val="3"/>
          <w:lang w:eastAsia="en-GB"/>
        </w:rPr>
        <w:t>f</w:t>
      </w:r>
      <w:r w:rsidRPr="00CE0885">
        <w:rPr>
          <w:lang w:eastAsia="en-GB"/>
        </w:rPr>
        <w:t>i</w:t>
      </w:r>
      <w:r w:rsidRPr="00CE0885">
        <w:rPr>
          <w:spacing w:val="-1"/>
          <w:lang w:eastAsia="en-GB"/>
        </w:rPr>
        <w:t>r</w:t>
      </w:r>
      <w:r w:rsidRPr="00CE0885">
        <w:rPr>
          <w:lang w:eastAsia="en-GB"/>
        </w:rPr>
        <w:t>m</w:t>
      </w:r>
      <w:r w:rsidRPr="00CE0885">
        <w:rPr>
          <w:spacing w:val="-6"/>
          <w:lang w:eastAsia="en-GB"/>
        </w:rPr>
        <w:t xml:space="preserve"> </w:t>
      </w:r>
      <w:r w:rsidRPr="00CE0885">
        <w:rPr>
          <w:lang w:eastAsia="en-GB"/>
        </w:rPr>
        <w:t>in</w:t>
      </w:r>
      <w:r w:rsidRPr="00CE0885">
        <w:rPr>
          <w:spacing w:val="-3"/>
          <w:lang w:eastAsia="en-GB"/>
        </w:rPr>
        <w:t xml:space="preserve"> w</w:t>
      </w:r>
      <w:r w:rsidRPr="00CE0885">
        <w:rPr>
          <w:spacing w:val="2"/>
          <w:lang w:eastAsia="en-GB"/>
        </w:rPr>
        <w:t>r</w:t>
      </w:r>
      <w:r w:rsidRPr="00CE0885">
        <w:rPr>
          <w:lang w:eastAsia="en-GB"/>
        </w:rPr>
        <w:t>iting</w:t>
      </w:r>
      <w:r w:rsidRPr="00CE0885">
        <w:rPr>
          <w:spacing w:val="-8"/>
          <w:lang w:eastAsia="en-GB"/>
        </w:rPr>
        <w:t xml:space="preserve"> </w:t>
      </w:r>
      <w:r w:rsidRPr="00CE0885">
        <w:rPr>
          <w:lang w:eastAsia="en-GB"/>
        </w:rPr>
        <w:t>that</w:t>
      </w:r>
      <w:r w:rsidRPr="00CE0885">
        <w:rPr>
          <w:spacing w:val="-3"/>
          <w:lang w:eastAsia="en-GB"/>
        </w:rPr>
        <w:t xml:space="preserve"> </w:t>
      </w:r>
      <w:r w:rsidRPr="00CE0885">
        <w:rPr>
          <w:spacing w:val="-2"/>
          <w:lang w:eastAsia="en-GB"/>
        </w:rPr>
        <w:t>t</w:t>
      </w:r>
      <w:r w:rsidRPr="00CE0885">
        <w:rPr>
          <w:lang w:eastAsia="en-GB"/>
        </w:rPr>
        <w:t>he</w:t>
      </w:r>
      <w:r w:rsidRPr="00CE0885">
        <w:rPr>
          <w:spacing w:val="-4"/>
          <w:lang w:eastAsia="en-GB"/>
        </w:rPr>
        <w:t xml:space="preserve"> </w:t>
      </w:r>
      <w:r w:rsidRPr="00CE0885">
        <w:rPr>
          <w:lang w:eastAsia="en-GB"/>
        </w:rPr>
        <w:t>contract will continue with the partnership</w:t>
      </w:r>
      <w:r w:rsidRPr="00CE0885">
        <w:rPr>
          <w:spacing w:val="-10"/>
          <w:lang w:eastAsia="en-GB"/>
        </w:rPr>
        <w:t xml:space="preserve"> </w:t>
      </w:r>
      <w:r w:rsidRPr="00CE0885">
        <w:rPr>
          <w:lang w:eastAsia="en-GB"/>
        </w:rPr>
        <w:t>and</w:t>
      </w:r>
      <w:r w:rsidRPr="00CE0885">
        <w:rPr>
          <w:spacing w:val="-5"/>
          <w:lang w:eastAsia="en-GB"/>
        </w:rPr>
        <w:t xml:space="preserve"> </w:t>
      </w:r>
      <w:r w:rsidRPr="00CE0885">
        <w:rPr>
          <w:lang w:eastAsia="en-GB"/>
        </w:rPr>
        <w:t>issue</w:t>
      </w:r>
      <w:r w:rsidRPr="00CE0885">
        <w:rPr>
          <w:spacing w:val="-7"/>
          <w:lang w:eastAsia="en-GB"/>
        </w:rPr>
        <w:t xml:space="preserve"> </w:t>
      </w:r>
      <w:r w:rsidRPr="00CE0885">
        <w:rPr>
          <w:lang w:eastAsia="en-GB"/>
        </w:rPr>
        <w:t xml:space="preserve">a </w:t>
      </w:r>
      <w:r w:rsidRPr="00CE0885">
        <w:rPr>
          <w:spacing w:val="-2"/>
          <w:lang w:eastAsia="en-GB"/>
        </w:rPr>
        <w:t>v</w:t>
      </w:r>
      <w:r w:rsidRPr="00CE0885">
        <w:rPr>
          <w:lang w:eastAsia="en-GB"/>
        </w:rPr>
        <w:t>a</w:t>
      </w:r>
      <w:r w:rsidRPr="00CE0885">
        <w:rPr>
          <w:spacing w:val="-1"/>
          <w:lang w:eastAsia="en-GB"/>
        </w:rPr>
        <w:t>r</w:t>
      </w:r>
      <w:r w:rsidRPr="00CE0885">
        <w:rPr>
          <w:lang w:eastAsia="en-GB"/>
        </w:rPr>
        <w:t>iation</w:t>
      </w:r>
      <w:r w:rsidRPr="00CE0885">
        <w:rPr>
          <w:spacing w:val="-7"/>
          <w:lang w:eastAsia="en-GB"/>
        </w:rPr>
        <w:t xml:space="preserve"> </w:t>
      </w:r>
      <w:r w:rsidRPr="00CE0885">
        <w:rPr>
          <w:lang w:eastAsia="en-GB"/>
        </w:rPr>
        <w:t>notice</w:t>
      </w:r>
      <w:r w:rsidRPr="00CE0885">
        <w:rPr>
          <w:spacing w:val="-12"/>
          <w:lang w:eastAsia="en-GB"/>
        </w:rPr>
        <w:t xml:space="preserve"> </w:t>
      </w:r>
      <w:r w:rsidRPr="00CE0885">
        <w:rPr>
          <w:lang w:eastAsia="en-GB"/>
        </w:rPr>
        <w:t>acco</w:t>
      </w:r>
      <w:r w:rsidRPr="00CE0885">
        <w:rPr>
          <w:spacing w:val="-1"/>
          <w:lang w:eastAsia="en-GB"/>
        </w:rPr>
        <w:t>r</w:t>
      </w:r>
      <w:r w:rsidRPr="00CE0885">
        <w:rPr>
          <w:lang w:eastAsia="en-GB"/>
        </w:rPr>
        <w:t>d</w:t>
      </w:r>
      <w:r w:rsidRPr="00CE0885">
        <w:rPr>
          <w:spacing w:val="-3"/>
          <w:lang w:eastAsia="en-GB"/>
        </w:rPr>
        <w:t>i</w:t>
      </w:r>
      <w:r w:rsidRPr="00CE0885">
        <w:rPr>
          <w:lang w:eastAsia="en-GB"/>
        </w:rPr>
        <w:t>n</w:t>
      </w:r>
      <w:r w:rsidRPr="00CE0885">
        <w:rPr>
          <w:spacing w:val="-1"/>
          <w:lang w:eastAsia="en-GB"/>
        </w:rPr>
        <w:t>g</w:t>
      </w:r>
      <w:r w:rsidRPr="00CE0885">
        <w:rPr>
          <w:lang w:eastAsia="en-GB"/>
        </w:rPr>
        <w:t>ly</w:t>
      </w:r>
      <w:r w:rsidRPr="00CE0885">
        <w:rPr>
          <w:spacing w:val="-14"/>
          <w:lang w:eastAsia="en-GB"/>
        </w:rPr>
        <w:t xml:space="preserve"> </w:t>
      </w:r>
      <w:r w:rsidRPr="00CE0885">
        <w:rPr>
          <w:lang w:eastAsia="en-GB"/>
        </w:rPr>
        <w:t>to a</w:t>
      </w:r>
      <w:r w:rsidRPr="00CE0885">
        <w:rPr>
          <w:spacing w:val="2"/>
          <w:lang w:eastAsia="en-GB"/>
        </w:rPr>
        <w:t>m</w:t>
      </w:r>
      <w:r w:rsidRPr="00CE0885">
        <w:rPr>
          <w:spacing w:val="-1"/>
          <w:lang w:eastAsia="en-GB"/>
        </w:rPr>
        <w:t>e</w:t>
      </w:r>
      <w:r w:rsidRPr="00CE0885">
        <w:rPr>
          <w:lang w:eastAsia="en-GB"/>
        </w:rPr>
        <w:t>nd</w:t>
      </w:r>
      <w:r w:rsidRPr="00CE0885">
        <w:rPr>
          <w:spacing w:val="-5"/>
          <w:lang w:eastAsia="en-GB"/>
        </w:rPr>
        <w:t xml:space="preserve"> </w:t>
      </w:r>
      <w:r w:rsidRPr="00CE0885">
        <w:rPr>
          <w:spacing w:val="-2"/>
          <w:lang w:eastAsia="en-GB"/>
        </w:rPr>
        <w:t>t</w:t>
      </w:r>
      <w:r w:rsidRPr="00CE0885">
        <w:rPr>
          <w:lang w:eastAsia="en-GB"/>
        </w:rPr>
        <w:t>he</w:t>
      </w:r>
      <w:r w:rsidRPr="00CE0885">
        <w:rPr>
          <w:spacing w:val="-1"/>
          <w:lang w:eastAsia="en-GB"/>
        </w:rPr>
        <w:t xml:space="preserve"> r</w:t>
      </w:r>
      <w:r w:rsidRPr="00CE0885">
        <w:rPr>
          <w:lang w:eastAsia="en-GB"/>
        </w:rPr>
        <w:t>ele</w:t>
      </w:r>
      <w:r w:rsidRPr="00CE0885">
        <w:rPr>
          <w:spacing w:val="-2"/>
          <w:lang w:eastAsia="en-GB"/>
        </w:rPr>
        <w:t>v</w:t>
      </w:r>
      <w:r w:rsidRPr="00CE0885">
        <w:rPr>
          <w:lang w:eastAsia="en-GB"/>
        </w:rPr>
        <w:t>ant sections</w:t>
      </w:r>
      <w:r w:rsidRPr="00CE0885">
        <w:rPr>
          <w:spacing w:val="-11"/>
          <w:lang w:eastAsia="en-GB"/>
        </w:rPr>
        <w:t xml:space="preserve"> </w:t>
      </w:r>
      <w:r w:rsidRPr="00CE0885">
        <w:rPr>
          <w:spacing w:val="-1"/>
          <w:lang w:eastAsia="en-GB"/>
        </w:rPr>
        <w:t>o</w:t>
      </w:r>
      <w:r w:rsidRPr="00CE0885">
        <w:rPr>
          <w:lang w:eastAsia="en-GB"/>
        </w:rPr>
        <w:t xml:space="preserve">f </w:t>
      </w:r>
      <w:r w:rsidRPr="00CE0885">
        <w:rPr>
          <w:spacing w:val="-2"/>
          <w:lang w:eastAsia="en-GB"/>
        </w:rPr>
        <w:t>t</w:t>
      </w:r>
      <w:r w:rsidRPr="00CE0885">
        <w:rPr>
          <w:lang w:eastAsia="en-GB"/>
        </w:rPr>
        <w:t>he</w:t>
      </w:r>
      <w:r w:rsidRPr="00CE0885">
        <w:rPr>
          <w:spacing w:val="-1"/>
          <w:lang w:eastAsia="en-GB"/>
        </w:rPr>
        <w:t xml:space="preserve"> </w:t>
      </w:r>
      <w:r w:rsidRPr="00CE0885">
        <w:rPr>
          <w:spacing w:val="-2"/>
          <w:lang w:eastAsia="en-GB"/>
        </w:rPr>
        <w:t>c</w:t>
      </w:r>
      <w:r w:rsidRPr="00CE0885">
        <w:rPr>
          <w:lang w:eastAsia="en-GB"/>
        </w:rPr>
        <w:t>ont</w:t>
      </w:r>
      <w:r w:rsidRPr="00CE0885">
        <w:rPr>
          <w:spacing w:val="-1"/>
          <w:lang w:eastAsia="en-GB"/>
        </w:rPr>
        <w:t>r</w:t>
      </w:r>
      <w:r w:rsidRPr="00CE0885">
        <w:rPr>
          <w:lang w:eastAsia="en-GB"/>
        </w:rPr>
        <w:t>a</w:t>
      </w:r>
      <w:r w:rsidRPr="00CE0885">
        <w:rPr>
          <w:spacing w:val="-2"/>
          <w:lang w:eastAsia="en-GB"/>
        </w:rPr>
        <w:t>c</w:t>
      </w:r>
      <w:r w:rsidRPr="00CE0885">
        <w:rPr>
          <w:lang w:eastAsia="en-GB"/>
        </w:rPr>
        <w:t xml:space="preserve">t. </w:t>
      </w:r>
      <w:r w:rsidRPr="00CE0885">
        <w:rPr>
          <w:spacing w:val="2"/>
          <w:lang w:eastAsia="en-GB"/>
        </w:rPr>
        <w:t>T</w:t>
      </w:r>
      <w:r w:rsidRPr="00CE0885">
        <w:rPr>
          <w:spacing w:val="-1"/>
          <w:lang w:eastAsia="en-GB"/>
        </w:rPr>
        <w:t>h</w:t>
      </w:r>
      <w:r w:rsidRPr="00CE0885">
        <w:rPr>
          <w:lang w:eastAsia="en-GB"/>
        </w:rPr>
        <w:t>e</w:t>
      </w:r>
      <w:r w:rsidRPr="00CE0885">
        <w:rPr>
          <w:spacing w:val="-2"/>
          <w:lang w:eastAsia="en-GB"/>
        </w:rPr>
        <w:t xml:space="preserve"> Commissioner</w:t>
      </w:r>
      <w:r w:rsidRPr="00CE0885">
        <w:rPr>
          <w:spacing w:val="-6"/>
          <w:lang w:eastAsia="en-GB"/>
        </w:rPr>
        <w:t xml:space="preserve"> </w:t>
      </w:r>
      <w:r w:rsidRPr="00CE0885">
        <w:rPr>
          <w:spacing w:val="2"/>
          <w:lang w:eastAsia="en-GB"/>
        </w:rPr>
        <w:t>m</w:t>
      </w:r>
      <w:r w:rsidRPr="00CE0885">
        <w:rPr>
          <w:spacing w:val="1"/>
          <w:lang w:eastAsia="en-GB"/>
        </w:rPr>
        <w:t>u</w:t>
      </w:r>
      <w:r w:rsidRPr="00CE0885">
        <w:rPr>
          <w:spacing w:val="-2"/>
          <w:lang w:eastAsia="en-GB"/>
        </w:rPr>
        <w:t>s</w:t>
      </w:r>
      <w:r w:rsidRPr="00CE0885">
        <w:rPr>
          <w:lang w:eastAsia="en-GB"/>
        </w:rPr>
        <w:t>t</w:t>
      </w:r>
      <w:r w:rsidRPr="00CE0885">
        <w:rPr>
          <w:spacing w:val="-4"/>
          <w:lang w:eastAsia="en-GB"/>
        </w:rPr>
        <w:t xml:space="preserve"> </w:t>
      </w:r>
      <w:r w:rsidRPr="00CE0885">
        <w:rPr>
          <w:lang w:eastAsia="en-GB"/>
        </w:rPr>
        <w:t>s</w:t>
      </w:r>
      <w:r w:rsidRPr="00CE0885">
        <w:rPr>
          <w:spacing w:val="-1"/>
          <w:lang w:eastAsia="en-GB"/>
        </w:rPr>
        <w:t>p</w:t>
      </w:r>
      <w:r w:rsidRPr="00CE0885">
        <w:rPr>
          <w:spacing w:val="1"/>
          <w:lang w:eastAsia="en-GB"/>
        </w:rPr>
        <w:t>e</w:t>
      </w:r>
      <w:r w:rsidRPr="00CE0885">
        <w:rPr>
          <w:lang w:eastAsia="en-GB"/>
        </w:rPr>
        <w:t>c</w:t>
      </w:r>
      <w:r w:rsidRPr="00CE0885">
        <w:rPr>
          <w:spacing w:val="-3"/>
          <w:lang w:eastAsia="en-GB"/>
        </w:rPr>
        <w:t>i</w:t>
      </w:r>
      <w:r w:rsidRPr="00CE0885">
        <w:rPr>
          <w:spacing w:val="3"/>
          <w:lang w:eastAsia="en-GB"/>
        </w:rPr>
        <w:t>f</w:t>
      </w:r>
      <w:r w:rsidRPr="00CE0885">
        <w:rPr>
          <w:lang w:eastAsia="en-GB"/>
        </w:rPr>
        <w:t>y</w:t>
      </w:r>
      <w:r w:rsidRPr="00CE0885">
        <w:rPr>
          <w:spacing w:val="-9"/>
          <w:lang w:eastAsia="en-GB"/>
        </w:rPr>
        <w:t xml:space="preserve"> </w:t>
      </w:r>
      <w:r w:rsidRPr="00CE0885">
        <w:rPr>
          <w:lang w:eastAsia="en-GB"/>
        </w:rPr>
        <w:t xml:space="preserve">in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n</w:t>
      </w:r>
      <w:r w:rsidRPr="00CE0885">
        <w:rPr>
          <w:spacing w:val="1"/>
          <w:lang w:eastAsia="en-GB"/>
        </w:rPr>
        <w:t>ot</w:t>
      </w:r>
      <w:r w:rsidRPr="00CE0885">
        <w:rPr>
          <w:lang w:eastAsia="en-GB"/>
        </w:rPr>
        <w:t>ice</w:t>
      </w:r>
      <w:r w:rsidRPr="00CE0885">
        <w:rPr>
          <w:spacing w:val="-4"/>
          <w:lang w:eastAsia="en-GB"/>
        </w:rPr>
        <w:t xml:space="preserve"> </w:t>
      </w:r>
      <w:r w:rsidRPr="00CE0885">
        <w:rPr>
          <w:spacing w:val="-2"/>
          <w:lang w:eastAsia="en-GB"/>
        </w:rPr>
        <w:t>t</w:t>
      </w:r>
      <w:r w:rsidRPr="00CE0885">
        <w:rPr>
          <w:spacing w:val="1"/>
          <w:lang w:eastAsia="en-GB"/>
        </w:rPr>
        <w:t>h</w:t>
      </w:r>
      <w:r w:rsidRPr="00CE0885">
        <w:rPr>
          <w:lang w:eastAsia="en-GB"/>
        </w:rPr>
        <w:t>e</w:t>
      </w:r>
      <w:r w:rsidRPr="00CE0885">
        <w:rPr>
          <w:spacing w:val="-4"/>
          <w:lang w:eastAsia="en-GB"/>
        </w:rPr>
        <w:t xml:space="preserve"> </w:t>
      </w:r>
      <w:r w:rsidRPr="00CE0885">
        <w:rPr>
          <w:spacing w:val="1"/>
          <w:lang w:eastAsia="en-GB"/>
        </w:rPr>
        <w:t>da</w:t>
      </w:r>
      <w:r w:rsidRPr="00CE0885">
        <w:rPr>
          <w:spacing w:val="-2"/>
          <w:lang w:eastAsia="en-GB"/>
        </w:rPr>
        <w:t>t</w:t>
      </w:r>
      <w:r w:rsidRPr="00CE0885">
        <w:rPr>
          <w:lang w:eastAsia="en-GB"/>
        </w:rPr>
        <w:t>e</w:t>
      </w:r>
      <w:r w:rsidRPr="00CE0885">
        <w:rPr>
          <w:spacing w:val="-3"/>
          <w:lang w:eastAsia="en-GB"/>
        </w:rPr>
        <w:t xml:space="preserve"> </w:t>
      </w:r>
      <w:r w:rsidRPr="00CE0885">
        <w:rPr>
          <w:spacing w:val="-1"/>
          <w:lang w:eastAsia="en-GB"/>
        </w:rPr>
        <w:t>o</w:t>
      </w:r>
      <w:r w:rsidRPr="00CE0885">
        <w:rPr>
          <w:lang w:eastAsia="en-GB"/>
        </w:rPr>
        <w:t>n</w:t>
      </w:r>
      <w:r w:rsidRPr="00CE0885">
        <w:rPr>
          <w:spacing w:val="-1"/>
          <w:lang w:eastAsia="en-GB"/>
        </w:rPr>
        <w:t xml:space="preserve"> </w:t>
      </w:r>
      <w:r w:rsidRPr="00CE0885">
        <w:rPr>
          <w:spacing w:val="-3"/>
          <w:lang w:eastAsia="en-GB"/>
        </w:rPr>
        <w:t>w</w:t>
      </w:r>
      <w:r w:rsidRPr="00CE0885">
        <w:rPr>
          <w:spacing w:val="1"/>
          <w:lang w:eastAsia="en-GB"/>
        </w:rPr>
        <w:t>h</w:t>
      </w:r>
      <w:r w:rsidRPr="00CE0885">
        <w:rPr>
          <w:lang w:eastAsia="en-GB"/>
        </w:rPr>
        <w:t>ich</w:t>
      </w:r>
      <w:r w:rsidRPr="00CE0885">
        <w:rPr>
          <w:spacing w:val="-4"/>
          <w:lang w:eastAsia="en-GB"/>
        </w:rPr>
        <w:t xml:space="preserve"> </w:t>
      </w:r>
      <w:r w:rsidRPr="00CE0885">
        <w:rPr>
          <w:spacing w:val="1"/>
          <w:lang w:eastAsia="en-GB"/>
        </w:rPr>
        <w:t>th</w:t>
      </w:r>
      <w:r w:rsidRPr="00CE0885">
        <w:rPr>
          <w:lang w:eastAsia="en-GB"/>
        </w:rPr>
        <w:t>e</w:t>
      </w:r>
      <w:r w:rsidRPr="00CE0885">
        <w:rPr>
          <w:spacing w:val="-1"/>
          <w:lang w:eastAsia="en-GB"/>
        </w:rPr>
        <w:t xml:space="preserve"> </w:t>
      </w:r>
      <w:r w:rsidRPr="00CE0885">
        <w:rPr>
          <w:spacing w:val="-2"/>
          <w:lang w:eastAsia="en-GB"/>
        </w:rPr>
        <w:t>c</w:t>
      </w:r>
      <w:r w:rsidRPr="00CE0885">
        <w:rPr>
          <w:spacing w:val="1"/>
          <w:lang w:eastAsia="en-GB"/>
        </w:rPr>
        <w:t>ont</w:t>
      </w:r>
      <w:r w:rsidRPr="00CE0885">
        <w:rPr>
          <w:spacing w:val="-1"/>
          <w:lang w:eastAsia="en-GB"/>
        </w:rPr>
        <w:t>r</w:t>
      </w:r>
      <w:r w:rsidRPr="00CE0885">
        <w:rPr>
          <w:spacing w:val="1"/>
          <w:lang w:eastAsia="en-GB"/>
        </w:rPr>
        <w:t>a</w:t>
      </w:r>
      <w:r w:rsidRPr="00CE0885">
        <w:rPr>
          <w:spacing w:val="-2"/>
          <w:lang w:eastAsia="en-GB"/>
        </w:rPr>
        <w:t>c</w:t>
      </w:r>
      <w:r w:rsidRPr="00CE0885">
        <w:rPr>
          <w:lang w:eastAsia="en-GB"/>
        </w:rPr>
        <w:t>t</w:t>
      </w:r>
      <w:r w:rsidRPr="00CE0885">
        <w:rPr>
          <w:spacing w:val="-8"/>
          <w:lang w:eastAsia="en-GB"/>
        </w:rPr>
        <w:t xml:space="preserve"> </w:t>
      </w:r>
      <w:r w:rsidRPr="00CE0885">
        <w:rPr>
          <w:spacing w:val="-3"/>
          <w:lang w:eastAsia="en-GB"/>
        </w:rPr>
        <w:t>w</w:t>
      </w:r>
      <w:r w:rsidRPr="00CE0885">
        <w:rPr>
          <w:spacing w:val="2"/>
          <w:lang w:eastAsia="en-GB"/>
        </w:rPr>
        <w:t>i</w:t>
      </w:r>
      <w:r w:rsidRPr="00CE0885">
        <w:rPr>
          <w:lang w:eastAsia="en-GB"/>
        </w:rPr>
        <w:t>ll c</w:t>
      </w:r>
      <w:r w:rsidRPr="00CE0885">
        <w:rPr>
          <w:spacing w:val="1"/>
          <w:lang w:eastAsia="en-GB"/>
        </w:rPr>
        <w:t>ont</w:t>
      </w:r>
      <w:r w:rsidRPr="00CE0885">
        <w:rPr>
          <w:lang w:eastAsia="en-GB"/>
        </w:rPr>
        <w:t>i</w:t>
      </w:r>
      <w:r w:rsidRPr="00CE0885">
        <w:rPr>
          <w:spacing w:val="-1"/>
          <w:lang w:eastAsia="en-GB"/>
        </w:rPr>
        <w:t>n</w:t>
      </w:r>
      <w:r w:rsidRPr="00CE0885">
        <w:rPr>
          <w:spacing w:val="1"/>
          <w:lang w:eastAsia="en-GB"/>
        </w:rPr>
        <w:t>u</w:t>
      </w:r>
      <w:r w:rsidRPr="00CE0885">
        <w:rPr>
          <w:lang w:eastAsia="en-GB"/>
        </w:rPr>
        <w:t>e</w:t>
      </w:r>
      <w:r w:rsidRPr="00CE0885">
        <w:rPr>
          <w:spacing w:val="-7"/>
          <w:lang w:eastAsia="en-GB"/>
        </w:rPr>
        <w:t xml:space="preserve"> </w:t>
      </w:r>
      <w:r w:rsidRPr="00CE0885">
        <w:rPr>
          <w:spacing w:val="1"/>
          <w:lang w:eastAsia="en-GB"/>
        </w:rPr>
        <w:t>a</w:t>
      </w:r>
      <w:r w:rsidRPr="00CE0885">
        <w:rPr>
          <w:lang w:eastAsia="en-GB"/>
        </w:rPr>
        <w:t>s</w:t>
      </w:r>
      <w:r w:rsidRPr="00CE0885">
        <w:rPr>
          <w:spacing w:val="-5"/>
          <w:lang w:eastAsia="en-GB"/>
        </w:rPr>
        <w:t xml:space="preserve"> </w:t>
      </w:r>
      <w:r w:rsidRPr="00CE0885">
        <w:rPr>
          <w:lang w:eastAsia="en-GB"/>
        </w:rPr>
        <w:t>a</w:t>
      </w:r>
      <w:r w:rsidRPr="00CE0885">
        <w:rPr>
          <w:spacing w:val="-2"/>
          <w:lang w:eastAsia="en-GB"/>
        </w:rPr>
        <w:t xml:space="preserve"> </w:t>
      </w:r>
      <w:r w:rsidRPr="00CE0885">
        <w:rPr>
          <w:spacing w:val="1"/>
          <w:lang w:eastAsia="en-GB"/>
        </w:rPr>
        <w:t>pa</w:t>
      </w:r>
      <w:r w:rsidRPr="00CE0885">
        <w:rPr>
          <w:spacing w:val="-1"/>
          <w:lang w:eastAsia="en-GB"/>
        </w:rPr>
        <w:t>r</w:t>
      </w:r>
      <w:r w:rsidRPr="00CE0885">
        <w:rPr>
          <w:spacing w:val="1"/>
          <w:lang w:eastAsia="en-GB"/>
        </w:rPr>
        <w:t>t</w:t>
      </w:r>
      <w:r w:rsidRPr="00CE0885">
        <w:rPr>
          <w:spacing w:val="-1"/>
          <w:lang w:eastAsia="en-GB"/>
        </w:rPr>
        <w:t>n</w:t>
      </w:r>
      <w:r w:rsidRPr="00CE0885">
        <w:rPr>
          <w:spacing w:val="1"/>
          <w:lang w:eastAsia="en-GB"/>
        </w:rPr>
        <w:t>e</w:t>
      </w:r>
      <w:r w:rsidRPr="00CE0885">
        <w:rPr>
          <w:spacing w:val="-1"/>
          <w:lang w:eastAsia="en-GB"/>
        </w:rPr>
        <w:t>r</w:t>
      </w:r>
      <w:r w:rsidRPr="00CE0885">
        <w:rPr>
          <w:lang w:eastAsia="en-GB"/>
        </w:rPr>
        <w:t>s</w:t>
      </w:r>
      <w:r w:rsidRPr="00CE0885">
        <w:rPr>
          <w:spacing w:val="1"/>
          <w:lang w:eastAsia="en-GB"/>
        </w:rPr>
        <w:t>h</w:t>
      </w:r>
      <w:r w:rsidRPr="00CE0885">
        <w:rPr>
          <w:lang w:eastAsia="en-GB"/>
        </w:rPr>
        <w:t>i</w:t>
      </w:r>
      <w:r w:rsidRPr="00CE0885">
        <w:rPr>
          <w:spacing w:val="1"/>
          <w:lang w:eastAsia="en-GB"/>
        </w:rPr>
        <w:t>p</w:t>
      </w:r>
      <w:r w:rsidRPr="00CE0885">
        <w:rPr>
          <w:lang w:eastAsia="en-GB"/>
        </w:rPr>
        <w:t>.</w:t>
      </w:r>
      <w:r w:rsidRPr="00CE0885">
        <w:rPr>
          <w:spacing w:val="-19"/>
          <w:lang w:eastAsia="en-GB"/>
        </w:rPr>
        <w:t xml:space="preserve"> </w:t>
      </w:r>
      <w:r w:rsidRPr="00CE0885">
        <w:rPr>
          <w:spacing w:val="9"/>
          <w:lang w:eastAsia="en-GB"/>
        </w:rPr>
        <w:t>W</w:t>
      </w:r>
      <w:r w:rsidRPr="00CE0885">
        <w:rPr>
          <w:spacing w:val="-1"/>
          <w:lang w:eastAsia="en-GB"/>
        </w:rPr>
        <w:t>h</w:t>
      </w:r>
      <w:r w:rsidRPr="00CE0885">
        <w:rPr>
          <w:spacing w:val="1"/>
          <w:lang w:eastAsia="en-GB"/>
        </w:rPr>
        <w:t>e</w:t>
      </w:r>
      <w:r w:rsidRPr="00CE0885">
        <w:rPr>
          <w:spacing w:val="-1"/>
          <w:lang w:eastAsia="en-GB"/>
        </w:rPr>
        <w:t>r</w:t>
      </w:r>
      <w:r w:rsidRPr="00CE0885">
        <w:rPr>
          <w:lang w:eastAsia="en-GB"/>
        </w:rPr>
        <w:t>e</w:t>
      </w:r>
      <w:r w:rsidRPr="00CE0885">
        <w:rPr>
          <w:spacing w:val="-8"/>
          <w:lang w:eastAsia="en-GB"/>
        </w:rPr>
        <w:t xml:space="preserve"> </w:t>
      </w:r>
      <w:r w:rsidRPr="00CE0885">
        <w:rPr>
          <w:spacing w:val="-1"/>
          <w:lang w:eastAsia="en-GB"/>
        </w:rPr>
        <w:t>r</w:t>
      </w:r>
      <w:r w:rsidRPr="00CE0885">
        <w:rPr>
          <w:spacing w:val="1"/>
          <w:lang w:eastAsia="en-GB"/>
        </w:rPr>
        <w:t>ea</w:t>
      </w:r>
      <w:r w:rsidRPr="00CE0885">
        <w:rPr>
          <w:lang w:eastAsia="en-GB"/>
        </w:rPr>
        <w:t>s</w:t>
      </w:r>
      <w:r w:rsidRPr="00CE0885">
        <w:rPr>
          <w:spacing w:val="-1"/>
          <w:lang w:eastAsia="en-GB"/>
        </w:rPr>
        <w:t>o</w:t>
      </w:r>
      <w:r w:rsidRPr="00CE0885">
        <w:rPr>
          <w:spacing w:val="1"/>
          <w:lang w:eastAsia="en-GB"/>
        </w:rPr>
        <w:t>n</w:t>
      </w:r>
      <w:r w:rsidRPr="00CE0885">
        <w:rPr>
          <w:spacing w:val="-1"/>
          <w:lang w:eastAsia="en-GB"/>
        </w:rPr>
        <w:t>a</w:t>
      </w:r>
      <w:r w:rsidRPr="00CE0885">
        <w:rPr>
          <w:spacing w:val="1"/>
          <w:lang w:eastAsia="en-GB"/>
        </w:rPr>
        <w:t>b</w:t>
      </w:r>
      <w:r w:rsidRPr="00CE0885">
        <w:rPr>
          <w:lang w:eastAsia="en-GB"/>
        </w:rPr>
        <w:t>ly</w:t>
      </w:r>
      <w:r w:rsidRPr="00CE0885">
        <w:rPr>
          <w:spacing w:val="-12"/>
          <w:lang w:eastAsia="en-GB"/>
        </w:rPr>
        <w:t xml:space="preserve"> </w:t>
      </w:r>
      <w:r w:rsidRPr="00CE0885">
        <w:rPr>
          <w:spacing w:val="1"/>
          <w:lang w:eastAsia="en-GB"/>
        </w:rPr>
        <w:t>p</w:t>
      </w:r>
      <w:r w:rsidRPr="00CE0885">
        <w:rPr>
          <w:spacing w:val="-1"/>
          <w:lang w:eastAsia="en-GB"/>
        </w:rPr>
        <w:t>r</w:t>
      </w:r>
      <w:r w:rsidRPr="00CE0885">
        <w:rPr>
          <w:spacing w:val="1"/>
          <w:lang w:eastAsia="en-GB"/>
        </w:rPr>
        <w:t>a</w:t>
      </w:r>
      <w:r w:rsidRPr="00CE0885">
        <w:rPr>
          <w:lang w:eastAsia="en-GB"/>
        </w:rPr>
        <w:t>c</w:t>
      </w:r>
      <w:r w:rsidRPr="00CE0885">
        <w:rPr>
          <w:spacing w:val="1"/>
          <w:lang w:eastAsia="en-GB"/>
        </w:rPr>
        <w:t>t</w:t>
      </w:r>
      <w:r w:rsidRPr="00CE0885">
        <w:rPr>
          <w:lang w:eastAsia="en-GB"/>
        </w:rPr>
        <w:t>ic</w:t>
      </w:r>
      <w:r w:rsidRPr="00CE0885">
        <w:rPr>
          <w:spacing w:val="1"/>
          <w:lang w:eastAsia="en-GB"/>
        </w:rPr>
        <w:t>ab</w:t>
      </w:r>
      <w:r w:rsidRPr="00CE0885">
        <w:rPr>
          <w:spacing w:val="-3"/>
          <w:lang w:eastAsia="en-GB"/>
        </w:rPr>
        <w:t>l</w:t>
      </w:r>
      <w:r w:rsidRPr="00CE0885">
        <w:rPr>
          <w:lang w:eastAsia="en-GB"/>
        </w:rPr>
        <w:t>e</w:t>
      </w:r>
      <w:r w:rsidRPr="00CE0885">
        <w:rPr>
          <w:spacing w:val="-10"/>
          <w:lang w:eastAsia="en-GB"/>
        </w:rPr>
        <w:t xml:space="preserve"> </w:t>
      </w:r>
      <w:r w:rsidRPr="00CE0885">
        <w:rPr>
          <w:spacing w:val="1"/>
          <w:lang w:eastAsia="en-GB"/>
        </w:rPr>
        <w:t>th</w:t>
      </w:r>
      <w:r w:rsidRPr="00CE0885">
        <w:rPr>
          <w:lang w:eastAsia="en-GB"/>
        </w:rPr>
        <w:t>is</w:t>
      </w:r>
      <w:r w:rsidRPr="00CE0885">
        <w:rPr>
          <w:spacing w:val="-4"/>
          <w:lang w:eastAsia="en-GB"/>
        </w:rPr>
        <w:t xml:space="preserve"> </w:t>
      </w:r>
      <w:r w:rsidRPr="00CE0885">
        <w:rPr>
          <w:spacing w:val="-2"/>
          <w:lang w:eastAsia="en-GB"/>
        </w:rPr>
        <w:t>s</w:t>
      </w:r>
      <w:r w:rsidRPr="00CE0885">
        <w:rPr>
          <w:spacing w:val="1"/>
          <w:lang w:eastAsia="en-GB"/>
        </w:rPr>
        <w:t>h</w:t>
      </w:r>
      <w:r w:rsidRPr="00CE0885">
        <w:rPr>
          <w:spacing w:val="-1"/>
          <w:lang w:eastAsia="en-GB"/>
        </w:rPr>
        <w:t>o</w:t>
      </w:r>
      <w:r w:rsidRPr="00CE0885">
        <w:rPr>
          <w:spacing w:val="1"/>
          <w:lang w:eastAsia="en-GB"/>
        </w:rPr>
        <w:t>u</w:t>
      </w:r>
      <w:r w:rsidRPr="00CE0885">
        <w:rPr>
          <w:lang w:eastAsia="en-GB"/>
        </w:rPr>
        <w:t>ld</w:t>
      </w:r>
      <w:r w:rsidRPr="00CE0885">
        <w:rPr>
          <w:spacing w:val="-8"/>
          <w:lang w:eastAsia="en-GB"/>
        </w:rPr>
        <w:t xml:space="preserve"> </w:t>
      </w:r>
      <w:r w:rsidRPr="00CE0885">
        <w:rPr>
          <w:spacing w:val="1"/>
          <w:lang w:eastAsia="en-GB"/>
        </w:rPr>
        <w:t>b</w:t>
      </w:r>
      <w:r w:rsidRPr="00CE0885">
        <w:rPr>
          <w:lang w:eastAsia="en-GB"/>
        </w:rPr>
        <w:t xml:space="preserve">e </w:t>
      </w:r>
      <w:r w:rsidRPr="00CE0885">
        <w:rPr>
          <w:spacing w:val="1"/>
          <w:lang w:eastAsia="en-GB"/>
        </w:rPr>
        <w:t>th</w:t>
      </w:r>
      <w:r w:rsidRPr="00CE0885">
        <w:rPr>
          <w:lang w:eastAsia="en-GB"/>
        </w:rPr>
        <w:t>e</w:t>
      </w:r>
      <w:r w:rsidRPr="00CE0885">
        <w:rPr>
          <w:spacing w:val="-4"/>
          <w:lang w:eastAsia="en-GB"/>
        </w:rPr>
        <w:t xml:space="preserve"> </w:t>
      </w:r>
      <w:r w:rsidRPr="00CE0885">
        <w:rPr>
          <w:spacing w:val="1"/>
          <w:lang w:eastAsia="en-GB"/>
        </w:rPr>
        <w:t>da</w:t>
      </w:r>
      <w:r w:rsidRPr="00CE0885">
        <w:rPr>
          <w:spacing w:val="-2"/>
          <w:lang w:eastAsia="en-GB"/>
        </w:rPr>
        <w:t>t</w:t>
      </w:r>
      <w:r w:rsidRPr="00CE0885">
        <w:rPr>
          <w:lang w:eastAsia="en-GB"/>
        </w:rPr>
        <w:t>e</w:t>
      </w:r>
      <w:r w:rsidRPr="00CE0885">
        <w:rPr>
          <w:spacing w:val="-3"/>
          <w:lang w:eastAsia="en-GB"/>
        </w:rPr>
        <w:t xml:space="preserve"> </w:t>
      </w:r>
      <w:r w:rsidRPr="00CE0885">
        <w:rPr>
          <w:spacing w:val="-1"/>
          <w:lang w:eastAsia="en-GB"/>
        </w:rPr>
        <w:t>r</w:t>
      </w:r>
      <w:r w:rsidRPr="00CE0885">
        <w:rPr>
          <w:spacing w:val="1"/>
          <w:lang w:eastAsia="en-GB"/>
        </w:rPr>
        <w:t>e</w:t>
      </w:r>
      <w:r w:rsidRPr="00CE0885">
        <w:rPr>
          <w:spacing w:val="-1"/>
          <w:lang w:eastAsia="en-GB"/>
        </w:rPr>
        <w:t>q</w:t>
      </w:r>
      <w:r w:rsidRPr="00CE0885">
        <w:rPr>
          <w:spacing w:val="1"/>
          <w:lang w:eastAsia="en-GB"/>
        </w:rPr>
        <w:t>ue</w:t>
      </w:r>
      <w:r w:rsidRPr="00CE0885">
        <w:rPr>
          <w:lang w:eastAsia="en-GB"/>
        </w:rPr>
        <w:t>s</w:t>
      </w:r>
      <w:r w:rsidRPr="00CE0885">
        <w:rPr>
          <w:spacing w:val="-2"/>
          <w:lang w:eastAsia="en-GB"/>
        </w:rPr>
        <w:t>t</w:t>
      </w:r>
      <w:r w:rsidRPr="00CE0885">
        <w:rPr>
          <w:spacing w:val="1"/>
          <w:lang w:eastAsia="en-GB"/>
        </w:rPr>
        <w:t>e</w:t>
      </w:r>
      <w:r w:rsidRPr="00CE0885">
        <w:rPr>
          <w:lang w:eastAsia="en-GB"/>
        </w:rPr>
        <w:t>d</w:t>
      </w:r>
      <w:r w:rsidRPr="00CE0885">
        <w:rPr>
          <w:spacing w:val="-12"/>
          <w:lang w:eastAsia="en-GB"/>
        </w:rPr>
        <w:t xml:space="preserve"> </w:t>
      </w:r>
      <w:r w:rsidRPr="00CE0885">
        <w:rPr>
          <w:spacing w:val="1"/>
          <w:lang w:eastAsia="en-GB"/>
        </w:rPr>
        <w:t>b</w:t>
      </w:r>
      <w:r w:rsidRPr="00CE0885">
        <w:rPr>
          <w:lang w:eastAsia="en-GB"/>
        </w:rPr>
        <w:t>y</w:t>
      </w:r>
      <w:r w:rsidRPr="00CE0885">
        <w:rPr>
          <w:spacing w:val="-5"/>
          <w:lang w:eastAsia="en-GB"/>
        </w:rPr>
        <w:t xml:space="preserve"> </w:t>
      </w:r>
      <w:r w:rsidRPr="00CE0885">
        <w:rPr>
          <w:spacing w:val="1"/>
          <w:lang w:eastAsia="en-GB"/>
        </w:rPr>
        <w:t>th</w:t>
      </w:r>
      <w:r w:rsidRPr="00CE0885">
        <w:rPr>
          <w:lang w:eastAsia="en-GB"/>
        </w:rPr>
        <w:t>e</w:t>
      </w:r>
      <w:r w:rsidRPr="00CE0885">
        <w:rPr>
          <w:spacing w:val="-1"/>
          <w:lang w:eastAsia="en-GB"/>
        </w:rPr>
        <w:t xml:space="preserve"> </w:t>
      </w:r>
      <w:r w:rsidRPr="00CE0885">
        <w:rPr>
          <w:lang w:eastAsia="en-GB"/>
        </w:rPr>
        <w:t>c</w:t>
      </w:r>
      <w:r w:rsidRPr="00CE0885">
        <w:rPr>
          <w:spacing w:val="-1"/>
          <w:lang w:eastAsia="en-GB"/>
        </w:rPr>
        <w:t>o</w:t>
      </w:r>
      <w:r w:rsidRPr="00CE0885">
        <w:rPr>
          <w:spacing w:val="1"/>
          <w:lang w:eastAsia="en-GB"/>
        </w:rPr>
        <w:t>nt</w:t>
      </w:r>
      <w:r w:rsidRPr="00CE0885">
        <w:rPr>
          <w:spacing w:val="-1"/>
          <w:lang w:eastAsia="en-GB"/>
        </w:rPr>
        <w:t>r</w:t>
      </w:r>
      <w:r w:rsidRPr="00CE0885">
        <w:rPr>
          <w:spacing w:val="1"/>
          <w:lang w:eastAsia="en-GB"/>
        </w:rPr>
        <w:t>a</w:t>
      </w:r>
      <w:r w:rsidRPr="00CE0885">
        <w:rPr>
          <w:lang w:eastAsia="en-GB"/>
        </w:rPr>
        <w:t>ctor,</w:t>
      </w:r>
      <w:r w:rsidRPr="00CE0885">
        <w:rPr>
          <w:spacing w:val="-6"/>
          <w:lang w:eastAsia="en-GB"/>
        </w:rPr>
        <w:t xml:space="preserve"> </w:t>
      </w:r>
      <w:r w:rsidRPr="00CE0885">
        <w:rPr>
          <w:spacing w:val="1"/>
          <w:lang w:eastAsia="en-GB"/>
        </w:rPr>
        <w:t>o</w:t>
      </w:r>
      <w:r w:rsidRPr="00CE0885">
        <w:rPr>
          <w:lang w:eastAsia="en-GB"/>
        </w:rPr>
        <w:t>r</w:t>
      </w:r>
      <w:r w:rsidRPr="00CE0885">
        <w:rPr>
          <w:spacing w:val="-2"/>
          <w:lang w:eastAsia="en-GB"/>
        </w:rPr>
        <w:t xml:space="preserve"> t</w:t>
      </w:r>
      <w:r w:rsidRPr="00CE0885">
        <w:rPr>
          <w:spacing w:val="1"/>
          <w:lang w:eastAsia="en-GB"/>
        </w:rPr>
        <w:t>h</w:t>
      </w:r>
      <w:r w:rsidRPr="00CE0885">
        <w:rPr>
          <w:lang w:eastAsia="en-GB"/>
        </w:rPr>
        <w:t xml:space="preserve">e </w:t>
      </w:r>
      <w:r w:rsidRPr="00CE0885">
        <w:rPr>
          <w:spacing w:val="1"/>
          <w:lang w:eastAsia="en-GB"/>
        </w:rPr>
        <w:t>nea</w:t>
      </w:r>
      <w:r w:rsidRPr="00CE0885">
        <w:rPr>
          <w:spacing w:val="-1"/>
          <w:lang w:eastAsia="en-GB"/>
        </w:rPr>
        <w:t>r</w:t>
      </w:r>
      <w:r w:rsidRPr="00CE0885">
        <w:rPr>
          <w:spacing w:val="1"/>
          <w:lang w:eastAsia="en-GB"/>
        </w:rPr>
        <w:t>e</w:t>
      </w:r>
      <w:r w:rsidRPr="00CE0885">
        <w:rPr>
          <w:lang w:eastAsia="en-GB"/>
        </w:rPr>
        <w:t>st</w:t>
      </w:r>
      <w:r w:rsidRPr="00CE0885">
        <w:rPr>
          <w:spacing w:val="-9"/>
          <w:lang w:eastAsia="en-GB"/>
        </w:rPr>
        <w:t xml:space="preserve"> </w:t>
      </w:r>
      <w:r w:rsidRPr="00CE0885">
        <w:rPr>
          <w:spacing w:val="1"/>
          <w:lang w:eastAsia="en-GB"/>
        </w:rPr>
        <w:t>d</w:t>
      </w:r>
      <w:r w:rsidRPr="00CE0885">
        <w:rPr>
          <w:spacing w:val="-1"/>
          <w:lang w:eastAsia="en-GB"/>
        </w:rPr>
        <w:t>a</w:t>
      </w:r>
      <w:r w:rsidRPr="00CE0885">
        <w:rPr>
          <w:spacing w:val="1"/>
          <w:lang w:eastAsia="en-GB"/>
        </w:rPr>
        <w:t>t</w:t>
      </w:r>
      <w:r w:rsidRPr="00CE0885">
        <w:rPr>
          <w:lang w:eastAsia="en-GB"/>
        </w:rPr>
        <w:t>e</w:t>
      </w:r>
      <w:r w:rsidRPr="00CE0885">
        <w:rPr>
          <w:spacing w:val="-3"/>
          <w:lang w:eastAsia="en-GB"/>
        </w:rPr>
        <w:t xml:space="preserve"> </w:t>
      </w:r>
      <w:r w:rsidRPr="00CE0885">
        <w:rPr>
          <w:spacing w:val="-2"/>
          <w:lang w:eastAsia="en-GB"/>
        </w:rPr>
        <w:t>t</w:t>
      </w:r>
      <w:r w:rsidRPr="00CE0885">
        <w:rPr>
          <w:lang w:eastAsia="en-GB"/>
        </w:rPr>
        <w:t>o i</w:t>
      </w:r>
      <w:r w:rsidRPr="00CE0885">
        <w:rPr>
          <w:spacing w:val="1"/>
          <w:lang w:eastAsia="en-GB"/>
        </w:rPr>
        <w:t>t</w:t>
      </w:r>
      <w:r w:rsidRPr="00CE0885">
        <w:rPr>
          <w:lang w:eastAsia="en-GB"/>
        </w:rPr>
        <w:t xml:space="preserve"> (Annex 3B).</w:t>
      </w:r>
      <w:bookmarkEnd w:id="596"/>
    </w:p>
    <w:p w14:paraId="6E26AF5A" w14:textId="77777777" w:rsidR="00977693" w:rsidRPr="00CE0885" w:rsidRDefault="00977693" w:rsidP="006B781A">
      <w:pPr>
        <w:pStyle w:val="Heading3"/>
        <w:rPr>
          <w:lang w:eastAsia="en-GB"/>
        </w:rPr>
      </w:pPr>
      <w:bookmarkStart w:id="597" w:name="_Toc440981749"/>
      <w:r w:rsidRPr="00CE0885">
        <w:rPr>
          <w:lang w:eastAsia="en-GB"/>
        </w:rPr>
        <w:t>A</w:t>
      </w:r>
      <w:r w:rsidRPr="00CE0885">
        <w:rPr>
          <w:spacing w:val="-1"/>
          <w:lang w:eastAsia="en-GB"/>
        </w:rPr>
        <w:t xml:space="preserve"> </w:t>
      </w:r>
      <w:r w:rsidRPr="00CE0885">
        <w:rPr>
          <w:spacing w:val="-2"/>
          <w:lang w:eastAsia="en-GB"/>
        </w:rPr>
        <w:t>v</w:t>
      </w:r>
      <w:r w:rsidRPr="00CE0885">
        <w:rPr>
          <w:lang w:eastAsia="en-GB"/>
        </w:rPr>
        <w:t>a</w:t>
      </w:r>
      <w:r w:rsidRPr="00CE0885">
        <w:rPr>
          <w:spacing w:val="-1"/>
          <w:lang w:eastAsia="en-GB"/>
        </w:rPr>
        <w:t>r</w:t>
      </w:r>
      <w:r w:rsidRPr="00CE0885">
        <w:rPr>
          <w:lang w:eastAsia="en-GB"/>
        </w:rPr>
        <w:t>iation</w:t>
      </w:r>
      <w:r w:rsidRPr="00CE0885">
        <w:rPr>
          <w:spacing w:val="-7"/>
          <w:lang w:eastAsia="en-GB"/>
        </w:rPr>
        <w:t xml:space="preserve"> </w:t>
      </w:r>
      <w:r w:rsidRPr="00CE0885">
        <w:rPr>
          <w:lang w:eastAsia="en-GB"/>
        </w:rPr>
        <w:t>n</w:t>
      </w:r>
      <w:r w:rsidRPr="00CE0885">
        <w:rPr>
          <w:spacing w:val="-1"/>
          <w:lang w:eastAsia="en-GB"/>
        </w:rPr>
        <w:t>o</w:t>
      </w:r>
      <w:r w:rsidRPr="00CE0885">
        <w:rPr>
          <w:lang w:eastAsia="en-GB"/>
        </w:rPr>
        <w:t>tice</w:t>
      </w:r>
      <w:r w:rsidRPr="00CE0885">
        <w:rPr>
          <w:spacing w:val="-4"/>
          <w:lang w:eastAsia="en-GB"/>
        </w:rPr>
        <w:t xml:space="preserve"> </w:t>
      </w:r>
      <w:r w:rsidRPr="00CE0885">
        <w:rPr>
          <w:lang w:eastAsia="en-GB"/>
        </w:rPr>
        <w:t>must</w:t>
      </w:r>
      <w:r w:rsidRPr="00CE0885">
        <w:rPr>
          <w:spacing w:val="-8"/>
          <w:lang w:eastAsia="en-GB"/>
        </w:rPr>
        <w:t xml:space="preserve"> </w:t>
      </w:r>
      <w:r w:rsidRPr="00CE0885">
        <w:rPr>
          <w:lang w:eastAsia="en-GB"/>
        </w:rPr>
        <w:t>include</w:t>
      </w:r>
      <w:r w:rsidRPr="00CE0885">
        <w:rPr>
          <w:spacing w:val="-9"/>
          <w:lang w:eastAsia="en-GB"/>
        </w:rPr>
        <w:t xml:space="preserve"> </w:t>
      </w:r>
      <w:r w:rsidRPr="00CE0885">
        <w:rPr>
          <w:lang w:eastAsia="en-GB"/>
        </w:rPr>
        <w:t>the</w:t>
      </w:r>
      <w:r w:rsidRPr="00CE0885">
        <w:rPr>
          <w:spacing w:val="-4"/>
          <w:lang w:eastAsia="en-GB"/>
        </w:rPr>
        <w:t xml:space="preserve"> wording of the proposed variation </w:t>
      </w:r>
      <w:r w:rsidRPr="00CE0885">
        <w:rPr>
          <w:lang w:eastAsia="en-GB"/>
        </w:rPr>
        <w:t xml:space="preserve">and the date upon which the variation will take effect. </w:t>
      </w:r>
      <w:r w:rsidRPr="00CE0885">
        <w:rPr>
          <w:spacing w:val="2"/>
          <w:lang w:eastAsia="en-GB"/>
        </w:rPr>
        <w:t>T</w:t>
      </w:r>
      <w:r w:rsidRPr="00CE0885">
        <w:rPr>
          <w:spacing w:val="-1"/>
          <w:lang w:eastAsia="en-GB"/>
        </w:rPr>
        <w:t>h</w:t>
      </w:r>
      <w:r w:rsidRPr="00CE0885">
        <w:rPr>
          <w:lang w:eastAsia="en-GB"/>
        </w:rPr>
        <w:t>e</w:t>
      </w:r>
      <w:r w:rsidRPr="00CE0885">
        <w:rPr>
          <w:spacing w:val="-2"/>
          <w:lang w:eastAsia="en-GB"/>
        </w:rPr>
        <w:t xml:space="preserve"> </w:t>
      </w:r>
      <w:r w:rsidRPr="00CE0885">
        <w:rPr>
          <w:lang w:eastAsia="en-GB"/>
        </w:rPr>
        <w:t>c</w:t>
      </w:r>
      <w:r w:rsidRPr="00CE0885">
        <w:rPr>
          <w:spacing w:val="-1"/>
          <w:lang w:eastAsia="en-GB"/>
        </w:rPr>
        <w:t>o</w:t>
      </w:r>
      <w:r w:rsidRPr="00CE0885">
        <w:rPr>
          <w:lang w:eastAsia="en-GB"/>
        </w:rPr>
        <w:t>nt</w:t>
      </w:r>
      <w:r w:rsidRPr="00CE0885">
        <w:rPr>
          <w:spacing w:val="-1"/>
          <w:lang w:eastAsia="en-GB"/>
        </w:rPr>
        <w:t>r</w:t>
      </w:r>
      <w:r w:rsidRPr="00CE0885">
        <w:rPr>
          <w:lang w:eastAsia="en-GB"/>
        </w:rPr>
        <w:t>ac</w:t>
      </w:r>
      <w:r w:rsidRPr="00CE0885">
        <w:rPr>
          <w:spacing w:val="-2"/>
          <w:lang w:eastAsia="en-GB"/>
        </w:rPr>
        <w:t>t</w:t>
      </w:r>
      <w:r w:rsidRPr="00CE0885">
        <w:rPr>
          <w:lang w:eastAsia="en-GB"/>
        </w:rPr>
        <w:t>or</w:t>
      </w:r>
      <w:r w:rsidRPr="00CE0885">
        <w:rPr>
          <w:spacing w:val="-11"/>
          <w:lang w:eastAsia="en-GB"/>
        </w:rPr>
        <w:t xml:space="preserve"> </w:t>
      </w:r>
      <w:r w:rsidRPr="00CE0885">
        <w:rPr>
          <w:spacing w:val="-3"/>
          <w:lang w:eastAsia="en-GB"/>
        </w:rPr>
        <w:t>w</w:t>
      </w:r>
      <w:r w:rsidRPr="00CE0885">
        <w:rPr>
          <w:lang w:eastAsia="en-GB"/>
        </w:rPr>
        <w:t>ould</w:t>
      </w:r>
      <w:r w:rsidRPr="00CE0885">
        <w:rPr>
          <w:spacing w:val="-4"/>
          <w:lang w:eastAsia="en-GB"/>
        </w:rPr>
        <w:t xml:space="preserve"> </w:t>
      </w:r>
      <w:r w:rsidRPr="00CE0885">
        <w:rPr>
          <w:spacing w:val="-2"/>
          <w:lang w:eastAsia="en-GB"/>
        </w:rPr>
        <w:t>t</w:t>
      </w:r>
      <w:r w:rsidRPr="00CE0885">
        <w:rPr>
          <w:lang w:eastAsia="en-GB"/>
        </w:rPr>
        <w:t>hen</w:t>
      </w:r>
      <w:r w:rsidRPr="00CE0885">
        <w:rPr>
          <w:spacing w:val="-6"/>
          <w:lang w:eastAsia="en-GB"/>
        </w:rPr>
        <w:t xml:space="preserve"> </w:t>
      </w:r>
      <w:r w:rsidRPr="00CE0885">
        <w:rPr>
          <w:lang w:eastAsia="en-GB"/>
        </w:rPr>
        <w:t>be</w:t>
      </w:r>
      <w:r w:rsidRPr="00CE0885">
        <w:rPr>
          <w:spacing w:val="-1"/>
          <w:lang w:eastAsia="en-GB"/>
        </w:rPr>
        <w:t xml:space="preserve"> r</w:t>
      </w:r>
      <w:r w:rsidRPr="00CE0885">
        <w:rPr>
          <w:lang w:eastAsia="en-GB"/>
        </w:rPr>
        <w:t>e</w:t>
      </w:r>
      <w:r w:rsidRPr="00CE0885">
        <w:rPr>
          <w:spacing w:val="-1"/>
          <w:lang w:eastAsia="en-GB"/>
        </w:rPr>
        <w:t>q</w:t>
      </w:r>
      <w:r w:rsidRPr="00CE0885">
        <w:rPr>
          <w:lang w:eastAsia="en-GB"/>
        </w:rPr>
        <w:t>ui</w:t>
      </w:r>
      <w:r w:rsidRPr="00CE0885">
        <w:rPr>
          <w:spacing w:val="-1"/>
          <w:lang w:eastAsia="en-GB"/>
        </w:rPr>
        <w:t>r</w:t>
      </w:r>
      <w:r w:rsidRPr="00CE0885">
        <w:rPr>
          <w:lang w:eastAsia="en-GB"/>
        </w:rPr>
        <w:t>ed</w:t>
      </w:r>
      <w:r w:rsidRPr="00CE0885">
        <w:rPr>
          <w:spacing w:val="-10"/>
          <w:lang w:eastAsia="en-GB"/>
        </w:rPr>
        <w:t xml:space="preserve"> </w:t>
      </w:r>
      <w:r w:rsidRPr="00CE0885">
        <w:rPr>
          <w:lang w:eastAsia="en-GB"/>
        </w:rPr>
        <w:t xml:space="preserve">to </w:t>
      </w:r>
      <w:r w:rsidRPr="00CE0885">
        <w:rPr>
          <w:spacing w:val="-1"/>
          <w:lang w:eastAsia="en-GB"/>
        </w:rPr>
        <w:t>return</w:t>
      </w:r>
      <w:r w:rsidRPr="00CE0885">
        <w:rPr>
          <w:spacing w:val="-4"/>
          <w:lang w:eastAsia="en-GB"/>
        </w:rPr>
        <w:t xml:space="preserve"> </w:t>
      </w:r>
      <w:r w:rsidRPr="00CE0885">
        <w:rPr>
          <w:lang w:eastAsia="en-GB"/>
        </w:rPr>
        <w:t>a si</w:t>
      </w:r>
      <w:r w:rsidRPr="00CE0885">
        <w:rPr>
          <w:spacing w:val="-1"/>
          <w:lang w:eastAsia="en-GB"/>
        </w:rPr>
        <w:t>g</w:t>
      </w:r>
      <w:r w:rsidRPr="00CE0885">
        <w:rPr>
          <w:lang w:eastAsia="en-GB"/>
        </w:rPr>
        <w:t>ned copy</w:t>
      </w:r>
      <w:r w:rsidRPr="00CE0885">
        <w:rPr>
          <w:spacing w:val="-9"/>
          <w:lang w:eastAsia="en-GB"/>
        </w:rPr>
        <w:t xml:space="preserve"> </w:t>
      </w:r>
      <w:r w:rsidRPr="00CE0885">
        <w:rPr>
          <w:spacing w:val="-1"/>
          <w:lang w:eastAsia="en-GB"/>
        </w:rPr>
        <w:t>o</w:t>
      </w:r>
      <w:r w:rsidRPr="00CE0885">
        <w:rPr>
          <w:lang w:eastAsia="en-GB"/>
        </w:rPr>
        <w:t xml:space="preserve">f </w:t>
      </w:r>
      <w:r w:rsidRPr="00CE0885">
        <w:rPr>
          <w:spacing w:val="-2"/>
          <w:lang w:eastAsia="en-GB"/>
        </w:rPr>
        <w:t>t</w:t>
      </w:r>
      <w:r w:rsidRPr="00CE0885">
        <w:rPr>
          <w:lang w:eastAsia="en-GB"/>
        </w:rPr>
        <w:t>he</w:t>
      </w:r>
      <w:r w:rsidRPr="00CE0885">
        <w:rPr>
          <w:spacing w:val="-1"/>
          <w:lang w:eastAsia="en-GB"/>
        </w:rPr>
        <w:t xml:space="preserve"> </w:t>
      </w:r>
      <w:r w:rsidRPr="00CE0885">
        <w:rPr>
          <w:spacing w:val="-2"/>
          <w:lang w:eastAsia="en-GB"/>
        </w:rPr>
        <w:t>v</w:t>
      </w:r>
      <w:r w:rsidRPr="00CE0885">
        <w:rPr>
          <w:lang w:eastAsia="en-GB"/>
        </w:rPr>
        <w:t>a</w:t>
      </w:r>
      <w:r w:rsidRPr="00CE0885">
        <w:rPr>
          <w:spacing w:val="-1"/>
          <w:lang w:eastAsia="en-GB"/>
        </w:rPr>
        <w:t>r</w:t>
      </w:r>
      <w:r w:rsidRPr="00CE0885">
        <w:rPr>
          <w:lang w:eastAsia="en-GB"/>
        </w:rPr>
        <w:t>iation</w:t>
      </w:r>
      <w:r w:rsidRPr="00CE0885">
        <w:rPr>
          <w:spacing w:val="-7"/>
          <w:lang w:eastAsia="en-GB"/>
        </w:rPr>
        <w:t xml:space="preserve"> </w:t>
      </w:r>
      <w:r w:rsidRPr="00CE0885">
        <w:rPr>
          <w:lang w:eastAsia="en-GB"/>
        </w:rPr>
        <w:t>notice</w:t>
      </w:r>
      <w:r w:rsidRPr="00CE0885">
        <w:rPr>
          <w:spacing w:val="3"/>
          <w:lang w:eastAsia="en-GB"/>
        </w:rPr>
        <w:t>.</w:t>
      </w:r>
      <w:r w:rsidRPr="00CE0885">
        <w:rPr>
          <w:lang w:eastAsia="en-GB"/>
        </w:rPr>
        <w:t xml:space="preserve"> The Commissioner should ensure that the</w:t>
      </w:r>
      <w:r w:rsidRPr="00CE0885">
        <w:rPr>
          <w:spacing w:val="-4"/>
          <w:lang w:eastAsia="en-GB"/>
        </w:rPr>
        <w:t xml:space="preserve"> </w:t>
      </w:r>
      <w:r w:rsidRPr="00CE0885">
        <w:rPr>
          <w:spacing w:val="1"/>
          <w:lang w:eastAsia="en-GB"/>
        </w:rPr>
        <w:t>e</w:t>
      </w:r>
      <w:r w:rsidRPr="00CE0885">
        <w:rPr>
          <w:lang w:eastAsia="en-GB"/>
        </w:rPr>
        <w:t>l</w:t>
      </w:r>
      <w:r w:rsidRPr="00CE0885">
        <w:rPr>
          <w:spacing w:val="1"/>
          <w:lang w:eastAsia="en-GB"/>
        </w:rPr>
        <w:t>e</w:t>
      </w:r>
      <w:r w:rsidRPr="00CE0885">
        <w:rPr>
          <w:lang w:eastAsia="en-GB"/>
        </w:rPr>
        <w:t>c</w:t>
      </w:r>
      <w:r w:rsidRPr="00CE0885">
        <w:rPr>
          <w:spacing w:val="1"/>
          <w:lang w:eastAsia="en-GB"/>
        </w:rPr>
        <w:t>t</w:t>
      </w:r>
      <w:r w:rsidRPr="00CE0885">
        <w:rPr>
          <w:spacing w:val="-1"/>
          <w:lang w:eastAsia="en-GB"/>
        </w:rPr>
        <w:t>ro</w:t>
      </w:r>
      <w:r w:rsidRPr="00CE0885">
        <w:rPr>
          <w:spacing w:val="1"/>
          <w:lang w:eastAsia="en-GB"/>
        </w:rPr>
        <w:t>n</w:t>
      </w:r>
      <w:r w:rsidRPr="00CE0885">
        <w:rPr>
          <w:lang w:eastAsia="en-GB"/>
        </w:rPr>
        <w:t>ic</w:t>
      </w:r>
      <w:r w:rsidRPr="00CE0885">
        <w:rPr>
          <w:spacing w:val="1"/>
          <w:lang w:eastAsia="en-GB"/>
        </w:rPr>
        <w:t>a</w:t>
      </w:r>
      <w:r w:rsidRPr="00CE0885">
        <w:rPr>
          <w:lang w:eastAsia="en-GB"/>
        </w:rPr>
        <w:t>lly</w:t>
      </w:r>
      <w:r w:rsidRPr="00CE0885">
        <w:rPr>
          <w:spacing w:val="-16"/>
          <w:lang w:eastAsia="en-GB"/>
        </w:rPr>
        <w:t xml:space="preserve"> </w:t>
      </w:r>
      <w:r w:rsidRPr="00CE0885">
        <w:rPr>
          <w:spacing w:val="1"/>
          <w:lang w:eastAsia="en-GB"/>
        </w:rPr>
        <w:t>he</w:t>
      </w:r>
      <w:r w:rsidRPr="00CE0885">
        <w:rPr>
          <w:lang w:eastAsia="en-GB"/>
        </w:rPr>
        <w:t>ld</w:t>
      </w:r>
      <w:r w:rsidRPr="00CE0885">
        <w:rPr>
          <w:spacing w:val="-3"/>
          <w:lang w:eastAsia="en-GB"/>
        </w:rPr>
        <w:t xml:space="preserve"> </w:t>
      </w:r>
      <w:r w:rsidRPr="00CE0885">
        <w:rPr>
          <w:spacing w:val="-2"/>
          <w:lang w:eastAsia="en-GB"/>
        </w:rPr>
        <w:t>c</w:t>
      </w:r>
      <w:r w:rsidRPr="00CE0885">
        <w:rPr>
          <w:spacing w:val="1"/>
          <w:lang w:eastAsia="en-GB"/>
        </w:rPr>
        <w:t>ont</w:t>
      </w:r>
      <w:r w:rsidRPr="00CE0885">
        <w:rPr>
          <w:spacing w:val="-1"/>
          <w:lang w:eastAsia="en-GB"/>
        </w:rPr>
        <w:t>r</w:t>
      </w:r>
      <w:r w:rsidRPr="00CE0885">
        <w:rPr>
          <w:spacing w:val="1"/>
          <w:lang w:eastAsia="en-GB"/>
        </w:rPr>
        <w:t>a</w:t>
      </w:r>
      <w:r w:rsidRPr="00CE0885">
        <w:rPr>
          <w:lang w:eastAsia="en-GB"/>
        </w:rPr>
        <w:t>ct</w:t>
      </w:r>
      <w:r w:rsidRPr="00CE0885">
        <w:rPr>
          <w:spacing w:val="-10"/>
          <w:lang w:eastAsia="en-GB"/>
        </w:rPr>
        <w:t xml:space="preserve"> </w:t>
      </w:r>
      <w:r w:rsidRPr="00CE0885">
        <w:rPr>
          <w:spacing w:val="1"/>
          <w:lang w:eastAsia="en-GB"/>
        </w:rPr>
        <w:t>do</w:t>
      </w:r>
      <w:r w:rsidRPr="00CE0885">
        <w:rPr>
          <w:spacing w:val="-2"/>
          <w:lang w:eastAsia="en-GB"/>
        </w:rPr>
        <w:t>c</w:t>
      </w:r>
      <w:r w:rsidRPr="00CE0885">
        <w:rPr>
          <w:spacing w:val="1"/>
          <w:lang w:eastAsia="en-GB"/>
        </w:rPr>
        <w:t>u</w:t>
      </w:r>
      <w:r w:rsidRPr="00CE0885">
        <w:rPr>
          <w:spacing w:val="-1"/>
          <w:lang w:eastAsia="en-GB"/>
        </w:rPr>
        <w:t>m</w:t>
      </w:r>
      <w:r w:rsidRPr="00CE0885">
        <w:rPr>
          <w:spacing w:val="1"/>
          <w:lang w:eastAsia="en-GB"/>
        </w:rPr>
        <w:t>e</w:t>
      </w:r>
      <w:r w:rsidRPr="00CE0885">
        <w:rPr>
          <w:spacing w:val="-1"/>
          <w:lang w:eastAsia="en-GB"/>
        </w:rPr>
        <w:t>n</w:t>
      </w:r>
      <w:r w:rsidRPr="00CE0885">
        <w:rPr>
          <w:lang w:eastAsia="en-GB"/>
        </w:rPr>
        <w:t>tation is</w:t>
      </w:r>
      <w:r w:rsidRPr="00CE0885">
        <w:rPr>
          <w:spacing w:val="-10"/>
          <w:lang w:eastAsia="en-GB"/>
        </w:rPr>
        <w:t xml:space="preserve"> </w:t>
      </w:r>
      <w:r w:rsidRPr="00CE0885">
        <w:rPr>
          <w:spacing w:val="-1"/>
          <w:lang w:eastAsia="en-GB"/>
        </w:rPr>
        <w:t>a</w:t>
      </w:r>
      <w:r w:rsidRPr="00CE0885">
        <w:rPr>
          <w:spacing w:val="2"/>
          <w:lang w:eastAsia="en-GB"/>
        </w:rPr>
        <w:t>m</w:t>
      </w:r>
      <w:r w:rsidRPr="00CE0885">
        <w:rPr>
          <w:spacing w:val="1"/>
          <w:lang w:eastAsia="en-GB"/>
        </w:rPr>
        <w:t>e</w:t>
      </w:r>
      <w:r w:rsidRPr="00CE0885">
        <w:rPr>
          <w:spacing w:val="-1"/>
          <w:lang w:eastAsia="en-GB"/>
        </w:rPr>
        <w:t>n</w:t>
      </w:r>
      <w:r w:rsidRPr="00CE0885">
        <w:rPr>
          <w:spacing w:val="1"/>
          <w:lang w:eastAsia="en-GB"/>
        </w:rPr>
        <w:t>de</w:t>
      </w:r>
      <w:r w:rsidRPr="00CE0885">
        <w:rPr>
          <w:lang w:eastAsia="en-GB"/>
        </w:rPr>
        <w:t xml:space="preserve">d </w:t>
      </w:r>
      <w:r w:rsidRPr="00CE0885">
        <w:rPr>
          <w:spacing w:val="1"/>
          <w:lang w:eastAsia="en-GB"/>
        </w:rPr>
        <w:t>a</w:t>
      </w:r>
      <w:r w:rsidRPr="00CE0885">
        <w:rPr>
          <w:lang w:eastAsia="en-GB"/>
        </w:rPr>
        <w:t>cc</w:t>
      </w:r>
      <w:r w:rsidRPr="00CE0885">
        <w:rPr>
          <w:spacing w:val="1"/>
          <w:lang w:eastAsia="en-GB"/>
        </w:rPr>
        <w:t>o</w:t>
      </w:r>
      <w:r w:rsidRPr="00CE0885">
        <w:rPr>
          <w:spacing w:val="-1"/>
          <w:lang w:eastAsia="en-GB"/>
        </w:rPr>
        <w:t>r</w:t>
      </w:r>
      <w:r w:rsidRPr="00CE0885">
        <w:rPr>
          <w:spacing w:val="1"/>
          <w:lang w:eastAsia="en-GB"/>
        </w:rPr>
        <w:t>d</w:t>
      </w:r>
      <w:r w:rsidRPr="00CE0885">
        <w:rPr>
          <w:lang w:eastAsia="en-GB"/>
        </w:rPr>
        <w:t>i</w:t>
      </w:r>
      <w:r w:rsidRPr="00CE0885">
        <w:rPr>
          <w:spacing w:val="1"/>
          <w:lang w:eastAsia="en-GB"/>
        </w:rPr>
        <w:t>n</w:t>
      </w:r>
      <w:r w:rsidRPr="00CE0885">
        <w:rPr>
          <w:spacing w:val="-1"/>
          <w:lang w:eastAsia="en-GB"/>
        </w:rPr>
        <w:t>g</w:t>
      </w:r>
      <w:r w:rsidRPr="00CE0885">
        <w:rPr>
          <w:lang w:eastAsia="en-GB"/>
        </w:rPr>
        <w:t>l</w:t>
      </w:r>
      <w:r w:rsidRPr="00CE0885">
        <w:rPr>
          <w:spacing w:val="-2"/>
          <w:lang w:eastAsia="en-GB"/>
        </w:rPr>
        <w:t>y</w:t>
      </w:r>
      <w:r w:rsidRPr="00CE0885">
        <w:rPr>
          <w:lang w:eastAsia="en-GB"/>
        </w:rPr>
        <w:t>.</w:t>
      </w:r>
      <w:bookmarkEnd w:id="597"/>
    </w:p>
    <w:p w14:paraId="5D21F080" w14:textId="77777777" w:rsidR="00977693" w:rsidRPr="00CE0885" w:rsidRDefault="00977693" w:rsidP="006B781A">
      <w:pPr>
        <w:pStyle w:val="Heading3"/>
        <w:rPr>
          <w:lang w:eastAsia="en-GB"/>
        </w:rPr>
      </w:pPr>
      <w:bookmarkStart w:id="598" w:name="_Toc440981750"/>
      <w:r w:rsidRPr="00CE0885">
        <w:rPr>
          <w:lang w:eastAsia="en-GB"/>
        </w:rPr>
        <w:t>If t</w:t>
      </w:r>
      <w:r w:rsidRPr="00CE0885">
        <w:rPr>
          <w:spacing w:val="-1"/>
          <w:lang w:eastAsia="en-GB"/>
        </w:rPr>
        <w:t>h</w:t>
      </w:r>
      <w:r w:rsidRPr="00CE0885">
        <w:rPr>
          <w:lang w:eastAsia="en-GB"/>
        </w:rPr>
        <w:t>e</w:t>
      </w:r>
      <w:r w:rsidRPr="00CE0885">
        <w:rPr>
          <w:spacing w:val="-1"/>
          <w:lang w:eastAsia="en-GB"/>
        </w:rPr>
        <w:t xml:space="preserve"> n</w:t>
      </w:r>
      <w:r w:rsidRPr="00CE0885">
        <w:rPr>
          <w:lang w:eastAsia="en-GB"/>
        </w:rPr>
        <w:t>ew</w:t>
      </w:r>
      <w:r w:rsidRPr="00CE0885">
        <w:rPr>
          <w:spacing w:val="-6"/>
          <w:lang w:eastAsia="en-GB"/>
        </w:rPr>
        <w:t xml:space="preserve"> </w:t>
      </w:r>
      <w:r w:rsidRPr="00CE0885">
        <w:rPr>
          <w:lang w:eastAsia="en-GB"/>
        </w:rPr>
        <w:t>pa</w:t>
      </w:r>
      <w:r w:rsidRPr="00CE0885">
        <w:rPr>
          <w:spacing w:val="-1"/>
          <w:lang w:eastAsia="en-GB"/>
        </w:rPr>
        <w:t>r</w:t>
      </w:r>
      <w:r w:rsidRPr="00CE0885">
        <w:rPr>
          <w:lang w:eastAsia="en-GB"/>
        </w:rPr>
        <w:t>tner</w:t>
      </w:r>
      <w:r w:rsidRPr="00CE0885">
        <w:rPr>
          <w:spacing w:val="-8"/>
          <w:lang w:eastAsia="en-GB"/>
        </w:rPr>
        <w:t xml:space="preserve"> </w:t>
      </w:r>
      <w:r w:rsidRPr="00CE0885">
        <w:rPr>
          <w:lang w:eastAsia="en-GB"/>
        </w:rPr>
        <w:t>is</w:t>
      </w:r>
      <w:r w:rsidRPr="00CE0885">
        <w:rPr>
          <w:spacing w:val="-2"/>
          <w:lang w:eastAsia="en-GB"/>
        </w:rPr>
        <w:t xml:space="preserve"> </w:t>
      </w:r>
      <w:r w:rsidRPr="00CE0885">
        <w:rPr>
          <w:spacing w:val="-1"/>
          <w:lang w:eastAsia="en-GB"/>
        </w:rPr>
        <w:t>no</w:t>
      </w:r>
      <w:r w:rsidRPr="00CE0885">
        <w:rPr>
          <w:lang w:eastAsia="en-GB"/>
        </w:rPr>
        <w:t>t</w:t>
      </w:r>
      <w:r w:rsidRPr="00CE0885">
        <w:rPr>
          <w:spacing w:val="-2"/>
          <w:lang w:eastAsia="en-GB"/>
        </w:rPr>
        <w:t xml:space="preserve"> </w:t>
      </w:r>
      <w:r w:rsidRPr="00CE0885">
        <w:rPr>
          <w:lang w:eastAsia="en-GB"/>
        </w:rPr>
        <w:t>acc</w:t>
      </w:r>
      <w:r w:rsidRPr="00CE0885">
        <w:rPr>
          <w:spacing w:val="-1"/>
          <w:lang w:eastAsia="en-GB"/>
        </w:rPr>
        <w:t>e</w:t>
      </w:r>
      <w:r w:rsidRPr="00CE0885">
        <w:rPr>
          <w:lang w:eastAsia="en-GB"/>
        </w:rPr>
        <w:t>pt</w:t>
      </w:r>
      <w:r w:rsidRPr="00CE0885">
        <w:rPr>
          <w:spacing w:val="-1"/>
          <w:lang w:eastAsia="en-GB"/>
        </w:rPr>
        <w:t>e</w:t>
      </w:r>
      <w:r w:rsidRPr="00CE0885">
        <w:rPr>
          <w:lang w:eastAsia="en-GB"/>
        </w:rPr>
        <w:t>d</w:t>
      </w:r>
      <w:r w:rsidRPr="00CE0885">
        <w:rPr>
          <w:spacing w:val="-8"/>
          <w:lang w:eastAsia="en-GB"/>
        </w:rPr>
        <w:t xml:space="preserve"> </w:t>
      </w:r>
      <w:r w:rsidRPr="00CE0885">
        <w:rPr>
          <w:lang w:eastAsia="en-GB"/>
        </w:rPr>
        <w:t>as</w:t>
      </w:r>
      <w:r w:rsidRPr="00CE0885">
        <w:rPr>
          <w:spacing w:val="-5"/>
          <w:lang w:eastAsia="en-GB"/>
        </w:rPr>
        <w:t xml:space="preserve"> </w:t>
      </w:r>
      <w:r w:rsidRPr="00CE0885">
        <w:rPr>
          <w:lang w:eastAsia="en-GB"/>
        </w:rPr>
        <w:t>eli</w:t>
      </w:r>
      <w:r w:rsidRPr="00CE0885">
        <w:rPr>
          <w:spacing w:val="-1"/>
          <w:lang w:eastAsia="en-GB"/>
        </w:rPr>
        <w:t>g</w:t>
      </w:r>
      <w:r w:rsidRPr="00CE0885">
        <w:rPr>
          <w:lang w:eastAsia="en-GB"/>
        </w:rPr>
        <w:t>ible</w:t>
      </w:r>
      <w:r w:rsidRPr="00CE0885">
        <w:rPr>
          <w:spacing w:val="-5"/>
          <w:lang w:eastAsia="en-GB"/>
        </w:rPr>
        <w:t xml:space="preserve"> </w:t>
      </w:r>
      <w:r w:rsidRPr="00CE0885">
        <w:rPr>
          <w:lang w:eastAsia="en-GB"/>
        </w:rPr>
        <w:t>the</w:t>
      </w:r>
      <w:r w:rsidRPr="00CE0885">
        <w:rPr>
          <w:spacing w:val="-1"/>
          <w:lang w:eastAsia="en-GB"/>
        </w:rPr>
        <w:t xml:space="preserve"> </w:t>
      </w:r>
      <w:r w:rsidRPr="00CE0885">
        <w:rPr>
          <w:spacing w:val="-2"/>
          <w:lang w:eastAsia="en-GB"/>
        </w:rPr>
        <w:t>Commissioner</w:t>
      </w:r>
      <w:r w:rsidRPr="00CE0885">
        <w:rPr>
          <w:spacing w:val="-3"/>
          <w:lang w:eastAsia="en-GB"/>
        </w:rPr>
        <w:t xml:space="preserve"> </w:t>
      </w:r>
      <w:r w:rsidRPr="00CE0885">
        <w:rPr>
          <w:spacing w:val="2"/>
          <w:lang w:eastAsia="en-GB"/>
        </w:rPr>
        <w:t>should</w:t>
      </w:r>
      <w:r w:rsidRPr="00CE0885">
        <w:rPr>
          <w:spacing w:val="-4"/>
          <w:lang w:eastAsia="en-GB"/>
        </w:rPr>
        <w:t xml:space="preserve"> </w:t>
      </w:r>
      <w:r w:rsidRPr="00CE0885">
        <w:rPr>
          <w:spacing w:val="-1"/>
          <w:lang w:eastAsia="en-GB"/>
        </w:rPr>
        <w:t>a</w:t>
      </w:r>
      <w:r w:rsidRPr="00CE0885">
        <w:rPr>
          <w:lang w:eastAsia="en-GB"/>
        </w:rPr>
        <w:t>d</w:t>
      </w:r>
      <w:r w:rsidRPr="00CE0885">
        <w:rPr>
          <w:spacing w:val="-2"/>
          <w:lang w:eastAsia="en-GB"/>
        </w:rPr>
        <w:t>v</w:t>
      </w:r>
      <w:r w:rsidRPr="00CE0885">
        <w:rPr>
          <w:lang w:eastAsia="en-GB"/>
        </w:rPr>
        <w:t>ise the</w:t>
      </w:r>
      <w:r w:rsidRPr="00CE0885">
        <w:rPr>
          <w:spacing w:val="-1"/>
          <w:lang w:eastAsia="en-GB"/>
        </w:rPr>
        <w:t xml:space="preserve"> </w:t>
      </w:r>
      <w:r w:rsidRPr="00CE0885">
        <w:rPr>
          <w:spacing w:val="-2"/>
          <w:lang w:eastAsia="en-GB"/>
        </w:rPr>
        <w:t>c</w:t>
      </w:r>
      <w:r w:rsidRPr="00CE0885">
        <w:rPr>
          <w:lang w:eastAsia="en-GB"/>
        </w:rPr>
        <w:t>ont</w:t>
      </w:r>
      <w:r w:rsidRPr="00CE0885">
        <w:rPr>
          <w:spacing w:val="-1"/>
          <w:lang w:eastAsia="en-GB"/>
        </w:rPr>
        <w:t>r</w:t>
      </w:r>
      <w:r w:rsidRPr="00CE0885">
        <w:rPr>
          <w:lang w:eastAsia="en-GB"/>
        </w:rPr>
        <w:t>ac</w:t>
      </w:r>
      <w:r w:rsidRPr="00CE0885">
        <w:rPr>
          <w:spacing w:val="-2"/>
          <w:lang w:eastAsia="en-GB"/>
        </w:rPr>
        <w:t>t</w:t>
      </w:r>
      <w:r w:rsidRPr="00CE0885">
        <w:rPr>
          <w:lang w:eastAsia="en-GB"/>
        </w:rPr>
        <w:t>or</w:t>
      </w:r>
      <w:r w:rsidRPr="00CE0885">
        <w:rPr>
          <w:spacing w:val="-11"/>
          <w:lang w:eastAsia="en-GB"/>
        </w:rPr>
        <w:t xml:space="preserve"> </w:t>
      </w:r>
      <w:r w:rsidRPr="00CE0885">
        <w:rPr>
          <w:lang w:eastAsia="en-GB"/>
        </w:rPr>
        <w:t xml:space="preserve">in </w:t>
      </w:r>
      <w:r w:rsidRPr="00CE0885">
        <w:rPr>
          <w:spacing w:val="-3"/>
          <w:lang w:eastAsia="en-GB"/>
        </w:rPr>
        <w:t>w</w:t>
      </w:r>
      <w:r w:rsidRPr="00CE0885">
        <w:rPr>
          <w:spacing w:val="-1"/>
          <w:lang w:eastAsia="en-GB"/>
        </w:rPr>
        <w:t>r</w:t>
      </w:r>
      <w:r w:rsidRPr="00CE0885">
        <w:rPr>
          <w:lang w:eastAsia="en-GB"/>
        </w:rPr>
        <w:t>iting</w:t>
      </w:r>
      <w:r w:rsidRPr="00CE0885">
        <w:rPr>
          <w:spacing w:val="-8"/>
          <w:lang w:eastAsia="en-GB"/>
        </w:rPr>
        <w:t xml:space="preserve"> </w:t>
      </w:r>
      <w:r w:rsidRPr="00CE0885">
        <w:rPr>
          <w:lang w:eastAsia="en-GB"/>
        </w:rPr>
        <w:t>of</w:t>
      </w:r>
      <w:r w:rsidRPr="00CE0885">
        <w:rPr>
          <w:spacing w:val="-1"/>
          <w:lang w:eastAsia="en-GB"/>
        </w:rPr>
        <w:t xml:space="preserve"> </w:t>
      </w:r>
      <w:r w:rsidRPr="00CE0885">
        <w:rPr>
          <w:lang w:eastAsia="en-GB"/>
        </w:rPr>
        <w:t>the</w:t>
      </w:r>
      <w:r w:rsidRPr="00CE0885">
        <w:rPr>
          <w:spacing w:val="-4"/>
          <w:lang w:eastAsia="en-GB"/>
        </w:rPr>
        <w:t xml:space="preserve"> </w:t>
      </w:r>
      <w:r w:rsidRPr="00CE0885">
        <w:rPr>
          <w:spacing w:val="-1"/>
          <w:lang w:eastAsia="en-GB"/>
        </w:rPr>
        <w:t>r</w:t>
      </w:r>
      <w:r w:rsidRPr="00CE0885">
        <w:rPr>
          <w:lang w:eastAsia="en-GB"/>
        </w:rPr>
        <w:t>eas</w:t>
      </w:r>
      <w:r w:rsidRPr="00CE0885">
        <w:rPr>
          <w:spacing w:val="-1"/>
          <w:lang w:eastAsia="en-GB"/>
        </w:rPr>
        <w:t>o</w:t>
      </w:r>
      <w:r w:rsidRPr="00CE0885">
        <w:rPr>
          <w:lang w:eastAsia="en-GB"/>
        </w:rPr>
        <w:t>ns</w:t>
      </w:r>
      <w:r w:rsidRPr="00CE0885">
        <w:rPr>
          <w:spacing w:val="-9"/>
          <w:lang w:eastAsia="en-GB"/>
        </w:rPr>
        <w:t xml:space="preserve"> </w:t>
      </w:r>
      <w:r w:rsidRPr="00CE0885">
        <w:rPr>
          <w:spacing w:val="-2"/>
          <w:lang w:eastAsia="en-GB"/>
        </w:rPr>
        <w:t>t</w:t>
      </w:r>
      <w:r w:rsidRPr="00CE0885">
        <w:rPr>
          <w:lang w:eastAsia="en-GB"/>
        </w:rPr>
        <w:t>hey</w:t>
      </w:r>
      <w:r w:rsidRPr="00CE0885">
        <w:rPr>
          <w:spacing w:val="-7"/>
          <w:lang w:eastAsia="en-GB"/>
        </w:rPr>
        <w:t xml:space="preserve"> </w:t>
      </w:r>
      <w:r w:rsidRPr="00CE0885">
        <w:rPr>
          <w:spacing w:val="-1"/>
          <w:lang w:eastAsia="en-GB"/>
        </w:rPr>
        <w:t>b</w:t>
      </w:r>
      <w:r w:rsidRPr="00CE0885">
        <w:rPr>
          <w:lang w:eastAsia="en-GB"/>
        </w:rPr>
        <w:t>elie</w:t>
      </w:r>
      <w:r w:rsidRPr="00CE0885">
        <w:rPr>
          <w:spacing w:val="-2"/>
          <w:lang w:eastAsia="en-GB"/>
        </w:rPr>
        <w:t>v</w:t>
      </w:r>
      <w:r w:rsidRPr="00CE0885">
        <w:rPr>
          <w:lang w:eastAsia="en-GB"/>
        </w:rPr>
        <w:t>e</w:t>
      </w:r>
      <w:r w:rsidRPr="00CE0885">
        <w:rPr>
          <w:spacing w:val="-6"/>
          <w:lang w:eastAsia="en-GB"/>
        </w:rPr>
        <w:t xml:space="preserve"> </w:t>
      </w:r>
      <w:r w:rsidRPr="00CE0885">
        <w:rPr>
          <w:lang w:eastAsia="en-GB"/>
        </w:rPr>
        <w:t>the</w:t>
      </w:r>
      <w:r w:rsidRPr="00CE0885">
        <w:rPr>
          <w:spacing w:val="-1"/>
          <w:lang w:eastAsia="en-GB"/>
        </w:rPr>
        <w:t xml:space="preserve"> </w:t>
      </w:r>
      <w:r w:rsidRPr="00CE0885">
        <w:rPr>
          <w:lang w:eastAsia="en-GB"/>
        </w:rPr>
        <w:t>p</w:t>
      </w:r>
      <w:r w:rsidRPr="00CE0885">
        <w:rPr>
          <w:spacing w:val="-3"/>
          <w:lang w:eastAsia="en-GB"/>
        </w:rPr>
        <w:t>r</w:t>
      </w:r>
      <w:r w:rsidRPr="00CE0885">
        <w:rPr>
          <w:lang w:eastAsia="en-GB"/>
        </w:rPr>
        <w:t>opo</w:t>
      </w:r>
      <w:r w:rsidRPr="00CE0885">
        <w:rPr>
          <w:spacing w:val="-2"/>
          <w:lang w:eastAsia="en-GB"/>
        </w:rPr>
        <w:t>s</w:t>
      </w:r>
      <w:r w:rsidRPr="00CE0885">
        <w:rPr>
          <w:lang w:eastAsia="en-GB"/>
        </w:rPr>
        <w:t>ed pa</w:t>
      </w:r>
      <w:r w:rsidRPr="00CE0885">
        <w:rPr>
          <w:spacing w:val="-1"/>
          <w:lang w:eastAsia="en-GB"/>
        </w:rPr>
        <w:t>r</w:t>
      </w:r>
      <w:r w:rsidRPr="00CE0885">
        <w:rPr>
          <w:lang w:eastAsia="en-GB"/>
        </w:rPr>
        <w:t>tne</w:t>
      </w:r>
      <w:r w:rsidRPr="00CE0885">
        <w:rPr>
          <w:spacing w:val="-1"/>
          <w:lang w:eastAsia="en-GB"/>
        </w:rPr>
        <w:t>r(</w:t>
      </w:r>
      <w:r w:rsidRPr="00CE0885">
        <w:rPr>
          <w:lang w:eastAsia="en-GB"/>
        </w:rPr>
        <w:t>s)</w:t>
      </w:r>
      <w:r w:rsidRPr="00CE0885">
        <w:rPr>
          <w:spacing w:val="-10"/>
          <w:lang w:eastAsia="en-GB"/>
        </w:rPr>
        <w:t xml:space="preserve"> </w:t>
      </w:r>
      <w:r w:rsidRPr="00CE0885">
        <w:rPr>
          <w:lang w:eastAsia="en-GB"/>
        </w:rPr>
        <w:t>to</w:t>
      </w:r>
      <w:r w:rsidRPr="00CE0885">
        <w:rPr>
          <w:spacing w:val="-3"/>
          <w:lang w:eastAsia="en-GB"/>
        </w:rPr>
        <w:t xml:space="preserve"> </w:t>
      </w:r>
      <w:r w:rsidRPr="00CE0885">
        <w:rPr>
          <w:lang w:eastAsia="en-GB"/>
        </w:rPr>
        <w:t>be</w:t>
      </w:r>
      <w:r w:rsidRPr="00CE0885">
        <w:rPr>
          <w:spacing w:val="-4"/>
          <w:lang w:eastAsia="en-GB"/>
        </w:rPr>
        <w:t xml:space="preserve"> </w:t>
      </w:r>
      <w:r w:rsidRPr="00CE0885">
        <w:rPr>
          <w:lang w:eastAsia="en-GB"/>
        </w:rPr>
        <w:t>ineli</w:t>
      </w:r>
      <w:r w:rsidRPr="00CE0885">
        <w:rPr>
          <w:spacing w:val="-1"/>
          <w:lang w:eastAsia="en-GB"/>
        </w:rPr>
        <w:t>g</w:t>
      </w:r>
      <w:r w:rsidRPr="00CE0885">
        <w:rPr>
          <w:lang w:eastAsia="en-GB"/>
        </w:rPr>
        <w:t>ible</w:t>
      </w:r>
      <w:r w:rsidRPr="00CE0885">
        <w:rPr>
          <w:spacing w:val="-7"/>
          <w:lang w:eastAsia="en-GB"/>
        </w:rPr>
        <w:t xml:space="preserve"> </w:t>
      </w:r>
      <w:r w:rsidRPr="00CE0885">
        <w:rPr>
          <w:lang w:eastAsia="en-GB"/>
        </w:rPr>
        <w:t>a</w:t>
      </w:r>
      <w:r w:rsidRPr="00CE0885">
        <w:rPr>
          <w:spacing w:val="-1"/>
          <w:lang w:eastAsia="en-GB"/>
        </w:rPr>
        <w:t>n</w:t>
      </w:r>
      <w:r w:rsidRPr="00CE0885">
        <w:rPr>
          <w:lang w:eastAsia="en-GB"/>
        </w:rPr>
        <w:t>d</w:t>
      </w:r>
      <w:r w:rsidRPr="00CE0885">
        <w:rPr>
          <w:spacing w:val="-2"/>
          <w:lang w:eastAsia="en-GB"/>
        </w:rPr>
        <w:t xml:space="preserve"> </w:t>
      </w:r>
      <w:r w:rsidRPr="00CE0885">
        <w:rPr>
          <w:lang w:eastAsia="en-GB"/>
        </w:rPr>
        <w:t>co</w:t>
      </w:r>
      <w:r w:rsidRPr="00CE0885">
        <w:rPr>
          <w:spacing w:val="-1"/>
          <w:lang w:eastAsia="en-GB"/>
        </w:rPr>
        <w:t>n</w:t>
      </w:r>
      <w:r w:rsidRPr="00CE0885">
        <w:rPr>
          <w:spacing w:val="3"/>
          <w:lang w:eastAsia="en-GB"/>
        </w:rPr>
        <w:t>f</w:t>
      </w:r>
      <w:r w:rsidRPr="00CE0885">
        <w:rPr>
          <w:lang w:eastAsia="en-GB"/>
        </w:rPr>
        <w:t>i</w:t>
      </w:r>
      <w:r w:rsidRPr="00CE0885">
        <w:rPr>
          <w:spacing w:val="-3"/>
          <w:lang w:eastAsia="en-GB"/>
        </w:rPr>
        <w:t>r</w:t>
      </w:r>
      <w:r w:rsidRPr="00CE0885">
        <w:rPr>
          <w:lang w:eastAsia="en-GB"/>
        </w:rPr>
        <w:t>m</w:t>
      </w:r>
      <w:r w:rsidRPr="00CE0885">
        <w:rPr>
          <w:spacing w:val="-6"/>
          <w:lang w:eastAsia="en-GB"/>
        </w:rPr>
        <w:t xml:space="preserve"> </w:t>
      </w:r>
      <w:r w:rsidRPr="00CE0885">
        <w:rPr>
          <w:spacing w:val="-2"/>
          <w:lang w:eastAsia="en-GB"/>
        </w:rPr>
        <w:t>t</w:t>
      </w:r>
      <w:r w:rsidRPr="00CE0885">
        <w:rPr>
          <w:lang w:eastAsia="en-GB"/>
        </w:rPr>
        <w:t>hat</w:t>
      </w:r>
      <w:r w:rsidRPr="00CE0885">
        <w:rPr>
          <w:spacing w:val="-5"/>
          <w:lang w:eastAsia="en-GB"/>
        </w:rPr>
        <w:t xml:space="preserve"> </w:t>
      </w:r>
      <w:r w:rsidRPr="00CE0885">
        <w:rPr>
          <w:lang w:eastAsia="en-GB"/>
        </w:rPr>
        <w:t>the</w:t>
      </w:r>
      <w:r w:rsidRPr="00CE0885">
        <w:rPr>
          <w:spacing w:val="-6"/>
          <w:lang w:eastAsia="en-GB"/>
        </w:rPr>
        <w:t xml:space="preserve"> </w:t>
      </w:r>
      <w:r w:rsidRPr="00CE0885">
        <w:rPr>
          <w:lang w:eastAsia="en-GB"/>
        </w:rPr>
        <w:t>cont</w:t>
      </w:r>
      <w:r w:rsidRPr="00CE0885">
        <w:rPr>
          <w:spacing w:val="-1"/>
          <w:lang w:eastAsia="en-GB"/>
        </w:rPr>
        <w:t>r</w:t>
      </w:r>
      <w:r w:rsidRPr="00CE0885">
        <w:rPr>
          <w:lang w:eastAsia="en-GB"/>
        </w:rPr>
        <w:t>act</w:t>
      </w:r>
      <w:r w:rsidRPr="00CE0885">
        <w:rPr>
          <w:spacing w:val="-8"/>
          <w:lang w:eastAsia="en-GB"/>
        </w:rPr>
        <w:t xml:space="preserve"> </w:t>
      </w:r>
      <w:r w:rsidRPr="00CE0885">
        <w:rPr>
          <w:spacing w:val="-2"/>
          <w:lang w:eastAsia="en-GB"/>
        </w:rPr>
        <w:t>s</w:t>
      </w:r>
      <w:r w:rsidRPr="00CE0885">
        <w:rPr>
          <w:lang w:eastAsia="en-GB"/>
        </w:rPr>
        <w:t>ta</w:t>
      </w:r>
      <w:r w:rsidRPr="00CE0885">
        <w:rPr>
          <w:spacing w:val="-2"/>
          <w:lang w:eastAsia="en-GB"/>
        </w:rPr>
        <w:t>t</w:t>
      </w:r>
      <w:r w:rsidRPr="00CE0885">
        <w:rPr>
          <w:lang w:eastAsia="en-GB"/>
        </w:rPr>
        <w:t>us</w:t>
      </w:r>
      <w:r w:rsidRPr="00CE0885">
        <w:rPr>
          <w:spacing w:val="-6"/>
          <w:lang w:eastAsia="en-GB"/>
        </w:rPr>
        <w:t xml:space="preserve"> </w:t>
      </w:r>
      <w:r w:rsidRPr="00CE0885">
        <w:rPr>
          <w:spacing w:val="-3"/>
          <w:lang w:eastAsia="en-GB"/>
        </w:rPr>
        <w:t>w</w:t>
      </w:r>
      <w:r w:rsidRPr="00CE0885">
        <w:rPr>
          <w:lang w:eastAsia="en-GB"/>
        </w:rPr>
        <w:t xml:space="preserve">ill </w:t>
      </w:r>
      <w:r w:rsidRPr="00CE0885">
        <w:rPr>
          <w:spacing w:val="-1"/>
          <w:lang w:eastAsia="en-GB"/>
        </w:rPr>
        <w:t>r</w:t>
      </w:r>
      <w:r w:rsidRPr="00CE0885">
        <w:rPr>
          <w:lang w:eastAsia="en-GB"/>
        </w:rPr>
        <w:t>e</w:t>
      </w:r>
      <w:r w:rsidRPr="00CE0885">
        <w:rPr>
          <w:spacing w:val="2"/>
          <w:lang w:eastAsia="en-GB"/>
        </w:rPr>
        <w:t>m</w:t>
      </w:r>
      <w:r w:rsidRPr="00CE0885">
        <w:rPr>
          <w:lang w:eastAsia="en-GB"/>
        </w:rPr>
        <w:t>ain</w:t>
      </w:r>
      <w:r w:rsidRPr="00CE0885">
        <w:rPr>
          <w:spacing w:val="-8"/>
          <w:lang w:eastAsia="en-GB"/>
        </w:rPr>
        <w:t xml:space="preserve"> </w:t>
      </w:r>
      <w:r w:rsidRPr="00CE0885">
        <w:rPr>
          <w:lang w:eastAsia="en-GB"/>
        </w:rPr>
        <w:t>sin</w:t>
      </w:r>
      <w:r w:rsidRPr="00CE0885">
        <w:rPr>
          <w:spacing w:val="-1"/>
          <w:lang w:eastAsia="en-GB"/>
        </w:rPr>
        <w:t>g</w:t>
      </w:r>
      <w:r w:rsidRPr="00CE0885">
        <w:rPr>
          <w:lang w:eastAsia="en-GB"/>
        </w:rPr>
        <w:t>le</w:t>
      </w:r>
      <w:r w:rsidRPr="00CE0885">
        <w:rPr>
          <w:spacing w:val="-4"/>
          <w:lang w:eastAsia="en-GB"/>
        </w:rPr>
        <w:t xml:space="preserve"> </w:t>
      </w:r>
      <w:r w:rsidRPr="00CE0885">
        <w:rPr>
          <w:lang w:eastAsia="en-GB"/>
        </w:rPr>
        <w:t>h</w:t>
      </w:r>
      <w:r w:rsidRPr="00CE0885">
        <w:rPr>
          <w:spacing w:val="-1"/>
          <w:lang w:eastAsia="en-GB"/>
        </w:rPr>
        <w:t>a</w:t>
      </w:r>
      <w:r w:rsidRPr="00CE0885">
        <w:rPr>
          <w:lang w:eastAsia="en-GB"/>
        </w:rPr>
        <w:t>nd</w:t>
      </w:r>
      <w:r w:rsidRPr="00CE0885">
        <w:rPr>
          <w:spacing w:val="-1"/>
          <w:lang w:eastAsia="en-GB"/>
        </w:rPr>
        <w:t>e</w:t>
      </w:r>
      <w:r w:rsidRPr="00CE0885">
        <w:rPr>
          <w:lang w:eastAsia="en-GB"/>
        </w:rPr>
        <w:t>d</w:t>
      </w:r>
      <w:r w:rsidRPr="00CE0885">
        <w:rPr>
          <w:spacing w:val="-9"/>
          <w:lang w:eastAsia="en-GB"/>
        </w:rPr>
        <w:t xml:space="preserve"> </w:t>
      </w:r>
      <w:r w:rsidRPr="00CE0885">
        <w:rPr>
          <w:lang w:eastAsia="en-GB"/>
        </w:rPr>
        <w:t>until</w:t>
      </w:r>
      <w:r w:rsidRPr="00CE0885">
        <w:rPr>
          <w:spacing w:val="-4"/>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4"/>
          <w:lang w:eastAsia="en-GB"/>
        </w:rPr>
        <w:t xml:space="preserve"> </w:t>
      </w:r>
      <w:r w:rsidRPr="00CE0885">
        <w:rPr>
          <w:spacing w:val="2"/>
          <w:lang w:eastAsia="en-GB"/>
        </w:rPr>
        <w:t>m</w:t>
      </w:r>
      <w:r w:rsidRPr="00CE0885">
        <w:rPr>
          <w:lang w:eastAsia="en-GB"/>
        </w:rPr>
        <w:t>at</w:t>
      </w:r>
      <w:r w:rsidRPr="00CE0885">
        <w:rPr>
          <w:spacing w:val="-2"/>
          <w:lang w:eastAsia="en-GB"/>
        </w:rPr>
        <w:t>t</w:t>
      </w:r>
      <w:r w:rsidRPr="00CE0885">
        <w:rPr>
          <w:lang w:eastAsia="en-GB"/>
        </w:rPr>
        <w:t>er</w:t>
      </w:r>
      <w:r w:rsidRPr="00CE0885">
        <w:rPr>
          <w:spacing w:val="-7"/>
          <w:lang w:eastAsia="en-GB"/>
        </w:rPr>
        <w:t xml:space="preserve"> </w:t>
      </w:r>
      <w:r w:rsidRPr="00CE0885">
        <w:rPr>
          <w:lang w:eastAsia="en-GB"/>
        </w:rPr>
        <w:t>can</w:t>
      </w:r>
      <w:r w:rsidRPr="00CE0885">
        <w:rPr>
          <w:spacing w:val="-5"/>
          <w:lang w:eastAsia="en-GB"/>
        </w:rPr>
        <w:t xml:space="preserve"> </w:t>
      </w:r>
      <w:r w:rsidRPr="00CE0885">
        <w:rPr>
          <w:lang w:eastAsia="en-GB"/>
        </w:rPr>
        <w:t>be</w:t>
      </w:r>
      <w:r w:rsidRPr="00CE0885">
        <w:rPr>
          <w:spacing w:val="-6"/>
          <w:lang w:eastAsia="en-GB"/>
        </w:rPr>
        <w:t xml:space="preserve"> </w:t>
      </w:r>
      <w:r w:rsidRPr="00CE0885">
        <w:rPr>
          <w:spacing w:val="-1"/>
          <w:lang w:eastAsia="en-GB"/>
        </w:rPr>
        <w:t>r</w:t>
      </w:r>
      <w:r w:rsidRPr="00CE0885">
        <w:rPr>
          <w:lang w:eastAsia="en-GB"/>
        </w:rPr>
        <w:t>esol</w:t>
      </w:r>
      <w:r w:rsidRPr="00CE0885">
        <w:rPr>
          <w:spacing w:val="-2"/>
          <w:lang w:eastAsia="en-GB"/>
        </w:rPr>
        <w:t>v</w:t>
      </w:r>
      <w:r w:rsidRPr="00CE0885">
        <w:rPr>
          <w:lang w:eastAsia="en-GB"/>
        </w:rPr>
        <w:t>ed</w:t>
      </w:r>
      <w:r w:rsidRPr="00CE0885">
        <w:rPr>
          <w:spacing w:val="-7"/>
          <w:lang w:eastAsia="en-GB"/>
        </w:rPr>
        <w:t xml:space="preserve"> </w:t>
      </w:r>
      <w:r w:rsidRPr="00CE0885">
        <w:rPr>
          <w:lang w:eastAsia="en-GB"/>
        </w:rPr>
        <w:t>or</w:t>
      </w:r>
      <w:r w:rsidRPr="00CE0885">
        <w:rPr>
          <w:spacing w:val="-2"/>
          <w:lang w:eastAsia="en-GB"/>
        </w:rPr>
        <w:t xml:space="preserve"> </w:t>
      </w:r>
      <w:r w:rsidRPr="00CE0885">
        <w:rPr>
          <w:lang w:eastAsia="en-GB"/>
        </w:rPr>
        <w:t>a</w:t>
      </w:r>
      <w:r w:rsidRPr="00CE0885">
        <w:rPr>
          <w:spacing w:val="-2"/>
          <w:lang w:eastAsia="en-GB"/>
        </w:rPr>
        <w:t xml:space="preserve"> </w:t>
      </w:r>
      <w:r w:rsidRPr="00CE0885">
        <w:rPr>
          <w:lang w:eastAsia="en-GB"/>
        </w:rPr>
        <w:t>fu</w:t>
      </w:r>
      <w:r w:rsidRPr="00CE0885">
        <w:rPr>
          <w:spacing w:val="-1"/>
          <w:lang w:eastAsia="en-GB"/>
        </w:rPr>
        <w:t>r</w:t>
      </w:r>
      <w:r w:rsidRPr="00CE0885">
        <w:rPr>
          <w:lang w:eastAsia="en-GB"/>
        </w:rPr>
        <w:t>ther notice</w:t>
      </w:r>
      <w:r w:rsidRPr="00CE0885">
        <w:rPr>
          <w:spacing w:val="-4"/>
          <w:lang w:eastAsia="en-GB"/>
        </w:rPr>
        <w:t xml:space="preserve"> </w:t>
      </w:r>
      <w:r w:rsidRPr="00CE0885">
        <w:rPr>
          <w:lang w:eastAsia="en-GB"/>
        </w:rPr>
        <w:t>is</w:t>
      </w:r>
      <w:r w:rsidRPr="00CE0885">
        <w:rPr>
          <w:spacing w:val="-4"/>
          <w:lang w:eastAsia="en-GB"/>
        </w:rPr>
        <w:t xml:space="preserve"> </w:t>
      </w:r>
      <w:r w:rsidRPr="00CE0885">
        <w:rPr>
          <w:lang w:eastAsia="en-GB"/>
        </w:rPr>
        <w:t>p</w:t>
      </w:r>
      <w:r w:rsidRPr="00CE0885">
        <w:rPr>
          <w:spacing w:val="-1"/>
          <w:lang w:eastAsia="en-GB"/>
        </w:rPr>
        <w:t>r</w:t>
      </w:r>
      <w:r w:rsidRPr="00CE0885">
        <w:rPr>
          <w:lang w:eastAsia="en-GB"/>
        </w:rPr>
        <w:t>o</w:t>
      </w:r>
      <w:r w:rsidRPr="00CE0885">
        <w:rPr>
          <w:spacing w:val="-2"/>
          <w:lang w:eastAsia="en-GB"/>
        </w:rPr>
        <w:t>v</w:t>
      </w:r>
      <w:r w:rsidRPr="00CE0885">
        <w:rPr>
          <w:lang w:eastAsia="en-GB"/>
        </w:rPr>
        <w:t>ided</w:t>
      </w:r>
      <w:r w:rsidRPr="00CE0885">
        <w:rPr>
          <w:spacing w:val="-7"/>
          <w:lang w:eastAsia="en-GB"/>
        </w:rPr>
        <w:t xml:space="preserve"> </w:t>
      </w:r>
      <w:r w:rsidRPr="00CE0885">
        <w:rPr>
          <w:lang w:eastAsia="en-GB"/>
        </w:rPr>
        <w:t>by</w:t>
      </w:r>
      <w:r w:rsidRPr="00CE0885">
        <w:rPr>
          <w:spacing w:val="-5"/>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co</w:t>
      </w:r>
      <w:r w:rsidRPr="00CE0885">
        <w:rPr>
          <w:spacing w:val="-1"/>
          <w:lang w:eastAsia="en-GB"/>
        </w:rPr>
        <w:t>n</w:t>
      </w:r>
      <w:r w:rsidRPr="00CE0885">
        <w:rPr>
          <w:lang w:eastAsia="en-GB"/>
        </w:rPr>
        <w:t>t</w:t>
      </w:r>
      <w:r w:rsidRPr="00CE0885">
        <w:rPr>
          <w:spacing w:val="-1"/>
          <w:lang w:eastAsia="en-GB"/>
        </w:rPr>
        <w:t>r</w:t>
      </w:r>
      <w:r w:rsidRPr="00CE0885">
        <w:rPr>
          <w:lang w:eastAsia="en-GB"/>
        </w:rPr>
        <w:t>actor</w:t>
      </w:r>
      <w:r w:rsidRPr="00CE0885">
        <w:rPr>
          <w:spacing w:val="-14"/>
          <w:lang w:eastAsia="en-GB"/>
        </w:rPr>
        <w:t xml:space="preserve"> </w:t>
      </w:r>
      <w:r w:rsidRPr="00CE0885">
        <w:rPr>
          <w:lang w:eastAsia="en-GB"/>
        </w:rPr>
        <w:t>p</w:t>
      </w:r>
      <w:r w:rsidRPr="00CE0885">
        <w:rPr>
          <w:spacing w:val="-1"/>
          <w:lang w:eastAsia="en-GB"/>
        </w:rPr>
        <w:t>r</w:t>
      </w:r>
      <w:r w:rsidRPr="00CE0885">
        <w:rPr>
          <w:lang w:eastAsia="en-GB"/>
        </w:rPr>
        <w:t>opos</w:t>
      </w:r>
      <w:r w:rsidRPr="00CE0885">
        <w:rPr>
          <w:spacing w:val="-3"/>
          <w:lang w:eastAsia="en-GB"/>
        </w:rPr>
        <w:t>i</w:t>
      </w:r>
      <w:r w:rsidRPr="00CE0885">
        <w:rPr>
          <w:lang w:eastAsia="en-GB"/>
        </w:rPr>
        <w:t>ng</w:t>
      </w:r>
      <w:r w:rsidRPr="00CE0885">
        <w:rPr>
          <w:spacing w:val="-12"/>
          <w:lang w:eastAsia="en-GB"/>
        </w:rPr>
        <w:t xml:space="preserve"> </w:t>
      </w:r>
      <w:r w:rsidRPr="00CE0885">
        <w:rPr>
          <w:lang w:eastAsia="en-GB"/>
        </w:rPr>
        <w:t>an</w:t>
      </w:r>
      <w:r w:rsidRPr="00CE0885">
        <w:rPr>
          <w:spacing w:val="-1"/>
          <w:lang w:eastAsia="en-GB"/>
        </w:rPr>
        <w:t xml:space="preserve"> </w:t>
      </w:r>
      <w:r w:rsidRPr="00CE0885">
        <w:rPr>
          <w:lang w:eastAsia="en-GB"/>
        </w:rPr>
        <w:t>al</w:t>
      </w:r>
      <w:r w:rsidRPr="00CE0885">
        <w:rPr>
          <w:spacing w:val="-2"/>
          <w:lang w:eastAsia="en-GB"/>
        </w:rPr>
        <w:t>t</w:t>
      </w:r>
      <w:r w:rsidRPr="00CE0885">
        <w:rPr>
          <w:lang w:eastAsia="en-GB"/>
        </w:rPr>
        <w:t>e</w:t>
      </w:r>
      <w:r w:rsidRPr="00CE0885">
        <w:rPr>
          <w:spacing w:val="-1"/>
          <w:lang w:eastAsia="en-GB"/>
        </w:rPr>
        <w:t>r</w:t>
      </w:r>
      <w:r w:rsidRPr="00CE0885">
        <w:rPr>
          <w:lang w:eastAsia="en-GB"/>
        </w:rPr>
        <w:t>nati</w:t>
      </w:r>
      <w:r w:rsidRPr="00CE0885">
        <w:rPr>
          <w:spacing w:val="-2"/>
          <w:lang w:eastAsia="en-GB"/>
        </w:rPr>
        <w:t>v</w:t>
      </w:r>
      <w:r w:rsidRPr="00CE0885">
        <w:rPr>
          <w:lang w:eastAsia="en-GB"/>
        </w:rPr>
        <w:t>e eli</w:t>
      </w:r>
      <w:r w:rsidRPr="00CE0885">
        <w:rPr>
          <w:spacing w:val="-1"/>
          <w:lang w:eastAsia="en-GB"/>
        </w:rPr>
        <w:t>g</w:t>
      </w:r>
      <w:r w:rsidRPr="00CE0885">
        <w:rPr>
          <w:lang w:eastAsia="en-GB"/>
        </w:rPr>
        <w:t>ible</w:t>
      </w:r>
      <w:r w:rsidRPr="00CE0885">
        <w:rPr>
          <w:spacing w:val="-5"/>
          <w:lang w:eastAsia="en-GB"/>
        </w:rPr>
        <w:t xml:space="preserve"> </w:t>
      </w:r>
      <w:r w:rsidRPr="00CE0885">
        <w:rPr>
          <w:lang w:eastAsia="en-GB"/>
        </w:rPr>
        <w:t>pa</w:t>
      </w:r>
      <w:r w:rsidRPr="00CE0885">
        <w:rPr>
          <w:spacing w:val="-1"/>
          <w:lang w:eastAsia="en-GB"/>
        </w:rPr>
        <w:t>r</w:t>
      </w:r>
      <w:r w:rsidRPr="00CE0885">
        <w:rPr>
          <w:lang w:eastAsia="en-GB"/>
        </w:rPr>
        <w:t>tne</w:t>
      </w:r>
      <w:r w:rsidRPr="00CE0885">
        <w:rPr>
          <w:spacing w:val="-1"/>
          <w:lang w:eastAsia="en-GB"/>
        </w:rPr>
        <w:t>r.</w:t>
      </w:r>
      <w:bookmarkEnd w:id="598"/>
    </w:p>
    <w:p w14:paraId="7A145269" w14:textId="77777777" w:rsidR="00977693" w:rsidRPr="00CE0885" w:rsidRDefault="00977693" w:rsidP="003331F2">
      <w:pPr>
        <w:pStyle w:val="BodyText"/>
      </w:pPr>
    </w:p>
    <w:p w14:paraId="78AA8645" w14:textId="77777777" w:rsidR="00977693" w:rsidRPr="00CE5A3A" w:rsidRDefault="00977693" w:rsidP="00CE5A3A">
      <w:pPr>
        <w:pStyle w:val="BodyText"/>
        <w:rPr>
          <w:b/>
          <w:sz w:val="24"/>
          <w:szCs w:val="24"/>
        </w:rPr>
      </w:pPr>
      <w:bookmarkStart w:id="599" w:name="_Toc440981751"/>
      <w:r w:rsidRPr="00CE5A3A">
        <w:rPr>
          <w:b/>
          <w:sz w:val="24"/>
          <w:szCs w:val="24"/>
        </w:rPr>
        <w:t>Individual to more than one individual – PMS agreement</w:t>
      </w:r>
      <w:bookmarkEnd w:id="599"/>
    </w:p>
    <w:p w14:paraId="40EDF649" w14:textId="77777777" w:rsidR="00977693" w:rsidRPr="00CE0885" w:rsidRDefault="00977693" w:rsidP="006B781A">
      <w:pPr>
        <w:pStyle w:val="Heading3"/>
        <w:rPr>
          <w:lang w:eastAsia="en-GB"/>
        </w:rPr>
      </w:pPr>
      <w:bookmarkStart w:id="600" w:name="_Toc440981752"/>
      <w:r w:rsidRPr="00CE0885">
        <w:rPr>
          <w:lang w:eastAsia="en-GB"/>
        </w:rPr>
        <w:t>The PMS Regulations do not allow PMS agreements to be treated as made with a partnership. Where individuals are practising in partnership, the PMS agreement will be entered into with each individual (which may or may not be in partnership). The individual signatories to a PMS agreement collectively form the contractor.</w:t>
      </w:r>
      <w:bookmarkEnd w:id="600"/>
      <w:r w:rsidRPr="00CE0885">
        <w:rPr>
          <w:lang w:eastAsia="en-GB"/>
        </w:rPr>
        <w:t xml:space="preserve">  </w:t>
      </w:r>
    </w:p>
    <w:p w14:paraId="040E13AF" w14:textId="77777777" w:rsidR="00977693" w:rsidRPr="00CE0885" w:rsidRDefault="00977693" w:rsidP="006B781A">
      <w:pPr>
        <w:pStyle w:val="Heading3"/>
        <w:rPr>
          <w:lang w:eastAsia="en-GB"/>
        </w:rPr>
      </w:pPr>
      <w:bookmarkStart w:id="601" w:name="_Ref410394560"/>
      <w:bookmarkStart w:id="602" w:name="_Toc440981753"/>
      <w:r w:rsidRPr="00CE0885">
        <w:rPr>
          <w:lang w:eastAsia="en-GB"/>
        </w:rPr>
        <w:t>The PMS Regulations do not require a PMS agreement to define a specific process for any variation to the signatories. The Commissioner must, therefore, review the relevant PMS agreement to determine whether any provisions have been added relating to this and prior to following any process for variation.</w:t>
      </w:r>
      <w:bookmarkEnd w:id="601"/>
      <w:bookmarkEnd w:id="602"/>
    </w:p>
    <w:p w14:paraId="2B15C6CA" w14:textId="77777777" w:rsidR="00977693" w:rsidRPr="00CE0885" w:rsidRDefault="00977693" w:rsidP="006B781A">
      <w:pPr>
        <w:pStyle w:val="Heading3"/>
        <w:rPr>
          <w:lang w:eastAsia="en-GB"/>
        </w:rPr>
      </w:pPr>
      <w:bookmarkStart w:id="603" w:name="_Toc440981754"/>
      <w:r w:rsidRPr="00CE0885">
        <w:rPr>
          <w:spacing w:val="1"/>
          <w:lang w:eastAsia="en-GB"/>
        </w:rPr>
        <w:t>I</w:t>
      </w:r>
      <w:r w:rsidRPr="00CE0885">
        <w:rPr>
          <w:lang w:eastAsia="en-GB"/>
        </w:rPr>
        <w:t xml:space="preserve">f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c</w:t>
      </w:r>
      <w:r w:rsidRPr="00CE0885">
        <w:rPr>
          <w:spacing w:val="-1"/>
          <w:lang w:eastAsia="en-GB"/>
        </w:rPr>
        <w:t>o</w:t>
      </w:r>
      <w:r w:rsidRPr="00CE0885">
        <w:rPr>
          <w:spacing w:val="1"/>
          <w:lang w:eastAsia="en-GB"/>
        </w:rPr>
        <w:t>nt</w:t>
      </w:r>
      <w:r w:rsidRPr="00CE0885">
        <w:rPr>
          <w:spacing w:val="-1"/>
          <w:lang w:eastAsia="en-GB"/>
        </w:rPr>
        <w:t>r</w:t>
      </w:r>
      <w:r w:rsidRPr="00CE0885">
        <w:rPr>
          <w:spacing w:val="1"/>
          <w:lang w:eastAsia="en-GB"/>
        </w:rPr>
        <w:t>a</w:t>
      </w:r>
      <w:r w:rsidRPr="00CE0885">
        <w:rPr>
          <w:lang w:eastAsia="en-GB"/>
        </w:rPr>
        <w:t>c</w:t>
      </w:r>
      <w:r w:rsidRPr="00CE0885">
        <w:rPr>
          <w:spacing w:val="1"/>
          <w:lang w:eastAsia="en-GB"/>
        </w:rPr>
        <w:t>to</w:t>
      </w:r>
      <w:r w:rsidRPr="00CE0885">
        <w:rPr>
          <w:lang w:eastAsia="en-GB"/>
        </w:rPr>
        <w:t>r</w:t>
      </w:r>
      <w:r w:rsidRPr="00CE0885">
        <w:rPr>
          <w:spacing w:val="-11"/>
          <w:lang w:eastAsia="en-GB"/>
        </w:rPr>
        <w:t xml:space="preserve"> </w:t>
      </w:r>
      <w:r w:rsidRPr="00CE0885">
        <w:rPr>
          <w:lang w:eastAsia="en-GB"/>
        </w:rPr>
        <w:t>is</w:t>
      </w:r>
      <w:r w:rsidRPr="00CE0885">
        <w:rPr>
          <w:spacing w:val="-2"/>
          <w:lang w:eastAsia="en-GB"/>
        </w:rPr>
        <w:t xml:space="preserve"> c</w:t>
      </w:r>
      <w:r w:rsidRPr="00CE0885">
        <w:rPr>
          <w:spacing w:val="1"/>
          <w:lang w:eastAsia="en-GB"/>
        </w:rPr>
        <w:t>u</w:t>
      </w:r>
      <w:r w:rsidRPr="00CE0885">
        <w:rPr>
          <w:spacing w:val="-1"/>
          <w:lang w:eastAsia="en-GB"/>
        </w:rPr>
        <w:t>rr</w:t>
      </w:r>
      <w:r w:rsidRPr="00CE0885">
        <w:rPr>
          <w:spacing w:val="1"/>
          <w:lang w:eastAsia="en-GB"/>
        </w:rPr>
        <w:t>ent</w:t>
      </w:r>
      <w:r w:rsidRPr="00CE0885">
        <w:rPr>
          <w:lang w:eastAsia="en-GB"/>
        </w:rPr>
        <w:t>ly</w:t>
      </w:r>
      <w:r w:rsidRPr="00CE0885">
        <w:rPr>
          <w:spacing w:val="-11"/>
          <w:lang w:eastAsia="en-GB"/>
        </w:rPr>
        <w:t xml:space="preserve"> </w:t>
      </w:r>
      <w:r w:rsidRPr="00CE0885">
        <w:rPr>
          <w:spacing w:val="1"/>
          <w:lang w:eastAsia="en-GB"/>
        </w:rPr>
        <w:t>a</w:t>
      </w:r>
      <w:r w:rsidRPr="00CE0885">
        <w:rPr>
          <w:lang w:eastAsia="en-GB"/>
        </w:rPr>
        <w:t>n</w:t>
      </w:r>
      <w:r w:rsidRPr="00CE0885">
        <w:rPr>
          <w:spacing w:val="-1"/>
          <w:lang w:eastAsia="en-GB"/>
        </w:rPr>
        <w:t xml:space="preserve"> </w:t>
      </w:r>
      <w:r w:rsidRPr="00CE0885">
        <w:rPr>
          <w:lang w:eastAsia="en-GB"/>
        </w:rPr>
        <w:t>i</w:t>
      </w:r>
      <w:r w:rsidRPr="00CE0885">
        <w:rPr>
          <w:spacing w:val="1"/>
          <w:lang w:eastAsia="en-GB"/>
        </w:rPr>
        <w:t>nd</w:t>
      </w:r>
      <w:r w:rsidRPr="00CE0885">
        <w:rPr>
          <w:lang w:eastAsia="en-GB"/>
        </w:rPr>
        <w:t>i</w:t>
      </w:r>
      <w:r w:rsidRPr="00CE0885">
        <w:rPr>
          <w:spacing w:val="-2"/>
          <w:lang w:eastAsia="en-GB"/>
        </w:rPr>
        <w:t>v</w:t>
      </w:r>
      <w:r w:rsidRPr="00CE0885">
        <w:rPr>
          <w:lang w:eastAsia="en-GB"/>
        </w:rPr>
        <w:t>i</w:t>
      </w:r>
      <w:r w:rsidRPr="00CE0885">
        <w:rPr>
          <w:spacing w:val="1"/>
          <w:lang w:eastAsia="en-GB"/>
        </w:rPr>
        <w:t>dua</w:t>
      </w:r>
      <w:r w:rsidRPr="00CE0885">
        <w:rPr>
          <w:lang w:eastAsia="en-GB"/>
        </w:rPr>
        <w:t>l</w:t>
      </w:r>
      <w:r w:rsidRPr="00CE0885">
        <w:rPr>
          <w:spacing w:val="-12"/>
          <w:lang w:eastAsia="en-GB"/>
        </w:rPr>
        <w:t xml:space="preserve"> </w:t>
      </w:r>
      <w:r w:rsidRPr="00CE0885">
        <w:rPr>
          <w:spacing w:val="2"/>
          <w:lang w:eastAsia="en-GB"/>
        </w:rPr>
        <w:t>m</w:t>
      </w:r>
      <w:r w:rsidRPr="00CE0885">
        <w:rPr>
          <w:spacing w:val="-1"/>
          <w:lang w:eastAsia="en-GB"/>
        </w:rPr>
        <w:t>ed</w:t>
      </w:r>
      <w:r w:rsidRPr="00CE0885">
        <w:rPr>
          <w:lang w:eastAsia="en-GB"/>
        </w:rPr>
        <w:t>ic</w:t>
      </w:r>
      <w:r w:rsidRPr="00CE0885">
        <w:rPr>
          <w:spacing w:val="1"/>
          <w:lang w:eastAsia="en-GB"/>
        </w:rPr>
        <w:t>a</w:t>
      </w:r>
      <w:r w:rsidRPr="00CE0885">
        <w:rPr>
          <w:lang w:eastAsia="en-GB"/>
        </w:rPr>
        <w:t>l</w:t>
      </w:r>
      <w:r w:rsidRPr="00CE0885">
        <w:rPr>
          <w:spacing w:val="-8"/>
          <w:lang w:eastAsia="en-GB"/>
        </w:rPr>
        <w:t xml:space="preserve"> </w:t>
      </w:r>
      <w:r w:rsidRPr="00CE0885">
        <w:rPr>
          <w:spacing w:val="1"/>
          <w:lang w:eastAsia="en-GB"/>
        </w:rPr>
        <w:t>p</w:t>
      </w:r>
      <w:r w:rsidRPr="00CE0885">
        <w:rPr>
          <w:spacing w:val="-1"/>
          <w:lang w:eastAsia="en-GB"/>
        </w:rPr>
        <w:t>r</w:t>
      </w:r>
      <w:r w:rsidRPr="00CE0885">
        <w:rPr>
          <w:spacing w:val="1"/>
          <w:lang w:eastAsia="en-GB"/>
        </w:rPr>
        <w:t>a</w:t>
      </w:r>
      <w:r w:rsidRPr="00CE0885">
        <w:rPr>
          <w:lang w:eastAsia="en-GB"/>
        </w:rPr>
        <w:t>c</w:t>
      </w:r>
      <w:r w:rsidRPr="00CE0885">
        <w:rPr>
          <w:spacing w:val="1"/>
          <w:lang w:eastAsia="en-GB"/>
        </w:rPr>
        <w:t>t</w:t>
      </w:r>
      <w:r w:rsidRPr="00CE0885">
        <w:rPr>
          <w:lang w:eastAsia="en-GB"/>
        </w:rPr>
        <w:t>i</w:t>
      </w:r>
      <w:r w:rsidRPr="00CE0885">
        <w:rPr>
          <w:spacing w:val="1"/>
          <w:lang w:eastAsia="en-GB"/>
        </w:rPr>
        <w:t>t</w:t>
      </w:r>
      <w:r w:rsidRPr="00CE0885">
        <w:rPr>
          <w:lang w:eastAsia="en-GB"/>
        </w:rPr>
        <w:t>i</w:t>
      </w:r>
      <w:r w:rsidRPr="00CE0885">
        <w:rPr>
          <w:spacing w:val="1"/>
          <w:lang w:eastAsia="en-GB"/>
        </w:rPr>
        <w:t>o</w:t>
      </w:r>
      <w:r w:rsidRPr="00CE0885">
        <w:rPr>
          <w:spacing w:val="-1"/>
          <w:lang w:eastAsia="en-GB"/>
        </w:rPr>
        <w:t>n</w:t>
      </w:r>
      <w:r w:rsidRPr="00CE0885">
        <w:rPr>
          <w:spacing w:val="1"/>
          <w:lang w:eastAsia="en-GB"/>
        </w:rPr>
        <w:t>e</w:t>
      </w:r>
      <w:r w:rsidRPr="00CE0885">
        <w:rPr>
          <w:spacing w:val="-1"/>
          <w:lang w:eastAsia="en-GB"/>
        </w:rPr>
        <w:t>r</w:t>
      </w:r>
      <w:r w:rsidRPr="00CE0885">
        <w:rPr>
          <w:lang w:eastAsia="en-GB"/>
        </w:rPr>
        <w:t xml:space="preserve"> </w:t>
      </w:r>
      <w:r w:rsidRPr="00CE0885">
        <w:rPr>
          <w:spacing w:val="1"/>
          <w:lang w:eastAsia="en-GB"/>
        </w:rPr>
        <w:t>a</w:t>
      </w:r>
      <w:r w:rsidRPr="00CE0885">
        <w:rPr>
          <w:spacing w:val="-1"/>
          <w:lang w:eastAsia="en-GB"/>
        </w:rPr>
        <w:t>n</w:t>
      </w:r>
      <w:r w:rsidRPr="00CE0885">
        <w:rPr>
          <w:lang w:eastAsia="en-GB"/>
        </w:rPr>
        <w:t>d</w:t>
      </w:r>
      <w:r w:rsidRPr="00CE0885">
        <w:rPr>
          <w:spacing w:val="-2"/>
          <w:lang w:eastAsia="en-GB"/>
        </w:rPr>
        <w:t xml:space="preserve"> t</w:t>
      </w:r>
      <w:r w:rsidRPr="00CE0885">
        <w:rPr>
          <w:spacing w:val="1"/>
          <w:lang w:eastAsia="en-GB"/>
        </w:rPr>
        <w:t>he</w:t>
      </w:r>
      <w:r w:rsidRPr="00CE0885">
        <w:rPr>
          <w:lang w:eastAsia="en-GB"/>
        </w:rPr>
        <w:t>y</w:t>
      </w:r>
      <w:r w:rsidRPr="00CE0885">
        <w:rPr>
          <w:spacing w:val="-7"/>
          <w:lang w:eastAsia="en-GB"/>
        </w:rPr>
        <w:t xml:space="preserve"> </w:t>
      </w:r>
      <w:r w:rsidRPr="00CE0885">
        <w:rPr>
          <w:spacing w:val="-3"/>
          <w:lang w:eastAsia="en-GB"/>
        </w:rPr>
        <w:t>w</w:t>
      </w:r>
      <w:r w:rsidRPr="00CE0885">
        <w:rPr>
          <w:lang w:eastAsia="en-GB"/>
        </w:rPr>
        <w:t>ish</w:t>
      </w:r>
      <w:r w:rsidRPr="00CE0885">
        <w:rPr>
          <w:spacing w:val="-3"/>
          <w:lang w:eastAsia="en-GB"/>
        </w:rPr>
        <w:t xml:space="preserve"> </w:t>
      </w:r>
      <w:r w:rsidRPr="00CE0885">
        <w:rPr>
          <w:spacing w:val="1"/>
          <w:lang w:eastAsia="en-GB"/>
        </w:rPr>
        <w:t>t</w:t>
      </w:r>
      <w:r w:rsidRPr="00CE0885">
        <w:rPr>
          <w:lang w:eastAsia="en-GB"/>
        </w:rPr>
        <w:t xml:space="preserve">o </w:t>
      </w:r>
      <w:r w:rsidRPr="00CE0885">
        <w:rPr>
          <w:spacing w:val="1"/>
          <w:lang w:eastAsia="en-GB"/>
        </w:rPr>
        <w:t>ha</w:t>
      </w:r>
      <w:r w:rsidRPr="00CE0885">
        <w:rPr>
          <w:spacing w:val="-2"/>
          <w:lang w:eastAsia="en-GB"/>
        </w:rPr>
        <w:t>v</w:t>
      </w:r>
      <w:r w:rsidRPr="00CE0885">
        <w:rPr>
          <w:lang w:eastAsia="en-GB"/>
        </w:rPr>
        <w:t>e</w:t>
      </w:r>
      <w:r w:rsidRPr="00CE0885">
        <w:rPr>
          <w:spacing w:val="-3"/>
          <w:lang w:eastAsia="en-GB"/>
        </w:rPr>
        <w:t xml:space="preserve"> </w:t>
      </w:r>
      <w:r w:rsidRPr="00CE0885">
        <w:rPr>
          <w:spacing w:val="1"/>
          <w:lang w:eastAsia="en-GB"/>
        </w:rPr>
        <w:t>o</w:t>
      </w:r>
      <w:r w:rsidRPr="00CE0885">
        <w:rPr>
          <w:spacing w:val="-1"/>
          <w:lang w:eastAsia="en-GB"/>
        </w:rPr>
        <w:t>n</w:t>
      </w:r>
      <w:r w:rsidRPr="00CE0885">
        <w:rPr>
          <w:lang w:eastAsia="en-GB"/>
        </w:rPr>
        <w:t>e</w:t>
      </w:r>
      <w:r w:rsidRPr="00CE0885">
        <w:rPr>
          <w:spacing w:val="-2"/>
          <w:lang w:eastAsia="en-GB"/>
        </w:rPr>
        <w:t xml:space="preserve"> </w:t>
      </w:r>
      <w:r w:rsidRPr="00CE0885">
        <w:rPr>
          <w:spacing w:val="1"/>
          <w:lang w:eastAsia="en-GB"/>
        </w:rPr>
        <w:t>o</w:t>
      </w:r>
      <w:r w:rsidRPr="00CE0885">
        <w:rPr>
          <w:lang w:eastAsia="en-GB"/>
        </w:rPr>
        <w:t>r</w:t>
      </w:r>
      <w:r w:rsidRPr="00CE0885">
        <w:rPr>
          <w:spacing w:val="-5"/>
          <w:lang w:eastAsia="en-GB"/>
        </w:rPr>
        <w:t xml:space="preserve"> </w:t>
      </w:r>
      <w:r w:rsidRPr="00CE0885">
        <w:rPr>
          <w:spacing w:val="2"/>
          <w:lang w:eastAsia="en-GB"/>
        </w:rPr>
        <w:t>m</w:t>
      </w:r>
      <w:r w:rsidRPr="00CE0885">
        <w:rPr>
          <w:spacing w:val="1"/>
          <w:lang w:eastAsia="en-GB"/>
        </w:rPr>
        <w:t>o</w:t>
      </w:r>
      <w:r w:rsidRPr="00CE0885">
        <w:rPr>
          <w:spacing w:val="-1"/>
          <w:lang w:eastAsia="en-GB"/>
        </w:rPr>
        <w:t>r</w:t>
      </w:r>
      <w:r w:rsidRPr="00CE0885">
        <w:rPr>
          <w:lang w:eastAsia="en-GB"/>
        </w:rPr>
        <w:t>e</w:t>
      </w:r>
      <w:r w:rsidRPr="00CE0885">
        <w:rPr>
          <w:spacing w:val="-6"/>
          <w:lang w:eastAsia="en-GB"/>
        </w:rPr>
        <w:t xml:space="preserve"> </w:t>
      </w:r>
      <w:r w:rsidRPr="00CE0885">
        <w:rPr>
          <w:lang w:eastAsia="en-GB"/>
        </w:rPr>
        <w:t>i</w:t>
      </w:r>
      <w:r w:rsidRPr="00CE0885">
        <w:rPr>
          <w:spacing w:val="1"/>
          <w:lang w:eastAsia="en-GB"/>
        </w:rPr>
        <w:t>nd</w:t>
      </w:r>
      <w:r w:rsidRPr="00CE0885">
        <w:rPr>
          <w:lang w:eastAsia="en-GB"/>
        </w:rPr>
        <w:t>i</w:t>
      </w:r>
      <w:r w:rsidRPr="00CE0885">
        <w:rPr>
          <w:spacing w:val="-2"/>
          <w:lang w:eastAsia="en-GB"/>
        </w:rPr>
        <w:t>v</w:t>
      </w:r>
      <w:r w:rsidRPr="00CE0885">
        <w:rPr>
          <w:lang w:eastAsia="en-GB"/>
        </w:rPr>
        <w:t>i</w:t>
      </w:r>
      <w:r w:rsidRPr="00CE0885">
        <w:rPr>
          <w:spacing w:val="1"/>
          <w:lang w:eastAsia="en-GB"/>
        </w:rPr>
        <w:t>dua</w:t>
      </w:r>
      <w:r w:rsidRPr="00CE0885">
        <w:rPr>
          <w:lang w:eastAsia="en-GB"/>
        </w:rPr>
        <w:t>ls j</w:t>
      </w:r>
      <w:r w:rsidRPr="00CE0885">
        <w:rPr>
          <w:spacing w:val="1"/>
          <w:lang w:eastAsia="en-GB"/>
        </w:rPr>
        <w:t>o</w:t>
      </w:r>
      <w:r w:rsidRPr="00CE0885">
        <w:rPr>
          <w:lang w:eastAsia="en-GB"/>
        </w:rPr>
        <w:t>in</w:t>
      </w:r>
      <w:r w:rsidRPr="00CE0885">
        <w:rPr>
          <w:spacing w:val="-2"/>
          <w:lang w:eastAsia="en-GB"/>
        </w:rPr>
        <w:t xml:space="preserve"> </w:t>
      </w:r>
      <w:r w:rsidRPr="00CE0885">
        <w:rPr>
          <w:spacing w:val="1"/>
          <w:lang w:eastAsia="en-GB"/>
        </w:rPr>
        <w:t>t</w:t>
      </w:r>
      <w:r w:rsidRPr="00CE0885">
        <w:rPr>
          <w:spacing w:val="-1"/>
          <w:lang w:eastAsia="en-GB"/>
        </w:rPr>
        <w:t>h</w:t>
      </w:r>
      <w:r w:rsidRPr="00CE0885">
        <w:rPr>
          <w:spacing w:val="1"/>
          <w:lang w:eastAsia="en-GB"/>
        </w:rPr>
        <w:t>e</w:t>
      </w:r>
      <w:r w:rsidRPr="00CE0885">
        <w:rPr>
          <w:lang w:eastAsia="en-GB"/>
        </w:rPr>
        <w:t>m</w:t>
      </w:r>
      <w:r w:rsidRPr="00CE0885">
        <w:rPr>
          <w:spacing w:val="-5"/>
          <w:lang w:eastAsia="en-GB"/>
        </w:rPr>
        <w:t xml:space="preserve"> </w:t>
      </w:r>
      <w:r w:rsidRPr="00CE0885">
        <w:rPr>
          <w:spacing w:val="1"/>
          <w:lang w:eastAsia="en-GB"/>
        </w:rPr>
        <w:t>u</w:t>
      </w:r>
      <w:r w:rsidRPr="00CE0885">
        <w:rPr>
          <w:spacing w:val="-1"/>
          <w:lang w:eastAsia="en-GB"/>
        </w:rPr>
        <w:t>n</w:t>
      </w:r>
      <w:r w:rsidRPr="00CE0885">
        <w:rPr>
          <w:spacing w:val="1"/>
          <w:lang w:eastAsia="en-GB"/>
        </w:rPr>
        <w:t>de</w:t>
      </w:r>
      <w:r w:rsidRPr="00CE0885">
        <w:rPr>
          <w:lang w:eastAsia="en-GB"/>
        </w:rPr>
        <w:t>r</w:t>
      </w:r>
      <w:r w:rsidRPr="00CE0885">
        <w:rPr>
          <w:spacing w:val="-6"/>
          <w:lang w:eastAsia="en-GB"/>
        </w:rPr>
        <w:t xml:space="preserve"> </w:t>
      </w:r>
      <w:r w:rsidRPr="00CE0885">
        <w:rPr>
          <w:spacing w:val="1"/>
          <w:lang w:eastAsia="en-GB"/>
        </w:rPr>
        <w:t>t</w:t>
      </w:r>
      <w:r w:rsidRPr="00CE0885">
        <w:rPr>
          <w:spacing w:val="-1"/>
          <w:lang w:eastAsia="en-GB"/>
        </w:rPr>
        <w:t>h</w:t>
      </w:r>
      <w:r w:rsidRPr="00CE0885">
        <w:rPr>
          <w:spacing w:val="1"/>
          <w:lang w:eastAsia="en-GB"/>
        </w:rPr>
        <w:t>a</w:t>
      </w:r>
      <w:r w:rsidRPr="00CE0885">
        <w:rPr>
          <w:lang w:eastAsia="en-GB"/>
        </w:rPr>
        <w:t>t</w:t>
      </w:r>
      <w:r w:rsidRPr="00CE0885">
        <w:rPr>
          <w:spacing w:val="-5"/>
          <w:lang w:eastAsia="en-GB"/>
        </w:rPr>
        <w:t xml:space="preserve"> </w:t>
      </w:r>
      <w:r w:rsidRPr="00CE0885">
        <w:rPr>
          <w:spacing w:val="1"/>
          <w:lang w:eastAsia="en-GB"/>
        </w:rPr>
        <w:t>a</w:t>
      </w:r>
      <w:r w:rsidRPr="00CE0885">
        <w:rPr>
          <w:spacing w:val="-1"/>
          <w:lang w:eastAsia="en-GB"/>
        </w:rPr>
        <w:t>gr</w:t>
      </w:r>
      <w:r w:rsidRPr="00CE0885">
        <w:rPr>
          <w:spacing w:val="1"/>
          <w:lang w:eastAsia="en-GB"/>
        </w:rPr>
        <w:t>ee</w:t>
      </w:r>
      <w:r w:rsidRPr="00CE0885">
        <w:rPr>
          <w:spacing w:val="-1"/>
          <w:lang w:eastAsia="en-GB"/>
        </w:rPr>
        <w:t>m</w:t>
      </w:r>
      <w:r w:rsidRPr="00CE0885">
        <w:rPr>
          <w:spacing w:val="1"/>
          <w:lang w:eastAsia="en-GB"/>
        </w:rPr>
        <w:t>ent</w:t>
      </w:r>
      <w:r w:rsidRPr="00CE0885">
        <w:rPr>
          <w:lang w:eastAsia="en-GB"/>
        </w:rPr>
        <w:t>,</w:t>
      </w:r>
      <w:r w:rsidRPr="00CE0885">
        <w:rPr>
          <w:spacing w:val="-13"/>
          <w:lang w:eastAsia="en-GB"/>
        </w:rPr>
        <w:t xml:space="preserve"> </w:t>
      </w:r>
      <w:r w:rsidRPr="00CE0885">
        <w:rPr>
          <w:spacing w:val="1"/>
          <w:lang w:eastAsia="en-GB"/>
        </w:rPr>
        <w:t>t</w:t>
      </w:r>
      <w:r w:rsidRPr="00CE0885">
        <w:rPr>
          <w:spacing w:val="-1"/>
          <w:lang w:eastAsia="en-GB"/>
        </w:rPr>
        <w:t>h</w:t>
      </w:r>
      <w:r w:rsidRPr="00CE0885">
        <w:rPr>
          <w:spacing w:val="1"/>
          <w:lang w:eastAsia="en-GB"/>
        </w:rPr>
        <w:t>e</w:t>
      </w:r>
      <w:r w:rsidRPr="00CE0885">
        <w:rPr>
          <w:lang w:eastAsia="en-GB"/>
        </w:rPr>
        <w:t>n</w:t>
      </w:r>
      <w:r w:rsidRPr="00CE0885">
        <w:rPr>
          <w:spacing w:val="-3"/>
          <w:lang w:eastAsia="en-GB"/>
        </w:rPr>
        <w:t xml:space="preserve"> </w:t>
      </w:r>
      <w:r w:rsidRPr="00CE0885">
        <w:rPr>
          <w:spacing w:val="-2"/>
          <w:lang w:eastAsia="en-GB"/>
        </w:rPr>
        <w:t>t</w:t>
      </w:r>
      <w:r w:rsidRPr="00CE0885">
        <w:rPr>
          <w:spacing w:val="1"/>
          <w:lang w:eastAsia="en-GB"/>
        </w:rPr>
        <w:t>he</w:t>
      </w:r>
      <w:r w:rsidRPr="00CE0885">
        <w:rPr>
          <w:lang w:eastAsia="en-GB"/>
        </w:rPr>
        <w:t>y</w:t>
      </w:r>
      <w:r w:rsidRPr="00CE0885">
        <w:rPr>
          <w:spacing w:val="-7"/>
          <w:lang w:eastAsia="en-GB"/>
        </w:rPr>
        <w:t xml:space="preserve"> </w:t>
      </w:r>
      <w:r w:rsidRPr="00CE0885">
        <w:rPr>
          <w:spacing w:val="2"/>
          <w:lang w:eastAsia="en-GB"/>
        </w:rPr>
        <w:t>m</w:t>
      </w:r>
      <w:r w:rsidRPr="00CE0885">
        <w:rPr>
          <w:spacing w:val="-1"/>
          <w:lang w:eastAsia="en-GB"/>
        </w:rPr>
        <w:t>u</w:t>
      </w:r>
      <w:r w:rsidRPr="00CE0885">
        <w:rPr>
          <w:lang w:eastAsia="en-GB"/>
        </w:rPr>
        <w:t>st</w:t>
      </w:r>
      <w:r w:rsidRPr="00CE0885">
        <w:rPr>
          <w:spacing w:val="-4"/>
          <w:lang w:eastAsia="en-GB"/>
        </w:rPr>
        <w:t xml:space="preserve"> </w:t>
      </w:r>
      <w:r w:rsidRPr="00CE0885">
        <w:rPr>
          <w:lang w:eastAsia="en-GB"/>
        </w:rPr>
        <w:lastRenderedPageBreak/>
        <w:t>s</w:t>
      </w:r>
      <w:r w:rsidRPr="00CE0885">
        <w:rPr>
          <w:spacing w:val="1"/>
          <w:lang w:eastAsia="en-GB"/>
        </w:rPr>
        <w:t>ee</w:t>
      </w:r>
      <w:r w:rsidRPr="00CE0885">
        <w:rPr>
          <w:lang w:eastAsia="en-GB"/>
        </w:rPr>
        <w:t>k</w:t>
      </w:r>
      <w:r w:rsidRPr="00CE0885">
        <w:rPr>
          <w:spacing w:val="-5"/>
          <w:lang w:eastAsia="en-GB"/>
        </w:rPr>
        <w:t xml:space="preserve"> </w:t>
      </w:r>
      <w:r w:rsidRPr="00CE0885">
        <w:rPr>
          <w:lang w:eastAsia="en-GB"/>
        </w:rPr>
        <w:t>the Commissioner's c</w:t>
      </w:r>
      <w:r w:rsidRPr="00CE0885">
        <w:rPr>
          <w:spacing w:val="1"/>
          <w:lang w:eastAsia="en-GB"/>
        </w:rPr>
        <w:t>on</w:t>
      </w:r>
      <w:r w:rsidRPr="00CE0885">
        <w:rPr>
          <w:lang w:eastAsia="en-GB"/>
        </w:rPr>
        <w:t>s</w:t>
      </w:r>
      <w:r w:rsidRPr="00CE0885">
        <w:rPr>
          <w:spacing w:val="-1"/>
          <w:lang w:eastAsia="en-GB"/>
        </w:rPr>
        <w:t>e</w:t>
      </w:r>
      <w:r w:rsidRPr="00CE0885">
        <w:rPr>
          <w:spacing w:val="1"/>
          <w:lang w:eastAsia="en-GB"/>
        </w:rPr>
        <w:t>n</w:t>
      </w:r>
      <w:r w:rsidRPr="00CE0885">
        <w:rPr>
          <w:lang w:eastAsia="en-GB"/>
        </w:rPr>
        <w:t>t</w:t>
      </w:r>
      <w:r w:rsidRPr="00CE0885">
        <w:rPr>
          <w:spacing w:val="-7"/>
          <w:lang w:eastAsia="en-GB"/>
        </w:rPr>
        <w:t xml:space="preserve"> </w:t>
      </w:r>
      <w:r w:rsidRPr="00CE0885">
        <w:rPr>
          <w:lang w:eastAsia="en-GB"/>
        </w:rPr>
        <w:t xml:space="preserve">in </w:t>
      </w:r>
      <w:r w:rsidRPr="00CE0885">
        <w:rPr>
          <w:spacing w:val="-3"/>
          <w:lang w:eastAsia="en-GB"/>
        </w:rPr>
        <w:t>w</w:t>
      </w:r>
      <w:r w:rsidRPr="00CE0885">
        <w:rPr>
          <w:spacing w:val="-1"/>
          <w:lang w:eastAsia="en-GB"/>
        </w:rPr>
        <w:t>r</w:t>
      </w:r>
      <w:r w:rsidRPr="00CE0885">
        <w:rPr>
          <w:lang w:eastAsia="en-GB"/>
        </w:rPr>
        <w:t>i</w:t>
      </w:r>
      <w:r w:rsidRPr="00CE0885">
        <w:rPr>
          <w:spacing w:val="1"/>
          <w:lang w:eastAsia="en-GB"/>
        </w:rPr>
        <w:t>t</w:t>
      </w:r>
      <w:r w:rsidRPr="00CE0885">
        <w:rPr>
          <w:lang w:eastAsia="en-GB"/>
        </w:rPr>
        <w:t>i</w:t>
      </w:r>
      <w:r w:rsidRPr="00CE0885">
        <w:rPr>
          <w:spacing w:val="1"/>
          <w:lang w:eastAsia="en-GB"/>
        </w:rPr>
        <w:t>n</w:t>
      </w:r>
      <w:r w:rsidRPr="00CE0885">
        <w:rPr>
          <w:lang w:eastAsia="en-GB"/>
        </w:rPr>
        <w:t>g</w:t>
      </w:r>
      <w:r w:rsidRPr="00CE0885">
        <w:rPr>
          <w:spacing w:val="-8"/>
          <w:lang w:eastAsia="en-GB"/>
        </w:rPr>
        <w:t xml:space="preserve"> </w:t>
      </w:r>
      <w:r w:rsidRPr="00CE0885">
        <w:rPr>
          <w:spacing w:val="3"/>
          <w:lang w:eastAsia="en-GB"/>
        </w:rPr>
        <w:t>f</w:t>
      </w:r>
      <w:r w:rsidRPr="00CE0885">
        <w:rPr>
          <w:spacing w:val="1"/>
          <w:lang w:eastAsia="en-GB"/>
        </w:rPr>
        <w:t>o</w:t>
      </w:r>
      <w:r w:rsidRPr="00CE0885">
        <w:rPr>
          <w:lang w:eastAsia="en-GB"/>
        </w:rPr>
        <w:t>r</w:t>
      </w:r>
      <w:r w:rsidRPr="00CE0885">
        <w:rPr>
          <w:spacing w:val="-3"/>
          <w:lang w:eastAsia="en-GB"/>
        </w:rPr>
        <w:t xml:space="preserve"> </w:t>
      </w:r>
      <w:r w:rsidRPr="00CE0885">
        <w:rPr>
          <w:spacing w:val="-1"/>
          <w:lang w:eastAsia="en-GB"/>
        </w:rPr>
        <w:t>a</w:t>
      </w:r>
      <w:r w:rsidRPr="00CE0885">
        <w:rPr>
          <w:spacing w:val="1"/>
          <w:lang w:eastAsia="en-GB"/>
        </w:rPr>
        <w:t>n</w:t>
      </w:r>
      <w:r w:rsidRPr="00CE0885">
        <w:rPr>
          <w:lang w:eastAsia="en-GB"/>
        </w:rPr>
        <w:t>y</w:t>
      </w:r>
      <w:r w:rsidRPr="00CE0885">
        <w:rPr>
          <w:spacing w:val="-6"/>
          <w:lang w:eastAsia="en-GB"/>
        </w:rPr>
        <w:t xml:space="preserve"> </w:t>
      </w:r>
      <w:r w:rsidRPr="00CE0885">
        <w:rPr>
          <w:lang w:eastAsia="en-GB"/>
        </w:rPr>
        <w:t>s</w:t>
      </w:r>
      <w:r w:rsidRPr="00CE0885">
        <w:rPr>
          <w:spacing w:val="1"/>
          <w:lang w:eastAsia="en-GB"/>
        </w:rPr>
        <w:t>u</w:t>
      </w:r>
      <w:r w:rsidRPr="00CE0885">
        <w:rPr>
          <w:lang w:eastAsia="en-GB"/>
        </w:rPr>
        <w:t>ch</w:t>
      </w:r>
      <w:r w:rsidRPr="00CE0885">
        <w:rPr>
          <w:spacing w:val="-3"/>
          <w:lang w:eastAsia="en-GB"/>
        </w:rPr>
        <w:t xml:space="preserve"> </w:t>
      </w:r>
      <w:r w:rsidRPr="00CE0885">
        <w:rPr>
          <w:spacing w:val="-2"/>
          <w:lang w:eastAsia="en-GB"/>
        </w:rPr>
        <w:t>v</w:t>
      </w:r>
      <w:r w:rsidRPr="00CE0885">
        <w:rPr>
          <w:spacing w:val="1"/>
          <w:lang w:eastAsia="en-GB"/>
        </w:rPr>
        <w:t>a</w:t>
      </w:r>
      <w:r w:rsidRPr="00CE0885">
        <w:rPr>
          <w:spacing w:val="-1"/>
          <w:lang w:eastAsia="en-GB"/>
        </w:rPr>
        <w:t>r</w:t>
      </w:r>
      <w:r w:rsidRPr="00CE0885">
        <w:rPr>
          <w:lang w:eastAsia="en-GB"/>
        </w:rPr>
        <w:t>i</w:t>
      </w:r>
      <w:r w:rsidRPr="00CE0885">
        <w:rPr>
          <w:spacing w:val="1"/>
          <w:lang w:eastAsia="en-GB"/>
        </w:rPr>
        <w:t>at</w:t>
      </w:r>
      <w:r w:rsidRPr="00CE0885">
        <w:rPr>
          <w:lang w:eastAsia="en-GB"/>
        </w:rPr>
        <w:t>i</w:t>
      </w:r>
      <w:r w:rsidRPr="00CE0885">
        <w:rPr>
          <w:spacing w:val="1"/>
          <w:lang w:eastAsia="en-GB"/>
        </w:rPr>
        <w:t>o</w:t>
      </w:r>
      <w:r w:rsidRPr="00CE0885">
        <w:rPr>
          <w:lang w:eastAsia="en-GB"/>
        </w:rPr>
        <w:t>n</w:t>
      </w:r>
      <w:r w:rsidRPr="00CE0885">
        <w:rPr>
          <w:spacing w:val="-7"/>
          <w:lang w:eastAsia="en-GB"/>
        </w:rPr>
        <w:t xml:space="preserve"> </w:t>
      </w:r>
      <w:r w:rsidRPr="00CE0885">
        <w:rPr>
          <w:spacing w:val="1"/>
          <w:lang w:eastAsia="en-GB"/>
        </w:rPr>
        <w:t>t</w:t>
      </w:r>
      <w:r w:rsidRPr="00CE0885">
        <w:rPr>
          <w:lang w:eastAsia="en-GB"/>
        </w:rPr>
        <w:t>o</w:t>
      </w:r>
      <w:r w:rsidRPr="00CE0885">
        <w:rPr>
          <w:spacing w:val="-3"/>
          <w:lang w:eastAsia="en-GB"/>
        </w:rPr>
        <w:t xml:space="preserve">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c</w:t>
      </w:r>
      <w:r w:rsidRPr="00CE0885">
        <w:rPr>
          <w:spacing w:val="1"/>
          <w:lang w:eastAsia="en-GB"/>
        </w:rPr>
        <w:t>o</w:t>
      </w:r>
      <w:r w:rsidRPr="00CE0885">
        <w:rPr>
          <w:spacing w:val="-1"/>
          <w:lang w:eastAsia="en-GB"/>
        </w:rPr>
        <w:t>n</w:t>
      </w:r>
      <w:r w:rsidRPr="00CE0885">
        <w:rPr>
          <w:spacing w:val="1"/>
          <w:lang w:eastAsia="en-GB"/>
        </w:rPr>
        <w:t>t</w:t>
      </w:r>
      <w:r w:rsidRPr="00CE0885">
        <w:rPr>
          <w:spacing w:val="-1"/>
          <w:lang w:eastAsia="en-GB"/>
        </w:rPr>
        <w:t>r</w:t>
      </w:r>
      <w:r w:rsidRPr="00CE0885">
        <w:rPr>
          <w:spacing w:val="1"/>
          <w:lang w:eastAsia="en-GB"/>
        </w:rPr>
        <w:t>a</w:t>
      </w:r>
      <w:r w:rsidRPr="00CE0885">
        <w:rPr>
          <w:lang w:eastAsia="en-GB"/>
        </w:rPr>
        <w:t>c</w:t>
      </w:r>
      <w:r w:rsidRPr="00CE0885">
        <w:rPr>
          <w:spacing w:val="1"/>
          <w:lang w:eastAsia="en-GB"/>
        </w:rPr>
        <w:t>t</w:t>
      </w:r>
      <w:r w:rsidRPr="00CE0885">
        <w:rPr>
          <w:lang w:eastAsia="en-GB"/>
        </w:rPr>
        <w:t xml:space="preserve">. Where the contractor contacts the Commissioner about such a change, the Commissioner should send </w:t>
      </w:r>
      <w:r w:rsidRPr="00CE0885">
        <w:rPr>
          <w:spacing w:val="-8"/>
          <w:lang w:eastAsia="en-GB"/>
        </w:rPr>
        <w:t xml:space="preserve">Annex 4A. </w:t>
      </w:r>
      <w:r w:rsidRPr="00CE0885">
        <w:rPr>
          <w:lang w:eastAsia="en-GB"/>
        </w:rPr>
        <w:t xml:space="preserve">The Commissioner </w:t>
      </w:r>
      <w:r w:rsidRPr="00CE0885">
        <w:rPr>
          <w:spacing w:val="2"/>
          <w:lang w:eastAsia="en-GB"/>
        </w:rPr>
        <w:t>m</w:t>
      </w:r>
      <w:r w:rsidRPr="00CE0885">
        <w:rPr>
          <w:spacing w:val="1"/>
          <w:lang w:eastAsia="en-GB"/>
        </w:rPr>
        <w:t>u</w:t>
      </w:r>
      <w:r w:rsidRPr="00CE0885">
        <w:rPr>
          <w:lang w:eastAsia="en-GB"/>
        </w:rPr>
        <w:t>st</w:t>
      </w:r>
      <w:r w:rsidRPr="00CE0885">
        <w:rPr>
          <w:spacing w:val="-6"/>
          <w:lang w:eastAsia="en-GB"/>
        </w:rPr>
        <w:t xml:space="preserve"> </w:t>
      </w:r>
      <w:r w:rsidRPr="00CE0885">
        <w:rPr>
          <w:spacing w:val="1"/>
          <w:lang w:eastAsia="en-GB"/>
        </w:rPr>
        <w:t>ha</w:t>
      </w:r>
      <w:r w:rsidRPr="00CE0885">
        <w:rPr>
          <w:spacing w:val="-2"/>
          <w:lang w:eastAsia="en-GB"/>
        </w:rPr>
        <w:t>v</w:t>
      </w:r>
      <w:r w:rsidRPr="00CE0885">
        <w:rPr>
          <w:lang w:eastAsia="en-GB"/>
        </w:rPr>
        <w:t>e</w:t>
      </w:r>
      <w:r w:rsidRPr="00CE0885">
        <w:rPr>
          <w:spacing w:val="-3"/>
          <w:lang w:eastAsia="en-GB"/>
        </w:rPr>
        <w:t xml:space="preserve"> </w:t>
      </w:r>
      <w:r w:rsidRPr="00CE0885">
        <w:rPr>
          <w:lang w:eastAsia="en-GB"/>
        </w:rPr>
        <w:t>c</w:t>
      </w:r>
      <w:r w:rsidRPr="00CE0885">
        <w:rPr>
          <w:spacing w:val="-1"/>
          <w:lang w:eastAsia="en-GB"/>
        </w:rPr>
        <w:t>o</w:t>
      </w:r>
      <w:r w:rsidRPr="00CE0885">
        <w:rPr>
          <w:spacing w:val="1"/>
          <w:lang w:eastAsia="en-GB"/>
        </w:rPr>
        <w:t>n</w:t>
      </w:r>
      <w:r w:rsidRPr="00CE0885">
        <w:rPr>
          <w:lang w:eastAsia="en-GB"/>
        </w:rPr>
        <w:t>si</w:t>
      </w:r>
      <w:r w:rsidRPr="00CE0885">
        <w:rPr>
          <w:spacing w:val="1"/>
          <w:lang w:eastAsia="en-GB"/>
        </w:rPr>
        <w:t>de</w:t>
      </w:r>
      <w:r w:rsidRPr="00CE0885">
        <w:rPr>
          <w:spacing w:val="-1"/>
          <w:lang w:eastAsia="en-GB"/>
        </w:rPr>
        <w:t>r</w:t>
      </w:r>
      <w:r w:rsidRPr="00CE0885">
        <w:rPr>
          <w:spacing w:val="1"/>
          <w:lang w:eastAsia="en-GB"/>
        </w:rPr>
        <w:t>at</w:t>
      </w:r>
      <w:r w:rsidRPr="00CE0885">
        <w:rPr>
          <w:spacing w:val="-3"/>
          <w:lang w:eastAsia="en-GB"/>
        </w:rPr>
        <w:t>i</w:t>
      </w:r>
      <w:r w:rsidRPr="00CE0885">
        <w:rPr>
          <w:spacing w:val="1"/>
          <w:lang w:eastAsia="en-GB"/>
        </w:rPr>
        <w:t>o</w:t>
      </w:r>
      <w:r w:rsidRPr="00CE0885">
        <w:rPr>
          <w:lang w:eastAsia="en-GB"/>
        </w:rPr>
        <w:t>n</w:t>
      </w:r>
      <w:r w:rsidRPr="00CE0885">
        <w:rPr>
          <w:spacing w:val="-12"/>
          <w:lang w:eastAsia="en-GB"/>
        </w:rPr>
        <w:t xml:space="preserve"> </w:t>
      </w:r>
      <w:r w:rsidRPr="00CE0885">
        <w:rPr>
          <w:spacing w:val="-1"/>
          <w:lang w:eastAsia="en-GB"/>
        </w:rPr>
        <w:t>o</w:t>
      </w:r>
      <w:r w:rsidRPr="00CE0885">
        <w:rPr>
          <w:lang w:eastAsia="en-GB"/>
        </w:rPr>
        <w:t>f</w:t>
      </w:r>
      <w:r w:rsidRPr="00CE0885">
        <w:rPr>
          <w:spacing w:val="-1"/>
          <w:lang w:eastAsia="en-GB"/>
        </w:rPr>
        <w:t xml:space="preserve"> a</w:t>
      </w:r>
      <w:r w:rsidRPr="00CE0885">
        <w:rPr>
          <w:spacing w:val="1"/>
          <w:lang w:eastAsia="en-GB"/>
        </w:rPr>
        <w:t>n</w:t>
      </w:r>
      <w:r w:rsidRPr="00CE0885">
        <w:rPr>
          <w:lang w:eastAsia="en-GB"/>
        </w:rPr>
        <w:t>y</w:t>
      </w:r>
      <w:r w:rsidRPr="00CE0885">
        <w:rPr>
          <w:spacing w:val="-6"/>
          <w:lang w:eastAsia="en-GB"/>
        </w:rPr>
        <w:t xml:space="preserve"> </w:t>
      </w:r>
      <w:r w:rsidRPr="00CE0885">
        <w:rPr>
          <w:spacing w:val="1"/>
          <w:lang w:eastAsia="en-GB"/>
        </w:rPr>
        <w:t>p</w:t>
      </w:r>
      <w:r w:rsidRPr="00CE0885">
        <w:rPr>
          <w:spacing w:val="-1"/>
          <w:lang w:eastAsia="en-GB"/>
        </w:rPr>
        <w:t>r</w:t>
      </w:r>
      <w:r w:rsidRPr="00CE0885">
        <w:rPr>
          <w:spacing w:val="1"/>
          <w:lang w:eastAsia="en-GB"/>
        </w:rPr>
        <w:t>o</w:t>
      </w:r>
      <w:r w:rsidRPr="00CE0885">
        <w:rPr>
          <w:lang w:eastAsia="en-GB"/>
        </w:rPr>
        <w:t>c</w:t>
      </w:r>
      <w:r w:rsidRPr="00CE0885">
        <w:rPr>
          <w:spacing w:val="1"/>
          <w:lang w:eastAsia="en-GB"/>
        </w:rPr>
        <w:t>u</w:t>
      </w:r>
      <w:r w:rsidRPr="00CE0885">
        <w:rPr>
          <w:spacing w:val="-1"/>
          <w:lang w:eastAsia="en-GB"/>
        </w:rPr>
        <w:t>r</w:t>
      </w:r>
      <w:r w:rsidRPr="00CE0885">
        <w:rPr>
          <w:spacing w:val="1"/>
          <w:lang w:eastAsia="en-GB"/>
        </w:rPr>
        <w:t>e</w:t>
      </w:r>
      <w:r w:rsidRPr="00CE0885">
        <w:rPr>
          <w:spacing w:val="-1"/>
          <w:lang w:eastAsia="en-GB"/>
        </w:rPr>
        <w:t>m</w:t>
      </w:r>
      <w:r w:rsidRPr="00CE0885">
        <w:rPr>
          <w:spacing w:val="1"/>
          <w:lang w:eastAsia="en-GB"/>
        </w:rPr>
        <w:t>en</w:t>
      </w:r>
      <w:r w:rsidRPr="00CE0885">
        <w:rPr>
          <w:lang w:eastAsia="en-GB"/>
        </w:rPr>
        <w:t>t</w:t>
      </w:r>
      <w:r w:rsidRPr="00CE0885">
        <w:rPr>
          <w:spacing w:val="-14"/>
          <w:lang w:eastAsia="en-GB"/>
        </w:rPr>
        <w:t xml:space="preserve"> </w:t>
      </w:r>
      <w:r w:rsidRPr="00CE0885">
        <w:rPr>
          <w:lang w:eastAsia="en-GB"/>
        </w:rPr>
        <w:t>i</w:t>
      </w:r>
      <w:r w:rsidRPr="00CE0885">
        <w:rPr>
          <w:spacing w:val="2"/>
          <w:lang w:eastAsia="en-GB"/>
        </w:rPr>
        <w:t>m</w:t>
      </w:r>
      <w:r w:rsidRPr="00CE0885">
        <w:rPr>
          <w:spacing w:val="1"/>
          <w:lang w:eastAsia="en-GB"/>
        </w:rPr>
        <w:t>p</w:t>
      </w:r>
      <w:r w:rsidRPr="00CE0885">
        <w:rPr>
          <w:lang w:eastAsia="en-GB"/>
        </w:rPr>
        <w:t>lic</w:t>
      </w:r>
      <w:r w:rsidRPr="00CE0885">
        <w:rPr>
          <w:spacing w:val="1"/>
          <w:lang w:eastAsia="en-GB"/>
        </w:rPr>
        <w:t>at</w:t>
      </w:r>
      <w:r w:rsidRPr="00CE0885">
        <w:rPr>
          <w:lang w:eastAsia="en-GB"/>
        </w:rPr>
        <w:t>i</w:t>
      </w:r>
      <w:r w:rsidRPr="00CE0885">
        <w:rPr>
          <w:spacing w:val="-1"/>
          <w:lang w:eastAsia="en-GB"/>
        </w:rPr>
        <w:t>o</w:t>
      </w:r>
      <w:r w:rsidRPr="00CE0885">
        <w:rPr>
          <w:spacing w:val="1"/>
          <w:lang w:eastAsia="en-GB"/>
        </w:rPr>
        <w:t>n</w:t>
      </w:r>
      <w:r w:rsidRPr="00CE0885">
        <w:rPr>
          <w:lang w:eastAsia="en-GB"/>
        </w:rPr>
        <w:t>s,</w:t>
      </w:r>
      <w:r w:rsidRPr="00CE0885">
        <w:rPr>
          <w:spacing w:val="-14"/>
          <w:lang w:eastAsia="en-GB"/>
        </w:rPr>
        <w:t xml:space="preserve"> </w:t>
      </w:r>
      <w:r w:rsidRPr="00CE0885">
        <w:rPr>
          <w:spacing w:val="1"/>
          <w:lang w:eastAsia="en-GB"/>
        </w:rPr>
        <w:t>a</w:t>
      </w:r>
      <w:r w:rsidRPr="00CE0885">
        <w:rPr>
          <w:lang w:eastAsia="en-GB"/>
        </w:rPr>
        <w:t>l</w:t>
      </w:r>
      <w:r w:rsidRPr="00CE0885">
        <w:rPr>
          <w:spacing w:val="1"/>
          <w:lang w:eastAsia="en-GB"/>
        </w:rPr>
        <w:t>on</w:t>
      </w:r>
      <w:r w:rsidRPr="00CE0885">
        <w:rPr>
          <w:lang w:eastAsia="en-GB"/>
        </w:rPr>
        <w:t>g</w:t>
      </w:r>
      <w:r w:rsidRPr="00CE0885">
        <w:rPr>
          <w:spacing w:val="-7"/>
          <w:lang w:eastAsia="en-GB"/>
        </w:rPr>
        <w:t xml:space="preserve"> </w:t>
      </w:r>
      <w:r w:rsidRPr="00CE0885">
        <w:rPr>
          <w:spacing w:val="-3"/>
          <w:lang w:eastAsia="en-GB"/>
        </w:rPr>
        <w:t>w</w:t>
      </w:r>
      <w:r w:rsidRPr="00CE0885">
        <w:rPr>
          <w:lang w:eastAsia="en-GB"/>
        </w:rPr>
        <w:t>i</w:t>
      </w:r>
      <w:r w:rsidRPr="00CE0885">
        <w:rPr>
          <w:spacing w:val="3"/>
          <w:lang w:eastAsia="en-GB"/>
        </w:rPr>
        <w:t>t</w:t>
      </w:r>
      <w:r w:rsidRPr="00CE0885">
        <w:rPr>
          <w:lang w:eastAsia="en-GB"/>
        </w:rPr>
        <w:t xml:space="preserve">h </w:t>
      </w:r>
      <w:r w:rsidRPr="00CE0885">
        <w:rPr>
          <w:spacing w:val="1"/>
          <w:lang w:eastAsia="en-GB"/>
        </w:rPr>
        <w:t>othe</w:t>
      </w:r>
      <w:r w:rsidRPr="00CE0885">
        <w:rPr>
          <w:lang w:eastAsia="en-GB"/>
        </w:rPr>
        <w:t>r</w:t>
      </w:r>
      <w:r w:rsidRPr="00CE0885">
        <w:rPr>
          <w:spacing w:val="-5"/>
          <w:lang w:eastAsia="en-GB"/>
        </w:rPr>
        <w:t xml:space="preserve"> </w:t>
      </w:r>
      <w:r w:rsidRPr="00CE0885">
        <w:rPr>
          <w:lang w:eastAsia="en-GB"/>
        </w:rPr>
        <w:t>i</w:t>
      </w:r>
      <w:r w:rsidRPr="00CE0885">
        <w:rPr>
          <w:spacing w:val="-1"/>
          <w:lang w:eastAsia="en-GB"/>
        </w:rPr>
        <w:t>n</w:t>
      </w:r>
      <w:r w:rsidRPr="00CE0885">
        <w:rPr>
          <w:spacing w:val="3"/>
          <w:lang w:eastAsia="en-GB"/>
        </w:rPr>
        <w:t>f</w:t>
      </w:r>
      <w:r w:rsidRPr="00CE0885">
        <w:rPr>
          <w:spacing w:val="-3"/>
          <w:lang w:eastAsia="en-GB"/>
        </w:rPr>
        <w:t>l</w:t>
      </w:r>
      <w:r w:rsidRPr="00CE0885">
        <w:rPr>
          <w:spacing w:val="1"/>
          <w:lang w:eastAsia="en-GB"/>
        </w:rPr>
        <w:t>u</w:t>
      </w:r>
      <w:r w:rsidRPr="00CE0885">
        <w:rPr>
          <w:spacing w:val="-1"/>
          <w:lang w:eastAsia="en-GB"/>
        </w:rPr>
        <w:t>e</w:t>
      </w:r>
      <w:r w:rsidRPr="00CE0885">
        <w:rPr>
          <w:spacing w:val="1"/>
          <w:lang w:eastAsia="en-GB"/>
        </w:rPr>
        <w:t>n</w:t>
      </w:r>
      <w:r w:rsidRPr="00CE0885">
        <w:rPr>
          <w:lang w:eastAsia="en-GB"/>
        </w:rPr>
        <w:t>ci</w:t>
      </w:r>
      <w:r w:rsidRPr="00CE0885">
        <w:rPr>
          <w:spacing w:val="1"/>
          <w:lang w:eastAsia="en-GB"/>
        </w:rPr>
        <w:t>n</w:t>
      </w:r>
      <w:r w:rsidRPr="00CE0885">
        <w:rPr>
          <w:lang w:eastAsia="en-GB"/>
        </w:rPr>
        <w:t>g</w:t>
      </w:r>
      <w:r w:rsidRPr="00CE0885">
        <w:rPr>
          <w:spacing w:val="-14"/>
          <w:lang w:eastAsia="en-GB"/>
        </w:rPr>
        <w:t xml:space="preserve"> </w:t>
      </w:r>
      <w:r w:rsidRPr="00CE0885">
        <w:rPr>
          <w:spacing w:val="3"/>
          <w:lang w:eastAsia="en-GB"/>
        </w:rPr>
        <w:t>f</w:t>
      </w:r>
      <w:r w:rsidRPr="00CE0885">
        <w:rPr>
          <w:spacing w:val="1"/>
          <w:lang w:eastAsia="en-GB"/>
        </w:rPr>
        <w:t>a</w:t>
      </w:r>
      <w:r w:rsidRPr="00CE0885">
        <w:rPr>
          <w:lang w:eastAsia="en-GB"/>
        </w:rPr>
        <w:t>c</w:t>
      </w:r>
      <w:r w:rsidRPr="00CE0885">
        <w:rPr>
          <w:spacing w:val="-2"/>
          <w:lang w:eastAsia="en-GB"/>
        </w:rPr>
        <w:t>t</w:t>
      </w:r>
      <w:r w:rsidRPr="00CE0885">
        <w:rPr>
          <w:spacing w:val="1"/>
          <w:lang w:eastAsia="en-GB"/>
        </w:rPr>
        <w:t>o</w:t>
      </w:r>
      <w:r w:rsidRPr="00CE0885">
        <w:rPr>
          <w:spacing w:val="-1"/>
          <w:lang w:eastAsia="en-GB"/>
        </w:rPr>
        <w:t>r</w:t>
      </w:r>
      <w:r w:rsidRPr="00CE0885">
        <w:rPr>
          <w:lang w:eastAsia="en-GB"/>
        </w:rPr>
        <w:t>s,</w:t>
      </w:r>
      <w:r w:rsidRPr="00CE0885">
        <w:rPr>
          <w:spacing w:val="-7"/>
          <w:lang w:eastAsia="en-GB"/>
        </w:rPr>
        <w:t xml:space="preserve"> </w:t>
      </w:r>
      <w:r w:rsidRPr="00CE0885">
        <w:rPr>
          <w:spacing w:val="-3"/>
          <w:lang w:eastAsia="en-GB"/>
        </w:rPr>
        <w:t>w</w:t>
      </w:r>
      <w:r w:rsidRPr="00CE0885">
        <w:rPr>
          <w:spacing w:val="1"/>
          <w:lang w:eastAsia="en-GB"/>
        </w:rPr>
        <w:t>he</w:t>
      </w:r>
      <w:r w:rsidRPr="00CE0885">
        <w:rPr>
          <w:lang w:eastAsia="en-GB"/>
        </w:rPr>
        <w:t>n</w:t>
      </w:r>
      <w:r w:rsidRPr="00CE0885">
        <w:rPr>
          <w:spacing w:val="-4"/>
          <w:lang w:eastAsia="en-GB"/>
        </w:rPr>
        <w:t xml:space="preserve"> </w:t>
      </w:r>
      <w:r w:rsidRPr="00CE0885">
        <w:rPr>
          <w:lang w:eastAsia="en-GB"/>
        </w:rPr>
        <w:t>c</w:t>
      </w:r>
      <w:r w:rsidRPr="00CE0885">
        <w:rPr>
          <w:spacing w:val="1"/>
          <w:lang w:eastAsia="en-GB"/>
        </w:rPr>
        <w:t>on</w:t>
      </w:r>
      <w:r w:rsidRPr="00CE0885">
        <w:rPr>
          <w:lang w:eastAsia="en-GB"/>
        </w:rPr>
        <w:t>si</w:t>
      </w:r>
      <w:r w:rsidRPr="00CE0885">
        <w:rPr>
          <w:spacing w:val="-1"/>
          <w:lang w:eastAsia="en-GB"/>
        </w:rPr>
        <w:t>d</w:t>
      </w:r>
      <w:r w:rsidRPr="00CE0885">
        <w:rPr>
          <w:spacing w:val="1"/>
          <w:lang w:eastAsia="en-GB"/>
        </w:rPr>
        <w:t>e</w:t>
      </w:r>
      <w:r w:rsidRPr="00CE0885">
        <w:rPr>
          <w:spacing w:val="-1"/>
          <w:lang w:eastAsia="en-GB"/>
        </w:rPr>
        <w:t>r</w:t>
      </w:r>
      <w:r w:rsidRPr="00CE0885">
        <w:rPr>
          <w:lang w:eastAsia="en-GB"/>
        </w:rPr>
        <w:t>i</w:t>
      </w:r>
      <w:r w:rsidRPr="00CE0885">
        <w:rPr>
          <w:spacing w:val="1"/>
          <w:lang w:eastAsia="en-GB"/>
        </w:rPr>
        <w:t>n</w:t>
      </w:r>
      <w:r w:rsidRPr="00CE0885">
        <w:rPr>
          <w:lang w:eastAsia="en-GB"/>
        </w:rPr>
        <w:t>g</w:t>
      </w:r>
      <w:r w:rsidRPr="00CE0885">
        <w:rPr>
          <w:spacing w:val="-13"/>
          <w:lang w:eastAsia="en-GB"/>
        </w:rPr>
        <w:t xml:space="preserve"> </w:t>
      </w:r>
      <w:r w:rsidRPr="00CE0885">
        <w:rPr>
          <w:lang w:eastAsia="en-GB"/>
        </w:rPr>
        <w:t>s</w:t>
      </w:r>
      <w:r w:rsidRPr="00CE0885">
        <w:rPr>
          <w:spacing w:val="-1"/>
          <w:lang w:eastAsia="en-GB"/>
        </w:rPr>
        <w:t>u</w:t>
      </w:r>
      <w:r w:rsidRPr="00CE0885">
        <w:rPr>
          <w:lang w:eastAsia="en-GB"/>
        </w:rPr>
        <w:t>ch</w:t>
      </w:r>
      <w:r w:rsidRPr="00CE0885">
        <w:rPr>
          <w:spacing w:val="-3"/>
          <w:lang w:eastAsia="en-GB"/>
        </w:rPr>
        <w:t xml:space="preserve"> </w:t>
      </w:r>
      <w:r w:rsidRPr="00CE0885">
        <w:rPr>
          <w:spacing w:val="1"/>
          <w:lang w:eastAsia="en-GB"/>
        </w:rPr>
        <w:t>a</w:t>
      </w:r>
      <w:r w:rsidRPr="00CE0885">
        <w:rPr>
          <w:lang w:eastAsia="en-GB"/>
        </w:rPr>
        <w:t>n</w:t>
      </w:r>
      <w:r w:rsidRPr="00CE0885">
        <w:rPr>
          <w:spacing w:val="-4"/>
          <w:lang w:eastAsia="en-GB"/>
        </w:rPr>
        <w:t xml:space="preserve"> </w:t>
      </w:r>
      <w:r w:rsidRPr="00CE0885">
        <w:rPr>
          <w:spacing w:val="1"/>
          <w:lang w:eastAsia="en-GB"/>
        </w:rPr>
        <w:t>a</w:t>
      </w:r>
      <w:r w:rsidRPr="00CE0885">
        <w:rPr>
          <w:spacing w:val="-1"/>
          <w:lang w:eastAsia="en-GB"/>
        </w:rPr>
        <w:t>p</w:t>
      </w:r>
      <w:r w:rsidRPr="00CE0885">
        <w:rPr>
          <w:spacing w:val="1"/>
          <w:lang w:eastAsia="en-GB"/>
        </w:rPr>
        <w:t>p</w:t>
      </w:r>
      <w:r w:rsidRPr="00CE0885">
        <w:rPr>
          <w:lang w:eastAsia="en-GB"/>
        </w:rPr>
        <w:t>lic</w:t>
      </w:r>
      <w:r w:rsidRPr="00CE0885">
        <w:rPr>
          <w:spacing w:val="1"/>
          <w:lang w:eastAsia="en-GB"/>
        </w:rPr>
        <w:t>at</w:t>
      </w:r>
      <w:r w:rsidRPr="00CE0885">
        <w:rPr>
          <w:lang w:eastAsia="en-GB"/>
        </w:rPr>
        <w:t>i</w:t>
      </w:r>
      <w:r w:rsidRPr="00CE0885">
        <w:rPr>
          <w:spacing w:val="1"/>
          <w:lang w:eastAsia="en-GB"/>
        </w:rPr>
        <w:t>o</w:t>
      </w:r>
      <w:r w:rsidRPr="00CE0885">
        <w:rPr>
          <w:spacing w:val="-1"/>
          <w:lang w:eastAsia="en-GB"/>
        </w:rPr>
        <w:t>n</w:t>
      </w:r>
      <w:r w:rsidRPr="00CE0885">
        <w:rPr>
          <w:lang w:eastAsia="en-GB"/>
        </w:rPr>
        <w:t>. commissioners must also act in accordance with any procurement protocol issued by NHS England.</w:t>
      </w:r>
      <w:bookmarkEnd w:id="603"/>
    </w:p>
    <w:p w14:paraId="7D77FF48" w14:textId="326A33AC" w:rsidR="00977693" w:rsidRPr="00CE0885" w:rsidRDefault="00977693" w:rsidP="006B781A">
      <w:pPr>
        <w:pStyle w:val="Heading3"/>
        <w:rPr>
          <w:lang w:eastAsia="en-GB"/>
        </w:rPr>
      </w:pPr>
      <w:bookmarkStart w:id="604" w:name="_Toc440981755"/>
      <w:r w:rsidRPr="00CE0885">
        <w:rPr>
          <w:lang w:eastAsia="en-GB"/>
        </w:rPr>
        <w:t>The Commissioner must ensure the proposed individual(s) meet the eligibility criteria for holding a PMS agreement (</w:t>
      </w:r>
      <w:r w:rsidR="00A114DF" w:rsidRPr="00CE0885">
        <w:rPr>
          <w:lang w:eastAsia="en-GB"/>
        </w:rPr>
        <w:t xml:space="preserve">Please refer to </w:t>
      </w:r>
      <w:r w:rsidR="00A114DF">
        <w:rPr>
          <w:lang w:eastAsia="en-GB"/>
        </w:rPr>
        <w:t>the ‘Contracts Described’ chapter</w:t>
      </w:r>
      <w:r w:rsidRPr="00CE0885">
        <w:rPr>
          <w:lang w:eastAsia="en-GB"/>
        </w:rPr>
        <w:t xml:space="preserve"> for further information).</w:t>
      </w:r>
      <w:bookmarkEnd w:id="604"/>
    </w:p>
    <w:p w14:paraId="7F896D6E" w14:textId="77777777" w:rsidR="00977693" w:rsidRPr="00CE0885" w:rsidRDefault="00977693" w:rsidP="006B781A">
      <w:pPr>
        <w:pStyle w:val="Heading3"/>
        <w:rPr>
          <w:lang w:eastAsia="en-GB"/>
        </w:rPr>
      </w:pPr>
      <w:bookmarkStart w:id="605" w:name="_Toc440981756"/>
      <w:r w:rsidRPr="00CE0885">
        <w:rPr>
          <w:lang w:eastAsia="en-GB"/>
        </w:rPr>
        <w:t>The Commissioner should confirm its decision on the variation in writing to the contractor detailing the reasons for the decision and details of any information that they have relied upon in the process (Annex 4B).</w:t>
      </w:r>
      <w:bookmarkEnd w:id="605"/>
    </w:p>
    <w:p w14:paraId="563813F7" w14:textId="77777777" w:rsidR="00977693" w:rsidRPr="00CE0885" w:rsidRDefault="00977693" w:rsidP="006B781A">
      <w:pPr>
        <w:pStyle w:val="Heading3"/>
        <w:rPr>
          <w:lang w:eastAsia="en-GB"/>
        </w:rPr>
      </w:pPr>
      <w:bookmarkStart w:id="606" w:name="_Toc440981757"/>
      <w:r w:rsidRPr="00CE0885">
        <w:rPr>
          <w:lang w:eastAsia="en-GB"/>
        </w:rPr>
        <w:t>If the decision is to consent to the variation, then the Commissioner shall issue a variation notice accordingly to amend the relevant sections of the contract. A variation notice should include the wording of the proposed variation and the date upon which the variation will take effect. The contractor would then be required to return a signed copy of the variation notice. The Commissioner should ensure that the electronically held contract documentation is amended accordingly.</w:t>
      </w:r>
      <w:bookmarkEnd w:id="606"/>
    </w:p>
    <w:p w14:paraId="4062C013" w14:textId="77777777" w:rsidR="00977693" w:rsidRPr="00CE0885" w:rsidRDefault="00977693" w:rsidP="006B781A">
      <w:pPr>
        <w:pStyle w:val="Heading3"/>
        <w:rPr>
          <w:lang w:eastAsia="en-GB"/>
        </w:rPr>
      </w:pPr>
      <w:bookmarkStart w:id="607" w:name="_Toc440981758"/>
      <w:r w:rsidRPr="00CE0885">
        <w:rPr>
          <w:lang w:eastAsia="en-GB"/>
        </w:rPr>
        <w:t>If the contractor does not return a signed copy of the variation notice, then no amendment to the agreement can take place.</w:t>
      </w:r>
      <w:bookmarkEnd w:id="607"/>
    </w:p>
    <w:p w14:paraId="276F6E79" w14:textId="77777777" w:rsidR="00977693" w:rsidRPr="00CE0885" w:rsidRDefault="00977693" w:rsidP="006B781A">
      <w:pPr>
        <w:pStyle w:val="Heading3"/>
        <w:rPr>
          <w:lang w:eastAsia="en-GB"/>
        </w:rPr>
      </w:pPr>
      <w:bookmarkStart w:id="608" w:name="_Toc440981759"/>
      <w:r w:rsidRPr="00CE0885">
        <w:rPr>
          <w:lang w:eastAsia="en-GB"/>
        </w:rPr>
        <w:t>If the new partner is not accepted as eligible the Commissioner should advise the contractor in writing of the reasons they believe the proposed partner(s) to be ineligible and confirm that the contract status will remain as it was until the matter can be resolved or a further notice is provided by the contractor proposing an alternative eligible partner.</w:t>
      </w:r>
      <w:bookmarkEnd w:id="608"/>
    </w:p>
    <w:p w14:paraId="78EDDC10" w14:textId="77777777" w:rsidR="00977693" w:rsidRPr="00CE0885" w:rsidRDefault="00977693" w:rsidP="003331F2">
      <w:pPr>
        <w:pStyle w:val="BodyText"/>
      </w:pPr>
    </w:p>
    <w:p w14:paraId="58205649" w14:textId="77777777" w:rsidR="00977693" w:rsidRPr="00CE5A3A" w:rsidRDefault="00977693" w:rsidP="00CE5A3A">
      <w:pPr>
        <w:pStyle w:val="BodyText"/>
        <w:rPr>
          <w:b/>
          <w:sz w:val="24"/>
          <w:szCs w:val="24"/>
        </w:rPr>
      </w:pPr>
      <w:bookmarkStart w:id="609" w:name="_Toc440981760"/>
      <w:r w:rsidRPr="00CE5A3A">
        <w:rPr>
          <w:b/>
          <w:sz w:val="24"/>
          <w:szCs w:val="24"/>
        </w:rPr>
        <w:t>Individual to more than one individual – APMS contract</w:t>
      </w:r>
      <w:bookmarkEnd w:id="609"/>
    </w:p>
    <w:p w14:paraId="6B9B0DC0" w14:textId="77777777" w:rsidR="00977693" w:rsidRPr="00CE0885" w:rsidRDefault="00977693" w:rsidP="006B781A">
      <w:pPr>
        <w:pStyle w:val="Heading3"/>
        <w:rPr>
          <w:lang w:eastAsia="en-GB"/>
        </w:rPr>
      </w:pPr>
      <w:bookmarkStart w:id="610" w:name="_Toc440981761"/>
      <w:r w:rsidRPr="00CE0885">
        <w:rPr>
          <w:lang w:eastAsia="en-GB"/>
        </w:rPr>
        <w:t>APMS contracts can be entered into with a partnership and the Commissioner should consider the wording of the relevant contract to determine whether there are any specific provisions covering a request from the contractor to have one or more individuals join them under the contract. Where there are no such provisions, a similar process to PMS agreements could be followed.</w:t>
      </w:r>
      <w:bookmarkEnd w:id="610"/>
      <w:r w:rsidRPr="00CE0885">
        <w:rPr>
          <w:lang w:eastAsia="en-GB"/>
        </w:rPr>
        <w:t xml:space="preserve"> </w:t>
      </w:r>
    </w:p>
    <w:p w14:paraId="366B79C8" w14:textId="77777777" w:rsidR="00977693" w:rsidRPr="00CE0885" w:rsidRDefault="00977693" w:rsidP="003331F2">
      <w:pPr>
        <w:pStyle w:val="BodyText"/>
      </w:pPr>
    </w:p>
    <w:p w14:paraId="542BD163" w14:textId="77777777" w:rsidR="00977693" w:rsidRPr="00CE5A3A" w:rsidRDefault="00977693" w:rsidP="00CE5A3A">
      <w:pPr>
        <w:pStyle w:val="BodyText"/>
        <w:rPr>
          <w:b/>
          <w:sz w:val="24"/>
          <w:szCs w:val="24"/>
        </w:rPr>
      </w:pPr>
      <w:bookmarkStart w:id="611" w:name="_Toc440981762"/>
      <w:r w:rsidRPr="00CE5A3A">
        <w:rPr>
          <w:b/>
          <w:sz w:val="24"/>
          <w:szCs w:val="24"/>
        </w:rPr>
        <w:t>Changes to contracts with more than one individual – GMS contracts</w:t>
      </w:r>
      <w:bookmarkEnd w:id="611"/>
    </w:p>
    <w:p w14:paraId="300C93BD" w14:textId="77777777" w:rsidR="00977693" w:rsidRPr="00CE0885" w:rsidRDefault="00977693" w:rsidP="006B781A">
      <w:pPr>
        <w:pStyle w:val="Heading3"/>
        <w:rPr>
          <w:lang w:eastAsia="en-GB"/>
        </w:rPr>
      </w:pPr>
      <w:bookmarkStart w:id="612" w:name="_Ref410397872"/>
      <w:bookmarkStart w:id="613" w:name="_Toc440981763"/>
      <w:r w:rsidRPr="00CE0885">
        <w:rPr>
          <w:lang w:eastAsia="en-GB"/>
        </w:rPr>
        <w:t>Changes to the contracting parties may occur where a partnership dissolves or terminates or where the composition of the partnership changes. Both scenarios are explained below.</w:t>
      </w:r>
      <w:bookmarkEnd w:id="612"/>
      <w:bookmarkEnd w:id="613"/>
      <w:r w:rsidRPr="00CE0885">
        <w:rPr>
          <w:lang w:eastAsia="en-GB"/>
        </w:rPr>
        <w:t xml:space="preserve"> </w:t>
      </w:r>
    </w:p>
    <w:p w14:paraId="6D8C8C27" w14:textId="77777777" w:rsidR="00977693" w:rsidRPr="00CE0885" w:rsidRDefault="00977693" w:rsidP="006B781A">
      <w:pPr>
        <w:pStyle w:val="Heading3"/>
        <w:rPr>
          <w:lang w:eastAsia="en-GB"/>
        </w:rPr>
      </w:pPr>
      <w:bookmarkStart w:id="614" w:name="_Ref410414102"/>
      <w:bookmarkStart w:id="615" w:name="_Toc440981764"/>
      <w:r w:rsidRPr="00CE0885">
        <w:rPr>
          <w:lang w:eastAsia="en-GB"/>
        </w:rPr>
        <w:t>Where a partnership is dissolved or terminated and the contractor consists of two or more individuals practising in partnership, the contract may continue with one of the former partners if the following conditions apply:</w:t>
      </w:r>
      <w:bookmarkEnd w:id="614"/>
      <w:bookmarkEnd w:id="615"/>
    </w:p>
    <w:p w14:paraId="43E9B3D9" w14:textId="77777777" w:rsidR="00977693" w:rsidRPr="00CE0885" w:rsidRDefault="00977693" w:rsidP="00FA6A70">
      <w:pPr>
        <w:pStyle w:val="Heading4"/>
      </w:pPr>
      <w:bookmarkStart w:id="616" w:name="_Toc440981765"/>
      <w:r w:rsidRPr="00CE0885">
        <w:t>the former partner must be nominated by the contractor; and</w:t>
      </w:r>
      <w:bookmarkEnd w:id="616"/>
    </w:p>
    <w:p w14:paraId="77A55316" w14:textId="77777777" w:rsidR="00977693" w:rsidRPr="00CE0885" w:rsidRDefault="00977693" w:rsidP="00FA6A70">
      <w:pPr>
        <w:pStyle w:val="Heading4"/>
      </w:pPr>
      <w:bookmarkStart w:id="617" w:name="_Toc440981766"/>
      <w:r w:rsidRPr="00CE0885">
        <w:t>the former partner must be a medical practitioner that meets the condition in regulation 4(2)(a) of the GMS Regulations.</w:t>
      </w:r>
      <w:bookmarkEnd w:id="617"/>
      <w:r w:rsidRPr="00CE0885">
        <w:t xml:space="preserve"> </w:t>
      </w:r>
    </w:p>
    <w:p w14:paraId="1C71693B" w14:textId="77777777" w:rsidR="00977693" w:rsidRPr="00CE0885" w:rsidRDefault="00977693" w:rsidP="006B781A">
      <w:pPr>
        <w:pStyle w:val="Heading3"/>
        <w:rPr>
          <w:lang w:eastAsia="en-GB"/>
        </w:rPr>
      </w:pPr>
      <w:bookmarkStart w:id="618" w:name="_Toc440981767"/>
      <w:r w:rsidRPr="00CE0885">
        <w:rPr>
          <w:lang w:eastAsia="en-GB"/>
        </w:rPr>
        <w:t>The nomination of the former partner by the contractor must:</w:t>
      </w:r>
      <w:bookmarkEnd w:id="618"/>
    </w:p>
    <w:p w14:paraId="45DEC830" w14:textId="77777777" w:rsidR="00977693" w:rsidRPr="00CE0885" w:rsidRDefault="00977693" w:rsidP="00FA6A70">
      <w:pPr>
        <w:pStyle w:val="Heading4"/>
      </w:pPr>
      <w:bookmarkStart w:id="619" w:name="_Toc440981768"/>
      <w:r w:rsidRPr="00CE0885">
        <w:t>be in writing and signed by all of the persons who are practising in partnership. Where the contractor contacts the Commissioner about such a change, the Commissioner should send Annex 5A;</w:t>
      </w:r>
      <w:bookmarkEnd w:id="619"/>
      <w:r w:rsidRPr="00CE0885">
        <w:t xml:space="preserve"> </w:t>
      </w:r>
    </w:p>
    <w:p w14:paraId="0EB2A56B" w14:textId="77777777" w:rsidR="00977693" w:rsidRPr="00CE0885" w:rsidRDefault="00977693" w:rsidP="00FA6A70">
      <w:pPr>
        <w:pStyle w:val="Heading4"/>
      </w:pPr>
      <w:bookmarkStart w:id="620" w:name="_Toc440981769"/>
      <w:r w:rsidRPr="00CE0885">
        <w:t>specify the date on which the contractor proposes to change its status from that of a partnership to that of an individual medical practitioner;</w:t>
      </w:r>
      <w:bookmarkEnd w:id="620"/>
      <w:r w:rsidRPr="00CE0885">
        <w:t xml:space="preserve"> </w:t>
      </w:r>
    </w:p>
    <w:p w14:paraId="7680B463" w14:textId="77777777" w:rsidR="00977693" w:rsidRPr="00CE0885" w:rsidRDefault="00977693" w:rsidP="00FA6A70">
      <w:pPr>
        <w:pStyle w:val="Heading4"/>
      </w:pPr>
      <w:bookmarkStart w:id="621" w:name="_Toc440981770"/>
      <w:r w:rsidRPr="00CE0885">
        <w:t>be provided to the Commissioner at least 28 days in advance of the date on which the contractor proposes to change its status from that of a partnership to that of an individual medical practitioner; and</w:t>
      </w:r>
      <w:bookmarkEnd w:id="621"/>
    </w:p>
    <w:p w14:paraId="429534D9" w14:textId="77777777" w:rsidR="00977693" w:rsidRPr="00CE0885" w:rsidRDefault="00977693" w:rsidP="00FA6A70">
      <w:pPr>
        <w:pStyle w:val="Heading4"/>
      </w:pPr>
      <w:bookmarkStart w:id="622" w:name="_Toc440981771"/>
      <w:r w:rsidRPr="00CE0885">
        <w:t>specify the name of the medical practitioner with whom the contract will continue, which must be one of the partners.</w:t>
      </w:r>
      <w:bookmarkEnd w:id="622"/>
    </w:p>
    <w:p w14:paraId="71193E79" w14:textId="77777777" w:rsidR="00977693" w:rsidRPr="00CE0885" w:rsidRDefault="00977693" w:rsidP="006B781A">
      <w:pPr>
        <w:pStyle w:val="Heading3"/>
        <w:rPr>
          <w:lang w:eastAsia="en-GB"/>
        </w:rPr>
      </w:pPr>
      <w:bookmarkStart w:id="623" w:name="_Toc440981772"/>
      <w:r w:rsidRPr="00CE0885">
        <w:rPr>
          <w:lang w:eastAsia="en-GB"/>
        </w:rPr>
        <w:t>Where the Commissioner receives such a nomination, it must acknowledge receipt in writing before the date specified in the nomination as the date on which the contractor proposes to change its status from that of a partnership to that of an individual medical practitioner.</w:t>
      </w:r>
      <w:bookmarkEnd w:id="623"/>
    </w:p>
    <w:p w14:paraId="707E9965" w14:textId="77777777" w:rsidR="00977693" w:rsidRPr="00CE0885" w:rsidRDefault="00977693" w:rsidP="006B781A">
      <w:pPr>
        <w:pStyle w:val="Heading3"/>
        <w:rPr>
          <w:lang w:eastAsia="en-GB"/>
        </w:rPr>
      </w:pPr>
      <w:bookmarkStart w:id="624" w:name="_Toc440981773"/>
      <w:r w:rsidRPr="00CE0885">
        <w:rPr>
          <w:lang w:eastAsia="en-GB"/>
        </w:rPr>
        <w:t>Where the Commissioner agrees the nomination, the Commissioner may vary the contract but only to the extent that it is satisfied it is necessary to reflect the change in status of the contractor from a partnership to an individual medical practitioner. The Commissioner must notify the contractor in writing of the wording of the proposed variation and the date upon which that variation is to take effect.</w:t>
      </w:r>
      <w:bookmarkEnd w:id="624"/>
      <w:r w:rsidRPr="00CE0885">
        <w:rPr>
          <w:lang w:eastAsia="en-GB"/>
        </w:rPr>
        <w:t xml:space="preserve"> </w:t>
      </w:r>
    </w:p>
    <w:p w14:paraId="43CFB832" w14:textId="77777777" w:rsidR="00977693" w:rsidRPr="00CE0885" w:rsidRDefault="00977693" w:rsidP="006B781A">
      <w:pPr>
        <w:pStyle w:val="Heading3"/>
        <w:rPr>
          <w:lang w:eastAsia="en-GB"/>
        </w:rPr>
      </w:pPr>
      <w:bookmarkStart w:id="625" w:name="_Toc440981774"/>
      <w:r w:rsidRPr="00CE0885">
        <w:rPr>
          <w:lang w:eastAsia="en-GB"/>
        </w:rPr>
        <w:t>A template notice is provided at Annex 5B. A variation notice will need to be included with this letter.</w:t>
      </w:r>
      <w:bookmarkEnd w:id="625"/>
    </w:p>
    <w:p w14:paraId="12DA1D6D" w14:textId="77777777" w:rsidR="00977693" w:rsidRPr="00CE0885" w:rsidRDefault="00977693" w:rsidP="006B781A">
      <w:pPr>
        <w:pStyle w:val="Heading3"/>
        <w:rPr>
          <w:lang w:eastAsia="en-GB"/>
        </w:rPr>
      </w:pPr>
      <w:bookmarkStart w:id="626" w:name="_Toc440981775"/>
      <w:r w:rsidRPr="00CE0885">
        <w:rPr>
          <w:spacing w:val="2"/>
          <w:lang w:eastAsia="en-GB"/>
        </w:rPr>
        <w:t>T</w:t>
      </w:r>
      <w:r w:rsidRPr="00CE0885">
        <w:rPr>
          <w:spacing w:val="-1"/>
          <w:lang w:eastAsia="en-GB"/>
        </w:rPr>
        <w:t>h</w:t>
      </w:r>
      <w:r w:rsidRPr="00CE0885">
        <w:rPr>
          <w:lang w:eastAsia="en-GB"/>
        </w:rPr>
        <w:t>e</w:t>
      </w:r>
      <w:r w:rsidRPr="00CE0885">
        <w:rPr>
          <w:spacing w:val="-2"/>
          <w:lang w:eastAsia="en-GB"/>
        </w:rPr>
        <w:t xml:space="preserve"> Commissioner</w:t>
      </w:r>
      <w:r w:rsidRPr="00CE0885">
        <w:rPr>
          <w:lang w:eastAsia="en-GB"/>
        </w:rPr>
        <w:t xml:space="preserve"> </w:t>
      </w:r>
      <w:r w:rsidRPr="00CE0885">
        <w:rPr>
          <w:spacing w:val="-3"/>
          <w:lang w:eastAsia="en-GB"/>
        </w:rPr>
        <w:t>should be</w:t>
      </w:r>
      <w:r w:rsidRPr="00CE0885">
        <w:rPr>
          <w:spacing w:val="-1"/>
          <w:lang w:eastAsia="en-GB"/>
        </w:rPr>
        <w:t xml:space="preserve"> </w:t>
      </w:r>
      <w:r w:rsidRPr="00CE0885">
        <w:rPr>
          <w:lang w:eastAsia="en-GB"/>
        </w:rPr>
        <w:t>s</w:t>
      </w:r>
      <w:r w:rsidRPr="00CE0885">
        <w:rPr>
          <w:spacing w:val="-1"/>
          <w:lang w:eastAsia="en-GB"/>
        </w:rPr>
        <w:t>a</w:t>
      </w:r>
      <w:r w:rsidRPr="00CE0885">
        <w:rPr>
          <w:lang w:eastAsia="en-GB"/>
        </w:rPr>
        <w:t>ti</w:t>
      </w:r>
      <w:r w:rsidRPr="00CE0885">
        <w:rPr>
          <w:spacing w:val="-2"/>
          <w:lang w:eastAsia="en-GB"/>
        </w:rPr>
        <w:t>s</w:t>
      </w:r>
      <w:r w:rsidRPr="00CE0885">
        <w:rPr>
          <w:spacing w:val="3"/>
          <w:lang w:eastAsia="en-GB"/>
        </w:rPr>
        <w:t>f</w:t>
      </w:r>
      <w:r w:rsidRPr="00CE0885">
        <w:rPr>
          <w:lang w:eastAsia="en-GB"/>
        </w:rPr>
        <w:t>ied</w:t>
      </w:r>
      <w:r w:rsidRPr="00CE0885">
        <w:rPr>
          <w:spacing w:val="-10"/>
          <w:lang w:eastAsia="en-GB"/>
        </w:rPr>
        <w:t xml:space="preserve"> </w:t>
      </w:r>
      <w:r w:rsidRPr="00CE0885">
        <w:rPr>
          <w:lang w:eastAsia="en-GB"/>
        </w:rPr>
        <w:t>th</w:t>
      </w:r>
      <w:r w:rsidRPr="00CE0885">
        <w:rPr>
          <w:spacing w:val="-1"/>
          <w:lang w:eastAsia="en-GB"/>
        </w:rPr>
        <w:t>a</w:t>
      </w:r>
      <w:r w:rsidRPr="00CE0885">
        <w:rPr>
          <w:lang w:eastAsia="en-GB"/>
        </w:rPr>
        <w:t>t</w:t>
      </w:r>
      <w:r w:rsidRPr="00CE0885">
        <w:rPr>
          <w:spacing w:val="-3"/>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a</w:t>
      </w:r>
      <w:r w:rsidRPr="00CE0885">
        <w:rPr>
          <w:spacing w:val="-1"/>
          <w:lang w:eastAsia="en-GB"/>
        </w:rPr>
        <w:t>r</w:t>
      </w:r>
      <w:r w:rsidRPr="00CE0885">
        <w:rPr>
          <w:spacing w:val="-3"/>
          <w:lang w:eastAsia="en-GB"/>
        </w:rPr>
        <w:t>r</w:t>
      </w:r>
      <w:r w:rsidRPr="00CE0885">
        <w:rPr>
          <w:lang w:eastAsia="en-GB"/>
        </w:rPr>
        <w:t>an</w:t>
      </w:r>
      <w:r w:rsidRPr="00CE0885">
        <w:rPr>
          <w:spacing w:val="-1"/>
          <w:lang w:eastAsia="en-GB"/>
        </w:rPr>
        <w:t>g</w:t>
      </w:r>
      <w:r w:rsidRPr="00CE0885">
        <w:rPr>
          <w:lang w:eastAsia="en-GB"/>
        </w:rPr>
        <w:t>e</w:t>
      </w:r>
      <w:r w:rsidRPr="00CE0885">
        <w:rPr>
          <w:spacing w:val="-1"/>
          <w:lang w:eastAsia="en-GB"/>
        </w:rPr>
        <w:t>m</w:t>
      </w:r>
      <w:r w:rsidRPr="00CE0885">
        <w:rPr>
          <w:lang w:eastAsia="en-GB"/>
        </w:rPr>
        <w:t>ents</w:t>
      </w:r>
      <w:r w:rsidRPr="00CE0885">
        <w:rPr>
          <w:spacing w:val="-15"/>
          <w:lang w:eastAsia="en-GB"/>
        </w:rPr>
        <w:t xml:space="preserve"> </w:t>
      </w:r>
      <w:r w:rsidRPr="00CE0885">
        <w:rPr>
          <w:spacing w:val="-3"/>
          <w:lang w:eastAsia="en-GB"/>
        </w:rPr>
        <w:t>i</w:t>
      </w:r>
      <w:r w:rsidRPr="00CE0885">
        <w:rPr>
          <w:lang w:eastAsia="en-GB"/>
        </w:rPr>
        <w:t>n pla</w:t>
      </w:r>
      <w:r w:rsidRPr="00CE0885">
        <w:rPr>
          <w:spacing w:val="-2"/>
          <w:lang w:eastAsia="en-GB"/>
        </w:rPr>
        <w:t>c</w:t>
      </w:r>
      <w:r w:rsidRPr="00CE0885">
        <w:rPr>
          <w:lang w:eastAsia="en-GB"/>
        </w:rPr>
        <w:t>e</w:t>
      </w:r>
      <w:r w:rsidRPr="00CE0885">
        <w:rPr>
          <w:spacing w:val="-7"/>
          <w:lang w:eastAsia="en-GB"/>
        </w:rPr>
        <w:t xml:space="preserve"> </w:t>
      </w:r>
      <w:r w:rsidRPr="00CE0885">
        <w:rPr>
          <w:lang w:eastAsia="en-GB"/>
        </w:rPr>
        <w:t>for conti</w:t>
      </w:r>
      <w:r w:rsidRPr="00CE0885">
        <w:rPr>
          <w:spacing w:val="-1"/>
          <w:lang w:eastAsia="en-GB"/>
        </w:rPr>
        <w:t>n</w:t>
      </w:r>
      <w:r w:rsidRPr="00CE0885">
        <w:rPr>
          <w:lang w:eastAsia="en-GB"/>
        </w:rPr>
        <w:t>uity</w:t>
      </w:r>
      <w:r w:rsidRPr="00CE0885">
        <w:rPr>
          <w:spacing w:val="-12"/>
          <w:lang w:eastAsia="en-GB"/>
        </w:rPr>
        <w:t xml:space="preserve"> </w:t>
      </w:r>
      <w:r w:rsidRPr="00CE0885">
        <w:rPr>
          <w:lang w:eastAsia="en-GB"/>
        </w:rPr>
        <w:t>of</w:t>
      </w:r>
      <w:r w:rsidRPr="00CE0885">
        <w:rPr>
          <w:spacing w:val="-1"/>
          <w:lang w:eastAsia="en-GB"/>
        </w:rPr>
        <w:t xml:space="preserve"> </w:t>
      </w:r>
      <w:r w:rsidRPr="00CE0885">
        <w:rPr>
          <w:lang w:eastAsia="en-GB"/>
        </w:rPr>
        <w:t>se</w:t>
      </w:r>
      <w:r w:rsidRPr="00CE0885">
        <w:rPr>
          <w:spacing w:val="-1"/>
          <w:lang w:eastAsia="en-GB"/>
        </w:rPr>
        <w:t>r</w:t>
      </w:r>
      <w:r w:rsidRPr="00CE0885">
        <w:rPr>
          <w:spacing w:val="-2"/>
          <w:lang w:eastAsia="en-GB"/>
        </w:rPr>
        <w:t>v</w:t>
      </w:r>
      <w:r w:rsidRPr="00CE0885">
        <w:rPr>
          <w:lang w:eastAsia="en-GB"/>
        </w:rPr>
        <w:t>ice</w:t>
      </w:r>
      <w:r w:rsidRPr="00CE0885">
        <w:rPr>
          <w:spacing w:val="-6"/>
          <w:lang w:eastAsia="en-GB"/>
        </w:rPr>
        <w:t xml:space="preserve"> </w:t>
      </w:r>
      <w:r w:rsidRPr="00CE0885">
        <w:rPr>
          <w:lang w:eastAsia="en-GB"/>
        </w:rPr>
        <w:t>p</w:t>
      </w:r>
      <w:r w:rsidRPr="00CE0885">
        <w:rPr>
          <w:spacing w:val="-1"/>
          <w:lang w:eastAsia="en-GB"/>
        </w:rPr>
        <w:t>r</w:t>
      </w:r>
      <w:r w:rsidRPr="00CE0885">
        <w:rPr>
          <w:lang w:eastAsia="en-GB"/>
        </w:rPr>
        <w:t>o</w:t>
      </w:r>
      <w:r w:rsidRPr="00CE0885">
        <w:rPr>
          <w:spacing w:val="-2"/>
          <w:lang w:eastAsia="en-GB"/>
        </w:rPr>
        <w:t>v</w:t>
      </w:r>
      <w:r w:rsidRPr="00CE0885">
        <w:rPr>
          <w:lang w:eastAsia="en-GB"/>
        </w:rPr>
        <w:t>ision</w:t>
      </w:r>
      <w:r w:rsidRPr="00CE0885">
        <w:rPr>
          <w:spacing w:val="-8"/>
          <w:lang w:eastAsia="en-GB"/>
        </w:rPr>
        <w:t xml:space="preserve"> </w:t>
      </w:r>
      <w:r w:rsidRPr="00CE0885">
        <w:rPr>
          <w:lang w:eastAsia="en-GB"/>
        </w:rPr>
        <w:t>to 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c</w:t>
      </w:r>
      <w:r w:rsidRPr="00CE0885">
        <w:rPr>
          <w:spacing w:val="-1"/>
          <w:lang w:eastAsia="en-GB"/>
        </w:rPr>
        <w:t>o</w:t>
      </w:r>
      <w:r w:rsidRPr="00CE0885">
        <w:rPr>
          <w:lang w:eastAsia="en-GB"/>
        </w:rPr>
        <w:t>nt</w:t>
      </w:r>
      <w:r w:rsidRPr="00CE0885">
        <w:rPr>
          <w:spacing w:val="-1"/>
          <w:lang w:eastAsia="en-GB"/>
        </w:rPr>
        <w:t>r</w:t>
      </w:r>
      <w:r w:rsidRPr="00CE0885">
        <w:rPr>
          <w:lang w:eastAsia="en-GB"/>
        </w:rPr>
        <w:t>acts</w:t>
      </w:r>
      <w:r w:rsidRPr="00CE0885">
        <w:rPr>
          <w:spacing w:val="-12"/>
          <w:lang w:eastAsia="en-GB"/>
        </w:rPr>
        <w:t xml:space="preserve"> </w:t>
      </w:r>
      <w:r w:rsidRPr="00CE0885">
        <w:rPr>
          <w:spacing w:val="-1"/>
          <w:lang w:eastAsia="en-GB"/>
        </w:rPr>
        <w:t>r</w:t>
      </w:r>
      <w:r w:rsidRPr="00CE0885">
        <w:rPr>
          <w:lang w:eastAsia="en-GB"/>
        </w:rPr>
        <w:t>e</w:t>
      </w:r>
      <w:r w:rsidRPr="00CE0885">
        <w:rPr>
          <w:spacing w:val="-1"/>
          <w:lang w:eastAsia="en-GB"/>
        </w:rPr>
        <w:t>g</w:t>
      </w:r>
      <w:r w:rsidRPr="00CE0885">
        <w:rPr>
          <w:lang w:eastAsia="en-GB"/>
        </w:rPr>
        <w:t>iste</w:t>
      </w:r>
      <w:r w:rsidRPr="00CE0885">
        <w:rPr>
          <w:spacing w:val="-1"/>
          <w:lang w:eastAsia="en-GB"/>
        </w:rPr>
        <w:t>r</w:t>
      </w:r>
      <w:r w:rsidRPr="00CE0885">
        <w:rPr>
          <w:lang w:eastAsia="en-GB"/>
        </w:rPr>
        <w:t>ed</w:t>
      </w:r>
      <w:r w:rsidRPr="00CE0885">
        <w:rPr>
          <w:spacing w:val="-9"/>
          <w:lang w:eastAsia="en-GB"/>
        </w:rPr>
        <w:t xml:space="preserve"> </w:t>
      </w:r>
      <w:r w:rsidRPr="00CE0885">
        <w:rPr>
          <w:lang w:eastAsia="en-GB"/>
        </w:rPr>
        <w:t>patients</w:t>
      </w:r>
      <w:r w:rsidRPr="00CE0885">
        <w:rPr>
          <w:spacing w:val="-12"/>
          <w:lang w:eastAsia="en-GB"/>
        </w:rPr>
        <w:t xml:space="preserve"> </w:t>
      </w:r>
      <w:r w:rsidRPr="00CE0885">
        <w:rPr>
          <w:lang w:eastAsia="en-GB"/>
        </w:rPr>
        <w:t>a</w:t>
      </w:r>
      <w:r w:rsidRPr="00CE0885">
        <w:rPr>
          <w:spacing w:val="-1"/>
          <w:lang w:eastAsia="en-GB"/>
        </w:rPr>
        <w:t>r</w:t>
      </w:r>
      <w:r w:rsidRPr="00CE0885">
        <w:rPr>
          <w:lang w:eastAsia="en-GB"/>
        </w:rPr>
        <w:t xml:space="preserve">e </w:t>
      </w:r>
      <w:r w:rsidRPr="00CE0885">
        <w:rPr>
          <w:spacing w:val="-1"/>
          <w:lang w:eastAsia="en-GB"/>
        </w:rPr>
        <w:t>r</w:t>
      </w:r>
      <w:r w:rsidRPr="00CE0885">
        <w:rPr>
          <w:lang w:eastAsia="en-GB"/>
        </w:rPr>
        <w:t>obust.</w:t>
      </w:r>
      <w:bookmarkEnd w:id="626"/>
      <w:r w:rsidRPr="00CE0885">
        <w:rPr>
          <w:spacing w:val="-6"/>
          <w:lang w:eastAsia="en-GB"/>
        </w:rPr>
        <w:t xml:space="preserve"> </w:t>
      </w:r>
    </w:p>
    <w:p w14:paraId="54A7881B" w14:textId="77777777" w:rsidR="00977693" w:rsidRPr="00CE0885" w:rsidRDefault="00977693" w:rsidP="006B781A">
      <w:pPr>
        <w:pStyle w:val="Heading3"/>
        <w:rPr>
          <w:lang w:eastAsia="en-GB"/>
        </w:rPr>
      </w:pPr>
      <w:bookmarkStart w:id="627" w:name="_Toc440981776"/>
      <w:r w:rsidRPr="00CE0885">
        <w:rPr>
          <w:lang w:eastAsia="en-GB"/>
        </w:rPr>
        <w:t>In ci</w:t>
      </w:r>
      <w:r w:rsidRPr="00CE0885">
        <w:rPr>
          <w:spacing w:val="-1"/>
          <w:lang w:eastAsia="en-GB"/>
        </w:rPr>
        <w:t>r</w:t>
      </w:r>
      <w:r w:rsidRPr="00CE0885">
        <w:rPr>
          <w:lang w:eastAsia="en-GB"/>
        </w:rPr>
        <w:t>cu</w:t>
      </w:r>
      <w:r w:rsidRPr="00CE0885">
        <w:rPr>
          <w:spacing w:val="2"/>
          <w:lang w:eastAsia="en-GB"/>
        </w:rPr>
        <w:t>m</w:t>
      </w:r>
      <w:r w:rsidRPr="00CE0885">
        <w:rPr>
          <w:spacing w:val="-2"/>
          <w:lang w:eastAsia="en-GB"/>
        </w:rPr>
        <w:t>s</w:t>
      </w:r>
      <w:r w:rsidRPr="00CE0885">
        <w:rPr>
          <w:lang w:eastAsia="en-GB"/>
        </w:rPr>
        <w:t>tan</w:t>
      </w:r>
      <w:r w:rsidRPr="00CE0885">
        <w:rPr>
          <w:spacing w:val="-2"/>
          <w:lang w:eastAsia="en-GB"/>
        </w:rPr>
        <w:t>c</w:t>
      </w:r>
      <w:r w:rsidRPr="00CE0885">
        <w:rPr>
          <w:lang w:eastAsia="en-GB"/>
        </w:rPr>
        <w:t>es</w:t>
      </w:r>
      <w:r w:rsidRPr="00CE0885">
        <w:rPr>
          <w:spacing w:val="-15"/>
          <w:lang w:eastAsia="en-GB"/>
        </w:rPr>
        <w:t xml:space="preserve"> </w:t>
      </w:r>
      <w:r w:rsidRPr="00CE0885">
        <w:rPr>
          <w:spacing w:val="-3"/>
          <w:lang w:eastAsia="en-GB"/>
        </w:rPr>
        <w:t>w</w:t>
      </w:r>
      <w:r w:rsidRPr="00CE0885">
        <w:rPr>
          <w:lang w:eastAsia="en-GB"/>
        </w:rPr>
        <w:t>he</w:t>
      </w:r>
      <w:r w:rsidRPr="00CE0885">
        <w:rPr>
          <w:spacing w:val="-1"/>
          <w:lang w:eastAsia="en-GB"/>
        </w:rPr>
        <w:t>r</w:t>
      </w:r>
      <w:r w:rsidRPr="00CE0885">
        <w:rPr>
          <w:lang w:eastAsia="en-GB"/>
        </w:rPr>
        <w:t>e</w:t>
      </w:r>
      <w:r w:rsidRPr="00CE0885">
        <w:rPr>
          <w:spacing w:val="-5"/>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2"/>
          <w:lang w:eastAsia="en-GB"/>
        </w:rPr>
        <w:t>Commissioner</w:t>
      </w:r>
      <w:r w:rsidRPr="00CE0885">
        <w:rPr>
          <w:lang w:eastAsia="en-GB"/>
        </w:rPr>
        <w:t xml:space="preserve"> is</w:t>
      </w:r>
      <w:r w:rsidRPr="00CE0885">
        <w:rPr>
          <w:spacing w:val="-4"/>
          <w:lang w:eastAsia="en-GB"/>
        </w:rPr>
        <w:t xml:space="preserve"> </w:t>
      </w:r>
      <w:r w:rsidRPr="00CE0885">
        <w:rPr>
          <w:lang w:eastAsia="en-GB"/>
        </w:rPr>
        <w:t>not</w:t>
      </w:r>
      <w:r w:rsidRPr="00CE0885">
        <w:rPr>
          <w:spacing w:val="-2"/>
          <w:lang w:eastAsia="en-GB"/>
        </w:rPr>
        <w:t xml:space="preserve"> s</w:t>
      </w:r>
      <w:r w:rsidRPr="00CE0885">
        <w:rPr>
          <w:lang w:eastAsia="en-GB"/>
        </w:rPr>
        <w:t>ati</w:t>
      </w:r>
      <w:r w:rsidRPr="00CE0885">
        <w:rPr>
          <w:spacing w:val="-2"/>
          <w:lang w:eastAsia="en-GB"/>
        </w:rPr>
        <w:t>s</w:t>
      </w:r>
      <w:r w:rsidRPr="00CE0885">
        <w:rPr>
          <w:spacing w:val="3"/>
          <w:lang w:eastAsia="en-GB"/>
        </w:rPr>
        <w:t>f</w:t>
      </w:r>
      <w:r w:rsidRPr="00CE0885">
        <w:rPr>
          <w:lang w:eastAsia="en-GB"/>
        </w:rPr>
        <w:t>i</w:t>
      </w:r>
      <w:r w:rsidRPr="00CE0885">
        <w:rPr>
          <w:spacing w:val="-1"/>
          <w:lang w:eastAsia="en-GB"/>
        </w:rPr>
        <w:t>e</w:t>
      </w:r>
      <w:r w:rsidRPr="00CE0885">
        <w:rPr>
          <w:lang w:eastAsia="en-GB"/>
        </w:rPr>
        <w:t>d</w:t>
      </w:r>
      <w:r w:rsidRPr="00CE0885">
        <w:rPr>
          <w:spacing w:val="-7"/>
          <w:lang w:eastAsia="en-GB"/>
        </w:rPr>
        <w:t xml:space="preserve"> </w:t>
      </w:r>
      <w:r w:rsidRPr="00CE0885">
        <w:rPr>
          <w:lang w:eastAsia="en-GB"/>
        </w:rPr>
        <w:t>t</w:t>
      </w:r>
      <w:r w:rsidRPr="00CE0885">
        <w:rPr>
          <w:spacing w:val="-1"/>
          <w:lang w:eastAsia="en-GB"/>
        </w:rPr>
        <w:t>h</w:t>
      </w:r>
      <w:r w:rsidRPr="00CE0885">
        <w:rPr>
          <w:lang w:eastAsia="en-GB"/>
        </w:rPr>
        <w:t>at</w:t>
      </w:r>
      <w:r w:rsidRPr="00CE0885">
        <w:rPr>
          <w:spacing w:val="-3"/>
          <w:lang w:eastAsia="en-GB"/>
        </w:rPr>
        <w:t xml:space="preserve"> </w:t>
      </w:r>
      <w:r w:rsidRPr="00CE0885">
        <w:rPr>
          <w:spacing w:val="-2"/>
          <w:lang w:eastAsia="en-GB"/>
        </w:rPr>
        <w:t>t</w:t>
      </w:r>
      <w:r w:rsidRPr="00CE0885">
        <w:rPr>
          <w:lang w:eastAsia="en-GB"/>
        </w:rPr>
        <w:t>he</w:t>
      </w:r>
      <w:r w:rsidRPr="00CE0885">
        <w:rPr>
          <w:spacing w:val="-4"/>
          <w:lang w:eastAsia="en-GB"/>
        </w:rPr>
        <w:t xml:space="preserve"> </w:t>
      </w:r>
      <w:r w:rsidRPr="00CE0885">
        <w:rPr>
          <w:lang w:eastAsia="en-GB"/>
        </w:rPr>
        <w:t>n</w:t>
      </w:r>
      <w:r w:rsidRPr="00CE0885">
        <w:rPr>
          <w:spacing w:val="-1"/>
          <w:lang w:eastAsia="en-GB"/>
        </w:rPr>
        <w:t>o</w:t>
      </w:r>
      <w:r w:rsidRPr="00CE0885">
        <w:rPr>
          <w:spacing w:val="2"/>
          <w:lang w:eastAsia="en-GB"/>
        </w:rPr>
        <w:t>m</w:t>
      </w:r>
      <w:r w:rsidRPr="00CE0885">
        <w:rPr>
          <w:lang w:eastAsia="en-GB"/>
        </w:rPr>
        <w:t>ina</w:t>
      </w:r>
      <w:r w:rsidRPr="00CE0885">
        <w:rPr>
          <w:spacing w:val="-2"/>
          <w:lang w:eastAsia="en-GB"/>
        </w:rPr>
        <w:t>t</w:t>
      </w:r>
      <w:r w:rsidRPr="00CE0885">
        <w:rPr>
          <w:lang w:eastAsia="en-GB"/>
        </w:rPr>
        <w:t>ed pa</w:t>
      </w:r>
      <w:r w:rsidRPr="00CE0885">
        <w:rPr>
          <w:spacing w:val="-1"/>
          <w:lang w:eastAsia="en-GB"/>
        </w:rPr>
        <w:t>r</w:t>
      </w:r>
      <w:r w:rsidRPr="00CE0885">
        <w:rPr>
          <w:lang w:eastAsia="en-GB"/>
        </w:rPr>
        <w:t>tner</w:t>
      </w:r>
      <w:r w:rsidRPr="00CE0885">
        <w:rPr>
          <w:spacing w:val="-8"/>
          <w:lang w:eastAsia="en-GB"/>
        </w:rPr>
        <w:t xml:space="preserve"> </w:t>
      </w:r>
      <w:r w:rsidRPr="00CE0885">
        <w:rPr>
          <w:lang w:eastAsia="en-GB"/>
        </w:rPr>
        <w:t>is</w:t>
      </w:r>
      <w:r w:rsidRPr="00CE0885">
        <w:rPr>
          <w:spacing w:val="-4"/>
          <w:lang w:eastAsia="en-GB"/>
        </w:rPr>
        <w:t xml:space="preserve"> </w:t>
      </w:r>
      <w:r w:rsidRPr="00CE0885">
        <w:rPr>
          <w:lang w:eastAsia="en-GB"/>
        </w:rPr>
        <w:t>eli</w:t>
      </w:r>
      <w:r w:rsidRPr="00CE0885">
        <w:rPr>
          <w:spacing w:val="-1"/>
          <w:lang w:eastAsia="en-GB"/>
        </w:rPr>
        <w:t>g</w:t>
      </w:r>
      <w:r w:rsidRPr="00CE0885">
        <w:rPr>
          <w:lang w:eastAsia="en-GB"/>
        </w:rPr>
        <w:t>ible</w:t>
      </w:r>
      <w:r w:rsidRPr="00CE0885">
        <w:rPr>
          <w:spacing w:val="-5"/>
          <w:lang w:eastAsia="en-GB"/>
        </w:rPr>
        <w:t xml:space="preserve"> </w:t>
      </w:r>
      <w:r w:rsidRPr="00CE0885">
        <w:rPr>
          <w:lang w:eastAsia="en-GB"/>
        </w:rPr>
        <w:t xml:space="preserve">to </w:t>
      </w:r>
      <w:r w:rsidRPr="00CE0885">
        <w:rPr>
          <w:spacing w:val="-1"/>
          <w:lang w:eastAsia="en-GB"/>
        </w:rPr>
        <w:t>ho</w:t>
      </w:r>
      <w:r w:rsidRPr="00CE0885">
        <w:rPr>
          <w:lang w:eastAsia="en-GB"/>
        </w:rPr>
        <w:t>ld</w:t>
      </w:r>
      <w:r w:rsidRPr="00CE0885">
        <w:rPr>
          <w:spacing w:val="-3"/>
          <w:lang w:eastAsia="en-GB"/>
        </w:rPr>
        <w:t xml:space="preserve"> </w:t>
      </w:r>
      <w:r w:rsidRPr="00CE0885">
        <w:rPr>
          <w:lang w:eastAsia="en-GB"/>
        </w:rPr>
        <w:t>the</w:t>
      </w:r>
      <w:r w:rsidRPr="00CE0885">
        <w:rPr>
          <w:spacing w:val="-4"/>
          <w:lang w:eastAsia="en-GB"/>
        </w:rPr>
        <w:t xml:space="preserve"> </w:t>
      </w:r>
      <w:r w:rsidRPr="00CE0885">
        <w:rPr>
          <w:lang w:eastAsia="en-GB"/>
        </w:rPr>
        <w:t>co</w:t>
      </w:r>
      <w:r w:rsidRPr="00CE0885">
        <w:rPr>
          <w:spacing w:val="-1"/>
          <w:lang w:eastAsia="en-GB"/>
        </w:rPr>
        <w:t>n</w:t>
      </w:r>
      <w:r w:rsidRPr="00CE0885">
        <w:rPr>
          <w:lang w:eastAsia="en-GB"/>
        </w:rPr>
        <w:t>t</w:t>
      </w:r>
      <w:r w:rsidRPr="00CE0885">
        <w:rPr>
          <w:spacing w:val="-1"/>
          <w:lang w:eastAsia="en-GB"/>
        </w:rPr>
        <w:t>r</w:t>
      </w:r>
      <w:r w:rsidRPr="00CE0885">
        <w:rPr>
          <w:lang w:eastAsia="en-GB"/>
        </w:rPr>
        <w:t>act</w:t>
      </w:r>
      <w:r w:rsidRPr="00CE0885">
        <w:rPr>
          <w:spacing w:val="-8"/>
          <w:lang w:eastAsia="en-GB"/>
        </w:rPr>
        <w:t xml:space="preserve"> </w:t>
      </w:r>
      <w:r w:rsidRPr="00CE0885">
        <w:rPr>
          <w:lang w:eastAsia="en-GB"/>
        </w:rPr>
        <w:t>as</w:t>
      </w:r>
      <w:r w:rsidRPr="00CE0885">
        <w:rPr>
          <w:spacing w:val="-5"/>
          <w:lang w:eastAsia="en-GB"/>
        </w:rPr>
        <w:t xml:space="preserve"> </w:t>
      </w:r>
      <w:r w:rsidRPr="00CE0885">
        <w:rPr>
          <w:lang w:eastAsia="en-GB"/>
        </w:rPr>
        <w:t>an</w:t>
      </w:r>
      <w:r w:rsidRPr="00CE0885">
        <w:rPr>
          <w:spacing w:val="-4"/>
          <w:lang w:eastAsia="en-GB"/>
        </w:rPr>
        <w:t xml:space="preserve"> </w:t>
      </w:r>
      <w:r w:rsidRPr="00CE0885">
        <w:rPr>
          <w:lang w:eastAsia="en-GB"/>
        </w:rPr>
        <w:t>i</w:t>
      </w:r>
      <w:r w:rsidRPr="00CE0885">
        <w:rPr>
          <w:spacing w:val="-1"/>
          <w:lang w:eastAsia="en-GB"/>
        </w:rPr>
        <w:t>n</w:t>
      </w:r>
      <w:r w:rsidRPr="00CE0885">
        <w:rPr>
          <w:lang w:eastAsia="en-GB"/>
        </w:rPr>
        <w:t>di</w:t>
      </w:r>
      <w:r w:rsidRPr="00CE0885">
        <w:rPr>
          <w:spacing w:val="-2"/>
          <w:lang w:eastAsia="en-GB"/>
        </w:rPr>
        <w:t>v</w:t>
      </w:r>
      <w:r w:rsidRPr="00CE0885">
        <w:rPr>
          <w:lang w:eastAsia="en-GB"/>
        </w:rPr>
        <w:t>idual</w:t>
      </w:r>
      <w:r w:rsidRPr="00CE0885">
        <w:rPr>
          <w:spacing w:val="-10"/>
          <w:lang w:eastAsia="en-GB"/>
        </w:rPr>
        <w:t xml:space="preserve"> </w:t>
      </w:r>
      <w:r w:rsidRPr="00CE0885">
        <w:rPr>
          <w:lang w:eastAsia="en-GB"/>
        </w:rPr>
        <w:t>they</w:t>
      </w:r>
      <w:r w:rsidRPr="00CE0885">
        <w:rPr>
          <w:spacing w:val="-7"/>
          <w:lang w:eastAsia="en-GB"/>
        </w:rPr>
        <w:t xml:space="preserve"> </w:t>
      </w:r>
      <w:r w:rsidRPr="00CE0885">
        <w:rPr>
          <w:lang w:eastAsia="en-GB"/>
        </w:rPr>
        <w:t>shou</w:t>
      </w:r>
      <w:r w:rsidRPr="00CE0885">
        <w:rPr>
          <w:spacing w:val="-3"/>
          <w:lang w:eastAsia="en-GB"/>
        </w:rPr>
        <w:t>l</w:t>
      </w:r>
      <w:r w:rsidRPr="00CE0885">
        <w:rPr>
          <w:lang w:eastAsia="en-GB"/>
        </w:rPr>
        <w:t>d</w:t>
      </w:r>
      <w:r w:rsidRPr="00CE0885">
        <w:rPr>
          <w:spacing w:val="-5"/>
          <w:lang w:eastAsia="en-GB"/>
        </w:rPr>
        <w:t xml:space="preserve"> </w:t>
      </w:r>
      <w:r w:rsidRPr="00CE0885">
        <w:rPr>
          <w:spacing w:val="-1"/>
          <w:lang w:eastAsia="en-GB"/>
        </w:rPr>
        <w:t>en</w:t>
      </w:r>
      <w:r w:rsidRPr="00CE0885">
        <w:rPr>
          <w:lang w:eastAsia="en-GB"/>
        </w:rPr>
        <w:t>ter into</w:t>
      </w:r>
      <w:r w:rsidRPr="00CE0885">
        <w:rPr>
          <w:spacing w:val="-2"/>
          <w:lang w:eastAsia="en-GB"/>
        </w:rPr>
        <w:t xml:space="preserve"> </w:t>
      </w:r>
      <w:r w:rsidRPr="00CE0885">
        <w:rPr>
          <w:lang w:eastAsia="en-GB"/>
        </w:rPr>
        <w:t>d</w:t>
      </w:r>
      <w:r w:rsidRPr="00CE0885">
        <w:rPr>
          <w:spacing w:val="-3"/>
          <w:lang w:eastAsia="en-GB"/>
        </w:rPr>
        <w:t>i</w:t>
      </w:r>
      <w:r w:rsidRPr="00CE0885">
        <w:rPr>
          <w:lang w:eastAsia="en-GB"/>
        </w:rPr>
        <w:t>alo</w:t>
      </w:r>
      <w:r w:rsidRPr="00CE0885">
        <w:rPr>
          <w:spacing w:val="-1"/>
          <w:lang w:eastAsia="en-GB"/>
        </w:rPr>
        <w:t>g</w:t>
      </w:r>
      <w:r w:rsidRPr="00CE0885">
        <w:rPr>
          <w:lang w:eastAsia="en-GB"/>
        </w:rPr>
        <w:t>ue</w:t>
      </w:r>
      <w:r w:rsidRPr="00CE0885">
        <w:rPr>
          <w:spacing w:val="-7"/>
          <w:lang w:eastAsia="en-GB"/>
        </w:rPr>
        <w:t xml:space="preserve"> </w:t>
      </w:r>
      <w:r w:rsidRPr="00CE0885">
        <w:rPr>
          <w:spacing w:val="-3"/>
          <w:lang w:eastAsia="en-GB"/>
        </w:rPr>
        <w:t>w</w:t>
      </w:r>
      <w:r w:rsidRPr="00CE0885">
        <w:rPr>
          <w:lang w:eastAsia="en-GB"/>
        </w:rPr>
        <w:t>ith</w:t>
      </w:r>
      <w:r w:rsidRPr="00CE0885">
        <w:rPr>
          <w:spacing w:val="-2"/>
          <w:lang w:eastAsia="en-GB"/>
        </w:rPr>
        <w:t xml:space="preserve"> </w:t>
      </w:r>
      <w:r w:rsidRPr="00CE0885">
        <w:rPr>
          <w:lang w:eastAsia="en-GB"/>
        </w:rPr>
        <w:t>all</w:t>
      </w:r>
      <w:r w:rsidRPr="00CE0885">
        <w:rPr>
          <w:spacing w:val="-2"/>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the</w:t>
      </w:r>
      <w:r w:rsidRPr="00CE0885">
        <w:rPr>
          <w:spacing w:val="-4"/>
          <w:lang w:eastAsia="en-GB"/>
        </w:rPr>
        <w:t xml:space="preserve"> </w:t>
      </w:r>
      <w:r w:rsidRPr="00CE0885">
        <w:rPr>
          <w:lang w:eastAsia="en-GB"/>
        </w:rPr>
        <w:t>pa</w:t>
      </w:r>
      <w:r w:rsidRPr="00CE0885">
        <w:rPr>
          <w:spacing w:val="-1"/>
          <w:lang w:eastAsia="en-GB"/>
        </w:rPr>
        <w:t>r</w:t>
      </w:r>
      <w:r w:rsidRPr="00CE0885">
        <w:rPr>
          <w:lang w:eastAsia="en-GB"/>
        </w:rPr>
        <w:t>t</w:t>
      </w:r>
      <w:r w:rsidRPr="00CE0885">
        <w:rPr>
          <w:spacing w:val="-1"/>
          <w:lang w:eastAsia="en-GB"/>
        </w:rPr>
        <w:t>n</w:t>
      </w:r>
      <w:r w:rsidRPr="00CE0885">
        <w:rPr>
          <w:lang w:eastAsia="en-GB"/>
        </w:rPr>
        <w:t>e</w:t>
      </w:r>
      <w:r w:rsidRPr="00CE0885">
        <w:rPr>
          <w:spacing w:val="-1"/>
          <w:lang w:eastAsia="en-GB"/>
        </w:rPr>
        <w:t>r</w:t>
      </w:r>
      <w:r w:rsidRPr="00CE0885">
        <w:rPr>
          <w:lang w:eastAsia="en-GB"/>
        </w:rPr>
        <w:t>s,</w:t>
      </w:r>
      <w:r w:rsidRPr="00CE0885">
        <w:rPr>
          <w:spacing w:val="-8"/>
          <w:lang w:eastAsia="en-GB"/>
        </w:rPr>
        <w:t xml:space="preserve"> </w:t>
      </w:r>
      <w:r w:rsidRPr="00CE0885">
        <w:rPr>
          <w:w w:val="99"/>
          <w:lang w:eastAsia="en-GB"/>
        </w:rPr>
        <w:t>to</w:t>
      </w:r>
      <w:r w:rsidRPr="00CE0885">
        <w:rPr>
          <w:spacing w:val="2"/>
          <w:lang w:eastAsia="en-GB"/>
        </w:rPr>
        <w:t xml:space="preserve"> </w:t>
      </w:r>
      <w:r w:rsidRPr="00CE0885">
        <w:rPr>
          <w:lang w:eastAsia="en-GB"/>
        </w:rPr>
        <w:t>e</w:t>
      </w:r>
      <w:r w:rsidRPr="00CE0885">
        <w:rPr>
          <w:spacing w:val="-2"/>
          <w:lang w:eastAsia="en-GB"/>
        </w:rPr>
        <w:t>x</w:t>
      </w:r>
      <w:r w:rsidRPr="00CE0885">
        <w:rPr>
          <w:lang w:eastAsia="en-GB"/>
        </w:rPr>
        <w:t>plo</w:t>
      </w:r>
      <w:r w:rsidRPr="00CE0885">
        <w:rPr>
          <w:spacing w:val="-1"/>
          <w:lang w:eastAsia="en-GB"/>
        </w:rPr>
        <w:t>r</w:t>
      </w:r>
      <w:r w:rsidRPr="00CE0885">
        <w:rPr>
          <w:lang w:eastAsia="en-GB"/>
        </w:rPr>
        <w:t>e</w:t>
      </w:r>
      <w:r w:rsidRPr="00CE0885">
        <w:rPr>
          <w:spacing w:val="-6"/>
          <w:lang w:eastAsia="en-GB"/>
        </w:rPr>
        <w:t xml:space="preserve"> </w:t>
      </w:r>
      <w:r w:rsidRPr="00CE0885">
        <w:rPr>
          <w:spacing w:val="-1"/>
          <w:lang w:eastAsia="en-GB"/>
        </w:rPr>
        <w:t>p</w:t>
      </w:r>
      <w:r w:rsidRPr="00CE0885">
        <w:rPr>
          <w:lang w:eastAsia="en-GB"/>
        </w:rPr>
        <w:t>ot</w:t>
      </w:r>
      <w:r w:rsidRPr="00CE0885">
        <w:rPr>
          <w:spacing w:val="-1"/>
          <w:lang w:eastAsia="en-GB"/>
        </w:rPr>
        <w:t>e</w:t>
      </w:r>
      <w:r w:rsidRPr="00CE0885">
        <w:rPr>
          <w:lang w:eastAsia="en-GB"/>
        </w:rPr>
        <w:t>ntial</w:t>
      </w:r>
      <w:r w:rsidRPr="00CE0885">
        <w:rPr>
          <w:spacing w:val="-9"/>
          <w:lang w:eastAsia="en-GB"/>
        </w:rPr>
        <w:t xml:space="preserve"> </w:t>
      </w:r>
      <w:r w:rsidRPr="00CE0885">
        <w:rPr>
          <w:spacing w:val="-2"/>
          <w:lang w:eastAsia="en-GB"/>
        </w:rPr>
        <w:t>s</w:t>
      </w:r>
      <w:r w:rsidRPr="00CE0885">
        <w:rPr>
          <w:lang w:eastAsia="en-GB"/>
        </w:rPr>
        <w:t>olutions.</w:t>
      </w:r>
      <w:bookmarkEnd w:id="627"/>
    </w:p>
    <w:p w14:paraId="3A1D65C6" w14:textId="77777777" w:rsidR="00977693" w:rsidRPr="00CE0885" w:rsidRDefault="00977693" w:rsidP="006B781A">
      <w:pPr>
        <w:pStyle w:val="Heading3"/>
        <w:rPr>
          <w:lang w:eastAsia="en-GB"/>
        </w:rPr>
      </w:pPr>
      <w:bookmarkStart w:id="628" w:name="_Toc440981777"/>
      <w:r w:rsidRPr="00CE0885">
        <w:rPr>
          <w:spacing w:val="2"/>
          <w:lang w:eastAsia="en-GB"/>
        </w:rPr>
        <w:t>T</w:t>
      </w:r>
      <w:r w:rsidRPr="00CE0885">
        <w:rPr>
          <w:spacing w:val="-1"/>
          <w:lang w:eastAsia="en-GB"/>
        </w:rPr>
        <w:t>h</w:t>
      </w:r>
      <w:r w:rsidRPr="00CE0885">
        <w:rPr>
          <w:spacing w:val="1"/>
          <w:lang w:eastAsia="en-GB"/>
        </w:rPr>
        <w:t>e</w:t>
      </w:r>
      <w:r w:rsidRPr="00CE0885">
        <w:rPr>
          <w:lang w:eastAsia="en-GB"/>
        </w:rPr>
        <w:t>se</w:t>
      </w:r>
      <w:r w:rsidRPr="00CE0885">
        <w:rPr>
          <w:spacing w:val="-8"/>
          <w:lang w:eastAsia="en-GB"/>
        </w:rPr>
        <w:t xml:space="preserve"> </w:t>
      </w:r>
      <w:r w:rsidRPr="00CE0885">
        <w:rPr>
          <w:spacing w:val="2"/>
          <w:lang w:eastAsia="en-GB"/>
        </w:rPr>
        <w:t>m</w:t>
      </w:r>
      <w:r w:rsidRPr="00CE0885">
        <w:rPr>
          <w:lang w:eastAsia="en-GB"/>
        </w:rPr>
        <w:t>i</w:t>
      </w:r>
      <w:r w:rsidRPr="00CE0885">
        <w:rPr>
          <w:spacing w:val="-1"/>
          <w:lang w:eastAsia="en-GB"/>
        </w:rPr>
        <w:t>g</w:t>
      </w:r>
      <w:r w:rsidRPr="00CE0885">
        <w:rPr>
          <w:spacing w:val="1"/>
          <w:lang w:eastAsia="en-GB"/>
        </w:rPr>
        <w:t>h</w:t>
      </w:r>
      <w:r w:rsidRPr="00CE0885">
        <w:rPr>
          <w:lang w:eastAsia="en-GB"/>
        </w:rPr>
        <w:t>t</w:t>
      </w:r>
      <w:r w:rsidRPr="00CE0885">
        <w:rPr>
          <w:spacing w:val="-5"/>
          <w:lang w:eastAsia="en-GB"/>
        </w:rPr>
        <w:t xml:space="preserve"> </w:t>
      </w:r>
      <w:r w:rsidRPr="00CE0885">
        <w:rPr>
          <w:lang w:eastAsia="en-GB"/>
        </w:rPr>
        <w:t>i</w:t>
      </w:r>
      <w:r w:rsidRPr="00CE0885">
        <w:rPr>
          <w:spacing w:val="1"/>
          <w:lang w:eastAsia="en-GB"/>
        </w:rPr>
        <w:t>n</w:t>
      </w:r>
      <w:r w:rsidRPr="00CE0885">
        <w:rPr>
          <w:lang w:eastAsia="en-GB"/>
        </w:rPr>
        <w:t>cl</w:t>
      </w:r>
      <w:r w:rsidRPr="00CE0885">
        <w:rPr>
          <w:spacing w:val="-1"/>
          <w:lang w:eastAsia="en-GB"/>
        </w:rPr>
        <w:t>u</w:t>
      </w:r>
      <w:r w:rsidRPr="00CE0885">
        <w:rPr>
          <w:spacing w:val="1"/>
          <w:lang w:eastAsia="en-GB"/>
        </w:rPr>
        <w:t>d</w:t>
      </w:r>
      <w:r w:rsidRPr="00CE0885">
        <w:rPr>
          <w:lang w:eastAsia="en-GB"/>
        </w:rPr>
        <w:t>e</w:t>
      </w:r>
      <w:r w:rsidRPr="00CE0885">
        <w:rPr>
          <w:spacing w:val="-6"/>
          <w:lang w:eastAsia="en-GB"/>
        </w:rPr>
        <w:t xml:space="preserve"> </w:t>
      </w:r>
      <w:r w:rsidRPr="00CE0885">
        <w:rPr>
          <w:spacing w:val="-2"/>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1"/>
          <w:lang w:eastAsia="en-GB"/>
        </w:rPr>
        <w:t>pa</w:t>
      </w:r>
      <w:r w:rsidRPr="00CE0885">
        <w:rPr>
          <w:spacing w:val="-1"/>
          <w:lang w:eastAsia="en-GB"/>
        </w:rPr>
        <w:t>r</w:t>
      </w:r>
      <w:r w:rsidRPr="00CE0885">
        <w:rPr>
          <w:spacing w:val="-2"/>
          <w:lang w:eastAsia="en-GB"/>
        </w:rPr>
        <w:t>t</w:t>
      </w:r>
      <w:r w:rsidRPr="00CE0885">
        <w:rPr>
          <w:spacing w:val="1"/>
          <w:lang w:eastAsia="en-GB"/>
        </w:rPr>
        <w:t>ne</w:t>
      </w:r>
      <w:r w:rsidRPr="00CE0885">
        <w:rPr>
          <w:spacing w:val="-1"/>
          <w:lang w:eastAsia="en-GB"/>
        </w:rPr>
        <w:t>r</w:t>
      </w:r>
      <w:r w:rsidRPr="00CE0885">
        <w:rPr>
          <w:lang w:eastAsia="en-GB"/>
        </w:rPr>
        <w:t>s</w:t>
      </w:r>
      <w:r w:rsidRPr="00CE0885">
        <w:rPr>
          <w:spacing w:val="-9"/>
          <w:lang w:eastAsia="en-GB"/>
        </w:rPr>
        <w:t xml:space="preserve"> </w:t>
      </w:r>
      <w:r w:rsidRPr="00CE0885">
        <w:rPr>
          <w:spacing w:val="-1"/>
          <w:lang w:eastAsia="en-GB"/>
        </w:rPr>
        <w:t>n</w:t>
      </w:r>
      <w:r w:rsidRPr="00CE0885">
        <w:rPr>
          <w:spacing w:val="1"/>
          <w:lang w:eastAsia="en-GB"/>
        </w:rPr>
        <w:t>o</w:t>
      </w:r>
      <w:r w:rsidRPr="00CE0885">
        <w:rPr>
          <w:spacing w:val="2"/>
          <w:lang w:eastAsia="en-GB"/>
        </w:rPr>
        <w:t>m</w:t>
      </w:r>
      <w:r w:rsidRPr="00CE0885">
        <w:rPr>
          <w:spacing w:val="-3"/>
          <w:lang w:eastAsia="en-GB"/>
        </w:rPr>
        <w:t>i</w:t>
      </w:r>
      <w:r w:rsidRPr="00CE0885">
        <w:rPr>
          <w:spacing w:val="1"/>
          <w:lang w:eastAsia="en-GB"/>
        </w:rPr>
        <w:t>nat</w:t>
      </w:r>
      <w:r w:rsidRPr="00CE0885">
        <w:rPr>
          <w:lang w:eastAsia="en-GB"/>
        </w:rPr>
        <w:t>i</w:t>
      </w:r>
      <w:r w:rsidRPr="00CE0885">
        <w:rPr>
          <w:spacing w:val="1"/>
          <w:lang w:eastAsia="en-GB"/>
        </w:rPr>
        <w:t>n</w:t>
      </w:r>
      <w:r w:rsidRPr="00CE0885">
        <w:rPr>
          <w:lang w:eastAsia="en-GB"/>
        </w:rPr>
        <w:t>g</w:t>
      </w:r>
      <w:r w:rsidRPr="00CE0885">
        <w:rPr>
          <w:spacing w:val="-15"/>
          <w:lang w:eastAsia="en-GB"/>
        </w:rPr>
        <w:t xml:space="preserve"> </w:t>
      </w:r>
      <w:r w:rsidRPr="00CE0885">
        <w:rPr>
          <w:spacing w:val="1"/>
          <w:lang w:eastAsia="en-GB"/>
        </w:rPr>
        <w:t>a</w:t>
      </w:r>
      <w:r w:rsidRPr="00CE0885">
        <w:rPr>
          <w:lang w:eastAsia="en-GB"/>
        </w:rPr>
        <w:t>n</w:t>
      </w:r>
      <w:r w:rsidRPr="00CE0885">
        <w:rPr>
          <w:spacing w:val="-1"/>
          <w:lang w:eastAsia="en-GB"/>
        </w:rPr>
        <w:t xml:space="preserve"> </w:t>
      </w:r>
      <w:r w:rsidRPr="00CE0885">
        <w:rPr>
          <w:spacing w:val="1"/>
          <w:lang w:eastAsia="en-GB"/>
        </w:rPr>
        <w:t>a</w:t>
      </w:r>
      <w:r w:rsidRPr="00CE0885">
        <w:rPr>
          <w:lang w:eastAsia="en-GB"/>
        </w:rPr>
        <w:t>l</w:t>
      </w:r>
      <w:r w:rsidRPr="00CE0885">
        <w:rPr>
          <w:spacing w:val="-2"/>
          <w:lang w:eastAsia="en-GB"/>
        </w:rPr>
        <w:t>t</w:t>
      </w:r>
      <w:r w:rsidRPr="00CE0885">
        <w:rPr>
          <w:spacing w:val="1"/>
          <w:lang w:eastAsia="en-GB"/>
        </w:rPr>
        <w:t>e</w:t>
      </w:r>
      <w:r w:rsidRPr="00CE0885">
        <w:rPr>
          <w:spacing w:val="-1"/>
          <w:lang w:eastAsia="en-GB"/>
        </w:rPr>
        <w:t>r</w:t>
      </w:r>
      <w:r w:rsidRPr="00CE0885">
        <w:rPr>
          <w:spacing w:val="1"/>
          <w:lang w:eastAsia="en-GB"/>
        </w:rPr>
        <w:t>nat</w:t>
      </w:r>
      <w:r w:rsidRPr="00CE0885">
        <w:rPr>
          <w:lang w:eastAsia="en-GB"/>
        </w:rPr>
        <w:t>i</w:t>
      </w:r>
      <w:r w:rsidRPr="00CE0885">
        <w:rPr>
          <w:spacing w:val="-2"/>
          <w:lang w:eastAsia="en-GB"/>
        </w:rPr>
        <w:t>v</w:t>
      </w:r>
      <w:r w:rsidRPr="00CE0885">
        <w:rPr>
          <w:lang w:eastAsia="en-GB"/>
        </w:rPr>
        <w:t>e</w:t>
      </w:r>
      <w:r w:rsidRPr="00CE0885">
        <w:rPr>
          <w:spacing w:val="-9"/>
          <w:lang w:eastAsia="en-GB"/>
        </w:rPr>
        <w:t xml:space="preserve"> </w:t>
      </w:r>
      <w:r w:rsidRPr="00CE0885">
        <w:rPr>
          <w:spacing w:val="-1"/>
          <w:lang w:eastAsia="en-GB"/>
        </w:rPr>
        <w:t>p</w:t>
      </w:r>
      <w:r w:rsidRPr="00CE0885">
        <w:rPr>
          <w:spacing w:val="1"/>
          <w:lang w:eastAsia="en-GB"/>
        </w:rPr>
        <w:t>a</w:t>
      </w:r>
      <w:r w:rsidRPr="00CE0885">
        <w:rPr>
          <w:spacing w:val="-1"/>
          <w:lang w:eastAsia="en-GB"/>
        </w:rPr>
        <w:t>r</w:t>
      </w:r>
      <w:r w:rsidRPr="00CE0885">
        <w:rPr>
          <w:spacing w:val="1"/>
          <w:lang w:eastAsia="en-GB"/>
        </w:rPr>
        <w:t>tne</w:t>
      </w:r>
      <w:r w:rsidRPr="00CE0885">
        <w:rPr>
          <w:lang w:eastAsia="en-GB"/>
        </w:rPr>
        <w:t>r</w:t>
      </w:r>
      <w:r w:rsidRPr="00CE0885">
        <w:rPr>
          <w:spacing w:val="-8"/>
          <w:lang w:eastAsia="en-GB"/>
        </w:rPr>
        <w:t xml:space="preserve"> </w:t>
      </w:r>
      <w:r w:rsidRPr="00CE0885">
        <w:rPr>
          <w:spacing w:val="-2"/>
          <w:lang w:eastAsia="en-GB"/>
        </w:rPr>
        <w:t>t</w:t>
      </w:r>
      <w:r w:rsidRPr="00CE0885">
        <w:rPr>
          <w:lang w:eastAsia="en-GB"/>
        </w:rPr>
        <w:t>o c</w:t>
      </w:r>
      <w:r w:rsidRPr="00CE0885">
        <w:rPr>
          <w:spacing w:val="1"/>
          <w:lang w:eastAsia="en-GB"/>
        </w:rPr>
        <w:t>ont</w:t>
      </w:r>
      <w:r w:rsidRPr="00CE0885">
        <w:rPr>
          <w:lang w:eastAsia="en-GB"/>
        </w:rPr>
        <w:t>i</w:t>
      </w:r>
      <w:r w:rsidRPr="00CE0885">
        <w:rPr>
          <w:spacing w:val="-1"/>
          <w:lang w:eastAsia="en-GB"/>
        </w:rPr>
        <w:t>n</w:t>
      </w:r>
      <w:r w:rsidRPr="00CE0885">
        <w:rPr>
          <w:spacing w:val="1"/>
          <w:lang w:eastAsia="en-GB"/>
        </w:rPr>
        <w:t>u</w:t>
      </w:r>
      <w:r w:rsidRPr="00CE0885">
        <w:rPr>
          <w:lang w:eastAsia="en-GB"/>
        </w:rPr>
        <w:t>e</w:t>
      </w:r>
      <w:r w:rsidRPr="00CE0885">
        <w:rPr>
          <w:spacing w:val="-7"/>
          <w:lang w:eastAsia="en-GB"/>
        </w:rPr>
        <w:t xml:space="preserve"> </w:t>
      </w:r>
      <w:r w:rsidRPr="00CE0885">
        <w:rPr>
          <w:spacing w:val="-3"/>
          <w:lang w:eastAsia="en-GB"/>
        </w:rPr>
        <w:t>w</w:t>
      </w:r>
      <w:r w:rsidRPr="00CE0885">
        <w:rPr>
          <w:lang w:eastAsia="en-GB"/>
        </w:rPr>
        <w:t>i</w:t>
      </w:r>
      <w:r w:rsidRPr="00CE0885">
        <w:rPr>
          <w:spacing w:val="1"/>
          <w:lang w:eastAsia="en-GB"/>
        </w:rPr>
        <w:t>t</w:t>
      </w:r>
      <w:r w:rsidRPr="00CE0885">
        <w:rPr>
          <w:lang w:eastAsia="en-GB"/>
        </w:rPr>
        <w:t>h</w:t>
      </w:r>
      <w:r w:rsidRPr="00CE0885">
        <w:rPr>
          <w:spacing w:val="-2"/>
          <w:lang w:eastAsia="en-GB"/>
        </w:rPr>
        <w:t xml:space="preserve"> </w:t>
      </w:r>
      <w:r w:rsidRPr="00CE0885">
        <w:rPr>
          <w:spacing w:val="1"/>
          <w:lang w:eastAsia="en-GB"/>
        </w:rPr>
        <w:t>th</w:t>
      </w:r>
      <w:r w:rsidRPr="00CE0885">
        <w:rPr>
          <w:lang w:eastAsia="en-GB"/>
        </w:rPr>
        <w:t>e</w:t>
      </w:r>
      <w:r w:rsidRPr="00CE0885">
        <w:rPr>
          <w:spacing w:val="-4"/>
          <w:lang w:eastAsia="en-GB"/>
        </w:rPr>
        <w:t xml:space="preserve"> </w:t>
      </w:r>
      <w:r w:rsidRPr="00CE0885">
        <w:rPr>
          <w:lang w:eastAsia="en-GB"/>
        </w:rPr>
        <w:t>c</w:t>
      </w:r>
      <w:r w:rsidRPr="00CE0885">
        <w:rPr>
          <w:spacing w:val="1"/>
          <w:lang w:eastAsia="en-GB"/>
        </w:rPr>
        <w:t>o</w:t>
      </w:r>
      <w:r w:rsidRPr="00CE0885">
        <w:rPr>
          <w:spacing w:val="-1"/>
          <w:lang w:eastAsia="en-GB"/>
        </w:rPr>
        <w:t>n</w:t>
      </w:r>
      <w:r w:rsidRPr="00CE0885">
        <w:rPr>
          <w:spacing w:val="1"/>
          <w:lang w:eastAsia="en-GB"/>
        </w:rPr>
        <w:t>t</w:t>
      </w:r>
      <w:r w:rsidRPr="00CE0885">
        <w:rPr>
          <w:spacing w:val="-1"/>
          <w:lang w:eastAsia="en-GB"/>
        </w:rPr>
        <w:t>r</w:t>
      </w:r>
      <w:r w:rsidRPr="00CE0885">
        <w:rPr>
          <w:spacing w:val="1"/>
          <w:lang w:eastAsia="en-GB"/>
        </w:rPr>
        <w:t>a</w:t>
      </w:r>
      <w:r w:rsidRPr="00CE0885">
        <w:rPr>
          <w:lang w:eastAsia="en-GB"/>
        </w:rPr>
        <w:t>c</w:t>
      </w:r>
      <w:r w:rsidRPr="00CE0885">
        <w:rPr>
          <w:spacing w:val="1"/>
          <w:lang w:eastAsia="en-GB"/>
        </w:rPr>
        <w:t>t</w:t>
      </w:r>
      <w:r w:rsidRPr="00CE0885">
        <w:rPr>
          <w:lang w:eastAsia="en-GB"/>
        </w:rPr>
        <w:t>,</w:t>
      </w:r>
      <w:r w:rsidRPr="00CE0885">
        <w:rPr>
          <w:spacing w:val="-8"/>
          <w:lang w:eastAsia="en-GB"/>
        </w:rPr>
        <w:t xml:space="preserve"> </w:t>
      </w:r>
      <w:r w:rsidRPr="00CE0885">
        <w:rPr>
          <w:lang w:eastAsia="en-GB"/>
        </w:rPr>
        <w:t xml:space="preserve">in </w:t>
      </w:r>
      <w:r w:rsidRPr="00CE0885">
        <w:rPr>
          <w:spacing w:val="-3"/>
          <w:lang w:eastAsia="en-GB"/>
        </w:rPr>
        <w:t>w</w:t>
      </w:r>
      <w:r w:rsidRPr="00CE0885">
        <w:rPr>
          <w:spacing w:val="1"/>
          <w:lang w:eastAsia="en-GB"/>
        </w:rPr>
        <w:t>h</w:t>
      </w:r>
      <w:r w:rsidRPr="00CE0885">
        <w:rPr>
          <w:lang w:eastAsia="en-GB"/>
        </w:rPr>
        <w:t>ich</w:t>
      </w:r>
      <w:r w:rsidRPr="00CE0885">
        <w:rPr>
          <w:spacing w:val="-4"/>
          <w:lang w:eastAsia="en-GB"/>
        </w:rPr>
        <w:t xml:space="preserve"> </w:t>
      </w:r>
      <w:r w:rsidRPr="00CE0885">
        <w:rPr>
          <w:lang w:eastAsia="en-GB"/>
        </w:rPr>
        <w:t>ci</w:t>
      </w:r>
      <w:r w:rsidRPr="00CE0885">
        <w:rPr>
          <w:spacing w:val="-1"/>
          <w:lang w:eastAsia="en-GB"/>
        </w:rPr>
        <w:t>r</w:t>
      </w:r>
      <w:r w:rsidRPr="00CE0885">
        <w:rPr>
          <w:lang w:eastAsia="en-GB"/>
        </w:rPr>
        <w:t>c</w:t>
      </w:r>
      <w:r w:rsidRPr="00CE0885">
        <w:rPr>
          <w:spacing w:val="1"/>
          <w:lang w:eastAsia="en-GB"/>
        </w:rPr>
        <w:t>u</w:t>
      </w:r>
      <w:r w:rsidRPr="00CE0885">
        <w:rPr>
          <w:spacing w:val="2"/>
          <w:lang w:eastAsia="en-GB"/>
        </w:rPr>
        <w:t>m</w:t>
      </w:r>
      <w:r w:rsidRPr="00CE0885">
        <w:rPr>
          <w:spacing w:val="-2"/>
          <w:lang w:eastAsia="en-GB"/>
        </w:rPr>
        <w:t>s</w:t>
      </w:r>
      <w:r w:rsidRPr="00CE0885">
        <w:rPr>
          <w:spacing w:val="1"/>
          <w:lang w:eastAsia="en-GB"/>
        </w:rPr>
        <w:t>t</w:t>
      </w:r>
      <w:r w:rsidRPr="00CE0885">
        <w:rPr>
          <w:spacing w:val="-1"/>
          <w:lang w:eastAsia="en-GB"/>
        </w:rPr>
        <w:t>a</w:t>
      </w:r>
      <w:r w:rsidRPr="00CE0885">
        <w:rPr>
          <w:spacing w:val="1"/>
          <w:lang w:eastAsia="en-GB"/>
        </w:rPr>
        <w:t>n</w:t>
      </w:r>
      <w:r w:rsidRPr="00CE0885">
        <w:rPr>
          <w:lang w:eastAsia="en-GB"/>
        </w:rPr>
        <w:t>c</w:t>
      </w:r>
      <w:r w:rsidRPr="00CE0885">
        <w:rPr>
          <w:spacing w:val="1"/>
          <w:lang w:eastAsia="en-GB"/>
        </w:rPr>
        <w:t>e</w:t>
      </w:r>
      <w:r w:rsidRPr="00CE0885">
        <w:rPr>
          <w:lang w:eastAsia="en-GB"/>
        </w:rPr>
        <w:t>s</w:t>
      </w:r>
      <w:r w:rsidRPr="00CE0885">
        <w:rPr>
          <w:spacing w:val="-15"/>
          <w:lang w:eastAsia="en-GB"/>
        </w:rPr>
        <w:t xml:space="preserve"> </w:t>
      </w:r>
      <w:r w:rsidRPr="00CE0885">
        <w:rPr>
          <w:lang w:eastAsia="en-GB"/>
        </w:rPr>
        <w:t>a</w:t>
      </w:r>
      <w:r w:rsidRPr="00CE0885">
        <w:rPr>
          <w:spacing w:val="-2"/>
          <w:lang w:eastAsia="en-GB"/>
        </w:rPr>
        <w:t xml:space="preserve"> </w:t>
      </w:r>
      <w:r w:rsidRPr="00CE0885">
        <w:rPr>
          <w:spacing w:val="1"/>
          <w:lang w:eastAsia="en-GB"/>
        </w:rPr>
        <w:t>ne</w:t>
      </w:r>
      <w:r w:rsidRPr="00CE0885">
        <w:rPr>
          <w:lang w:eastAsia="en-GB"/>
        </w:rPr>
        <w:t>w</w:t>
      </w:r>
      <w:r w:rsidRPr="00CE0885">
        <w:rPr>
          <w:spacing w:val="-6"/>
          <w:lang w:eastAsia="en-GB"/>
        </w:rPr>
        <w:t xml:space="preserve"> </w:t>
      </w:r>
      <w:r w:rsidRPr="00CE0885">
        <w:rPr>
          <w:spacing w:val="1"/>
          <w:lang w:eastAsia="en-GB"/>
        </w:rPr>
        <w:t>not</w:t>
      </w:r>
      <w:r w:rsidRPr="00CE0885">
        <w:rPr>
          <w:lang w:eastAsia="en-GB"/>
        </w:rPr>
        <w:t>ice</w:t>
      </w:r>
      <w:r w:rsidRPr="00CE0885">
        <w:rPr>
          <w:spacing w:val="-7"/>
          <w:lang w:eastAsia="en-GB"/>
        </w:rPr>
        <w:t xml:space="preserve"> </w:t>
      </w:r>
      <w:r w:rsidRPr="00CE0885">
        <w:rPr>
          <w:lang w:eastAsia="en-GB"/>
        </w:rPr>
        <w:t>s</w:t>
      </w:r>
      <w:r w:rsidRPr="00CE0885">
        <w:rPr>
          <w:spacing w:val="1"/>
          <w:lang w:eastAsia="en-GB"/>
        </w:rPr>
        <w:t>h</w:t>
      </w:r>
      <w:r w:rsidRPr="00CE0885">
        <w:rPr>
          <w:spacing w:val="-1"/>
          <w:lang w:eastAsia="en-GB"/>
        </w:rPr>
        <w:t>o</w:t>
      </w:r>
      <w:r w:rsidRPr="00CE0885">
        <w:rPr>
          <w:spacing w:val="1"/>
          <w:lang w:eastAsia="en-GB"/>
        </w:rPr>
        <w:t>u</w:t>
      </w:r>
      <w:r w:rsidRPr="00CE0885">
        <w:rPr>
          <w:lang w:eastAsia="en-GB"/>
        </w:rPr>
        <w:t xml:space="preserve">ld </w:t>
      </w:r>
      <w:r w:rsidRPr="00CE0885">
        <w:rPr>
          <w:spacing w:val="1"/>
          <w:lang w:eastAsia="en-GB"/>
        </w:rPr>
        <w:t>b</w:t>
      </w:r>
      <w:r w:rsidRPr="00CE0885">
        <w:rPr>
          <w:lang w:eastAsia="en-GB"/>
        </w:rPr>
        <w:t>e</w:t>
      </w:r>
      <w:r w:rsidRPr="00CE0885">
        <w:rPr>
          <w:spacing w:val="-1"/>
          <w:lang w:eastAsia="en-GB"/>
        </w:rPr>
        <w:t xml:space="preserve"> </w:t>
      </w:r>
      <w:r w:rsidRPr="00CE0885">
        <w:rPr>
          <w:lang w:eastAsia="en-GB"/>
        </w:rPr>
        <w:t>iss</w:t>
      </w:r>
      <w:r w:rsidRPr="00CE0885">
        <w:rPr>
          <w:spacing w:val="-1"/>
          <w:lang w:eastAsia="en-GB"/>
        </w:rPr>
        <w:t>u</w:t>
      </w:r>
      <w:r w:rsidRPr="00CE0885">
        <w:rPr>
          <w:spacing w:val="1"/>
          <w:lang w:eastAsia="en-GB"/>
        </w:rPr>
        <w:t>e</w:t>
      </w:r>
      <w:r w:rsidRPr="00CE0885">
        <w:rPr>
          <w:lang w:eastAsia="en-GB"/>
        </w:rPr>
        <w:t>d</w:t>
      </w:r>
      <w:r w:rsidRPr="00CE0885">
        <w:rPr>
          <w:spacing w:val="-5"/>
          <w:lang w:eastAsia="en-GB"/>
        </w:rPr>
        <w:t xml:space="preserve"> </w:t>
      </w:r>
      <w:r w:rsidRPr="00CE0885">
        <w:rPr>
          <w:spacing w:val="-2"/>
          <w:lang w:eastAsia="en-GB"/>
        </w:rPr>
        <w:t>t</w:t>
      </w:r>
      <w:r w:rsidRPr="00CE0885">
        <w:rPr>
          <w:lang w:eastAsia="en-GB"/>
        </w:rPr>
        <w:t>o the Commissioner</w:t>
      </w:r>
      <w:r w:rsidRPr="00CE0885">
        <w:rPr>
          <w:spacing w:val="-10"/>
          <w:lang w:eastAsia="en-GB"/>
        </w:rPr>
        <w:t xml:space="preserve"> </w:t>
      </w:r>
      <w:r w:rsidRPr="00CE0885">
        <w:rPr>
          <w:spacing w:val="1"/>
          <w:lang w:eastAsia="en-GB"/>
        </w:rPr>
        <w:t>t</w:t>
      </w:r>
      <w:r w:rsidRPr="00CE0885">
        <w:rPr>
          <w:lang w:eastAsia="en-GB"/>
        </w:rPr>
        <w:t>o i</w:t>
      </w:r>
      <w:r w:rsidRPr="00CE0885">
        <w:rPr>
          <w:spacing w:val="1"/>
          <w:lang w:eastAsia="en-GB"/>
        </w:rPr>
        <w:t>n</w:t>
      </w:r>
      <w:r w:rsidRPr="00CE0885">
        <w:rPr>
          <w:lang w:eastAsia="en-GB"/>
        </w:rPr>
        <w:t>cl</w:t>
      </w:r>
      <w:r w:rsidRPr="00CE0885">
        <w:rPr>
          <w:spacing w:val="-1"/>
          <w:lang w:eastAsia="en-GB"/>
        </w:rPr>
        <w:t>u</w:t>
      </w:r>
      <w:r w:rsidRPr="00CE0885">
        <w:rPr>
          <w:spacing w:val="1"/>
          <w:lang w:eastAsia="en-GB"/>
        </w:rPr>
        <w:t>d</w:t>
      </w:r>
      <w:r w:rsidRPr="00CE0885">
        <w:rPr>
          <w:lang w:eastAsia="en-GB"/>
        </w:rPr>
        <w:t>e</w:t>
      </w:r>
      <w:r w:rsidRPr="00CE0885">
        <w:rPr>
          <w:spacing w:val="-9"/>
          <w:lang w:eastAsia="en-GB"/>
        </w:rPr>
        <w:t xml:space="preserve"> </w:t>
      </w:r>
      <w:r w:rsidRPr="00CE0885">
        <w:rPr>
          <w:spacing w:val="1"/>
          <w:lang w:eastAsia="en-GB"/>
        </w:rPr>
        <w:t>the</w:t>
      </w:r>
      <w:r w:rsidRPr="00CE0885">
        <w:rPr>
          <w:spacing w:val="-2"/>
          <w:lang w:eastAsia="en-GB"/>
        </w:rPr>
        <w:t>s</w:t>
      </w:r>
      <w:r w:rsidRPr="00CE0885">
        <w:rPr>
          <w:lang w:eastAsia="en-GB"/>
        </w:rPr>
        <w:t>e</w:t>
      </w:r>
      <w:r w:rsidRPr="00CE0885">
        <w:rPr>
          <w:spacing w:val="-4"/>
          <w:lang w:eastAsia="en-GB"/>
        </w:rPr>
        <w:t xml:space="preserve"> </w:t>
      </w:r>
      <w:r w:rsidRPr="00CE0885">
        <w:rPr>
          <w:spacing w:val="-1"/>
          <w:lang w:eastAsia="en-GB"/>
        </w:rPr>
        <w:t>d</w:t>
      </w:r>
      <w:r w:rsidRPr="00CE0885">
        <w:rPr>
          <w:spacing w:val="1"/>
          <w:lang w:eastAsia="en-GB"/>
        </w:rPr>
        <w:t>eta</w:t>
      </w:r>
      <w:r w:rsidRPr="00CE0885">
        <w:rPr>
          <w:lang w:eastAsia="en-GB"/>
        </w:rPr>
        <w:t>ils</w:t>
      </w:r>
      <w:r w:rsidRPr="00CE0885">
        <w:rPr>
          <w:spacing w:val="-7"/>
          <w:lang w:eastAsia="en-GB"/>
        </w:rPr>
        <w:t xml:space="preserve"> </w:t>
      </w:r>
      <w:r w:rsidRPr="00CE0885">
        <w:rPr>
          <w:spacing w:val="-1"/>
          <w:lang w:eastAsia="en-GB"/>
        </w:rPr>
        <w:t>a</w:t>
      </w:r>
      <w:r w:rsidRPr="00CE0885">
        <w:rPr>
          <w:spacing w:val="1"/>
          <w:lang w:eastAsia="en-GB"/>
        </w:rPr>
        <w:t>n</w:t>
      </w:r>
      <w:r w:rsidRPr="00CE0885">
        <w:rPr>
          <w:lang w:eastAsia="en-GB"/>
        </w:rPr>
        <w:t>d</w:t>
      </w:r>
      <w:r w:rsidRPr="00CE0885">
        <w:rPr>
          <w:spacing w:val="-2"/>
          <w:lang w:eastAsia="en-GB"/>
        </w:rPr>
        <w:t xml:space="preserve"> </w:t>
      </w:r>
      <w:r w:rsidRPr="00CE0885">
        <w:rPr>
          <w:spacing w:val="1"/>
          <w:lang w:eastAsia="en-GB"/>
        </w:rPr>
        <w:t>p</w:t>
      </w:r>
      <w:r w:rsidRPr="00CE0885">
        <w:rPr>
          <w:spacing w:val="-3"/>
          <w:lang w:eastAsia="en-GB"/>
        </w:rPr>
        <w:t>r</w:t>
      </w:r>
      <w:r w:rsidRPr="00CE0885">
        <w:rPr>
          <w:spacing w:val="1"/>
          <w:lang w:eastAsia="en-GB"/>
        </w:rPr>
        <w:t>opo</w:t>
      </w:r>
      <w:r w:rsidRPr="00CE0885">
        <w:rPr>
          <w:spacing w:val="-2"/>
          <w:lang w:eastAsia="en-GB"/>
        </w:rPr>
        <w:t>s</w:t>
      </w:r>
      <w:r w:rsidRPr="00CE0885">
        <w:rPr>
          <w:lang w:eastAsia="en-GB"/>
        </w:rPr>
        <w:t>e</w:t>
      </w:r>
      <w:r w:rsidRPr="00CE0885">
        <w:rPr>
          <w:spacing w:val="-7"/>
          <w:lang w:eastAsia="en-GB"/>
        </w:rPr>
        <w:t xml:space="preserve"> </w:t>
      </w:r>
      <w:r w:rsidRPr="00CE0885">
        <w:rPr>
          <w:lang w:eastAsia="en-GB"/>
        </w:rPr>
        <w:t>a</w:t>
      </w:r>
      <w:r w:rsidRPr="00CE0885">
        <w:rPr>
          <w:spacing w:val="-2"/>
          <w:lang w:eastAsia="en-GB"/>
        </w:rPr>
        <w:t xml:space="preserve"> </w:t>
      </w:r>
      <w:r w:rsidRPr="00CE0885">
        <w:rPr>
          <w:spacing w:val="-1"/>
          <w:lang w:eastAsia="en-GB"/>
        </w:rPr>
        <w:t>n</w:t>
      </w:r>
      <w:r w:rsidRPr="00CE0885">
        <w:rPr>
          <w:spacing w:val="1"/>
          <w:lang w:eastAsia="en-GB"/>
        </w:rPr>
        <w:t>e</w:t>
      </w:r>
      <w:r w:rsidRPr="00CE0885">
        <w:rPr>
          <w:lang w:eastAsia="en-GB"/>
        </w:rPr>
        <w:t xml:space="preserve">w </w:t>
      </w:r>
      <w:r w:rsidRPr="00CE0885">
        <w:rPr>
          <w:spacing w:val="1"/>
          <w:lang w:eastAsia="en-GB"/>
        </w:rPr>
        <w:t>dat</w:t>
      </w:r>
      <w:r w:rsidRPr="00CE0885">
        <w:rPr>
          <w:lang w:eastAsia="en-GB"/>
        </w:rPr>
        <w:t>e</w:t>
      </w:r>
      <w:r w:rsidRPr="00CE0885">
        <w:rPr>
          <w:spacing w:val="-6"/>
          <w:lang w:eastAsia="en-GB"/>
        </w:rPr>
        <w:t xml:space="preserve"> </w:t>
      </w:r>
      <w:r w:rsidRPr="00CE0885">
        <w:rPr>
          <w:spacing w:val="1"/>
          <w:lang w:eastAsia="en-GB"/>
        </w:rPr>
        <w:t>o</w:t>
      </w:r>
      <w:r w:rsidRPr="00CE0885">
        <w:rPr>
          <w:lang w:eastAsia="en-GB"/>
        </w:rPr>
        <w:t>n</w:t>
      </w:r>
      <w:r w:rsidRPr="00CE0885">
        <w:rPr>
          <w:spacing w:val="-4"/>
          <w:lang w:eastAsia="en-GB"/>
        </w:rPr>
        <w:t xml:space="preserve"> </w:t>
      </w:r>
      <w:r w:rsidRPr="00CE0885">
        <w:rPr>
          <w:spacing w:val="-3"/>
          <w:lang w:eastAsia="en-GB"/>
        </w:rPr>
        <w:t>w</w:t>
      </w:r>
      <w:r w:rsidRPr="00CE0885">
        <w:rPr>
          <w:spacing w:val="1"/>
          <w:lang w:eastAsia="en-GB"/>
        </w:rPr>
        <w:t>h</w:t>
      </w:r>
      <w:r w:rsidRPr="00CE0885">
        <w:rPr>
          <w:lang w:eastAsia="en-GB"/>
        </w:rPr>
        <w:t>ich</w:t>
      </w:r>
      <w:r w:rsidRPr="00CE0885">
        <w:rPr>
          <w:spacing w:val="-4"/>
          <w:lang w:eastAsia="en-GB"/>
        </w:rPr>
        <w:t xml:space="preserve"> </w:t>
      </w:r>
      <w:r w:rsidRPr="00CE0885">
        <w:rPr>
          <w:spacing w:val="1"/>
          <w:lang w:eastAsia="en-GB"/>
        </w:rPr>
        <w:t>th</w:t>
      </w:r>
      <w:r w:rsidRPr="00CE0885">
        <w:rPr>
          <w:lang w:eastAsia="en-GB"/>
        </w:rPr>
        <w:t>e</w:t>
      </w:r>
      <w:r w:rsidRPr="00CE0885">
        <w:rPr>
          <w:spacing w:val="-1"/>
          <w:lang w:eastAsia="en-GB"/>
        </w:rPr>
        <w:t xml:space="preserve"> </w:t>
      </w:r>
      <w:r w:rsidRPr="00CE0885">
        <w:rPr>
          <w:spacing w:val="-2"/>
          <w:lang w:eastAsia="en-GB"/>
        </w:rPr>
        <w:t>c</w:t>
      </w:r>
      <w:r w:rsidRPr="00CE0885">
        <w:rPr>
          <w:spacing w:val="1"/>
          <w:lang w:eastAsia="en-GB"/>
        </w:rPr>
        <w:t>h</w:t>
      </w:r>
      <w:r w:rsidRPr="00CE0885">
        <w:rPr>
          <w:spacing w:val="-1"/>
          <w:lang w:eastAsia="en-GB"/>
        </w:rPr>
        <w:t>a</w:t>
      </w:r>
      <w:r w:rsidRPr="00CE0885">
        <w:rPr>
          <w:spacing w:val="1"/>
          <w:lang w:eastAsia="en-GB"/>
        </w:rPr>
        <w:t>n</w:t>
      </w:r>
      <w:r w:rsidRPr="00CE0885">
        <w:rPr>
          <w:spacing w:val="-1"/>
          <w:lang w:eastAsia="en-GB"/>
        </w:rPr>
        <w:t>g</w:t>
      </w:r>
      <w:r w:rsidRPr="00CE0885">
        <w:rPr>
          <w:spacing w:val="1"/>
          <w:lang w:eastAsia="en-GB"/>
        </w:rPr>
        <w:t>e</w:t>
      </w:r>
      <w:r w:rsidRPr="00CE0885">
        <w:rPr>
          <w:lang w:eastAsia="en-GB"/>
        </w:rPr>
        <w:t>s</w:t>
      </w:r>
      <w:r w:rsidRPr="00CE0885">
        <w:rPr>
          <w:spacing w:val="-9"/>
          <w:lang w:eastAsia="en-GB"/>
        </w:rPr>
        <w:t xml:space="preserve"> </w:t>
      </w:r>
      <w:r w:rsidRPr="00CE0885">
        <w:rPr>
          <w:spacing w:val="-3"/>
          <w:lang w:eastAsia="en-GB"/>
        </w:rPr>
        <w:t>w</w:t>
      </w:r>
      <w:r w:rsidRPr="00CE0885">
        <w:rPr>
          <w:lang w:eastAsia="en-GB"/>
        </w:rPr>
        <w:t>i</w:t>
      </w:r>
      <w:r w:rsidRPr="00CE0885">
        <w:rPr>
          <w:spacing w:val="2"/>
          <w:lang w:eastAsia="en-GB"/>
        </w:rPr>
        <w:t>l</w:t>
      </w:r>
      <w:r w:rsidRPr="00CE0885">
        <w:rPr>
          <w:lang w:eastAsia="en-GB"/>
        </w:rPr>
        <w:t>l</w:t>
      </w:r>
      <w:r w:rsidRPr="00CE0885">
        <w:rPr>
          <w:spacing w:val="-3"/>
          <w:lang w:eastAsia="en-GB"/>
        </w:rPr>
        <w:t xml:space="preserve"> </w:t>
      </w:r>
      <w:r w:rsidRPr="00CE0885">
        <w:rPr>
          <w:spacing w:val="1"/>
          <w:lang w:eastAsia="en-GB"/>
        </w:rPr>
        <w:t>o</w:t>
      </w:r>
      <w:r w:rsidRPr="00CE0885">
        <w:rPr>
          <w:lang w:eastAsia="en-GB"/>
        </w:rPr>
        <w:t>cc</w:t>
      </w:r>
      <w:r w:rsidRPr="00CE0885">
        <w:rPr>
          <w:spacing w:val="1"/>
          <w:lang w:eastAsia="en-GB"/>
        </w:rPr>
        <w:t>u</w:t>
      </w:r>
      <w:r w:rsidRPr="00CE0885">
        <w:rPr>
          <w:spacing w:val="-1"/>
          <w:lang w:eastAsia="en-GB"/>
        </w:rPr>
        <w:t>r</w:t>
      </w:r>
      <w:r w:rsidRPr="00CE0885">
        <w:rPr>
          <w:lang w:eastAsia="en-GB"/>
        </w:rPr>
        <w:t>.</w:t>
      </w:r>
      <w:bookmarkEnd w:id="628"/>
    </w:p>
    <w:p w14:paraId="14D64156" w14:textId="77777777" w:rsidR="00977693" w:rsidRPr="00CE0885" w:rsidRDefault="00977693" w:rsidP="006B781A">
      <w:pPr>
        <w:pStyle w:val="Heading3"/>
        <w:rPr>
          <w:lang w:eastAsia="en-GB"/>
        </w:rPr>
      </w:pPr>
      <w:bookmarkStart w:id="629" w:name="_Ref410397883"/>
      <w:bookmarkStart w:id="630" w:name="_Toc440981778"/>
      <w:r w:rsidRPr="00CE0885">
        <w:rPr>
          <w:lang w:eastAsia="en-GB"/>
        </w:rPr>
        <w:t>Where the contractor consists of two or more individuals practising in partnership and the composition of the partnership changes, either by a partner leaving (but without the partnership terminating) or a new partner joining, the contract will need to be amended to recognise the new partnership composition. For the variation to have effect, it must be in writing and signed by all parties to the contract.</w:t>
      </w:r>
      <w:bookmarkEnd w:id="629"/>
      <w:bookmarkEnd w:id="630"/>
      <w:r w:rsidRPr="00CE0885">
        <w:rPr>
          <w:lang w:eastAsia="en-GB"/>
        </w:rPr>
        <w:t xml:space="preserve"> </w:t>
      </w:r>
    </w:p>
    <w:p w14:paraId="7A954300" w14:textId="77777777" w:rsidR="00977693" w:rsidRPr="00CE0885" w:rsidRDefault="00977693" w:rsidP="003331F2">
      <w:pPr>
        <w:pStyle w:val="BodyText"/>
      </w:pPr>
    </w:p>
    <w:p w14:paraId="4B385122" w14:textId="77777777" w:rsidR="00977693" w:rsidRPr="00CE5A3A" w:rsidRDefault="00977693" w:rsidP="00CE5A3A">
      <w:pPr>
        <w:pStyle w:val="BodyText"/>
        <w:rPr>
          <w:b/>
          <w:sz w:val="24"/>
          <w:szCs w:val="24"/>
        </w:rPr>
      </w:pPr>
      <w:bookmarkStart w:id="631" w:name="_Toc440981779"/>
      <w:r w:rsidRPr="00CE5A3A">
        <w:rPr>
          <w:b/>
          <w:sz w:val="24"/>
          <w:szCs w:val="24"/>
        </w:rPr>
        <w:t xml:space="preserve">Changes to contracts with more than one individual – </w:t>
      </w:r>
      <w:r w:rsidRPr="00CE5A3A">
        <w:rPr>
          <w:b/>
          <w:spacing w:val="1"/>
          <w:sz w:val="24"/>
          <w:szCs w:val="24"/>
        </w:rPr>
        <w:t>P</w:t>
      </w:r>
      <w:r w:rsidRPr="00CE5A3A">
        <w:rPr>
          <w:b/>
          <w:spacing w:val="-1"/>
          <w:sz w:val="24"/>
          <w:szCs w:val="24"/>
        </w:rPr>
        <w:t>M</w:t>
      </w:r>
      <w:r w:rsidRPr="00CE5A3A">
        <w:rPr>
          <w:b/>
          <w:sz w:val="24"/>
          <w:szCs w:val="24"/>
        </w:rPr>
        <w:t>S</w:t>
      </w:r>
      <w:r w:rsidRPr="00CE5A3A">
        <w:rPr>
          <w:b/>
          <w:spacing w:val="-4"/>
          <w:sz w:val="24"/>
          <w:szCs w:val="24"/>
        </w:rPr>
        <w:t xml:space="preserve"> </w:t>
      </w:r>
      <w:r w:rsidRPr="00CE5A3A">
        <w:rPr>
          <w:b/>
          <w:spacing w:val="1"/>
          <w:sz w:val="24"/>
          <w:szCs w:val="24"/>
        </w:rPr>
        <w:t>a</w:t>
      </w:r>
      <w:r w:rsidRPr="00CE5A3A">
        <w:rPr>
          <w:b/>
          <w:sz w:val="24"/>
          <w:szCs w:val="24"/>
        </w:rPr>
        <w:t>gr</w:t>
      </w:r>
      <w:r w:rsidRPr="00CE5A3A">
        <w:rPr>
          <w:b/>
          <w:spacing w:val="1"/>
          <w:sz w:val="24"/>
          <w:szCs w:val="24"/>
        </w:rPr>
        <w:t>ee</w:t>
      </w:r>
      <w:r w:rsidRPr="00CE5A3A">
        <w:rPr>
          <w:b/>
          <w:spacing w:val="-2"/>
          <w:sz w:val="24"/>
          <w:szCs w:val="24"/>
        </w:rPr>
        <w:t>m</w:t>
      </w:r>
      <w:r w:rsidRPr="00CE5A3A">
        <w:rPr>
          <w:b/>
          <w:spacing w:val="1"/>
          <w:sz w:val="24"/>
          <w:szCs w:val="24"/>
        </w:rPr>
        <w:t>e</w:t>
      </w:r>
      <w:r w:rsidRPr="00CE5A3A">
        <w:rPr>
          <w:b/>
          <w:sz w:val="24"/>
          <w:szCs w:val="24"/>
        </w:rPr>
        <w:t>nts</w:t>
      </w:r>
      <w:bookmarkEnd w:id="631"/>
    </w:p>
    <w:p w14:paraId="4A8D6230" w14:textId="77777777" w:rsidR="00977693" w:rsidRPr="00CE0885" w:rsidRDefault="00977693" w:rsidP="006B781A">
      <w:pPr>
        <w:pStyle w:val="Heading3"/>
        <w:rPr>
          <w:lang w:eastAsia="en-GB"/>
        </w:rPr>
      </w:pPr>
      <w:bookmarkStart w:id="632" w:name="_Ref410394717"/>
      <w:bookmarkStart w:id="633" w:name="_Toc440981780"/>
      <w:r w:rsidRPr="00CE0885">
        <w:rPr>
          <w:lang w:eastAsia="en-GB"/>
        </w:rPr>
        <w:t xml:space="preserve">As stated in paragraph </w:t>
      </w:r>
      <w:r w:rsidRPr="00CE0885">
        <w:rPr>
          <w:lang w:eastAsia="en-GB"/>
        </w:rPr>
        <w:fldChar w:fldCharType="begin"/>
      </w:r>
      <w:r w:rsidRPr="00CE0885">
        <w:rPr>
          <w:lang w:eastAsia="en-GB"/>
        </w:rPr>
        <w:instrText xml:space="preserve"> REF _Ref410394560 \r \h  \* MERGEFORMAT </w:instrText>
      </w:r>
      <w:r w:rsidRPr="00CE0885">
        <w:rPr>
          <w:lang w:eastAsia="en-GB"/>
        </w:rPr>
      </w:r>
      <w:r w:rsidRPr="00CE0885">
        <w:rPr>
          <w:lang w:eastAsia="en-GB"/>
        </w:rPr>
        <w:fldChar w:fldCharType="separate"/>
      </w:r>
      <w:r w:rsidR="00622FF2">
        <w:rPr>
          <w:lang w:eastAsia="en-GB"/>
        </w:rPr>
        <w:t>7.5.13</w:t>
      </w:r>
      <w:r w:rsidRPr="00CE0885">
        <w:rPr>
          <w:lang w:eastAsia="en-GB"/>
        </w:rPr>
        <w:fldChar w:fldCharType="end"/>
      </w:r>
      <w:r w:rsidRPr="00CE0885">
        <w:rPr>
          <w:lang w:eastAsia="en-GB"/>
        </w:rPr>
        <w:t>, the PMS Regulations do not require a PMS agreement to define a specific process for any variation to the signatories. The Commissioner must, therefore, review the relevant PMS agreement to determine whether any provisions have been added relating to this and prior to following any process for variation.</w:t>
      </w:r>
      <w:bookmarkEnd w:id="632"/>
      <w:bookmarkEnd w:id="633"/>
    </w:p>
    <w:p w14:paraId="2CFCA74D" w14:textId="77777777" w:rsidR="00977693" w:rsidRPr="00CE0885" w:rsidRDefault="00977693" w:rsidP="006B781A">
      <w:pPr>
        <w:pStyle w:val="Heading3"/>
        <w:rPr>
          <w:lang w:eastAsia="en-GB"/>
        </w:rPr>
      </w:pPr>
      <w:bookmarkStart w:id="634" w:name="_Toc440981781"/>
      <w:r w:rsidRPr="00CE0885">
        <w:rPr>
          <w:lang w:eastAsia="en-GB"/>
        </w:rPr>
        <w:t>If the contractor is currently two or more individuals and wish to change to an individual contractor, then they must seek the Commissioner's consent in writing for any such variation to the contract. Where the contractor contacts the Commissioner about such a change, the Commissioner should send Annex 6A. The Commissioner must consider any procurement implications, along with other influencing factors, when considering such an application. commissioners must also act in accordance with any procurement protocol issued by NHS England.</w:t>
      </w:r>
      <w:bookmarkEnd w:id="634"/>
    </w:p>
    <w:p w14:paraId="73AB02F8" w14:textId="5FBDB30E" w:rsidR="00977693" w:rsidRPr="00CE0885" w:rsidRDefault="00977693" w:rsidP="006B781A">
      <w:pPr>
        <w:pStyle w:val="Heading3"/>
        <w:rPr>
          <w:lang w:eastAsia="en-GB"/>
        </w:rPr>
      </w:pPr>
      <w:bookmarkStart w:id="635" w:name="_Toc440981782"/>
      <w:r w:rsidRPr="00CE0885">
        <w:rPr>
          <w:lang w:eastAsia="en-GB"/>
        </w:rPr>
        <w:t>The Commissioner must ensure that the proposed individual(s) meets the eligibility criteria for holding a PMS agreement (</w:t>
      </w:r>
      <w:r w:rsidR="00A114DF" w:rsidRPr="00CE0885">
        <w:rPr>
          <w:lang w:eastAsia="en-GB"/>
        </w:rPr>
        <w:t xml:space="preserve">Please refer to </w:t>
      </w:r>
      <w:r w:rsidR="00A114DF">
        <w:rPr>
          <w:lang w:eastAsia="en-GB"/>
        </w:rPr>
        <w:t>the ‘Contracts Described’ chapter</w:t>
      </w:r>
      <w:r w:rsidRPr="00CE0885">
        <w:rPr>
          <w:lang w:eastAsia="en-GB"/>
        </w:rPr>
        <w:t xml:space="preserve"> for further information).</w:t>
      </w:r>
      <w:bookmarkEnd w:id="635"/>
    </w:p>
    <w:p w14:paraId="029DE7AC" w14:textId="77777777" w:rsidR="00977693" w:rsidRPr="00CE0885" w:rsidRDefault="00977693" w:rsidP="006B781A">
      <w:pPr>
        <w:pStyle w:val="Heading3"/>
        <w:rPr>
          <w:lang w:eastAsia="en-GB"/>
        </w:rPr>
      </w:pPr>
      <w:bookmarkStart w:id="636" w:name="_Toc440981783"/>
      <w:r w:rsidRPr="00CE0885">
        <w:rPr>
          <w:lang w:eastAsia="en-GB"/>
        </w:rPr>
        <w:t>The Commissioner should confirm its decision on the variation in writing to the contractor detailing the reasons for the decision and details of any information that they have relied upon in the process (Annex 6B).</w:t>
      </w:r>
      <w:bookmarkEnd w:id="636"/>
    </w:p>
    <w:p w14:paraId="7ECD6375" w14:textId="77777777" w:rsidR="00977693" w:rsidRPr="00CE0885" w:rsidRDefault="00977693" w:rsidP="006B781A">
      <w:pPr>
        <w:pStyle w:val="Heading3"/>
        <w:rPr>
          <w:lang w:eastAsia="en-GB"/>
        </w:rPr>
      </w:pPr>
      <w:bookmarkStart w:id="637" w:name="_Toc440981784"/>
      <w:r w:rsidRPr="00CE0885">
        <w:rPr>
          <w:lang w:eastAsia="en-GB"/>
        </w:rPr>
        <w:t>If the decision is to consent to the variation, then the Commissioner shall issue a variation notice accordingly to amend the relevant sections of the contract. A variation notice should include the wording of the proposed variation and the date upon which the variation will take effect. The contractor would then be required to return a signed copy of the variation notice. The Commissioner should ensure that the electronically held contract documentation is amended accordingly.</w:t>
      </w:r>
      <w:bookmarkEnd w:id="637"/>
    </w:p>
    <w:p w14:paraId="286D85A1" w14:textId="77777777" w:rsidR="00977693" w:rsidRPr="00CE0885" w:rsidRDefault="00977693" w:rsidP="006B781A">
      <w:pPr>
        <w:pStyle w:val="Heading3"/>
        <w:rPr>
          <w:lang w:eastAsia="en-GB"/>
        </w:rPr>
      </w:pPr>
      <w:bookmarkStart w:id="638" w:name="_Toc440981785"/>
      <w:r w:rsidRPr="00CE0885">
        <w:rPr>
          <w:lang w:eastAsia="en-GB"/>
        </w:rPr>
        <w:t>If the contractor does not return a signed copy of the variation notice, then no amendment to the agreement can take place.</w:t>
      </w:r>
      <w:bookmarkEnd w:id="638"/>
    </w:p>
    <w:p w14:paraId="0CAC414A" w14:textId="77777777" w:rsidR="00977693" w:rsidRPr="00CE0885" w:rsidRDefault="00977693" w:rsidP="006B781A">
      <w:pPr>
        <w:pStyle w:val="Heading3"/>
        <w:rPr>
          <w:lang w:eastAsia="en-GB"/>
        </w:rPr>
      </w:pPr>
      <w:bookmarkStart w:id="639" w:name="_Ref410394724"/>
      <w:bookmarkStart w:id="640" w:name="_Toc440981786"/>
      <w:r w:rsidRPr="00CE0885">
        <w:rPr>
          <w:lang w:eastAsia="en-GB"/>
        </w:rPr>
        <w:t>If the new individual is not accepted as eligible the Commissioner should advise the contractor in writing of the reasons they believe the individual is ineligible and confirm that the contract status will remain as it was until the matter can be resolved or a further notice is provided by the contractor proposing an alternative eligible individual.</w:t>
      </w:r>
      <w:bookmarkEnd w:id="639"/>
      <w:bookmarkEnd w:id="640"/>
    </w:p>
    <w:p w14:paraId="47517884" w14:textId="77777777" w:rsidR="00977693" w:rsidRPr="00CE0885" w:rsidRDefault="00977693" w:rsidP="006B781A">
      <w:pPr>
        <w:pStyle w:val="Heading3"/>
        <w:rPr>
          <w:lang w:eastAsia="en-GB"/>
        </w:rPr>
      </w:pPr>
      <w:bookmarkStart w:id="641" w:name="_Toc440981787"/>
      <w:r w:rsidRPr="00CE0885">
        <w:rPr>
          <w:lang w:eastAsia="en-GB"/>
        </w:rPr>
        <w:t xml:space="preserve">The principles outlined in paragraphs </w:t>
      </w:r>
      <w:r w:rsidRPr="00CE0885">
        <w:rPr>
          <w:lang w:eastAsia="en-GB"/>
        </w:rPr>
        <w:fldChar w:fldCharType="begin"/>
      </w:r>
      <w:r w:rsidRPr="00CE0885">
        <w:rPr>
          <w:lang w:eastAsia="en-GB"/>
        </w:rPr>
        <w:instrText xml:space="preserve"> REF _Ref410394717 \r \h  \* MERGEFORMAT </w:instrText>
      </w:r>
      <w:r w:rsidRPr="00CE0885">
        <w:rPr>
          <w:lang w:eastAsia="en-GB"/>
        </w:rPr>
      </w:r>
      <w:r w:rsidRPr="00CE0885">
        <w:rPr>
          <w:lang w:eastAsia="en-GB"/>
        </w:rPr>
        <w:fldChar w:fldCharType="separate"/>
      </w:r>
      <w:r w:rsidR="00622FF2">
        <w:rPr>
          <w:lang w:eastAsia="en-GB"/>
        </w:rPr>
        <w:t>7.5.31</w:t>
      </w:r>
      <w:r w:rsidRPr="00CE0885">
        <w:rPr>
          <w:lang w:eastAsia="en-GB"/>
        </w:rPr>
        <w:fldChar w:fldCharType="end"/>
      </w:r>
      <w:r w:rsidRPr="00CE0885">
        <w:rPr>
          <w:lang w:eastAsia="en-GB"/>
        </w:rPr>
        <w:t xml:space="preserve"> to </w:t>
      </w:r>
      <w:r w:rsidRPr="00CE0885">
        <w:rPr>
          <w:lang w:eastAsia="en-GB"/>
        </w:rPr>
        <w:fldChar w:fldCharType="begin"/>
      </w:r>
      <w:r w:rsidRPr="00CE0885">
        <w:rPr>
          <w:lang w:eastAsia="en-GB"/>
        </w:rPr>
        <w:instrText xml:space="preserve"> REF _Ref410394724 \r \h  \* MERGEFORMAT </w:instrText>
      </w:r>
      <w:r w:rsidRPr="00CE0885">
        <w:rPr>
          <w:lang w:eastAsia="en-GB"/>
        </w:rPr>
      </w:r>
      <w:r w:rsidRPr="00CE0885">
        <w:rPr>
          <w:lang w:eastAsia="en-GB"/>
        </w:rPr>
        <w:fldChar w:fldCharType="separate"/>
      </w:r>
      <w:r w:rsidR="00622FF2">
        <w:rPr>
          <w:lang w:eastAsia="en-GB"/>
        </w:rPr>
        <w:t>7.5.37</w:t>
      </w:r>
      <w:r w:rsidRPr="00CE0885">
        <w:rPr>
          <w:lang w:eastAsia="en-GB"/>
        </w:rPr>
        <w:fldChar w:fldCharType="end"/>
      </w:r>
      <w:r w:rsidRPr="00CE0885">
        <w:rPr>
          <w:lang w:eastAsia="en-GB"/>
        </w:rPr>
        <w:t xml:space="preserve"> will also apply where the contractor consists of two or more individuals and the composition of the contractor changes, either by an individual wishing to leave the agreement or a new individual joining the agreement. The contract will need to be varied to recognise the new contractor composition.</w:t>
      </w:r>
      <w:bookmarkEnd w:id="641"/>
      <w:r w:rsidRPr="00CE0885">
        <w:rPr>
          <w:lang w:eastAsia="en-GB"/>
        </w:rPr>
        <w:t xml:space="preserve"> </w:t>
      </w:r>
    </w:p>
    <w:p w14:paraId="1B89487B" w14:textId="77777777" w:rsidR="00977693" w:rsidRPr="00CE0885" w:rsidRDefault="00977693" w:rsidP="006B781A">
      <w:pPr>
        <w:pStyle w:val="Heading3"/>
        <w:rPr>
          <w:lang w:eastAsia="en-GB"/>
        </w:rPr>
      </w:pPr>
      <w:bookmarkStart w:id="642" w:name="_Toc440981788"/>
      <w:r w:rsidRPr="00CE0885">
        <w:rPr>
          <w:lang w:eastAsia="en-GB"/>
        </w:rPr>
        <w:t>The Commissioner should ensure that it is satisfied that the contractor will remain eligible to hold the agreement after the variation. For the variation to have effect, it must be in writing and signed by all existing (and new) individuals to the contract.</w:t>
      </w:r>
      <w:bookmarkEnd w:id="642"/>
    </w:p>
    <w:p w14:paraId="7CAE5911" w14:textId="77777777" w:rsidR="00977693" w:rsidRPr="00CE0885" w:rsidRDefault="00977693" w:rsidP="006B781A">
      <w:pPr>
        <w:pStyle w:val="Heading3"/>
        <w:rPr>
          <w:spacing w:val="-6"/>
          <w:lang w:eastAsia="en-GB"/>
        </w:rPr>
      </w:pPr>
      <w:bookmarkStart w:id="643" w:name="_Ref410398056"/>
      <w:bookmarkStart w:id="644" w:name="_Toc440981789"/>
      <w:r w:rsidRPr="00CE0885">
        <w:rPr>
          <w:lang w:eastAsia="en-GB"/>
        </w:rPr>
        <w:t>The Commissioner</w:t>
      </w:r>
      <w:r w:rsidRPr="00CE0885">
        <w:rPr>
          <w:spacing w:val="-6"/>
          <w:lang w:eastAsia="en-GB"/>
        </w:rPr>
        <w:t xml:space="preserve"> </w:t>
      </w:r>
      <w:r w:rsidRPr="00CE0885">
        <w:rPr>
          <w:spacing w:val="2"/>
          <w:lang w:eastAsia="en-GB"/>
        </w:rPr>
        <w:t>should also</w:t>
      </w:r>
      <w:r w:rsidRPr="00CE0885">
        <w:rPr>
          <w:spacing w:val="-4"/>
          <w:lang w:eastAsia="en-GB"/>
        </w:rPr>
        <w:t xml:space="preserve"> </w:t>
      </w:r>
      <w:r w:rsidRPr="00CE0885">
        <w:rPr>
          <w:spacing w:val="-1"/>
          <w:lang w:eastAsia="en-GB"/>
        </w:rPr>
        <w:t>b</w:t>
      </w:r>
      <w:r w:rsidRPr="00CE0885">
        <w:rPr>
          <w:lang w:eastAsia="en-GB"/>
        </w:rPr>
        <w:t>e</w:t>
      </w:r>
      <w:r w:rsidRPr="00CE0885">
        <w:rPr>
          <w:spacing w:val="-1"/>
          <w:lang w:eastAsia="en-GB"/>
        </w:rPr>
        <w:t xml:space="preserve"> </w:t>
      </w:r>
      <w:r w:rsidRPr="00CE0885">
        <w:rPr>
          <w:lang w:eastAsia="en-GB"/>
        </w:rPr>
        <w:t>sati</w:t>
      </w:r>
      <w:r w:rsidRPr="00CE0885">
        <w:rPr>
          <w:spacing w:val="-2"/>
          <w:lang w:eastAsia="en-GB"/>
        </w:rPr>
        <w:t>s</w:t>
      </w:r>
      <w:r w:rsidRPr="00CE0885">
        <w:rPr>
          <w:spacing w:val="3"/>
          <w:lang w:eastAsia="en-GB"/>
        </w:rPr>
        <w:t>f</w:t>
      </w:r>
      <w:r w:rsidRPr="00CE0885">
        <w:rPr>
          <w:spacing w:val="-3"/>
          <w:lang w:eastAsia="en-GB"/>
        </w:rPr>
        <w:t>i</w:t>
      </w:r>
      <w:r w:rsidRPr="00CE0885">
        <w:rPr>
          <w:lang w:eastAsia="en-GB"/>
        </w:rPr>
        <w:t>ed</w:t>
      </w:r>
      <w:r w:rsidRPr="00CE0885">
        <w:rPr>
          <w:spacing w:val="-7"/>
          <w:lang w:eastAsia="en-GB"/>
        </w:rPr>
        <w:t xml:space="preserve"> </w:t>
      </w:r>
      <w:r w:rsidRPr="00CE0885">
        <w:rPr>
          <w:spacing w:val="-2"/>
          <w:lang w:eastAsia="en-GB"/>
        </w:rPr>
        <w:t>t</w:t>
      </w:r>
      <w:r w:rsidRPr="00CE0885">
        <w:rPr>
          <w:lang w:eastAsia="en-GB"/>
        </w:rPr>
        <w:t>hat</w:t>
      </w:r>
      <w:r w:rsidRPr="00CE0885">
        <w:rPr>
          <w:spacing w:val="-3"/>
          <w:lang w:eastAsia="en-GB"/>
        </w:rPr>
        <w:t xml:space="preserve"> </w:t>
      </w:r>
      <w:r w:rsidRPr="00CE0885">
        <w:rPr>
          <w:spacing w:val="-2"/>
          <w:lang w:eastAsia="en-GB"/>
        </w:rPr>
        <w:t>t</w:t>
      </w:r>
      <w:r w:rsidRPr="00CE0885">
        <w:rPr>
          <w:lang w:eastAsia="en-GB"/>
        </w:rPr>
        <w:t>he</w:t>
      </w:r>
      <w:r w:rsidRPr="00CE0885">
        <w:rPr>
          <w:spacing w:val="-4"/>
          <w:lang w:eastAsia="en-GB"/>
        </w:rPr>
        <w:t xml:space="preserve"> </w:t>
      </w:r>
      <w:r w:rsidRPr="00CE0885">
        <w:rPr>
          <w:lang w:eastAsia="en-GB"/>
        </w:rPr>
        <w:t>a</w:t>
      </w:r>
      <w:r w:rsidRPr="00CE0885">
        <w:rPr>
          <w:spacing w:val="-1"/>
          <w:lang w:eastAsia="en-GB"/>
        </w:rPr>
        <w:t>rr</w:t>
      </w:r>
      <w:r w:rsidRPr="00CE0885">
        <w:rPr>
          <w:lang w:eastAsia="en-GB"/>
        </w:rPr>
        <w:t>an</w:t>
      </w:r>
      <w:r w:rsidRPr="00CE0885">
        <w:rPr>
          <w:spacing w:val="-1"/>
          <w:lang w:eastAsia="en-GB"/>
        </w:rPr>
        <w:t>g</w:t>
      </w:r>
      <w:r w:rsidRPr="00CE0885">
        <w:rPr>
          <w:lang w:eastAsia="en-GB"/>
        </w:rPr>
        <w:t>e</w:t>
      </w:r>
      <w:r w:rsidRPr="00CE0885">
        <w:rPr>
          <w:spacing w:val="-1"/>
          <w:lang w:eastAsia="en-GB"/>
        </w:rPr>
        <w:t>m</w:t>
      </w:r>
      <w:r w:rsidRPr="00CE0885">
        <w:rPr>
          <w:lang w:eastAsia="en-GB"/>
        </w:rPr>
        <w:t>ents</w:t>
      </w:r>
      <w:r w:rsidRPr="00CE0885">
        <w:rPr>
          <w:spacing w:val="-19"/>
          <w:lang w:eastAsia="en-GB"/>
        </w:rPr>
        <w:t xml:space="preserve"> </w:t>
      </w:r>
      <w:r w:rsidRPr="00CE0885">
        <w:rPr>
          <w:lang w:eastAsia="en-GB"/>
        </w:rPr>
        <w:t>for</w:t>
      </w:r>
      <w:r w:rsidRPr="00CE0885">
        <w:rPr>
          <w:spacing w:val="-3"/>
          <w:lang w:eastAsia="en-GB"/>
        </w:rPr>
        <w:t xml:space="preserve"> </w:t>
      </w:r>
      <w:r w:rsidRPr="00CE0885">
        <w:rPr>
          <w:lang w:eastAsia="en-GB"/>
        </w:rPr>
        <w:t>conti</w:t>
      </w:r>
      <w:r w:rsidRPr="00CE0885">
        <w:rPr>
          <w:spacing w:val="-1"/>
          <w:lang w:eastAsia="en-GB"/>
        </w:rPr>
        <w:t>n</w:t>
      </w:r>
      <w:r w:rsidRPr="00CE0885">
        <w:rPr>
          <w:lang w:eastAsia="en-GB"/>
        </w:rPr>
        <w:t>uity</w:t>
      </w:r>
      <w:r w:rsidRPr="00CE0885">
        <w:rPr>
          <w:spacing w:val="-12"/>
          <w:lang w:eastAsia="en-GB"/>
        </w:rPr>
        <w:t xml:space="preserve"> </w:t>
      </w:r>
      <w:r w:rsidRPr="00CE0885">
        <w:rPr>
          <w:spacing w:val="-1"/>
          <w:lang w:eastAsia="en-GB"/>
        </w:rPr>
        <w:t>o</w:t>
      </w:r>
      <w:r w:rsidRPr="00CE0885">
        <w:rPr>
          <w:lang w:eastAsia="en-GB"/>
        </w:rPr>
        <w:t>f se</w:t>
      </w:r>
      <w:r w:rsidRPr="00CE0885">
        <w:rPr>
          <w:spacing w:val="-1"/>
          <w:lang w:eastAsia="en-GB"/>
        </w:rPr>
        <w:t>r</w:t>
      </w:r>
      <w:r w:rsidRPr="00CE0885">
        <w:rPr>
          <w:spacing w:val="-2"/>
          <w:lang w:eastAsia="en-GB"/>
        </w:rPr>
        <w:t>v</w:t>
      </w:r>
      <w:r w:rsidRPr="00CE0885">
        <w:rPr>
          <w:lang w:eastAsia="en-GB"/>
        </w:rPr>
        <w:t>ice p</w:t>
      </w:r>
      <w:r w:rsidRPr="00CE0885">
        <w:rPr>
          <w:spacing w:val="-1"/>
          <w:lang w:eastAsia="en-GB"/>
        </w:rPr>
        <w:t>r</w:t>
      </w:r>
      <w:r w:rsidRPr="00CE0885">
        <w:rPr>
          <w:lang w:eastAsia="en-GB"/>
        </w:rPr>
        <w:t>o</w:t>
      </w:r>
      <w:r w:rsidRPr="00CE0885">
        <w:rPr>
          <w:spacing w:val="-2"/>
          <w:lang w:eastAsia="en-GB"/>
        </w:rPr>
        <w:t>v</w:t>
      </w:r>
      <w:r w:rsidRPr="00CE0885">
        <w:rPr>
          <w:lang w:eastAsia="en-GB"/>
        </w:rPr>
        <w:t>ision</w:t>
      </w:r>
      <w:r w:rsidRPr="00CE0885">
        <w:rPr>
          <w:spacing w:val="-8"/>
          <w:lang w:eastAsia="en-GB"/>
        </w:rPr>
        <w:t xml:space="preserve"> </w:t>
      </w:r>
      <w:r w:rsidRPr="00CE0885">
        <w:rPr>
          <w:lang w:eastAsia="en-GB"/>
        </w:rPr>
        <w:t>to t</w:t>
      </w:r>
      <w:r w:rsidRPr="00CE0885">
        <w:rPr>
          <w:spacing w:val="-1"/>
          <w:lang w:eastAsia="en-GB"/>
        </w:rPr>
        <w:t>h</w:t>
      </w:r>
      <w:r w:rsidRPr="00CE0885">
        <w:rPr>
          <w:lang w:eastAsia="en-GB"/>
        </w:rPr>
        <w:t>e</w:t>
      </w:r>
      <w:r w:rsidRPr="00CE0885">
        <w:rPr>
          <w:spacing w:val="-1"/>
          <w:lang w:eastAsia="en-GB"/>
        </w:rPr>
        <w:t xml:space="preserve"> r</w:t>
      </w:r>
      <w:r w:rsidRPr="00CE0885">
        <w:rPr>
          <w:lang w:eastAsia="en-GB"/>
        </w:rPr>
        <w:t>e</w:t>
      </w:r>
      <w:r w:rsidRPr="00CE0885">
        <w:rPr>
          <w:spacing w:val="-1"/>
          <w:lang w:eastAsia="en-GB"/>
        </w:rPr>
        <w:t>g</w:t>
      </w:r>
      <w:r w:rsidRPr="00CE0885">
        <w:rPr>
          <w:lang w:eastAsia="en-GB"/>
        </w:rPr>
        <w:t>ist</w:t>
      </w:r>
      <w:r w:rsidRPr="00CE0885">
        <w:rPr>
          <w:spacing w:val="-1"/>
          <w:lang w:eastAsia="en-GB"/>
        </w:rPr>
        <w:t>er</w:t>
      </w:r>
      <w:r w:rsidRPr="00CE0885">
        <w:rPr>
          <w:lang w:eastAsia="en-GB"/>
        </w:rPr>
        <w:t>ed</w:t>
      </w:r>
      <w:r w:rsidRPr="00CE0885">
        <w:rPr>
          <w:spacing w:val="-9"/>
          <w:lang w:eastAsia="en-GB"/>
        </w:rPr>
        <w:t xml:space="preserve"> </w:t>
      </w:r>
      <w:r w:rsidRPr="00CE0885">
        <w:rPr>
          <w:lang w:eastAsia="en-GB"/>
        </w:rPr>
        <w:t>p</w:t>
      </w:r>
      <w:r w:rsidRPr="00CE0885">
        <w:rPr>
          <w:spacing w:val="-1"/>
          <w:lang w:eastAsia="en-GB"/>
        </w:rPr>
        <w:t>o</w:t>
      </w:r>
      <w:r w:rsidRPr="00CE0885">
        <w:rPr>
          <w:lang w:eastAsia="en-GB"/>
        </w:rPr>
        <w:t>pul</w:t>
      </w:r>
      <w:r w:rsidRPr="00CE0885">
        <w:rPr>
          <w:spacing w:val="-1"/>
          <w:lang w:eastAsia="en-GB"/>
        </w:rPr>
        <w:t>a</w:t>
      </w:r>
      <w:r w:rsidRPr="00CE0885">
        <w:rPr>
          <w:lang w:eastAsia="en-GB"/>
        </w:rPr>
        <w:t>tion</w:t>
      </w:r>
      <w:r w:rsidRPr="00CE0885">
        <w:rPr>
          <w:spacing w:val="-9"/>
          <w:lang w:eastAsia="en-GB"/>
        </w:rPr>
        <w:t xml:space="preserve"> </w:t>
      </w:r>
      <w:r w:rsidRPr="00CE0885">
        <w:rPr>
          <w:spacing w:val="-2"/>
          <w:lang w:eastAsia="en-GB"/>
        </w:rPr>
        <w:t>c</w:t>
      </w:r>
      <w:r w:rsidRPr="00CE0885">
        <w:rPr>
          <w:lang w:eastAsia="en-GB"/>
        </w:rPr>
        <w:t>o</w:t>
      </w:r>
      <w:r w:rsidRPr="00CE0885">
        <w:rPr>
          <w:spacing w:val="-2"/>
          <w:lang w:eastAsia="en-GB"/>
        </w:rPr>
        <w:t>v</w:t>
      </w:r>
      <w:r w:rsidRPr="00CE0885">
        <w:rPr>
          <w:lang w:eastAsia="en-GB"/>
        </w:rPr>
        <w:t>e</w:t>
      </w:r>
      <w:r w:rsidRPr="00CE0885">
        <w:rPr>
          <w:spacing w:val="-1"/>
          <w:lang w:eastAsia="en-GB"/>
        </w:rPr>
        <w:t>r</w:t>
      </w:r>
      <w:r w:rsidRPr="00CE0885">
        <w:rPr>
          <w:lang w:eastAsia="en-GB"/>
        </w:rPr>
        <w:t>ed</w:t>
      </w:r>
      <w:r w:rsidRPr="00CE0885">
        <w:rPr>
          <w:spacing w:val="-10"/>
          <w:lang w:eastAsia="en-GB"/>
        </w:rPr>
        <w:t xml:space="preserve"> </w:t>
      </w:r>
      <w:r w:rsidRPr="00CE0885">
        <w:rPr>
          <w:spacing w:val="-3"/>
          <w:lang w:eastAsia="en-GB"/>
        </w:rPr>
        <w:t>w</w:t>
      </w:r>
      <w:r w:rsidRPr="00CE0885">
        <w:rPr>
          <w:lang w:eastAsia="en-GB"/>
        </w:rPr>
        <w:t>ithin</w:t>
      </w:r>
      <w:r w:rsidRPr="00CE0885">
        <w:rPr>
          <w:spacing w:val="-4"/>
          <w:lang w:eastAsia="en-GB"/>
        </w:rPr>
        <w:t xml:space="preserve"> </w:t>
      </w:r>
      <w:r w:rsidRPr="00CE0885">
        <w:rPr>
          <w:lang w:eastAsia="en-GB"/>
        </w:rPr>
        <w:t>the</w:t>
      </w:r>
      <w:r w:rsidRPr="00CE0885">
        <w:rPr>
          <w:spacing w:val="-1"/>
          <w:lang w:eastAsia="en-GB"/>
        </w:rPr>
        <w:t xml:space="preserve"> </w:t>
      </w:r>
      <w:r w:rsidRPr="00CE0885">
        <w:rPr>
          <w:lang w:eastAsia="en-GB"/>
        </w:rPr>
        <w:t>c</w:t>
      </w:r>
      <w:r w:rsidRPr="00CE0885">
        <w:rPr>
          <w:spacing w:val="-1"/>
          <w:lang w:eastAsia="en-GB"/>
        </w:rPr>
        <w:t>o</w:t>
      </w:r>
      <w:r w:rsidRPr="00CE0885">
        <w:rPr>
          <w:lang w:eastAsia="en-GB"/>
        </w:rPr>
        <w:t>nt</w:t>
      </w:r>
      <w:r w:rsidRPr="00CE0885">
        <w:rPr>
          <w:spacing w:val="-1"/>
          <w:lang w:eastAsia="en-GB"/>
        </w:rPr>
        <w:t>r</w:t>
      </w:r>
      <w:r w:rsidRPr="00CE0885">
        <w:rPr>
          <w:lang w:eastAsia="en-GB"/>
        </w:rPr>
        <w:t>act</w:t>
      </w:r>
      <w:r w:rsidRPr="00CE0885">
        <w:rPr>
          <w:spacing w:val="-10"/>
          <w:lang w:eastAsia="en-GB"/>
        </w:rPr>
        <w:t xml:space="preserve"> </w:t>
      </w:r>
      <w:r w:rsidRPr="00CE0885">
        <w:rPr>
          <w:lang w:eastAsia="en-GB"/>
        </w:rPr>
        <w:t>a</w:t>
      </w:r>
      <w:r w:rsidRPr="00CE0885">
        <w:rPr>
          <w:spacing w:val="-1"/>
          <w:lang w:eastAsia="en-GB"/>
        </w:rPr>
        <w:t>r</w:t>
      </w:r>
      <w:r w:rsidRPr="00CE0885">
        <w:rPr>
          <w:lang w:eastAsia="en-GB"/>
        </w:rPr>
        <w:t xml:space="preserve">e </w:t>
      </w:r>
      <w:r w:rsidRPr="00CE0885">
        <w:rPr>
          <w:spacing w:val="-1"/>
          <w:lang w:eastAsia="en-GB"/>
        </w:rPr>
        <w:t>r</w:t>
      </w:r>
      <w:r w:rsidRPr="00CE0885">
        <w:rPr>
          <w:lang w:eastAsia="en-GB"/>
        </w:rPr>
        <w:t>obust</w:t>
      </w:r>
      <w:r w:rsidRPr="00CE0885">
        <w:rPr>
          <w:spacing w:val="-8"/>
          <w:lang w:eastAsia="en-GB"/>
        </w:rPr>
        <w:t xml:space="preserve"> </w:t>
      </w:r>
      <w:r w:rsidRPr="00CE0885">
        <w:rPr>
          <w:lang w:eastAsia="en-GB"/>
        </w:rPr>
        <w:t>and</w:t>
      </w:r>
      <w:r w:rsidRPr="00CE0885">
        <w:rPr>
          <w:spacing w:val="-5"/>
          <w:lang w:eastAsia="en-GB"/>
        </w:rPr>
        <w:t xml:space="preserve"> </w:t>
      </w:r>
      <w:r w:rsidRPr="00CE0885">
        <w:rPr>
          <w:spacing w:val="-1"/>
          <w:lang w:eastAsia="en-GB"/>
        </w:rPr>
        <w:t>m</w:t>
      </w:r>
      <w:r w:rsidRPr="00CE0885">
        <w:rPr>
          <w:lang w:eastAsia="en-GB"/>
        </w:rPr>
        <w:t>ay</w:t>
      </w:r>
      <w:r w:rsidRPr="00CE0885">
        <w:rPr>
          <w:spacing w:val="-7"/>
          <w:lang w:eastAsia="en-GB"/>
        </w:rPr>
        <w:t xml:space="preserve"> </w:t>
      </w:r>
      <w:r w:rsidRPr="00CE0885">
        <w:rPr>
          <w:lang w:eastAsia="en-GB"/>
        </w:rPr>
        <w:t>wish</w:t>
      </w:r>
      <w:r w:rsidRPr="00CE0885">
        <w:rPr>
          <w:spacing w:val="-3"/>
          <w:lang w:eastAsia="en-GB"/>
        </w:rPr>
        <w:t xml:space="preserve"> </w:t>
      </w:r>
      <w:r w:rsidRPr="00CE0885">
        <w:rPr>
          <w:lang w:eastAsia="en-GB"/>
        </w:rPr>
        <w:t>to seek</w:t>
      </w:r>
      <w:r w:rsidRPr="00CE0885">
        <w:rPr>
          <w:spacing w:val="-7"/>
          <w:lang w:eastAsia="en-GB"/>
        </w:rPr>
        <w:t xml:space="preserve"> </w:t>
      </w:r>
      <w:r w:rsidRPr="00CE0885">
        <w:rPr>
          <w:spacing w:val="-3"/>
          <w:lang w:eastAsia="en-GB"/>
        </w:rPr>
        <w:t>w</w:t>
      </w:r>
      <w:r w:rsidRPr="00CE0885">
        <w:rPr>
          <w:spacing w:val="-1"/>
          <w:lang w:eastAsia="en-GB"/>
        </w:rPr>
        <w:t>r</w:t>
      </w:r>
      <w:r w:rsidRPr="00CE0885">
        <w:rPr>
          <w:lang w:eastAsia="en-GB"/>
        </w:rPr>
        <w:t>itten</w:t>
      </w:r>
      <w:r w:rsidRPr="00CE0885">
        <w:rPr>
          <w:spacing w:val="-5"/>
          <w:lang w:eastAsia="en-GB"/>
        </w:rPr>
        <w:t xml:space="preserve"> </w:t>
      </w:r>
      <w:r w:rsidRPr="00CE0885">
        <w:rPr>
          <w:lang w:eastAsia="en-GB"/>
        </w:rPr>
        <w:t>assu</w:t>
      </w:r>
      <w:r w:rsidRPr="00CE0885">
        <w:rPr>
          <w:spacing w:val="-1"/>
          <w:lang w:eastAsia="en-GB"/>
        </w:rPr>
        <w:t>r</w:t>
      </w:r>
      <w:r w:rsidRPr="00CE0885">
        <w:rPr>
          <w:lang w:eastAsia="en-GB"/>
        </w:rPr>
        <w:t>a</w:t>
      </w:r>
      <w:r w:rsidRPr="00CE0885">
        <w:rPr>
          <w:spacing w:val="-1"/>
          <w:lang w:eastAsia="en-GB"/>
        </w:rPr>
        <w:t>n</w:t>
      </w:r>
      <w:r w:rsidRPr="00CE0885">
        <w:rPr>
          <w:lang w:eastAsia="en-GB"/>
        </w:rPr>
        <w:t>ces</w:t>
      </w:r>
      <w:r w:rsidRPr="00CE0885">
        <w:rPr>
          <w:spacing w:val="-12"/>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the</w:t>
      </w:r>
      <w:r w:rsidRPr="00CE0885">
        <w:rPr>
          <w:spacing w:val="-4"/>
          <w:lang w:eastAsia="en-GB"/>
        </w:rPr>
        <w:t xml:space="preserve"> </w:t>
      </w:r>
      <w:r w:rsidRPr="00CE0885">
        <w:rPr>
          <w:spacing w:val="-1"/>
          <w:lang w:eastAsia="en-GB"/>
        </w:rPr>
        <w:t>post-variation contractor's</w:t>
      </w:r>
      <w:r w:rsidRPr="00CE0885">
        <w:rPr>
          <w:spacing w:val="-12"/>
          <w:lang w:eastAsia="en-GB"/>
        </w:rPr>
        <w:t xml:space="preserve"> </w:t>
      </w:r>
      <w:r w:rsidRPr="00CE0885">
        <w:rPr>
          <w:lang w:eastAsia="en-GB"/>
        </w:rPr>
        <w:t>ability</w:t>
      </w:r>
      <w:r w:rsidRPr="00CE0885">
        <w:rPr>
          <w:spacing w:val="-8"/>
          <w:lang w:eastAsia="en-GB"/>
        </w:rPr>
        <w:t xml:space="preserve"> </w:t>
      </w:r>
      <w:r w:rsidRPr="00CE0885">
        <w:rPr>
          <w:lang w:eastAsia="en-GB"/>
        </w:rPr>
        <w:t>and</w:t>
      </w:r>
      <w:r w:rsidRPr="00CE0885">
        <w:rPr>
          <w:spacing w:val="-5"/>
          <w:lang w:eastAsia="en-GB"/>
        </w:rPr>
        <w:t xml:space="preserve"> </w:t>
      </w:r>
      <w:r w:rsidRPr="00CE0885">
        <w:rPr>
          <w:lang w:eastAsia="en-GB"/>
        </w:rPr>
        <w:t>capacity</w:t>
      </w:r>
      <w:r w:rsidRPr="00CE0885">
        <w:rPr>
          <w:spacing w:val="-11"/>
          <w:lang w:eastAsia="en-GB"/>
        </w:rPr>
        <w:t xml:space="preserve"> </w:t>
      </w:r>
      <w:r w:rsidRPr="00CE0885">
        <w:rPr>
          <w:lang w:eastAsia="en-GB"/>
        </w:rPr>
        <w:t>to</w:t>
      </w:r>
      <w:r w:rsidRPr="00CE0885">
        <w:rPr>
          <w:spacing w:val="-3"/>
          <w:lang w:eastAsia="en-GB"/>
        </w:rPr>
        <w:t xml:space="preserve"> </w:t>
      </w:r>
      <w:r w:rsidRPr="00CE0885">
        <w:rPr>
          <w:lang w:eastAsia="en-GB"/>
        </w:rPr>
        <w:t>fu</w:t>
      </w:r>
      <w:r w:rsidRPr="00CE0885">
        <w:rPr>
          <w:spacing w:val="-3"/>
          <w:lang w:eastAsia="en-GB"/>
        </w:rPr>
        <w:t>l</w:t>
      </w:r>
      <w:r w:rsidRPr="00CE0885">
        <w:rPr>
          <w:spacing w:val="3"/>
          <w:lang w:eastAsia="en-GB"/>
        </w:rPr>
        <w:t>f</w:t>
      </w:r>
      <w:r w:rsidRPr="00CE0885">
        <w:rPr>
          <w:lang w:eastAsia="en-GB"/>
        </w:rPr>
        <w:t>il</w:t>
      </w:r>
      <w:r w:rsidRPr="00CE0885">
        <w:rPr>
          <w:spacing w:val="-5"/>
          <w:lang w:eastAsia="en-GB"/>
        </w:rPr>
        <w:t xml:space="preserve"> </w:t>
      </w:r>
      <w:r w:rsidRPr="00CE0885">
        <w:rPr>
          <w:lang w:eastAsia="en-GB"/>
        </w:rPr>
        <w:t>the</w:t>
      </w:r>
      <w:r w:rsidRPr="00CE0885">
        <w:rPr>
          <w:spacing w:val="-4"/>
          <w:lang w:eastAsia="en-GB"/>
        </w:rPr>
        <w:t xml:space="preserve"> </w:t>
      </w:r>
      <w:r w:rsidRPr="00CE0885">
        <w:rPr>
          <w:lang w:eastAsia="en-GB"/>
        </w:rPr>
        <w:t>o</w:t>
      </w:r>
      <w:r w:rsidRPr="00CE0885">
        <w:rPr>
          <w:spacing w:val="-1"/>
          <w:lang w:eastAsia="en-GB"/>
        </w:rPr>
        <w:t>b</w:t>
      </w:r>
      <w:r w:rsidRPr="00CE0885">
        <w:rPr>
          <w:lang w:eastAsia="en-GB"/>
        </w:rPr>
        <w:t>li</w:t>
      </w:r>
      <w:r w:rsidRPr="00CE0885">
        <w:rPr>
          <w:spacing w:val="-1"/>
          <w:lang w:eastAsia="en-GB"/>
        </w:rPr>
        <w:t>g</w:t>
      </w:r>
      <w:r w:rsidRPr="00CE0885">
        <w:rPr>
          <w:lang w:eastAsia="en-GB"/>
        </w:rPr>
        <w:t>ations</w:t>
      </w:r>
      <w:r w:rsidRPr="00CE0885">
        <w:rPr>
          <w:spacing w:val="-11"/>
          <w:lang w:eastAsia="en-GB"/>
        </w:rPr>
        <w:t xml:space="preserve"> </w:t>
      </w:r>
      <w:r w:rsidRPr="00CE0885">
        <w:rPr>
          <w:spacing w:val="-1"/>
          <w:lang w:eastAsia="en-GB"/>
        </w:rPr>
        <w:t>o</w:t>
      </w:r>
      <w:r w:rsidRPr="00CE0885">
        <w:rPr>
          <w:lang w:eastAsia="en-GB"/>
        </w:rPr>
        <w:t xml:space="preserve">f </w:t>
      </w:r>
      <w:r w:rsidRPr="00CE0885">
        <w:rPr>
          <w:spacing w:val="-2"/>
          <w:lang w:eastAsia="en-GB"/>
        </w:rPr>
        <w:t>t</w:t>
      </w:r>
      <w:r w:rsidRPr="00CE0885">
        <w:rPr>
          <w:lang w:eastAsia="en-GB"/>
        </w:rPr>
        <w:t>he</w:t>
      </w:r>
      <w:r w:rsidRPr="00CE0885">
        <w:rPr>
          <w:spacing w:val="-1"/>
          <w:lang w:eastAsia="en-GB"/>
        </w:rPr>
        <w:t xml:space="preserve"> </w:t>
      </w:r>
      <w:r w:rsidRPr="00CE0885">
        <w:rPr>
          <w:spacing w:val="-2"/>
          <w:lang w:eastAsia="en-GB"/>
        </w:rPr>
        <w:t>c</w:t>
      </w:r>
      <w:r w:rsidRPr="00CE0885">
        <w:rPr>
          <w:lang w:eastAsia="en-GB"/>
        </w:rPr>
        <w:t>ont</w:t>
      </w:r>
      <w:r w:rsidRPr="00CE0885">
        <w:rPr>
          <w:spacing w:val="-1"/>
          <w:lang w:eastAsia="en-GB"/>
        </w:rPr>
        <w:t>r</w:t>
      </w:r>
      <w:r w:rsidRPr="00CE0885">
        <w:rPr>
          <w:lang w:eastAsia="en-GB"/>
        </w:rPr>
        <w:t>a</w:t>
      </w:r>
      <w:r w:rsidRPr="00CE0885">
        <w:rPr>
          <w:spacing w:val="-2"/>
          <w:lang w:eastAsia="en-GB"/>
        </w:rPr>
        <w:t>c</w:t>
      </w:r>
      <w:r w:rsidRPr="00CE0885">
        <w:rPr>
          <w:lang w:eastAsia="en-GB"/>
        </w:rPr>
        <w:t>t and</w:t>
      </w:r>
      <w:r w:rsidRPr="00CE0885">
        <w:rPr>
          <w:spacing w:val="-5"/>
          <w:lang w:eastAsia="en-GB"/>
        </w:rPr>
        <w:t xml:space="preserve"> </w:t>
      </w:r>
      <w:r w:rsidRPr="00CE0885">
        <w:rPr>
          <w:lang w:eastAsia="en-GB"/>
        </w:rPr>
        <w:t>their</w:t>
      </w:r>
      <w:r w:rsidRPr="00CE0885">
        <w:rPr>
          <w:spacing w:val="-5"/>
          <w:lang w:eastAsia="en-GB"/>
        </w:rPr>
        <w:t xml:space="preserve"> </w:t>
      </w:r>
      <w:r w:rsidRPr="00CE0885">
        <w:rPr>
          <w:lang w:eastAsia="en-GB"/>
        </w:rPr>
        <w:t>p</w:t>
      </w:r>
      <w:r w:rsidRPr="00CE0885">
        <w:rPr>
          <w:spacing w:val="-1"/>
          <w:lang w:eastAsia="en-GB"/>
        </w:rPr>
        <w:t>ro</w:t>
      </w:r>
      <w:r w:rsidRPr="00CE0885">
        <w:rPr>
          <w:lang w:eastAsia="en-GB"/>
        </w:rPr>
        <w:t>po</w:t>
      </w:r>
      <w:r w:rsidRPr="00CE0885">
        <w:rPr>
          <w:spacing w:val="-2"/>
          <w:lang w:eastAsia="en-GB"/>
        </w:rPr>
        <w:t>s</w:t>
      </w:r>
      <w:r w:rsidRPr="00CE0885">
        <w:rPr>
          <w:lang w:eastAsia="en-GB"/>
        </w:rPr>
        <w:t>als</w:t>
      </w:r>
      <w:r w:rsidRPr="00CE0885">
        <w:rPr>
          <w:spacing w:val="-12"/>
          <w:lang w:eastAsia="en-GB"/>
        </w:rPr>
        <w:t xml:space="preserve"> </w:t>
      </w:r>
      <w:r w:rsidRPr="00CE0885">
        <w:rPr>
          <w:spacing w:val="3"/>
          <w:lang w:eastAsia="en-GB"/>
        </w:rPr>
        <w:t>f</w:t>
      </w:r>
      <w:r w:rsidRPr="00CE0885">
        <w:rPr>
          <w:lang w:eastAsia="en-GB"/>
        </w:rPr>
        <w:t>or</w:t>
      </w:r>
      <w:r w:rsidRPr="00CE0885">
        <w:rPr>
          <w:spacing w:val="-6"/>
          <w:lang w:eastAsia="en-GB"/>
        </w:rPr>
        <w:t xml:space="preserve"> </w:t>
      </w:r>
      <w:r w:rsidRPr="00CE0885">
        <w:rPr>
          <w:lang w:eastAsia="en-GB"/>
        </w:rPr>
        <w:t>the</w:t>
      </w:r>
      <w:r w:rsidRPr="00CE0885">
        <w:rPr>
          <w:spacing w:val="-4"/>
          <w:lang w:eastAsia="en-GB"/>
        </w:rPr>
        <w:t xml:space="preserve"> </w:t>
      </w:r>
      <w:r w:rsidRPr="00CE0885">
        <w:rPr>
          <w:lang w:eastAsia="en-GB"/>
        </w:rPr>
        <w:t>futu</w:t>
      </w:r>
      <w:r w:rsidRPr="00CE0885">
        <w:rPr>
          <w:spacing w:val="-1"/>
          <w:lang w:eastAsia="en-GB"/>
        </w:rPr>
        <w:t>r</w:t>
      </w:r>
      <w:r w:rsidRPr="00CE0885">
        <w:rPr>
          <w:lang w:eastAsia="en-GB"/>
        </w:rPr>
        <w:t>e</w:t>
      </w:r>
      <w:r w:rsidRPr="00CE0885">
        <w:rPr>
          <w:spacing w:val="-7"/>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the</w:t>
      </w:r>
      <w:r w:rsidRPr="00CE0885">
        <w:rPr>
          <w:spacing w:val="-4"/>
          <w:lang w:eastAsia="en-GB"/>
        </w:rPr>
        <w:t xml:space="preserve"> </w:t>
      </w:r>
      <w:r w:rsidRPr="00CE0885">
        <w:rPr>
          <w:lang w:eastAsia="en-GB"/>
        </w:rPr>
        <w:t>se</w:t>
      </w:r>
      <w:r w:rsidRPr="00CE0885">
        <w:rPr>
          <w:spacing w:val="-1"/>
          <w:lang w:eastAsia="en-GB"/>
        </w:rPr>
        <w:t>r</w:t>
      </w:r>
      <w:r w:rsidRPr="00CE0885">
        <w:rPr>
          <w:spacing w:val="-2"/>
          <w:lang w:eastAsia="en-GB"/>
        </w:rPr>
        <w:t>v</w:t>
      </w:r>
      <w:r w:rsidRPr="00CE0885">
        <w:rPr>
          <w:lang w:eastAsia="en-GB"/>
        </w:rPr>
        <w:t>ice</w:t>
      </w:r>
      <w:r w:rsidRPr="00CE0885">
        <w:rPr>
          <w:spacing w:val="-6"/>
          <w:lang w:eastAsia="en-GB"/>
        </w:rPr>
        <w:t>.</w:t>
      </w:r>
      <w:bookmarkEnd w:id="643"/>
      <w:bookmarkEnd w:id="644"/>
    </w:p>
    <w:p w14:paraId="479BDED5" w14:textId="77777777" w:rsidR="00977693" w:rsidRPr="00CE0885" w:rsidRDefault="00977693" w:rsidP="006B781A">
      <w:pPr>
        <w:pStyle w:val="Heading3"/>
        <w:rPr>
          <w:lang w:eastAsia="en-GB"/>
        </w:rPr>
      </w:pPr>
      <w:bookmarkStart w:id="645" w:name="_Toc440981790"/>
      <w:r w:rsidRPr="00CE0885">
        <w:rPr>
          <w:lang w:eastAsia="en-GB"/>
        </w:rPr>
        <w:t>APMS or PMS contracts are not required to contain a right of termination where one of more persons have left the practice during the existence of the contract. The Commissioner should review the relevant contract to determine whether any such provisions have been included.</w:t>
      </w:r>
      <w:bookmarkEnd w:id="645"/>
      <w:r w:rsidRPr="00CE0885">
        <w:rPr>
          <w:lang w:eastAsia="en-GB"/>
        </w:rPr>
        <w:t xml:space="preserve"> </w:t>
      </w:r>
    </w:p>
    <w:p w14:paraId="41C05C62" w14:textId="77777777" w:rsidR="00977693" w:rsidRPr="00CE0885" w:rsidRDefault="00977693" w:rsidP="00977693">
      <w:pPr>
        <w:widowControl w:val="0"/>
        <w:spacing w:line="360" w:lineRule="auto"/>
        <w:ind w:left="720"/>
        <w:jc w:val="both"/>
        <w:rPr>
          <w:rFonts w:cs="Arial"/>
          <w:bCs w:val="0"/>
          <w:szCs w:val="24"/>
          <w:lang w:eastAsia="en-GB"/>
        </w:rPr>
      </w:pPr>
    </w:p>
    <w:p w14:paraId="0BA4EEA0" w14:textId="77777777" w:rsidR="00977693" w:rsidRPr="00CE0885" w:rsidRDefault="00977693" w:rsidP="00977693">
      <w:pPr>
        <w:widowControl w:val="0"/>
        <w:spacing w:line="360" w:lineRule="auto"/>
        <w:ind w:left="720"/>
        <w:jc w:val="both"/>
        <w:rPr>
          <w:rFonts w:cs="Arial"/>
          <w:bCs w:val="0"/>
          <w:szCs w:val="24"/>
          <w:lang w:eastAsia="en-GB"/>
        </w:rPr>
      </w:pPr>
      <w:r w:rsidRPr="00CE0885">
        <w:rPr>
          <w:rFonts w:cs="Arial"/>
          <w:bCs w:val="0"/>
          <w:szCs w:val="24"/>
          <w:lang w:eastAsia="en-GB"/>
        </w:rPr>
        <w:t>Changes to contracts with more than one individual – APMS contracts</w:t>
      </w:r>
    </w:p>
    <w:p w14:paraId="51632D7E" w14:textId="77777777" w:rsidR="00977693" w:rsidRPr="00CE0885" w:rsidRDefault="00977693" w:rsidP="006B781A">
      <w:pPr>
        <w:pStyle w:val="Heading3"/>
        <w:rPr>
          <w:lang w:eastAsia="en-GB"/>
        </w:rPr>
      </w:pPr>
      <w:bookmarkStart w:id="646" w:name="_Toc440981791"/>
      <w:r w:rsidRPr="00CE0885">
        <w:rPr>
          <w:lang w:eastAsia="en-GB"/>
        </w:rPr>
        <w:t>The Commissioner should consider the wording of the relevant APMS contract to determine whether there are any specific provisions relating to changes to the composition of the contractor. Where there are no such provisions, a similar process to PMS agreements could be followed.</w:t>
      </w:r>
      <w:bookmarkEnd w:id="646"/>
    </w:p>
    <w:p w14:paraId="64D50B8B" w14:textId="77777777" w:rsidR="00977693" w:rsidRPr="00CE0885" w:rsidRDefault="00977693" w:rsidP="00977693">
      <w:pPr>
        <w:widowControl w:val="0"/>
        <w:tabs>
          <w:tab w:val="left" w:pos="2268"/>
        </w:tabs>
        <w:spacing w:line="360" w:lineRule="auto"/>
        <w:ind w:left="720"/>
        <w:jc w:val="both"/>
        <w:outlineLvl w:val="1"/>
        <w:rPr>
          <w:rFonts w:cs="Arial"/>
          <w:bCs w:val="0"/>
          <w:szCs w:val="24"/>
          <w:lang w:eastAsia="en-GB"/>
        </w:rPr>
      </w:pPr>
    </w:p>
    <w:p w14:paraId="5C28CC5B" w14:textId="77777777" w:rsidR="00977693" w:rsidRPr="00CE5A3A" w:rsidRDefault="00977693" w:rsidP="00CE5A3A">
      <w:pPr>
        <w:pStyle w:val="BodyText"/>
        <w:rPr>
          <w:b/>
          <w:sz w:val="24"/>
          <w:szCs w:val="24"/>
        </w:rPr>
      </w:pPr>
      <w:bookmarkStart w:id="647" w:name="_Toc440981792"/>
      <w:r w:rsidRPr="00CE5A3A">
        <w:rPr>
          <w:b/>
          <w:sz w:val="24"/>
          <w:szCs w:val="24"/>
        </w:rPr>
        <w:t>Partnership splits/members dispute – GMS and PMS</w:t>
      </w:r>
      <w:bookmarkEnd w:id="647"/>
    </w:p>
    <w:p w14:paraId="24349860" w14:textId="77777777" w:rsidR="00977693" w:rsidRPr="00CE0885" w:rsidRDefault="00977693" w:rsidP="006B781A">
      <w:pPr>
        <w:pStyle w:val="Heading3"/>
        <w:rPr>
          <w:lang w:eastAsia="en-GB"/>
        </w:rPr>
      </w:pPr>
      <w:bookmarkStart w:id="648" w:name="_Toc440981793"/>
      <w:r w:rsidRPr="00CE0885">
        <w:rPr>
          <w:lang w:eastAsia="en-GB"/>
        </w:rPr>
        <w:t xml:space="preserve">Where the contractor to a </w:t>
      </w:r>
      <w:r w:rsidRPr="00CE0885">
        <w:rPr>
          <w:spacing w:val="1"/>
          <w:lang w:eastAsia="en-GB"/>
        </w:rPr>
        <w:t>G</w:t>
      </w:r>
      <w:r w:rsidRPr="00CE0885">
        <w:rPr>
          <w:spacing w:val="-1"/>
          <w:lang w:eastAsia="en-GB"/>
        </w:rPr>
        <w:t>M</w:t>
      </w:r>
      <w:r w:rsidRPr="00CE0885">
        <w:rPr>
          <w:lang w:eastAsia="en-GB"/>
        </w:rPr>
        <w:t>S contract is a partnership and the partnership dissolves due to an internal partnership dispute, the contract</w:t>
      </w:r>
      <w:r w:rsidRPr="00CE0885">
        <w:rPr>
          <w:spacing w:val="-13"/>
          <w:lang w:eastAsia="en-GB"/>
        </w:rPr>
        <w:t xml:space="preserve"> will terminate </w:t>
      </w:r>
      <w:r w:rsidRPr="00CE0885">
        <w:rPr>
          <w:spacing w:val="1"/>
          <w:lang w:eastAsia="en-GB"/>
        </w:rPr>
        <w:t>un</w:t>
      </w:r>
      <w:r w:rsidRPr="00CE0885">
        <w:rPr>
          <w:lang w:eastAsia="en-GB"/>
        </w:rPr>
        <w:t>l</w:t>
      </w:r>
      <w:r w:rsidRPr="00CE0885">
        <w:rPr>
          <w:spacing w:val="1"/>
          <w:lang w:eastAsia="en-GB"/>
        </w:rPr>
        <w:t>e</w:t>
      </w:r>
      <w:r w:rsidRPr="00CE0885">
        <w:rPr>
          <w:lang w:eastAsia="en-GB"/>
        </w:rPr>
        <w:t>ss</w:t>
      </w:r>
      <w:r w:rsidRPr="00CE0885">
        <w:rPr>
          <w:spacing w:val="-9"/>
          <w:lang w:eastAsia="en-GB"/>
        </w:rPr>
        <w:t xml:space="preserve"> </w:t>
      </w:r>
      <w:r w:rsidRPr="00CE0885">
        <w:rPr>
          <w:spacing w:val="1"/>
          <w:lang w:eastAsia="en-GB"/>
        </w:rPr>
        <w:t>the</w:t>
      </w:r>
      <w:r w:rsidRPr="00CE0885">
        <w:rPr>
          <w:spacing w:val="-2"/>
          <w:lang w:eastAsia="en-GB"/>
        </w:rPr>
        <w:t xml:space="preserve"> </w:t>
      </w:r>
      <w:r w:rsidRPr="00CE0885">
        <w:rPr>
          <w:spacing w:val="-1"/>
          <w:lang w:eastAsia="en-GB"/>
        </w:rPr>
        <w:t>p</w:t>
      </w:r>
      <w:r w:rsidRPr="00CE0885">
        <w:rPr>
          <w:spacing w:val="1"/>
          <w:lang w:eastAsia="en-GB"/>
        </w:rPr>
        <w:t>a</w:t>
      </w:r>
      <w:r w:rsidRPr="00CE0885">
        <w:rPr>
          <w:spacing w:val="-1"/>
          <w:lang w:eastAsia="en-GB"/>
        </w:rPr>
        <w:t>r</w:t>
      </w:r>
      <w:r w:rsidRPr="00CE0885">
        <w:rPr>
          <w:spacing w:val="1"/>
          <w:lang w:eastAsia="en-GB"/>
        </w:rPr>
        <w:t>t</w:t>
      </w:r>
      <w:r w:rsidRPr="00CE0885">
        <w:rPr>
          <w:lang w:eastAsia="en-GB"/>
        </w:rPr>
        <w:t>i</w:t>
      </w:r>
      <w:r w:rsidRPr="00CE0885">
        <w:rPr>
          <w:spacing w:val="1"/>
          <w:lang w:eastAsia="en-GB"/>
        </w:rPr>
        <w:t>e</w:t>
      </w:r>
      <w:r w:rsidRPr="00CE0885">
        <w:rPr>
          <w:lang w:eastAsia="en-GB"/>
        </w:rPr>
        <w:t>s</w:t>
      </w:r>
      <w:r w:rsidRPr="00CE0885">
        <w:rPr>
          <w:spacing w:val="-7"/>
          <w:lang w:eastAsia="en-GB"/>
        </w:rPr>
        <w:t xml:space="preserve"> </w:t>
      </w:r>
      <w:r w:rsidRPr="00CE0885">
        <w:rPr>
          <w:spacing w:val="1"/>
          <w:lang w:eastAsia="en-GB"/>
        </w:rPr>
        <w:t>a</w:t>
      </w:r>
      <w:r w:rsidRPr="00CE0885">
        <w:rPr>
          <w:spacing w:val="-1"/>
          <w:lang w:eastAsia="en-GB"/>
        </w:rPr>
        <w:t>gr</w:t>
      </w:r>
      <w:r w:rsidRPr="00CE0885">
        <w:rPr>
          <w:spacing w:val="1"/>
          <w:lang w:eastAsia="en-GB"/>
        </w:rPr>
        <w:t>e</w:t>
      </w:r>
      <w:r w:rsidRPr="00CE0885">
        <w:rPr>
          <w:lang w:eastAsia="en-GB"/>
        </w:rPr>
        <w:t>e</w:t>
      </w:r>
      <w:r w:rsidRPr="00CE0885">
        <w:rPr>
          <w:spacing w:val="-7"/>
          <w:lang w:eastAsia="en-GB"/>
        </w:rPr>
        <w:t xml:space="preserve"> </w:t>
      </w:r>
      <w:r w:rsidRPr="00CE0885">
        <w:rPr>
          <w:spacing w:val="1"/>
          <w:lang w:eastAsia="en-GB"/>
        </w:rPr>
        <w:t>fo</w:t>
      </w:r>
      <w:r w:rsidRPr="00CE0885">
        <w:rPr>
          <w:lang w:eastAsia="en-GB"/>
        </w:rPr>
        <w:t>r</w:t>
      </w:r>
      <w:r w:rsidRPr="00CE0885">
        <w:rPr>
          <w:spacing w:val="-3"/>
          <w:lang w:eastAsia="en-GB"/>
        </w:rPr>
        <w:t xml:space="preserve">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c</w:t>
      </w:r>
      <w:r w:rsidRPr="00CE0885">
        <w:rPr>
          <w:spacing w:val="1"/>
          <w:lang w:eastAsia="en-GB"/>
        </w:rPr>
        <w:t>o</w:t>
      </w:r>
      <w:r w:rsidRPr="00CE0885">
        <w:rPr>
          <w:spacing w:val="-1"/>
          <w:lang w:eastAsia="en-GB"/>
        </w:rPr>
        <w:t>n</w:t>
      </w:r>
      <w:r w:rsidRPr="00CE0885">
        <w:rPr>
          <w:spacing w:val="1"/>
          <w:lang w:eastAsia="en-GB"/>
        </w:rPr>
        <w:t>t</w:t>
      </w:r>
      <w:r w:rsidRPr="00CE0885">
        <w:rPr>
          <w:spacing w:val="-1"/>
          <w:lang w:eastAsia="en-GB"/>
        </w:rPr>
        <w:t>r</w:t>
      </w:r>
      <w:r w:rsidRPr="00CE0885">
        <w:rPr>
          <w:spacing w:val="1"/>
          <w:lang w:eastAsia="en-GB"/>
        </w:rPr>
        <w:t>a</w:t>
      </w:r>
      <w:r w:rsidRPr="00CE0885">
        <w:rPr>
          <w:lang w:eastAsia="en-GB"/>
        </w:rPr>
        <w:t>ct</w:t>
      </w:r>
      <w:r w:rsidRPr="00CE0885">
        <w:rPr>
          <w:spacing w:val="-8"/>
          <w:lang w:eastAsia="en-GB"/>
        </w:rPr>
        <w:t xml:space="preserve"> </w:t>
      </w:r>
      <w:r w:rsidRPr="00CE0885">
        <w:rPr>
          <w:spacing w:val="-2"/>
          <w:lang w:eastAsia="en-GB"/>
        </w:rPr>
        <w:t>t</w:t>
      </w:r>
      <w:r w:rsidRPr="00CE0885">
        <w:rPr>
          <w:lang w:eastAsia="en-GB"/>
        </w:rPr>
        <w:t>o c</w:t>
      </w:r>
      <w:r w:rsidRPr="00CE0885">
        <w:rPr>
          <w:spacing w:val="-1"/>
          <w:lang w:eastAsia="en-GB"/>
        </w:rPr>
        <w:t>o</w:t>
      </w:r>
      <w:r w:rsidRPr="00CE0885">
        <w:rPr>
          <w:spacing w:val="1"/>
          <w:lang w:eastAsia="en-GB"/>
        </w:rPr>
        <w:t>nt</w:t>
      </w:r>
      <w:r w:rsidRPr="00CE0885">
        <w:rPr>
          <w:lang w:eastAsia="en-GB"/>
        </w:rPr>
        <w:t>i</w:t>
      </w:r>
      <w:r w:rsidRPr="00CE0885">
        <w:rPr>
          <w:spacing w:val="1"/>
          <w:lang w:eastAsia="en-GB"/>
        </w:rPr>
        <w:t>n</w:t>
      </w:r>
      <w:r w:rsidRPr="00CE0885">
        <w:rPr>
          <w:spacing w:val="-1"/>
          <w:lang w:eastAsia="en-GB"/>
        </w:rPr>
        <w:t>u</w:t>
      </w:r>
      <w:r w:rsidRPr="00CE0885">
        <w:rPr>
          <w:lang w:eastAsia="en-GB"/>
        </w:rPr>
        <w:t>e</w:t>
      </w:r>
      <w:r w:rsidRPr="00CE0885">
        <w:rPr>
          <w:spacing w:val="-10"/>
          <w:lang w:eastAsia="en-GB"/>
        </w:rPr>
        <w:t xml:space="preserve"> </w:t>
      </w:r>
      <w:r w:rsidRPr="00CE0885">
        <w:rPr>
          <w:spacing w:val="-3"/>
          <w:lang w:eastAsia="en-GB"/>
        </w:rPr>
        <w:t>w</w:t>
      </w:r>
      <w:r w:rsidRPr="00CE0885">
        <w:rPr>
          <w:lang w:eastAsia="en-GB"/>
        </w:rPr>
        <w:t>i</w:t>
      </w:r>
      <w:r w:rsidRPr="00CE0885">
        <w:rPr>
          <w:spacing w:val="1"/>
          <w:lang w:eastAsia="en-GB"/>
        </w:rPr>
        <w:t>t</w:t>
      </w:r>
      <w:r w:rsidRPr="00CE0885">
        <w:rPr>
          <w:lang w:eastAsia="en-GB"/>
        </w:rPr>
        <w:t xml:space="preserve">h </w:t>
      </w:r>
      <w:r w:rsidRPr="00CE0885">
        <w:rPr>
          <w:spacing w:val="1"/>
          <w:lang w:eastAsia="en-GB"/>
        </w:rPr>
        <w:t>on</w:t>
      </w:r>
      <w:r w:rsidRPr="00CE0885">
        <w:rPr>
          <w:lang w:eastAsia="en-GB"/>
        </w:rPr>
        <w:t>e</w:t>
      </w:r>
      <w:r w:rsidRPr="00CE0885">
        <w:rPr>
          <w:spacing w:val="-5"/>
          <w:lang w:eastAsia="en-GB"/>
        </w:rPr>
        <w:t xml:space="preserve"> </w:t>
      </w:r>
      <w:r w:rsidRPr="00CE0885">
        <w:rPr>
          <w:spacing w:val="1"/>
          <w:lang w:eastAsia="en-GB"/>
        </w:rPr>
        <w:t>pa</w:t>
      </w:r>
      <w:r w:rsidRPr="00CE0885">
        <w:rPr>
          <w:spacing w:val="-1"/>
          <w:lang w:eastAsia="en-GB"/>
        </w:rPr>
        <w:t>r</w:t>
      </w:r>
      <w:r w:rsidRPr="00CE0885">
        <w:rPr>
          <w:spacing w:val="1"/>
          <w:lang w:eastAsia="en-GB"/>
        </w:rPr>
        <w:t>t</w:t>
      </w:r>
      <w:r w:rsidRPr="00CE0885">
        <w:rPr>
          <w:spacing w:val="-1"/>
          <w:lang w:eastAsia="en-GB"/>
        </w:rPr>
        <w:t>n</w:t>
      </w:r>
      <w:r w:rsidRPr="00CE0885">
        <w:rPr>
          <w:spacing w:val="1"/>
          <w:lang w:eastAsia="en-GB"/>
        </w:rPr>
        <w:t>e</w:t>
      </w:r>
      <w:r w:rsidRPr="00CE0885">
        <w:rPr>
          <w:lang w:eastAsia="en-GB"/>
        </w:rPr>
        <w:t>r</w:t>
      </w:r>
      <w:r w:rsidRPr="00CE0885">
        <w:rPr>
          <w:spacing w:val="-8"/>
          <w:lang w:eastAsia="en-GB"/>
        </w:rPr>
        <w:t xml:space="preserve"> </w:t>
      </w:r>
      <w:r w:rsidRPr="00CE0885">
        <w:rPr>
          <w:spacing w:val="-1"/>
          <w:lang w:eastAsia="en-GB"/>
        </w:rPr>
        <w:t xml:space="preserve">(see paragraph </w:t>
      </w:r>
      <w:r w:rsidRPr="00CE0885">
        <w:rPr>
          <w:lang w:eastAsia="en-GB"/>
        </w:rPr>
        <w:fldChar w:fldCharType="begin"/>
      </w:r>
      <w:r w:rsidRPr="00CE0885">
        <w:rPr>
          <w:spacing w:val="-1"/>
          <w:lang w:eastAsia="en-GB"/>
        </w:rPr>
        <w:instrText xml:space="preserve"> REF _Ref410414102 \r \h </w:instrText>
      </w:r>
      <w:r w:rsidRPr="00CE0885">
        <w:rPr>
          <w:lang w:eastAsia="en-GB"/>
        </w:rPr>
        <w:instrText xml:space="preserve"> \* MERGEFORMAT </w:instrText>
      </w:r>
      <w:r w:rsidRPr="00CE0885">
        <w:rPr>
          <w:lang w:eastAsia="en-GB"/>
        </w:rPr>
      </w:r>
      <w:r w:rsidRPr="00CE0885">
        <w:rPr>
          <w:lang w:eastAsia="en-GB"/>
        </w:rPr>
        <w:fldChar w:fldCharType="separate"/>
      </w:r>
      <w:r w:rsidR="00622FF2">
        <w:rPr>
          <w:spacing w:val="-1"/>
          <w:lang w:eastAsia="en-GB"/>
        </w:rPr>
        <w:t>7.5.22</w:t>
      </w:r>
      <w:r w:rsidRPr="00CE0885">
        <w:rPr>
          <w:lang w:eastAsia="en-GB"/>
        </w:rPr>
        <w:fldChar w:fldCharType="end"/>
      </w:r>
      <w:r w:rsidRPr="00CE0885">
        <w:rPr>
          <w:lang w:eastAsia="en-GB"/>
        </w:rPr>
        <w:t xml:space="preserve"> </w:t>
      </w:r>
      <w:r w:rsidRPr="00CE0885">
        <w:rPr>
          <w:spacing w:val="-1"/>
          <w:lang w:eastAsia="en-GB"/>
        </w:rPr>
        <w:t>o</w:t>
      </w:r>
      <w:r w:rsidRPr="00CE0885">
        <w:rPr>
          <w:lang w:eastAsia="en-GB"/>
        </w:rPr>
        <w:t>f</w:t>
      </w:r>
      <w:r w:rsidRPr="00CE0885">
        <w:rPr>
          <w:spacing w:val="1"/>
          <w:lang w:eastAsia="en-GB"/>
        </w:rPr>
        <w:t xml:space="preserve"> th</w:t>
      </w:r>
      <w:r w:rsidRPr="00CE0885">
        <w:rPr>
          <w:lang w:eastAsia="en-GB"/>
        </w:rPr>
        <w:t>is policy</w:t>
      </w:r>
      <w:r w:rsidRPr="00CE0885">
        <w:rPr>
          <w:spacing w:val="-1"/>
          <w:lang w:eastAsia="en-GB"/>
        </w:rPr>
        <w:t>)</w:t>
      </w:r>
      <w:r w:rsidRPr="00CE0885">
        <w:rPr>
          <w:lang w:eastAsia="en-GB"/>
        </w:rPr>
        <w:t>. The Commissioner may have little time to make arrangements to ensure service continuity.</w:t>
      </w:r>
      <w:bookmarkEnd w:id="648"/>
      <w:r w:rsidRPr="00CE0885">
        <w:rPr>
          <w:lang w:eastAsia="en-GB"/>
        </w:rPr>
        <w:t xml:space="preserve"> </w:t>
      </w:r>
    </w:p>
    <w:p w14:paraId="10C66223" w14:textId="77777777" w:rsidR="00977693" w:rsidRPr="00CE0885" w:rsidRDefault="00977693" w:rsidP="006B781A">
      <w:pPr>
        <w:pStyle w:val="Heading3"/>
        <w:rPr>
          <w:lang w:eastAsia="en-GB"/>
        </w:rPr>
      </w:pPr>
      <w:bookmarkStart w:id="649" w:name="_Toc440981794"/>
      <w:r w:rsidRPr="00CE0885">
        <w:rPr>
          <w:lang w:eastAsia="en-GB"/>
        </w:rPr>
        <w:t>It is,</w:t>
      </w:r>
      <w:r w:rsidRPr="00CE0885">
        <w:rPr>
          <w:spacing w:val="-1"/>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re</w:t>
      </w:r>
      <w:r w:rsidRPr="00CE0885">
        <w:rPr>
          <w:spacing w:val="3"/>
          <w:lang w:eastAsia="en-GB"/>
        </w:rPr>
        <w:t>f</w:t>
      </w:r>
      <w:r w:rsidRPr="00CE0885">
        <w:rPr>
          <w:lang w:eastAsia="en-GB"/>
        </w:rPr>
        <w:t>o</w:t>
      </w:r>
      <w:r w:rsidRPr="00CE0885">
        <w:rPr>
          <w:spacing w:val="-3"/>
          <w:lang w:eastAsia="en-GB"/>
        </w:rPr>
        <w:t>r</w:t>
      </w:r>
      <w:r w:rsidRPr="00CE0885">
        <w:rPr>
          <w:lang w:eastAsia="en-GB"/>
        </w:rPr>
        <w:t>e,</w:t>
      </w:r>
      <w:r w:rsidRPr="00CE0885">
        <w:rPr>
          <w:spacing w:val="-9"/>
          <w:lang w:eastAsia="en-GB"/>
        </w:rPr>
        <w:t xml:space="preserve"> </w:t>
      </w:r>
      <w:r w:rsidRPr="00CE0885">
        <w:rPr>
          <w:spacing w:val="-1"/>
          <w:lang w:eastAsia="en-GB"/>
        </w:rPr>
        <w:t>d</w:t>
      </w:r>
      <w:r w:rsidRPr="00CE0885">
        <w:rPr>
          <w:lang w:eastAsia="en-GB"/>
        </w:rPr>
        <w:t>esi</w:t>
      </w:r>
      <w:r w:rsidRPr="00CE0885">
        <w:rPr>
          <w:spacing w:val="-1"/>
          <w:lang w:eastAsia="en-GB"/>
        </w:rPr>
        <w:t>r</w:t>
      </w:r>
      <w:r w:rsidRPr="00CE0885">
        <w:rPr>
          <w:lang w:eastAsia="en-GB"/>
        </w:rPr>
        <w:t>ab</w:t>
      </w:r>
      <w:r w:rsidRPr="00CE0885">
        <w:rPr>
          <w:spacing w:val="-3"/>
          <w:lang w:eastAsia="en-GB"/>
        </w:rPr>
        <w:t>l</w:t>
      </w:r>
      <w:r w:rsidRPr="00CE0885">
        <w:rPr>
          <w:lang w:eastAsia="en-GB"/>
        </w:rPr>
        <w:t>e</w:t>
      </w:r>
      <w:r w:rsidRPr="00CE0885">
        <w:rPr>
          <w:spacing w:val="-8"/>
          <w:lang w:eastAsia="en-GB"/>
        </w:rPr>
        <w:t xml:space="preserve"> </w:t>
      </w:r>
      <w:r w:rsidRPr="00CE0885">
        <w:rPr>
          <w:lang w:eastAsia="en-GB"/>
        </w:rPr>
        <w:t>t</w:t>
      </w:r>
      <w:r w:rsidRPr="00CE0885">
        <w:rPr>
          <w:spacing w:val="-1"/>
          <w:lang w:eastAsia="en-GB"/>
        </w:rPr>
        <w:t>h</w:t>
      </w:r>
      <w:r w:rsidRPr="00CE0885">
        <w:rPr>
          <w:lang w:eastAsia="en-GB"/>
        </w:rPr>
        <w:t>at</w:t>
      </w:r>
      <w:r w:rsidRPr="00CE0885">
        <w:rPr>
          <w:spacing w:val="-3"/>
          <w:lang w:eastAsia="en-GB"/>
        </w:rPr>
        <w:t xml:space="preserve"> </w:t>
      </w:r>
      <w:r w:rsidRPr="00CE0885">
        <w:rPr>
          <w:spacing w:val="-2"/>
          <w:lang w:eastAsia="en-GB"/>
        </w:rPr>
        <w:t>t</w:t>
      </w:r>
      <w:r w:rsidRPr="00CE0885">
        <w:rPr>
          <w:lang w:eastAsia="en-GB"/>
        </w:rPr>
        <w:t>he</w:t>
      </w:r>
      <w:r w:rsidRPr="00CE0885">
        <w:rPr>
          <w:spacing w:val="-4"/>
          <w:lang w:eastAsia="en-GB"/>
        </w:rPr>
        <w:t xml:space="preserve"> </w:t>
      </w:r>
      <w:r w:rsidRPr="00CE0885">
        <w:rPr>
          <w:lang w:eastAsia="en-GB"/>
        </w:rPr>
        <w:t>pa</w:t>
      </w:r>
      <w:r w:rsidRPr="00CE0885">
        <w:rPr>
          <w:spacing w:val="-1"/>
          <w:lang w:eastAsia="en-GB"/>
        </w:rPr>
        <w:t>r</w:t>
      </w:r>
      <w:r w:rsidRPr="00CE0885">
        <w:rPr>
          <w:lang w:eastAsia="en-GB"/>
        </w:rPr>
        <w:t>t</w:t>
      </w:r>
      <w:r w:rsidRPr="00CE0885">
        <w:rPr>
          <w:spacing w:val="-1"/>
          <w:lang w:eastAsia="en-GB"/>
        </w:rPr>
        <w:t>n</w:t>
      </w:r>
      <w:r w:rsidRPr="00CE0885">
        <w:rPr>
          <w:lang w:eastAsia="en-GB"/>
        </w:rPr>
        <w:t>e</w:t>
      </w:r>
      <w:r w:rsidRPr="00CE0885">
        <w:rPr>
          <w:spacing w:val="-1"/>
          <w:lang w:eastAsia="en-GB"/>
        </w:rPr>
        <w:t>r</w:t>
      </w:r>
      <w:r w:rsidRPr="00CE0885">
        <w:rPr>
          <w:lang w:eastAsia="en-GB"/>
        </w:rPr>
        <w:t>s</w:t>
      </w:r>
      <w:r w:rsidRPr="00CE0885">
        <w:rPr>
          <w:spacing w:val="-9"/>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a</w:t>
      </w:r>
      <w:r w:rsidRPr="00CE0885">
        <w:rPr>
          <w:spacing w:val="-2"/>
          <w:lang w:eastAsia="en-GB"/>
        </w:rPr>
        <w:t xml:space="preserve"> </w:t>
      </w:r>
      <w:r w:rsidRPr="00CE0885">
        <w:rPr>
          <w:lang w:eastAsia="en-GB"/>
        </w:rPr>
        <w:t>G</w:t>
      </w:r>
      <w:r w:rsidRPr="00CE0885">
        <w:rPr>
          <w:spacing w:val="-1"/>
          <w:lang w:eastAsia="en-GB"/>
        </w:rPr>
        <w:t>M</w:t>
      </w:r>
      <w:r w:rsidRPr="00CE0885">
        <w:rPr>
          <w:lang w:eastAsia="en-GB"/>
        </w:rPr>
        <w:t>S</w:t>
      </w:r>
      <w:r w:rsidRPr="00CE0885">
        <w:rPr>
          <w:spacing w:val="-4"/>
          <w:lang w:eastAsia="en-GB"/>
        </w:rPr>
        <w:t xml:space="preserve"> </w:t>
      </w:r>
      <w:r w:rsidRPr="00CE0885">
        <w:rPr>
          <w:lang w:eastAsia="en-GB"/>
        </w:rPr>
        <w:t>co</w:t>
      </w:r>
      <w:r w:rsidRPr="00CE0885">
        <w:rPr>
          <w:spacing w:val="-1"/>
          <w:lang w:eastAsia="en-GB"/>
        </w:rPr>
        <w:t>n</w:t>
      </w:r>
      <w:r w:rsidRPr="00CE0885">
        <w:rPr>
          <w:lang w:eastAsia="en-GB"/>
        </w:rPr>
        <w:t>t</w:t>
      </w:r>
      <w:r w:rsidRPr="00CE0885">
        <w:rPr>
          <w:spacing w:val="-1"/>
          <w:lang w:eastAsia="en-GB"/>
        </w:rPr>
        <w:t>r</w:t>
      </w:r>
      <w:r w:rsidRPr="00CE0885">
        <w:rPr>
          <w:lang w:eastAsia="en-GB"/>
        </w:rPr>
        <w:t>act</w:t>
      </w:r>
      <w:r w:rsidRPr="00CE0885">
        <w:rPr>
          <w:spacing w:val="-8"/>
          <w:lang w:eastAsia="en-GB"/>
        </w:rPr>
        <w:t xml:space="preserve"> </w:t>
      </w:r>
      <w:r w:rsidRPr="00CE0885">
        <w:rPr>
          <w:lang w:eastAsia="en-GB"/>
        </w:rPr>
        <w:t>a</w:t>
      </w:r>
      <w:r w:rsidRPr="00CE0885">
        <w:rPr>
          <w:spacing w:val="-1"/>
          <w:lang w:eastAsia="en-GB"/>
        </w:rPr>
        <w:t>r</w:t>
      </w:r>
      <w:r w:rsidRPr="00CE0885">
        <w:rPr>
          <w:lang w:eastAsia="en-GB"/>
        </w:rPr>
        <w:t>e</w:t>
      </w:r>
      <w:r w:rsidRPr="00CE0885">
        <w:rPr>
          <w:spacing w:val="-4"/>
          <w:lang w:eastAsia="en-GB"/>
        </w:rPr>
        <w:t xml:space="preserve"> </w:t>
      </w:r>
      <w:r w:rsidRPr="00CE0885">
        <w:rPr>
          <w:lang w:eastAsia="en-GB"/>
        </w:rPr>
        <w:t xml:space="preserve">able </w:t>
      </w:r>
      <w:r w:rsidRPr="00CE0885">
        <w:rPr>
          <w:spacing w:val="-2"/>
          <w:lang w:eastAsia="en-GB"/>
        </w:rPr>
        <w:t>t</w:t>
      </w:r>
      <w:r w:rsidRPr="00CE0885">
        <w:rPr>
          <w:lang w:eastAsia="en-GB"/>
        </w:rPr>
        <w:t xml:space="preserve">o </w:t>
      </w:r>
      <w:r w:rsidRPr="00CE0885">
        <w:rPr>
          <w:spacing w:val="-1"/>
          <w:lang w:eastAsia="en-GB"/>
        </w:rPr>
        <w:t>r</w:t>
      </w:r>
      <w:r w:rsidRPr="00CE0885">
        <w:rPr>
          <w:lang w:eastAsia="en-GB"/>
        </w:rPr>
        <w:t>esol</w:t>
      </w:r>
      <w:r w:rsidRPr="00CE0885">
        <w:rPr>
          <w:spacing w:val="-2"/>
          <w:lang w:eastAsia="en-GB"/>
        </w:rPr>
        <w:t>v</w:t>
      </w:r>
      <w:r w:rsidRPr="00CE0885">
        <w:rPr>
          <w:lang w:eastAsia="en-GB"/>
        </w:rPr>
        <w:t>e disp</w:t>
      </w:r>
      <w:r w:rsidRPr="00CE0885">
        <w:rPr>
          <w:spacing w:val="-1"/>
          <w:lang w:eastAsia="en-GB"/>
        </w:rPr>
        <w:t>u</w:t>
      </w:r>
      <w:r w:rsidRPr="00CE0885">
        <w:rPr>
          <w:lang w:eastAsia="en-GB"/>
        </w:rPr>
        <w:t>tes inte</w:t>
      </w:r>
      <w:r w:rsidRPr="00CE0885">
        <w:rPr>
          <w:spacing w:val="-1"/>
          <w:lang w:eastAsia="en-GB"/>
        </w:rPr>
        <w:t>r</w:t>
      </w:r>
      <w:r w:rsidRPr="00CE0885">
        <w:rPr>
          <w:lang w:eastAsia="en-GB"/>
        </w:rPr>
        <w:t>nall</w:t>
      </w:r>
      <w:r w:rsidRPr="00CE0885">
        <w:rPr>
          <w:spacing w:val="-2"/>
          <w:lang w:eastAsia="en-GB"/>
        </w:rPr>
        <w:t>y</w:t>
      </w:r>
      <w:r w:rsidRPr="00CE0885">
        <w:rPr>
          <w:spacing w:val="-9"/>
          <w:lang w:eastAsia="en-GB"/>
        </w:rPr>
        <w:t xml:space="preserve"> </w:t>
      </w:r>
      <w:r w:rsidRPr="00CE0885">
        <w:rPr>
          <w:spacing w:val="-3"/>
          <w:lang w:eastAsia="en-GB"/>
        </w:rPr>
        <w:t>w</w:t>
      </w:r>
      <w:r w:rsidRPr="00CE0885">
        <w:rPr>
          <w:lang w:eastAsia="en-GB"/>
        </w:rPr>
        <w:t>he</w:t>
      </w:r>
      <w:r w:rsidRPr="00CE0885">
        <w:rPr>
          <w:spacing w:val="-1"/>
          <w:lang w:eastAsia="en-GB"/>
        </w:rPr>
        <w:t>r</w:t>
      </w:r>
      <w:r w:rsidRPr="00CE0885">
        <w:rPr>
          <w:lang w:eastAsia="en-GB"/>
        </w:rPr>
        <w:t>e</w:t>
      </w:r>
      <w:r w:rsidRPr="00CE0885">
        <w:rPr>
          <w:spacing w:val="-5"/>
          <w:lang w:eastAsia="en-GB"/>
        </w:rPr>
        <w:t xml:space="preserve"> </w:t>
      </w:r>
      <w:r w:rsidRPr="00CE0885">
        <w:rPr>
          <w:lang w:eastAsia="en-GB"/>
        </w:rPr>
        <w:t>poss</w:t>
      </w:r>
      <w:r w:rsidRPr="00CE0885">
        <w:rPr>
          <w:spacing w:val="-3"/>
          <w:lang w:eastAsia="en-GB"/>
        </w:rPr>
        <w:t>i</w:t>
      </w:r>
      <w:r w:rsidRPr="00CE0885">
        <w:rPr>
          <w:lang w:eastAsia="en-GB"/>
        </w:rPr>
        <w:t>ble,</w:t>
      </w:r>
      <w:r w:rsidRPr="00CE0885">
        <w:rPr>
          <w:spacing w:val="-8"/>
          <w:lang w:eastAsia="en-GB"/>
        </w:rPr>
        <w:t xml:space="preserve"> </w:t>
      </w:r>
      <w:r w:rsidRPr="00CE0885">
        <w:rPr>
          <w:spacing w:val="-3"/>
          <w:lang w:eastAsia="en-GB"/>
        </w:rPr>
        <w:t>w</w:t>
      </w:r>
      <w:r w:rsidRPr="00CE0885">
        <w:rPr>
          <w:lang w:eastAsia="en-GB"/>
        </w:rPr>
        <w:t>ith</w:t>
      </w:r>
      <w:r w:rsidRPr="00CE0885">
        <w:rPr>
          <w:spacing w:val="-2"/>
          <w:lang w:eastAsia="en-GB"/>
        </w:rPr>
        <w:t xml:space="preserve"> </w:t>
      </w:r>
      <w:r w:rsidRPr="00CE0885">
        <w:rPr>
          <w:lang w:eastAsia="en-GB"/>
        </w:rPr>
        <w:t>the</w:t>
      </w:r>
      <w:r w:rsidRPr="00CE0885">
        <w:rPr>
          <w:spacing w:val="-4"/>
          <w:lang w:eastAsia="en-GB"/>
        </w:rPr>
        <w:t xml:space="preserve"> </w:t>
      </w:r>
      <w:r w:rsidRPr="00CE0885">
        <w:rPr>
          <w:lang w:eastAsia="en-GB"/>
        </w:rPr>
        <w:t>su</w:t>
      </w:r>
      <w:r w:rsidRPr="00CE0885">
        <w:rPr>
          <w:spacing w:val="-1"/>
          <w:lang w:eastAsia="en-GB"/>
        </w:rPr>
        <w:t>p</w:t>
      </w:r>
      <w:r w:rsidRPr="00CE0885">
        <w:rPr>
          <w:lang w:eastAsia="en-GB"/>
        </w:rPr>
        <w:t>po</w:t>
      </w:r>
      <w:r w:rsidRPr="00CE0885">
        <w:rPr>
          <w:spacing w:val="-1"/>
          <w:lang w:eastAsia="en-GB"/>
        </w:rPr>
        <w:t>r</w:t>
      </w:r>
      <w:r w:rsidRPr="00CE0885">
        <w:rPr>
          <w:lang w:eastAsia="en-GB"/>
        </w:rPr>
        <w:t>t</w:t>
      </w:r>
      <w:r w:rsidRPr="00CE0885">
        <w:rPr>
          <w:spacing w:val="-9"/>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the</w:t>
      </w:r>
      <w:r w:rsidRPr="00CE0885">
        <w:rPr>
          <w:spacing w:val="-4"/>
          <w:lang w:eastAsia="en-GB"/>
        </w:rPr>
        <w:t xml:space="preserve"> </w:t>
      </w:r>
      <w:r w:rsidRPr="00CE0885">
        <w:rPr>
          <w:lang w:eastAsia="en-GB"/>
        </w:rPr>
        <w:t>LMC</w:t>
      </w:r>
      <w:r w:rsidRPr="00CE0885">
        <w:rPr>
          <w:spacing w:val="-10"/>
          <w:lang w:eastAsia="en-GB"/>
        </w:rPr>
        <w:t xml:space="preserve"> </w:t>
      </w:r>
      <w:r w:rsidRPr="00CE0885">
        <w:rPr>
          <w:lang w:eastAsia="en-GB"/>
        </w:rPr>
        <w:t>a</w:t>
      </w:r>
      <w:r w:rsidRPr="00CE0885">
        <w:rPr>
          <w:spacing w:val="-1"/>
          <w:lang w:eastAsia="en-GB"/>
        </w:rPr>
        <w:t>n</w:t>
      </w:r>
      <w:r w:rsidRPr="00CE0885">
        <w:rPr>
          <w:lang w:eastAsia="en-GB"/>
        </w:rPr>
        <w:t>d/or</w:t>
      </w:r>
      <w:r w:rsidRPr="00CE0885">
        <w:rPr>
          <w:spacing w:val="-10"/>
          <w:lang w:eastAsia="en-GB"/>
        </w:rPr>
        <w:t xml:space="preserve"> </w:t>
      </w:r>
      <w:r w:rsidRPr="00CE0885">
        <w:rPr>
          <w:spacing w:val="2"/>
          <w:lang w:eastAsia="en-GB"/>
        </w:rPr>
        <w:t>m</w:t>
      </w:r>
      <w:r w:rsidRPr="00CE0885">
        <w:rPr>
          <w:spacing w:val="-1"/>
          <w:lang w:eastAsia="en-GB"/>
        </w:rPr>
        <w:t>ed</w:t>
      </w:r>
      <w:r w:rsidRPr="00CE0885">
        <w:rPr>
          <w:lang w:eastAsia="en-GB"/>
        </w:rPr>
        <w:t>iation</w:t>
      </w:r>
      <w:r w:rsidRPr="00CE0885">
        <w:rPr>
          <w:spacing w:val="-8"/>
          <w:lang w:eastAsia="en-GB"/>
        </w:rPr>
        <w:t xml:space="preserve"> </w:t>
      </w:r>
      <w:r w:rsidRPr="00CE0885">
        <w:rPr>
          <w:spacing w:val="-2"/>
          <w:lang w:eastAsia="en-GB"/>
        </w:rPr>
        <w:t>s</w:t>
      </w:r>
      <w:r w:rsidRPr="00CE0885">
        <w:rPr>
          <w:lang w:eastAsia="en-GB"/>
        </w:rPr>
        <w:t>e</w:t>
      </w:r>
      <w:r w:rsidRPr="00CE0885">
        <w:rPr>
          <w:spacing w:val="-1"/>
          <w:lang w:eastAsia="en-GB"/>
        </w:rPr>
        <w:t>r</w:t>
      </w:r>
      <w:r w:rsidRPr="00CE0885">
        <w:rPr>
          <w:spacing w:val="-2"/>
          <w:lang w:eastAsia="en-GB"/>
        </w:rPr>
        <w:t>v</w:t>
      </w:r>
      <w:r w:rsidRPr="00CE0885">
        <w:rPr>
          <w:lang w:eastAsia="en-GB"/>
        </w:rPr>
        <w:t>ices.</w:t>
      </w:r>
      <w:bookmarkEnd w:id="649"/>
    </w:p>
    <w:p w14:paraId="25AF823A" w14:textId="3AA3BDD2" w:rsidR="00977693" w:rsidRPr="00CE0885" w:rsidRDefault="00977693" w:rsidP="006B781A">
      <w:pPr>
        <w:pStyle w:val="Heading3"/>
        <w:rPr>
          <w:lang w:eastAsia="en-GB"/>
        </w:rPr>
      </w:pPr>
      <w:bookmarkStart w:id="650" w:name="_Toc440981795"/>
      <w:r w:rsidRPr="00CE0885">
        <w:rPr>
          <w:lang w:eastAsia="en-GB"/>
        </w:rPr>
        <w:t>If the partnership holding a GMS contract does not dissolve or terminate but the partnership no longer wishes to be a party to the contract, then the contractor will need to terminate on notice, which must not be less than six months unless agreed by the Commissioner. Failu</w:t>
      </w:r>
      <w:r w:rsidRPr="00CE0885">
        <w:rPr>
          <w:spacing w:val="-1"/>
          <w:lang w:eastAsia="en-GB"/>
        </w:rPr>
        <w:t>r</w:t>
      </w:r>
      <w:r w:rsidRPr="00CE0885">
        <w:rPr>
          <w:lang w:eastAsia="en-GB"/>
        </w:rPr>
        <w:t>e</w:t>
      </w:r>
      <w:r w:rsidRPr="00CE0885">
        <w:rPr>
          <w:spacing w:val="-5"/>
          <w:lang w:eastAsia="en-GB"/>
        </w:rPr>
        <w:t xml:space="preserve"> </w:t>
      </w:r>
      <w:r w:rsidRPr="00CE0885">
        <w:rPr>
          <w:lang w:eastAsia="en-GB"/>
        </w:rPr>
        <w:t xml:space="preserve">to </w:t>
      </w:r>
      <w:r w:rsidRPr="00CE0885">
        <w:rPr>
          <w:spacing w:val="-1"/>
          <w:lang w:eastAsia="en-GB"/>
        </w:rPr>
        <w:t>g</w:t>
      </w:r>
      <w:r w:rsidRPr="00CE0885">
        <w:rPr>
          <w:lang w:eastAsia="en-GB"/>
        </w:rPr>
        <w:t>i</w:t>
      </w:r>
      <w:r w:rsidRPr="00CE0885">
        <w:rPr>
          <w:spacing w:val="-2"/>
          <w:lang w:eastAsia="en-GB"/>
        </w:rPr>
        <w:t>v</w:t>
      </w:r>
      <w:r w:rsidRPr="00CE0885">
        <w:rPr>
          <w:lang w:eastAsia="en-GB"/>
        </w:rPr>
        <w:t>e</w:t>
      </w:r>
      <w:r w:rsidRPr="00CE0885">
        <w:rPr>
          <w:spacing w:val="-2"/>
          <w:lang w:eastAsia="en-GB"/>
        </w:rPr>
        <w:t xml:space="preserve"> </w:t>
      </w:r>
      <w:r w:rsidRPr="00CE0885">
        <w:rPr>
          <w:lang w:eastAsia="en-GB"/>
        </w:rPr>
        <w:t>six</w:t>
      </w:r>
      <w:r w:rsidRPr="00CE0885">
        <w:rPr>
          <w:spacing w:val="-5"/>
          <w:lang w:eastAsia="en-GB"/>
        </w:rPr>
        <w:t xml:space="preserve"> </w:t>
      </w:r>
      <w:r w:rsidRPr="00CE0885">
        <w:rPr>
          <w:spacing w:val="2"/>
          <w:lang w:eastAsia="en-GB"/>
        </w:rPr>
        <w:t>m</w:t>
      </w:r>
      <w:r w:rsidRPr="00CE0885">
        <w:rPr>
          <w:lang w:eastAsia="en-GB"/>
        </w:rPr>
        <w:t>o</w:t>
      </w:r>
      <w:r w:rsidRPr="00CE0885">
        <w:rPr>
          <w:spacing w:val="-1"/>
          <w:lang w:eastAsia="en-GB"/>
        </w:rPr>
        <w:t>n</w:t>
      </w:r>
      <w:r w:rsidRPr="00CE0885">
        <w:rPr>
          <w:lang w:eastAsia="en-GB"/>
        </w:rPr>
        <w:t>ths’</w:t>
      </w:r>
      <w:r w:rsidRPr="00CE0885">
        <w:rPr>
          <w:spacing w:val="-8"/>
          <w:lang w:eastAsia="en-GB"/>
        </w:rPr>
        <w:t xml:space="preserve"> </w:t>
      </w:r>
      <w:r w:rsidRPr="00CE0885">
        <w:rPr>
          <w:lang w:eastAsia="en-GB"/>
        </w:rPr>
        <w:t>n</w:t>
      </w:r>
      <w:r w:rsidRPr="00CE0885">
        <w:rPr>
          <w:spacing w:val="-1"/>
          <w:lang w:eastAsia="en-GB"/>
        </w:rPr>
        <w:t>o</w:t>
      </w:r>
      <w:r w:rsidRPr="00CE0885">
        <w:rPr>
          <w:lang w:eastAsia="en-GB"/>
        </w:rPr>
        <w:t>tice</w:t>
      </w:r>
      <w:r w:rsidRPr="00CE0885">
        <w:rPr>
          <w:spacing w:val="-4"/>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te</w:t>
      </w:r>
      <w:r w:rsidRPr="00CE0885">
        <w:rPr>
          <w:spacing w:val="-3"/>
          <w:lang w:eastAsia="en-GB"/>
        </w:rPr>
        <w:t>r</w:t>
      </w:r>
      <w:r w:rsidRPr="00CE0885">
        <w:rPr>
          <w:spacing w:val="2"/>
          <w:lang w:eastAsia="en-GB"/>
        </w:rPr>
        <w:t>m</w:t>
      </w:r>
      <w:r w:rsidRPr="00CE0885">
        <w:rPr>
          <w:lang w:eastAsia="en-GB"/>
        </w:rPr>
        <w:t>inat</w:t>
      </w:r>
      <w:r w:rsidRPr="00CE0885">
        <w:rPr>
          <w:spacing w:val="-3"/>
          <w:lang w:eastAsia="en-GB"/>
        </w:rPr>
        <w:t>i</w:t>
      </w:r>
      <w:r w:rsidRPr="00CE0885">
        <w:rPr>
          <w:lang w:eastAsia="en-GB"/>
        </w:rPr>
        <w:t>on</w:t>
      </w:r>
      <w:r w:rsidRPr="00CE0885">
        <w:rPr>
          <w:spacing w:val="-10"/>
          <w:lang w:eastAsia="en-GB"/>
        </w:rPr>
        <w:t xml:space="preserve"> </w:t>
      </w:r>
      <w:r w:rsidRPr="00CE0885">
        <w:rPr>
          <w:lang w:eastAsia="en-GB"/>
        </w:rPr>
        <w:t>is</w:t>
      </w:r>
      <w:r w:rsidRPr="00CE0885">
        <w:rPr>
          <w:spacing w:val="-2"/>
          <w:lang w:eastAsia="en-GB"/>
        </w:rPr>
        <w:t xml:space="preserve"> </w:t>
      </w:r>
      <w:r w:rsidRPr="00CE0885">
        <w:rPr>
          <w:lang w:eastAsia="en-GB"/>
        </w:rPr>
        <w:t>a</w:t>
      </w:r>
      <w:r w:rsidRPr="00CE0885">
        <w:rPr>
          <w:spacing w:val="-2"/>
          <w:lang w:eastAsia="en-GB"/>
        </w:rPr>
        <w:t xml:space="preserve"> </w:t>
      </w:r>
      <w:r w:rsidRPr="00CE0885">
        <w:rPr>
          <w:lang w:eastAsia="en-GB"/>
        </w:rPr>
        <w:t>b</w:t>
      </w:r>
      <w:r w:rsidRPr="00CE0885">
        <w:rPr>
          <w:spacing w:val="-1"/>
          <w:lang w:eastAsia="en-GB"/>
        </w:rPr>
        <w:t>r</w:t>
      </w:r>
      <w:r w:rsidRPr="00CE0885">
        <w:rPr>
          <w:lang w:eastAsia="en-GB"/>
        </w:rPr>
        <w:t>ea</w:t>
      </w:r>
      <w:r w:rsidRPr="00CE0885">
        <w:rPr>
          <w:spacing w:val="-2"/>
          <w:lang w:eastAsia="en-GB"/>
        </w:rPr>
        <w:t>c</w:t>
      </w:r>
      <w:r w:rsidRPr="00CE0885">
        <w:rPr>
          <w:lang w:eastAsia="en-GB"/>
        </w:rPr>
        <w:t>h</w:t>
      </w:r>
      <w:r w:rsidRPr="00CE0885">
        <w:rPr>
          <w:spacing w:val="-5"/>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c</w:t>
      </w:r>
      <w:r w:rsidRPr="00CE0885">
        <w:rPr>
          <w:spacing w:val="-1"/>
          <w:lang w:eastAsia="en-GB"/>
        </w:rPr>
        <w:t>o</w:t>
      </w:r>
      <w:r w:rsidRPr="00CE0885">
        <w:rPr>
          <w:lang w:eastAsia="en-GB"/>
        </w:rPr>
        <w:t>nt</w:t>
      </w:r>
      <w:r w:rsidRPr="00CE0885">
        <w:rPr>
          <w:spacing w:val="-1"/>
          <w:lang w:eastAsia="en-GB"/>
        </w:rPr>
        <w:t>r</w:t>
      </w:r>
      <w:r w:rsidRPr="00CE0885">
        <w:rPr>
          <w:lang w:eastAsia="en-GB"/>
        </w:rPr>
        <w:t>act and</w:t>
      </w:r>
      <w:r w:rsidRPr="00CE0885">
        <w:rPr>
          <w:spacing w:val="-5"/>
          <w:lang w:eastAsia="en-GB"/>
        </w:rPr>
        <w:t xml:space="preserve"> </w:t>
      </w:r>
      <w:r w:rsidRPr="00CE0885">
        <w:rPr>
          <w:lang w:eastAsia="en-GB"/>
        </w:rPr>
        <w:t>the</w:t>
      </w:r>
      <w:r w:rsidRPr="00CE0885">
        <w:rPr>
          <w:spacing w:val="-4"/>
          <w:lang w:eastAsia="en-GB"/>
        </w:rPr>
        <w:t xml:space="preserve"> </w:t>
      </w:r>
      <w:r w:rsidRPr="00CE0885">
        <w:rPr>
          <w:lang w:eastAsia="en-GB"/>
        </w:rPr>
        <w:t>a</w:t>
      </w:r>
      <w:r w:rsidRPr="00CE0885">
        <w:rPr>
          <w:spacing w:val="-1"/>
          <w:lang w:eastAsia="en-GB"/>
        </w:rPr>
        <w:t>p</w:t>
      </w:r>
      <w:r w:rsidRPr="00CE0885">
        <w:rPr>
          <w:lang w:eastAsia="en-GB"/>
        </w:rPr>
        <w:t>p</w:t>
      </w:r>
      <w:r w:rsidRPr="00CE0885">
        <w:rPr>
          <w:spacing w:val="-1"/>
          <w:lang w:eastAsia="en-GB"/>
        </w:rPr>
        <w:t>r</w:t>
      </w:r>
      <w:r w:rsidRPr="00CE0885">
        <w:rPr>
          <w:lang w:eastAsia="en-GB"/>
        </w:rPr>
        <w:t>op</w:t>
      </w:r>
      <w:r w:rsidRPr="00CE0885">
        <w:rPr>
          <w:spacing w:val="-1"/>
          <w:lang w:eastAsia="en-GB"/>
        </w:rPr>
        <w:t>r</w:t>
      </w:r>
      <w:r w:rsidRPr="00CE0885">
        <w:rPr>
          <w:lang w:eastAsia="en-GB"/>
        </w:rPr>
        <w:t>ia</w:t>
      </w:r>
      <w:r w:rsidRPr="00CE0885">
        <w:rPr>
          <w:spacing w:val="-2"/>
          <w:lang w:eastAsia="en-GB"/>
        </w:rPr>
        <w:t>t</w:t>
      </w:r>
      <w:r w:rsidRPr="00CE0885">
        <w:rPr>
          <w:lang w:eastAsia="en-GB"/>
        </w:rPr>
        <w:t>e</w:t>
      </w:r>
      <w:r w:rsidRPr="00CE0885">
        <w:rPr>
          <w:spacing w:val="-10"/>
          <w:lang w:eastAsia="en-GB"/>
        </w:rPr>
        <w:t xml:space="preserve"> </w:t>
      </w:r>
      <w:r w:rsidRPr="00CE0885">
        <w:rPr>
          <w:lang w:eastAsia="en-GB"/>
        </w:rPr>
        <w:t>a</w:t>
      </w:r>
      <w:r w:rsidRPr="00CE0885">
        <w:rPr>
          <w:spacing w:val="-2"/>
          <w:lang w:eastAsia="en-GB"/>
        </w:rPr>
        <w:t>c</w:t>
      </w:r>
      <w:r w:rsidRPr="00CE0885">
        <w:rPr>
          <w:lang w:eastAsia="en-GB"/>
        </w:rPr>
        <w:t>tion</w:t>
      </w:r>
      <w:r w:rsidRPr="00CE0885">
        <w:rPr>
          <w:spacing w:val="-4"/>
          <w:lang w:eastAsia="en-GB"/>
        </w:rPr>
        <w:t xml:space="preserve"> </w:t>
      </w:r>
      <w:r w:rsidRPr="00CE0885">
        <w:rPr>
          <w:spacing w:val="-3"/>
          <w:lang w:eastAsia="en-GB"/>
        </w:rPr>
        <w:t>w</w:t>
      </w:r>
      <w:r w:rsidRPr="00CE0885">
        <w:rPr>
          <w:lang w:eastAsia="en-GB"/>
        </w:rPr>
        <w:t>ill</w:t>
      </w:r>
      <w:r w:rsidRPr="00CE0885">
        <w:rPr>
          <w:spacing w:val="-3"/>
          <w:lang w:eastAsia="en-GB"/>
        </w:rPr>
        <w:t xml:space="preserve"> </w:t>
      </w:r>
      <w:r w:rsidRPr="00CE0885">
        <w:rPr>
          <w:lang w:eastAsia="en-GB"/>
        </w:rPr>
        <w:t>be</w:t>
      </w:r>
      <w:r w:rsidRPr="00CE0885">
        <w:rPr>
          <w:spacing w:val="-1"/>
          <w:lang w:eastAsia="en-GB"/>
        </w:rPr>
        <w:t xml:space="preserve"> </w:t>
      </w:r>
      <w:r w:rsidRPr="00CE0885">
        <w:rPr>
          <w:lang w:eastAsia="en-GB"/>
        </w:rPr>
        <w:t>tak</w:t>
      </w:r>
      <w:r w:rsidRPr="00CE0885">
        <w:rPr>
          <w:spacing w:val="-1"/>
          <w:lang w:eastAsia="en-GB"/>
        </w:rPr>
        <w:t>e</w:t>
      </w:r>
      <w:r w:rsidRPr="00CE0885">
        <w:rPr>
          <w:lang w:eastAsia="en-GB"/>
        </w:rPr>
        <w:t>n</w:t>
      </w:r>
      <w:r w:rsidRPr="00CE0885">
        <w:rPr>
          <w:spacing w:val="-4"/>
          <w:lang w:eastAsia="en-GB"/>
        </w:rPr>
        <w:t xml:space="preserve"> </w:t>
      </w:r>
      <w:r w:rsidRPr="00CE0885">
        <w:rPr>
          <w:lang w:eastAsia="en-GB"/>
        </w:rPr>
        <w:t>in li</w:t>
      </w:r>
      <w:r w:rsidRPr="00CE0885">
        <w:rPr>
          <w:spacing w:val="-1"/>
          <w:lang w:eastAsia="en-GB"/>
        </w:rPr>
        <w:t>n</w:t>
      </w:r>
      <w:r w:rsidRPr="00CE0885">
        <w:rPr>
          <w:lang w:eastAsia="en-GB"/>
        </w:rPr>
        <w:t>e</w:t>
      </w:r>
      <w:r w:rsidRPr="00CE0885">
        <w:rPr>
          <w:spacing w:val="-2"/>
          <w:lang w:eastAsia="en-GB"/>
        </w:rPr>
        <w:t xml:space="preserve"> </w:t>
      </w:r>
      <w:r w:rsidRPr="00CE0885">
        <w:rPr>
          <w:spacing w:val="-3"/>
          <w:lang w:eastAsia="en-GB"/>
        </w:rPr>
        <w:t>w</w:t>
      </w:r>
      <w:r w:rsidRPr="00CE0885">
        <w:rPr>
          <w:lang w:eastAsia="en-GB"/>
        </w:rPr>
        <w:t>ith</w:t>
      </w:r>
      <w:r w:rsidRPr="00CE0885">
        <w:rPr>
          <w:spacing w:val="-2"/>
          <w:lang w:eastAsia="en-GB"/>
        </w:rPr>
        <w:t xml:space="preserve"> </w:t>
      </w:r>
      <w:r w:rsidRPr="00CE0885">
        <w:rPr>
          <w:lang w:eastAsia="en-GB"/>
        </w:rPr>
        <w:t>the</w:t>
      </w:r>
      <w:r w:rsidRPr="00CE0885">
        <w:rPr>
          <w:spacing w:val="-4"/>
          <w:lang w:eastAsia="en-GB"/>
        </w:rPr>
        <w:t xml:space="preserve"> </w:t>
      </w:r>
      <w:r w:rsidR="00965C81">
        <w:rPr>
          <w:lang w:eastAsia="en-GB"/>
        </w:rPr>
        <w:t xml:space="preserve">chapter </w:t>
      </w:r>
      <w:r w:rsidRPr="00CE0885">
        <w:rPr>
          <w:w w:val="99"/>
          <w:lang w:eastAsia="en-GB"/>
        </w:rPr>
        <w:t>on cont</w:t>
      </w:r>
      <w:r w:rsidRPr="00CE0885">
        <w:rPr>
          <w:spacing w:val="-1"/>
          <w:w w:val="99"/>
          <w:lang w:eastAsia="en-GB"/>
        </w:rPr>
        <w:t>r</w:t>
      </w:r>
      <w:r w:rsidRPr="00CE0885">
        <w:rPr>
          <w:w w:val="99"/>
          <w:lang w:eastAsia="en-GB"/>
        </w:rPr>
        <w:t>act</w:t>
      </w:r>
      <w:r w:rsidRPr="00CE0885">
        <w:rPr>
          <w:spacing w:val="-1"/>
          <w:lang w:eastAsia="en-GB"/>
        </w:rPr>
        <w:t xml:space="preserve"> </w:t>
      </w:r>
      <w:r w:rsidRPr="00CE0885">
        <w:rPr>
          <w:lang w:eastAsia="en-GB"/>
        </w:rPr>
        <w:t>b</w:t>
      </w:r>
      <w:r w:rsidRPr="00CE0885">
        <w:rPr>
          <w:spacing w:val="-1"/>
          <w:lang w:eastAsia="en-GB"/>
        </w:rPr>
        <w:t>r</w:t>
      </w:r>
      <w:r w:rsidRPr="00CE0885">
        <w:rPr>
          <w:lang w:eastAsia="en-GB"/>
        </w:rPr>
        <w:t>eac</w:t>
      </w:r>
      <w:r w:rsidRPr="00CE0885">
        <w:rPr>
          <w:spacing w:val="-1"/>
          <w:lang w:eastAsia="en-GB"/>
        </w:rPr>
        <w:t>h</w:t>
      </w:r>
      <w:r w:rsidRPr="00CE0885">
        <w:rPr>
          <w:lang w:eastAsia="en-GB"/>
        </w:rPr>
        <w:t>es</w:t>
      </w:r>
      <w:r w:rsidR="00965C81">
        <w:rPr>
          <w:lang w:eastAsia="en-GB"/>
        </w:rPr>
        <w:t>, sanctions</w:t>
      </w:r>
      <w:r w:rsidRPr="00CE0885">
        <w:rPr>
          <w:spacing w:val="-12"/>
          <w:lang w:eastAsia="en-GB"/>
        </w:rPr>
        <w:t xml:space="preserve"> </w:t>
      </w:r>
      <w:r w:rsidRPr="00CE0885">
        <w:rPr>
          <w:lang w:eastAsia="en-GB"/>
        </w:rPr>
        <w:t>and</w:t>
      </w:r>
      <w:r w:rsidRPr="00CE0885">
        <w:rPr>
          <w:spacing w:val="-5"/>
          <w:lang w:eastAsia="en-GB"/>
        </w:rPr>
        <w:t xml:space="preserve"> </w:t>
      </w:r>
      <w:r w:rsidRPr="00CE0885">
        <w:rPr>
          <w:lang w:eastAsia="en-GB"/>
        </w:rPr>
        <w:t>te</w:t>
      </w:r>
      <w:r w:rsidRPr="00CE0885">
        <w:rPr>
          <w:spacing w:val="-1"/>
          <w:lang w:eastAsia="en-GB"/>
        </w:rPr>
        <w:t>r</w:t>
      </w:r>
      <w:r w:rsidRPr="00CE0885">
        <w:rPr>
          <w:spacing w:val="-3"/>
          <w:lang w:eastAsia="en-GB"/>
        </w:rPr>
        <w:t>m</w:t>
      </w:r>
      <w:r w:rsidRPr="00CE0885">
        <w:rPr>
          <w:lang w:eastAsia="en-GB"/>
        </w:rPr>
        <w:t>inati</w:t>
      </w:r>
      <w:r w:rsidRPr="00CE0885">
        <w:rPr>
          <w:spacing w:val="-1"/>
          <w:lang w:eastAsia="en-GB"/>
        </w:rPr>
        <w:t>o</w:t>
      </w:r>
      <w:r w:rsidRPr="00CE0885">
        <w:rPr>
          <w:lang w:eastAsia="en-GB"/>
        </w:rPr>
        <w:t>n</w:t>
      </w:r>
      <w:r w:rsidR="00965C81">
        <w:rPr>
          <w:lang w:eastAsia="en-GB"/>
        </w:rPr>
        <w:t>s</w:t>
      </w:r>
      <w:r w:rsidRPr="00CE0885">
        <w:rPr>
          <w:lang w:eastAsia="en-GB"/>
        </w:rPr>
        <w:t>.</w:t>
      </w:r>
      <w:bookmarkEnd w:id="650"/>
    </w:p>
    <w:p w14:paraId="5923B6AC" w14:textId="77777777" w:rsidR="00977693" w:rsidRPr="00CE0885" w:rsidRDefault="00977693" w:rsidP="006B781A">
      <w:pPr>
        <w:pStyle w:val="Heading3"/>
        <w:rPr>
          <w:lang w:eastAsia="en-GB"/>
        </w:rPr>
      </w:pPr>
      <w:bookmarkStart w:id="651" w:name="_Toc440981796"/>
      <w:r w:rsidRPr="00CE0885">
        <w:rPr>
          <w:lang w:eastAsia="en-GB"/>
        </w:rPr>
        <w:t>Under PMS agreements, subject to the terms of the individual agreements, partnership matters (including dissolution or termination of the partnership) do not affect the continuation of the agreement. This is because where the agreement is with two or more individuals that are practising in partnership, the agreement is not entered into with the partnership but instead with the individuals (who collectively make up the contractor).</w:t>
      </w:r>
      <w:bookmarkEnd w:id="651"/>
      <w:r w:rsidRPr="00CE0885">
        <w:rPr>
          <w:lang w:eastAsia="en-GB"/>
        </w:rPr>
        <w:t xml:space="preserve"> </w:t>
      </w:r>
    </w:p>
    <w:p w14:paraId="4A23C8E3" w14:textId="77777777" w:rsidR="00977693" w:rsidRPr="00CE0885" w:rsidRDefault="00977693" w:rsidP="006B781A">
      <w:pPr>
        <w:pStyle w:val="Heading3"/>
        <w:rPr>
          <w:lang w:eastAsia="en-GB"/>
        </w:rPr>
      </w:pPr>
      <w:bookmarkStart w:id="652" w:name="_Toc440981797"/>
      <w:r w:rsidRPr="00CE0885">
        <w:rPr>
          <w:lang w:eastAsia="en-GB"/>
        </w:rPr>
        <w:t>If a PMS contractor is practising in partnership and, following termination of a partnership, the contractor no longer wishes to be a party to the contract, the contractor will need to give notice to terminate the contract, such notice being a minimum of six months unless agreed with the Contractor.</w:t>
      </w:r>
      <w:bookmarkEnd w:id="652"/>
    </w:p>
    <w:p w14:paraId="59DE9597" w14:textId="77777777" w:rsidR="00977693" w:rsidRPr="00CE0885" w:rsidRDefault="00977693" w:rsidP="006B781A">
      <w:pPr>
        <w:pStyle w:val="Heading3"/>
        <w:rPr>
          <w:lang w:eastAsia="en-GB"/>
        </w:rPr>
      </w:pPr>
      <w:bookmarkStart w:id="653" w:name="_Toc440981798"/>
      <w:r w:rsidRPr="00CE0885">
        <w:rPr>
          <w:spacing w:val="6"/>
          <w:lang w:eastAsia="en-GB"/>
        </w:rPr>
        <w:t>W</w:t>
      </w:r>
      <w:r w:rsidRPr="00CE0885">
        <w:rPr>
          <w:spacing w:val="-1"/>
          <w:lang w:eastAsia="en-GB"/>
        </w:rPr>
        <w:t>her</w:t>
      </w:r>
      <w:r w:rsidRPr="00CE0885">
        <w:rPr>
          <w:lang w:eastAsia="en-GB"/>
        </w:rPr>
        <w:t>e</w:t>
      </w:r>
      <w:r w:rsidRPr="00CE0885">
        <w:rPr>
          <w:spacing w:val="-8"/>
          <w:lang w:eastAsia="en-GB"/>
        </w:rPr>
        <w:t xml:space="preserve"> </w:t>
      </w:r>
      <w:r w:rsidRPr="00CE0885">
        <w:rPr>
          <w:lang w:eastAsia="en-GB"/>
        </w:rPr>
        <w:t>pa</w:t>
      </w:r>
      <w:r w:rsidRPr="00CE0885">
        <w:rPr>
          <w:spacing w:val="-1"/>
          <w:lang w:eastAsia="en-GB"/>
        </w:rPr>
        <w:t>r</w:t>
      </w:r>
      <w:r w:rsidRPr="00CE0885">
        <w:rPr>
          <w:spacing w:val="-2"/>
          <w:lang w:eastAsia="en-GB"/>
        </w:rPr>
        <w:t>t</w:t>
      </w:r>
      <w:r w:rsidRPr="00CE0885">
        <w:rPr>
          <w:lang w:eastAsia="en-GB"/>
        </w:rPr>
        <w:t>ne</w:t>
      </w:r>
      <w:r w:rsidRPr="00CE0885">
        <w:rPr>
          <w:spacing w:val="-1"/>
          <w:lang w:eastAsia="en-GB"/>
        </w:rPr>
        <w:t>r</w:t>
      </w:r>
      <w:r w:rsidRPr="00CE0885">
        <w:rPr>
          <w:lang w:eastAsia="en-GB"/>
        </w:rPr>
        <w:t>ships</w:t>
      </w:r>
      <w:r w:rsidRPr="00CE0885">
        <w:rPr>
          <w:spacing w:val="-15"/>
          <w:lang w:eastAsia="en-GB"/>
        </w:rPr>
        <w:t xml:space="preserve"> </w:t>
      </w:r>
      <w:r w:rsidRPr="00CE0885">
        <w:rPr>
          <w:lang w:eastAsia="en-GB"/>
        </w:rPr>
        <w:t>or</w:t>
      </w:r>
      <w:r w:rsidRPr="00CE0885">
        <w:rPr>
          <w:spacing w:val="-5"/>
          <w:lang w:eastAsia="en-GB"/>
        </w:rPr>
        <w:t xml:space="preserve"> </w:t>
      </w:r>
      <w:r w:rsidRPr="00CE0885">
        <w:rPr>
          <w:spacing w:val="2"/>
          <w:lang w:eastAsia="en-GB"/>
        </w:rPr>
        <w:t>m</w:t>
      </w:r>
      <w:r w:rsidRPr="00CE0885">
        <w:rPr>
          <w:spacing w:val="-1"/>
          <w:lang w:eastAsia="en-GB"/>
        </w:rPr>
        <w:t>e</w:t>
      </w:r>
      <w:r w:rsidRPr="00CE0885">
        <w:rPr>
          <w:spacing w:val="2"/>
          <w:lang w:eastAsia="en-GB"/>
        </w:rPr>
        <w:t>m</w:t>
      </w:r>
      <w:r w:rsidRPr="00CE0885">
        <w:rPr>
          <w:spacing w:val="-1"/>
          <w:lang w:eastAsia="en-GB"/>
        </w:rPr>
        <w:t>b</w:t>
      </w:r>
      <w:r w:rsidRPr="00CE0885">
        <w:rPr>
          <w:lang w:eastAsia="en-GB"/>
        </w:rPr>
        <w:t>e</w:t>
      </w:r>
      <w:r w:rsidRPr="00CE0885">
        <w:rPr>
          <w:spacing w:val="-1"/>
          <w:lang w:eastAsia="en-GB"/>
        </w:rPr>
        <w:t>r</w:t>
      </w:r>
      <w:r w:rsidRPr="00CE0885">
        <w:rPr>
          <w:lang w:eastAsia="en-GB"/>
        </w:rPr>
        <w:t>ship</w:t>
      </w:r>
      <w:r w:rsidRPr="00CE0885">
        <w:rPr>
          <w:spacing w:val="-11"/>
          <w:lang w:eastAsia="en-GB"/>
        </w:rPr>
        <w:t xml:space="preserve"> </w:t>
      </w:r>
      <w:r w:rsidRPr="00CE0885">
        <w:rPr>
          <w:lang w:eastAsia="en-GB"/>
        </w:rPr>
        <w:t>a</w:t>
      </w:r>
      <w:r w:rsidRPr="00CE0885">
        <w:rPr>
          <w:spacing w:val="-1"/>
          <w:lang w:eastAsia="en-GB"/>
        </w:rPr>
        <w:t>r</w:t>
      </w:r>
      <w:r w:rsidRPr="00CE0885">
        <w:rPr>
          <w:lang w:eastAsia="en-GB"/>
        </w:rPr>
        <w:t>e</w:t>
      </w:r>
      <w:r w:rsidRPr="00CE0885">
        <w:rPr>
          <w:spacing w:val="-6"/>
          <w:lang w:eastAsia="en-GB"/>
        </w:rPr>
        <w:t xml:space="preserve"> </w:t>
      </w:r>
      <w:r w:rsidRPr="00CE0885">
        <w:rPr>
          <w:spacing w:val="3"/>
          <w:lang w:eastAsia="en-GB"/>
        </w:rPr>
        <w:t>f</w:t>
      </w:r>
      <w:r w:rsidRPr="00CE0885">
        <w:rPr>
          <w:lang w:eastAsia="en-GB"/>
        </w:rPr>
        <w:t>o</w:t>
      </w:r>
      <w:r w:rsidRPr="00CE0885">
        <w:rPr>
          <w:spacing w:val="-3"/>
          <w:lang w:eastAsia="en-GB"/>
        </w:rPr>
        <w:t>r</w:t>
      </w:r>
      <w:r w:rsidRPr="00CE0885">
        <w:rPr>
          <w:spacing w:val="2"/>
          <w:lang w:eastAsia="en-GB"/>
        </w:rPr>
        <w:t>m</w:t>
      </w:r>
      <w:r w:rsidRPr="00CE0885">
        <w:rPr>
          <w:spacing w:val="-1"/>
          <w:lang w:eastAsia="en-GB"/>
        </w:rPr>
        <w:t>a</w:t>
      </w:r>
      <w:r w:rsidRPr="00CE0885">
        <w:rPr>
          <w:lang w:eastAsia="en-GB"/>
        </w:rPr>
        <w:t>lised</w:t>
      </w:r>
      <w:r w:rsidRPr="00CE0885">
        <w:rPr>
          <w:spacing w:val="-9"/>
          <w:lang w:eastAsia="en-GB"/>
        </w:rPr>
        <w:t xml:space="preserve"> </w:t>
      </w:r>
      <w:r w:rsidRPr="00CE0885">
        <w:rPr>
          <w:lang w:eastAsia="en-GB"/>
        </w:rPr>
        <w:t>th</w:t>
      </w:r>
      <w:r w:rsidRPr="00CE0885">
        <w:rPr>
          <w:spacing w:val="-1"/>
          <w:lang w:eastAsia="en-GB"/>
        </w:rPr>
        <w:t>ro</w:t>
      </w:r>
      <w:r w:rsidRPr="00CE0885">
        <w:rPr>
          <w:lang w:eastAsia="en-GB"/>
        </w:rPr>
        <w:t>u</w:t>
      </w:r>
      <w:r w:rsidRPr="00CE0885">
        <w:rPr>
          <w:spacing w:val="-1"/>
          <w:lang w:eastAsia="en-GB"/>
        </w:rPr>
        <w:t>g</w:t>
      </w:r>
      <w:r w:rsidRPr="00CE0885">
        <w:rPr>
          <w:lang w:eastAsia="en-GB"/>
        </w:rPr>
        <w:t>h</w:t>
      </w:r>
      <w:r w:rsidRPr="00CE0885">
        <w:rPr>
          <w:spacing w:val="-6"/>
          <w:lang w:eastAsia="en-GB"/>
        </w:rPr>
        <w:t xml:space="preserve"> </w:t>
      </w:r>
      <w:r w:rsidRPr="00CE0885">
        <w:rPr>
          <w:lang w:eastAsia="en-GB"/>
        </w:rPr>
        <w:t>a pa</w:t>
      </w:r>
      <w:r w:rsidRPr="00CE0885">
        <w:rPr>
          <w:spacing w:val="-1"/>
          <w:lang w:eastAsia="en-GB"/>
        </w:rPr>
        <w:t>r</w:t>
      </w:r>
      <w:r w:rsidRPr="00CE0885">
        <w:rPr>
          <w:lang w:eastAsia="en-GB"/>
        </w:rPr>
        <w:t>tne</w:t>
      </w:r>
      <w:r w:rsidRPr="00CE0885">
        <w:rPr>
          <w:spacing w:val="-1"/>
          <w:lang w:eastAsia="en-GB"/>
        </w:rPr>
        <w:t>r</w:t>
      </w:r>
      <w:r w:rsidRPr="00CE0885">
        <w:rPr>
          <w:spacing w:val="-2"/>
          <w:lang w:eastAsia="en-GB"/>
        </w:rPr>
        <w:t>s</w:t>
      </w:r>
      <w:r w:rsidRPr="00CE0885">
        <w:rPr>
          <w:lang w:eastAsia="en-GB"/>
        </w:rPr>
        <w:t>hip</w:t>
      </w:r>
      <w:r w:rsidRPr="00CE0885">
        <w:rPr>
          <w:spacing w:val="-10"/>
          <w:lang w:eastAsia="en-GB"/>
        </w:rPr>
        <w:t xml:space="preserve"> </w:t>
      </w:r>
      <w:r w:rsidRPr="00CE0885">
        <w:rPr>
          <w:spacing w:val="-1"/>
          <w:lang w:eastAsia="en-GB"/>
        </w:rPr>
        <w:t>agreement</w:t>
      </w:r>
      <w:r w:rsidRPr="00CE0885">
        <w:rPr>
          <w:lang w:eastAsia="en-GB"/>
        </w:rPr>
        <w:t>,</w:t>
      </w:r>
      <w:r w:rsidRPr="00CE0885">
        <w:rPr>
          <w:spacing w:val="-5"/>
          <w:lang w:eastAsia="en-GB"/>
        </w:rPr>
        <w:t xml:space="preserve"> </w:t>
      </w:r>
      <w:r w:rsidRPr="00CE0885">
        <w:rPr>
          <w:lang w:eastAsia="en-GB"/>
        </w:rPr>
        <w:t>it is</w:t>
      </w:r>
      <w:r w:rsidRPr="00CE0885">
        <w:rPr>
          <w:spacing w:val="-4"/>
          <w:lang w:eastAsia="en-GB"/>
        </w:rPr>
        <w:t xml:space="preserve"> </w:t>
      </w:r>
      <w:r w:rsidRPr="00CE0885">
        <w:rPr>
          <w:spacing w:val="-2"/>
          <w:lang w:eastAsia="en-GB"/>
        </w:rPr>
        <w:t>v</w:t>
      </w:r>
      <w:r w:rsidRPr="00CE0885">
        <w:rPr>
          <w:lang w:eastAsia="en-GB"/>
        </w:rPr>
        <w:t>e</w:t>
      </w:r>
      <w:r w:rsidRPr="00CE0885">
        <w:rPr>
          <w:spacing w:val="2"/>
          <w:lang w:eastAsia="en-GB"/>
        </w:rPr>
        <w:t>r</w:t>
      </w:r>
      <w:r w:rsidRPr="00CE0885">
        <w:rPr>
          <w:lang w:eastAsia="en-GB"/>
        </w:rPr>
        <w:t>y</w:t>
      </w:r>
      <w:r w:rsidRPr="00CE0885">
        <w:rPr>
          <w:spacing w:val="-7"/>
          <w:lang w:eastAsia="en-GB"/>
        </w:rPr>
        <w:t xml:space="preserve"> </w:t>
      </w:r>
      <w:r w:rsidRPr="00CE0885">
        <w:rPr>
          <w:lang w:eastAsia="en-GB"/>
        </w:rPr>
        <w:t>helpful</w:t>
      </w:r>
      <w:r w:rsidRPr="00CE0885">
        <w:rPr>
          <w:spacing w:val="-7"/>
          <w:lang w:eastAsia="en-GB"/>
        </w:rPr>
        <w:t xml:space="preserve"> </w:t>
      </w:r>
      <w:r w:rsidRPr="00CE0885">
        <w:rPr>
          <w:spacing w:val="-3"/>
          <w:lang w:eastAsia="en-GB"/>
        </w:rPr>
        <w:t>i</w:t>
      </w:r>
      <w:r w:rsidRPr="00CE0885">
        <w:rPr>
          <w:lang w:eastAsia="en-GB"/>
        </w:rPr>
        <w:t>f</w:t>
      </w:r>
      <w:r w:rsidRPr="00CE0885">
        <w:rPr>
          <w:spacing w:val="2"/>
          <w:lang w:eastAsia="en-GB"/>
        </w:rPr>
        <w:t xml:space="preserve"> </w:t>
      </w:r>
      <w:r w:rsidRPr="00CE0885">
        <w:rPr>
          <w:spacing w:val="-2"/>
          <w:lang w:eastAsia="en-GB"/>
        </w:rPr>
        <w:t>t</w:t>
      </w:r>
      <w:r w:rsidRPr="00CE0885">
        <w:rPr>
          <w:lang w:eastAsia="en-GB"/>
        </w:rPr>
        <w:t>he</w:t>
      </w:r>
      <w:r w:rsidRPr="00CE0885">
        <w:rPr>
          <w:spacing w:val="-4"/>
          <w:lang w:eastAsia="en-GB"/>
        </w:rPr>
        <w:t xml:space="preserve"> </w:t>
      </w:r>
      <w:r w:rsidRPr="00CE0885">
        <w:rPr>
          <w:lang w:eastAsia="en-GB"/>
        </w:rPr>
        <w:t>pa</w:t>
      </w:r>
      <w:r w:rsidRPr="00CE0885">
        <w:rPr>
          <w:spacing w:val="-1"/>
          <w:lang w:eastAsia="en-GB"/>
        </w:rPr>
        <w:t>r</w:t>
      </w:r>
      <w:r w:rsidRPr="00CE0885">
        <w:rPr>
          <w:lang w:eastAsia="en-GB"/>
        </w:rPr>
        <w:t>t</w:t>
      </w:r>
      <w:r w:rsidRPr="00CE0885">
        <w:rPr>
          <w:spacing w:val="-3"/>
          <w:lang w:eastAsia="en-GB"/>
        </w:rPr>
        <w:t>i</w:t>
      </w:r>
      <w:r w:rsidRPr="00CE0885">
        <w:rPr>
          <w:lang w:eastAsia="en-GB"/>
        </w:rPr>
        <w:t>es</w:t>
      </w:r>
      <w:r w:rsidRPr="00CE0885">
        <w:rPr>
          <w:spacing w:val="-7"/>
          <w:lang w:eastAsia="en-GB"/>
        </w:rPr>
        <w:t xml:space="preserve"> </w:t>
      </w:r>
      <w:r w:rsidRPr="00CE0885">
        <w:rPr>
          <w:lang w:eastAsia="en-GB"/>
        </w:rPr>
        <w:t>a</w:t>
      </w:r>
      <w:r w:rsidRPr="00CE0885">
        <w:rPr>
          <w:spacing w:val="-1"/>
          <w:lang w:eastAsia="en-GB"/>
        </w:rPr>
        <w:t>r</w:t>
      </w:r>
      <w:r w:rsidRPr="00CE0885">
        <w:rPr>
          <w:lang w:eastAsia="en-GB"/>
        </w:rPr>
        <w:t>e</w:t>
      </w:r>
      <w:r w:rsidRPr="00CE0885">
        <w:rPr>
          <w:spacing w:val="-4"/>
          <w:lang w:eastAsia="en-GB"/>
        </w:rPr>
        <w:t xml:space="preserve"> </w:t>
      </w:r>
      <w:r w:rsidRPr="00CE0885">
        <w:rPr>
          <w:lang w:eastAsia="en-GB"/>
        </w:rPr>
        <w:t>able</w:t>
      </w:r>
      <w:r w:rsidRPr="00CE0885">
        <w:rPr>
          <w:spacing w:val="-6"/>
          <w:lang w:eastAsia="en-GB"/>
        </w:rPr>
        <w:t xml:space="preserve"> </w:t>
      </w:r>
      <w:r w:rsidRPr="00CE0885">
        <w:rPr>
          <w:lang w:eastAsia="en-GB"/>
        </w:rPr>
        <w:t xml:space="preserve">to </w:t>
      </w:r>
      <w:r w:rsidRPr="00CE0885">
        <w:rPr>
          <w:spacing w:val="-1"/>
          <w:lang w:eastAsia="en-GB"/>
        </w:rPr>
        <w:t>r</w:t>
      </w:r>
      <w:r w:rsidRPr="00CE0885">
        <w:rPr>
          <w:lang w:eastAsia="en-GB"/>
        </w:rPr>
        <w:t>ely</w:t>
      </w:r>
      <w:r w:rsidRPr="00CE0885">
        <w:rPr>
          <w:spacing w:val="-6"/>
          <w:lang w:eastAsia="en-GB"/>
        </w:rPr>
        <w:t xml:space="preserve"> </w:t>
      </w:r>
      <w:r w:rsidRPr="00CE0885">
        <w:rPr>
          <w:lang w:eastAsia="en-GB"/>
        </w:rPr>
        <w:t>on</w:t>
      </w:r>
      <w:r w:rsidRPr="00CE0885">
        <w:rPr>
          <w:spacing w:val="-1"/>
          <w:lang w:eastAsia="en-GB"/>
        </w:rPr>
        <w:t xml:space="preserve"> </w:t>
      </w:r>
      <w:r w:rsidRPr="00CE0885">
        <w:rPr>
          <w:spacing w:val="-2"/>
          <w:lang w:eastAsia="en-GB"/>
        </w:rPr>
        <w:t>t</w:t>
      </w:r>
      <w:r w:rsidRPr="00CE0885">
        <w:rPr>
          <w:lang w:eastAsia="en-GB"/>
        </w:rPr>
        <w:t>he detail</w:t>
      </w:r>
      <w:r w:rsidRPr="00CE0885">
        <w:rPr>
          <w:spacing w:val="-8"/>
          <w:lang w:eastAsia="en-GB"/>
        </w:rPr>
        <w:t xml:space="preserve"> </w:t>
      </w:r>
      <w:r w:rsidRPr="00CE0885">
        <w:rPr>
          <w:spacing w:val="-1"/>
          <w:lang w:eastAsia="en-GB"/>
        </w:rPr>
        <w:t>o</w:t>
      </w:r>
      <w:r w:rsidRPr="00CE0885">
        <w:rPr>
          <w:lang w:eastAsia="en-GB"/>
        </w:rPr>
        <w:t xml:space="preserve">f </w:t>
      </w:r>
      <w:r w:rsidRPr="00CE0885">
        <w:rPr>
          <w:spacing w:val="-2"/>
          <w:lang w:eastAsia="en-GB"/>
        </w:rPr>
        <w:t>t</w:t>
      </w:r>
      <w:r w:rsidRPr="00CE0885">
        <w:rPr>
          <w:lang w:eastAsia="en-GB"/>
        </w:rPr>
        <w:t>hese</w:t>
      </w:r>
      <w:r w:rsidRPr="00CE0885">
        <w:rPr>
          <w:spacing w:val="-7"/>
          <w:lang w:eastAsia="en-GB"/>
        </w:rPr>
        <w:t xml:space="preserve"> </w:t>
      </w:r>
      <w:r w:rsidRPr="00CE0885">
        <w:rPr>
          <w:lang w:eastAsia="en-GB"/>
        </w:rPr>
        <w:t>a</w:t>
      </w:r>
      <w:r w:rsidRPr="00CE0885">
        <w:rPr>
          <w:spacing w:val="-1"/>
          <w:lang w:eastAsia="en-GB"/>
        </w:rPr>
        <w:t>gr</w:t>
      </w:r>
      <w:r w:rsidRPr="00CE0885">
        <w:rPr>
          <w:lang w:eastAsia="en-GB"/>
        </w:rPr>
        <w:t>ee</w:t>
      </w:r>
      <w:r w:rsidRPr="00CE0885">
        <w:rPr>
          <w:spacing w:val="-1"/>
          <w:lang w:eastAsia="en-GB"/>
        </w:rPr>
        <w:t>m</w:t>
      </w:r>
      <w:r w:rsidRPr="00CE0885">
        <w:rPr>
          <w:lang w:eastAsia="en-GB"/>
        </w:rPr>
        <w:t>ents</w:t>
      </w:r>
      <w:r w:rsidRPr="00CE0885">
        <w:rPr>
          <w:spacing w:val="-13"/>
          <w:lang w:eastAsia="en-GB"/>
        </w:rPr>
        <w:t xml:space="preserve"> </w:t>
      </w:r>
      <w:r w:rsidRPr="00CE0885">
        <w:rPr>
          <w:spacing w:val="-2"/>
          <w:lang w:eastAsia="en-GB"/>
        </w:rPr>
        <w:t>t</w:t>
      </w:r>
      <w:r w:rsidRPr="00CE0885">
        <w:rPr>
          <w:lang w:eastAsia="en-GB"/>
        </w:rPr>
        <w:t>o s</w:t>
      </w:r>
      <w:r w:rsidRPr="00CE0885">
        <w:rPr>
          <w:spacing w:val="-1"/>
          <w:lang w:eastAsia="en-GB"/>
        </w:rPr>
        <w:t>u</w:t>
      </w:r>
      <w:r w:rsidRPr="00CE0885">
        <w:rPr>
          <w:lang w:eastAsia="en-GB"/>
        </w:rPr>
        <w:t>p</w:t>
      </w:r>
      <w:r w:rsidRPr="00CE0885">
        <w:rPr>
          <w:spacing w:val="-1"/>
          <w:lang w:eastAsia="en-GB"/>
        </w:rPr>
        <w:t>p</w:t>
      </w:r>
      <w:r w:rsidRPr="00CE0885">
        <w:rPr>
          <w:lang w:eastAsia="en-GB"/>
        </w:rPr>
        <w:t>o</w:t>
      </w:r>
      <w:r w:rsidRPr="00CE0885">
        <w:rPr>
          <w:spacing w:val="-1"/>
          <w:lang w:eastAsia="en-GB"/>
        </w:rPr>
        <w:t>r</w:t>
      </w:r>
      <w:r w:rsidRPr="00CE0885">
        <w:rPr>
          <w:lang w:eastAsia="en-GB"/>
        </w:rPr>
        <w:t>t</w:t>
      </w:r>
      <w:r w:rsidRPr="00CE0885">
        <w:rPr>
          <w:spacing w:val="-7"/>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e</w:t>
      </w:r>
      <w:r w:rsidRPr="00CE0885">
        <w:rPr>
          <w:lang w:eastAsia="en-GB"/>
        </w:rPr>
        <w:t>a</w:t>
      </w:r>
      <w:r w:rsidRPr="00CE0885">
        <w:rPr>
          <w:spacing w:val="-1"/>
          <w:lang w:eastAsia="en-GB"/>
        </w:rPr>
        <w:t>r</w:t>
      </w:r>
      <w:r w:rsidRPr="00CE0885">
        <w:rPr>
          <w:lang w:eastAsia="en-GB"/>
        </w:rPr>
        <w:t>ly</w:t>
      </w:r>
      <w:r w:rsidRPr="00CE0885">
        <w:rPr>
          <w:spacing w:val="-7"/>
          <w:lang w:eastAsia="en-GB"/>
        </w:rPr>
        <w:t xml:space="preserve"> </w:t>
      </w:r>
      <w:r w:rsidRPr="00CE0885">
        <w:rPr>
          <w:spacing w:val="-1"/>
          <w:lang w:eastAsia="en-GB"/>
        </w:rPr>
        <w:t>r</w:t>
      </w:r>
      <w:r w:rsidRPr="00CE0885">
        <w:rPr>
          <w:lang w:eastAsia="en-GB"/>
        </w:rPr>
        <w:t>esolution</w:t>
      </w:r>
      <w:r w:rsidRPr="00CE0885">
        <w:rPr>
          <w:spacing w:val="-8"/>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inte</w:t>
      </w:r>
      <w:r w:rsidRPr="00CE0885">
        <w:rPr>
          <w:spacing w:val="-1"/>
          <w:lang w:eastAsia="en-GB"/>
        </w:rPr>
        <w:t>rn</w:t>
      </w:r>
      <w:r w:rsidRPr="00CE0885">
        <w:rPr>
          <w:lang w:eastAsia="en-GB"/>
        </w:rPr>
        <w:t>al dispu</w:t>
      </w:r>
      <w:r w:rsidRPr="00CE0885">
        <w:rPr>
          <w:spacing w:val="-2"/>
          <w:lang w:eastAsia="en-GB"/>
        </w:rPr>
        <w:t>t</w:t>
      </w:r>
      <w:r w:rsidRPr="00CE0885">
        <w:rPr>
          <w:lang w:eastAsia="en-GB"/>
        </w:rPr>
        <w:t>es</w:t>
      </w:r>
      <w:r w:rsidRPr="00CE0885">
        <w:rPr>
          <w:spacing w:val="-9"/>
          <w:lang w:eastAsia="en-GB"/>
        </w:rPr>
        <w:t xml:space="preserve"> </w:t>
      </w:r>
      <w:r w:rsidRPr="00CE0885">
        <w:rPr>
          <w:lang w:eastAsia="en-GB"/>
        </w:rPr>
        <w:t>a</w:t>
      </w:r>
      <w:r w:rsidRPr="00CE0885">
        <w:rPr>
          <w:spacing w:val="-1"/>
          <w:lang w:eastAsia="en-GB"/>
        </w:rPr>
        <w:t>n</w:t>
      </w:r>
      <w:r w:rsidRPr="00CE0885">
        <w:rPr>
          <w:lang w:eastAsia="en-GB"/>
        </w:rPr>
        <w:t>d</w:t>
      </w:r>
      <w:r w:rsidRPr="00CE0885">
        <w:rPr>
          <w:spacing w:val="-2"/>
          <w:lang w:eastAsia="en-GB"/>
        </w:rPr>
        <w:t xml:space="preserve"> t</w:t>
      </w:r>
      <w:r w:rsidRPr="00CE0885">
        <w:rPr>
          <w:lang w:eastAsia="en-GB"/>
        </w:rPr>
        <w:t xml:space="preserve">o </w:t>
      </w:r>
      <w:r w:rsidRPr="00CE0885">
        <w:rPr>
          <w:spacing w:val="-1"/>
          <w:lang w:eastAsia="en-GB"/>
        </w:rPr>
        <w:t>e</w:t>
      </w:r>
      <w:r w:rsidRPr="00CE0885">
        <w:rPr>
          <w:lang w:eastAsia="en-GB"/>
        </w:rPr>
        <w:t>nsu</w:t>
      </w:r>
      <w:r w:rsidRPr="00CE0885">
        <w:rPr>
          <w:spacing w:val="-1"/>
          <w:lang w:eastAsia="en-GB"/>
        </w:rPr>
        <w:t>r</w:t>
      </w:r>
      <w:r w:rsidRPr="00CE0885">
        <w:rPr>
          <w:lang w:eastAsia="en-GB"/>
        </w:rPr>
        <w:t>e</w:t>
      </w:r>
      <w:r w:rsidRPr="00CE0885">
        <w:rPr>
          <w:spacing w:val="-8"/>
          <w:lang w:eastAsia="en-GB"/>
        </w:rPr>
        <w:t xml:space="preserve"> </w:t>
      </w:r>
      <w:r w:rsidRPr="00CE0885">
        <w:rPr>
          <w:lang w:eastAsia="en-GB"/>
        </w:rPr>
        <w:t>that</w:t>
      </w:r>
      <w:r w:rsidRPr="00CE0885">
        <w:rPr>
          <w:spacing w:val="-5"/>
          <w:lang w:eastAsia="en-GB"/>
        </w:rPr>
        <w:t xml:space="preserve"> </w:t>
      </w:r>
      <w:r w:rsidRPr="00CE0885">
        <w:rPr>
          <w:lang w:eastAsia="en-GB"/>
        </w:rPr>
        <w:t>such</w:t>
      </w:r>
      <w:r w:rsidRPr="00CE0885">
        <w:rPr>
          <w:spacing w:val="-6"/>
          <w:lang w:eastAsia="en-GB"/>
        </w:rPr>
        <w:t xml:space="preserve"> </w:t>
      </w:r>
      <w:r w:rsidRPr="00CE0885">
        <w:rPr>
          <w:lang w:eastAsia="en-GB"/>
        </w:rPr>
        <w:t>a</w:t>
      </w:r>
      <w:r w:rsidRPr="00CE0885">
        <w:rPr>
          <w:spacing w:val="-1"/>
          <w:lang w:eastAsia="en-GB"/>
        </w:rPr>
        <w:t>gr</w:t>
      </w:r>
      <w:r w:rsidRPr="00CE0885">
        <w:rPr>
          <w:lang w:eastAsia="en-GB"/>
        </w:rPr>
        <w:t>ee</w:t>
      </w:r>
      <w:r w:rsidRPr="00CE0885">
        <w:rPr>
          <w:spacing w:val="-1"/>
          <w:lang w:eastAsia="en-GB"/>
        </w:rPr>
        <w:t>m</w:t>
      </w:r>
      <w:r w:rsidRPr="00CE0885">
        <w:rPr>
          <w:lang w:eastAsia="en-GB"/>
        </w:rPr>
        <w:t>ents</w:t>
      </w:r>
      <w:r w:rsidRPr="00CE0885">
        <w:rPr>
          <w:spacing w:val="-17"/>
          <w:lang w:eastAsia="en-GB"/>
        </w:rPr>
        <w:t xml:space="preserve"> </w:t>
      </w:r>
      <w:r w:rsidRPr="00CE0885">
        <w:rPr>
          <w:lang w:eastAsia="en-GB"/>
        </w:rPr>
        <w:t>a</w:t>
      </w:r>
      <w:r w:rsidRPr="00CE0885">
        <w:rPr>
          <w:spacing w:val="-1"/>
          <w:lang w:eastAsia="en-GB"/>
        </w:rPr>
        <w:t>r</w:t>
      </w:r>
      <w:r w:rsidRPr="00CE0885">
        <w:rPr>
          <w:lang w:eastAsia="en-GB"/>
        </w:rPr>
        <w:t>e</w:t>
      </w:r>
      <w:r w:rsidRPr="00CE0885">
        <w:rPr>
          <w:spacing w:val="-1"/>
          <w:lang w:eastAsia="en-GB"/>
        </w:rPr>
        <w:t xml:space="preserve"> r</w:t>
      </w:r>
      <w:r w:rsidRPr="00CE0885">
        <w:rPr>
          <w:lang w:eastAsia="en-GB"/>
        </w:rPr>
        <w:t>e</w:t>
      </w:r>
      <w:r w:rsidRPr="00CE0885">
        <w:rPr>
          <w:spacing w:val="-2"/>
          <w:lang w:eastAsia="en-GB"/>
        </w:rPr>
        <w:t>v</w:t>
      </w:r>
      <w:r w:rsidRPr="00CE0885">
        <w:rPr>
          <w:lang w:eastAsia="en-GB"/>
        </w:rPr>
        <w:t>ie</w:t>
      </w:r>
      <w:r w:rsidRPr="00CE0885">
        <w:rPr>
          <w:spacing w:val="-3"/>
          <w:lang w:eastAsia="en-GB"/>
        </w:rPr>
        <w:t>w</w:t>
      </w:r>
      <w:r w:rsidRPr="00CE0885">
        <w:rPr>
          <w:lang w:eastAsia="en-GB"/>
        </w:rPr>
        <w:t>ed</w:t>
      </w:r>
      <w:r w:rsidRPr="00CE0885">
        <w:rPr>
          <w:spacing w:val="-8"/>
          <w:lang w:eastAsia="en-GB"/>
        </w:rPr>
        <w:t xml:space="preserve"> </w:t>
      </w:r>
      <w:r w:rsidRPr="00CE0885">
        <w:rPr>
          <w:lang w:eastAsia="en-GB"/>
        </w:rPr>
        <w:t xml:space="preserve">and </w:t>
      </w:r>
      <w:r w:rsidRPr="00CE0885">
        <w:rPr>
          <w:spacing w:val="2"/>
          <w:lang w:eastAsia="en-GB"/>
        </w:rPr>
        <w:t>m</w:t>
      </w:r>
      <w:r w:rsidRPr="00CE0885">
        <w:rPr>
          <w:lang w:eastAsia="en-GB"/>
        </w:rPr>
        <w:t>ain</w:t>
      </w:r>
      <w:r w:rsidRPr="00CE0885">
        <w:rPr>
          <w:spacing w:val="-2"/>
          <w:lang w:eastAsia="en-GB"/>
        </w:rPr>
        <w:t>t</w:t>
      </w:r>
      <w:r w:rsidRPr="00CE0885">
        <w:rPr>
          <w:lang w:eastAsia="en-GB"/>
        </w:rPr>
        <w:t>ain</w:t>
      </w:r>
      <w:r w:rsidRPr="00CE0885">
        <w:rPr>
          <w:spacing w:val="-1"/>
          <w:lang w:eastAsia="en-GB"/>
        </w:rPr>
        <w:t>e</w:t>
      </w:r>
      <w:r w:rsidRPr="00CE0885">
        <w:rPr>
          <w:lang w:eastAsia="en-GB"/>
        </w:rPr>
        <w:t>d</w:t>
      </w:r>
      <w:r w:rsidRPr="00CE0885">
        <w:rPr>
          <w:spacing w:val="-10"/>
          <w:lang w:eastAsia="en-GB"/>
        </w:rPr>
        <w:t xml:space="preserve"> </w:t>
      </w:r>
      <w:r w:rsidRPr="00CE0885">
        <w:rPr>
          <w:spacing w:val="-2"/>
          <w:lang w:eastAsia="en-GB"/>
        </w:rPr>
        <w:t>t</w:t>
      </w:r>
      <w:r w:rsidRPr="00CE0885">
        <w:rPr>
          <w:lang w:eastAsia="en-GB"/>
        </w:rPr>
        <w:t xml:space="preserve">o </w:t>
      </w:r>
      <w:r w:rsidRPr="00CE0885">
        <w:rPr>
          <w:spacing w:val="-1"/>
          <w:lang w:eastAsia="en-GB"/>
        </w:rPr>
        <w:t>b</w:t>
      </w:r>
      <w:r w:rsidRPr="00CE0885">
        <w:rPr>
          <w:lang w:eastAsia="en-GB"/>
        </w:rPr>
        <w:t>e</w:t>
      </w:r>
      <w:r w:rsidRPr="00CE0885">
        <w:rPr>
          <w:spacing w:val="-1"/>
          <w:lang w:eastAsia="en-GB"/>
        </w:rPr>
        <w:t xml:space="preserve"> </w:t>
      </w:r>
      <w:r w:rsidRPr="00CE0885">
        <w:rPr>
          <w:lang w:eastAsia="en-GB"/>
        </w:rPr>
        <w:t>cu</w:t>
      </w:r>
      <w:r w:rsidRPr="00CE0885">
        <w:rPr>
          <w:spacing w:val="-1"/>
          <w:lang w:eastAsia="en-GB"/>
        </w:rPr>
        <w:t>rre</w:t>
      </w:r>
      <w:r w:rsidRPr="00CE0885">
        <w:rPr>
          <w:lang w:eastAsia="en-GB"/>
        </w:rPr>
        <w:t>nt</w:t>
      </w:r>
      <w:r w:rsidRPr="00CE0885">
        <w:rPr>
          <w:spacing w:val="-6"/>
          <w:lang w:eastAsia="en-GB"/>
        </w:rPr>
        <w:t xml:space="preserve"> </w:t>
      </w:r>
      <w:r w:rsidRPr="00CE0885">
        <w:rPr>
          <w:spacing w:val="-3"/>
          <w:lang w:eastAsia="en-GB"/>
        </w:rPr>
        <w:t>w</w:t>
      </w:r>
      <w:r w:rsidRPr="00CE0885">
        <w:rPr>
          <w:lang w:eastAsia="en-GB"/>
        </w:rPr>
        <w:t>ith</w:t>
      </w:r>
      <w:r w:rsidRPr="00CE0885">
        <w:rPr>
          <w:spacing w:val="-2"/>
          <w:lang w:eastAsia="en-GB"/>
        </w:rPr>
        <w:t xml:space="preserve"> </w:t>
      </w:r>
      <w:r w:rsidRPr="00CE0885">
        <w:rPr>
          <w:lang w:eastAsia="en-GB"/>
        </w:rPr>
        <w:t>associa</w:t>
      </w:r>
      <w:r w:rsidRPr="00CE0885">
        <w:rPr>
          <w:spacing w:val="-2"/>
          <w:lang w:eastAsia="en-GB"/>
        </w:rPr>
        <w:t>t</w:t>
      </w:r>
      <w:r w:rsidRPr="00CE0885">
        <w:rPr>
          <w:lang w:eastAsia="en-GB"/>
        </w:rPr>
        <w:t>ed</w:t>
      </w:r>
      <w:r w:rsidRPr="00CE0885">
        <w:rPr>
          <w:spacing w:val="-9"/>
          <w:lang w:eastAsia="en-GB"/>
        </w:rPr>
        <w:t xml:space="preserve"> </w:t>
      </w:r>
      <w:r w:rsidRPr="00CE0885">
        <w:rPr>
          <w:lang w:eastAsia="en-GB"/>
        </w:rPr>
        <w:t>le</w:t>
      </w:r>
      <w:r w:rsidRPr="00CE0885">
        <w:rPr>
          <w:spacing w:val="-1"/>
          <w:lang w:eastAsia="en-GB"/>
        </w:rPr>
        <w:t>g</w:t>
      </w:r>
      <w:r w:rsidRPr="00CE0885">
        <w:rPr>
          <w:spacing w:val="-3"/>
          <w:lang w:eastAsia="en-GB"/>
        </w:rPr>
        <w:t>i</w:t>
      </w:r>
      <w:r w:rsidRPr="00CE0885">
        <w:rPr>
          <w:lang w:eastAsia="en-GB"/>
        </w:rPr>
        <w:t>slation.</w:t>
      </w:r>
      <w:bookmarkEnd w:id="653"/>
    </w:p>
    <w:p w14:paraId="4B1D95A0" w14:textId="77777777" w:rsidR="00977693" w:rsidRPr="00CE0885" w:rsidRDefault="00977693" w:rsidP="006B781A">
      <w:pPr>
        <w:pStyle w:val="Heading3"/>
        <w:rPr>
          <w:lang w:eastAsia="en-GB"/>
        </w:rPr>
      </w:pPr>
      <w:bookmarkStart w:id="654" w:name="_Toc440981799"/>
      <w:r w:rsidRPr="00CE0885">
        <w:rPr>
          <w:lang w:eastAsia="en-GB"/>
        </w:rPr>
        <w:t>Unfo</w:t>
      </w:r>
      <w:r w:rsidRPr="00CE0885">
        <w:rPr>
          <w:spacing w:val="-1"/>
          <w:lang w:eastAsia="en-GB"/>
        </w:rPr>
        <w:t>r</w:t>
      </w:r>
      <w:r w:rsidRPr="00CE0885">
        <w:rPr>
          <w:lang w:eastAsia="en-GB"/>
        </w:rPr>
        <w:t>tu</w:t>
      </w:r>
      <w:r w:rsidRPr="00CE0885">
        <w:rPr>
          <w:spacing w:val="-1"/>
          <w:lang w:eastAsia="en-GB"/>
        </w:rPr>
        <w:t>n</w:t>
      </w:r>
      <w:r w:rsidRPr="00CE0885">
        <w:rPr>
          <w:lang w:eastAsia="en-GB"/>
        </w:rPr>
        <w:t>atel</w:t>
      </w:r>
      <w:r w:rsidRPr="00CE0885">
        <w:rPr>
          <w:spacing w:val="-2"/>
          <w:lang w:eastAsia="en-GB"/>
        </w:rPr>
        <w:t>y</w:t>
      </w:r>
      <w:r w:rsidRPr="00CE0885">
        <w:rPr>
          <w:lang w:eastAsia="en-GB"/>
        </w:rPr>
        <w:t>,</w:t>
      </w:r>
      <w:r w:rsidRPr="00CE0885">
        <w:rPr>
          <w:spacing w:val="-14"/>
          <w:lang w:eastAsia="en-GB"/>
        </w:rPr>
        <w:t xml:space="preserve"> </w:t>
      </w:r>
      <w:r w:rsidRPr="00CE0885">
        <w:rPr>
          <w:spacing w:val="-1"/>
          <w:lang w:eastAsia="en-GB"/>
        </w:rPr>
        <w:t>m</w:t>
      </w:r>
      <w:r w:rsidRPr="00CE0885">
        <w:rPr>
          <w:lang w:eastAsia="en-GB"/>
        </w:rPr>
        <w:t>any</w:t>
      </w:r>
      <w:r w:rsidRPr="00CE0885">
        <w:rPr>
          <w:spacing w:val="-8"/>
          <w:lang w:eastAsia="en-GB"/>
        </w:rPr>
        <w:t xml:space="preserve"> </w:t>
      </w:r>
      <w:r w:rsidRPr="00CE0885">
        <w:rPr>
          <w:spacing w:val="-1"/>
          <w:lang w:eastAsia="en-GB"/>
        </w:rPr>
        <w:t>p</w:t>
      </w:r>
      <w:r w:rsidRPr="00CE0885">
        <w:rPr>
          <w:lang w:eastAsia="en-GB"/>
        </w:rPr>
        <w:t>a</w:t>
      </w:r>
      <w:r w:rsidRPr="00CE0885">
        <w:rPr>
          <w:spacing w:val="-1"/>
          <w:lang w:eastAsia="en-GB"/>
        </w:rPr>
        <w:t>r</w:t>
      </w:r>
      <w:r w:rsidRPr="00CE0885">
        <w:rPr>
          <w:lang w:eastAsia="en-GB"/>
        </w:rPr>
        <w:t>tne</w:t>
      </w:r>
      <w:r w:rsidRPr="00CE0885">
        <w:rPr>
          <w:spacing w:val="-1"/>
          <w:lang w:eastAsia="en-GB"/>
        </w:rPr>
        <w:t>r</w:t>
      </w:r>
      <w:r w:rsidRPr="00CE0885">
        <w:rPr>
          <w:lang w:eastAsia="en-GB"/>
        </w:rPr>
        <w:t>ship</w:t>
      </w:r>
      <w:r w:rsidRPr="00CE0885">
        <w:rPr>
          <w:spacing w:val="-13"/>
          <w:lang w:eastAsia="en-GB"/>
        </w:rPr>
        <w:t xml:space="preserve"> </w:t>
      </w:r>
      <w:r w:rsidRPr="00CE0885">
        <w:rPr>
          <w:lang w:eastAsia="en-GB"/>
        </w:rPr>
        <w:t>o</w:t>
      </w:r>
      <w:r w:rsidRPr="00CE0885">
        <w:rPr>
          <w:spacing w:val="-1"/>
          <w:lang w:eastAsia="en-GB"/>
        </w:rPr>
        <w:t>rg</w:t>
      </w:r>
      <w:r w:rsidRPr="00CE0885">
        <w:rPr>
          <w:lang w:eastAsia="en-GB"/>
        </w:rPr>
        <w:t>anisations</w:t>
      </w:r>
      <w:r w:rsidRPr="00CE0885">
        <w:rPr>
          <w:spacing w:val="-16"/>
          <w:lang w:eastAsia="en-GB"/>
        </w:rPr>
        <w:t xml:space="preserve"> </w:t>
      </w:r>
      <w:r w:rsidRPr="00CE0885">
        <w:rPr>
          <w:lang w:eastAsia="en-GB"/>
        </w:rPr>
        <w:t>do</w:t>
      </w:r>
      <w:r w:rsidRPr="00CE0885">
        <w:rPr>
          <w:spacing w:val="-4"/>
          <w:lang w:eastAsia="en-GB"/>
        </w:rPr>
        <w:t xml:space="preserve"> </w:t>
      </w:r>
      <w:r w:rsidRPr="00CE0885">
        <w:rPr>
          <w:lang w:eastAsia="en-GB"/>
        </w:rPr>
        <w:t>not</w:t>
      </w:r>
      <w:r w:rsidRPr="00CE0885">
        <w:rPr>
          <w:spacing w:val="-4"/>
          <w:lang w:eastAsia="en-GB"/>
        </w:rPr>
        <w:t xml:space="preserve"> </w:t>
      </w:r>
      <w:r w:rsidRPr="00CE0885">
        <w:rPr>
          <w:spacing w:val="-1"/>
          <w:lang w:eastAsia="en-GB"/>
        </w:rPr>
        <w:t>h</w:t>
      </w:r>
      <w:r w:rsidRPr="00CE0885">
        <w:rPr>
          <w:lang w:eastAsia="en-GB"/>
        </w:rPr>
        <w:t>a</w:t>
      </w:r>
      <w:r w:rsidRPr="00CE0885">
        <w:rPr>
          <w:spacing w:val="-2"/>
          <w:lang w:eastAsia="en-GB"/>
        </w:rPr>
        <w:t>v</w:t>
      </w:r>
      <w:r w:rsidRPr="00CE0885">
        <w:rPr>
          <w:lang w:eastAsia="en-GB"/>
        </w:rPr>
        <w:t>e agreements</w:t>
      </w:r>
      <w:r w:rsidRPr="00CE0885">
        <w:rPr>
          <w:spacing w:val="-7"/>
          <w:lang w:eastAsia="en-GB"/>
        </w:rPr>
        <w:t xml:space="preserve"> </w:t>
      </w:r>
      <w:r w:rsidRPr="00CE0885">
        <w:rPr>
          <w:lang w:eastAsia="en-GB"/>
        </w:rPr>
        <w:t>in p</w:t>
      </w:r>
      <w:r w:rsidRPr="00CE0885">
        <w:rPr>
          <w:spacing w:val="-3"/>
          <w:lang w:eastAsia="en-GB"/>
        </w:rPr>
        <w:t>l</w:t>
      </w:r>
      <w:r w:rsidRPr="00CE0885">
        <w:rPr>
          <w:lang w:eastAsia="en-GB"/>
        </w:rPr>
        <w:t>ace</w:t>
      </w:r>
      <w:r w:rsidRPr="00CE0885">
        <w:rPr>
          <w:spacing w:val="-7"/>
          <w:lang w:eastAsia="en-GB"/>
        </w:rPr>
        <w:t xml:space="preserve"> </w:t>
      </w:r>
      <w:r w:rsidRPr="00CE0885">
        <w:rPr>
          <w:lang w:eastAsia="en-GB"/>
        </w:rPr>
        <w:t>or</w:t>
      </w:r>
      <w:r w:rsidRPr="00CE0885">
        <w:rPr>
          <w:spacing w:val="-2"/>
          <w:lang w:eastAsia="en-GB"/>
        </w:rPr>
        <w:t xml:space="preserve"> </w:t>
      </w:r>
      <w:r w:rsidRPr="00CE0885">
        <w:rPr>
          <w:spacing w:val="-1"/>
          <w:lang w:eastAsia="en-GB"/>
        </w:rPr>
        <w:t>h</w:t>
      </w:r>
      <w:r w:rsidRPr="00CE0885">
        <w:rPr>
          <w:lang w:eastAsia="en-GB"/>
        </w:rPr>
        <w:t>a</w:t>
      </w:r>
      <w:r w:rsidRPr="00CE0885">
        <w:rPr>
          <w:spacing w:val="-2"/>
          <w:lang w:eastAsia="en-GB"/>
        </w:rPr>
        <w:t>v</w:t>
      </w:r>
      <w:r w:rsidRPr="00CE0885">
        <w:rPr>
          <w:lang w:eastAsia="en-GB"/>
        </w:rPr>
        <w:t>e</w:t>
      </w:r>
      <w:r w:rsidRPr="00CE0885">
        <w:rPr>
          <w:spacing w:val="-3"/>
          <w:lang w:eastAsia="en-GB"/>
        </w:rPr>
        <w:t xml:space="preserve"> </w:t>
      </w:r>
      <w:r w:rsidRPr="00CE0885">
        <w:rPr>
          <w:lang w:eastAsia="en-GB"/>
        </w:rPr>
        <w:t>ins</w:t>
      </w:r>
      <w:r w:rsidRPr="00CE0885">
        <w:rPr>
          <w:spacing w:val="-1"/>
          <w:lang w:eastAsia="en-GB"/>
        </w:rPr>
        <w:t>u</w:t>
      </w:r>
      <w:r w:rsidRPr="00CE0885">
        <w:rPr>
          <w:lang w:eastAsia="en-GB"/>
        </w:rPr>
        <w:t>f</w:t>
      </w:r>
      <w:r w:rsidRPr="00CE0885">
        <w:rPr>
          <w:spacing w:val="3"/>
          <w:lang w:eastAsia="en-GB"/>
        </w:rPr>
        <w:t>f</w:t>
      </w:r>
      <w:r w:rsidRPr="00CE0885">
        <w:rPr>
          <w:lang w:eastAsia="en-GB"/>
        </w:rPr>
        <w:t>ic</w:t>
      </w:r>
      <w:r w:rsidRPr="00CE0885">
        <w:rPr>
          <w:spacing w:val="-3"/>
          <w:lang w:eastAsia="en-GB"/>
        </w:rPr>
        <w:t>i</w:t>
      </w:r>
      <w:r w:rsidRPr="00CE0885">
        <w:rPr>
          <w:lang w:eastAsia="en-GB"/>
        </w:rPr>
        <w:t>ent</w:t>
      </w:r>
      <w:r w:rsidRPr="00CE0885">
        <w:rPr>
          <w:spacing w:val="-12"/>
          <w:lang w:eastAsia="en-GB"/>
        </w:rPr>
        <w:t xml:space="preserve"> </w:t>
      </w:r>
      <w:r w:rsidRPr="00CE0885">
        <w:rPr>
          <w:lang w:eastAsia="en-GB"/>
        </w:rPr>
        <w:t>or</w:t>
      </w:r>
      <w:r w:rsidRPr="00CE0885">
        <w:rPr>
          <w:spacing w:val="-2"/>
          <w:lang w:eastAsia="en-GB"/>
        </w:rPr>
        <w:t xml:space="preserve"> </w:t>
      </w:r>
      <w:r w:rsidRPr="00CE0885">
        <w:rPr>
          <w:lang w:eastAsia="en-GB"/>
        </w:rPr>
        <w:t>o</w:t>
      </w:r>
      <w:r w:rsidRPr="00CE0885">
        <w:rPr>
          <w:spacing w:val="-1"/>
          <w:lang w:eastAsia="en-GB"/>
        </w:rPr>
        <w:t>u</w:t>
      </w:r>
      <w:r w:rsidRPr="00CE0885">
        <w:rPr>
          <w:lang w:eastAsia="en-GB"/>
        </w:rPr>
        <w:t>td</w:t>
      </w:r>
      <w:r w:rsidRPr="00CE0885">
        <w:rPr>
          <w:spacing w:val="-1"/>
          <w:lang w:eastAsia="en-GB"/>
        </w:rPr>
        <w:t>a</w:t>
      </w:r>
      <w:r w:rsidRPr="00CE0885">
        <w:rPr>
          <w:spacing w:val="-2"/>
          <w:lang w:eastAsia="en-GB"/>
        </w:rPr>
        <w:t>t</w:t>
      </w:r>
      <w:r w:rsidRPr="00CE0885">
        <w:rPr>
          <w:lang w:eastAsia="en-GB"/>
        </w:rPr>
        <w:t>ed</w:t>
      </w:r>
      <w:r w:rsidRPr="00CE0885">
        <w:rPr>
          <w:spacing w:val="-7"/>
          <w:lang w:eastAsia="en-GB"/>
        </w:rPr>
        <w:t xml:space="preserve"> </w:t>
      </w:r>
      <w:r w:rsidRPr="00CE0885">
        <w:rPr>
          <w:spacing w:val="-1"/>
          <w:lang w:eastAsia="en-GB"/>
        </w:rPr>
        <w:t>d</w:t>
      </w:r>
      <w:r w:rsidRPr="00CE0885">
        <w:rPr>
          <w:lang w:eastAsia="en-GB"/>
        </w:rPr>
        <w:t>oc</w:t>
      </w:r>
      <w:r w:rsidRPr="00CE0885">
        <w:rPr>
          <w:spacing w:val="-1"/>
          <w:lang w:eastAsia="en-GB"/>
        </w:rPr>
        <w:t>u</w:t>
      </w:r>
      <w:r w:rsidRPr="00CE0885">
        <w:rPr>
          <w:spacing w:val="2"/>
          <w:lang w:eastAsia="en-GB"/>
        </w:rPr>
        <w:t>m</w:t>
      </w:r>
      <w:r w:rsidRPr="00CE0885">
        <w:rPr>
          <w:spacing w:val="-1"/>
          <w:lang w:eastAsia="en-GB"/>
        </w:rPr>
        <w:t>e</w:t>
      </w:r>
      <w:r w:rsidRPr="00CE0885">
        <w:rPr>
          <w:lang w:eastAsia="en-GB"/>
        </w:rPr>
        <w:t xml:space="preserve">nts which can </w:t>
      </w:r>
      <w:r w:rsidRPr="00CE0885">
        <w:rPr>
          <w:spacing w:val="-1"/>
          <w:lang w:eastAsia="en-GB"/>
        </w:rPr>
        <w:t>o</w:t>
      </w:r>
      <w:r w:rsidRPr="00CE0885">
        <w:rPr>
          <w:spacing w:val="3"/>
          <w:lang w:eastAsia="en-GB"/>
        </w:rPr>
        <w:t>f</w:t>
      </w:r>
      <w:r w:rsidRPr="00CE0885">
        <w:rPr>
          <w:lang w:eastAsia="en-GB"/>
        </w:rPr>
        <w:t>t</w:t>
      </w:r>
      <w:r w:rsidRPr="00CE0885">
        <w:rPr>
          <w:spacing w:val="-1"/>
          <w:lang w:eastAsia="en-GB"/>
        </w:rPr>
        <w:t>e</w:t>
      </w:r>
      <w:r w:rsidRPr="00CE0885">
        <w:rPr>
          <w:lang w:eastAsia="en-GB"/>
        </w:rPr>
        <w:t>n</w:t>
      </w:r>
      <w:r w:rsidRPr="00CE0885">
        <w:rPr>
          <w:spacing w:val="-3"/>
          <w:lang w:eastAsia="en-GB"/>
        </w:rPr>
        <w:t xml:space="preserve"> </w:t>
      </w:r>
      <w:r w:rsidRPr="00CE0885">
        <w:rPr>
          <w:lang w:eastAsia="en-GB"/>
        </w:rPr>
        <w:t>le</w:t>
      </w:r>
      <w:r w:rsidRPr="00CE0885">
        <w:rPr>
          <w:spacing w:val="-1"/>
          <w:lang w:eastAsia="en-GB"/>
        </w:rPr>
        <w:t>a</w:t>
      </w:r>
      <w:r w:rsidRPr="00CE0885">
        <w:rPr>
          <w:lang w:eastAsia="en-GB"/>
        </w:rPr>
        <w:t>d</w:t>
      </w:r>
      <w:r w:rsidRPr="00CE0885">
        <w:rPr>
          <w:spacing w:val="-3"/>
          <w:lang w:eastAsia="en-GB"/>
        </w:rPr>
        <w:t xml:space="preserve"> </w:t>
      </w:r>
      <w:r w:rsidRPr="00CE0885">
        <w:rPr>
          <w:spacing w:val="-2"/>
          <w:lang w:eastAsia="en-GB"/>
        </w:rPr>
        <w:t>t</w:t>
      </w:r>
      <w:r w:rsidRPr="00CE0885">
        <w:rPr>
          <w:lang w:eastAsia="en-GB"/>
        </w:rPr>
        <w:t xml:space="preserve">o </w:t>
      </w:r>
      <w:r w:rsidRPr="00CE0885">
        <w:rPr>
          <w:spacing w:val="-2"/>
          <w:lang w:eastAsia="en-GB"/>
        </w:rPr>
        <w:t>v</w:t>
      </w:r>
      <w:r w:rsidRPr="00CE0885">
        <w:rPr>
          <w:lang w:eastAsia="en-GB"/>
        </w:rPr>
        <w:t>e</w:t>
      </w:r>
      <w:r w:rsidRPr="00CE0885">
        <w:rPr>
          <w:spacing w:val="-1"/>
          <w:lang w:eastAsia="en-GB"/>
        </w:rPr>
        <w:t>r</w:t>
      </w:r>
      <w:r w:rsidRPr="00CE0885">
        <w:rPr>
          <w:lang w:eastAsia="en-GB"/>
        </w:rPr>
        <w:t>y</w:t>
      </w:r>
      <w:r w:rsidRPr="00CE0885">
        <w:rPr>
          <w:spacing w:val="-7"/>
          <w:lang w:eastAsia="en-GB"/>
        </w:rPr>
        <w:t xml:space="preserve"> </w:t>
      </w:r>
      <w:r w:rsidRPr="00CE0885">
        <w:rPr>
          <w:lang w:eastAsia="en-GB"/>
        </w:rPr>
        <w:t>p</w:t>
      </w:r>
      <w:r w:rsidRPr="00CE0885">
        <w:rPr>
          <w:spacing w:val="-1"/>
          <w:lang w:eastAsia="en-GB"/>
        </w:rPr>
        <w:t>r</w:t>
      </w:r>
      <w:r w:rsidRPr="00CE0885">
        <w:rPr>
          <w:lang w:eastAsia="en-GB"/>
        </w:rPr>
        <w:t>ot</w:t>
      </w:r>
      <w:r w:rsidRPr="00CE0885">
        <w:rPr>
          <w:spacing w:val="2"/>
          <w:lang w:eastAsia="en-GB"/>
        </w:rPr>
        <w:t>r</w:t>
      </w:r>
      <w:r w:rsidRPr="00CE0885">
        <w:rPr>
          <w:lang w:eastAsia="en-GB"/>
        </w:rPr>
        <w:t>acted</w:t>
      </w:r>
      <w:r w:rsidRPr="00CE0885">
        <w:rPr>
          <w:spacing w:val="-12"/>
          <w:lang w:eastAsia="en-GB"/>
        </w:rPr>
        <w:t xml:space="preserve"> </w:t>
      </w:r>
      <w:r w:rsidRPr="00CE0885">
        <w:rPr>
          <w:lang w:eastAsia="en-GB"/>
        </w:rPr>
        <w:t>a</w:t>
      </w:r>
      <w:r w:rsidRPr="00CE0885">
        <w:rPr>
          <w:spacing w:val="-1"/>
          <w:lang w:eastAsia="en-GB"/>
        </w:rPr>
        <w:t>n</w:t>
      </w:r>
      <w:r w:rsidRPr="00CE0885">
        <w:rPr>
          <w:lang w:eastAsia="en-GB"/>
        </w:rPr>
        <w:t>d</w:t>
      </w:r>
      <w:r w:rsidRPr="00CE0885">
        <w:rPr>
          <w:spacing w:val="-2"/>
          <w:lang w:eastAsia="en-GB"/>
        </w:rPr>
        <w:t xml:space="preserve"> </w:t>
      </w:r>
      <w:r w:rsidRPr="00CE0885">
        <w:rPr>
          <w:lang w:eastAsia="en-GB"/>
        </w:rPr>
        <w:t>ac</w:t>
      </w:r>
      <w:r w:rsidRPr="00CE0885">
        <w:rPr>
          <w:spacing w:val="-1"/>
          <w:lang w:eastAsia="en-GB"/>
        </w:rPr>
        <w:t>r</w:t>
      </w:r>
      <w:r w:rsidRPr="00CE0885">
        <w:rPr>
          <w:lang w:eastAsia="en-GB"/>
        </w:rPr>
        <w:t>i</w:t>
      </w:r>
      <w:r w:rsidRPr="00CE0885">
        <w:rPr>
          <w:spacing w:val="-1"/>
          <w:lang w:eastAsia="en-GB"/>
        </w:rPr>
        <w:t>m</w:t>
      </w:r>
      <w:r w:rsidRPr="00CE0885">
        <w:rPr>
          <w:lang w:eastAsia="en-GB"/>
        </w:rPr>
        <w:t>oni</w:t>
      </w:r>
      <w:r w:rsidRPr="00CE0885">
        <w:rPr>
          <w:spacing w:val="-1"/>
          <w:lang w:eastAsia="en-GB"/>
        </w:rPr>
        <w:t>o</w:t>
      </w:r>
      <w:r w:rsidRPr="00CE0885">
        <w:rPr>
          <w:lang w:eastAsia="en-GB"/>
        </w:rPr>
        <w:t>us</w:t>
      </w:r>
      <w:r w:rsidRPr="00CE0885">
        <w:rPr>
          <w:spacing w:val="-15"/>
          <w:lang w:eastAsia="en-GB"/>
        </w:rPr>
        <w:t xml:space="preserve"> </w:t>
      </w:r>
      <w:r w:rsidRPr="00CE0885">
        <w:rPr>
          <w:lang w:eastAsia="en-GB"/>
        </w:rPr>
        <w:t>dispu</w:t>
      </w:r>
      <w:r w:rsidRPr="00CE0885">
        <w:rPr>
          <w:spacing w:val="-2"/>
          <w:lang w:eastAsia="en-GB"/>
        </w:rPr>
        <w:t>t</w:t>
      </w:r>
      <w:r w:rsidRPr="00CE0885">
        <w:rPr>
          <w:lang w:eastAsia="en-GB"/>
        </w:rPr>
        <w:t>es</w:t>
      </w:r>
      <w:r w:rsidRPr="00CE0885">
        <w:rPr>
          <w:spacing w:val="-9"/>
          <w:lang w:eastAsia="en-GB"/>
        </w:rPr>
        <w:t xml:space="preserve"> </w:t>
      </w:r>
      <w:r w:rsidRPr="00CE0885">
        <w:rPr>
          <w:spacing w:val="-1"/>
          <w:lang w:eastAsia="en-GB"/>
        </w:rPr>
        <w:t>b</w:t>
      </w:r>
      <w:r w:rsidRPr="00CE0885">
        <w:rPr>
          <w:lang w:eastAsia="en-GB"/>
        </w:rPr>
        <w:t>et</w:t>
      </w:r>
      <w:r w:rsidRPr="00CE0885">
        <w:rPr>
          <w:spacing w:val="-3"/>
          <w:lang w:eastAsia="en-GB"/>
        </w:rPr>
        <w:t>w</w:t>
      </w:r>
      <w:r w:rsidRPr="00CE0885">
        <w:rPr>
          <w:lang w:eastAsia="en-GB"/>
        </w:rPr>
        <w:t>een</w:t>
      </w:r>
      <w:r w:rsidRPr="00CE0885">
        <w:rPr>
          <w:spacing w:val="-7"/>
          <w:lang w:eastAsia="en-GB"/>
        </w:rPr>
        <w:t xml:space="preserve"> </w:t>
      </w:r>
      <w:r w:rsidRPr="00CE0885">
        <w:rPr>
          <w:spacing w:val="-2"/>
          <w:lang w:eastAsia="en-GB"/>
        </w:rPr>
        <w:t>t</w:t>
      </w:r>
      <w:r w:rsidRPr="00CE0885">
        <w:rPr>
          <w:lang w:eastAsia="en-GB"/>
        </w:rPr>
        <w:t>he pa</w:t>
      </w:r>
      <w:r w:rsidRPr="00CE0885">
        <w:rPr>
          <w:spacing w:val="-1"/>
          <w:lang w:eastAsia="en-GB"/>
        </w:rPr>
        <w:t>r</w:t>
      </w:r>
      <w:r w:rsidRPr="00CE0885">
        <w:rPr>
          <w:lang w:eastAsia="en-GB"/>
        </w:rPr>
        <w:t>tners.</w:t>
      </w:r>
      <w:bookmarkEnd w:id="654"/>
    </w:p>
    <w:p w14:paraId="4901F7D0" w14:textId="77777777" w:rsidR="00977693" w:rsidRPr="00CE0885" w:rsidRDefault="00977693" w:rsidP="006B781A">
      <w:pPr>
        <w:pStyle w:val="Heading3"/>
        <w:rPr>
          <w:lang w:eastAsia="en-GB"/>
        </w:rPr>
      </w:pPr>
      <w:bookmarkStart w:id="655" w:name="_Toc440981800"/>
      <w:r w:rsidRPr="00CE0885">
        <w:rPr>
          <w:lang w:eastAsia="en-GB"/>
        </w:rPr>
        <w:t>The Commissioner</w:t>
      </w:r>
      <w:r w:rsidRPr="00CE0885">
        <w:rPr>
          <w:spacing w:val="-7"/>
          <w:lang w:eastAsia="en-GB"/>
        </w:rPr>
        <w:t xml:space="preserve"> </w:t>
      </w:r>
      <w:r w:rsidRPr="00CE0885">
        <w:rPr>
          <w:spacing w:val="-2"/>
          <w:lang w:eastAsia="en-GB"/>
        </w:rPr>
        <w:t>s</w:t>
      </w:r>
      <w:r w:rsidRPr="00CE0885">
        <w:rPr>
          <w:spacing w:val="1"/>
          <w:lang w:eastAsia="en-GB"/>
        </w:rPr>
        <w:t>hou</w:t>
      </w:r>
      <w:r w:rsidRPr="00CE0885">
        <w:rPr>
          <w:spacing w:val="-3"/>
          <w:lang w:eastAsia="en-GB"/>
        </w:rPr>
        <w:t>l</w:t>
      </w:r>
      <w:r w:rsidRPr="00CE0885">
        <w:rPr>
          <w:lang w:eastAsia="en-GB"/>
        </w:rPr>
        <w:t>d</w:t>
      </w:r>
      <w:r w:rsidRPr="00CE0885">
        <w:rPr>
          <w:spacing w:val="-5"/>
          <w:lang w:eastAsia="en-GB"/>
        </w:rPr>
        <w:t xml:space="preserve"> </w:t>
      </w:r>
      <w:r w:rsidRPr="00CE0885">
        <w:rPr>
          <w:spacing w:val="-1"/>
          <w:lang w:eastAsia="en-GB"/>
        </w:rPr>
        <w:t>n</w:t>
      </w:r>
      <w:r w:rsidRPr="00CE0885">
        <w:rPr>
          <w:spacing w:val="1"/>
          <w:lang w:eastAsia="en-GB"/>
        </w:rPr>
        <w:t>o</w:t>
      </w:r>
      <w:r w:rsidRPr="00CE0885">
        <w:rPr>
          <w:lang w:eastAsia="en-GB"/>
        </w:rPr>
        <w:t>t</w:t>
      </w:r>
      <w:r w:rsidRPr="00CE0885">
        <w:rPr>
          <w:spacing w:val="-2"/>
          <w:lang w:eastAsia="en-GB"/>
        </w:rPr>
        <w:t xml:space="preserve"> </w:t>
      </w:r>
      <w:r w:rsidRPr="00CE0885">
        <w:rPr>
          <w:spacing w:val="-1"/>
          <w:lang w:eastAsia="en-GB"/>
        </w:rPr>
        <w:t>g</w:t>
      </w:r>
      <w:r w:rsidRPr="00CE0885">
        <w:rPr>
          <w:spacing w:val="1"/>
          <w:lang w:eastAsia="en-GB"/>
        </w:rPr>
        <w:t>e</w:t>
      </w:r>
      <w:r w:rsidRPr="00CE0885">
        <w:rPr>
          <w:lang w:eastAsia="en-GB"/>
        </w:rPr>
        <w:t>t</w:t>
      </w:r>
      <w:r w:rsidRPr="00CE0885">
        <w:rPr>
          <w:spacing w:val="-2"/>
          <w:lang w:eastAsia="en-GB"/>
        </w:rPr>
        <w:t xml:space="preserve"> </w:t>
      </w:r>
      <w:r w:rsidRPr="00CE0885">
        <w:rPr>
          <w:lang w:eastAsia="en-GB"/>
        </w:rPr>
        <w:t>i</w:t>
      </w:r>
      <w:r w:rsidRPr="00CE0885">
        <w:rPr>
          <w:spacing w:val="1"/>
          <w:lang w:eastAsia="en-GB"/>
        </w:rPr>
        <w:t>n</w:t>
      </w:r>
      <w:r w:rsidRPr="00CE0885">
        <w:rPr>
          <w:spacing w:val="-2"/>
          <w:lang w:eastAsia="en-GB"/>
        </w:rPr>
        <w:t>v</w:t>
      </w:r>
      <w:r w:rsidRPr="00CE0885">
        <w:rPr>
          <w:spacing w:val="1"/>
          <w:lang w:eastAsia="en-GB"/>
        </w:rPr>
        <w:t>o</w:t>
      </w:r>
      <w:r w:rsidRPr="00CE0885">
        <w:rPr>
          <w:lang w:eastAsia="en-GB"/>
        </w:rPr>
        <w:t>l</w:t>
      </w:r>
      <w:r w:rsidRPr="00CE0885">
        <w:rPr>
          <w:spacing w:val="-2"/>
          <w:lang w:eastAsia="en-GB"/>
        </w:rPr>
        <w:t>v</w:t>
      </w:r>
      <w:r w:rsidRPr="00CE0885">
        <w:rPr>
          <w:spacing w:val="1"/>
          <w:lang w:eastAsia="en-GB"/>
        </w:rPr>
        <w:t>e</w:t>
      </w:r>
      <w:r w:rsidRPr="00CE0885">
        <w:rPr>
          <w:lang w:eastAsia="en-GB"/>
        </w:rPr>
        <w:t>d</w:t>
      </w:r>
      <w:r w:rsidRPr="00CE0885">
        <w:rPr>
          <w:spacing w:val="-7"/>
          <w:lang w:eastAsia="en-GB"/>
        </w:rPr>
        <w:t xml:space="preserve"> </w:t>
      </w:r>
      <w:r w:rsidRPr="00CE0885">
        <w:rPr>
          <w:lang w:eastAsia="en-GB"/>
        </w:rPr>
        <w:t xml:space="preserve">in </w:t>
      </w:r>
      <w:r w:rsidRPr="00CE0885">
        <w:rPr>
          <w:spacing w:val="1"/>
          <w:lang w:eastAsia="en-GB"/>
        </w:rPr>
        <w:t>e</w:t>
      </w:r>
      <w:r w:rsidRPr="00CE0885">
        <w:rPr>
          <w:spacing w:val="-1"/>
          <w:lang w:eastAsia="en-GB"/>
        </w:rPr>
        <w:t>n</w:t>
      </w:r>
      <w:r w:rsidRPr="00CE0885">
        <w:rPr>
          <w:spacing w:val="1"/>
          <w:lang w:eastAsia="en-GB"/>
        </w:rPr>
        <w:t>d</w:t>
      </w:r>
      <w:r w:rsidRPr="00CE0885">
        <w:rPr>
          <w:spacing w:val="-1"/>
          <w:lang w:eastAsia="en-GB"/>
        </w:rPr>
        <w:t>e</w:t>
      </w:r>
      <w:r w:rsidRPr="00CE0885">
        <w:rPr>
          <w:spacing w:val="1"/>
          <w:lang w:eastAsia="en-GB"/>
        </w:rPr>
        <w:t>a</w:t>
      </w:r>
      <w:r w:rsidRPr="00CE0885">
        <w:rPr>
          <w:spacing w:val="-2"/>
          <w:lang w:eastAsia="en-GB"/>
        </w:rPr>
        <w:t>v</w:t>
      </w:r>
      <w:r w:rsidRPr="00CE0885">
        <w:rPr>
          <w:spacing w:val="1"/>
          <w:lang w:eastAsia="en-GB"/>
        </w:rPr>
        <w:t>ou</w:t>
      </w:r>
      <w:r w:rsidRPr="00CE0885">
        <w:rPr>
          <w:spacing w:val="-1"/>
          <w:lang w:eastAsia="en-GB"/>
        </w:rPr>
        <w:t>r</w:t>
      </w:r>
      <w:r w:rsidRPr="00CE0885">
        <w:rPr>
          <w:lang w:eastAsia="en-GB"/>
        </w:rPr>
        <w:t>i</w:t>
      </w:r>
      <w:r w:rsidRPr="00CE0885">
        <w:rPr>
          <w:spacing w:val="1"/>
          <w:lang w:eastAsia="en-GB"/>
        </w:rPr>
        <w:t>n</w:t>
      </w:r>
      <w:r w:rsidRPr="00CE0885">
        <w:rPr>
          <w:lang w:eastAsia="en-GB"/>
        </w:rPr>
        <w:t>g</w:t>
      </w:r>
      <w:r w:rsidRPr="00CE0885">
        <w:rPr>
          <w:spacing w:val="-16"/>
          <w:lang w:eastAsia="en-GB"/>
        </w:rPr>
        <w:t xml:space="preserve"> </w:t>
      </w:r>
      <w:r w:rsidRPr="00CE0885">
        <w:rPr>
          <w:spacing w:val="1"/>
          <w:lang w:eastAsia="en-GB"/>
        </w:rPr>
        <w:t>t</w:t>
      </w:r>
      <w:r w:rsidRPr="00CE0885">
        <w:rPr>
          <w:lang w:eastAsia="en-GB"/>
        </w:rPr>
        <w:t xml:space="preserve">o </w:t>
      </w:r>
      <w:r w:rsidRPr="00CE0885">
        <w:rPr>
          <w:spacing w:val="-1"/>
          <w:lang w:eastAsia="en-GB"/>
        </w:rPr>
        <w:t>r</w:t>
      </w:r>
      <w:r w:rsidRPr="00CE0885">
        <w:rPr>
          <w:spacing w:val="1"/>
          <w:lang w:eastAsia="en-GB"/>
        </w:rPr>
        <w:t>e</w:t>
      </w:r>
      <w:r w:rsidRPr="00CE0885">
        <w:rPr>
          <w:lang w:eastAsia="en-GB"/>
        </w:rPr>
        <w:t>s</w:t>
      </w:r>
      <w:r w:rsidRPr="00CE0885">
        <w:rPr>
          <w:spacing w:val="1"/>
          <w:lang w:eastAsia="en-GB"/>
        </w:rPr>
        <w:t>o</w:t>
      </w:r>
      <w:r w:rsidRPr="00CE0885">
        <w:rPr>
          <w:lang w:eastAsia="en-GB"/>
        </w:rPr>
        <w:t>l</w:t>
      </w:r>
      <w:r w:rsidRPr="00CE0885">
        <w:rPr>
          <w:spacing w:val="-2"/>
          <w:lang w:eastAsia="en-GB"/>
        </w:rPr>
        <w:t>v</w:t>
      </w:r>
      <w:r w:rsidRPr="00CE0885">
        <w:rPr>
          <w:lang w:eastAsia="en-GB"/>
        </w:rPr>
        <w:t>e</w:t>
      </w:r>
      <w:r w:rsidRPr="00CE0885">
        <w:rPr>
          <w:spacing w:val="-6"/>
          <w:lang w:eastAsia="en-GB"/>
        </w:rPr>
        <w:t xml:space="preserve"> </w:t>
      </w:r>
      <w:r w:rsidRPr="00CE0885">
        <w:rPr>
          <w:spacing w:val="1"/>
          <w:lang w:eastAsia="en-GB"/>
        </w:rPr>
        <w:t>th</w:t>
      </w:r>
      <w:r w:rsidRPr="00CE0885">
        <w:rPr>
          <w:lang w:eastAsia="en-GB"/>
        </w:rPr>
        <w:t xml:space="preserve">e </w:t>
      </w:r>
      <w:r w:rsidRPr="00CE0885">
        <w:rPr>
          <w:spacing w:val="1"/>
          <w:lang w:eastAsia="en-GB"/>
        </w:rPr>
        <w:t>d</w:t>
      </w:r>
      <w:r w:rsidRPr="00CE0885">
        <w:rPr>
          <w:lang w:eastAsia="en-GB"/>
        </w:rPr>
        <w:t>is</w:t>
      </w:r>
      <w:r w:rsidRPr="00CE0885">
        <w:rPr>
          <w:spacing w:val="1"/>
          <w:lang w:eastAsia="en-GB"/>
        </w:rPr>
        <w:t>pu</w:t>
      </w:r>
      <w:r w:rsidRPr="00CE0885">
        <w:rPr>
          <w:spacing w:val="-2"/>
          <w:lang w:eastAsia="en-GB"/>
        </w:rPr>
        <w:t>t</w:t>
      </w:r>
      <w:r w:rsidRPr="00CE0885">
        <w:rPr>
          <w:lang w:eastAsia="en-GB"/>
        </w:rPr>
        <w:t>e</w:t>
      </w:r>
      <w:r w:rsidRPr="00CE0885">
        <w:rPr>
          <w:spacing w:val="-6"/>
          <w:lang w:eastAsia="en-GB"/>
        </w:rPr>
        <w:t xml:space="preserve"> </w:t>
      </w:r>
      <w:r w:rsidRPr="00CE0885">
        <w:rPr>
          <w:spacing w:val="1"/>
          <w:lang w:eastAsia="en-GB"/>
        </w:rPr>
        <w:t>b</w:t>
      </w:r>
      <w:r w:rsidRPr="00CE0885">
        <w:rPr>
          <w:spacing w:val="-1"/>
          <w:lang w:eastAsia="en-GB"/>
        </w:rPr>
        <w:t>e</w:t>
      </w:r>
      <w:r w:rsidRPr="00CE0885">
        <w:rPr>
          <w:spacing w:val="1"/>
          <w:lang w:eastAsia="en-GB"/>
        </w:rPr>
        <w:t>t</w:t>
      </w:r>
      <w:r w:rsidRPr="00CE0885">
        <w:rPr>
          <w:spacing w:val="-3"/>
          <w:lang w:eastAsia="en-GB"/>
        </w:rPr>
        <w:t>w</w:t>
      </w:r>
      <w:r w:rsidRPr="00CE0885">
        <w:rPr>
          <w:spacing w:val="1"/>
          <w:lang w:eastAsia="en-GB"/>
        </w:rPr>
        <w:t>ee</w:t>
      </w:r>
      <w:r w:rsidRPr="00CE0885">
        <w:rPr>
          <w:lang w:eastAsia="en-GB"/>
        </w:rPr>
        <w:t>n</w:t>
      </w:r>
      <w:r w:rsidRPr="00CE0885">
        <w:rPr>
          <w:spacing w:val="-7"/>
          <w:lang w:eastAsia="en-GB"/>
        </w:rPr>
        <w:t xml:space="preserve">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p</w:t>
      </w:r>
      <w:r w:rsidRPr="00CE0885">
        <w:rPr>
          <w:spacing w:val="1"/>
          <w:lang w:eastAsia="en-GB"/>
        </w:rPr>
        <w:t>a</w:t>
      </w:r>
      <w:r w:rsidRPr="00CE0885">
        <w:rPr>
          <w:spacing w:val="-1"/>
          <w:lang w:eastAsia="en-GB"/>
        </w:rPr>
        <w:t>r</w:t>
      </w:r>
      <w:r w:rsidRPr="00CE0885">
        <w:rPr>
          <w:spacing w:val="1"/>
          <w:lang w:eastAsia="en-GB"/>
        </w:rPr>
        <w:t>tne</w:t>
      </w:r>
      <w:r w:rsidRPr="00CE0885">
        <w:rPr>
          <w:spacing w:val="-1"/>
          <w:lang w:eastAsia="en-GB"/>
        </w:rPr>
        <w:t>r</w:t>
      </w:r>
      <w:r w:rsidRPr="00CE0885">
        <w:rPr>
          <w:lang w:eastAsia="en-GB"/>
        </w:rPr>
        <w:t>s,</w:t>
      </w:r>
      <w:r w:rsidRPr="00CE0885">
        <w:rPr>
          <w:spacing w:val="-8"/>
          <w:lang w:eastAsia="en-GB"/>
        </w:rPr>
        <w:t xml:space="preserve"> </w:t>
      </w:r>
      <w:r w:rsidRPr="00CE0885">
        <w:rPr>
          <w:lang w:eastAsia="en-GB"/>
        </w:rPr>
        <w:t>i</w:t>
      </w:r>
      <w:r w:rsidRPr="00CE0885">
        <w:rPr>
          <w:spacing w:val="1"/>
          <w:lang w:eastAsia="en-GB"/>
        </w:rPr>
        <w:t>n</w:t>
      </w:r>
      <w:r w:rsidRPr="00CE0885">
        <w:rPr>
          <w:spacing w:val="-2"/>
          <w:lang w:eastAsia="en-GB"/>
        </w:rPr>
        <w:t>s</w:t>
      </w:r>
      <w:r w:rsidRPr="00CE0885">
        <w:rPr>
          <w:spacing w:val="1"/>
          <w:lang w:eastAsia="en-GB"/>
        </w:rPr>
        <w:t>te</w:t>
      </w:r>
      <w:r w:rsidRPr="00CE0885">
        <w:rPr>
          <w:spacing w:val="-1"/>
          <w:lang w:eastAsia="en-GB"/>
        </w:rPr>
        <w:t>a</w:t>
      </w:r>
      <w:r w:rsidRPr="00CE0885">
        <w:rPr>
          <w:lang w:eastAsia="en-GB"/>
        </w:rPr>
        <w:t>d</w:t>
      </w:r>
      <w:r w:rsidRPr="00CE0885">
        <w:rPr>
          <w:spacing w:val="-6"/>
          <w:lang w:eastAsia="en-GB"/>
        </w:rPr>
        <w:t xml:space="preserve"> </w:t>
      </w:r>
      <w:r w:rsidRPr="00CE0885">
        <w:rPr>
          <w:lang w:eastAsia="en-GB"/>
        </w:rPr>
        <w:t>i</w:t>
      </w:r>
      <w:r w:rsidRPr="00CE0885">
        <w:rPr>
          <w:spacing w:val="1"/>
          <w:lang w:eastAsia="en-GB"/>
        </w:rPr>
        <w:t>n</w:t>
      </w:r>
      <w:r w:rsidRPr="00CE0885">
        <w:rPr>
          <w:lang w:eastAsia="en-GB"/>
        </w:rPr>
        <w:t>sis</w:t>
      </w:r>
      <w:r w:rsidRPr="00CE0885">
        <w:rPr>
          <w:spacing w:val="1"/>
          <w:lang w:eastAsia="en-GB"/>
        </w:rPr>
        <w:t>t</w:t>
      </w:r>
      <w:r w:rsidRPr="00CE0885">
        <w:rPr>
          <w:lang w:eastAsia="en-GB"/>
        </w:rPr>
        <w:t>i</w:t>
      </w:r>
      <w:r w:rsidRPr="00CE0885">
        <w:rPr>
          <w:spacing w:val="-1"/>
          <w:lang w:eastAsia="en-GB"/>
        </w:rPr>
        <w:t>n</w:t>
      </w:r>
      <w:r w:rsidRPr="00CE0885">
        <w:rPr>
          <w:lang w:eastAsia="en-GB"/>
        </w:rPr>
        <w:t>g</w:t>
      </w:r>
      <w:r w:rsidRPr="00CE0885">
        <w:rPr>
          <w:spacing w:val="-10"/>
          <w:lang w:eastAsia="en-GB"/>
        </w:rPr>
        <w:t xml:space="preserve"> </w:t>
      </w:r>
      <w:r w:rsidRPr="00CE0885">
        <w:rPr>
          <w:spacing w:val="1"/>
          <w:lang w:eastAsia="en-GB"/>
        </w:rPr>
        <w:t>tha</w:t>
      </w:r>
      <w:r w:rsidRPr="00CE0885">
        <w:rPr>
          <w:lang w:eastAsia="en-GB"/>
        </w:rPr>
        <w:t>t</w:t>
      </w:r>
      <w:r w:rsidRPr="00CE0885">
        <w:rPr>
          <w:spacing w:val="-3"/>
          <w:lang w:eastAsia="en-GB"/>
        </w:rPr>
        <w:t xml:space="preserve"> </w:t>
      </w:r>
      <w:r w:rsidRPr="00CE0885">
        <w:rPr>
          <w:spacing w:val="-2"/>
          <w:lang w:eastAsia="en-GB"/>
        </w:rPr>
        <w:t>t</w:t>
      </w:r>
      <w:r w:rsidRPr="00CE0885">
        <w:rPr>
          <w:spacing w:val="1"/>
          <w:lang w:eastAsia="en-GB"/>
        </w:rPr>
        <w:t>h</w:t>
      </w:r>
      <w:r w:rsidRPr="00CE0885">
        <w:rPr>
          <w:lang w:eastAsia="en-GB"/>
        </w:rPr>
        <w:t>e</w:t>
      </w:r>
      <w:r w:rsidRPr="00CE0885">
        <w:rPr>
          <w:spacing w:val="-4"/>
          <w:lang w:eastAsia="en-GB"/>
        </w:rPr>
        <w:t xml:space="preserve"> </w:t>
      </w:r>
      <w:r w:rsidRPr="00CE0885">
        <w:rPr>
          <w:spacing w:val="1"/>
          <w:lang w:eastAsia="en-GB"/>
        </w:rPr>
        <w:t>pa</w:t>
      </w:r>
      <w:r w:rsidRPr="00CE0885">
        <w:rPr>
          <w:spacing w:val="-1"/>
          <w:lang w:eastAsia="en-GB"/>
        </w:rPr>
        <w:t>r</w:t>
      </w:r>
      <w:r w:rsidRPr="00CE0885">
        <w:rPr>
          <w:spacing w:val="1"/>
          <w:lang w:eastAsia="en-GB"/>
        </w:rPr>
        <w:t>t</w:t>
      </w:r>
      <w:r w:rsidRPr="00CE0885">
        <w:rPr>
          <w:lang w:eastAsia="en-GB"/>
        </w:rPr>
        <w:t>i</w:t>
      </w:r>
      <w:r w:rsidRPr="00CE0885">
        <w:rPr>
          <w:spacing w:val="1"/>
          <w:lang w:eastAsia="en-GB"/>
        </w:rPr>
        <w:t>e</w:t>
      </w:r>
      <w:r w:rsidRPr="00CE0885">
        <w:rPr>
          <w:lang w:eastAsia="en-GB"/>
        </w:rPr>
        <w:t>s</w:t>
      </w:r>
      <w:r w:rsidRPr="00CE0885">
        <w:rPr>
          <w:spacing w:val="-9"/>
          <w:lang w:eastAsia="en-GB"/>
        </w:rPr>
        <w:t xml:space="preserve"> </w:t>
      </w:r>
      <w:r w:rsidRPr="00CE0885">
        <w:rPr>
          <w:spacing w:val="1"/>
          <w:lang w:eastAsia="en-GB"/>
        </w:rPr>
        <w:t>not</w:t>
      </w:r>
      <w:r w:rsidRPr="00CE0885">
        <w:rPr>
          <w:spacing w:val="-3"/>
          <w:lang w:eastAsia="en-GB"/>
        </w:rPr>
        <w:t>i</w:t>
      </w:r>
      <w:r w:rsidRPr="00CE0885">
        <w:rPr>
          <w:spacing w:val="3"/>
          <w:lang w:eastAsia="en-GB"/>
        </w:rPr>
        <w:t>f</w:t>
      </w:r>
      <w:r w:rsidRPr="00CE0885">
        <w:rPr>
          <w:lang w:eastAsia="en-GB"/>
        </w:rPr>
        <w:t>y the Commissioner</w:t>
      </w:r>
      <w:r w:rsidRPr="00CE0885">
        <w:rPr>
          <w:spacing w:val="-10"/>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2"/>
          <w:lang w:eastAsia="en-GB"/>
        </w:rPr>
        <w:t>t</w:t>
      </w:r>
      <w:r w:rsidRPr="00CE0885">
        <w:rPr>
          <w:spacing w:val="1"/>
          <w:lang w:eastAsia="en-GB"/>
        </w:rPr>
        <w:t>he</w:t>
      </w:r>
      <w:r w:rsidRPr="00CE0885">
        <w:rPr>
          <w:lang w:eastAsia="en-GB"/>
        </w:rPr>
        <w:t>ir</w:t>
      </w:r>
      <w:r w:rsidRPr="00CE0885">
        <w:rPr>
          <w:spacing w:val="-8"/>
          <w:lang w:eastAsia="en-GB"/>
        </w:rPr>
        <w:t xml:space="preserve"> </w:t>
      </w:r>
      <w:r w:rsidRPr="00CE0885">
        <w:rPr>
          <w:spacing w:val="3"/>
          <w:lang w:eastAsia="en-GB"/>
        </w:rPr>
        <w:t>f</w:t>
      </w:r>
      <w:r w:rsidRPr="00CE0885">
        <w:rPr>
          <w:spacing w:val="-3"/>
          <w:lang w:eastAsia="en-GB"/>
        </w:rPr>
        <w:t>i</w:t>
      </w:r>
      <w:r w:rsidRPr="00CE0885">
        <w:rPr>
          <w:spacing w:val="1"/>
          <w:lang w:eastAsia="en-GB"/>
        </w:rPr>
        <w:t>na</w:t>
      </w:r>
      <w:r w:rsidRPr="00CE0885">
        <w:rPr>
          <w:lang w:eastAsia="en-GB"/>
        </w:rPr>
        <w:t>l</w:t>
      </w:r>
      <w:r w:rsidRPr="00CE0885">
        <w:rPr>
          <w:spacing w:val="-4"/>
          <w:lang w:eastAsia="en-GB"/>
        </w:rPr>
        <w:t xml:space="preserve"> </w:t>
      </w:r>
      <w:r w:rsidRPr="00CE0885">
        <w:rPr>
          <w:spacing w:val="-1"/>
          <w:lang w:eastAsia="en-GB"/>
        </w:rPr>
        <w:t>d</w:t>
      </w:r>
      <w:r w:rsidRPr="00CE0885">
        <w:rPr>
          <w:spacing w:val="1"/>
          <w:lang w:eastAsia="en-GB"/>
        </w:rPr>
        <w:t>e</w:t>
      </w:r>
      <w:r w:rsidRPr="00CE0885">
        <w:rPr>
          <w:lang w:eastAsia="en-GB"/>
        </w:rPr>
        <w:t>cisi</w:t>
      </w:r>
      <w:r w:rsidRPr="00CE0885">
        <w:rPr>
          <w:spacing w:val="1"/>
          <w:lang w:eastAsia="en-GB"/>
        </w:rPr>
        <w:t>o</w:t>
      </w:r>
      <w:r w:rsidRPr="00CE0885">
        <w:rPr>
          <w:lang w:eastAsia="en-GB"/>
        </w:rPr>
        <w:t>n</w:t>
      </w:r>
      <w:r w:rsidRPr="00CE0885">
        <w:rPr>
          <w:spacing w:val="-7"/>
          <w:lang w:eastAsia="en-GB"/>
        </w:rPr>
        <w:t xml:space="preserve"> </w:t>
      </w:r>
      <w:r w:rsidRPr="00CE0885">
        <w:rPr>
          <w:spacing w:val="-3"/>
          <w:lang w:eastAsia="en-GB"/>
        </w:rPr>
        <w:t>w</w:t>
      </w:r>
      <w:r w:rsidRPr="00CE0885">
        <w:rPr>
          <w:spacing w:val="1"/>
          <w:lang w:eastAsia="en-GB"/>
        </w:rPr>
        <w:t>he</w:t>
      </w:r>
      <w:r w:rsidRPr="00CE0885">
        <w:rPr>
          <w:lang w:eastAsia="en-GB"/>
        </w:rPr>
        <w:t>n</w:t>
      </w:r>
      <w:r w:rsidRPr="00CE0885">
        <w:rPr>
          <w:spacing w:val="-4"/>
          <w:lang w:eastAsia="en-GB"/>
        </w:rPr>
        <w:t xml:space="preserve"> </w:t>
      </w:r>
      <w:r w:rsidRPr="00CE0885">
        <w:rPr>
          <w:lang w:eastAsia="en-GB"/>
        </w:rPr>
        <w:t>it is</w:t>
      </w:r>
      <w:r w:rsidRPr="00CE0885">
        <w:rPr>
          <w:spacing w:val="-4"/>
          <w:lang w:eastAsia="en-GB"/>
        </w:rPr>
        <w:t xml:space="preserve"> </w:t>
      </w:r>
      <w:r w:rsidRPr="00CE0885">
        <w:rPr>
          <w:spacing w:val="-1"/>
          <w:lang w:eastAsia="en-GB"/>
        </w:rPr>
        <w:t>r</w:t>
      </w:r>
      <w:r w:rsidRPr="00CE0885">
        <w:rPr>
          <w:spacing w:val="1"/>
          <w:lang w:eastAsia="en-GB"/>
        </w:rPr>
        <w:t>ea</w:t>
      </w:r>
      <w:r w:rsidRPr="00CE0885">
        <w:rPr>
          <w:lang w:eastAsia="en-GB"/>
        </w:rPr>
        <w:t>c</w:t>
      </w:r>
      <w:r w:rsidRPr="00CE0885">
        <w:rPr>
          <w:spacing w:val="1"/>
          <w:lang w:eastAsia="en-GB"/>
        </w:rPr>
        <w:t>h</w:t>
      </w:r>
      <w:r w:rsidRPr="00CE0885">
        <w:rPr>
          <w:spacing w:val="-1"/>
          <w:lang w:eastAsia="en-GB"/>
        </w:rPr>
        <w:t>e</w:t>
      </w:r>
      <w:r w:rsidRPr="00CE0885">
        <w:rPr>
          <w:spacing w:val="1"/>
          <w:lang w:eastAsia="en-GB"/>
        </w:rPr>
        <w:t>d</w:t>
      </w:r>
      <w:r w:rsidRPr="00CE0885">
        <w:rPr>
          <w:lang w:eastAsia="en-GB"/>
        </w:rPr>
        <w:t>.</w:t>
      </w:r>
      <w:bookmarkEnd w:id="655"/>
    </w:p>
    <w:p w14:paraId="6B8CB47C" w14:textId="77777777" w:rsidR="00977693" w:rsidRPr="00CE0885" w:rsidRDefault="00977693" w:rsidP="006B781A">
      <w:pPr>
        <w:pStyle w:val="Heading3"/>
        <w:rPr>
          <w:lang w:eastAsia="en-GB"/>
        </w:rPr>
      </w:pPr>
      <w:bookmarkStart w:id="656" w:name="_Toc440981801"/>
      <w:r w:rsidRPr="00CE0885">
        <w:rPr>
          <w:spacing w:val="1"/>
          <w:lang w:eastAsia="en-GB"/>
        </w:rPr>
        <w:t>I</w:t>
      </w:r>
      <w:r w:rsidRPr="00CE0885">
        <w:rPr>
          <w:lang w:eastAsia="en-GB"/>
        </w:rPr>
        <w:t>t is</w:t>
      </w:r>
      <w:r w:rsidRPr="00CE0885">
        <w:rPr>
          <w:spacing w:val="-2"/>
          <w:lang w:eastAsia="en-GB"/>
        </w:rPr>
        <w:t xml:space="preserve"> </w:t>
      </w:r>
      <w:r w:rsidRPr="00CE0885">
        <w:rPr>
          <w:lang w:eastAsia="en-GB"/>
        </w:rPr>
        <w:t>lik</w:t>
      </w:r>
      <w:r w:rsidRPr="00CE0885">
        <w:rPr>
          <w:spacing w:val="1"/>
          <w:lang w:eastAsia="en-GB"/>
        </w:rPr>
        <w:t>e</w:t>
      </w:r>
      <w:r w:rsidRPr="00CE0885">
        <w:rPr>
          <w:lang w:eastAsia="en-GB"/>
        </w:rPr>
        <w:t>ly</w:t>
      </w:r>
      <w:r w:rsidRPr="00CE0885">
        <w:rPr>
          <w:spacing w:val="-7"/>
          <w:lang w:eastAsia="en-GB"/>
        </w:rPr>
        <w:t xml:space="preserve"> </w:t>
      </w:r>
      <w:r w:rsidRPr="00CE0885">
        <w:rPr>
          <w:spacing w:val="1"/>
          <w:lang w:eastAsia="en-GB"/>
        </w:rPr>
        <w:t>tha</w:t>
      </w:r>
      <w:r w:rsidRPr="00CE0885">
        <w:rPr>
          <w:lang w:eastAsia="en-GB"/>
        </w:rPr>
        <w:t>t</w:t>
      </w:r>
      <w:r w:rsidRPr="00CE0885">
        <w:rPr>
          <w:spacing w:val="-3"/>
          <w:lang w:eastAsia="en-GB"/>
        </w:rPr>
        <w:t xml:space="preserve"> </w:t>
      </w:r>
      <w:r w:rsidRPr="00CE0885">
        <w:rPr>
          <w:lang w:eastAsia="en-GB"/>
        </w:rPr>
        <w:t>the Commissioner</w:t>
      </w:r>
      <w:r w:rsidRPr="00CE0885">
        <w:rPr>
          <w:spacing w:val="-7"/>
          <w:lang w:eastAsia="en-GB"/>
        </w:rPr>
        <w:t xml:space="preserve"> </w:t>
      </w:r>
      <w:r w:rsidRPr="00CE0885">
        <w:rPr>
          <w:spacing w:val="-3"/>
          <w:lang w:eastAsia="en-GB"/>
        </w:rPr>
        <w:t>w</w:t>
      </w:r>
      <w:r w:rsidRPr="00CE0885">
        <w:rPr>
          <w:lang w:eastAsia="en-GB"/>
        </w:rPr>
        <w:t>ill</w:t>
      </w:r>
      <w:r w:rsidRPr="00CE0885">
        <w:rPr>
          <w:spacing w:val="-1"/>
          <w:lang w:eastAsia="en-GB"/>
        </w:rPr>
        <w:t xml:space="preserve"> </w:t>
      </w:r>
      <w:r w:rsidRPr="00CE0885">
        <w:rPr>
          <w:spacing w:val="1"/>
          <w:lang w:eastAsia="en-GB"/>
        </w:rPr>
        <w:t>ha</w:t>
      </w:r>
      <w:r w:rsidRPr="00CE0885">
        <w:rPr>
          <w:spacing w:val="-2"/>
          <w:lang w:eastAsia="en-GB"/>
        </w:rPr>
        <w:t>v</w:t>
      </w:r>
      <w:r w:rsidRPr="00CE0885">
        <w:rPr>
          <w:lang w:eastAsia="en-GB"/>
        </w:rPr>
        <w:t>e</w:t>
      </w:r>
      <w:r w:rsidRPr="00CE0885">
        <w:rPr>
          <w:spacing w:val="-3"/>
          <w:lang w:eastAsia="en-GB"/>
        </w:rPr>
        <w:t xml:space="preserve"> </w:t>
      </w:r>
      <w:r w:rsidRPr="00CE0885">
        <w:rPr>
          <w:spacing w:val="1"/>
          <w:lang w:eastAsia="en-GB"/>
        </w:rPr>
        <w:t>n</w:t>
      </w:r>
      <w:r w:rsidRPr="00CE0885">
        <w:rPr>
          <w:spacing w:val="-1"/>
          <w:lang w:eastAsia="en-GB"/>
        </w:rPr>
        <w:t>u</w:t>
      </w:r>
      <w:r w:rsidRPr="00CE0885">
        <w:rPr>
          <w:spacing w:val="2"/>
          <w:lang w:eastAsia="en-GB"/>
        </w:rPr>
        <w:t>m</w:t>
      </w:r>
      <w:r w:rsidRPr="00CE0885">
        <w:rPr>
          <w:spacing w:val="1"/>
          <w:lang w:eastAsia="en-GB"/>
        </w:rPr>
        <w:t>e</w:t>
      </w:r>
      <w:r w:rsidRPr="00CE0885">
        <w:rPr>
          <w:spacing w:val="-1"/>
          <w:lang w:eastAsia="en-GB"/>
        </w:rPr>
        <w:t>ro</w:t>
      </w:r>
      <w:r w:rsidRPr="00CE0885">
        <w:rPr>
          <w:spacing w:val="1"/>
          <w:lang w:eastAsia="en-GB"/>
        </w:rPr>
        <w:t>u</w:t>
      </w:r>
      <w:r w:rsidRPr="00CE0885">
        <w:rPr>
          <w:lang w:eastAsia="en-GB"/>
        </w:rPr>
        <w:t>s</w:t>
      </w:r>
      <w:r w:rsidRPr="00CE0885">
        <w:rPr>
          <w:spacing w:val="-11"/>
          <w:lang w:eastAsia="en-GB"/>
        </w:rPr>
        <w:t xml:space="preserve"> </w:t>
      </w:r>
      <w:r w:rsidRPr="00CE0885">
        <w:rPr>
          <w:lang w:eastAsia="en-GB"/>
        </w:rPr>
        <w:t>c</w:t>
      </w:r>
      <w:r w:rsidRPr="00CE0885">
        <w:rPr>
          <w:spacing w:val="-1"/>
          <w:lang w:eastAsia="en-GB"/>
        </w:rPr>
        <w:t>o</w:t>
      </w:r>
      <w:r w:rsidRPr="00CE0885">
        <w:rPr>
          <w:spacing w:val="1"/>
          <w:lang w:eastAsia="en-GB"/>
        </w:rPr>
        <w:t>nt</w:t>
      </w:r>
      <w:r w:rsidRPr="00CE0885">
        <w:rPr>
          <w:spacing w:val="-1"/>
          <w:lang w:eastAsia="en-GB"/>
        </w:rPr>
        <w:t>a</w:t>
      </w:r>
      <w:r w:rsidRPr="00CE0885">
        <w:rPr>
          <w:lang w:eastAsia="en-GB"/>
        </w:rPr>
        <w:t>c</w:t>
      </w:r>
      <w:r w:rsidRPr="00CE0885">
        <w:rPr>
          <w:spacing w:val="1"/>
          <w:lang w:eastAsia="en-GB"/>
        </w:rPr>
        <w:t>t</w:t>
      </w:r>
      <w:r w:rsidRPr="00CE0885">
        <w:rPr>
          <w:lang w:eastAsia="en-GB"/>
        </w:rPr>
        <w:t xml:space="preserve">s </w:t>
      </w:r>
      <w:r w:rsidRPr="00CE0885">
        <w:rPr>
          <w:spacing w:val="3"/>
          <w:lang w:eastAsia="en-GB"/>
        </w:rPr>
        <w:t>f</w:t>
      </w:r>
      <w:r w:rsidRPr="00CE0885">
        <w:rPr>
          <w:spacing w:val="-1"/>
          <w:lang w:eastAsia="en-GB"/>
        </w:rPr>
        <w:t>ro</w:t>
      </w:r>
      <w:r w:rsidRPr="00CE0885">
        <w:rPr>
          <w:lang w:eastAsia="en-GB"/>
        </w:rPr>
        <w:t>m</w:t>
      </w:r>
      <w:r w:rsidRPr="00CE0885">
        <w:rPr>
          <w:spacing w:val="-5"/>
          <w:lang w:eastAsia="en-GB"/>
        </w:rPr>
        <w:t xml:space="preserve"> </w:t>
      </w:r>
      <w:r w:rsidRPr="00CE0885">
        <w:rPr>
          <w:spacing w:val="1"/>
          <w:lang w:eastAsia="en-GB"/>
        </w:rPr>
        <w:t>d</w:t>
      </w:r>
      <w:r w:rsidRPr="00CE0885">
        <w:rPr>
          <w:spacing w:val="-3"/>
          <w:lang w:eastAsia="en-GB"/>
        </w:rPr>
        <w:t>i</w:t>
      </w:r>
      <w:r w:rsidRPr="00CE0885">
        <w:rPr>
          <w:spacing w:val="1"/>
          <w:lang w:eastAsia="en-GB"/>
        </w:rPr>
        <w:t>f</w:t>
      </w:r>
      <w:r w:rsidRPr="00CE0885">
        <w:rPr>
          <w:spacing w:val="3"/>
          <w:lang w:eastAsia="en-GB"/>
        </w:rPr>
        <w:t>f</w:t>
      </w:r>
      <w:r w:rsidRPr="00CE0885">
        <w:rPr>
          <w:spacing w:val="1"/>
          <w:lang w:eastAsia="en-GB"/>
        </w:rPr>
        <w:t>e</w:t>
      </w:r>
      <w:r w:rsidRPr="00CE0885">
        <w:rPr>
          <w:spacing w:val="-1"/>
          <w:lang w:eastAsia="en-GB"/>
        </w:rPr>
        <w:t>re</w:t>
      </w:r>
      <w:r w:rsidRPr="00CE0885">
        <w:rPr>
          <w:spacing w:val="1"/>
          <w:lang w:eastAsia="en-GB"/>
        </w:rPr>
        <w:t>n</w:t>
      </w:r>
      <w:r w:rsidRPr="00CE0885">
        <w:rPr>
          <w:lang w:eastAsia="en-GB"/>
        </w:rPr>
        <w:t>t</w:t>
      </w:r>
      <w:r w:rsidRPr="00CE0885">
        <w:rPr>
          <w:spacing w:val="-8"/>
          <w:lang w:eastAsia="en-GB"/>
        </w:rPr>
        <w:t xml:space="preserve"> </w:t>
      </w:r>
      <w:r w:rsidRPr="00CE0885">
        <w:rPr>
          <w:spacing w:val="-1"/>
          <w:lang w:eastAsia="en-GB"/>
        </w:rPr>
        <w:t>p</w:t>
      </w:r>
      <w:r w:rsidRPr="00CE0885">
        <w:rPr>
          <w:spacing w:val="1"/>
          <w:lang w:eastAsia="en-GB"/>
        </w:rPr>
        <w:t>a</w:t>
      </w:r>
      <w:r w:rsidRPr="00CE0885">
        <w:rPr>
          <w:spacing w:val="-1"/>
          <w:lang w:eastAsia="en-GB"/>
        </w:rPr>
        <w:t>r</w:t>
      </w:r>
      <w:r w:rsidRPr="00CE0885">
        <w:rPr>
          <w:spacing w:val="1"/>
          <w:lang w:eastAsia="en-GB"/>
        </w:rPr>
        <w:t>tne</w:t>
      </w:r>
      <w:r w:rsidRPr="00CE0885">
        <w:rPr>
          <w:spacing w:val="-1"/>
          <w:lang w:eastAsia="en-GB"/>
        </w:rPr>
        <w:t>r</w:t>
      </w:r>
      <w:r w:rsidRPr="00CE0885">
        <w:rPr>
          <w:lang w:eastAsia="en-GB"/>
        </w:rPr>
        <w:t>s</w:t>
      </w:r>
      <w:r w:rsidRPr="00CE0885">
        <w:rPr>
          <w:spacing w:val="-2"/>
          <w:lang w:eastAsia="en-GB"/>
        </w:rPr>
        <w:t xml:space="preserve"> </w:t>
      </w:r>
      <w:r w:rsidRPr="00CE0885">
        <w:rPr>
          <w:spacing w:val="1"/>
          <w:lang w:eastAsia="en-GB"/>
        </w:rPr>
        <w:t>a</w:t>
      </w:r>
      <w:r w:rsidRPr="00CE0885">
        <w:rPr>
          <w:spacing w:val="-1"/>
          <w:lang w:eastAsia="en-GB"/>
        </w:rPr>
        <w:t>n</w:t>
      </w:r>
      <w:r w:rsidRPr="00CE0885">
        <w:rPr>
          <w:lang w:eastAsia="en-GB"/>
        </w:rPr>
        <w:t>d</w:t>
      </w:r>
      <w:r w:rsidRPr="00CE0885">
        <w:rPr>
          <w:spacing w:val="-2"/>
          <w:lang w:eastAsia="en-GB"/>
        </w:rPr>
        <w:t xml:space="preserve"> </w:t>
      </w:r>
      <w:r w:rsidRPr="00CE0885">
        <w:rPr>
          <w:spacing w:val="1"/>
          <w:lang w:eastAsia="en-GB"/>
        </w:rPr>
        <w:t>t</w:t>
      </w:r>
      <w:r w:rsidRPr="00CE0885">
        <w:rPr>
          <w:spacing w:val="-1"/>
          <w:lang w:eastAsia="en-GB"/>
        </w:rPr>
        <w:t>h</w:t>
      </w:r>
      <w:r w:rsidRPr="00CE0885">
        <w:rPr>
          <w:spacing w:val="1"/>
          <w:lang w:eastAsia="en-GB"/>
        </w:rPr>
        <w:t>e</w:t>
      </w:r>
      <w:r w:rsidRPr="00CE0885">
        <w:rPr>
          <w:lang w:eastAsia="en-GB"/>
        </w:rPr>
        <w:t>ir</w:t>
      </w:r>
      <w:r w:rsidRPr="00CE0885">
        <w:rPr>
          <w:spacing w:val="-5"/>
          <w:lang w:eastAsia="en-GB"/>
        </w:rPr>
        <w:t xml:space="preserve"> </w:t>
      </w:r>
      <w:r w:rsidRPr="00CE0885">
        <w:rPr>
          <w:lang w:eastAsia="en-GB"/>
        </w:rPr>
        <w:t>s</w:t>
      </w:r>
      <w:r w:rsidRPr="00CE0885">
        <w:rPr>
          <w:spacing w:val="1"/>
          <w:lang w:eastAsia="en-GB"/>
        </w:rPr>
        <w:t>t</w:t>
      </w:r>
      <w:r w:rsidRPr="00CE0885">
        <w:rPr>
          <w:spacing w:val="-1"/>
          <w:lang w:eastAsia="en-GB"/>
        </w:rPr>
        <w:t>a</w:t>
      </w:r>
      <w:r w:rsidRPr="00CE0885">
        <w:rPr>
          <w:spacing w:val="1"/>
          <w:lang w:eastAsia="en-GB"/>
        </w:rPr>
        <w:t>f</w:t>
      </w:r>
      <w:r w:rsidRPr="00CE0885">
        <w:rPr>
          <w:lang w:eastAsia="en-GB"/>
        </w:rPr>
        <w:t>f</w:t>
      </w:r>
      <w:r w:rsidRPr="00CE0885">
        <w:rPr>
          <w:spacing w:val="-4"/>
          <w:lang w:eastAsia="en-GB"/>
        </w:rPr>
        <w:t xml:space="preserve"> </w:t>
      </w:r>
      <w:r w:rsidRPr="00CE0885">
        <w:rPr>
          <w:spacing w:val="1"/>
          <w:lang w:eastAsia="en-GB"/>
        </w:rPr>
        <w:t>a</w:t>
      </w:r>
      <w:r w:rsidRPr="00CE0885">
        <w:rPr>
          <w:spacing w:val="-1"/>
          <w:lang w:eastAsia="en-GB"/>
        </w:rPr>
        <w:t>b</w:t>
      </w:r>
      <w:r w:rsidRPr="00CE0885">
        <w:rPr>
          <w:spacing w:val="1"/>
          <w:lang w:eastAsia="en-GB"/>
        </w:rPr>
        <w:t>ou</w:t>
      </w:r>
      <w:r w:rsidRPr="00CE0885">
        <w:rPr>
          <w:lang w:eastAsia="en-GB"/>
        </w:rPr>
        <w:t>t</w:t>
      </w:r>
      <w:r w:rsidRPr="00CE0885">
        <w:rPr>
          <w:spacing w:val="-7"/>
          <w:lang w:eastAsia="en-GB"/>
        </w:rPr>
        <w:t xml:space="preserve"> </w:t>
      </w:r>
      <w:r w:rsidRPr="00CE0885">
        <w:rPr>
          <w:spacing w:val="1"/>
          <w:lang w:eastAsia="en-GB"/>
        </w:rPr>
        <w:t>th</w:t>
      </w:r>
      <w:r w:rsidRPr="00CE0885">
        <w:rPr>
          <w:lang w:eastAsia="en-GB"/>
        </w:rPr>
        <w:t>e</w:t>
      </w:r>
      <w:r w:rsidRPr="00CE0885">
        <w:rPr>
          <w:spacing w:val="-4"/>
          <w:lang w:eastAsia="en-GB"/>
        </w:rPr>
        <w:t xml:space="preserve"> </w:t>
      </w:r>
      <w:r w:rsidRPr="00CE0885">
        <w:rPr>
          <w:spacing w:val="1"/>
          <w:lang w:eastAsia="en-GB"/>
        </w:rPr>
        <w:t>d</w:t>
      </w:r>
      <w:r w:rsidRPr="00CE0885">
        <w:rPr>
          <w:lang w:eastAsia="en-GB"/>
        </w:rPr>
        <w:t>is</w:t>
      </w:r>
      <w:r w:rsidRPr="00CE0885">
        <w:rPr>
          <w:spacing w:val="1"/>
          <w:lang w:eastAsia="en-GB"/>
        </w:rPr>
        <w:t>p</w:t>
      </w:r>
      <w:r w:rsidRPr="00CE0885">
        <w:rPr>
          <w:spacing w:val="-1"/>
          <w:lang w:eastAsia="en-GB"/>
        </w:rPr>
        <w:t>u</w:t>
      </w:r>
      <w:r w:rsidRPr="00CE0885">
        <w:rPr>
          <w:spacing w:val="1"/>
          <w:lang w:eastAsia="en-GB"/>
        </w:rPr>
        <w:t>t</w:t>
      </w:r>
      <w:r w:rsidRPr="00CE0885">
        <w:rPr>
          <w:lang w:eastAsia="en-GB"/>
        </w:rPr>
        <w:t>e</w:t>
      </w:r>
      <w:r w:rsidRPr="00CE0885">
        <w:rPr>
          <w:spacing w:val="-9"/>
          <w:lang w:eastAsia="en-GB"/>
        </w:rPr>
        <w:t xml:space="preserve"> </w:t>
      </w:r>
      <w:r w:rsidRPr="00CE0885">
        <w:rPr>
          <w:spacing w:val="1"/>
          <w:lang w:eastAsia="en-GB"/>
        </w:rPr>
        <w:t>bu</w:t>
      </w:r>
      <w:r w:rsidRPr="00CE0885">
        <w:rPr>
          <w:lang w:eastAsia="en-GB"/>
        </w:rPr>
        <w:t>t the Commissioner</w:t>
      </w:r>
      <w:r w:rsidRPr="00CE0885">
        <w:rPr>
          <w:spacing w:val="-7"/>
          <w:lang w:eastAsia="en-GB"/>
        </w:rPr>
        <w:t xml:space="preserve"> </w:t>
      </w:r>
      <w:r w:rsidRPr="00CE0885">
        <w:rPr>
          <w:spacing w:val="-2"/>
          <w:lang w:eastAsia="en-GB"/>
        </w:rPr>
        <w:t>s</w:t>
      </w:r>
      <w:r w:rsidRPr="00CE0885">
        <w:rPr>
          <w:spacing w:val="1"/>
          <w:lang w:eastAsia="en-GB"/>
        </w:rPr>
        <w:t>hou</w:t>
      </w:r>
      <w:r w:rsidRPr="00CE0885">
        <w:rPr>
          <w:spacing w:val="-3"/>
          <w:lang w:eastAsia="en-GB"/>
        </w:rPr>
        <w:t>l</w:t>
      </w:r>
      <w:r w:rsidRPr="00CE0885">
        <w:rPr>
          <w:lang w:eastAsia="en-GB"/>
        </w:rPr>
        <w:t>d</w:t>
      </w:r>
      <w:r w:rsidRPr="00CE0885">
        <w:rPr>
          <w:spacing w:val="-5"/>
          <w:lang w:eastAsia="en-GB"/>
        </w:rPr>
        <w:t xml:space="preserve"> </w:t>
      </w:r>
      <w:r w:rsidRPr="00CE0885">
        <w:rPr>
          <w:spacing w:val="1"/>
          <w:lang w:eastAsia="en-GB"/>
        </w:rPr>
        <w:t>t</w:t>
      </w:r>
      <w:r w:rsidRPr="00CE0885">
        <w:rPr>
          <w:spacing w:val="-3"/>
          <w:lang w:eastAsia="en-GB"/>
        </w:rPr>
        <w:t>r</w:t>
      </w:r>
      <w:r w:rsidRPr="00CE0885">
        <w:rPr>
          <w:lang w:eastAsia="en-GB"/>
        </w:rPr>
        <w:t>y</w:t>
      </w:r>
      <w:r w:rsidRPr="00CE0885">
        <w:rPr>
          <w:spacing w:val="-5"/>
          <w:lang w:eastAsia="en-GB"/>
        </w:rPr>
        <w:t xml:space="preserve"> </w:t>
      </w:r>
      <w:r w:rsidRPr="00CE0885">
        <w:rPr>
          <w:spacing w:val="1"/>
          <w:lang w:eastAsia="en-GB"/>
        </w:rPr>
        <w:t>t</w:t>
      </w:r>
      <w:r w:rsidRPr="00CE0885">
        <w:rPr>
          <w:lang w:eastAsia="en-GB"/>
        </w:rPr>
        <w:t xml:space="preserve">o </w:t>
      </w:r>
      <w:r w:rsidRPr="00CE0885">
        <w:rPr>
          <w:spacing w:val="2"/>
          <w:lang w:eastAsia="en-GB"/>
        </w:rPr>
        <w:t>m</w:t>
      </w:r>
      <w:r w:rsidRPr="00CE0885">
        <w:rPr>
          <w:spacing w:val="1"/>
          <w:lang w:eastAsia="en-GB"/>
        </w:rPr>
        <w:t>a</w:t>
      </w:r>
      <w:r w:rsidRPr="00CE0885">
        <w:rPr>
          <w:lang w:eastAsia="en-GB"/>
        </w:rPr>
        <w:t>i</w:t>
      </w:r>
      <w:r w:rsidRPr="00CE0885">
        <w:rPr>
          <w:spacing w:val="1"/>
          <w:lang w:eastAsia="en-GB"/>
        </w:rPr>
        <w:t>n</w:t>
      </w:r>
      <w:r w:rsidRPr="00CE0885">
        <w:rPr>
          <w:spacing w:val="-2"/>
          <w:lang w:eastAsia="en-GB"/>
        </w:rPr>
        <w:t>t</w:t>
      </w:r>
      <w:r w:rsidRPr="00CE0885">
        <w:rPr>
          <w:spacing w:val="1"/>
          <w:lang w:eastAsia="en-GB"/>
        </w:rPr>
        <w:t>a</w:t>
      </w:r>
      <w:r w:rsidRPr="00CE0885">
        <w:rPr>
          <w:lang w:eastAsia="en-GB"/>
        </w:rPr>
        <w:t>in</w:t>
      </w:r>
      <w:r w:rsidRPr="00CE0885">
        <w:rPr>
          <w:spacing w:val="-10"/>
          <w:lang w:eastAsia="en-GB"/>
        </w:rPr>
        <w:t xml:space="preserve"> </w:t>
      </w:r>
      <w:r w:rsidRPr="00CE0885">
        <w:rPr>
          <w:lang w:eastAsia="en-GB"/>
        </w:rPr>
        <w:t>a</w:t>
      </w:r>
      <w:r w:rsidRPr="00CE0885">
        <w:rPr>
          <w:spacing w:val="1"/>
          <w:lang w:eastAsia="en-GB"/>
        </w:rPr>
        <w:t xml:space="preserve"> </w:t>
      </w:r>
      <w:r w:rsidRPr="00CE0885">
        <w:rPr>
          <w:spacing w:val="-1"/>
          <w:lang w:eastAsia="en-GB"/>
        </w:rPr>
        <w:t>d</w:t>
      </w:r>
      <w:r w:rsidRPr="00CE0885">
        <w:rPr>
          <w:spacing w:val="1"/>
          <w:lang w:eastAsia="en-GB"/>
        </w:rPr>
        <w:t>eta</w:t>
      </w:r>
      <w:r w:rsidRPr="00CE0885">
        <w:rPr>
          <w:spacing w:val="-2"/>
          <w:lang w:eastAsia="en-GB"/>
        </w:rPr>
        <w:t>c</w:t>
      </w:r>
      <w:r w:rsidRPr="00CE0885">
        <w:rPr>
          <w:spacing w:val="-1"/>
          <w:lang w:eastAsia="en-GB"/>
        </w:rPr>
        <w:t>h</w:t>
      </w:r>
      <w:r w:rsidRPr="00CE0885">
        <w:rPr>
          <w:spacing w:val="1"/>
          <w:lang w:eastAsia="en-GB"/>
        </w:rPr>
        <w:t>e</w:t>
      </w:r>
      <w:r w:rsidRPr="00CE0885">
        <w:rPr>
          <w:lang w:eastAsia="en-GB"/>
        </w:rPr>
        <w:t>d</w:t>
      </w:r>
      <w:r w:rsidRPr="00CE0885">
        <w:rPr>
          <w:spacing w:val="-8"/>
          <w:lang w:eastAsia="en-GB"/>
        </w:rPr>
        <w:t xml:space="preserve"> </w:t>
      </w:r>
      <w:r w:rsidRPr="00CE0885">
        <w:rPr>
          <w:spacing w:val="-1"/>
          <w:lang w:eastAsia="en-GB"/>
        </w:rPr>
        <w:t>p</w:t>
      </w:r>
      <w:r w:rsidRPr="00CE0885">
        <w:rPr>
          <w:spacing w:val="1"/>
          <w:lang w:eastAsia="en-GB"/>
        </w:rPr>
        <w:t>o</w:t>
      </w:r>
      <w:r w:rsidRPr="00CE0885">
        <w:rPr>
          <w:lang w:eastAsia="en-GB"/>
        </w:rPr>
        <w:t>si</w:t>
      </w:r>
      <w:r w:rsidRPr="00CE0885">
        <w:rPr>
          <w:spacing w:val="1"/>
          <w:lang w:eastAsia="en-GB"/>
        </w:rPr>
        <w:t>t</w:t>
      </w:r>
      <w:r w:rsidRPr="00CE0885">
        <w:rPr>
          <w:lang w:eastAsia="en-GB"/>
        </w:rPr>
        <w:t>i</w:t>
      </w:r>
      <w:r w:rsidRPr="00CE0885">
        <w:rPr>
          <w:spacing w:val="1"/>
          <w:lang w:eastAsia="en-GB"/>
        </w:rPr>
        <w:t>o</w:t>
      </w:r>
      <w:r w:rsidRPr="00CE0885">
        <w:rPr>
          <w:lang w:eastAsia="en-GB"/>
        </w:rPr>
        <w:t>n</w:t>
      </w:r>
      <w:r w:rsidRPr="00CE0885">
        <w:rPr>
          <w:spacing w:val="-6"/>
          <w:lang w:eastAsia="en-GB"/>
        </w:rPr>
        <w:t xml:space="preserve"> </w:t>
      </w:r>
      <w:r w:rsidRPr="00CE0885">
        <w:rPr>
          <w:spacing w:val="-3"/>
          <w:lang w:eastAsia="en-GB"/>
        </w:rPr>
        <w:t>i</w:t>
      </w:r>
      <w:r w:rsidRPr="00CE0885">
        <w:rPr>
          <w:lang w:eastAsia="en-GB"/>
        </w:rPr>
        <w:t xml:space="preserve">n </w:t>
      </w:r>
      <w:r w:rsidRPr="00CE0885">
        <w:rPr>
          <w:spacing w:val="1"/>
          <w:lang w:eastAsia="en-GB"/>
        </w:rPr>
        <w:t>th</w:t>
      </w:r>
      <w:r w:rsidRPr="00CE0885">
        <w:rPr>
          <w:lang w:eastAsia="en-GB"/>
        </w:rPr>
        <w:t>is</w:t>
      </w:r>
      <w:r w:rsidRPr="00CE0885">
        <w:rPr>
          <w:spacing w:val="-4"/>
          <w:lang w:eastAsia="en-GB"/>
        </w:rPr>
        <w:t xml:space="preserve"> </w:t>
      </w:r>
      <w:r w:rsidRPr="00CE0885">
        <w:rPr>
          <w:spacing w:val="-3"/>
          <w:lang w:eastAsia="en-GB"/>
        </w:rPr>
        <w:t>r</w:t>
      </w:r>
      <w:r w:rsidRPr="00CE0885">
        <w:rPr>
          <w:spacing w:val="1"/>
          <w:lang w:eastAsia="en-GB"/>
        </w:rPr>
        <w:t>e</w:t>
      </w:r>
      <w:r w:rsidRPr="00CE0885">
        <w:rPr>
          <w:lang w:eastAsia="en-GB"/>
        </w:rPr>
        <w:t>s</w:t>
      </w:r>
      <w:r w:rsidRPr="00CE0885">
        <w:rPr>
          <w:spacing w:val="-1"/>
          <w:lang w:eastAsia="en-GB"/>
        </w:rPr>
        <w:t>p</w:t>
      </w:r>
      <w:r w:rsidRPr="00CE0885">
        <w:rPr>
          <w:spacing w:val="1"/>
          <w:lang w:eastAsia="en-GB"/>
        </w:rPr>
        <w:t>e</w:t>
      </w:r>
      <w:r w:rsidRPr="00CE0885">
        <w:rPr>
          <w:lang w:eastAsia="en-GB"/>
        </w:rPr>
        <w:t>c</w:t>
      </w:r>
      <w:r w:rsidRPr="00CE0885">
        <w:rPr>
          <w:spacing w:val="1"/>
          <w:lang w:eastAsia="en-GB"/>
        </w:rPr>
        <w:t>t</w:t>
      </w:r>
      <w:r w:rsidRPr="00CE0885">
        <w:rPr>
          <w:lang w:eastAsia="en-GB"/>
        </w:rPr>
        <w:t xml:space="preserve">. </w:t>
      </w:r>
      <w:r w:rsidRPr="00CE0885">
        <w:rPr>
          <w:spacing w:val="1"/>
          <w:lang w:eastAsia="en-GB"/>
        </w:rPr>
        <w:t>An</w:t>
      </w:r>
      <w:r w:rsidRPr="00CE0885">
        <w:rPr>
          <w:lang w:eastAsia="en-GB"/>
        </w:rPr>
        <w:t>y</w:t>
      </w:r>
      <w:r w:rsidRPr="00CE0885">
        <w:rPr>
          <w:spacing w:val="-6"/>
          <w:lang w:eastAsia="en-GB"/>
        </w:rPr>
        <w:t xml:space="preserve"> </w:t>
      </w:r>
      <w:r w:rsidRPr="00CE0885">
        <w:rPr>
          <w:spacing w:val="1"/>
          <w:lang w:eastAsia="en-GB"/>
        </w:rPr>
        <w:t>a</w:t>
      </w:r>
      <w:r w:rsidRPr="00CE0885">
        <w:rPr>
          <w:lang w:eastAsia="en-GB"/>
        </w:rPr>
        <w:t>cc</w:t>
      </w:r>
      <w:r w:rsidRPr="00CE0885">
        <w:rPr>
          <w:spacing w:val="1"/>
          <w:lang w:eastAsia="en-GB"/>
        </w:rPr>
        <w:t>u</w:t>
      </w:r>
      <w:r w:rsidRPr="00CE0885">
        <w:rPr>
          <w:lang w:eastAsia="en-GB"/>
        </w:rPr>
        <w:t>s</w:t>
      </w:r>
      <w:r w:rsidRPr="00CE0885">
        <w:rPr>
          <w:spacing w:val="1"/>
          <w:lang w:eastAsia="en-GB"/>
        </w:rPr>
        <w:t>a</w:t>
      </w:r>
      <w:r w:rsidRPr="00CE0885">
        <w:rPr>
          <w:spacing w:val="-2"/>
          <w:lang w:eastAsia="en-GB"/>
        </w:rPr>
        <w:t>t</w:t>
      </w:r>
      <w:r w:rsidRPr="00CE0885">
        <w:rPr>
          <w:lang w:eastAsia="en-GB"/>
        </w:rPr>
        <w:t>i</w:t>
      </w:r>
      <w:r w:rsidRPr="00CE0885">
        <w:rPr>
          <w:spacing w:val="1"/>
          <w:lang w:eastAsia="en-GB"/>
        </w:rPr>
        <w:t>on</w:t>
      </w:r>
      <w:r w:rsidRPr="00CE0885">
        <w:rPr>
          <w:lang w:eastAsia="en-GB"/>
        </w:rPr>
        <w:t>s</w:t>
      </w:r>
      <w:r w:rsidRPr="00CE0885">
        <w:rPr>
          <w:spacing w:val="-13"/>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i</w:t>
      </w:r>
      <w:r w:rsidRPr="00CE0885">
        <w:rPr>
          <w:spacing w:val="1"/>
          <w:lang w:eastAsia="en-GB"/>
        </w:rPr>
        <w:t>na</w:t>
      </w:r>
      <w:r w:rsidRPr="00CE0885">
        <w:rPr>
          <w:spacing w:val="-1"/>
          <w:lang w:eastAsia="en-GB"/>
        </w:rPr>
        <w:t>p</w:t>
      </w:r>
      <w:r w:rsidRPr="00CE0885">
        <w:rPr>
          <w:spacing w:val="1"/>
          <w:lang w:eastAsia="en-GB"/>
        </w:rPr>
        <w:t>p</w:t>
      </w:r>
      <w:r w:rsidRPr="00CE0885">
        <w:rPr>
          <w:spacing w:val="-1"/>
          <w:lang w:eastAsia="en-GB"/>
        </w:rPr>
        <w:t>r</w:t>
      </w:r>
      <w:r w:rsidRPr="00CE0885">
        <w:rPr>
          <w:spacing w:val="1"/>
          <w:lang w:eastAsia="en-GB"/>
        </w:rPr>
        <w:t>op</w:t>
      </w:r>
      <w:r w:rsidRPr="00CE0885">
        <w:rPr>
          <w:spacing w:val="-1"/>
          <w:lang w:eastAsia="en-GB"/>
        </w:rPr>
        <w:t>r</w:t>
      </w:r>
      <w:r w:rsidRPr="00CE0885">
        <w:rPr>
          <w:lang w:eastAsia="en-GB"/>
        </w:rPr>
        <w:t>i</w:t>
      </w:r>
      <w:r w:rsidRPr="00CE0885">
        <w:rPr>
          <w:spacing w:val="1"/>
          <w:lang w:eastAsia="en-GB"/>
        </w:rPr>
        <w:t>a</w:t>
      </w:r>
      <w:r w:rsidRPr="00CE0885">
        <w:rPr>
          <w:spacing w:val="-2"/>
          <w:lang w:eastAsia="en-GB"/>
        </w:rPr>
        <w:t>t</w:t>
      </w:r>
      <w:r w:rsidRPr="00CE0885">
        <w:rPr>
          <w:lang w:eastAsia="en-GB"/>
        </w:rPr>
        <w:t>e</w:t>
      </w:r>
      <w:r w:rsidRPr="00CE0885">
        <w:rPr>
          <w:spacing w:val="-12"/>
          <w:lang w:eastAsia="en-GB"/>
        </w:rPr>
        <w:t xml:space="preserve"> </w:t>
      </w:r>
      <w:r w:rsidRPr="00CE0885">
        <w:rPr>
          <w:spacing w:val="-1"/>
          <w:lang w:eastAsia="en-GB"/>
        </w:rPr>
        <w:t>b</w:t>
      </w:r>
      <w:r w:rsidRPr="00CE0885">
        <w:rPr>
          <w:spacing w:val="1"/>
          <w:lang w:eastAsia="en-GB"/>
        </w:rPr>
        <w:t>eha</w:t>
      </w:r>
      <w:r w:rsidRPr="00CE0885">
        <w:rPr>
          <w:spacing w:val="-2"/>
          <w:lang w:eastAsia="en-GB"/>
        </w:rPr>
        <w:t>v</w:t>
      </w:r>
      <w:r w:rsidRPr="00CE0885">
        <w:rPr>
          <w:lang w:eastAsia="en-GB"/>
        </w:rPr>
        <w:t>i</w:t>
      </w:r>
      <w:r w:rsidRPr="00CE0885">
        <w:rPr>
          <w:spacing w:val="1"/>
          <w:lang w:eastAsia="en-GB"/>
        </w:rPr>
        <w:t>o</w:t>
      </w:r>
      <w:r w:rsidRPr="00CE0885">
        <w:rPr>
          <w:lang w:eastAsia="en-GB"/>
        </w:rPr>
        <w:t>ur</w:t>
      </w:r>
      <w:r w:rsidRPr="00CE0885">
        <w:rPr>
          <w:spacing w:val="-9"/>
          <w:lang w:eastAsia="en-GB"/>
        </w:rPr>
        <w:t xml:space="preserve"> </w:t>
      </w:r>
      <w:r w:rsidRPr="00CE0885">
        <w:rPr>
          <w:spacing w:val="1"/>
          <w:lang w:eastAsia="en-GB"/>
        </w:rPr>
        <w:t>o</w:t>
      </w:r>
      <w:r w:rsidRPr="00CE0885">
        <w:rPr>
          <w:lang w:eastAsia="en-GB"/>
        </w:rPr>
        <w:t>r</w:t>
      </w:r>
      <w:r w:rsidRPr="00CE0885">
        <w:rPr>
          <w:spacing w:val="-2"/>
          <w:lang w:eastAsia="en-GB"/>
        </w:rPr>
        <w:t xml:space="preserve"> </w:t>
      </w:r>
      <w:r w:rsidRPr="00CE0885">
        <w:rPr>
          <w:w w:val="99"/>
          <w:lang w:eastAsia="en-GB"/>
        </w:rPr>
        <w:t>c</w:t>
      </w:r>
      <w:r w:rsidRPr="00CE0885">
        <w:rPr>
          <w:spacing w:val="1"/>
          <w:w w:val="99"/>
          <w:lang w:eastAsia="en-GB"/>
        </w:rPr>
        <w:t>on</w:t>
      </w:r>
      <w:r w:rsidRPr="00CE0885">
        <w:rPr>
          <w:spacing w:val="-2"/>
          <w:w w:val="99"/>
          <w:lang w:eastAsia="en-GB"/>
        </w:rPr>
        <w:t>c</w:t>
      </w:r>
      <w:r w:rsidRPr="00CE0885">
        <w:rPr>
          <w:spacing w:val="1"/>
          <w:w w:val="99"/>
          <w:lang w:eastAsia="en-GB"/>
        </w:rPr>
        <w:t>e</w:t>
      </w:r>
      <w:r w:rsidRPr="00CE0885">
        <w:rPr>
          <w:spacing w:val="-1"/>
          <w:w w:val="99"/>
          <w:lang w:eastAsia="en-GB"/>
        </w:rPr>
        <w:t>r</w:t>
      </w:r>
      <w:r w:rsidRPr="00CE0885">
        <w:rPr>
          <w:spacing w:val="1"/>
          <w:w w:val="99"/>
          <w:lang w:eastAsia="en-GB"/>
        </w:rPr>
        <w:t>n</w:t>
      </w:r>
      <w:r w:rsidRPr="00CE0885">
        <w:rPr>
          <w:w w:val="99"/>
          <w:lang w:eastAsia="en-GB"/>
        </w:rPr>
        <w:t>s s</w:t>
      </w:r>
      <w:r w:rsidRPr="00CE0885">
        <w:rPr>
          <w:spacing w:val="1"/>
          <w:w w:val="99"/>
          <w:lang w:eastAsia="en-GB"/>
        </w:rPr>
        <w:t>hou</w:t>
      </w:r>
      <w:r w:rsidRPr="00CE0885">
        <w:rPr>
          <w:w w:val="99"/>
          <w:lang w:eastAsia="en-GB"/>
        </w:rPr>
        <w:t>ld</w:t>
      </w:r>
      <w:r w:rsidRPr="00CE0885">
        <w:rPr>
          <w:spacing w:val="-1"/>
          <w:lang w:eastAsia="en-GB"/>
        </w:rPr>
        <w:t xml:space="preserve"> </w:t>
      </w:r>
      <w:r w:rsidRPr="00CE0885">
        <w:rPr>
          <w:spacing w:val="1"/>
          <w:lang w:eastAsia="en-GB"/>
        </w:rPr>
        <w:t>b</w:t>
      </w:r>
      <w:r w:rsidRPr="00CE0885">
        <w:rPr>
          <w:lang w:eastAsia="en-GB"/>
        </w:rPr>
        <w:t>e</w:t>
      </w:r>
      <w:r w:rsidRPr="00CE0885">
        <w:rPr>
          <w:spacing w:val="-1"/>
          <w:lang w:eastAsia="en-GB"/>
        </w:rPr>
        <w:t xml:space="preserve"> </w:t>
      </w:r>
      <w:r w:rsidRPr="00CE0885">
        <w:rPr>
          <w:spacing w:val="-2"/>
          <w:lang w:eastAsia="en-GB"/>
        </w:rPr>
        <w:t>c</w:t>
      </w:r>
      <w:r w:rsidRPr="00CE0885">
        <w:rPr>
          <w:spacing w:val="1"/>
          <w:lang w:eastAsia="en-GB"/>
        </w:rPr>
        <w:t>on</w:t>
      </w:r>
      <w:r w:rsidRPr="00CE0885">
        <w:rPr>
          <w:lang w:eastAsia="en-GB"/>
        </w:rPr>
        <w:t>si</w:t>
      </w:r>
      <w:r w:rsidRPr="00CE0885">
        <w:rPr>
          <w:spacing w:val="-1"/>
          <w:lang w:eastAsia="en-GB"/>
        </w:rPr>
        <w:t>d</w:t>
      </w:r>
      <w:r w:rsidRPr="00CE0885">
        <w:rPr>
          <w:spacing w:val="1"/>
          <w:lang w:eastAsia="en-GB"/>
        </w:rPr>
        <w:t>e</w:t>
      </w:r>
      <w:r w:rsidRPr="00CE0885">
        <w:rPr>
          <w:spacing w:val="-1"/>
          <w:lang w:eastAsia="en-GB"/>
        </w:rPr>
        <w:t>r</w:t>
      </w:r>
      <w:r w:rsidRPr="00CE0885">
        <w:rPr>
          <w:spacing w:val="1"/>
          <w:lang w:eastAsia="en-GB"/>
        </w:rPr>
        <w:t>e</w:t>
      </w:r>
      <w:r w:rsidRPr="00CE0885">
        <w:rPr>
          <w:lang w:eastAsia="en-GB"/>
        </w:rPr>
        <w:t>d</w:t>
      </w:r>
      <w:r w:rsidRPr="00CE0885">
        <w:rPr>
          <w:spacing w:val="-13"/>
          <w:lang w:eastAsia="en-GB"/>
        </w:rPr>
        <w:t xml:space="preserve">, </w:t>
      </w:r>
      <w:r w:rsidRPr="00CE0885">
        <w:rPr>
          <w:lang w:eastAsia="en-GB"/>
        </w:rPr>
        <w:t>h</w:t>
      </w:r>
      <w:r w:rsidRPr="00CE0885">
        <w:rPr>
          <w:spacing w:val="1"/>
          <w:lang w:eastAsia="en-GB"/>
        </w:rPr>
        <w:t>o</w:t>
      </w:r>
      <w:r w:rsidRPr="00CE0885">
        <w:rPr>
          <w:spacing w:val="-3"/>
          <w:lang w:eastAsia="en-GB"/>
        </w:rPr>
        <w:t>w</w:t>
      </w:r>
      <w:r w:rsidRPr="00CE0885">
        <w:rPr>
          <w:spacing w:val="1"/>
          <w:lang w:eastAsia="en-GB"/>
        </w:rPr>
        <w:t>e</w:t>
      </w:r>
      <w:r w:rsidRPr="00CE0885">
        <w:rPr>
          <w:lang w:eastAsia="en-GB"/>
        </w:rPr>
        <w:t>v</w:t>
      </w:r>
      <w:r w:rsidRPr="00CE0885">
        <w:rPr>
          <w:spacing w:val="1"/>
          <w:lang w:eastAsia="en-GB"/>
        </w:rPr>
        <w:t>e</w:t>
      </w:r>
      <w:r w:rsidRPr="00CE0885">
        <w:rPr>
          <w:spacing w:val="-1"/>
          <w:lang w:eastAsia="en-GB"/>
        </w:rPr>
        <w:t>r</w:t>
      </w:r>
      <w:r w:rsidRPr="00CE0885">
        <w:rPr>
          <w:lang w:eastAsia="en-GB"/>
        </w:rPr>
        <w:t>,</w:t>
      </w:r>
      <w:r w:rsidRPr="00CE0885">
        <w:rPr>
          <w:spacing w:val="-9"/>
          <w:lang w:eastAsia="en-GB"/>
        </w:rPr>
        <w:t xml:space="preserve"> </w:t>
      </w:r>
      <w:r w:rsidRPr="00CE0885">
        <w:rPr>
          <w:spacing w:val="1"/>
          <w:lang w:eastAsia="en-GB"/>
        </w:rPr>
        <w:t>th</w:t>
      </w:r>
      <w:r w:rsidRPr="00CE0885">
        <w:rPr>
          <w:lang w:eastAsia="en-GB"/>
        </w:rPr>
        <w:t>is</w:t>
      </w:r>
      <w:r w:rsidRPr="00CE0885">
        <w:rPr>
          <w:spacing w:val="-4"/>
          <w:lang w:eastAsia="en-GB"/>
        </w:rPr>
        <w:t xml:space="preserve"> </w:t>
      </w:r>
      <w:r w:rsidRPr="00CE0885">
        <w:rPr>
          <w:lang w:eastAsia="en-GB"/>
        </w:rPr>
        <w:t>s</w:t>
      </w:r>
      <w:r w:rsidRPr="00CE0885">
        <w:rPr>
          <w:spacing w:val="-1"/>
          <w:lang w:eastAsia="en-GB"/>
        </w:rPr>
        <w:t>h</w:t>
      </w:r>
      <w:r w:rsidRPr="00CE0885">
        <w:rPr>
          <w:spacing w:val="1"/>
          <w:lang w:eastAsia="en-GB"/>
        </w:rPr>
        <w:t>ou</w:t>
      </w:r>
      <w:r w:rsidRPr="00CE0885">
        <w:rPr>
          <w:lang w:eastAsia="en-GB"/>
        </w:rPr>
        <w:t>ld</w:t>
      </w:r>
      <w:r w:rsidRPr="00CE0885">
        <w:rPr>
          <w:spacing w:val="-8"/>
          <w:lang w:eastAsia="en-GB"/>
        </w:rPr>
        <w:t xml:space="preserve"> </w:t>
      </w:r>
      <w:r w:rsidRPr="00CE0885">
        <w:rPr>
          <w:spacing w:val="1"/>
          <w:lang w:eastAsia="en-GB"/>
        </w:rPr>
        <w:t>n</w:t>
      </w:r>
      <w:r w:rsidRPr="00CE0885">
        <w:rPr>
          <w:spacing w:val="-1"/>
          <w:lang w:eastAsia="en-GB"/>
        </w:rPr>
        <w:t>o</w:t>
      </w:r>
      <w:r w:rsidRPr="00CE0885">
        <w:rPr>
          <w:lang w:eastAsia="en-GB"/>
        </w:rPr>
        <w:t>t</w:t>
      </w:r>
      <w:r w:rsidRPr="00CE0885">
        <w:rPr>
          <w:spacing w:val="-2"/>
          <w:lang w:eastAsia="en-GB"/>
        </w:rPr>
        <w:t xml:space="preserve"> </w:t>
      </w:r>
      <w:r w:rsidRPr="00CE0885">
        <w:rPr>
          <w:spacing w:val="-1"/>
          <w:lang w:eastAsia="en-GB"/>
        </w:rPr>
        <w:t>b</w:t>
      </w:r>
      <w:r w:rsidRPr="00CE0885">
        <w:rPr>
          <w:lang w:eastAsia="en-GB"/>
        </w:rPr>
        <w:t>e</w:t>
      </w:r>
      <w:r w:rsidRPr="00CE0885">
        <w:rPr>
          <w:spacing w:val="-1"/>
          <w:lang w:eastAsia="en-GB"/>
        </w:rPr>
        <w:t xml:space="preserve"> u</w:t>
      </w:r>
      <w:r w:rsidRPr="00CE0885">
        <w:rPr>
          <w:lang w:eastAsia="en-GB"/>
        </w:rPr>
        <w:t>s</w:t>
      </w:r>
      <w:r w:rsidRPr="00CE0885">
        <w:rPr>
          <w:spacing w:val="1"/>
          <w:lang w:eastAsia="en-GB"/>
        </w:rPr>
        <w:t>e</w:t>
      </w:r>
      <w:r w:rsidRPr="00CE0885">
        <w:rPr>
          <w:lang w:eastAsia="en-GB"/>
        </w:rPr>
        <w:t xml:space="preserve">d </w:t>
      </w:r>
      <w:r w:rsidRPr="00CE0885">
        <w:rPr>
          <w:spacing w:val="1"/>
          <w:lang w:eastAsia="en-GB"/>
        </w:rPr>
        <w:t>a</w:t>
      </w:r>
      <w:r w:rsidRPr="00CE0885">
        <w:rPr>
          <w:lang w:eastAsia="en-GB"/>
        </w:rPr>
        <w:t>s</w:t>
      </w:r>
      <w:r w:rsidRPr="00CE0885">
        <w:rPr>
          <w:spacing w:val="-3"/>
          <w:lang w:eastAsia="en-GB"/>
        </w:rPr>
        <w:t xml:space="preserve"> </w:t>
      </w:r>
      <w:r w:rsidRPr="00CE0885">
        <w:rPr>
          <w:lang w:eastAsia="en-GB"/>
        </w:rPr>
        <w:t>a</w:t>
      </w:r>
      <w:r w:rsidRPr="00CE0885">
        <w:rPr>
          <w:spacing w:val="-2"/>
          <w:lang w:eastAsia="en-GB"/>
        </w:rPr>
        <w:t xml:space="preserve"> </w:t>
      </w:r>
      <w:r w:rsidRPr="00CE0885">
        <w:rPr>
          <w:spacing w:val="2"/>
          <w:lang w:eastAsia="en-GB"/>
        </w:rPr>
        <w:t>m</w:t>
      </w:r>
      <w:r w:rsidRPr="00CE0885">
        <w:rPr>
          <w:spacing w:val="-1"/>
          <w:lang w:eastAsia="en-GB"/>
        </w:rPr>
        <w:t>e</w:t>
      </w:r>
      <w:r w:rsidRPr="00CE0885">
        <w:rPr>
          <w:spacing w:val="1"/>
          <w:lang w:eastAsia="en-GB"/>
        </w:rPr>
        <w:t>an</w:t>
      </w:r>
      <w:r w:rsidRPr="00CE0885">
        <w:rPr>
          <w:lang w:eastAsia="en-GB"/>
        </w:rPr>
        <w:t>s</w:t>
      </w:r>
      <w:r w:rsidRPr="00CE0885">
        <w:rPr>
          <w:spacing w:val="-7"/>
          <w:lang w:eastAsia="en-GB"/>
        </w:rPr>
        <w:t xml:space="preserve"> </w:t>
      </w:r>
      <w:r w:rsidRPr="00CE0885">
        <w:rPr>
          <w:spacing w:val="-2"/>
          <w:lang w:eastAsia="en-GB"/>
        </w:rPr>
        <w:t>t</w:t>
      </w:r>
      <w:r w:rsidRPr="00CE0885">
        <w:rPr>
          <w:lang w:eastAsia="en-GB"/>
        </w:rPr>
        <w:t xml:space="preserve">o </w:t>
      </w:r>
      <w:r w:rsidRPr="00CE0885">
        <w:rPr>
          <w:spacing w:val="-1"/>
          <w:lang w:eastAsia="en-GB"/>
        </w:rPr>
        <w:t>e</w:t>
      </w:r>
      <w:r w:rsidRPr="00CE0885">
        <w:rPr>
          <w:spacing w:val="1"/>
          <w:lang w:eastAsia="en-GB"/>
        </w:rPr>
        <w:t>n</w:t>
      </w:r>
      <w:r w:rsidRPr="00CE0885">
        <w:rPr>
          <w:spacing w:val="-1"/>
          <w:lang w:eastAsia="en-GB"/>
        </w:rPr>
        <w:t>d</w:t>
      </w:r>
      <w:r w:rsidRPr="00CE0885">
        <w:rPr>
          <w:spacing w:val="1"/>
          <w:lang w:eastAsia="en-GB"/>
        </w:rPr>
        <w:t>ea</w:t>
      </w:r>
      <w:r w:rsidRPr="00CE0885">
        <w:rPr>
          <w:spacing w:val="-2"/>
          <w:lang w:eastAsia="en-GB"/>
        </w:rPr>
        <w:t>v</w:t>
      </w:r>
      <w:r w:rsidRPr="00CE0885">
        <w:rPr>
          <w:spacing w:val="1"/>
          <w:lang w:eastAsia="en-GB"/>
        </w:rPr>
        <w:t>ou</w:t>
      </w:r>
      <w:r w:rsidRPr="00CE0885">
        <w:rPr>
          <w:lang w:eastAsia="en-GB"/>
        </w:rPr>
        <w:t>r</w:t>
      </w:r>
      <w:r w:rsidRPr="00CE0885">
        <w:rPr>
          <w:spacing w:val="-11"/>
          <w:lang w:eastAsia="en-GB"/>
        </w:rPr>
        <w:t xml:space="preserve"> </w:t>
      </w:r>
      <w:r w:rsidRPr="00CE0885">
        <w:rPr>
          <w:spacing w:val="1"/>
          <w:lang w:eastAsia="en-GB"/>
        </w:rPr>
        <w:t>t</w:t>
      </w:r>
      <w:r w:rsidRPr="00CE0885">
        <w:rPr>
          <w:lang w:eastAsia="en-GB"/>
        </w:rPr>
        <w:t xml:space="preserve">o </w:t>
      </w:r>
      <w:r w:rsidRPr="00CE0885">
        <w:rPr>
          <w:spacing w:val="-3"/>
          <w:lang w:eastAsia="en-GB"/>
        </w:rPr>
        <w:t>r</w:t>
      </w:r>
      <w:r w:rsidRPr="00CE0885">
        <w:rPr>
          <w:spacing w:val="1"/>
          <w:lang w:eastAsia="en-GB"/>
        </w:rPr>
        <w:t>e</w:t>
      </w:r>
      <w:r w:rsidRPr="00CE0885">
        <w:rPr>
          <w:lang w:eastAsia="en-GB"/>
        </w:rPr>
        <w:t>s</w:t>
      </w:r>
      <w:r w:rsidRPr="00CE0885">
        <w:rPr>
          <w:spacing w:val="1"/>
          <w:lang w:eastAsia="en-GB"/>
        </w:rPr>
        <w:t>o</w:t>
      </w:r>
      <w:r w:rsidRPr="00CE0885">
        <w:rPr>
          <w:lang w:eastAsia="en-GB"/>
        </w:rPr>
        <w:t>l</w:t>
      </w:r>
      <w:r w:rsidRPr="00CE0885">
        <w:rPr>
          <w:spacing w:val="-2"/>
          <w:lang w:eastAsia="en-GB"/>
        </w:rPr>
        <w:t>v</w:t>
      </w:r>
      <w:r w:rsidRPr="00CE0885">
        <w:rPr>
          <w:lang w:eastAsia="en-GB"/>
        </w:rPr>
        <w:t>e</w:t>
      </w:r>
      <w:r w:rsidRPr="00CE0885">
        <w:rPr>
          <w:spacing w:val="-6"/>
          <w:lang w:eastAsia="en-GB"/>
        </w:rPr>
        <w:t xml:space="preserve"> </w:t>
      </w:r>
      <w:r w:rsidRPr="00CE0885">
        <w:rPr>
          <w:spacing w:val="1"/>
          <w:lang w:eastAsia="en-GB"/>
        </w:rPr>
        <w:t>th</w:t>
      </w:r>
      <w:r w:rsidRPr="00CE0885">
        <w:rPr>
          <w:lang w:eastAsia="en-GB"/>
        </w:rPr>
        <w:t>e</w:t>
      </w:r>
      <w:r w:rsidRPr="00CE0885">
        <w:rPr>
          <w:spacing w:val="-4"/>
          <w:lang w:eastAsia="en-GB"/>
        </w:rPr>
        <w:t xml:space="preserve"> </w:t>
      </w:r>
      <w:r w:rsidRPr="00CE0885">
        <w:rPr>
          <w:spacing w:val="1"/>
          <w:lang w:eastAsia="en-GB"/>
        </w:rPr>
        <w:t>d</w:t>
      </w:r>
      <w:r w:rsidRPr="00CE0885">
        <w:rPr>
          <w:lang w:eastAsia="en-GB"/>
        </w:rPr>
        <w:t>is</w:t>
      </w:r>
      <w:r w:rsidRPr="00CE0885">
        <w:rPr>
          <w:spacing w:val="-1"/>
          <w:lang w:eastAsia="en-GB"/>
        </w:rPr>
        <w:t>p</w:t>
      </w:r>
      <w:r w:rsidRPr="00CE0885">
        <w:rPr>
          <w:spacing w:val="1"/>
          <w:lang w:eastAsia="en-GB"/>
        </w:rPr>
        <w:t>ute</w:t>
      </w:r>
      <w:r w:rsidRPr="00CE0885">
        <w:rPr>
          <w:lang w:eastAsia="en-GB"/>
        </w:rPr>
        <w:t>.</w:t>
      </w:r>
      <w:bookmarkEnd w:id="656"/>
    </w:p>
    <w:p w14:paraId="0FF4F5A8" w14:textId="77777777" w:rsidR="00977693" w:rsidRPr="00CE0885" w:rsidRDefault="00977693" w:rsidP="006B781A">
      <w:pPr>
        <w:pStyle w:val="Heading3"/>
        <w:rPr>
          <w:lang w:eastAsia="en-GB"/>
        </w:rPr>
      </w:pPr>
      <w:bookmarkStart w:id="657" w:name="_Toc440981802"/>
      <w:r w:rsidRPr="00CE0885">
        <w:rPr>
          <w:spacing w:val="2"/>
          <w:lang w:eastAsia="en-GB"/>
        </w:rPr>
        <w:t>T</w:t>
      </w:r>
      <w:r w:rsidRPr="00CE0885">
        <w:rPr>
          <w:lang w:eastAsia="en-GB"/>
        </w:rPr>
        <w:t>h</w:t>
      </w:r>
      <w:r w:rsidRPr="00CE0885">
        <w:rPr>
          <w:spacing w:val="-1"/>
          <w:lang w:eastAsia="en-GB"/>
        </w:rPr>
        <w:t>ro</w:t>
      </w:r>
      <w:r w:rsidRPr="00CE0885">
        <w:rPr>
          <w:lang w:eastAsia="en-GB"/>
        </w:rPr>
        <w:t>u</w:t>
      </w:r>
      <w:r w:rsidRPr="00CE0885">
        <w:rPr>
          <w:spacing w:val="-1"/>
          <w:lang w:eastAsia="en-GB"/>
        </w:rPr>
        <w:t>g</w:t>
      </w:r>
      <w:r w:rsidRPr="00CE0885">
        <w:rPr>
          <w:lang w:eastAsia="en-GB"/>
        </w:rPr>
        <w:t>hout</w:t>
      </w:r>
      <w:r w:rsidRPr="00CE0885">
        <w:rPr>
          <w:spacing w:val="-13"/>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dis</w:t>
      </w:r>
      <w:r w:rsidRPr="00CE0885">
        <w:rPr>
          <w:spacing w:val="-1"/>
          <w:lang w:eastAsia="en-GB"/>
        </w:rPr>
        <w:t>p</w:t>
      </w:r>
      <w:r w:rsidRPr="00CE0885">
        <w:rPr>
          <w:lang w:eastAsia="en-GB"/>
        </w:rPr>
        <w:t>u</w:t>
      </w:r>
      <w:r w:rsidRPr="00CE0885">
        <w:rPr>
          <w:spacing w:val="-2"/>
          <w:lang w:eastAsia="en-GB"/>
        </w:rPr>
        <w:t>t</w:t>
      </w:r>
      <w:r w:rsidRPr="00CE0885">
        <w:rPr>
          <w:lang w:eastAsia="en-GB"/>
        </w:rPr>
        <w:t>e</w:t>
      </w:r>
      <w:r w:rsidRPr="00CE0885">
        <w:rPr>
          <w:spacing w:val="-6"/>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2"/>
          <w:lang w:eastAsia="en-GB"/>
        </w:rPr>
        <w:t>commissioners</w:t>
      </w:r>
      <w:r w:rsidRPr="00CE0885">
        <w:rPr>
          <w:spacing w:val="-4"/>
          <w:lang w:eastAsia="en-GB"/>
        </w:rPr>
        <w:t xml:space="preserve"> </w:t>
      </w:r>
      <w:r w:rsidRPr="00CE0885">
        <w:rPr>
          <w:spacing w:val="-2"/>
          <w:lang w:eastAsia="en-GB"/>
        </w:rPr>
        <w:t>s</w:t>
      </w:r>
      <w:r w:rsidRPr="00CE0885">
        <w:rPr>
          <w:lang w:eastAsia="en-GB"/>
        </w:rPr>
        <w:t>hou</w:t>
      </w:r>
      <w:r w:rsidRPr="00CE0885">
        <w:rPr>
          <w:spacing w:val="-3"/>
          <w:lang w:eastAsia="en-GB"/>
        </w:rPr>
        <w:t>l</w:t>
      </w:r>
      <w:r w:rsidRPr="00CE0885">
        <w:rPr>
          <w:lang w:eastAsia="en-GB"/>
        </w:rPr>
        <w:t>d</w:t>
      </w:r>
      <w:r w:rsidRPr="00CE0885">
        <w:rPr>
          <w:spacing w:val="-5"/>
          <w:lang w:eastAsia="en-GB"/>
        </w:rPr>
        <w:t xml:space="preserve"> </w:t>
      </w:r>
      <w:r w:rsidRPr="00CE0885">
        <w:rPr>
          <w:spacing w:val="-1"/>
          <w:lang w:eastAsia="en-GB"/>
        </w:rPr>
        <w:t>m</w:t>
      </w:r>
      <w:r w:rsidRPr="00CE0885">
        <w:rPr>
          <w:lang w:eastAsia="en-GB"/>
        </w:rPr>
        <w:t>ain</w:t>
      </w:r>
      <w:r w:rsidRPr="00CE0885">
        <w:rPr>
          <w:spacing w:val="-2"/>
          <w:lang w:eastAsia="en-GB"/>
        </w:rPr>
        <w:t>t</w:t>
      </w:r>
      <w:r w:rsidRPr="00CE0885">
        <w:rPr>
          <w:lang w:eastAsia="en-GB"/>
        </w:rPr>
        <w:t>ain</w:t>
      </w:r>
      <w:r w:rsidRPr="00CE0885">
        <w:rPr>
          <w:spacing w:val="-7"/>
          <w:lang w:eastAsia="en-GB"/>
        </w:rPr>
        <w:t xml:space="preserve"> </w:t>
      </w:r>
      <w:r w:rsidRPr="00CE0885">
        <w:rPr>
          <w:spacing w:val="-1"/>
          <w:lang w:eastAsia="en-GB"/>
        </w:rPr>
        <w:t>o</w:t>
      </w:r>
      <w:r w:rsidRPr="00CE0885">
        <w:rPr>
          <w:lang w:eastAsia="en-GB"/>
        </w:rPr>
        <w:t>pen</w:t>
      </w:r>
      <w:r w:rsidRPr="00CE0885">
        <w:rPr>
          <w:spacing w:val="-6"/>
          <w:lang w:eastAsia="en-GB"/>
        </w:rPr>
        <w:t xml:space="preserve"> </w:t>
      </w:r>
      <w:r w:rsidRPr="00CE0885">
        <w:rPr>
          <w:lang w:eastAsia="en-GB"/>
        </w:rPr>
        <w:t>dialo</w:t>
      </w:r>
      <w:r w:rsidRPr="00CE0885">
        <w:rPr>
          <w:spacing w:val="-1"/>
          <w:lang w:eastAsia="en-GB"/>
        </w:rPr>
        <w:t>g</w:t>
      </w:r>
      <w:r w:rsidRPr="00CE0885">
        <w:rPr>
          <w:lang w:eastAsia="en-GB"/>
        </w:rPr>
        <w:t>ue</w:t>
      </w:r>
      <w:r w:rsidRPr="00CE0885">
        <w:rPr>
          <w:spacing w:val="-10"/>
          <w:lang w:eastAsia="en-GB"/>
        </w:rPr>
        <w:t xml:space="preserve"> </w:t>
      </w:r>
      <w:r w:rsidRPr="00CE0885">
        <w:rPr>
          <w:spacing w:val="-3"/>
          <w:lang w:eastAsia="en-GB"/>
        </w:rPr>
        <w:t>w</w:t>
      </w:r>
      <w:r w:rsidRPr="00CE0885">
        <w:rPr>
          <w:lang w:eastAsia="en-GB"/>
        </w:rPr>
        <w:t>ith</w:t>
      </w:r>
      <w:r w:rsidRPr="00CE0885">
        <w:rPr>
          <w:spacing w:val="-2"/>
          <w:lang w:eastAsia="en-GB"/>
        </w:rPr>
        <w:t xml:space="preserve"> </w:t>
      </w:r>
      <w:r w:rsidRPr="00CE0885">
        <w:rPr>
          <w:lang w:eastAsia="en-GB"/>
        </w:rPr>
        <w:t>the LMC</w:t>
      </w:r>
      <w:r w:rsidRPr="00CE0885">
        <w:rPr>
          <w:spacing w:val="-10"/>
          <w:lang w:eastAsia="en-GB"/>
        </w:rPr>
        <w:t xml:space="preserve"> </w:t>
      </w:r>
      <w:r w:rsidRPr="00CE0885">
        <w:rPr>
          <w:spacing w:val="-1"/>
          <w:lang w:eastAsia="en-GB"/>
        </w:rPr>
        <w:t>a</w:t>
      </w:r>
      <w:r w:rsidRPr="00CE0885">
        <w:rPr>
          <w:lang w:eastAsia="en-GB"/>
        </w:rPr>
        <w:t>nd</w:t>
      </w:r>
      <w:r w:rsidRPr="00CE0885">
        <w:rPr>
          <w:spacing w:val="-2"/>
          <w:lang w:eastAsia="en-GB"/>
        </w:rPr>
        <w:t xml:space="preserve"> </w:t>
      </w:r>
      <w:r w:rsidRPr="00CE0885">
        <w:rPr>
          <w:spacing w:val="-3"/>
          <w:lang w:eastAsia="en-GB"/>
        </w:rPr>
        <w:t>i</w:t>
      </w:r>
      <w:r w:rsidRPr="00CE0885">
        <w:rPr>
          <w:spacing w:val="2"/>
          <w:lang w:eastAsia="en-GB"/>
        </w:rPr>
        <w:t>m</w:t>
      </w:r>
      <w:r w:rsidRPr="00CE0885">
        <w:rPr>
          <w:lang w:eastAsia="en-GB"/>
        </w:rPr>
        <w:t>pl</w:t>
      </w:r>
      <w:r w:rsidRPr="00CE0885">
        <w:rPr>
          <w:spacing w:val="-1"/>
          <w:lang w:eastAsia="en-GB"/>
        </w:rPr>
        <w:t>e</w:t>
      </w:r>
      <w:r w:rsidRPr="00CE0885">
        <w:rPr>
          <w:spacing w:val="2"/>
          <w:lang w:eastAsia="en-GB"/>
        </w:rPr>
        <w:t>m</w:t>
      </w:r>
      <w:r w:rsidRPr="00CE0885">
        <w:rPr>
          <w:spacing w:val="-1"/>
          <w:lang w:eastAsia="en-GB"/>
        </w:rPr>
        <w:t>e</w:t>
      </w:r>
      <w:r w:rsidRPr="00CE0885">
        <w:rPr>
          <w:lang w:eastAsia="en-GB"/>
        </w:rPr>
        <w:t>nt</w:t>
      </w:r>
      <w:r w:rsidRPr="00CE0885">
        <w:rPr>
          <w:spacing w:val="-10"/>
          <w:lang w:eastAsia="en-GB"/>
        </w:rPr>
        <w:t xml:space="preserve"> </w:t>
      </w:r>
      <w:r w:rsidRPr="00CE0885">
        <w:rPr>
          <w:spacing w:val="-2"/>
          <w:lang w:eastAsia="en-GB"/>
        </w:rPr>
        <w:t>c</w:t>
      </w:r>
      <w:r w:rsidRPr="00CE0885">
        <w:rPr>
          <w:lang w:eastAsia="en-GB"/>
        </w:rPr>
        <w:t>on</w:t>
      </w:r>
      <w:r w:rsidRPr="00CE0885">
        <w:rPr>
          <w:spacing w:val="-2"/>
          <w:lang w:eastAsia="en-GB"/>
        </w:rPr>
        <w:t>t</w:t>
      </w:r>
      <w:r w:rsidRPr="00CE0885">
        <w:rPr>
          <w:spacing w:val="-1"/>
          <w:lang w:eastAsia="en-GB"/>
        </w:rPr>
        <w:t>r</w:t>
      </w:r>
      <w:r w:rsidRPr="00CE0885">
        <w:rPr>
          <w:lang w:eastAsia="en-GB"/>
        </w:rPr>
        <w:t>act</w:t>
      </w:r>
      <w:r w:rsidRPr="00CE0885">
        <w:rPr>
          <w:spacing w:val="-8"/>
          <w:lang w:eastAsia="en-GB"/>
        </w:rPr>
        <w:t xml:space="preserve"> </w:t>
      </w:r>
      <w:r w:rsidRPr="00CE0885">
        <w:rPr>
          <w:lang w:eastAsia="en-GB"/>
        </w:rPr>
        <w:t>pe</w:t>
      </w:r>
      <w:r w:rsidRPr="00CE0885">
        <w:rPr>
          <w:spacing w:val="-3"/>
          <w:lang w:eastAsia="en-GB"/>
        </w:rPr>
        <w:t>r</w:t>
      </w:r>
      <w:r w:rsidRPr="00CE0885">
        <w:rPr>
          <w:lang w:eastAsia="en-GB"/>
        </w:rPr>
        <w:t>fo</w:t>
      </w:r>
      <w:r w:rsidRPr="00CE0885">
        <w:rPr>
          <w:spacing w:val="-1"/>
          <w:lang w:eastAsia="en-GB"/>
        </w:rPr>
        <w:t>r</w:t>
      </w:r>
      <w:r w:rsidRPr="00CE0885">
        <w:rPr>
          <w:spacing w:val="2"/>
          <w:lang w:eastAsia="en-GB"/>
        </w:rPr>
        <w:t>m</w:t>
      </w:r>
      <w:r w:rsidRPr="00CE0885">
        <w:rPr>
          <w:spacing w:val="-1"/>
          <w:lang w:eastAsia="en-GB"/>
        </w:rPr>
        <w:t>a</w:t>
      </w:r>
      <w:r w:rsidRPr="00CE0885">
        <w:rPr>
          <w:lang w:eastAsia="en-GB"/>
        </w:rPr>
        <w:t xml:space="preserve">nce </w:t>
      </w:r>
      <w:r w:rsidRPr="00CE0885">
        <w:rPr>
          <w:spacing w:val="2"/>
          <w:lang w:eastAsia="en-GB"/>
        </w:rPr>
        <w:t>m</w:t>
      </w:r>
      <w:r w:rsidRPr="00CE0885">
        <w:rPr>
          <w:lang w:eastAsia="en-GB"/>
        </w:rPr>
        <w:t>a</w:t>
      </w:r>
      <w:r w:rsidRPr="00CE0885">
        <w:rPr>
          <w:spacing w:val="-1"/>
          <w:lang w:eastAsia="en-GB"/>
        </w:rPr>
        <w:t>n</w:t>
      </w:r>
      <w:r w:rsidRPr="00CE0885">
        <w:rPr>
          <w:lang w:eastAsia="en-GB"/>
        </w:rPr>
        <w:t>a</w:t>
      </w:r>
      <w:r w:rsidRPr="00CE0885">
        <w:rPr>
          <w:spacing w:val="-1"/>
          <w:lang w:eastAsia="en-GB"/>
        </w:rPr>
        <w:t>g</w:t>
      </w:r>
      <w:r w:rsidRPr="00CE0885">
        <w:rPr>
          <w:lang w:eastAsia="en-GB"/>
        </w:rPr>
        <w:t>e</w:t>
      </w:r>
      <w:r w:rsidRPr="00CE0885">
        <w:rPr>
          <w:spacing w:val="-1"/>
          <w:lang w:eastAsia="en-GB"/>
        </w:rPr>
        <w:t>m</w:t>
      </w:r>
      <w:r w:rsidRPr="00CE0885">
        <w:rPr>
          <w:lang w:eastAsia="en-GB"/>
        </w:rPr>
        <w:t>ent</w:t>
      </w:r>
      <w:r w:rsidRPr="00CE0885">
        <w:rPr>
          <w:spacing w:val="-15"/>
          <w:lang w:eastAsia="en-GB"/>
        </w:rPr>
        <w:t xml:space="preserve"> </w:t>
      </w:r>
      <w:r w:rsidRPr="00CE0885">
        <w:rPr>
          <w:lang w:eastAsia="en-GB"/>
        </w:rPr>
        <w:t>p</w:t>
      </w:r>
      <w:r w:rsidRPr="00CE0885">
        <w:rPr>
          <w:spacing w:val="-1"/>
          <w:lang w:eastAsia="en-GB"/>
        </w:rPr>
        <w:t>r</w:t>
      </w:r>
      <w:r w:rsidRPr="00CE0885">
        <w:rPr>
          <w:lang w:eastAsia="en-GB"/>
        </w:rPr>
        <w:t>o</w:t>
      </w:r>
      <w:r w:rsidRPr="00CE0885">
        <w:rPr>
          <w:spacing w:val="-2"/>
          <w:lang w:eastAsia="en-GB"/>
        </w:rPr>
        <w:t>t</w:t>
      </w:r>
      <w:r w:rsidRPr="00CE0885">
        <w:rPr>
          <w:lang w:eastAsia="en-GB"/>
        </w:rPr>
        <w:t>ocol</w:t>
      </w:r>
      <w:r w:rsidRPr="00CE0885">
        <w:rPr>
          <w:spacing w:val="-2"/>
          <w:lang w:eastAsia="en-GB"/>
        </w:rPr>
        <w:t>s</w:t>
      </w:r>
      <w:r w:rsidRPr="00CE0885">
        <w:rPr>
          <w:lang w:eastAsia="en-GB"/>
        </w:rPr>
        <w:t>,</w:t>
      </w:r>
      <w:r w:rsidRPr="00CE0885">
        <w:rPr>
          <w:spacing w:val="-9"/>
          <w:lang w:eastAsia="en-GB"/>
        </w:rPr>
        <w:t xml:space="preserve"> </w:t>
      </w:r>
      <w:r w:rsidRPr="00CE0885">
        <w:rPr>
          <w:lang w:eastAsia="en-GB"/>
        </w:rPr>
        <w:t>if a</w:t>
      </w:r>
      <w:r w:rsidRPr="00CE0885">
        <w:rPr>
          <w:spacing w:val="-1"/>
          <w:lang w:eastAsia="en-GB"/>
        </w:rPr>
        <w:t>n</w:t>
      </w:r>
      <w:r w:rsidRPr="00CE0885">
        <w:rPr>
          <w:lang w:eastAsia="en-GB"/>
        </w:rPr>
        <w:t>d</w:t>
      </w:r>
      <w:r w:rsidRPr="00CE0885">
        <w:rPr>
          <w:spacing w:val="-2"/>
          <w:lang w:eastAsia="en-GB"/>
        </w:rPr>
        <w:t xml:space="preserve"> </w:t>
      </w:r>
      <w:r w:rsidRPr="00CE0885">
        <w:rPr>
          <w:spacing w:val="-3"/>
          <w:lang w:eastAsia="en-GB"/>
        </w:rPr>
        <w:t>w</w:t>
      </w:r>
      <w:r w:rsidRPr="00CE0885">
        <w:rPr>
          <w:lang w:eastAsia="en-GB"/>
        </w:rPr>
        <w:t>hen</w:t>
      </w:r>
      <w:r w:rsidRPr="00CE0885">
        <w:rPr>
          <w:spacing w:val="-7"/>
          <w:lang w:eastAsia="en-GB"/>
        </w:rPr>
        <w:t xml:space="preserve"> </w:t>
      </w:r>
      <w:r w:rsidRPr="00CE0885">
        <w:rPr>
          <w:lang w:eastAsia="en-GB"/>
        </w:rPr>
        <w:t>neces</w:t>
      </w:r>
      <w:r w:rsidRPr="00CE0885">
        <w:rPr>
          <w:spacing w:val="-2"/>
          <w:lang w:eastAsia="en-GB"/>
        </w:rPr>
        <w:t>s</w:t>
      </w:r>
      <w:r w:rsidRPr="00CE0885">
        <w:rPr>
          <w:lang w:eastAsia="en-GB"/>
        </w:rPr>
        <w:t>a</w:t>
      </w:r>
      <w:r w:rsidRPr="00CE0885">
        <w:rPr>
          <w:spacing w:val="-1"/>
          <w:lang w:eastAsia="en-GB"/>
        </w:rPr>
        <w:t>r</w:t>
      </w:r>
      <w:r w:rsidRPr="00CE0885">
        <w:rPr>
          <w:spacing w:val="-2"/>
          <w:lang w:eastAsia="en-GB"/>
        </w:rPr>
        <w:t>y</w:t>
      </w:r>
      <w:r w:rsidRPr="00CE0885">
        <w:rPr>
          <w:lang w:eastAsia="en-GB"/>
        </w:rPr>
        <w:t>.</w:t>
      </w:r>
      <w:bookmarkEnd w:id="657"/>
    </w:p>
    <w:p w14:paraId="4380E434" w14:textId="77777777" w:rsidR="00977693" w:rsidRPr="009055A7" w:rsidRDefault="00977693" w:rsidP="00977693">
      <w:pPr>
        <w:widowControl w:val="0"/>
        <w:spacing w:line="360" w:lineRule="auto"/>
        <w:ind w:left="1414"/>
        <w:jc w:val="both"/>
        <w:rPr>
          <w:rFonts w:cs="Arial"/>
          <w:bCs w:val="0"/>
          <w:sz w:val="20"/>
          <w:szCs w:val="20"/>
          <w:lang w:eastAsia="en-GB"/>
        </w:rPr>
      </w:pPr>
    </w:p>
    <w:p w14:paraId="42BF853E" w14:textId="77777777" w:rsidR="00977693" w:rsidRPr="00CE0885" w:rsidRDefault="00977693" w:rsidP="00202DD3">
      <w:pPr>
        <w:pStyle w:val="Heading2"/>
        <w:rPr>
          <w:lang w:eastAsia="en-GB"/>
        </w:rPr>
      </w:pPr>
      <w:bookmarkStart w:id="658" w:name="_Toc440981803"/>
      <w:bookmarkStart w:id="659" w:name="_Toc498495391"/>
      <w:r w:rsidRPr="00CE0885">
        <w:rPr>
          <w:lang w:eastAsia="en-GB"/>
        </w:rPr>
        <w:t>Retirement of a Contractor – Single Handed</w:t>
      </w:r>
      <w:bookmarkEnd w:id="658"/>
      <w:bookmarkEnd w:id="659"/>
    </w:p>
    <w:p w14:paraId="48677A02" w14:textId="77777777" w:rsidR="00977693" w:rsidRPr="00CE0885" w:rsidRDefault="00977693" w:rsidP="006B781A">
      <w:pPr>
        <w:pStyle w:val="Heading3"/>
        <w:rPr>
          <w:spacing w:val="-12"/>
          <w:lang w:eastAsia="en-GB"/>
        </w:rPr>
      </w:pPr>
      <w:bookmarkStart w:id="660" w:name="_Ref410399433"/>
      <w:bookmarkStart w:id="661" w:name="_Toc440981804"/>
      <w:r w:rsidRPr="00CE0885">
        <w:rPr>
          <w:lang w:eastAsia="en-GB"/>
        </w:rPr>
        <w:t>There is no specific reference to retirement in the GMS Regulations, the PMS Regulations or the APMS Directions. The Commissioner should deal with a request to retire as a request to terminate the contract by the contractor on notice.</w:t>
      </w:r>
      <w:bookmarkEnd w:id="660"/>
      <w:bookmarkEnd w:id="661"/>
      <w:r w:rsidRPr="00CE0885">
        <w:rPr>
          <w:lang w:eastAsia="en-GB"/>
        </w:rPr>
        <w:t xml:space="preserve"> </w:t>
      </w:r>
    </w:p>
    <w:p w14:paraId="44C07A70" w14:textId="77777777" w:rsidR="00977693" w:rsidRPr="00CE0885" w:rsidRDefault="00977693" w:rsidP="006B781A">
      <w:pPr>
        <w:pStyle w:val="Heading3"/>
        <w:rPr>
          <w:spacing w:val="-12"/>
          <w:lang w:eastAsia="en-GB"/>
        </w:rPr>
      </w:pPr>
      <w:bookmarkStart w:id="662" w:name="_Toc440981805"/>
      <w:r w:rsidRPr="00CE0885">
        <w:rPr>
          <w:lang w:eastAsia="en-GB"/>
        </w:rPr>
        <w:t>T</w:t>
      </w:r>
      <w:r w:rsidRPr="00CE0885">
        <w:rPr>
          <w:spacing w:val="-1"/>
          <w:lang w:eastAsia="en-GB"/>
        </w:rPr>
        <w:t>h</w:t>
      </w:r>
      <w:r w:rsidRPr="00CE0885">
        <w:rPr>
          <w:lang w:eastAsia="en-GB"/>
        </w:rPr>
        <w:t>e</w:t>
      </w:r>
      <w:r w:rsidRPr="00CE0885">
        <w:rPr>
          <w:spacing w:val="-2"/>
          <w:lang w:eastAsia="en-GB"/>
        </w:rPr>
        <w:t xml:space="preserve"> </w:t>
      </w:r>
      <w:r w:rsidRPr="00CE0885">
        <w:rPr>
          <w:lang w:eastAsia="en-GB"/>
        </w:rPr>
        <w:t>c</w:t>
      </w:r>
      <w:r w:rsidRPr="00CE0885">
        <w:rPr>
          <w:spacing w:val="-1"/>
          <w:lang w:eastAsia="en-GB"/>
        </w:rPr>
        <w:t>o</w:t>
      </w:r>
      <w:r w:rsidRPr="00CE0885">
        <w:rPr>
          <w:spacing w:val="1"/>
          <w:lang w:eastAsia="en-GB"/>
        </w:rPr>
        <w:t>nt</w:t>
      </w:r>
      <w:r w:rsidRPr="00CE0885">
        <w:rPr>
          <w:spacing w:val="-1"/>
          <w:lang w:eastAsia="en-GB"/>
        </w:rPr>
        <w:t>r</w:t>
      </w:r>
      <w:r w:rsidRPr="00CE0885">
        <w:rPr>
          <w:spacing w:val="1"/>
          <w:lang w:eastAsia="en-GB"/>
        </w:rPr>
        <w:t>a</w:t>
      </w:r>
      <w:r w:rsidRPr="00CE0885">
        <w:rPr>
          <w:lang w:eastAsia="en-GB"/>
        </w:rPr>
        <w:t>c</w:t>
      </w:r>
      <w:r w:rsidRPr="00CE0885">
        <w:rPr>
          <w:spacing w:val="-2"/>
          <w:lang w:eastAsia="en-GB"/>
        </w:rPr>
        <w:t>t</w:t>
      </w:r>
      <w:r w:rsidRPr="00CE0885">
        <w:rPr>
          <w:spacing w:val="1"/>
          <w:lang w:eastAsia="en-GB"/>
        </w:rPr>
        <w:t>o</w:t>
      </w:r>
      <w:r w:rsidRPr="00CE0885">
        <w:rPr>
          <w:lang w:eastAsia="en-GB"/>
        </w:rPr>
        <w:t>r</w:t>
      </w:r>
      <w:r w:rsidRPr="00CE0885">
        <w:rPr>
          <w:spacing w:val="-11"/>
          <w:lang w:eastAsia="en-GB"/>
        </w:rPr>
        <w:t xml:space="preserve"> </w:t>
      </w:r>
      <w:r w:rsidRPr="00CE0885">
        <w:rPr>
          <w:lang w:eastAsia="en-GB"/>
        </w:rPr>
        <w:t>must</w:t>
      </w:r>
      <w:r w:rsidRPr="00CE0885">
        <w:rPr>
          <w:spacing w:val="-5"/>
          <w:lang w:eastAsia="en-GB"/>
        </w:rPr>
        <w:t xml:space="preserve"> </w:t>
      </w:r>
      <w:r w:rsidRPr="00CE0885">
        <w:rPr>
          <w:spacing w:val="1"/>
          <w:lang w:eastAsia="en-GB"/>
        </w:rPr>
        <w:t>p</w:t>
      </w:r>
      <w:r w:rsidRPr="00CE0885">
        <w:rPr>
          <w:spacing w:val="-3"/>
          <w:lang w:eastAsia="en-GB"/>
        </w:rPr>
        <w:t>r</w:t>
      </w:r>
      <w:r w:rsidRPr="00CE0885">
        <w:rPr>
          <w:spacing w:val="1"/>
          <w:lang w:eastAsia="en-GB"/>
        </w:rPr>
        <w:t>o</w:t>
      </w:r>
      <w:r w:rsidRPr="00CE0885">
        <w:rPr>
          <w:spacing w:val="-2"/>
          <w:lang w:eastAsia="en-GB"/>
        </w:rPr>
        <w:t>v</w:t>
      </w:r>
      <w:r w:rsidRPr="00CE0885">
        <w:rPr>
          <w:lang w:eastAsia="en-GB"/>
        </w:rPr>
        <w:t>i</w:t>
      </w:r>
      <w:r w:rsidRPr="00CE0885">
        <w:rPr>
          <w:spacing w:val="1"/>
          <w:lang w:eastAsia="en-GB"/>
        </w:rPr>
        <w:t>d</w:t>
      </w:r>
      <w:r w:rsidRPr="00CE0885">
        <w:rPr>
          <w:lang w:eastAsia="en-GB"/>
        </w:rPr>
        <w:t>e</w:t>
      </w:r>
      <w:r w:rsidRPr="00CE0885">
        <w:rPr>
          <w:spacing w:val="-6"/>
          <w:lang w:eastAsia="en-GB"/>
        </w:rPr>
        <w:t xml:space="preserve"> </w:t>
      </w:r>
      <w:r w:rsidRPr="00CE0885">
        <w:rPr>
          <w:lang w:eastAsia="en-GB"/>
        </w:rPr>
        <w:t>the Commissioner</w:t>
      </w:r>
      <w:r w:rsidRPr="00CE0885">
        <w:rPr>
          <w:spacing w:val="-7"/>
          <w:lang w:eastAsia="en-GB"/>
        </w:rPr>
        <w:t xml:space="preserve"> </w:t>
      </w:r>
      <w:r w:rsidRPr="00CE0885">
        <w:rPr>
          <w:spacing w:val="-3"/>
          <w:lang w:eastAsia="en-GB"/>
        </w:rPr>
        <w:t>w</w:t>
      </w:r>
      <w:r w:rsidRPr="00CE0885">
        <w:rPr>
          <w:lang w:eastAsia="en-GB"/>
        </w:rPr>
        <w:t>i</w:t>
      </w:r>
      <w:r w:rsidRPr="00CE0885">
        <w:rPr>
          <w:spacing w:val="1"/>
          <w:lang w:eastAsia="en-GB"/>
        </w:rPr>
        <w:t>t</w:t>
      </w:r>
      <w:r w:rsidRPr="00CE0885">
        <w:rPr>
          <w:lang w:eastAsia="en-GB"/>
        </w:rPr>
        <w:t>h</w:t>
      </w:r>
      <w:r w:rsidRPr="00CE0885">
        <w:rPr>
          <w:spacing w:val="-2"/>
          <w:lang w:eastAsia="en-GB"/>
        </w:rPr>
        <w:t xml:space="preserve"> </w:t>
      </w:r>
      <w:r w:rsidRPr="00CE0885">
        <w:rPr>
          <w:lang w:eastAsia="en-GB"/>
        </w:rPr>
        <w:t>a</w:t>
      </w:r>
      <w:r w:rsidRPr="00CE0885">
        <w:rPr>
          <w:spacing w:val="1"/>
          <w:lang w:eastAsia="en-GB"/>
        </w:rPr>
        <w:t xml:space="preserve"> </w:t>
      </w:r>
      <w:r w:rsidRPr="00CE0885">
        <w:rPr>
          <w:spacing w:val="-3"/>
          <w:lang w:eastAsia="en-GB"/>
        </w:rPr>
        <w:t>w</w:t>
      </w:r>
      <w:r w:rsidRPr="00CE0885">
        <w:rPr>
          <w:spacing w:val="-1"/>
          <w:lang w:eastAsia="en-GB"/>
        </w:rPr>
        <w:t>r</w:t>
      </w:r>
      <w:r w:rsidRPr="00CE0885">
        <w:rPr>
          <w:lang w:eastAsia="en-GB"/>
        </w:rPr>
        <w:t>i</w:t>
      </w:r>
      <w:r w:rsidRPr="00CE0885">
        <w:rPr>
          <w:spacing w:val="1"/>
          <w:lang w:eastAsia="en-GB"/>
        </w:rPr>
        <w:t>tte</w:t>
      </w:r>
      <w:r w:rsidRPr="00CE0885">
        <w:rPr>
          <w:lang w:eastAsia="en-GB"/>
        </w:rPr>
        <w:t>n</w:t>
      </w:r>
      <w:r w:rsidRPr="00CE0885">
        <w:rPr>
          <w:spacing w:val="-5"/>
          <w:lang w:eastAsia="en-GB"/>
        </w:rPr>
        <w:t xml:space="preserve"> </w:t>
      </w:r>
      <w:r w:rsidRPr="00CE0885">
        <w:rPr>
          <w:spacing w:val="-1"/>
          <w:lang w:eastAsia="en-GB"/>
        </w:rPr>
        <w:t>n</w:t>
      </w:r>
      <w:r w:rsidRPr="00CE0885">
        <w:rPr>
          <w:spacing w:val="1"/>
          <w:lang w:eastAsia="en-GB"/>
        </w:rPr>
        <w:t>ot</w:t>
      </w:r>
      <w:r w:rsidRPr="00CE0885">
        <w:rPr>
          <w:spacing w:val="-3"/>
          <w:lang w:eastAsia="en-GB"/>
        </w:rPr>
        <w:t>i</w:t>
      </w:r>
      <w:r w:rsidRPr="00CE0885">
        <w:rPr>
          <w:spacing w:val="3"/>
          <w:lang w:eastAsia="en-GB"/>
        </w:rPr>
        <w:t>f</w:t>
      </w:r>
      <w:r w:rsidRPr="00CE0885">
        <w:rPr>
          <w:lang w:eastAsia="en-GB"/>
        </w:rPr>
        <w:t>ic</w:t>
      </w:r>
      <w:r w:rsidRPr="00CE0885">
        <w:rPr>
          <w:spacing w:val="1"/>
          <w:lang w:eastAsia="en-GB"/>
        </w:rPr>
        <w:t>at</w:t>
      </w:r>
      <w:r w:rsidRPr="00CE0885">
        <w:rPr>
          <w:lang w:eastAsia="en-GB"/>
        </w:rPr>
        <w:t>i</w:t>
      </w:r>
      <w:r w:rsidRPr="00CE0885">
        <w:rPr>
          <w:spacing w:val="-1"/>
          <w:lang w:eastAsia="en-GB"/>
        </w:rPr>
        <w:t>o</w:t>
      </w:r>
      <w:r w:rsidRPr="00CE0885">
        <w:rPr>
          <w:lang w:eastAsia="en-GB"/>
        </w:rPr>
        <w:t xml:space="preserve">n </w:t>
      </w:r>
      <w:r w:rsidRPr="00CE0885">
        <w:rPr>
          <w:spacing w:val="-1"/>
          <w:lang w:eastAsia="en-GB"/>
        </w:rPr>
        <w:t>o</w:t>
      </w:r>
      <w:r w:rsidRPr="00CE0885">
        <w:rPr>
          <w:lang w:eastAsia="en-GB"/>
        </w:rPr>
        <w:t>f</w:t>
      </w:r>
      <w:r w:rsidRPr="00CE0885">
        <w:rPr>
          <w:spacing w:val="1"/>
          <w:lang w:eastAsia="en-GB"/>
        </w:rPr>
        <w:t xml:space="preserve"> the</w:t>
      </w:r>
      <w:r w:rsidRPr="00CE0885">
        <w:rPr>
          <w:spacing w:val="-5"/>
          <w:lang w:eastAsia="en-GB"/>
        </w:rPr>
        <w:t xml:space="preserve"> </w:t>
      </w:r>
      <w:r w:rsidRPr="00CE0885">
        <w:rPr>
          <w:lang w:eastAsia="en-GB"/>
        </w:rPr>
        <w:t>i</w:t>
      </w:r>
      <w:r w:rsidRPr="00CE0885">
        <w:rPr>
          <w:spacing w:val="1"/>
          <w:lang w:eastAsia="en-GB"/>
        </w:rPr>
        <w:t>nt</w:t>
      </w:r>
      <w:r w:rsidRPr="00CE0885">
        <w:rPr>
          <w:spacing w:val="-1"/>
          <w:lang w:eastAsia="en-GB"/>
        </w:rPr>
        <w:t>e</w:t>
      </w:r>
      <w:r w:rsidRPr="00CE0885">
        <w:rPr>
          <w:spacing w:val="1"/>
          <w:lang w:eastAsia="en-GB"/>
        </w:rPr>
        <w:t>nd</w:t>
      </w:r>
      <w:r w:rsidRPr="00CE0885">
        <w:rPr>
          <w:spacing w:val="-1"/>
          <w:lang w:eastAsia="en-GB"/>
        </w:rPr>
        <w:t>e</w:t>
      </w:r>
      <w:r w:rsidRPr="00CE0885">
        <w:rPr>
          <w:lang w:eastAsia="en-GB"/>
        </w:rPr>
        <w:t>d</w:t>
      </w:r>
      <w:r w:rsidRPr="00CE0885">
        <w:rPr>
          <w:spacing w:val="-7"/>
          <w:lang w:eastAsia="en-GB"/>
        </w:rPr>
        <w:t xml:space="preserve"> </w:t>
      </w:r>
      <w:r w:rsidRPr="00CE0885">
        <w:rPr>
          <w:spacing w:val="-1"/>
          <w:lang w:eastAsia="en-GB"/>
        </w:rPr>
        <w:t>r</w:t>
      </w:r>
      <w:r w:rsidRPr="00CE0885">
        <w:rPr>
          <w:spacing w:val="1"/>
          <w:lang w:eastAsia="en-GB"/>
        </w:rPr>
        <w:t>et</w:t>
      </w:r>
      <w:r w:rsidRPr="00CE0885">
        <w:rPr>
          <w:lang w:eastAsia="en-GB"/>
        </w:rPr>
        <w:t>i</w:t>
      </w:r>
      <w:r w:rsidRPr="00CE0885">
        <w:rPr>
          <w:spacing w:val="-1"/>
          <w:lang w:eastAsia="en-GB"/>
        </w:rPr>
        <w:t>re</w:t>
      </w:r>
      <w:r w:rsidRPr="00CE0885">
        <w:rPr>
          <w:lang w:eastAsia="en-GB"/>
        </w:rPr>
        <w:t>m</w:t>
      </w:r>
      <w:r w:rsidRPr="00CE0885">
        <w:rPr>
          <w:spacing w:val="1"/>
          <w:lang w:eastAsia="en-GB"/>
        </w:rPr>
        <w:t>e</w:t>
      </w:r>
      <w:r w:rsidRPr="00CE0885">
        <w:rPr>
          <w:spacing w:val="-1"/>
          <w:lang w:eastAsia="en-GB"/>
        </w:rPr>
        <w:t>n</w:t>
      </w:r>
      <w:r w:rsidRPr="00CE0885">
        <w:rPr>
          <w:lang w:eastAsia="en-GB"/>
        </w:rPr>
        <w:t>t date which will be the</w:t>
      </w:r>
      <w:r w:rsidRPr="00CE0885">
        <w:rPr>
          <w:spacing w:val="-8"/>
          <w:lang w:eastAsia="en-GB"/>
        </w:rPr>
        <w:t xml:space="preserve"> </w:t>
      </w:r>
      <w:r w:rsidRPr="00CE0885">
        <w:rPr>
          <w:spacing w:val="-2"/>
          <w:lang w:eastAsia="en-GB"/>
        </w:rPr>
        <w:t>t</w:t>
      </w:r>
      <w:r w:rsidRPr="00CE0885">
        <w:rPr>
          <w:spacing w:val="1"/>
          <w:lang w:eastAsia="en-GB"/>
        </w:rPr>
        <w:t>e</w:t>
      </w:r>
      <w:r w:rsidRPr="00CE0885">
        <w:rPr>
          <w:spacing w:val="-1"/>
          <w:lang w:eastAsia="en-GB"/>
        </w:rPr>
        <w:t>r</w:t>
      </w:r>
      <w:r w:rsidRPr="00CE0885">
        <w:rPr>
          <w:lang w:eastAsia="en-GB"/>
        </w:rPr>
        <w:t>mi</w:t>
      </w:r>
      <w:r w:rsidRPr="00CE0885">
        <w:rPr>
          <w:spacing w:val="1"/>
          <w:lang w:eastAsia="en-GB"/>
        </w:rPr>
        <w:t>nat</w:t>
      </w:r>
      <w:r w:rsidRPr="00CE0885">
        <w:rPr>
          <w:spacing w:val="-3"/>
          <w:lang w:eastAsia="en-GB"/>
        </w:rPr>
        <w:t>i</w:t>
      </w:r>
      <w:r w:rsidRPr="00CE0885">
        <w:rPr>
          <w:spacing w:val="1"/>
          <w:lang w:eastAsia="en-GB"/>
        </w:rPr>
        <w:t>o</w:t>
      </w:r>
      <w:r w:rsidRPr="00CE0885">
        <w:rPr>
          <w:lang w:eastAsia="en-GB"/>
        </w:rPr>
        <w:t>n</w:t>
      </w:r>
      <w:r w:rsidRPr="00CE0885">
        <w:rPr>
          <w:spacing w:val="-13"/>
          <w:lang w:eastAsia="en-GB"/>
        </w:rPr>
        <w:t xml:space="preserve"> </w:t>
      </w:r>
      <w:r w:rsidRPr="00CE0885">
        <w:rPr>
          <w:spacing w:val="1"/>
          <w:lang w:eastAsia="en-GB"/>
        </w:rPr>
        <w:t>da</w:t>
      </w:r>
      <w:r w:rsidRPr="00CE0885">
        <w:rPr>
          <w:spacing w:val="-2"/>
          <w:lang w:eastAsia="en-GB"/>
        </w:rPr>
        <w:t>t</w:t>
      </w:r>
      <w:r w:rsidRPr="00CE0885">
        <w:rPr>
          <w:lang w:eastAsia="en-GB"/>
        </w:rPr>
        <w:t>e</w:t>
      </w:r>
      <w:r w:rsidRPr="00CE0885">
        <w:rPr>
          <w:spacing w:val="-3"/>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1"/>
          <w:lang w:eastAsia="en-GB"/>
        </w:rPr>
        <w:t>t</w:t>
      </w:r>
      <w:r w:rsidRPr="00CE0885">
        <w:rPr>
          <w:spacing w:val="-1"/>
          <w:lang w:eastAsia="en-GB"/>
        </w:rPr>
        <w:t>h</w:t>
      </w:r>
      <w:r w:rsidRPr="00CE0885">
        <w:rPr>
          <w:lang w:eastAsia="en-GB"/>
        </w:rPr>
        <w:t>e c</w:t>
      </w:r>
      <w:r w:rsidRPr="00CE0885">
        <w:rPr>
          <w:spacing w:val="1"/>
          <w:lang w:eastAsia="en-GB"/>
        </w:rPr>
        <w:t>ont</w:t>
      </w:r>
      <w:r w:rsidRPr="00CE0885">
        <w:rPr>
          <w:spacing w:val="-1"/>
          <w:lang w:eastAsia="en-GB"/>
        </w:rPr>
        <w:t>r</w:t>
      </w:r>
      <w:r w:rsidRPr="00CE0885">
        <w:rPr>
          <w:spacing w:val="1"/>
          <w:lang w:eastAsia="en-GB"/>
        </w:rPr>
        <w:t>a</w:t>
      </w:r>
      <w:r w:rsidRPr="00CE0885">
        <w:rPr>
          <w:lang w:eastAsia="en-GB"/>
        </w:rPr>
        <w:t>c</w:t>
      </w:r>
      <w:r w:rsidRPr="00CE0885">
        <w:rPr>
          <w:spacing w:val="1"/>
          <w:lang w:eastAsia="en-GB"/>
        </w:rPr>
        <w:t>t</w:t>
      </w:r>
      <w:r w:rsidRPr="00CE0885">
        <w:rPr>
          <w:lang w:eastAsia="en-GB"/>
        </w:rPr>
        <w:t>.</w:t>
      </w:r>
      <w:r w:rsidRPr="00CE0885">
        <w:rPr>
          <w:spacing w:val="-13"/>
          <w:lang w:eastAsia="en-GB"/>
        </w:rPr>
        <w:t xml:space="preserve"> </w:t>
      </w:r>
      <w:r w:rsidRPr="00CE0885">
        <w:rPr>
          <w:lang w:eastAsia="en-GB"/>
        </w:rPr>
        <w:t>T</w:t>
      </w:r>
      <w:r w:rsidRPr="00CE0885">
        <w:rPr>
          <w:spacing w:val="1"/>
          <w:lang w:eastAsia="en-GB"/>
        </w:rPr>
        <w:t>h</w:t>
      </w:r>
      <w:r w:rsidRPr="00CE0885">
        <w:rPr>
          <w:lang w:eastAsia="en-GB"/>
        </w:rPr>
        <w:t>is</w:t>
      </w:r>
      <w:r w:rsidRPr="00CE0885">
        <w:rPr>
          <w:spacing w:val="-5"/>
          <w:lang w:eastAsia="en-GB"/>
        </w:rPr>
        <w:t xml:space="preserve"> </w:t>
      </w:r>
      <w:r w:rsidRPr="00CE0885">
        <w:rPr>
          <w:spacing w:val="-1"/>
          <w:lang w:eastAsia="en-GB"/>
        </w:rPr>
        <w:t>n</w:t>
      </w:r>
      <w:r w:rsidRPr="00CE0885">
        <w:rPr>
          <w:spacing w:val="1"/>
          <w:lang w:eastAsia="en-GB"/>
        </w:rPr>
        <w:t>ot</w:t>
      </w:r>
      <w:r w:rsidRPr="00CE0885">
        <w:rPr>
          <w:lang w:eastAsia="en-GB"/>
        </w:rPr>
        <w:t>ice</w:t>
      </w:r>
      <w:r w:rsidRPr="00CE0885">
        <w:rPr>
          <w:spacing w:val="-4"/>
          <w:lang w:eastAsia="en-GB"/>
        </w:rPr>
        <w:t xml:space="preserve"> period </w:t>
      </w:r>
      <w:r w:rsidRPr="00CE0885">
        <w:rPr>
          <w:spacing w:val="-2"/>
          <w:lang w:eastAsia="en-GB"/>
        </w:rPr>
        <w:t>must not</w:t>
      </w:r>
      <w:r w:rsidRPr="00CE0885">
        <w:rPr>
          <w:spacing w:val="-8"/>
          <w:lang w:eastAsia="en-GB"/>
        </w:rPr>
        <w:t xml:space="preserve"> </w:t>
      </w:r>
      <w:r w:rsidRPr="00CE0885">
        <w:rPr>
          <w:spacing w:val="1"/>
          <w:lang w:eastAsia="en-GB"/>
        </w:rPr>
        <w:t>b</w:t>
      </w:r>
      <w:r w:rsidRPr="00CE0885">
        <w:rPr>
          <w:lang w:eastAsia="en-GB"/>
        </w:rPr>
        <w:t>e</w:t>
      </w:r>
      <w:r w:rsidRPr="00CE0885">
        <w:rPr>
          <w:spacing w:val="-4"/>
          <w:lang w:eastAsia="en-GB"/>
        </w:rPr>
        <w:t xml:space="preserve"> </w:t>
      </w:r>
      <w:r w:rsidRPr="00CE0885">
        <w:rPr>
          <w:spacing w:val="-2"/>
          <w:lang w:eastAsia="en-GB"/>
        </w:rPr>
        <w:t>less</w:t>
      </w:r>
      <w:r w:rsidRPr="00CE0885">
        <w:rPr>
          <w:spacing w:val="-4"/>
          <w:lang w:eastAsia="en-GB"/>
        </w:rPr>
        <w:t xml:space="preserve"> </w:t>
      </w:r>
      <w:r w:rsidRPr="00CE0885">
        <w:rPr>
          <w:spacing w:val="1"/>
          <w:lang w:eastAsia="en-GB"/>
        </w:rPr>
        <w:t>t</w:t>
      </w:r>
      <w:r w:rsidRPr="00CE0885">
        <w:rPr>
          <w:spacing w:val="-1"/>
          <w:lang w:eastAsia="en-GB"/>
        </w:rPr>
        <w:t>h</w:t>
      </w:r>
      <w:r w:rsidRPr="00CE0885">
        <w:rPr>
          <w:spacing w:val="1"/>
          <w:lang w:eastAsia="en-GB"/>
        </w:rPr>
        <w:t>a</w:t>
      </w:r>
      <w:r w:rsidRPr="00CE0885">
        <w:rPr>
          <w:lang w:eastAsia="en-GB"/>
        </w:rPr>
        <w:t>n</w:t>
      </w:r>
      <w:r w:rsidRPr="00CE0885">
        <w:rPr>
          <w:spacing w:val="-3"/>
          <w:lang w:eastAsia="en-GB"/>
        </w:rPr>
        <w:t xml:space="preserve"> </w:t>
      </w:r>
      <w:r w:rsidRPr="00CE0885">
        <w:rPr>
          <w:spacing w:val="-2"/>
          <w:lang w:eastAsia="en-GB"/>
        </w:rPr>
        <w:t>t</w:t>
      </w:r>
      <w:r w:rsidRPr="00CE0885">
        <w:rPr>
          <w:spacing w:val="1"/>
          <w:lang w:eastAsia="en-GB"/>
        </w:rPr>
        <w:t>h</w:t>
      </w:r>
      <w:r w:rsidRPr="00CE0885">
        <w:rPr>
          <w:spacing w:val="-1"/>
          <w:lang w:eastAsia="en-GB"/>
        </w:rPr>
        <w:t>r</w:t>
      </w:r>
      <w:r w:rsidRPr="00CE0885">
        <w:rPr>
          <w:spacing w:val="1"/>
          <w:lang w:eastAsia="en-GB"/>
        </w:rPr>
        <w:t>e</w:t>
      </w:r>
      <w:r w:rsidRPr="00CE0885">
        <w:rPr>
          <w:lang w:eastAsia="en-GB"/>
        </w:rPr>
        <w:t>e</w:t>
      </w:r>
      <w:r w:rsidRPr="00CE0885">
        <w:rPr>
          <w:spacing w:val="-6"/>
          <w:lang w:eastAsia="en-GB"/>
        </w:rPr>
        <w:t xml:space="preserve"> </w:t>
      </w:r>
      <w:r w:rsidRPr="00CE0885">
        <w:rPr>
          <w:lang w:eastAsia="en-GB"/>
        </w:rPr>
        <w:t>m</w:t>
      </w:r>
      <w:r w:rsidRPr="00CE0885">
        <w:rPr>
          <w:spacing w:val="-1"/>
          <w:lang w:eastAsia="en-GB"/>
        </w:rPr>
        <w:t>o</w:t>
      </w:r>
      <w:r w:rsidRPr="00CE0885">
        <w:rPr>
          <w:spacing w:val="1"/>
          <w:lang w:eastAsia="en-GB"/>
        </w:rPr>
        <w:t>nth</w:t>
      </w:r>
      <w:r w:rsidRPr="00CE0885">
        <w:rPr>
          <w:lang w:eastAsia="en-GB"/>
        </w:rPr>
        <w:t>s</w:t>
      </w:r>
      <w:r w:rsidRPr="00CE0885">
        <w:rPr>
          <w:spacing w:val="-10"/>
          <w:lang w:eastAsia="en-GB"/>
        </w:rPr>
        <w:t xml:space="preserve"> </w:t>
      </w:r>
      <w:r w:rsidRPr="00CE0885">
        <w:rPr>
          <w:spacing w:val="1"/>
          <w:lang w:eastAsia="en-GB"/>
        </w:rPr>
        <w:t>for</w:t>
      </w:r>
      <w:r w:rsidRPr="00CE0885">
        <w:rPr>
          <w:lang w:eastAsia="en-GB"/>
        </w:rPr>
        <w:t xml:space="preserve"> </w:t>
      </w:r>
      <w:r w:rsidRPr="00CE0885">
        <w:rPr>
          <w:spacing w:val="1"/>
          <w:lang w:eastAsia="en-GB"/>
        </w:rPr>
        <w:t>G</w:t>
      </w:r>
      <w:r w:rsidRPr="00CE0885">
        <w:rPr>
          <w:spacing w:val="-1"/>
          <w:lang w:eastAsia="en-GB"/>
        </w:rPr>
        <w:t>M</w:t>
      </w:r>
      <w:r w:rsidRPr="00CE0885">
        <w:rPr>
          <w:lang w:eastAsia="en-GB"/>
        </w:rPr>
        <w:t>S contracts</w:t>
      </w:r>
      <w:r w:rsidRPr="00CE0885">
        <w:rPr>
          <w:spacing w:val="-4"/>
          <w:lang w:eastAsia="en-GB"/>
        </w:rPr>
        <w:t xml:space="preserve"> held by an individual medical practitioner </w:t>
      </w:r>
      <w:r w:rsidRPr="00CE0885">
        <w:rPr>
          <w:spacing w:val="1"/>
          <w:lang w:eastAsia="en-GB"/>
        </w:rPr>
        <w:t>or less than</w:t>
      </w:r>
      <w:r w:rsidRPr="00CE0885">
        <w:rPr>
          <w:spacing w:val="-2"/>
          <w:lang w:eastAsia="en-GB"/>
        </w:rPr>
        <w:t xml:space="preserve"> </w:t>
      </w:r>
      <w:r w:rsidRPr="00CE0885">
        <w:rPr>
          <w:lang w:eastAsia="en-GB"/>
        </w:rPr>
        <w:t>six</w:t>
      </w:r>
      <w:r w:rsidRPr="00CE0885">
        <w:rPr>
          <w:spacing w:val="-5"/>
          <w:lang w:eastAsia="en-GB"/>
        </w:rPr>
        <w:t xml:space="preserve"> </w:t>
      </w:r>
      <w:r w:rsidRPr="00CE0885">
        <w:rPr>
          <w:lang w:eastAsia="en-GB"/>
        </w:rPr>
        <w:t>m</w:t>
      </w:r>
      <w:r w:rsidRPr="00CE0885">
        <w:rPr>
          <w:spacing w:val="1"/>
          <w:lang w:eastAsia="en-GB"/>
        </w:rPr>
        <w:t>o</w:t>
      </w:r>
      <w:r w:rsidRPr="00CE0885">
        <w:rPr>
          <w:spacing w:val="-1"/>
          <w:lang w:eastAsia="en-GB"/>
        </w:rPr>
        <w:t>n</w:t>
      </w:r>
      <w:r w:rsidRPr="00CE0885">
        <w:rPr>
          <w:spacing w:val="1"/>
          <w:lang w:eastAsia="en-GB"/>
        </w:rPr>
        <w:t>th</w:t>
      </w:r>
      <w:r w:rsidRPr="00CE0885">
        <w:rPr>
          <w:lang w:eastAsia="en-GB"/>
        </w:rPr>
        <w:t>s</w:t>
      </w:r>
      <w:r w:rsidRPr="00CE0885">
        <w:rPr>
          <w:spacing w:val="-10"/>
          <w:lang w:eastAsia="en-GB"/>
        </w:rPr>
        <w:t xml:space="preserve"> fo</w:t>
      </w:r>
      <w:r w:rsidRPr="00CE0885">
        <w:rPr>
          <w:lang w:eastAsia="en-GB"/>
        </w:rPr>
        <w:t>r</w:t>
      </w:r>
      <w:r w:rsidRPr="00CE0885">
        <w:rPr>
          <w:spacing w:val="-6"/>
          <w:lang w:eastAsia="en-GB"/>
        </w:rPr>
        <w:t xml:space="preserve"> GMS contracts that are not held by an individual and for </w:t>
      </w:r>
      <w:r w:rsidRPr="00CE0885">
        <w:rPr>
          <w:spacing w:val="-2"/>
          <w:lang w:eastAsia="en-GB"/>
        </w:rPr>
        <w:t>P</w:t>
      </w:r>
      <w:r w:rsidRPr="00CE0885">
        <w:rPr>
          <w:spacing w:val="-1"/>
          <w:lang w:eastAsia="en-GB"/>
        </w:rPr>
        <w:t>M</w:t>
      </w:r>
      <w:r w:rsidRPr="00CE0885">
        <w:rPr>
          <w:spacing w:val="1"/>
          <w:lang w:eastAsia="en-GB"/>
        </w:rPr>
        <w:t>S/AP</w:t>
      </w:r>
      <w:r w:rsidRPr="00CE0885">
        <w:rPr>
          <w:spacing w:val="-1"/>
          <w:lang w:eastAsia="en-GB"/>
        </w:rPr>
        <w:t>M</w:t>
      </w:r>
      <w:r w:rsidRPr="00CE0885">
        <w:rPr>
          <w:spacing w:val="1"/>
          <w:lang w:eastAsia="en-GB"/>
        </w:rPr>
        <w:t>S contracts</w:t>
      </w:r>
      <w:r w:rsidRPr="00CE0885">
        <w:rPr>
          <w:lang w:eastAsia="en-GB"/>
        </w:rPr>
        <w:t>.</w:t>
      </w:r>
      <w:bookmarkEnd w:id="662"/>
      <w:r w:rsidRPr="00CE0885">
        <w:rPr>
          <w:lang w:eastAsia="en-GB"/>
        </w:rPr>
        <w:t xml:space="preserve">  Leaving MCP and PACS contracts are subject to different arrangement and further advice and guidance should be sought from </w:t>
      </w:r>
      <w:r w:rsidRPr="00CE0885">
        <w:rPr>
          <w:highlight w:val="yellow"/>
          <w:lang w:eastAsia="en-GB"/>
        </w:rPr>
        <w:t>XXXXX</w:t>
      </w:r>
    </w:p>
    <w:p w14:paraId="2726011E" w14:textId="77777777" w:rsidR="00977693" w:rsidRPr="00CE0885" w:rsidRDefault="00977693" w:rsidP="006B781A">
      <w:pPr>
        <w:pStyle w:val="Heading3"/>
        <w:rPr>
          <w:lang w:eastAsia="en-GB"/>
        </w:rPr>
      </w:pPr>
      <w:bookmarkStart w:id="663" w:name="_Toc440981806"/>
      <w:r w:rsidRPr="00CE0885">
        <w:rPr>
          <w:lang w:eastAsia="en-GB"/>
        </w:rPr>
        <w:t>F</w:t>
      </w:r>
      <w:r w:rsidRPr="00CE0885">
        <w:rPr>
          <w:spacing w:val="1"/>
          <w:lang w:eastAsia="en-GB"/>
        </w:rPr>
        <w:t>o</w:t>
      </w:r>
      <w:r w:rsidRPr="00CE0885">
        <w:rPr>
          <w:lang w:eastAsia="en-GB"/>
        </w:rPr>
        <w:t>r</w:t>
      </w:r>
      <w:r w:rsidRPr="00CE0885">
        <w:rPr>
          <w:spacing w:val="-4"/>
          <w:lang w:eastAsia="en-GB"/>
        </w:rPr>
        <w:t xml:space="preserve"> </w:t>
      </w:r>
      <w:r w:rsidRPr="00CE0885">
        <w:rPr>
          <w:spacing w:val="1"/>
          <w:lang w:eastAsia="en-GB"/>
        </w:rPr>
        <w:t>G</w:t>
      </w:r>
      <w:r w:rsidRPr="00CE0885">
        <w:rPr>
          <w:spacing w:val="-1"/>
          <w:lang w:eastAsia="en-GB"/>
        </w:rPr>
        <w:t>M</w:t>
      </w:r>
      <w:r w:rsidRPr="00CE0885">
        <w:rPr>
          <w:lang w:eastAsia="en-GB"/>
        </w:rPr>
        <w:t>S</w:t>
      </w:r>
      <w:r w:rsidRPr="00CE0885">
        <w:rPr>
          <w:spacing w:val="-4"/>
          <w:lang w:eastAsia="en-GB"/>
        </w:rPr>
        <w:t xml:space="preserve"> </w:t>
      </w:r>
      <w:r w:rsidRPr="00CE0885">
        <w:rPr>
          <w:lang w:eastAsia="en-GB"/>
        </w:rPr>
        <w:t>c</w:t>
      </w:r>
      <w:r w:rsidRPr="00CE0885">
        <w:rPr>
          <w:spacing w:val="1"/>
          <w:lang w:eastAsia="en-GB"/>
        </w:rPr>
        <w:t>o</w:t>
      </w:r>
      <w:r w:rsidRPr="00CE0885">
        <w:rPr>
          <w:spacing w:val="-1"/>
          <w:lang w:eastAsia="en-GB"/>
        </w:rPr>
        <w:t>n</w:t>
      </w:r>
      <w:r w:rsidRPr="00CE0885">
        <w:rPr>
          <w:spacing w:val="1"/>
          <w:lang w:eastAsia="en-GB"/>
        </w:rPr>
        <w:t>t</w:t>
      </w:r>
      <w:r w:rsidRPr="00CE0885">
        <w:rPr>
          <w:spacing w:val="-1"/>
          <w:lang w:eastAsia="en-GB"/>
        </w:rPr>
        <w:t>r</w:t>
      </w:r>
      <w:r w:rsidRPr="00CE0885">
        <w:rPr>
          <w:spacing w:val="1"/>
          <w:lang w:eastAsia="en-GB"/>
        </w:rPr>
        <w:t>a</w:t>
      </w:r>
      <w:r w:rsidRPr="00CE0885">
        <w:rPr>
          <w:lang w:eastAsia="en-GB"/>
        </w:rPr>
        <w:t>c</w:t>
      </w:r>
      <w:r w:rsidRPr="00CE0885">
        <w:rPr>
          <w:spacing w:val="1"/>
          <w:lang w:eastAsia="en-GB"/>
        </w:rPr>
        <w:t>t</w:t>
      </w:r>
      <w:r w:rsidRPr="00CE0885">
        <w:rPr>
          <w:lang w:eastAsia="en-GB"/>
        </w:rPr>
        <w:t>s,</w:t>
      </w:r>
      <w:r w:rsidRPr="00CE0885">
        <w:rPr>
          <w:spacing w:val="-9"/>
          <w:lang w:eastAsia="en-GB"/>
        </w:rPr>
        <w:t xml:space="preserve"> </w:t>
      </w:r>
      <w:r w:rsidRPr="00CE0885">
        <w:rPr>
          <w:spacing w:val="-3"/>
          <w:lang w:eastAsia="en-GB"/>
        </w:rPr>
        <w:t>i</w:t>
      </w:r>
      <w:r w:rsidRPr="00CE0885">
        <w:rPr>
          <w:lang w:eastAsia="en-GB"/>
        </w:rPr>
        <w:t xml:space="preserve">f </w:t>
      </w:r>
      <w:r w:rsidRPr="00CE0885">
        <w:rPr>
          <w:spacing w:val="-2"/>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2"/>
          <w:lang w:eastAsia="en-GB"/>
        </w:rPr>
        <w:t>t</w:t>
      </w:r>
      <w:r w:rsidRPr="00CE0885">
        <w:rPr>
          <w:spacing w:val="1"/>
          <w:lang w:eastAsia="en-GB"/>
        </w:rPr>
        <w:t>e</w:t>
      </w:r>
      <w:r w:rsidRPr="00CE0885">
        <w:rPr>
          <w:spacing w:val="-1"/>
          <w:lang w:eastAsia="en-GB"/>
        </w:rPr>
        <w:t>r</w:t>
      </w:r>
      <w:r w:rsidRPr="00CE0885">
        <w:rPr>
          <w:lang w:eastAsia="en-GB"/>
        </w:rPr>
        <w:t>mi</w:t>
      </w:r>
      <w:r w:rsidRPr="00CE0885">
        <w:rPr>
          <w:spacing w:val="-1"/>
          <w:lang w:eastAsia="en-GB"/>
        </w:rPr>
        <w:t>n</w:t>
      </w:r>
      <w:r w:rsidRPr="00CE0885">
        <w:rPr>
          <w:spacing w:val="1"/>
          <w:lang w:eastAsia="en-GB"/>
        </w:rPr>
        <w:t>at</w:t>
      </w:r>
      <w:r w:rsidRPr="00CE0885">
        <w:rPr>
          <w:lang w:eastAsia="en-GB"/>
        </w:rPr>
        <w:t>i</w:t>
      </w:r>
      <w:r w:rsidRPr="00CE0885">
        <w:rPr>
          <w:spacing w:val="1"/>
          <w:lang w:eastAsia="en-GB"/>
        </w:rPr>
        <w:t>o</w:t>
      </w:r>
      <w:r w:rsidRPr="00CE0885">
        <w:rPr>
          <w:lang w:eastAsia="en-GB"/>
        </w:rPr>
        <w:t>n</w:t>
      </w:r>
      <w:r w:rsidRPr="00CE0885">
        <w:rPr>
          <w:spacing w:val="-13"/>
          <w:lang w:eastAsia="en-GB"/>
        </w:rPr>
        <w:t xml:space="preserve"> </w:t>
      </w:r>
      <w:r w:rsidRPr="00CE0885">
        <w:rPr>
          <w:spacing w:val="1"/>
          <w:lang w:eastAsia="en-GB"/>
        </w:rPr>
        <w:t>da</w:t>
      </w:r>
      <w:r w:rsidRPr="00CE0885">
        <w:rPr>
          <w:spacing w:val="-2"/>
          <w:lang w:eastAsia="en-GB"/>
        </w:rPr>
        <w:t>t</w:t>
      </w:r>
      <w:r w:rsidRPr="00CE0885">
        <w:rPr>
          <w:lang w:eastAsia="en-GB"/>
        </w:rPr>
        <w:t>e</w:t>
      </w:r>
      <w:r w:rsidRPr="00CE0885">
        <w:rPr>
          <w:spacing w:val="-3"/>
          <w:lang w:eastAsia="en-GB"/>
        </w:rPr>
        <w:t xml:space="preserve"> </w:t>
      </w:r>
      <w:r w:rsidRPr="00CE0885">
        <w:rPr>
          <w:lang w:eastAsia="en-GB"/>
        </w:rPr>
        <w:t>is</w:t>
      </w:r>
      <w:r w:rsidRPr="00CE0885">
        <w:rPr>
          <w:spacing w:val="-4"/>
          <w:lang w:eastAsia="en-GB"/>
        </w:rPr>
        <w:t xml:space="preserve"> </w:t>
      </w:r>
      <w:r w:rsidRPr="00CE0885">
        <w:rPr>
          <w:spacing w:val="1"/>
          <w:lang w:eastAsia="en-GB"/>
        </w:rPr>
        <w:t>no</w:t>
      </w:r>
      <w:r w:rsidRPr="00CE0885">
        <w:rPr>
          <w:lang w:eastAsia="en-GB"/>
        </w:rPr>
        <w:t>t</w:t>
      </w:r>
      <w:r w:rsidRPr="00CE0885">
        <w:rPr>
          <w:spacing w:val="-2"/>
          <w:lang w:eastAsia="en-GB"/>
        </w:rPr>
        <w:t xml:space="preserve"> t</w:t>
      </w:r>
      <w:r w:rsidRPr="00CE0885">
        <w:rPr>
          <w:spacing w:val="1"/>
          <w:lang w:eastAsia="en-GB"/>
        </w:rPr>
        <w:t>h</w:t>
      </w:r>
      <w:r w:rsidRPr="00CE0885">
        <w:rPr>
          <w:lang w:eastAsia="en-GB"/>
        </w:rPr>
        <w:t>e</w:t>
      </w:r>
      <w:r w:rsidRPr="00CE0885">
        <w:rPr>
          <w:spacing w:val="-1"/>
          <w:lang w:eastAsia="en-GB"/>
        </w:rPr>
        <w:t xml:space="preserve"> </w:t>
      </w:r>
      <w:r w:rsidRPr="00CE0885">
        <w:rPr>
          <w:spacing w:val="-3"/>
          <w:lang w:eastAsia="en-GB"/>
        </w:rPr>
        <w:t>l</w:t>
      </w:r>
      <w:r w:rsidRPr="00CE0885">
        <w:rPr>
          <w:spacing w:val="1"/>
          <w:lang w:eastAsia="en-GB"/>
        </w:rPr>
        <w:t>a</w:t>
      </w:r>
      <w:r w:rsidRPr="00CE0885">
        <w:rPr>
          <w:lang w:eastAsia="en-GB"/>
        </w:rPr>
        <w:t>st</w:t>
      </w:r>
      <w:r w:rsidRPr="00CE0885">
        <w:rPr>
          <w:spacing w:val="-3"/>
          <w:lang w:eastAsia="en-GB"/>
        </w:rPr>
        <w:t xml:space="preserve"> </w:t>
      </w:r>
      <w:r w:rsidRPr="00CE0885">
        <w:rPr>
          <w:lang w:eastAsia="en-GB"/>
        </w:rPr>
        <w:t>c</w:t>
      </w:r>
      <w:r w:rsidRPr="00CE0885">
        <w:rPr>
          <w:spacing w:val="1"/>
          <w:lang w:eastAsia="en-GB"/>
        </w:rPr>
        <w:t>a</w:t>
      </w:r>
      <w:r w:rsidRPr="00CE0885">
        <w:rPr>
          <w:spacing w:val="-3"/>
          <w:lang w:eastAsia="en-GB"/>
        </w:rPr>
        <w:t>l</w:t>
      </w:r>
      <w:r w:rsidRPr="00CE0885">
        <w:rPr>
          <w:spacing w:val="1"/>
          <w:lang w:eastAsia="en-GB"/>
        </w:rPr>
        <w:t>en</w:t>
      </w:r>
      <w:r w:rsidRPr="00CE0885">
        <w:rPr>
          <w:spacing w:val="-1"/>
          <w:lang w:eastAsia="en-GB"/>
        </w:rPr>
        <w:t>d</w:t>
      </w:r>
      <w:r w:rsidRPr="00CE0885">
        <w:rPr>
          <w:spacing w:val="1"/>
          <w:lang w:eastAsia="en-GB"/>
        </w:rPr>
        <w:t>a</w:t>
      </w:r>
      <w:r w:rsidRPr="00CE0885">
        <w:rPr>
          <w:lang w:eastAsia="en-GB"/>
        </w:rPr>
        <w:t xml:space="preserve">r </w:t>
      </w:r>
      <w:r w:rsidRPr="00CE0885">
        <w:rPr>
          <w:spacing w:val="1"/>
          <w:lang w:eastAsia="en-GB"/>
        </w:rPr>
        <w:t>da</w:t>
      </w:r>
      <w:r w:rsidRPr="00CE0885">
        <w:rPr>
          <w:lang w:eastAsia="en-GB"/>
        </w:rPr>
        <w:t>y</w:t>
      </w:r>
      <w:r w:rsidRPr="00CE0885">
        <w:rPr>
          <w:spacing w:val="-6"/>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a</w:t>
      </w:r>
      <w:r w:rsidRPr="00CE0885">
        <w:rPr>
          <w:spacing w:val="-2"/>
          <w:lang w:eastAsia="en-GB"/>
        </w:rPr>
        <w:t xml:space="preserve"> </w:t>
      </w:r>
      <w:r w:rsidRPr="00CE0885">
        <w:rPr>
          <w:lang w:eastAsia="en-GB"/>
        </w:rPr>
        <w:t>m</w:t>
      </w:r>
      <w:r w:rsidRPr="00CE0885">
        <w:rPr>
          <w:spacing w:val="-1"/>
          <w:lang w:eastAsia="en-GB"/>
        </w:rPr>
        <w:t>o</w:t>
      </w:r>
      <w:r w:rsidRPr="00CE0885">
        <w:rPr>
          <w:spacing w:val="1"/>
          <w:lang w:eastAsia="en-GB"/>
        </w:rPr>
        <w:t>nt</w:t>
      </w:r>
      <w:r w:rsidRPr="00CE0885">
        <w:rPr>
          <w:spacing w:val="-1"/>
          <w:lang w:eastAsia="en-GB"/>
        </w:rPr>
        <w:t>h</w:t>
      </w:r>
      <w:r w:rsidRPr="00CE0885">
        <w:rPr>
          <w:lang w:eastAsia="en-GB"/>
        </w:rPr>
        <w:t>,</w:t>
      </w:r>
      <w:r w:rsidRPr="00CE0885">
        <w:rPr>
          <w:spacing w:val="-6"/>
          <w:lang w:eastAsia="en-GB"/>
        </w:rPr>
        <w:t xml:space="preserve">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c</w:t>
      </w:r>
      <w:r w:rsidRPr="00CE0885">
        <w:rPr>
          <w:spacing w:val="-1"/>
          <w:lang w:eastAsia="en-GB"/>
        </w:rPr>
        <w:t>o</w:t>
      </w:r>
      <w:r w:rsidRPr="00CE0885">
        <w:rPr>
          <w:spacing w:val="1"/>
          <w:lang w:eastAsia="en-GB"/>
        </w:rPr>
        <w:t>nt</w:t>
      </w:r>
      <w:r w:rsidRPr="00CE0885">
        <w:rPr>
          <w:spacing w:val="-1"/>
          <w:lang w:eastAsia="en-GB"/>
        </w:rPr>
        <w:t>r</w:t>
      </w:r>
      <w:r w:rsidRPr="00CE0885">
        <w:rPr>
          <w:spacing w:val="1"/>
          <w:lang w:eastAsia="en-GB"/>
        </w:rPr>
        <w:t>a</w:t>
      </w:r>
      <w:r w:rsidRPr="00CE0885">
        <w:rPr>
          <w:lang w:eastAsia="en-GB"/>
        </w:rPr>
        <w:t>ct</w:t>
      </w:r>
      <w:r w:rsidRPr="00CE0885">
        <w:rPr>
          <w:spacing w:val="-8"/>
          <w:lang w:eastAsia="en-GB"/>
        </w:rPr>
        <w:t xml:space="preserve"> </w:t>
      </w:r>
      <w:r w:rsidRPr="00CE0885">
        <w:rPr>
          <w:lang w:eastAsia="en-GB"/>
        </w:rPr>
        <w:t>s</w:t>
      </w:r>
      <w:r w:rsidRPr="00CE0885">
        <w:rPr>
          <w:spacing w:val="-1"/>
          <w:lang w:eastAsia="en-GB"/>
        </w:rPr>
        <w:t>h</w:t>
      </w:r>
      <w:r w:rsidRPr="00CE0885">
        <w:rPr>
          <w:spacing w:val="1"/>
          <w:lang w:eastAsia="en-GB"/>
        </w:rPr>
        <w:t>a</w:t>
      </w:r>
      <w:r w:rsidRPr="00CE0885">
        <w:rPr>
          <w:lang w:eastAsia="en-GB"/>
        </w:rPr>
        <w:t>ll</w:t>
      </w:r>
      <w:r w:rsidRPr="00CE0885">
        <w:rPr>
          <w:spacing w:val="-5"/>
          <w:lang w:eastAsia="en-GB"/>
        </w:rPr>
        <w:t xml:space="preserve"> </w:t>
      </w:r>
      <w:r w:rsidRPr="00CE0885">
        <w:rPr>
          <w:lang w:eastAsia="en-GB"/>
        </w:rPr>
        <w:t>i</w:t>
      </w:r>
      <w:r w:rsidRPr="00CE0885">
        <w:rPr>
          <w:spacing w:val="1"/>
          <w:lang w:eastAsia="en-GB"/>
        </w:rPr>
        <w:t>n</w:t>
      </w:r>
      <w:r w:rsidRPr="00CE0885">
        <w:rPr>
          <w:lang w:eastAsia="en-GB"/>
        </w:rPr>
        <w:t>s</w:t>
      </w:r>
      <w:r w:rsidRPr="00CE0885">
        <w:rPr>
          <w:spacing w:val="1"/>
          <w:lang w:eastAsia="en-GB"/>
        </w:rPr>
        <w:t>t</w:t>
      </w:r>
      <w:r w:rsidRPr="00CE0885">
        <w:rPr>
          <w:spacing w:val="-1"/>
          <w:lang w:eastAsia="en-GB"/>
        </w:rPr>
        <w:t>e</w:t>
      </w:r>
      <w:r w:rsidRPr="00CE0885">
        <w:rPr>
          <w:spacing w:val="1"/>
          <w:lang w:eastAsia="en-GB"/>
        </w:rPr>
        <w:t>a</w:t>
      </w:r>
      <w:r w:rsidRPr="00CE0885">
        <w:rPr>
          <w:lang w:eastAsia="en-GB"/>
        </w:rPr>
        <w:t>d</w:t>
      </w:r>
      <w:r w:rsidRPr="00CE0885">
        <w:rPr>
          <w:spacing w:val="-9"/>
          <w:lang w:eastAsia="en-GB"/>
        </w:rPr>
        <w:t xml:space="preserve"> </w:t>
      </w:r>
      <w:r w:rsidRPr="00CE0885">
        <w:rPr>
          <w:spacing w:val="1"/>
          <w:lang w:eastAsia="en-GB"/>
        </w:rPr>
        <w:t>te</w:t>
      </w:r>
      <w:r w:rsidRPr="00CE0885">
        <w:rPr>
          <w:spacing w:val="-3"/>
          <w:lang w:eastAsia="en-GB"/>
        </w:rPr>
        <w:t>r</w:t>
      </w:r>
      <w:r w:rsidRPr="00CE0885">
        <w:rPr>
          <w:lang w:eastAsia="en-GB"/>
        </w:rPr>
        <w:t>mi</w:t>
      </w:r>
      <w:r w:rsidRPr="00CE0885">
        <w:rPr>
          <w:spacing w:val="1"/>
          <w:lang w:eastAsia="en-GB"/>
        </w:rPr>
        <w:t>na</w:t>
      </w:r>
      <w:r w:rsidRPr="00CE0885">
        <w:rPr>
          <w:spacing w:val="-2"/>
          <w:lang w:eastAsia="en-GB"/>
        </w:rPr>
        <w:t>t</w:t>
      </w:r>
      <w:r w:rsidRPr="00CE0885">
        <w:rPr>
          <w:lang w:eastAsia="en-GB"/>
        </w:rPr>
        <w:t>e</w:t>
      </w:r>
      <w:r w:rsidRPr="00CE0885">
        <w:rPr>
          <w:spacing w:val="-8"/>
          <w:lang w:eastAsia="en-GB"/>
        </w:rPr>
        <w:t xml:space="preserve"> </w:t>
      </w:r>
      <w:r w:rsidRPr="00CE0885">
        <w:rPr>
          <w:spacing w:val="-1"/>
          <w:lang w:eastAsia="en-GB"/>
        </w:rPr>
        <w:t>o</w:t>
      </w:r>
      <w:r w:rsidRPr="00CE0885">
        <w:rPr>
          <w:lang w:eastAsia="en-GB"/>
        </w:rPr>
        <w:t>n</w:t>
      </w:r>
      <w:r w:rsidRPr="00CE0885">
        <w:rPr>
          <w:spacing w:val="-1"/>
          <w:lang w:eastAsia="en-GB"/>
        </w:rPr>
        <w:t xml:space="preserve"> </w:t>
      </w:r>
      <w:r w:rsidRPr="00CE0885">
        <w:rPr>
          <w:spacing w:val="-2"/>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l</w:t>
      </w:r>
      <w:r w:rsidRPr="00CE0885">
        <w:rPr>
          <w:spacing w:val="1"/>
          <w:lang w:eastAsia="en-GB"/>
        </w:rPr>
        <w:t>a</w:t>
      </w:r>
      <w:r w:rsidRPr="00CE0885">
        <w:rPr>
          <w:spacing w:val="-2"/>
          <w:lang w:eastAsia="en-GB"/>
        </w:rPr>
        <w:t>s</w:t>
      </w:r>
      <w:r w:rsidRPr="00CE0885">
        <w:rPr>
          <w:lang w:eastAsia="en-GB"/>
        </w:rPr>
        <w:t>t c</w:t>
      </w:r>
      <w:r w:rsidRPr="00CE0885">
        <w:rPr>
          <w:spacing w:val="1"/>
          <w:lang w:eastAsia="en-GB"/>
        </w:rPr>
        <w:t>a</w:t>
      </w:r>
      <w:r w:rsidRPr="00CE0885">
        <w:rPr>
          <w:lang w:eastAsia="en-GB"/>
        </w:rPr>
        <w:t>l</w:t>
      </w:r>
      <w:r w:rsidRPr="00CE0885">
        <w:rPr>
          <w:spacing w:val="1"/>
          <w:lang w:eastAsia="en-GB"/>
        </w:rPr>
        <w:t>en</w:t>
      </w:r>
      <w:r w:rsidRPr="00CE0885">
        <w:rPr>
          <w:spacing w:val="-1"/>
          <w:lang w:eastAsia="en-GB"/>
        </w:rPr>
        <w:t>d</w:t>
      </w:r>
      <w:r w:rsidRPr="00CE0885">
        <w:rPr>
          <w:spacing w:val="1"/>
          <w:lang w:eastAsia="en-GB"/>
        </w:rPr>
        <w:t>a</w:t>
      </w:r>
      <w:r w:rsidRPr="00CE0885">
        <w:rPr>
          <w:lang w:eastAsia="en-GB"/>
        </w:rPr>
        <w:t>r</w:t>
      </w:r>
      <w:r w:rsidRPr="00CE0885">
        <w:rPr>
          <w:spacing w:val="-9"/>
          <w:lang w:eastAsia="en-GB"/>
        </w:rPr>
        <w:t xml:space="preserve"> </w:t>
      </w:r>
      <w:r w:rsidRPr="00CE0885">
        <w:rPr>
          <w:spacing w:val="1"/>
          <w:lang w:eastAsia="en-GB"/>
        </w:rPr>
        <w:t>da</w:t>
      </w:r>
      <w:r w:rsidRPr="00CE0885">
        <w:rPr>
          <w:lang w:eastAsia="en-GB"/>
        </w:rPr>
        <w:t>y</w:t>
      </w:r>
      <w:r w:rsidRPr="00CE0885">
        <w:rPr>
          <w:spacing w:val="-6"/>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1"/>
          <w:lang w:eastAsia="en-GB"/>
        </w:rPr>
        <w:t>th</w:t>
      </w:r>
      <w:r w:rsidRPr="00CE0885">
        <w:rPr>
          <w:lang w:eastAsia="en-GB"/>
        </w:rPr>
        <w:t>e</w:t>
      </w:r>
      <w:r w:rsidRPr="00CE0885">
        <w:rPr>
          <w:spacing w:val="-4"/>
          <w:lang w:eastAsia="en-GB"/>
        </w:rPr>
        <w:t xml:space="preserve"> </w:t>
      </w:r>
      <w:r w:rsidRPr="00CE0885">
        <w:rPr>
          <w:spacing w:val="-1"/>
          <w:lang w:eastAsia="en-GB"/>
        </w:rPr>
        <w:t>mo</w:t>
      </w:r>
      <w:r w:rsidRPr="00CE0885">
        <w:rPr>
          <w:spacing w:val="1"/>
          <w:lang w:eastAsia="en-GB"/>
        </w:rPr>
        <w:t>nt</w:t>
      </w:r>
      <w:r w:rsidRPr="00CE0885">
        <w:rPr>
          <w:lang w:eastAsia="en-GB"/>
        </w:rPr>
        <w:t>h</w:t>
      </w:r>
      <w:r w:rsidRPr="00CE0885">
        <w:rPr>
          <w:spacing w:val="-5"/>
          <w:lang w:eastAsia="en-GB"/>
        </w:rPr>
        <w:t xml:space="preserve"> </w:t>
      </w:r>
      <w:r w:rsidRPr="00CE0885">
        <w:rPr>
          <w:lang w:eastAsia="en-GB"/>
        </w:rPr>
        <w:t>in</w:t>
      </w:r>
      <w:r w:rsidRPr="00CE0885">
        <w:rPr>
          <w:spacing w:val="-3"/>
          <w:lang w:eastAsia="en-GB"/>
        </w:rPr>
        <w:t xml:space="preserve"> w</w:t>
      </w:r>
      <w:r w:rsidRPr="00CE0885">
        <w:rPr>
          <w:spacing w:val="1"/>
          <w:lang w:eastAsia="en-GB"/>
        </w:rPr>
        <w:t>h</w:t>
      </w:r>
      <w:r w:rsidRPr="00CE0885">
        <w:rPr>
          <w:lang w:eastAsia="en-GB"/>
        </w:rPr>
        <w:t>ich</w:t>
      </w:r>
      <w:r w:rsidRPr="00CE0885">
        <w:rPr>
          <w:spacing w:val="-4"/>
          <w:lang w:eastAsia="en-GB"/>
        </w:rPr>
        <w:t xml:space="preserve"> </w:t>
      </w:r>
      <w:r w:rsidRPr="00CE0885">
        <w:rPr>
          <w:spacing w:val="1"/>
          <w:lang w:eastAsia="en-GB"/>
        </w:rPr>
        <w:t>th</w:t>
      </w:r>
      <w:r w:rsidRPr="00CE0885">
        <w:rPr>
          <w:lang w:eastAsia="en-GB"/>
        </w:rPr>
        <w:t>e</w:t>
      </w:r>
      <w:r w:rsidRPr="00CE0885">
        <w:rPr>
          <w:spacing w:val="-4"/>
          <w:lang w:eastAsia="en-GB"/>
        </w:rPr>
        <w:t xml:space="preserve"> </w:t>
      </w:r>
      <w:r w:rsidRPr="00CE0885">
        <w:rPr>
          <w:spacing w:val="1"/>
          <w:lang w:eastAsia="en-GB"/>
        </w:rPr>
        <w:t>te</w:t>
      </w:r>
      <w:r w:rsidRPr="00CE0885">
        <w:rPr>
          <w:spacing w:val="-1"/>
          <w:lang w:eastAsia="en-GB"/>
        </w:rPr>
        <w:t>r</w:t>
      </w:r>
      <w:r w:rsidRPr="00CE0885">
        <w:rPr>
          <w:lang w:eastAsia="en-GB"/>
        </w:rPr>
        <w:t>mi</w:t>
      </w:r>
      <w:r w:rsidRPr="00CE0885">
        <w:rPr>
          <w:spacing w:val="-1"/>
          <w:lang w:eastAsia="en-GB"/>
        </w:rPr>
        <w:t>n</w:t>
      </w:r>
      <w:r w:rsidRPr="00CE0885">
        <w:rPr>
          <w:spacing w:val="1"/>
          <w:lang w:eastAsia="en-GB"/>
        </w:rPr>
        <w:t>at</w:t>
      </w:r>
      <w:r w:rsidRPr="00CE0885">
        <w:rPr>
          <w:lang w:eastAsia="en-GB"/>
        </w:rPr>
        <w:t>i</w:t>
      </w:r>
      <w:r w:rsidRPr="00CE0885">
        <w:rPr>
          <w:spacing w:val="1"/>
          <w:lang w:eastAsia="en-GB"/>
        </w:rPr>
        <w:t>o</w:t>
      </w:r>
      <w:r w:rsidRPr="00CE0885">
        <w:rPr>
          <w:lang w:eastAsia="en-GB"/>
        </w:rPr>
        <w:t>n</w:t>
      </w:r>
      <w:r w:rsidRPr="00CE0885">
        <w:rPr>
          <w:spacing w:val="-13"/>
          <w:lang w:eastAsia="en-GB"/>
        </w:rPr>
        <w:t xml:space="preserve"> </w:t>
      </w:r>
      <w:r w:rsidRPr="00CE0885">
        <w:rPr>
          <w:spacing w:val="1"/>
          <w:lang w:eastAsia="en-GB"/>
        </w:rPr>
        <w:t>da</w:t>
      </w:r>
      <w:r w:rsidRPr="00CE0885">
        <w:rPr>
          <w:spacing w:val="-2"/>
          <w:lang w:eastAsia="en-GB"/>
        </w:rPr>
        <w:t>t</w:t>
      </w:r>
      <w:r w:rsidRPr="00CE0885">
        <w:rPr>
          <w:lang w:eastAsia="en-GB"/>
        </w:rPr>
        <w:t>e</w:t>
      </w:r>
      <w:r w:rsidRPr="00CE0885">
        <w:rPr>
          <w:spacing w:val="-6"/>
          <w:lang w:eastAsia="en-GB"/>
        </w:rPr>
        <w:t xml:space="preserve"> </w:t>
      </w:r>
      <w:r w:rsidRPr="00CE0885">
        <w:rPr>
          <w:spacing w:val="1"/>
          <w:lang w:eastAsia="en-GB"/>
        </w:rPr>
        <w:t>fa</w:t>
      </w:r>
      <w:r w:rsidRPr="00CE0885">
        <w:rPr>
          <w:lang w:eastAsia="en-GB"/>
        </w:rPr>
        <w:t>lls.</w:t>
      </w:r>
      <w:bookmarkEnd w:id="663"/>
    </w:p>
    <w:p w14:paraId="78059AFC" w14:textId="77777777" w:rsidR="00977693" w:rsidRPr="00CE0885" w:rsidRDefault="00977693" w:rsidP="006B781A">
      <w:pPr>
        <w:pStyle w:val="Heading3"/>
        <w:rPr>
          <w:lang w:eastAsia="en-GB"/>
        </w:rPr>
      </w:pPr>
      <w:bookmarkStart w:id="664" w:name="_Toc440981807"/>
      <w:r w:rsidRPr="00CE0885">
        <w:rPr>
          <w:lang w:eastAsia="en-GB"/>
        </w:rPr>
        <w:t>F</w:t>
      </w:r>
      <w:r w:rsidRPr="00CE0885">
        <w:rPr>
          <w:spacing w:val="1"/>
          <w:lang w:eastAsia="en-GB"/>
        </w:rPr>
        <w:t>o</w:t>
      </w:r>
      <w:r w:rsidRPr="00CE0885">
        <w:rPr>
          <w:lang w:eastAsia="en-GB"/>
        </w:rPr>
        <w:t>r</w:t>
      </w:r>
      <w:r w:rsidRPr="00CE0885">
        <w:rPr>
          <w:spacing w:val="-4"/>
          <w:lang w:eastAsia="en-GB"/>
        </w:rPr>
        <w:t xml:space="preserve"> </w:t>
      </w:r>
      <w:r w:rsidRPr="00CE0885">
        <w:rPr>
          <w:spacing w:val="1"/>
          <w:lang w:eastAsia="en-GB"/>
        </w:rPr>
        <w:t>P</w:t>
      </w:r>
      <w:r w:rsidRPr="00CE0885">
        <w:rPr>
          <w:spacing w:val="-1"/>
          <w:lang w:eastAsia="en-GB"/>
        </w:rPr>
        <w:t>M</w:t>
      </w:r>
      <w:r w:rsidRPr="00CE0885">
        <w:rPr>
          <w:spacing w:val="1"/>
          <w:lang w:eastAsia="en-GB"/>
        </w:rPr>
        <w:t>S/APMS contracts</w:t>
      </w:r>
      <w:r w:rsidRPr="00CE0885">
        <w:rPr>
          <w:lang w:eastAsia="en-GB"/>
        </w:rPr>
        <w:t>,</w:t>
      </w:r>
      <w:r w:rsidRPr="00CE0885">
        <w:rPr>
          <w:spacing w:val="-5"/>
          <w:lang w:eastAsia="en-GB"/>
        </w:rPr>
        <w:t xml:space="preserve"> </w:t>
      </w:r>
      <w:r w:rsidRPr="00CE0885">
        <w:rPr>
          <w:spacing w:val="-2"/>
          <w:lang w:eastAsia="en-GB"/>
        </w:rPr>
        <w:t>t</w:t>
      </w:r>
      <w:r w:rsidRPr="00CE0885">
        <w:rPr>
          <w:spacing w:val="1"/>
          <w:lang w:eastAsia="en-GB"/>
        </w:rPr>
        <w:t>he</w:t>
      </w:r>
      <w:r w:rsidRPr="00CE0885">
        <w:rPr>
          <w:spacing w:val="-1"/>
          <w:lang w:eastAsia="en-GB"/>
        </w:rPr>
        <w:t>r</w:t>
      </w:r>
      <w:r w:rsidRPr="00CE0885">
        <w:rPr>
          <w:lang w:eastAsia="en-GB"/>
        </w:rPr>
        <w:t>e</w:t>
      </w:r>
      <w:r w:rsidRPr="00CE0885">
        <w:rPr>
          <w:spacing w:val="-3"/>
          <w:lang w:eastAsia="en-GB"/>
        </w:rPr>
        <w:t xml:space="preserve"> </w:t>
      </w:r>
      <w:r w:rsidRPr="00CE0885">
        <w:rPr>
          <w:lang w:eastAsia="en-GB"/>
        </w:rPr>
        <w:t>is</w:t>
      </w:r>
      <w:r w:rsidRPr="00CE0885">
        <w:rPr>
          <w:spacing w:val="-4"/>
          <w:lang w:eastAsia="en-GB"/>
        </w:rPr>
        <w:t xml:space="preserve"> </w:t>
      </w:r>
      <w:r w:rsidRPr="00CE0885">
        <w:rPr>
          <w:spacing w:val="1"/>
          <w:lang w:eastAsia="en-GB"/>
        </w:rPr>
        <w:t>n</w:t>
      </w:r>
      <w:r w:rsidRPr="00CE0885">
        <w:rPr>
          <w:lang w:eastAsia="en-GB"/>
        </w:rPr>
        <w:t>o</w:t>
      </w:r>
      <w:r w:rsidRPr="00CE0885">
        <w:rPr>
          <w:spacing w:val="-1"/>
          <w:lang w:eastAsia="en-GB"/>
        </w:rPr>
        <w:t xml:space="preserve"> </w:t>
      </w:r>
      <w:r w:rsidRPr="00CE0885">
        <w:rPr>
          <w:spacing w:val="-2"/>
          <w:lang w:eastAsia="en-GB"/>
        </w:rPr>
        <w:t>s</w:t>
      </w:r>
      <w:r w:rsidRPr="00CE0885">
        <w:rPr>
          <w:spacing w:val="1"/>
          <w:lang w:eastAsia="en-GB"/>
        </w:rPr>
        <w:t>u</w:t>
      </w:r>
      <w:r w:rsidRPr="00CE0885">
        <w:rPr>
          <w:lang w:eastAsia="en-GB"/>
        </w:rPr>
        <w:t>ch</w:t>
      </w:r>
      <w:r w:rsidRPr="00CE0885">
        <w:rPr>
          <w:spacing w:val="-3"/>
          <w:lang w:eastAsia="en-GB"/>
        </w:rPr>
        <w:t xml:space="preserve"> </w:t>
      </w:r>
      <w:r w:rsidRPr="00CE0885">
        <w:rPr>
          <w:spacing w:val="-1"/>
          <w:lang w:eastAsia="en-GB"/>
        </w:rPr>
        <w:t>r</w:t>
      </w:r>
      <w:r w:rsidRPr="00CE0885">
        <w:rPr>
          <w:spacing w:val="1"/>
          <w:lang w:eastAsia="en-GB"/>
        </w:rPr>
        <w:t>e</w:t>
      </w:r>
      <w:r w:rsidRPr="00CE0885">
        <w:rPr>
          <w:spacing w:val="-1"/>
          <w:lang w:eastAsia="en-GB"/>
        </w:rPr>
        <w:t>q</w:t>
      </w:r>
      <w:r w:rsidRPr="00CE0885">
        <w:rPr>
          <w:spacing w:val="1"/>
          <w:lang w:eastAsia="en-GB"/>
        </w:rPr>
        <w:t>u</w:t>
      </w:r>
      <w:r w:rsidRPr="00CE0885">
        <w:rPr>
          <w:lang w:eastAsia="en-GB"/>
        </w:rPr>
        <w:t>i</w:t>
      </w:r>
      <w:r w:rsidRPr="00CE0885">
        <w:rPr>
          <w:spacing w:val="-1"/>
          <w:lang w:eastAsia="en-GB"/>
        </w:rPr>
        <w:t>r</w:t>
      </w:r>
      <w:r w:rsidRPr="00CE0885">
        <w:rPr>
          <w:spacing w:val="1"/>
          <w:lang w:eastAsia="en-GB"/>
        </w:rPr>
        <w:t>e</w:t>
      </w:r>
      <w:r w:rsidRPr="00CE0885">
        <w:rPr>
          <w:spacing w:val="-1"/>
          <w:lang w:eastAsia="en-GB"/>
        </w:rPr>
        <w:t>m</w:t>
      </w:r>
      <w:r w:rsidRPr="00CE0885">
        <w:rPr>
          <w:spacing w:val="1"/>
          <w:lang w:eastAsia="en-GB"/>
        </w:rPr>
        <w:t>en</w:t>
      </w:r>
      <w:r w:rsidRPr="00CE0885">
        <w:rPr>
          <w:spacing w:val="-2"/>
          <w:lang w:eastAsia="en-GB"/>
        </w:rPr>
        <w:t>t</w:t>
      </w:r>
      <w:r w:rsidRPr="00CE0885">
        <w:rPr>
          <w:lang w:eastAsia="en-GB"/>
        </w:rPr>
        <w:t>.</w:t>
      </w:r>
      <w:r w:rsidRPr="00CE0885">
        <w:rPr>
          <w:spacing w:val="-12"/>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2"/>
          <w:lang w:eastAsia="en-GB"/>
        </w:rPr>
        <w:t>Commissioner</w:t>
      </w:r>
      <w:r w:rsidRPr="00CE0885">
        <w:rPr>
          <w:spacing w:val="-3"/>
          <w:lang w:eastAsia="en-GB"/>
        </w:rPr>
        <w:t xml:space="preserve"> </w:t>
      </w:r>
      <w:r w:rsidRPr="00CE0885">
        <w:rPr>
          <w:spacing w:val="-1"/>
          <w:lang w:eastAsia="en-GB"/>
        </w:rPr>
        <w:t>m</w:t>
      </w:r>
      <w:r w:rsidRPr="00CE0885">
        <w:rPr>
          <w:spacing w:val="1"/>
          <w:lang w:eastAsia="en-GB"/>
        </w:rPr>
        <w:t>u</w:t>
      </w:r>
      <w:r w:rsidRPr="00CE0885">
        <w:rPr>
          <w:lang w:eastAsia="en-GB"/>
        </w:rPr>
        <w:t>st c</w:t>
      </w:r>
      <w:r w:rsidRPr="00CE0885">
        <w:rPr>
          <w:spacing w:val="1"/>
          <w:lang w:eastAsia="en-GB"/>
        </w:rPr>
        <w:t>a</w:t>
      </w:r>
      <w:r w:rsidRPr="00CE0885">
        <w:rPr>
          <w:lang w:eastAsia="en-GB"/>
        </w:rPr>
        <w:t>lc</w:t>
      </w:r>
      <w:r w:rsidRPr="00CE0885">
        <w:rPr>
          <w:spacing w:val="1"/>
          <w:lang w:eastAsia="en-GB"/>
        </w:rPr>
        <w:t>u</w:t>
      </w:r>
      <w:r w:rsidRPr="00CE0885">
        <w:rPr>
          <w:lang w:eastAsia="en-GB"/>
        </w:rPr>
        <w:t>l</w:t>
      </w:r>
      <w:r w:rsidRPr="00CE0885">
        <w:rPr>
          <w:spacing w:val="1"/>
          <w:lang w:eastAsia="en-GB"/>
        </w:rPr>
        <w:t>at</w:t>
      </w:r>
      <w:r w:rsidRPr="00CE0885">
        <w:rPr>
          <w:lang w:eastAsia="en-GB"/>
        </w:rPr>
        <w:t>e</w:t>
      </w:r>
      <w:r w:rsidRPr="00CE0885">
        <w:rPr>
          <w:spacing w:val="-10"/>
          <w:lang w:eastAsia="en-GB"/>
        </w:rPr>
        <w:t xml:space="preserve"> </w:t>
      </w:r>
      <w:r w:rsidRPr="00CE0885">
        <w:rPr>
          <w:spacing w:val="1"/>
          <w:lang w:eastAsia="en-GB"/>
        </w:rPr>
        <w:t>th</w:t>
      </w:r>
      <w:r w:rsidRPr="00CE0885">
        <w:rPr>
          <w:lang w:eastAsia="en-GB"/>
        </w:rPr>
        <w:t>e</w:t>
      </w:r>
      <w:r w:rsidRPr="00CE0885">
        <w:rPr>
          <w:spacing w:val="-4"/>
          <w:lang w:eastAsia="en-GB"/>
        </w:rPr>
        <w:t xml:space="preserve"> </w:t>
      </w:r>
      <w:r w:rsidRPr="00CE0885">
        <w:rPr>
          <w:spacing w:val="1"/>
          <w:lang w:eastAsia="en-GB"/>
        </w:rPr>
        <w:t>d</w:t>
      </w:r>
      <w:r w:rsidRPr="00CE0885">
        <w:rPr>
          <w:spacing w:val="-1"/>
          <w:lang w:eastAsia="en-GB"/>
        </w:rPr>
        <w:t>a</w:t>
      </w:r>
      <w:r w:rsidRPr="00CE0885">
        <w:rPr>
          <w:spacing w:val="1"/>
          <w:lang w:eastAsia="en-GB"/>
        </w:rPr>
        <w:t>t</w:t>
      </w:r>
      <w:r w:rsidRPr="00CE0885">
        <w:rPr>
          <w:lang w:eastAsia="en-GB"/>
        </w:rPr>
        <w:t>e</w:t>
      </w:r>
      <w:r w:rsidRPr="00CE0885">
        <w:rPr>
          <w:spacing w:val="-6"/>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2"/>
          <w:lang w:eastAsia="en-GB"/>
        </w:rPr>
        <w:t>t</w:t>
      </w:r>
      <w:r w:rsidRPr="00CE0885">
        <w:rPr>
          <w:spacing w:val="-1"/>
          <w:lang w:eastAsia="en-GB"/>
        </w:rPr>
        <w:t>er</w:t>
      </w:r>
      <w:r w:rsidRPr="00CE0885">
        <w:rPr>
          <w:lang w:eastAsia="en-GB"/>
        </w:rPr>
        <w:t>mi</w:t>
      </w:r>
      <w:r w:rsidRPr="00CE0885">
        <w:rPr>
          <w:spacing w:val="1"/>
          <w:lang w:eastAsia="en-GB"/>
        </w:rPr>
        <w:t>nat</w:t>
      </w:r>
      <w:r w:rsidRPr="00CE0885">
        <w:rPr>
          <w:lang w:eastAsia="en-GB"/>
        </w:rPr>
        <w:t>i</w:t>
      </w:r>
      <w:r w:rsidRPr="00CE0885">
        <w:rPr>
          <w:spacing w:val="-1"/>
          <w:lang w:eastAsia="en-GB"/>
        </w:rPr>
        <w:t>o</w:t>
      </w:r>
      <w:r w:rsidRPr="00CE0885">
        <w:rPr>
          <w:spacing w:val="1"/>
          <w:lang w:eastAsia="en-GB"/>
        </w:rPr>
        <w:t>n</w:t>
      </w:r>
      <w:r w:rsidRPr="00CE0885">
        <w:rPr>
          <w:lang w:eastAsia="en-GB"/>
        </w:rPr>
        <w:t>,</w:t>
      </w:r>
      <w:r w:rsidRPr="00CE0885">
        <w:rPr>
          <w:spacing w:val="-12"/>
          <w:lang w:eastAsia="en-GB"/>
        </w:rPr>
        <w:t xml:space="preserve"> </w:t>
      </w:r>
      <w:r w:rsidRPr="00CE0885">
        <w:rPr>
          <w:spacing w:val="-1"/>
          <w:lang w:eastAsia="en-GB"/>
        </w:rPr>
        <w:t>b</w:t>
      </w:r>
      <w:r w:rsidRPr="00CE0885">
        <w:rPr>
          <w:spacing w:val="1"/>
          <w:lang w:eastAsia="en-GB"/>
        </w:rPr>
        <w:t>a</w:t>
      </w:r>
      <w:r w:rsidRPr="00CE0885">
        <w:rPr>
          <w:lang w:eastAsia="en-GB"/>
        </w:rPr>
        <w:t>s</w:t>
      </w:r>
      <w:r w:rsidRPr="00CE0885">
        <w:rPr>
          <w:spacing w:val="-1"/>
          <w:lang w:eastAsia="en-GB"/>
        </w:rPr>
        <w:t>e</w:t>
      </w:r>
      <w:r w:rsidRPr="00CE0885">
        <w:rPr>
          <w:lang w:eastAsia="en-GB"/>
        </w:rPr>
        <w:t>d</w:t>
      </w:r>
      <w:r w:rsidRPr="00CE0885">
        <w:rPr>
          <w:spacing w:val="-5"/>
          <w:lang w:eastAsia="en-GB"/>
        </w:rPr>
        <w:t xml:space="preserve"> </w:t>
      </w:r>
      <w:r w:rsidRPr="00CE0885">
        <w:rPr>
          <w:spacing w:val="-1"/>
          <w:lang w:eastAsia="en-GB"/>
        </w:rPr>
        <w:t>o</w:t>
      </w:r>
      <w:r w:rsidRPr="00CE0885">
        <w:rPr>
          <w:lang w:eastAsia="en-GB"/>
        </w:rPr>
        <w:t>n</w:t>
      </w:r>
      <w:r w:rsidRPr="00CE0885">
        <w:rPr>
          <w:spacing w:val="-1"/>
          <w:lang w:eastAsia="en-GB"/>
        </w:rPr>
        <w:t xml:space="preserve">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1"/>
          <w:lang w:eastAsia="en-GB"/>
        </w:rPr>
        <w:t>te</w:t>
      </w:r>
      <w:r w:rsidRPr="00CE0885">
        <w:rPr>
          <w:spacing w:val="-3"/>
          <w:lang w:eastAsia="en-GB"/>
        </w:rPr>
        <w:t>r</w:t>
      </w:r>
      <w:r w:rsidRPr="00CE0885">
        <w:rPr>
          <w:lang w:eastAsia="en-GB"/>
        </w:rPr>
        <w:t>ms</w:t>
      </w:r>
      <w:r w:rsidRPr="00CE0885">
        <w:rPr>
          <w:spacing w:val="-6"/>
          <w:lang w:eastAsia="en-GB"/>
        </w:rPr>
        <w:t xml:space="preserve"> </w:t>
      </w:r>
      <w:r w:rsidRPr="00CE0885">
        <w:rPr>
          <w:lang w:eastAsia="en-GB"/>
        </w:rPr>
        <w:t xml:space="preserve">in </w:t>
      </w:r>
      <w:r w:rsidRPr="00CE0885">
        <w:rPr>
          <w:spacing w:val="-2"/>
          <w:lang w:eastAsia="en-GB"/>
        </w:rPr>
        <w:t>t</w:t>
      </w:r>
      <w:r w:rsidRPr="00CE0885">
        <w:rPr>
          <w:spacing w:val="1"/>
          <w:lang w:eastAsia="en-GB"/>
        </w:rPr>
        <w:t>h</w:t>
      </w:r>
      <w:r w:rsidRPr="00CE0885">
        <w:rPr>
          <w:lang w:eastAsia="en-GB"/>
        </w:rPr>
        <w:t>e i</w:t>
      </w:r>
      <w:r w:rsidRPr="00CE0885">
        <w:rPr>
          <w:spacing w:val="1"/>
          <w:lang w:eastAsia="en-GB"/>
        </w:rPr>
        <w:t>nd</w:t>
      </w:r>
      <w:r w:rsidRPr="00CE0885">
        <w:rPr>
          <w:lang w:eastAsia="en-GB"/>
        </w:rPr>
        <w:t>i</w:t>
      </w:r>
      <w:r w:rsidRPr="00CE0885">
        <w:rPr>
          <w:spacing w:val="-2"/>
          <w:lang w:eastAsia="en-GB"/>
        </w:rPr>
        <w:t>v</w:t>
      </w:r>
      <w:r w:rsidRPr="00CE0885">
        <w:rPr>
          <w:lang w:eastAsia="en-GB"/>
        </w:rPr>
        <w:t>i</w:t>
      </w:r>
      <w:r w:rsidRPr="00CE0885">
        <w:rPr>
          <w:spacing w:val="1"/>
          <w:lang w:eastAsia="en-GB"/>
        </w:rPr>
        <w:t>dua</w:t>
      </w:r>
      <w:r w:rsidRPr="00CE0885">
        <w:rPr>
          <w:lang w:eastAsia="en-GB"/>
        </w:rPr>
        <w:t>l</w:t>
      </w:r>
      <w:r w:rsidRPr="00CE0885">
        <w:rPr>
          <w:spacing w:val="-10"/>
          <w:lang w:eastAsia="en-GB"/>
        </w:rPr>
        <w:t xml:space="preserve"> </w:t>
      </w:r>
      <w:r w:rsidRPr="00CE0885">
        <w:rPr>
          <w:spacing w:val="1"/>
          <w:lang w:eastAsia="en-GB"/>
        </w:rPr>
        <w:t>contract</w:t>
      </w:r>
      <w:r w:rsidRPr="00CE0885">
        <w:rPr>
          <w:spacing w:val="-10"/>
          <w:lang w:eastAsia="en-GB"/>
        </w:rPr>
        <w:t xml:space="preserve"> </w:t>
      </w:r>
      <w:r w:rsidRPr="00CE0885">
        <w:rPr>
          <w:spacing w:val="-1"/>
          <w:lang w:eastAsia="en-GB"/>
        </w:rPr>
        <w:t>a</w:t>
      </w:r>
      <w:r w:rsidRPr="00CE0885">
        <w:rPr>
          <w:spacing w:val="1"/>
          <w:lang w:eastAsia="en-GB"/>
        </w:rPr>
        <w:t>n</w:t>
      </w:r>
      <w:r w:rsidRPr="00CE0885">
        <w:rPr>
          <w:lang w:eastAsia="en-GB"/>
        </w:rPr>
        <w:t>d</w:t>
      </w:r>
      <w:r w:rsidRPr="00CE0885">
        <w:rPr>
          <w:spacing w:val="-5"/>
          <w:lang w:eastAsia="en-GB"/>
        </w:rPr>
        <w:t xml:space="preserve"> </w:t>
      </w:r>
      <w:r w:rsidRPr="00CE0885">
        <w:rPr>
          <w:spacing w:val="3"/>
          <w:lang w:eastAsia="en-GB"/>
        </w:rPr>
        <w:t>f</w:t>
      </w:r>
      <w:r w:rsidRPr="00CE0885">
        <w:rPr>
          <w:spacing w:val="-3"/>
          <w:lang w:eastAsia="en-GB"/>
        </w:rPr>
        <w:t>r</w:t>
      </w:r>
      <w:r w:rsidRPr="00CE0885">
        <w:rPr>
          <w:spacing w:val="1"/>
          <w:lang w:eastAsia="en-GB"/>
        </w:rPr>
        <w:t>o</w:t>
      </w:r>
      <w:r w:rsidRPr="00CE0885">
        <w:rPr>
          <w:lang w:eastAsia="en-GB"/>
        </w:rPr>
        <w:t>m</w:t>
      </w:r>
      <w:r w:rsidRPr="00CE0885">
        <w:rPr>
          <w:spacing w:val="-5"/>
          <w:lang w:eastAsia="en-GB"/>
        </w:rPr>
        <w:t xml:space="preserve"> </w:t>
      </w:r>
      <w:r w:rsidRPr="00CE0885">
        <w:rPr>
          <w:spacing w:val="1"/>
          <w:lang w:eastAsia="en-GB"/>
        </w:rPr>
        <w:t>th</w:t>
      </w:r>
      <w:r w:rsidRPr="00CE0885">
        <w:rPr>
          <w:lang w:eastAsia="en-GB"/>
        </w:rPr>
        <w:t>e</w:t>
      </w:r>
      <w:r w:rsidRPr="00CE0885">
        <w:rPr>
          <w:spacing w:val="-6"/>
          <w:lang w:eastAsia="en-GB"/>
        </w:rPr>
        <w:t xml:space="preserve"> </w:t>
      </w:r>
      <w:r w:rsidRPr="00CE0885">
        <w:rPr>
          <w:spacing w:val="1"/>
          <w:lang w:eastAsia="en-GB"/>
        </w:rPr>
        <w:t>dat</w:t>
      </w:r>
      <w:r w:rsidRPr="00CE0885">
        <w:rPr>
          <w:lang w:eastAsia="en-GB"/>
        </w:rPr>
        <w:t>e</w:t>
      </w:r>
      <w:r w:rsidRPr="00CE0885">
        <w:rPr>
          <w:spacing w:val="-6"/>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1"/>
          <w:lang w:eastAsia="en-GB"/>
        </w:rPr>
        <w:t>th</w:t>
      </w:r>
      <w:r w:rsidRPr="00CE0885">
        <w:rPr>
          <w:lang w:eastAsia="en-GB"/>
        </w:rPr>
        <w:t>e</w:t>
      </w:r>
      <w:r w:rsidRPr="00CE0885">
        <w:rPr>
          <w:spacing w:val="-4"/>
          <w:lang w:eastAsia="en-GB"/>
        </w:rPr>
        <w:t xml:space="preserve"> </w:t>
      </w:r>
      <w:r w:rsidRPr="00CE0885">
        <w:rPr>
          <w:spacing w:val="1"/>
          <w:lang w:eastAsia="en-GB"/>
        </w:rPr>
        <w:t>n</w:t>
      </w:r>
      <w:r w:rsidRPr="00CE0885">
        <w:rPr>
          <w:spacing w:val="-1"/>
          <w:lang w:eastAsia="en-GB"/>
        </w:rPr>
        <w:t>o</w:t>
      </w:r>
      <w:r w:rsidRPr="00CE0885">
        <w:rPr>
          <w:spacing w:val="1"/>
          <w:lang w:eastAsia="en-GB"/>
        </w:rPr>
        <w:t>t</w:t>
      </w:r>
      <w:r w:rsidRPr="00CE0885">
        <w:rPr>
          <w:lang w:eastAsia="en-GB"/>
        </w:rPr>
        <w:t>ic</w:t>
      </w:r>
      <w:r w:rsidRPr="00CE0885">
        <w:rPr>
          <w:spacing w:val="1"/>
          <w:lang w:eastAsia="en-GB"/>
        </w:rPr>
        <w:t>e</w:t>
      </w:r>
      <w:r w:rsidRPr="00CE0885">
        <w:rPr>
          <w:lang w:eastAsia="en-GB"/>
        </w:rPr>
        <w:t>.</w:t>
      </w:r>
      <w:bookmarkEnd w:id="664"/>
    </w:p>
    <w:p w14:paraId="0A17B381" w14:textId="77777777" w:rsidR="00977693" w:rsidRPr="00CE0885" w:rsidRDefault="00977693" w:rsidP="006B781A">
      <w:pPr>
        <w:pStyle w:val="Heading3"/>
        <w:rPr>
          <w:lang w:eastAsia="en-GB"/>
        </w:rPr>
      </w:pPr>
      <w:bookmarkStart w:id="665" w:name="_Toc440981808"/>
      <w:r w:rsidRPr="00CE0885">
        <w:rPr>
          <w:spacing w:val="1"/>
          <w:lang w:eastAsia="en-GB"/>
        </w:rPr>
        <w:t>I</w:t>
      </w:r>
      <w:r w:rsidRPr="00CE0885">
        <w:rPr>
          <w:lang w:eastAsia="en-GB"/>
        </w:rPr>
        <w:t xml:space="preserve">n </w:t>
      </w:r>
      <w:r w:rsidRPr="00CE0885">
        <w:rPr>
          <w:spacing w:val="1"/>
          <w:lang w:eastAsia="en-GB"/>
        </w:rPr>
        <w:t>e</w:t>
      </w:r>
      <w:r w:rsidRPr="00CE0885">
        <w:rPr>
          <w:spacing w:val="-2"/>
          <w:lang w:eastAsia="en-GB"/>
        </w:rPr>
        <w:t>x</w:t>
      </w:r>
      <w:r w:rsidRPr="00CE0885">
        <w:rPr>
          <w:lang w:eastAsia="en-GB"/>
        </w:rPr>
        <w:t>c</w:t>
      </w:r>
      <w:r w:rsidRPr="00CE0885">
        <w:rPr>
          <w:spacing w:val="1"/>
          <w:lang w:eastAsia="en-GB"/>
        </w:rPr>
        <w:t>ept</w:t>
      </w:r>
      <w:r w:rsidRPr="00CE0885">
        <w:rPr>
          <w:lang w:eastAsia="en-GB"/>
        </w:rPr>
        <w:t>i</w:t>
      </w:r>
      <w:r w:rsidRPr="00CE0885">
        <w:rPr>
          <w:spacing w:val="-1"/>
          <w:lang w:eastAsia="en-GB"/>
        </w:rPr>
        <w:t>o</w:t>
      </w:r>
      <w:r w:rsidRPr="00CE0885">
        <w:rPr>
          <w:spacing w:val="1"/>
          <w:lang w:eastAsia="en-GB"/>
        </w:rPr>
        <w:t>na</w:t>
      </w:r>
      <w:r w:rsidRPr="00CE0885">
        <w:rPr>
          <w:lang w:eastAsia="en-GB"/>
        </w:rPr>
        <w:t>l</w:t>
      </w:r>
      <w:r w:rsidRPr="00CE0885">
        <w:rPr>
          <w:spacing w:val="-12"/>
          <w:lang w:eastAsia="en-GB"/>
        </w:rPr>
        <w:t xml:space="preserve"> </w:t>
      </w:r>
      <w:r w:rsidRPr="00CE0885">
        <w:rPr>
          <w:lang w:eastAsia="en-GB"/>
        </w:rPr>
        <w:t>ci</w:t>
      </w:r>
      <w:r w:rsidRPr="00CE0885">
        <w:rPr>
          <w:spacing w:val="-1"/>
          <w:lang w:eastAsia="en-GB"/>
        </w:rPr>
        <w:t>r</w:t>
      </w:r>
      <w:r w:rsidRPr="00CE0885">
        <w:rPr>
          <w:lang w:eastAsia="en-GB"/>
        </w:rPr>
        <w:t>c</w:t>
      </w:r>
      <w:r w:rsidRPr="00CE0885">
        <w:rPr>
          <w:spacing w:val="-1"/>
          <w:lang w:eastAsia="en-GB"/>
        </w:rPr>
        <w:t>u</w:t>
      </w:r>
      <w:r w:rsidRPr="00CE0885">
        <w:rPr>
          <w:lang w:eastAsia="en-GB"/>
        </w:rPr>
        <w:t>ms</w:t>
      </w:r>
      <w:r w:rsidRPr="00CE0885">
        <w:rPr>
          <w:spacing w:val="-2"/>
          <w:lang w:eastAsia="en-GB"/>
        </w:rPr>
        <w:t>t</w:t>
      </w:r>
      <w:r w:rsidRPr="00CE0885">
        <w:rPr>
          <w:spacing w:val="1"/>
          <w:lang w:eastAsia="en-GB"/>
        </w:rPr>
        <w:t>an</w:t>
      </w:r>
      <w:r w:rsidRPr="00CE0885">
        <w:rPr>
          <w:lang w:eastAsia="en-GB"/>
        </w:rPr>
        <w:t>c</w:t>
      </w:r>
      <w:r w:rsidRPr="00CE0885">
        <w:rPr>
          <w:spacing w:val="1"/>
          <w:lang w:eastAsia="en-GB"/>
        </w:rPr>
        <w:t>e</w:t>
      </w:r>
      <w:r w:rsidRPr="00CE0885">
        <w:rPr>
          <w:lang w:eastAsia="en-GB"/>
        </w:rPr>
        <w:t>s,</w:t>
      </w:r>
      <w:r w:rsidRPr="00CE0885">
        <w:rPr>
          <w:spacing w:val="-17"/>
          <w:lang w:eastAsia="en-GB"/>
        </w:rPr>
        <w:t xml:space="preserve"> </w:t>
      </w:r>
      <w:r w:rsidRPr="00CE0885">
        <w:rPr>
          <w:lang w:eastAsia="en-GB"/>
        </w:rPr>
        <w:t>s</w:t>
      </w:r>
      <w:r w:rsidRPr="00CE0885">
        <w:rPr>
          <w:spacing w:val="1"/>
          <w:lang w:eastAsia="en-GB"/>
        </w:rPr>
        <w:t>u</w:t>
      </w:r>
      <w:r w:rsidRPr="00CE0885">
        <w:rPr>
          <w:lang w:eastAsia="en-GB"/>
        </w:rPr>
        <w:t>ch</w:t>
      </w:r>
      <w:r w:rsidRPr="00CE0885">
        <w:rPr>
          <w:spacing w:val="-6"/>
          <w:lang w:eastAsia="en-GB"/>
        </w:rPr>
        <w:t xml:space="preserve"> </w:t>
      </w:r>
      <w:r w:rsidRPr="00CE0885">
        <w:rPr>
          <w:spacing w:val="1"/>
          <w:lang w:eastAsia="en-GB"/>
        </w:rPr>
        <w:t>a</w:t>
      </w:r>
      <w:r w:rsidRPr="00CE0885">
        <w:rPr>
          <w:lang w:eastAsia="en-GB"/>
        </w:rPr>
        <w:t>s</w:t>
      </w:r>
      <w:r w:rsidRPr="00CE0885">
        <w:rPr>
          <w:spacing w:val="-3"/>
          <w:lang w:eastAsia="en-GB"/>
        </w:rPr>
        <w:t xml:space="preserve"> </w:t>
      </w:r>
      <w:r w:rsidRPr="00CE0885">
        <w:rPr>
          <w:lang w:eastAsia="en-GB"/>
        </w:rPr>
        <w:t>ill</w:t>
      </w:r>
      <w:r w:rsidRPr="00CE0885">
        <w:rPr>
          <w:spacing w:val="-2"/>
          <w:lang w:eastAsia="en-GB"/>
        </w:rPr>
        <w:t xml:space="preserve"> </w:t>
      </w:r>
      <w:r w:rsidRPr="00CE0885">
        <w:rPr>
          <w:spacing w:val="1"/>
          <w:lang w:eastAsia="en-GB"/>
        </w:rPr>
        <w:t>h</w:t>
      </w:r>
      <w:r w:rsidRPr="00CE0885">
        <w:rPr>
          <w:spacing w:val="-1"/>
          <w:lang w:eastAsia="en-GB"/>
        </w:rPr>
        <w:t>e</w:t>
      </w:r>
      <w:r w:rsidRPr="00CE0885">
        <w:rPr>
          <w:spacing w:val="1"/>
          <w:lang w:eastAsia="en-GB"/>
        </w:rPr>
        <w:t>a</w:t>
      </w:r>
      <w:r w:rsidRPr="00CE0885">
        <w:rPr>
          <w:lang w:eastAsia="en-GB"/>
        </w:rPr>
        <w:t>l</w:t>
      </w:r>
      <w:r w:rsidRPr="00CE0885">
        <w:rPr>
          <w:spacing w:val="-2"/>
          <w:lang w:eastAsia="en-GB"/>
        </w:rPr>
        <w:t>t</w:t>
      </w:r>
      <w:r w:rsidRPr="00CE0885">
        <w:rPr>
          <w:spacing w:val="1"/>
          <w:lang w:eastAsia="en-GB"/>
        </w:rPr>
        <w:t>h</w:t>
      </w:r>
      <w:r w:rsidRPr="00CE0885">
        <w:rPr>
          <w:lang w:eastAsia="en-GB"/>
        </w:rPr>
        <w:t>,</w:t>
      </w:r>
      <w:r w:rsidRPr="00CE0885">
        <w:rPr>
          <w:spacing w:val="-6"/>
          <w:lang w:eastAsia="en-GB"/>
        </w:rPr>
        <w:t xml:space="preserve"> </w:t>
      </w:r>
      <w:r w:rsidRPr="00CE0885">
        <w:rPr>
          <w:lang w:eastAsia="en-GB"/>
        </w:rPr>
        <w:t>the Commissioner</w:t>
      </w:r>
      <w:r w:rsidRPr="00CE0885">
        <w:rPr>
          <w:spacing w:val="-10"/>
          <w:lang w:eastAsia="en-GB"/>
        </w:rPr>
        <w:t xml:space="preserve"> </w:t>
      </w:r>
      <w:r w:rsidRPr="00CE0885">
        <w:rPr>
          <w:lang w:eastAsia="en-GB"/>
        </w:rPr>
        <w:t>m</w:t>
      </w:r>
      <w:r w:rsidRPr="00CE0885">
        <w:rPr>
          <w:spacing w:val="1"/>
          <w:lang w:eastAsia="en-GB"/>
        </w:rPr>
        <w:t>a</w:t>
      </w:r>
      <w:r w:rsidRPr="00CE0885">
        <w:rPr>
          <w:lang w:eastAsia="en-GB"/>
        </w:rPr>
        <w:t xml:space="preserve">y </w:t>
      </w:r>
      <w:r w:rsidRPr="00CE0885">
        <w:rPr>
          <w:spacing w:val="-3"/>
          <w:lang w:eastAsia="en-GB"/>
        </w:rPr>
        <w:t>w</w:t>
      </w:r>
      <w:r w:rsidRPr="00CE0885">
        <w:rPr>
          <w:lang w:eastAsia="en-GB"/>
        </w:rPr>
        <w:t>ish</w:t>
      </w:r>
      <w:r w:rsidRPr="00CE0885">
        <w:rPr>
          <w:spacing w:val="-3"/>
          <w:lang w:eastAsia="en-GB"/>
        </w:rPr>
        <w:t xml:space="preserve"> </w:t>
      </w:r>
      <w:r w:rsidRPr="00CE0885">
        <w:rPr>
          <w:spacing w:val="1"/>
          <w:lang w:eastAsia="en-GB"/>
        </w:rPr>
        <w:t>t</w:t>
      </w:r>
      <w:r w:rsidRPr="00CE0885">
        <w:rPr>
          <w:lang w:eastAsia="en-GB"/>
        </w:rPr>
        <w:t xml:space="preserve">o </w:t>
      </w:r>
      <w:r w:rsidRPr="00CE0885">
        <w:rPr>
          <w:spacing w:val="-3"/>
          <w:lang w:eastAsia="en-GB"/>
        </w:rPr>
        <w:t>w</w:t>
      </w:r>
      <w:r w:rsidRPr="00CE0885">
        <w:rPr>
          <w:spacing w:val="1"/>
          <w:lang w:eastAsia="en-GB"/>
        </w:rPr>
        <w:t>a</w:t>
      </w:r>
      <w:r w:rsidRPr="00CE0885">
        <w:rPr>
          <w:lang w:eastAsia="en-GB"/>
        </w:rPr>
        <w:t>i</w:t>
      </w:r>
      <w:r w:rsidRPr="00CE0885">
        <w:rPr>
          <w:spacing w:val="-2"/>
          <w:lang w:eastAsia="en-GB"/>
        </w:rPr>
        <w:t>v</w:t>
      </w:r>
      <w:r w:rsidRPr="00CE0885">
        <w:rPr>
          <w:lang w:eastAsia="en-GB"/>
        </w:rPr>
        <w:t>e</w:t>
      </w:r>
      <w:r w:rsidRPr="00CE0885">
        <w:rPr>
          <w:spacing w:val="-4"/>
          <w:lang w:eastAsia="en-GB"/>
        </w:rPr>
        <w:t xml:space="preserve"> </w:t>
      </w:r>
      <w:r w:rsidRPr="00CE0885">
        <w:rPr>
          <w:lang w:eastAsia="en-GB"/>
        </w:rPr>
        <w:t>i</w:t>
      </w:r>
      <w:r w:rsidRPr="00CE0885">
        <w:rPr>
          <w:spacing w:val="1"/>
          <w:lang w:eastAsia="en-GB"/>
        </w:rPr>
        <w:t>t</w:t>
      </w:r>
      <w:r w:rsidRPr="00CE0885">
        <w:rPr>
          <w:lang w:eastAsia="en-GB"/>
        </w:rPr>
        <w:t>s</w:t>
      </w:r>
      <w:r w:rsidRPr="00CE0885">
        <w:rPr>
          <w:spacing w:val="-2"/>
          <w:lang w:eastAsia="en-GB"/>
        </w:rPr>
        <w:t xml:space="preserve"> </w:t>
      </w:r>
      <w:r w:rsidRPr="00CE0885">
        <w:rPr>
          <w:spacing w:val="-1"/>
          <w:lang w:eastAsia="en-GB"/>
        </w:rPr>
        <w:t>r</w:t>
      </w:r>
      <w:r w:rsidRPr="00CE0885">
        <w:rPr>
          <w:lang w:eastAsia="en-GB"/>
        </w:rPr>
        <w:t>i</w:t>
      </w:r>
      <w:r w:rsidRPr="00CE0885">
        <w:rPr>
          <w:spacing w:val="-1"/>
          <w:lang w:eastAsia="en-GB"/>
        </w:rPr>
        <w:t>g</w:t>
      </w:r>
      <w:r w:rsidRPr="00CE0885">
        <w:rPr>
          <w:spacing w:val="1"/>
          <w:lang w:eastAsia="en-GB"/>
        </w:rPr>
        <w:t>h</w:t>
      </w:r>
      <w:r w:rsidRPr="00CE0885">
        <w:rPr>
          <w:lang w:eastAsia="en-GB"/>
        </w:rPr>
        <w:t>t</w:t>
      </w:r>
      <w:r w:rsidRPr="00CE0885">
        <w:rPr>
          <w:spacing w:val="-4"/>
          <w:lang w:eastAsia="en-GB"/>
        </w:rPr>
        <w:t xml:space="preserve"> </w:t>
      </w:r>
      <w:r w:rsidRPr="00CE0885">
        <w:rPr>
          <w:spacing w:val="1"/>
          <w:lang w:eastAsia="en-GB"/>
        </w:rPr>
        <w:t>t</w:t>
      </w:r>
      <w:r w:rsidRPr="00CE0885">
        <w:rPr>
          <w:lang w:eastAsia="en-GB"/>
        </w:rPr>
        <w:t xml:space="preserve">o </w:t>
      </w:r>
      <w:r w:rsidRPr="00CE0885">
        <w:rPr>
          <w:spacing w:val="1"/>
          <w:lang w:eastAsia="en-GB"/>
        </w:rPr>
        <w:t>t</w:t>
      </w:r>
      <w:r w:rsidRPr="00CE0885">
        <w:rPr>
          <w:spacing w:val="-1"/>
          <w:lang w:eastAsia="en-GB"/>
        </w:rPr>
        <w:t>h</w:t>
      </w:r>
      <w:r w:rsidRPr="00CE0885">
        <w:rPr>
          <w:lang w:eastAsia="en-GB"/>
        </w:rPr>
        <w:t>e</w:t>
      </w:r>
      <w:r w:rsidRPr="00CE0885">
        <w:rPr>
          <w:spacing w:val="-4"/>
          <w:lang w:eastAsia="en-GB"/>
        </w:rPr>
        <w:t xml:space="preserve"> </w:t>
      </w:r>
      <w:r w:rsidRPr="00CE0885">
        <w:rPr>
          <w:spacing w:val="3"/>
          <w:lang w:eastAsia="en-GB"/>
        </w:rPr>
        <w:t>f</w:t>
      </w:r>
      <w:r w:rsidRPr="00CE0885">
        <w:rPr>
          <w:spacing w:val="1"/>
          <w:lang w:eastAsia="en-GB"/>
        </w:rPr>
        <w:t>u</w:t>
      </w:r>
      <w:r w:rsidRPr="00CE0885">
        <w:rPr>
          <w:lang w:eastAsia="en-GB"/>
        </w:rPr>
        <w:t>ll</w:t>
      </w:r>
      <w:r w:rsidRPr="00CE0885">
        <w:rPr>
          <w:spacing w:val="-5"/>
          <w:lang w:eastAsia="en-GB"/>
        </w:rPr>
        <w:t xml:space="preserve"> </w:t>
      </w:r>
      <w:r w:rsidRPr="00CE0885">
        <w:rPr>
          <w:spacing w:val="1"/>
          <w:lang w:eastAsia="en-GB"/>
        </w:rPr>
        <w:t>not</w:t>
      </w:r>
      <w:r w:rsidRPr="00CE0885">
        <w:rPr>
          <w:lang w:eastAsia="en-GB"/>
        </w:rPr>
        <w:t>ice</w:t>
      </w:r>
      <w:r w:rsidRPr="00CE0885">
        <w:rPr>
          <w:spacing w:val="-7"/>
          <w:lang w:eastAsia="en-GB"/>
        </w:rPr>
        <w:t xml:space="preserve"> </w:t>
      </w:r>
      <w:r w:rsidRPr="00CE0885">
        <w:rPr>
          <w:spacing w:val="1"/>
          <w:lang w:eastAsia="en-GB"/>
        </w:rPr>
        <w:t>pe</w:t>
      </w:r>
      <w:r w:rsidRPr="00CE0885">
        <w:rPr>
          <w:spacing w:val="-1"/>
          <w:lang w:eastAsia="en-GB"/>
        </w:rPr>
        <w:t>r</w:t>
      </w:r>
      <w:r w:rsidRPr="00CE0885">
        <w:rPr>
          <w:lang w:eastAsia="en-GB"/>
        </w:rPr>
        <w:t>i</w:t>
      </w:r>
      <w:r w:rsidRPr="00CE0885">
        <w:rPr>
          <w:spacing w:val="-1"/>
          <w:lang w:eastAsia="en-GB"/>
        </w:rPr>
        <w:t>o</w:t>
      </w:r>
      <w:r w:rsidRPr="00CE0885">
        <w:rPr>
          <w:lang w:eastAsia="en-GB"/>
        </w:rPr>
        <w:t>d</w:t>
      </w:r>
      <w:r w:rsidRPr="00CE0885">
        <w:rPr>
          <w:spacing w:val="-8"/>
          <w:lang w:eastAsia="en-GB"/>
        </w:rPr>
        <w:t xml:space="preserve"> </w:t>
      </w:r>
      <w:r w:rsidRPr="00CE0885">
        <w:rPr>
          <w:spacing w:val="1"/>
          <w:lang w:eastAsia="en-GB"/>
        </w:rPr>
        <w:t>bu</w:t>
      </w:r>
      <w:r w:rsidRPr="00CE0885">
        <w:rPr>
          <w:lang w:eastAsia="en-GB"/>
        </w:rPr>
        <w:t>t</w:t>
      </w:r>
      <w:r w:rsidRPr="00CE0885">
        <w:rPr>
          <w:spacing w:val="-2"/>
          <w:lang w:eastAsia="en-GB"/>
        </w:rPr>
        <w:t xml:space="preserve"> </w:t>
      </w:r>
      <w:r w:rsidRPr="00CE0885">
        <w:rPr>
          <w:lang w:eastAsia="en-GB"/>
        </w:rPr>
        <w:t xml:space="preserve">it </w:t>
      </w:r>
      <w:r w:rsidRPr="00CE0885">
        <w:rPr>
          <w:spacing w:val="-1"/>
          <w:lang w:eastAsia="en-GB"/>
        </w:rPr>
        <w:t>rem</w:t>
      </w:r>
      <w:r w:rsidRPr="00CE0885">
        <w:rPr>
          <w:spacing w:val="1"/>
          <w:lang w:eastAsia="en-GB"/>
        </w:rPr>
        <w:t>a</w:t>
      </w:r>
      <w:r w:rsidRPr="00CE0885">
        <w:rPr>
          <w:lang w:eastAsia="en-GB"/>
        </w:rPr>
        <w:t>i</w:t>
      </w:r>
      <w:r w:rsidRPr="00CE0885">
        <w:rPr>
          <w:spacing w:val="1"/>
          <w:lang w:eastAsia="en-GB"/>
        </w:rPr>
        <w:t>n</w:t>
      </w:r>
      <w:r w:rsidRPr="00CE0885">
        <w:rPr>
          <w:lang w:eastAsia="en-GB"/>
        </w:rPr>
        <w:t>s</w:t>
      </w:r>
      <w:r w:rsidRPr="00CE0885">
        <w:rPr>
          <w:spacing w:val="-9"/>
          <w:lang w:eastAsia="en-GB"/>
        </w:rPr>
        <w:t xml:space="preserve"> </w:t>
      </w:r>
      <w:r w:rsidRPr="00CE0885">
        <w:rPr>
          <w:lang w:eastAsia="en-GB"/>
        </w:rPr>
        <w:t>i</w:t>
      </w:r>
      <w:r w:rsidRPr="00CE0885">
        <w:rPr>
          <w:spacing w:val="1"/>
          <w:lang w:eastAsia="en-GB"/>
        </w:rPr>
        <w:t>t</w:t>
      </w:r>
      <w:r w:rsidRPr="00CE0885">
        <w:rPr>
          <w:lang w:eastAsia="en-GB"/>
        </w:rPr>
        <w:t>s</w:t>
      </w:r>
      <w:r w:rsidRPr="00CE0885">
        <w:rPr>
          <w:spacing w:val="-2"/>
          <w:lang w:eastAsia="en-GB"/>
        </w:rPr>
        <w:t xml:space="preserve"> </w:t>
      </w:r>
      <w:r w:rsidRPr="00CE0885">
        <w:rPr>
          <w:spacing w:val="-1"/>
          <w:lang w:eastAsia="en-GB"/>
        </w:rPr>
        <w:t>r</w:t>
      </w:r>
      <w:r w:rsidRPr="00CE0885">
        <w:rPr>
          <w:lang w:eastAsia="en-GB"/>
        </w:rPr>
        <w:t>i</w:t>
      </w:r>
      <w:r w:rsidRPr="00CE0885">
        <w:rPr>
          <w:spacing w:val="-1"/>
          <w:lang w:eastAsia="en-GB"/>
        </w:rPr>
        <w:t>g</w:t>
      </w:r>
      <w:r w:rsidRPr="00CE0885">
        <w:rPr>
          <w:spacing w:val="1"/>
          <w:lang w:eastAsia="en-GB"/>
        </w:rPr>
        <w:t>h</w:t>
      </w:r>
      <w:r w:rsidRPr="00CE0885">
        <w:rPr>
          <w:lang w:eastAsia="en-GB"/>
        </w:rPr>
        <w:t xml:space="preserve">t </w:t>
      </w:r>
      <w:r w:rsidRPr="00CE0885">
        <w:rPr>
          <w:spacing w:val="1"/>
          <w:lang w:eastAsia="en-GB"/>
        </w:rPr>
        <w:t>a</w:t>
      </w:r>
      <w:r w:rsidRPr="00CE0885">
        <w:rPr>
          <w:lang w:eastAsia="en-GB"/>
        </w:rPr>
        <w:t>l</w:t>
      </w:r>
      <w:r w:rsidRPr="00CE0885">
        <w:rPr>
          <w:spacing w:val="1"/>
          <w:lang w:eastAsia="en-GB"/>
        </w:rPr>
        <w:t>on</w:t>
      </w:r>
      <w:r w:rsidRPr="00CE0885">
        <w:rPr>
          <w:lang w:eastAsia="en-GB"/>
        </w:rPr>
        <w:t>e</w:t>
      </w:r>
      <w:r w:rsidRPr="00CE0885">
        <w:rPr>
          <w:spacing w:val="-7"/>
          <w:lang w:eastAsia="en-GB"/>
        </w:rPr>
        <w:t xml:space="preserve"> </w:t>
      </w:r>
      <w:r w:rsidRPr="00CE0885">
        <w:rPr>
          <w:spacing w:val="1"/>
          <w:lang w:eastAsia="en-GB"/>
        </w:rPr>
        <w:t>t</w:t>
      </w:r>
      <w:r w:rsidRPr="00CE0885">
        <w:rPr>
          <w:lang w:eastAsia="en-GB"/>
        </w:rPr>
        <w:t>o</w:t>
      </w:r>
      <w:r w:rsidRPr="00CE0885">
        <w:rPr>
          <w:spacing w:val="-3"/>
          <w:lang w:eastAsia="en-GB"/>
        </w:rPr>
        <w:t xml:space="preserve"> </w:t>
      </w:r>
      <w:r w:rsidRPr="00CE0885">
        <w:rPr>
          <w:spacing w:val="1"/>
          <w:lang w:eastAsia="en-GB"/>
        </w:rPr>
        <w:t>d</w:t>
      </w:r>
      <w:r w:rsidRPr="00CE0885">
        <w:rPr>
          <w:lang w:eastAsia="en-GB"/>
        </w:rPr>
        <w:t>o</w:t>
      </w:r>
      <w:r w:rsidRPr="00CE0885">
        <w:rPr>
          <w:spacing w:val="-1"/>
          <w:lang w:eastAsia="en-GB"/>
        </w:rPr>
        <w:t xml:space="preserve"> </w:t>
      </w:r>
      <w:r w:rsidRPr="00CE0885">
        <w:rPr>
          <w:spacing w:val="-2"/>
          <w:lang w:eastAsia="en-GB"/>
        </w:rPr>
        <w:t>s</w:t>
      </w:r>
      <w:r w:rsidRPr="00CE0885">
        <w:rPr>
          <w:spacing w:val="1"/>
          <w:lang w:eastAsia="en-GB"/>
        </w:rPr>
        <w:t>o</w:t>
      </w:r>
      <w:r w:rsidRPr="00CE0885">
        <w:rPr>
          <w:lang w:eastAsia="en-GB"/>
        </w:rPr>
        <w:t>.</w:t>
      </w:r>
      <w:r w:rsidRPr="00CE0885">
        <w:rPr>
          <w:spacing w:val="65"/>
          <w:lang w:eastAsia="en-GB"/>
        </w:rPr>
        <w:t xml:space="preserve"> </w:t>
      </w:r>
      <w:r w:rsidRPr="00CE0885">
        <w:rPr>
          <w:lang w:eastAsia="en-GB"/>
        </w:rPr>
        <w:t>C</w:t>
      </w:r>
      <w:r w:rsidRPr="00CE0885">
        <w:rPr>
          <w:spacing w:val="-1"/>
          <w:lang w:eastAsia="en-GB"/>
        </w:rPr>
        <w:t>o</w:t>
      </w:r>
      <w:r w:rsidRPr="00CE0885">
        <w:rPr>
          <w:spacing w:val="1"/>
          <w:lang w:eastAsia="en-GB"/>
        </w:rPr>
        <w:t>n</w:t>
      </w:r>
      <w:r w:rsidRPr="00CE0885">
        <w:rPr>
          <w:lang w:eastAsia="en-GB"/>
        </w:rPr>
        <w:t>si</w:t>
      </w:r>
      <w:r w:rsidRPr="00CE0885">
        <w:rPr>
          <w:spacing w:val="-1"/>
          <w:lang w:eastAsia="en-GB"/>
        </w:rPr>
        <w:t>d</w:t>
      </w:r>
      <w:r w:rsidRPr="00CE0885">
        <w:rPr>
          <w:spacing w:val="1"/>
          <w:lang w:eastAsia="en-GB"/>
        </w:rPr>
        <w:t>e</w:t>
      </w:r>
      <w:r w:rsidRPr="00CE0885">
        <w:rPr>
          <w:spacing w:val="-1"/>
          <w:lang w:eastAsia="en-GB"/>
        </w:rPr>
        <w:t>r</w:t>
      </w:r>
      <w:r w:rsidRPr="00CE0885">
        <w:rPr>
          <w:spacing w:val="1"/>
          <w:lang w:eastAsia="en-GB"/>
        </w:rPr>
        <w:t>at</w:t>
      </w:r>
      <w:r w:rsidRPr="00CE0885">
        <w:rPr>
          <w:lang w:eastAsia="en-GB"/>
        </w:rPr>
        <w:t>i</w:t>
      </w:r>
      <w:r w:rsidRPr="00CE0885">
        <w:rPr>
          <w:spacing w:val="1"/>
          <w:lang w:eastAsia="en-GB"/>
        </w:rPr>
        <w:t>o</w:t>
      </w:r>
      <w:r w:rsidRPr="00CE0885">
        <w:rPr>
          <w:lang w:eastAsia="en-GB"/>
        </w:rPr>
        <w:t>n</w:t>
      </w:r>
      <w:r w:rsidRPr="00CE0885">
        <w:rPr>
          <w:spacing w:val="-13"/>
          <w:lang w:eastAsia="en-GB"/>
        </w:rPr>
        <w:t xml:space="preserve"> </w:t>
      </w:r>
      <w:r w:rsidRPr="00CE0885">
        <w:rPr>
          <w:spacing w:val="-2"/>
          <w:lang w:eastAsia="en-GB"/>
        </w:rPr>
        <w:t>s</w:t>
      </w:r>
      <w:r w:rsidRPr="00CE0885">
        <w:rPr>
          <w:spacing w:val="1"/>
          <w:lang w:eastAsia="en-GB"/>
        </w:rPr>
        <w:t>h</w:t>
      </w:r>
      <w:r w:rsidRPr="00CE0885">
        <w:rPr>
          <w:spacing w:val="-1"/>
          <w:lang w:eastAsia="en-GB"/>
        </w:rPr>
        <w:t>o</w:t>
      </w:r>
      <w:r w:rsidRPr="00CE0885">
        <w:rPr>
          <w:spacing w:val="1"/>
          <w:lang w:eastAsia="en-GB"/>
        </w:rPr>
        <w:t>u</w:t>
      </w:r>
      <w:r w:rsidRPr="00CE0885">
        <w:rPr>
          <w:lang w:eastAsia="en-GB"/>
        </w:rPr>
        <w:t>ld</w:t>
      </w:r>
      <w:r w:rsidRPr="00CE0885">
        <w:rPr>
          <w:spacing w:val="-5"/>
          <w:lang w:eastAsia="en-GB"/>
        </w:rPr>
        <w:t xml:space="preserve"> </w:t>
      </w:r>
      <w:r w:rsidRPr="00CE0885">
        <w:rPr>
          <w:spacing w:val="-1"/>
          <w:lang w:eastAsia="en-GB"/>
        </w:rPr>
        <w:t>b</w:t>
      </w:r>
      <w:r w:rsidRPr="00CE0885">
        <w:rPr>
          <w:lang w:eastAsia="en-GB"/>
        </w:rPr>
        <w:t>e</w:t>
      </w:r>
      <w:r w:rsidRPr="00CE0885">
        <w:rPr>
          <w:spacing w:val="-1"/>
          <w:lang w:eastAsia="en-GB"/>
        </w:rPr>
        <w:t xml:space="preserve"> g</w:t>
      </w:r>
      <w:r w:rsidRPr="00CE0885">
        <w:rPr>
          <w:lang w:eastAsia="en-GB"/>
        </w:rPr>
        <w:t>i</w:t>
      </w:r>
      <w:r w:rsidRPr="00CE0885">
        <w:rPr>
          <w:spacing w:val="-2"/>
          <w:lang w:eastAsia="en-GB"/>
        </w:rPr>
        <w:t>v</w:t>
      </w:r>
      <w:r w:rsidRPr="00CE0885">
        <w:rPr>
          <w:spacing w:val="3"/>
          <w:lang w:eastAsia="en-GB"/>
        </w:rPr>
        <w:t>e</w:t>
      </w:r>
      <w:r w:rsidRPr="00CE0885">
        <w:rPr>
          <w:spacing w:val="1"/>
          <w:lang w:eastAsia="en-GB"/>
        </w:rPr>
        <w:t>n</w:t>
      </w:r>
      <w:r w:rsidRPr="00CE0885">
        <w:rPr>
          <w:lang w:eastAsia="en-GB"/>
        </w:rPr>
        <w:t>,</w:t>
      </w:r>
      <w:r w:rsidRPr="00CE0885">
        <w:rPr>
          <w:spacing w:val="-5"/>
          <w:lang w:eastAsia="en-GB"/>
        </w:rPr>
        <w:t xml:space="preserve"> </w:t>
      </w:r>
      <w:r w:rsidRPr="00CE0885">
        <w:rPr>
          <w:spacing w:val="-1"/>
          <w:lang w:eastAsia="en-GB"/>
        </w:rPr>
        <w:t>a</w:t>
      </w:r>
      <w:r w:rsidRPr="00CE0885">
        <w:rPr>
          <w:lang w:eastAsia="en-GB"/>
        </w:rPr>
        <w:t>m</w:t>
      </w:r>
      <w:r w:rsidRPr="00CE0885">
        <w:rPr>
          <w:spacing w:val="-1"/>
          <w:lang w:eastAsia="en-GB"/>
        </w:rPr>
        <w:t>o</w:t>
      </w:r>
      <w:r w:rsidRPr="00CE0885">
        <w:rPr>
          <w:spacing w:val="1"/>
          <w:lang w:eastAsia="en-GB"/>
        </w:rPr>
        <w:t>n</w:t>
      </w:r>
      <w:r w:rsidRPr="00CE0885">
        <w:rPr>
          <w:spacing w:val="-1"/>
          <w:lang w:eastAsia="en-GB"/>
        </w:rPr>
        <w:t>g</w:t>
      </w:r>
      <w:r w:rsidRPr="00CE0885">
        <w:rPr>
          <w:lang w:eastAsia="en-GB"/>
        </w:rPr>
        <w:t>st</w:t>
      </w:r>
      <w:r w:rsidRPr="00CE0885">
        <w:rPr>
          <w:spacing w:val="-8"/>
          <w:lang w:eastAsia="en-GB"/>
        </w:rPr>
        <w:t xml:space="preserve"> </w:t>
      </w:r>
      <w:r w:rsidRPr="00CE0885">
        <w:rPr>
          <w:spacing w:val="1"/>
          <w:lang w:eastAsia="en-GB"/>
        </w:rPr>
        <w:t>ot</w:t>
      </w:r>
      <w:r w:rsidRPr="00CE0885">
        <w:rPr>
          <w:spacing w:val="-1"/>
          <w:lang w:eastAsia="en-GB"/>
        </w:rPr>
        <w:t>h</w:t>
      </w:r>
      <w:r w:rsidRPr="00CE0885">
        <w:rPr>
          <w:spacing w:val="1"/>
          <w:lang w:eastAsia="en-GB"/>
        </w:rPr>
        <w:t>e</w:t>
      </w:r>
      <w:r w:rsidRPr="00CE0885">
        <w:rPr>
          <w:lang w:eastAsia="en-GB"/>
        </w:rPr>
        <w:t>r m</w:t>
      </w:r>
      <w:r w:rsidRPr="00CE0885">
        <w:rPr>
          <w:spacing w:val="1"/>
          <w:lang w:eastAsia="en-GB"/>
        </w:rPr>
        <w:t>a</w:t>
      </w:r>
      <w:r w:rsidRPr="00CE0885">
        <w:rPr>
          <w:spacing w:val="-2"/>
          <w:lang w:eastAsia="en-GB"/>
        </w:rPr>
        <w:t>t</w:t>
      </w:r>
      <w:r w:rsidRPr="00CE0885">
        <w:rPr>
          <w:spacing w:val="1"/>
          <w:lang w:eastAsia="en-GB"/>
        </w:rPr>
        <w:t>te</w:t>
      </w:r>
      <w:r w:rsidRPr="00CE0885">
        <w:rPr>
          <w:spacing w:val="-1"/>
          <w:lang w:eastAsia="en-GB"/>
        </w:rPr>
        <w:t>r</w:t>
      </w:r>
      <w:r w:rsidRPr="00CE0885">
        <w:rPr>
          <w:lang w:eastAsia="en-GB"/>
        </w:rPr>
        <w:t>s,</w:t>
      </w:r>
      <w:r w:rsidRPr="00CE0885">
        <w:rPr>
          <w:spacing w:val="-8"/>
          <w:lang w:eastAsia="en-GB"/>
        </w:rPr>
        <w:t xml:space="preserve"> </w:t>
      </w:r>
      <w:r w:rsidRPr="00CE0885">
        <w:rPr>
          <w:spacing w:val="-2"/>
          <w:lang w:eastAsia="en-GB"/>
        </w:rPr>
        <w:t>t</w:t>
      </w:r>
      <w:r w:rsidRPr="00CE0885">
        <w:rPr>
          <w:lang w:eastAsia="en-GB"/>
        </w:rPr>
        <w:t xml:space="preserve">o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e</w:t>
      </w:r>
      <w:r w:rsidRPr="00CE0885">
        <w:rPr>
          <w:spacing w:val="1"/>
          <w:lang w:eastAsia="en-GB"/>
        </w:rPr>
        <w:t>ffe</w:t>
      </w:r>
      <w:r w:rsidRPr="00CE0885">
        <w:rPr>
          <w:lang w:eastAsia="en-GB"/>
        </w:rPr>
        <w:t>ct</w:t>
      </w:r>
      <w:r w:rsidRPr="00CE0885">
        <w:rPr>
          <w:spacing w:val="-7"/>
          <w:lang w:eastAsia="en-GB"/>
        </w:rPr>
        <w:t xml:space="preserve"> </w:t>
      </w:r>
      <w:r w:rsidRPr="00CE0885">
        <w:rPr>
          <w:spacing w:val="1"/>
          <w:lang w:eastAsia="en-GB"/>
        </w:rPr>
        <w:t>t</w:t>
      </w:r>
      <w:r w:rsidRPr="00CE0885">
        <w:rPr>
          <w:spacing w:val="-1"/>
          <w:lang w:eastAsia="en-GB"/>
        </w:rPr>
        <w:t>h</w:t>
      </w:r>
      <w:r w:rsidRPr="00CE0885">
        <w:rPr>
          <w:spacing w:val="1"/>
          <w:lang w:eastAsia="en-GB"/>
        </w:rPr>
        <w:t>a</w:t>
      </w:r>
      <w:r w:rsidRPr="00CE0885">
        <w:rPr>
          <w:lang w:eastAsia="en-GB"/>
        </w:rPr>
        <w:t>t</w:t>
      </w:r>
      <w:r w:rsidRPr="00CE0885">
        <w:rPr>
          <w:spacing w:val="-3"/>
          <w:lang w:eastAsia="en-GB"/>
        </w:rPr>
        <w:t xml:space="preserve"> </w:t>
      </w:r>
      <w:r w:rsidRPr="00CE0885">
        <w:rPr>
          <w:spacing w:val="-1"/>
          <w:lang w:eastAsia="en-GB"/>
        </w:rPr>
        <w:t>h</w:t>
      </w:r>
      <w:r w:rsidRPr="00CE0885">
        <w:rPr>
          <w:spacing w:val="1"/>
          <w:lang w:eastAsia="en-GB"/>
        </w:rPr>
        <w:t>o</w:t>
      </w:r>
      <w:r w:rsidRPr="00CE0885">
        <w:rPr>
          <w:lang w:eastAsia="en-GB"/>
        </w:rPr>
        <w:t>l</w:t>
      </w:r>
      <w:r w:rsidRPr="00CE0885">
        <w:rPr>
          <w:spacing w:val="1"/>
          <w:lang w:eastAsia="en-GB"/>
        </w:rPr>
        <w:t>d</w:t>
      </w:r>
      <w:r w:rsidRPr="00CE0885">
        <w:rPr>
          <w:lang w:eastAsia="en-GB"/>
        </w:rPr>
        <w:t>i</w:t>
      </w:r>
      <w:r w:rsidRPr="00CE0885">
        <w:rPr>
          <w:spacing w:val="1"/>
          <w:lang w:eastAsia="en-GB"/>
        </w:rPr>
        <w:t>n</w:t>
      </w:r>
      <w:r w:rsidRPr="00CE0885">
        <w:rPr>
          <w:lang w:eastAsia="en-GB"/>
        </w:rPr>
        <w:t>g</w:t>
      </w:r>
      <w:r w:rsidRPr="00CE0885">
        <w:rPr>
          <w:spacing w:val="-9"/>
          <w:lang w:eastAsia="en-GB"/>
        </w:rPr>
        <w:t xml:space="preserve"> </w:t>
      </w:r>
      <w:r w:rsidRPr="00CE0885">
        <w:rPr>
          <w:lang w:eastAsia="en-GB"/>
        </w:rPr>
        <w:t>a</w:t>
      </w:r>
      <w:r w:rsidRPr="00CE0885">
        <w:rPr>
          <w:spacing w:val="1"/>
          <w:lang w:eastAsia="en-GB"/>
        </w:rPr>
        <w:t xml:space="preserve"> </w:t>
      </w:r>
      <w:r w:rsidRPr="00CE0885">
        <w:rPr>
          <w:lang w:eastAsia="en-GB"/>
        </w:rPr>
        <w:t>c</w:t>
      </w:r>
      <w:r w:rsidRPr="00CE0885">
        <w:rPr>
          <w:spacing w:val="-1"/>
          <w:lang w:eastAsia="en-GB"/>
        </w:rPr>
        <w:t>o</w:t>
      </w:r>
      <w:r w:rsidRPr="00CE0885">
        <w:rPr>
          <w:spacing w:val="1"/>
          <w:lang w:eastAsia="en-GB"/>
        </w:rPr>
        <w:t>nt</w:t>
      </w:r>
      <w:r w:rsidRPr="00CE0885">
        <w:rPr>
          <w:spacing w:val="-1"/>
          <w:lang w:eastAsia="en-GB"/>
        </w:rPr>
        <w:t>r</w:t>
      </w:r>
      <w:r w:rsidRPr="00CE0885">
        <w:rPr>
          <w:spacing w:val="1"/>
          <w:lang w:eastAsia="en-GB"/>
        </w:rPr>
        <w:t>a</w:t>
      </w:r>
      <w:r w:rsidRPr="00CE0885">
        <w:rPr>
          <w:lang w:eastAsia="en-GB"/>
        </w:rPr>
        <w:t>c</w:t>
      </w:r>
      <w:r w:rsidRPr="00CE0885">
        <w:rPr>
          <w:spacing w:val="-2"/>
          <w:lang w:eastAsia="en-GB"/>
        </w:rPr>
        <w:t>t</w:t>
      </w:r>
      <w:r w:rsidRPr="00CE0885">
        <w:rPr>
          <w:spacing w:val="1"/>
          <w:lang w:eastAsia="en-GB"/>
        </w:rPr>
        <w:t>o</w:t>
      </w:r>
      <w:r w:rsidRPr="00CE0885">
        <w:rPr>
          <w:lang w:eastAsia="en-GB"/>
        </w:rPr>
        <w:t>r</w:t>
      </w:r>
      <w:r w:rsidRPr="00CE0885">
        <w:rPr>
          <w:spacing w:val="-14"/>
          <w:lang w:eastAsia="en-GB"/>
        </w:rPr>
        <w:t xml:space="preserve"> </w:t>
      </w:r>
      <w:r w:rsidRPr="00CE0885">
        <w:rPr>
          <w:spacing w:val="-3"/>
          <w:lang w:eastAsia="en-GB"/>
        </w:rPr>
        <w:t>w</w:t>
      </w:r>
      <w:r w:rsidRPr="00CE0885">
        <w:rPr>
          <w:spacing w:val="1"/>
          <w:lang w:eastAsia="en-GB"/>
        </w:rPr>
        <w:t>ho</w:t>
      </w:r>
      <w:r w:rsidRPr="00CE0885">
        <w:rPr>
          <w:lang w:eastAsia="en-GB"/>
        </w:rPr>
        <w:t xml:space="preserve"> is</w:t>
      </w:r>
      <w:r w:rsidRPr="00CE0885">
        <w:rPr>
          <w:spacing w:val="-6"/>
          <w:lang w:eastAsia="en-GB"/>
        </w:rPr>
        <w:t xml:space="preserve"> </w:t>
      </w:r>
      <w:r w:rsidRPr="00CE0885">
        <w:rPr>
          <w:spacing w:val="1"/>
          <w:lang w:eastAsia="en-GB"/>
        </w:rPr>
        <w:t>un</w:t>
      </w:r>
      <w:r w:rsidRPr="00CE0885">
        <w:rPr>
          <w:spacing w:val="-3"/>
          <w:lang w:eastAsia="en-GB"/>
        </w:rPr>
        <w:t>w</w:t>
      </w:r>
      <w:r w:rsidRPr="00CE0885">
        <w:rPr>
          <w:spacing w:val="1"/>
          <w:lang w:eastAsia="en-GB"/>
        </w:rPr>
        <w:t>e</w:t>
      </w:r>
      <w:r w:rsidRPr="00CE0885">
        <w:rPr>
          <w:lang w:eastAsia="en-GB"/>
        </w:rPr>
        <w:t>ll</w:t>
      </w:r>
      <w:r w:rsidRPr="00CE0885">
        <w:rPr>
          <w:spacing w:val="-7"/>
          <w:lang w:eastAsia="en-GB"/>
        </w:rPr>
        <w:t xml:space="preserve"> </w:t>
      </w:r>
      <w:r w:rsidRPr="00CE0885">
        <w:rPr>
          <w:spacing w:val="1"/>
          <w:lang w:eastAsia="en-GB"/>
        </w:rPr>
        <w:t>t</w:t>
      </w:r>
      <w:r w:rsidRPr="00CE0885">
        <w:rPr>
          <w:lang w:eastAsia="en-GB"/>
        </w:rPr>
        <w:t xml:space="preserve">o </w:t>
      </w:r>
      <w:r w:rsidRPr="00CE0885">
        <w:rPr>
          <w:spacing w:val="1"/>
          <w:lang w:eastAsia="en-GB"/>
        </w:rPr>
        <w:t>th</w:t>
      </w:r>
      <w:r w:rsidRPr="00CE0885">
        <w:rPr>
          <w:lang w:eastAsia="en-GB"/>
        </w:rPr>
        <w:t xml:space="preserve">e </w:t>
      </w:r>
      <w:r w:rsidRPr="00CE0885">
        <w:rPr>
          <w:spacing w:val="1"/>
          <w:lang w:eastAsia="en-GB"/>
        </w:rPr>
        <w:t>fu</w:t>
      </w:r>
      <w:r w:rsidRPr="00CE0885">
        <w:rPr>
          <w:lang w:eastAsia="en-GB"/>
        </w:rPr>
        <w:t>ll</w:t>
      </w:r>
      <w:r w:rsidRPr="00CE0885">
        <w:rPr>
          <w:spacing w:val="-3"/>
          <w:lang w:eastAsia="en-GB"/>
        </w:rPr>
        <w:t xml:space="preserve"> </w:t>
      </w:r>
      <w:r w:rsidRPr="00CE0885">
        <w:rPr>
          <w:spacing w:val="1"/>
          <w:lang w:eastAsia="en-GB"/>
        </w:rPr>
        <w:t>not</w:t>
      </w:r>
      <w:r w:rsidRPr="00CE0885">
        <w:rPr>
          <w:lang w:eastAsia="en-GB"/>
        </w:rPr>
        <w:t>i</w:t>
      </w:r>
      <w:r w:rsidRPr="00CE0885">
        <w:rPr>
          <w:spacing w:val="-2"/>
          <w:lang w:eastAsia="en-GB"/>
        </w:rPr>
        <w:t>c</w:t>
      </w:r>
      <w:r w:rsidRPr="00CE0885">
        <w:rPr>
          <w:lang w:eastAsia="en-GB"/>
        </w:rPr>
        <w:t>e</w:t>
      </w:r>
      <w:r w:rsidRPr="00CE0885">
        <w:rPr>
          <w:spacing w:val="-4"/>
          <w:lang w:eastAsia="en-GB"/>
        </w:rPr>
        <w:t xml:space="preserve"> </w:t>
      </w:r>
      <w:r w:rsidRPr="00CE0885">
        <w:rPr>
          <w:spacing w:val="1"/>
          <w:lang w:eastAsia="en-GB"/>
        </w:rPr>
        <w:t>te</w:t>
      </w:r>
      <w:r w:rsidRPr="00CE0885">
        <w:rPr>
          <w:spacing w:val="-3"/>
          <w:lang w:eastAsia="en-GB"/>
        </w:rPr>
        <w:t>r</w:t>
      </w:r>
      <w:r w:rsidRPr="00CE0885">
        <w:rPr>
          <w:lang w:eastAsia="en-GB"/>
        </w:rPr>
        <w:t>m</w:t>
      </w:r>
      <w:r w:rsidRPr="00CE0885">
        <w:rPr>
          <w:spacing w:val="-5"/>
          <w:lang w:eastAsia="en-GB"/>
        </w:rPr>
        <w:t xml:space="preserve"> </w:t>
      </w:r>
      <w:r w:rsidRPr="00CE0885">
        <w:rPr>
          <w:lang w:eastAsia="en-GB"/>
        </w:rPr>
        <w:t>m</w:t>
      </w:r>
      <w:r w:rsidRPr="00CE0885">
        <w:rPr>
          <w:spacing w:val="1"/>
          <w:lang w:eastAsia="en-GB"/>
        </w:rPr>
        <w:t>a</w:t>
      </w:r>
      <w:r w:rsidRPr="00CE0885">
        <w:rPr>
          <w:lang w:eastAsia="en-GB"/>
        </w:rPr>
        <w:t>y</w:t>
      </w:r>
      <w:r w:rsidRPr="00CE0885">
        <w:rPr>
          <w:spacing w:val="-7"/>
          <w:lang w:eastAsia="en-GB"/>
        </w:rPr>
        <w:t xml:space="preserve"> </w:t>
      </w:r>
      <w:r w:rsidRPr="00CE0885">
        <w:rPr>
          <w:spacing w:val="1"/>
          <w:lang w:eastAsia="en-GB"/>
        </w:rPr>
        <w:t>h</w:t>
      </w:r>
      <w:r w:rsidRPr="00CE0885">
        <w:rPr>
          <w:spacing w:val="-1"/>
          <w:lang w:eastAsia="en-GB"/>
        </w:rPr>
        <w:t>a</w:t>
      </w:r>
      <w:r w:rsidRPr="00CE0885">
        <w:rPr>
          <w:spacing w:val="-2"/>
          <w:lang w:eastAsia="en-GB"/>
        </w:rPr>
        <w:t>v</w:t>
      </w:r>
      <w:r w:rsidRPr="00CE0885">
        <w:rPr>
          <w:lang w:eastAsia="en-GB"/>
        </w:rPr>
        <w:t>e</w:t>
      </w:r>
      <w:r w:rsidRPr="00CE0885">
        <w:rPr>
          <w:spacing w:val="-3"/>
          <w:lang w:eastAsia="en-GB"/>
        </w:rPr>
        <w:t xml:space="preserve"> </w:t>
      </w:r>
      <w:r w:rsidRPr="00CE0885">
        <w:rPr>
          <w:spacing w:val="1"/>
          <w:lang w:eastAsia="en-GB"/>
        </w:rPr>
        <w:t>o</w:t>
      </w:r>
      <w:r w:rsidRPr="00CE0885">
        <w:rPr>
          <w:lang w:eastAsia="en-GB"/>
        </w:rPr>
        <w:t>n</w:t>
      </w:r>
      <w:r w:rsidRPr="00CE0885">
        <w:rPr>
          <w:spacing w:val="-1"/>
          <w:lang w:eastAsia="en-GB"/>
        </w:rPr>
        <w:t xml:space="preserve">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1"/>
          <w:lang w:eastAsia="en-GB"/>
        </w:rPr>
        <w:t>contractor, t</w:t>
      </w:r>
      <w:r w:rsidRPr="00CE0885">
        <w:rPr>
          <w:spacing w:val="-1"/>
          <w:lang w:eastAsia="en-GB"/>
        </w:rPr>
        <w:t>h</w:t>
      </w:r>
      <w:r w:rsidRPr="00CE0885">
        <w:rPr>
          <w:lang w:eastAsia="en-GB"/>
        </w:rPr>
        <w:t xml:space="preserve">e </w:t>
      </w:r>
      <w:r w:rsidRPr="00CE0885">
        <w:rPr>
          <w:spacing w:val="1"/>
          <w:lang w:eastAsia="en-GB"/>
        </w:rPr>
        <w:t>p</w:t>
      </w:r>
      <w:r w:rsidRPr="00CE0885">
        <w:rPr>
          <w:spacing w:val="-1"/>
          <w:lang w:eastAsia="en-GB"/>
        </w:rPr>
        <w:t>r</w:t>
      </w:r>
      <w:r w:rsidRPr="00CE0885">
        <w:rPr>
          <w:spacing w:val="1"/>
          <w:lang w:eastAsia="en-GB"/>
        </w:rPr>
        <w:t>a</w:t>
      </w:r>
      <w:r w:rsidRPr="00CE0885">
        <w:rPr>
          <w:lang w:eastAsia="en-GB"/>
        </w:rPr>
        <w:t>c</w:t>
      </w:r>
      <w:r w:rsidRPr="00CE0885">
        <w:rPr>
          <w:spacing w:val="1"/>
          <w:lang w:eastAsia="en-GB"/>
        </w:rPr>
        <w:t>t</w:t>
      </w:r>
      <w:r w:rsidRPr="00CE0885">
        <w:rPr>
          <w:lang w:eastAsia="en-GB"/>
        </w:rPr>
        <w:t>ice's</w:t>
      </w:r>
      <w:r w:rsidRPr="00CE0885">
        <w:rPr>
          <w:spacing w:val="-6"/>
          <w:lang w:eastAsia="en-GB"/>
        </w:rPr>
        <w:t xml:space="preserve"> </w:t>
      </w:r>
      <w:r w:rsidRPr="00CE0885">
        <w:rPr>
          <w:spacing w:val="-1"/>
          <w:lang w:eastAsia="en-GB"/>
        </w:rPr>
        <w:t>p</w:t>
      </w:r>
      <w:r w:rsidRPr="00CE0885">
        <w:rPr>
          <w:spacing w:val="1"/>
          <w:lang w:eastAsia="en-GB"/>
        </w:rPr>
        <w:t>at</w:t>
      </w:r>
      <w:r w:rsidRPr="00CE0885">
        <w:rPr>
          <w:lang w:eastAsia="en-GB"/>
        </w:rPr>
        <w:t>i</w:t>
      </w:r>
      <w:r w:rsidRPr="00CE0885">
        <w:rPr>
          <w:spacing w:val="-1"/>
          <w:lang w:eastAsia="en-GB"/>
        </w:rPr>
        <w:t>e</w:t>
      </w:r>
      <w:r w:rsidRPr="00CE0885">
        <w:rPr>
          <w:spacing w:val="1"/>
          <w:lang w:eastAsia="en-GB"/>
        </w:rPr>
        <w:t>nt</w:t>
      </w:r>
      <w:r w:rsidRPr="00CE0885">
        <w:rPr>
          <w:lang w:eastAsia="en-GB"/>
        </w:rPr>
        <w:t>s</w:t>
      </w:r>
      <w:r w:rsidRPr="00CE0885">
        <w:rPr>
          <w:spacing w:val="-8"/>
          <w:lang w:eastAsia="en-GB"/>
        </w:rPr>
        <w:t xml:space="preserve"> </w:t>
      </w:r>
      <w:r w:rsidRPr="00CE0885">
        <w:rPr>
          <w:spacing w:val="-1"/>
          <w:lang w:eastAsia="en-GB"/>
        </w:rPr>
        <w:t>a</w:t>
      </w:r>
      <w:r w:rsidRPr="00CE0885">
        <w:rPr>
          <w:spacing w:val="1"/>
          <w:lang w:eastAsia="en-GB"/>
        </w:rPr>
        <w:t>n</w:t>
      </w:r>
      <w:r w:rsidRPr="00CE0885">
        <w:rPr>
          <w:lang w:eastAsia="en-GB"/>
        </w:rPr>
        <w:t>d</w:t>
      </w:r>
      <w:r w:rsidRPr="00CE0885">
        <w:rPr>
          <w:spacing w:val="-2"/>
          <w:lang w:eastAsia="en-GB"/>
        </w:rPr>
        <w:t xml:space="preserve"> c</w:t>
      </w:r>
      <w:r w:rsidRPr="00CE0885">
        <w:rPr>
          <w:spacing w:val="1"/>
          <w:lang w:eastAsia="en-GB"/>
        </w:rPr>
        <w:t>o</w:t>
      </w:r>
      <w:r w:rsidRPr="00CE0885">
        <w:rPr>
          <w:lang w:eastAsia="en-GB"/>
        </w:rPr>
        <w:t>ll</w:t>
      </w:r>
      <w:r w:rsidRPr="00CE0885">
        <w:rPr>
          <w:spacing w:val="1"/>
          <w:lang w:eastAsia="en-GB"/>
        </w:rPr>
        <w:t>ea</w:t>
      </w:r>
      <w:r w:rsidRPr="00CE0885">
        <w:rPr>
          <w:spacing w:val="-1"/>
          <w:lang w:eastAsia="en-GB"/>
        </w:rPr>
        <w:t>g</w:t>
      </w:r>
      <w:r w:rsidRPr="00CE0885">
        <w:rPr>
          <w:spacing w:val="1"/>
          <w:lang w:eastAsia="en-GB"/>
        </w:rPr>
        <w:t>ue</w:t>
      </w:r>
      <w:r w:rsidRPr="00CE0885">
        <w:rPr>
          <w:lang w:eastAsia="en-GB"/>
        </w:rPr>
        <w:t>s.</w:t>
      </w:r>
      <w:bookmarkEnd w:id="665"/>
    </w:p>
    <w:p w14:paraId="4A4E1C60" w14:textId="77777777" w:rsidR="00977693" w:rsidRPr="00CE0885" w:rsidRDefault="00977693" w:rsidP="006B781A">
      <w:pPr>
        <w:pStyle w:val="Heading3"/>
        <w:rPr>
          <w:lang w:eastAsia="en-GB"/>
        </w:rPr>
      </w:pPr>
      <w:bookmarkStart w:id="666" w:name="_Toc440981809"/>
      <w:r w:rsidRPr="00CE0885">
        <w:rPr>
          <w:lang w:eastAsia="en-GB"/>
        </w:rPr>
        <w:t>In ei</w:t>
      </w:r>
      <w:r w:rsidRPr="00CE0885">
        <w:rPr>
          <w:spacing w:val="-2"/>
          <w:lang w:eastAsia="en-GB"/>
        </w:rPr>
        <w:t>t</w:t>
      </w:r>
      <w:r w:rsidRPr="00CE0885">
        <w:rPr>
          <w:lang w:eastAsia="en-GB"/>
        </w:rPr>
        <w:t>her</w:t>
      </w:r>
      <w:r w:rsidRPr="00CE0885">
        <w:rPr>
          <w:spacing w:val="-6"/>
          <w:lang w:eastAsia="en-GB"/>
        </w:rPr>
        <w:t xml:space="preserve"> </w:t>
      </w:r>
      <w:r w:rsidRPr="00CE0885">
        <w:rPr>
          <w:lang w:eastAsia="en-GB"/>
        </w:rPr>
        <w:t>ca</w:t>
      </w:r>
      <w:r w:rsidRPr="00CE0885">
        <w:rPr>
          <w:spacing w:val="-2"/>
          <w:lang w:eastAsia="en-GB"/>
        </w:rPr>
        <w:t>s</w:t>
      </w:r>
      <w:r w:rsidRPr="00CE0885">
        <w:rPr>
          <w:lang w:eastAsia="en-GB"/>
        </w:rPr>
        <w:t>e</w:t>
      </w:r>
      <w:r w:rsidRPr="00CE0885">
        <w:rPr>
          <w:spacing w:val="-3"/>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2"/>
          <w:lang w:eastAsia="en-GB"/>
        </w:rPr>
        <w:t>Commissioner</w:t>
      </w:r>
      <w:r w:rsidRPr="00CE0885">
        <w:rPr>
          <w:spacing w:val="-3"/>
          <w:lang w:eastAsia="en-GB"/>
        </w:rPr>
        <w:t xml:space="preserve"> </w:t>
      </w:r>
      <w:r w:rsidRPr="00CE0885">
        <w:rPr>
          <w:lang w:eastAsia="en-GB"/>
        </w:rPr>
        <w:t>should</w:t>
      </w:r>
      <w:r w:rsidRPr="00CE0885">
        <w:rPr>
          <w:spacing w:val="-4"/>
          <w:lang w:eastAsia="en-GB"/>
        </w:rPr>
        <w:t xml:space="preserve"> </w:t>
      </w:r>
      <w:r w:rsidRPr="00CE0885">
        <w:rPr>
          <w:spacing w:val="-2"/>
          <w:lang w:eastAsia="en-GB"/>
        </w:rPr>
        <w:t>c</w:t>
      </w:r>
      <w:r w:rsidRPr="00CE0885">
        <w:rPr>
          <w:lang w:eastAsia="en-GB"/>
        </w:rPr>
        <w:t>o</w:t>
      </w:r>
      <w:r w:rsidRPr="00CE0885">
        <w:rPr>
          <w:spacing w:val="-1"/>
          <w:lang w:eastAsia="en-GB"/>
        </w:rPr>
        <w:t>n</w:t>
      </w:r>
      <w:r w:rsidRPr="00CE0885">
        <w:rPr>
          <w:spacing w:val="3"/>
          <w:lang w:eastAsia="en-GB"/>
        </w:rPr>
        <w:t>f</w:t>
      </w:r>
      <w:r w:rsidRPr="00CE0885">
        <w:rPr>
          <w:lang w:eastAsia="en-GB"/>
        </w:rPr>
        <w:t>i</w:t>
      </w:r>
      <w:r w:rsidRPr="00CE0885">
        <w:rPr>
          <w:spacing w:val="-3"/>
          <w:lang w:eastAsia="en-GB"/>
        </w:rPr>
        <w:t>r</w:t>
      </w:r>
      <w:r w:rsidRPr="00CE0885">
        <w:rPr>
          <w:lang w:eastAsia="en-GB"/>
        </w:rPr>
        <w:t>m</w:t>
      </w:r>
      <w:r w:rsidRPr="00CE0885">
        <w:rPr>
          <w:spacing w:val="-6"/>
          <w:lang w:eastAsia="en-GB"/>
        </w:rPr>
        <w:t xml:space="preserve"> </w:t>
      </w:r>
      <w:r w:rsidRPr="00CE0885">
        <w:rPr>
          <w:spacing w:val="-1"/>
          <w:lang w:eastAsia="en-GB"/>
        </w:rPr>
        <w:t>r</w:t>
      </w:r>
      <w:r w:rsidRPr="00CE0885">
        <w:rPr>
          <w:lang w:eastAsia="en-GB"/>
        </w:rPr>
        <w:t>ecei</w:t>
      </w:r>
      <w:r w:rsidRPr="00CE0885">
        <w:rPr>
          <w:spacing w:val="-1"/>
          <w:lang w:eastAsia="en-GB"/>
        </w:rPr>
        <w:t>p</w:t>
      </w:r>
      <w:r w:rsidRPr="00CE0885">
        <w:rPr>
          <w:lang w:eastAsia="en-GB"/>
        </w:rPr>
        <w:t>t</w:t>
      </w:r>
      <w:r w:rsidRPr="00CE0885">
        <w:rPr>
          <w:spacing w:val="-6"/>
          <w:lang w:eastAsia="en-GB"/>
        </w:rPr>
        <w:t xml:space="preserve"> </w:t>
      </w:r>
      <w:r w:rsidRPr="00CE0885">
        <w:rPr>
          <w:spacing w:val="-1"/>
          <w:lang w:eastAsia="en-GB"/>
        </w:rPr>
        <w:t>a</w:t>
      </w:r>
      <w:r w:rsidRPr="00CE0885">
        <w:rPr>
          <w:lang w:eastAsia="en-GB"/>
        </w:rPr>
        <w:t>nd</w:t>
      </w:r>
      <w:r w:rsidRPr="00CE0885">
        <w:rPr>
          <w:spacing w:val="-2"/>
          <w:lang w:eastAsia="en-GB"/>
        </w:rPr>
        <w:t xml:space="preserve"> </w:t>
      </w:r>
      <w:r w:rsidRPr="00CE0885">
        <w:rPr>
          <w:lang w:eastAsia="en-GB"/>
        </w:rPr>
        <w:t>ac</w:t>
      </w:r>
      <w:r w:rsidRPr="00CE0885">
        <w:rPr>
          <w:spacing w:val="-2"/>
          <w:lang w:eastAsia="en-GB"/>
        </w:rPr>
        <w:t>c</w:t>
      </w:r>
      <w:r w:rsidRPr="00CE0885">
        <w:rPr>
          <w:lang w:eastAsia="en-GB"/>
        </w:rPr>
        <w:t>ep</w:t>
      </w:r>
      <w:r w:rsidRPr="00CE0885">
        <w:rPr>
          <w:spacing w:val="-2"/>
          <w:lang w:eastAsia="en-GB"/>
        </w:rPr>
        <w:t>t</w:t>
      </w:r>
      <w:r w:rsidRPr="00CE0885">
        <w:rPr>
          <w:lang w:eastAsia="en-GB"/>
        </w:rPr>
        <w:t>ance</w:t>
      </w:r>
      <w:r w:rsidRPr="00CE0885">
        <w:rPr>
          <w:spacing w:val="-13"/>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 xml:space="preserve">the </w:t>
      </w:r>
      <w:r w:rsidRPr="00CE0885">
        <w:rPr>
          <w:spacing w:val="-1"/>
          <w:lang w:eastAsia="en-GB"/>
        </w:rPr>
        <w:t>r</w:t>
      </w:r>
      <w:r w:rsidRPr="00CE0885">
        <w:rPr>
          <w:lang w:eastAsia="en-GB"/>
        </w:rPr>
        <w:t>eti</w:t>
      </w:r>
      <w:r w:rsidRPr="00CE0885">
        <w:rPr>
          <w:spacing w:val="-1"/>
          <w:lang w:eastAsia="en-GB"/>
        </w:rPr>
        <w:t>r</w:t>
      </w:r>
      <w:r w:rsidRPr="00CE0885">
        <w:rPr>
          <w:lang w:eastAsia="en-GB"/>
        </w:rPr>
        <w:t>em</w:t>
      </w:r>
      <w:r w:rsidRPr="00CE0885">
        <w:rPr>
          <w:spacing w:val="-1"/>
          <w:lang w:eastAsia="en-GB"/>
        </w:rPr>
        <w:t>e</w:t>
      </w:r>
      <w:r w:rsidRPr="00CE0885">
        <w:rPr>
          <w:lang w:eastAsia="en-GB"/>
        </w:rPr>
        <w:t>nt/</w:t>
      </w:r>
      <w:r w:rsidRPr="00CE0885">
        <w:rPr>
          <w:spacing w:val="-2"/>
          <w:lang w:eastAsia="en-GB"/>
        </w:rPr>
        <w:t>t</w:t>
      </w:r>
      <w:r w:rsidRPr="00CE0885">
        <w:rPr>
          <w:lang w:eastAsia="en-GB"/>
        </w:rPr>
        <w:t>e</w:t>
      </w:r>
      <w:r w:rsidRPr="00CE0885">
        <w:rPr>
          <w:spacing w:val="-1"/>
          <w:lang w:eastAsia="en-GB"/>
        </w:rPr>
        <w:t>r</w:t>
      </w:r>
      <w:r w:rsidRPr="00CE0885">
        <w:rPr>
          <w:lang w:eastAsia="en-GB"/>
        </w:rPr>
        <w:t>mi</w:t>
      </w:r>
      <w:r w:rsidRPr="00CE0885">
        <w:rPr>
          <w:spacing w:val="-1"/>
          <w:lang w:eastAsia="en-GB"/>
        </w:rPr>
        <w:t>n</w:t>
      </w:r>
      <w:r w:rsidRPr="00CE0885">
        <w:rPr>
          <w:lang w:eastAsia="en-GB"/>
        </w:rPr>
        <w:t>ation</w:t>
      </w:r>
      <w:r w:rsidRPr="00CE0885">
        <w:rPr>
          <w:spacing w:val="-26"/>
          <w:lang w:eastAsia="en-GB"/>
        </w:rPr>
        <w:t xml:space="preserve"> </w:t>
      </w:r>
      <w:r w:rsidRPr="00CE0885">
        <w:rPr>
          <w:lang w:eastAsia="en-GB"/>
        </w:rPr>
        <w:t>notice</w:t>
      </w:r>
      <w:r w:rsidRPr="00CE0885">
        <w:rPr>
          <w:spacing w:val="-4"/>
          <w:lang w:eastAsia="en-GB"/>
        </w:rPr>
        <w:t xml:space="preserve"> </w:t>
      </w:r>
      <w:r w:rsidRPr="00CE0885">
        <w:rPr>
          <w:spacing w:val="-3"/>
          <w:lang w:eastAsia="en-GB"/>
        </w:rPr>
        <w:t>i</w:t>
      </w:r>
      <w:r w:rsidRPr="00CE0885">
        <w:rPr>
          <w:lang w:eastAsia="en-GB"/>
        </w:rPr>
        <w:t xml:space="preserve">n </w:t>
      </w:r>
      <w:r w:rsidRPr="00CE0885">
        <w:rPr>
          <w:spacing w:val="-3"/>
          <w:lang w:eastAsia="en-GB"/>
        </w:rPr>
        <w:t>w</w:t>
      </w:r>
      <w:r w:rsidRPr="00CE0885">
        <w:rPr>
          <w:spacing w:val="-1"/>
          <w:lang w:eastAsia="en-GB"/>
        </w:rPr>
        <w:t>r</w:t>
      </w:r>
      <w:r w:rsidRPr="00CE0885">
        <w:rPr>
          <w:lang w:eastAsia="en-GB"/>
        </w:rPr>
        <w:t>itin</w:t>
      </w:r>
      <w:r w:rsidRPr="00CE0885">
        <w:rPr>
          <w:spacing w:val="-1"/>
          <w:lang w:eastAsia="en-GB"/>
        </w:rPr>
        <w:t>g</w:t>
      </w:r>
      <w:r w:rsidRPr="00CE0885">
        <w:rPr>
          <w:lang w:eastAsia="en-GB"/>
        </w:rPr>
        <w:t>,</w:t>
      </w:r>
      <w:r w:rsidRPr="00CE0885">
        <w:rPr>
          <w:spacing w:val="-7"/>
          <w:lang w:eastAsia="en-GB"/>
        </w:rPr>
        <w:t xml:space="preserve"> </w:t>
      </w:r>
      <w:r w:rsidRPr="00CE0885">
        <w:rPr>
          <w:lang w:eastAsia="en-GB"/>
        </w:rPr>
        <w:t>the</w:t>
      </w:r>
      <w:r w:rsidRPr="00CE0885">
        <w:rPr>
          <w:spacing w:val="-1"/>
          <w:lang w:eastAsia="en-GB"/>
        </w:rPr>
        <w:t xml:space="preserve"> </w:t>
      </w:r>
      <w:r w:rsidRPr="00CE0885">
        <w:rPr>
          <w:lang w:eastAsia="en-GB"/>
        </w:rPr>
        <w:t>d</w:t>
      </w:r>
      <w:r w:rsidRPr="00CE0885">
        <w:rPr>
          <w:spacing w:val="-1"/>
          <w:lang w:eastAsia="en-GB"/>
        </w:rPr>
        <w:t>a</w:t>
      </w:r>
      <w:r w:rsidRPr="00CE0885">
        <w:rPr>
          <w:lang w:eastAsia="en-GB"/>
        </w:rPr>
        <w:t>te</w:t>
      </w:r>
      <w:r w:rsidRPr="00CE0885">
        <w:rPr>
          <w:spacing w:val="-3"/>
          <w:lang w:eastAsia="en-GB"/>
        </w:rPr>
        <w:t xml:space="preserve"> </w:t>
      </w:r>
      <w:r w:rsidRPr="00CE0885">
        <w:rPr>
          <w:spacing w:val="-1"/>
          <w:lang w:eastAsia="en-GB"/>
        </w:rPr>
        <w:t>o</w:t>
      </w:r>
      <w:r w:rsidRPr="00CE0885">
        <w:rPr>
          <w:lang w:eastAsia="en-GB"/>
        </w:rPr>
        <w:t>n</w:t>
      </w:r>
      <w:r w:rsidRPr="00CE0885">
        <w:rPr>
          <w:spacing w:val="-1"/>
          <w:lang w:eastAsia="en-GB"/>
        </w:rPr>
        <w:t xml:space="preserve"> </w:t>
      </w:r>
      <w:r w:rsidRPr="00CE0885">
        <w:rPr>
          <w:spacing w:val="-3"/>
          <w:lang w:eastAsia="en-GB"/>
        </w:rPr>
        <w:t>w</w:t>
      </w:r>
      <w:r w:rsidRPr="00CE0885">
        <w:rPr>
          <w:lang w:eastAsia="en-GB"/>
        </w:rPr>
        <w:t>hich</w:t>
      </w:r>
      <w:r w:rsidRPr="00CE0885">
        <w:rPr>
          <w:spacing w:val="-4"/>
          <w:lang w:eastAsia="en-GB"/>
        </w:rPr>
        <w:t xml:space="preserve"> </w:t>
      </w:r>
      <w:r w:rsidRPr="00CE0885">
        <w:rPr>
          <w:lang w:eastAsia="en-GB"/>
        </w:rPr>
        <w:t>the cont</w:t>
      </w:r>
      <w:r w:rsidRPr="00CE0885">
        <w:rPr>
          <w:spacing w:val="-1"/>
          <w:lang w:eastAsia="en-GB"/>
        </w:rPr>
        <w:t>r</w:t>
      </w:r>
      <w:r w:rsidRPr="00CE0885">
        <w:rPr>
          <w:lang w:eastAsia="en-GB"/>
        </w:rPr>
        <w:t>act</w:t>
      </w:r>
      <w:r w:rsidRPr="00CE0885">
        <w:rPr>
          <w:spacing w:val="-8"/>
          <w:lang w:eastAsia="en-GB"/>
        </w:rPr>
        <w:t xml:space="preserve"> </w:t>
      </w:r>
      <w:r w:rsidRPr="00CE0885">
        <w:rPr>
          <w:spacing w:val="-3"/>
          <w:lang w:eastAsia="en-GB"/>
        </w:rPr>
        <w:t>w</w:t>
      </w:r>
      <w:r w:rsidRPr="00CE0885">
        <w:rPr>
          <w:lang w:eastAsia="en-GB"/>
        </w:rPr>
        <w:t>ill</w:t>
      </w:r>
      <w:r w:rsidRPr="00CE0885">
        <w:rPr>
          <w:spacing w:val="-3"/>
          <w:lang w:eastAsia="en-GB"/>
        </w:rPr>
        <w:t xml:space="preserve"> </w:t>
      </w:r>
      <w:r w:rsidRPr="00CE0885">
        <w:rPr>
          <w:lang w:eastAsia="en-GB"/>
        </w:rPr>
        <w:t>te</w:t>
      </w:r>
      <w:r w:rsidRPr="00CE0885">
        <w:rPr>
          <w:spacing w:val="-1"/>
          <w:lang w:eastAsia="en-GB"/>
        </w:rPr>
        <w:t>r</w:t>
      </w:r>
      <w:r w:rsidRPr="00CE0885">
        <w:rPr>
          <w:lang w:eastAsia="en-GB"/>
        </w:rPr>
        <w:t>min</w:t>
      </w:r>
      <w:r w:rsidRPr="00CE0885">
        <w:rPr>
          <w:spacing w:val="-1"/>
          <w:lang w:eastAsia="en-GB"/>
        </w:rPr>
        <w:t>a</w:t>
      </w:r>
      <w:r w:rsidRPr="00CE0885">
        <w:rPr>
          <w:lang w:eastAsia="en-GB"/>
        </w:rPr>
        <w:t>te</w:t>
      </w:r>
      <w:r w:rsidRPr="00CE0885">
        <w:rPr>
          <w:spacing w:val="-11"/>
          <w:lang w:eastAsia="en-GB"/>
        </w:rPr>
        <w:t xml:space="preserve"> </w:t>
      </w:r>
      <w:r w:rsidRPr="00CE0885">
        <w:rPr>
          <w:lang w:eastAsia="en-GB"/>
        </w:rPr>
        <w:t>and</w:t>
      </w:r>
      <w:r w:rsidRPr="00CE0885">
        <w:rPr>
          <w:spacing w:val="-5"/>
          <w:lang w:eastAsia="en-GB"/>
        </w:rPr>
        <w:t xml:space="preserve"> </w:t>
      </w:r>
      <w:r w:rsidRPr="00CE0885">
        <w:rPr>
          <w:lang w:eastAsia="en-GB"/>
        </w:rPr>
        <w:t>any</w:t>
      </w:r>
      <w:r w:rsidRPr="00CE0885">
        <w:rPr>
          <w:spacing w:val="-6"/>
          <w:lang w:eastAsia="en-GB"/>
        </w:rPr>
        <w:t xml:space="preserve"> </w:t>
      </w:r>
      <w:r w:rsidRPr="00CE0885">
        <w:rPr>
          <w:lang w:eastAsia="en-GB"/>
        </w:rPr>
        <w:t>conse</w:t>
      </w:r>
      <w:r w:rsidRPr="00CE0885">
        <w:rPr>
          <w:spacing w:val="-1"/>
          <w:lang w:eastAsia="en-GB"/>
        </w:rPr>
        <w:t>qu</w:t>
      </w:r>
      <w:r w:rsidRPr="00CE0885">
        <w:rPr>
          <w:lang w:eastAsia="en-GB"/>
        </w:rPr>
        <w:t>enc</w:t>
      </w:r>
      <w:r w:rsidRPr="00CE0885">
        <w:rPr>
          <w:spacing w:val="-1"/>
          <w:lang w:eastAsia="en-GB"/>
        </w:rPr>
        <w:t>e</w:t>
      </w:r>
      <w:r w:rsidRPr="00CE0885">
        <w:rPr>
          <w:lang w:eastAsia="en-GB"/>
        </w:rPr>
        <w:t>s</w:t>
      </w:r>
      <w:r w:rsidRPr="00CE0885">
        <w:rPr>
          <w:spacing w:val="-15"/>
          <w:lang w:eastAsia="en-GB"/>
        </w:rPr>
        <w:t xml:space="preserve"> </w:t>
      </w:r>
      <w:r w:rsidRPr="00CE0885">
        <w:rPr>
          <w:lang w:eastAsia="en-GB"/>
        </w:rPr>
        <w:t>and</w:t>
      </w:r>
      <w:r w:rsidRPr="00CE0885">
        <w:rPr>
          <w:spacing w:val="-5"/>
          <w:lang w:eastAsia="en-GB"/>
        </w:rPr>
        <w:t xml:space="preserve"> </w:t>
      </w:r>
      <w:r w:rsidRPr="00CE0885">
        <w:rPr>
          <w:lang w:eastAsia="en-GB"/>
        </w:rPr>
        <w:t>acti</w:t>
      </w:r>
      <w:r w:rsidRPr="00CE0885">
        <w:rPr>
          <w:spacing w:val="-1"/>
          <w:lang w:eastAsia="en-GB"/>
        </w:rPr>
        <w:t>o</w:t>
      </w:r>
      <w:r w:rsidRPr="00CE0885">
        <w:rPr>
          <w:lang w:eastAsia="en-GB"/>
        </w:rPr>
        <w:t>ns</w:t>
      </w:r>
      <w:r w:rsidRPr="00CE0885">
        <w:rPr>
          <w:spacing w:val="-8"/>
          <w:lang w:eastAsia="en-GB"/>
        </w:rPr>
        <w:t xml:space="preserve"> </w:t>
      </w:r>
      <w:r w:rsidRPr="00CE0885">
        <w:rPr>
          <w:spacing w:val="-2"/>
          <w:lang w:eastAsia="en-GB"/>
        </w:rPr>
        <w:t>t</w:t>
      </w:r>
      <w:r w:rsidRPr="00CE0885">
        <w:rPr>
          <w:lang w:eastAsia="en-GB"/>
        </w:rPr>
        <w:t>hat</w:t>
      </w:r>
      <w:r w:rsidRPr="00CE0885">
        <w:rPr>
          <w:spacing w:val="-5"/>
          <w:lang w:eastAsia="en-GB"/>
        </w:rPr>
        <w:t xml:space="preserve"> </w:t>
      </w:r>
      <w:r w:rsidRPr="00CE0885">
        <w:rPr>
          <w:lang w:eastAsia="en-GB"/>
        </w:rPr>
        <w:t>the cont</w:t>
      </w:r>
      <w:r w:rsidRPr="00CE0885">
        <w:rPr>
          <w:spacing w:val="-1"/>
          <w:lang w:eastAsia="en-GB"/>
        </w:rPr>
        <w:t>r</w:t>
      </w:r>
      <w:r w:rsidRPr="00CE0885">
        <w:rPr>
          <w:lang w:eastAsia="en-GB"/>
        </w:rPr>
        <w:t>ac</w:t>
      </w:r>
      <w:r w:rsidRPr="00CE0885">
        <w:rPr>
          <w:spacing w:val="-2"/>
          <w:lang w:eastAsia="en-GB"/>
        </w:rPr>
        <w:t>t</w:t>
      </w:r>
      <w:r w:rsidRPr="00CE0885">
        <w:rPr>
          <w:lang w:eastAsia="en-GB"/>
        </w:rPr>
        <w:t>or</w:t>
      </w:r>
      <w:r w:rsidRPr="00CE0885">
        <w:rPr>
          <w:spacing w:val="-11"/>
          <w:lang w:eastAsia="en-GB"/>
        </w:rPr>
        <w:t xml:space="preserve"> </w:t>
      </w:r>
      <w:r w:rsidRPr="00CE0885">
        <w:rPr>
          <w:spacing w:val="-1"/>
          <w:lang w:eastAsia="en-GB"/>
        </w:rPr>
        <w:t>m</w:t>
      </w:r>
      <w:r w:rsidRPr="00CE0885">
        <w:rPr>
          <w:lang w:eastAsia="en-GB"/>
        </w:rPr>
        <w:t>ust</w:t>
      </w:r>
      <w:r w:rsidRPr="00CE0885">
        <w:rPr>
          <w:spacing w:val="-4"/>
          <w:lang w:eastAsia="en-GB"/>
        </w:rPr>
        <w:t xml:space="preserve"> </w:t>
      </w:r>
      <w:r w:rsidRPr="00CE0885">
        <w:rPr>
          <w:spacing w:val="-2"/>
          <w:lang w:eastAsia="en-GB"/>
        </w:rPr>
        <w:t>t</w:t>
      </w:r>
      <w:r w:rsidRPr="00CE0885">
        <w:rPr>
          <w:lang w:eastAsia="en-GB"/>
        </w:rPr>
        <w:t>ake</w:t>
      </w:r>
      <w:r w:rsidRPr="00CE0885">
        <w:rPr>
          <w:spacing w:val="-6"/>
          <w:lang w:eastAsia="en-GB"/>
        </w:rPr>
        <w:t xml:space="preserve"> </w:t>
      </w:r>
      <w:r w:rsidRPr="00CE0885">
        <w:rPr>
          <w:spacing w:val="-1"/>
          <w:lang w:eastAsia="en-GB"/>
        </w:rPr>
        <w:t>a</w:t>
      </w:r>
      <w:r w:rsidRPr="00CE0885">
        <w:rPr>
          <w:lang w:eastAsia="en-GB"/>
        </w:rPr>
        <w:t>s</w:t>
      </w:r>
      <w:r w:rsidRPr="00CE0885">
        <w:rPr>
          <w:spacing w:val="-3"/>
          <w:lang w:eastAsia="en-GB"/>
        </w:rPr>
        <w:t xml:space="preserve"> </w:t>
      </w:r>
      <w:r w:rsidRPr="00CE0885">
        <w:rPr>
          <w:lang w:eastAsia="en-GB"/>
        </w:rPr>
        <w:t xml:space="preserve">a </w:t>
      </w:r>
      <w:r w:rsidRPr="00CE0885">
        <w:rPr>
          <w:spacing w:val="-1"/>
          <w:lang w:eastAsia="en-GB"/>
        </w:rPr>
        <w:t>r</w:t>
      </w:r>
      <w:r w:rsidRPr="00CE0885">
        <w:rPr>
          <w:lang w:eastAsia="en-GB"/>
        </w:rPr>
        <w:t>esult</w:t>
      </w:r>
      <w:r w:rsidRPr="00CE0885">
        <w:rPr>
          <w:spacing w:val="-7"/>
          <w:lang w:eastAsia="en-GB"/>
        </w:rPr>
        <w:t xml:space="preserve"> </w:t>
      </w:r>
      <w:r w:rsidRPr="00CE0885">
        <w:rPr>
          <w:spacing w:val="-1"/>
          <w:lang w:eastAsia="en-GB"/>
        </w:rPr>
        <w:t>o</w:t>
      </w:r>
      <w:r w:rsidRPr="00CE0885">
        <w:rPr>
          <w:lang w:eastAsia="en-GB"/>
        </w:rPr>
        <w:t xml:space="preserve">f </w:t>
      </w:r>
      <w:r w:rsidRPr="00CE0885">
        <w:rPr>
          <w:spacing w:val="-2"/>
          <w:lang w:eastAsia="en-GB"/>
        </w:rPr>
        <w:t>t</w:t>
      </w:r>
      <w:r w:rsidRPr="00CE0885">
        <w:rPr>
          <w:lang w:eastAsia="en-GB"/>
        </w:rPr>
        <w:t>he</w:t>
      </w:r>
      <w:r w:rsidRPr="00CE0885">
        <w:rPr>
          <w:spacing w:val="-4"/>
          <w:lang w:eastAsia="en-GB"/>
        </w:rPr>
        <w:t xml:space="preserve"> </w:t>
      </w:r>
      <w:r w:rsidRPr="00CE0885">
        <w:rPr>
          <w:lang w:eastAsia="en-GB"/>
        </w:rPr>
        <w:t>noti</w:t>
      </w:r>
      <w:r w:rsidRPr="00CE0885">
        <w:rPr>
          <w:spacing w:val="-2"/>
          <w:lang w:eastAsia="en-GB"/>
        </w:rPr>
        <w:t>c</w:t>
      </w:r>
      <w:r w:rsidRPr="00CE0885">
        <w:rPr>
          <w:lang w:eastAsia="en-GB"/>
        </w:rPr>
        <w:t>e.</w:t>
      </w:r>
      <w:bookmarkEnd w:id="666"/>
    </w:p>
    <w:p w14:paraId="31A377C7" w14:textId="77777777" w:rsidR="00977693" w:rsidRPr="00CE0885" w:rsidRDefault="00977693" w:rsidP="006B781A">
      <w:pPr>
        <w:pStyle w:val="Heading3"/>
        <w:rPr>
          <w:lang w:eastAsia="en-GB"/>
        </w:rPr>
      </w:pPr>
      <w:bookmarkStart w:id="667" w:name="_Toc440981810"/>
      <w:r w:rsidRPr="00CE0885">
        <w:rPr>
          <w:lang w:eastAsia="en-GB"/>
        </w:rPr>
        <w:t>Although not required by the GMS Regulations, t</w:t>
      </w:r>
      <w:r w:rsidRPr="00CE0885">
        <w:rPr>
          <w:spacing w:val="-1"/>
          <w:lang w:eastAsia="en-GB"/>
        </w:rPr>
        <w:t>h</w:t>
      </w:r>
      <w:r w:rsidRPr="00CE0885">
        <w:rPr>
          <w:lang w:eastAsia="en-GB"/>
        </w:rPr>
        <w:t>e Standard</w:t>
      </w:r>
      <w:r w:rsidRPr="00CE0885">
        <w:rPr>
          <w:spacing w:val="-2"/>
          <w:lang w:eastAsia="en-GB"/>
        </w:rPr>
        <w:t xml:space="preserve"> </w:t>
      </w:r>
      <w:r w:rsidRPr="00CE0885">
        <w:rPr>
          <w:lang w:eastAsia="en-GB"/>
        </w:rPr>
        <w:t>G</w:t>
      </w:r>
      <w:r w:rsidRPr="00CE0885">
        <w:rPr>
          <w:spacing w:val="-1"/>
          <w:lang w:eastAsia="en-GB"/>
        </w:rPr>
        <w:t>M</w:t>
      </w:r>
      <w:r w:rsidRPr="00CE0885">
        <w:rPr>
          <w:lang w:eastAsia="en-GB"/>
        </w:rPr>
        <w:t>S</w:t>
      </w:r>
      <w:r w:rsidRPr="00CE0885">
        <w:rPr>
          <w:spacing w:val="-4"/>
          <w:lang w:eastAsia="en-GB"/>
        </w:rPr>
        <w:t xml:space="preserve"> C</w:t>
      </w:r>
      <w:r w:rsidRPr="00CE0885">
        <w:rPr>
          <w:lang w:eastAsia="en-GB"/>
        </w:rPr>
        <w:t>ont</w:t>
      </w:r>
      <w:r w:rsidRPr="00CE0885">
        <w:rPr>
          <w:spacing w:val="-1"/>
          <w:lang w:eastAsia="en-GB"/>
        </w:rPr>
        <w:t>r</w:t>
      </w:r>
      <w:r w:rsidRPr="00CE0885">
        <w:rPr>
          <w:lang w:eastAsia="en-GB"/>
        </w:rPr>
        <w:t>a</w:t>
      </w:r>
      <w:r w:rsidRPr="00CE0885">
        <w:rPr>
          <w:spacing w:val="-2"/>
          <w:lang w:eastAsia="en-GB"/>
        </w:rPr>
        <w:t>c</w:t>
      </w:r>
      <w:r w:rsidRPr="00CE0885">
        <w:rPr>
          <w:lang w:eastAsia="en-GB"/>
        </w:rPr>
        <w:t>t</w:t>
      </w:r>
      <w:r w:rsidRPr="00CE0885">
        <w:rPr>
          <w:spacing w:val="-8"/>
          <w:lang w:eastAsia="en-GB"/>
        </w:rPr>
        <w:t xml:space="preserve"> </w:t>
      </w:r>
      <w:r w:rsidRPr="00CE0885">
        <w:rPr>
          <w:lang w:eastAsia="en-GB"/>
        </w:rPr>
        <w:t>cl</w:t>
      </w:r>
      <w:r w:rsidRPr="00CE0885">
        <w:rPr>
          <w:spacing w:val="-1"/>
          <w:lang w:eastAsia="en-GB"/>
        </w:rPr>
        <w:t>e</w:t>
      </w:r>
      <w:r w:rsidRPr="00CE0885">
        <w:rPr>
          <w:lang w:eastAsia="en-GB"/>
        </w:rPr>
        <w:t>a</w:t>
      </w:r>
      <w:r w:rsidRPr="00CE0885">
        <w:rPr>
          <w:spacing w:val="-1"/>
          <w:lang w:eastAsia="en-GB"/>
        </w:rPr>
        <w:t>r</w:t>
      </w:r>
      <w:r w:rsidRPr="00CE0885">
        <w:rPr>
          <w:lang w:eastAsia="en-GB"/>
        </w:rPr>
        <w:t>ly</w:t>
      </w:r>
      <w:r w:rsidRPr="00CE0885">
        <w:rPr>
          <w:spacing w:val="-9"/>
          <w:lang w:eastAsia="en-GB"/>
        </w:rPr>
        <w:t xml:space="preserve"> </w:t>
      </w:r>
      <w:r w:rsidRPr="00CE0885">
        <w:rPr>
          <w:lang w:eastAsia="en-GB"/>
        </w:rPr>
        <w:t>sets</w:t>
      </w:r>
      <w:r w:rsidRPr="00CE0885">
        <w:rPr>
          <w:spacing w:val="-2"/>
          <w:lang w:eastAsia="en-GB"/>
        </w:rPr>
        <w:t xml:space="preserve"> </w:t>
      </w:r>
      <w:r w:rsidRPr="00CE0885">
        <w:rPr>
          <w:lang w:eastAsia="en-GB"/>
        </w:rPr>
        <w:t>out</w:t>
      </w:r>
      <w:r w:rsidRPr="00CE0885">
        <w:rPr>
          <w:spacing w:val="-4"/>
          <w:lang w:eastAsia="en-GB"/>
        </w:rPr>
        <w:t xml:space="preserve"> </w:t>
      </w:r>
      <w:r w:rsidRPr="00CE0885">
        <w:rPr>
          <w:lang w:eastAsia="en-GB"/>
        </w:rPr>
        <w:t>the</w:t>
      </w:r>
      <w:r w:rsidRPr="00CE0885">
        <w:rPr>
          <w:spacing w:val="-4"/>
          <w:lang w:eastAsia="en-GB"/>
        </w:rPr>
        <w:t xml:space="preserve"> </w:t>
      </w:r>
      <w:r w:rsidRPr="00CE0885">
        <w:rPr>
          <w:lang w:eastAsia="en-GB"/>
        </w:rPr>
        <w:t>a</w:t>
      </w:r>
      <w:r w:rsidRPr="00CE0885">
        <w:rPr>
          <w:spacing w:val="-1"/>
          <w:lang w:eastAsia="en-GB"/>
        </w:rPr>
        <w:t>rr</w:t>
      </w:r>
      <w:r w:rsidRPr="00CE0885">
        <w:rPr>
          <w:lang w:eastAsia="en-GB"/>
        </w:rPr>
        <w:t>an</w:t>
      </w:r>
      <w:r w:rsidRPr="00CE0885">
        <w:rPr>
          <w:spacing w:val="-1"/>
          <w:lang w:eastAsia="en-GB"/>
        </w:rPr>
        <w:t>ge</w:t>
      </w:r>
      <w:r w:rsidRPr="00CE0885">
        <w:rPr>
          <w:lang w:eastAsia="en-GB"/>
        </w:rPr>
        <w:t>me</w:t>
      </w:r>
      <w:r w:rsidRPr="00CE0885">
        <w:rPr>
          <w:spacing w:val="-1"/>
          <w:lang w:eastAsia="en-GB"/>
        </w:rPr>
        <w:t>n</w:t>
      </w:r>
      <w:r w:rsidRPr="00CE0885">
        <w:rPr>
          <w:lang w:eastAsia="en-GB"/>
        </w:rPr>
        <w:t>ts</w:t>
      </w:r>
      <w:r w:rsidRPr="00CE0885">
        <w:rPr>
          <w:spacing w:val="-17"/>
          <w:lang w:eastAsia="en-GB"/>
        </w:rPr>
        <w:t xml:space="preserve"> </w:t>
      </w:r>
      <w:r w:rsidRPr="00CE0885">
        <w:rPr>
          <w:lang w:eastAsia="en-GB"/>
        </w:rPr>
        <w:t>that</w:t>
      </w:r>
      <w:r w:rsidRPr="00CE0885">
        <w:rPr>
          <w:spacing w:val="-5"/>
          <w:lang w:eastAsia="en-GB"/>
        </w:rPr>
        <w:t xml:space="preserve"> </w:t>
      </w:r>
      <w:r w:rsidRPr="00CE0885">
        <w:rPr>
          <w:lang w:eastAsia="en-GB"/>
        </w:rPr>
        <w:t>mu</w:t>
      </w:r>
      <w:r w:rsidRPr="00CE0885">
        <w:rPr>
          <w:spacing w:val="-2"/>
          <w:lang w:eastAsia="en-GB"/>
        </w:rPr>
        <w:t>s</w:t>
      </w:r>
      <w:r w:rsidRPr="00CE0885">
        <w:rPr>
          <w:lang w:eastAsia="en-GB"/>
        </w:rPr>
        <w:t>t</w:t>
      </w:r>
      <w:r w:rsidRPr="00CE0885">
        <w:rPr>
          <w:spacing w:val="-4"/>
          <w:lang w:eastAsia="en-GB"/>
        </w:rPr>
        <w:t xml:space="preserve"> </w:t>
      </w:r>
      <w:r w:rsidRPr="00CE0885">
        <w:rPr>
          <w:spacing w:val="-1"/>
          <w:lang w:eastAsia="en-GB"/>
        </w:rPr>
        <w:t>b</w:t>
      </w:r>
      <w:r w:rsidRPr="00CE0885">
        <w:rPr>
          <w:lang w:eastAsia="en-GB"/>
        </w:rPr>
        <w:t>e</w:t>
      </w:r>
      <w:r w:rsidRPr="00CE0885">
        <w:rPr>
          <w:spacing w:val="-4"/>
          <w:lang w:eastAsia="en-GB"/>
        </w:rPr>
        <w:t xml:space="preserve"> </w:t>
      </w:r>
      <w:r w:rsidRPr="00CE0885">
        <w:rPr>
          <w:lang w:eastAsia="en-GB"/>
        </w:rPr>
        <w:t>ma</w:t>
      </w:r>
      <w:r w:rsidRPr="00CE0885">
        <w:rPr>
          <w:spacing w:val="-1"/>
          <w:lang w:eastAsia="en-GB"/>
        </w:rPr>
        <w:t>d</w:t>
      </w:r>
      <w:r w:rsidRPr="00CE0885">
        <w:rPr>
          <w:lang w:eastAsia="en-GB"/>
        </w:rPr>
        <w:t>e</w:t>
      </w:r>
      <w:r w:rsidRPr="00CE0885">
        <w:rPr>
          <w:spacing w:val="-4"/>
          <w:lang w:eastAsia="en-GB"/>
        </w:rPr>
        <w:t xml:space="preserve"> </w:t>
      </w:r>
      <w:r w:rsidRPr="00CE0885">
        <w:rPr>
          <w:spacing w:val="-1"/>
          <w:lang w:eastAsia="en-GB"/>
        </w:rPr>
        <w:t>o</w:t>
      </w:r>
      <w:r w:rsidRPr="00CE0885">
        <w:rPr>
          <w:lang w:eastAsia="en-GB"/>
        </w:rPr>
        <w:t>n te</w:t>
      </w:r>
      <w:r w:rsidRPr="00CE0885">
        <w:rPr>
          <w:spacing w:val="-1"/>
          <w:lang w:eastAsia="en-GB"/>
        </w:rPr>
        <w:t>r</w:t>
      </w:r>
      <w:r w:rsidRPr="00CE0885">
        <w:rPr>
          <w:lang w:eastAsia="en-GB"/>
        </w:rPr>
        <w:t>mi</w:t>
      </w:r>
      <w:r w:rsidRPr="00CE0885">
        <w:rPr>
          <w:spacing w:val="-1"/>
          <w:lang w:eastAsia="en-GB"/>
        </w:rPr>
        <w:t>n</w:t>
      </w:r>
      <w:r w:rsidRPr="00CE0885">
        <w:rPr>
          <w:lang w:eastAsia="en-GB"/>
        </w:rPr>
        <w:t>ation</w:t>
      </w:r>
      <w:r w:rsidRPr="00CE0885">
        <w:rPr>
          <w:spacing w:val="-13"/>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a c</w:t>
      </w:r>
      <w:r w:rsidRPr="00CE0885">
        <w:rPr>
          <w:spacing w:val="-1"/>
          <w:lang w:eastAsia="en-GB"/>
        </w:rPr>
        <w:t>o</w:t>
      </w:r>
      <w:r w:rsidRPr="00CE0885">
        <w:rPr>
          <w:lang w:eastAsia="en-GB"/>
        </w:rPr>
        <w:t>nt</w:t>
      </w:r>
      <w:r w:rsidRPr="00CE0885">
        <w:rPr>
          <w:spacing w:val="-1"/>
          <w:lang w:eastAsia="en-GB"/>
        </w:rPr>
        <w:t>ra</w:t>
      </w:r>
      <w:r w:rsidRPr="00CE0885">
        <w:rPr>
          <w:lang w:eastAsia="en-GB"/>
        </w:rPr>
        <w:t>ct,</w:t>
      </w:r>
      <w:r w:rsidRPr="00CE0885">
        <w:rPr>
          <w:spacing w:val="-8"/>
          <w:lang w:eastAsia="en-GB"/>
        </w:rPr>
        <w:t xml:space="preserve"> </w:t>
      </w:r>
      <w:r w:rsidRPr="00CE0885">
        <w:rPr>
          <w:spacing w:val="-3"/>
          <w:lang w:eastAsia="en-GB"/>
        </w:rPr>
        <w:t>w</w:t>
      </w:r>
      <w:r w:rsidRPr="00CE0885">
        <w:rPr>
          <w:lang w:eastAsia="en-GB"/>
        </w:rPr>
        <w:t>hich</w:t>
      </w:r>
      <w:r w:rsidRPr="00CE0885">
        <w:rPr>
          <w:spacing w:val="-4"/>
          <w:lang w:eastAsia="en-GB"/>
        </w:rPr>
        <w:t xml:space="preserve"> </w:t>
      </w:r>
      <w:r w:rsidRPr="00CE0885">
        <w:rPr>
          <w:lang w:eastAsia="en-GB"/>
        </w:rPr>
        <w:t>include</w:t>
      </w:r>
      <w:r w:rsidRPr="00CE0885">
        <w:rPr>
          <w:spacing w:val="-6"/>
          <w:lang w:eastAsia="en-GB"/>
        </w:rPr>
        <w:t xml:space="preserve"> </w:t>
      </w:r>
      <w:r w:rsidRPr="00CE0885">
        <w:rPr>
          <w:spacing w:val="-3"/>
          <w:lang w:eastAsia="en-GB"/>
        </w:rPr>
        <w:t>(</w:t>
      </w:r>
      <w:r w:rsidRPr="00CE0885">
        <w:rPr>
          <w:lang w:eastAsia="en-GB"/>
        </w:rPr>
        <w:t>but</w:t>
      </w:r>
      <w:r w:rsidRPr="00CE0885">
        <w:rPr>
          <w:spacing w:val="-5"/>
          <w:lang w:eastAsia="en-GB"/>
        </w:rPr>
        <w:t xml:space="preserve"> </w:t>
      </w:r>
      <w:r w:rsidRPr="00CE0885">
        <w:rPr>
          <w:spacing w:val="-1"/>
          <w:lang w:eastAsia="en-GB"/>
        </w:rPr>
        <w:t>ar</w:t>
      </w:r>
      <w:r w:rsidRPr="00CE0885">
        <w:rPr>
          <w:lang w:eastAsia="en-GB"/>
        </w:rPr>
        <w:t>e</w:t>
      </w:r>
      <w:r w:rsidRPr="00CE0885">
        <w:rPr>
          <w:spacing w:val="-1"/>
          <w:lang w:eastAsia="en-GB"/>
        </w:rPr>
        <w:t xml:space="preserve"> </w:t>
      </w:r>
      <w:r w:rsidRPr="00CE0885">
        <w:rPr>
          <w:lang w:eastAsia="en-GB"/>
        </w:rPr>
        <w:t>not</w:t>
      </w:r>
      <w:r w:rsidRPr="00CE0885">
        <w:rPr>
          <w:spacing w:val="-2"/>
          <w:lang w:eastAsia="en-GB"/>
        </w:rPr>
        <w:t xml:space="preserve"> </w:t>
      </w:r>
      <w:r w:rsidRPr="00CE0885">
        <w:rPr>
          <w:lang w:eastAsia="en-GB"/>
        </w:rPr>
        <w:t>l</w:t>
      </w:r>
      <w:r w:rsidRPr="00CE0885">
        <w:rPr>
          <w:spacing w:val="-3"/>
          <w:lang w:eastAsia="en-GB"/>
        </w:rPr>
        <w:t>i</w:t>
      </w:r>
      <w:r w:rsidRPr="00CE0885">
        <w:rPr>
          <w:lang w:eastAsia="en-GB"/>
        </w:rPr>
        <w:t>mited</w:t>
      </w:r>
      <w:r w:rsidRPr="00CE0885">
        <w:rPr>
          <w:spacing w:val="-8"/>
          <w:lang w:eastAsia="en-GB"/>
        </w:rPr>
        <w:t xml:space="preserve"> </w:t>
      </w:r>
      <w:r w:rsidRPr="00CE0885">
        <w:rPr>
          <w:lang w:eastAsia="en-GB"/>
        </w:rPr>
        <w:t>to)</w:t>
      </w:r>
      <w:r w:rsidRPr="00CE0885">
        <w:rPr>
          <w:spacing w:val="-3"/>
          <w:lang w:eastAsia="en-GB"/>
        </w:rPr>
        <w:t xml:space="preserve"> </w:t>
      </w:r>
      <w:r w:rsidRPr="00CE0885">
        <w:rPr>
          <w:spacing w:val="-2"/>
          <w:lang w:eastAsia="en-GB"/>
        </w:rPr>
        <w:t>t</w:t>
      </w:r>
      <w:r w:rsidRPr="00CE0885">
        <w:rPr>
          <w:lang w:eastAsia="en-GB"/>
        </w:rPr>
        <w:t>he cont</w:t>
      </w:r>
      <w:r w:rsidRPr="00CE0885">
        <w:rPr>
          <w:spacing w:val="-1"/>
          <w:lang w:eastAsia="en-GB"/>
        </w:rPr>
        <w:t>r</w:t>
      </w:r>
      <w:r w:rsidRPr="00CE0885">
        <w:rPr>
          <w:lang w:eastAsia="en-GB"/>
        </w:rPr>
        <w:t>ac</w:t>
      </w:r>
      <w:r w:rsidRPr="00CE0885">
        <w:rPr>
          <w:spacing w:val="-2"/>
          <w:lang w:eastAsia="en-GB"/>
        </w:rPr>
        <w:t>t</w:t>
      </w:r>
      <w:r w:rsidRPr="00CE0885">
        <w:rPr>
          <w:lang w:eastAsia="en-GB"/>
        </w:rPr>
        <w:t>or</w:t>
      </w:r>
      <w:r w:rsidRPr="00CE0885">
        <w:rPr>
          <w:spacing w:val="-11"/>
          <w:lang w:eastAsia="en-GB"/>
        </w:rPr>
        <w:t xml:space="preserve"> </w:t>
      </w:r>
      <w:r w:rsidRPr="00CE0885">
        <w:rPr>
          <w:lang w:eastAsia="en-GB"/>
        </w:rPr>
        <w:t>ha</w:t>
      </w:r>
      <w:r w:rsidRPr="00CE0885">
        <w:rPr>
          <w:spacing w:val="-2"/>
          <w:lang w:eastAsia="en-GB"/>
        </w:rPr>
        <w:t>v</w:t>
      </w:r>
      <w:r w:rsidRPr="00CE0885">
        <w:rPr>
          <w:lang w:eastAsia="en-GB"/>
        </w:rPr>
        <w:t>ing</w:t>
      </w:r>
      <w:r w:rsidRPr="00CE0885">
        <w:rPr>
          <w:spacing w:val="-8"/>
          <w:lang w:eastAsia="en-GB"/>
        </w:rPr>
        <w:t xml:space="preserve"> </w:t>
      </w:r>
      <w:r w:rsidRPr="00CE0885">
        <w:rPr>
          <w:lang w:eastAsia="en-GB"/>
        </w:rPr>
        <w:t>to:</w:t>
      </w:r>
      <w:bookmarkEnd w:id="667"/>
    </w:p>
    <w:p w14:paraId="6736CC28" w14:textId="77777777" w:rsidR="00977693" w:rsidRPr="00CE0885" w:rsidRDefault="00977693" w:rsidP="00FA6A70">
      <w:pPr>
        <w:pStyle w:val="Heading4"/>
      </w:pPr>
      <w:bookmarkStart w:id="668" w:name="_Toc440981811"/>
      <w:r w:rsidRPr="00CE0885">
        <w:t>cease</w:t>
      </w:r>
      <w:r w:rsidRPr="00CE0885">
        <w:rPr>
          <w:spacing w:val="-7"/>
        </w:rPr>
        <w:t xml:space="preserve"> </w:t>
      </w:r>
      <w:r w:rsidRPr="00CE0885">
        <w:t>pe</w:t>
      </w:r>
      <w:r w:rsidRPr="00CE0885">
        <w:rPr>
          <w:spacing w:val="-3"/>
        </w:rPr>
        <w:t>r</w:t>
      </w:r>
      <w:r w:rsidRPr="00CE0885">
        <w:rPr>
          <w:spacing w:val="3"/>
        </w:rPr>
        <w:t>f</w:t>
      </w:r>
      <w:r w:rsidRPr="00CE0885">
        <w:t>o</w:t>
      </w:r>
      <w:r w:rsidRPr="00CE0885">
        <w:rPr>
          <w:spacing w:val="-3"/>
        </w:rPr>
        <w:t>r</w:t>
      </w:r>
      <w:r w:rsidRPr="00CE0885">
        <w:rPr>
          <w:spacing w:val="2"/>
        </w:rPr>
        <w:t>m</w:t>
      </w:r>
      <w:r w:rsidRPr="00CE0885">
        <w:t>ing</w:t>
      </w:r>
      <w:r w:rsidRPr="00CE0885">
        <w:rPr>
          <w:spacing w:val="-12"/>
        </w:rPr>
        <w:t xml:space="preserve"> </w:t>
      </w:r>
      <w:r w:rsidRPr="00CE0885">
        <w:t>any</w:t>
      </w:r>
      <w:r w:rsidRPr="00CE0885">
        <w:rPr>
          <w:spacing w:val="-8"/>
        </w:rPr>
        <w:t xml:space="preserve"> </w:t>
      </w:r>
      <w:r w:rsidRPr="00CE0885">
        <w:rPr>
          <w:spacing w:val="-3"/>
        </w:rPr>
        <w:t>w</w:t>
      </w:r>
      <w:r w:rsidRPr="00CE0885">
        <w:t>o</w:t>
      </w:r>
      <w:r w:rsidRPr="00CE0885">
        <w:rPr>
          <w:spacing w:val="-1"/>
        </w:rPr>
        <w:t>r</w:t>
      </w:r>
      <w:r w:rsidRPr="00CE0885">
        <w:t>k</w:t>
      </w:r>
      <w:r w:rsidRPr="00CE0885">
        <w:rPr>
          <w:spacing w:val="-5"/>
        </w:rPr>
        <w:t xml:space="preserve"> </w:t>
      </w:r>
      <w:r w:rsidRPr="00CE0885">
        <w:t>or</w:t>
      </w:r>
      <w:r w:rsidRPr="00CE0885">
        <w:rPr>
          <w:spacing w:val="-2"/>
        </w:rPr>
        <w:t xml:space="preserve"> </w:t>
      </w:r>
      <w:r w:rsidRPr="00CE0885">
        <w:t>ca</w:t>
      </w:r>
      <w:r w:rsidRPr="00CE0885">
        <w:rPr>
          <w:spacing w:val="-1"/>
        </w:rPr>
        <w:t>r</w:t>
      </w:r>
      <w:r w:rsidRPr="00CE0885">
        <w:rPr>
          <w:spacing w:val="2"/>
        </w:rPr>
        <w:t>r</w:t>
      </w:r>
      <w:r w:rsidRPr="00CE0885">
        <w:rPr>
          <w:spacing w:val="-2"/>
        </w:rPr>
        <w:t>y</w:t>
      </w:r>
      <w:r w:rsidRPr="00CE0885">
        <w:t>ing</w:t>
      </w:r>
      <w:r w:rsidRPr="00CE0885">
        <w:rPr>
          <w:spacing w:val="-10"/>
        </w:rPr>
        <w:t xml:space="preserve"> </w:t>
      </w:r>
      <w:r w:rsidRPr="00CE0885">
        <w:t>out</w:t>
      </w:r>
      <w:r w:rsidRPr="00CE0885">
        <w:rPr>
          <w:spacing w:val="-2"/>
        </w:rPr>
        <w:t xml:space="preserve"> </w:t>
      </w:r>
      <w:r w:rsidRPr="00CE0885">
        <w:t>a</w:t>
      </w:r>
      <w:r w:rsidRPr="00CE0885">
        <w:rPr>
          <w:spacing w:val="-1"/>
        </w:rPr>
        <w:t>n</w:t>
      </w:r>
      <w:r w:rsidRPr="00CE0885">
        <w:t>y</w:t>
      </w:r>
      <w:r w:rsidRPr="00CE0885">
        <w:rPr>
          <w:spacing w:val="-6"/>
        </w:rPr>
        <w:t xml:space="preserve"> </w:t>
      </w:r>
      <w:r w:rsidRPr="00CE0885">
        <w:t>obli</w:t>
      </w:r>
      <w:r w:rsidRPr="00CE0885">
        <w:rPr>
          <w:spacing w:val="-1"/>
        </w:rPr>
        <w:t>g</w:t>
      </w:r>
      <w:r w:rsidRPr="00CE0885">
        <w:t>ations un</w:t>
      </w:r>
      <w:r w:rsidRPr="00CE0885">
        <w:rPr>
          <w:spacing w:val="-1"/>
        </w:rPr>
        <w:t>d</w:t>
      </w:r>
      <w:r w:rsidRPr="00CE0885">
        <w:t>er</w:t>
      </w:r>
      <w:r w:rsidRPr="00CE0885">
        <w:rPr>
          <w:spacing w:val="-6"/>
        </w:rPr>
        <w:t xml:space="preserve"> </w:t>
      </w:r>
      <w:r w:rsidRPr="00CE0885">
        <w:t>the</w:t>
      </w:r>
      <w:r w:rsidRPr="00CE0885">
        <w:rPr>
          <w:spacing w:val="-4"/>
        </w:rPr>
        <w:t xml:space="preserve"> </w:t>
      </w:r>
      <w:r w:rsidRPr="00CE0885">
        <w:t>co</w:t>
      </w:r>
      <w:r w:rsidRPr="00CE0885">
        <w:rPr>
          <w:spacing w:val="-1"/>
        </w:rPr>
        <w:t>n</w:t>
      </w:r>
      <w:r w:rsidRPr="00CE0885">
        <w:t>t</w:t>
      </w:r>
      <w:r w:rsidRPr="00CE0885">
        <w:rPr>
          <w:spacing w:val="-1"/>
        </w:rPr>
        <w:t>r</w:t>
      </w:r>
      <w:r w:rsidRPr="00CE0885">
        <w:t>act;</w:t>
      </w:r>
      <w:bookmarkEnd w:id="668"/>
      <w:r w:rsidRPr="00CE0885">
        <w:t xml:space="preserve"> </w:t>
      </w:r>
    </w:p>
    <w:p w14:paraId="3C430395" w14:textId="77777777" w:rsidR="00977693" w:rsidRPr="00CE0885" w:rsidRDefault="00977693" w:rsidP="00FA6A70">
      <w:pPr>
        <w:pStyle w:val="Heading4"/>
      </w:pPr>
      <w:bookmarkStart w:id="669" w:name="_Toc440981812"/>
      <w:r w:rsidRPr="00CE0885">
        <w:t>co</w:t>
      </w:r>
      <w:r w:rsidRPr="00CE0885">
        <w:rPr>
          <w:spacing w:val="-1"/>
        </w:rPr>
        <w:t>-</w:t>
      </w:r>
      <w:r w:rsidRPr="00CE0885">
        <w:t>ope</w:t>
      </w:r>
      <w:r w:rsidRPr="00CE0885">
        <w:rPr>
          <w:spacing w:val="-1"/>
        </w:rPr>
        <w:t>ra</w:t>
      </w:r>
      <w:r w:rsidRPr="00CE0885">
        <w:t>te</w:t>
      </w:r>
      <w:r w:rsidRPr="00CE0885">
        <w:rPr>
          <w:spacing w:val="-9"/>
        </w:rPr>
        <w:t xml:space="preserve"> </w:t>
      </w:r>
      <w:r w:rsidRPr="00CE0885">
        <w:rPr>
          <w:spacing w:val="-3"/>
        </w:rPr>
        <w:t>w</w:t>
      </w:r>
      <w:r w:rsidRPr="00CE0885">
        <w:t>ith</w:t>
      </w:r>
      <w:r w:rsidRPr="00CE0885">
        <w:rPr>
          <w:spacing w:val="-2"/>
        </w:rPr>
        <w:t xml:space="preserve"> </w:t>
      </w:r>
      <w:r w:rsidRPr="00CE0885">
        <w:t xml:space="preserve">the </w:t>
      </w:r>
      <w:r w:rsidRPr="00CE0885">
        <w:rPr>
          <w:spacing w:val="-2"/>
        </w:rPr>
        <w:t>Commissioner</w:t>
      </w:r>
      <w:r w:rsidRPr="00CE0885">
        <w:rPr>
          <w:spacing w:val="-3"/>
        </w:rPr>
        <w:t xml:space="preserve"> </w:t>
      </w:r>
      <w:r w:rsidRPr="00CE0885">
        <w:t>to</w:t>
      </w:r>
      <w:r w:rsidRPr="00CE0885">
        <w:rPr>
          <w:spacing w:val="-3"/>
        </w:rPr>
        <w:t xml:space="preserve"> </w:t>
      </w:r>
      <w:r w:rsidRPr="00CE0885">
        <w:t>en</w:t>
      </w:r>
      <w:r w:rsidRPr="00CE0885">
        <w:rPr>
          <w:spacing w:val="-1"/>
        </w:rPr>
        <w:t>a</w:t>
      </w:r>
      <w:r w:rsidRPr="00CE0885">
        <w:t>ble</w:t>
      </w:r>
      <w:r w:rsidRPr="00CE0885">
        <w:rPr>
          <w:spacing w:val="-5"/>
        </w:rPr>
        <w:t xml:space="preserve"> </w:t>
      </w:r>
      <w:r w:rsidRPr="00CE0885">
        <w:rPr>
          <w:spacing w:val="-1"/>
        </w:rPr>
        <w:t>a</w:t>
      </w:r>
      <w:r w:rsidRPr="00CE0885">
        <w:t>ny</w:t>
      </w:r>
      <w:r w:rsidRPr="00CE0885">
        <w:rPr>
          <w:spacing w:val="-6"/>
        </w:rPr>
        <w:t xml:space="preserve"> </w:t>
      </w:r>
      <w:r w:rsidRPr="00CE0885">
        <w:t>outst</w:t>
      </w:r>
      <w:r w:rsidRPr="00CE0885">
        <w:rPr>
          <w:spacing w:val="-1"/>
        </w:rPr>
        <w:t>a</w:t>
      </w:r>
      <w:r w:rsidRPr="00CE0885">
        <w:t xml:space="preserve">nding </w:t>
      </w:r>
      <w:r w:rsidRPr="00CE0885">
        <w:rPr>
          <w:spacing w:val="2"/>
        </w:rPr>
        <w:t>m</w:t>
      </w:r>
      <w:r w:rsidRPr="00CE0885">
        <w:t>a</w:t>
      </w:r>
      <w:r w:rsidRPr="00CE0885">
        <w:rPr>
          <w:spacing w:val="-2"/>
        </w:rPr>
        <w:t>t</w:t>
      </w:r>
      <w:r w:rsidRPr="00CE0885">
        <w:t>te</w:t>
      </w:r>
      <w:r w:rsidRPr="00CE0885">
        <w:rPr>
          <w:spacing w:val="-1"/>
        </w:rPr>
        <w:t>r</w:t>
      </w:r>
      <w:r w:rsidRPr="00CE0885">
        <w:t>s</w:t>
      </w:r>
      <w:r w:rsidRPr="00CE0885">
        <w:rPr>
          <w:spacing w:val="-8"/>
        </w:rPr>
        <w:t xml:space="preserve"> </w:t>
      </w:r>
      <w:r w:rsidRPr="00CE0885">
        <w:rPr>
          <w:spacing w:val="-1"/>
        </w:rPr>
        <w:t>u</w:t>
      </w:r>
      <w:r w:rsidRPr="00CE0885">
        <w:t>nder</w:t>
      </w:r>
      <w:r w:rsidRPr="00CE0885">
        <w:rPr>
          <w:spacing w:val="-6"/>
        </w:rPr>
        <w:t xml:space="preserve"> </w:t>
      </w:r>
      <w:r w:rsidRPr="00CE0885">
        <w:rPr>
          <w:spacing w:val="-2"/>
        </w:rPr>
        <w:t>t</w:t>
      </w:r>
      <w:r w:rsidRPr="00CE0885">
        <w:t>he</w:t>
      </w:r>
      <w:r w:rsidRPr="00CE0885">
        <w:rPr>
          <w:spacing w:val="-1"/>
        </w:rPr>
        <w:t xml:space="preserve"> </w:t>
      </w:r>
      <w:r w:rsidRPr="00CE0885">
        <w:rPr>
          <w:spacing w:val="-2"/>
        </w:rPr>
        <w:t>c</w:t>
      </w:r>
      <w:r w:rsidRPr="00CE0885">
        <w:t>on</w:t>
      </w:r>
      <w:r w:rsidRPr="00CE0885">
        <w:rPr>
          <w:spacing w:val="-2"/>
        </w:rPr>
        <w:t>t</w:t>
      </w:r>
      <w:r w:rsidRPr="00CE0885">
        <w:rPr>
          <w:spacing w:val="-1"/>
        </w:rPr>
        <w:t>r</w:t>
      </w:r>
      <w:r w:rsidRPr="00CE0885">
        <w:t>act</w:t>
      </w:r>
      <w:r w:rsidRPr="00CE0885">
        <w:rPr>
          <w:spacing w:val="-8"/>
        </w:rPr>
        <w:t xml:space="preserve"> </w:t>
      </w:r>
      <w:r w:rsidRPr="00CE0885">
        <w:t>to</w:t>
      </w:r>
      <w:r w:rsidRPr="00CE0885">
        <w:rPr>
          <w:spacing w:val="-3"/>
        </w:rPr>
        <w:t xml:space="preserve"> </w:t>
      </w:r>
      <w:r w:rsidRPr="00CE0885">
        <w:t>be</w:t>
      </w:r>
      <w:r w:rsidRPr="00CE0885">
        <w:rPr>
          <w:spacing w:val="-4"/>
        </w:rPr>
        <w:t xml:space="preserve"> </w:t>
      </w:r>
      <w:r w:rsidRPr="00CE0885">
        <w:t>dealt</w:t>
      </w:r>
      <w:r w:rsidRPr="00CE0885">
        <w:rPr>
          <w:spacing w:val="-6"/>
        </w:rPr>
        <w:t xml:space="preserve"> </w:t>
      </w:r>
      <w:r w:rsidRPr="00CE0885">
        <w:rPr>
          <w:spacing w:val="-3"/>
        </w:rPr>
        <w:t>w</w:t>
      </w:r>
      <w:r w:rsidRPr="00CE0885">
        <w:t>ith</w:t>
      </w:r>
      <w:r w:rsidRPr="00CE0885">
        <w:rPr>
          <w:spacing w:val="-2"/>
        </w:rPr>
        <w:t xml:space="preserve"> </w:t>
      </w:r>
      <w:r w:rsidRPr="00CE0885">
        <w:t>or</w:t>
      </w:r>
      <w:r w:rsidRPr="00CE0885">
        <w:rPr>
          <w:spacing w:val="-2"/>
        </w:rPr>
        <w:t xml:space="preserve"> </w:t>
      </w:r>
      <w:r w:rsidRPr="00CE0885">
        <w:t>conclu</w:t>
      </w:r>
      <w:r w:rsidRPr="00CE0885">
        <w:rPr>
          <w:spacing w:val="-1"/>
        </w:rPr>
        <w:t>d</w:t>
      </w:r>
      <w:r w:rsidRPr="00CE0885">
        <w:t>ed sati</w:t>
      </w:r>
      <w:r w:rsidRPr="00CE0885">
        <w:rPr>
          <w:spacing w:val="-2"/>
        </w:rPr>
        <w:t>s</w:t>
      </w:r>
      <w:r w:rsidRPr="00CE0885">
        <w:rPr>
          <w:spacing w:val="3"/>
        </w:rPr>
        <w:t>f</w:t>
      </w:r>
      <w:r w:rsidRPr="00CE0885">
        <w:t>ac</w:t>
      </w:r>
      <w:r w:rsidRPr="00CE0885">
        <w:rPr>
          <w:spacing w:val="-2"/>
        </w:rPr>
        <w:t>t</w:t>
      </w:r>
      <w:r w:rsidRPr="00CE0885">
        <w:t>o</w:t>
      </w:r>
      <w:r w:rsidRPr="00CE0885">
        <w:rPr>
          <w:spacing w:val="-1"/>
        </w:rPr>
        <w:t>r</w:t>
      </w:r>
      <w:r w:rsidRPr="00CE0885">
        <w:t>il</w:t>
      </w:r>
      <w:r w:rsidRPr="00CE0885">
        <w:rPr>
          <w:spacing w:val="-2"/>
        </w:rPr>
        <w:t>y</w:t>
      </w:r>
      <w:r w:rsidRPr="00CE0885">
        <w:t>;</w:t>
      </w:r>
      <w:bookmarkEnd w:id="669"/>
    </w:p>
    <w:p w14:paraId="71ED37ED" w14:textId="77777777" w:rsidR="00977693" w:rsidRPr="00CE0885" w:rsidRDefault="00977693" w:rsidP="00FA6A70">
      <w:pPr>
        <w:pStyle w:val="Heading4"/>
      </w:pPr>
      <w:bookmarkStart w:id="670" w:name="_Toc440981813"/>
      <w:r w:rsidRPr="00CE0885">
        <w:t>co</w:t>
      </w:r>
      <w:r w:rsidRPr="00CE0885">
        <w:rPr>
          <w:spacing w:val="-1"/>
        </w:rPr>
        <w:t>-</w:t>
      </w:r>
      <w:r w:rsidRPr="00CE0885">
        <w:t>ope</w:t>
      </w:r>
      <w:r w:rsidRPr="00CE0885">
        <w:rPr>
          <w:spacing w:val="-1"/>
        </w:rPr>
        <w:t>ra</w:t>
      </w:r>
      <w:r w:rsidRPr="00CE0885">
        <w:t>te</w:t>
      </w:r>
      <w:r w:rsidRPr="00CE0885">
        <w:rPr>
          <w:spacing w:val="-9"/>
        </w:rPr>
        <w:t xml:space="preserve"> </w:t>
      </w:r>
      <w:r w:rsidRPr="00CE0885">
        <w:rPr>
          <w:spacing w:val="-3"/>
        </w:rPr>
        <w:t>w</w:t>
      </w:r>
      <w:r w:rsidRPr="00CE0885">
        <w:t>ith</w:t>
      </w:r>
      <w:r w:rsidRPr="00CE0885">
        <w:rPr>
          <w:spacing w:val="-2"/>
        </w:rPr>
        <w:t xml:space="preserve"> </w:t>
      </w:r>
      <w:r w:rsidRPr="00CE0885">
        <w:t xml:space="preserve">the </w:t>
      </w:r>
      <w:r w:rsidRPr="00CE0885">
        <w:rPr>
          <w:spacing w:val="-2"/>
        </w:rPr>
        <w:t>Commissioner</w:t>
      </w:r>
      <w:r w:rsidRPr="00CE0885">
        <w:rPr>
          <w:spacing w:val="-3"/>
        </w:rPr>
        <w:t xml:space="preserve"> </w:t>
      </w:r>
      <w:r w:rsidRPr="00CE0885">
        <w:t>to</w:t>
      </w:r>
      <w:r w:rsidRPr="00CE0885">
        <w:rPr>
          <w:spacing w:val="-3"/>
        </w:rPr>
        <w:t xml:space="preserve"> </w:t>
      </w:r>
      <w:r w:rsidRPr="00CE0885">
        <w:t>en</w:t>
      </w:r>
      <w:r w:rsidRPr="00CE0885">
        <w:rPr>
          <w:spacing w:val="-1"/>
        </w:rPr>
        <w:t>a</w:t>
      </w:r>
      <w:r w:rsidRPr="00CE0885">
        <w:t>ble</w:t>
      </w:r>
      <w:r w:rsidRPr="00CE0885">
        <w:rPr>
          <w:spacing w:val="-5"/>
        </w:rPr>
        <w:t xml:space="preserve"> </w:t>
      </w:r>
      <w:r w:rsidRPr="00CE0885">
        <w:rPr>
          <w:spacing w:val="-2"/>
        </w:rPr>
        <w:t>t</w:t>
      </w:r>
      <w:r w:rsidRPr="00CE0885">
        <w:rPr>
          <w:spacing w:val="-1"/>
        </w:rPr>
        <w:t>h</w:t>
      </w:r>
      <w:r w:rsidRPr="00CE0885">
        <w:t>e</w:t>
      </w:r>
      <w:r w:rsidRPr="00CE0885">
        <w:rPr>
          <w:spacing w:val="-1"/>
        </w:rPr>
        <w:t xml:space="preserve"> </w:t>
      </w:r>
      <w:r w:rsidRPr="00CE0885">
        <w:t>co</w:t>
      </w:r>
      <w:r w:rsidRPr="00CE0885">
        <w:rPr>
          <w:spacing w:val="-1"/>
        </w:rPr>
        <w:t>n</w:t>
      </w:r>
      <w:r w:rsidRPr="00CE0885">
        <w:t>t</w:t>
      </w:r>
      <w:r w:rsidRPr="00CE0885">
        <w:rPr>
          <w:spacing w:val="-1"/>
        </w:rPr>
        <w:t>r</w:t>
      </w:r>
      <w:r w:rsidRPr="00CE0885">
        <w:t>acto</w:t>
      </w:r>
      <w:r w:rsidRPr="00CE0885">
        <w:rPr>
          <w:spacing w:val="-1"/>
        </w:rPr>
        <w:t>r</w:t>
      </w:r>
      <w:r w:rsidRPr="00CE0885">
        <w:t>’s pati</w:t>
      </w:r>
      <w:r w:rsidRPr="00CE0885">
        <w:rPr>
          <w:spacing w:val="-1"/>
        </w:rPr>
        <w:t>e</w:t>
      </w:r>
      <w:r w:rsidRPr="00CE0885">
        <w:t>nts</w:t>
      </w:r>
      <w:r w:rsidRPr="00CE0885">
        <w:rPr>
          <w:spacing w:val="-8"/>
        </w:rPr>
        <w:t xml:space="preserve"> </w:t>
      </w:r>
      <w:r w:rsidRPr="00CE0885">
        <w:rPr>
          <w:spacing w:val="-2"/>
        </w:rPr>
        <w:t>t</w:t>
      </w:r>
      <w:r w:rsidRPr="00CE0885">
        <w:t xml:space="preserve">o </w:t>
      </w:r>
      <w:r w:rsidRPr="00CE0885">
        <w:rPr>
          <w:spacing w:val="-1"/>
        </w:rPr>
        <w:t>b</w:t>
      </w:r>
      <w:r w:rsidRPr="00CE0885">
        <w:t>e</w:t>
      </w:r>
      <w:r w:rsidRPr="00CE0885">
        <w:rPr>
          <w:spacing w:val="-1"/>
        </w:rPr>
        <w:t xml:space="preserve"> </w:t>
      </w:r>
      <w:r w:rsidRPr="00CE0885">
        <w:t>t</w:t>
      </w:r>
      <w:r w:rsidRPr="00CE0885">
        <w:rPr>
          <w:spacing w:val="-1"/>
        </w:rPr>
        <w:t>r</w:t>
      </w:r>
      <w:r w:rsidRPr="00CE0885">
        <w:t>an</w:t>
      </w:r>
      <w:r w:rsidRPr="00CE0885">
        <w:rPr>
          <w:spacing w:val="-2"/>
        </w:rPr>
        <w:t>s</w:t>
      </w:r>
      <w:r w:rsidRPr="00CE0885">
        <w:t>fe</w:t>
      </w:r>
      <w:r w:rsidRPr="00CE0885">
        <w:rPr>
          <w:spacing w:val="-1"/>
        </w:rPr>
        <w:t>rr</w:t>
      </w:r>
      <w:r w:rsidRPr="00CE0885">
        <w:t>ed</w:t>
      </w:r>
      <w:r w:rsidRPr="00CE0885">
        <w:rPr>
          <w:spacing w:val="-10"/>
        </w:rPr>
        <w:t xml:space="preserve"> </w:t>
      </w:r>
      <w:r w:rsidRPr="00CE0885">
        <w:rPr>
          <w:spacing w:val="-2"/>
        </w:rPr>
        <w:t>t</w:t>
      </w:r>
      <w:r w:rsidRPr="00CE0885">
        <w:t xml:space="preserve">o </w:t>
      </w:r>
      <w:r w:rsidRPr="00CE0885">
        <w:rPr>
          <w:spacing w:val="-1"/>
        </w:rPr>
        <w:t>o</w:t>
      </w:r>
      <w:r w:rsidRPr="00CE0885">
        <w:t>ne</w:t>
      </w:r>
      <w:r w:rsidRPr="00CE0885">
        <w:rPr>
          <w:spacing w:val="-5"/>
        </w:rPr>
        <w:t xml:space="preserve"> </w:t>
      </w:r>
      <w:r w:rsidRPr="00CE0885">
        <w:t>or</w:t>
      </w:r>
      <w:r w:rsidRPr="00CE0885">
        <w:rPr>
          <w:spacing w:val="-2"/>
        </w:rPr>
        <w:t xml:space="preserve"> </w:t>
      </w:r>
      <w:r w:rsidRPr="00CE0885">
        <w:rPr>
          <w:spacing w:val="-1"/>
        </w:rPr>
        <w:t>m</w:t>
      </w:r>
      <w:r w:rsidRPr="00CE0885">
        <w:t>o</w:t>
      </w:r>
      <w:r w:rsidRPr="00CE0885">
        <w:rPr>
          <w:spacing w:val="-1"/>
        </w:rPr>
        <w:t>r</w:t>
      </w:r>
      <w:r w:rsidRPr="00CE0885">
        <w:t>e</w:t>
      </w:r>
      <w:r w:rsidRPr="00CE0885">
        <w:rPr>
          <w:spacing w:val="-3"/>
        </w:rPr>
        <w:t xml:space="preserve"> </w:t>
      </w:r>
      <w:r w:rsidRPr="00CE0885">
        <w:t>o</w:t>
      </w:r>
      <w:r w:rsidRPr="00CE0885">
        <w:rPr>
          <w:spacing w:val="-2"/>
        </w:rPr>
        <w:t>t</w:t>
      </w:r>
      <w:r w:rsidRPr="00CE0885">
        <w:t>h</w:t>
      </w:r>
      <w:r w:rsidRPr="00CE0885">
        <w:rPr>
          <w:spacing w:val="-1"/>
        </w:rPr>
        <w:t>e</w:t>
      </w:r>
      <w:r w:rsidRPr="00CE0885">
        <w:t>r</w:t>
      </w:r>
      <w:r w:rsidRPr="00CE0885">
        <w:rPr>
          <w:spacing w:val="-5"/>
        </w:rPr>
        <w:t xml:space="preserve"> </w:t>
      </w:r>
      <w:r w:rsidRPr="00CE0885">
        <w:t>cont</w:t>
      </w:r>
      <w:r w:rsidRPr="00CE0885">
        <w:rPr>
          <w:spacing w:val="-1"/>
        </w:rPr>
        <w:t>r</w:t>
      </w:r>
      <w:r w:rsidRPr="00CE0885">
        <w:t>ac</w:t>
      </w:r>
      <w:r w:rsidRPr="00CE0885">
        <w:rPr>
          <w:spacing w:val="-2"/>
        </w:rPr>
        <w:t>t</w:t>
      </w:r>
      <w:r w:rsidRPr="00CE0885">
        <w:t>o</w:t>
      </w:r>
      <w:r w:rsidRPr="00CE0885">
        <w:rPr>
          <w:spacing w:val="-1"/>
        </w:rPr>
        <w:t>r</w:t>
      </w:r>
      <w:r w:rsidRPr="00CE0885">
        <w:t>s</w:t>
      </w:r>
      <w:r w:rsidRPr="00CE0885">
        <w:rPr>
          <w:spacing w:val="-12"/>
        </w:rPr>
        <w:t xml:space="preserve"> </w:t>
      </w:r>
      <w:r w:rsidRPr="00CE0885">
        <w:t>or p</w:t>
      </w:r>
      <w:r w:rsidRPr="00CE0885">
        <w:rPr>
          <w:spacing w:val="-1"/>
        </w:rPr>
        <w:t>r</w:t>
      </w:r>
      <w:r w:rsidRPr="00CE0885">
        <w:t>o</w:t>
      </w:r>
      <w:r w:rsidRPr="00CE0885">
        <w:rPr>
          <w:spacing w:val="-2"/>
        </w:rPr>
        <w:t>v</w:t>
      </w:r>
      <w:r w:rsidRPr="00CE0885">
        <w:t>ide</w:t>
      </w:r>
      <w:r w:rsidRPr="00CE0885">
        <w:rPr>
          <w:spacing w:val="-1"/>
        </w:rPr>
        <w:t>r</w:t>
      </w:r>
      <w:r w:rsidRPr="00CE0885">
        <w:t>s</w:t>
      </w:r>
      <w:r w:rsidRPr="00CE0885">
        <w:rPr>
          <w:spacing w:val="-10"/>
        </w:rPr>
        <w:t xml:space="preserve"> </w:t>
      </w:r>
      <w:r w:rsidRPr="00CE0885">
        <w:t>of</w:t>
      </w:r>
      <w:r w:rsidRPr="00CE0885">
        <w:rPr>
          <w:spacing w:val="-1"/>
        </w:rPr>
        <w:t xml:space="preserve"> </w:t>
      </w:r>
      <w:r w:rsidRPr="00CE0885">
        <w:t>ess</w:t>
      </w:r>
      <w:r w:rsidRPr="00CE0885">
        <w:rPr>
          <w:spacing w:val="-1"/>
        </w:rPr>
        <w:t>e</w:t>
      </w:r>
      <w:r w:rsidRPr="00CE0885">
        <w:t>ntial</w:t>
      </w:r>
      <w:r w:rsidRPr="00CE0885">
        <w:rPr>
          <w:spacing w:val="-9"/>
        </w:rPr>
        <w:t xml:space="preserve"> </w:t>
      </w:r>
      <w:r w:rsidRPr="00CE0885">
        <w:rPr>
          <w:spacing w:val="-2"/>
        </w:rPr>
        <w:t>s</w:t>
      </w:r>
      <w:r w:rsidRPr="00CE0885">
        <w:t>e</w:t>
      </w:r>
      <w:r w:rsidRPr="00CE0885">
        <w:rPr>
          <w:spacing w:val="-1"/>
        </w:rPr>
        <w:t>r</w:t>
      </w:r>
      <w:r w:rsidRPr="00CE0885">
        <w:rPr>
          <w:spacing w:val="-2"/>
        </w:rPr>
        <w:t>v</w:t>
      </w:r>
      <w:r w:rsidRPr="00CE0885">
        <w:t>ices</w:t>
      </w:r>
      <w:r w:rsidRPr="00CE0885">
        <w:rPr>
          <w:spacing w:val="-9"/>
        </w:rPr>
        <w:t xml:space="preserve"> </w:t>
      </w:r>
      <w:r w:rsidRPr="00CE0885">
        <w:rPr>
          <w:spacing w:val="-1"/>
        </w:rPr>
        <w:t>(</w:t>
      </w:r>
      <w:r w:rsidRPr="00CE0885">
        <w:t>or</w:t>
      </w:r>
      <w:r w:rsidRPr="00CE0885">
        <w:rPr>
          <w:spacing w:val="-3"/>
        </w:rPr>
        <w:t xml:space="preserve"> </w:t>
      </w:r>
      <w:r w:rsidRPr="00CE0885">
        <w:t>their</w:t>
      </w:r>
      <w:r w:rsidRPr="00CE0885">
        <w:rPr>
          <w:spacing w:val="-5"/>
        </w:rPr>
        <w:t xml:space="preserve"> </w:t>
      </w:r>
      <w:r w:rsidRPr="00CE0885">
        <w:t>e</w:t>
      </w:r>
      <w:r w:rsidRPr="00CE0885">
        <w:rPr>
          <w:spacing w:val="-1"/>
        </w:rPr>
        <w:t>q</w:t>
      </w:r>
      <w:r w:rsidRPr="00CE0885">
        <w:t>ui</w:t>
      </w:r>
      <w:r w:rsidRPr="00CE0885">
        <w:rPr>
          <w:spacing w:val="-2"/>
        </w:rPr>
        <w:t>v</w:t>
      </w:r>
      <w:r w:rsidRPr="00CE0885">
        <w:rPr>
          <w:spacing w:val="3"/>
        </w:rPr>
        <w:t>a</w:t>
      </w:r>
      <w:r w:rsidRPr="00CE0885">
        <w:t>lent</w:t>
      </w:r>
      <w:r w:rsidRPr="00CE0885">
        <w:rPr>
          <w:spacing w:val="-1"/>
        </w:rPr>
        <w:t>)</w:t>
      </w:r>
      <w:r w:rsidRPr="00CE0885">
        <w:t>;</w:t>
      </w:r>
      <w:r w:rsidRPr="00CE0885">
        <w:rPr>
          <w:spacing w:val="-11"/>
        </w:rPr>
        <w:t xml:space="preserve"> </w:t>
      </w:r>
      <w:r w:rsidRPr="00CE0885">
        <w:rPr>
          <w:spacing w:val="-1"/>
        </w:rPr>
        <w:t>a</w:t>
      </w:r>
      <w:r w:rsidRPr="00CE0885">
        <w:t>nd</w:t>
      </w:r>
      <w:bookmarkEnd w:id="670"/>
      <w:r w:rsidRPr="00CE0885">
        <w:t xml:space="preserve"> </w:t>
      </w:r>
    </w:p>
    <w:p w14:paraId="34878645" w14:textId="77777777" w:rsidR="00977693" w:rsidRPr="00CE0885" w:rsidRDefault="00977693" w:rsidP="00FA6A70">
      <w:pPr>
        <w:pStyle w:val="Heading4"/>
      </w:pPr>
      <w:bookmarkStart w:id="671" w:name="_Toc440981814"/>
      <w:r w:rsidRPr="00CE0885">
        <w:t>deli</w:t>
      </w:r>
      <w:r w:rsidRPr="00CE0885">
        <w:rPr>
          <w:spacing w:val="-2"/>
        </w:rPr>
        <w:t>v</w:t>
      </w:r>
      <w:r w:rsidRPr="00CE0885">
        <w:t>er</w:t>
      </w:r>
      <w:r w:rsidRPr="00CE0885">
        <w:rPr>
          <w:spacing w:val="-7"/>
        </w:rPr>
        <w:t xml:space="preserve"> </w:t>
      </w:r>
      <w:r w:rsidRPr="00CE0885">
        <w:t>up</w:t>
      </w:r>
      <w:r w:rsidRPr="00CE0885">
        <w:rPr>
          <w:spacing w:val="-1"/>
        </w:rPr>
        <w:t xml:space="preserve"> </w:t>
      </w:r>
      <w:r w:rsidRPr="00CE0885">
        <w:t>to</w:t>
      </w:r>
      <w:r w:rsidRPr="00CE0885">
        <w:rPr>
          <w:spacing w:val="-3"/>
        </w:rPr>
        <w:t xml:space="preserve"> </w:t>
      </w:r>
      <w:r w:rsidRPr="00CE0885">
        <w:t>the Commissioner</w:t>
      </w:r>
      <w:r w:rsidRPr="00CE0885">
        <w:rPr>
          <w:spacing w:val="-7"/>
        </w:rPr>
        <w:t xml:space="preserve"> </w:t>
      </w:r>
      <w:r w:rsidRPr="00CE0885">
        <w:t>all</w:t>
      </w:r>
      <w:r w:rsidRPr="00CE0885">
        <w:rPr>
          <w:spacing w:val="-2"/>
        </w:rPr>
        <w:t xml:space="preserve"> </w:t>
      </w:r>
      <w:r w:rsidRPr="00CE0885">
        <w:t>p</w:t>
      </w:r>
      <w:r w:rsidRPr="00CE0885">
        <w:rPr>
          <w:spacing w:val="-1"/>
        </w:rPr>
        <w:t>ro</w:t>
      </w:r>
      <w:r w:rsidRPr="00CE0885">
        <w:t>pe</w:t>
      </w:r>
      <w:r w:rsidRPr="00CE0885">
        <w:rPr>
          <w:spacing w:val="-1"/>
        </w:rPr>
        <w:t>r</w:t>
      </w:r>
      <w:r w:rsidRPr="00CE0885">
        <w:rPr>
          <w:spacing w:val="-2"/>
        </w:rPr>
        <w:t>t</w:t>
      </w:r>
      <w:r w:rsidRPr="00CE0885">
        <w:t>y</w:t>
      </w:r>
      <w:r w:rsidRPr="00CE0885">
        <w:rPr>
          <w:spacing w:val="-11"/>
        </w:rPr>
        <w:t xml:space="preserve"> </w:t>
      </w:r>
      <w:r w:rsidRPr="00CE0885">
        <w:t>belon</w:t>
      </w:r>
      <w:r w:rsidRPr="00CE0885">
        <w:rPr>
          <w:spacing w:val="-1"/>
        </w:rPr>
        <w:t>g</w:t>
      </w:r>
      <w:r w:rsidRPr="00CE0885">
        <w:t>ing</w:t>
      </w:r>
      <w:r w:rsidRPr="00CE0885">
        <w:rPr>
          <w:spacing w:val="-11"/>
        </w:rPr>
        <w:t xml:space="preserve"> </w:t>
      </w:r>
      <w:r w:rsidRPr="00CE0885">
        <w:t>to NHS</w:t>
      </w:r>
      <w:r w:rsidRPr="00CE0885">
        <w:rPr>
          <w:spacing w:val="-4"/>
        </w:rPr>
        <w:t xml:space="preserve"> </w:t>
      </w:r>
      <w:r w:rsidRPr="00CE0885">
        <w:t>including</w:t>
      </w:r>
      <w:r w:rsidRPr="00CE0885">
        <w:rPr>
          <w:spacing w:val="-10"/>
        </w:rPr>
        <w:t xml:space="preserve"> </w:t>
      </w:r>
      <w:r w:rsidRPr="00CE0885">
        <w:t>all</w:t>
      </w:r>
      <w:r w:rsidRPr="00CE0885">
        <w:rPr>
          <w:spacing w:val="-2"/>
        </w:rPr>
        <w:t xml:space="preserve"> </w:t>
      </w:r>
      <w:r w:rsidRPr="00CE0885">
        <w:t>do</w:t>
      </w:r>
      <w:r w:rsidRPr="00CE0885">
        <w:rPr>
          <w:spacing w:val="-2"/>
        </w:rPr>
        <w:t>c</w:t>
      </w:r>
      <w:r w:rsidRPr="00CE0885">
        <w:rPr>
          <w:spacing w:val="-1"/>
        </w:rPr>
        <w:t>u</w:t>
      </w:r>
      <w:r w:rsidRPr="00CE0885">
        <w:rPr>
          <w:spacing w:val="2"/>
        </w:rPr>
        <w:t>m</w:t>
      </w:r>
      <w:r w:rsidRPr="00CE0885">
        <w:t>e</w:t>
      </w:r>
      <w:r w:rsidRPr="00CE0885">
        <w:rPr>
          <w:spacing w:val="-1"/>
        </w:rPr>
        <w:t>n</w:t>
      </w:r>
      <w:r w:rsidRPr="00CE0885">
        <w:t>ts,</w:t>
      </w:r>
      <w:r w:rsidRPr="00CE0885">
        <w:rPr>
          <w:spacing w:val="-13"/>
        </w:rPr>
        <w:t xml:space="preserve"> </w:t>
      </w:r>
      <w:r w:rsidRPr="00CE0885">
        <w:t>fo</w:t>
      </w:r>
      <w:r w:rsidRPr="00CE0885">
        <w:rPr>
          <w:spacing w:val="-1"/>
        </w:rPr>
        <w:t>r</w:t>
      </w:r>
      <w:r w:rsidRPr="00CE0885">
        <w:rPr>
          <w:spacing w:val="2"/>
        </w:rPr>
        <w:t>m</w:t>
      </w:r>
      <w:r w:rsidRPr="00CE0885">
        <w:t>s,</w:t>
      </w:r>
      <w:r w:rsidRPr="00CE0885">
        <w:rPr>
          <w:spacing w:val="-8"/>
        </w:rPr>
        <w:t xml:space="preserve"> </w:t>
      </w:r>
      <w:r w:rsidRPr="00CE0885">
        <w:t>c</w:t>
      </w:r>
      <w:r w:rsidRPr="00CE0885">
        <w:rPr>
          <w:spacing w:val="-1"/>
        </w:rPr>
        <w:t>o</w:t>
      </w:r>
      <w:r w:rsidRPr="00CE0885">
        <w:rPr>
          <w:spacing w:val="2"/>
        </w:rPr>
        <w:t>m</w:t>
      </w:r>
      <w:r w:rsidRPr="00CE0885">
        <w:t>p</w:t>
      </w:r>
      <w:r w:rsidRPr="00CE0885">
        <w:rPr>
          <w:spacing w:val="-1"/>
        </w:rPr>
        <w:t>u</w:t>
      </w:r>
      <w:r w:rsidRPr="00CE0885">
        <w:t>t</w:t>
      </w:r>
      <w:r w:rsidRPr="00CE0885">
        <w:rPr>
          <w:spacing w:val="-1"/>
        </w:rPr>
        <w:t>e</w:t>
      </w:r>
      <w:r w:rsidRPr="00CE0885">
        <w:t>r</w:t>
      </w:r>
      <w:r w:rsidRPr="00CE0885">
        <w:rPr>
          <w:spacing w:val="-10"/>
        </w:rPr>
        <w:t xml:space="preserve"> </w:t>
      </w:r>
      <w:r w:rsidRPr="00CE0885">
        <w:t>ha</w:t>
      </w:r>
      <w:r w:rsidRPr="00CE0885">
        <w:rPr>
          <w:spacing w:val="-1"/>
        </w:rPr>
        <w:t>r</w:t>
      </w:r>
      <w:r w:rsidRPr="00CE0885">
        <w:t>d</w:t>
      </w:r>
      <w:r w:rsidRPr="00CE0885">
        <w:rPr>
          <w:spacing w:val="-3"/>
        </w:rPr>
        <w:t>w</w:t>
      </w:r>
      <w:r w:rsidRPr="00CE0885">
        <w:t>a</w:t>
      </w:r>
      <w:r w:rsidRPr="00CE0885">
        <w:rPr>
          <w:spacing w:val="-1"/>
        </w:rPr>
        <w:t>r</w:t>
      </w:r>
      <w:r w:rsidRPr="00CE0885">
        <w:t>e</w:t>
      </w:r>
      <w:r w:rsidRPr="00CE0885">
        <w:rPr>
          <w:spacing w:val="-8"/>
        </w:rPr>
        <w:t xml:space="preserve"> </w:t>
      </w:r>
      <w:r w:rsidRPr="00CE0885">
        <w:t>and s</w:t>
      </w:r>
      <w:r w:rsidRPr="00CE0885">
        <w:rPr>
          <w:spacing w:val="-1"/>
        </w:rPr>
        <w:t>o</w:t>
      </w:r>
      <w:r w:rsidRPr="00CE0885">
        <w:rPr>
          <w:spacing w:val="3"/>
        </w:rPr>
        <w:t>f</w:t>
      </w:r>
      <w:r w:rsidRPr="00CE0885">
        <w:t>t</w:t>
      </w:r>
      <w:r w:rsidRPr="00CE0885">
        <w:rPr>
          <w:spacing w:val="-3"/>
        </w:rPr>
        <w:t>w</w:t>
      </w:r>
      <w:r w:rsidRPr="00CE0885">
        <w:t>a</w:t>
      </w:r>
      <w:r w:rsidRPr="00CE0885">
        <w:rPr>
          <w:spacing w:val="-1"/>
        </w:rPr>
        <w:t>r</w:t>
      </w:r>
      <w:r w:rsidRPr="00CE0885">
        <w:t>e,</w:t>
      </w:r>
      <w:r w:rsidRPr="00CE0885">
        <w:rPr>
          <w:spacing w:val="-9"/>
        </w:rPr>
        <w:t xml:space="preserve"> </w:t>
      </w:r>
      <w:r w:rsidRPr="00CE0885">
        <w:t>d</w:t>
      </w:r>
      <w:r w:rsidRPr="00CE0885">
        <w:rPr>
          <w:spacing w:val="-1"/>
        </w:rPr>
        <w:t>r</w:t>
      </w:r>
      <w:r w:rsidRPr="00CE0885">
        <w:t>u</w:t>
      </w:r>
      <w:r w:rsidRPr="00CE0885">
        <w:rPr>
          <w:spacing w:val="-1"/>
        </w:rPr>
        <w:t>g</w:t>
      </w:r>
      <w:r w:rsidRPr="00CE0885">
        <w:t>s,</w:t>
      </w:r>
      <w:r w:rsidRPr="00CE0885">
        <w:rPr>
          <w:spacing w:val="-6"/>
        </w:rPr>
        <w:t xml:space="preserve"> </w:t>
      </w:r>
      <w:r w:rsidRPr="00CE0885">
        <w:t>a</w:t>
      </w:r>
      <w:r w:rsidRPr="00CE0885">
        <w:rPr>
          <w:spacing w:val="-1"/>
        </w:rPr>
        <w:t>p</w:t>
      </w:r>
      <w:r w:rsidRPr="00CE0885">
        <w:t>pli</w:t>
      </w:r>
      <w:r w:rsidRPr="00CE0885">
        <w:rPr>
          <w:spacing w:val="-1"/>
        </w:rPr>
        <w:t>a</w:t>
      </w:r>
      <w:r w:rsidRPr="00CE0885">
        <w:t>nces</w:t>
      </w:r>
      <w:r w:rsidRPr="00CE0885">
        <w:rPr>
          <w:spacing w:val="-11"/>
        </w:rPr>
        <w:t xml:space="preserve"> </w:t>
      </w:r>
      <w:r w:rsidRPr="00CE0885">
        <w:t>or</w:t>
      </w:r>
      <w:r w:rsidRPr="00CE0885">
        <w:rPr>
          <w:spacing w:val="-5"/>
        </w:rPr>
        <w:t xml:space="preserve"> </w:t>
      </w:r>
      <w:r w:rsidRPr="00CE0885">
        <w:rPr>
          <w:spacing w:val="2"/>
        </w:rPr>
        <w:t>m</w:t>
      </w:r>
      <w:r w:rsidRPr="00CE0885">
        <w:rPr>
          <w:spacing w:val="-1"/>
        </w:rPr>
        <w:t>e</w:t>
      </w:r>
      <w:r w:rsidRPr="00CE0885">
        <w:t>dical</w:t>
      </w:r>
      <w:r w:rsidRPr="00CE0885">
        <w:rPr>
          <w:spacing w:val="-8"/>
        </w:rPr>
        <w:t xml:space="preserve"> </w:t>
      </w:r>
      <w:r w:rsidRPr="00CE0885">
        <w:t>e</w:t>
      </w:r>
      <w:r w:rsidRPr="00CE0885">
        <w:rPr>
          <w:spacing w:val="-1"/>
        </w:rPr>
        <w:t>q</w:t>
      </w:r>
      <w:r w:rsidRPr="00CE0885">
        <w:t>ui</w:t>
      </w:r>
      <w:r w:rsidRPr="00CE0885">
        <w:rPr>
          <w:spacing w:val="-1"/>
        </w:rPr>
        <w:t>p</w:t>
      </w:r>
      <w:r w:rsidRPr="00CE0885">
        <w:rPr>
          <w:spacing w:val="2"/>
        </w:rPr>
        <w:t>m</w:t>
      </w:r>
      <w:r w:rsidRPr="00CE0885">
        <w:t>e</w:t>
      </w:r>
      <w:r w:rsidRPr="00CE0885">
        <w:rPr>
          <w:spacing w:val="-1"/>
        </w:rPr>
        <w:t>n</w:t>
      </w:r>
      <w:r w:rsidRPr="00CE0885">
        <w:t>t</w:t>
      </w:r>
      <w:r w:rsidRPr="00CE0885">
        <w:rPr>
          <w:spacing w:val="-10"/>
        </w:rPr>
        <w:t xml:space="preserve"> </w:t>
      </w:r>
      <w:r w:rsidRPr="00CE0885">
        <w:rPr>
          <w:spacing w:val="-3"/>
        </w:rPr>
        <w:t>w</w:t>
      </w:r>
      <w:r w:rsidRPr="00CE0885">
        <w:t>hich</w:t>
      </w:r>
      <w:r w:rsidRPr="00CE0885">
        <w:rPr>
          <w:spacing w:val="-4"/>
        </w:rPr>
        <w:t xml:space="preserve"> </w:t>
      </w:r>
      <w:r w:rsidRPr="00CE0885">
        <w:rPr>
          <w:spacing w:val="2"/>
        </w:rPr>
        <w:t>m</w:t>
      </w:r>
      <w:r w:rsidRPr="00CE0885">
        <w:t>ay be</w:t>
      </w:r>
      <w:r w:rsidRPr="00CE0885">
        <w:rPr>
          <w:spacing w:val="-1"/>
        </w:rPr>
        <w:t xml:space="preserve"> </w:t>
      </w:r>
      <w:r w:rsidRPr="00CE0885">
        <w:t>in</w:t>
      </w:r>
      <w:r w:rsidRPr="00CE0885">
        <w:rPr>
          <w:spacing w:val="-3"/>
        </w:rPr>
        <w:t xml:space="preserve"> </w:t>
      </w:r>
      <w:r w:rsidRPr="00CE0885">
        <w:t>the</w:t>
      </w:r>
      <w:r w:rsidRPr="00CE0885">
        <w:rPr>
          <w:spacing w:val="-4"/>
        </w:rPr>
        <w:t xml:space="preserve"> </w:t>
      </w:r>
      <w:r w:rsidRPr="00CE0885">
        <w:t>co</w:t>
      </w:r>
      <w:r w:rsidRPr="00CE0885">
        <w:rPr>
          <w:spacing w:val="-1"/>
        </w:rPr>
        <w:t>n</w:t>
      </w:r>
      <w:r w:rsidRPr="00CE0885">
        <w:t>t</w:t>
      </w:r>
      <w:r w:rsidRPr="00CE0885">
        <w:rPr>
          <w:spacing w:val="-1"/>
        </w:rPr>
        <w:t>r</w:t>
      </w:r>
      <w:r w:rsidRPr="00CE0885">
        <w:t>acto</w:t>
      </w:r>
      <w:r w:rsidRPr="00CE0885">
        <w:rPr>
          <w:spacing w:val="-1"/>
        </w:rPr>
        <w:t>r</w:t>
      </w:r>
      <w:r w:rsidRPr="00CE0885">
        <w:t>’s</w:t>
      </w:r>
      <w:r w:rsidRPr="00CE0885">
        <w:rPr>
          <w:spacing w:val="-12"/>
        </w:rPr>
        <w:t xml:space="preserve"> </w:t>
      </w:r>
      <w:r w:rsidRPr="00CE0885">
        <w:rPr>
          <w:spacing w:val="-1"/>
        </w:rPr>
        <w:t>p</w:t>
      </w:r>
      <w:r w:rsidRPr="00CE0885">
        <w:t>ossession</w:t>
      </w:r>
      <w:r w:rsidRPr="00CE0885">
        <w:rPr>
          <w:spacing w:val="-13"/>
        </w:rPr>
        <w:t xml:space="preserve"> </w:t>
      </w:r>
      <w:r w:rsidRPr="00CE0885">
        <w:t>or</w:t>
      </w:r>
      <w:r w:rsidRPr="00CE0885">
        <w:rPr>
          <w:spacing w:val="-2"/>
        </w:rPr>
        <w:t xml:space="preserve"> </w:t>
      </w:r>
      <w:r w:rsidRPr="00CE0885">
        <w:t>c</w:t>
      </w:r>
      <w:r w:rsidRPr="00CE0885">
        <w:rPr>
          <w:spacing w:val="-1"/>
        </w:rPr>
        <w:t>o</w:t>
      </w:r>
      <w:r w:rsidRPr="00CE0885">
        <w:t>nt</w:t>
      </w:r>
      <w:r w:rsidRPr="00CE0885">
        <w:rPr>
          <w:spacing w:val="-1"/>
        </w:rPr>
        <w:t>r</w:t>
      </w:r>
      <w:r w:rsidRPr="00CE0885">
        <w:t>ol.</w:t>
      </w:r>
      <w:bookmarkEnd w:id="671"/>
    </w:p>
    <w:p w14:paraId="4E36D29E" w14:textId="77777777" w:rsidR="00977693" w:rsidRPr="00CE0885" w:rsidRDefault="00977693" w:rsidP="006B781A">
      <w:pPr>
        <w:pStyle w:val="Heading3"/>
        <w:rPr>
          <w:lang w:eastAsia="en-GB"/>
        </w:rPr>
      </w:pPr>
      <w:bookmarkStart w:id="672" w:name="_Toc440981815"/>
      <w:r w:rsidRPr="00CE0885">
        <w:rPr>
          <w:spacing w:val="2"/>
          <w:lang w:eastAsia="en-GB"/>
        </w:rPr>
        <w:t>T</w:t>
      </w:r>
      <w:r w:rsidRPr="00CE0885">
        <w:rPr>
          <w:spacing w:val="-1"/>
          <w:lang w:eastAsia="en-GB"/>
        </w:rPr>
        <w:t>h</w:t>
      </w:r>
      <w:r w:rsidRPr="00CE0885">
        <w:rPr>
          <w:lang w:eastAsia="en-GB"/>
        </w:rPr>
        <w:t>e</w:t>
      </w:r>
      <w:r w:rsidRPr="00CE0885">
        <w:rPr>
          <w:spacing w:val="-2"/>
          <w:lang w:eastAsia="en-GB"/>
        </w:rPr>
        <w:t xml:space="preserve"> Commissioner</w:t>
      </w:r>
      <w:r w:rsidRPr="00CE0885">
        <w:rPr>
          <w:lang w:eastAsia="en-GB"/>
        </w:rPr>
        <w:t xml:space="preserve"> </w:t>
      </w:r>
      <w:r w:rsidRPr="00CE0885">
        <w:rPr>
          <w:spacing w:val="-2"/>
          <w:lang w:eastAsia="en-GB"/>
        </w:rPr>
        <w:t>s</w:t>
      </w:r>
      <w:r w:rsidRPr="00CE0885">
        <w:rPr>
          <w:spacing w:val="1"/>
          <w:lang w:eastAsia="en-GB"/>
        </w:rPr>
        <w:t>ha</w:t>
      </w:r>
      <w:r w:rsidRPr="00CE0885">
        <w:rPr>
          <w:lang w:eastAsia="en-GB"/>
        </w:rPr>
        <w:t>ll</w:t>
      </w:r>
      <w:r w:rsidRPr="00CE0885">
        <w:rPr>
          <w:spacing w:val="-5"/>
          <w:lang w:eastAsia="en-GB"/>
        </w:rPr>
        <w:t xml:space="preserve"> </w:t>
      </w:r>
      <w:r w:rsidRPr="00CE0885">
        <w:rPr>
          <w:spacing w:val="-1"/>
          <w:lang w:eastAsia="en-GB"/>
        </w:rPr>
        <w:t>h</w:t>
      </w:r>
      <w:r w:rsidRPr="00CE0885">
        <w:rPr>
          <w:spacing w:val="1"/>
          <w:lang w:eastAsia="en-GB"/>
        </w:rPr>
        <w:t>a</w:t>
      </w:r>
      <w:r w:rsidRPr="00CE0885">
        <w:rPr>
          <w:spacing w:val="-2"/>
          <w:lang w:eastAsia="en-GB"/>
        </w:rPr>
        <w:t>v</w:t>
      </w:r>
      <w:r w:rsidRPr="00CE0885">
        <w:rPr>
          <w:lang w:eastAsia="en-GB"/>
        </w:rPr>
        <w:t>e</w:t>
      </w:r>
      <w:r w:rsidRPr="00CE0885">
        <w:rPr>
          <w:spacing w:val="-3"/>
          <w:lang w:eastAsia="en-GB"/>
        </w:rPr>
        <w:t xml:space="preserve"> </w:t>
      </w:r>
      <w:r w:rsidRPr="00CE0885">
        <w:rPr>
          <w:lang w:eastAsia="en-GB"/>
        </w:rPr>
        <w:t xml:space="preserve">in </w:t>
      </w:r>
      <w:r w:rsidRPr="00CE0885">
        <w:rPr>
          <w:spacing w:val="1"/>
          <w:lang w:eastAsia="en-GB"/>
        </w:rPr>
        <w:t>p</w:t>
      </w:r>
      <w:r w:rsidRPr="00CE0885">
        <w:rPr>
          <w:spacing w:val="-3"/>
          <w:lang w:eastAsia="en-GB"/>
        </w:rPr>
        <w:t>l</w:t>
      </w:r>
      <w:r w:rsidRPr="00CE0885">
        <w:rPr>
          <w:spacing w:val="1"/>
          <w:lang w:eastAsia="en-GB"/>
        </w:rPr>
        <w:t>a</w:t>
      </w:r>
      <w:r w:rsidRPr="00CE0885">
        <w:rPr>
          <w:lang w:eastAsia="en-GB"/>
        </w:rPr>
        <w:t>ce</w:t>
      </w:r>
      <w:r w:rsidRPr="00CE0885">
        <w:rPr>
          <w:spacing w:val="-4"/>
          <w:lang w:eastAsia="en-GB"/>
        </w:rPr>
        <w:t xml:space="preserve"> </w:t>
      </w:r>
      <w:r w:rsidRPr="00CE0885">
        <w:rPr>
          <w:spacing w:val="1"/>
          <w:lang w:eastAsia="en-GB"/>
        </w:rPr>
        <w:t>a</w:t>
      </w:r>
      <w:r w:rsidRPr="00CE0885">
        <w:rPr>
          <w:spacing w:val="-1"/>
          <w:lang w:eastAsia="en-GB"/>
        </w:rPr>
        <w:t>rra</w:t>
      </w:r>
      <w:r w:rsidRPr="00CE0885">
        <w:rPr>
          <w:spacing w:val="1"/>
          <w:lang w:eastAsia="en-GB"/>
        </w:rPr>
        <w:t>n</w:t>
      </w:r>
      <w:r w:rsidRPr="00CE0885">
        <w:rPr>
          <w:spacing w:val="-1"/>
          <w:lang w:eastAsia="en-GB"/>
        </w:rPr>
        <w:t>g</w:t>
      </w:r>
      <w:r w:rsidRPr="00CE0885">
        <w:rPr>
          <w:spacing w:val="1"/>
          <w:lang w:eastAsia="en-GB"/>
        </w:rPr>
        <w:t>e</w:t>
      </w:r>
      <w:r w:rsidRPr="00CE0885">
        <w:rPr>
          <w:spacing w:val="2"/>
          <w:lang w:eastAsia="en-GB"/>
        </w:rPr>
        <w:t>m</w:t>
      </w:r>
      <w:r w:rsidRPr="00CE0885">
        <w:rPr>
          <w:spacing w:val="-1"/>
          <w:lang w:eastAsia="en-GB"/>
        </w:rPr>
        <w:t>e</w:t>
      </w:r>
      <w:r w:rsidRPr="00CE0885">
        <w:rPr>
          <w:spacing w:val="1"/>
          <w:lang w:eastAsia="en-GB"/>
        </w:rPr>
        <w:t>nt</w:t>
      </w:r>
      <w:r w:rsidRPr="00CE0885">
        <w:rPr>
          <w:lang w:eastAsia="en-GB"/>
        </w:rPr>
        <w:t>s</w:t>
      </w:r>
      <w:r w:rsidRPr="00CE0885">
        <w:rPr>
          <w:spacing w:val="-17"/>
          <w:lang w:eastAsia="en-GB"/>
        </w:rPr>
        <w:t xml:space="preserve"> </w:t>
      </w:r>
      <w:r w:rsidRPr="00CE0885">
        <w:rPr>
          <w:spacing w:val="1"/>
          <w:lang w:eastAsia="en-GB"/>
        </w:rPr>
        <w:t>fo</w:t>
      </w:r>
      <w:r w:rsidRPr="00CE0885">
        <w:rPr>
          <w:lang w:eastAsia="en-GB"/>
        </w:rPr>
        <w:t>r</w:t>
      </w:r>
      <w:r w:rsidRPr="00CE0885">
        <w:rPr>
          <w:spacing w:val="-6"/>
          <w:lang w:eastAsia="en-GB"/>
        </w:rPr>
        <w:t xml:space="preserve"> </w:t>
      </w:r>
      <w:r w:rsidRPr="00CE0885">
        <w:rPr>
          <w:lang w:eastAsia="en-GB"/>
        </w:rPr>
        <w:t>c</w:t>
      </w:r>
      <w:r w:rsidRPr="00CE0885">
        <w:rPr>
          <w:spacing w:val="1"/>
          <w:lang w:eastAsia="en-GB"/>
        </w:rPr>
        <w:t>o</w:t>
      </w:r>
      <w:r w:rsidRPr="00CE0885">
        <w:rPr>
          <w:lang w:eastAsia="en-GB"/>
        </w:rPr>
        <w:t>ll</w:t>
      </w:r>
      <w:r w:rsidRPr="00CE0885">
        <w:rPr>
          <w:spacing w:val="1"/>
          <w:lang w:eastAsia="en-GB"/>
        </w:rPr>
        <w:t>e</w:t>
      </w:r>
      <w:r w:rsidRPr="00CE0885">
        <w:rPr>
          <w:lang w:eastAsia="en-GB"/>
        </w:rPr>
        <w:t>c</w:t>
      </w:r>
      <w:r w:rsidRPr="00CE0885">
        <w:rPr>
          <w:spacing w:val="1"/>
          <w:lang w:eastAsia="en-GB"/>
        </w:rPr>
        <w:t>t</w:t>
      </w:r>
      <w:r w:rsidRPr="00CE0885">
        <w:rPr>
          <w:lang w:eastAsia="en-GB"/>
        </w:rPr>
        <w:t>i</w:t>
      </w:r>
      <w:r w:rsidRPr="00CE0885">
        <w:rPr>
          <w:spacing w:val="1"/>
          <w:lang w:eastAsia="en-GB"/>
        </w:rPr>
        <w:t>n</w:t>
      </w:r>
      <w:r w:rsidRPr="00CE0885">
        <w:rPr>
          <w:lang w:eastAsia="en-GB"/>
        </w:rPr>
        <w:t>g</w:t>
      </w:r>
      <w:r w:rsidRPr="00CE0885">
        <w:rPr>
          <w:spacing w:val="-11"/>
          <w:lang w:eastAsia="en-GB"/>
        </w:rPr>
        <w:t xml:space="preserve"> </w:t>
      </w:r>
      <w:r w:rsidRPr="00CE0885">
        <w:rPr>
          <w:spacing w:val="1"/>
          <w:lang w:eastAsia="en-GB"/>
        </w:rPr>
        <w:t>an</w:t>
      </w:r>
      <w:r w:rsidRPr="00CE0885">
        <w:rPr>
          <w:lang w:eastAsia="en-GB"/>
        </w:rPr>
        <w:t xml:space="preserve">y </w:t>
      </w:r>
      <w:r w:rsidRPr="00CE0885">
        <w:rPr>
          <w:spacing w:val="1"/>
          <w:lang w:eastAsia="en-GB"/>
        </w:rPr>
        <w:t>p</w:t>
      </w:r>
      <w:r w:rsidRPr="00CE0885">
        <w:rPr>
          <w:spacing w:val="-1"/>
          <w:lang w:eastAsia="en-GB"/>
        </w:rPr>
        <w:t>r</w:t>
      </w:r>
      <w:r w:rsidRPr="00CE0885">
        <w:rPr>
          <w:spacing w:val="1"/>
          <w:lang w:eastAsia="en-GB"/>
        </w:rPr>
        <w:t>ope</w:t>
      </w:r>
      <w:r w:rsidRPr="00CE0885">
        <w:rPr>
          <w:spacing w:val="-1"/>
          <w:lang w:eastAsia="en-GB"/>
        </w:rPr>
        <w:t>r</w:t>
      </w:r>
      <w:r w:rsidRPr="00CE0885">
        <w:rPr>
          <w:spacing w:val="1"/>
          <w:lang w:eastAsia="en-GB"/>
        </w:rPr>
        <w:t>t</w:t>
      </w:r>
      <w:r w:rsidRPr="00CE0885">
        <w:rPr>
          <w:lang w:eastAsia="en-GB"/>
        </w:rPr>
        <w:t>y</w:t>
      </w:r>
      <w:r w:rsidRPr="00CE0885">
        <w:rPr>
          <w:spacing w:val="-11"/>
          <w:lang w:eastAsia="en-GB"/>
        </w:rPr>
        <w:t xml:space="preserve"> </w:t>
      </w:r>
      <w:r w:rsidRPr="00CE0885">
        <w:rPr>
          <w:spacing w:val="1"/>
          <w:lang w:eastAsia="en-GB"/>
        </w:rPr>
        <w:t>o</w:t>
      </w:r>
      <w:r w:rsidRPr="00CE0885">
        <w:rPr>
          <w:spacing w:val="-3"/>
          <w:lang w:eastAsia="en-GB"/>
        </w:rPr>
        <w:t>w</w:t>
      </w:r>
      <w:r w:rsidRPr="00CE0885">
        <w:rPr>
          <w:spacing w:val="1"/>
          <w:lang w:eastAsia="en-GB"/>
        </w:rPr>
        <w:t>ne</w:t>
      </w:r>
      <w:r w:rsidRPr="00CE0885">
        <w:rPr>
          <w:lang w:eastAsia="en-GB"/>
        </w:rPr>
        <w:t>d</w:t>
      </w:r>
      <w:r w:rsidRPr="00CE0885">
        <w:rPr>
          <w:spacing w:val="-5"/>
          <w:lang w:eastAsia="en-GB"/>
        </w:rPr>
        <w:t xml:space="preserve"> </w:t>
      </w:r>
      <w:r w:rsidRPr="00CE0885">
        <w:rPr>
          <w:spacing w:val="1"/>
          <w:lang w:eastAsia="en-GB"/>
        </w:rPr>
        <w:t>b</w:t>
      </w:r>
      <w:r w:rsidRPr="00CE0885">
        <w:rPr>
          <w:lang w:eastAsia="en-GB"/>
        </w:rPr>
        <w:t>y</w:t>
      </w:r>
      <w:r w:rsidRPr="00CE0885">
        <w:rPr>
          <w:spacing w:val="-5"/>
          <w:lang w:eastAsia="en-GB"/>
        </w:rPr>
        <w:t xml:space="preserve"> </w:t>
      </w:r>
      <w:r w:rsidRPr="00CE0885">
        <w:rPr>
          <w:spacing w:val="1"/>
          <w:lang w:eastAsia="en-GB"/>
        </w:rPr>
        <w:t>th</w:t>
      </w:r>
      <w:r w:rsidRPr="00CE0885">
        <w:rPr>
          <w:lang w:eastAsia="en-GB"/>
        </w:rPr>
        <w:t>e</w:t>
      </w:r>
      <w:r w:rsidRPr="00CE0885">
        <w:rPr>
          <w:spacing w:val="-6"/>
          <w:lang w:eastAsia="en-GB"/>
        </w:rPr>
        <w:t xml:space="preserve"> </w:t>
      </w:r>
      <w:r w:rsidRPr="00CE0885">
        <w:rPr>
          <w:lang w:eastAsia="en-GB"/>
        </w:rPr>
        <w:t>NHS</w:t>
      </w:r>
      <w:r w:rsidRPr="00CE0885">
        <w:rPr>
          <w:spacing w:val="-4"/>
          <w:lang w:eastAsia="en-GB"/>
        </w:rPr>
        <w:t xml:space="preserve"> </w:t>
      </w:r>
      <w:r w:rsidRPr="00CE0885">
        <w:rPr>
          <w:spacing w:val="1"/>
          <w:lang w:eastAsia="en-GB"/>
        </w:rPr>
        <w:t>o</w:t>
      </w:r>
      <w:r w:rsidRPr="00CE0885">
        <w:rPr>
          <w:lang w:eastAsia="en-GB"/>
        </w:rPr>
        <w:t>n</w:t>
      </w:r>
      <w:r w:rsidRPr="00CE0885">
        <w:rPr>
          <w:spacing w:val="-1"/>
          <w:lang w:eastAsia="en-GB"/>
        </w:rPr>
        <w:t xml:space="preserve"> </w:t>
      </w:r>
      <w:r w:rsidRPr="00CE0885">
        <w:rPr>
          <w:spacing w:val="1"/>
          <w:lang w:eastAsia="en-GB"/>
        </w:rPr>
        <w:t>o</w:t>
      </w:r>
      <w:r w:rsidRPr="00CE0885">
        <w:rPr>
          <w:lang w:eastAsia="en-GB"/>
        </w:rPr>
        <w:t>r</w:t>
      </w:r>
      <w:r w:rsidRPr="00CE0885">
        <w:rPr>
          <w:spacing w:val="-2"/>
          <w:lang w:eastAsia="en-GB"/>
        </w:rPr>
        <w:t xml:space="preserve"> </w:t>
      </w:r>
      <w:r w:rsidRPr="00CE0885">
        <w:rPr>
          <w:spacing w:val="-3"/>
          <w:lang w:eastAsia="en-GB"/>
        </w:rPr>
        <w:t>i</w:t>
      </w:r>
      <w:r w:rsidRPr="00CE0885">
        <w:rPr>
          <w:spacing w:val="2"/>
          <w:lang w:eastAsia="en-GB"/>
        </w:rPr>
        <w:t>m</w:t>
      </w:r>
      <w:r w:rsidRPr="00CE0885">
        <w:rPr>
          <w:spacing w:val="-1"/>
          <w:lang w:eastAsia="en-GB"/>
        </w:rPr>
        <w:t>m</w:t>
      </w:r>
      <w:r w:rsidRPr="00CE0885">
        <w:rPr>
          <w:spacing w:val="1"/>
          <w:lang w:eastAsia="en-GB"/>
        </w:rPr>
        <w:t>ed</w:t>
      </w:r>
      <w:r w:rsidRPr="00CE0885">
        <w:rPr>
          <w:lang w:eastAsia="en-GB"/>
        </w:rPr>
        <w:t>i</w:t>
      </w:r>
      <w:r w:rsidRPr="00CE0885">
        <w:rPr>
          <w:spacing w:val="-1"/>
          <w:lang w:eastAsia="en-GB"/>
        </w:rPr>
        <w:t>a</w:t>
      </w:r>
      <w:r w:rsidRPr="00CE0885">
        <w:rPr>
          <w:spacing w:val="1"/>
          <w:lang w:eastAsia="en-GB"/>
        </w:rPr>
        <w:t>te</w:t>
      </w:r>
      <w:r w:rsidRPr="00CE0885">
        <w:rPr>
          <w:spacing w:val="-3"/>
          <w:lang w:eastAsia="en-GB"/>
        </w:rPr>
        <w:t>l</w:t>
      </w:r>
      <w:r w:rsidRPr="00CE0885">
        <w:rPr>
          <w:lang w:eastAsia="en-GB"/>
        </w:rPr>
        <w:t>y</w:t>
      </w:r>
      <w:r w:rsidRPr="00CE0885">
        <w:rPr>
          <w:spacing w:val="-15"/>
          <w:lang w:eastAsia="en-GB"/>
        </w:rPr>
        <w:t xml:space="preserve"> </w:t>
      </w:r>
      <w:r w:rsidRPr="00CE0885">
        <w:rPr>
          <w:spacing w:val="1"/>
          <w:lang w:eastAsia="en-GB"/>
        </w:rPr>
        <w:t>a</w:t>
      </w:r>
      <w:r w:rsidRPr="00CE0885">
        <w:rPr>
          <w:spacing w:val="3"/>
          <w:lang w:eastAsia="en-GB"/>
        </w:rPr>
        <w:t>f</w:t>
      </w:r>
      <w:r w:rsidRPr="00CE0885">
        <w:rPr>
          <w:spacing w:val="1"/>
          <w:lang w:eastAsia="en-GB"/>
        </w:rPr>
        <w:t>te</w:t>
      </w:r>
      <w:r w:rsidRPr="00CE0885">
        <w:rPr>
          <w:lang w:eastAsia="en-GB"/>
        </w:rPr>
        <w:t>r</w:t>
      </w:r>
      <w:r w:rsidRPr="00CE0885">
        <w:rPr>
          <w:spacing w:val="-8"/>
          <w:lang w:eastAsia="en-GB"/>
        </w:rPr>
        <w:t xml:space="preserve"> </w:t>
      </w:r>
      <w:r w:rsidRPr="00CE0885">
        <w:rPr>
          <w:spacing w:val="1"/>
          <w:lang w:eastAsia="en-GB"/>
        </w:rPr>
        <w:t>th</w:t>
      </w:r>
      <w:r w:rsidRPr="00CE0885">
        <w:rPr>
          <w:lang w:eastAsia="en-GB"/>
        </w:rPr>
        <w:t>e</w:t>
      </w:r>
      <w:r w:rsidRPr="00CE0885">
        <w:rPr>
          <w:spacing w:val="-4"/>
          <w:lang w:eastAsia="en-GB"/>
        </w:rPr>
        <w:t xml:space="preserve"> </w:t>
      </w:r>
      <w:r w:rsidRPr="00CE0885">
        <w:rPr>
          <w:spacing w:val="1"/>
          <w:lang w:eastAsia="en-GB"/>
        </w:rPr>
        <w:t>te</w:t>
      </w:r>
      <w:r w:rsidRPr="00CE0885">
        <w:rPr>
          <w:spacing w:val="-1"/>
          <w:lang w:eastAsia="en-GB"/>
        </w:rPr>
        <w:t>r</w:t>
      </w:r>
      <w:r w:rsidRPr="00CE0885">
        <w:rPr>
          <w:spacing w:val="2"/>
          <w:lang w:eastAsia="en-GB"/>
        </w:rPr>
        <w:t>m</w:t>
      </w:r>
      <w:r w:rsidRPr="00CE0885">
        <w:rPr>
          <w:spacing w:val="-3"/>
          <w:lang w:eastAsia="en-GB"/>
        </w:rPr>
        <w:t>i</w:t>
      </w:r>
      <w:r w:rsidRPr="00CE0885">
        <w:rPr>
          <w:spacing w:val="1"/>
          <w:lang w:eastAsia="en-GB"/>
        </w:rPr>
        <w:t>nat</w:t>
      </w:r>
      <w:r w:rsidRPr="00CE0885">
        <w:rPr>
          <w:lang w:eastAsia="en-GB"/>
        </w:rPr>
        <w:t>i</w:t>
      </w:r>
      <w:r w:rsidRPr="00CE0885">
        <w:rPr>
          <w:spacing w:val="-1"/>
          <w:lang w:eastAsia="en-GB"/>
        </w:rPr>
        <w:t>o</w:t>
      </w:r>
      <w:r w:rsidRPr="00CE0885">
        <w:rPr>
          <w:lang w:eastAsia="en-GB"/>
        </w:rPr>
        <w:t xml:space="preserve">n </w:t>
      </w:r>
      <w:r w:rsidRPr="00CE0885">
        <w:rPr>
          <w:spacing w:val="1"/>
          <w:lang w:eastAsia="en-GB"/>
        </w:rPr>
        <w:t>dat</w:t>
      </w:r>
      <w:r w:rsidRPr="00CE0885">
        <w:rPr>
          <w:spacing w:val="-1"/>
          <w:lang w:eastAsia="en-GB"/>
        </w:rPr>
        <w:t>e</w:t>
      </w:r>
      <w:r w:rsidRPr="00CE0885">
        <w:rPr>
          <w:lang w:eastAsia="en-GB"/>
        </w:rPr>
        <w:t>,</w:t>
      </w:r>
      <w:r w:rsidRPr="00CE0885">
        <w:rPr>
          <w:spacing w:val="-4"/>
          <w:lang w:eastAsia="en-GB"/>
        </w:rPr>
        <w:t xml:space="preserve"> </w:t>
      </w:r>
      <w:r w:rsidRPr="00CE0885">
        <w:rPr>
          <w:spacing w:val="-3"/>
          <w:lang w:eastAsia="en-GB"/>
        </w:rPr>
        <w:t>w</w:t>
      </w:r>
      <w:r w:rsidRPr="00CE0885">
        <w:rPr>
          <w:spacing w:val="1"/>
          <w:lang w:eastAsia="en-GB"/>
        </w:rPr>
        <w:t>h</w:t>
      </w:r>
      <w:r w:rsidRPr="00CE0885">
        <w:rPr>
          <w:lang w:eastAsia="en-GB"/>
        </w:rPr>
        <w:t>ich</w:t>
      </w:r>
      <w:r w:rsidRPr="00CE0885">
        <w:rPr>
          <w:spacing w:val="-4"/>
          <w:lang w:eastAsia="en-GB"/>
        </w:rPr>
        <w:t xml:space="preserve"> </w:t>
      </w:r>
      <w:r w:rsidRPr="00CE0885">
        <w:rPr>
          <w:lang w:eastAsia="en-GB"/>
        </w:rPr>
        <w:t>s</w:t>
      </w:r>
      <w:r w:rsidRPr="00CE0885">
        <w:rPr>
          <w:spacing w:val="1"/>
          <w:lang w:eastAsia="en-GB"/>
        </w:rPr>
        <w:t>hou</w:t>
      </w:r>
      <w:r w:rsidRPr="00CE0885">
        <w:rPr>
          <w:spacing w:val="-3"/>
          <w:lang w:eastAsia="en-GB"/>
        </w:rPr>
        <w:t>l</w:t>
      </w:r>
      <w:r w:rsidRPr="00CE0885">
        <w:rPr>
          <w:lang w:eastAsia="en-GB"/>
        </w:rPr>
        <w:t>d</w:t>
      </w:r>
      <w:r w:rsidRPr="00CE0885">
        <w:rPr>
          <w:spacing w:val="-5"/>
          <w:lang w:eastAsia="en-GB"/>
        </w:rPr>
        <w:t xml:space="preserve"> </w:t>
      </w:r>
      <w:r w:rsidRPr="00CE0885">
        <w:rPr>
          <w:spacing w:val="-1"/>
          <w:lang w:eastAsia="en-GB"/>
        </w:rPr>
        <w:t>b</w:t>
      </w:r>
      <w:r w:rsidRPr="00CE0885">
        <w:rPr>
          <w:lang w:eastAsia="en-GB"/>
        </w:rPr>
        <w:t>e</w:t>
      </w:r>
      <w:r w:rsidRPr="00CE0885">
        <w:rPr>
          <w:spacing w:val="-1"/>
          <w:lang w:eastAsia="en-GB"/>
        </w:rPr>
        <w:t xml:space="preserve"> </w:t>
      </w:r>
      <w:r w:rsidRPr="00CE0885">
        <w:rPr>
          <w:spacing w:val="-3"/>
          <w:lang w:eastAsia="en-GB"/>
        </w:rPr>
        <w:t>i</w:t>
      </w:r>
      <w:r w:rsidRPr="00CE0885">
        <w:rPr>
          <w:spacing w:val="1"/>
          <w:lang w:eastAsia="en-GB"/>
        </w:rPr>
        <w:t>n</w:t>
      </w:r>
      <w:r w:rsidRPr="00CE0885">
        <w:rPr>
          <w:lang w:eastAsia="en-GB"/>
        </w:rPr>
        <w:t>cl</w:t>
      </w:r>
      <w:r w:rsidRPr="00CE0885">
        <w:rPr>
          <w:spacing w:val="1"/>
          <w:lang w:eastAsia="en-GB"/>
        </w:rPr>
        <w:t>ud</w:t>
      </w:r>
      <w:r w:rsidRPr="00CE0885">
        <w:rPr>
          <w:spacing w:val="-1"/>
          <w:lang w:eastAsia="en-GB"/>
        </w:rPr>
        <w:t>e</w:t>
      </w:r>
      <w:r w:rsidRPr="00CE0885">
        <w:rPr>
          <w:lang w:eastAsia="en-GB"/>
        </w:rPr>
        <w:t>d</w:t>
      </w:r>
      <w:r w:rsidRPr="00CE0885">
        <w:rPr>
          <w:spacing w:val="-7"/>
          <w:lang w:eastAsia="en-GB"/>
        </w:rPr>
        <w:t xml:space="preserve"> </w:t>
      </w:r>
      <w:r w:rsidRPr="00CE0885">
        <w:rPr>
          <w:spacing w:val="-1"/>
          <w:lang w:eastAsia="en-GB"/>
        </w:rPr>
        <w:t>o</w:t>
      </w:r>
      <w:r w:rsidRPr="00CE0885">
        <w:rPr>
          <w:lang w:eastAsia="en-GB"/>
        </w:rPr>
        <w:t>n</w:t>
      </w:r>
      <w:r w:rsidRPr="00CE0885">
        <w:rPr>
          <w:spacing w:val="-1"/>
          <w:lang w:eastAsia="en-GB"/>
        </w:rPr>
        <w:t xml:space="preserve"> </w:t>
      </w:r>
      <w:r w:rsidRPr="00CE0885">
        <w:rPr>
          <w:lang w:eastAsia="en-GB"/>
        </w:rPr>
        <w:t>a</w:t>
      </w:r>
      <w:r w:rsidRPr="00CE0885">
        <w:rPr>
          <w:spacing w:val="1"/>
          <w:lang w:eastAsia="en-GB"/>
        </w:rPr>
        <w:t xml:space="preserve"> </w:t>
      </w:r>
      <w:r w:rsidRPr="00CE0885">
        <w:rPr>
          <w:spacing w:val="-3"/>
          <w:lang w:eastAsia="en-GB"/>
        </w:rPr>
        <w:t>l</w:t>
      </w:r>
      <w:r w:rsidRPr="00CE0885">
        <w:rPr>
          <w:spacing w:val="1"/>
          <w:lang w:eastAsia="en-GB"/>
        </w:rPr>
        <w:t>o</w:t>
      </w:r>
      <w:r w:rsidRPr="00CE0885">
        <w:rPr>
          <w:lang w:eastAsia="en-GB"/>
        </w:rPr>
        <w:t>g</w:t>
      </w:r>
      <w:r w:rsidRPr="00CE0885">
        <w:rPr>
          <w:spacing w:val="-4"/>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c</w:t>
      </w:r>
      <w:r w:rsidRPr="00CE0885">
        <w:rPr>
          <w:spacing w:val="1"/>
          <w:lang w:eastAsia="en-GB"/>
        </w:rPr>
        <w:t>o</w:t>
      </w:r>
      <w:r w:rsidRPr="00CE0885">
        <w:rPr>
          <w:lang w:eastAsia="en-GB"/>
        </w:rPr>
        <w:t>l</w:t>
      </w:r>
      <w:r w:rsidRPr="00CE0885">
        <w:rPr>
          <w:spacing w:val="-3"/>
          <w:lang w:eastAsia="en-GB"/>
        </w:rPr>
        <w:t>l</w:t>
      </w:r>
      <w:r w:rsidRPr="00CE0885">
        <w:rPr>
          <w:spacing w:val="1"/>
          <w:lang w:eastAsia="en-GB"/>
        </w:rPr>
        <w:t>e</w:t>
      </w:r>
      <w:r w:rsidRPr="00CE0885">
        <w:rPr>
          <w:lang w:eastAsia="en-GB"/>
        </w:rPr>
        <w:t>c</w:t>
      </w:r>
      <w:r w:rsidRPr="00CE0885">
        <w:rPr>
          <w:spacing w:val="1"/>
          <w:lang w:eastAsia="en-GB"/>
        </w:rPr>
        <w:t>t</w:t>
      </w:r>
      <w:r w:rsidRPr="00CE0885">
        <w:rPr>
          <w:lang w:eastAsia="en-GB"/>
        </w:rPr>
        <w:t>i</w:t>
      </w:r>
      <w:r w:rsidRPr="00CE0885">
        <w:rPr>
          <w:spacing w:val="1"/>
          <w:lang w:eastAsia="en-GB"/>
        </w:rPr>
        <w:t>on</w:t>
      </w:r>
      <w:r w:rsidRPr="00CE0885">
        <w:rPr>
          <w:lang w:eastAsia="en-GB"/>
        </w:rPr>
        <w:t>,</w:t>
      </w:r>
      <w:r w:rsidRPr="00CE0885">
        <w:rPr>
          <w:spacing w:val="-12"/>
          <w:lang w:eastAsia="en-GB"/>
        </w:rPr>
        <w:t xml:space="preserve"> </w:t>
      </w:r>
      <w:r w:rsidRPr="00CE0885">
        <w:rPr>
          <w:spacing w:val="1"/>
          <w:lang w:eastAsia="en-GB"/>
        </w:rPr>
        <w:t>a</w:t>
      </w:r>
      <w:r w:rsidRPr="00CE0885">
        <w:rPr>
          <w:spacing w:val="-1"/>
          <w:lang w:eastAsia="en-GB"/>
        </w:rPr>
        <w:t>n</w:t>
      </w:r>
      <w:r w:rsidRPr="00CE0885">
        <w:rPr>
          <w:lang w:eastAsia="en-GB"/>
        </w:rPr>
        <w:t>d</w:t>
      </w:r>
      <w:r w:rsidRPr="00CE0885">
        <w:rPr>
          <w:spacing w:val="-2"/>
          <w:lang w:eastAsia="en-GB"/>
        </w:rPr>
        <w:t xml:space="preserve"> </w:t>
      </w:r>
      <w:r w:rsidRPr="00CE0885">
        <w:rPr>
          <w:spacing w:val="1"/>
          <w:lang w:eastAsia="en-GB"/>
        </w:rPr>
        <w:t>a</w:t>
      </w:r>
      <w:r w:rsidRPr="00CE0885">
        <w:rPr>
          <w:spacing w:val="-1"/>
          <w:lang w:eastAsia="en-GB"/>
        </w:rPr>
        <w:t>g</w:t>
      </w:r>
      <w:r w:rsidRPr="00CE0885">
        <w:rPr>
          <w:spacing w:val="1"/>
          <w:lang w:eastAsia="en-GB"/>
        </w:rPr>
        <w:t>a</w:t>
      </w:r>
      <w:r w:rsidRPr="00CE0885">
        <w:rPr>
          <w:lang w:eastAsia="en-GB"/>
        </w:rPr>
        <w:t>i</w:t>
      </w:r>
      <w:r w:rsidRPr="00CE0885">
        <w:rPr>
          <w:spacing w:val="1"/>
          <w:lang w:eastAsia="en-GB"/>
        </w:rPr>
        <w:t>n</w:t>
      </w:r>
      <w:r w:rsidRPr="00CE0885">
        <w:rPr>
          <w:lang w:eastAsia="en-GB"/>
        </w:rPr>
        <w:t xml:space="preserve">st </w:t>
      </w:r>
      <w:r w:rsidRPr="00CE0885">
        <w:rPr>
          <w:spacing w:val="1"/>
          <w:lang w:eastAsia="en-GB"/>
        </w:rPr>
        <w:t>an</w:t>
      </w:r>
      <w:r w:rsidRPr="00CE0885">
        <w:rPr>
          <w:lang w:eastAsia="en-GB"/>
        </w:rPr>
        <w:t>y</w:t>
      </w:r>
      <w:r w:rsidRPr="00CE0885">
        <w:rPr>
          <w:spacing w:val="-6"/>
          <w:lang w:eastAsia="en-GB"/>
        </w:rPr>
        <w:t xml:space="preserve"> </w:t>
      </w:r>
      <w:r w:rsidRPr="00CE0885">
        <w:rPr>
          <w:lang w:eastAsia="en-GB"/>
        </w:rPr>
        <w:t>the Commissioner</w:t>
      </w:r>
      <w:r w:rsidRPr="00CE0885">
        <w:rPr>
          <w:spacing w:val="-10"/>
          <w:lang w:eastAsia="en-GB"/>
        </w:rPr>
        <w:t xml:space="preserve"> </w:t>
      </w:r>
      <w:r w:rsidRPr="00CE0885">
        <w:rPr>
          <w:spacing w:val="1"/>
          <w:lang w:eastAsia="en-GB"/>
        </w:rPr>
        <w:t>he</w:t>
      </w:r>
      <w:r w:rsidRPr="00CE0885">
        <w:rPr>
          <w:lang w:eastAsia="en-GB"/>
        </w:rPr>
        <w:t>ld</w:t>
      </w:r>
      <w:r w:rsidRPr="00CE0885">
        <w:rPr>
          <w:spacing w:val="-6"/>
          <w:lang w:eastAsia="en-GB"/>
        </w:rPr>
        <w:t xml:space="preserve"> </w:t>
      </w:r>
      <w:r w:rsidRPr="00CE0885">
        <w:rPr>
          <w:spacing w:val="1"/>
          <w:lang w:eastAsia="en-GB"/>
        </w:rPr>
        <w:t>a</w:t>
      </w:r>
      <w:r w:rsidRPr="00CE0885">
        <w:rPr>
          <w:lang w:eastAsia="en-GB"/>
        </w:rPr>
        <w:t>ss</w:t>
      </w:r>
      <w:r w:rsidRPr="00CE0885">
        <w:rPr>
          <w:spacing w:val="1"/>
          <w:lang w:eastAsia="en-GB"/>
        </w:rPr>
        <w:t>e</w:t>
      </w:r>
      <w:r w:rsidRPr="00CE0885">
        <w:rPr>
          <w:lang w:eastAsia="en-GB"/>
        </w:rPr>
        <w:t>t</w:t>
      </w:r>
      <w:r w:rsidRPr="00CE0885">
        <w:rPr>
          <w:spacing w:val="-5"/>
          <w:lang w:eastAsia="en-GB"/>
        </w:rPr>
        <w:t xml:space="preserve"> </w:t>
      </w:r>
      <w:r w:rsidRPr="00CE0885">
        <w:rPr>
          <w:lang w:eastAsia="en-GB"/>
        </w:rPr>
        <w:t>lis</w:t>
      </w:r>
      <w:r w:rsidRPr="00CE0885">
        <w:rPr>
          <w:spacing w:val="1"/>
          <w:lang w:eastAsia="en-GB"/>
        </w:rPr>
        <w:t>t</w:t>
      </w:r>
      <w:r w:rsidRPr="00CE0885">
        <w:rPr>
          <w:lang w:eastAsia="en-GB"/>
        </w:rPr>
        <w:t>,</w:t>
      </w:r>
      <w:r w:rsidRPr="00CE0885">
        <w:rPr>
          <w:spacing w:val="-5"/>
          <w:lang w:eastAsia="en-GB"/>
        </w:rPr>
        <w:t xml:space="preserve"> </w:t>
      </w:r>
      <w:r w:rsidRPr="00CE0885">
        <w:rPr>
          <w:spacing w:val="1"/>
          <w:lang w:eastAsia="en-GB"/>
        </w:rPr>
        <w:t>a</w:t>
      </w:r>
      <w:r w:rsidRPr="00CE0885">
        <w:rPr>
          <w:spacing w:val="-1"/>
          <w:lang w:eastAsia="en-GB"/>
        </w:rPr>
        <w:t>n</w:t>
      </w:r>
      <w:r w:rsidRPr="00CE0885">
        <w:rPr>
          <w:lang w:eastAsia="en-GB"/>
        </w:rPr>
        <w:t>d</w:t>
      </w:r>
      <w:r w:rsidRPr="00CE0885">
        <w:rPr>
          <w:spacing w:val="-2"/>
          <w:lang w:eastAsia="en-GB"/>
        </w:rPr>
        <w:t xml:space="preserve"> </w:t>
      </w:r>
      <w:r w:rsidRPr="00CE0885">
        <w:rPr>
          <w:spacing w:val="-3"/>
          <w:lang w:eastAsia="en-GB"/>
        </w:rPr>
        <w:t>w</w:t>
      </w:r>
      <w:r w:rsidRPr="00CE0885">
        <w:rPr>
          <w:spacing w:val="1"/>
          <w:lang w:eastAsia="en-GB"/>
        </w:rPr>
        <w:t>he</w:t>
      </w:r>
      <w:r w:rsidRPr="00CE0885">
        <w:rPr>
          <w:spacing w:val="-1"/>
          <w:lang w:eastAsia="en-GB"/>
        </w:rPr>
        <w:t>r</w:t>
      </w:r>
      <w:r w:rsidRPr="00CE0885">
        <w:rPr>
          <w:lang w:eastAsia="en-GB"/>
        </w:rPr>
        <w:t>e</w:t>
      </w:r>
      <w:r w:rsidRPr="00CE0885">
        <w:rPr>
          <w:spacing w:val="-5"/>
          <w:lang w:eastAsia="en-GB"/>
        </w:rPr>
        <w:t xml:space="preserve"> </w:t>
      </w:r>
      <w:r w:rsidRPr="00CE0885">
        <w:rPr>
          <w:spacing w:val="-1"/>
          <w:lang w:eastAsia="en-GB"/>
        </w:rPr>
        <w:t>p</w:t>
      </w:r>
      <w:r w:rsidRPr="00CE0885">
        <w:rPr>
          <w:spacing w:val="1"/>
          <w:lang w:eastAsia="en-GB"/>
        </w:rPr>
        <w:t>o</w:t>
      </w:r>
      <w:r w:rsidRPr="00CE0885">
        <w:rPr>
          <w:lang w:eastAsia="en-GB"/>
        </w:rPr>
        <w:t>ssi</w:t>
      </w:r>
      <w:r w:rsidRPr="00CE0885">
        <w:rPr>
          <w:spacing w:val="1"/>
          <w:lang w:eastAsia="en-GB"/>
        </w:rPr>
        <w:t>b</w:t>
      </w:r>
      <w:r w:rsidRPr="00CE0885">
        <w:rPr>
          <w:lang w:eastAsia="en-GB"/>
        </w:rPr>
        <w:t>le</w:t>
      </w:r>
      <w:r w:rsidRPr="00CE0885">
        <w:rPr>
          <w:spacing w:val="-7"/>
          <w:lang w:eastAsia="en-GB"/>
        </w:rPr>
        <w:t xml:space="preserve"> </w:t>
      </w:r>
      <w:r w:rsidRPr="00CE0885">
        <w:rPr>
          <w:spacing w:val="-2"/>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c</w:t>
      </w:r>
      <w:r w:rsidRPr="00CE0885">
        <w:rPr>
          <w:spacing w:val="-1"/>
          <w:lang w:eastAsia="en-GB"/>
        </w:rPr>
        <w:t>o</w:t>
      </w:r>
      <w:r w:rsidRPr="00CE0885">
        <w:rPr>
          <w:spacing w:val="1"/>
          <w:lang w:eastAsia="en-GB"/>
        </w:rPr>
        <w:t>nt</w:t>
      </w:r>
      <w:r w:rsidRPr="00CE0885">
        <w:rPr>
          <w:spacing w:val="-1"/>
          <w:lang w:eastAsia="en-GB"/>
        </w:rPr>
        <w:t>r</w:t>
      </w:r>
      <w:r w:rsidRPr="00CE0885">
        <w:rPr>
          <w:spacing w:val="1"/>
          <w:lang w:eastAsia="en-GB"/>
        </w:rPr>
        <w:t>a</w:t>
      </w:r>
      <w:r w:rsidRPr="00CE0885">
        <w:rPr>
          <w:lang w:eastAsia="en-GB"/>
        </w:rPr>
        <w:t>c</w:t>
      </w:r>
      <w:r w:rsidRPr="00CE0885">
        <w:rPr>
          <w:spacing w:val="-2"/>
          <w:lang w:eastAsia="en-GB"/>
        </w:rPr>
        <w:t>t</w:t>
      </w:r>
      <w:r w:rsidRPr="00CE0885">
        <w:rPr>
          <w:spacing w:val="1"/>
          <w:lang w:eastAsia="en-GB"/>
        </w:rPr>
        <w:t>o</w:t>
      </w:r>
      <w:r w:rsidRPr="00CE0885">
        <w:rPr>
          <w:lang w:eastAsia="en-GB"/>
        </w:rPr>
        <w:t>r s</w:t>
      </w:r>
      <w:r w:rsidRPr="00CE0885">
        <w:rPr>
          <w:spacing w:val="1"/>
          <w:lang w:eastAsia="en-GB"/>
        </w:rPr>
        <w:t>hou</w:t>
      </w:r>
      <w:r w:rsidRPr="00CE0885">
        <w:rPr>
          <w:lang w:eastAsia="en-GB"/>
        </w:rPr>
        <w:t>ld</w:t>
      </w:r>
      <w:r w:rsidRPr="00CE0885">
        <w:rPr>
          <w:spacing w:val="-8"/>
          <w:lang w:eastAsia="en-GB"/>
        </w:rPr>
        <w:t xml:space="preserve"> </w:t>
      </w:r>
      <w:r w:rsidRPr="00CE0885">
        <w:rPr>
          <w:spacing w:val="1"/>
          <w:lang w:eastAsia="en-GB"/>
        </w:rPr>
        <w:t>b</w:t>
      </w:r>
      <w:r w:rsidRPr="00CE0885">
        <w:rPr>
          <w:lang w:eastAsia="en-GB"/>
        </w:rPr>
        <w:t>e</w:t>
      </w:r>
      <w:r w:rsidRPr="00CE0885">
        <w:rPr>
          <w:spacing w:val="-4"/>
          <w:lang w:eastAsia="en-GB"/>
        </w:rPr>
        <w:t xml:space="preserve"> </w:t>
      </w:r>
      <w:r w:rsidRPr="00CE0885">
        <w:rPr>
          <w:spacing w:val="1"/>
          <w:lang w:eastAsia="en-GB"/>
        </w:rPr>
        <w:t>a</w:t>
      </w:r>
      <w:r w:rsidRPr="00CE0885">
        <w:rPr>
          <w:lang w:eastAsia="en-GB"/>
        </w:rPr>
        <w:t>sk</w:t>
      </w:r>
      <w:r w:rsidRPr="00CE0885">
        <w:rPr>
          <w:spacing w:val="-1"/>
          <w:lang w:eastAsia="en-GB"/>
        </w:rPr>
        <w:t>e</w:t>
      </w:r>
      <w:r w:rsidRPr="00CE0885">
        <w:rPr>
          <w:lang w:eastAsia="en-GB"/>
        </w:rPr>
        <w:t>d</w:t>
      </w:r>
      <w:r w:rsidRPr="00CE0885">
        <w:rPr>
          <w:spacing w:val="-4"/>
          <w:lang w:eastAsia="en-GB"/>
        </w:rPr>
        <w:t xml:space="preserve"> </w:t>
      </w:r>
      <w:r w:rsidRPr="00CE0885">
        <w:rPr>
          <w:spacing w:val="1"/>
          <w:lang w:eastAsia="en-GB"/>
        </w:rPr>
        <w:t>t</w:t>
      </w:r>
      <w:r w:rsidRPr="00CE0885">
        <w:rPr>
          <w:lang w:eastAsia="en-GB"/>
        </w:rPr>
        <w:t>o</w:t>
      </w:r>
      <w:r w:rsidRPr="00CE0885">
        <w:rPr>
          <w:spacing w:val="-3"/>
          <w:lang w:eastAsia="en-GB"/>
        </w:rPr>
        <w:t xml:space="preserve"> </w:t>
      </w:r>
      <w:r w:rsidRPr="00CE0885">
        <w:rPr>
          <w:lang w:eastAsia="en-GB"/>
        </w:rPr>
        <w:t>si</w:t>
      </w:r>
      <w:r w:rsidRPr="00CE0885">
        <w:rPr>
          <w:spacing w:val="-1"/>
          <w:lang w:eastAsia="en-GB"/>
        </w:rPr>
        <w:t>g</w:t>
      </w:r>
      <w:r w:rsidRPr="00CE0885">
        <w:rPr>
          <w:lang w:eastAsia="en-GB"/>
        </w:rPr>
        <w:t>n</w:t>
      </w:r>
      <w:r w:rsidRPr="00CE0885">
        <w:rPr>
          <w:spacing w:val="-2"/>
          <w:lang w:eastAsia="en-GB"/>
        </w:rPr>
        <w:t xml:space="preserve"> </w:t>
      </w:r>
      <w:r w:rsidRPr="00CE0885">
        <w:rPr>
          <w:spacing w:val="1"/>
          <w:lang w:eastAsia="en-GB"/>
        </w:rPr>
        <w:t>t</w:t>
      </w:r>
      <w:r w:rsidRPr="00CE0885">
        <w:rPr>
          <w:lang w:eastAsia="en-GB"/>
        </w:rPr>
        <w:t xml:space="preserve">o </w:t>
      </w:r>
      <w:r w:rsidRPr="00CE0885">
        <w:rPr>
          <w:spacing w:val="-2"/>
          <w:lang w:eastAsia="en-GB"/>
        </w:rPr>
        <w:t>c</w:t>
      </w:r>
      <w:r w:rsidRPr="00CE0885">
        <w:rPr>
          <w:spacing w:val="1"/>
          <w:lang w:eastAsia="en-GB"/>
        </w:rPr>
        <w:t>o</w:t>
      </w:r>
      <w:r w:rsidRPr="00CE0885">
        <w:rPr>
          <w:spacing w:val="-1"/>
          <w:lang w:eastAsia="en-GB"/>
        </w:rPr>
        <w:t>n</w:t>
      </w:r>
      <w:r w:rsidRPr="00CE0885">
        <w:rPr>
          <w:spacing w:val="3"/>
          <w:lang w:eastAsia="en-GB"/>
        </w:rPr>
        <w:t>f</w:t>
      </w:r>
      <w:r w:rsidRPr="00CE0885">
        <w:rPr>
          <w:lang w:eastAsia="en-GB"/>
        </w:rPr>
        <w:t>i</w:t>
      </w:r>
      <w:r w:rsidRPr="00CE0885">
        <w:rPr>
          <w:spacing w:val="-3"/>
          <w:lang w:eastAsia="en-GB"/>
        </w:rPr>
        <w:t>r</w:t>
      </w:r>
      <w:r w:rsidRPr="00CE0885">
        <w:rPr>
          <w:lang w:eastAsia="en-GB"/>
        </w:rPr>
        <w:t>m</w:t>
      </w:r>
      <w:r w:rsidRPr="00CE0885">
        <w:rPr>
          <w:spacing w:val="-6"/>
          <w:lang w:eastAsia="en-GB"/>
        </w:rPr>
        <w:t xml:space="preserve">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1"/>
          <w:lang w:eastAsia="en-GB"/>
        </w:rPr>
        <w:t>p</w:t>
      </w:r>
      <w:r w:rsidRPr="00CE0885">
        <w:rPr>
          <w:spacing w:val="-1"/>
          <w:lang w:eastAsia="en-GB"/>
        </w:rPr>
        <w:t>ro</w:t>
      </w:r>
      <w:r w:rsidRPr="00CE0885">
        <w:rPr>
          <w:spacing w:val="1"/>
          <w:lang w:eastAsia="en-GB"/>
        </w:rPr>
        <w:t>pe</w:t>
      </w:r>
      <w:r w:rsidRPr="00CE0885">
        <w:rPr>
          <w:spacing w:val="-3"/>
          <w:lang w:eastAsia="en-GB"/>
        </w:rPr>
        <w:t>r</w:t>
      </w:r>
      <w:r w:rsidRPr="00CE0885">
        <w:rPr>
          <w:spacing w:val="1"/>
          <w:lang w:eastAsia="en-GB"/>
        </w:rPr>
        <w:t>t</w:t>
      </w:r>
      <w:r w:rsidRPr="00CE0885">
        <w:rPr>
          <w:lang w:eastAsia="en-GB"/>
        </w:rPr>
        <w:t>y</w:t>
      </w:r>
      <w:r w:rsidRPr="00CE0885">
        <w:rPr>
          <w:spacing w:val="-11"/>
          <w:lang w:eastAsia="en-GB"/>
        </w:rPr>
        <w:t xml:space="preserve"> </w:t>
      </w:r>
      <w:r w:rsidRPr="00CE0885">
        <w:rPr>
          <w:spacing w:val="1"/>
          <w:lang w:eastAsia="en-GB"/>
        </w:rPr>
        <w:t>tha</w:t>
      </w:r>
      <w:r w:rsidRPr="00CE0885">
        <w:rPr>
          <w:lang w:eastAsia="en-GB"/>
        </w:rPr>
        <w:t>t</w:t>
      </w:r>
      <w:r w:rsidRPr="00CE0885">
        <w:rPr>
          <w:spacing w:val="-3"/>
          <w:lang w:eastAsia="en-GB"/>
        </w:rPr>
        <w:t xml:space="preserve"> </w:t>
      </w:r>
      <w:r w:rsidRPr="00CE0885">
        <w:rPr>
          <w:spacing w:val="-1"/>
          <w:lang w:eastAsia="en-GB"/>
        </w:rPr>
        <w:t>h</w:t>
      </w:r>
      <w:r w:rsidRPr="00CE0885">
        <w:rPr>
          <w:spacing w:val="1"/>
          <w:lang w:eastAsia="en-GB"/>
        </w:rPr>
        <w:t>a</w:t>
      </w:r>
      <w:r w:rsidRPr="00CE0885">
        <w:rPr>
          <w:lang w:eastAsia="en-GB"/>
        </w:rPr>
        <w:t>s</w:t>
      </w:r>
      <w:r w:rsidRPr="00CE0885">
        <w:rPr>
          <w:spacing w:val="-4"/>
          <w:lang w:eastAsia="en-GB"/>
        </w:rPr>
        <w:t xml:space="preserve"> </w:t>
      </w:r>
      <w:r w:rsidRPr="00CE0885">
        <w:rPr>
          <w:spacing w:val="-1"/>
          <w:lang w:eastAsia="en-GB"/>
        </w:rPr>
        <w:t>b</w:t>
      </w:r>
      <w:r w:rsidRPr="00CE0885">
        <w:rPr>
          <w:spacing w:val="1"/>
          <w:lang w:eastAsia="en-GB"/>
        </w:rPr>
        <w:t>ee</w:t>
      </w:r>
      <w:r w:rsidRPr="00CE0885">
        <w:rPr>
          <w:lang w:eastAsia="en-GB"/>
        </w:rPr>
        <w:t xml:space="preserve">n </w:t>
      </w:r>
      <w:r w:rsidRPr="00CE0885">
        <w:rPr>
          <w:spacing w:val="-1"/>
          <w:lang w:eastAsia="en-GB"/>
        </w:rPr>
        <w:t>r</w:t>
      </w:r>
      <w:r w:rsidRPr="00CE0885">
        <w:rPr>
          <w:spacing w:val="1"/>
          <w:lang w:eastAsia="en-GB"/>
        </w:rPr>
        <w:t>e</w:t>
      </w:r>
      <w:r w:rsidRPr="00CE0885">
        <w:rPr>
          <w:spacing w:val="2"/>
          <w:lang w:eastAsia="en-GB"/>
        </w:rPr>
        <w:t>m</w:t>
      </w:r>
      <w:r w:rsidRPr="00CE0885">
        <w:rPr>
          <w:spacing w:val="1"/>
          <w:lang w:eastAsia="en-GB"/>
        </w:rPr>
        <w:t>o</w:t>
      </w:r>
      <w:r w:rsidRPr="00CE0885">
        <w:rPr>
          <w:spacing w:val="-2"/>
          <w:lang w:eastAsia="en-GB"/>
        </w:rPr>
        <w:t>v</w:t>
      </w:r>
      <w:r w:rsidRPr="00CE0885">
        <w:rPr>
          <w:spacing w:val="1"/>
          <w:lang w:eastAsia="en-GB"/>
        </w:rPr>
        <w:t>ed</w:t>
      </w:r>
      <w:r w:rsidRPr="00CE0885">
        <w:rPr>
          <w:lang w:eastAsia="en-GB"/>
        </w:rPr>
        <w:t>,</w:t>
      </w:r>
      <w:r w:rsidRPr="00CE0885">
        <w:rPr>
          <w:spacing w:val="-11"/>
          <w:lang w:eastAsia="en-GB"/>
        </w:rPr>
        <w:t xml:space="preserve"> </w:t>
      </w:r>
      <w:r w:rsidRPr="00CE0885">
        <w:rPr>
          <w:spacing w:val="1"/>
          <w:lang w:eastAsia="en-GB"/>
        </w:rPr>
        <w:t>a</w:t>
      </w:r>
      <w:r w:rsidRPr="00CE0885">
        <w:rPr>
          <w:lang w:eastAsia="en-GB"/>
        </w:rPr>
        <w:t>cc</w:t>
      </w:r>
      <w:r w:rsidRPr="00CE0885">
        <w:rPr>
          <w:spacing w:val="1"/>
          <w:lang w:eastAsia="en-GB"/>
        </w:rPr>
        <w:t>e</w:t>
      </w:r>
      <w:r w:rsidRPr="00CE0885">
        <w:rPr>
          <w:spacing w:val="-1"/>
          <w:lang w:eastAsia="en-GB"/>
        </w:rPr>
        <w:t>p</w:t>
      </w:r>
      <w:r w:rsidRPr="00CE0885">
        <w:rPr>
          <w:spacing w:val="1"/>
          <w:lang w:eastAsia="en-GB"/>
        </w:rPr>
        <w:t>t</w:t>
      </w:r>
      <w:r w:rsidRPr="00CE0885">
        <w:rPr>
          <w:lang w:eastAsia="en-GB"/>
        </w:rPr>
        <w:t>i</w:t>
      </w:r>
      <w:r w:rsidRPr="00CE0885">
        <w:rPr>
          <w:spacing w:val="1"/>
          <w:lang w:eastAsia="en-GB"/>
        </w:rPr>
        <w:t>n</w:t>
      </w:r>
      <w:r w:rsidRPr="00CE0885">
        <w:rPr>
          <w:lang w:eastAsia="en-GB"/>
        </w:rPr>
        <w:t>g</w:t>
      </w:r>
      <w:r w:rsidRPr="00CE0885">
        <w:rPr>
          <w:spacing w:val="-11"/>
          <w:lang w:eastAsia="en-GB"/>
        </w:rPr>
        <w:t xml:space="preserve"> </w:t>
      </w:r>
      <w:r w:rsidRPr="00CE0885">
        <w:rPr>
          <w:spacing w:val="1"/>
          <w:lang w:eastAsia="en-GB"/>
        </w:rPr>
        <w:t>t</w:t>
      </w:r>
      <w:r w:rsidRPr="00CE0885">
        <w:rPr>
          <w:spacing w:val="-1"/>
          <w:lang w:eastAsia="en-GB"/>
        </w:rPr>
        <w:t>h</w:t>
      </w:r>
      <w:r w:rsidRPr="00CE0885">
        <w:rPr>
          <w:spacing w:val="1"/>
          <w:lang w:eastAsia="en-GB"/>
        </w:rPr>
        <w:t>a</w:t>
      </w:r>
      <w:r w:rsidRPr="00CE0885">
        <w:rPr>
          <w:lang w:eastAsia="en-GB"/>
        </w:rPr>
        <w:t>t</w:t>
      </w:r>
      <w:r w:rsidRPr="00CE0885">
        <w:rPr>
          <w:spacing w:val="-3"/>
          <w:lang w:eastAsia="en-GB"/>
        </w:rPr>
        <w:t xml:space="preserve"> </w:t>
      </w:r>
      <w:r w:rsidRPr="00CE0885">
        <w:rPr>
          <w:lang w:eastAsia="en-GB"/>
        </w:rPr>
        <w:t>it is</w:t>
      </w:r>
      <w:r w:rsidRPr="00CE0885">
        <w:rPr>
          <w:spacing w:val="-2"/>
          <w:lang w:eastAsia="en-GB"/>
        </w:rPr>
        <w:t xml:space="preserve"> </w:t>
      </w:r>
      <w:r w:rsidRPr="00CE0885">
        <w:rPr>
          <w:spacing w:val="1"/>
          <w:lang w:eastAsia="en-GB"/>
        </w:rPr>
        <w:t>o</w:t>
      </w:r>
      <w:r w:rsidRPr="00CE0885">
        <w:rPr>
          <w:spacing w:val="-3"/>
          <w:lang w:eastAsia="en-GB"/>
        </w:rPr>
        <w:t>w</w:t>
      </w:r>
      <w:r w:rsidRPr="00CE0885">
        <w:rPr>
          <w:spacing w:val="1"/>
          <w:lang w:eastAsia="en-GB"/>
        </w:rPr>
        <w:t>ne</w:t>
      </w:r>
      <w:r w:rsidRPr="00CE0885">
        <w:rPr>
          <w:lang w:eastAsia="en-GB"/>
        </w:rPr>
        <w:t>d</w:t>
      </w:r>
      <w:r w:rsidRPr="00CE0885">
        <w:rPr>
          <w:spacing w:val="-8"/>
          <w:lang w:eastAsia="en-GB"/>
        </w:rPr>
        <w:t xml:space="preserve"> </w:t>
      </w:r>
      <w:r w:rsidRPr="00CE0885">
        <w:rPr>
          <w:spacing w:val="1"/>
          <w:lang w:eastAsia="en-GB"/>
        </w:rPr>
        <w:t>b</w:t>
      </w:r>
      <w:r w:rsidRPr="00CE0885">
        <w:rPr>
          <w:lang w:eastAsia="en-GB"/>
        </w:rPr>
        <w:t>y</w:t>
      </w:r>
      <w:r w:rsidRPr="00CE0885">
        <w:rPr>
          <w:spacing w:val="-5"/>
          <w:lang w:eastAsia="en-GB"/>
        </w:rPr>
        <w:t xml:space="preserve"> </w:t>
      </w:r>
      <w:r w:rsidRPr="00CE0885">
        <w:rPr>
          <w:spacing w:val="1"/>
          <w:lang w:eastAsia="en-GB"/>
        </w:rPr>
        <w:t>th</w:t>
      </w:r>
      <w:r w:rsidRPr="00CE0885">
        <w:rPr>
          <w:lang w:eastAsia="en-GB"/>
        </w:rPr>
        <w:t>e</w:t>
      </w:r>
      <w:r w:rsidRPr="00CE0885">
        <w:rPr>
          <w:spacing w:val="-1"/>
          <w:lang w:eastAsia="en-GB"/>
        </w:rPr>
        <w:t xml:space="preserve"> </w:t>
      </w:r>
      <w:r w:rsidRPr="00CE0885">
        <w:rPr>
          <w:spacing w:val="-3"/>
          <w:lang w:eastAsia="en-GB"/>
        </w:rPr>
        <w:t>N</w:t>
      </w:r>
      <w:r w:rsidRPr="00CE0885">
        <w:rPr>
          <w:lang w:eastAsia="en-GB"/>
        </w:rPr>
        <w:t>H</w:t>
      </w:r>
      <w:r w:rsidRPr="00CE0885">
        <w:rPr>
          <w:spacing w:val="1"/>
          <w:lang w:eastAsia="en-GB"/>
        </w:rPr>
        <w:t>S</w:t>
      </w:r>
      <w:r w:rsidRPr="00CE0885">
        <w:rPr>
          <w:lang w:eastAsia="en-GB"/>
        </w:rPr>
        <w:t>.</w:t>
      </w:r>
      <w:bookmarkEnd w:id="672"/>
    </w:p>
    <w:p w14:paraId="283AD12A" w14:textId="77777777" w:rsidR="00977693" w:rsidRPr="00CE0885" w:rsidRDefault="00977693" w:rsidP="006B781A">
      <w:pPr>
        <w:pStyle w:val="Heading3"/>
        <w:rPr>
          <w:lang w:eastAsia="en-GB"/>
        </w:rPr>
      </w:pPr>
      <w:bookmarkStart w:id="673" w:name="_Toc440981816"/>
      <w:r w:rsidRPr="00CE0885">
        <w:rPr>
          <w:lang w:eastAsia="en-GB"/>
        </w:rPr>
        <w:t>On</w:t>
      </w:r>
      <w:r w:rsidRPr="00CE0885">
        <w:rPr>
          <w:spacing w:val="-1"/>
          <w:lang w:eastAsia="en-GB"/>
        </w:rPr>
        <w:t xml:space="preserve"> </w:t>
      </w:r>
      <w:r w:rsidRPr="00CE0885">
        <w:rPr>
          <w:lang w:eastAsia="en-GB"/>
        </w:rPr>
        <w:t>te</w:t>
      </w:r>
      <w:r w:rsidRPr="00CE0885">
        <w:rPr>
          <w:spacing w:val="-3"/>
          <w:lang w:eastAsia="en-GB"/>
        </w:rPr>
        <w:t>r</w:t>
      </w:r>
      <w:r w:rsidRPr="00CE0885">
        <w:rPr>
          <w:spacing w:val="2"/>
          <w:lang w:eastAsia="en-GB"/>
        </w:rPr>
        <w:t>m</w:t>
      </w:r>
      <w:r w:rsidRPr="00CE0885">
        <w:rPr>
          <w:lang w:eastAsia="en-GB"/>
        </w:rPr>
        <w:t>in</w:t>
      </w:r>
      <w:r w:rsidRPr="00CE0885">
        <w:rPr>
          <w:spacing w:val="-1"/>
          <w:lang w:eastAsia="en-GB"/>
        </w:rPr>
        <w:t>a</w:t>
      </w:r>
      <w:r w:rsidRPr="00CE0885">
        <w:rPr>
          <w:lang w:eastAsia="en-GB"/>
        </w:rPr>
        <w:t>tion</w:t>
      </w:r>
      <w:r w:rsidRPr="00CE0885">
        <w:rPr>
          <w:spacing w:val="-13"/>
          <w:lang w:eastAsia="en-GB"/>
        </w:rPr>
        <w:t xml:space="preserve"> </w:t>
      </w:r>
      <w:r w:rsidRPr="00CE0885">
        <w:rPr>
          <w:spacing w:val="-1"/>
          <w:lang w:eastAsia="en-GB"/>
        </w:rPr>
        <w:t>o</w:t>
      </w:r>
      <w:r w:rsidRPr="00CE0885">
        <w:rPr>
          <w:lang w:eastAsia="en-GB"/>
        </w:rPr>
        <w:t xml:space="preserve">f </w:t>
      </w:r>
      <w:r w:rsidRPr="00CE0885">
        <w:rPr>
          <w:spacing w:val="-2"/>
          <w:lang w:eastAsia="en-GB"/>
        </w:rPr>
        <w:t>t</w:t>
      </w:r>
      <w:r w:rsidRPr="00CE0885">
        <w:rPr>
          <w:lang w:eastAsia="en-GB"/>
        </w:rPr>
        <w:t>he</w:t>
      </w:r>
      <w:r w:rsidRPr="00CE0885">
        <w:rPr>
          <w:spacing w:val="-1"/>
          <w:lang w:eastAsia="en-GB"/>
        </w:rPr>
        <w:t xml:space="preserve"> </w:t>
      </w:r>
      <w:r w:rsidRPr="00CE0885">
        <w:rPr>
          <w:spacing w:val="-2"/>
          <w:lang w:eastAsia="en-GB"/>
        </w:rPr>
        <w:t>c</w:t>
      </w:r>
      <w:r w:rsidRPr="00CE0885">
        <w:rPr>
          <w:lang w:eastAsia="en-GB"/>
        </w:rPr>
        <w:t>ont</w:t>
      </w:r>
      <w:r w:rsidRPr="00CE0885">
        <w:rPr>
          <w:spacing w:val="-1"/>
          <w:lang w:eastAsia="en-GB"/>
        </w:rPr>
        <w:t>r</w:t>
      </w:r>
      <w:r w:rsidRPr="00CE0885">
        <w:rPr>
          <w:lang w:eastAsia="en-GB"/>
        </w:rPr>
        <w:t>act,</w:t>
      </w:r>
      <w:r w:rsidRPr="00CE0885">
        <w:rPr>
          <w:spacing w:val="-10"/>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2"/>
          <w:lang w:eastAsia="en-GB"/>
        </w:rPr>
        <w:t>Commissioner</w:t>
      </w:r>
      <w:r w:rsidRPr="00CE0885">
        <w:rPr>
          <w:lang w:eastAsia="en-GB"/>
        </w:rPr>
        <w:t xml:space="preserve"> </w:t>
      </w:r>
      <w:r w:rsidRPr="00CE0885">
        <w:rPr>
          <w:spacing w:val="-2"/>
          <w:lang w:eastAsia="en-GB"/>
        </w:rPr>
        <w:t>s</w:t>
      </w:r>
      <w:r w:rsidRPr="00CE0885">
        <w:rPr>
          <w:lang w:eastAsia="en-GB"/>
        </w:rPr>
        <w:t>hall</w:t>
      </w:r>
      <w:r w:rsidRPr="00CE0885">
        <w:rPr>
          <w:spacing w:val="-5"/>
          <w:lang w:eastAsia="en-GB"/>
        </w:rPr>
        <w:t xml:space="preserve"> </w:t>
      </w:r>
      <w:r w:rsidRPr="00CE0885">
        <w:rPr>
          <w:spacing w:val="-1"/>
          <w:lang w:eastAsia="en-GB"/>
        </w:rPr>
        <w:t>p</w:t>
      </w:r>
      <w:r w:rsidRPr="00CE0885">
        <w:rPr>
          <w:lang w:eastAsia="en-GB"/>
        </w:rPr>
        <w:t>e</w:t>
      </w:r>
      <w:r w:rsidRPr="00CE0885">
        <w:rPr>
          <w:spacing w:val="-1"/>
          <w:lang w:eastAsia="en-GB"/>
        </w:rPr>
        <w:t>r</w:t>
      </w:r>
      <w:r w:rsidRPr="00CE0885">
        <w:rPr>
          <w:lang w:eastAsia="en-GB"/>
        </w:rPr>
        <w:t>fo</w:t>
      </w:r>
      <w:r w:rsidRPr="00CE0885">
        <w:rPr>
          <w:spacing w:val="-1"/>
          <w:lang w:eastAsia="en-GB"/>
        </w:rPr>
        <w:t>r</w:t>
      </w:r>
      <w:r w:rsidRPr="00CE0885">
        <w:rPr>
          <w:lang w:eastAsia="en-GB"/>
        </w:rPr>
        <w:t>m</w:t>
      </w:r>
      <w:r w:rsidRPr="00CE0885">
        <w:rPr>
          <w:spacing w:val="-8"/>
          <w:lang w:eastAsia="en-GB"/>
        </w:rPr>
        <w:t xml:space="preserve"> </w:t>
      </w:r>
      <w:r w:rsidRPr="00CE0885">
        <w:rPr>
          <w:lang w:eastAsia="en-GB"/>
        </w:rPr>
        <w:t xml:space="preserve">a </w:t>
      </w:r>
      <w:r w:rsidRPr="00CE0885">
        <w:rPr>
          <w:spacing w:val="-1"/>
          <w:lang w:eastAsia="en-GB"/>
        </w:rPr>
        <w:t>r</w:t>
      </w:r>
      <w:r w:rsidRPr="00CE0885">
        <w:rPr>
          <w:lang w:eastAsia="en-GB"/>
        </w:rPr>
        <w:t>ec</w:t>
      </w:r>
      <w:r w:rsidRPr="00CE0885">
        <w:rPr>
          <w:spacing w:val="-1"/>
          <w:lang w:eastAsia="en-GB"/>
        </w:rPr>
        <w:t>o</w:t>
      </w:r>
      <w:r w:rsidRPr="00CE0885">
        <w:rPr>
          <w:lang w:eastAsia="en-GB"/>
        </w:rPr>
        <w:t xml:space="preserve">nciliation </w:t>
      </w:r>
      <w:r w:rsidRPr="00CE0885">
        <w:rPr>
          <w:spacing w:val="-1"/>
          <w:lang w:eastAsia="en-GB"/>
        </w:rPr>
        <w:t>o</w:t>
      </w:r>
      <w:r w:rsidRPr="00CE0885">
        <w:rPr>
          <w:lang w:eastAsia="en-GB"/>
        </w:rPr>
        <w:t>f t</w:t>
      </w:r>
      <w:r w:rsidRPr="00CE0885">
        <w:rPr>
          <w:spacing w:val="-1"/>
          <w:lang w:eastAsia="en-GB"/>
        </w:rPr>
        <w:t>h</w:t>
      </w:r>
      <w:r w:rsidRPr="00CE0885">
        <w:rPr>
          <w:lang w:eastAsia="en-GB"/>
        </w:rPr>
        <w:t>e</w:t>
      </w:r>
      <w:r w:rsidRPr="00CE0885">
        <w:rPr>
          <w:spacing w:val="-1"/>
          <w:lang w:eastAsia="en-GB"/>
        </w:rPr>
        <w:t xml:space="preserve"> p</w:t>
      </w:r>
      <w:r w:rsidRPr="00CE0885">
        <w:rPr>
          <w:lang w:eastAsia="en-GB"/>
        </w:rPr>
        <w:t>a</w:t>
      </w:r>
      <w:r w:rsidRPr="00CE0885">
        <w:rPr>
          <w:spacing w:val="-2"/>
          <w:lang w:eastAsia="en-GB"/>
        </w:rPr>
        <w:t>y</w:t>
      </w:r>
      <w:r w:rsidRPr="00CE0885">
        <w:rPr>
          <w:spacing w:val="2"/>
          <w:lang w:eastAsia="en-GB"/>
        </w:rPr>
        <w:t>m</w:t>
      </w:r>
      <w:r w:rsidRPr="00CE0885">
        <w:rPr>
          <w:lang w:eastAsia="en-GB"/>
        </w:rPr>
        <w:t>ents</w:t>
      </w:r>
      <w:r w:rsidRPr="00CE0885">
        <w:rPr>
          <w:spacing w:val="-12"/>
          <w:lang w:eastAsia="en-GB"/>
        </w:rPr>
        <w:t xml:space="preserve"> </w:t>
      </w:r>
      <w:r w:rsidRPr="00CE0885">
        <w:rPr>
          <w:spacing w:val="-1"/>
          <w:lang w:eastAsia="en-GB"/>
        </w:rPr>
        <w:t>m</w:t>
      </w:r>
      <w:r w:rsidRPr="00CE0885">
        <w:rPr>
          <w:lang w:eastAsia="en-GB"/>
        </w:rPr>
        <w:t>ade</w:t>
      </w:r>
      <w:r w:rsidRPr="00CE0885">
        <w:rPr>
          <w:spacing w:val="-9"/>
          <w:lang w:eastAsia="en-GB"/>
        </w:rPr>
        <w:t xml:space="preserve"> </w:t>
      </w:r>
      <w:r w:rsidRPr="00CE0885">
        <w:rPr>
          <w:lang w:eastAsia="en-GB"/>
        </w:rPr>
        <w:t>by</w:t>
      </w:r>
      <w:r w:rsidRPr="00CE0885">
        <w:rPr>
          <w:spacing w:val="-5"/>
          <w:lang w:eastAsia="en-GB"/>
        </w:rPr>
        <w:t xml:space="preserve"> </w:t>
      </w:r>
      <w:r w:rsidRPr="00CE0885">
        <w:rPr>
          <w:lang w:eastAsia="en-GB"/>
        </w:rPr>
        <w:t>the Commissioner</w:t>
      </w:r>
      <w:r w:rsidRPr="00CE0885">
        <w:rPr>
          <w:spacing w:val="-7"/>
          <w:lang w:eastAsia="en-GB"/>
        </w:rPr>
        <w:t xml:space="preserve"> </w:t>
      </w:r>
      <w:r w:rsidRPr="00CE0885">
        <w:rPr>
          <w:lang w:eastAsia="en-GB"/>
        </w:rPr>
        <w:t>to</w:t>
      </w:r>
      <w:r w:rsidRPr="00CE0885">
        <w:rPr>
          <w:spacing w:val="-3"/>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4"/>
          <w:lang w:eastAsia="en-GB"/>
        </w:rPr>
        <w:t xml:space="preserve"> </w:t>
      </w:r>
      <w:r w:rsidRPr="00CE0885">
        <w:rPr>
          <w:lang w:eastAsia="en-GB"/>
        </w:rPr>
        <w:t>cont</w:t>
      </w:r>
      <w:r w:rsidRPr="00CE0885">
        <w:rPr>
          <w:spacing w:val="-1"/>
          <w:lang w:eastAsia="en-GB"/>
        </w:rPr>
        <w:t>r</w:t>
      </w:r>
      <w:r w:rsidRPr="00CE0885">
        <w:rPr>
          <w:lang w:eastAsia="en-GB"/>
        </w:rPr>
        <w:t>ac</w:t>
      </w:r>
      <w:r w:rsidRPr="00CE0885">
        <w:rPr>
          <w:spacing w:val="-2"/>
          <w:lang w:eastAsia="en-GB"/>
        </w:rPr>
        <w:t>t</w:t>
      </w:r>
      <w:r w:rsidRPr="00CE0885">
        <w:rPr>
          <w:lang w:eastAsia="en-GB"/>
        </w:rPr>
        <w:t>or</w:t>
      </w:r>
      <w:r w:rsidRPr="00CE0885">
        <w:rPr>
          <w:spacing w:val="-11"/>
          <w:lang w:eastAsia="en-GB"/>
        </w:rPr>
        <w:t xml:space="preserve"> </w:t>
      </w:r>
      <w:r w:rsidRPr="00CE0885">
        <w:rPr>
          <w:spacing w:val="-1"/>
          <w:lang w:eastAsia="en-GB"/>
        </w:rPr>
        <w:t>a</w:t>
      </w:r>
      <w:r w:rsidRPr="00CE0885">
        <w:rPr>
          <w:lang w:eastAsia="en-GB"/>
        </w:rPr>
        <w:t>nd</w:t>
      </w:r>
      <w:r w:rsidRPr="00CE0885">
        <w:rPr>
          <w:spacing w:val="-2"/>
          <w:lang w:eastAsia="en-GB"/>
        </w:rPr>
        <w:t xml:space="preserve"> t</w:t>
      </w:r>
      <w:r w:rsidRPr="00CE0885">
        <w:rPr>
          <w:lang w:eastAsia="en-GB"/>
        </w:rPr>
        <w:t xml:space="preserve">he </w:t>
      </w:r>
      <w:r w:rsidRPr="00CE0885">
        <w:rPr>
          <w:spacing w:val="-2"/>
          <w:lang w:eastAsia="en-GB"/>
        </w:rPr>
        <w:t>v</w:t>
      </w:r>
      <w:r w:rsidRPr="00CE0885">
        <w:rPr>
          <w:lang w:eastAsia="en-GB"/>
        </w:rPr>
        <w:t>alue</w:t>
      </w:r>
      <w:r w:rsidRPr="00CE0885">
        <w:rPr>
          <w:spacing w:val="-4"/>
          <w:lang w:eastAsia="en-GB"/>
        </w:rPr>
        <w:t xml:space="preserve"> </w:t>
      </w:r>
      <w:r w:rsidRPr="00CE0885">
        <w:rPr>
          <w:spacing w:val="-1"/>
          <w:lang w:eastAsia="en-GB"/>
        </w:rPr>
        <w:t>o</w:t>
      </w:r>
      <w:r w:rsidRPr="00CE0885">
        <w:rPr>
          <w:lang w:eastAsia="en-GB"/>
        </w:rPr>
        <w:t xml:space="preserve">f </w:t>
      </w:r>
      <w:r w:rsidRPr="00CE0885">
        <w:rPr>
          <w:spacing w:val="-2"/>
          <w:lang w:eastAsia="en-GB"/>
        </w:rPr>
        <w:t>t</w:t>
      </w:r>
      <w:r w:rsidRPr="00CE0885">
        <w:rPr>
          <w:lang w:eastAsia="en-GB"/>
        </w:rPr>
        <w:t>he</w:t>
      </w:r>
      <w:r w:rsidRPr="00CE0885">
        <w:rPr>
          <w:spacing w:val="-1"/>
          <w:lang w:eastAsia="en-GB"/>
        </w:rPr>
        <w:t xml:space="preserve"> </w:t>
      </w:r>
      <w:r w:rsidRPr="00CE0885">
        <w:rPr>
          <w:spacing w:val="-3"/>
          <w:lang w:eastAsia="en-GB"/>
        </w:rPr>
        <w:t>w</w:t>
      </w:r>
      <w:r w:rsidRPr="00CE0885">
        <w:rPr>
          <w:lang w:eastAsia="en-GB"/>
        </w:rPr>
        <w:t>o</w:t>
      </w:r>
      <w:r w:rsidRPr="00CE0885">
        <w:rPr>
          <w:spacing w:val="-1"/>
          <w:lang w:eastAsia="en-GB"/>
        </w:rPr>
        <w:t>r</w:t>
      </w:r>
      <w:r w:rsidRPr="00CE0885">
        <w:rPr>
          <w:lang w:eastAsia="en-GB"/>
        </w:rPr>
        <w:t>k</w:t>
      </w:r>
      <w:r w:rsidRPr="00CE0885">
        <w:rPr>
          <w:spacing w:val="-5"/>
          <w:lang w:eastAsia="en-GB"/>
        </w:rPr>
        <w:t xml:space="preserve"> </w:t>
      </w:r>
      <w:r w:rsidRPr="00CE0885">
        <w:rPr>
          <w:lang w:eastAsia="en-GB"/>
        </w:rPr>
        <w:t>un</w:t>
      </w:r>
      <w:r w:rsidRPr="00CE0885">
        <w:rPr>
          <w:spacing w:val="-1"/>
          <w:lang w:eastAsia="en-GB"/>
        </w:rPr>
        <w:t>der</w:t>
      </w:r>
      <w:r w:rsidRPr="00CE0885">
        <w:rPr>
          <w:lang w:eastAsia="en-GB"/>
        </w:rPr>
        <w:t>taken</w:t>
      </w:r>
      <w:r w:rsidRPr="00CE0885">
        <w:rPr>
          <w:spacing w:val="-13"/>
          <w:lang w:eastAsia="en-GB"/>
        </w:rPr>
        <w:t xml:space="preserve"> </w:t>
      </w:r>
      <w:r w:rsidRPr="00CE0885">
        <w:rPr>
          <w:lang w:eastAsia="en-GB"/>
        </w:rPr>
        <w:t>by</w:t>
      </w:r>
      <w:r w:rsidRPr="00CE0885">
        <w:rPr>
          <w:spacing w:val="-5"/>
          <w:lang w:eastAsia="en-GB"/>
        </w:rPr>
        <w:t xml:space="preserve"> </w:t>
      </w:r>
      <w:r w:rsidRPr="00CE0885">
        <w:rPr>
          <w:lang w:eastAsia="en-GB"/>
        </w:rPr>
        <w:t>the</w:t>
      </w:r>
      <w:r w:rsidRPr="00CE0885">
        <w:rPr>
          <w:spacing w:val="-1"/>
          <w:lang w:eastAsia="en-GB"/>
        </w:rPr>
        <w:t xml:space="preserve"> </w:t>
      </w:r>
      <w:r w:rsidRPr="00CE0885">
        <w:rPr>
          <w:lang w:eastAsia="en-GB"/>
        </w:rPr>
        <w:t>c</w:t>
      </w:r>
      <w:r w:rsidRPr="00CE0885">
        <w:rPr>
          <w:spacing w:val="-1"/>
          <w:lang w:eastAsia="en-GB"/>
        </w:rPr>
        <w:t>o</w:t>
      </w:r>
      <w:r w:rsidRPr="00CE0885">
        <w:rPr>
          <w:lang w:eastAsia="en-GB"/>
        </w:rPr>
        <w:t>nt</w:t>
      </w:r>
      <w:r w:rsidRPr="00CE0885">
        <w:rPr>
          <w:spacing w:val="-1"/>
          <w:lang w:eastAsia="en-GB"/>
        </w:rPr>
        <w:t>r</w:t>
      </w:r>
      <w:r w:rsidRPr="00CE0885">
        <w:rPr>
          <w:lang w:eastAsia="en-GB"/>
        </w:rPr>
        <w:t>ac</w:t>
      </w:r>
      <w:r w:rsidRPr="00CE0885">
        <w:rPr>
          <w:spacing w:val="-2"/>
          <w:lang w:eastAsia="en-GB"/>
        </w:rPr>
        <w:t>t</w:t>
      </w:r>
      <w:r w:rsidRPr="00CE0885">
        <w:rPr>
          <w:spacing w:val="-1"/>
          <w:lang w:eastAsia="en-GB"/>
        </w:rPr>
        <w:t>o</w:t>
      </w:r>
      <w:r w:rsidRPr="00CE0885">
        <w:rPr>
          <w:lang w:eastAsia="en-GB"/>
        </w:rPr>
        <w:t>r</w:t>
      </w:r>
      <w:r w:rsidRPr="00CE0885">
        <w:rPr>
          <w:spacing w:val="-11"/>
          <w:lang w:eastAsia="en-GB"/>
        </w:rPr>
        <w:t xml:space="preserve"> </w:t>
      </w:r>
      <w:r w:rsidRPr="00CE0885">
        <w:rPr>
          <w:lang w:eastAsia="en-GB"/>
        </w:rPr>
        <w:t>under</w:t>
      </w:r>
      <w:r w:rsidRPr="00CE0885">
        <w:rPr>
          <w:spacing w:val="-9"/>
          <w:lang w:eastAsia="en-GB"/>
        </w:rPr>
        <w:t xml:space="preserve"> </w:t>
      </w:r>
      <w:r w:rsidRPr="00CE0885">
        <w:rPr>
          <w:lang w:eastAsia="en-GB"/>
        </w:rPr>
        <w:t>the</w:t>
      </w:r>
      <w:r w:rsidRPr="00CE0885">
        <w:rPr>
          <w:spacing w:val="-4"/>
          <w:lang w:eastAsia="en-GB"/>
        </w:rPr>
        <w:t xml:space="preserve"> </w:t>
      </w:r>
      <w:r w:rsidRPr="00CE0885">
        <w:rPr>
          <w:lang w:eastAsia="en-GB"/>
        </w:rPr>
        <w:t>co</w:t>
      </w:r>
      <w:r w:rsidRPr="00CE0885">
        <w:rPr>
          <w:spacing w:val="-1"/>
          <w:lang w:eastAsia="en-GB"/>
        </w:rPr>
        <w:t>n</w:t>
      </w:r>
      <w:r w:rsidRPr="00CE0885">
        <w:rPr>
          <w:lang w:eastAsia="en-GB"/>
        </w:rPr>
        <w:t>t</w:t>
      </w:r>
      <w:r w:rsidRPr="00CE0885">
        <w:rPr>
          <w:spacing w:val="-1"/>
          <w:lang w:eastAsia="en-GB"/>
        </w:rPr>
        <w:t>r</w:t>
      </w:r>
      <w:r w:rsidRPr="00CE0885">
        <w:rPr>
          <w:lang w:eastAsia="en-GB"/>
        </w:rPr>
        <w:t xml:space="preserve">act. </w:t>
      </w:r>
      <w:r w:rsidRPr="00CE0885">
        <w:rPr>
          <w:spacing w:val="2"/>
          <w:lang w:eastAsia="en-GB"/>
        </w:rPr>
        <w:t>T</w:t>
      </w:r>
      <w:r w:rsidRPr="00CE0885">
        <w:rPr>
          <w:spacing w:val="-1"/>
          <w:lang w:eastAsia="en-GB"/>
        </w:rPr>
        <w:t>h</w:t>
      </w:r>
      <w:r w:rsidRPr="00CE0885">
        <w:rPr>
          <w:lang w:eastAsia="en-GB"/>
        </w:rPr>
        <w:t>e</w:t>
      </w:r>
      <w:r w:rsidRPr="00CE0885">
        <w:rPr>
          <w:spacing w:val="-2"/>
          <w:lang w:eastAsia="en-GB"/>
        </w:rPr>
        <w:t xml:space="preserve"> Commissioner</w:t>
      </w:r>
      <w:r w:rsidRPr="00CE0885">
        <w:rPr>
          <w:spacing w:val="-3"/>
          <w:lang w:eastAsia="en-GB"/>
        </w:rPr>
        <w:t xml:space="preserve"> </w:t>
      </w:r>
      <w:r w:rsidRPr="00CE0885">
        <w:rPr>
          <w:spacing w:val="2"/>
          <w:lang w:eastAsia="en-GB"/>
        </w:rPr>
        <w:t>m</w:t>
      </w:r>
      <w:r w:rsidRPr="00CE0885">
        <w:rPr>
          <w:lang w:eastAsia="en-GB"/>
        </w:rPr>
        <w:t>u</w:t>
      </w:r>
      <w:r w:rsidRPr="00CE0885">
        <w:rPr>
          <w:spacing w:val="-2"/>
          <w:lang w:eastAsia="en-GB"/>
        </w:rPr>
        <w:t>s</w:t>
      </w:r>
      <w:r w:rsidRPr="00CE0885">
        <w:rPr>
          <w:lang w:eastAsia="en-GB"/>
        </w:rPr>
        <w:t>t</w:t>
      </w:r>
      <w:r w:rsidRPr="00CE0885">
        <w:rPr>
          <w:spacing w:val="-4"/>
          <w:lang w:eastAsia="en-GB"/>
        </w:rPr>
        <w:t xml:space="preserve"> </w:t>
      </w:r>
      <w:r w:rsidRPr="00CE0885">
        <w:rPr>
          <w:lang w:eastAsia="en-GB"/>
        </w:rPr>
        <w:t>t</w:t>
      </w:r>
      <w:r w:rsidRPr="00CE0885">
        <w:rPr>
          <w:spacing w:val="-1"/>
          <w:lang w:eastAsia="en-GB"/>
        </w:rPr>
        <w:t>h</w:t>
      </w:r>
      <w:r w:rsidRPr="00CE0885">
        <w:rPr>
          <w:lang w:eastAsia="en-GB"/>
        </w:rPr>
        <w:t>en</w:t>
      </w:r>
      <w:r w:rsidRPr="00CE0885">
        <w:rPr>
          <w:spacing w:val="-3"/>
          <w:lang w:eastAsia="en-GB"/>
        </w:rPr>
        <w:t xml:space="preserve"> </w:t>
      </w:r>
      <w:r w:rsidRPr="00CE0885">
        <w:rPr>
          <w:spacing w:val="-2"/>
          <w:lang w:eastAsia="en-GB"/>
        </w:rPr>
        <w:t>s</w:t>
      </w:r>
      <w:r w:rsidRPr="00CE0885">
        <w:rPr>
          <w:lang w:eastAsia="en-GB"/>
        </w:rPr>
        <w:t>e</w:t>
      </w:r>
      <w:r w:rsidRPr="00CE0885">
        <w:rPr>
          <w:spacing w:val="-1"/>
          <w:lang w:eastAsia="en-GB"/>
        </w:rPr>
        <w:t>r</w:t>
      </w:r>
      <w:r w:rsidRPr="00CE0885">
        <w:rPr>
          <w:lang w:eastAsia="en-GB"/>
        </w:rPr>
        <w:t>ve</w:t>
      </w:r>
      <w:r w:rsidRPr="00CE0885">
        <w:rPr>
          <w:spacing w:val="-4"/>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c</w:t>
      </w:r>
      <w:r w:rsidRPr="00CE0885">
        <w:rPr>
          <w:spacing w:val="-1"/>
          <w:lang w:eastAsia="en-GB"/>
        </w:rPr>
        <w:t>o</w:t>
      </w:r>
      <w:r w:rsidRPr="00CE0885">
        <w:rPr>
          <w:lang w:eastAsia="en-GB"/>
        </w:rPr>
        <w:t>nt</w:t>
      </w:r>
      <w:r w:rsidRPr="00CE0885">
        <w:rPr>
          <w:spacing w:val="-1"/>
          <w:lang w:eastAsia="en-GB"/>
        </w:rPr>
        <w:t>r</w:t>
      </w:r>
      <w:r w:rsidRPr="00CE0885">
        <w:rPr>
          <w:lang w:eastAsia="en-GB"/>
        </w:rPr>
        <w:t>actor</w:t>
      </w:r>
      <w:r w:rsidRPr="00CE0885">
        <w:rPr>
          <w:spacing w:val="-11"/>
          <w:lang w:eastAsia="en-GB"/>
        </w:rPr>
        <w:t xml:space="preserve"> </w:t>
      </w:r>
      <w:r w:rsidRPr="00CE0885">
        <w:rPr>
          <w:spacing w:val="-3"/>
          <w:lang w:eastAsia="en-GB"/>
        </w:rPr>
        <w:t>w</w:t>
      </w:r>
      <w:r w:rsidRPr="00CE0885">
        <w:rPr>
          <w:lang w:eastAsia="en-GB"/>
        </w:rPr>
        <w:t>ith</w:t>
      </w:r>
      <w:r w:rsidRPr="00CE0885">
        <w:rPr>
          <w:spacing w:val="-2"/>
          <w:lang w:eastAsia="en-GB"/>
        </w:rPr>
        <w:t xml:space="preserve"> </w:t>
      </w:r>
      <w:r w:rsidRPr="00CE0885">
        <w:rPr>
          <w:lang w:eastAsia="en-GB"/>
        </w:rPr>
        <w:t>w</w:t>
      </w:r>
      <w:r w:rsidRPr="00CE0885">
        <w:rPr>
          <w:spacing w:val="-1"/>
          <w:lang w:eastAsia="en-GB"/>
        </w:rPr>
        <w:t>r</w:t>
      </w:r>
      <w:r w:rsidRPr="00CE0885">
        <w:rPr>
          <w:lang w:eastAsia="en-GB"/>
        </w:rPr>
        <w:t>itten</w:t>
      </w:r>
      <w:r w:rsidRPr="00CE0885">
        <w:rPr>
          <w:spacing w:val="-5"/>
          <w:lang w:eastAsia="en-GB"/>
        </w:rPr>
        <w:t xml:space="preserve"> </w:t>
      </w:r>
      <w:r w:rsidRPr="00CE0885">
        <w:rPr>
          <w:spacing w:val="-1"/>
          <w:lang w:eastAsia="en-GB"/>
        </w:rPr>
        <w:t>d</w:t>
      </w:r>
      <w:r w:rsidRPr="00CE0885">
        <w:rPr>
          <w:lang w:eastAsia="en-GB"/>
        </w:rPr>
        <w:t>etails</w:t>
      </w:r>
      <w:r w:rsidRPr="00CE0885">
        <w:rPr>
          <w:spacing w:val="-7"/>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t</w:t>
      </w:r>
      <w:r w:rsidRPr="00CE0885">
        <w:rPr>
          <w:spacing w:val="-1"/>
          <w:lang w:eastAsia="en-GB"/>
        </w:rPr>
        <w:t>h</w:t>
      </w:r>
      <w:r w:rsidRPr="00CE0885">
        <w:rPr>
          <w:lang w:eastAsia="en-GB"/>
        </w:rPr>
        <w:t xml:space="preserve">e </w:t>
      </w:r>
      <w:r w:rsidRPr="00CE0885">
        <w:rPr>
          <w:spacing w:val="-1"/>
          <w:lang w:eastAsia="en-GB"/>
        </w:rPr>
        <w:t>r</w:t>
      </w:r>
      <w:r w:rsidRPr="00CE0885">
        <w:rPr>
          <w:lang w:eastAsia="en-GB"/>
        </w:rPr>
        <w:t>econciliation</w:t>
      </w:r>
      <w:r w:rsidRPr="00CE0885">
        <w:rPr>
          <w:spacing w:val="-15"/>
          <w:lang w:eastAsia="en-GB"/>
        </w:rPr>
        <w:t xml:space="preserve"> </w:t>
      </w:r>
      <w:r w:rsidRPr="00CE0885">
        <w:rPr>
          <w:lang w:eastAsia="en-GB"/>
        </w:rPr>
        <w:t>as</w:t>
      </w:r>
      <w:r w:rsidRPr="00CE0885">
        <w:rPr>
          <w:spacing w:val="-3"/>
          <w:lang w:eastAsia="en-GB"/>
        </w:rPr>
        <w:t xml:space="preserve"> </w:t>
      </w:r>
      <w:r w:rsidRPr="00CE0885">
        <w:rPr>
          <w:lang w:eastAsia="en-GB"/>
        </w:rPr>
        <w:t>s</w:t>
      </w:r>
      <w:r w:rsidRPr="00CE0885">
        <w:rPr>
          <w:spacing w:val="-1"/>
          <w:lang w:eastAsia="en-GB"/>
        </w:rPr>
        <w:t>o</w:t>
      </w:r>
      <w:r w:rsidRPr="00CE0885">
        <w:rPr>
          <w:lang w:eastAsia="en-GB"/>
        </w:rPr>
        <w:t>on</w:t>
      </w:r>
      <w:r w:rsidRPr="00CE0885">
        <w:rPr>
          <w:spacing w:val="-6"/>
          <w:lang w:eastAsia="en-GB"/>
        </w:rPr>
        <w:t xml:space="preserve"> </w:t>
      </w:r>
      <w:r w:rsidRPr="00CE0885">
        <w:rPr>
          <w:lang w:eastAsia="en-GB"/>
        </w:rPr>
        <w:t>as</w:t>
      </w:r>
      <w:r w:rsidRPr="00CE0885">
        <w:rPr>
          <w:spacing w:val="-3"/>
          <w:lang w:eastAsia="en-GB"/>
        </w:rPr>
        <w:t xml:space="preserve"> </w:t>
      </w:r>
      <w:r w:rsidRPr="00CE0885">
        <w:rPr>
          <w:spacing w:val="-1"/>
          <w:lang w:eastAsia="en-GB"/>
        </w:rPr>
        <w:t>r</w:t>
      </w:r>
      <w:r w:rsidRPr="00CE0885">
        <w:rPr>
          <w:lang w:eastAsia="en-GB"/>
        </w:rPr>
        <w:t>eas</w:t>
      </w:r>
      <w:r w:rsidRPr="00CE0885">
        <w:rPr>
          <w:spacing w:val="-1"/>
          <w:lang w:eastAsia="en-GB"/>
        </w:rPr>
        <w:t>o</w:t>
      </w:r>
      <w:r w:rsidRPr="00CE0885">
        <w:rPr>
          <w:lang w:eastAsia="en-GB"/>
        </w:rPr>
        <w:t>n</w:t>
      </w:r>
      <w:r w:rsidRPr="00CE0885">
        <w:rPr>
          <w:spacing w:val="-1"/>
          <w:lang w:eastAsia="en-GB"/>
        </w:rPr>
        <w:t>a</w:t>
      </w:r>
      <w:r w:rsidRPr="00CE0885">
        <w:rPr>
          <w:lang w:eastAsia="en-GB"/>
        </w:rPr>
        <w:t>bly</w:t>
      </w:r>
      <w:r w:rsidRPr="00CE0885">
        <w:rPr>
          <w:spacing w:val="-14"/>
          <w:lang w:eastAsia="en-GB"/>
        </w:rPr>
        <w:t xml:space="preserve"> </w:t>
      </w:r>
      <w:r w:rsidRPr="00CE0885">
        <w:rPr>
          <w:lang w:eastAsia="en-GB"/>
        </w:rPr>
        <w:t>p</w:t>
      </w:r>
      <w:r w:rsidRPr="00CE0885">
        <w:rPr>
          <w:spacing w:val="-1"/>
          <w:lang w:eastAsia="en-GB"/>
        </w:rPr>
        <w:t>r</w:t>
      </w:r>
      <w:r w:rsidRPr="00CE0885">
        <w:rPr>
          <w:lang w:eastAsia="en-GB"/>
        </w:rPr>
        <w:t>acticable,</w:t>
      </w:r>
      <w:r w:rsidRPr="00CE0885">
        <w:rPr>
          <w:spacing w:val="-11"/>
          <w:lang w:eastAsia="en-GB"/>
        </w:rPr>
        <w:t xml:space="preserve"> </w:t>
      </w:r>
      <w:r w:rsidRPr="00CE0885">
        <w:rPr>
          <w:spacing w:val="-1"/>
          <w:lang w:eastAsia="en-GB"/>
        </w:rPr>
        <w:t>a</w:t>
      </w:r>
      <w:r w:rsidRPr="00CE0885">
        <w:rPr>
          <w:lang w:eastAsia="en-GB"/>
        </w:rPr>
        <w:t>nd</w:t>
      </w:r>
      <w:r w:rsidRPr="00CE0885">
        <w:rPr>
          <w:spacing w:val="-2"/>
          <w:lang w:eastAsia="en-GB"/>
        </w:rPr>
        <w:t xml:space="preserve"> </w:t>
      </w:r>
      <w:r w:rsidRPr="00CE0885">
        <w:rPr>
          <w:lang w:eastAsia="en-GB"/>
        </w:rPr>
        <w:t>in</w:t>
      </w:r>
      <w:r w:rsidRPr="00CE0885">
        <w:rPr>
          <w:spacing w:val="-3"/>
          <w:lang w:eastAsia="en-GB"/>
        </w:rPr>
        <w:t xml:space="preserve"> </w:t>
      </w:r>
      <w:r w:rsidRPr="00CE0885">
        <w:rPr>
          <w:lang w:eastAsia="en-GB"/>
        </w:rPr>
        <w:t>any</w:t>
      </w:r>
      <w:r w:rsidRPr="00CE0885">
        <w:rPr>
          <w:spacing w:val="-6"/>
          <w:lang w:eastAsia="en-GB"/>
        </w:rPr>
        <w:t xml:space="preserve"> </w:t>
      </w:r>
      <w:r w:rsidRPr="00CE0885">
        <w:rPr>
          <w:lang w:eastAsia="en-GB"/>
        </w:rPr>
        <w:t>e</w:t>
      </w:r>
      <w:r w:rsidRPr="00CE0885">
        <w:rPr>
          <w:spacing w:val="-2"/>
          <w:lang w:eastAsia="en-GB"/>
        </w:rPr>
        <w:t>v</w:t>
      </w:r>
      <w:r w:rsidRPr="00CE0885">
        <w:rPr>
          <w:lang w:eastAsia="en-GB"/>
        </w:rPr>
        <w:t>ent no</w:t>
      </w:r>
      <w:r w:rsidRPr="00CE0885">
        <w:rPr>
          <w:spacing w:val="-1"/>
          <w:lang w:eastAsia="en-GB"/>
        </w:rPr>
        <w:t xml:space="preserve"> </w:t>
      </w:r>
      <w:r w:rsidRPr="00CE0885">
        <w:rPr>
          <w:lang w:eastAsia="en-GB"/>
        </w:rPr>
        <w:t>la</w:t>
      </w:r>
      <w:r w:rsidRPr="00CE0885">
        <w:rPr>
          <w:spacing w:val="-2"/>
          <w:lang w:eastAsia="en-GB"/>
        </w:rPr>
        <w:t>t</w:t>
      </w:r>
      <w:r w:rsidRPr="00CE0885">
        <w:rPr>
          <w:lang w:eastAsia="en-GB"/>
        </w:rPr>
        <w:t>er</w:t>
      </w:r>
      <w:r w:rsidRPr="00CE0885">
        <w:rPr>
          <w:spacing w:val="-5"/>
          <w:lang w:eastAsia="en-GB"/>
        </w:rPr>
        <w:t xml:space="preserve"> </w:t>
      </w:r>
      <w:r w:rsidRPr="00CE0885">
        <w:rPr>
          <w:lang w:eastAsia="en-GB"/>
        </w:rPr>
        <w:t>t</w:t>
      </w:r>
      <w:r w:rsidRPr="00CE0885">
        <w:rPr>
          <w:spacing w:val="-1"/>
          <w:lang w:eastAsia="en-GB"/>
        </w:rPr>
        <w:t>h</w:t>
      </w:r>
      <w:r w:rsidRPr="00CE0885">
        <w:rPr>
          <w:lang w:eastAsia="en-GB"/>
        </w:rPr>
        <w:t>an</w:t>
      </w:r>
      <w:r w:rsidRPr="00CE0885">
        <w:rPr>
          <w:spacing w:val="-6"/>
          <w:lang w:eastAsia="en-GB"/>
        </w:rPr>
        <w:t xml:space="preserve"> </w:t>
      </w:r>
      <w:r w:rsidRPr="00CE0885">
        <w:rPr>
          <w:lang w:eastAsia="en-GB"/>
        </w:rPr>
        <w:t>28</w:t>
      </w:r>
      <w:r w:rsidRPr="00CE0885">
        <w:rPr>
          <w:spacing w:val="-4"/>
          <w:lang w:eastAsia="en-GB"/>
        </w:rPr>
        <w:t xml:space="preserve"> </w:t>
      </w:r>
      <w:r w:rsidRPr="00CE0885">
        <w:rPr>
          <w:lang w:eastAsia="en-GB"/>
        </w:rPr>
        <w:t>da</w:t>
      </w:r>
      <w:r w:rsidRPr="00CE0885">
        <w:rPr>
          <w:spacing w:val="-2"/>
          <w:lang w:eastAsia="en-GB"/>
        </w:rPr>
        <w:t>y</w:t>
      </w:r>
      <w:r w:rsidRPr="00CE0885">
        <w:rPr>
          <w:lang w:eastAsia="en-GB"/>
        </w:rPr>
        <w:t>s</w:t>
      </w:r>
      <w:r w:rsidRPr="00CE0885">
        <w:rPr>
          <w:spacing w:val="-5"/>
          <w:lang w:eastAsia="en-GB"/>
        </w:rPr>
        <w:t xml:space="preserve"> </w:t>
      </w:r>
      <w:r w:rsidRPr="00CE0885">
        <w:rPr>
          <w:spacing w:val="-1"/>
          <w:lang w:eastAsia="en-GB"/>
        </w:rPr>
        <w:t>a</w:t>
      </w:r>
      <w:r w:rsidRPr="00CE0885">
        <w:rPr>
          <w:spacing w:val="3"/>
          <w:lang w:eastAsia="en-GB"/>
        </w:rPr>
        <w:t>f</w:t>
      </w:r>
      <w:r w:rsidRPr="00CE0885">
        <w:rPr>
          <w:spacing w:val="-2"/>
          <w:lang w:eastAsia="en-GB"/>
        </w:rPr>
        <w:t>t</w:t>
      </w:r>
      <w:r w:rsidRPr="00CE0885">
        <w:rPr>
          <w:lang w:eastAsia="en-GB"/>
        </w:rPr>
        <w:t>er</w:t>
      </w:r>
      <w:r w:rsidRPr="00CE0885">
        <w:rPr>
          <w:spacing w:val="-5"/>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2"/>
          <w:lang w:eastAsia="en-GB"/>
        </w:rPr>
        <w:t>t</w:t>
      </w:r>
      <w:r w:rsidRPr="00CE0885">
        <w:rPr>
          <w:lang w:eastAsia="en-GB"/>
        </w:rPr>
        <w:t>e</w:t>
      </w:r>
      <w:r w:rsidRPr="00CE0885">
        <w:rPr>
          <w:spacing w:val="-1"/>
          <w:lang w:eastAsia="en-GB"/>
        </w:rPr>
        <w:t>r</w:t>
      </w:r>
      <w:r w:rsidRPr="00CE0885">
        <w:rPr>
          <w:spacing w:val="2"/>
          <w:lang w:eastAsia="en-GB"/>
        </w:rPr>
        <w:t>m</w:t>
      </w:r>
      <w:r w:rsidRPr="00CE0885">
        <w:rPr>
          <w:lang w:eastAsia="en-GB"/>
        </w:rPr>
        <w:t>in</w:t>
      </w:r>
      <w:r w:rsidRPr="00CE0885">
        <w:rPr>
          <w:spacing w:val="-1"/>
          <w:lang w:eastAsia="en-GB"/>
        </w:rPr>
        <w:t>a</w:t>
      </w:r>
      <w:r w:rsidRPr="00CE0885">
        <w:rPr>
          <w:lang w:eastAsia="en-GB"/>
        </w:rPr>
        <w:t>tion</w:t>
      </w:r>
      <w:r w:rsidRPr="00CE0885">
        <w:rPr>
          <w:spacing w:val="-13"/>
          <w:lang w:eastAsia="en-GB"/>
        </w:rPr>
        <w:t xml:space="preserve"> </w:t>
      </w:r>
      <w:r w:rsidRPr="00CE0885">
        <w:rPr>
          <w:spacing w:val="-1"/>
          <w:lang w:eastAsia="en-GB"/>
        </w:rPr>
        <w:t>o</w:t>
      </w:r>
      <w:r w:rsidRPr="00CE0885">
        <w:rPr>
          <w:lang w:eastAsia="en-GB"/>
        </w:rPr>
        <w:t xml:space="preserve">f </w:t>
      </w:r>
      <w:r w:rsidRPr="00CE0885">
        <w:rPr>
          <w:spacing w:val="-2"/>
          <w:lang w:eastAsia="en-GB"/>
        </w:rPr>
        <w:t>t</w:t>
      </w:r>
      <w:r w:rsidRPr="00CE0885">
        <w:rPr>
          <w:lang w:eastAsia="en-GB"/>
        </w:rPr>
        <w:t>he</w:t>
      </w:r>
      <w:r w:rsidRPr="00CE0885">
        <w:rPr>
          <w:spacing w:val="-1"/>
          <w:lang w:eastAsia="en-GB"/>
        </w:rPr>
        <w:t xml:space="preserve"> </w:t>
      </w:r>
      <w:r w:rsidRPr="00CE0885">
        <w:rPr>
          <w:lang w:eastAsia="en-GB"/>
        </w:rPr>
        <w:t>c</w:t>
      </w:r>
      <w:r w:rsidRPr="00CE0885">
        <w:rPr>
          <w:spacing w:val="-1"/>
          <w:lang w:eastAsia="en-GB"/>
        </w:rPr>
        <w:t>o</w:t>
      </w:r>
      <w:r w:rsidRPr="00CE0885">
        <w:rPr>
          <w:lang w:eastAsia="en-GB"/>
        </w:rPr>
        <w:t>nt</w:t>
      </w:r>
      <w:r w:rsidRPr="00CE0885">
        <w:rPr>
          <w:spacing w:val="-1"/>
          <w:lang w:eastAsia="en-GB"/>
        </w:rPr>
        <w:t>r</w:t>
      </w:r>
      <w:r w:rsidRPr="00CE0885">
        <w:rPr>
          <w:lang w:eastAsia="en-GB"/>
        </w:rPr>
        <w:t>act.</w:t>
      </w:r>
      <w:bookmarkEnd w:id="673"/>
    </w:p>
    <w:p w14:paraId="737702F5" w14:textId="77777777" w:rsidR="00977693" w:rsidRPr="00CE0885" w:rsidRDefault="00977693" w:rsidP="006B781A">
      <w:pPr>
        <w:pStyle w:val="Heading3"/>
        <w:rPr>
          <w:lang w:eastAsia="en-GB"/>
        </w:rPr>
      </w:pPr>
      <w:bookmarkStart w:id="674" w:name="_Toc440981817"/>
      <w:r w:rsidRPr="00CE0885">
        <w:rPr>
          <w:lang w:eastAsia="en-GB"/>
        </w:rPr>
        <w:t>Each</w:t>
      </w:r>
      <w:r w:rsidRPr="00CE0885">
        <w:rPr>
          <w:spacing w:val="-6"/>
          <w:lang w:eastAsia="en-GB"/>
        </w:rPr>
        <w:t xml:space="preserve"> </w:t>
      </w:r>
      <w:r w:rsidRPr="00CE0885">
        <w:rPr>
          <w:lang w:eastAsia="en-GB"/>
        </w:rPr>
        <w:t>pa</w:t>
      </w:r>
      <w:r w:rsidRPr="00CE0885">
        <w:rPr>
          <w:spacing w:val="-1"/>
          <w:lang w:eastAsia="en-GB"/>
        </w:rPr>
        <w:t>r</w:t>
      </w:r>
      <w:r w:rsidRPr="00CE0885">
        <w:rPr>
          <w:lang w:eastAsia="en-GB"/>
        </w:rPr>
        <w:t>ty</w:t>
      </w:r>
      <w:r w:rsidRPr="00CE0885">
        <w:rPr>
          <w:spacing w:val="-7"/>
          <w:lang w:eastAsia="en-GB"/>
        </w:rPr>
        <w:t xml:space="preserve"> </w:t>
      </w:r>
      <w:r w:rsidRPr="00CE0885">
        <w:rPr>
          <w:lang w:eastAsia="en-GB"/>
        </w:rPr>
        <w:t>shall</w:t>
      </w:r>
      <w:r w:rsidRPr="00CE0885">
        <w:rPr>
          <w:spacing w:val="-5"/>
          <w:lang w:eastAsia="en-GB"/>
        </w:rPr>
        <w:t xml:space="preserve"> </w:t>
      </w:r>
      <w:r w:rsidRPr="00CE0885">
        <w:rPr>
          <w:lang w:eastAsia="en-GB"/>
        </w:rPr>
        <w:t>pay</w:t>
      </w:r>
      <w:r w:rsidRPr="00CE0885">
        <w:rPr>
          <w:spacing w:val="-6"/>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o</w:t>
      </w:r>
      <w:r w:rsidRPr="00CE0885">
        <w:rPr>
          <w:spacing w:val="-2"/>
          <w:lang w:eastAsia="en-GB"/>
        </w:rPr>
        <w:t>t</w:t>
      </w:r>
      <w:r w:rsidRPr="00CE0885">
        <w:rPr>
          <w:lang w:eastAsia="en-GB"/>
        </w:rPr>
        <w:t>her</w:t>
      </w:r>
      <w:r w:rsidRPr="00CE0885">
        <w:rPr>
          <w:spacing w:val="-5"/>
          <w:lang w:eastAsia="en-GB"/>
        </w:rPr>
        <w:t xml:space="preserve"> </w:t>
      </w:r>
      <w:r w:rsidRPr="00CE0885">
        <w:rPr>
          <w:spacing w:val="-1"/>
          <w:lang w:eastAsia="en-GB"/>
        </w:rPr>
        <w:t>a</w:t>
      </w:r>
      <w:r w:rsidRPr="00CE0885">
        <w:rPr>
          <w:lang w:eastAsia="en-GB"/>
        </w:rPr>
        <w:t>ny</w:t>
      </w:r>
      <w:r w:rsidRPr="00CE0885">
        <w:rPr>
          <w:spacing w:val="-6"/>
          <w:lang w:eastAsia="en-GB"/>
        </w:rPr>
        <w:t xml:space="preserve"> </w:t>
      </w:r>
      <w:r w:rsidRPr="00CE0885">
        <w:rPr>
          <w:spacing w:val="2"/>
          <w:lang w:eastAsia="en-GB"/>
        </w:rPr>
        <w:t>m</w:t>
      </w:r>
      <w:r w:rsidRPr="00CE0885">
        <w:rPr>
          <w:lang w:eastAsia="en-GB"/>
        </w:rPr>
        <w:t>onies</w:t>
      </w:r>
      <w:r w:rsidRPr="00CE0885">
        <w:rPr>
          <w:spacing w:val="-10"/>
          <w:lang w:eastAsia="en-GB"/>
        </w:rPr>
        <w:t xml:space="preserve"> </w:t>
      </w:r>
      <w:r w:rsidRPr="00CE0885">
        <w:rPr>
          <w:lang w:eastAsia="en-GB"/>
        </w:rPr>
        <w:t>d</w:t>
      </w:r>
      <w:r w:rsidRPr="00CE0885">
        <w:rPr>
          <w:spacing w:val="-1"/>
          <w:lang w:eastAsia="en-GB"/>
        </w:rPr>
        <w:t>u</w:t>
      </w:r>
      <w:r w:rsidRPr="00CE0885">
        <w:rPr>
          <w:lang w:eastAsia="en-GB"/>
        </w:rPr>
        <w:t>e</w:t>
      </w:r>
      <w:r w:rsidRPr="00CE0885">
        <w:rPr>
          <w:spacing w:val="-2"/>
          <w:lang w:eastAsia="en-GB"/>
        </w:rPr>
        <w:t xml:space="preserve"> </w:t>
      </w:r>
      <w:r w:rsidRPr="00CE0885">
        <w:rPr>
          <w:spacing w:val="-3"/>
          <w:lang w:eastAsia="en-GB"/>
        </w:rPr>
        <w:t>w</w:t>
      </w:r>
      <w:r w:rsidRPr="00CE0885">
        <w:rPr>
          <w:lang w:eastAsia="en-GB"/>
        </w:rPr>
        <w:t>ithin</w:t>
      </w:r>
      <w:r w:rsidRPr="00CE0885">
        <w:rPr>
          <w:spacing w:val="-4"/>
          <w:lang w:eastAsia="en-GB"/>
        </w:rPr>
        <w:t xml:space="preserve"> </w:t>
      </w:r>
      <w:r w:rsidRPr="00CE0885">
        <w:rPr>
          <w:lang w:eastAsia="en-GB"/>
        </w:rPr>
        <w:t>three</w:t>
      </w:r>
      <w:r w:rsidRPr="00CE0885">
        <w:rPr>
          <w:spacing w:val="-6"/>
          <w:lang w:eastAsia="en-GB"/>
        </w:rPr>
        <w:t xml:space="preserve"> </w:t>
      </w:r>
      <w:r w:rsidRPr="00CE0885">
        <w:rPr>
          <w:spacing w:val="2"/>
          <w:lang w:eastAsia="en-GB"/>
        </w:rPr>
        <w:t>m</w:t>
      </w:r>
      <w:r w:rsidRPr="00CE0885">
        <w:rPr>
          <w:spacing w:val="-1"/>
          <w:lang w:eastAsia="en-GB"/>
        </w:rPr>
        <w:t>o</w:t>
      </w:r>
      <w:r w:rsidRPr="00CE0885">
        <w:rPr>
          <w:lang w:eastAsia="en-GB"/>
        </w:rPr>
        <w:t xml:space="preserve">nths </w:t>
      </w:r>
      <w:r w:rsidRPr="00CE0885">
        <w:rPr>
          <w:spacing w:val="-1"/>
          <w:lang w:eastAsia="en-GB"/>
        </w:rPr>
        <w:t>o</w:t>
      </w:r>
      <w:r w:rsidRPr="00CE0885">
        <w:rPr>
          <w:lang w:eastAsia="en-GB"/>
        </w:rPr>
        <w:t>f t</w:t>
      </w:r>
      <w:r w:rsidRPr="00CE0885">
        <w:rPr>
          <w:spacing w:val="-1"/>
          <w:lang w:eastAsia="en-GB"/>
        </w:rPr>
        <w:t>h</w:t>
      </w:r>
      <w:r w:rsidRPr="00CE0885">
        <w:rPr>
          <w:lang w:eastAsia="en-GB"/>
        </w:rPr>
        <w:t>e</w:t>
      </w:r>
      <w:r w:rsidRPr="00CE0885">
        <w:rPr>
          <w:spacing w:val="-1"/>
          <w:lang w:eastAsia="en-GB"/>
        </w:rPr>
        <w:t xml:space="preserve"> d</w:t>
      </w:r>
      <w:r w:rsidRPr="00CE0885">
        <w:rPr>
          <w:lang w:eastAsia="en-GB"/>
        </w:rPr>
        <w:t>ate</w:t>
      </w:r>
      <w:r w:rsidRPr="00CE0885">
        <w:rPr>
          <w:spacing w:val="-6"/>
          <w:lang w:eastAsia="en-GB"/>
        </w:rPr>
        <w:t xml:space="preserve"> </w:t>
      </w:r>
      <w:r w:rsidRPr="00CE0885">
        <w:rPr>
          <w:lang w:eastAsia="en-GB"/>
        </w:rPr>
        <w:t>on</w:t>
      </w:r>
      <w:r w:rsidRPr="00CE0885">
        <w:rPr>
          <w:spacing w:val="-4"/>
          <w:lang w:eastAsia="en-GB"/>
        </w:rPr>
        <w:t xml:space="preserve"> </w:t>
      </w:r>
      <w:r w:rsidRPr="00CE0885">
        <w:rPr>
          <w:spacing w:val="-3"/>
          <w:lang w:eastAsia="en-GB"/>
        </w:rPr>
        <w:t>w</w:t>
      </w:r>
      <w:r w:rsidRPr="00CE0885">
        <w:rPr>
          <w:lang w:eastAsia="en-GB"/>
        </w:rPr>
        <w:t>hich</w:t>
      </w:r>
      <w:r w:rsidRPr="00CE0885">
        <w:rPr>
          <w:spacing w:val="-4"/>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2"/>
          <w:lang w:eastAsia="en-GB"/>
        </w:rPr>
        <w:t>Commissioner</w:t>
      </w:r>
      <w:r w:rsidRPr="00CE0885">
        <w:rPr>
          <w:lang w:eastAsia="en-GB"/>
        </w:rPr>
        <w:t xml:space="preserve"> se</w:t>
      </w:r>
      <w:r w:rsidRPr="00CE0885">
        <w:rPr>
          <w:spacing w:val="-1"/>
          <w:lang w:eastAsia="en-GB"/>
        </w:rPr>
        <w:t>r</w:t>
      </w:r>
      <w:r w:rsidRPr="00CE0885">
        <w:rPr>
          <w:spacing w:val="-2"/>
          <w:lang w:eastAsia="en-GB"/>
        </w:rPr>
        <w:t>v</w:t>
      </w:r>
      <w:r w:rsidRPr="00CE0885">
        <w:rPr>
          <w:lang w:eastAsia="en-GB"/>
        </w:rPr>
        <w:t>ed</w:t>
      </w:r>
      <w:r w:rsidRPr="00CE0885">
        <w:rPr>
          <w:spacing w:val="-5"/>
          <w:lang w:eastAsia="en-GB"/>
        </w:rPr>
        <w:t xml:space="preserve"> </w:t>
      </w:r>
      <w:r w:rsidRPr="00CE0885">
        <w:rPr>
          <w:spacing w:val="-2"/>
          <w:lang w:eastAsia="en-GB"/>
        </w:rPr>
        <w:t>t</w:t>
      </w:r>
      <w:r w:rsidRPr="00CE0885">
        <w:rPr>
          <w:lang w:eastAsia="en-GB"/>
        </w:rPr>
        <w:t>he</w:t>
      </w:r>
      <w:r w:rsidRPr="00CE0885">
        <w:rPr>
          <w:spacing w:val="-1"/>
          <w:lang w:eastAsia="en-GB"/>
        </w:rPr>
        <w:t xml:space="preserve"> </w:t>
      </w:r>
      <w:r w:rsidRPr="00CE0885">
        <w:rPr>
          <w:spacing w:val="-2"/>
          <w:lang w:eastAsia="en-GB"/>
        </w:rPr>
        <w:t>c</w:t>
      </w:r>
      <w:r w:rsidRPr="00CE0885">
        <w:rPr>
          <w:lang w:eastAsia="en-GB"/>
        </w:rPr>
        <w:t>ont</w:t>
      </w:r>
      <w:r w:rsidRPr="00CE0885">
        <w:rPr>
          <w:spacing w:val="-1"/>
          <w:lang w:eastAsia="en-GB"/>
        </w:rPr>
        <w:t>ra</w:t>
      </w:r>
      <w:r w:rsidRPr="00CE0885">
        <w:rPr>
          <w:lang w:eastAsia="en-GB"/>
        </w:rPr>
        <w:t>ctor</w:t>
      </w:r>
      <w:r w:rsidRPr="00CE0885">
        <w:rPr>
          <w:spacing w:val="-11"/>
          <w:lang w:eastAsia="en-GB"/>
        </w:rPr>
        <w:t xml:space="preserve"> </w:t>
      </w:r>
      <w:r w:rsidRPr="00CE0885">
        <w:rPr>
          <w:spacing w:val="-3"/>
          <w:lang w:eastAsia="en-GB"/>
        </w:rPr>
        <w:t>w</w:t>
      </w:r>
      <w:r w:rsidRPr="00CE0885">
        <w:rPr>
          <w:lang w:eastAsia="en-GB"/>
        </w:rPr>
        <w:t>ith</w:t>
      </w:r>
      <w:r w:rsidRPr="00CE0885">
        <w:rPr>
          <w:spacing w:val="-2"/>
          <w:lang w:eastAsia="en-GB"/>
        </w:rPr>
        <w:t xml:space="preserve"> </w:t>
      </w:r>
      <w:r w:rsidRPr="00CE0885">
        <w:rPr>
          <w:lang w:eastAsia="en-GB"/>
        </w:rPr>
        <w:t>w</w:t>
      </w:r>
      <w:r w:rsidRPr="00CE0885">
        <w:rPr>
          <w:spacing w:val="-1"/>
          <w:lang w:eastAsia="en-GB"/>
        </w:rPr>
        <w:t>r</w:t>
      </w:r>
      <w:r w:rsidRPr="00CE0885">
        <w:rPr>
          <w:lang w:eastAsia="en-GB"/>
        </w:rPr>
        <w:t>itten details</w:t>
      </w:r>
      <w:r w:rsidRPr="00CE0885">
        <w:rPr>
          <w:spacing w:val="-9"/>
          <w:lang w:eastAsia="en-GB"/>
        </w:rPr>
        <w:t xml:space="preserve"> </w:t>
      </w:r>
      <w:r w:rsidRPr="00CE0885">
        <w:rPr>
          <w:spacing w:val="-1"/>
          <w:lang w:eastAsia="en-GB"/>
        </w:rPr>
        <w:t>o</w:t>
      </w:r>
      <w:r w:rsidRPr="00CE0885">
        <w:rPr>
          <w:lang w:eastAsia="en-GB"/>
        </w:rPr>
        <w:t xml:space="preserve">f </w:t>
      </w:r>
      <w:r w:rsidRPr="00CE0885">
        <w:rPr>
          <w:spacing w:val="-2"/>
          <w:lang w:eastAsia="en-GB"/>
        </w:rPr>
        <w:t>t</w:t>
      </w:r>
      <w:r w:rsidRPr="00CE0885">
        <w:rPr>
          <w:lang w:eastAsia="en-GB"/>
        </w:rPr>
        <w:t>he</w:t>
      </w:r>
      <w:r w:rsidRPr="00CE0885">
        <w:rPr>
          <w:spacing w:val="-1"/>
          <w:lang w:eastAsia="en-GB"/>
        </w:rPr>
        <w:t xml:space="preserve"> r</w:t>
      </w:r>
      <w:r w:rsidRPr="00CE0885">
        <w:rPr>
          <w:lang w:eastAsia="en-GB"/>
        </w:rPr>
        <w:t>e</w:t>
      </w:r>
      <w:r w:rsidRPr="00CE0885">
        <w:rPr>
          <w:spacing w:val="-2"/>
          <w:lang w:eastAsia="en-GB"/>
        </w:rPr>
        <w:t>c</w:t>
      </w:r>
      <w:r w:rsidRPr="00CE0885">
        <w:rPr>
          <w:lang w:eastAsia="en-GB"/>
        </w:rPr>
        <w:t>oncili</w:t>
      </w:r>
      <w:r w:rsidRPr="00CE0885">
        <w:rPr>
          <w:spacing w:val="-1"/>
          <w:lang w:eastAsia="en-GB"/>
        </w:rPr>
        <w:t>a</w:t>
      </w:r>
      <w:r w:rsidRPr="00CE0885">
        <w:rPr>
          <w:lang w:eastAsia="en-GB"/>
        </w:rPr>
        <w:t>tion,</w:t>
      </w:r>
      <w:r w:rsidRPr="00CE0885">
        <w:rPr>
          <w:spacing w:val="-16"/>
          <w:lang w:eastAsia="en-GB"/>
        </w:rPr>
        <w:t xml:space="preserve"> </w:t>
      </w:r>
      <w:r w:rsidRPr="00CE0885">
        <w:rPr>
          <w:lang w:eastAsia="en-GB"/>
        </w:rPr>
        <w:t>or</w:t>
      </w:r>
      <w:r w:rsidRPr="00CE0885">
        <w:rPr>
          <w:spacing w:val="-2"/>
          <w:lang w:eastAsia="en-GB"/>
        </w:rPr>
        <w:t xml:space="preserve"> </w:t>
      </w:r>
      <w:r w:rsidRPr="00CE0885">
        <w:rPr>
          <w:lang w:eastAsia="en-GB"/>
        </w:rPr>
        <w:t>the</w:t>
      </w:r>
      <w:r w:rsidRPr="00CE0885">
        <w:rPr>
          <w:spacing w:val="-4"/>
          <w:lang w:eastAsia="en-GB"/>
        </w:rPr>
        <w:t xml:space="preserve"> </w:t>
      </w:r>
      <w:r w:rsidRPr="00CE0885">
        <w:rPr>
          <w:lang w:eastAsia="en-GB"/>
        </w:rPr>
        <w:t>conc</w:t>
      </w:r>
      <w:r w:rsidRPr="00CE0885">
        <w:rPr>
          <w:spacing w:val="-3"/>
          <w:lang w:eastAsia="en-GB"/>
        </w:rPr>
        <w:t>l</w:t>
      </w:r>
      <w:r w:rsidRPr="00CE0885">
        <w:rPr>
          <w:lang w:eastAsia="en-GB"/>
        </w:rPr>
        <w:t>usion</w:t>
      </w:r>
      <w:r w:rsidRPr="00CE0885">
        <w:rPr>
          <w:spacing w:val="-12"/>
          <w:lang w:eastAsia="en-GB"/>
        </w:rPr>
        <w:t xml:space="preserve"> </w:t>
      </w:r>
      <w:r w:rsidRPr="00CE0885">
        <w:rPr>
          <w:spacing w:val="-1"/>
          <w:lang w:eastAsia="en-GB"/>
        </w:rPr>
        <w:t>o</w:t>
      </w:r>
      <w:r w:rsidRPr="00CE0885">
        <w:rPr>
          <w:lang w:eastAsia="en-GB"/>
        </w:rPr>
        <w:t xml:space="preserve">f </w:t>
      </w:r>
      <w:r w:rsidRPr="00CE0885">
        <w:rPr>
          <w:spacing w:val="-1"/>
          <w:lang w:eastAsia="en-GB"/>
        </w:rPr>
        <w:t>a</w:t>
      </w:r>
      <w:r w:rsidRPr="00CE0885">
        <w:rPr>
          <w:lang w:eastAsia="en-GB"/>
        </w:rPr>
        <w:t>ny</w:t>
      </w:r>
      <w:r w:rsidRPr="00CE0885">
        <w:rPr>
          <w:spacing w:val="-6"/>
          <w:lang w:eastAsia="en-GB"/>
        </w:rPr>
        <w:t xml:space="preserve"> </w:t>
      </w:r>
      <w:r w:rsidRPr="00CE0885">
        <w:rPr>
          <w:lang w:eastAsia="en-GB"/>
        </w:rPr>
        <w:t>NHS</w:t>
      </w:r>
      <w:r w:rsidRPr="00CE0885">
        <w:rPr>
          <w:spacing w:val="-4"/>
          <w:lang w:eastAsia="en-GB"/>
        </w:rPr>
        <w:t xml:space="preserve"> </w:t>
      </w:r>
      <w:r w:rsidRPr="00CE0885">
        <w:rPr>
          <w:lang w:eastAsia="en-GB"/>
        </w:rPr>
        <w:t xml:space="preserve">dispute </w:t>
      </w:r>
      <w:r w:rsidRPr="00CE0885">
        <w:rPr>
          <w:spacing w:val="-1"/>
          <w:lang w:eastAsia="en-GB"/>
        </w:rPr>
        <w:t>r</w:t>
      </w:r>
      <w:r w:rsidRPr="00CE0885">
        <w:rPr>
          <w:lang w:eastAsia="en-GB"/>
        </w:rPr>
        <w:t>esolution</w:t>
      </w:r>
      <w:r w:rsidRPr="00CE0885">
        <w:rPr>
          <w:spacing w:val="-11"/>
          <w:lang w:eastAsia="en-GB"/>
        </w:rPr>
        <w:t xml:space="preserve"> </w:t>
      </w:r>
      <w:r w:rsidRPr="00CE0885">
        <w:rPr>
          <w:lang w:eastAsia="en-GB"/>
        </w:rPr>
        <w:t>p</w:t>
      </w:r>
      <w:r w:rsidRPr="00CE0885">
        <w:rPr>
          <w:spacing w:val="-1"/>
          <w:lang w:eastAsia="en-GB"/>
        </w:rPr>
        <w:t>r</w:t>
      </w:r>
      <w:r w:rsidRPr="00CE0885">
        <w:rPr>
          <w:lang w:eastAsia="en-GB"/>
        </w:rPr>
        <w:t>oc</w:t>
      </w:r>
      <w:r w:rsidRPr="00CE0885">
        <w:rPr>
          <w:spacing w:val="-1"/>
          <w:lang w:eastAsia="en-GB"/>
        </w:rPr>
        <w:t>e</w:t>
      </w:r>
      <w:r w:rsidRPr="00CE0885">
        <w:rPr>
          <w:lang w:eastAsia="en-GB"/>
        </w:rPr>
        <w:t>du</w:t>
      </w:r>
      <w:r w:rsidRPr="00CE0885">
        <w:rPr>
          <w:spacing w:val="-1"/>
          <w:lang w:eastAsia="en-GB"/>
        </w:rPr>
        <w:t>r</w:t>
      </w:r>
      <w:r w:rsidRPr="00CE0885">
        <w:rPr>
          <w:lang w:eastAsia="en-GB"/>
        </w:rPr>
        <w:t>e,</w:t>
      </w:r>
      <w:r w:rsidRPr="00CE0885">
        <w:rPr>
          <w:spacing w:val="-12"/>
          <w:lang w:eastAsia="en-GB"/>
        </w:rPr>
        <w:t xml:space="preserve"> </w:t>
      </w:r>
      <w:r w:rsidRPr="00CE0885">
        <w:rPr>
          <w:spacing w:val="-1"/>
          <w:lang w:eastAsia="en-GB"/>
        </w:rPr>
        <w:t>o</w:t>
      </w:r>
      <w:r w:rsidRPr="00CE0885">
        <w:rPr>
          <w:lang w:eastAsia="en-GB"/>
        </w:rPr>
        <w:t>r</w:t>
      </w:r>
      <w:r w:rsidRPr="00CE0885">
        <w:rPr>
          <w:spacing w:val="-2"/>
          <w:lang w:eastAsia="en-GB"/>
        </w:rPr>
        <w:t xml:space="preserve"> </w:t>
      </w:r>
      <w:r w:rsidRPr="00CE0885">
        <w:rPr>
          <w:lang w:eastAsia="en-GB"/>
        </w:rPr>
        <w:t>cou</w:t>
      </w:r>
      <w:r w:rsidRPr="00CE0885">
        <w:rPr>
          <w:spacing w:val="-1"/>
          <w:lang w:eastAsia="en-GB"/>
        </w:rPr>
        <w:t>r</w:t>
      </w:r>
      <w:r w:rsidRPr="00CE0885">
        <w:rPr>
          <w:lang w:eastAsia="en-GB"/>
        </w:rPr>
        <w:t>t</w:t>
      </w:r>
      <w:r w:rsidRPr="00CE0885">
        <w:rPr>
          <w:spacing w:val="-4"/>
          <w:lang w:eastAsia="en-GB"/>
        </w:rPr>
        <w:t xml:space="preserve"> </w:t>
      </w:r>
      <w:r w:rsidRPr="00CE0885">
        <w:rPr>
          <w:lang w:eastAsia="en-GB"/>
        </w:rPr>
        <w:t>act</w:t>
      </w:r>
      <w:r w:rsidRPr="00CE0885">
        <w:rPr>
          <w:spacing w:val="-3"/>
          <w:lang w:eastAsia="en-GB"/>
        </w:rPr>
        <w:t>i</w:t>
      </w:r>
      <w:r w:rsidRPr="00CE0885">
        <w:rPr>
          <w:lang w:eastAsia="en-GB"/>
        </w:rPr>
        <w:t>on</w:t>
      </w:r>
      <w:r w:rsidRPr="00CE0885">
        <w:rPr>
          <w:spacing w:val="-7"/>
          <w:lang w:eastAsia="en-GB"/>
        </w:rPr>
        <w:t xml:space="preserve"> </w:t>
      </w:r>
      <w:r w:rsidRPr="00CE0885">
        <w:rPr>
          <w:lang w:eastAsia="en-GB"/>
        </w:rPr>
        <w:t>as</w:t>
      </w:r>
      <w:r w:rsidRPr="00CE0885">
        <w:rPr>
          <w:spacing w:val="-3"/>
          <w:lang w:eastAsia="en-GB"/>
        </w:rPr>
        <w:t xml:space="preserve"> </w:t>
      </w:r>
      <w:r w:rsidRPr="00CE0885">
        <w:rPr>
          <w:lang w:eastAsia="en-GB"/>
        </w:rPr>
        <w:t>a</w:t>
      </w:r>
      <w:r w:rsidRPr="00CE0885">
        <w:rPr>
          <w:spacing w:val="-1"/>
          <w:lang w:eastAsia="en-GB"/>
        </w:rPr>
        <w:t>p</w:t>
      </w:r>
      <w:r w:rsidRPr="00CE0885">
        <w:rPr>
          <w:lang w:eastAsia="en-GB"/>
        </w:rPr>
        <w:t>p</w:t>
      </w:r>
      <w:r w:rsidRPr="00CE0885">
        <w:rPr>
          <w:spacing w:val="-1"/>
          <w:lang w:eastAsia="en-GB"/>
        </w:rPr>
        <w:t>ro</w:t>
      </w:r>
      <w:r w:rsidRPr="00CE0885">
        <w:rPr>
          <w:lang w:eastAsia="en-GB"/>
        </w:rPr>
        <w:t>p</w:t>
      </w:r>
      <w:r w:rsidRPr="00CE0885">
        <w:rPr>
          <w:spacing w:val="-1"/>
          <w:lang w:eastAsia="en-GB"/>
        </w:rPr>
        <w:t>r</w:t>
      </w:r>
      <w:r w:rsidRPr="00CE0885">
        <w:rPr>
          <w:lang w:eastAsia="en-GB"/>
        </w:rPr>
        <w:t>iate</w:t>
      </w:r>
      <w:r w:rsidRPr="00CE0885">
        <w:rPr>
          <w:spacing w:val="-10"/>
          <w:lang w:eastAsia="en-GB"/>
        </w:rPr>
        <w:t xml:space="preserve"> </w:t>
      </w:r>
      <w:r w:rsidRPr="00CE0885">
        <w:rPr>
          <w:lang w:eastAsia="en-GB"/>
        </w:rPr>
        <w:t>as</w:t>
      </w:r>
      <w:r w:rsidRPr="00CE0885">
        <w:rPr>
          <w:spacing w:val="-5"/>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ca</w:t>
      </w:r>
      <w:r w:rsidRPr="00CE0885">
        <w:rPr>
          <w:spacing w:val="-2"/>
          <w:lang w:eastAsia="en-GB"/>
        </w:rPr>
        <w:t>s</w:t>
      </w:r>
      <w:r w:rsidRPr="00CE0885">
        <w:rPr>
          <w:lang w:eastAsia="en-GB"/>
        </w:rPr>
        <w:t xml:space="preserve">e </w:t>
      </w:r>
      <w:r w:rsidRPr="00CE0885">
        <w:rPr>
          <w:spacing w:val="2"/>
          <w:lang w:eastAsia="en-GB"/>
        </w:rPr>
        <w:t>m</w:t>
      </w:r>
      <w:r w:rsidRPr="00CE0885">
        <w:rPr>
          <w:lang w:eastAsia="en-GB"/>
        </w:rPr>
        <w:t>ay</w:t>
      </w:r>
      <w:r w:rsidRPr="00CE0885">
        <w:rPr>
          <w:spacing w:val="-7"/>
          <w:lang w:eastAsia="en-GB"/>
        </w:rPr>
        <w:t xml:space="preserve"> </w:t>
      </w:r>
      <w:r w:rsidRPr="00CE0885">
        <w:rPr>
          <w:lang w:eastAsia="en-GB"/>
        </w:rPr>
        <w:t>be.</w:t>
      </w:r>
      <w:bookmarkEnd w:id="674"/>
    </w:p>
    <w:p w14:paraId="37B974E1" w14:textId="77777777" w:rsidR="00977693" w:rsidRPr="00CE0885" w:rsidRDefault="00977693" w:rsidP="006B781A">
      <w:pPr>
        <w:pStyle w:val="Heading3"/>
        <w:rPr>
          <w:lang w:eastAsia="en-GB"/>
        </w:rPr>
      </w:pPr>
      <w:bookmarkStart w:id="675" w:name="_Toc440981818"/>
      <w:r w:rsidRPr="00CE0885">
        <w:rPr>
          <w:lang w:eastAsia="en-GB"/>
        </w:rPr>
        <w:t>P</w:t>
      </w:r>
      <w:r w:rsidRPr="00CE0885">
        <w:rPr>
          <w:spacing w:val="-1"/>
          <w:lang w:eastAsia="en-GB"/>
        </w:rPr>
        <w:t>M</w:t>
      </w:r>
      <w:r w:rsidRPr="00CE0885">
        <w:rPr>
          <w:lang w:eastAsia="en-GB"/>
        </w:rPr>
        <w:t>S</w:t>
      </w:r>
      <w:r w:rsidRPr="00CE0885">
        <w:rPr>
          <w:spacing w:val="-2"/>
          <w:lang w:eastAsia="en-GB"/>
        </w:rPr>
        <w:t>/</w:t>
      </w:r>
      <w:r w:rsidRPr="00CE0885">
        <w:rPr>
          <w:lang w:eastAsia="en-GB"/>
        </w:rPr>
        <w:t>AP</w:t>
      </w:r>
      <w:r w:rsidRPr="00CE0885">
        <w:rPr>
          <w:spacing w:val="-1"/>
          <w:lang w:eastAsia="en-GB"/>
        </w:rPr>
        <w:t>M</w:t>
      </w:r>
      <w:r w:rsidRPr="00CE0885">
        <w:rPr>
          <w:lang w:eastAsia="en-GB"/>
        </w:rPr>
        <w:t>S</w:t>
      </w:r>
      <w:r w:rsidRPr="00CE0885">
        <w:rPr>
          <w:spacing w:val="-12"/>
          <w:lang w:eastAsia="en-GB"/>
        </w:rPr>
        <w:t xml:space="preserve"> </w:t>
      </w:r>
      <w:r w:rsidRPr="00CE0885">
        <w:rPr>
          <w:lang w:eastAsia="en-GB"/>
        </w:rPr>
        <w:t xml:space="preserve">contracts must </w:t>
      </w:r>
      <w:r w:rsidRPr="00CE0885">
        <w:rPr>
          <w:spacing w:val="2"/>
          <w:lang w:eastAsia="en-GB"/>
        </w:rPr>
        <w:t>m</w:t>
      </w:r>
      <w:r w:rsidRPr="00CE0885">
        <w:rPr>
          <w:lang w:eastAsia="en-GB"/>
        </w:rPr>
        <w:t>ake</w:t>
      </w:r>
      <w:r w:rsidRPr="00CE0885">
        <w:rPr>
          <w:spacing w:val="-7"/>
          <w:lang w:eastAsia="en-GB"/>
        </w:rPr>
        <w:t xml:space="preserve"> </w:t>
      </w:r>
      <w:r w:rsidRPr="00CE0885">
        <w:rPr>
          <w:lang w:eastAsia="en-GB"/>
        </w:rPr>
        <w:t>suit</w:t>
      </w:r>
      <w:r w:rsidRPr="00CE0885">
        <w:rPr>
          <w:spacing w:val="-1"/>
          <w:lang w:eastAsia="en-GB"/>
        </w:rPr>
        <w:t>a</w:t>
      </w:r>
      <w:r w:rsidRPr="00CE0885">
        <w:rPr>
          <w:lang w:eastAsia="en-GB"/>
        </w:rPr>
        <w:t>ble</w:t>
      </w:r>
      <w:r w:rsidRPr="00CE0885">
        <w:rPr>
          <w:spacing w:val="-9"/>
          <w:lang w:eastAsia="en-GB"/>
        </w:rPr>
        <w:t xml:space="preserve"> </w:t>
      </w:r>
      <w:r w:rsidRPr="00CE0885">
        <w:rPr>
          <w:lang w:eastAsia="en-GB"/>
        </w:rPr>
        <w:t>p</w:t>
      </w:r>
      <w:r w:rsidRPr="00CE0885">
        <w:rPr>
          <w:spacing w:val="-1"/>
          <w:lang w:eastAsia="en-GB"/>
        </w:rPr>
        <w:t>r</w:t>
      </w:r>
      <w:r w:rsidRPr="00CE0885">
        <w:rPr>
          <w:lang w:eastAsia="en-GB"/>
        </w:rPr>
        <w:t>o</w:t>
      </w:r>
      <w:r w:rsidRPr="00CE0885">
        <w:rPr>
          <w:spacing w:val="-2"/>
          <w:lang w:eastAsia="en-GB"/>
        </w:rPr>
        <w:t>v</w:t>
      </w:r>
      <w:r w:rsidRPr="00CE0885">
        <w:rPr>
          <w:lang w:eastAsia="en-GB"/>
        </w:rPr>
        <w:t>ision</w:t>
      </w:r>
      <w:r w:rsidRPr="00CE0885">
        <w:rPr>
          <w:spacing w:val="-11"/>
          <w:lang w:eastAsia="en-GB"/>
        </w:rPr>
        <w:t xml:space="preserve"> </w:t>
      </w:r>
      <w:r w:rsidRPr="00CE0885">
        <w:rPr>
          <w:spacing w:val="3"/>
          <w:lang w:eastAsia="en-GB"/>
        </w:rPr>
        <w:t>f</w:t>
      </w:r>
      <w:r w:rsidRPr="00CE0885">
        <w:rPr>
          <w:lang w:eastAsia="en-GB"/>
        </w:rPr>
        <w:t>or</w:t>
      </w:r>
      <w:r w:rsidRPr="00CE0885">
        <w:rPr>
          <w:spacing w:val="-3"/>
          <w:lang w:eastAsia="en-GB"/>
        </w:rPr>
        <w:t xml:space="preserve"> </w:t>
      </w:r>
      <w:r w:rsidRPr="00CE0885">
        <w:rPr>
          <w:lang w:eastAsia="en-GB"/>
        </w:rPr>
        <w:t>a</w:t>
      </w:r>
      <w:r w:rsidRPr="00CE0885">
        <w:rPr>
          <w:spacing w:val="-1"/>
          <w:lang w:eastAsia="en-GB"/>
        </w:rPr>
        <w:t>rra</w:t>
      </w:r>
      <w:r w:rsidRPr="00CE0885">
        <w:rPr>
          <w:lang w:eastAsia="en-GB"/>
        </w:rPr>
        <w:t>n</w:t>
      </w:r>
      <w:r w:rsidRPr="00CE0885">
        <w:rPr>
          <w:spacing w:val="-1"/>
          <w:lang w:eastAsia="en-GB"/>
        </w:rPr>
        <w:t>g</w:t>
      </w:r>
      <w:r w:rsidRPr="00CE0885">
        <w:rPr>
          <w:lang w:eastAsia="en-GB"/>
        </w:rPr>
        <w:t>e</w:t>
      </w:r>
      <w:r w:rsidRPr="00CE0885">
        <w:rPr>
          <w:spacing w:val="2"/>
          <w:lang w:eastAsia="en-GB"/>
        </w:rPr>
        <w:t>m</w:t>
      </w:r>
      <w:r w:rsidRPr="00CE0885">
        <w:rPr>
          <w:spacing w:val="-1"/>
          <w:lang w:eastAsia="en-GB"/>
        </w:rPr>
        <w:t>e</w:t>
      </w:r>
      <w:r w:rsidRPr="00CE0885">
        <w:rPr>
          <w:lang w:eastAsia="en-GB"/>
        </w:rPr>
        <w:t>nts</w:t>
      </w:r>
      <w:r w:rsidRPr="00CE0885">
        <w:rPr>
          <w:spacing w:val="-17"/>
          <w:lang w:eastAsia="en-GB"/>
        </w:rPr>
        <w:t xml:space="preserve"> </w:t>
      </w:r>
      <w:r w:rsidRPr="00CE0885">
        <w:rPr>
          <w:lang w:eastAsia="en-GB"/>
        </w:rPr>
        <w:t>on</w:t>
      </w:r>
      <w:r w:rsidRPr="00CE0885">
        <w:rPr>
          <w:spacing w:val="-4"/>
          <w:lang w:eastAsia="en-GB"/>
        </w:rPr>
        <w:t xml:space="preserve"> </w:t>
      </w:r>
      <w:r w:rsidRPr="00CE0885">
        <w:rPr>
          <w:lang w:eastAsia="en-GB"/>
        </w:rPr>
        <w:t>te</w:t>
      </w:r>
      <w:r w:rsidRPr="00CE0885">
        <w:rPr>
          <w:spacing w:val="-1"/>
          <w:lang w:eastAsia="en-GB"/>
        </w:rPr>
        <w:t>r</w:t>
      </w:r>
      <w:r w:rsidRPr="00CE0885">
        <w:rPr>
          <w:spacing w:val="2"/>
          <w:lang w:eastAsia="en-GB"/>
        </w:rPr>
        <w:t>m</w:t>
      </w:r>
      <w:r w:rsidRPr="00CE0885">
        <w:rPr>
          <w:lang w:eastAsia="en-GB"/>
        </w:rPr>
        <w:t>i</w:t>
      </w:r>
      <w:r w:rsidRPr="00CE0885">
        <w:rPr>
          <w:spacing w:val="-1"/>
          <w:lang w:eastAsia="en-GB"/>
        </w:rPr>
        <w:t>n</w:t>
      </w:r>
      <w:r w:rsidRPr="00CE0885">
        <w:rPr>
          <w:lang w:eastAsia="en-GB"/>
        </w:rPr>
        <w:t>ation (or leaving and MCP or PACS),</w:t>
      </w:r>
      <w:r w:rsidRPr="00CE0885">
        <w:rPr>
          <w:spacing w:val="-11"/>
          <w:lang w:eastAsia="en-GB"/>
        </w:rPr>
        <w:t xml:space="preserve"> </w:t>
      </w:r>
      <w:r w:rsidRPr="00CE0885">
        <w:rPr>
          <w:lang w:eastAsia="en-GB"/>
        </w:rPr>
        <w:t>i</w:t>
      </w:r>
      <w:r w:rsidRPr="00CE0885">
        <w:rPr>
          <w:spacing w:val="1"/>
          <w:lang w:eastAsia="en-GB"/>
        </w:rPr>
        <w:t>n</w:t>
      </w:r>
      <w:r w:rsidRPr="00CE0885">
        <w:rPr>
          <w:lang w:eastAsia="en-GB"/>
        </w:rPr>
        <w:t>c</w:t>
      </w:r>
      <w:r w:rsidRPr="00CE0885">
        <w:rPr>
          <w:spacing w:val="-3"/>
          <w:lang w:eastAsia="en-GB"/>
        </w:rPr>
        <w:t>l</w:t>
      </w:r>
      <w:r w:rsidRPr="00CE0885">
        <w:rPr>
          <w:spacing w:val="1"/>
          <w:lang w:eastAsia="en-GB"/>
        </w:rPr>
        <w:t>ud</w:t>
      </w:r>
      <w:r w:rsidRPr="00CE0885">
        <w:rPr>
          <w:lang w:eastAsia="en-GB"/>
        </w:rPr>
        <w:t>i</w:t>
      </w:r>
      <w:r w:rsidRPr="00CE0885">
        <w:rPr>
          <w:spacing w:val="1"/>
          <w:lang w:eastAsia="en-GB"/>
        </w:rPr>
        <w:t>n</w:t>
      </w:r>
      <w:r w:rsidRPr="00CE0885">
        <w:rPr>
          <w:lang w:eastAsia="en-GB"/>
        </w:rPr>
        <w:t>g</w:t>
      </w:r>
      <w:r w:rsidRPr="00CE0885">
        <w:rPr>
          <w:spacing w:val="-10"/>
          <w:lang w:eastAsia="en-GB"/>
        </w:rPr>
        <w:t xml:space="preserve"> </w:t>
      </w:r>
      <w:r w:rsidRPr="00CE0885">
        <w:rPr>
          <w:spacing w:val="-2"/>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c</w:t>
      </w:r>
      <w:r w:rsidRPr="00CE0885">
        <w:rPr>
          <w:spacing w:val="-1"/>
          <w:lang w:eastAsia="en-GB"/>
        </w:rPr>
        <w:t>o</w:t>
      </w:r>
      <w:r w:rsidRPr="00CE0885">
        <w:rPr>
          <w:spacing w:val="1"/>
          <w:lang w:eastAsia="en-GB"/>
        </w:rPr>
        <w:t>n</w:t>
      </w:r>
      <w:r w:rsidRPr="00CE0885">
        <w:rPr>
          <w:lang w:eastAsia="en-GB"/>
        </w:rPr>
        <w:t>s</w:t>
      </w:r>
      <w:r w:rsidRPr="00CE0885">
        <w:rPr>
          <w:spacing w:val="1"/>
          <w:lang w:eastAsia="en-GB"/>
        </w:rPr>
        <w:t>e</w:t>
      </w:r>
      <w:r w:rsidRPr="00CE0885">
        <w:rPr>
          <w:spacing w:val="-1"/>
          <w:lang w:eastAsia="en-GB"/>
        </w:rPr>
        <w:t>q</w:t>
      </w:r>
      <w:r w:rsidRPr="00CE0885">
        <w:rPr>
          <w:spacing w:val="1"/>
          <w:lang w:eastAsia="en-GB"/>
        </w:rPr>
        <w:t>u</w:t>
      </w:r>
      <w:r w:rsidRPr="00CE0885">
        <w:rPr>
          <w:spacing w:val="-1"/>
          <w:lang w:eastAsia="en-GB"/>
        </w:rPr>
        <w:t>e</w:t>
      </w:r>
      <w:r w:rsidRPr="00CE0885">
        <w:rPr>
          <w:spacing w:val="1"/>
          <w:lang w:eastAsia="en-GB"/>
        </w:rPr>
        <w:t>n</w:t>
      </w:r>
      <w:r w:rsidRPr="00CE0885">
        <w:rPr>
          <w:lang w:eastAsia="en-GB"/>
        </w:rPr>
        <w:t>c</w:t>
      </w:r>
      <w:r w:rsidRPr="00CE0885">
        <w:rPr>
          <w:spacing w:val="1"/>
          <w:lang w:eastAsia="en-GB"/>
        </w:rPr>
        <w:t>e</w:t>
      </w:r>
      <w:r w:rsidRPr="00CE0885">
        <w:rPr>
          <w:lang w:eastAsia="en-GB"/>
        </w:rPr>
        <w:t>s</w:t>
      </w:r>
      <w:r w:rsidRPr="00CE0885">
        <w:rPr>
          <w:spacing w:val="-15"/>
          <w:lang w:eastAsia="en-GB"/>
        </w:rPr>
        <w:t xml:space="preserve"> </w:t>
      </w:r>
      <w:r w:rsidRPr="00CE0885">
        <w:rPr>
          <w:spacing w:val="-1"/>
          <w:lang w:eastAsia="en-GB"/>
        </w:rPr>
        <w:t>(</w:t>
      </w:r>
      <w:r w:rsidRPr="00CE0885">
        <w:rPr>
          <w:spacing w:val="-3"/>
          <w:lang w:eastAsia="en-GB"/>
        </w:rPr>
        <w:t>w</w:t>
      </w:r>
      <w:r w:rsidRPr="00CE0885">
        <w:rPr>
          <w:spacing w:val="1"/>
          <w:lang w:eastAsia="en-GB"/>
        </w:rPr>
        <w:t>hethe</w:t>
      </w:r>
      <w:r w:rsidRPr="00CE0885">
        <w:rPr>
          <w:lang w:eastAsia="en-GB"/>
        </w:rPr>
        <w:t>r</w:t>
      </w:r>
      <w:r w:rsidRPr="00CE0885">
        <w:rPr>
          <w:spacing w:val="-12"/>
          <w:lang w:eastAsia="en-GB"/>
        </w:rPr>
        <w:t xml:space="preserve"> </w:t>
      </w:r>
      <w:r w:rsidRPr="00CE0885">
        <w:rPr>
          <w:spacing w:val="3"/>
          <w:lang w:eastAsia="en-GB"/>
        </w:rPr>
        <w:t>f</w:t>
      </w:r>
      <w:r w:rsidRPr="00CE0885">
        <w:rPr>
          <w:spacing w:val="-3"/>
          <w:lang w:eastAsia="en-GB"/>
        </w:rPr>
        <w:t>i</w:t>
      </w:r>
      <w:r w:rsidRPr="00CE0885">
        <w:rPr>
          <w:spacing w:val="1"/>
          <w:lang w:eastAsia="en-GB"/>
        </w:rPr>
        <w:t>nan</w:t>
      </w:r>
      <w:r w:rsidRPr="00CE0885">
        <w:rPr>
          <w:lang w:eastAsia="en-GB"/>
        </w:rPr>
        <w:t>c</w:t>
      </w:r>
      <w:r w:rsidRPr="00CE0885">
        <w:rPr>
          <w:spacing w:val="-3"/>
          <w:lang w:eastAsia="en-GB"/>
        </w:rPr>
        <w:t>i</w:t>
      </w:r>
      <w:r w:rsidRPr="00CE0885">
        <w:rPr>
          <w:spacing w:val="1"/>
          <w:lang w:eastAsia="en-GB"/>
        </w:rPr>
        <w:t>a</w:t>
      </w:r>
      <w:r w:rsidRPr="00CE0885">
        <w:rPr>
          <w:lang w:eastAsia="en-GB"/>
        </w:rPr>
        <w:t>l</w:t>
      </w:r>
      <w:r w:rsidRPr="00CE0885">
        <w:rPr>
          <w:spacing w:val="-9"/>
          <w:lang w:eastAsia="en-GB"/>
        </w:rPr>
        <w:t xml:space="preserve"> </w:t>
      </w:r>
      <w:r w:rsidRPr="00CE0885">
        <w:rPr>
          <w:spacing w:val="1"/>
          <w:lang w:eastAsia="en-GB"/>
        </w:rPr>
        <w:t>o</w:t>
      </w:r>
      <w:r w:rsidRPr="00CE0885">
        <w:rPr>
          <w:lang w:eastAsia="en-GB"/>
        </w:rPr>
        <w:t xml:space="preserve">r </w:t>
      </w:r>
      <w:r w:rsidRPr="00CE0885">
        <w:rPr>
          <w:spacing w:val="1"/>
          <w:lang w:eastAsia="en-GB"/>
        </w:rPr>
        <w:t>othe</w:t>
      </w:r>
      <w:r w:rsidRPr="00CE0885">
        <w:rPr>
          <w:spacing w:val="-1"/>
          <w:lang w:eastAsia="en-GB"/>
        </w:rPr>
        <w:t>r</w:t>
      </w:r>
      <w:r w:rsidRPr="00CE0885">
        <w:rPr>
          <w:spacing w:val="-3"/>
          <w:lang w:eastAsia="en-GB"/>
        </w:rPr>
        <w:t>w</w:t>
      </w:r>
      <w:r w:rsidRPr="00CE0885">
        <w:rPr>
          <w:lang w:eastAsia="en-GB"/>
        </w:rPr>
        <w:t>is</w:t>
      </w:r>
      <w:r w:rsidRPr="00CE0885">
        <w:rPr>
          <w:spacing w:val="1"/>
          <w:lang w:eastAsia="en-GB"/>
        </w:rPr>
        <w:t>e</w:t>
      </w:r>
      <w:r w:rsidRPr="00CE0885">
        <w:rPr>
          <w:lang w:eastAsia="en-GB"/>
        </w:rPr>
        <w:t>)</w:t>
      </w:r>
      <w:r w:rsidRPr="00CE0885">
        <w:rPr>
          <w:spacing w:val="-11"/>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1"/>
          <w:lang w:eastAsia="en-GB"/>
        </w:rPr>
        <w:t>contract</w:t>
      </w:r>
      <w:r w:rsidRPr="00CE0885">
        <w:rPr>
          <w:spacing w:val="-10"/>
          <w:lang w:eastAsia="en-GB"/>
        </w:rPr>
        <w:t xml:space="preserve"> </w:t>
      </w:r>
      <w:r w:rsidRPr="00CE0885">
        <w:rPr>
          <w:spacing w:val="-1"/>
          <w:lang w:eastAsia="en-GB"/>
        </w:rPr>
        <w:t>e</w:t>
      </w:r>
      <w:r w:rsidRPr="00CE0885">
        <w:rPr>
          <w:spacing w:val="1"/>
          <w:lang w:eastAsia="en-GB"/>
        </w:rPr>
        <w:t>nd</w:t>
      </w:r>
      <w:r w:rsidRPr="00CE0885">
        <w:rPr>
          <w:lang w:eastAsia="en-GB"/>
        </w:rPr>
        <w:t>i</w:t>
      </w:r>
      <w:r w:rsidRPr="00CE0885">
        <w:rPr>
          <w:spacing w:val="1"/>
          <w:lang w:eastAsia="en-GB"/>
        </w:rPr>
        <w:t>n</w:t>
      </w:r>
      <w:r w:rsidRPr="00CE0885">
        <w:rPr>
          <w:spacing w:val="-1"/>
          <w:lang w:eastAsia="en-GB"/>
        </w:rPr>
        <w:t>g</w:t>
      </w:r>
      <w:r w:rsidRPr="00CE0885">
        <w:rPr>
          <w:lang w:eastAsia="en-GB"/>
        </w:rPr>
        <w:t>,</w:t>
      </w:r>
      <w:r w:rsidRPr="00CE0885">
        <w:rPr>
          <w:spacing w:val="-7"/>
          <w:lang w:eastAsia="en-GB"/>
        </w:rPr>
        <w:t xml:space="preserve"> </w:t>
      </w:r>
      <w:r w:rsidRPr="00CE0885">
        <w:rPr>
          <w:lang w:eastAsia="en-GB"/>
        </w:rPr>
        <w:t>s</w:t>
      </w:r>
      <w:r w:rsidRPr="00CE0885">
        <w:rPr>
          <w:spacing w:val="-1"/>
          <w:lang w:eastAsia="en-GB"/>
        </w:rPr>
        <w:t>u</w:t>
      </w:r>
      <w:r w:rsidRPr="00CE0885">
        <w:rPr>
          <w:spacing w:val="1"/>
          <w:lang w:eastAsia="en-GB"/>
        </w:rPr>
        <w:t>b</w:t>
      </w:r>
      <w:r w:rsidRPr="00CE0885">
        <w:rPr>
          <w:lang w:eastAsia="en-GB"/>
        </w:rPr>
        <w:t>j</w:t>
      </w:r>
      <w:r w:rsidRPr="00CE0885">
        <w:rPr>
          <w:spacing w:val="1"/>
          <w:lang w:eastAsia="en-GB"/>
        </w:rPr>
        <w:t>e</w:t>
      </w:r>
      <w:r w:rsidRPr="00CE0885">
        <w:rPr>
          <w:lang w:eastAsia="en-GB"/>
        </w:rPr>
        <w:t>ct</w:t>
      </w:r>
      <w:r w:rsidRPr="00CE0885">
        <w:rPr>
          <w:spacing w:val="-9"/>
          <w:lang w:eastAsia="en-GB"/>
        </w:rPr>
        <w:t xml:space="preserve"> </w:t>
      </w:r>
      <w:r w:rsidRPr="00CE0885">
        <w:rPr>
          <w:spacing w:val="-2"/>
          <w:lang w:eastAsia="en-GB"/>
        </w:rPr>
        <w:t>t</w:t>
      </w:r>
      <w:r w:rsidRPr="00CE0885">
        <w:rPr>
          <w:lang w:eastAsia="en-GB"/>
        </w:rPr>
        <w:t xml:space="preserve">o </w:t>
      </w:r>
      <w:r w:rsidRPr="00CE0885">
        <w:rPr>
          <w:spacing w:val="1"/>
          <w:lang w:eastAsia="en-GB"/>
        </w:rPr>
        <w:t>an</w:t>
      </w:r>
      <w:r w:rsidRPr="00CE0885">
        <w:rPr>
          <w:lang w:eastAsia="en-GB"/>
        </w:rPr>
        <w:t>y</w:t>
      </w:r>
      <w:r w:rsidRPr="00CE0885">
        <w:rPr>
          <w:spacing w:val="-6"/>
          <w:lang w:eastAsia="en-GB"/>
        </w:rPr>
        <w:t xml:space="preserve"> </w:t>
      </w:r>
      <w:r w:rsidRPr="00CE0885">
        <w:rPr>
          <w:lang w:eastAsia="en-GB"/>
        </w:rPr>
        <w:t>s</w:t>
      </w:r>
      <w:r w:rsidRPr="00CE0885">
        <w:rPr>
          <w:spacing w:val="1"/>
          <w:lang w:eastAsia="en-GB"/>
        </w:rPr>
        <w:t>pe</w:t>
      </w:r>
      <w:r w:rsidRPr="00CE0885">
        <w:rPr>
          <w:lang w:eastAsia="en-GB"/>
        </w:rPr>
        <w:t>c</w:t>
      </w:r>
      <w:r w:rsidRPr="00CE0885">
        <w:rPr>
          <w:spacing w:val="-3"/>
          <w:lang w:eastAsia="en-GB"/>
        </w:rPr>
        <w:t>i</w:t>
      </w:r>
      <w:r w:rsidRPr="00CE0885">
        <w:rPr>
          <w:spacing w:val="3"/>
          <w:lang w:eastAsia="en-GB"/>
        </w:rPr>
        <w:t>f</w:t>
      </w:r>
      <w:r w:rsidRPr="00CE0885">
        <w:rPr>
          <w:lang w:eastAsia="en-GB"/>
        </w:rPr>
        <w:t xml:space="preserve">ic </w:t>
      </w:r>
      <w:r w:rsidRPr="00CE0885">
        <w:rPr>
          <w:spacing w:val="-1"/>
          <w:lang w:eastAsia="en-GB"/>
        </w:rPr>
        <w:t>r</w:t>
      </w:r>
      <w:r w:rsidRPr="00CE0885">
        <w:rPr>
          <w:spacing w:val="1"/>
          <w:lang w:eastAsia="en-GB"/>
        </w:rPr>
        <w:t>e</w:t>
      </w:r>
      <w:r w:rsidRPr="00CE0885">
        <w:rPr>
          <w:spacing w:val="-1"/>
          <w:lang w:eastAsia="en-GB"/>
        </w:rPr>
        <w:t>q</w:t>
      </w:r>
      <w:r w:rsidRPr="00CE0885">
        <w:rPr>
          <w:spacing w:val="1"/>
          <w:lang w:eastAsia="en-GB"/>
        </w:rPr>
        <w:t>u</w:t>
      </w:r>
      <w:r w:rsidRPr="00CE0885">
        <w:rPr>
          <w:lang w:eastAsia="en-GB"/>
        </w:rPr>
        <w:t>i</w:t>
      </w:r>
      <w:r w:rsidRPr="00CE0885">
        <w:rPr>
          <w:spacing w:val="-1"/>
          <w:lang w:eastAsia="en-GB"/>
        </w:rPr>
        <w:t>r</w:t>
      </w:r>
      <w:r w:rsidRPr="00CE0885">
        <w:rPr>
          <w:spacing w:val="1"/>
          <w:lang w:eastAsia="en-GB"/>
        </w:rPr>
        <w:t>e</w:t>
      </w:r>
      <w:r w:rsidRPr="00CE0885">
        <w:rPr>
          <w:spacing w:val="2"/>
          <w:lang w:eastAsia="en-GB"/>
        </w:rPr>
        <w:t>m</w:t>
      </w:r>
      <w:r w:rsidRPr="00CE0885">
        <w:rPr>
          <w:spacing w:val="1"/>
          <w:lang w:eastAsia="en-GB"/>
        </w:rPr>
        <w:t>ent</w:t>
      </w:r>
      <w:r w:rsidRPr="00CE0885">
        <w:rPr>
          <w:lang w:eastAsia="en-GB"/>
        </w:rPr>
        <w:t>s</w:t>
      </w:r>
      <w:r w:rsidRPr="00CE0885">
        <w:rPr>
          <w:spacing w:val="-16"/>
          <w:lang w:eastAsia="en-GB"/>
        </w:rPr>
        <w:t xml:space="preserve"> </w:t>
      </w:r>
      <w:r w:rsidRPr="00CE0885">
        <w:rPr>
          <w:lang w:eastAsia="en-GB"/>
        </w:rPr>
        <w:t xml:space="preserve">in </w:t>
      </w:r>
      <w:r w:rsidRPr="00CE0885">
        <w:rPr>
          <w:spacing w:val="-2"/>
          <w:lang w:eastAsia="en-GB"/>
        </w:rPr>
        <w:t>t</w:t>
      </w:r>
      <w:r w:rsidRPr="00CE0885">
        <w:rPr>
          <w:spacing w:val="1"/>
          <w:lang w:eastAsia="en-GB"/>
        </w:rPr>
        <w:t>h</w:t>
      </w:r>
      <w:r w:rsidRPr="00CE0885">
        <w:rPr>
          <w:lang w:eastAsia="en-GB"/>
        </w:rPr>
        <w:t>e</w:t>
      </w:r>
      <w:r w:rsidRPr="00CE0885">
        <w:rPr>
          <w:spacing w:val="-1"/>
          <w:lang w:eastAsia="en-GB"/>
        </w:rPr>
        <w:t xml:space="preserve"> reg</w:t>
      </w:r>
      <w:r w:rsidRPr="00CE0885">
        <w:rPr>
          <w:spacing w:val="1"/>
          <w:lang w:eastAsia="en-GB"/>
        </w:rPr>
        <w:t>u</w:t>
      </w:r>
      <w:r w:rsidRPr="00CE0885">
        <w:rPr>
          <w:lang w:eastAsia="en-GB"/>
        </w:rPr>
        <w:t>l</w:t>
      </w:r>
      <w:r w:rsidRPr="00CE0885">
        <w:rPr>
          <w:spacing w:val="1"/>
          <w:lang w:eastAsia="en-GB"/>
        </w:rPr>
        <w:t>at</w:t>
      </w:r>
      <w:r w:rsidRPr="00CE0885">
        <w:rPr>
          <w:lang w:eastAsia="en-GB"/>
        </w:rPr>
        <w:t>i</w:t>
      </w:r>
      <w:r w:rsidRPr="00CE0885">
        <w:rPr>
          <w:spacing w:val="1"/>
          <w:lang w:eastAsia="en-GB"/>
        </w:rPr>
        <w:t>on</w:t>
      </w:r>
      <w:r w:rsidRPr="00CE0885">
        <w:rPr>
          <w:lang w:eastAsia="en-GB"/>
        </w:rPr>
        <w:t>s.</w:t>
      </w:r>
      <w:r w:rsidRPr="00CE0885">
        <w:rPr>
          <w:spacing w:val="-18"/>
          <w:lang w:eastAsia="en-GB"/>
        </w:rPr>
        <w:t xml:space="preserve"> </w:t>
      </w:r>
      <w:r w:rsidRPr="00CE0885">
        <w:rPr>
          <w:spacing w:val="9"/>
          <w:lang w:eastAsia="en-GB"/>
        </w:rPr>
        <w:t>W</w:t>
      </w:r>
      <w:r w:rsidRPr="00CE0885">
        <w:rPr>
          <w:spacing w:val="-1"/>
          <w:lang w:eastAsia="en-GB"/>
        </w:rPr>
        <w:t>h</w:t>
      </w:r>
      <w:r w:rsidRPr="00CE0885">
        <w:rPr>
          <w:lang w:eastAsia="en-GB"/>
        </w:rPr>
        <w:t>ile</w:t>
      </w:r>
      <w:r w:rsidRPr="00CE0885">
        <w:rPr>
          <w:spacing w:val="-4"/>
          <w:lang w:eastAsia="en-GB"/>
        </w:rPr>
        <w:t xml:space="preserve"> </w:t>
      </w:r>
      <w:r w:rsidRPr="00CE0885">
        <w:rPr>
          <w:spacing w:val="-2"/>
          <w:lang w:eastAsia="en-GB"/>
        </w:rPr>
        <w:t>t</w:t>
      </w:r>
      <w:r w:rsidRPr="00CE0885">
        <w:rPr>
          <w:spacing w:val="1"/>
          <w:lang w:eastAsia="en-GB"/>
        </w:rPr>
        <w:t>he</w:t>
      </w:r>
      <w:r w:rsidRPr="00CE0885">
        <w:rPr>
          <w:spacing w:val="-2"/>
          <w:lang w:eastAsia="en-GB"/>
        </w:rPr>
        <w:t>s</w:t>
      </w:r>
      <w:r w:rsidRPr="00CE0885">
        <w:rPr>
          <w:lang w:eastAsia="en-GB"/>
        </w:rPr>
        <w:t>e</w:t>
      </w:r>
      <w:r w:rsidRPr="00CE0885">
        <w:rPr>
          <w:spacing w:val="-7"/>
          <w:lang w:eastAsia="en-GB"/>
        </w:rPr>
        <w:t xml:space="preserve"> </w:t>
      </w:r>
      <w:r w:rsidRPr="00CE0885">
        <w:rPr>
          <w:spacing w:val="1"/>
          <w:lang w:eastAsia="en-GB"/>
        </w:rPr>
        <w:t>te</w:t>
      </w:r>
      <w:r w:rsidRPr="00CE0885">
        <w:rPr>
          <w:spacing w:val="-1"/>
          <w:lang w:eastAsia="en-GB"/>
        </w:rPr>
        <w:t>r</w:t>
      </w:r>
      <w:r w:rsidRPr="00CE0885">
        <w:rPr>
          <w:spacing w:val="2"/>
          <w:lang w:eastAsia="en-GB"/>
        </w:rPr>
        <w:t>m</w:t>
      </w:r>
      <w:r w:rsidRPr="00CE0885">
        <w:rPr>
          <w:lang w:eastAsia="en-GB"/>
        </w:rPr>
        <w:t>s</w:t>
      </w:r>
      <w:r w:rsidRPr="00CE0885">
        <w:rPr>
          <w:spacing w:val="-8"/>
          <w:lang w:eastAsia="en-GB"/>
        </w:rPr>
        <w:t xml:space="preserve"> </w:t>
      </w:r>
      <w:r w:rsidRPr="00CE0885">
        <w:rPr>
          <w:spacing w:val="1"/>
          <w:lang w:eastAsia="en-GB"/>
        </w:rPr>
        <w:t>a</w:t>
      </w:r>
      <w:r w:rsidRPr="00CE0885">
        <w:rPr>
          <w:spacing w:val="-1"/>
          <w:lang w:eastAsia="en-GB"/>
        </w:rPr>
        <w:t>r</w:t>
      </w:r>
      <w:r w:rsidRPr="00CE0885">
        <w:rPr>
          <w:lang w:eastAsia="en-GB"/>
        </w:rPr>
        <w:t>e</w:t>
      </w:r>
      <w:r w:rsidRPr="00CE0885">
        <w:rPr>
          <w:spacing w:val="-1"/>
          <w:lang w:eastAsia="en-GB"/>
        </w:rPr>
        <w:t xml:space="preserve"> </w:t>
      </w:r>
      <w:r w:rsidRPr="00CE0885">
        <w:rPr>
          <w:lang w:eastAsia="en-GB"/>
        </w:rPr>
        <w:t>lik</w:t>
      </w:r>
      <w:r w:rsidRPr="00CE0885">
        <w:rPr>
          <w:spacing w:val="1"/>
          <w:lang w:eastAsia="en-GB"/>
        </w:rPr>
        <w:t>e</w:t>
      </w:r>
      <w:r w:rsidRPr="00CE0885">
        <w:rPr>
          <w:lang w:eastAsia="en-GB"/>
        </w:rPr>
        <w:t>ly</w:t>
      </w:r>
      <w:r w:rsidRPr="00CE0885">
        <w:rPr>
          <w:spacing w:val="-7"/>
          <w:lang w:eastAsia="en-GB"/>
        </w:rPr>
        <w:t xml:space="preserve"> </w:t>
      </w:r>
      <w:r w:rsidRPr="00CE0885">
        <w:rPr>
          <w:spacing w:val="1"/>
          <w:lang w:eastAsia="en-GB"/>
        </w:rPr>
        <w:t>t</w:t>
      </w:r>
      <w:r w:rsidRPr="00CE0885">
        <w:rPr>
          <w:lang w:eastAsia="en-GB"/>
        </w:rPr>
        <w:t xml:space="preserve">o </w:t>
      </w:r>
      <w:r w:rsidRPr="00CE0885">
        <w:rPr>
          <w:spacing w:val="2"/>
          <w:lang w:eastAsia="en-GB"/>
        </w:rPr>
        <w:t>m</w:t>
      </w:r>
      <w:r w:rsidRPr="00CE0885">
        <w:rPr>
          <w:lang w:eastAsia="en-GB"/>
        </w:rPr>
        <w:t>i</w:t>
      </w:r>
      <w:r w:rsidRPr="00CE0885">
        <w:rPr>
          <w:spacing w:val="-1"/>
          <w:lang w:eastAsia="en-GB"/>
        </w:rPr>
        <w:t>rr</w:t>
      </w:r>
      <w:r w:rsidRPr="00CE0885">
        <w:rPr>
          <w:spacing w:val="1"/>
          <w:lang w:eastAsia="en-GB"/>
        </w:rPr>
        <w:t>o</w:t>
      </w:r>
      <w:r w:rsidRPr="00CE0885">
        <w:rPr>
          <w:lang w:eastAsia="en-GB"/>
        </w:rPr>
        <w:t>r</w:t>
      </w:r>
      <w:r w:rsidRPr="00CE0885">
        <w:rPr>
          <w:spacing w:val="-6"/>
          <w:lang w:eastAsia="en-GB"/>
        </w:rPr>
        <w:t xml:space="preserve"> </w:t>
      </w:r>
      <w:r w:rsidRPr="00CE0885">
        <w:rPr>
          <w:spacing w:val="1"/>
          <w:lang w:eastAsia="en-GB"/>
        </w:rPr>
        <w:t>tho</w:t>
      </w:r>
      <w:r w:rsidRPr="00CE0885">
        <w:rPr>
          <w:spacing w:val="-2"/>
          <w:lang w:eastAsia="en-GB"/>
        </w:rPr>
        <w:t>s</w:t>
      </w:r>
      <w:r w:rsidRPr="00CE0885">
        <w:rPr>
          <w:lang w:eastAsia="en-GB"/>
        </w:rPr>
        <w:t>e</w:t>
      </w:r>
      <w:r w:rsidRPr="00CE0885">
        <w:rPr>
          <w:spacing w:val="-4"/>
          <w:lang w:eastAsia="en-GB"/>
        </w:rPr>
        <w:t xml:space="preserve"> </w:t>
      </w:r>
      <w:r w:rsidRPr="00CE0885">
        <w:rPr>
          <w:lang w:eastAsia="en-GB"/>
        </w:rPr>
        <w:t>s</w:t>
      </w:r>
      <w:r w:rsidRPr="00CE0885">
        <w:rPr>
          <w:spacing w:val="1"/>
          <w:lang w:eastAsia="en-GB"/>
        </w:rPr>
        <w:t>e</w:t>
      </w:r>
      <w:r w:rsidRPr="00CE0885">
        <w:rPr>
          <w:lang w:eastAsia="en-GB"/>
        </w:rPr>
        <w:t>t</w:t>
      </w:r>
      <w:r w:rsidRPr="00CE0885">
        <w:rPr>
          <w:spacing w:val="-4"/>
          <w:lang w:eastAsia="en-GB"/>
        </w:rPr>
        <w:t xml:space="preserve"> </w:t>
      </w:r>
      <w:r w:rsidRPr="00CE0885">
        <w:rPr>
          <w:spacing w:val="1"/>
          <w:lang w:eastAsia="en-GB"/>
        </w:rPr>
        <w:t>o</w:t>
      </w:r>
      <w:r w:rsidRPr="00CE0885">
        <w:rPr>
          <w:spacing w:val="-1"/>
          <w:lang w:eastAsia="en-GB"/>
        </w:rPr>
        <w:t>u</w:t>
      </w:r>
      <w:r w:rsidRPr="00CE0885">
        <w:rPr>
          <w:lang w:eastAsia="en-GB"/>
        </w:rPr>
        <w:t>t</w:t>
      </w:r>
      <w:r w:rsidRPr="00CE0885">
        <w:rPr>
          <w:spacing w:val="-2"/>
          <w:lang w:eastAsia="en-GB"/>
        </w:rPr>
        <w:t xml:space="preserve"> </w:t>
      </w:r>
      <w:r w:rsidRPr="00CE0885">
        <w:rPr>
          <w:lang w:eastAsia="en-GB"/>
        </w:rPr>
        <w:t>in</w:t>
      </w:r>
      <w:r w:rsidRPr="00CE0885">
        <w:rPr>
          <w:spacing w:val="-3"/>
          <w:lang w:eastAsia="en-GB"/>
        </w:rPr>
        <w:t xml:space="preserve"> </w:t>
      </w:r>
      <w:r w:rsidRPr="00CE0885">
        <w:rPr>
          <w:spacing w:val="1"/>
          <w:lang w:eastAsia="en-GB"/>
        </w:rPr>
        <w:t>G</w:t>
      </w:r>
      <w:r w:rsidRPr="00CE0885">
        <w:rPr>
          <w:spacing w:val="-1"/>
          <w:lang w:eastAsia="en-GB"/>
        </w:rPr>
        <w:t>M</w:t>
      </w:r>
      <w:r w:rsidRPr="00CE0885">
        <w:rPr>
          <w:lang w:eastAsia="en-GB"/>
        </w:rPr>
        <w:t>S</w:t>
      </w:r>
      <w:r w:rsidRPr="00CE0885">
        <w:rPr>
          <w:spacing w:val="-6"/>
          <w:lang w:eastAsia="en-GB"/>
        </w:rPr>
        <w:t xml:space="preserve"> contracts,</w:t>
      </w:r>
      <w:r w:rsidRPr="00CE0885">
        <w:rPr>
          <w:spacing w:val="-14"/>
          <w:lang w:eastAsia="en-GB"/>
        </w:rPr>
        <w:t xml:space="preserve"> </w:t>
      </w:r>
      <w:r w:rsidRPr="00CE0885">
        <w:rPr>
          <w:spacing w:val="1"/>
          <w:lang w:eastAsia="en-GB"/>
        </w:rPr>
        <w:t>t</w:t>
      </w:r>
      <w:r w:rsidRPr="00CE0885">
        <w:rPr>
          <w:spacing w:val="-1"/>
          <w:lang w:eastAsia="en-GB"/>
        </w:rPr>
        <w:t>h</w:t>
      </w:r>
      <w:r w:rsidRPr="00CE0885">
        <w:rPr>
          <w:lang w:eastAsia="en-GB"/>
        </w:rPr>
        <w:t>e i</w:t>
      </w:r>
      <w:r w:rsidRPr="00CE0885">
        <w:rPr>
          <w:spacing w:val="1"/>
          <w:lang w:eastAsia="en-GB"/>
        </w:rPr>
        <w:t>nd</w:t>
      </w:r>
      <w:r w:rsidRPr="00CE0885">
        <w:rPr>
          <w:lang w:eastAsia="en-GB"/>
        </w:rPr>
        <w:t>i</w:t>
      </w:r>
      <w:r w:rsidRPr="00CE0885">
        <w:rPr>
          <w:spacing w:val="-2"/>
          <w:lang w:eastAsia="en-GB"/>
        </w:rPr>
        <w:t>v</w:t>
      </w:r>
      <w:r w:rsidRPr="00CE0885">
        <w:rPr>
          <w:lang w:eastAsia="en-GB"/>
        </w:rPr>
        <w:t>i</w:t>
      </w:r>
      <w:r w:rsidRPr="00CE0885">
        <w:rPr>
          <w:spacing w:val="1"/>
          <w:lang w:eastAsia="en-GB"/>
        </w:rPr>
        <w:t>dua</w:t>
      </w:r>
      <w:r w:rsidRPr="00CE0885">
        <w:rPr>
          <w:lang w:eastAsia="en-GB"/>
        </w:rPr>
        <w:t>l</w:t>
      </w:r>
      <w:r w:rsidRPr="00CE0885">
        <w:rPr>
          <w:spacing w:val="-10"/>
          <w:lang w:eastAsia="en-GB"/>
        </w:rPr>
        <w:t xml:space="preserve"> </w:t>
      </w:r>
      <w:r w:rsidRPr="00CE0885">
        <w:rPr>
          <w:spacing w:val="1"/>
          <w:lang w:eastAsia="en-GB"/>
        </w:rPr>
        <w:t>contracts</w:t>
      </w:r>
      <w:r w:rsidRPr="00CE0885">
        <w:rPr>
          <w:spacing w:val="-15"/>
          <w:lang w:eastAsia="en-GB"/>
        </w:rPr>
        <w:t xml:space="preserve"> </w:t>
      </w:r>
      <w:r w:rsidRPr="00CE0885">
        <w:rPr>
          <w:spacing w:val="2"/>
          <w:lang w:eastAsia="en-GB"/>
        </w:rPr>
        <w:t>m</w:t>
      </w:r>
      <w:r w:rsidRPr="00CE0885">
        <w:rPr>
          <w:spacing w:val="1"/>
          <w:lang w:eastAsia="en-GB"/>
        </w:rPr>
        <w:t>u</w:t>
      </w:r>
      <w:r w:rsidRPr="00CE0885">
        <w:rPr>
          <w:lang w:eastAsia="en-GB"/>
        </w:rPr>
        <w:t>st</w:t>
      </w:r>
      <w:r w:rsidRPr="00CE0885">
        <w:rPr>
          <w:spacing w:val="-6"/>
          <w:lang w:eastAsia="en-GB"/>
        </w:rPr>
        <w:t xml:space="preserve"> </w:t>
      </w:r>
      <w:r w:rsidRPr="00CE0885">
        <w:rPr>
          <w:spacing w:val="1"/>
          <w:lang w:eastAsia="en-GB"/>
        </w:rPr>
        <w:t>b</w:t>
      </w:r>
      <w:r w:rsidRPr="00CE0885">
        <w:rPr>
          <w:lang w:eastAsia="en-GB"/>
        </w:rPr>
        <w:t>e</w:t>
      </w:r>
      <w:r w:rsidRPr="00CE0885">
        <w:rPr>
          <w:spacing w:val="-1"/>
          <w:lang w:eastAsia="en-GB"/>
        </w:rPr>
        <w:t xml:space="preserve"> </w:t>
      </w:r>
      <w:r w:rsidRPr="00CE0885">
        <w:rPr>
          <w:spacing w:val="-2"/>
          <w:lang w:eastAsia="en-GB"/>
        </w:rPr>
        <w:t>c</w:t>
      </w:r>
      <w:r w:rsidRPr="00CE0885">
        <w:rPr>
          <w:spacing w:val="1"/>
          <w:lang w:eastAsia="en-GB"/>
        </w:rPr>
        <w:t>he</w:t>
      </w:r>
      <w:r w:rsidRPr="00CE0885">
        <w:rPr>
          <w:lang w:eastAsia="en-GB"/>
        </w:rPr>
        <w:t>c</w:t>
      </w:r>
      <w:r w:rsidRPr="00CE0885">
        <w:rPr>
          <w:spacing w:val="-2"/>
          <w:lang w:eastAsia="en-GB"/>
        </w:rPr>
        <w:t>k</w:t>
      </w:r>
      <w:r w:rsidRPr="00CE0885">
        <w:rPr>
          <w:spacing w:val="1"/>
          <w:lang w:eastAsia="en-GB"/>
        </w:rPr>
        <w:t>e</w:t>
      </w:r>
      <w:r w:rsidRPr="00CE0885">
        <w:rPr>
          <w:lang w:eastAsia="en-GB"/>
        </w:rPr>
        <w:t>d</w:t>
      </w:r>
      <w:r w:rsidRPr="00CE0885">
        <w:rPr>
          <w:spacing w:val="-10"/>
          <w:lang w:eastAsia="en-GB"/>
        </w:rPr>
        <w:t xml:space="preserve"> </w:t>
      </w:r>
      <w:r w:rsidRPr="00CE0885">
        <w:rPr>
          <w:spacing w:val="1"/>
          <w:lang w:eastAsia="en-GB"/>
        </w:rPr>
        <w:t>b</w:t>
      </w:r>
      <w:r w:rsidRPr="00CE0885">
        <w:rPr>
          <w:lang w:eastAsia="en-GB"/>
        </w:rPr>
        <w:t>y</w:t>
      </w:r>
      <w:r w:rsidRPr="00CE0885">
        <w:rPr>
          <w:spacing w:val="-5"/>
          <w:lang w:eastAsia="en-GB"/>
        </w:rPr>
        <w:t xml:space="preserve"> </w:t>
      </w:r>
      <w:r w:rsidRPr="00CE0885">
        <w:rPr>
          <w:spacing w:val="1"/>
          <w:lang w:eastAsia="en-GB"/>
        </w:rPr>
        <w:t>th</w:t>
      </w:r>
      <w:r w:rsidRPr="00CE0885">
        <w:rPr>
          <w:lang w:eastAsia="en-GB"/>
        </w:rPr>
        <w:t>e</w:t>
      </w:r>
      <w:r w:rsidRPr="00CE0885">
        <w:rPr>
          <w:spacing w:val="-1"/>
          <w:lang w:eastAsia="en-GB"/>
        </w:rPr>
        <w:t xml:space="preserve"> </w:t>
      </w:r>
      <w:r w:rsidRPr="00CE0885">
        <w:rPr>
          <w:spacing w:val="-2"/>
          <w:lang w:eastAsia="en-GB"/>
        </w:rPr>
        <w:t>Commissioner</w:t>
      </w:r>
      <w:r w:rsidRPr="00CE0885">
        <w:rPr>
          <w:lang w:eastAsia="en-GB"/>
        </w:rPr>
        <w:t xml:space="preserve"> </w:t>
      </w:r>
      <w:r w:rsidRPr="00CE0885">
        <w:rPr>
          <w:spacing w:val="-2"/>
          <w:lang w:eastAsia="en-GB"/>
        </w:rPr>
        <w:t>t</w:t>
      </w:r>
      <w:r w:rsidRPr="00CE0885">
        <w:rPr>
          <w:lang w:eastAsia="en-GB"/>
        </w:rPr>
        <w:t xml:space="preserve">o </w:t>
      </w:r>
      <w:r w:rsidRPr="00CE0885">
        <w:rPr>
          <w:spacing w:val="-1"/>
          <w:lang w:eastAsia="en-GB"/>
        </w:rPr>
        <w:t>e</w:t>
      </w:r>
      <w:r w:rsidRPr="00CE0885">
        <w:rPr>
          <w:spacing w:val="1"/>
          <w:lang w:eastAsia="en-GB"/>
        </w:rPr>
        <w:t>n</w:t>
      </w:r>
      <w:r w:rsidRPr="00CE0885">
        <w:rPr>
          <w:lang w:eastAsia="en-GB"/>
        </w:rPr>
        <w:t>s</w:t>
      </w:r>
      <w:r w:rsidRPr="00CE0885">
        <w:rPr>
          <w:spacing w:val="1"/>
          <w:lang w:eastAsia="en-GB"/>
        </w:rPr>
        <w:t>u</w:t>
      </w:r>
      <w:r w:rsidRPr="00CE0885">
        <w:rPr>
          <w:spacing w:val="-1"/>
          <w:lang w:eastAsia="en-GB"/>
        </w:rPr>
        <w:t>r</w:t>
      </w:r>
      <w:r w:rsidRPr="00CE0885">
        <w:rPr>
          <w:lang w:eastAsia="en-GB"/>
        </w:rPr>
        <w:t>e</w:t>
      </w:r>
      <w:r w:rsidRPr="00CE0885">
        <w:rPr>
          <w:spacing w:val="-5"/>
          <w:lang w:eastAsia="en-GB"/>
        </w:rPr>
        <w:t xml:space="preserve"> </w:t>
      </w:r>
      <w:r w:rsidRPr="00CE0885">
        <w:rPr>
          <w:spacing w:val="-2"/>
          <w:lang w:eastAsia="en-GB"/>
        </w:rPr>
        <w:t>t</w:t>
      </w:r>
      <w:r w:rsidRPr="00CE0885">
        <w:rPr>
          <w:spacing w:val="1"/>
          <w:lang w:eastAsia="en-GB"/>
        </w:rPr>
        <w:t>ha</w:t>
      </w:r>
      <w:r w:rsidRPr="00CE0885">
        <w:rPr>
          <w:lang w:eastAsia="en-GB"/>
        </w:rPr>
        <w:t xml:space="preserve">t </w:t>
      </w:r>
      <w:r w:rsidRPr="00CE0885">
        <w:rPr>
          <w:spacing w:val="1"/>
          <w:lang w:eastAsia="en-GB"/>
        </w:rPr>
        <w:t>n</w:t>
      </w:r>
      <w:r w:rsidRPr="00CE0885">
        <w:rPr>
          <w:lang w:eastAsia="en-GB"/>
        </w:rPr>
        <w:t>o</w:t>
      </w:r>
      <w:r w:rsidRPr="00CE0885">
        <w:rPr>
          <w:spacing w:val="-1"/>
          <w:lang w:eastAsia="en-GB"/>
        </w:rPr>
        <w:t xml:space="preserve"> a</w:t>
      </w:r>
      <w:r w:rsidRPr="00CE0885">
        <w:rPr>
          <w:spacing w:val="1"/>
          <w:lang w:eastAsia="en-GB"/>
        </w:rPr>
        <w:t>dd</w:t>
      </w:r>
      <w:r w:rsidRPr="00CE0885">
        <w:rPr>
          <w:lang w:eastAsia="en-GB"/>
        </w:rPr>
        <w:t>i</w:t>
      </w:r>
      <w:r w:rsidRPr="00CE0885">
        <w:rPr>
          <w:spacing w:val="1"/>
          <w:lang w:eastAsia="en-GB"/>
        </w:rPr>
        <w:t>t</w:t>
      </w:r>
      <w:r w:rsidRPr="00CE0885">
        <w:rPr>
          <w:lang w:eastAsia="en-GB"/>
        </w:rPr>
        <w:t>i</w:t>
      </w:r>
      <w:r w:rsidRPr="00CE0885">
        <w:rPr>
          <w:spacing w:val="-1"/>
          <w:lang w:eastAsia="en-GB"/>
        </w:rPr>
        <w:t>o</w:t>
      </w:r>
      <w:r w:rsidRPr="00CE0885">
        <w:rPr>
          <w:spacing w:val="1"/>
          <w:lang w:eastAsia="en-GB"/>
        </w:rPr>
        <w:t>na</w:t>
      </w:r>
      <w:r w:rsidRPr="00CE0885">
        <w:rPr>
          <w:lang w:eastAsia="en-GB"/>
        </w:rPr>
        <w:t>l</w:t>
      </w:r>
      <w:r w:rsidRPr="00CE0885">
        <w:rPr>
          <w:spacing w:val="-10"/>
          <w:lang w:eastAsia="en-GB"/>
        </w:rPr>
        <w:t xml:space="preserve"> </w:t>
      </w:r>
      <w:r w:rsidRPr="00CE0885">
        <w:rPr>
          <w:spacing w:val="1"/>
          <w:lang w:eastAsia="en-GB"/>
        </w:rPr>
        <w:t>o</w:t>
      </w:r>
      <w:r w:rsidRPr="00CE0885">
        <w:rPr>
          <w:lang w:eastAsia="en-GB"/>
        </w:rPr>
        <w:t>r</w:t>
      </w:r>
      <w:r w:rsidRPr="00CE0885">
        <w:rPr>
          <w:spacing w:val="-5"/>
          <w:lang w:eastAsia="en-GB"/>
        </w:rPr>
        <w:t xml:space="preserve"> </w:t>
      </w:r>
      <w:r w:rsidRPr="00CE0885">
        <w:rPr>
          <w:spacing w:val="1"/>
          <w:lang w:eastAsia="en-GB"/>
        </w:rPr>
        <w:t>a</w:t>
      </w:r>
      <w:r w:rsidRPr="00CE0885">
        <w:rPr>
          <w:lang w:eastAsia="en-GB"/>
        </w:rPr>
        <w:t>l</w:t>
      </w:r>
      <w:r w:rsidRPr="00CE0885">
        <w:rPr>
          <w:spacing w:val="1"/>
          <w:lang w:eastAsia="en-GB"/>
        </w:rPr>
        <w:t>te</w:t>
      </w:r>
      <w:r w:rsidRPr="00CE0885">
        <w:rPr>
          <w:spacing w:val="-1"/>
          <w:lang w:eastAsia="en-GB"/>
        </w:rPr>
        <w:t>rna</w:t>
      </w:r>
      <w:r w:rsidRPr="00CE0885">
        <w:rPr>
          <w:spacing w:val="1"/>
          <w:lang w:eastAsia="en-GB"/>
        </w:rPr>
        <w:t>t</w:t>
      </w:r>
      <w:r w:rsidRPr="00CE0885">
        <w:rPr>
          <w:lang w:eastAsia="en-GB"/>
        </w:rPr>
        <w:t>i</w:t>
      </w:r>
      <w:r w:rsidRPr="00CE0885">
        <w:rPr>
          <w:spacing w:val="-2"/>
          <w:lang w:eastAsia="en-GB"/>
        </w:rPr>
        <w:t>v</w:t>
      </w:r>
      <w:r w:rsidRPr="00CE0885">
        <w:rPr>
          <w:lang w:eastAsia="en-GB"/>
        </w:rPr>
        <w:t>e</w:t>
      </w:r>
      <w:r w:rsidRPr="00CE0885">
        <w:rPr>
          <w:spacing w:val="-9"/>
          <w:lang w:eastAsia="en-GB"/>
        </w:rPr>
        <w:t xml:space="preserve"> </w:t>
      </w:r>
      <w:r w:rsidRPr="00CE0885">
        <w:rPr>
          <w:spacing w:val="1"/>
          <w:lang w:eastAsia="en-GB"/>
        </w:rPr>
        <w:t>te</w:t>
      </w:r>
      <w:r w:rsidRPr="00CE0885">
        <w:rPr>
          <w:spacing w:val="-1"/>
          <w:lang w:eastAsia="en-GB"/>
        </w:rPr>
        <w:t>r</w:t>
      </w:r>
      <w:r w:rsidRPr="00CE0885">
        <w:rPr>
          <w:spacing w:val="2"/>
          <w:lang w:eastAsia="en-GB"/>
        </w:rPr>
        <w:t>m</w:t>
      </w:r>
      <w:r w:rsidRPr="00CE0885">
        <w:rPr>
          <w:lang w:eastAsia="en-GB"/>
        </w:rPr>
        <w:t>s</w:t>
      </w:r>
      <w:r w:rsidRPr="00CE0885">
        <w:rPr>
          <w:spacing w:val="-6"/>
          <w:lang w:eastAsia="en-GB"/>
        </w:rPr>
        <w:t xml:space="preserve"> </w:t>
      </w:r>
      <w:r w:rsidRPr="00CE0885">
        <w:rPr>
          <w:spacing w:val="-3"/>
          <w:lang w:eastAsia="en-GB"/>
        </w:rPr>
        <w:t>w</w:t>
      </w:r>
      <w:r w:rsidRPr="00CE0885">
        <w:rPr>
          <w:spacing w:val="1"/>
          <w:lang w:eastAsia="en-GB"/>
        </w:rPr>
        <w:t>e</w:t>
      </w:r>
      <w:r w:rsidRPr="00CE0885">
        <w:rPr>
          <w:spacing w:val="-1"/>
          <w:lang w:eastAsia="en-GB"/>
        </w:rPr>
        <w:t>r</w:t>
      </w:r>
      <w:r w:rsidRPr="00CE0885">
        <w:rPr>
          <w:lang w:eastAsia="en-GB"/>
        </w:rPr>
        <w:t>e</w:t>
      </w:r>
      <w:r w:rsidRPr="00CE0885">
        <w:rPr>
          <w:spacing w:val="-3"/>
          <w:lang w:eastAsia="en-GB"/>
        </w:rPr>
        <w:t xml:space="preserve"> </w:t>
      </w:r>
      <w:r w:rsidRPr="00CE0885">
        <w:rPr>
          <w:lang w:eastAsia="en-GB"/>
        </w:rPr>
        <w:t>i</w:t>
      </w:r>
      <w:r w:rsidRPr="00CE0885">
        <w:rPr>
          <w:spacing w:val="1"/>
          <w:lang w:eastAsia="en-GB"/>
        </w:rPr>
        <w:t>n</w:t>
      </w:r>
      <w:r w:rsidRPr="00CE0885">
        <w:rPr>
          <w:lang w:eastAsia="en-GB"/>
        </w:rPr>
        <w:t>cl</w:t>
      </w:r>
      <w:r w:rsidRPr="00CE0885">
        <w:rPr>
          <w:spacing w:val="1"/>
          <w:lang w:eastAsia="en-GB"/>
        </w:rPr>
        <w:t>ud</w:t>
      </w:r>
      <w:r w:rsidRPr="00CE0885">
        <w:rPr>
          <w:spacing w:val="-1"/>
          <w:lang w:eastAsia="en-GB"/>
        </w:rPr>
        <w:t>e</w:t>
      </w:r>
      <w:r w:rsidRPr="00CE0885">
        <w:rPr>
          <w:spacing w:val="1"/>
          <w:lang w:eastAsia="en-GB"/>
        </w:rPr>
        <w:t>d</w:t>
      </w:r>
      <w:r w:rsidRPr="00CE0885">
        <w:rPr>
          <w:lang w:eastAsia="en-GB"/>
        </w:rPr>
        <w:t>.</w:t>
      </w:r>
      <w:r w:rsidRPr="00CE0885">
        <w:rPr>
          <w:spacing w:val="-11"/>
          <w:lang w:eastAsia="en-GB"/>
        </w:rPr>
        <w:t xml:space="preserve"> </w:t>
      </w:r>
      <w:r w:rsidRPr="00CE0885">
        <w:rPr>
          <w:spacing w:val="2"/>
          <w:lang w:eastAsia="en-GB"/>
        </w:rPr>
        <w:t>T</w:t>
      </w:r>
      <w:r w:rsidRPr="00CE0885">
        <w:rPr>
          <w:spacing w:val="1"/>
          <w:lang w:eastAsia="en-GB"/>
        </w:rPr>
        <w:t>h</w:t>
      </w:r>
      <w:r w:rsidRPr="00CE0885">
        <w:rPr>
          <w:lang w:eastAsia="en-GB"/>
        </w:rPr>
        <w:t>is</w:t>
      </w:r>
      <w:r w:rsidRPr="00CE0885">
        <w:rPr>
          <w:spacing w:val="-5"/>
          <w:lang w:eastAsia="en-GB"/>
        </w:rPr>
        <w:t xml:space="preserve"> </w:t>
      </w:r>
      <w:r w:rsidRPr="00CE0885">
        <w:rPr>
          <w:lang w:eastAsia="en-GB"/>
        </w:rPr>
        <w:t>is</w:t>
      </w:r>
      <w:r w:rsidRPr="00CE0885">
        <w:rPr>
          <w:spacing w:val="-2"/>
          <w:lang w:eastAsia="en-GB"/>
        </w:rPr>
        <w:t xml:space="preserve"> </w:t>
      </w:r>
      <w:r w:rsidRPr="00CE0885">
        <w:rPr>
          <w:spacing w:val="1"/>
          <w:lang w:eastAsia="en-GB"/>
        </w:rPr>
        <w:t>e</w:t>
      </w:r>
      <w:r w:rsidRPr="00CE0885">
        <w:rPr>
          <w:spacing w:val="-2"/>
          <w:lang w:eastAsia="en-GB"/>
        </w:rPr>
        <w:t>s</w:t>
      </w:r>
      <w:r w:rsidRPr="00CE0885">
        <w:rPr>
          <w:spacing w:val="1"/>
          <w:lang w:eastAsia="en-GB"/>
        </w:rPr>
        <w:t>pe</w:t>
      </w:r>
      <w:r w:rsidRPr="00CE0885">
        <w:rPr>
          <w:lang w:eastAsia="en-GB"/>
        </w:rPr>
        <w:t>ci</w:t>
      </w:r>
      <w:r w:rsidRPr="00CE0885">
        <w:rPr>
          <w:spacing w:val="1"/>
          <w:lang w:eastAsia="en-GB"/>
        </w:rPr>
        <w:t>a</w:t>
      </w:r>
      <w:r w:rsidRPr="00CE0885">
        <w:rPr>
          <w:lang w:eastAsia="en-GB"/>
        </w:rPr>
        <w:t>lly i</w:t>
      </w:r>
      <w:r w:rsidRPr="00CE0885">
        <w:rPr>
          <w:spacing w:val="2"/>
          <w:lang w:eastAsia="en-GB"/>
        </w:rPr>
        <w:t>m</w:t>
      </w:r>
      <w:r w:rsidRPr="00CE0885">
        <w:rPr>
          <w:spacing w:val="1"/>
          <w:lang w:eastAsia="en-GB"/>
        </w:rPr>
        <w:t>po</w:t>
      </w:r>
      <w:r w:rsidRPr="00CE0885">
        <w:rPr>
          <w:spacing w:val="-1"/>
          <w:lang w:eastAsia="en-GB"/>
        </w:rPr>
        <w:t>r</w:t>
      </w:r>
      <w:r w:rsidRPr="00CE0885">
        <w:rPr>
          <w:spacing w:val="-2"/>
          <w:lang w:eastAsia="en-GB"/>
        </w:rPr>
        <w:t>t</w:t>
      </w:r>
      <w:r w:rsidRPr="00CE0885">
        <w:rPr>
          <w:spacing w:val="1"/>
          <w:lang w:eastAsia="en-GB"/>
        </w:rPr>
        <w:t>an</w:t>
      </w:r>
      <w:r w:rsidRPr="00CE0885">
        <w:rPr>
          <w:lang w:eastAsia="en-GB"/>
        </w:rPr>
        <w:t>t</w:t>
      </w:r>
      <w:r w:rsidRPr="00CE0885">
        <w:rPr>
          <w:spacing w:val="-9"/>
          <w:lang w:eastAsia="en-GB"/>
        </w:rPr>
        <w:t xml:space="preserve"> </w:t>
      </w:r>
      <w:r w:rsidRPr="00CE0885">
        <w:rPr>
          <w:spacing w:val="-3"/>
          <w:lang w:eastAsia="en-GB"/>
        </w:rPr>
        <w:t>w</w:t>
      </w:r>
      <w:r w:rsidRPr="00CE0885">
        <w:rPr>
          <w:spacing w:val="1"/>
          <w:lang w:eastAsia="en-GB"/>
        </w:rPr>
        <w:t>he</w:t>
      </w:r>
      <w:r w:rsidRPr="00CE0885">
        <w:rPr>
          <w:lang w:eastAsia="en-GB"/>
        </w:rPr>
        <w:t>n</w:t>
      </w:r>
      <w:r w:rsidRPr="00CE0885">
        <w:rPr>
          <w:spacing w:val="-4"/>
          <w:lang w:eastAsia="en-GB"/>
        </w:rPr>
        <w:t xml:space="preserve"> </w:t>
      </w:r>
      <w:r w:rsidRPr="00CE0885">
        <w:rPr>
          <w:spacing w:val="-2"/>
          <w:lang w:eastAsia="en-GB"/>
        </w:rPr>
        <w:t>c</w:t>
      </w:r>
      <w:r w:rsidRPr="00CE0885">
        <w:rPr>
          <w:spacing w:val="1"/>
          <w:lang w:eastAsia="en-GB"/>
        </w:rPr>
        <w:t>on</w:t>
      </w:r>
      <w:r w:rsidRPr="00CE0885">
        <w:rPr>
          <w:lang w:eastAsia="en-GB"/>
        </w:rPr>
        <w:t>si</w:t>
      </w:r>
      <w:r w:rsidRPr="00CE0885">
        <w:rPr>
          <w:spacing w:val="-1"/>
          <w:lang w:eastAsia="en-GB"/>
        </w:rPr>
        <w:t>d</w:t>
      </w:r>
      <w:r w:rsidRPr="00CE0885">
        <w:rPr>
          <w:spacing w:val="1"/>
          <w:lang w:eastAsia="en-GB"/>
        </w:rPr>
        <w:t>e</w:t>
      </w:r>
      <w:r w:rsidRPr="00CE0885">
        <w:rPr>
          <w:spacing w:val="-1"/>
          <w:lang w:eastAsia="en-GB"/>
        </w:rPr>
        <w:t>r</w:t>
      </w:r>
      <w:r w:rsidRPr="00CE0885">
        <w:rPr>
          <w:lang w:eastAsia="en-GB"/>
        </w:rPr>
        <w:t>i</w:t>
      </w:r>
      <w:r w:rsidRPr="00CE0885">
        <w:rPr>
          <w:spacing w:val="1"/>
          <w:lang w:eastAsia="en-GB"/>
        </w:rPr>
        <w:t>n</w:t>
      </w:r>
      <w:r w:rsidRPr="00CE0885">
        <w:rPr>
          <w:lang w:eastAsia="en-GB"/>
        </w:rPr>
        <w:t>g</w:t>
      </w:r>
      <w:r w:rsidRPr="00CE0885">
        <w:rPr>
          <w:spacing w:val="-13"/>
          <w:lang w:eastAsia="en-GB"/>
        </w:rPr>
        <w:t xml:space="preserve"> </w:t>
      </w:r>
      <w:r w:rsidRPr="00CE0885">
        <w:rPr>
          <w:spacing w:val="1"/>
          <w:lang w:eastAsia="en-GB"/>
        </w:rPr>
        <w:t>te</w:t>
      </w:r>
      <w:r w:rsidRPr="00CE0885">
        <w:rPr>
          <w:spacing w:val="-1"/>
          <w:lang w:eastAsia="en-GB"/>
        </w:rPr>
        <w:t>r</w:t>
      </w:r>
      <w:r w:rsidRPr="00CE0885">
        <w:rPr>
          <w:spacing w:val="2"/>
          <w:lang w:eastAsia="en-GB"/>
        </w:rPr>
        <w:t>m</w:t>
      </w:r>
      <w:r w:rsidRPr="00CE0885">
        <w:rPr>
          <w:lang w:eastAsia="en-GB"/>
        </w:rPr>
        <w:t>i</w:t>
      </w:r>
      <w:r w:rsidRPr="00CE0885">
        <w:rPr>
          <w:spacing w:val="1"/>
          <w:lang w:eastAsia="en-GB"/>
        </w:rPr>
        <w:t>n</w:t>
      </w:r>
      <w:r w:rsidRPr="00CE0885">
        <w:rPr>
          <w:spacing w:val="-1"/>
          <w:lang w:eastAsia="en-GB"/>
        </w:rPr>
        <w:t>a</w:t>
      </w:r>
      <w:r w:rsidRPr="00CE0885">
        <w:rPr>
          <w:spacing w:val="1"/>
          <w:lang w:eastAsia="en-GB"/>
        </w:rPr>
        <w:t>t</w:t>
      </w:r>
      <w:r w:rsidRPr="00CE0885">
        <w:rPr>
          <w:lang w:eastAsia="en-GB"/>
        </w:rPr>
        <w:t>i</w:t>
      </w:r>
      <w:r w:rsidRPr="00CE0885">
        <w:rPr>
          <w:spacing w:val="1"/>
          <w:lang w:eastAsia="en-GB"/>
        </w:rPr>
        <w:t>o</w:t>
      </w:r>
      <w:r w:rsidRPr="00CE0885">
        <w:rPr>
          <w:lang w:eastAsia="en-GB"/>
        </w:rPr>
        <w:t>n</w:t>
      </w:r>
      <w:r w:rsidRPr="00CE0885">
        <w:rPr>
          <w:spacing w:val="-13"/>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1"/>
          <w:lang w:eastAsia="en-GB"/>
        </w:rPr>
        <w:t>a</w:t>
      </w:r>
      <w:r w:rsidRPr="00CE0885">
        <w:rPr>
          <w:lang w:eastAsia="en-GB"/>
        </w:rPr>
        <w:t>n</w:t>
      </w:r>
      <w:r w:rsidRPr="00CE0885">
        <w:rPr>
          <w:spacing w:val="-4"/>
          <w:lang w:eastAsia="en-GB"/>
        </w:rPr>
        <w:t xml:space="preserve"> </w:t>
      </w:r>
      <w:r w:rsidRPr="00CE0885">
        <w:rPr>
          <w:spacing w:val="1"/>
          <w:lang w:eastAsia="en-GB"/>
        </w:rPr>
        <w:t>AP</w:t>
      </w:r>
      <w:r w:rsidRPr="00CE0885">
        <w:rPr>
          <w:spacing w:val="-1"/>
          <w:lang w:eastAsia="en-GB"/>
        </w:rPr>
        <w:t>M</w:t>
      </w:r>
      <w:r w:rsidRPr="00CE0885">
        <w:rPr>
          <w:lang w:eastAsia="en-GB"/>
        </w:rPr>
        <w:t>S</w:t>
      </w:r>
      <w:r w:rsidRPr="00CE0885">
        <w:rPr>
          <w:spacing w:val="-6"/>
          <w:lang w:eastAsia="en-GB"/>
        </w:rPr>
        <w:t xml:space="preserve"> </w:t>
      </w:r>
      <w:r w:rsidRPr="00CE0885">
        <w:rPr>
          <w:spacing w:val="1"/>
          <w:lang w:eastAsia="en-GB"/>
        </w:rPr>
        <w:t>contract</w:t>
      </w:r>
      <w:r w:rsidRPr="00CE0885">
        <w:rPr>
          <w:lang w:eastAsia="en-GB"/>
        </w:rPr>
        <w:t xml:space="preserve">, </w:t>
      </w:r>
      <w:r w:rsidRPr="00CE0885">
        <w:rPr>
          <w:spacing w:val="-3"/>
          <w:lang w:eastAsia="en-GB"/>
        </w:rPr>
        <w:t>w</w:t>
      </w:r>
      <w:r w:rsidRPr="00CE0885">
        <w:rPr>
          <w:spacing w:val="1"/>
          <w:lang w:eastAsia="en-GB"/>
        </w:rPr>
        <w:t>h</w:t>
      </w:r>
      <w:r w:rsidRPr="00CE0885">
        <w:rPr>
          <w:lang w:eastAsia="en-GB"/>
        </w:rPr>
        <w:t>ich</w:t>
      </w:r>
      <w:r w:rsidRPr="00CE0885">
        <w:rPr>
          <w:spacing w:val="-4"/>
          <w:lang w:eastAsia="en-GB"/>
        </w:rPr>
        <w:t xml:space="preserve"> </w:t>
      </w:r>
      <w:r w:rsidRPr="00CE0885">
        <w:rPr>
          <w:spacing w:val="1"/>
          <w:lang w:eastAsia="en-GB"/>
        </w:rPr>
        <w:t>o</w:t>
      </w:r>
      <w:r w:rsidRPr="00CE0885">
        <w:rPr>
          <w:spacing w:val="3"/>
          <w:lang w:eastAsia="en-GB"/>
        </w:rPr>
        <w:t>f</w:t>
      </w:r>
      <w:r w:rsidRPr="00CE0885">
        <w:rPr>
          <w:spacing w:val="-2"/>
          <w:lang w:eastAsia="en-GB"/>
        </w:rPr>
        <w:t>t</w:t>
      </w:r>
      <w:r w:rsidRPr="00CE0885">
        <w:rPr>
          <w:spacing w:val="1"/>
          <w:lang w:eastAsia="en-GB"/>
        </w:rPr>
        <w:t>e</w:t>
      </w:r>
      <w:r w:rsidRPr="00CE0885">
        <w:rPr>
          <w:lang w:eastAsia="en-GB"/>
        </w:rPr>
        <w:t>n</w:t>
      </w:r>
      <w:r w:rsidRPr="00CE0885">
        <w:rPr>
          <w:spacing w:val="-3"/>
          <w:lang w:eastAsia="en-GB"/>
        </w:rPr>
        <w:t xml:space="preserve"> </w:t>
      </w:r>
      <w:r w:rsidRPr="00CE0885">
        <w:rPr>
          <w:lang w:eastAsia="en-GB"/>
        </w:rPr>
        <w:t>i</w:t>
      </w:r>
      <w:r w:rsidRPr="00CE0885">
        <w:rPr>
          <w:spacing w:val="1"/>
          <w:lang w:eastAsia="en-GB"/>
        </w:rPr>
        <w:t>n</w:t>
      </w:r>
      <w:r w:rsidRPr="00CE0885">
        <w:rPr>
          <w:lang w:eastAsia="en-GB"/>
        </w:rPr>
        <w:t>c</w:t>
      </w:r>
      <w:r w:rsidRPr="00CE0885">
        <w:rPr>
          <w:spacing w:val="-3"/>
          <w:lang w:eastAsia="en-GB"/>
        </w:rPr>
        <w:t>l</w:t>
      </w:r>
      <w:r w:rsidRPr="00CE0885">
        <w:rPr>
          <w:spacing w:val="1"/>
          <w:lang w:eastAsia="en-GB"/>
        </w:rPr>
        <w:t>ud</w:t>
      </w:r>
      <w:r w:rsidRPr="00CE0885">
        <w:rPr>
          <w:spacing w:val="-1"/>
          <w:lang w:eastAsia="en-GB"/>
        </w:rPr>
        <w:t>e</w:t>
      </w:r>
      <w:r w:rsidRPr="00CE0885">
        <w:rPr>
          <w:lang w:eastAsia="en-GB"/>
        </w:rPr>
        <w:t>d</w:t>
      </w:r>
      <w:r w:rsidRPr="00CE0885">
        <w:rPr>
          <w:spacing w:val="-7"/>
          <w:lang w:eastAsia="en-GB"/>
        </w:rPr>
        <w:t xml:space="preserve"> </w:t>
      </w:r>
      <w:r w:rsidRPr="00CE0885">
        <w:rPr>
          <w:spacing w:val="-2"/>
          <w:lang w:eastAsia="en-GB"/>
        </w:rPr>
        <w:t>v</w:t>
      </w:r>
      <w:r w:rsidRPr="00CE0885">
        <w:rPr>
          <w:spacing w:val="1"/>
          <w:lang w:eastAsia="en-GB"/>
        </w:rPr>
        <w:t>e</w:t>
      </w:r>
      <w:r w:rsidRPr="00CE0885">
        <w:rPr>
          <w:spacing w:val="-1"/>
          <w:lang w:eastAsia="en-GB"/>
        </w:rPr>
        <w:t>r</w:t>
      </w:r>
      <w:r w:rsidRPr="00CE0885">
        <w:rPr>
          <w:lang w:eastAsia="en-GB"/>
        </w:rPr>
        <w:t>y</w:t>
      </w:r>
      <w:r w:rsidRPr="00CE0885">
        <w:rPr>
          <w:spacing w:val="-7"/>
          <w:lang w:eastAsia="en-GB"/>
        </w:rPr>
        <w:t xml:space="preserve"> </w:t>
      </w:r>
      <w:r w:rsidRPr="00CE0885">
        <w:rPr>
          <w:lang w:eastAsia="en-GB"/>
        </w:rPr>
        <w:t>s</w:t>
      </w:r>
      <w:r w:rsidRPr="00CE0885">
        <w:rPr>
          <w:spacing w:val="1"/>
          <w:lang w:eastAsia="en-GB"/>
        </w:rPr>
        <w:t>pe</w:t>
      </w:r>
      <w:r w:rsidRPr="00CE0885">
        <w:rPr>
          <w:lang w:eastAsia="en-GB"/>
        </w:rPr>
        <w:t>ci</w:t>
      </w:r>
      <w:r w:rsidRPr="00CE0885">
        <w:rPr>
          <w:spacing w:val="3"/>
          <w:lang w:eastAsia="en-GB"/>
        </w:rPr>
        <w:t>f</w:t>
      </w:r>
      <w:r w:rsidRPr="00CE0885">
        <w:rPr>
          <w:lang w:eastAsia="en-GB"/>
        </w:rPr>
        <w:t>ic</w:t>
      </w:r>
      <w:r w:rsidRPr="00CE0885">
        <w:rPr>
          <w:spacing w:val="-8"/>
          <w:lang w:eastAsia="en-GB"/>
        </w:rPr>
        <w:t xml:space="preserve"> </w:t>
      </w:r>
      <w:r w:rsidRPr="00CE0885">
        <w:rPr>
          <w:spacing w:val="-1"/>
          <w:lang w:eastAsia="en-GB"/>
        </w:rPr>
        <w:t>a</w:t>
      </w:r>
      <w:r w:rsidRPr="00CE0885">
        <w:rPr>
          <w:spacing w:val="1"/>
          <w:lang w:eastAsia="en-GB"/>
        </w:rPr>
        <w:t>dd</w:t>
      </w:r>
      <w:r w:rsidRPr="00CE0885">
        <w:rPr>
          <w:lang w:eastAsia="en-GB"/>
        </w:rPr>
        <w:t>i</w:t>
      </w:r>
      <w:r w:rsidRPr="00CE0885">
        <w:rPr>
          <w:spacing w:val="1"/>
          <w:lang w:eastAsia="en-GB"/>
        </w:rPr>
        <w:t>t</w:t>
      </w:r>
      <w:r w:rsidRPr="00CE0885">
        <w:rPr>
          <w:lang w:eastAsia="en-GB"/>
        </w:rPr>
        <w:t>i</w:t>
      </w:r>
      <w:r w:rsidRPr="00CE0885">
        <w:rPr>
          <w:spacing w:val="-1"/>
          <w:lang w:eastAsia="en-GB"/>
        </w:rPr>
        <w:t>o</w:t>
      </w:r>
      <w:r w:rsidRPr="00CE0885">
        <w:rPr>
          <w:spacing w:val="1"/>
          <w:lang w:eastAsia="en-GB"/>
        </w:rPr>
        <w:t>na</w:t>
      </w:r>
      <w:r w:rsidRPr="00CE0885">
        <w:rPr>
          <w:lang w:eastAsia="en-GB"/>
        </w:rPr>
        <w:t>l</w:t>
      </w:r>
      <w:r w:rsidRPr="00CE0885">
        <w:rPr>
          <w:spacing w:val="-10"/>
          <w:lang w:eastAsia="en-GB"/>
        </w:rPr>
        <w:t xml:space="preserve"> </w:t>
      </w:r>
      <w:r w:rsidRPr="00CE0885">
        <w:rPr>
          <w:spacing w:val="-2"/>
          <w:lang w:eastAsia="en-GB"/>
        </w:rPr>
        <w:t>t</w:t>
      </w:r>
      <w:r w:rsidRPr="00CE0885">
        <w:rPr>
          <w:spacing w:val="1"/>
          <w:lang w:eastAsia="en-GB"/>
        </w:rPr>
        <w:t>e</w:t>
      </w:r>
      <w:r w:rsidRPr="00CE0885">
        <w:rPr>
          <w:spacing w:val="-1"/>
          <w:lang w:eastAsia="en-GB"/>
        </w:rPr>
        <w:t>r</w:t>
      </w:r>
      <w:r w:rsidRPr="00CE0885">
        <w:rPr>
          <w:spacing w:val="2"/>
          <w:lang w:eastAsia="en-GB"/>
        </w:rPr>
        <w:t>m</w:t>
      </w:r>
      <w:r w:rsidRPr="00CE0885">
        <w:rPr>
          <w:lang w:eastAsia="en-GB"/>
        </w:rPr>
        <w:t>s</w:t>
      </w:r>
      <w:r w:rsidRPr="00CE0885">
        <w:rPr>
          <w:spacing w:val="-6"/>
          <w:lang w:eastAsia="en-GB"/>
        </w:rPr>
        <w:t xml:space="preserve"> </w:t>
      </w:r>
      <w:r w:rsidRPr="00CE0885">
        <w:rPr>
          <w:lang w:eastAsia="en-GB"/>
        </w:rPr>
        <w:t>in</w:t>
      </w:r>
      <w:r w:rsidRPr="00CE0885">
        <w:rPr>
          <w:spacing w:val="-3"/>
          <w:lang w:eastAsia="en-GB"/>
        </w:rPr>
        <w:t xml:space="preserve"> </w:t>
      </w:r>
      <w:r w:rsidRPr="00CE0885">
        <w:rPr>
          <w:spacing w:val="1"/>
          <w:lang w:eastAsia="en-GB"/>
        </w:rPr>
        <w:t>th</w:t>
      </w:r>
      <w:r w:rsidRPr="00CE0885">
        <w:rPr>
          <w:lang w:eastAsia="en-GB"/>
        </w:rPr>
        <w:t>is</w:t>
      </w:r>
      <w:r w:rsidRPr="00CE0885">
        <w:rPr>
          <w:spacing w:val="-4"/>
          <w:lang w:eastAsia="en-GB"/>
        </w:rPr>
        <w:t xml:space="preserve"> </w:t>
      </w:r>
      <w:r w:rsidRPr="00CE0885">
        <w:rPr>
          <w:spacing w:val="-1"/>
          <w:lang w:eastAsia="en-GB"/>
        </w:rPr>
        <w:t>r</w:t>
      </w:r>
      <w:r w:rsidRPr="00CE0885">
        <w:rPr>
          <w:spacing w:val="1"/>
          <w:lang w:eastAsia="en-GB"/>
        </w:rPr>
        <w:t>e</w:t>
      </w:r>
      <w:r w:rsidRPr="00CE0885">
        <w:rPr>
          <w:lang w:eastAsia="en-GB"/>
        </w:rPr>
        <w:t>s</w:t>
      </w:r>
      <w:r w:rsidRPr="00CE0885">
        <w:rPr>
          <w:spacing w:val="-1"/>
          <w:lang w:eastAsia="en-GB"/>
        </w:rPr>
        <w:t>p</w:t>
      </w:r>
      <w:r w:rsidRPr="00CE0885">
        <w:rPr>
          <w:spacing w:val="1"/>
          <w:lang w:eastAsia="en-GB"/>
        </w:rPr>
        <w:t>e</w:t>
      </w:r>
      <w:r w:rsidRPr="00CE0885">
        <w:rPr>
          <w:lang w:eastAsia="en-GB"/>
        </w:rPr>
        <w:t>c</w:t>
      </w:r>
      <w:r w:rsidRPr="00CE0885">
        <w:rPr>
          <w:spacing w:val="1"/>
          <w:lang w:eastAsia="en-GB"/>
        </w:rPr>
        <w:t>t</w:t>
      </w:r>
      <w:r w:rsidRPr="00CE0885">
        <w:rPr>
          <w:lang w:eastAsia="en-GB"/>
        </w:rPr>
        <w:t>.</w:t>
      </w:r>
      <w:bookmarkEnd w:id="675"/>
    </w:p>
    <w:p w14:paraId="60C5A996" w14:textId="77777777" w:rsidR="00977693" w:rsidRPr="00CE0885" w:rsidRDefault="00977693" w:rsidP="006B781A">
      <w:pPr>
        <w:pStyle w:val="Heading3"/>
        <w:rPr>
          <w:lang w:eastAsia="en-GB"/>
        </w:rPr>
      </w:pPr>
      <w:bookmarkStart w:id="676" w:name="_Toc440981819"/>
      <w:r w:rsidRPr="00CE0885">
        <w:rPr>
          <w:lang w:eastAsia="en-GB"/>
        </w:rPr>
        <w:t>The</w:t>
      </w:r>
      <w:r w:rsidRPr="00CE0885">
        <w:rPr>
          <w:spacing w:val="-1"/>
          <w:lang w:eastAsia="en-GB"/>
        </w:rPr>
        <w:t xml:space="preserve"> </w:t>
      </w:r>
      <w:r w:rsidRPr="00CE0885">
        <w:rPr>
          <w:lang w:eastAsia="en-GB"/>
        </w:rPr>
        <w:t>k</w:t>
      </w:r>
      <w:r w:rsidRPr="00CE0885">
        <w:rPr>
          <w:spacing w:val="1"/>
          <w:lang w:eastAsia="en-GB"/>
        </w:rPr>
        <w:t>e</w:t>
      </w:r>
      <w:r w:rsidRPr="00CE0885">
        <w:rPr>
          <w:lang w:eastAsia="en-GB"/>
        </w:rPr>
        <w:t>y</w:t>
      </w:r>
      <w:r w:rsidRPr="00CE0885">
        <w:rPr>
          <w:spacing w:val="-6"/>
          <w:lang w:eastAsia="en-GB"/>
        </w:rPr>
        <w:t xml:space="preserve"> </w:t>
      </w:r>
      <w:r w:rsidRPr="00CE0885">
        <w:rPr>
          <w:spacing w:val="1"/>
          <w:lang w:eastAsia="en-GB"/>
        </w:rPr>
        <w:t>e</w:t>
      </w:r>
      <w:r w:rsidRPr="00CE0885">
        <w:rPr>
          <w:lang w:eastAsia="en-GB"/>
        </w:rPr>
        <w:t>l</w:t>
      </w:r>
      <w:r w:rsidRPr="00CE0885">
        <w:rPr>
          <w:spacing w:val="-1"/>
          <w:lang w:eastAsia="en-GB"/>
        </w:rPr>
        <w:t>em</w:t>
      </w:r>
      <w:r w:rsidRPr="00CE0885">
        <w:rPr>
          <w:spacing w:val="1"/>
          <w:lang w:eastAsia="en-GB"/>
        </w:rPr>
        <w:t>ent</w:t>
      </w:r>
      <w:r w:rsidRPr="00CE0885">
        <w:rPr>
          <w:lang w:eastAsia="en-GB"/>
        </w:rPr>
        <w:t>s</w:t>
      </w:r>
      <w:r w:rsidRPr="00CE0885">
        <w:rPr>
          <w:spacing w:val="-12"/>
          <w:lang w:eastAsia="en-GB"/>
        </w:rPr>
        <w:t xml:space="preserve"> </w:t>
      </w:r>
      <w:r w:rsidRPr="00CE0885">
        <w:rPr>
          <w:spacing w:val="1"/>
          <w:lang w:eastAsia="en-GB"/>
        </w:rPr>
        <w:t>fo</w:t>
      </w:r>
      <w:r w:rsidRPr="00CE0885">
        <w:rPr>
          <w:lang w:eastAsia="en-GB"/>
        </w:rPr>
        <w:t>r</w:t>
      </w:r>
      <w:r w:rsidRPr="00CE0885">
        <w:rPr>
          <w:spacing w:val="-3"/>
          <w:lang w:eastAsia="en-GB"/>
        </w:rPr>
        <w:t xml:space="preserve"> </w:t>
      </w:r>
      <w:r w:rsidRPr="00CE0885">
        <w:rPr>
          <w:lang w:eastAsia="en-GB"/>
        </w:rPr>
        <w:t>c</w:t>
      </w:r>
      <w:r w:rsidRPr="00CE0885">
        <w:rPr>
          <w:spacing w:val="1"/>
          <w:lang w:eastAsia="en-GB"/>
        </w:rPr>
        <w:t>on</w:t>
      </w:r>
      <w:r w:rsidRPr="00CE0885">
        <w:rPr>
          <w:lang w:eastAsia="en-GB"/>
        </w:rPr>
        <w:t>s</w:t>
      </w:r>
      <w:r w:rsidRPr="00CE0885">
        <w:rPr>
          <w:spacing w:val="-3"/>
          <w:lang w:eastAsia="en-GB"/>
        </w:rPr>
        <w:t>i</w:t>
      </w:r>
      <w:r w:rsidRPr="00CE0885">
        <w:rPr>
          <w:spacing w:val="1"/>
          <w:lang w:eastAsia="en-GB"/>
        </w:rPr>
        <w:t>de</w:t>
      </w:r>
      <w:r w:rsidRPr="00CE0885">
        <w:rPr>
          <w:spacing w:val="-1"/>
          <w:lang w:eastAsia="en-GB"/>
        </w:rPr>
        <w:t>r</w:t>
      </w:r>
      <w:r w:rsidRPr="00CE0885">
        <w:rPr>
          <w:spacing w:val="1"/>
          <w:lang w:eastAsia="en-GB"/>
        </w:rPr>
        <w:t>at</w:t>
      </w:r>
      <w:r w:rsidRPr="00CE0885">
        <w:rPr>
          <w:lang w:eastAsia="en-GB"/>
        </w:rPr>
        <w:t>i</w:t>
      </w:r>
      <w:r w:rsidRPr="00CE0885">
        <w:rPr>
          <w:spacing w:val="-1"/>
          <w:lang w:eastAsia="en-GB"/>
        </w:rPr>
        <w:t>o</w:t>
      </w:r>
      <w:r w:rsidRPr="00CE0885">
        <w:rPr>
          <w:lang w:eastAsia="en-GB"/>
        </w:rPr>
        <w:t>n</w:t>
      </w:r>
      <w:r w:rsidRPr="00CE0885">
        <w:rPr>
          <w:spacing w:val="-12"/>
          <w:lang w:eastAsia="en-GB"/>
        </w:rPr>
        <w:t xml:space="preserve"> </w:t>
      </w:r>
      <w:r w:rsidRPr="00CE0885">
        <w:rPr>
          <w:spacing w:val="-3"/>
          <w:lang w:eastAsia="en-GB"/>
        </w:rPr>
        <w:t>l</w:t>
      </w:r>
      <w:r w:rsidRPr="00CE0885">
        <w:rPr>
          <w:spacing w:val="1"/>
          <w:lang w:eastAsia="en-GB"/>
        </w:rPr>
        <w:t>ead</w:t>
      </w:r>
      <w:r w:rsidRPr="00CE0885">
        <w:rPr>
          <w:lang w:eastAsia="en-GB"/>
        </w:rPr>
        <w:t>i</w:t>
      </w:r>
      <w:r w:rsidRPr="00CE0885">
        <w:rPr>
          <w:spacing w:val="1"/>
          <w:lang w:eastAsia="en-GB"/>
        </w:rPr>
        <w:t>n</w:t>
      </w:r>
      <w:r w:rsidRPr="00CE0885">
        <w:rPr>
          <w:lang w:eastAsia="en-GB"/>
        </w:rPr>
        <w:t>g</w:t>
      </w:r>
      <w:r w:rsidRPr="00CE0885">
        <w:rPr>
          <w:spacing w:val="-9"/>
          <w:lang w:eastAsia="en-GB"/>
        </w:rPr>
        <w:t xml:space="preserve"> </w:t>
      </w:r>
      <w:r w:rsidRPr="00CE0885">
        <w:rPr>
          <w:spacing w:val="-1"/>
          <w:lang w:eastAsia="en-GB"/>
        </w:rPr>
        <w:t>u</w:t>
      </w:r>
      <w:r w:rsidRPr="00CE0885">
        <w:rPr>
          <w:lang w:eastAsia="en-GB"/>
        </w:rPr>
        <w:t>p</w:t>
      </w:r>
      <w:r w:rsidRPr="00CE0885">
        <w:rPr>
          <w:spacing w:val="-1"/>
          <w:lang w:eastAsia="en-GB"/>
        </w:rPr>
        <w:t xml:space="preserve"> </w:t>
      </w:r>
      <w:r w:rsidRPr="00CE0885">
        <w:rPr>
          <w:spacing w:val="1"/>
          <w:lang w:eastAsia="en-GB"/>
        </w:rPr>
        <w:t>t</w:t>
      </w:r>
      <w:r w:rsidRPr="00CE0885">
        <w:rPr>
          <w:lang w:eastAsia="en-GB"/>
        </w:rPr>
        <w:t>o</w:t>
      </w:r>
      <w:r w:rsidRPr="00CE0885">
        <w:rPr>
          <w:spacing w:val="-3"/>
          <w:lang w:eastAsia="en-GB"/>
        </w:rPr>
        <w:t xml:space="preserve"> </w:t>
      </w:r>
      <w:r w:rsidRPr="00CE0885">
        <w:rPr>
          <w:lang w:eastAsia="en-GB"/>
        </w:rPr>
        <w:t xml:space="preserve">a </w:t>
      </w:r>
      <w:r w:rsidRPr="00CE0885">
        <w:rPr>
          <w:spacing w:val="1"/>
          <w:lang w:eastAsia="en-GB"/>
        </w:rPr>
        <w:t>te</w:t>
      </w:r>
      <w:r w:rsidRPr="00CE0885">
        <w:rPr>
          <w:spacing w:val="-1"/>
          <w:lang w:eastAsia="en-GB"/>
        </w:rPr>
        <w:t>r</w:t>
      </w:r>
      <w:r w:rsidRPr="00CE0885">
        <w:rPr>
          <w:spacing w:val="2"/>
          <w:lang w:eastAsia="en-GB"/>
        </w:rPr>
        <w:t>m</w:t>
      </w:r>
      <w:r w:rsidRPr="00CE0885">
        <w:rPr>
          <w:lang w:eastAsia="en-GB"/>
        </w:rPr>
        <w:t>i</w:t>
      </w:r>
      <w:r w:rsidRPr="00CE0885">
        <w:rPr>
          <w:spacing w:val="-1"/>
          <w:lang w:eastAsia="en-GB"/>
        </w:rPr>
        <w:t>n</w:t>
      </w:r>
      <w:r w:rsidRPr="00CE0885">
        <w:rPr>
          <w:spacing w:val="1"/>
          <w:lang w:eastAsia="en-GB"/>
        </w:rPr>
        <w:t>at</w:t>
      </w:r>
      <w:r w:rsidRPr="00CE0885">
        <w:rPr>
          <w:lang w:eastAsia="en-GB"/>
        </w:rPr>
        <w:t>i</w:t>
      </w:r>
      <w:r w:rsidRPr="00CE0885">
        <w:rPr>
          <w:spacing w:val="1"/>
          <w:lang w:eastAsia="en-GB"/>
        </w:rPr>
        <w:t>o</w:t>
      </w:r>
      <w:r w:rsidRPr="00CE0885">
        <w:rPr>
          <w:lang w:eastAsia="en-GB"/>
        </w:rPr>
        <w:t>n</w:t>
      </w:r>
      <w:r w:rsidRPr="00CE0885">
        <w:rPr>
          <w:spacing w:val="-10"/>
          <w:lang w:eastAsia="en-GB"/>
        </w:rPr>
        <w:t xml:space="preserve"> </w:t>
      </w:r>
      <w:r w:rsidRPr="00CE0885">
        <w:rPr>
          <w:spacing w:val="-3"/>
          <w:lang w:eastAsia="en-GB"/>
        </w:rPr>
        <w:t>r</w:t>
      </w:r>
      <w:r w:rsidRPr="00CE0885">
        <w:rPr>
          <w:spacing w:val="1"/>
          <w:lang w:eastAsia="en-GB"/>
        </w:rPr>
        <w:t>e</w:t>
      </w:r>
      <w:r w:rsidRPr="00CE0885">
        <w:rPr>
          <w:spacing w:val="-1"/>
          <w:lang w:eastAsia="en-GB"/>
        </w:rPr>
        <w:t>m</w:t>
      </w:r>
      <w:r w:rsidRPr="00CE0885">
        <w:rPr>
          <w:spacing w:val="1"/>
          <w:lang w:eastAsia="en-GB"/>
        </w:rPr>
        <w:t>a</w:t>
      </w:r>
      <w:r w:rsidRPr="00CE0885">
        <w:rPr>
          <w:lang w:eastAsia="en-GB"/>
        </w:rPr>
        <w:t>in</w:t>
      </w:r>
      <w:r w:rsidRPr="00CE0885">
        <w:rPr>
          <w:spacing w:val="-5"/>
          <w:lang w:eastAsia="en-GB"/>
        </w:rPr>
        <w:t xml:space="preserve"> </w:t>
      </w:r>
      <w:r w:rsidRPr="00CE0885">
        <w:rPr>
          <w:spacing w:val="-2"/>
          <w:lang w:eastAsia="en-GB"/>
        </w:rPr>
        <w:t>t</w:t>
      </w:r>
      <w:r w:rsidRPr="00CE0885">
        <w:rPr>
          <w:spacing w:val="1"/>
          <w:lang w:eastAsia="en-GB"/>
        </w:rPr>
        <w:t>h</w:t>
      </w:r>
      <w:r w:rsidRPr="00CE0885">
        <w:rPr>
          <w:lang w:eastAsia="en-GB"/>
        </w:rPr>
        <w:t>e</w:t>
      </w:r>
      <w:r w:rsidRPr="00CE0885">
        <w:rPr>
          <w:spacing w:val="-4"/>
          <w:lang w:eastAsia="en-GB"/>
        </w:rPr>
        <w:t xml:space="preserve"> </w:t>
      </w:r>
      <w:r w:rsidRPr="00CE0885">
        <w:rPr>
          <w:lang w:eastAsia="en-GB"/>
        </w:rPr>
        <w:t>s</w:t>
      </w:r>
      <w:r w:rsidRPr="00CE0885">
        <w:rPr>
          <w:spacing w:val="1"/>
          <w:lang w:eastAsia="en-GB"/>
        </w:rPr>
        <w:t>a</w:t>
      </w:r>
      <w:r w:rsidRPr="00CE0885">
        <w:rPr>
          <w:spacing w:val="2"/>
          <w:lang w:eastAsia="en-GB"/>
        </w:rPr>
        <w:t>m</w:t>
      </w:r>
      <w:r w:rsidRPr="00CE0885">
        <w:rPr>
          <w:lang w:eastAsia="en-GB"/>
        </w:rPr>
        <w:t>e</w:t>
      </w:r>
      <w:r w:rsidRPr="00CE0885">
        <w:rPr>
          <w:spacing w:val="-7"/>
          <w:lang w:eastAsia="en-GB"/>
        </w:rPr>
        <w:t xml:space="preserve"> </w:t>
      </w:r>
      <w:r w:rsidRPr="00CE0885">
        <w:rPr>
          <w:lang w:eastAsia="en-GB"/>
        </w:rPr>
        <w:t xml:space="preserve">in </w:t>
      </w:r>
      <w:r w:rsidRPr="00CE0885">
        <w:rPr>
          <w:spacing w:val="-1"/>
          <w:lang w:eastAsia="en-GB"/>
        </w:rPr>
        <w:t>r</w:t>
      </w:r>
      <w:r w:rsidRPr="00CE0885">
        <w:rPr>
          <w:spacing w:val="1"/>
          <w:lang w:eastAsia="en-GB"/>
        </w:rPr>
        <w:t>e</w:t>
      </w:r>
      <w:r w:rsidRPr="00CE0885">
        <w:rPr>
          <w:lang w:eastAsia="en-GB"/>
        </w:rPr>
        <w:t>s</w:t>
      </w:r>
      <w:r w:rsidRPr="00CE0885">
        <w:rPr>
          <w:spacing w:val="-1"/>
          <w:lang w:eastAsia="en-GB"/>
        </w:rPr>
        <w:t>p</w:t>
      </w:r>
      <w:r w:rsidRPr="00CE0885">
        <w:rPr>
          <w:spacing w:val="1"/>
          <w:lang w:eastAsia="en-GB"/>
        </w:rPr>
        <w:t>e</w:t>
      </w:r>
      <w:r w:rsidRPr="00CE0885">
        <w:rPr>
          <w:lang w:eastAsia="en-GB"/>
        </w:rPr>
        <w:t>ct</w:t>
      </w:r>
      <w:r w:rsidRPr="00CE0885">
        <w:rPr>
          <w:spacing w:val="-9"/>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1"/>
          <w:lang w:eastAsia="en-GB"/>
        </w:rPr>
        <w:t>p</w:t>
      </w:r>
      <w:r w:rsidRPr="00CE0885">
        <w:rPr>
          <w:spacing w:val="1"/>
          <w:lang w:eastAsia="en-GB"/>
        </w:rPr>
        <w:t>at</w:t>
      </w:r>
      <w:r w:rsidRPr="00CE0885">
        <w:rPr>
          <w:spacing w:val="-3"/>
          <w:lang w:eastAsia="en-GB"/>
        </w:rPr>
        <w:t>i</w:t>
      </w:r>
      <w:r w:rsidRPr="00CE0885">
        <w:rPr>
          <w:spacing w:val="1"/>
          <w:lang w:eastAsia="en-GB"/>
        </w:rPr>
        <w:t>ent</w:t>
      </w:r>
      <w:r w:rsidRPr="00CE0885">
        <w:rPr>
          <w:lang w:eastAsia="en-GB"/>
        </w:rPr>
        <w:t>s,</w:t>
      </w:r>
      <w:r w:rsidRPr="00CE0885">
        <w:rPr>
          <w:spacing w:val="-10"/>
          <w:lang w:eastAsia="en-GB"/>
        </w:rPr>
        <w:t xml:space="preserve"> </w:t>
      </w:r>
      <w:r w:rsidRPr="00CE0885">
        <w:rPr>
          <w:spacing w:val="1"/>
          <w:lang w:eastAsia="en-GB"/>
        </w:rPr>
        <w:t>p</w:t>
      </w:r>
      <w:r w:rsidRPr="00CE0885">
        <w:rPr>
          <w:spacing w:val="-1"/>
          <w:lang w:eastAsia="en-GB"/>
        </w:rPr>
        <w:t>r</w:t>
      </w:r>
      <w:r w:rsidRPr="00CE0885">
        <w:rPr>
          <w:spacing w:val="1"/>
          <w:lang w:eastAsia="en-GB"/>
        </w:rPr>
        <w:t>o</w:t>
      </w:r>
      <w:r w:rsidRPr="00CE0885">
        <w:rPr>
          <w:spacing w:val="-1"/>
          <w:lang w:eastAsia="en-GB"/>
        </w:rPr>
        <w:t>p</w:t>
      </w:r>
      <w:r w:rsidRPr="00CE0885">
        <w:rPr>
          <w:spacing w:val="1"/>
          <w:lang w:eastAsia="en-GB"/>
        </w:rPr>
        <w:t>e</w:t>
      </w:r>
      <w:r w:rsidRPr="00CE0885">
        <w:rPr>
          <w:spacing w:val="-1"/>
          <w:lang w:eastAsia="en-GB"/>
        </w:rPr>
        <w:t>r</w:t>
      </w:r>
      <w:r w:rsidRPr="00CE0885">
        <w:rPr>
          <w:spacing w:val="1"/>
          <w:lang w:eastAsia="en-GB"/>
        </w:rPr>
        <w:t>t</w:t>
      </w:r>
      <w:r w:rsidRPr="00CE0885">
        <w:rPr>
          <w:lang w:eastAsia="en-GB"/>
        </w:rPr>
        <w:t>y</w:t>
      </w:r>
      <w:r w:rsidRPr="00CE0885">
        <w:rPr>
          <w:spacing w:val="-11"/>
          <w:lang w:eastAsia="en-GB"/>
        </w:rPr>
        <w:t xml:space="preserve"> </w:t>
      </w:r>
      <w:r w:rsidRPr="00CE0885">
        <w:rPr>
          <w:spacing w:val="1"/>
          <w:lang w:eastAsia="en-GB"/>
        </w:rPr>
        <w:t>an</w:t>
      </w:r>
      <w:r w:rsidRPr="00CE0885">
        <w:rPr>
          <w:lang w:eastAsia="en-GB"/>
        </w:rPr>
        <w:t xml:space="preserve">d </w:t>
      </w:r>
      <w:r w:rsidRPr="00CE0885">
        <w:rPr>
          <w:spacing w:val="1"/>
          <w:lang w:eastAsia="en-GB"/>
        </w:rPr>
        <w:t>t</w:t>
      </w:r>
      <w:r w:rsidRPr="00CE0885">
        <w:rPr>
          <w:spacing w:val="-1"/>
          <w:lang w:eastAsia="en-GB"/>
        </w:rPr>
        <w:t>r</w:t>
      </w:r>
      <w:r w:rsidRPr="00CE0885">
        <w:rPr>
          <w:spacing w:val="1"/>
          <w:lang w:eastAsia="en-GB"/>
        </w:rPr>
        <w:t>an</w:t>
      </w:r>
      <w:r w:rsidRPr="00CE0885">
        <w:rPr>
          <w:spacing w:val="-2"/>
          <w:lang w:eastAsia="en-GB"/>
        </w:rPr>
        <w:t>s</w:t>
      </w:r>
      <w:r w:rsidRPr="00CE0885">
        <w:rPr>
          <w:spacing w:val="3"/>
          <w:lang w:eastAsia="en-GB"/>
        </w:rPr>
        <w:t>f</w:t>
      </w:r>
      <w:r w:rsidRPr="00CE0885">
        <w:rPr>
          <w:spacing w:val="1"/>
          <w:lang w:eastAsia="en-GB"/>
        </w:rPr>
        <w:t>e</w:t>
      </w:r>
      <w:r w:rsidRPr="00CE0885">
        <w:rPr>
          <w:lang w:eastAsia="en-GB"/>
        </w:rPr>
        <w:t>r</w:t>
      </w:r>
      <w:r w:rsidRPr="00CE0885">
        <w:rPr>
          <w:spacing w:val="-11"/>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1"/>
          <w:lang w:eastAsia="en-GB"/>
        </w:rPr>
        <w:t>r</w:t>
      </w:r>
      <w:r w:rsidRPr="00CE0885">
        <w:rPr>
          <w:spacing w:val="1"/>
          <w:lang w:eastAsia="en-GB"/>
        </w:rPr>
        <w:t>e</w:t>
      </w:r>
      <w:r w:rsidRPr="00CE0885">
        <w:rPr>
          <w:lang w:eastAsia="en-GB"/>
        </w:rPr>
        <w:t>c</w:t>
      </w:r>
      <w:r w:rsidRPr="00CE0885">
        <w:rPr>
          <w:spacing w:val="1"/>
          <w:lang w:eastAsia="en-GB"/>
        </w:rPr>
        <w:t>o</w:t>
      </w:r>
      <w:r w:rsidRPr="00CE0885">
        <w:rPr>
          <w:spacing w:val="-3"/>
          <w:lang w:eastAsia="en-GB"/>
        </w:rPr>
        <w:t>r</w:t>
      </w:r>
      <w:r w:rsidRPr="00CE0885">
        <w:rPr>
          <w:spacing w:val="1"/>
          <w:lang w:eastAsia="en-GB"/>
        </w:rPr>
        <w:t>d</w:t>
      </w:r>
      <w:r w:rsidRPr="00CE0885">
        <w:rPr>
          <w:lang w:eastAsia="en-GB"/>
        </w:rPr>
        <w:t>s</w:t>
      </w:r>
      <w:r w:rsidRPr="00CE0885">
        <w:rPr>
          <w:spacing w:val="-8"/>
          <w:lang w:eastAsia="en-GB"/>
        </w:rPr>
        <w:t xml:space="preserve"> </w:t>
      </w:r>
      <w:r w:rsidRPr="00CE0885">
        <w:rPr>
          <w:spacing w:val="1"/>
          <w:lang w:eastAsia="en-GB"/>
        </w:rPr>
        <w:t>a</w:t>
      </w:r>
      <w:r w:rsidRPr="00CE0885">
        <w:rPr>
          <w:spacing w:val="-1"/>
          <w:lang w:eastAsia="en-GB"/>
        </w:rPr>
        <w:t>n</w:t>
      </w:r>
      <w:r w:rsidRPr="00CE0885">
        <w:rPr>
          <w:lang w:eastAsia="en-GB"/>
        </w:rPr>
        <w:t>d</w:t>
      </w:r>
      <w:r w:rsidRPr="00CE0885">
        <w:rPr>
          <w:spacing w:val="-5"/>
          <w:lang w:eastAsia="en-GB"/>
        </w:rPr>
        <w:t xml:space="preserve"> </w:t>
      </w:r>
      <w:r w:rsidRPr="00CE0885">
        <w:rPr>
          <w:lang w:eastAsia="en-GB"/>
        </w:rPr>
        <w:t>c</w:t>
      </w:r>
      <w:r w:rsidRPr="00CE0885">
        <w:rPr>
          <w:spacing w:val="1"/>
          <w:lang w:eastAsia="en-GB"/>
        </w:rPr>
        <w:t>o</w:t>
      </w:r>
      <w:r w:rsidRPr="00CE0885">
        <w:rPr>
          <w:spacing w:val="-1"/>
          <w:lang w:eastAsia="en-GB"/>
        </w:rPr>
        <w:t>n</w:t>
      </w:r>
      <w:r w:rsidRPr="00CE0885">
        <w:rPr>
          <w:spacing w:val="3"/>
          <w:lang w:eastAsia="en-GB"/>
        </w:rPr>
        <w:t>f</w:t>
      </w:r>
      <w:r w:rsidRPr="00CE0885">
        <w:rPr>
          <w:lang w:eastAsia="en-GB"/>
        </w:rPr>
        <w:t>i</w:t>
      </w:r>
      <w:r w:rsidRPr="00CE0885">
        <w:rPr>
          <w:spacing w:val="-1"/>
          <w:lang w:eastAsia="en-GB"/>
        </w:rPr>
        <w:t>d</w:t>
      </w:r>
      <w:r w:rsidRPr="00CE0885">
        <w:rPr>
          <w:spacing w:val="1"/>
          <w:lang w:eastAsia="en-GB"/>
        </w:rPr>
        <w:t>ent</w:t>
      </w:r>
      <w:r w:rsidRPr="00CE0885">
        <w:rPr>
          <w:lang w:eastAsia="en-GB"/>
        </w:rPr>
        <w:t>i</w:t>
      </w:r>
      <w:r w:rsidRPr="00CE0885">
        <w:rPr>
          <w:spacing w:val="1"/>
          <w:lang w:eastAsia="en-GB"/>
        </w:rPr>
        <w:t>a</w:t>
      </w:r>
      <w:r w:rsidRPr="00CE0885">
        <w:rPr>
          <w:lang w:eastAsia="en-GB"/>
        </w:rPr>
        <w:t>l</w:t>
      </w:r>
      <w:r w:rsidRPr="00CE0885">
        <w:rPr>
          <w:spacing w:val="-12"/>
          <w:lang w:eastAsia="en-GB"/>
        </w:rPr>
        <w:t xml:space="preserve"> </w:t>
      </w:r>
      <w:r w:rsidRPr="00CE0885">
        <w:rPr>
          <w:spacing w:val="-3"/>
          <w:lang w:eastAsia="en-GB"/>
        </w:rPr>
        <w:t>i</w:t>
      </w:r>
      <w:r w:rsidRPr="00CE0885">
        <w:rPr>
          <w:spacing w:val="-1"/>
          <w:lang w:eastAsia="en-GB"/>
        </w:rPr>
        <w:t>n</w:t>
      </w:r>
      <w:r w:rsidRPr="00CE0885">
        <w:rPr>
          <w:spacing w:val="3"/>
          <w:lang w:eastAsia="en-GB"/>
        </w:rPr>
        <w:t>f</w:t>
      </w:r>
      <w:r w:rsidRPr="00CE0885">
        <w:rPr>
          <w:spacing w:val="1"/>
          <w:lang w:eastAsia="en-GB"/>
        </w:rPr>
        <w:t>o</w:t>
      </w:r>
      <w:r w:rsidRPr="00CE0885">
        <w:rPr>
          <w:spacing w:val="-3"/>
          <w:lang w:eastAsia="en-GB"/>
        </w:rPr>
        <w:t>r</w:t>
      </w:r>
      <w:r w:rsidRPr="00CE0885">
        <w:rPr>
          <w:spacing w:val="2"/>
          <w:lang w:eastAsia="en-GB"/>
        </w:rPr>
        <w:t>m</w:t>
      </w:r>
      <w:r w:rsidRPr="00CE0885">
        <w:rPr>
          <w:spacing w:val="1"/>
          <w:lang w:eastAsia="en-GB"/>
        </w:rPr>
        <w:t>at</w:t>
      </w:r>
      <w:r w:rsidRPr="00CE0885">
        <w:rPr>
          <w:lang w:eastAsia="en-GB"/>
        </w:rPr>
        <w:t>i</w:t>
      </w:r>
      <w:r w:rsidRPr="00CE0885">
        <w:rPr>
          <w:spacing w:val="-1"/>
          <w:lang w:eastAsia="en-GB"/>
        </w:rPr>
        <w:t>o</w:t>
      </w:r>
      <w:r w:rsidRPr="00CE0885">
        <w:rPr>
          <w:lang w:eastAsia="en-GB"/>
        </w:rPr>
        <w:t>n.</w:t>
      </w:r>
      <w:bookmarkEnd w:id="676"/>
    </w:p>
    <w:p w14:paraId="1A07D522" w14:textId="36B5F9C8" w:rsidR="00977693" w:rsidRPr="00CE0885" w:rsidRDefault="00977693" w:rsidP="006B781A">
      <w:pPr>
        <w:pStyle w:val="Heading3"/>
        <w:rPr>
          <w:spacing w:val="2"/>
          <w:lang w:eastAsia="en-GB"/>
        </w:rPr>
      </w:pPr>
      <w:bookmarkStart w:id="677" w:name="_Ref410399444"/>
      <w:bookmarkStart w:id="678" w:name="_Toc440981820"/>
      <w:r w:rsidRPr="00CE0885">
        <w:rPr>
          <w:spacing w:val="2"/>
          <w:lang w:eastAsia="en-GB"/>
        </w:rPr>
        <w:t xml:space="preserve">For a list of considerations relating to termination, please refer to </w:t>
      </w:r>
      <w:r w:rsidR="00965C81">
        <w:rPr>
          <w:spacing w:val="2"/>
          <w:lang w:eastAsia="en-GB"/>
        </w:rPr>
        <w:t>the chapter on</w:t>
      </w:r>
      <w:r w:rsidRPr="00CE0885">
        <w:rPr>
          <w:spacing w:val="2"/>
          <w:lang w:eastAsia="en-GB"/>
        </w:rPr>
        <w:t xml:space="preserve"> contract breaches</w:t>
      </w:r>
      <w:r w:rsidR="00A114DF">
        <w:rPr>
          <w:spacing w:val="2"/>
          <w:lang w:eastAsia="en-GB"/>
        </w:rPr>
        <w:t>, sanctions</w:t>
      </w:r>
      <w:r w:rsidRPr="00CE0885">
        <w:rPr>
          <w:spacing w:val="2"/>
          <w:lang w:eastAsia="en-GB"/>
        </w:rPr>
        <w:t xml:space="preserve"> and termination</w:t>
      </w:r>
      <w:r w:rsidR="00A114DF">
        <w:rPr>
          <w:spacing w:val="2"/>
          <w:lang w:eastAsia="en-GB"/>
        </w:rPr>
        <w:t>s</w:t>
      </w:r>
      <w:r w:rsidRPr="00CE0885">
        <w:rPr>
          <w:spacing w:val="2"/>
          <w:lang w:eastAsia="en-GB"/>
        </w:rPr>
        <w:t>.</w:t>
      </w:r>
      <w:bookmarkEnd w:id="677"/>
      <w:bookmarkEnd w:id="678"/>
    </w:p>
    <w:p w14:paraId="39883392" w14:textId="77777777" w:rsidR="00977693" w:rsidRPr="009055A7" w:rsidRDefault="00977693" w:rsidP="00977693">
      <w:pPr>
        <w:widowControl w:val="0"/>
        <w:spacing w:line="360" w:lineRule="auto"/>
        <w:ind w:left="1414"/>
        <w:jc w:val="both"/>
        <w:rPr>
          <w:rFonts w:cs="Arial"/>
          <w:bCs w:val="0"/>
          <w:sz w:val="20"/>
          <w:szCs w:val="20"/>
          <w:lang w:eastAsia="en-GB"/>
        </w:rPr>
      </w:pPr>
    </w:p>
    <w:p w14:paraId="392F470D" w14:textId="77777777" w:rsidR="00977693" w:rsidRPr="00CE0885" w:rsidRDefault="00977693" w:rsidP="00202DD3">
      <w:pPr>
        <w:pStyle w:val="Heading2"/>
        <w:rPr>
          <w:lang w:eastAsia="en-GB"/>
        </w:rPr>
      </w:pPr>
      <w:bookmarkStart w:id="679" w:name="_Toc440981821"/>
      <w:bookmarkStart w:id="680" w:name="_Toc498495392"/>
      <w:r w:rsidRPr="00CE0885">
        <w:rPr>
          <w:lang w:eastAsia="en-GB"/>
        </w:rPr>
        <w:t>Retirement of a Contractor – Two or More Partners/Individuals</w:t>
      </w:r>
      <w:bookmarkEnd w:id="679"/>
      <w:bookmarkEnd w:id="680"/>
    </w:p>
    <w:p w14:paraId="65C57D7C" w14:textId="77777777" w:rsidR="00977693" w:rsidRPr="00CE0885" w:rsidRDefault="00977693" w:rsidP="006B781A">
      <w:pPr>
        <w:pStyle w:val="Heading3"/>
        <w:rPr>
          <w:lang w:eastAsia="en-GB"/>
        </w:rPr>
      </w:pPr>
      <w:bookmarkStart w:id="681" w:name="_Toc440981822"/>
      <w:r w:rsidRPr="00CE0885">
        <w:rPr>
          <w:spacing w:val="6"/>
          <w:lang w:eastAsia="en-GB"/>
        </w:rPr>
        <w:t>W</w:t>
      </w:r>
      <w:r w:rsidRPr="00CE0885">
        <w:rPr>
          <w:spacing w:val="-1"/>
          <w:lang w:eastAsia="en-GB"/>
        </w:rPr>
        <w:t>her</w:t>
      </w:r>
      <w:r w:rsidRPr="00CE0885">
        <w:rPr>
          <w:lang w:eastAsia="en-GB"/>
        </w:rPr>
        <w:t>e</w:t>
      </w:r>
      <w:r w:rsidRPr="00CE0885">
        <w:rPr>
          <w:spacing w:val="-8"/>
          <w:lang w:eastAsia="en-GB"/>
        </w:rPr>
        <w:t xml:space="preserve"> </w:t>
      </w:r>
      <w:r w:rsidRPr="00CE0885">
        <w:rPr>
          <w:lang w:eastAsia="en-GB"/>
        </w:rPr>
        <w:t xml:space="preserve">a </w:t>
      </w:r>
      <w:r w:rsidRPr="00CE0885">
        <w:rPr>
          <w:spacing w:val="1"/>
          <w:lang w:eastAsia="en-GB"/>
        </w:rPr>
        <w:t>pa</w:t>
      </w:r>
      <w:r w:rsidRPr="00CE0885">
        <w:rPr>
          <w:spacing w:val="-1"/>
          <w:lang w:eastAsia="en-GB"/>
        </w:rPr>
        <w:t>r</w:t>
      </w:r>
      <w:r w:rsidRPr="00CE0885">
        <w:rPr>
          <w:spacing w:val="1"/>
          <w:lang w:eastAsia="en-GB"/>
        </w:rPr>
        <w:t>t</w:t>
      </w:r>
      <w:r w:rsidRPr="00CE0885">
        <w:rPr>
          <w:spacing w:val="-1"/>
          <w:lang w:eastAsia="en-GB"/>
        </w:rPr>
        <w:t>n</w:t>
      </w:r>
      <w:r w:rsidRPr="00CE0885">
        <w:rPr>
          <w:spacing w:val="1"/>
          <w:lang w:eastAsia="en-GB"/>
        </w:rPr>
        <w:t>e</w:t>
      </w:r>
      <w:r w:rsidRPr="00CE0885">
        <w:rPr>
          <w:lang w:eastAsia="en-GB"/>
        </w:rPr>
        <w:t>r</w:t>
      </w:r>
      <w:r w:rsidRPr="00CE0885">
        <w:rPr>
          <w:spacing w:val="-8"/>
          <w:lang w:eastAsia="en-GB"/>
        </w:rPr>
        <w:t xml:space="preserve"> </w:t>
      </w:r>
      <w:r w:rsidRPr="00CE0885">
        <w:rPr>
          <w:spacing w:val="-3"/>
          <w:lang w:eastAsia="en-GB"/>
        </w:rPr>
        <w:t>w</w:t>
      </w:r>
      <w:r w:rsidRPr="00CE0885">
        <w:rPr>
          <w:lang w:eastAsia="en-GB"/>
        </w:rPr>
        <w:t>is</w:t>
      </w:r>
      <w:r w:rsidRPr="00CE0885">
        <w:rPr>
          <w:spacing w:val="1"/>
          <w:lang w:eastAsia="en-GB"/>
        </w:rPr>
        <w:t>he</w:t>
      </w:r>
      <w:r w:rsidRPr="00CE0885">
        <w:rPr>
          <w:lang w:eastAsia="en-GB"/>
        </w:rPr>
        <w:t>s</w:t>
      </w:r>
      <w:r w:rsidRPr="00CE0885">
        <w:rPr>
          <w:spacing w:val="-7"/>
          <w:lang w:eastAsia="en-GB"/>
        </w:rPr>
        <w:t xml:space="preserve"> </w:t>
      </w:r>
      <w:r w:rsidRPr="00CE0885">
        <w:rPr>
          <w:spacing w:val="1"/>
          <w:lang w:eastAsia="en-GB"/>
        </w:rPr>
        <w:t>t</w:t>
      </w:r>
      <w:r w:rsidRPr="00CE0885">
        <w:rPr>
          <w:lang w:eastAsia="en-GB"/>
        </w:rPr>
        <w:t xml:space="preserve">o </w:t>
      </w:r>
      <w:r w:rsidRPr="00CE0885">
        <w:rPr>
          <w:spacing w:val="-1"/>
          <w:lang w:eastAsia="en-GB"/>
        </w:rPr>
        <w:t>r</w:t>
      </w:r>
      <w:r w:rsidRPr="00CE0885">
        <w:rPr>
          <w:spacing w:val="1"/>
          <w:lang w:eastAsia="en-GB"/>
        </w:rPr>
        <w:t>et</w:t>
      </w:r>
      <w:r w:rsidRPr="00CE0885">
        <w:rPr>
          <w:lang w:eastAsia="en-GB"/>
        </w:rPr>
        <w:t>i</w:t>
      </w:r>
      <w:r w:rsidRPr="00CE0885">
        <w:rPr>
          <w:spacing w:val="-1"/>
          <w:lang w:eastAsia="en-GB"/>
        </w:rPr>
        <w:t>r</w:t>
      </w:r>
      <w:r w:rsidRPr="00CE0885">
        <w:rPr>
          <w:lang w:eastAsia="en-GB"/>
        </w:rPr>
        <w:t>e</w:t>
      </w:r>
      <w:r w:rsidRPr="00CE0885">
        <w:rPr>
          <w:spacing w:val="-6"/>
          <w:lang w:eastAsia="en-GB"/>
        </w:rPr>
        <w:t xml:space="preserve"> </w:t>
      </w:r>
      <w:r w:rsidRPr="00CE0885">
        <w:rPr>
          <w:spacing w:val="3"/>
          <w:lang w:eastAsia="en-GB"/>
        </w:rPr>
        <w:t>f</w:t>
      </w:r>
      <w:r w:rsidRPr="00CE0885">
        <w:rPr>
          <w:spacing w:val="-3"/>
          <w:lang w:eastAsia="en-GB"/>
        </w:rPr>
        <w:t>r</w:t>
      </w:r>
      <w:r w:rsidRPr="00CE0885">
        <w:rPr>
          <w:spacing w:val="1"/>
          <w:lang w:eastAsia="en-GB"/>
        </w:rPr>
        <w:t>o</w:t>
      </w:r>
      <w:r w:rsidRPr="00CE0885">
        <w:rPr>
          <w:lang w:eastAsia="en-GB"/>
        </w:rPr>
        <w:t>m</w:t>
      </w:r>
      <w:r w:rsidRPr="00CE0885">
        <w:rPr>
          <w:spacing w:val="-5"/>
          <w:lang w:eastAsia="en-GB"/>
        </w:rPr>
        <w:t xml:space="preserve"> </w:t>
      </w:r>
      <w:r w:rsidRPr="00CE0885">
        <w:rPr>
          <w:lang w:eastAsia="en-GB"/>
        </w:rPr>
        <w:t>a</w:t>
      </w:r>
      <w:r w:rsidRPr="00CE0885">
        <w:rPr>
          <w:spacing w:val="1"/>
          <w:lang w:eastAsia="en-GB"/>
        </w:rPr>
        <w:t xml:space="preserve"> G</w:t>
      </w:r>
      <w:r w:rsidRPr="00CE0885">
        <w:rPr>
          <w:spacing w:val="-1"/>
          <w:lang w:eastAsia="en-GB"/>
        </w:rPr>
        <w:t>M</w:t>
      </w:r>
      <w:r w:rsidRPr="00CE0885">
        <w:rPr>
          <w:lang w:eastAsia="en-GB"/>
        </w:rPr>
        <w:t>S</w:t>
      </w:r>
      <w:r w:rsidRPr="00CE0885">
        <w:rPr>
          <w:spacing w:val="-9"/>
          <w:lang w:eastAsia="en-GB"/>
        </w:rPr>
        <w:t xml:space="preserve"> </w:t>
      </w:r>
      <w:r w:rsidRPr="00CE0885">
        <w:rPr>
          <w:spacing w:val="1"/>
          <w:lang w:eastAsia="en-GB"/>
        </w:rPr>
        <w:t>pa</w:t>
      </w:r>
      <w:r w:rsidRPr="00CE0885">
        <w:rPr>
          <w:spacing w:val="-1"/>
          <w:lang w:eastAsia="en-GB"/>
        </w:rPr>
        <w:t>r</w:t>
      </w:r>
      <w:r w:rsidRPr="00CE0885">
        <w:rPr>
          <w:spacing w:val="1"/>
          <w:lang w:eastAsia="en-GB"/>
        </w:rPr>
        <w:t>tne</w:t>
      </w:r>
      <w:r w:rsidRPr="00CE0885">
        <w:rPr>
          <w:spacing w:val="-1"/>
          <w:lang w:eastAsia="en-GB"/>
        </w:rPr>
        <w:t>r</w:t>
      </w:r>
      <w:r w:rsidRPr="00CE0885">
        <w:rPr>
          <w:lang w:eastAsia="en-GB"/>
        </w:rPr>
        <w:t>s</w:t>
      </w:r>
      <w:r w:rsidRPr="00CE0885">
        <w:rPr>
          <w:spacing w:val="1"/>
          <w:lang w:eastAsia="en-GB"/>
        </w:rPr>
        <w:t>h</w:t>
      </w:r>
      <w:r w:rsidRPr="00CE0885">
        <w:rPr>
          <w:lang w:eastAsia="en-GB"/>
        </w:rPr>
        <w:t>i</w:t>
      </w:r>
      <w:r w:rsidRPr="00CE0885">
        <w:rPr>
          <w:spacing w:val="1"/>
          <w:lang w:eastAsia="en-GB"/>
        </w:rPr>
        <w:t>p</w:t>
      </w:r>
      <w:r w:rsidRPr="00CE0885">
        <w:rPr>
          <w:lang w:eastAsia="en-GB"/>
        </w:rPr>
        <w:t>,</w:t>
      </w:r>
      <w:r w:rsidRPr="00CE0885">
        <w:rPr>
          <w:spacing w:val="-12"/>
          <w:lang w:eastAsia="en-GB"/>
        </w:rPr>
        <w:t xml:space="preserve"> </w:t>
      </w:r>
      <w:r w:rsidRPr="00CE0885">
        <w:rPr>
          <w:spacing w:val="1"/>
          <w:w w:val="99"/>
          <w:lang w:eastAsia="en-GB"/>
        </w:rPr>
        <w:t>a</w:t>
      </w:r>
      <w:r w:rsidRPr="00CE0885">
        <w:rPr>
          <w:w w:val="99"/>
          <w:lang w:eastAsia="en-GB"/>
        </w:rPr>
        <w:t>s c</w:t>
      </w:r>
      <w:r w:rsidRPr="00CE0885">
        <w:rPr>
          <w:spacing w:val="1"/>
          <w:w w:val="99"/>
          <w:lang w:eastAsia="en-GB"/>
        </w:rPr>
        <w:t>on</w:t>
      </w:r>
      <w:r w:rsidRPr="00CE0885">
        <w:rPr>
          <w:w w:val="99"/>
          <w:lang w:eastAsia="en-GB"/>
        </w:rPr>
        <w:t>s</w:t>
      </w:r>
      <w:r w:rsidRPr="00CE0885">
        <w:rPr>
          <w:spacing w:val="1"/>
          <w:w w:val="99"/>
          <w:lang w:eastAsia="en-GB"/>
        </w:rPr>
        <w:t>t</w:t>
      </w:r>
      <w:r w:rsidRPr="00CE0885">
        <w:rPr>
          <w:w w:val="99"/>
          <w:lang w:eastAsia="en-GB"/>
        </w:rPr>
        <w:t>i</w:t>
      </w:r>
      <w:r w:rsidRPr="00CE0885">
        <w:rPr>
          <w:spacing w:val="1"/>
          <w:w w:val="99"/>
          <w:lang w:eastAsia="en-GB"/>
        </w:rPr>
        <w:t>t</w:t>
      </w:r>
      <w:r w:rsidRPr="00CE0885">
        <w:rPr>
          <w:spacing w:val="-1"/>
          <w:w w:val="99"/>
          <w:lang w:eastAsia="en-GB"/>
        </w:rPr>
        <w:t>u</w:t>
      </w:r>
      <w:r w:rsidRPr="00CE0885">
        <w:rPr>
          <w:spacing w:val="1"/>
          <w:w w:val="99"/>
          <w:lang w:eastAsia="en-GB"/>
        </w:rPr>
        <w:t>te</w:t>
      </w:r>
      <w:r w:rsidRPr="00CE0885">
        <w:rPr>
          <w:w w:val="99"/>
          <w:lang w:eastAsia="en-GB"/>
        </w:rPr>
        <w:t>d</w:t>
      </w:r>
      <w:r w:rsidRPr="00CE0885">
        <w:rPr>
          <w:spacing w:val="-3"/>
          <w:lang w:eastAsia="en-GB"/>
        </w:rPr>
        <w:t xml:space="preserve"> </w:t>
      </w:r>
      <w:r w:rsidRPr="00CE0885">
        <w:rPr>
          <w:spacing w:val="3"/>
          <w:lang w:eastAsia="en-GB"/>
        </w:rPr>
        <w:t>f</w:t>
      </w:r>
      <w:r w:rsidRPr="00CE0885">
        <w:rPr>
          <w:spacing w:val="-1"/>
          <w:lang w:eastAsia="en-GB"/>
        </w:rPr>
        <w:t>ro</w:t>
      </w:r>
      <w:r w:rsidRPr="00CE0885">
        <w:rPr>
          <w:lang w:eastAsia="en-GB"/>
        </w:rPr>
        <w:t>m</w:t>
      </w:r>
      <w:r w:rsidRPr="00CE0885">
        <w:rPr>
          <w:spacing w:val="-3"/>
          <w:lang w:eastAsia="en-GB"/>
        </w:rPr>
        <w:t xml:space="preserve"> </w:t>
      </w:r>
      <w:r w:rsidRPr="00CE0885">
        <w:rPr>
          <w:spacing w:val="1"/>
          <w:lang w:eastAsia="en-GB"/>
        </w:rPr>
        <w:t>t</w:t>
      </w:r>
      <w:r w:rsidRPr="00CE0885">
        <w:rPr>
          <w:lang w:eastAsia="en-GB"/>
        </w:rPr>
        <w:t>i</w:t>
      </w:r>
      <w:r w:rsidRPr="00CE0885">
        <w:rPr>
          <w:spacing w:val="-1"/>
          <w:lang w:eastAsia="en-GB"/>
        </w:rPr>
        <w:t>m</w:t>
      </w:r>
      <w:r w:rsidRPr="00CE0885">
        <w:rPr>
          <w:lang w:eastAsia="en-GB"/>
        </w:rPr>
        <w:t>e</w:t>
      </w:r>
      <w:r w:rsidRPr="00CE0885">
        <w:rPr>
          <w:spacing w:val="-3"/>
          <w:lang w:eastAsia="en-GB"/>
        </w:rPr>
        <w:t xml:space="preserve"> </w:t>
      </w:r>
      <w:r w:rsidRPr="00CE0885">
        <w:rPr>
          <w:lang w:eastAsia="en-GB"/>
        </w:rPr>
        <w:t xml:space="preserve">to </w:t>
      </w:r>
      <w:r w:rsidRPr="00CE0885">
        <w:rPr>
          <w:spacing w:val="1"/>
          <w:lang w:eastAsia="en-GB"/>
        </w:rPr>
        <w:t>t</w:t>
      </w:r>
      <w:r w:rsidRPr="00CE0885">
        <w:rPr>
          <w:lang w:eastAsia="en-GB"/>
        </w:rPr>
        <w:t>i</w:t>
      </w:r>
      <w:r w:rsidRPr="00CE0885">
        <w:rPr>
          <w:spacing w:val="-1"/>
          <w:lang w:eastAsia="en-GB"/>
        </w:rPr>
        <w:t>m</w:t>
      </w:r>
      <w:r w:rsidRPr="00CE0885">
        <w:rPr>
          <w:spacing w:val="1"/>
          <w:lang w:eastAsia="en-GB"/>
        </w:rPr>
        <w:t>e</w:t>
      </w:r>
      <w:r w:rsidRPr="00CE0885">
        <w:rPr>
          <w:lang w:eastAsia="en-GB"/>
        </w:rPr>
        <w:t>,</w:t>
      </w:r>
      <w:r w:rsidRPr="00CE0885">
        <w:rPr>
          <w:spacing w:val="-4"/>
          <w:lang w:eastAsia="en-GB"/>
        </w:rPr>
        <w:t xml:space="preserve"> </w:t>
      </w:r>
      <w:r w:rsidRPr="00CE0885">
        <w:rPr>
          <w:lang w:eastAsia="en-GB"/>
        </w:rPr>
        <w:t xml:space="preserve">the contractor will need to notify the Commissioner that it wishes to vary the contract. The Commissioner should follow the process in paragraphs </w:t>
      </w:r>
      <w:r w:rsidRPr="00CE0885">
        <w:rPr>
          <w:lang w:eastAsia="en-GB"/>
        </w:rPr>
        <w:fldChar w:fldCharType="begin"/>
      </w:r>
      <w:r w:rsidRPr="00CE0885">
        <w:rPr>
          <w:lang w:eastAsia="en-GB"/>
        </w:rPr>
        <w:instrText xml:space="preserve"> REF _Ref410397872 \r \h  \* MERGEFORMAT </w:instrText>
      </w:r>
      <w:r w:rsidRPr="00CE0885">
        <w:rPr>
          <w:lang w:eastAsia="en-GB"/>
        </w:rPr>
      </w:r>
      <w:r w:rsidRPr="00CE0885">
        <w:rPr>
          <w:lang w:eastAsia="en-GB"/>
        </w:rPr>
        <w:fldChar w:fldCharType="separate"/>
      </w:r>
      <w:r w:rsidR="00622FF2">
        <w:rPr>
          <w:lang w:eastAsia="en-GB"/>
        </w:rPr>
        <w:t>7.5.21</w:t>
      </w:r>
      <w:r w:rsidRPr="00CE0885">
        <w:rPr>
          <w:lang w:eastAsia="en-GB"/>
        </w:rPr>
        <w:fldChar w:fldCharType="end"/>
      </w:r>
      <w:r w:rsidRPr="00CE0885">
        <w:rPr>
          <w:lang w:eastAsia="en-GB"/>
        </w:rPr>
        <w:t xml:space="preserve"> to </w:t>
      </w:r>
      <w:r w:rsidRPr="00CE0885">
        <w:rPr>
          <w:lang w:eastAsia="en-GB"/>
        </w:rPr>
        <w:fldChar w:fldCharType="begin"/>
      </w:r>
      <w:r w:rsidRPr="00CE0885">
        <w:rPr>
          <w:lang w:eastAsia="en-GB"/>
        </w:rPr>
        <w:instrText xml:space="preserve"> REF _Ref410397883 \r \h  \* MERGEFORMAT </w:instrText>
      </w:r>
      <w:r w:rsidRPr="00CE0885">
        <w:rPr>
          <w:lang w:eastAsia="en-GB"/>
        </w:rPr>
      </w:r>
      <w:r w:rsidRPr="00CE0885">
        <w:rPr>
          <w:lang w:eastAsia="en-GB"/>
        </w:rPr>
        <w:fldChar w:fldCharType="separate"/>
      </w:r>
      <w:r w:rsidR="00622FF2">
        <w:rPr>
          <w:lang w:eastAsia="en-GB"/>
        </w:rPr>
        <w:t>7.5.30</w:t>
      </w:r>
      <w:r w:rsidRPr="00CE0885">
        <w:rPr>
          <w:lang w:eastAsia="en-GB"/>
        </w:rPr>
        <w:fldChar w:fldCharType="end"/>
      </w:r>
      <w:r w:rsidRPr="00CE0885">
        <w:rPr>
          <w:lang w:eastAsia="en-GB"/>
        </w:rPr>
        <w:t xml:space="preserve"> of this policy.</w:t>
      </w:r>
      <w:bookmarkEnd w:id="681"/>
    </w:p>
    <w:p w14:paraId="646BEDFD" w14:textId="77777777" w:rsidR="00977693" w:rsidRPr="00CE0885" w:rsidRDefault="00977693" w:rsidP="006B781A">
      <w:pPr>
        <w:pStyle w:val="Heading3"/>
        <w:rPr>
          <w:lang w:eastAsia="en-GB"/>
        </w:rPr>
      </w:pPr>
      <w:bookmarkStart w:id="682" w:name="_Toc440981823"/>
      <w:r w:rsidRPr="00CE0885">
        <w:rPr>
          <w:spacing w:val="6"/>
          <w:lang w:eastAsia="en-GB"/>
        </w:rPr>
        <w:t>W</w:t>
      </w:r>
      <w:r w:rsidRPr="00CE0885">
        <w:rPr>
          <w:spacing w:val="-1"/>
          <w:lang w:eastAsia="en-GB"/>
        </w:rPr>
        <w:t>her</w:t>
      </w:r>
      <w:r w:rsidRPr="00CE0885">
        <w:rPr>
          <w:lang w:eastAsia="en-GB"/>
        </w:rPr>
        <w:t>e</w:t>
      </w:r>
      <w:r w:rsidRPr="00CE0885">
        <w:rPr>
          <w:spacing w:val="-8"/>
          <w:lang w:eastAsia="en-GB"/>
        </w:rPr>
        <w:t xml:space="preserve"> </w:t>
      </w:r>
      <w:r w:rsidRPr="00CE0885">
        <w:rPr>
          <w:spacing w:val="1"/>
          <w:lang w:eastAsia="en-GB"/>
        </w:rPr>
        <w:t>a</w:t>
      </w:r>
      <w:r w:rsidRPr="00CE0885">
        <w:rPr>
          <w:lang w:eastAsia="en-GB"/>
        </w:rPr>
        <w:t>n</w:t>
      </w:r>
      <w:r w:rsidRPr="00CE0885">
        <w:rPr>
          <w:spacing w:val="-4"/>
          <w:lang w:eastAsia="en-GB"/>
        </w:rPr>
        <w:t xml:space="preserve"> </w:t>
      </w:r>
      <w:r w:rsidRPr="00CE0885">
        <w:rPr>
          <w:lang w:eastAsia="en-GB"/>
        </w:rPr>
        <w:t>i</w:t>
      </w:r>
      <w:r w:rsidRPr="00CE0885">
        <w:rPr>
          <w:spacing w:val="1"/>
          <w:lang w:eastAsia="en-GB"/>
        </w:rPr>
        <w:t>nd</w:t>
      </w:r>
      <w:r w:rsidRPr="00CE0885">
        <w:rPr>
          <w:lang w:eastAsia="en-GB"/>
        </w:rPr>
        <w:t>ivi</w:t>
      </w:r>
      <w:r w:rsidRPr="00CE0885">
        <w:rPr>
          <w:spacing w:val="1"/>
          <w:lang w:eastAsia="en-GB"/>
        </w:rPr>
        <w:t>dua</w:t>
      </w:r>
      <w:r w:rsidRPr="00CE0885">
        <w:rPr>
          <w:lang w:eastAsia="en-GB"/>
        </w:rPr>
        <w:t>l</w:t>
      </w:r>
      <w:r w:rsidRPr="00CE0885">
        <w:rPr>
          <w:spacing w:val="-10"/>
          <w:lang w:eastAsia="en-GB"/>
        </w:rPr>
        <w:t xml:space="preserve"> </w:t>
      </w:r>
      <w:r w:rsidRPr="00CE0885">
        <w:rPr>
          <w:spacing w:val="-3"/>
          <w:lang w:eastAsia="en-GB"/>
        </w:rPr>
        <w:t>w</w:t>
      </w:r>
      <w:r w:rsidRPr="00CE0885">
        <w:rPr>
          <w:spacing w:val="2"/>
          <w:lang w:eastAsia="en-GB"/>
        </w:rPr>
        <w:t>i</w:t>
      </w:r>
      <w:r w:rsidRPr="00CE0885">
        <w:rPr>
          <w:lang w:eastAsia="en-GB"/>
        </w:rPr>
        <w:t>s</w:t>
      </w:r>
      <w:r w:rsidRPr="00CE0885">
        <w:rPr>
          <w:spacing w:val="1"/>
          <w:lang w:eastAsia="en-GB"/>
        </w:rPr>
        <w:t>he</w:t>
      </w:r>
      <w:r w:rsidRPr="00CE0885">
        <w:rPr>
          <w:lang w:eastAsia="en-GB"/>
        </w:rPr>
        <w:t>s</w:t>
      </w:r>
      <w:r w:rsidRPr="00CE0885">
        <w:rPr>
          <w:spacing w:val="-7"/>
          <w:lang w:eastAsia="en-GB"/>
        </w:rPr>
        <w:t xml:space="preserve"> </w:t>
      </w:r>
      <w:r w:rsidRPr="00CE0885">
        <w:rPr>
          <w:lang w:eastAsia="en-GB"/>
        </w:rPr>
        <w:t xml:space="preserve">to </w:t>
      </w:r>
      <w:r w:rsidRPr="00CE0885">
        <w:rPr>
          <w:spacing w:val="-1"/>
          <w:lang w:eastAsia="en-GB"/>
        </w:rPr>
        <w:t>r</w:t>
      </w:r>
      <w:r w:rsidRPr="00CE0885">
        <w:rPr>
          <w:spacing w:val="1"/>
          <w:lang w:eastAsia="en-GB"/>
        </w:rPr>
        <w:t>et</w:t>
      </w:r>
      <w:r w:rsidRPr="00CE0885">
        <w:rPr>
          <w:lang w:eastAsia="en-GB"/>
        </w:rPr>
        <w:t>i</w:t>
      </w:r>
      <w:r w:rsidRPr="00CE0885">
        <w:rPr>
          <w:spacing w:val="-1"/>
          <w:lang w:eastAsia="en-GB"/>
        </w:rPr>
        <w:t>r</w:t>
      </w:r>
      <w:r w:rsidRPr="00CE0885">
        <w:rPr>
          <w:lang w:eastAsia="en-GB"/>
        </w:rPr>
        <w:t>e</w:t>
      </w:r>
      <w:r w:rsidRPr="00CE0885">
        <w:rPr>
          <w:spacing w:val="-6"/>
          <w:lang w:eastAsia="en-GB"/>
        </w:rPr>
        <w:t xml:space="preserve"> </w:t>
      </w:r>
      <w:r w:rsidRPr="00CE0885">
        <w:rPr>
          <w:spacing w:val="3"/>
          <w:lang w:eastAsia="en-GB"/>
        </w:rPr>
        <w:t>f</w:t>
      </w:r>
      <w:r w:rsidRPr="00CE0885">
        <w:rPr>
          <w:spacing w:val="-1"/>
          <w:lang w:eastAsia="en-GB"/>
        </w:rPr>
        <w:t>ro</w:t>
      </w:r>
      <w:r w:rsidRPr="00CE0885">
        <w:rPr>
          <w:lang w:eastAsia="en-GB"/>
        </w:rPr>
        <w:t>m</w:t>
      </w:r>
      <w:r w:rsidRPr="00CE0885">
        <w:rPr>
          <w:spacing w:val="-5"/>
          <w:lang w:eastAsia="en-GB"/>
        </w:rPr>
        <w:t xml:space="preserve"> </w:t>
      </w:r>
      <w:r w:rsidRPr="00CE0885">
        <w:rPr>
          <w:lang w:eastAsia="en-GB"/>
        </w:rPr>
        <w:t>a</w:t>
      </w:r>
      <w:r w:rsidRPr="00CE0885">
        <w:rPr>
          <w:spacing w:val="1"/>
          <w:lang w:eastAsia="en-GB"/>
        </w:rPr>
        <w:t xml:space="preserve"> </w:t>
      </w:r>
      <w:r w:rsidRPr="00CE0885">
        <w:rPr>
          <w:lang w:eastAsia="en-GB"/>
        </w:rPr>
        <w:t>P</w:t>
      </w:r>
      <w:r w:rsidRPr="00CE0885">
        <w:rPr>
          <w:spacing w:val="-1"/>
          <w:lang w:eastAsia="en-GB"/>
        </w:rPr>
        <w:t>M</w:t>
      </w:r>
      <w:r w:rsidRPr="00CE0885">
        <w:rPr>
          <w:lang w:eastAsia="en-GB"/>
        </w:rPr>
        <w:t>S</w:t>
      </w:r>
      <w:r w:rsidRPr="00CE0885">
        <w:rPr>
          <w:spacing w:val="-4"/>
          <w:lang w:eastAsia="en-GB"/>
        </w:rPr>
        <w:t xml:space="preserve"> </w:t>
      </w:r>
      <w:r w:rsidRPr="00CE0885">
        <w:rPr>
          <w:lang w:eastAsia="en-GB"/>
        </w:rPr>
        <w:t>agreement,</w:t>
      </w:r>
      <w:r w:rsidRPr="00CE0885">
        <w:rPr>
          <w:spacing w:val="-8"/>
          <w:lang w:eastAsia="en-GB"/>
        </w:rPr>
        <w:t xml:space="preserve"> </w:t>
      </w:r>
      <w:r w:rsidRPr="00CE0885">
        <w:rPr>
          <w:spacing w:val="-3"/>
          <w:lang w:eastAsia="en-GB"/>
        </w:rPr>
        <w:t>w</w:t>
      </w:r>
      <w:r w:rsidRPr="00CE0885">
        <w:rPr>
          <w:spacing w:val="1"/>
          <w:lang w:eastAsia="en-GB"/>
        </w:rPr>
        <w:t>he</w:t>
      </w:r>
      <w:r w:rsidRPr="00CE0885">
        <w:rPr>
          <w:spacing w:val="-1"/>
          <w:lang w:eastAsia="en-GB"/>
        </w:rPr>
        <w:t>r</w:t>
      </w:r>
      <w:r w:rsidRPr="00CE0885">
        <w:rPr>
          <w:lang w:eastAsia="en-GB"/>
        </w:rPr>
        <w:t>e</w:t>
      </w:r>
      <w:r w:rsidRPr="00CE0885">
        <w:rPr>
          <w:spacing w:val="-5"/>
          <w:lang w:eastAsia="en-GB"/>
        </w:rPr>
        <w:t xml:space="preserve"> </w:t>
      </w:r>
      <w:r w:rsidRPr="00CE0885">
        <w:rPr>
          <w:spacing w:val="1"/>
          <w:lang w:eastAsia="en-GB"/>
        </w:rPr>
        <w:t>t</w:t>
      </w:r>
      <w:r w:rsidRPr="00CE0885">
        <w:rPr>
          <w:spacing w:val="-1"/>
          <w:lang w:eastAsia="en-GB"/>
        </w:rPr>
        <w:t>h</w:t>
      </w:r>
      <w:r w:rsidRPr="00CE0885">
        <w:rPr>
          <w:spacing w:val="1"/>
          <w:lang w:eastAsia="en-GB"/>
        </w:rPr>
        <w:t>a</w:t>
      </w:r>
      <w:r w:rsidRPr="00CE0885">
        <w:rPr>
          <w:lang w:eastAsia="en-GB"/>
        </w:rPr>
        <w:t>t agreement</w:t>
      </w:r>
      <w:r w:rsidRPr="00CE0885">
        <w:rPr>
          <w:spacing w:val="-8"/>
          <w:lang w:eastAsia="en-GB"/>
        </w:rPr>
        <w:t xml:space="preserve"> </w:t>
      </w:r>
      <w:r w:rsidRPr="00CE0885">
        <w:rPr>
          <w:lang w:eastAsia="en-GB"/>
        </w:rPr>
        <w:t>is</w:t>
      </w:r>
      <w:r w:rsidRPr="00CE0885">
        <w:rPr>
          <w:spacing w:val="-4"/>
          <w:lang w:eastAsia="en-GB"/>
        </w:rPr>
        <w:t xml:space="preserve"> </w:t>
      </w:r>
      <w:r w:rsidRPr="00CE0885">
        <w:rPr>
          <w:spacing w:val="1"/>
          <w:lang w:eastAsia="en-GB"/>
        </w:rPr>
        <w:t>a</w:t>
      </w:r>
      <w:r w:rsidRPr="00CE0885">
        <w:rPr>
          <w:lang w:eastAsia="en-GB"/>
        </w:rPr>
        <w:t>lso</w:t>
      </w:r>
      <w:r w:rsidRPr="00CE0885">
        <w:rPr>
          <w:spacing w:val="-5"/>
          <w:lang w:eastAsia="en-GB"/>
        </w:rPr>
        <w:t xml:space="preserve"> </w:t>
      </w:r>
      <w:r w:rsidRPr="00CE0885">
        <w:rPr>
          <w:spacing w:val="1"/>
          <w:lang w:eastAsia="en-GB"/>
        </w:rPr>
        <w:t>he</w:t>
      </w:r>
      <w:r w:rsidRPr="00CE0885">
        <w:rPr>
          <w:lang w:eastAsia="en-GB"/>
        </w:rPr>
        <w:t>ld</w:t>
      </w:r>
      <w:r w:rsidRPr="00CE0885">
        <w:rPr>
          <w:spacing w:val="-6"/>
          <w:lang w:eastAsia="en-GB"/>
        </w:rPr>
        <w:t xml:space="preserve"> </w:t>
      </w:r>
      <w:r w:rsidRPr="00CE0885">
        <w:rPr>
          <w:spacing w:val="1"/>
          <w:lang w:eastAsia="en-GB"/>
        </w:rPr>
        <w:t>b</w:t>
      </w:r>
      <w:r w:rsidRPr="00CE0885">
        <w:rPr>
          <w:lang w:eastAsia="en-GB"/>
        </w:rPr>
        <w:t>y</w:t>
      </w:r>
      <w:r w:rsidRPr="00CE0885">
        <w:rPr>
          <w:spacing w:val="-5"/>
          <w:lang w:eastAsia="en-GB"/>
        </w:rPr>
        <w:t xml:space="preserve"> </w:t>
      </w:r>
      <w:r w:rsidRPr="00CE0885">
        <w:rPr>
          <w:spacing w:val="1"/>
          <w:lang w:eastAsia="en-GB"/>
        </w:rPr>
        <w:t>on</w:t>
      </w:r>
      <w:r w:rsidRPr="00CE0885">
        <w:rPr>
          <w:lang w:eastAsia="en-GB"/>
        </w:rPr>
        <w:t>e</w:t>
      </w:r>
      <w:r w:rsidRPr="00CE0885">
        <w:rPr>
          <w:spacing w:val="-5"/>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2"/>
          <w:lang w:eastAsia="en-GB"/>
        </w:rPr>
        <w:t>m</w:t>
      </w:r>
      <w:r w:rsidRPr="00CE0885">
        <w:rPr>
          <w:spacing w:val="1"/>
          <w:lang w:eastAsia="en-GB"/>
        </w:rPr>
        <w:t>o</w:t>
      </w:r>
      <w:r w:rsidRPr="00CE0885">
        <w:rPr>
          <w:spacing w:val="-3"/>
          <w:lang w:eastAsia="en-GB"/>
        </w:rPr>
        <w:t>r</w:t>
      </w:r>
      <w:r w:rsidRPr="00CE0885">
        <w:rPr>
          <w:lang w:eastAsia="en-GB"/>
        </w:rPr>
        <w:t>e</w:t>
      </w:r>
      <w:r w:rsidRPr="00CE0885">
        <w:rPr>
          <w:spacing w:val="-3"/>
          <w:lang w:eastAsia="en-GB"/>
        </w:rPr>
        <w:t xml:space="preserve"> </w:t>
      </w:r>
      <w:r w:rsidRPr="00CE0885">
        <w:rPr>
          <w:spacing w:val="1"/>
          <w:lang w:eastAsia="en-GB"/>
        </w:rPr>
        <w:t>o</w:t>
      </w:r>
      <w:r w:rsidRPr="00CE0885">
        <w:rPr>
          <w:lang w:eastAsia="en-GB"/>
        </w:rPr>
        <w:t>t</w:t>
      </w:r>
      <w:r w:rsidRPr="00CE0885">
        <w:rPr>
          <w:spacing w:val="1"/>
          <w:lang w:eastAsia="en-GB"/>
        </w:rPr>
        <w:t>he</w:t>
      </w:r>
      <w:r w:rsidRPr="00CE0885">
        <w:rPr>
          <w:lang w:eastAsia="en-GB"/>
        </w:rPr>
        <w:t>r</w:t>
      </w:r>
      <w:r w:rsidRPr="00CE0885">
        <w:rPr>
          <w:spacing w:val="-5"/>
          <w:lang w:eastAsia="en-GB"/>
        </w:rPr>
        <w:t xml:space="preserve"> </w:t>
      </w:r>
      <w:r w:rsidRPr="00CE0885">
        <w:rPr>
          <w:lang w:eastAsia="en-GB"/>
        </w:rPr>
        <w:t>i</w:t>
      </w:r>
      <w:r w:rsidRPr="00CE0885">
        <w:rPr>
          <w:spacing w:val="-1"/>
          <w:lang w:eastAsia="en-GB"/>
        </w:rPr>
        <w:t>n</w:t>
      </w:r>
      <w:r w:rsidRPr="00CE0885">
        <w:rPr>
          <w:spacing w:val="1"/>
          <w:lang w:eastAsia="en-GB"/>
        </w:rPr>
        <w:t>d</w:t>
      </w:r>
      <w:r w:rsidRPr="00CE0885">
        <w:rPr>
          <w:lang w:eastAsia="en-GB"/>
        </w:rPr>
        <w:t>ivi</w:t>
      </w:r>
      <w:r w:rsidRPr="00CE0885">
        <w:rPr>
          <w:spacing w:val="1"/>
          <w:lang w:eastAsia="en-GB"/>
        </w:rPr>
        <w:t>dua</w:t>
      </w:r>
      <w:r w:rsidRPr="00CE0885">
        <w:rPr>
          <w:lang w:eastAsia="en-GB"/>
        </w:rPr>
        <w:t xml:space="preserve">ls, </w:t>
      </w:r>
      <w:r w:rsidRPr="00CE0885">
        <w:rPr>
          <w:spacing w:val="-11"/>
          <w:lang w:eastAsia="en-GB"/>
        </w:rPr>
        <w:t xml:space="preserve">the contractor will need to notify the Commissioner that it wishes to vary the agreement.  The </w:t>
      </w:r>
      <w:r w:rsidRPr="00CE0885">
        <w:rPr>
          <w:spacing w:val="1"/>
          <w:lang w:eastAsia="en-GB"/>
        </w:rPr>
        <w:t>Commissioner</w:t>
      </w:r>
      <w:r w:rsidRPr="00CE0885">
        <w:rPr>
          <w:spacing w:val="-6"/>
          <w:lang w:eastAsia="en-GB"/>
        </w:rPr>
        <w:t xml:space="preserve"> </w:t>
      </w:r>
      <w:r w:rsidRPr="00CE0885">
        <w:rPr>
          <w:lang w:eastAsia="en-GB"/>
        </w:rPr>
        <w:t>s</w:t>
      </w:r>
      <w:r w:rsidRPr="00CE0885">
        <w:rPr>
          <w:spacing w:val="1"/>
          <w:lang w:eastAsia="en-GB"/>
        </w:rPr>
        <w:t>h</w:t>
      </w:r>
      <w:r w:rsidRPr="00CE0885">
        <w:rPr>
          <w:spacing w:val="-1"/>
          <w:lang w:eastAsia="en-GB"/>
        </w:rPr>
        <w:t>o</w:t>
      </w:r>
      <w:r w:rsidRPr="00CE0885">
        <w:rPr>
          <w:spacing w:val="1"/>
          <w:lang w:eastAsia="en-GB"/>
        </w:rPr>
        <w:t>u</w:t>
      </w:r>
      <w:r w:rsidRPr="00CE0885">
        <w:rPr>
          <w:lang w:eastAsia="en-GB"/>
        </w:rPr>
        <w:t>ld</w:t>
      </w:r>
      <w:r w:rsidRPr="00CE0885">
        <w:rPr>
          <w:spacing w:val="-5"/>
          <w:lang w:eastAsia="en-GB"/>
        </w:rPr>
        <w:t xml:space="preserve"> </w:t>
      </w:r>
      <w:r w:rsidRPr="00CE0885">
        <w:rPr>
          <w:spacing w:val="1"/>
          <w:lang w:eastAsia="en-GB"/>
        </w:rPr>
        <w:t>fo</w:t>
      </w:r>
      <w:r w:rsidRPr="00CE0885">
        <w:rPr>
          <w:lang w:eastAsia="en-GB"/>
        </w:rPr>
        <w:t>ll</w:t>
      </w:r>
      <w:r w:rsidRPr="00CE0885">
        <w:rPr>
          <w:spacing w:val="1"/>
          <w:lang w:eastAsia="en-GB"/>
        </w:rPr>
        <w:t>o</w:t>
      </w:r>
      <w:r w:rsidRPr="00CE0885">
        <w:rPr>
          <w:lang w:eastAsia="en-GB"/>
        </w:rPr>
        <w:t>w</w:t>
      </w:r>
      <w:r w:rsidRPr="00CE0885">
        <w:rPr>
          <w:spacing w:val="-8"/>
          <w:lang w:eastAsia="en-GB"/>
        </w:rPr>
        <w:t xml:space="preserve"> </w:t>
      </w:r>
      <w:r w:rsidRPr="00CE0885">
        <w:rPr>
          <w:spacing w:val="1"/>
          <w:lang w:eastAsia="en-GB"/>
        </w:rPr>
        <w:t>th</w:t>
      </w:r>
      <w:r w:rsidRPr="00CE0885">
        <w:rPr>
          <w:lang w:eastAsia="en-GB"/>
        </w:rPr>
        <w:t>e</w:t>
      </w:r>
      <w:r w:rsidRPr="00CE0885">
        <w:rPr>
          <w:spacing w:val="-1"/>
          <w:lang w:eastAsia="en-GB"/>
        </w:rPr>
        <w:t xml:space="preserve"> </w:t>
      </w:r>
      <w:r w:rsidRPr="00CE0885">
        <w:rPr>
          <w:spacing w:val="1"/>
          <w:lang w:eastAsia="en-GB"/>
        </w:rPr>
        <w:t>p</w:t>
      </w:r>
      <w:r w:rsidRPr="00CE0885">
        <w:rPr>
          <w:spacing w:val="-1"/>
          <w:lang w:eastAsia="en-GB"/>
        </w:rPr>
        <w:t>r</w:t>
      </w:r>
      <w:r w:rsidRPr="00CE0885">
        <w:rPr>
          <w:spacing w:val="1"/>
          <w:lang w:eastAsia="en-GB"/>
        </w:rPr>
        <w:t>o</w:t>
      </w:r>
      <w:r w:rsidRPr="00CE0885">
        <w:rPr>
          <w:lang w:eastAsia="en-GB"/>
        </w:rPr>
        <w:t>c</w:t>
      </w:r>
      <w:r w:rsidRPr="00CE0885">
        <w:rPr>
          <w:spacing w:val="1"/>
          <w:lang w:eastAsia="en-GB"/>
        </w:rPr>
        <w:t>e</w:t>
      </w:r>
      <w:r w:rsidRPr="00CE0885">
        <w:rPr>
          <w:lang w:eastAsia="en-GB"/>
        </w:rPr>
        <w:t>ss</w:t>
      </w:r>
      <w:r w:rsidRPr="00CE0885">
        <w:rPr>
          <w:spacing w:val="-8"/>
          <w:lang w:eastAsia="en-GB"/>
        </w:rPr>
        <w:t xml:space="preserve"> </w:t>
      </w:r>
      <w:r w:rsidRPr="00CE0885">
        <w:rPr>
          <w:lang w:eastAsia="en-GB"/>
        </w:rPr>
        <w:t>in paragraphs</w:t>
      </w:r>
      <w:r w:rsidRPr="00CE0885">
        <w:rPr>
          <w:spacing w:val="-9"/>
          <w:lang w:eastAsia="en-GB"/>
        </w:rPr>
        <w:t xml:space="preserve"> </w:t>
      </w:r>
      <w:r w:rsidRPr="00CE0885">
        <w:rPr>
          <w:spacing w:val="1"/>
          <w:highlight w:val="yellow"/>
          <w:lang w:eastAsia="en-GB"/>
        </w:rPr>
        <w:fldChar w:fldCharType="begin"/>
      </w:r>
      <w:r w:rsidRPr="00CE0885">
        <w:rPr>
          <w:spacing w:val="-9"/>
          <w:lang w:eastAsia="en-GB"/>
        </w:rPr>
        <w:instrText xml:space="preserve"> REF _Ref410394717 \r \h </w:instrText>
      </w:r>
      <w:r w:rsidRPr="00CE0885">
        <w:rPr>
          <w:spacing w:val="1"/>
          <w:highlight w:val="yellow"/>
          <w:lang w:eastAsia="en-GB"/>
        </w:rPr>
        <w:instrText xml:space="preserve"> \* MERGEFORMAT </w:instrText>
      </w:r>
      <w:r w:rsidRPr="00CE0885">
        <w:rPr>
          <w:spacing w:val="1"/>
          <w:highlight w:val="yellow"/>
          <w:lang w:eastAsia="en-GB"/>
        </w:rPr>
      </w:r>
      <w:r w:rsidRPr="00CE0885">
        <w:rPr>
          <w:spacing w:val="1"/>
          <w:highlight w:val="yellow"/>
          <w:lang w:eastAsia="en-GB"/>
        </w:rPr>
        <w:fldChar w:fldCharType="separate"/>
      </w:r>
      <w:r w:rsidR="00622FF2">
        <w:rPr>
          <w:spacing w:val="-9"/>
          <w:lang w:eastAsia="en-GB"/>
        </w:rPr>
        <w:t>7.5.31</w:t>
      </w:r>
      <w:r w:rsidRPr="00CE0885">
        <w:rPr>
          <w:spacing w:val="1"/>
          <w:highlight w:val="yellow"/>
          <w:lang w:eastAsia="en-GB"/>
        </w:rPr>
        <w:fldChar w:fldCharType="end"/>
      </w:r>
      <w:r w:rsidRPr="00CE0885">
        <w:rPr>
          <w:spacing w:val="1"/>
          <w:lang w:eastAsia="en-GB"/>
        </w:rPr>
        <w:t xml:space="preserve"> to </w:t>
      </w:r>
      <w:r w:rsidRPr="00CE0885">
        <w:rPr>
          <w:spacing w:val="1"/>
          <w:highlight w:val="yellow"/>
          <w:lang w:eastAsia="en-GB"/>
        </w:rPr>
        <w:fldChar w:fldCharType="begin"/>
      </w:r>
      <w:r w:rsidRPr="00CE0885">
        <w:rPr>
          <w:spacing w:val="1"/>
          <w:lang w:eastAsia="en-GB"/>
        </w:rPr>
        <w:instrText xml:space="preserve"> REF _Ref410398056 \r \h </w:instrText>
      </w:r>
      <w:r w:rsidRPr="00CE0885">
        <w:rPr>
          <w:spacing w:val="1"/>
          <w:highlight w:val="yellow"/>
          <w:lang w:eastAsia="en-GB"/>
        </w:rPr>
        <w:instrText xml:space="preserve"> \* MERGEFORMAT </w:instrText>
      </w:r>
      <w:r w:rsidRPr="00CE0885">
        <w:rPr>
          <w:spacing w:val="1"/>
          <w:highlight w:val="yellow"/>
          <w:lang w:eastAsia="en-GB"/>
        </w:rPr>
      </w:r>
      <w:r w:rsidRPr="00CE0885">
        <w:rPr>
          <w:spacing w:val="1"/>
          <w:highlight w:val="yellow"/>
          <w:lang w:eastAsia="en-GB"/>
        </w:rPr>
        <w:fldChar w:fldCharType="separate"/>
      </w:r>
      <w:r w:rsidR="00622FF2">
        <w:rPr>
          <w:spacing w:val="1"/>
          <w:lang w:eastAsia="en-GB"/>
        </w:rPr>
        <w:t>7.5.40</w:t>
      </w:r>
      <w:r w:rsidRPr="00CE0885">
        <w:rPr>
          <w:spacing w:val="1"/>
          <w:highlight w:val="yellow"/>
          <w:lang w:eastAsia="en-GB"/>
        </w:rPr>
        <w:fldChar w:fldCharType="end"/>
      </w:r>
      <w:r w:rsidRPr="00CE0885">
        <w:rPr>
          <w:spacing w:val="1"/>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1"/>
          <w:lang w:eastAsia="en-GB"/>
        </w:rPr>
        <w:t>th</w:t>
      </w:r>
      <w:r w:rsidRPr="00CE0885">
        <w:rPr>
          <w:lang w:eastAsia="en-GB"/>
        </w:rPr>
        <w:t>is</w:t>
      </w:r>
      <w:r w:rsidRPr="00CE0885">
        <w:rPr>
          <w:spacing w:val="-4"/>
          <w:lang w:eastAsia="en-GB"/>
        </w:rPr>
        <w:t xml:space="preserve"> </w:t>
      </w:r>
      <w:r w:rsidRPr="00CE0885">
        <w:rPr>
          <w:lang w:eastAsia="en-GB"/>
        </w:rPr>
        <w:t>policy</w:t>
      </w:r>
      <w:r w:rsidRPr="00CE0885">
        <w:rPr>
          <w:spacing w:val="-6"/>
          <w:lang w:eastAsia="en-GB"/>
        </w:rPr>
        <w:t>.</w:t>
      </w:r>
      <w:bookmarkEnd w:id="682"/>
    </w:p>
    <w:p w14:paraId="1B95EAFD" w14:textId="77777777" w:rsidR="00977693" w:rsidRPr="00CE0885" w:rsidRDefault="00977693" w:rsidP="006B781A">
      <w:pPr>
        <w:pStyle w:val="Heading3"/>
        <w:rPr>
          <w:lang w:eastAsia="en-GB"/>
        </w:rPr>
      </w:pPr>
      <w:bookmarkStart w:id="683" w:name="_Toc440981824"/>
      <w:r w:rsidRPr="00CE0885">
        <w:rPr>
          <w:spacing w:val="6"/>
          <w:lang w:eastAsia="en-GB"/>
        </w:rPr>
        <w:t>W</w:t>
      </w:r>
      <w:r w:rsidRPr="00CE0885">
        <w:rPr>
          <w:spacing w:val="-1"/>
          <w:lang w:eastAsia="en-GB"/>
        </w:rPr>
        <w:t>her</w:t>
      </w:r>
      <w:r w:rsidRPr="00CE0885">
        <w:rPr>
          <w:lang w:eastAsia="en-GB"/>
        </w:rPr>
        <w:t>e</w:t>
      </w:r>
      <w:r w:rsidRPr="00CE0885">
        <w:rPr>
          <w:spacing w:val="-8"/>
          <w:lang w:eastAsia="en-GB"/>
        </w:rPr>
        <w:t xml:space="preserve"> </w:t>
      </w:r>
      <w:r w:rsidRPr="00CE0885">
        <w:rPr>
          <w:lang w:eastAsia="en-GB"/>
        </w:rPr>
        <w:t>a pa</w:t>
      </w:r>
      <w:r w:rsidRPr="00CE0885">
        <w:rPr>
          <w:spacing w:val="-1"/>
          <w:lang w:eastAsia="en-GB"/>
        </w:rPr>
        <w:t>r</w:t>
      </w:r>
      <w:r w:rsidRPr="00CE0885">
        <w:rPr>
          <w:lang w:eastAsia="en-GB"/>
        </w:rPr>
        <w:t>t</w:t>
      </w:r>
      <w:r w:rsidRPr="00CE0885">
        <w:rPr>
          <w:spacing w:val="-1"/>
          <w:lang w:eastAsia="en-GB"/>
        </w:rPr>
        <w:t>n</w:t>
      </w:r>
      <w:r w:rsidRPr="00CE0885">
        <w:rPr>
          <w:lang w:eastAsia="en-GB"/>
        </w:rPr>
        <w:t>er</w:t>
      </w:r>
      <w:r w:rsidRPr="00CE0885">
        <w:rPr>
          <w:spacing w:val="-8"/>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 xml:space="preserve">a </w:t>
      </w:r>
      <w:r w:rsidRPr="00CE0885">
        <w:rPr>
          <w:spacing w:val="-1"/>
          <w:lang w:eastAsia="en-GB"/>
        </w:rPr>
        <w:t>p</w:t>
      </w:r>
      <w:r w:rsidRPr="00CE0885">
        <w:rPr>
          <w:lang w:eastAsia="en-GB"/>
        </w:rPr>
        <w:t>a</w:t>
      </w:r>
      <w:r w:rsidRPr="00CE0885">
        <w:rPr>
          <w:spacing w:val="-1"/>
          <w:lang w:eastAsia="en-GB"/>
        </w:rPr>
        <w:t>r</w:t>
      </w:r>
      <w:r w:rsidRPr="00CE0885">
        <w:rPr>
          <w:lang w:eastAsia="en-GB"/>
        </w:rPr>
        <w:t>tne</w:t>
      </w:r>
      <w:r w:rsidRPr="00CE0885">
        <w:rPr>
          <w:spacing w:val="-1"/>
          <w:lang w:eastAsia="en-GB"/>
        </w:rPr>
        <w:t>r</w:t>
      </w:r>
      <w:r w:rsidRPr="00CE0885">
        <w:rPr>
          <w:lang w:eastAsia="en-GB"/>
        </w:rPr>
        <w:t>ship</w:t>
      </w:r>
      <w:r w:rsidRPr="00CE0885">
        <w:rPr>
          <w:spacing w:val="-13"/>
          <w:lang w:eastAsia="en-GB"/>
        </w:rPr>
        <w:t xml:space="preserve"> </w:t>
      </w:r>
      <w:r w:rsidRPr="00CE0885">
        <w:rPr>
          <w:lang w:eastAsia="en-GB"/>
        </w:rPr>
        <w:t>hold</w:t>
      </w:r>
      <w:r w:rsidRPr="00CE0885">
        <w:rPr>
          <w:spacing w:val="-3"/>
          <w:lang w:eastAsia="en-GB"/>
        </w:rPr>
        <w:t>i</w:t>
      </w:r>
      <w:r w:rsidRPr="00CE0885">
        <w:rPr>
          <w:lang w:eastAsia="en-GB"/>
        </w:rPr>
        <w:t>ng</w:t>
      </w:r>
      <w:r w:rsidRPr="00CE0885">
        <w:rPr>
          <w:spacing w:val="-9"/>
          <w:lang w:eastAsia="en-GB"/>
        </w:rPr>
        <w:t xml:space="preserve"> </w:t>
      </w:r>
      <w:r w:rsidRPr="00CE0885">
        <w:rPr>
          <w:lang w:eastAsia="en-GB"/>
        </w:rPr>
        <w:t>an</w:t>
      </w:r>
      <w:r w:rsidRPr="00CE0885">
        <w:rPr>
          <w:spacing w:val="-4"/>
          <w:lang w:eastAsia="en-GB"/>
        </w:rPr>
        <w:t xml:space="preserve"> </w:t>
      </w:r>
      <w:r w:rsidRPr="00CE0885">
        <w:rPr>
          <w:lang w:eastAsia="en-GB"/>
        </w:rPr>
        <w:t>AP</w:t>
      </w:r>
      <w:r w:rsidRPr="00CE0885">
        <w:rPr>
          <w:spacing w:val="-1"/>
          <w:lang w:eastAsia="en-GB"/>
        </w:rPr>
        <w:t>M</w:t>
      </w:r>
      <w:r w:rsidRPr="00CE0885">
        <w:rPr>
          <w:lang w:eastAsia="en-GB"/>
        </w:rPr>
        <w:t>S</w:t>
      </w:r>
      <w:r w:rsidRPr="00CE0885">
        <w:rPr>
          <w:spacing w:val="-6"/>
          <w:lang w:eastAsia="en-GB"/>
        </w:rPr>
        <w:t xml:space="preserve"> </w:t>
      </w:r>
      <w:r w:rsidRPr="00CE0885">
        <w:rPr>
          <w:lang w:eastAsia="en-GB"/>
        </w:rPr>
        <w:t>c</w:t>
      </w:r>
      <w:r w:rsidRPr="00CE0885">
        <w:rPr>
          <w:spacing w:val="-1"/>
          <w:lang w:eastAsia="en-GB"/>
        </w:rPr>
        <w:t>o</w:t>
      </w:r>
      <w:r w:rsidRPr="00CE0885">
        <w:rPr>
          <w:lang w:eastAsia="en-GB"/>
        </w:rPr>
        <w:t>nt</w:t>
      </w:r>
      <w:r w:rsidRPr="00CE0885">
        <w:rPr>
          <w:spacing w:val="-1"/>
          <w:lang w:eastAsia="en-GB"/>
        </w:rPr>
        <w:t>r</w:t>
      </w:r>
      <w:r w:rsidRPr="00CE0885">
        <w:rPr>
          <w:lang w:eastAsia="en-GB"/>
        </w:rPr>
        <w:t>act</w:t>
      </w:r>
      <w:r w:rsidRPr="00CE0885">
        <w:rPr>
          <w:spacing w:val="-8"/>
          <w:lang w:eastAsia="en-GB"/>
        </w:rPr>
        <w:t xml:space="preserve"> </w:t>
      </w:r>
      <w:r w:rsidRPr="00CE0885">
        <w:rPr>
          <w:spacing w:val="-3"/>
          <w:lang w:eastAsia="en-GB"/>
        </w:rPr>
        <w:t>w</w:t>
      </w:r>
      <w:r w:rsidRPr="00CE0885">
        <w:rPr>
          <w:lang w:eastAsia="en-GB"/>
        </w:rPr>
        <w:t>ishes</w:t>
      </w:r>
      <w:r w:rsidRPr="00CE0885">
        <w:rPr>
          <w:spacing w:val="-9"/>
          <w:lang w:eastAsia="en-GB"/>
        </w:rPr>
        <w:t xml:space="preserve"> </w:t>
      </w:r>
      <w:r w:rsidRPr="00CE0885">
        <w:rPr>
          <w:lang w:eastAsia="en-GB"/>
        </w:rPr>
        <w:t xml:space="preserve">to </w:t>
      </w:r>
      <w:r w:rsidRPr="00CE0885">
        <w:rPr>
          <w:spacing w:val="-1"/>
          <w:lang w:eastAsia="en-GB"/>
        </w:rPr>
        <w:t>r</w:t>
      </w:r>
      <w:r w:rsidRPr="00CE0885">
        <w:rPr>
          <w:lang w:eastAsia="en-GB"/>
        </w:rPr>
        <w:t>eti</w:t>
      </w:r>
      <w:r w:rsidRPr="00CE0885">
        <w:rPr>
          <w:spacing w:val="-1"/>
          <w:lang w:eastAsia="en-GB"/>
        </w:rPr>
        <w:t>r</w:t>
      </w:r>
      <w:r w:rsidRPr="00CE0885">
        <w:rPr>
          <w:lang w:eastAsia="en-GB"/>
        </w:rPr>
        <w:t>e,</w:t>
      </w:r>
      <w:r w:rsidRPr="00CE0885">
        <w:rPr>
          <w:spacing w:val="-5"/>
          <w:lang w:eastAsia="en-GB"/>
        </w:rPr>
        <w:t xml:space="preserve"> the </w:t>
      </w:r>
      <w:r w:rsidRPr="00CE0885">
        <w:rPr>
          <w:lang w:eastAsia="en-GB"/>
        </w:rPr>
        <w:t>Commissioner</w:t>
      </w:r>
      <w:r w:rsidRPr="00CE0885">
        <w:rPr>
          <w:spacing w:val="-4"/>
          <w:lang w:eastAsia="en-GB"/>
        </w:rPr>
        <w:t xml:space="preserve"> </w:t>
      </w:r>
      <w:r w:rsidRPr="00CE0885">
        <w:rPr>
          <w:lang w:eastAsia="en-GB"/>
        </w:rPr>
        <w:t>s</w:t>
      </w:r>
      <w:r w:rsidRPr="00CE0885">
        <w:rPr>
          <w:spacing w:val="-1"/>
          <w:lang w:eastAsia="en-GB"/>
        </w:rPr>
        <w:t>h</w:t>
      </w:r>
      <w:r w:rsidRPr="00CE0885">
        <w:rPr>
          <w:lang w:eastAsia="en-GB"/>
        </w:rPr>
        <w:t>ould</w:t>
      </w:r>
      <w:r w:rsidRPr="00CE0885">
        <w:rPr>
          <w:spacing w:val="-10"/>
          <w:lang w:eastAsia="en-GB"/>
        </w:rPr>
        <w:t xml:space="preserve"> </w:t>
      </w:r>
      <w:r w:rsidRPr="00CE0885">
        <w:rPr>
          <w:spacing w:val="3"/>
          <w:lang w:eastAsia="en-GB"/>
        </w:rPr>
        <w:t>f</w:t>
      </w:r>
      <w:r w:rsidRPr="00CE0885">
        <w:rPr>
          <w:lang w:eastAsia="en-GB"/>
        </w:rPr>
        <w:t>oll</w:t>
      </w:r>
      <w:r w:rsidRPr="00CE0885">
        <w:rPr>
          <w:spacing w:val="-1"/>
          <w:lang w:eastAsia="en-GB"/>
        </w:rPr>
        <w:t>o</w:t>
      </w:r>
      <w:r w:rsidRPr="00CE0885">
        <w:rPr>
          <w:lang w:eastAsia="en-GB"/>
        </w:rPr>
        <w:t>w</w:t>
      </w:r>
      <w:r w:rsidRPr="00CE0885">
        <w:rPr>
          <w:spacing w:val="-8"/>
          <w:lang w:eastAsia="en-GB"/>
        </w:rPr>
        <w:t xml:space="preserve"> </w:t>
      </w:r>
      <w:r w:rsidRPr="00CE0885">
        <w:rPr>
          <w:lang w:eastAsia="en-GB"/>
        </w:rPr>
        <w:t>any</w:t>
      </w:r>
      <w:r w:rsidRPr="00CE0885">
        <w:rPr>
          <w:spacing w:val="-6"/>
          <w:lang w:eastAsia="en-GB"/>
        </w:rPr>
        <w:t xml:space="preserve"> </w:t>
      </w:r>
      <w:r w:rsidRPr="00CE0885">
        <w:rPr>
          <w:lang w:eastAsia="en-GB"/>
        </w:rPr>
        <w:t>p</w:t>
      </w:r>
      <w:r w:rsidRPr="00CE0885">
        <w:rPr>
          <w:spacing w:val="-1"/>
          <w:lang w:eastAsia="en-GB"/>
        </w:rPr>
        <w:t>r</w:t>
      </w:r>
      <w:r w:rsidRPr="00CE0885">
        <w:rPr>
          <w:lang w:eastAsia="en-GB"/>
        </w:rPr>
        <w:t>ocess</w:t>
      </w:r>
      <w:r w:rsidRPr="00CE0885">
        <w:rPr>
          <w:spacing w:val="-8"/>
          <w:lang w:eastAsia="en-GB"/>
        </w:rPr>
        <w:t xml:space="preserve"> </w:t>
      </w:r>
      <w:r w:rsidRPr="00CE0885">
        <w:rPr>
          <w:lang w:eastAsia="en-GB"/>
        </w:rPr>
        <w:t>d</w:t>
      </w:r>
      <w:r w:rsidRPr="00CE0885">
        <w:rPr>
          <w:spacing w:val="-1"/>
          <w:lang w:eastAsia="en-GB"/>
        </w:rPr>
        <w:t>e</w:t>
      </w:r>
      <w:r w:rsidRPr="00CE0885">
        <w:rPr>
          <w:spacing w:val="3"/>
          <w:lang w:eastAsia="en-GB"/>
        </w:rPr>
        <w:t>f</w:t>
      </w:r>
      <w:r w:rsidRPr="00CE0885">
        <w:rPr>
          <w:lang w:eastAsia="en-GB"/>
        </w:rPr>
        <w:t>i</w:t>
      </w:r>
      <w:r w:rsidRPr="00CE0885">
        <w:rPr>
          <w:spacing w:val="-1"/>
          <w:lang w:eastAsia="en-GB"/>
        </w:rPr>
        <w:t>n</w:t>
      </w:r>
      <w:r w:rsidRPr="00CE0885">
        <w:rPr>
          <w:lang w:eastAsia="en-GB"/>
        </w:rPr>
        <w:t>ed</w:t>
      </w:r>
      <w:r w:rsidRPr="00CE0885">
        <w:rPr>
          <w:spacing w:val="-9"/>
          <w:lang w:eastAsia="en-GB"/>
        </w:rPr>
        <w:t xml:space="preserve"> </w:t>
      </w:r>
      <w:r w:rsidRPr="00CE0885">
        <w:rPr>
          <w:spacing w:val="-3"/>
          <w:lang w:eastAsia="en-GB"/>
        </w:rPr>
        <w:t>w</w:t>
      </w:r>
      <w:r w:rsidRPr="00CE0885">
        <w:rPr>
          <w:lang w:eastAsia="en-GB"/>
        </w:rPr>
        <w:t>ithin</w:t>
      </w:r>
      <w:r w:rsidRPr="00CE0885">
        <w:rPr>
          <w:spacing w:val="-4"/>
          <w:lang w:eastAsia="en-GB"/>
        </w:rPr>
        <w:t xml:space="preserve"> </w:t>
      </w:r>
      <w:r w:rsidRPr="00CE0885">
        <w:rPr>
          <w:lang w:eastAsia="en-GB"/>
        </w:rPr>
        <w:t>the</w:t>
      </w:r>
      <w:r w:rsidRPr="00CE0885">
        <w:rPr>
          <w:spacing w:val="-1"/>
          <w:lang w:eastAsia="en-GB"/>
        </w:rPr>
        <w:t xml:space="preserve"> </w:t>
      </w:r>
      <w:r w:rsidRPr="00CE0885">
        <w:rPr>
          <w:lang w:eastAsia="en-GB"/>
        </w:rPr>
        <w:t>co</w:t>
      </w:r>
      <w:r w:rsidRPr="00CE0885">
        <w:rPr>
          <w:spacing w:val="-1"/>
          <w:lang w:eastAsia="en-GB"/>
        </w:rPr>
        <w:t>n</w:t>
      </w:r>
      <w:r w:rsidRPr="00CE0885">
        <w:rPr>
          <w:lang w:eastAsia="en-GB"/>
        </w:rPr>
        <w:t>t</w:t>
      </w:r>
      <w:r w:rsidRPr="00CE0885">
        <w:rPr>
          <w:spacing w:val="-1"/>
          <w:lang w:eastAsia="en-GB"/>
        </w:rPr>
        <w:t>r</w:t>
      </w:r>
      <w:r w:rsidRPr="00CE0885">
        <w:rPr>
          <w:lang w:eastAsia="en-GB"/>
        </w:rPr>
        <w:t>act,</w:t>
      </w:r>
      <w:r w:rsidRPr="00CE0885">
        <w:rPr>
          <w:spacing w:val="-10"/>
          <w:lang w:eastAsia="en-GB"/>
        </w:rPr>
        <w:t xml:space="preserve"> </w:t>
      </w:r>
      <w:r w:rsidRPr="00CE0885">
        <w:rPr>
          <w:lang w:eastAsia="en-GB"/>
        </w:rPr>
        <w:t>or in the</w:t>
      </w:r>
      <w:r w:rsidRPr="00CE0885">
        <w:rPr>
          <w:spacing w:val="-4"/>
          <w:lang w:eastAsia="en-GB"/>
        </w:rPr>
        <w:t xml:space="preserve"> </w:t>
      </w:r>
      <w:r w:rsidRPr="00CE0885">
        <w:rPr>
          <w:lang w:eastAsia="en-GB"/>
        </w:rPr>
        <w:t>abs</w:t>
      </w:r>
      <w:r w:rsidRPr="00CE0885">
        <w:rPr>
          <w:spacing w:val="-1"/>
          <w:lang w:eastAsia="en-GB"/>
        </w:rPr>
        <w:t>e</w:t>
      </w:r>
      <w:r w:rsidRPr="00CE0885">
        <w:rPr>
          <w:lang w:eastAsia="en-GB"/>
        </w:rPr>
        <w:t>nce</w:t>
      </w:r>
      <w:r w:rsidRPr="00CE0885">
        <w:rPr>
          <w:spacing w:val="-10"/>
          <w:lang w:eastAsia="en-GB"/>
        </w:rPr>
        <w:t xml:space="preserve"> </w:t>
      </w:r>
      <w:r w:rsidRPr="00CE0885">
        <w:rPr>
          <w:spacing w:val="-1"/>
          <w:lang w:eastAsia="en-GB"/>
        </w:rPr>
        <w:t>o</w:t>
      </w:r>
      <w:r w:rsidRPr="00CE0885">
        <w:rPr>
          <w:lang w:eastAsia="en-GB"/>
        </w:rPr>
        <w:t xml:space="preserve">f </w:t>
      </w:r>
      <w:r w:rsidRPr="00CE0885">
        <w:rPr>
          <w:spacing w:val="-1"/>
          <w:lang w:eastAsia="en-GB"/>
        </w:rPr>
        <w:t>a</w:t>
      </w:r>
      <w:r w:rsidRPr="00CE0885">
        <w:rPr>
          <w:lang w:eastAsia="en-GB"/>
        </w:rPr>
        <w:t>ny</w:t>
      </w:r>
      <w:r w:rsidRPr="00CE0885">
        <w:rPr>
          <w:spacing w:val="-6"/>
          <w:lang w:eastAsia="en-GB"/>
        </w:rPr>
        <w:t xml:space="preserve"> </w:t>
      </w:r>
      <w:r w:rsidRPr="00CE0885">
        <w:rPr>
          <w:lang w:eastAsia="en-GB"/>
        </w:rPr>
        <w:t>d</w:t>
      </w:r>
      <w:r w:rsidRPr="00CE0885">
        <w:rPr>
          <w:spacing w:val="-1"/>
          <w:lang w:eastAsia="en-GB"/>
        </w:rPr>
        <w:t>e</w:t>
      </w:r>
      <w:r w:rsidRPr="00CE0885">
        <w:rPr>
          <w:lang w:eastAsia="en-GB"/>
        </w:rPr>
        <w:t>fined p</w:t>
      </w:r>
      <w:r w:rsidRPr="00CE0885">
        <w:rPr>
          <w:spacing w:val="-1"/>
          <w:lang w:eastAsia="en-GB"/>
        </w:rPr>
        <w:t>r</w:t>
      </w:r>
      <w:r w:rsidRPr="00CE0885">
        <w:rPr>
          <w:lang w:eastAsia="en-GB"/>
        </w:rPr>
        <w:t>ocess</w:t>
      </w:r>
      <w:r w:rsidRPr="00CE0885">
        <w:rPr>
          <w:spacing w:val="-8"/>
          <w:lang w:eastAsia="en-GB"/>
        </w:rPr>
        <w:t xml:space="preserve">, </w:t>
      </w:r>
      <w:r w:rsidRPr="00CE0885">
        <w:rPr>
          <w:lang w:eastAsia="en-GB"/>
        </w:rPr>
        <w:t>the</w:t>
      </w:r>
      <w:r w:rsidRPr="00CE0885">
        <w:rPr>
          <w:spacing w:val="-1"/>
          <w:lang w:eastAsia="en-GB"/>
        </w:rPr>
        <w:t xml:space="preserve"> </w:t>
      </w:r>
      <w:r w:rsidRPr="00CE0885">
        <w:rPr>
          <w:lang w:eastAsia="en-GB"/>
        </w:rPr>
        <w:t>consent</w:t>
      </w:r>
      <w:r w:rsidRPr="00CE0885">
        <w:rPr>
          <w:spacing w:val="-9"/>
          <w:lang w:eastAsia="en-GB"/>
        </w:rPr>
        <w:t xml:space="preserve"> </w:t>
      </w:r>
      <w:r w:rsidRPr="00CE0885">
        <w:rPr>
          <w:spacing w:val="-1"/>
          <w:lang w:eastAsia="en-GB"/>
        </w:rPr>
        <w:t>o</w:t>
      </w:r>
      <w:r w:rsidRPr="00CE0885">
        <w:rPr>
          <w:lang w:eastAsia="en-GB"/>
        </w:rPr>
        <w:t>f the</w:t>
      </w:r>
      <w:r w:rsidRPr="00CE0885">
        <w:rPr>
          <w:spacing w:val="-1"/>
          <w:lang w:eastAsia="en-GB"/>
        </w:rPr>
        <w:t xml:space="preserve"> </w:t>
      </w:r>
      <w:r w:rsidRPr="00CE0885">
        <w:rPr>
          <w:lang w:eastAsia="en-GB"/>
        </w:rPr>
        <w:t>Commissioner</w:t>
      </w:r>
      <w:r w:rsidRPr="00CE0885">
        <w:rPr>
          <w:spacing w:val="-3"/>
          <w:lang w:eastAsia="en-GB"/>
        </w:rPr>
        <w:t xml:space="preserve"> </w:t>
      </w:r>
      <w:r w:rsidRPr="00CE0885">
        <w:rPr>
          <w:spacing w:val="-1"/>
          <w:lang w:eastAsia="en-GB"/>
        </w:rPr>
        <w:t>m</w:t>
      </w:r>
      <w:r w:rsidRPr="00CE0885">
        <w:rPr>
          <w:lang w:eastAsia="en-GB"/>
        </w:rPr>
        <w:t>ust</w:t>
      </w:r>
      <w:r w:rsidRPr="00CE0885">
        <w:rPr>
          <w:spacing w:val="-4"/>
          <w:lang w:eastAsia="en-GB"/>
        </w:rPr>
        <w:t xml:space="preserve"> </w:t>
      </w:r>
      <w:r w:rsidRPr="00CE0885">
        <w:rPr>
          <w:spacing w:val="-1"/>
          <w:lang w:eastAsia="en-GB"/>
        </w:rPr>
        <w:t>b</w:t>
      </w:r>
      <w:r w:rsidRPr="00CE0885">
        <w:rPr>
          <w:lang w:eastAsia="en-GB"/>
        </w:rPr>
        <w:t>e sou</w:t>
      </w:r>
      <w:r w:rsidRPr="00CE0885">
        <w:rPr>
          <w:spacing w:val="-1"/>
          <w:lang w:eastAsia="en-GB"/>
        </w:rPr>
        <w:t>g</w:t>
      </w:r>
      <w:r w:rsidRPr="00CE0885">
        <w:rPr>
          <w:lang w:eastAsia="en-GB"/>
        </w:rPr>
        <w:t>ht</w:t>
      </w:r>
      <w:r w:rsidRPr="00CE0885">
        <w:rPr>
          <w:spacing w:val="-6"/>
          <w:lang w:eastAsia="en-GB"/>
        </w:rPr>
        <w:t xml:space="preserve"> </w:t>
      </w:r>
      <w:r w:rsidRPr="00CE0885">
        <w:rPr>
          <w:lang w:eastAsia="en-GB"/>
        </w:rPr>
        <w:t>th</w:t>
      </w:r>
      <w:r w:rsidRPr="00CE0885">
        <w:rPr>
          <w:spacing w:val="-1"/>
          <w:lang w:eastAsia="en-GB"/>
        </w:rPr>
        <w:t>r</w:t>
      </w:r>
      <w:r w:rsidRPr="00CE0885">
        <w:rPr>
          <w:lang w:eastAsia="en-GB"/>
        </w:rPr>
        <w:t>ou</w:t>
      </w:r>
      <w:r w:rsidRPr="00CE0885">
        <w:rPr>
          <w:spacing w:val="-1"/>
          <w:lang w:eastAsia="en-GB"/>
        </w:rPr>
        <w:t>g</w:t>
      </w:r>
      <w:r w:rsidRPr="00CE0885">
        <w:rPr>
          <w:lang w:eastAsia="en-GB"/>
        </w:rPr>
        <w:t>h</w:t>
      </w:r>
      <w:r w:rsidRPr="00CE0885">
        <w:rPr>
          <w:spacing w:val="-6"/>
          <w:lang w:eastAsia="en-GB"/>
        </w:rPr>
        <w:t xml:space="preserve"> </w:t>
      </w:r>
      <w:r w:rsidRPr="00CE0885">
        <w:rPr>
          <w:lang w:eastAsia="en-GB"/>
        </w:rPr>
        <w:t>a co</w:t>
      </w:r>
      <w:r w:rsidRPr="00CE0885">
        <w:rPr>
          <w:spacing w:val="-1"/>
          <w:lang w:eastAsia="en-GB"/>
        </w:rPr>
        <w:t>n</w:t>
      </w:r>
      <w:r w:rsidRPr="00CE0885">
        <w:rPr>
          <w:lang w:eastAsia="en-GB"/>
        </w:rPr>
        <w:t>t</w:t>
      </w:r>
      <w:r w:rsidRPr="00CE0885">
        <w:rPr>
          <w:spacing w:val="-1"/>
          <w:lang w:eastAsia="en-GB"/>
        </w:rPr>
        <w:t>r</w:t>
      </w:r>
      <w:r w:rsidRPr="00CE0885">
        <w:rPr>
          <w:lang w:eastAsia="en-GB"/>
        </w:rPr>
        <w:t>act</w:t>
      </w:r>
      <w:r w:rsidRPr="00CE0885">
        <w:rPr>
          <w:spacing w:val="-8"/>
          <w:lang w:eastAsia="en-GB"/>
        </w:rPr>
        <w:t xml:space="preserve"> </w:t>
      </w:r>
      <w:r w:rsidRPr="00CE0885">
        <w:rPr>
          <w:lang w:eastAsia="en-GB"/>
        </w:rPr>
        <w:t>va</w:t>
      </w:r>
      <w:r w:rsidRPr="00CE0885">
        <w:rPr>
          <w:spacing w:val="-1"/>
          <w:lang w:eastAsia="en-GB"/>
        </w:rPr>
        <w:t>r</w:t>
      </w:r>
      <w:r w:rsidRPr="00CE0885">
        <w:rPr>
          <w:lang w:eastAsia="en-GB"/>
        </w:rPr>
        <w:t>iation.</w:t>
      </w:r>
      <w:bookmarkEnd w:id="683"/>
    </w:p>
    <w:p w14:paraId="6164AAD9" w14:textId="77777777" w:rsidR="00977693" w:rsidRPr="00CE0885" w:rsidRDefault="00977693" w:rsidP="006B781A">
      <w:pPr>
        <w:pStyle w:val="Heading3"/>
        <w:rPr>
          <w:lang w:eastAsia="en-GB"/>
        </w:rPr>
      </w:pPr>
      <w:bookmarkStart w:id="684" w:name="_Toc440981825"/>
      <w:r w:rsidRPr="00CE0885">
        <w:rPr>
          <w:lang w:eastAsia="en-GB"/>
        </w:rPr>
        <w:t>The Commissioner</w:t>
      </w:r>
      <w:r w:rsidRPr="00CE0885">
        <w:rPr>
          <w:spacing w:val="-4"/>
          <w:lang w:eastAsia="en-GB"/>
        </w:rPr>
        <w:t xml:space="preserve"> </w:t>
      </w:r>
      <w:r w:rsidRPr="00CE0885">
        <w:rPr>
          <w:lang w:eastAsia="en-GB"/>
        </w:rPr>
        <w:t>sh</w:t>
      </w:r>
      <w:r w:rsidRPr="00CE0885">
        <w:rPr>
          <w:spacing w:val="-1"/>
          <w:lang w:eastAsia="en-GB"/>
        </w:rPr>
        <w:t>o</w:t>
      </w:r>
      <w:r w:rsidRPr="00CE0885">
        <w:rPr>
          <w:lang w:eastAsia="en-GB"/>
        </w:rPr>
        <w:t>uld</w:t>
      </w:r>
      <w:r w:rsidRPr="00CE0885">
        <w:rPr>
          <w:spacing w:val="-5"/>
          <w:lang w:eastAsia="en-GB"/>
        </w:rPr>
        <w:t xml:space="preserve"> </w:t>
      </w:r>
      <w:r w:rsidRPr="00CE0885">
        <w:rPr>
          <w:lang w:eastAsia="en-GB"/>
        </w:rPr>
        <w:t>al</w:t>
      </w:r>
      <w:r w:rsidRPr="00CE0885">
        <w:rPr>
          <w:spacing w:val="-3"/>
          <w:lang w:eastAsia="en-GB"/>
        </w:rPr>
        <w:t>w</w:t>
      </w:r>
      <w:r w:rsidRPr="00CE0885">
        <w:rPr>
          <w:lang w:eastAsia="en-GB"/>
        </w:rPr>
        <w:t>ays</w:t>
      </w:r>
      <w:r w:rsidRPr="00CE0885">
        <w:rPr>
          <w:spacing w:val="-7"/>
          <w:lang w:eastAsia="en-GB"/>
        </w:rPr>
        <w:t xml:space="preserve"> </w:t>
      </w:r>
      <w:r w:rsidRPr="00CE0885">
        <w:rPr>
          <w:lang w:eastAsia="en-GB"/>
        </w:rPr>
        <w:t>keep</w:t>
      </w:r>
      <w:r w:rsidRPr="00CE0885">
        <w:rPr>
          <w:spacing w:val="-3"/>
          <w:lang w:eastAsia="en-GB"/>
        </w:rPr>
        <w:t xml:space="preserve"> </w:t>
      </w:r>
      <w:r w:rsidRPr="00CE0885">
        <w:rPr>
          <w:lang w:eastAsia="en-GB"/>
        </w:rPr>
        <w:t>in</w:t>
      </w:r>
      <w:r w:rsidRPr="00CE0885">
        <w:rPr>
          <w:spacing w:val="-3"/>
          <w:lang w:eastAsia="en-GB"/>
        </w:rPr>
        <w:t xml:space="preserve"> </w:t>
      </w:r>
      <w:r w:rsidRPr="00CE0885">
        <w:rPr>
          <w:spacing w:val="2"/>
          <w:lang w:eastAsia="en-GB"/>
        </w:rPr>
        <w:t>m</w:t>
      </w:r>
      <w:r w:rsidRPr="00CE0885">
        <w:rPr>
          <w:lang w:eastAsia="en-GB"/>
        </w:rPr>
        <w:t>ind</w:t>
      </w:r>
      <w:r w:rsidRPr="00CE0885">
        <w:rPr>
          <w:spacing w:val="-6"/>
          <w:lang w:eastAsia="en-GB"/>
        </w:rPr>
        <w:t xml:space="preserve"> </w:t>
      </w:r>
      <w:r w:rsidRPr="00CE0885">
        <w:rPr>
          <w:lang w:eastAsia="en-GB"/>
        </w:rPr>
        <w:t>the</w:t>
      </w:r>
      <w:r w:rsidRPr="00CE0885">
        <w:rPr>
          <w:spacing w:val="-4"/>
          <w:lang w:eastAsia="en-GB"/>
        </w:rPr>
        <w:t xml:space="preserve"> </w:t>
      </w:r>
      <w:r w:rsidRPr="00CE0885">
        <w:rPr>
          <w:lang w:eastAsia="en-GB"/>
        </w:rPr>
        <w:t>poss</w:t>
      </w:r>
      <w:r w:rsidRPr="00CE0885">
        <w:rPr>
          <w:spacing w:val="-3"/>
          <w:lang w:eastAsia="en-GB"/>
        </w:rPr>
        <w:t>i</w:t>
      </w:r>
      <w:r w:rsidRPr="00CE0885">
        <w:rPr>
          <w:lang w:eastAsia="en-GB"/>
        </w:rPr>
        <w:t>ble</w:t>
      </w:r>
      <w:r w:rsidRPr="00CE0885">
        <w:rPr>
          <w:spacing w:val="-7"/>
          <w:lang w:eastAsia="en-GB"/>
        </w:rPr>
        <w:t xml:space="preserve"> </w:t>
      </w:r>
      <w:r w:rsidRPr="00CE0885">
        <w:rPr>
          <w:spacing w:val="-3"/>
          <w:lang w:eastAsia="en-GB"/>
        </w:rPr>
        <w:t>i</w:t>
      </w:r>
      <w:r w:rsidRPr="00CE0885">
        <w:rPr>
          <w:spacing w:val="2"/>
          <w:lang w:eastAsia="en-GB"/>
        </w:rPr>
        <w:t>m</w:t>
      </w:r>
      <w:r w:rsidRPr="00CE0885">
        <w:rPr>
          <w:lang w:eastAsia="en-GB"/>
        </w:rPr>
        <w:t>plicati</w:t>
      </w:r>
      <w:r w:rsidRPr="00CE0885">
        <w:rPr>
          <w:spacing w:val="-1"/>
          <w:lang w:eastAsia="en-GB"/>
        </w:rPr>
        <w:t>o</w:t>
      </w:r>
      <w:r w:rsidRPr="00CE0885">
        <w:rPr>
          <w:lang w:eastAsia="en-GB"/>
        </w:rPr>
        <w:t>ns</w:t>
      </w:r>
      <w:r w:rsidRPr="00CE0885">
        <w:rPr>
          <w:spacing w:val="-13"/>
          <w:lang w:eastAsia="en-GB"/>
        </w:rPr>
        <w:t xml:space="preserve"> </w:t>
      </w:r>
      <w:r w:rsidRPr="00CE0885">
        <w:rPr>
          <w:spacing w:val="-1"/>
          <w:lang w:eastAsia="en-GB"/>
        </w:rPr>
        <w:t>o</w:t>
      </w:r>
      <w:r w:rsidRPr="00CE0885">
        <w:rPr>
          <w:lang w:eastAsia="en-GB"/>
        </w:rPr>
        <w:t>n p</w:t>
      </w:r>
      <w:r w:rsidRPr="00CE0885">
        <w:rPr>
          <w:spacing w:val="-1"/>
          <w:lang w:eastAsia="en-GB"/>
        </w:rPr>
        <w:t>r</w:t>
      </w:r>
      <w:r w:rsidRPr="00CE0885">
        <w:rPr>
          <w:lang w:eastAsia="en-GB"/>
        </w:rPr>
        <w:t>ocu</w:t>
      </w:r>
      <w:r w:rsidRPr="00CE0885">
        <w:rPr>
          <w:spacing w:val="-1"/>
          <w:lang w:eastAsia="en-GB"/>
        </w:rPr>
        <w:t>re</w:t>
      </w:r>
      <w:r w:rsidRPr="00CE0885">
        <w:rPr>
          <w:spacing w:val="2"/>
          <w:lang w:eastAsia="en-GB"/>
        </w:rPr>
        <w:t>m</w:t>
      </w:r>
      <w:r w:rsidRPr="00CE0885">
        <w:rPr>
          <w:lang w:eastAsia="en-GB"/>
        </w:rPr>
        <w:t>e</w:t>
      </w:r>
      <w:r w:rsidRPr="00CE0885">
        <w:rPr>
          <w:spacing w:val="-1"/>
          <w:lang w:eastAsia="en-GB"/>
        </w:rPr>
        <w:t>n</w:t>
      </w:r>
      <w:r w:rsidRPr="00CE0885">
        <w:rPr>
          <w:lang w:eastAsia="en-GB"/>
        </w:rPr>
        <w:t>t</w:t>
      </w:r>
      <w:r w:rsidRPr="00CE0885">
        <w:rPr>
          <w:spacing w:val="-12"/>
          <w:lang w:eastAsia="en-GB"/>
        </w:rPr>
        <w:t xml:space="preserve"> </w:t>
      </w:r>
      <w:r w:rsidRPr="00CE0885">
        <w:rPr>
          <w:spacing w:val="-1"/>
          <w:lang w:eastAsia="en-GB"/>
        </w:rPr>
        <w:t>a</w:t>
      </w:r>
      <w:r w:rsidRPr="00CE0885">
        <w:rPr>
          <w:lang w:eastAsia="en-GB"/>
        </w:rPr>
        <w:t>nd co</w:t>
      </w:r>
      <w:r w:rsidRPr="00CE0885">
        <w:rPr>
          <w:spacing w:val="-1"/>
          <w:lang w:eastAsia="en-GB"/>
        </w:rPr>
        <w:t>m</w:t>
      </w:r>
      <w:r w:rsidRPr="00CE0885">
        <w:rPr>
          <w:lang w:eastAsia="en-GB"/>
        </w:rPr>
        <w:t>petiti</w:t>
      </w:r>
      <w:r w:rsidRPr="00CE0885">
        <w:rPr>
          <w:spacing w:val="-1"/>
          <w:lang w:eastAsia="en-GB"/>
        </w:rPr>
        <w:t>o</w:t>
      </w:r>
      <w:r w:rsidRPr="00CE0885">
        <w:rPr>
          <w:lang w:eastAsia="en-GB"/>
        </w:rPr>
        <w:t>n</w:t>
      </w:r>
      <w:r w:rsidRPr="00CE0885">
        <w:rPr>
          <w:spacing w:val="-10"/>
          <w:lang w:eastAsia="en-GB"/>
        </w:rPr>
        <w:t xml:space="preserve"> </w:t>
      </w:r>
      <w:r w:rsidRPr="00CE0885">
        <w:rPr>
          <w:spacing w:val="-3"/>
          <w:lang w:eastAsia="en-GB"/>
        </w:rPr>
        <w:t>w</w:t>
      </w:r>
      <w:r w:rsidRPr="00CE0885">
        <w:rPr>
          <w:lang w:eastAsia="en-GB"/>
        </w:rPr>
        <w:t>hen</w:t>
      </w:r>
      <w:r w:rsidRPr="00CE0885">
        <w:rPr>
          <w:spacing w:val="-4"/>
          <w:lang w:eastAsia="en-GB"/>
        </w:rPr>
        <w:t xml:space="preserve"> </w:t>
      </w:r>
      <w:r w:rsidRPr="00CE0885">
        <w:rPr>
          <w:spacing w:val="-1"/>
          <w:lang w:eastAsia="en-GB"/>
        </w:rPr>
        <w:t>a</w:t>
      </w:r>
      <w:r w:rsidRPr="00CE0885">
        <w:rPr>
          <w:lang w:eastAsia="en-GB"/>
        </w:rPr>
        <w:t>pplying</w:t>
      </w:r>
      <w:r w:rsidRPr="00CE0885">
        <w:rPr>
          <w:spacing w:val="-10"/>
          <w:lang w:eastAsia="en-GB"/>
        </w:rPr>
        <w:t xml:space="preserve"> </w:t>
      </w:r>
      <w:r w:rsidRPr="00CE0885">
        <w:rPr>
          <w:lang w:eastAsia="en-GB"/>
        </w:rPr>
        <w:t>the</w:t>
      </w:r>
      <w:r w:rsidRPr="00CE0885">
        <w:rPr>
          <w:spacing w:val="-1"/>
          <w:lang w:eastAsia="en-GB"/>
        </w:rPr>
        <w:t xml:space="preserve"> g</w:t>
      </w:r>
      <w:r w:rsidRPr="00CE0885">
        <w:rPr>
          <w:lang w:eastAsia="en-GB"/>
        </w:rPr>
        <w:t>uid</w:t>
      </w:r>
      <w:r w:rsidRPr="00CE0885">
        <w:rPr>
          <w:spacing w:val="-1"/>
          <w:lang w:eastAsia="en-GB"/>
        </w:rPr>
        <w:t>a</w:t>
      </w:r>
      <w:r w:rsidRPr="00CE0885">
        <w:rPr>
          <w:lang w:eastAsia="en-GB"/>
        </w:rPr>
        <w:t>nce</w:t>
      </w:r>
      <w:r w:rsidRPr="00CE0885">
        <w:rPr>
          <w:spacing w:val="-8"/>
          <w:lang w:eastAsia="en-GB"/>
        </w:rPr>
        <w:t xml:space="preserve"> </w:t>
      </w:r>
      <w:r w:rsidRPr="00CE0885">
        <w:rPr>
          <w:spacing w:val="-3"/>
          <w:lang w:eastAsia="en-GB"/>
        </w:rPr>
        <w:t>i</w:t>
      </w:r>
      <w:r w:rsidRPr="00CE0885">
        <w:rPr>
          <w:lang w:eastAsia="en-GB"/>
        </w:rPr>
        <w:t>n this</w:t>
      </w:r>
      <w:r w:rsidRPr="00CE0885">
        <w:rPr>
          <w:spacing w:val="-6"/>
          <w:lang w:eastAsia="en-GB"/>
        </w:rPr>
        <w:t xml:space="preserve"> </w:t>
      </w:r>
      <w:r w:rsidRPr="00CE0885">
        <w:rPr>
          <w:lang w:eastAsia="en-GB"/>
        </w:rPr>
        <w:t>policy.</w:t>
      </w:r>
      <w:bookmarkEnd w:id="684"/>
    </w:p>
    <w:p w14:paraId="6DFB36D9" w14:textId="77777777" w:rsidR="00977693" w:rsidRPr="00CE0885" w:rsidRDefault="00977693" w:rsidP="006B781A">
      <w:pPr>
        <w:pStyle w:val="Heading3"/>
        <w:rPr>
          <w:lang w:eastAsia="en-GB"/>
        </w:rPr>
      </w:pPr>
      <w:bookmarkStart w:id="685" w:name="_Toc440981826"/>
      <w:r w:rsidRPr="00CE0885">
        <w:rPr>
          <w:spacing w:val="1"/>
          <w:lang w:eastAsia="en-GB"/>
        </w:rPr>
        <w:t>An</w:t>
      </w:r>
      <w:r w:rsidRPr="00CE0885">
        <w:rPr>
          <w:lang w:eastAsia="en-GB"/>
        </w:rPr>
        <w:t>y</w:t>
      </w:r>
      <w:r w:rsidRPr="00CE0885">
        <w:rPr>
          <w:spacing w:val="-6"/>
          <w:lang w:eastAsia="en-GB"/>
        </w:rPr>
        <w:t xml:space="preserve"> </w:t>
      </w:r>
      <w:r w:rsidRPr="00CE0885">
        <w:rPr>
          <w:lang w:eastAsia="en-GB"/>
        </w:rPr>
        <w:t>c</w:t>
      </w:r>
      <w:r w:rsidRPr="00CE0885">
        <w:rPr>
          <w:spacing w:val="1"/>
          <w:lang w:eastAsia="en-GB"/>
        </w:rPr>
        <w:t>han</w:t>
      </w:r>
      <w:r w:rsidRPr="00CE0885">
        <w:rPr>
          <w:spacing w:val="-1"/>
          <w:lang w:eastAsia="en-GB"/>
        </w:rPr>
        <w:t>g</w:t>
      </w:r>
      <w:r w:rsidRPr="00CE0885">
        <w:rPr>
          <w:spacing w:val="1"/>
          <w:lang w:eastAsia="en-GB"/>
        </w:rPr>
        <w:t>e</w:t>
      </w:r>
      <w:r w:rsidRPr="00CE0885">
        <w:rPr>
          <w:lang w:eastAsia="en-GB"/>
        </w:rPr>
        <w:t>s</w:t>
      </w:r>
      <w:r w:rsidRPr="00CE0885">
        <w:rPr>
          <w:spacing w:val="-9"/>
          <w:lang w:eastAsia="en-GB"/>
        </w:rPr>
        <w:t xml:space="preserve"> </w:t>
      </w:r>
      <w:r w:rsidRPr="00CE0885">
        <w:rPr>
          <w:lang w:eastAsia="en-GB"/>
        </w:rPr>
        <w:t xml:space="preserve">to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par</w:t>
      </w:r>
      <w:r w:rsidRPr="00CE0885">
        <w:rPr>
          <w:spacing w:val="1"/>
          <w:lang w:eastAsia="en-GB"/>
        </w:rPr>
        <w:t>tne</w:t>
      </w:r>
      <w:r w:rsidRPr="00CE0885">
        <w:rPr>
          <w:spacing w:val="-1"/>
          <w:lang w:eastAsia="en-GB"/>
        </w:rPr>
        <w:t>r</w:t>
      </w:r>
      <w:r w:rsidRPr="00CE0885">
        <w:rPr>
          <w:lang w:eastAsia="en-GB"/>
        </w:rPr>
        <w:t>s</w:t>
      </w:r>
      <w:r w:rsidRPr="00CE0885">
        <w:rPr>
          <w:spacing w:val="-9"/>
          <w:lang w:eastAsia="en-GB"/>
        </w:rPr>
        <w:t xml:space="preserve"> </w:t>
      </w:r>
      <w:r w:rsidRPr="00CE0885">
        <w:rPr>
          <w:spacing w:val="-3"/>
          <w:lang w:eastAsia="en-GB"/>
        </w:rPr>
        <w:t>w</w:t>
      </w:r>
      <w:r w:rsidRPr="00CE0885">
        <w:rPr>
          <w:lang w:eastAsia="en-GB"/>
        </w:rPr>
        <w:t>i</w:t>
      </w:r>
      <w:r w:rsidRPr="00CE0885">
        <w:rPr>
          <w:spacing w:val="1"/>
          <w:lang w:eastAsia="en-GB"/>
        </w:rPr>
        <w:t>th</w:t>
      </w:r>
      <w:r w:rsidRPr="00CE0885">
        <w:rPr>
          <w:lang w:eastAsia="en-GB"/>
        </w:rPr>
        <w:t>in</w:t>
      </w:r>
      <w:r w:rsidRPr="00CE0885">
        <w:rPr>
          <w:spacing w:val="-4"/>
          <w:lang w:eastAsia="en-GB"/>
        </w:rPr>
        <w:t xml:space="preserve"> </w:t>
      </w:r>
      <w:r w:rsidRPr="00CE0885">
        <w:rPr>
          <w:lang w:eastAsia="en-GB"/>
        </w:rPr>
        <w:t>a</w:t>
      </w:r>
      <w:r w:rsidRPr="00CE0885">
        <w:rPr>
          <w:spacing w:val="1"/>
          <w:lang w:eastAsia="en-GB"/>
        </w:rPr>
        <w:t xml:space="preserve"> </w:t>
      </w:r>
      <w:r w:rsidRPr="00CE0885">
        <w:rPr>
          <w:lang w:eastAsia="en-GB"/>
        </w:rPr>
        <w:t>c</w:t>
      </w:r>
      <w:r w:rsidRPr="00CE0885">
        <w:rPr>
          <w:spacing w:val="1"/>
          <w:lang w:eastAsia="en-GB"/>
        </w:rPr>
        <w:t>o</w:t>
      </w:r>
      <w:r w:rsidRPr="00CE0885">
        <w:rPr>
          <w:spacing w:val="-1"/>
          <w:lang w:eastAsia="en-GB"/>
        </w:rPr>
        <w:t>n</w:t>
      </w:r>
      <w:r w:rsidRPr="00CE0885">
        <w:rPr>
          <w:spacing w:val="1"/>
          <w:lang w:eastAsia="en-GB"/>
        </w:rPr>
        <w:t>t</w:t>
      </w:r>
      <w:r w:rsidRPr="00CE0885">
        <w:rPr>
          <w:spacing w:val="-1"/>
          <w:lang w:eastAsia="en-GB"/>
        </w:rPr>
        <w:t>r</w:t>
      </w:r>
      <w:r w:rsidRPr="00CE0885">
        <w:rPr>
          <w:spacing w:val="1"/>
          <w:lang w:eastAsia="en-GB"/>
        </w:rPr>
        <w:t>a</w:t>
      </w:r>
      <w:r w:rsidRPr="00CE0885">
        <w:rPr>
          <w:lang w:eastAsia="en-GB"/>
        </w:rPr>
        <w:t>ct</w:t>
      </w:r>
      <w:r w:rsidRPr="00CE0885">
        <w:rPr>
          <w:spacing w:val="-10"/>
          <w:lang w:eastAsia="en-GB"/>
        </w:rPr>
        <w:t xml:space="preserve"> </w:t>
      </w:r>
      <w:r w:rsidRPr="00CE0885">
        <w:rPr>
          <w:spacing w:val="-3"/>
          <w:lang w:eastAsia="en-GB"/>
        </w:rPr>
        <w:t xml:space="preserve">may </w:t>
      </w:r>
      <w:r w:rsidRPr="00CE0885">
        <w:rPr>
          <w:spacing w:val="-1"/>
          <w:lang w:eastAsia="en-GB"/>
        </w:rPr>
        <w:t>r</w:t>
      </w:r>
      <w:r w:rsidRPr="00CE0885">
        <w:rPr>
          <w:spacing w:val="1"/>
          <w:lang w:eastAsia="en-GB"/>
        </w:rPr>
        <w:t>e</w:t>
      </w:r>
      <w:r w:rsidRPr="00CE0885">
        <w:rPr>
          <w:spacing w:val="-1"/>
          <w:lang w:eastAsia="en-GB"/>
        </w:rPr>
        <w:t>q</w:t>
      </w:r>
      <w:r w:rsidRPr="00CE0885">
        <w:rPr>
          <w:spacing w:val="1"/>
          <w:lang w:eastAsia="en-GB"/>
        </w:rPr>
        <w:t>u</w:t>
      </w:r>
      <w:r w:rsidRPr="00CE0885">
        <w:rPr>
          <w:lang w:eastAsia="en-GB"/>
        </w:rPr>
        <w:t>i</w:t>
      </w:r>
      <w:r w:rsidRPr="00CE0885">
        <w:rPr>
          <w:spacing w:val="-1"/>
          <w:lang w:eastAsia="en-GB"/>
        </w:rPr>
        <w:t>r</w:t>
      </w:r>
      <w:r w:rsidRPr="00CE0885">
        <w:rPr>
          <w:lang w:eastAsia="en-GB"/>
        </w:rPr>
        <w:t>e</w:t>
      </w:r>
      <w:r w:rsidRPr="00CE0885">
        <w:rPr>
          <w:spacing w:val="-5"/>
          <w:lang w:eastAsia="en-GB"/>
        </w:rPr>
        <w:t xml:space="preserve"> </w:t>
      </w:r>
      <w:r w:rsidRPr="00CE0885">
        <w:rPr>
          <w:lang w:eastAsia="en-GB"/>
        </w:rPr>
        <w:t>a</w:t>
      </w:r>
      <w:r w:rsidRPr="00CE0885">
        <w:rPr>
          <w:spacing w:val="1"/>
          <w:lang w:eastAsia="en-GB"/>
        </w:rPr>
        <w:t xml:space="preserve"> ne</w:t>
      </w:r>
      <w:r w:rsidRPr="00CE0885">
        <w:rPr>
          <w:lang w:eastAsia="en-GB"/>
        </w:rPr>
        <w:t xml:space="preserve">w </w:t>
      </w:r>
      <w:r w:rsidRPr="00CE0885">
        <w:rPr>
          <w:spacing w:val="-1"/>
          <w:lang w:eastAsia="en-GB"/>
        </w:rPr>
        <w:t>r</w:t>
      </w:r>
      <w:r w:rsidRPr="00CE0885">
        <w:rPr>
          <w:spacing w:val="1"/>
          <w:lang w:eastAsia="en-GB"/>
        </w:rPr>
        <w:t>e</w:t>
      </w:r>
      <w:r w:rsidRPr="00CE0885">
        <w:rPr>
          <w:spacing w:val="-1"/>
          <w:lang w:eastAsia="en-GB"/>
        </w:rPr>
        <w:t>g</w:t>
      </w:r>
      <w:r w:rsidRPr="00CE0885">
        <w:rPr>
          <w:lang w:eastAsia="en-GB"/>
        </w:rPr>
        <w:t>is</w:t>
      </w:r>
      <w:r w:rsidRPr="00CE0885">
        <w:rPr>
          <w:spacing w:val="1"/>
          <w:lang w:eastAsia="en-GB"/>
        </w:rPr>
        <w:t>t</w:t>
      </w:r>
      <w:r w:rsidRPr="00CE0885">
        <w:rPr>
          <w:spacing w:val="-1"/>
          <w:lang w:eastAsia="en-GB"/>
        </w:rPr>
        <w:t>r</w:t>
      </w:r>
      <w:r w:rsidRPr="00CE0885">
        <w:rPr>
          <w:spacing w:val="1"/>
          <w:lang w:eastAsia="en-GB"/>
        </w:rPr>
        <w:t>at</w:t>
      </w:r>
      <w:r w:rsidRPr="00CE0885">
        <w:rPr>
          <w:lang w:eastAsia="en-GB"/>
        </w:rPr>
        <w:t>i</w:t>
      </w:r>
      <w:r w:rsidRPr="00CE0885">
        <w:rPr>
          <w:spacing w:val="1"/>
          <w:lang w:eastAsia="en-GB"/>
        </w:rPr>
        <w:t>o</w:t>
      </w:r>
      <w:r w:rsidRPr="00CE0885">
        <w:rPr>
          <w:lang w:eastAsia="en-GB"/>
        </w:rPr>
        <w:t>n</w:t>
      </w:r>
      <w:r w:rsidRPr="00CE0885">
        <w:rPr>
          <w:spacing w:val="-10"/>
          <w:lang w:eastAsia="en-GB"/>
        </w:rPr>
        <w:t xml:space="preserve"> </w:t>
      </w:r>
      <w:r w:rsidRPr="00CE0885">
        <w:rPr>
          <w:spacing w:val="-3"/>
          <w:lang w:eastAsia="en-GB"/>
        </w:rPr>
        <w:t>w</w:t>
      </w:r>
      <w:r w:rsidRPr="00CE0885">
        <w:rPr>
          <w:lang w:eastAsia="en-GB"/>
        </w:rPr>
        <w:t>i</w:t>
      </w:r>
      <w:r w:rsidRPr="00CE0885">
        <w:rPr>
          <w:spacing w:val="1"/>
          <w:lang w:eastAsia="en-GB"/>
        </w:rPr>
        <w:t>t</w:t>
      </w:r>
      <w:r w:rsidRPr="00CE0885">
        <w:rPr>
          <w:lang w:eastAsia="en-GB"/>
        </w:rPr>
        <w:t>h the C</w:t>
      </w:r>
      <w:r w:rsidRPr="00CE0885">
        <w:rPr>
          <w:spacing w:val="1"/>
          <w:lang w:eastAsia="en-GB"/>
        </w:rPr>
        <w:t>Q</w:t>
      </w:r>
      <w:r w:rsidRPr="00CE0885">
        <w:rPr>
          <w:lang w:eastAsia="en-GB"/>
        </w:rPr>
        <w:t>C.</w:t>
      </w:r>
      <w:bookmarkEnd w:id="685"/>
    </w:p>
    <w:p w14:paraId="597411E0" w14:textId="77777777" w:rsidR="00977693" w:rsidRPr="009055A7" w:rsidRDefault="00977693" w:rsidP="00977693">
      <w:pPr>
        <w:widowControl w:val="0"/>
        <w:spacing w:line="360" w:lineRule="auto"/>
        <w:ind w:left="1414"/>
        <w:jc w:val="both"/>
        <w:rPr>
          <w:rFonts w:cs="Arial"/>
          <w:bCs w:val="0"/>
          <w:sz w:val="20"/>
          <w:szCs w:val="20"/>
          <w:lang w:eastAsia="en-GB"/>
        </w:rPr>
      </w:pPr>
    </w:p>
    <w:p w14:paraId="54DE9FB5" w14:textId="77777777" w:rsidR="00977693" w:rsidRPr="00CE0885" w:rsidRDefault="00977693" w:rsidP="00202DD3">
      <w:pPr>
        <w:pStyle w:val="Heading2"/>
        <w:rPr>
          <w:lang w:eastAsia="en-GB"/>
        </w:rPr>
      </w:pPr>
      <w:bookmarkStart w:id="686" w:name="_Toc440981827"/>
      <w:bookmarkStart w:id="687" w:name="_Toc498495393"/>
      <w:r w:rsidRPr="00CE0885">
        <w:rPr>
          <w:lang w:eastAsia="en-GB"/>
        </w:rPr>
        <w:t>Twenty-Four Hour Retirement</w:t>
      </w:r>
      <w:bookmarkEnd w:id="686"/>
      <w:bookmarkEnd w:id="687"/>
    </w:p>
    <w:p w14:paraId="7BA1BAB7" w14:textId="77777777" w:rsidR="00977693" w:rsidRPr="00CE0885" w:rsidRDefault="00977693" w:rsidP="006B781A">
      <w:pPr>
        <w:pStyle w:val="Heading3"/>
        <w:rPr>
          <w:lang w:eastAsia="en-GB"/>
        </w:rPr>
      </w:pPr>
      <w:bookmarkStart w:id="688" w:name="_Toc440981828"/>
      <w:r w:rsidRPr="00CE0885">
        <w:rPr>
          <w:spacing w:val="1"/>
          <w:lang w:eastAsia="en-GB"/>
        </w:rPr>
        <w:t>24</w:t>
      </w:r>
      <w:r w:rsidRPr="00CE0885">
        <w:rPr>
          <w:spacing w:val="-1"/>
          <w:lang w:eastAsia="en-GB"/>
        </w:rPr>
        <w:t>-</w:t>
      </w:r>
      <w:r w:rsidRPr="00CE0885">
        <w:rPr>
          <w:spacing w:val="1"/>
          <w:lang w:eastAsia="en-GB"/>
        </w:rPr>
        <w:t>h</w:t>
      </w:r>
      <w:r w:rsidRPr="00CE0885">
        <w:rPr>
          <w:spacing w:val="-1"/>
          <w:lang w:eastAsia="en-GB"/>
        </w:rPr>
        <w:t>o</w:t>
      </w:r>
      <w:r w:rsidRPr="00CE0885">
        <w:rPr>
          <w:spacing w:val="1"/>
          <w:lang w:eastAsia="en-GB"/>
        </w:rPr>
        <w:t>u</w:t>
      </w:r>
      <w:r w:rsidRPr="00CE0885">
        <w:rPr>
          <w:lang w:eastAsia="en-GB"/>
        </w:rPr>
        <w:t>r</w:t>
      </w:r>
      <w:r w:rsidRPr="00CE0885">
        <w:rPr>
          <w:spacing w:val="-8"/>
          <w:lang w:eastAsia="en-GB"/>
        </w:rPr>
        <w:t xml:space="preserve"> </w:t>
      </w:r>
      <w:r w:rsidRPr="00CE0885">
        <w:rPr>
          <w:spacing w:val="-1"/>
          <w:lang w:eastAsia="en-GB"/>
        </w:rPr>
        <w:t>r</w:t>
      </w:r>
      <w:r w:rsidRPr="00CE0885">
        <w:rPr>
          <w:spacing w:val="1"/>
          <w:lang w:eastAsia="en-GB"/>
        </w:rPr>
        <w:t>et</w:t>
      </w:r>
      <w:r w:rsidRPr="00CE0885">
        <w:rPr>
          <w:lang w:eastAsia="en-GB"/>
        </w:rPr>
        <w:t>i</w:t>
      </w:r>
      <w:r w:rsidRPr="00CE0885">
        <w:rPr>
          <w:spacing w:val="-1"/>
          <w:lang w:eastAsia="en-GB"/>
        </w:rPr>
        <w:t>r</w:t>
      </w:r>
      <w:r w:rsidRPr="00CE0885">
        <w:rPr>
          <w:spacing w:val="1"/>
          <w:lang w:eastAsia="en-GB"/>
        </w:rPr>
        <w:t>e</w:t>
      </w:r>
      <w:r w:rsidRPr="00CE0885">
        <w:rPr>
          <w:spacing w:val="-1"/>
          <w:lang w:eastAsia="en-GB"/>
        </w:rPr>
        <w:t>m</w:t>
      </w:r>
      <w:r w:rsidRPr="00CE0885">
        <w:rPr>
          <w:spacing w:val="1"/>
          <w:lang w:eastAsia="en-GB"/>
        </w:rPr>
        <w:t>en</w:t>
      </w:r>
      <w:r w:rsidRPr="00CE0885">
        <w:rPr>
          <w:lang w:eastAsia="en-GB"/>
        </w:rPr>
        <w:t>t</w:t>
      </w:r>
      <w:r w:rsidRPr="00CE0885">
        <w:rPr>
          <w:spacing w:val="-12"/>
          <w:lang w:eastAsia="en-GB"/>
        </w:rPr>
        <w:t xml:space="preserve"> </w:t>
      </w:r>
      <w:r w:rsidRPr="00CE0885">
        <w:rPr>
          <w:lang w:eastAsia="en-GB"/>
        </w:rPr>
        <w:t>is</w:t>
      </w:r>
      <w:r w:rsidRPr="00CE0885">
        <w:rPr>
          <w:spacing w:val="-2"/>
          <w:lang w:eastAsia="en-GB"/>
        </w:rPr>
        <w:t xml:space="preserve"> </w:t>
      </w:r>
      <w:r w:rsidRPr="00CE0885">
        <w:rPr>
          <w:lang w:eastAsia="en-GB"/>
        </w:rPr>
        <w:t>a</w:t>
      </w:r>
      <w:r w:rsidRPr="00CE0885">
        <w:rPr>
          <w:spacing w:val="-2"/>
          <w:lang w:eastAsia="en-GB"/>
        </w:rPr>
        <w:t xml:space="preserve"> </w:t>
      </w:r>
      <w:r w:rsidRPr="00CE0885">
        <w:rPr>
          <w:spacing w:val="1"/>
          <w:lang w:eastAsia="en-GB"/>
        </w:rPr>
        <w:t>p</w:t>
      </w:r>
      <w:r w:rsidRPr="00CE0885">
        <w:rPr>
          <w:spacing w:val="-1"/>
          <w:lang w:eastAsia="en-GB"/>
        </w:rPr>
        <w:t>r</w:t>
      </w:r>
      <w:r w:rsidRPr="00CE0885">
        <w:rPr>
          <w:spacing w:val="1"/>
          <w:lang w:eastAsia="en-GB"/>
        </w:rPr>
        <w:t>o</w:t>
      </w:r>
      <w:r w:rsidRPr="00CE0885">
        <w:rPr>
          <w:lang w:eastAsia="en-GB"/>
        </w:rPr>
        <w:t>c</w:t>
      </w:r>
      <w:r w:rsidRPr="00CE0885">
        <w:rPr>
          <w:spacing w:val="1"/>
          <w:lang w:eastAsia="en-GB"/>
        </w:rPr>
        <w:t>e</w:t>
      </w:r>
      <w:r w:rsidRPr="00CE0885">
        <w:rPr>
          <w:lang w:eastAsia="en-GB"/>
        </w:rPr>
        <w:t>ss</w:t>
      </w:r>
      <w:r w:rsidRPr="00CE0885">
        <w:rPr>
          <w:spacing w:val="-10"/>
          <w:lang w:eastAsia="en-GB"/>
        </w:rPr>
        <w:t xml:space="preserve"> </w:t>
      </w:r>
      <w:r w:rsidRPr="00CE0885">
        <w:rPr>
          <w:spacing w:val="1"/>
          <w:lang w:eastAsia="en-GB"/>
        </w:rPr>
        <w:t>b</w:t>
      </w:r>
      <w:r w:rsidRPr="00CE0885">
        <w:rPr>
          <w:lang w:eastAsia="en-GB"/>
        </w:rPr>
        <w:t>y</w:t>
      </w:r>
      <w:r w:rsidRPr="00CE0885">
        <w:rPr>
          <w:spacing w:val="-5"/>
          <w:lang w:eastAsia="en-GB"/>
        </w:rPr>
        <w:t xml:space="preserve"> </w:t>
      </w:r>
      <w:r w:rsidRPr="00CE0885">
        <w:rPr>
          <w:spacing w:val="-3"/>
          <w:lang w:eastAsia="en-GB"/>
        </w:rPr>
        <w:t>w</w:t>
      </w:r>
      <w:r w:rsidRPr="00CE0885">
        <w:rPr>
          <w:spacing w:val="1"/>
          <w:lang w:eastAsia="en-GB"/>
        </w:rPr>
        <w:t>h</w:t>
      </w:r>
      <w:r w:rsidRPr="00CE0885">
        <w:rPr>
          <w:lang w:eastAsia="en-GB"/>
        </w:rPr>
        <w:t>ich</w:t>
      </w:r>
      <w:r w:rsidRPr="00CE0885">
        <w:rPr>
          <w:spacing w:val="-4"/>
          <w:lang w:eastAsia="en-GB"/>
        </w:rPr>
        <w:t xml:space="preserve"> </w:t>
      </w:r>
      <w:r w:rsidRPr="00CE0885">
        <w:rPr>
          <w:spacing w:val="2"/>
          <w:lang w:eastAsia="en-GB"/>
        </w:rPr>
        <w:t>m</w:t>
      </w:r>
      <w:r w:rsidRPr="00CE0885">
        <w:rPr>
          <w:spacing w:val="1"/>
          <w:lang w:eastAsia="en-GB"/>
        </w:rPr>
        <w:t>e</w:t>
      </w:r>
      <w:r w:rsidRPr="00CE0885">
        <w:rPr>
          <w:spacing w:val="2"/>
          <w:lang w:eastAsia="en-GB"/>
        </w:rPr>
        <w:t>m</w:t>
      </w:r>
      <w:r w:rsidRPr="00CE0885">
        <w:rPr>
          <w:spacing w:val="1"/>
          <w:lang w:eastAsia="en-GB"/>
        </w:rPr>
        <w:t>be</w:t>
      </w:r>
      <w:r w:rsidRPr="00CE0885">
        <w:rPr>
          <w:spacing w:val="-1"/>
          <w:lang w:eastAsia="en-GB"/>
        </w:rPr>
        <w:t>r</w:t>
      </w:r>
      <w:r w:rsidRPr="00CE0885">
        <w:rPr>
          <w:lang w:eastAsia="en-GB"/>
        </w:rPr>
        <w:t>s</w:t>
      </w:r>
      <w:r w:rsidRPr="00CE0885">
        <w:rPr>
          <w:spacing w:val="-12"/>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2"/>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NHS</w:t>
      </w:r>
      <w:r w:rsidRPr="00CE0885">
        <w:rPr>
          <w:spacing w:val="-6"/>
          <w:lang w:eastAsia="en-GB"/>
        </w:rPr>
        <w:t xml:space="preserve"> </w:t>
      </w:r>
      <w:r w:rsidRPr="00CE0885">
        <w:rPr>
          <w:spacing w:val="1"/>
          <w:lang w:eastAsia="en-GB"/>
        </w:rPr>
        <w:t>p</w:t>
      </w:r>
      <w:r w:rsidRPr="00CE0885">
        <w:rPr>
          <w:spacing w:val="-1"/>
          <w:lang w:eastAsia="en-GB"/>
        </w:rPr>
        <w:t>en</w:t>
      </w:r>
      <w:r w:rsidRPr="00CE0885">
        <w:rPr>
          <w:lang w:eastAsia="en-GB"/>
        </w:rPr>
        <w:t>si</w:t>
      </w:r>
      <w:r w:rsidRPr="00CE0885">
        <w:rPr>
          <w:spacing w:val="1"/>
          <w:lang w:eastAsia="en-GB"/>
        </w:rPr>
        <w:t>o</w:t>
      </w:r>
      <w:r w:rsidRPr="00CE0885">
        <w:rPr>
          <w:lang w:eastAsia="en-GB"/>
        </w:rPr>
        <w:t>n sc</w:t>
      </w:r>
      <w:r w:rsidRPr="00CE0885">
        <w:rPr>
          <w:spacing w:val="1"/>
          <w:lang w:eastAsia="en-GB"/>
        </w:rPr>
        <w:t>he</w:t>
      </w:r>
      <w:r w:rsidRPr="00CE0885">
        <w:rPr>
          <w:spacing w:val="-1"/>
          <w:lang w:eastAsia="en-GB"/>
        </w:rPr>
        <w:t>m</w:t>
      </w:r>
      <w:r w:rsidRPr="00CE0885">
        <w:rPr>
          <w:lang w:eastAsia="en-GB"/>
        </w:rPr>
        <w:t>e</w:t>
      </w:r>
      <w:r w:rsidRPr="00CE0885">
        <w:rPr>
          <w:spacing w:val="-6"/>
          <w:lang w:eastAsia="en-GB"/>
        </w:rPr>
        <w:t xml:space="preserve"> </w:t>
      </w:r>
      <w:r w:rsidRPr="00CE0885">
        <w:rPr>
          <w:lang w:eastAsia="en-GB"/>
        </w:rPr>
        <w:t>s</w:t>
      </w:r>
      <w:r w:rsidRPr="00CE0885">
        <w:rPr>
          <w:spacing w:val="-1"/>
          <w:lang w:eastAsia="en-GB"/>
        </w:rPr>
        <w:t>e</w:t>
      </w:r>
      <w:r w:rsidRPr="00CE0885">
        <w:rPr>
          <w:spacing w:val="1"/>
          <w:lang w:eastAsia="en-GB"/>
        </w:rPr>
        <w:t>e</w:t>
      </w:r>
      <w:r w:rsidRPr="00CE0885">
        <w:rPr>
          <w:lang w:eastAsia="en-GB"/>
        </w:rPr>
        <w:t>k</w:t>
      </w:r>
      <w:r w:rsidRPr="00CE0885">
        <w:rPr>
          <w:spacing w:val="-5"/>
          <w:lang w:eastAsia="en-GB"/>
        </w:rPr>
        <w:t xml:space="preserve"> </w:t>
      </w:r>
      <w:r w:rsidRPr="00CE0885">
        <w:rPr>
          <w:spacing w:val="-2"/>
          <w:lang w:eastAsia="en-GB"/>
        </w:rPr>
        <w:t>t</w:t>
      </w:r>
      <w:r w:rsidRPr="00CE0885">
        <w:rPr>
          <w:lang w:eastAsia="en-GB"/>
        </w:rPr>
        <w:t xml:space="preserve">o </w:t>
      </w:r>
      <w:r w:rsidRPr="00CE0885">
        <w:rPr>
          <w:spacing w:val="-1"/>
          <w:lang w:eastAsia="en-GB"/>
        </w:rPr>
        <w:t>q</w:t>
      </w:r>
      <w:r w:rsidRPr="00CE0885">
        <w:rPr>
          <w:spacing w:val="1"/>
          <w:lang w:eastAsia="en-GB"/>
        </w:rPr>
        <w:t>ua</w:t>
      </w:r>
      <w:r w:rsidRPr="00CE0885">
        <w:rPr>
          <w:lang w:eastAsia="en-GB"/>
        </w:rPr>
        <w:t>l</w:t>
      </w:r>
      <w:r w:rsidRPr="00CE0885">
        <w:rPr>
          <w:spacing w:val="-3"/>
          <w:lang w:eastAsia="en-GB"/>
        </w:rPr>
        <w:t>i</w:t>
      </w:r>
      <w:r w:rsidRPr="00CE0885">
        <w:rPr>
          <w:spacing w:val="3"/>
          <w:lang w:eastAsia="en-GB"/>
        </w:rPr>
        <w:t>f</w:t>
      </w:r>
      <w:r w:rsidRPr="00CE0885">
        <w:rPr>
          <w:lang w:eastAsia="en-GB"/>
        </w:rPr>
        <w:t>y</w:t>
      </w:r>
      <w:r w:rsidRPr="00CE0885">
        <w:rPr>
          <w:spacing w:val="-9"/>
          <w:lang w:eastAsia="en-GB"/>
        </w:rPr>
        <w:t xml:space="preserve"> </w:t>
      </w:r>
      <w:r w:rsidRPr="00CE0885">
        <w:rPr>
          <w:spacing w:val="1"/>
          <w:lang w:eastAsia="en-GB"/>
        </w:rPr>
        <w:t>fo</w:t>
      </w:r>
      <w:r w:rsidRPr="00CE0885">
        <w:rPr>
          <w:lang w:eastAsia="en-GB"/>
        </w:rPr>
        <w:t>r</w:t>
      </w:r>
      <w:r w:rsidRPr="00CE0885">
        <w:rPr>
          <w:spacing w:val="-3"/>
          <w:lang w:eastAsia="en-GB"/>
        </w:rPr>
        <w:t xml:space="preserve"> </w:t>
      </w:r>
      <w:r w:rsidRPr="00CE0885">
        <w:rPr>
          <w:spacing w:val="1"/>
          <w:lang w:eastAsia="en-GB"/>
        </w:rPr>
        <w:t>t</w:t>
      </w:r>
      <w:r w:rsidRPr="00CE0885">
        <w:rPr>
          <w:spacing w:val="-1"/>
          <w:lang w:eastAsia="en-GB"/>
        </w:rPr>
        <w:t>h</w:t>
      </w:r>
      <w:r w:rsidRPr="00CE0885">
        <w:rPr>
          <w:spacing w:val="1"/>
          <w:lang w:eastAsia="en-GB"/>
        </w:rPr>
        <w:t>e</w:t>
      </w:r>
      <w:r w:rsidRPr="00CE0885">
        <w:rPr>
          <w:lang w:eastAsia="en-GB"/>
        </w:rPr>
        <w:t>ir</w:t>
      </w:r>
      <w:r w:rsidRPr="00CE0885">
        <w:rPr>
          <w:spacing w:val="-5"/>
          <w:lang w:eastAsia="en-GB"/>
        </w:rPr>
        <w:t xml:space="preserve"> </w:t>
      </w:r>
      <w:r w:rsidRPr="00CE0885">
        <w:rPr>
          <w:spacing w:val="-1"/>
          <w:lang w:eastAsia="en-GB"/>
        </w:rPr>
        <w:t>r</w:t>
      </w:r>
      <w:r w:rsidRPr="00CE0885">
        <w:rPr>
          <w:spacing w:val="1"/>
          <w:lang w:eastAsia="en-GB"/>
        </w:rPr>
        <w:t>et</w:t>
      </w:r>
      <w:r w:rsidRPr="00CE0885">
        <w:rPr>
          <w:lang w:eastAsia="en-GB"/>
        </w:rPr>
        <w:t>i</w:t>
      </w:r>
      <w:r w:rsidRPr="00CE0885">
        <w:rPr>
          <w:spacing w:val="-1"/>
          <w:lang w:eastAsia="en-GB"/>
        </w:rPr>
        <w:t>r</w:t>
      </w:r>
      <w:r w:rsidRPr="00CE0885">
        <w:rPr>
          <w:spacing w:val="1"/>
          <w:lang w:eastAsia="en-GB"/>
        </w:rPr>
        <w:t>e</w:t>
      </w:r>
      <w:r w:rsidRPr="00CE0885">
        <w:rPr>
          <w:spacing w:val="-1"/>
          <w:lang w:eastAsia="en-GB"/>
        </w:rPr>
        <w:t>m</w:t>
      </w:r>
      <w:r w:rsidRPr="00CE0885">
        <w:rPr>
          <w:spacing w:val="1"/>
          <w:lang w:eastAsia="en-GB"/>
        </w:rPr>
        <w:t>en</w:t>
      </w:r>
      <w:r w:rsidRPr="00CE0885">
        <w:rPr>
          <w:lang w:eastAsia="en-GB"/>
        </w:rPr>
        <w:t>t</w:t>
      </w:r>
      <w:r w:rsidRPr="00CE0885">
        <w:rPr>
          <w:spacing w:val="-12"/>
          <w:lang w:eastAsia="en-GB"/>
        </w:rPr>
        <w:t xml:space="preserve"> </w:t>
      </w:r>
      <w:r w:rsidRPr="00CE0885">
        <w:rPr>
          <w:spacing w:val="1"/>
          <w:lang w:eastAsia="en-GB"/>
        </w:rPr>
        <w:t>b</w:t>
      </w:r>
      <w:r w:rsidRPr="00CE0885">
        <w:rPr>
          <w:spacing w:val="-1"/>
          <w:lang w:eastAsia="en-GB"/>
        </w:rPr>
        <w:t>e</w:t>
      </w:r>
      <w:r w:rsidRPr="00CE0885">
        <w:rPr>
          <w:spacing w:val="1"/>
          <w:lang w:eastAsia="en-GB"/>
        </w:rPr>
        <w:t>n</w:t>
      </w:r>
      <w:r w:rsidRPr="00CE0885">
        <w:rPr>
          <w:spacing w:val="-1"/>
          <w:lang w:eastAsia="en-GB"/>
        </w:rPr>
        <w:t>e</w:t>
      </w:r>
      <w:r w:rsidRPr="00CE0885">
        <w:rPr>
          <w:spacing w:val="3"/>
          <w:lang w:eastAsia="en-GB"/>
        </w:rPr>
        <w:t>f</w:t>
      </w:r>
      <w:r w:rsidRPr="00CE0885">
        <w:rPr>
          <w:lang w:eastAsia="en-GB"/>
        </w:rPr>
        <w:t>i</w:t>
      </w:r>
      <w:r w:rsidRPr="00CE0885">
        <w:rPr>
          <w:spacing w:val="1"/>
          <w:lang w:eastAsia="en-GB"/>
        </w:rPr>
        <w:t>t</w:t>
      </w:r>
      <w:r w:rsidRPr="00CE0885">
        <w:rPr>
          <w:lang w:eastAsia="en-GB"/>
        </w:rPr>
        <w:t>s</w:t>
      </w:r>
      <w:r w:rsidRPr="00CE0885">
        <w:rPr>
          <w:spacing w:val="-8"/>
          <w:lang w:eastAsia="en-GB"/>
        </w:rPr>
        <w:t xml:space="preserve"> </w:t>
      </w:r>
      <w:r w:rsidRPr="00CE0885">
        <w:rPr>
          <w:spacing w:val="-3"/>
          <w:lang w:eastAsia="en-GB"/>
        </w:rPr>
        <w:t>w</w:t>
      </w:r>
      <w:r w:rsidRPr="00CE0885">
        <w:rPr>
          <w:spacing w:val="1"/>
          <w:lang w:eastAsia="en-GB"/>
        </w:rPr>
        <w:t>h</w:t>
      </w:r>
      <w:r w:rsidRPr="00CE0885">
        <w:rPr>
          <w:lang w:eastAsia="en-GB"/>
        </w:rPr>
        <w:t>ilst</w:t>
      </w:r>
      <w:r w:rsidRPr="00CE0885">
        <w:rPr>
          <w:spacing w:val="-5"/>
          <w:lang w:eastAsia="en-GB"/>
        </w:rPr>
        <w:t xml:space="preserve"> </w:t>
      </w:r>
      <w:r w:rsidRPr="00CE0885">
        <w:rPr>
          <w:lang w:eastAsia="en-GB"/>
        </w:rPr>
        <w:t>c</w:t>
      </w:r>
      <w:r w:rsidRPr="00CE0885">
        <w:rPr>
          <w:spacing w:val="1"/>
          <w:lang w:eastAsia="en-GB"/>
        </w:rPr>
        <w:t>ont</w:t>
      </w:r>
      <w:r w:rsidRPr="00CE0885">
        <w:rPr>
          <w:lang w:eastAsia="en-GB"/>
        </w:rPr>
        <w:t>i</w:t>
      </w:r>
      <w:r w:rsidRPr="00CE0885">
        <w:rPr>
          <w:spacing w:val="-1"/>
          <w:lang w:eastAsia="en-GB"/>
        </w:rPr>
        <w:t>n</w:t>
      </w:r>
      <w:r w:rsidRPr="00CE0885">
        <w:rPr>
          <w:spacing w:val="1"/>
          <w:lang w:eastAsia="en-GB"/>
        </w:rPr>
        <w:t>u</w:t>
      </w:r>
      <w:r w:rsidRPr="00CE0885">
        <w:rPr>
          <w:lang w:eastAsia="en-GB"/>
        </w:rPr>
        <w:t>i</w:t>
      </w:r>
      <w:r w:rsidRPr="00CE0885">
        <w:rPr>
          <w:spacing w:val="1"/>
          <w:lang w:eastAsia="en-GB"/>
        </w:rPr>
        <w:t>n</w:t>
      </w:r>
      <w:r w:rsidRPr="00CE0885">
        <w:rPr>
          <w:lang w:eastAsia="en-GB"/>
        </w:rPr>
        <w:t>g</w:t>
      </w:r>
      <w:r w:rsidRPr="00CE0885">
        <w:rPr>
          <w:spacing w:val="-12"/>
          <w:lang w:eastAsia="en-GB"/>
        </w:rPr>
        <w:t xml:space="preserve"> </w:t>
      </w:r>
      <w:r w:rsidRPr="00CE0885">
        <w:rPr>
          <w:spacing w:val="1"/>
          <w:lang w:eastAsia="en-GB"/>
        </w:rPr>
        <w:t>t</w:t>
      </w:r>
      <w:r w:rsidRPr="00CE0885">
        <w:rPr>
          <w:lang w:eastAsia="en-GB"/>
        </w:rPr>
        <w:t xml:space="preserve">o </w:t>
      </w:r>
      <w:r w:rsidRPr="00CE0885">
        <w:rPr>
          <w:spacing w:val="-3"/>
          <w:lang w:eastAsia="en-GB"/>
        </w:rPr>
        <w:t>w</w:t>
      </w:r>
      <w:r w:rsidRPr="00CE0885">
        <w:rPr>
          <w:spacing w:val="1"/>
          <w:lang w:eastAsia="en-GB"/>
        </w:rPr>
        <w:t>o</w:t>
      </w:r>
      <w:r w:rsidRPr="00CE0885">
        <w:rPr>
          <w:spacing w:val="-1"/>
          <w:lang w:eastAsia="en-GB"/>
        </w:rPr>
        <w:t>r</w:t>
      </w:r>
      <w:r w:rsidRPr="00CE0885">
        <w:rPr>
          <w:lang w:eastAsia="en-GB"/>
        </w:rPr>
        <w:t>k</w:t>
      </w:r>
      <w:r w:rsidRPr="00CE0885">
        <w:rPr>
          <w:spacing w:val="-5"/>
          <w:lang w:eastAsia="en-GB"/>
        </w:rPr>
        <w:t xml:space="preserve"> </w:t>
      </w:r>
      <w:r w:rsidRPr="00CE0885">
        <w:rPr>
          <w:spacing w:val="-1"/>
          <w:lang w:eastAsia="en-GB"/>
        </w:rPr>
        <w:t>(</w:t>
      </w:r>
      <w:r w:rsidRPr="00CE0885">
        <w:rPr>
          <w:spacing w:val="1"/>
          <w:lang w:eastAsia="en-GB"/>
        </w:rPr>
        <w:t>a</w:t>
      </w:r>
      <w:r w:rsidRPr="00CE0885">
        <w:rPr>
          <w:lang w:eastAsia="en-GB"/>
        </w:rPr>
        <w:t>l</w:t>
      </w:r>
      <w:r w:rsidRPr="00CE0885">
        <w:rPr>
          <w:spacing w:val="1"/>
          <w:lang w:eastAsia="en-GB"/>
        </w:rPr>
        <w:t>be</w:t>
      </w:r>
      <w:r w:rsidRPr="00CE0885">
        <w:rPr>
          <w:lang w:eastAsia="en-GB"/>
        </w:rPr>
        <w:t>it</w:t>
      </w:r>
      <w:r w:rsidRPr="00CE0885">
        <w:rPr>
          <w:spacing w:val="-6"/>
          <w:lang w:eastAsia="en-GB"/>
        </w:rPr>
        <w:t xml:space="preserve"> </w:t>
      </w:r>
      <w:r w:rsidRPr="00CE0885">
        <w:rPr>
          <w:lang w:eastAsia="en-GB"/>
        </w:rPr>
        <w:t>wi</w:t>
      </w:r>
      <w:r w:rsidRPr="00CE0885">
        <w:rPr>
          <w:spacing w:val="1"/>
          <w:lang w:eastAsia="en-GB"/>
        </w:rPr>
        <w:t>t</w:t>
      </w:r>
      <w:r w:rsidRPr="00CE0885">
        <w:rPr>
          <w:lang w:eastAsia="en-GB"/>
        </w:rPr>
        <w:t>h</w:t>
      </w:r>
      <w:r w:rsidRPr="00CE0885">
        <w:rPr>
          <w:spacing w:val="-2"/>
          <w:lang w:eastAsia="en-GB"/>
        </w:rPr>
        <w:t xml:space="preserve"> </w:t>
      </w:r>
      <w:r w:rsidRPr="00CE0885">
        <w:rPr>
          <w:lang w:eastAsia="en-GB"/>
        </w:rPr>
        <w:t>a</w:t>
      </w:r>
      <w:r w:rsidRPr="00CE0885">
        <w:rPr>
          <w:spacing w:val="1"/>
          <w:lang w:eastAsia="en-GB"/>
        </w:rPr>
        <w:t xml:space="preserve"> b</w:t>
      </w:r>
      <w:r w:rsidRPr="00CE0885">
        <w:rPr>
          <w:spacing w:val="-1"/>
          <w:lang w:eastAsia="en-GB"/>
        </w:rPr>
        <w:t>re</w:t>
      </w:r>
      <w:r w:rsidRPr="00CE0885">
        <w:rPr>
          <w:spacing w:val="1"/>
          <w:lang w:eastAsia="en-GB"/>
        </w:rPr>
        <w:t>a</w:t>
      </w:r>
      <w:r w:rsidRPr="00CE0885">
        <w:rPr>
          <w:lang w:eastAsia="en-GB"/>
        </w:rPr>
        <w:t>k</w:t>
      </w:r>
      <w:r w:rsidRPr="00CE0885">
        <w:rPr>
          <w:spacing w:val="-1"/>
          <w:lang w:eastAsia="en-GB"/>
        </w:rPr>
        <w:t>)</w:t>
      </w:r>
      <w:r w:rsidRPr="00CE0885">
        <w:rPr>
          <w:lang w:eastAsia="en-GB"/>
        </w:rPr>
        <w:t>.</w:t>
      </w:r>
      <w:bookmarkEnd w:id="688"/>
    </w:p>
    <w:p w14:paraId="06850821" w14:textId="77777777" w:rsidR="00977693" w:rsidRPr="00CE0885" w:rsidRDefault="00977693" w:rsidP="006B781A">
      <w:pPr>
        <w:pStyle w:val="Heading3"/>
        <w:rPr>
          <w:lang w:eastAsia="en-GB"/>
        </w:rPr>
      </w:pPr>
      <w:bookmarkStart w:id="689" w:name="_Toc440981829"/>
      <w:r w:rsidRPr="00CE0885">
        <w:rPr>
          <w:spacing w:val="2"/>
          <w:lang w:eastAsia="en-GB"/>
        </w:rPr>
        <w:t xml:space="preserve">24-hour retirement usually involves </w:t>
      </w:r>
      <w:r w:rsidRPr="00CE0885">
        <w:rPr>
          <w:spacing w:val="-1"/>
          <w:lang w:eastAsia="en-GB"/>
        </w:rPr>
        <w:t>r</w:t>
      </w:r>
      <w:r w:rsidRPr="00CE0885">
        <w:rPr>
          <w:spacing w:val="1"/>
          <w:lang w:eastAsia="en-GB"/>
        </w:rPr>
        <w:t>e</w:t>
      </w:r>
      <w:r w:rsidRPr="00CE0885">
        <w:rPr>
          <w:lang w:eastAsia="en-GB"/>
        </w:rPr>
        <w:t>si</w:t>
      </w:r>
      <w:r w:rsidRPr="00CE0885">
        <w:rPr>
          <w:spacing w:val="-1"/>
          <w:lang w:eastAsia="en-GB"/>
        </w:rPr>
        <w:t>g</w:t>
      </w:r>
      <w:r w:rsidRPr="00CE0885">
        <w:rPr>
          <w:lang w:eastAsia="en-GB"/>
        </w:rPr>
        <w:t>ning</w:t>
      </w:r>
      <w:r w:rsidRPr="00CE0885">
        <w:rPr>
          <w:spacing w:val="-5"/>
          <w:lang w:eastAsia="en-GB"/>
        </w:rPr>
        <w:t xml:space="preserve"> </w:t>
      </w:r>
      <w:r w:rsidRPr="00CE0885">
        <w:rPr>
          <w:spacing w:val="3"/>
          <w:lang w:eastAsia="en-GB"/>
        </w:rPr>
        <w:t>f</w:t>
      </w:r>
      <w:r w:rsidRPr="00CE0885">
        <w:rPr>
          <w:spacing w:val="-1"/>
          <w:lang w:eastAsia="en-GB"/>
        </w:rPr>
        <w:t>ro</w:t>
      </w:r>
      <w:r w:rsidRPr="00CE0885">
        <w:rPr>
          <w:lang w:eastAsia="en-GB"/>
        </w:rPr>
        <w:t>m</w:t>
      </w:r>
      <w:r w:rsidRPr="00CE0885">
        <w:rPr>
          <w:spacing w:val="-3"/>
          <w:lang w:eastAsia="en-GB"/>
        </w:rPr>
        <w:t xml:space="preserve"> </w:t>
      </w:r>
      <w:r w:rsidRPr="00CE0885">
        <w:rPr>
          <w:spacing w:val="1"/>
          <w:lang w:eastAsia="en-GB"/>
        </w:rPr>
        <w:t>a</w:t>
      </w:r>
      <w:r w:rsidRPr="00CE0885">
        <w:rPr>
          <w:lang w:eastAsia="en-GB"/>
        </w:rPr>
        <w:t>ll</w:t>
      </w:r>
      <w:r w:rsidRPr="00CE0885">
        <w:rPr>
          <w:spacing w:val="-2"/>
          <w:lang w:eastAsia="en-GB"/>
        </w:rPr>
        <w:t xml:space="preserve"> </w:t>
      </w:r>
      <w:r w:rsidRPr="00CE0885">
        <w:rPr>
          <w:lang w:eastAsia="en-GB"/>
        </w:rPr>
        <w:t>i</w:t>
      </w:r>
      <w:r w:rsidRPr="00CE0885">
        <w:rPr>
          <w:spacing w:val="1"/>
          <w:lang w:eastAsia="en-GB"/>
        </w:rPr>
        <w:t>n</w:t>
      </w:r>
      <w:r w:rsidRPr="00CE0885">
        <w:rPr>
          <w:spacing w:val="-2"/>
          <w:lang w:eastAsia="en-GB"/>
        </w:rPr>
        <w:t>v</w:t>
      </w:r>
      <w:r w:rsidRPr="00CE0885">
        <w:rPr>
          <w:spacing w:val="1"/>
          <w:lang w:eastAsia="en-GB"/>
        </w:rPr>
        <w:t>o</w:t>
      </w:r>
      <w:r w:rsidRPr="00CE0885">
        <w:rPr>
          <w:lang w:eastAsia="en-GB"/>
        </w:rPr>
        <w:t>l</w:t>
      </w:r>
      <w:r w:rsidRPr="00CE0885">
        <w:rPr>
          <w:spacing w:val="-2"/>
          <w:lang w:eastAsia="en-GB"/>
        </w:rPr>
        <w:t>v</w:t>
      </w:r>
      <w:r w:rsidRPr="00CE0885">
        <w:rPr>
          <w:spacing w:val="1"/>
          <w:lang w:eastAsia="en-GB"/>
        </w:rPr>
        <w:t>e</w:t>
      </w:r>
      <w:r w:rsidRPr="00CE0885">
        <w:rPr>
          <w:spacing w:val="2"/>
          <w:lang w:eastAsia="en-GB"/>
        </w:rPr>
        <w:t>m</w:t>
      </w:r>
      <w:r w:rsidRPr="00CE0885">
        <w:rPr>
          <w:spacing w:val="1"/>
          <w:lang w:eastAsia="en-GB"/>
        </w:rPr>
        <w:t>e</w:t>
      </w:r>
      <w:r w:rsidRPr="00CE0885">
        <w:rPr>
          <w:spacing w:val="-1"/>
          <w:lang w:eastAsia="en-GB"/>
        </w:rPr>
        <w:t>n</w:t>
      </w:r>
      <w:r w:rsidRPr="00CE0885">
        <w:rPr>
          <w:lang w:eastAsia="en-GB"/>
        </w:rPr>
        <w:t>t</w:t>
      </w:r>
      <w:r w:rsidRPr="00CE0885">
        <w:rPr>
          <w:spacing w:val="-12"/>
          <w:lang w:eastAsia="en-GB"/>
        </w:rPr>
        <w:t xml:space="preserve"> </w:t>
      </w:r>
      <w:r w:rsidRPr="00CE0885">
        <w:rPr>
          <w:lang w:eastAsia="en-GB"/>
        </w:rPr>
        <w:t>in</w:t>
      </w:r>
      <w:r w:rsidRPr="00CE0885">
        <w:rPr>
          <w:spacing w:val="-3"/>
          <w:lang w:eastAsia="en-GB"/>
        </w:rPr>
        <w:t xml:space="preserve"> </w:t>
      </w:r>
      <w:r w:rsidRPr="00CE0885">
        <w:rPr>
          <w:spacing w:val="1"/>
          <w:lang w:eastAsia="en-GB"/>
        </w:rPr>
        <w:t>a</w:t>
      </w:r>
      <w:r w:rsidRPr="00CE0885">
        <w:rPr>
          <w:lang w:eastAsia="en-GB"/>
        </w:rPr>
        <w:t>n</w:t>
      </w:r>
      <w:r w:rsidRPr="00CE0885">
        <w:rPr>
          <w:spacing w:val="-1"/>
          <w:lang w:eastAsia="en-GB"/>
        </w:rPr>
        <w:t xml:space="preserve"> </w:t>
      </w:r>
      <w:r w:rsidRPr="00CE0885">
        <w:rPr>
          <w:lang w:eastAsia="en-GB"/>
        </w:rPr>
        <w:t>NHS</w:t>
      </w:r>
      <w:r w:rsidRPr="00CE0885">
        <w:rPr>
          <w:spacing w:val="-4"/>
          <w:lang w:eastAsia="en-GB"/>
        </w:rPr>
        <w:t xml:space="preserve"> </w:t>
      </w:r>
      <w:r w:rsidRPr="00CE0885">
        <w:rPr>
          <w:spacing w:val="-2"/>
          <w:lang w:eastAsia="en-GB"/>
        </w:rPr>
        <w:t>c</w:t>
      </w:r>
      <w:r w:rsidRPr="00CE0885">
        <w:rPr>
          <w:spacing w:val="1"/>
          <w:lang w:eastAsia="en-GB"/>
        </w:rPr>
        <w:t>ont</w:t>
      </w:r>
      <w:r w:rsidRPr="00CE0885">
        <w:rPr>
          <w:spacing w:val="-1"/>
          <w:lang w:eastAsia="en-GB"/>
        </w:rPr>
        <w:t>ra</w:t>
      </w:r>
      <w:r w:rsidRPr="00CE0885">
        <w:rPr>
          <w:lang w:eastAsia="en-GB"/>
        </w:rPr>
        <w:t>ct</w:t>
      </w:r>
      <w:r w:rsidRPr="00CE0885">
        <w:rPr>
          <w:spacing w:val="-8"/>
          <w:lang w:eastAsia="en-GB"/>
        </w:rPr>
        <w:t xml:space="preserve">, </w:t>
      </w:r>
      <w:r w:rsidRPr="00CE0885">
        <w:rPr>
          <w:lang w:eastAsia="en-GB"/>
        </w:rPr>
        <w:t>not</w:t>
      </w:r>
      <w:r w:rsidRPr="00CE0885">
        <w:rPr>
          <w:spacing w:val="-6"/>
          <w:lang w:eastAsia="en-GB"/>
        </w:rPr>
        <w:t xml:space="preserve"> </w:t>
      </w:r>
      <w:r w:rsidRPr="00CE0885">
        <w:rPr>
          <w:spacing w:val="-1"/>
          <w:lang w:eastAsia="en-GB"/>
        </w:rPr>
        <w:t>r</w:t>
      </w:r>
      <w:r w:rsidRPr="00CE0885">
        <w:rPr>
          <w:spacing w:val="1"/>
          <w:lang w:eastAsia="en-GB"/>
        </w:rPr>
        <w:t>etu</w:t>
      </w:r>
      <w:r w:rsidRPr="00CE0885">
        <w:rPr>
          <w:spacing w:val="-1"/>
          <w:lang w:eastAsia="en-GB"/>
        </w:rPr>
        <w:t>r</w:t>
      </w:r>
      <w:r w:rsidRPr="00CE0885">
        <w:rPr>
          <w:lang w:eastAsia="en-GB"/>
        </w:rPr>
        <w:t>ning</w:t>
      </w:r>
      <w:r w:rsidRPr="00CE0885">
        <w:rPr>
          <w:spacing w:val="-7"/>
          <w:lang w:eastAsia="en-GB"/>
        </w:rPr>
        <w:t xml:space="preserve"> </w:t>
      </w:r>
      <w:r w:rsidRPr="00CE0885">
        <w:rPr>
          <w:spacing w:val="1"/>
          <w:lang w:eastAsia="en-GB"/>
        </w:rPr>
        <w:t>t</w:t>
      </w:r>
      <w:r w:rsidRPr="00CE0885">
        <w:rPr>
          <w:lang w:eastAsia="en-GB"/>
        </w:rPr>
        <w:t xml:space="preserve">o </w:t>
      </w:r>
      <w:r w:rsidRPr="00CE0885">
        <w:rPr>
          <w:spacing w:val="1"/>
          <w:lang w:eastAsia="en-GB"/>
        </w:rPr>
        <w:t>th</w:t>
      </w:r>
      <w:r w:rsidRPr="00CE0885">
        <w:rPr>
          <w:lang w:eastAsia="en-GB"/>
        </w:rPr>
        <w:t>e</w:t>
      </w:r>
      <w:r w:rsidRPr="00CE0885">
        <w:rPr>
          <w:spacing w:val="-1"/>
          <w:lang w:eastAsia="en-GB"/>
        </w:rPr>
        <w:t xml:space="preserve"> </w:t>
      </w:r>
      <w:r w:rsidRPr="00CE0885">
        <w:rPr>
          <w:lang w:eastAsia="en-GB"/>
        </w:rPr>
        <w:t>NHS</w:t>
      </w:r>
      <w:r w:rsidRPr="00CE0885">
        <w:rPr>
          <w:spacing w:val="-4"/>
          <w:lang w:eastAsia="en-GB"/>
        </w:rPr>
        <w:t xml:space="preserve"> </w:t>
      </w:r>
      <w:r w:rsidRPr="00CE0885">
        <w:rPr>
          <w:lang w:eastAsia="en-GB"/>
        </w:rPr>
        <w:t>in</w:t>
      </w:r>
      <w:r w:rsidRPr="00CE0885">
        <w:rPr>
          <w:spacing w:val="-3"/>
          <w:lang w:eastAsia="en-GB"/>
        </w:rPr>
        <w:t xml:space="preserve"> </w:t>
      </w:r>
      <w:r w:rsidRPr="00CE0885">
        <w:rPr>
          <w:spacing w:val="1"/>
          <w:lang w:eastAsia="en-GB"/>
        </w:rPr>
        <w:t>an</w:t>
      </w:r>
      <w:r w:rsidRPr="00CE0885">
        <w:rPr>
          <w:lang w:eastAsia="en-GB"/>
        </w:rPr>
        <w:t>y</w:t>
      </w:r>
      <w:r w:rsidRPr="00CE0885">
        <w:rPr>
          <w:spacing w:val="-6"/>
          <w:lang w:eastAsia="en-GB"/>
        </w:rPr>
        <w:t xml:space="preserve"> </w:t>
      </w:r>
      <w:r w:rsidRPr="00CE0885">
        <w:rPr>
          <w:lang w:eastAsia="en-GB"/>
        </w:rPr>
        <w:t>c</w:t>
      </w:r>
      <w:r w:rsidRPr="00CE0885">
        <w:rPr>
          <w:spacing w:val="1"/>
          <w:lang w:eastAsia="en-GB"/>
        </w:rPr>
        <w:t>a</w:t>
      </w:r>
      <w:r w:rsidRPr="00CE0885">
        <w:rPr>
          <w:spacing w:val="-1"/>
          <w:lang w:eastAsia="en-GB"/>
        </w:rPr>
        <w:t>p</w:t>
      </w:r>
      <w:r w:rsidRPr="00CE0885">
        <w:rPr>
          <w:spacing w:val="1"/>
          <w:lang w:eastAsia="en-GB"/>
        </w:rPr>
        <w:t>a</w:t>
      </w:r>
      <w:r w:rsidRPr="00CE0885">
        <w:rPr>
          <w:lang w:eastAsia="en-GB"/>
        </w:rPr>
        <w:t>ci</w:t>
      </w:r>
      <w:r w:rsidRPr="00CE0885">
        <w:rPr>
          <w:spacing w:val="-2"/>
          <w:lang w:eastAsia="en-GB"/>
        </w:rPr>
        <w:t>t</w:t>
      </w:r>
      <w:r w:rsidRPr="00CE0885">
        <w:rPr>
          <w:lang w:eastAsia="en-GB"/>
        </w:rPr>
        <w:t>y</w:t>
      </w:r>
      <w:r w:rsidRPr="00CE0885">
        <w:rPr>
          <w:spacing w:val="-11"/>
          <w:lang w:eastAsia="en-GB"/>
        </w:rPr>
        <w:t xml:space="preserve"> </w:t>
      </w:r>
      <w:r w:rsidRPr="00CE0885">
        <w:rPr>
          <w:spacing w:val="3"/>
          <w:lang w:eastAsia="en-GB"/>
        </w:rPr>
        <w:t>f</w:t>
      </w:r>
      <w:r w:rsidRPr="00CE0885">
        <w:rPr>
          <w:spacing w:val="1"/>
          <w:lang w:eastAsia="en-GB"/>
        </w:rPr>
        <w:t>o</w:t>
      </w:r>
      <w:r w:rsidRPr="00CE0885">
        <w:rPr>
          <w:lang w:eastAsia="en-GB"/>
        </w:rPr>
        <w:t>r</w:t>
      </w:r>
      <w:r w:rsidRPr="00CE0885">
        <w:rPr>
          <w:spacing w:val="-3"/>
          <w:lang w:eastAsia="en-GB"/>
        </w:rPr>
        <w:t xml:space="preserve"> </w:t>
      </w:r>
      <w:r w:rsidRPr="00CE0885">
        <w:rPr>
          <w:spacing w:val="1"/>
          <w:lang w:eastAsia="en-GB"/>
        </w:rPr>
        <w:t>a</w:t>
      </w:r>
      <w:r w:rsidRPr="00CE0885">
        <w:rPr>
          <w:lang w:eastAsia="en-GB"/>
        </w:rPr>
        <w:t>t</w:t>
      </w:r>
      <w:r w:rsidRPr="00CE0885">
        <w:rPr>
          <w:spacing w:val="-3"/>
          <w:lang w:eastAsia="en-GB"/>
        </w:rPr>
        <w:t xml:space="preserve"> </w:t>
      </w:r>
      <w:r w:rsidRPr="00CE0885">
        <w:rPr>
          <w:lang w:eastAsia="en-GB"/>
        </w:rPr>
        <w:t>l</w:t>
      </w:r>
      <w:r w:rsidRPr="00CE0885">
        <w:rPr>
          <w:spacing w:val="1"/>
          <w:lang w:eastAsia="en-GB"/>
        </w:rPr>
        <w:t>ea</w:t>
      </w:r>
      <w:r w:rsidRPr="00CE0885">
        <w:rPr>
          <w:lang w:eastAsia="en-GB"/>
        </w:rPr>
        <w:t>st</w:t>
      </w:r>
      <w:r w:rsidRPr="00CE0885">
        <w:rPr>
          <w:spacing w:val="-6"/>
          <w:lang w:eastAsia="en-GB"/>
        </w:rPr>
        <w:t xml:space="preserve"> </w:t>
      </w:r>
      <w:r w:rsidRPr="00CE0885">
        <w:rPr>
          <w:spacing w:val="1"/>
          <w:lang w:eastAsia="en-GB"/>
        </w:rPr>
        <w:t>2</w:t>
      </w:r>
      <w:r w:rsidRPr="00CE0885">
        <w:rPr>
          <w:lang w:eastAsia="en-GB"/>
        </w:rPr>
        <w:t>4</w:t>
      </w:r>
      <w:r w:rsidRPr="00CE0885">
        <w:rPr>
          <w:spacing w:val="-4"/>
          <w:lang w:eastAsia="en-GB"/>
        </w:rPr>
        <w:t xml:space="preserve"> </w:t>
      </w:r>
      <w:r w:rsidRPr="00CE0885">
        <w:rPr>
          <w:spacing w:val="1"/>
          <w:lang w:eastAsia="en-GB"/>
        </w:rPr>
        <w:t>h</w:t>
      </w:r>
      <w:r w:rsidRPr="00CE0885">
        <w:rPr>
          <w:spacing w:val="-1"/>
          <w:lang w:eastAsia="en-GB"/>
        </w:rPr>
        <w:t>o</w:t>
      </w:r>
      <w:r w:rsidRPr="00CE0885">
        <w:rPr>
          <w:spacing w:val="1"/>
          <w:lang w:eastAsia="en-GB"/>
        </w:rPr>
        <w:t>u</w:t>
      </w:r>
      <w:r w:rsidRPr="00CE0885">
        <w:rPr>
          <w:spacing w:val="-1"/>
          <w:lang w:eastAsia="en-GB"/>
        </w:rPr>
        <w:t>r</w:t>
      </w:r>
      <w:r w:rsidRPr="00CE0885">
        <w:rPr>
          <w:lang w:eastAsia="en-GB"/>
        </w:rPr>
        <w:t>s and</w:t>
      </w:r>
      <w:r w:rsidRPr="00CE0885">
        <w:rPr>
          <w:spacing w:val="1"/>
          <w:lang w:eastAsia="en-GB"/>
        </w:rPr>
        <w:t xml:space="preserve"> no</w:t>
      </w:r>
      <w:r w:rsidRPr="00CE0885">
        <w:rPr>
          <w:lang w:eastAsia="en-GB"/>
        </w:rPr>
        <w:t>t</w:t>
      </w:r>
      <w:r w:rsidRPr="00CE0885">
        <w:rPr>
          <w:spacing w:val="-4"/>
          <w:lang w:eastAsia="en-GB"/>
        </w:rPr>
        <w:t xml:space="preserve"> </w:t>
      </w:r>
      <w:r w:rsidRPr="00CE0885">
        <w:rPr>
          <w:spacing w:val="-3"/>
          <w:lang w:eastAsia="en-GB"/>
        </w:rPr>
        <w:t>w</w:t>
      </w:r>
      <w:r w:rsidRPr="00CE0885">
        <w:rPr>
          <w:spacing w:val="1"/>
          <w:lang w:eastAsia="en-GB"/>
        </w:rPr>
        <w:t>o</w:t>
      </w:r>
      <w:r w:rsidRPr="00CE0885">
        <w:rPr>
          <w:spacing w:val="-1"/>
          <w:lang w:eastAsia="en-GB"/>
        </w:rPr>
        <w:t>r</w:t>
      </w:r>
      <w:r w:rsidRPr="00CE0885">
        <w:rPr>
          <w:lang w:eastAsia="en-GB"/>
        </w:rPr>
        <w:t>king</w:t>
      </w:r>
      <w:r w:rsidRPr="00CE0885">
        <w:rPr>
          <w:spacing w:val="-5"/>
          <w:lang w:eastAsia="en-GB"/>
        </w:rPr>
        <w:t xml:space="preserve"> </w:t>
      </w:r>
      <w:r w:rsidRPr="00CE0885">
        <w:rPr>
          <w:spacing w:val="3"/>
          <w:lang w:eastAsia="en-GB"/>
        </w:rPr>
        <w:t>f</w:t>
      </w:r>
      <w:r w:rsidRPr="00CE0885">
        <w:rPr>
          <w:spacing w:val="1"/>
          <w:lang w:eastAsia="en-GB"/>
        </w:rPr>
        <w:t>o</w:t>
      </w:r>
      <w:r w:rsidRPr="00CE0885">
        <w:rPr>
          <w:lang w:eastAsia="en-GB"/>
        </w:rPr>
        <w:t>r</w:t>
      </w:r>
      <w:r w:rsidRPr="00CE0885">
        <w:rPr>
          <w:spacing w:val="-6"/>
          <w:lang w:eastAsia="en-GB"/>
        </w:rPr>
        <w:t xml:space="preserve"> </w:t>
      </w:r>
      <w:r w:rsidRPr="00CE0885">
        <w:rPr>
          <w:spacing w:val="2"/>
          <w:lang w:eastAsia="en-GB"/>
        </w:rPr>
        <w:t>m</w:t>
      </w:r>
      <w:r w:rsidRPr="00CE0885">
        <w:rPr>
          <w:spacing w:val="1"/>
          <w:lang w:eastAsia="en-GB"/>
        </w:rPr>
        <w:t>o</w:t>
      </w:r>
      <w:r w:rsidRPr="00CE0885">
        <w:rPr>
          <w:spacing w:val="-1"/>
          <w:lang w:eastAsia="en-GB"/>
        </w:rPr>
        <w:t>r</w:t>
      </w:r>
      <w:r w:rsidRPr="00CE0885">
        <w:rPr>
          <w:lang w:eastAsia="en-GB"/>
        </w:rPr>
        <w:t>e</w:t>
      </w:r>
      <w:r w:rsidRPr="00CE0885">
        <w:rPr>
          <w:spacing w:val="-6"/>
          <w:lang w:eastAsia="en-GB"/>
        </w:rPr>
        <w:t xml:space="preserve"> </w:t>
      </w:r>
      <w:r w:rsidRPr="00CE0885">
        <w:rPr>
          <w:spacing w:val="1"/>
          <w:lang w:eastAsia="en-GB"/>
        </w:rPr>
        <w:t>th</w:t>
      </w:r>
      <w:r w:rsidRPr="00CE0885">
        <w:rPr>
          <w:spacing w:val="-1"/>
          <w:lang w:eastAsia="en-GB"/>
        </w:rPr>
        <w:t>a</w:t>
      </w:r>
      <w:r w:rsidRPr="00CE0885">
        <w:rPr>
          <w:lang w:eastAsia="en-GB"/>
        </w:rPr>
        <w:t>n</w:t>
      </w:r>
      <w:r w:rsidRPr="00CE0885">
        <w:rPr>
          <w:spacing w:val="-3"/>
          <w:lang w:eastAsia="en-GB"/>
        </w:rPr>
        <w:t xml:space="preserve"> </w:t>
      </w:r>
      <w:r w:rsidRPr="00CE0885">
        <w:rPr>
          <w:spacing w:val="-1"/>
          <w:lang w:eastAsia="en-GB"/>
        </w:rPr>
        <w:t>1</w:t>
      </w:r>
      <w:r w:rsidRPr="00CE0885">
        <w:rPr>
          <w:lang w:eastAsia="en-GB"/>
        </w:rPr>
        <w:t>6</w:t>
      </w:r>
      <w:r w:rsidRPr="00CE0885">
        <w:rPr>
          <w:spacing w:val="-1"/>
          <w:lang w:eastAsia="en-GB"/>
        </w:rPr>
        <w:t xml:space="preserve"> h</w:t>
      </w:r>
      <w:r w:rsidRPr="00CE0885">
        <w:rPr>
          <w:spacing w:val="1"/>
          <w:lang w:eastAsia="en-GB"/>
        </w:rPr>
        <w:t>ou</w:t>
      </w:r>
      <w:r w:rsidRPr="00CE0885">
        <w:rPr>
          <w:spacing w:val="-1"/>
          <w:lang w:eastAsia="en-GB"/>
        </w:rPr>
        <w:t>r</w:t>
      </w:r>
      <w:r w:rsidRPr="00CE0885">
        <w:rPr>
          <w:lang w:eastAsia="en-GB"/>
        </w:rPr>
        <w:t>s</w:t>
      </w:r>
      <w:r w:rsidRPr="00CE0885">
        <w:rPr>
          <w:spacing w:val="-6"/>
          <w:lang w:eastAsia="en-GB"/>
        </w:rPr>
        <w:t xml:space="preserve"> </w:t>
      </w:r>
      <w:r w:rsidRPr="00CE0885">
        <w:rPr>
          <w:lang w:eastAsia="en-GB"/>
        </w:rPr>
        <w:t>a</w:t>
      </w:r>
      <w:r w:rsidRPr="00CE0885">
        <w:rPr>
          <w:spacing w:val="1"/>
          <w:lang w:eastAsia="en-GB"/>
        </w:rPr>
        <w:t xml:space="preserve"> </w:t>
      </w:r>
      <w:r w:rsidRPr="00CE0885">
        <w:rPr>
          <w:spacing w:val="-3"/>
          <w:lang w:eastAsia="en-GB"/>
        </w:rPr>
        <w:t>w</w:t>
      </w:r>
      <w:r w:rsidRPr="00CE0885">
        <w:rPr>
          <w:spacing w:val="1"/>
          <w:lang w:eastAsia="en-GB"/>
        </w:rPr>
        <w:t>ee</w:t>
      </w:r>
      <w:r w:rsidRPr="00CE0885">
        <w:rPr>
          <w:lang w:eastAsia="en-GB"/>
        </w:rPr>
        <w:t>k</w:t>
      </w:r>
      <w:r w:rsidRPr="00CE0885">
        <w:rPr>
          <w:spacing w:val="-8"/>
          <w:lang w:eastAsia="en-GB"/>
        </w:rPr>
        <w:t xml:space="preserve"> </w:t>
      </w:r>
      <w:r w:rsidRPr="00CE0885">
        <w:rPr>
          <w:lang w:eastAsia="en-GB"/>
        </w:rPr>
        <w:t xml:space="preserve">in </w:t>
      </w:r>
      <w:r w:rsidRPr="00CE0885">
        <w:rPr>
          <w:spacing w:val="1"/>
          <w:lang w:eastAsia="en-GB"/>
        </w:rPr>
        <w:t>th</w:t>
      </w:r>
      <w:r w:rsidRPr="00CE0885">
        <w:rPr>
          <w:lang w:eastAsia="en-GB"/>
        </w:rPr>
        <w:t>e</w:t>
      </w:r>
      <w:r w:rsidRPr="00CE0885">
        <w:rPr>
          <w:spacing w:val="-6"/>
          <w:lang w:eastAsia="en-GB"/>
        </w:rPr>
        <w:t xml:space="preserve"> </w:t>
      </w:r>
      <w:r w:rsidRPr="00CE0885">
        <w:rPr>
          <w:spacing w:val="3"/>
          <w:lang w:eastAsia="en-GB"/>
        </w:rPr>
        <w:t>f</w:t>
      </w:r>
      <w:r w:rsidRPr="00CE0885">
        <w:rPr>
          <w:lang w:eastAsia="en-GB"/>
        </w:rPr>
        <w:t>i</w:t>
      </w:r>
      <w:r w:rsidRPr="00CE0885">
        <w:rPr>
          <w:spacing w:val="-1"/>
          <w:lang w:eastAsia="en-GB"/>
        </w:rPr>
        <w:t>r</w:t>
      </w:r>
      <w:r w:rsidRPr="00CE0885">
        <w:rPr>
          <w:lang w:eastAsia="en-GB"/>
        </w:rPr>
        <w:t>st</w:t>
      </w:r>
      <w:r w:rsidRPr="00CE0885">
        <w:rPr>
          <w:spacing w:val="-3"/>
          <w:lang w:eastAsia="en-GB"/>
        </w:rPr>
        <w:t xml:space="preserve"> </w:t>
      </w:r>
      <w:r w:rsidRPr="00CE0885">
        <w:rPr>
          <w:spacing w:val="-1"/>
          <w:lang w:eastAsia="en-GB"/>
        </w:rPr>
        <w:t>m</w:t>
      </w:r>
      <w:r w:rsidRPr="00CE0885">
        <w:rPr>
          <w:spacing w:val="1"/>
          <w:lang w:eastAsia="en-GB"/>
        </w:rPr>
        <w:t>on</w:t>
      </w:r>
      <w:r w:rsidRPr="00CE0885">
        <w:rPr>
          <w:spacing w:val="-2"/>
          <w:lang w:eastAsia="en-GB"/>
        </w:rPr>
        <w:t>t</w:t>
      </w:r>
      <w:r w:rsidRPr="00CE0885">
        <w:rPr>
          <w:lang w:eastAsia="en-GB"/>
        </w:rPr>
        <w:t>h</w:t>
      </w:r>
      <w:r w:rsidRPr="00CE0885">
        <w:rPr>
          <w:spacing w:val="-5"/>
          <w:lang w:eastAsia="en-GB"/>
        </w:rPr>
        <w:t xml:space="preserve"> </w:t>
      </w:r>
      <w:r w:rsidRPr="00CE0885">
        <w:rPr>
          <w:spacing w:val="-1"/>
          <w:lang w:eastAsia="en-GB"/>
        </w:rPr>
        <w:t>o</w:t>
      </w:r>
      <w:r w:rsidRPr="00CE0885">
        <w:rPr>
          <w:lang w:eastAsia="en-GB"/>
        </w:rPr>
        <w:t xml:space="preserve">f </w:t>
      </w:r>
      <w:r w:rsidRPr="00CE0885">
        <w:rPr>
          <w:spacing w:val="-1"/>
          <w:lang w:eastAsia="en-GB"/>
        </w:rPr>
        <w:t>r</w:t>
      </w:r>
      <w:r w:rsidRPr="00CE0885">
        <w:rPr>
          <w:spacing w:val="1"/>
          <w:lang w:eastAsia="en-GB"/>
        </w:rPr>
        <w:t>et</w:t>
      </w:r>
      <w:r w:rsidRPr="00CE0885">
        <w:rPr>
          <w:lang w:eastAsia="en-GB"/>
        </w:rPr>
        <w:t>i</w:t>
      </w:r>
      <w:r w:rsidRPr="00CE0885">
        <w:rPr>
          <w:spacing w:val="-1"/>
          <w:lang w:eastAsia="en-GB"/>
        </w:rPr>
        <w:t>r</w:t>
      </w:r>
      <w:r w:rsidRPr="00CE0885">
        <w:rPr>
          <w:spacing w:val="1"/>
          <w:lang w:eastAsia="en-GB"/>
        </w:rPr>
        <w:t>e</w:t>
      </w:r>
      <w:r w:rsidRPr="00CE0885">
        <w:rPr>
          <w:spacing w:val="2"/>
          <w:lang w:eastAsia="en-GB"/>
        </w:rPr>
        <w:t>m</w:t>
      </w:r>
      <w:r w:rsidRPr="00CE0885">
        <w:rPr>
          <w:spacing w:val="-1"/>
          <w:lang w:eastAsia="en-GB"/>
        </w:rPr>
        <w:t>e</w:t>
      </w:r>
      <w:r w:rsidRPr="00CE0885">
        <w:rPr>
          <w:spacing w:val="1"/>
          <w:lang w:eastAsia="en-GB"/>
        </w:rPr>
        <w:t>nt. The Commissioner should ensure that it is aware of the current conditions around 24-hour retirement.</w:t>
      </w:r>
      <w:bookmarkEnd w:id="689"/>
    </w:p>
    <w:p w14:paraId="38958107" w14:textId="77777777" w:rsidR="00977693" w:rsidRPr="00CE0885" w:rsidRDefault="00977693" w:rsidP="006B781A">
      <w:pPr>
        <w:pStyle w:val="Heading3"/>
        <w:rPr>
          <w:lang w:eastAsia="en-GB"/>
        </w:rPr>
      </w:pPr>
      <w:bookmarkStart w:id="690" w:name="_Toc440981830"/>
      <w:r w:rsidRPr="00CE0885">
        <w:rPr>
          <w:spacing w:val="6"/>
          <w:lang w:eastAsia="en-GB"/>
        </w:rPr>
        <w:t>If</w:t>
      </w:r>
      <w:r w:rsidRPr="00CE0885">
        <w:rPr>
          <w:spacing w:val="-7"/>
          <w:lang w:eastAsia="en-GB"/>
        </w:rPr>
        <w:t xml:space="preserve"> </w:t>
      </w:r>
      <w:r w:rsidRPr="00CE0885">
        <w:rPr>
          <w:lang w:eastAsia="en-GB"/>
        </w:rPr>
        <w:t>the Commissioner</w:t>
      </w:r>
      <w:r w:rsidRPr="00CE0885">
        <w:rPr>
          <w:spacing w:val="-7"/>
          <w:lang w:eastAsia="en-GB"/>
        </w:rPr>
        <w:t xml:space="preserve"> </w:t>
      </w:r>
      <w:r w:rsidRPr="00CE0885">
        <w:rPr>
          <w:lang w:eastAsia="en-GB"/>
        </w:rPr>
        <w:t>is</w:t>
      </w:r>
      <w:r w:rsidRPr="00CE0885">
        <w:rPr>
          <w:spacing w:val="-4"/>
          <w:lang w:eastAsia="en-GB"/>
        </w:rPr>
        <w:t xml:space="preserve"> </w:t>
      </w:r>
      <w:r w:rsidRPr="00CE0885">
        <w:rPr>
          <w:spacing w:val="1"/>
          <w:lang w:eastAsia="en-GB"/>
        </w:rPr>
        <w:t>app</w:t>
      </w:r>
      <w:r w:rsidRPr="00CE0885">
        <w:rPr>
          <w:spacing w:val="-1"/>
          <w:lang w:eastAsia="en-GB"/>
        </w:rPr>
        <w:t>ro</w:t>
      </w:r>
      <w:r w:rsidRPr="00CE0885">
        <w:rPr>
          <w:spacing w:val="1"/>
          <w:lang w:eastAsia="en-GB"/>
        </w:rPr>
        <w:t>a</w:t>
      </w:r>
      <w:r w:rsidRPr="00CE0885">
        <w:rPr>
          <w:lang w:eastAsia="en-GB"/>
        </w:rPr>
        <w:t>c</w:t>
      </w:r>
      <w:r w:rsidRPr="00CE0885">
        <w:rPr>
          <w:spacing w:val="1"/>
          <w:lang w:eastAsia="en-GB"/>
        </w:rPr>
        <w:t>h</w:t>
      </w:r>
      <w:r w:rsidRPr="00CE0885">
        <w:rPr>
          <w:spacing w:val="-1"/>
          <w:lang w:eastAsia="en-GB"/>
        </w:rPr>
        <w:t>e</w:t>
      </w:r>
      <w:r w:rsidRPr="00CE0885">
        <w:rPr>
          <w:lang w:eastAsia="en-GB"/>
        </w:rPr>
        <w:t>d</w:t>
      </w:r>
      <w:r w:rsidRPr="00CE0885">
        <w:rPr>
          <w:spacing w:val="-11"/>
          <w:lang w:eastAsia="en-GB"/>
        </w:rPr>
        <w:t xml:space="preserve"> </w:t>
      </w:r>
      <w:r w:rsidRPr="00CE0885">
        <w:rPr>
          <w:spacing w:val="1"/>
          <w:lang w:eastAsia="en-GB"/>
        </w:rPr>
        <w:t>b</w:t>
      </w:r>
      <w:r w:rsidRPr="00CE0885">
        <w:rPr>
          <w:lang w:eastAsia="en-GB"/>
        </w:rPr>
        <w:t>y</w:t>
      </w:r>
      <w:r w:rsidRPr="00CE0885">
        <w:rPr>
          <w:spacing w:val="-5"/>
          <w:lang w:eastAsia="en-GB"/>
        </w:rPr>
        <w:t xml:space="preserve"> </w:t>
      </w:r>
      <w:r w:rsidRPr="00CE0885">
        <w:rPr>
          <w:lang w:eastAsia="en-GB"/>
        </w:rPr>
        <w:t>a</w:t>
      </w:r>
      <w:r w:rsidRPr="00CE0885">
        <w:rPr>
          <w:spacing w:val="-2"/>
          <w:lang w:eastAsia="en-GB"/>
        </w:rPr>
        <w:t xml:space="preserve"> contractor </w:t>
      </w:r>
      <w:r w:rsidRPr="00CE0885">
        <w:rPr>
          <w:spacing w:val="-3"/>
          <w:lang w:eastAsia="en-GB"/>
        </w:rPr>
        <w:t>w</w:t>
      </w:r>
      <w:r w:rsidRPr="00CE0885">
        <w:rPr>
          <w:lang w:eastAsia="en-GB"/>
        </w:rPr>
        <w:t>is</w:t>
      </w:r>
      <w:r w:rsidRPr="00CE0885">
        <w:rPr>
          <w:spacing w:val="1"/>
          <w:lang w:eastAsia="en-GB"/>
        </w:rPr>
        <w:t>h</w:t>
      </w:r>
      <w:r w:rsidRPr="00CE0885">
        <w:rPr>
          <w:lang w:eastAsia="en-GB"/>
        </w:rPr>
        <w:t>i</w:t>
      </w:r>
      <w:r w:rsidRPr="00CE0885">
        <w:rPr>
          <w:spacing w:val="3"/>
          <w:lang w:eastAsia="en-GB"/>
        </w:rPr>
        <w:t>n</w:t>
      </w:r>
      <w:r w:rsidRPr="00CE0885">
        <w:rPr>
          <w:lang w:eastAsia="en-GB"/>
        </w:rPr>
        <w:t>g</w:t>
      </w:r>
      <w:r w:rsidRPr="00CE0885">
        <w:rPr>
          <w:spacing w:val="-9"/>
          <w:lang w:eastAsia="en-GB"/>
        </w:rPr>
        <w:t xml:space="preserve"> </w:t>
      </w:r>
      <w:r w:rsidRPr="00CE0885">
        <w:rPr>
          <w:spacing w:val="1"/>
          <w:lang w:eastAsia="en-GB"/>
        </w:rPr>
        <w:t>t</w:t>
      </w:r>
      <w:r w:rsidRPr="00CE0885">
        <w:rPr>
          <w:lang w:eastAsia="en-GB"/>
        </w:rPr>
        <w:t xml:space="preserve">o </w:t>
      </w:r>
      <w:r w:rsidRPr="00CE0885">
        <w:rPr>
          <w:spacing w:val="1"/>
          <w:lang w:eastAsia="en-GB"/>
        </w:rPr>
        <w:t>ta</w:t>
      </w:r>
      <w:r w:rsidRPr="00CE0885">
        <w:rPr>
          <w:lang w:eastAsia="en-GB"/>
        </w:rPr>
        <w:t>ke</w:t>
      </w:r>
      <w:r w:rsidRPr="00CE0885">
        <w:rPr>
          <w:spacing w:val="-6"/>
          <w:lang w:eastAsia="en-GB"/>
        </w:rPr>
        <w:t xml:space="preserve"> </w:t>
      </w:r>
      <w:r w:rsidRPr="00CE0885">
        <w:rPr>
          <w:spacing w:val="1"/>
          <w:lang w:eastAsia="en-GB"/>
        </w:rPr>
        <w:t>24</w:t>
      </w:r>
      <w:r w:rsidRPr="00CE0885">
        <w:rPr>
          <w:spacing w:val="-3"/>
          <w:lang w:eastAsia="en-GB"/>
        </w:rPr>
        <w:t>-</w:t>
      </w:r>
      <w:r w:rsidRPr="00CE0885">
        <w:rPr>
          <w:spacing w:val="1"/>
          <w:lang w:eastAsia="en-GB"/>
        </w:rPr>
        <w:t>ho</w:t>
      </w:r>
      <w:r w:rsidRPr="00CE0885">
        <w:rPr>
          <w:spacing w:val="-1"/>
          <w:lang w:eastAsia="en-GB"/>
        </w:rPr>
        <w:t>u</w:t>
      </w:r>
      <w:r w:rsidRPr="00CE0885">
        <w:rPr>
          <w:lang w:eastAsia="en-GB"/>
        </w:rPr>
        <w:t>r</w:t>
      </w:r>
      <w:r w:rsidRPr="00CE0885">
        <w:rPr>
          <w:spacing w:val="-8"/>
          <w:lang w:eastAsia="en-GB"/>
        </w:rPr>
        <w:t xml:space="preserve"> </w:t>
      </w:r>
      <w:r w:rsidRPr="00CE0885">
        <w:rPr>
          <w:spacing w:val="-1"/>
          <w:lang w:eastAsia="en-GB"/>
        </w:rPr>
        <w:t>r</w:t>
      </w:r>
      <w:r w:rsidRPr="00CE0885">
        <w:rPr>
          <w:spacing w:val="1"/>
          <w:lang w:eastAsia="en-GB"/>
        </w:rPr>
        <w:t>et</w:t>
      </w:r>
      <w:r w:rsidRPr="00CE0885">
        <w:rPr>
          <w:lang w:eastAsia="en-GB"/>
        </w:rPr>
        <w:t>i</w:t>
      </w:r>
      <w:r w:rsidRPr="00CE0885">
        <w:rPr>
          <w:spacing w:val="-1"/>
          <w:lang w:eastAsia="en-GB"/>
        </w:rPr>
        <w:t>r</w:t>
      </w:r>
      <w:r w:rsidRPr="00CE0885">
        <w:rPr>
          <w:spacing w:val="1"/>
          <w:lang w:eastAsia="en-GB"/>
        </w:rPr>
        <w:t>e</w:t>
      </w:r>
      <w:r w:rsidRPr="00CE0885">
        <w:rPr>
          <w:spacing w:val="2"/>
          <w:lang w:eastAsia="en-GB"/>
        </w:rPr>
        <w:t>m</w:t>
      </w:r>
      <w:r w:rsidRPr="00CE0885">
        <w:rPr>
          <w:spacing w:val="-1"/>
          <w:lang w:eastAsia="en-GB"/>
        </w:rPr>
        <w:t>e</w:t>
      </w:r>
      <w:r w:rsidRPr="00CE0885">
        <w:rPr>
          <w:spacing w:val="1"/>
          <w:lang w:eastAsia="en-GB"/>
        </w:rPr>
        <w:t>n</w:t>
      </w:r>
      <w:r w:rsidRPr="00CE0885">
        <w:rPr>
          <w:lang w:eastAsia="en-GB"/>
        </w:rPr>
        <w:t>t</w:t>
      </w:r>
      <w:r w:rsidRPr="00CE0885">
        <w:rPr>
          <w:spacing w:val="-10"/>
          <w:lang w:eastAsia="en-GB"/>
        </w:rPr>
        <w:t xml:space="preserve">, </w:t>
      </w:r>
      <w:r w:rsidRPr="00CE0885">
        <w:rPr>
          <w:lang w:eastAsia="en-GB"/>
        </w:rPr>
        <w:t>it must</w:t>
      </w:r>
      <w:r w:rsidRPr="00CE0885">
        <w:rPr>
          <w:spacing w:val="-3"/>
          <w:lang w:eastAsia="en-GB"/>
        </w:rPr>
        <w:t xml:space="preserve"> </w:t>
      </w:r>
      <w:r w:rsidRPr="00CE0885">
        <w:rPr>
          <w:spacing w:val="1"/>
          <w:lang w:eastAsia="en-GB"/>
        </w:rPr>
        <w:t>no</w:t>
      </w:r>
      <w:r w:rsidRPr="00CE0885">
        <w:rPr>
          <w:lang w:eastAsia="en-GB"/>
        </w:rPr>
        <w:t>t</w:t>
      </w:r>
      <w:r w:rsidRPr="00CE0885">
        <w:rPr>
          <w:spacing w:val="-2"/>
          <w:lang w:eastAsia="en-GB"/>
        </w:rPr>
        <w:t xml:space="preserve"> </w:t>
      </w:r>
      <w:r w:rsidRPr="00CE0885">
        <w:rPr>
          <w:spacing w:val="-1"/>
          <w:lang w:eastAsia="en-GB"/>
        </w:rPr>
        <w:t>o</w:t>
      </w:r>
      <w:r w:rsidRPr="00CE0885">
        <w:rPr>
          <w:spacing w:val="1"/>
          <w:lang w:eastAsia="en-GB"/>
        </w:rPr>
        <w:t>f</w:t>
      </w:r>
      <w:r w:rsidRPr="00CE0885">
        <w:rPr>
          <w:spacing w:val="3"/>
          <w:lang w:eastAsia="en-GB"/>
        </w:rPr>
        <w:t>f</w:t>
      </w:r>
      <w:r w:rsidRPr="00CE0885">
        <w:rPr>
          <w:spacing w:val="1"/>
          <w:lang w:eastAsia="en-GB"/>
        </w:rPr>
        <w:t>e</w:t>
      </w:r>
      <w:r w:rsidRPr="00CE0885">
        <w:rPr>
          <w:lang w:eastAsia="en-GB"/>
        </w:rPr>
        <w:t>r</w:t>
      </w:r>
      <w:r w:rsidRPr="00CE0885">
        <w:rPr>
          <w:spacing w:val="-8"/>
          <w:lang w:eastAsia="en-GB"/>
        </w:rPr>
        <w:t xml:space="preserve"> </w:t>
      </w:r>
      <w:r w:rsidRPr="00CE0885">
        <w:rPr>
          <w:spacing w:val="1"/>
          <w:lang w:eastAsia="en-GB"/>
        </w:rPr>
        <w:t>ad</w:t>
      </w:r>
      <w:r w:rsidRPr="00CE0885">
        <w:rPr>
          <w:spacing w:val="-2"/>
          <w:lang w:eastAsia="en-GB"/>
        </w:rPr>
        <w:t>v</w:t>
      </w:r>
      <w:r w:rsidRPr="00CE0885">
        <w:rPr>
          <w:lang w:eastAsia="en-GB"/>
        </w:rPr>
        <w:t xml:space="preserve">ice </w:t>
      </w:r>
      <w:r w:rsidRPr="00CE0885">
        <w:rPr>
          <w:spacing w:val="-1"/>
          <w:lang w:eastAsia="en-GB"/>
        </w:rPr>
        <w:t>r</w:t>
      </w:r>
      <w:r w:rsidRPr="00CE0885">
        <w:rPr>
          <w:spacing w:val="1"/>
          <w:lang w:eastAsia="en-GB"/>
        </w:rPr>
        <w:t>e</w:t>
      </w:r>
      <w:r w:rsidRPr="00CE0885">
        <w:rPr>
          <w:lang w:eastAsia="en-GB"/>
        </w:rPr>
        <w:t>l</w:t>
      </w:r>
      <w:r w:rsidRPr="00CE0885">
        <w:rPr>
          <w:spacing w:val="1"/>
          <w:lang w:eastAsia="en-GB"/>
        </w:rPr>
        <w:t>at</w:t>
      </w:r>
      <w:r w:rsidRPr="00CE0885">
        <w:rPr>
          <w:lang w:eastAsia="en-GB"/>
        </w:rPr>
        <w:t>i</w:t>
      </w:r>
      <w:r w:rsidRPr="00CE0885">
        <w:rPr>
          <w:spacing w:val="1"/>
          <w:lang w:eastAsia="en-GB"/>
        </w:rPr>
        <w:t>n</w:t>
      </w:r>
      <w:r w:rsidRPr="00CE0885">
        <w:rPr>
          <w:lang w:eastAsia="en-GB"/>
        </w:rPr>
        <w:t>g</w:t>
      </w:r>
      <w:r w:rsidRPr="00CE0885">
        <w:rPr>
          <w:spacing w:val="-9"/>
          <w:lang w:eastAsia="en-GB"/>
        </w:rPr>
        <w:t xml:space="preserve"> </w:t>
      </w:r>
      <w:r w:rsidRPr="00CE0885">
        <w:rPr>
          <w:spacing w:val="1"/>
          <w:lang w:eastAsia="en-GB"/>
        </w:rPr>
        <w:t>t</w:t>
      </w:r>
      <w:r w:rsidRPr="00CE0885">
        <w:rPr>
          <w:lang w:eastAsia="en-GB"/>
        </w:rPr>
        <w:t xml:space="preserve">o </w:t>
      </w:r>
      <w:r w:rsidRPr="00CE0885">
        <w:rPr>
          <w:spacing w:val="1"/>
          <w:lang w:eastAsia="en-GB"/>
        </w:rPr>
        <w:t>pen</w:t>
      </w:r>
      <w:r w:rsidRPr="00CE0885">
        <w:rPr>
          <w:spacing w:val="-2"/>
          <w:lang w:eastAsia="en-GB"/>
        </w:rPr>
        <w:t>s</w:t>
      </w:r>
      <w:r w:rsidRPr="00CE0885">
        <w:rPr>
          <w:lang w:eastAsia="en-GB"/>
        </w:rPr>
        <w:t>i</w:t>
      </w:r>
      <w:r w:rsidRPr="00CE0885">
        <w:rPr>
          <w:spacing w:val="1"/>
          <w:lang w:eastAsia="en-GB"/>
        </w:rPr>
        <w:t>o</w:t>
      </w:r>
      <w:r w:rsidRPr="00CE0885">
        <w:rPr>
          <w:lang w:eastAsia="en-GB"/>
        </w:rPr>
        <w:t>n</w:t>
      </w:r>
      <w:r w:rsidRPr="00CE0885">
        <w:rPr>
          <w:spacing w:val="-6"/>
          <w:lang w:eastAsia="en-GB"/>
        </w:rPr>
        <w:t xml:space="preserve"> </w:t>
      </w:r>
      <w:r w:rsidRPr="00CE0885">
        <w:rPr>
          <w:spacing w:val="1"/>
          <w:lang w:eastAsia="en-GB"/>
        </w:rPr>
        <w:t>a</w:t>
      </w:r>
      <w:r w:rsidRPr="00CE0885">
        <w:rPr>
          <w:spacing w:val="-1"/>
          <w:lang w:eastAsia="en-GB"/>
        </w:rPr>
        <w:t>rr</w:t>
      </w:r>
      <w:r w:rsidRPr="00CE0885">
        <w:rPr>
          <w:spacing w:val="1"/>
          <w:lang w:eastAsia="en-GB"/>
        </w:rPr>
        <w:t>an</w:t>
      </w:r>
      <w:r w:rsidRPr="00CE0885">
        <w:rPr>
          <w:spacing w:val="-1"/>
          <w:lang w:eastAsia="en-GB"/>
        </w:rPr>
        <w:t>ge</w:t>
      </w:r>
      <w:r w:rsidRPr="00CE0885">
        <w:rPr>
          <w:spacing w:val="2"/>
          <w:lang w:eastAsia="en-GB"/>
        </w:rPr>
        <w:t>m</w:t>
      </w:r>
      <w:r w:rsidRPr="00CE0885">
        <w:rPr>
          <w:spacing w:val="-1"/>
          <w:lang w:eastAsia="en-GB"/>
        </w:rPr>
        <w:t>e</w:t>
      </w:r>
      <w:r w:rsidRPr="00CE0885">
        <w:rPr>
          <w:spacing w:val="1"/>
          <w:lang w:eastAsia="en-GB"/>
        </w:rPr>
        <w:t>nt</w:t>
      </w:r>
      <w:r w:rsidRPr="00CE0885">
        <w:rPr>
          <w:lang w:eastAsia="en-GB"/>
        </w:rPr>
        <w:t>s</w:t>
      </w:r>
      <w:r w:rsidRPr="00CE0885">
        <w:rPr>
          <w:spacing w:val="-15"/>
          <w:lang w:eastAsia="en-GB"/>
        </w:rPr>
        <w:t>.</w:t>
      </w:r>
      <w:bookmarkEnd w:id="690"/>
    </w:p>
    <w:p w14:paraId="5A83B55E" w14:textId="77777777" w:rsidR="00977693" w:rsidRPr="00CE0885" w:rsidRDefault="00977693" w:rsidP="006B781A">
      <w:pPr>
        <w:pStyle w:val="Heading3"/>
        <w:rPr>
          <w:spacing w:val="1"/>
          <w:lang w:eastAsia="en-GB"/>
        </w:rPr>
      </w:pPr>
      <w:bookmarkStart w:id="691" w:name="_Toc440981831"/>
      <w:r w:rsidRPr="00CE0885">
        <w:rPr>
          <w:spacing w:val="1"/>
          <w:lang w:eastAsia="en-GB"/>
        </w:rPr>
        <w:t>Where a contractor confirms that 24-hour retirement requires "resignation" from the contract, steps will need to be taken to ensure that the contractor is removed from the contract, either by:</w:t>
      </w:r>
      <w:bookmarkEnd w:id="691"/>
    </w:p>
    <w:p w14:paraId="09D1D076" w14:textId="77777777" w:rsidR="00977693" w:rsidRPr="00CE0885" w:rsidRDefault="00977693" w:rsidP="00FA6A70">
      <w:pPr>
        <w:pStyle w:val="Heading4"/>
      </w:pPr>
      <w:bookmarkStart w:id="692" w:name="_Toc440981832"/>
      <w:r w:rsidRPr="00CE0885">
        <w:t>termination on notice in the case of a single handed contractor; or</w:t>
      </w:r>
      <w:bookmarkEnd w:id="692"/>
      <w:r w:rsidRPr="00CE0885">
        <w:t xml:space="preserve"> </w:t>
      </w:r>
    </w:p>
    <w:p w14:paraId="5136F544" w14:textId="77777777" w:rsidR="00977693" w:rsidRPr="00CE0885" w:rsidRDefault="00977693" w:rsidP="00FA6A70">
      <w:pPr>
        <w:pStyle w:val="Heading4"/>
      </w:pPr>
      <w:bookmarkStart w:id="693" w:name="_Toc440981833"/>
      <w:r w:rsidRPr="00CE0885">
        <w:t>variation of the contracting party in the case of a partnership.</w:t>
      </w:r>
      <w:bookmarkEnd w:id="693"/>
    </w:p>
    <w:p w14:paraId="446C0699" w14:textId="77777777" w:rsidR="00977693" w:rsidRPr="00CE0885" w:rsidRDefault="00977693" w:rsidP="006B781A">
      <w:pPr>
        <w:pStyle w:val="Heading3"/>
        <w:rPr>
          <w:lang w:eastAsia="en-GB"/>
        </w:rPr>
      </w:pPr>
      <w:bookmarkStart w:id="694" w:name="_Toc440981834"/>
      <w:r w:rsidRPr="00CE0885">
        <w:rPr>
          <w:lang w:eastAsia="en-GB"/>
        </w:rPr>
        <w:t>The Commissioner may wish to suggest sin</w:t>
      </w:r>
      <w:r w:rsidRPr="00CE0885">
        <w:rPr>
          <w:spacing w:val="-1"/>
          <w:lang w:eastAsia="en-GB"/>
        </w:rPr>
        <w:t>g</w:t>
      </w:r>
      <w:r w:rsidRPr="00CE0885">
        <w:rPr>
          <w:lang w:eastAsia="en-GB"/>
        </w:rPr>
        <w:t>le</w:t>
      </w:r>
      <w:r w:rsidRPr="00CE0885">
        <w:rPr>
          <w:spacing w:val="-1"/>
          <w:lang w:eastAsia="en-GB"/>
        </w:rPr>
        <w:t>-</w:t>
      </w:r>
      <w:r w:rsidRPr="00CE0885">
        <w:rPr>
          <w:lang w:eastAsia="en-GB"/>
        </w:rPr>
        <w:t>han</w:t>
      </w:r>
      <w:r w:rsidRPr="00CE0885">
        <w:rPr>
          <w:spacing w:val="-1"/>
          <w:lang w:eastAsia="en-GB"/>
        </w:rPr>
        <w:t>d</w:t>
      </w:r>
      <w:r w:rsidRPr="00CE0885">
        <w:rPr>
          <w:lang w:eastAsia="en-GB"/>
        </w:rPr>
        <w:t>ed</w:t>
      </w:r>
      <w:r w:rsidRPr="00CE0885">
        <w:rPr>
          <w:spacing w:val="-16"/>
          <w:lang w:eastAsia="en-GB"/>
        </w:rPr>
        <w:t xml:space="preserve"> </w:t>
      </w:r>
      <w:r w:rsidRPr="00CE0885">
        <w:rPr>
          <w:lang w:eastAsia="en-GB"/>
        </w:rPr>
        <w:t>p</w:t>
      </w:r>
      <w:r w:rsidRPr="00CE0885">
        <w:rPr>
          <w:spacing w:val="-1"/>
          <w:lang w:eastAsia="en-GB"/>
        </w:rPr>
        <w:t>r</w:t>
      </w:r>
      <w:r w:rsidRPr="00CE0885">
        <w:rPr>
          <w:lang w:eastAsia="en-GB"/>
        </w:rPr>
        <w:t>actiti</w:t>
      </w:r>
      <w:r w:rsidRPr="00CE0885">
        <w:rPr>
          <w:spacing w:val="-1"/>
          <w:lang w:eastAsia="en-GB"/>
        </w:rPr>
        <w:t>o</w:t>
      </w:r>
      <w:r w:rsidRPr="00CE0885">
        <w:rPr>
          <w:lang w:eastAsia="en-GB"/>
        </w:rPr>
        <w:t>ne</w:t>
      </w:r>
      <w:r w:rsidRPr="00CE0885">
        <w:rPr>
          <w:spacing w:val="-1"/>
          <w:lang w:eastAsia="en-GB"/>
        </w:rPr>
        <w:t>r</w:t>
      </w:r>
      <w:r w:rsidRPr="00CE0885">
        <w:rPr>
          <w:lang w:eastAsia="en-GB"/>
        </w:rPr>
        <w:t>s</w:t>
      </w:r>
      <w:r w:rsidRPr="00CE0885">
        <w:rPr>
          <w:spacing w:val="-13"/>
          <w:lang w:eastAsia="en-GB"/>
        </w:rPr>
        <w:t xml:space="preserve"> </w:t>
      </w:r>
      <w:r w:rsidRPr="00CE0885">
        <w:rPr>
          <w:lang w:eastAsia="en-GB"/>
        </w:rPr>
        <w:t>ta</w:t>
      </w:r>
      <w:r w:rsidRPr="00CE0885">
        <w:rPr>
          <w:spacing w:val="-2"/>
          <w:lang w:eastAsia="en-GB"/>
        </w:rPr>
        <w:t>k</w:t>
      </w:r>
      <w:r w:rsidRPr="00CE0885">
        <w:rPr>
          <w:lang w:eastAsia="en-GB"/>
        </w:rPr>
        <w:t>e</w:t>
      </w:r>
      <w:r w:rsidRPr="00CE0885">
        <w:rPr>
          <w:spacing w:val="-3"/>
          <w:lang w:eastAsia="en-GB"/>
        </w:rPr>
        <w:t xml:space="preserve"> independent </w:t>
      </w:r>
      <w:r w:rsidRPr="00CE0885">
        <w:rPr>
          <w:spacing w:val="-1"/>
          <w:lang w:eastAsia="en-GB"/>
        </w:rPr>
        <w:t>a</w:t>
      </w:r>
      <w:r w:rsidRPr="00CE0885">
        <w:rPr>
          <w:lang w:eastAsia="en-GB"/>
        </w:rPr>
        <w:t>d</w:t>
      </w:r>
      <w:r w:rsidRPr="00CE0885">
        <w:rPr>
          <w:spacing w:val="-2"/>
          <w:lang w:eastAsia="en-GB"/>
        </w:rPr>
        <w:t>v</w:t>
      </w:r>
      <w:r w:rsidRPr="00CE0885">
        <w:rPr>
          <w:lang w:eastAsia="en-GB"/>
        </w:rPr>
        <w:t>ice,</w:t>
      </w:r>
      <w:r w:rsidRPr="00CE0885">
        <w:rPr>
          <w:spacing w:val="-7"/>
          <w:lang w:eastAsia="en-GB"/>
        </w:rPr>
        <w:t xml:space="preserve"> </w:t>
      </w:r>
      <w:r w:rsidRPr="00CE0885">
        <w:rPr>
          <w:lang w:eastAsia="en-GB"/>
        </w:rPr>
        <w:t>as</w:t>
      </w:r>
      <w:r w:rsidRPr="00CE0885">
        <w:rPr>
          <w:spacing w:val="-3"/>
          <w:lang w:eastAsia="en-GB"/>
        </w:rPr>
        <w:t xml:space="preserve"> </w:t>
      </w:r>
      <w:r w:rsidRPr="00CE0885">
        <w:rPr>
          <w:lang w:eastAsia="en-GB"/>
        </w:rPr>
        <w:t>24</w:t>
      </w:r>
      <w:r w:rsidRPr="00CE0885">
        <w:rPr>
          <w:spacing w:val="-3"/>
          <w:lang w:eastAsia="en-GB"/>
        </w:rPr>
        <w:t>-</w:t>
      </w:r>
      <w:r w:rsidRPr="00CE0885">
        <w:rPr>
          <w:spacing w:val="-1"/>
          <w:lang w:eastAsia="en-GB"/>
        </w:rPr>
        <w:t>h</w:t>
      </w:r>
      <w:r w:rsidRPr="00CE0885">
        <w:rPr>
          <w:lang w:eastAsia="en-GB"/>
        </w:rPr>
        <w:t xml:space="preserve">our </w:t>
      </w:r>
      <w:r w:rsidRPr="00CE0885">
        <w:rPr>
          <w:spacing w:val="-1"/>
          <w:lang w:eastAsia="en-GB"/>
        </w:rPr>
        <w:t>r</w:t>
      </w:r>
      <w:r w:rsidRPr="00CE0885">
        <w:rPr>
          <w:spacing w:val="1"/>
          <w:lang w:eastAsia="en-GB"/>
        </w:rPr>
        <w:t>et</w:t>
      </w:r>
      <w:r w:rsidRPr="00CE0885">
        <w:rPr>
          <w:lang w:eastAsia="en-GB"/>
        </w:rPr>
        <w:t>i</w:t>
      </w:r>
      <w:r w:rsidRPr="00CE0885">
        <w:rPr>
          <w:spacing w:val="-1"/>
          <w:lang w:eastAsia="en-GB"/>
        </w:rPr>
        <w:t>r</w:t>
      </w:r>
      <w:r w:rsidRPr="00CE0885">
        <w:rPr>
          <w:spacing w:val="1"/>
          <w:lang w:eastAsia="en-GB"/>
        </w:rPr>
        <w:t>e</w:t>
      </w:r>
      <w:r w:rsidRPr="00CE0885">
        <w:rPr>
          <w:spacing w:val="2"/>
          <w:lang w:eastAsia="en-GB"/>
        </w:rPr>
        <w:t>m</w:t>
      </w:r>
      <w:r w:rsidRPr="00CE0885">
        <w:rPr>
          <w:spacing w:val="-1"/>
          <w:lang w:eastAsia="en-GB"/>
        </w:rPr>
        <w:t>e</w:t>
      </w:r>
      <w:r w:rsidRPr="00CE0885">
        <w:rPr>
          <w:spacing w:val="1"/>
          <w:lang w:eastAsia="en-GB"/>
        </w:rPr>
        <w:t>n</w:t>
      </w:r>
      <w:r w:rsidRPr="00CE0885">
        <w:rPr>
          <w:lang w:eastAsia="en-GB"/>
        </w:rPr>
        <w:t>t</w:t>
      </w:r>
      <w:r w:rsidRPr="00CE0885">
        <w:rPr>
          <w:spacing w:val="-10"/>
          <w:lang w:eastAsia="en-GB"/>
        </w:rPr>
        <w:t xml:space="preserve"> </w:t>
      </w:r>
      <w:r w:rsidRPr="00CE0885">
        <w:rPr>
          <w:spacing w:val="1"/>
          <w:lang w:eastAsia="en-GB"/>
        </w:rPr>
        <w:t>u</w:t>
      </w:r>
      <w:r w:rsidRPr="00CE0885">
        <w:rPr>
          <w:lang w:eastAsia="en-GB"/>
        </w:rPr>
        <w:t>s</w:t>
      </w:r>
      <w:r w:rsidRPr="00CE0885">
        <w:rPr>
          <w:spacing w:val="-3"/>
          <w:lang w:eastAsia="en-GB"/>
        </w:rPr>
        <w:t>i</w:t>
      </w:r>
      <w:r w:rsidRPr="00CE0885">
        <w:rPr>
          <w:spacing w:val="1"/>
          <w:lang w:eastAsia="en-GB"/>
        </w:rPr>
        <w:t>n</w:t>
      </w:r>
      <w:r w:rsidRPr="00CE0885">
        <w:rPr>
          <w:lang w:eastAsia="en-GB"/>
        </w:rPr>
        <w:t>g</w:t>
      </w:r>
      <w:r w:rsidRPr="00CE0885">
        <w:rPr>
          <w:spacing w:val="-7"/>
          <w:lang w:eastAsia="en-GB"/>
        </w:rPr>
        <w:t xml:space="preserve"> </w:t>
      </w:r>
      <w:r w:rsidRPr="00CE0885">
        <w:rPr>
          <w:spacing w:val="1"/>
          <w:lang w:eastAsia="en-GB"/>
        </w:rPr>
        <w:t>th</w:t>
      </w:r>
      <w:r w:rsidRPr="00CE0885">
        <w:rPr>
          <w:lang w:eastAsia="en-GB"/>
        </w:rPr>
        <w:t>e</w:t>
      </w:r>
      <w:r w:rsidRPr="00CE0885">
        <w:rPr>
          <w:spacing w:val="-4"/>
          <w:lang w:eastAsia="en-GB"/>
        </w:rPr>
        <w:t xml:space="preserve"> </w:t>
      </w:r>
      <w:r w:rsidRPr="00CE0885">
        <w:rPr>
          <w:spacing w:val="-1"/>
          <w:lang w:eastAsia="en-GB"/>
        </w:rPr>
        <w:t>m</w:t>
      </w:r>
      <w:r w:rsidRPr="00CE0885">
        <w:rPr>
          <w:spacing w:val="1"/>
          <w:lang w:eastAsia="en-GB"/>
        </w:rPr>
        <w:t>eth</w:t>
      </w:r>
      <w:r w:rsidRPr="00CE0885">
        <w:rPr>
          <w:spacing w:val="-1"/>
          <w:lang w:eastAsia="en-GB"/>
        </w:rPr>
        <w:t>o</w:t>
      </w:r>
      <w:r w:rsidRPr="00CE0885">
        <w:rPr>
          <w:lang w:eastAsia="en-GB"/>
        </w:rPr>
        <w:t>d</w:t>
      </w:r>
      <w:r w:rsidRPr="00CE0885">
        <w:rPr>
          <w:spacing w:val="-6"/>
          <w:lang w:eastAsia="en-GB"/>
        </w:rPr>
        <w:t xml:space="preserve"> </w:t>
      </w:r>
      <w:r w:rsidRPr="00CE0885">
        <w:rPr>
          <w:spacing w:val="-1"/>
          <w:lang w:eastAsia="en-GB"/>
        </w:rPr>
        <w:t>d</w:t>
      </w:r>
      <w:r w:rsidRPr="00CE0885">
        <w:rPr>
          <w:spacing w:val="1"/>
          <w:lang w:eastAsia="en-GB"/>
        </w:rPr>
        <w:t>e</w:t>
      </w:r>
      <w:r w:rsidRPr="00CE0885">
        <w:rPr>
          <w:lang w:eastAsia="en-GB"/>
        </w:rPr>
        <w:t>sc</w:t>
      </w:r>
      <w:r w:rsidRPr="00CE0885">
        <w:rPr>
          <w:spacing w:val="-1"/>
          <w:lang w:eastAsia="en-GB"/>
        </w:rPr>
        <w:t>r</w:t>
      </w:r>
      <w:r w:rsidRPr="00CE0885">
        <w:rPr>
          <w:lang w:eastAsia="en-GB"/>
        </w:rPr>
        <w:t>i</w:t>
      </w:r>
      <w:r w:rsidRPr="00CE0885">
        <w:rPr>
          <w:spacing w:val="1"/>
          <w:lang w:eastAsia="en-GB"/>
        </w:rPr>
        <w:t>be</w:t>
      </w:r>
      <w:r w:rsidRPr="00CE0885">
        <w:rPr>
          <w:lang w:eastAsia="en-GB"/>
        </w:rPr>
        <w:t>d</w:t>
      </w:r>
      <w:r w:rsidRPr="00CE0885">
        <w:rPr>
          <w:spacing w:val="-11"/>
          <w:lang w:eastAsia="en-GB"/>
        </w:rPr>
        <w:t xml:space="preserve"> </w:t>
      </w:r>
      <w:r w:rsidRPr="00CE0885">
        <w:rPr>
          <w:spacing w:val="1"/>
          <w:lang w:eastAsia="en-GB"/>
        </w:rPr>
        <w:t>a</w:t>
      </w:r>
      <w:r w:rsidRPr="00CE0885">
        <w:rPr>
          <w:spacing w:val="-1"/>
          <w:lang w:eastAsia="en-GB"/>
        </w:rPr>
        <w:t>b</w:t>
      </w:r>
      <w:r w:rsidRPr="00CE0885">
        <w:rPr>
          <w:spacing w:val="1"/>
          <w:lang w:eastAsia="en-GB"/>
        </w:rPr>
        <w:t>o</w:t>
      </w:r>
      <w:r w:rsidRPr="00CE0885">
        <w:rPr>
          <w:spacing w:val="-2"/>
          <w:lang w:eastAsia="en-GB"/>
        </w:rPr>
        <w:t>v</w:t>
      </w:r>
      <w:r w:rsidRPr="00CE0885">
        <w:rPr>
          <w:lang w:eastAsia="en-GB"/>
        </w:rPr>
        <w:t>e</w:t>
      </w:r>
      <w:r w:rsidRPr="00CE0885">
        <w:rPr>
          <w:spacing w:val="-5"/>
          <w:lang w:eastAsia="en-GB"/>
        </w:rPr>
        <w:t xml:space="preserve"> </w:t>
      </w:r>
      <w:r w:rsidRPr="00CE0885">
        <w:rPr>
          <w:spacing w:val="-3"/>
          <w:lang w:eastAsia="en-GB"/>
        </w:rPr>
        <w:t>w</w:t>
      </w:r>
      <w:r w:rsidRPr="00CE0885">
        <w:rPr>
          <w:spacing w:val="1"/>
          <w:lang w:eastAsia="en-GB"/>
        </w:rPr>
        <w:t>ou</w:t>
      </w:r>
      <w:r w:rsidRPr="00CE0885">
        <w:rPr>
          <w:lang w:eastAsia="en-GB"/>
        </w:rPr>
        <w:t>ld</w:t>
      </w:r>
      <w:r w:rsidRPr="00CE0885">
        <w:rPr>
          <w:spacing w:val="-4"/>
          <w:lang w:eastAsia="en-GB"/>
        </w:rPr>
        <w:t xml:space="preserve"> </w:t>
      </w:r>
      <w:r w:rsidRPr="00CE0885">
        <w:rPr>
          <w:spacing w:val="1"/>
          <w:lang w:eastAsia="en-GB"/>
        </w:rPr>
        <w:t>ne</w:t>
      </w:r>
      <w:r w:rsidRPr="00CE0885">
        <w:rPr>
          <w:lang w:eastAsia="en-GB"/>
        </w:rPr>
        <w:t>c</w:t>
      </w:r>
      <w:r w:rsidRPr="00CE0885">
        <w:rPr>
          <w:spacing w:val="1"/>
          <w:lang w:eastAsia="en-GB"/>
        </w:rPr>
        <w:t>e</w:t>
      </w:r>
      <w:r w:rsidRPr="00CE0885">
        <w:rPr>
          <w:lang w:eastAsia="en-GB"/>
        </w:rPr>
        <w:t>ssi</w:t>
      </w:r>
      <w:r w:rsidRPr="00CE0885">
        <w:rPr>
          <w:spacing w:val="-2"/>
          <w:lang w:eastAsia="en-GB"/>
        </w:rPr>
        <w:t>t</w:t>
      </w:r>
      <w:r w:rsidRPr="00CE0885">
        <w:rPr>
          <w:spacing w:val="1"/>
          <w:lang w:eastAsia="en-GB"/>
        </w:rPr>
        <w:t>at</w:t>
      </w:r>
      <w:r w:rsidRPr="00CE0885">
        <w:rPr>
          <w:lang w:eastAsia="en-GB"/>
        </w:rPr>
        <w:t>e</w:t>
      </w:r>
      <w:r w:rsidRPr="00CE0885">
        <w:rPr>
          <w:spacing w:val="-13"/>
          <w:lang w:eastAsia="en-GB"/>
        </w:rPr>
        <w:t xml:space="preserve"> </w:t>
      </w:r>
      <w:r w:rsidRPr="00CE0885">
        <w:rPr>
          <w:spacing w:val="1"/>
          <w:lang w:eastAsia="en-GB"/>
        </w:rPr>
        <w:t>th</w:t>
      </w:r>
      <w:r w:rsidRPr="00CE0885">
        <w:rPr>
          <w:lang w:eastAsia="en-GB"/>
        </w:rPr>
        <w:t xml:space="preserve">e </w:t>
      </w:r>
      <w:r w:rsidRPr="00CE0885">
        <w:rPr>
          <w:spacing w:val="1"/>
          <w:lang w:eastAsia="en-GB"/>
        </w:rPr>
        <w:t>te</w:t>
      </w:r>
      <w:r w:rsidRPr="00CE0885">
        <w:rPr>
          <w:spacing w:val="-1"/>
          <w:lang w:eastAsia="en-GB"/>
        </w:rPr>
        <w:t>r</w:t>
      </w:r>
      <w:r w:rsidRPr="00CE0885">
        <w:rPr>
          <w:spacing w:val="2"/>
          <w:lang w:eastAsia="en-GB"/>
        </w:rPr>
        <w:t>m</w:t>
      </w:r>
      <w:r w:rsidRPr="00CE0885">
        <w:rPr>
          <w:lang w:eastAsia="en-GB"/>
        </w:rPr>
        <w:t>i</w:t>
      </w:r>
      <w:r w:rsidRPr="00CE0885">
        <w:rPr>
          <w:spacing w:val="-1"/>
          <w:lang w:eastAsia="en-GB"/>
        </w:rPr>
        <w:t>n</w:t>
      </w:r>
      <w:r w:rsidRPr="00CE0885">
        <w:rPr>
          <w:spacing w:val="1"/>
          <w:lang w:eastAsia="en-GB"/>
        </w:rPr>
        <w:t>at</w:t>
      </w:r>
      <w:r w:rsidRPr="00CE0885">
        <w:rPr>
          <w:lang w:eastAsia="en-GB"/>
        </w:rPr>
        <w:t>i</w:t>
      </w:r>
      <w:r w:rsidRPr="00CE0885">
        <w:rPr>
          <w:spacing w:val="1"/>
          <w:lang w:eastAsia="en-GB"/>
        </w:rPr>
        <w:t>o</w:t>
      </w:r>
      <w:r w:rsidRPr="00CE0885">
        <w:rPr>
          <w:lang w:eastAsia="en-GB"/>
        </w:rPr>
        <w:t>n</w:t>
      </w:r>
      <w:r w:rsidRPr="00CE0885">
        <w:rPr>
          <w:spacing w:val="-13"/>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1"/>
          <w:lang w:eastAsia="en-GB"/>
        </w:rPr>
        <w:t>th</w:t>
      </w:r>
      <w:r w:rsidRPr="00CE0885">
        <w:rPr>
          <w:lang w:eastAsia="en-GB"/>
        </w:rPr>
        <w:t>e</w:t>
      </w:r>
      <w:r w:rsidRPr="00CE0885">
        <w:rPr>
          <w:spacing w:val="-1"/>
          <w:lang w:eastAsia="en-GB"/>
        </w:rPr>
        <w:t xml:space="preserve"> </w:t>
      </w:r>
      <w:r w:rsidRPr="00CE0885">
        <w:rPr>
          <w:spacing w:val="-2"/>
          <w:lang w:eastAsia="en-GB"/>
        </w:rPr>
        <w:t>c</w:t>
      </w:r>
      <w:r w:rsidRPr="00CE0885">
        <w:rPr>
          <w:spacing w:val="1"/>
          <w:lang w:eastAsia="en-GB"/>
        </w:rPr>
        <w:t>ont</w:t>
      </w:r>
      <w:r w:rsidRPr="00CE0885">
        <w:rPr>
          <w:spacing w:val="-3"/>
          <w:lang w:eastAsia="en-GB"/>
        </w:rPr>
        <w:t>r</w:t>
      </w:r>
      <w:r w:rsidRPr="00CE0885">
        <w:rPr>
          <w:spacing w:val="1"/>
          <w:lang w:eastAsia="en-GB"/>
        </w:rPr>
        <w:t>a</w:t>
      </w:r>
      <w:r w:rsidRPr="00CE0885">
        <w:rPr>
          <w:lang w:eastAsia="en-GB"/>
        </w:rPr>
        <w:t xml:space="preserve">ct as set out in paragraphs </w:t>
      </w:r>
      <w:r w:rsidRPr="00CE0885">
        <w:rPr>
          <w:lang w:eastAsia="en-GB"/>
        </w:rPr>
        <w:fldChar w:fldCharType="begin"/>
      </w:r>
      <w:r w:rsidRPr="00CE0885">
        <w:rPr>
          <w:lang w:eastAsia="en-GB"/>
        </w:rPr>
        <w:instrText xml:space="preserve"> REF _Ref410399433 \r \h  \* MERGEFORMAT </w:instrText>
      </w:r>
      <w:r w:rsidRPr="00CE0885">
        <w:rPr>
          <w:lang w:eastAsia="en-GB"/>
        </w:rPr>
      </w:r>
      <w:r w:rsidRPr="00CE0885">
        <w:rPr>
          <w:lang w:eastAsia="en-GB"/>
        </w:rPr>
        <w:fldChar w:fldCharType="separate"/>
      </w:r>
      <w:r w:rsidR="00622FF2">
        <w:rPr>
          <w:lang w:eastAsia="en-GB"/>
        </w:rPr>
        <w:t>7.6.1</w:t>
      </w:r>
      <w:r w:rsidRPr="00CE0885">
        <w:rPr>
          <w:lang w:eastAsia="en-GB"/>
        </w:rPr>
        <w:fldChar w:fldCharType="end"/>
      </w:r>
      <w:r w:rsidRPr="00CE0885">
        <w:rPr>
          <w:lang w:eastAsia="en-GB"/>
        </w:rPr>
        <w:t xml:space="preserve"> to </w:t>
      </w:r>
      <w:r w:rsidRPr="00CE0885">
        <w:rPr>
          <w:lang w:eastAsia="en-GB"/>
        </w:rPr>
        <w:fldChar w:fldCharType="begin"/>
      </w:r>
      <w:r w:rsidRPr="00CE0885">
        <w:rPr>
          <w:lang w:eastAsia="en-GB"/>
        </w:rPr>
        <w:instrText xml:space="preserve"> REF _Ref410399444 \r \h  \* MERGEFORMAT </w:instrText>
      </w:r>
      <w:r w:rsidRPr="00CE0885">
        <w:rPr>
          <w:lang w:eastAsia="en-GB"/>
        </w:rPr>
      </w:r>
      <w:r w:rsidRPr="00CE0885">
        <w:rPr>
          <w:lang w:eastAsia="en-GB"/>
        </w:rPr>
        <w:fldChar w:fldCharType="separate"/>
      </w:r>
      <w:r w:rsidR="00622FF2">
        <w:rPr>
          <w:lang w:eastAsia="en-GB"/>
        </w:rPr>
        <w:t>7.6.13</w:t>
      </w:r>
      <w:r w:rsidRPr="00CE0885">
        <w:rPr>
          <w:lang w:eastAsia="en-GB"/>
        </w:rPr>
        <w:fldChar w:fldCharType="end"/>
      </w:r>
      <w:r w:rsidRPr="00CE0885">
        <w:rPr>
          <w:spacing w:val="-8"/>
          <w:lang w:eastAsia="en-GB"/>
        </w:rPr>
        <w:t>.</w:t>
      </w:r>
      <w:bookmarkEnd w:id="694"/>
      <w:r w:rsidRPr="00CE0885">
        <w:rPr>
          <w:spacing w:val="-8"/>
          <w:lang w:eastAsia="en-GB"/>
        </w:rPr>
        <w:t xml:space="preserve"> </w:t>
      </w:r>
    </w:p>
    <w:p w14:paraId="7F45EDB3" w14:textId="77777777" w:rsidR="00977693" w:rsidRPr="00CE0885" w:rsidRDefault="00977693" w:rsidP="006B781A">
      <w:pPr>
        <w:pStyle w:val="Heading3"/>
        <w:rPr>
          <w:lang w:eastAsia="en-GB"/>
        </w:rPr>
      </w:pPr>
      <w:bookmarkStart w:id="695" w:name="_Toc440981835"/>
      <w:r w:rsidRPr="00CE0885">
        <w:rPr>
          <w:spacing w:val="-8"/>
          <w:lang w:eastAsia="en-GB"/>
        </w:rPr>
        <w:t xml:space="preserve">The Commissioner must make clear to the contractor that </w:t>
      </w:r>
      <w:r w:rsidRPr="00CE0885">
        <w:rPr>
          <w:spacing w:val="1"/>
          <w:lang w:eastAsia="en-GB"/>
        </w:rPr>
        <w:t>the</w:t>
      </w:r>
      <w:r w:rsidRPr="00CE0885">
        <w:rPr>
          <w:spacing w:val="-1"/>
          <w:lang w:eastAsia="en-GB"/>
        </w:rPr>
        <w:t>r</w:t>
      </w:r>
      <w:r w:rsidRPr="00CE0885">
        <w:rPr>
          <w:lang w:eastAsia="en-GB"/>
        </w:rPr>
        <w:t>e</w:t>
      </w:r>
      <w:r w:rsidRPr="00CE0885">
        <w:rPr>
          <w:spacing w:val="-6"/>
          <w:lang w:eastAsia="en-GB"/>
        </w:rPr>
        <w:t xml:space="preserve"> </w:t>
      </w:r>
      <w:r w:rsidRPr="00CE0885">
        <w:rPr>
          <w:lang w:eastAsia="en-GB"/>
        </w:rPr>
        <w:t>is</w:t>
      </w:r>
      <w:r w:rsidRPr="00CE0885">
        <w:rPr>
          <w:spacing w:val="-2"/>
          <w:lang w:eastAsia="en-GB"/>
        </w:rPr>
        <w:t xml:space="preserve"> </w:t>
      </w:r>
      <w:r w:rsidRPr="00CE0885">
        <w:rPr>
          <w:spacing w:val="1"/>
          <w:lang w:eastAsia="en-GB"/>
        </w:rPr>
        <w:t>n</w:t>
      </w:r>
      <w:r w:rsidRPr="00CE0885">
        <w:rPr>
          <w:lang w:eastAsia="en-GB"/>
        </w:rPr>
        <w:t>o</w:t>
      </w:r>
      <w:r w:rsidRPr="00CE0885">
        <w:rPr>
          <w:spacing w:val="-1"/>
          <w:lang w:eastAsia="en-GB"/>
        </w:rPr>
        <w:t xml:space="preserve"> g</w:t>
      </w:r>
      <w:r w:rsidRPr="00CE0885">
        <w:rPr>
          <w:spacing w:val="1"/>
          <w:lang w:eastAsia="en-GB"/>
        </w:rPr>
        <w:t>ua</w:t>
      </w:r>
      <w:r w:rsidRPr="00CE0885">
        <w:rPr>
          <w:spacing w:val="-1"/>
          <w:lang w:eastAsia="en-GB"/>
        </w:rPr>
        <w:t>ra</w:t>
      </w:r>
      <w:r w:rsidRPr="00CE0885">
        <w:rPr>
          <w:spacing w:val="1"/>
          <w:lang w:eastAsia="en-GB"/>
        </w:rPr>
        <w:t>nt</w:t>
      </w:r>
      <w:r w:rsidRPr="00CE0885">
        <w:rPr>
          <w:spacing w:val="-1"/>
          <w:lang w:eastAsia="en-GB"/>
        </w:rPr>
        <w:t>e</w:t>
      </w:r>
      <w:r w:rsidRPr="00CE0885">
        <w:rPr>
          <w:lang w:eastAsia="en-GB"/>
        </w:rPr>
        <w:t>e</w:t>
      </w:r>
      <w:r w:rsidRPr="00CE0885">
        <w:rPr>
          <w:spacing w:val="-9"/>
          <w:lang w:eastAsia="en-GB"/>
        </w:rPr>
        <w:t xml:space="preserve"> </w:t>
      </w:r>
      <w:r w:rsidRPr="00CE0885">
        <w:rPr>
          <w:spacing w:val="-2"/>
          <w:lang w:eastAsia="en-GB"/>
        </w:rPr>
        <w:t>t</w:t>
      </w:r>
      <w:r w:rsidRPr="00CE0885">
        <w:rPr>
          <w:spacing w:val="1"/>
          <w:lang w:eastAsia="en-GB"/>
        </w:rPr>
        <w:t>ha</w:t>
      </w:r>
      <w:r w:rsidRPr="00CE0885">
        <w:rPr>
          <w:lang w:eastAsia="en-GB"/>
        </w:rPr>
        <w:t>t</w:t>
      </w:r>
      <w:r w:rsidRPr="00CE0885">
        <w:rPr>
          <w:spacing w:val="-3"/>
          <w:lang w:eastAsia="en-GB"/>
        </w:rPr>
        <w:t xml:space="preserve"> </w:t>
      </w:r>
      <w:r w:rsidRPr="00CE0885">
        <w:rPr>
          <w:lang w:eastAsia="en-GB"/>
        </w:rPr>
        <w:t>the Commissioner</w:t>
      </w:r>
      <w:r w:rsidRPr="00CE0885">
        <w:rPr>
          <w:spacing w:val="-10"/>
          <w:lang w:eastAsia="en-GB"/>
        </w:rPr>
        <w:t xml:space="preserve"> </w:t>
      </w:r>
      <w:r w:rsidRPr="00CE0885">
        <w:rPr>
          <w:spacing w:val="-3"/>
          <w:lang w:eastAsia="en-GB"/>
        </w:rPr>
        <w:t>w</w:t>
      </w:r>
      <w:r w:rsidRPr="00CE0885">
        <w:rPr>
          <w:spacing w:val="1"/>
          <w:lang w:eastAsia="en-GB"/>
        </w:rPr>
        <w:t>ou</w:t>
      </w:r>
      <w:r w:rsidRPr="00CE0885">
        <w:rPr>
          <w:lang w:eastAsia="en-GB"/>
        </w:rPr>
        <w:t>ld c</w:t>
      </w:r>
      <w:r w:rsidRPr="00CE0885">
        <w:rPr>
          <w:spacing w:val="1"/>
          <w:lang w:eastAsia="en-GB"/>
        </w:rPr>
        <w:t>o</w:t>
      </w:r>
      <w:r w:rsidRPr="00CE0885">
        <w:rPr>
          <w:spacing w:val="-1"/>
          <w:lang w:eastAsia="en-GB"/>
        </w:rPr>
        <w:t>m</w:t>
      </w:r>
      <w:r w:rsidRPr="00CE0885">
        <w:rPr>
          <w:spacing w:val="2"/>
          <w:lang w:eastAsia="en-GB"/>
        </w:rPr>
        <w:t>m</w:t>
      </w:r>
      <w:r w:rsidRPr="00CE0885">
        <w:rPr>
          <w:lang w:eastAsia="en-GB"/>
        </w:rPr>
        <w:t>issi</w:t>
      </w:r>
      <w:r w:rsidRPr="00CE0885">
        <w:rPr>
          <w:spacing w:val="1"/>
          <w:lang w:eastAsia="en-GB"/>
        </w:rPr>
        <w:t>o</w:t>
      </w:r>
      <w:r w:rsidRPr="00CE0885">
        <w:rPr>
          <w:lang w:eastAsia="en-GB"/>
        </w:rPr>
        <w:t>n</w:t>
      </w:r>
      <w:r w:rsidRPr="00CE0885">
        <w:rPr>
          <w:spacing w:val="-11"/>
          <w:lang w:eastAsia="en-GB"/>
        </w:rPr>
        <w:t xml:space="preserve"> </w:t>
      </w:r>
      <w:r w:rsidRPr="00CE0885">
        <w:rPr>
          <w:spacing w:val="-2"/>
          <w:lang w:eastAsia="en-GB"/>
        </w:rPr>
        <w:t>s</w:t>
      </w:r>
      <w:r w:rsidRPr="00CE0885">
        <w:rPr>
          <w:spacing w:val="1"/>
          <w:lang w:eastAsia="en-GB"/>
        </w:rPr>
        <w:t>e</w:t>
      </w:r>
      <w:r w:rsidRPr="00CE0885">
        <w:rPr>
          <w:spacing w:val="-1"/>
          <w:lang w:eastAsia="en-GB"/>
        </w:rPr>
        <w:t>r</w:t>
      </w:r>
      <w:r w:rsidRPr="00CE0885">
        <w:rPr>
          <w:spacing w:val="-2"/>
          <w:lang w:eastAsia="en-GB"/>
        </w:rPr>
        <w:t>v</w:t>
      </w:r>
      <w:r w:rsidRPr="00CE0885">
        <w:rPr>
          <w:lang w:eastAsia="en-GB"/>
        </w:rPr>
        <w:t>ic</w:t>
      </w:r>
      <w:r w:rsidRPr="00CE0885">
        <w:rPr>
          <w:spacing w:val="1"/>
          <w:lang w:eastAsia="en-GB"/>
        </w:rPr>
        <w:t>e</w:t>
      </w:r>
      <w:r w:rsidRPr="00CE0885">
        <w:rPr>
          <w:lang w:eastAsia="en-GB"/>
        </w:rPr>
        <w:t>s</w:t>
      </w:r>
      <w:r w:rsidRPr="00CE0885">
        <w:rPr>
          <w:spacing w:val="-9"/>
          <w:lang w:eastAsia="en-GB"/>
        </w:rPr>
        <w:t xml:space="preserve"> </w:t>
      </w:r>
      <w:r w:rsidRPr="00CE0885">
        <w:rPr>
          <w:spacing w:val="3"/>
          <w:lang w:eastAsia="en-GB"/>
        </w:rPr>
        <w:t>f</w:t>
      </w:r>
      <w:r w:rsidRPr="00CE0885">
        <w:rPr>
          <w:spacing w:val="-3"/>
          <w:lang w:eastAsia="en-GB"/>
        </w:rPr>
        <w:t>r</w:t>
      </w:r>
      <w:r w:rsidRPr="00CE0885">
        <w:rPr>
          <w:spacing w:val="1"/>
          <w:lang w:eastAsia="en-GB"/>
        </w:rPr>
        <w:t>o</w:t>
      </w:r>
      <w:r w:rsidRPr="00CE0885">
        <w:rPr>
          <w:lang w:eastAsia="en-GB"/>
        </w:rPr>
        <w:t>m</w:t>
      </w:r>
      <w:r w:rsidRPr="00CE0885">
        <w:rPr>
          <w:spacing w:val="-5"/>
          <w:lang w:eastAsia="en-GB"/>
        </w:rPr>
        <w:t xml:space="preserve"> </w:t>
      </w:r>
      <w:r w:rsidRPr="00CE0885">
        <w:rPr>
          <w:spacing w:val="1"/>
          <w:lang w:eastAsia="en-GB"/>
        </w:rPr>
        <w:t>tha</w:t>
      </w:r>
      <w:r w:rsidRPr="00CE0885">
        <w:rPr>
          <w:lang w:eastAsia="en-GB"/>
        </w:rPr>
        <w:t>t</w:t>
      </w:r>
      <w:r w:rsidRPr="00CE0885">
        <w:rPr>
          <w:spacing w:val="-5"/>
          <w:lang w:eastAsia="en-GB"/>
        </w:rPr>
        <w:t xml:space="preserve"> </w:t>
      </w:r>
      <w:r w:rsidRPr="00CE0885">
        <w:rPr>
          <w:lang w:eastAsia="en-GB"/>
        </w:rPr>
        <w:t>i</w:t>
      </w:r>
      <w:r w:rsidRPr="00CE0885">
        <w:rPr>
          <w:spacing w:val="1"/>
          <w:lang w:eastAsia="en-GB"/>
        </w:rPr>
        <w:t>nd</w:t>
      </w:r>
      <w:r w:rsidRPr="00CE0885">
        <w:rPr>
          <w:lang w:eastAsia="en-GB"/>
        </w:rPr>
        <w:t>i</w:t>
      </w:r>
      <w:r w:rsidRPr="00CE0885">
        <w:rPr>
          <w:spacing w:val="-2"/>
          <w:lang w:eastAsia="en-GB"/>
        </w:rPr>
        <w:t>v</w:t>
      </w:r>
      <w:r w:rsidRPr="00CE0885">
        <w:rPr>
          <w:lang w:eastAsia="en-GB"/>
        </w:rPr>
        <w:t>i</w:t>
      </w:r>
      <w:r w:rsidRPr="00CE0885">
        <w:rPr>
          <w:spacing w:val="1"/>
          <w:lang w:eastAsia="en-GB"/>
        </w:rPr>
        <w:t>dua</w:t>
      </w:r>
      <w:r w:rsidRPr="00CE0885">
        <w:rPr>
          <w:lang w:eastAsia="en-GB"/>
        </w:rPr>
        <w:t>l</w:t>
      </w:r>
      <w:r w:rsidRPr="00CE0885">
        <w:rPr>
          <w:spacing w:val="-12"/>
          <w:lang w:eastAsia="en-GB"/>
        </w:rPr>
        <w:t xml:space="preserve"> </w:t>
      </w:r>
      <w:r w:rsidRPr="00CE0885">
        <w:rPr>
          <w:spacing w:val="1"/>
          <w:lang w:eastAsia="en-GB"/>
        </w:rPr>
        <w:t>fo</w:t>
      </w:r>
      <w:r w:rsidRPr="00CE0885">
        <w:rPr>
          <w:lang w:eastAsia="en-GB"/>
        </w:rPr>
        <w:t>ll</w:t>
      </w:r>
      <w:r w:rsidRPr="00CE0885">
        <w:rPr>
          <w:spacing w:val="1"/>
          <w:lang w:eastAsia="en-GB"/>
        </w:rPr>
        <w:t>o</w:t>
      </w:r>
      <w:r w:rsidRPr="00CE0885">
        <w:rPr>
          <w:spacing w:val="-3"/>
          <w:lang w:eastAsia="en-GB"/>
        </w:rPr>
        <w:t>w</w:t>
      </w:r>
      <w:r w:rsidRPr="00CE0885">
        <w:rPr>
          <w:lang w:eastAsia="en-GB"/>
        </w:rPr>
        <w:t>i</w:t>
      </w:r>
      <w:r w:rsidRPr="00CE0885">
        <w:rPr>
          <w:spacing w:val="3"/>
          <w:lang w:eastAsia="en-GB"/>
        </w:rPr>
        <w:t>n</w:t>
      </w:r>
      <w:r w:rsidRPr="00CE0885">
        <w:rPr>
          <w:lang w:eastAsia="en-GB"/>
        </w:rPr>
        <w:t>g</w:t>
      </w:r>
      <w:r w:rsidRPr="00CE0885">
        <w:rPr>
          <w:spacing w:val="-10"/>
          <w:lang w:eastAsia="en-GB"/>
        </w:rPr>
        <w:t xml:space="preserve"> </w:t>
      </w:r>
      <w:r w:rsidRPr="00CE0885">
        <w:rPr>
          <w:spacing w:val="1"/>
          <w:lang w:eastAsia="en-GB"/>
        </w:rPr>
        <w:t>te</w:t>
      </w:r>
      <w:r w:rsidRPr="00CE0885">
        <w:rPr>
          <w:spacing w:val="-1"/>
          <w:lang w:eastAsia="en-GB"/>
        </w:rPr>
        <w:t>r</w:t>
      </w:r>
      <w:r w:rsidRPr="00CE0885">
        <w:rPr>
          <w:spacing w:val="2"/>
          <w:lang w:eastAsia="en-GB"/>
        </w:rPr>
        <w:t>m</w:t>
      </w:r>
      <w:r w:rsidRPr="00CE0885">
        <w:rPr>
          <w:lang w:eastAsia="en-GB"/>
        </w:rPr>
        <w:t>i</w:t>
      </w:r>
      <w:r w:rsidRPr="00CE0885">
        <w:rPr>
          <w:spacing w:val="1"/>
          <w:lang w:eastAsia="en-GB"/>
        </w:rPr>
        <w:t>nat</w:t>
      </w:r>
      <w:r w:rsidRPr="00CE0885">
        <w:rPr>
          <w:lang w:eastAsia="en-GB"/>
        </w:rPr>
        <w:t>i</w:t>
      </w:r>
      <w:r w:rsidRPr="00CE0885">
        <w:rPr>
          <w:spacing w:val="-1"/>
          <w:lang w:eastAsia="en-GB"/>
        </w:rPr>
        <w:t>o</w:t>
      </w:r>
      <w:r w:rsidRPr="00CE0885">
        <w:rPr>
          <w:spacing w:val="1"/>
          <w:lang w:eastAsia="en-GB"/>
        </w:rPr>
        <w:t>n</w:t>
      </w:r>
      <w:r w:rsidRPr="00CE0885">
        <w:rPr>
          <w:lang w:eastAsia="en-GB"/>
        </w:rPr>
        <w:t>.</w:t>
      </w:r>
      <w:bookmarkEnd w:id="695"/>
    </w:p>
    <w:p w14:paraId="38BCEF3A" w14:textId="2A44AB41" w:rsidR="00977693" w:rsidRPr="00CE0885" w:rsidRDefault="00977693" w:rsidP="00A114DF">
      <w:pPr>
        <w:pStyle w:val="Heading3"/>
        <w:rPr>
          <w:lang w:eastAsia="en-GB"/>
        </w:rPr>
      </w:pPr>
      <w:bookmarkStart w:id="696" w:name="_Toc440981836"/>
      <w:r w:rsidRPr="00CE0885">
        <w:rPr>
          <w:lang w:eastAsia="en-GB"/>
        </w:rPr>
        <w:t>Please refer to the NHS England Legal Team for further information on procurement implications</w:t>
      </w:r>
      <w:r w:rsidR="00A114DF">
        <w:rPr>
          <w:lang w:eastAsia="en-GB"/>
        </w:rPr>
        <w:t xml:space="preserve"> </w:t>
      </w:r>
      <w:hyperlink r:id="rId83" w:history="1">
        <w:r w:rsidR="00A114DF" w:rsidRPr="00CE13A6">
          <w:rPr>
            <w:rStyle w:val="Hyperlink"/>
            <w:lang w:eastAsia="en-GB"/>
          </w:rPr>
          <w:t>england.legal@nhs.net</w:t>
        </w:r>
      </w:hyperlink>
      <w:r w:rsidRPr="00CE0885">
        <w:rPr>
          <w:lang w:eastAsia="en-GB"/>
        </w:rPr>
        <w:t>.</w:t>
      </w:r>
      <w:bookmarkEnd w:id="696"/>
      <w:r w:rsidR="00A114DF">
        <w:rPr>
          <w:lang w:eastAsia="en-GB"/>
        </w:rPr>
        <w:t xml:space="preserve"> </w:t>
      </w:r>
      <w:r w:rsidRPr="00CE0885">
        <w:rPr>
          <w:lang w:eastAsia="en-GB"/>
        </w:rPr>
        <w:t xml:space="preserve"> </w:t>
      </w:r>
    </w:p>
    <w:p w14:paraId="43326002" w14:textId="77777777" w:rsidR="00977693" w:rsidRPr="009055A7" w:rsidRDefault="00977693" w:rsidP="00977693">
      <w:pPr>
        <w:widowControl w:val="0"/>
        <w:spacing w:line="360" w:lineRule="auto"/>
        <w:ind w:left="1414"/>
        <w:jc w:val="both"/>
        <w:rPr>
          <w:rFonts w:cs="Arial"/>
          <w:bCs w:val="0"/>
          <w:sz w:val="20"/>
          <w:szCs w:val="20"/>
          <w:lang w:eastAsia="en-GB"/>
        </w:rPr>
      </w:pPr>
    </w:p>
    <w:p w14:paraId="7E9A01B1" w14:textId="77777777" w:rsidR="00977693" w:rsidRPr="00CE0885" w:rsidRDefault="00977693" w:rsidP="001A315E">
      <w:pPr>
        <w:pStyle w:val="Heading2"/>
        <w:rPr>
          <w:rFonts w:cs="Arial"/>
          <w:lang w:eastAsia="en-GB"/>
        </w:rPr>
      </w:pPr>
      <w:bookmarkStart w:id="697" w:name="_Toc440981837"/>
      <w:bookmarkStart w:id="698" w:name="_Toc498495394"/>
      <w:r w:rsidRPr="001A315E">
        <w:t>Variation Provisions Specific to a Contract with a Company Limited</w:t>
      </w:r>
      <w:r w:rsidRPr="00CE0885">
        <w:rPr>
          <w:rFonts w:cs="Arial"/>
          <w:lang w:eastAsia="en-GB"/>
        </w:rPr>
        <w:t xml:space="preserve"> by Shares (GMS) or a Qualifying Body (PMS)</w:t>
      </w:r>
      <w:bookmarkEnd w:id="697"/>
      <w:bookmarkEnd w:id="698"/>
    </w:p>
    <w:p w14:paraId="753FE2C0" w14:textId="77777777" w:rsidR="00977693" w:rsidRPr="00CE0885" w:rsidRDefault="00977693" w:rsidP="006B781A">
      <w:pPr>
        <w:pStyle w:val="Heading3"/>
        <w:rPr>
          <w:lang w:eastAsia="en-GB"/>
        </w:rPr>
      </w:pPr>
      <w:bookmarkStart w:id="699" w:name="_Toc440981838"/>
      <w:r w:rsidRPr="00CE0885">
        <w:rPr>
          <w:spacing w:val="1"/>
          <w:lang w:eastAsia="en-GB"/>
        </w:rPr>
        <w:t>A G</w:t>
      </w:r>
      <w:r w:rsidRPr="00CE0885">
        <w:rPr>
          <w:spacing w:val="-1"/>
          <w:lang w:eastAsia="en-GB"/>
        </w:rPr>
        <w:t>M</w:t>
      </w:r>
      <w:r w:rsidRPr="00CE0885">
        <w:rPr>
          <w:lang w:eastAsia="en-GB"/>
        </w:rPr>
        <w:t>S</w:t>
      </w:r>
      <w:r w:rsidRPr="00CE0885">
        <w:rPr>
          <w:spacing w:val="-4"/>
          <w:lang w:eastAsia="en-GB"/>
        </w:rPr>
        <w:t xml:space="preserve"> contract </w:t>
      </w:r>
      <w:r w:rsidRPr="00CE0885">
        <w:rPr>
          <w:spacing w:val="2"/>
          <w:lang w:eastAsia="en-GB"/>
        </w:rPr>
        <w:t>m</w:t>
      </w:r>
      <w:r w:rsidRPr="00CE0885">
        <w:rPr>
          <w:spacing w:val="1"/>
          <w:lang w:eastAsia="en-GB"/>
        </w:rPr>
        <w:t>a</w:t>
      </w:r>
      <w:r w:rsidRPr="00CE0885">
        <w:rPr>
          <w:lang w:eastAsia="en-GB"/>
        </w:rPr>
        <w:t>y</w:t>
      </w:r>
      <w:r w:rsidRPr="00CE0885">
        <w:rPr>
          <w:spacing w:val="-7"/>
          <w:lang w:eastAsia="en-GB"/>
        </w:rPr>
        <w:t xml:space="preserve"> </w:t>
      </w:r>
      <w:r w:rsidRPr="00CE0885">
        <w:rPr>
          <w:spacing w:val="1"/>
          <w:lang w:eastAsia="en-GB"/>
        </w:rPr>
        <w:t>b</w:t>
      </w:r>
      <w:r w:rsidRPr="00CE0885">
        <w:rPr>
          <w:lang w:eastAsia="en-GB"/>
        </w:rPr>
        <w:t>e</w:t>
      </w:r>
      <w:r w:rsidRPr="00CE0885">
        <w:rPr>
          <w:spacing w:val="-4"/>
          <w:lang w:eastAsia="en-GB"/>
        </w:rPr>
        <w:t xml:space="preserve"> </w:t>
      </w:r>
      <w:r w:rsidRPr="00CE0885">
        <w:rPr>
          <w:spacing w:val="1"/>
          <w:lang w:eastAsia="en-GB"/>
        </w:rPr>
        <w:t>he</w:t>
      </w:r>
      <w:r w:rsidRPr="00CE0885">
        <w:rPr>
          <w:spacing w:val="-3"/>
          <w:lang w:eastAsia="en-GB"/>
        </w:rPr>
        <w:t>l</w:t>
      </w:r>
      <w:r w:rsidRPr="00CE0885">
        <w:rPr>
          <w:lang w:eastAsia="en-GB"/>
        </w:rPr>
        <w:t>d</w:t>
      </w:r>
      <w:r w:rsidRPr="00CE0885">
        <w:rPr>
          <w:spacing w:val="-3"/>
          <w:lang w:eastAsia="en-GB"/>
        </w:rPr>
        <w:t xml:space="preserve"> </w:t>
      </w:r>
      <w:r w:rsidRPr="00CE0885">
        <w:rPr>
          <w:spacing w:val="1"/>
          <w:lang w:eastAsia="en-GB"/>
        </w:rPr>
        <w:t>b</w:t>
      </w:r>
      <w:r w:rsidRPr="00CE0885">
        <w:rPr>
          <w:lang w:eastAsia="en-GB"/>
        </w:rPr>
        <w:t>y</w:t>
      </w:r>
      <w:r w:rsidRPr="00CE0885">
        <w:rPr>
          <w:spacing w:val="-5"/>
          <w:lang w:eastAsia="en-GB"/>
        </w:rPr>
        <w:t xml:space="preserve"> </w:t>
      </w:r>
      <w:r w:rsidRPr="00CE0885">
        <w:rPr>
          <w:lang w:eastAsia="en-GB"/>
        </w:rPr>
        <w:t>a</w:t>
      </w:r>
      <w:r w:rsidRPr="00CE0885">
        <w:rPr>
          <w:spacing w:val="-2"/>
          <w:lang w:eastAsia="en-GB"/>
        </w:rPr>
        <w:t xml:space="preserve"> </w:t>
      </w:r>
      <w:r w:rsidRPr="00CE0885">
        <w:rPr>
          <w:lang w:eastAsia="en-GB"/>
        </w:rPr>
        <w:t>c</w:t>
      </w:r>
      <w:r w:rsidRPr="00CE0885">
        <w:rPr>
          <w:spacing w:val="1"/>
          <w:lang w:eastAsia="en-GB"/>
        </w:rPr>
        <w:t>o</w:t>
      </w:r>
      <w:r w:rsidRPr="00CE0885">
        <w:rPr>
          <w:spacing w:val="-1"/>
          <w:lang w:eastAsia="en-GB"/>
        </w:rPr>
        <w:t>m</w:t>
      </w:r>
      <w:r w:rsidRPr="00CE0885">
        <w:rPr>
          <w:spacing w:val="1"/>
          <w:lang w:eastAsia="en-GB"/>
        </w:rPr>
        <w:t>pan</w:t>
      </w:r>
      <w:r w:rsidRPr="00CE0885">
        <w:rPr>
          <w:lang w:eastAsia="en-GB"/>
        </w:rPr>
        <w:t>y</w:t>
      </w:r>
      <w:r w:rsidRPr="00CE0885">
        <w:rPr>
          <w:spacing w:val="-12"/>
          <w:lang w:eastAsia="en-GB"/>
        </w:rPr>
        <w:t xml:space="preserve"> </w:t>
      </w:r>
      <w:r w:rsidRPr="00CE0885">
        <w:rPr>
          <w:lang w:eastAsia="en-GB"/>
        </w:rPr>
        <w:t>li</w:t>
      </w:r>
      <w:r w:rsidRPr="00CE0885">
        <w:rPr>
          <w:spacing w:val="2"/>
          <w:lang w:eastAsia="en-GB"/>
        </w:rPr>
        <w:t>m</w:t>
      </w:r>
      <w:r w:rsidRPr="00CE0885">
        <w:rPr>
          <w:lang w:eastAsia="en-GB"/>
        </w:rPr>
        <w:t>i</w:t>
      </w:r>
      <w:r w:rsidRPr="00CE0885">
        <w:rPr>
          <w:spacing w:val="1"/>
          <w:lang w:eastAsia="en-GB"/>
        </w:rPr>
        <w:t>t</w:t>
      </w:r>
      <w:r w:rsidRPr="00CE0885">
        <w:rPr>
          <w:spacing w:val="-1"/>
          <w:lang w:eastAsia="en-GB"/>
        </w:rPr>
        <w:t>e</w:t>
      </w:r>
      <w:r w:rsidRPr="00CE0885">
        <w:rPr>
          <w:lang w:eastAsia="en-GB"/>
        </w:rPr>
        <w:t>d</w:t>
      </w:r>
      <w:r w:rsidRPr="00CE0885">
        <w:rPr>
          <w:spacing w:val="-5"/>
          <w:lang w:eastAsia="en-GB"/>
        </w:rPr>
        <w:t xml:space="preserve"> </w:t>
      </w:r>
      <w:r w:rsidRPr="00CE0885">
        <w:rPr>
          <w:spacing w:val="1"/>
          <w:lang w:eastAsia="en-GB"/>
        </w:rPr>
        <w:t>b</w:t>
      </w:r>
      <w:r w:rsidRPr="00CE0885">
        <w:rPr>
          <w:lang w:eastAsia="en-GB"/>
        </w:rPr>
        <w:t>y</w:t>
      </w:r>
      <w:r w:rsidRPr="00CE0885">
        <w:rPr>
          <w:spacing w:val="-5"/>
          <w:lang w:eastAsia="en-GB"/>
        </w:rPr>
        <w:t xml:space="preserve"> </w:t>
      </w:r>
      <w:r w:rsidRPr="00CE0885">
        <w:rPr>
          <w:lang w:eastAsia="en-GB"/>
        </w:rPr>
        <w:t>s</w:t>
      </w:r>
      <w:r w:rsidRPr="00CE0885">
        <w:rPr>
          <w:spacing w:val="-1"/>
          <w:lang w:eastAsia="en-GB"/>
        </w:rPr>
        <w:t>h</w:t>
      </w:r>
      <w:r w:rsidRPr="00CE0885">
        <w:rPr>
          <w:spacing w:val="1"/>
          <w:lang w:eastAsia="en-GB"/>
        </w:rPr>
        <w:t>a</w:t>
      </w:r>
      <w:r w:rsidRPr="00CE0885">
        <w:rPr>
          <w:spacing w:val="-1"/>
          <w:lang w:eastAsia="en-GB"/>
        </w:rPr>
        <w:t>r</w:t>
      </w:r>
      <w:r w:rsidRPr="00CE0885">
        <w:rPr>
          <w:spacing w:val="1"/>
          <w:lang w:eastAsia="en-GB"/>
        </w:rPr>
        <w:t>e</w:t>
      </w:r>
      <w:r w:rsidRPr="00CE0885">
        <w:rPr>
          <w:lang w:eastAsia="en-GB"/>
        </w:rPr>
        <w:t>s</w:t>
      </w:r>
      <w:r w:rsidRPr="00CE0885">
        <w:rPr>
          <w:spacing w:val="-7"/>
          <w:lang w:eastAsia="en-GB"/>
        </w:rPr>
        <w:t xml:space="preserve"> </w:t>
      </w:r>
      <w:r w:rsidRPr="00CE0885">
        <w:rPr>
          <w:spacing w:val="-1"/>
          <w:lang w:eastAsia="en-GB"/>
        </w:rPr>
        <w:t>(</w:t>
      </w:r>
      <w:r w:rsidRPr="00CE0885">
        <w:rPr>
          <w:lang w:eastAsia="en-GB"/>
        </w:rPr>
        <w:t>s</w:t>
      </w:r>
      <w:r w:rsidRPr="00CE0885">
        <w:rPr>
          <w:spacing w:val="1"/>
          <w:lang w:eastAsia="en-GB"/>
        </w:rPr>
        <w:t>ub</w:t>
      </w:r>
      <w:r w:rsidRPr="00CE0885">
        <w:rPr>
          <w:lang w:eastAsia="en-GB"/>
        </w:rPr>
        <w:t>j</w:t>
      </w:r>
      <w:r w:rsidRPr="00CE0885">
        <w:rPr>
          <w:spacing w:val="1"/>
          <w:lang w:eastAsia="en-GB"/>
        </w:rPr>
        <w:t>e</w:t>
      </w:r>
      <w:r w:rsidRPr="00CE0885">
        <w:rPr>
          <w:lang w:eastAsia="en-GB"/>
        </w:rPr>
        <w:t>ct</w:t>
      </w:r>
      <w:r w:rsidRPr="00CE0885">
        <w:rPr>
          <w:spacing w:val="-9"/>
          <w:lang w:eastAsia="en-GB"/>
        </w:rPr>
        <w:t xml:space="preserve"> </w:t>
      </w:r>
      <w:r w:rsidRPr="00CE0885">
        <w:rPr>
          <w:spacing w:val="1"/>
          <w:lang w:eastAsia="en-GB"/>
        </w:rPr>
        <w:t>t</w:t>
      </w:r>
      <w:r w:rsidRPr="00CE0885">
        <w:rPr>
          <w:lang w:eastAsia="en-GB"/>
        </w:rPr>
        <w:t>o</w:t>
      </w:r>
      <w:r w:rsidRPr="00CE0885">
        <w:rPr>
          <w:spacing w:val="-3"/>
          <w:lang w:eastAsia="en-GB"/>
        </w:rPr>
        <w:t xml:space="preserve"> </w:t>
      </w:r>
      <w:r w:rsidRPr="00CE0885">
        <w:rPr>
          <w:lang w:eastAsia="en-GB"/>
        </w:rPr>
        <w:t>c</w:t>
      </w:r>
      <w:r w:rsidRPr="00CE0885">
        <w:rPr>
          <w:spacing w:val="1"/>
          <w:lang w:eastAsia="en-GB"/>
        </w:rPr>
        <w:t>e</w:t>
      </w:r>
      <w:r w:rsidRPr="00CE0885">
        <w:rPr>
          <w:spacing w:val="-1"/>
          <w:lang w:eastAsia="en-GB"/>
        </w:rPr>
        <w:t>r</w:t>
      </w:r>
      <w:r w:rsidRPr="00CE0885">
        <w:rPr>
          <w:spacing w:val="1"/>
          <w:lang w:eastAsia="en-GB"/>
        </w:rPr>
        <w:t>ta</w:t>
      </w:r>
      <w:r w:rsidRPr="00CE0885">
        <w:rPr>
          <w:lang w:eastAsia="en-GB"/>
        </w:rPr>
        <w:t>in c</w:t>
      </w:r>
      <w:r w:rsidRPr="00CE0885">
        <w:rPr>
          <w:spacing w:val="1"/>
          <w:lang w:eastAsia="en-GB"/>
        </w:rPr>
        <w:t>ond</w:t>
      </w:r>
      <w:r w:rsidRPr="00CE0885">
        <w:rPr>
          <w:lang w:eastAsia="en-GB"/>
        </w:rPr>
        <w:t>i</w:t>
      </w:r>
      <w:r w:rsidRPr="00CE0885">
        <w:rPr>
          <w:spacing w:val="1"/>
          <w:lang w:eastAsia="en-GB"/>
        </w:rPr>
        <w:t>t</w:t>
      </w:r>
      <w:r w:rsidRPr="00CE0885">
        <w:rPr>
          <w:lang w:eastAsia="en-GB"/>
        </w:rPr>
        <w:t>i</w:t>
      </w:r>
      <w:r w:rsidRPr="00CE0885">
        <w:rPr>
          <w:spacing w:val="-1"/>
          <w:lang w:eastAsia="en-GB"/>
        </w:rPr>
        <w:t>o</w:t>
      </w:r>
      <w:r w:rsidRPr="00CE0885">
        <w:rPr>
          <w:spacing w:val="1"/>
          <w:lang w:eastAsia="en-GB"/>
        </w:rPr>
        <w:t>n</w:t>
      </w:r>
      <w:r w:rsidRPr="00CE0885">
        <w:rPr>
          <w:lang w:eastAsia="en-GB"/>
        </w:rPr>
        <w:t>s</w:t>
      </w:r>
      <w:r w:rsidRPr="00CE0885">
        <w:rPr>
          <w:spacing w:val="-1"/>
          <w:lang w:eastAsia="en-GB"/>
        </w:rPr>
        <w:t>)</w:t>
      </w:r>
      <w:r w:rsidRPr="00CE0885">
        <w:rPr>
          <w:lang w:eastAsia="en-GB"/>
        </w:rPr>
        <w:t>.</w:t>
      </w:r>
      <w:r w:rsidRPr="00CE0885">
        <w:rPr>
          <w:spacing w:val="55"/>
          <w:lang w:eastAsia="en-GB"/>
        </w:rPr>
        <w:t xml:space="preserve"> </w:t>
      </w:r>
      <w:r w:rsidRPr="00CE0885">
        <w:rPr>
          <w:spacing w:val="1"/>
          <w:lang w:eastAsia="en-GB"/>
        </w:rPr>
        <w:t>P</w:t>
      </w:r>
      <w:r w:rsidRPr="00CE0885">
        <w:rPr>
          <w:spacing w:val="-1"/>
          <w:lang w:eastAsia="en-GB"/>
        </w:rPr>
        <w:t>M</w:t>
      </w:r>
      <w:r w:rsidRPr="00CE0885">
        <w:rPr>
          <w:lang w:eastAsia="en-GB"/>
        </w:rPr>
        <w:t>S</w:t>
      </w:r>
      <w:r w:rsidRPr="00CE0885">
        <w:rPr>
          <w:spacing w:val="-6"/>
          <w:lang w:eastAsia="en-GB"/>
        </w:rPr>
        <w:t xml:space="preserve"> agreements </w:t>
      </w:r>
      <w:r w:rsidRPr="00CE0885">
        <w:rPr>
          <w:spacing w:val="-1"/>
          <w:lang w:eastAsia="en-GB"/>
        </w:rPr>
        <w:t>m</w:t>
      </w:r>
      <w:r w:rsidRPr="00CE0885">
        <w:rPr>
          <w:spacing w:val="1"/>
          <w:lang w:eastAsia="en-GB"/>
        </w:rPr>
        <w:t>a</w:t>
      </w:r>
      <w:r w:rsidRPr="00CE0885">
        <w:rPr>
          <w:lang w:eastAsia="en-GB"/>
        </w:rPr>
        <w:t>y</w:t>
      </w:r>
      <w:r w:rsidRPr="00CE0885">
        <w:rPr>
          <w:spacing w:val="-7"/>
          <w:lang w:eastAsia="en-GB"/>
        </w:rPr>
        <w:t xml:space="preserve"> </w:t>
      </w:r>
      <w:r w:rsidRPr="00CE0885">
        <w:rPr>
          <w:spacing w:val="1"/>
          <w:lang w:eastAsia="en-GB"/>
        </w:rPr>
        <w:t>b</w:t>
      </w:r>
      <w:r w:rsidRPr="00CE0885">
        <w:rPr>
          <w:lang w:eastAsia="en-GB"/>
        </w:rPr>
        <w:t>e</w:t>
      </w:r>
      <w:r w:rsidRPr="00CE0885">
        <w:rPr>
          <w:spacing w:val="-1"/>
          <w:lang w:eastAsia="en-GB"/>
        </w:rPr>
        <w:t xml:space="preserve"> h</w:t>
      </w:r>
      <w:r w:rsidRPr="00CE0885">
        <w:rPr>
          <w:spacing w:val="1"/>
          <w:lang w:eastAsia="en-GB"/>
        </w:rPr>
        <w:t>e</w:t>
      </w:r>
      <w:r w:rsidRPr="00CE0885">
        <w:rPr>
          <w:lang w:eastAsia="en-GB"/>
        </w:rPr>
        <w:t>ld</w:t>
      </w:r>
      <w:r w:rsidRPr="00CE0885">
        <w:rPr>
          <w:spacing w:val="-6"/>
          <w:lang w:eastAsia="en-GB"/>
        </w:rPr>
        <w:t xml:space="preserve"> </w:t>
      </w:r>
      <w:r w:rsidRPr="00CE0885">
        <w:rPr>
          <w:spacing w:val="1"/>
          <w:lang w:eastAsia="en-GB"/>
        </w:rPr>
        <w:t>b</w:t>
      </w:r>
      <w:r w:rsidRPr="00CE0885">
        <w:rPr>
          <w:lang w:eastAsia="en-GB"/>
        </w:rPr>
        <w:t>y</w:t>
      </w:r>
      <w:r w:rsidRPr="00CE0885">
        <w:rPr>
          <w:spacing w:val="-5"/>
          <w:lang w:eastAsia="en-GB"/>
        </w:rPr>
        <w:t xml:space="preserve"> </w:t>
      </w:r>
      <w:r w:rsidRPr="00CE0885">
        <w:rPr>
          <w:lang w:eastAsia="en-GB"/>
        </w:rPr>
        <w:t>a</w:t>
      </w:r>
      <w:r w:rsidRPr="00CE0885">
        <w:rPr>
          <w:spacing w:val="1"/>
          <w:lang w:eastAsia="en-GB"/>
        </w:rPr>
        <w:t xml:space="preserve"> </w:t>
      </w:r>
      <w:r w:rsidRPr="00CE0885">
        <w:rPr>
          <w:spacing w:val="-1"/>
          <w:lang w:eastAsia="en-GB"/>
        </w:rPr>
        <w:t>q</w:t>
      </w:r>
      <w:r w:rsidRPr="00CE0885">
        <w:rPr>
          <w:spacing w:val="1"/>
          <w:lang w:eastAsia="en-GB"/>
        </w:rPr>
        <w:t>ua</w:t>
      </w:r>
      <w:r w:rsidRPr="00CE0885">
        <w:rPr>
          <w:lang w:eastAsia="en-GB"/>
        </w:rPr>
        <w:t>l</w:t>
      </w:r>
      <w:r w:rsidRPr="00CE0885">
        <w:rPr>
          <w:spacing w:val="-3"/>
          <w:lang w:eastAsia="en-GB"/>
        </w:rPr>
        <w:t>i</w:t>
      </w:r>
      <w:r w:rsidRPr="00CE0885">
        <w:rPr>
          <w:spacing w:val="3"/>
          <w:lang w:eastAsia="en-GB"/>
        </w:rPr>
        <w:t>f</w:t>
      </w:r>
      <w:r w:rsidRPr="00CE0885">
        <w:rPr>
          <w:spacing w:val="-2"/>
          <w:lang w:eastAsia="en-GB"/>
        </w:rPr>
        <w:t>y</w:t>
      </w:r>
      <w:r w:rsidRPr="00CE0885">
        <w:rPr>
          <w:lang w:eastAsia="en-GB"/>
        </w:rPr>
        <w:t>i</w:t>
      </w:r>
      <w:r w:rsidRPr="00CE0885">
        <w:rPr>
          <w:spacing w:val="1"/>
          <w:lang w:eastAsia="en-GB"/>
        </w:rPr>
        <w:t>n</w:t>
      </w:r>
      <w:r w:rsidRPr="00CE0885">
        <w:rPr>
          <w:lang w:eastAsia="en-GB"/>
        </w:rPr>
        <w:t>g</w:t>
      </w:r>
      <w:r w:rsidRPr="00CE0885">
        <w:rPr>
          <w:spacing w:val="-11"/>
          <w:lang w:eastAsia="en-GB"/>
        </w:rPr>
        <w:t xml:space="preserve"> </w:t>
      </w:r>
      <w:r w:rsidRPr="00CE0885">
        <w:rPr>
          <w:spacing w:val="1"/>
          <w:lang w:eastAsia="en-GB"/>
        </w:rPr>
        <w:t>bod</w:t>
      </w:r>
      <w:r w:rsidRPr="00CE0885">
        <w:rPr>
          <w:lang w:eastAsia="en-GB"/>
        </w:rPr>
        <w:t>y</w:t>
      </w:r>
      <w:r w:rsidRPr="00CE0885">
        <w:rPr>
          <w:spacing w:val="-7"/>
          <w:lang w:eastAsia="en-GB"/>
        </w:rPr>
        <w:t xml:space="preserve"> </w:t>
      </w:r>
      <w:r w:rsidRPr="00CE0885">
        <w:rPr>
          <w:spacing w:val="-1"/>
          <w:lang w:eastAsia="en-GB"/>
        </w:rPr>
        <w:t>(</w:t>
      </w:r>
      <w:r w:rsidRPr="00CE0885">
        <w:rPr>
          <w:lang w:eastAsia="en-GB"/>
        </w:rPr>
        <w:t>a c</w:t>
      </w:r>
      <w:r w:rsidRPr="00CE0885">
        <w:rPr>
          <w:spacing w:val="1"/>
          <w:lang w:eastAsia="en-GB"/>
        </w:rPr>
        <w:t>o</w:t>
      </w:r>
      <w:r w:rsidRPr="00CE0885">
        <w:rPr>
          <w:spacing w:val="2"/>
          <w:lang w:eastAsia="en-GB"/>
        </w:rPr>
        <w:t>m</w:t>
      </w:r>
      <w:r w:rsidRPr="00CE0885">
        <w:rPr>
          <w:spacing w:val="-1"/>
          <w:lang w:eastAsia="en-GB"/>
        </w:rPr>
        <w:t>p</w:t>
      </w:r>
      <w:r w:rsidRPr="00CE0885">
        <w:rPr>
          <w:spacing w:val="1"/>
          <w:lang w:eastAsia="en-GB"/>
        </w:rPr>
        <w:t>an</w:t>
      </w:r>
      <w:r w:rsidRPr="00CE0885">
        <w:rPr>
          <w:lang w:eastAsia="en-GB"/>
        </w:rPr>
        <w:t>y</w:t>
      </w:r>
      <w:r w:rsidRPr="00CE0885">
        <w:rPr>
          <w:spacing w:val="-12"/>
          <w:lang w:eastAsia="en-GB"/>
        </w:rPr>
        <w:t xml:space="preserve"> </w:t>
      </w:r>
      <w:r w:rsidRPr="00CE0885">
        <w:rPr>
          <w:lang w:eastAsia="en-GB"/>
        </w:rPr>
        <w:t>li</w:t>
      </w:r>
      <w:r w:rsidRPr="00CE0885">
        <w:rPr>
          <w:spacing w:val="2"/>
          <w:lang w:eastAsia="en-GB"/>
        </w:rPr>
        <w:t>m</w:t>
      </w:r>
      <w:r w:rsidRPr="00CE0885">
        <w:rPr>
          <w:lang w:eastAsia="en-GB"/>
        </w:rPr>
        <w:t>i</w:t>
      </w:r>
      <w:r w:rsidRPr="00CE0885">
        <w:rPr>
          <w:spacing w:val="1"/>
          <w:lang w:eastAsia="en-GB"/>
        </w:rPr>
        <w:t>te</w:t>
      </w:r>
      <w:r w:rsidRPr="00CE0885">
        <w:rPr>
          <w:lang w:eastAsia="en-GB"/>
        </w:rPr>
        <w:t>d</w:t>
      </w:r>
      <w:r w:rsidRPr="00CE0885">
        <w:rPr>
          <w:spacing w:val="-8"/>
          <w:lang w:eastAsia="en-GB"/>
        </w:rPr>
        <w:t xml:space="preserve"> </w:t>
      </w:r>
      <w:r w:rsidRPr="00CE0885">
        <w:rPr>
          <w:spacing w:val="1"/>
          <w:lang w:eastAsia="en-GB"/>
        </w:rPr>
        <w:t>b</w:t>
      </w:r>
      <w:r w:rsidRPr="00CE0885">
        <w:rPr>
          <w:lang w:eastAsia="en-GB"/>
        </w:rPr>
        <w:t>y</w:t>
      </w:r>
      <w:r w:rsidRPr="00CE0885">
        <w:rPr>
          <w:spacing w:val="-5"/>
          <w:lang w:eastAsia="en-GB"/>
        </w:rPr>
        <w:t xml:space="preserve"> </w:t>
      </w:r>
      <w:r w:rsidRPr="00CE0885">
        <w:rPr>
          <w:lang w:eastAsia="en-GB"/>
        </w:rPr>
        <w:t>s</w:t>
      </w:r>
      <w:r w:rsidRPr="00CE0885">
        <w:rPr>
          <w:spacing w:val="-1"/>
          <w:lang w:eastAsia="en-GB"/>
        </w:rPr>
        <w:t>h</w:t>
      </w:r>
      <w:r w:rsidRPr="00CE0885">
        <w:rPr>
          <w:spacing w:val="1"/>
          <w:lang w:eastAsia="en-GB"/>
        </w:rPr>
        <w:t>a</w:t>
      </w:r>
      <w:r w:rsidRPr="00CE0885">
        <w:rPr>
          <w:spacing w:val="-1"/>
          <w:lang w:eastAsia="en-GB"/>
        </w:rPr>
        <w:t>r</w:t>
      </w:r>
      <w:r w:rsidRPr="00CE0885">
        <w:rPr>
          <w:spacing w:val="1"/>
          <w:lang w:eastAsia="en-GB"/>
        </w:rPr>
        <w:t>e</w:t>
      </w:r>
      <w:r w:rsidRPr="00CE0885">
        <w:rPr>
          <w:lang w:eastAsia="en-GB"/>
        </w:rPr>
        <w:t>s,</w:t>
      </w:r>
      <w:r w:rsidRPr="00CE0885">
        <w:rPr>
          <w:spacing w:val="-7"/>
          <w:lang w:eastAsia="en-GB"/>
        </w:rPr>
        <w:t xml:space="preserve"> </w:t>
      </w:r>
      <w:r w:rsidRPr="00CE0885">
        <w:rPr>
          <w:spacing w:val="1"/>
          <w:lang w:eastAsia="en-GB"/>
        </w:rPr>
        <w:t>a</w:t>
      </w:r>
      <w:r w:rsidRPr="00CE0885">
        <w:rPr>
          <w:lang w:eastAsia="en-GB"/>
        </w:rPr>
        <w:t>ll</w:t>
      </w:r>
      <w:r w:rsidRPr="00CE0885">
        <w:rPr>
          <w:spacing w:val="-2"/>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3"/>
          <w:lang w:eastAsia="en-GB"/>
        </w:rPr>
        <w:t>w</w:t>
      </w:r>
      <w:r w:rsidRPr="00CE0885">
        <w:rPr>
          <w:spacing w:val="1"/>
          <w:lang w:eastAsia="en-GB"/>
        </w:rPr>
        <w:t>h</w:t>
      </w:r>
      <w:r w:rsidRPr="00CE0885">
        <w:rPr>
          <w:lang w:eastAsia="en-GB"/>
        </w:rPr>
        <w:t>ich</w:t>
      </w:r>
      <w:r w:rsidRPr="00CE0885">
        <w:rPr>
          <w:spacing w:val="-4"/>
          <w:lang w:eastAsia="en-GB"/>
        </w:rPr>
        <w:t xml:space="preserve"> </w:t>
      </w:r>
      <w:r w:rsidRPr="00CE0885">
        <w:rPr>
          <w:spacing w:val="1"/>
          <w:lang w:eastAsia="en-GB"/>
        </w:rPr>
        <w:t>a</w:t>
      </w:r>
      <w:r w:rsidRPr="00CE0885">
        <w:rPr>
          <w:spacing w:val="-1"/>
          <w:lang w:eastAsia="en-GB"/>
        </w:rPr>
        <w:t>r</w:t>
      </w:r>
      <w:r w:rsidRPr="00CE0885">
        <w:rPr>
          <w:lang w:eastAsia="en-GB"/>
        </w:rPr>
        <w:t>e</w:t>
      </w:r>
      <w:r w:rsidRPr="00CE0885">
        <w:rPr>
          <w:spacing w:val="-1"/>
          <w:lang w:eastAsia="en-GB"/>
        </w:rPr>
        <w:t xml:space="preserve"> </w:t>
      </w:r>
      <w:r w:rsidRPr="00CE0885">
        <w:rPr>
          <w:lang w:eastAsia="en-GB"/>
        </w:rPr>
        <w:t>l</w:t>
      </w:r>
      <w:r w:rsidRPr="00CE0885">
        <w:rPr>
          <w:spacing w:val="-1"/>
          <w:lang w:eastAsia="en-GB"/>
        </w:rPr>
        <w:t>eg</w:t>
      </w:r>
      <w:r w:rsidRPr="00CE0885">
        <w:rPr>
          <w:spacing w:val="1"/>
          <w:lang w:eastAsia="en-GB"/>
        </w:rPr>
        <w:t>a</w:t>
      </w:r>
      <w:r w:rsidRPr="00CE0885">
        <w:rPr>
          <w:lang w:eastAsia="en-GB"/>
        </w:rPr>
        <w:t>l</w:t>
      </w:r>
      <w:r w:rsidRPr="00CE0885">
        <w:rPr>
          <w:spacing w:val="2"/>
          <w:lang w:eastAsia="en-GB"/>
        </w:rPr>
        <w:t>l</w:t>
      </w:r>
      <w:r w:rsidRPr="00CE0885">
        <w:rPr>
          <w:lang w:eastAsia="en-GB"/>
        </w:rPr>
        <w:t>y</w:t>
      </w:r>
      <w:r w:rsidRPr="00CE0885">
        <w:rPr>
          <w:spacing w:val="-9"/>
          <w:lang w:eastAsia="en-GB"/>
        </w:rPr>
        <w:t xml:space="preserve"> </w:t>
      </w:r>
      <w:r w:rsidRPr="00CE0885">
        <w:rPr>
          <w:spacing w:val="1"/>
          <w:lang w:eastAsia="en-GB"/>
        </w:rPr>
        <w:t>an</w:t>
      </w:r>
      <w:r w:rsidRPr="00CE0885">
        <w:rPr>
          <w:lang w:eastAsia="en-GB"/>
        </w:rPr>
        <w:t>d</w:t>
      </w:r>
      <w:r w:rsidRPr="00CE0885">
        <w:rPr>
          <w:spacing w:val="-2"/>
          <w:lang w:eastAsia="en-GB"/>
        </w:rPr>
        <w:t xml:space="preserve"> </w:t>
      </w:r>
      <w:r w:rsidRPr="00CE0885">
        <w:rPr>
          <w:spacing w:val="-1"/>
          <w:lang w:eastAsia="en-GB"/>
        </w:rPr>
        <w:t>b</w:t>
      </w:r>
      <w:r w:rsidRPr="00CE0885">
        <w:rPr>
          <w:spacing w:val="1"/>
          <w:lang w:eastAsia="en-GB"/>
        </w:rPr>
        <w:t>en</w:t>
      </w:r>
      <w:r w:rsidRPr="00CE0885">
        <w:rPr>
          <w:spacing w:val="-1"/>
          <w:lang w:eastAsia="en-GB"/>
        </w:rPr>
        <w:t>e</w:t>
      </w:r>
      <w:r w:rsidRPr="00CE0885">
        <w:rPr>
          <w:spacing w:val="3"/>
          <w:lang w:eastAsia="en-GB"/>
        </w:rPr>
        <w:t>f</w:t>
      </w:r>
      <w:r w:rsidRPr="00CE0885">
        <w:rPr>
          <w:lang w:eastAsia="en-GB"/>
        </w:rPr>
        <w:t>ic</w:t>
      </w:r>
      <w:r w:rsidRPr="00CE0885">
        <w:rPr>
          <w:spacing w:val="-3"/>
          <w:lang w:eastAsia="en-GB"/>
        </w:rPr>
        <w:t>i</w:t>
      </w:r>
      <w:r w:rsidRPr="00CE0885">
        <w:rPr>
          <w:spacing w:val="1"/>
          <w:lang w:eastAsia="en-GB"/>
        </w:rPr>
        <w:t>a</w:t>
      </w:r>
      <w:r w:rsidRPr="00CE0885">
        <w:rPr>
          <w:lang w:eastAsia="en-GB"/>
        </w:rPr>
        <w:t xml:space="preserve">lly </w:t>
      </w:r>
      <w:r w:rsidRPr="00CE0885">
        <w:rPr>
          <w:spacing w:val="1"/>
          <w:lang w:eastAsia="en-GB"/>
        </w:rPr>
        <w:t>o</w:t>
      </w:r>
      <w:r w:rsidRPr="00CE0885">
        <w:rPr>
          <w:spacing w:val="-3"/>
          <w:lang w:eastAsia="en-GB"/>
        </w:rPr>
        <w:t>w</w:t>
      </w:r>
      <w:r w:rsidRPr="00CE0885">
        <w:rPr>
          <w:spacing w:val="1"/>
          <w:lang w:eastAsia="en-GB"/>
        </w:rPr>
        <w:t>ne</w:t>
      </w:r>
      <w:r w:rsidRPr="00CE0885">
        <w:rPr>
          <w:lang w:eastAsia="en-GB"/>
        </w:rPr>
        <w:t>d</w:t>
      </w:r>
      <w:r w:rsidRPr="00CE0885">
        <w:rPr>
          <w:spacing w:val="-5"/>
          <w:lang w:eastAsia="en-GB"/>
        </w:rPr>
        <w:t xml:space="preserve"> </w:t>
      </w:r>
      <w:r w:rsidRPr="00CE0885">
        <w:rPr>
          <w:spacing w:val="1"/>
          <w:lang w:eastAsia="en-GB"/>
        </w:rPr>
        <w:t>b</w:t>
      </w:r>
      <w:r w:rsidRPr="00CE0885">
        <w:rPr>
          <w:lang w:eastAsia="en-GB"/>
        </w:rPr>
        <w:t>y</w:t>
      </w:r>
      <w:r w:rsidRPr="00CE0885">
        <w:rPr>
          <w:spacing w:val="-5"/>
          <w:lang w:eastAsia="en-GB"/>
        </w:rPr>
        <w:t xml:space="preserve"> </w:t>
      </w:r>
      <w:r w:rsidRPr="00CE0885">
        <w:rPr>
          <w:spacing w:val="1"/>
          <w:lang w:eastAsia="en-GB"/>
        </w:rPr>
        <w:t>pe</w:t>
      </w:r>
      <w:r w:rsidRPr="00CE0885">
        <w:rPr>
          <w:spacing w:val="-1"/>
          <w:lang w:eastAsia="en-GB"/>
        </w:rPr>
        <w:t>r</w:t>
      </w:r>
      <w:r w:rsidRPr="00CE0885">
        <w:rPr>
          <w:lang w:eastAsia="en-GB"/>
        </w:rPr>
        <w:t>s</w:t>
      </w:r>
      <w:r w:rsidRPr="00CE0885">
        <w:rPr>
          <w:spacing w:val="1"/>
          <w:lang w:eastAsia="en-GB"/>
        </w:rPr>
        <w:t>on</w:t>
      </w:r>
      <w:r w:rsidRPr="00CE0885">
        <w:rPr>
          <w:lang w:eastAsia="en-GB"/>
        </w:rPr>
        <w:t>s</w:t>
      </w:r>
      <w:r w:rsidRPr="00CE0885">
        <w:rPr>
          <w:spacing w:val="-11"/>
          <w:lang w:eastAsia="en-GB"/>
        </w:rPr>
        <w:t xml:space="preserve"> </w:t>
      </w:r>
      <w:r w:rsidRPr="00CE0885">
        <w:rPr>
          <w:spacing w:val="-3"/>
          <w:lang w:eastAsia="en-GB"/>
        </w:rPr>
        <w:t>w</w:t>
      </w:r>
      <w:r w:rsidRPr="00CE0885">
        <w:rPr>
          <w:spacing w:val="1"/>
          <w:lang w:eastAsia="en-GB"/>
        </w:rPr>
        <w:t>h</w:t>
      </w:r>
      <w:r w:rsidRPr="00CE0885">
        <w:rPr>
          <w:lang w:eastAsia="en-GB"/>
        </w:rPr>
        <w:t>o</w:t>
      </w:r>
      <w:r w:rsidRPr="00CE0885">
        <w:rPr>
          <w:spacing w:val="-2"/>
          <w:lang w:eastAsia="en-GB"/>
        </w:rPr>
        <w:t xml:space="preserve"> </w:t>
      </w:r>
      <w:r w:rsidRPr="00CE0885">
        <w:rPr>
          <w:spacing w:val="2"/>
          <w:lang w:eastAsia="en-GB"/>
        </w:rPr>
        <w:t>m</w:t>
      </w:r>
      <w:r w:rsidRPr="00CE0885">
        <w:rPr>
          <w:spacing w:val="1"/>
          <w:lang w:eastAsia="en-GB"/>
        </w:rPr>
        <w:t>a</w:t>
      </w:r>
      <w:r w:rsidRPr="00CE0885">
        <w:rPr>
          <w:lang w:eastAsia="en-GB"/>
        </w:rPr>
        <w:t>y</w:t>
      </w:r>
      <w:r w:rsidRPr="00CE0885">
        <w:rPr>
          <w:spacing w:val="-7"/>
          <w:lang w:eastAsia="en-GB"/>
        </w:rPr>
        <w:t xml:space="preserve"> </w:t>
      </w:r>
      <w:r w:rsidRPr="00CE0885">
        <w:rPr>
          <w:spacing w:val="1"/>
          <w:lang w:eastAsia="en-GB"/>
        </w:rPr>
        <w:t>en</w:t>
      </w:r>
      <w:r w:rsidRPr="00CE0885">
        <w:rPr>
          <w:spacing w:val="-2"/>
          <w:lang w:eastAsia="en-GB"/>
        </w:rPr>
        <w:t>t</w:t>
      </w:r>
      <w:r w:rsidRPr="00CE0885">
        <w:rPr>
          <w:spacing w:val="1"/>
          <w:lang w:eastAsia="en-GB"/>
        </w:rPr>
        <w:t>e</w:t>
      </w:r>
      <w:r w:rsidRPr="00CE0885">
        <w:rPr>
          <w:lang w:eastAsia="en-GB"/>
        </w:rPr>
        <w:t>r</w:t>
      </w:r>
      <w:r w:rsidRPr="00CE0885">
        <w:rPr>
          <w:spacing w:val="-5"/>
          <w:lang w:eastAsia="en-GB"/>
        </w:rPr>
        <w:t xml:space="preserve"> into </w:t>
      </w:r>
      <w:r w:rsidRPr="00CE0885">
        <w:rPr>
          <w:lang w:eastAsia="en-GB"/>
        </w:rPr>
        <w:t>a</w:t>
      </w:r>
      <w:r w:rsidRPr="00CE0885">
        <w:rPr>
          <w:spacing w:val="-2"/>
          <w:lang w:eastAsia="en-GB"/>
        </w:rPr>
        <w:t xml:space="preserve"> </w:t>
      </w:r>
      <w:r w:rsidRPr="00CE0885">
        <w:rPr>
          <w:spacing w:val="1"/>
          <w:lang w:eastAsia="en-GB"/>
        </w:rPr>
        <w:t>P</w:t>
      </w:r>
      <w:r w:rsidRPr="00CE0885">
        <w:rPr>
          <w:spacing w:val="-1"/>
          <w:lang w:eastAsia="en-GB"/>
        </w:rPr>
        <w:t>M</w:t>
      </w:r>
      <w:r w:rsidRPr="00CE0885">
        <w:rPr>
          <w:lang w:eastAsia="en-GB"/>
        </w:rPr>
        <w:t>S</w:t>
      </w:r>
      <w:r w:rsidRPr="00CE0885">
        <w:rPr>
          <w:spacing w:val="-4"/>
          <w:lang w:eastAsia="en-GB"/>
        </w:rPr>
        <w:t xml:space="preserve"> </w:t>
      </w:r>
      <w:r w:rsidRPr="00CE0885">
        <w:rPr>
          <w:spacing w:val="1"/>
          <w:lang w:eastAsia="en-GB"/>
        </w:rPr>
        <w:t>a</w:t>
      </w:r>
      <w:r w:rsidRPr="00CE0885">
        <w:rPr>
          <w:spacing w:val="-1"/>
          <w:lang w:eastAsia="en-GB"/>
        </w:rPr>
        <w:t>gr</w:t>
      </w:r>
      <w:r w:rsidRPr="00CE0885">
        <w:rPr>
          <w:spacing w:val="1"/>
          <w:lang w:eastAsia="en-GB"/>
        </w:rPr>
        <w:t>ee</w:t>
      </w:r>
      <w:r w:rsidRPr="00CE0885">
        <w:rPr>
          <w:spacing w:val="-1"/>
          <w:lang w:eastAsia="en-GB"/>
        </w:rPr>
        <w:t>m</w:t>
      </w:r>
      <w:r w:rsidRPr="00CE0885">
        <w:rPr>
          <w:spacing w:val="1"/>
          <w:lang w:eastAsia="en-GB"/>
        </w:rPr>
        <w:t>ent</w:t>
      </w:r>
      <w:r w:rsidRPr="00CE0885">
        <w:rPr>
          <w:spacing w:val="-1"/>
          <w:lang w:eastAsia="en-GB"/>
        </w:rPr>
        <w:t>)</w:t>
      </w:r>
      <w:r w:rsidRPr="00CE0885">
        <w:rPr>
          <w:lang w:eastAsia="en-GB"/>
        </w:rPr>
        <w:t>.</w:t>
      </w:r>
      <w:bookmarkEnd w:id="699"/>
    </w:p>
    <w:p w14:paraId="2EEADEE8" w14:textId="77777777" w:rsidR="00977693" w:rsidRPr="00CE0885" w:rsidRDefault="00977693" w:rsidP="006B781A">
      <w:pPr>
        <w:pStyle w:val="Heading3"/>
        <w:rPr>
          <w:lang w:eastAsia="en-GB"/>
        </w:rPr>
      </w:pPr>
      <w:bookmarkStart w:id="700" w:name="_Toc440981839"/>
      <w:r w:rsidRPr="00CE0885">
        <w:rPr>
          <w:lang w:eastAsia="en-GB"/>
        </w:rPr>
        <w:t>AP</w:t>
      </w:r>
      <w:r w:rsidRPr="00CE0885">
        <w:rPr>
          <w:spacing w:val="-1"/>
          <w:lang w:eastAsia="en-GB"/>
        </w:rPr>
        <w:t>M</w:t>
      </w:r>
      <w:r w:rsidRPr="00CE0885">
        <w:rPr>
          <w:lang w:eastAsia="en-GB"/>
        </w:rPr>
        <w:t>S contracts,</w:t>
      </w:r>
      <w:r w:rsidRPr="00CE0885">
        <w:rPr>
          <w:spacing w:val="-6"/>
          <w:lang w:eastAsia="en-GB"/>
        </w:rPr>
        <w:t xml:space="preserve"> </w:t>
      </w:r>
      <w:r w:rsidRPr="00CE0885">
        <w:rPr>
          <w:lang w:eastAsia="en-GB"/>
        </w:rPr>
        <w:t>in</w:t>
      </w:r>
      <w:r w:rsidRPr="00CE0885">
        <w:rPr>
          <w:spacing w:val="-3"/>
          <w:lang w:eastAsia="en-GB"/>
        </w:rPr>
        <w:t xml:space="preserve"> </w:t>
      </w:r>
      <w:r w:rsidRPr="00CE0885">
        <w:rPr>
          <w:lang w:eastAsia="en-GB"/>
        </w:rPr>
        <w:t>p</w:t>
      </w:r>
      <w:r w:rsidRPr="00CE0885">
        <w:rPr>
          <w:spacing w:val="-1"/>
          <w:lang w:eastAsia="en-GB"/>
        </w:rPr>
        <w:t>r</w:t>
      </w:r>
      <w:r w:rsidRPr="00CE0885">
        <w:rPr>
          <w:lang w:eastAsia="en-GB"/>
        </w:rPr>
        <w:t>inciple,</w:t>
      </w:r>
      <w:r w:rsidRPr="00CE0885">
        <w:rPr>
          <w:spacing w:val="-11"/>
          <w:lang w:eastAsia="en-GB"/>
        </w:rPr>
        <w:t xml:space="preserve"> </w:t>
      </w:r>
      <w:r w:rsidRPr="00CE0885">
        <w:rPr>
          <w:lang w:eastAsia="en-GB"/>
        </w:rPr>
        <w:t>h</w:t>
      </w:r>
      <w:r w:rsidRPr="00CE0885">
        <w:rPr>
          <w:spacing w:val="-1"/>
          <w:lang w:eastAsia="en-GB"/>
        </w:rPr>
        <w:t>ave</w:t>
      </w:r>
      <w:r w:rsidRPr="00CE0885">
        <w:rPr>
          <w:spacing w:val="-4"/>
          <w:lang w:eastAsia="en-GB"/>
        </w:rPr>
        <w:t xml:space="preserve"> </w:t>
      </w:r>
      <w:r w:rsidRPr="00CE0885">
        <w:rPr>
          <w:lang w:eastAsia="en-GB"/>
        </w:rPr>
        <w:t>fe</w:t>
      </w:r>
      <w:r w:rsidRPr="00CE0885">
        <w:rPr>
          <w:spacing w:val="-3"/>
          <w:lang w:eastAsia="en-GB"/>
        </w:rPr>
        <w:t>w</w:t>
      </w:r>
      <w:r w:rsidRPr="00CE0885">
        <w:rPr>
          <w:lang w:eastAsia="en-GB"/>
        </w:rPr>
        <w:t>er</w:t>
      </w:r>
      <w:r w:rsidRPr="00CE0885">
        <w:rPr>
          <w:spacing w:val="-6"/>
          <w:lang w:eastAsia="en-GB"/>
        </w:rPr>
        <w:t xml:space="preserve"> </w:t>
      </w:r>
      <w:r w:rsidRPr="00CE0885">
        <w:rPr>
          <w:spacing w:val="-1"/>
          <w:lang w:eastAsia="en-GB"/>
        </w:rPr>
        <w:t>r</w:t>
      </w:r>
      <w:r w:rsidRPr="00CE0885">
        <w:rPr>
          <w:lang w:eastAsia="en-GB"/>
        </w:rPr>
        <w:t>est</w:t>
      </w:r>
      <w:r w:rsidRPr="00CE0885">
        <w:rPr>
          <w:spacing w:val="-1"/>
          <w:lang w:eastAsia="en-GB"/>
        </w:rPr>
        <w:t>r</w:t>
      </w:r>
      <w:r w:rsidRPr="00CE0885">
        <w:rPr>
          <w:lang w:eastAsia="en-GB"/>
        </w:rPr>
        <w:t>ictions</w:t>
      </w:r>
      <w:r w:rsidRPr="00CE0885">
        <w:rPr>
          <w:spacing w:val="-12"/>
          <w:lang w:eastAsia="en-GB"/>
        </w:rPr>
        <w:t xml:space="preserve"> </w:t>
      </w:r>
      <w:r w:rsidRPr="00CE0885">
        <w:rPr>
          <w:lang w:eastAsia="en-GB"/>
        </w:rPr>
        <w:t>on</w:t>
      </w:r>
      <w:r w:rsidRPr="00CE0885">
        <w:rPr>
          <w:spacing w:val="-6"/>
          <w:lang w:eastAsia="en-GB"/>
        </w:rPr>
        <w:t xml:space="preserve"> </w:t>
      </w:r>
      <w:r w:rsidRPr="00CE0885">
        <w:rPr>
          <w:lang w:eastAsia="en-GB"/>
        </w:rPr>
        <w:t>the</w:t>
      </w:r>
      <w:r w:rsidRPr="00CE0885">
        <w:rPr>
          <w:spacing w:val="-1"/>
          <w:lang w:eastAsia="en-GB"/>
        </w:rPr>
        <w:t xml:space="preserve"> </w:t>
      </w:r>
      <w:r w:rsidRPr="00CE0885">
        <w:rPr>
          <w:lang w:eastAsia="en-GB"/>
        </w:rPr>
        <w:t>t</w:t>
      </w:r>
      <w:r w:rsidRPr="00CE0885">
        <w:rPr>
          <w:spacing w:val="-2"/>
          <w:lang w:eastAsia="en-GB"/>
        </w:rPr>
        <w:t>y</w:t>
      </w:r>
      <w:r w:rsidRPr="00CE0885">
        <w:rPr>
          <w:lang w:eastAsia="en-GB"/>
        </w:rPr>
        <w:t>pes</w:t>
      </w:r>
      <w:r w:rsidRPr="00CE0885">
        <w:rPr>
          <w:spacing w:val="-8"/>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o</w:t>
      </w:r>
      <w:r w:rsidRPr="00CE0885">
        <w:rPr>
          <w:spacing w:val="-1"/>
          <w:lang w:eastAsia="en-GB"/>
        </w:rPr>
        <w:t>rg</w:t>
      </w:r>
      <w:r w:rsidRPr="00CE0885">
        <w:rPr>
          <w:lang w:eastAsia="en-GB"/>
        </w:rPr>
        <w:t>anisat</w:t>
      </w:r>
      <w:r w:rsidRPr="00CE0885">
        <w:rPr>
          <w:spacing w:val="-3"/>
          <w:lang w:eastAsia="en-GB"/>
        </w:rPr>
        <w:t>i</w:t>
      </w:r>
      <w:r w:rsidRPr="00CE0885">
        <w:rPr>
          <w:lang w:eastAsia="en-GB"/>
        </w:rPr>
        <w:t>ons that</w:t>
      </w:r>
      <w:r w:rsidRPr="00CE0885">
        <w:rPr>
          <w:spacing w:val="-5"/>
          <w:lang w:eastAsia="en-GB"/>
        </w:rPr>
        <w:t xml:space="preserve"> </w:t>
      </w:r>
      <w:r w:rsidRPr="00CE0885">
        <w:rPr>
          <w:spacing w:val="2"/>
          <w:lang w:eastAsia="en-GB"/>
        </w:rPr>
        <w:t>m</w:t>
      </w:r>
      <w:r w:rsidRPr="00CE0885">
        <w:rPr>
          <w:lang w:eastAsia="en-GB"/>
        </w:rPr>
        <w:t>ay</w:t>
      </w:r>
      <w:r w:rsidRPr="00CE0885">
        <w:rPr>
          <w:spacing w:val="-7"/>
          <w:lang w:eastAsia="en-GB"/>
        </w:rPr>
        <w:t xml:space="preserve"> </w:t>
      </w:r>
      <w:r w:rsidRPr="00CE0885">
        <w:rPr>
          <w:lang w:eastAsia="en-GB"/>
        </w:rPr>
        <w:t>enter into the</w:t>
      </w:r>
      <w:r w:rsidRPr="00CE0885">
        <w:rPr>
          <w:spacing w:val="-3"/>
          <w:lang w:eastAsia="en-GB"/>
        </w:rPr>
        <w:t xml:space="preserve"> </w:t>
      </w:r>
      <w:r w:rsidRPr="00CE0885">
        <w:rPr>
          <w:lang w:eastAsia="en-GB"/>
        </w:rPr>
        <w:t>c</w:t>
      </w:r>
      <w:r w:rsidRPr="00CE0885">
        <w:rPr>
          <w:spacing w:val="-1"/>
          <w:lang w:eastAsia="en-GB"/>
        </w:rPr>
        <w:t>o</w:t>
      </w:r>
      <w:r w:rsidRPr="00CE0885">
        <w:rPr>
          <w:lang w:eastAsia="en-GB"/>
        </w:rPr>
        <w:t>nt</w:t>
      </w:r>
      <w:r w:rsidRPr="00CE0885">
        <w:rPr>
          <w:spacing w:val="-1"/>
          <w:lang w:eastAsia="en-GB"/>
        </w:rPr>
        <w:t>r</w:t>
      </w:r>
      <w:r w:rsidRPr="00CE0885">
        <w:rPr>
          <w:lang w:eastAsia="en-GB"/>
        </w:rPr>
        <w:t>ac</w:t>
      </w:r>
      <w:r w:rsidRPr="00CE0885">
        <w:rPr>
          <w:spacing w:val="-2"/>
          <w:lang w:eastAsia="en-GB"/>
        </w:rPr>
        <w:t>t</w:t>
      </w:r>
      <w:r w:rsidRPr="00CE0885">
        <w:rPr>
          <w:lang w:eastAsia="en-GB"/>
        </w:rPr>
        <w:t>s</w:t>
      </w:r>
      <w:r w:rsidRPr="00CE0885">
        <w:rPr>
          <w:spacing w:val="-10"/>
          <w:lang w:eastAsia="en-GB"/>
        </w:rPr>
        <w:t xml:space="preserve"> </w:t>
      </w:r>
      <w:r w:rsidRPr="00CE0885">
        <w:rPr>
          <w:spacing w:val="-1"/>
          <w:lang w:eastAsia="en-GB"/>
        </w:rPr>
        <w:t>a</w:t>
      </w:r>
      <w:r w:rsidRPr="00CE0885">
        <w:rPr>
          <w:lang w:eastAsia="en-GB"/>
        </w:rPr>
        <w:t>nd</w:t>
      </w:r>
      <w:r w:rsidRPr="00CE0885">
        <w:rPr>
          <w:spacing w:val="-2"/>
          <w:lang w:eastAsia="en-GB"/>
        </w:rPr>
        <w:t xml:space="preserve"> t</w:t>
      </w:r>
      <w:r w:rsidRPr="00CE0885">
        <w:rPr>
          <w:lang w:eastAsia="en-GB"/>
        </w:rPr>
        <w:t>he</w:t>
      </w:r>
      <w:r w:rsidRPr="00CE0885">
        <w:rPr>
          <w:spacing w:val="-1"/>
          <w:lang w:eastAsia="en-GB"/>
        </w:rPr>
        <w:t>re</w:t>
      </w:r>
      <w:r w:rsidRPr="00CE0885">
        <w:rPr>
          <w:lang w:eastAsia="en-GB"/>
        </w:rPr>
        <w:t>fo</w:t>
      </w:r>
      <w:r w:rsidRPr="00CE0885">
        <w:rPr>
          <w:spacing w:val="-1"/>
          <w:lang w:eastAsia="en-GB"/>
        </w:rPr>
        <w:t>r</w:t>
      </w:r>
      <w:r w:rsidRPr="00CE0885">
        <w:rPr>
          <w:lang w:eastAsia="en-GB"/>
        </w:rPr>
        <w:t>e</w:t>
      </w:r>
      <w:r w:rsidRPr="00CE0885">
        <w:rPr>
          <w:spacing w:val="-8"/>
          <w:lang w:eastAsia="en-GB"/>
        </w:rPr>
        <w:t xml:space="preserve"> </w:t>
      </w:r>
      <w:r w:rsidRPr="00CE0885">
        <w:rPr>
          <w:spacing w:val="-3"/>
          <w:lang w:eastAsia="en-GB"/>
        </w:rPr>
        <w:t>the Commissioner</w:t>
      </w:r>
      <w:r w:rsidRPr="00CE0885">
        <w:rPr>
          <w:spacing w:val="-7"/>
          <w:lang w:eastAsia="en-GB"/>
        </w:rPr>
        <w:t xml:space="preserve"> </w:t>
      </w:r>
      <w:r w:rsidRPr="00CE0885">
        <w:rPr>
          <w:spacing w:val="-2"/>
          <w:lang w:eastAsia="en-GB"/>
        </w:rPr>
        <w:t>c</w:t>
      </w:r>
      <w:r w:rsidRPr="00CE0885">
        <w:rPr>
          <w:lang w:eastAsia="en-GB"/>
        </w:rPr>
        <w:t>an</w:t>
      </w:r>
      <w:r w:rsidRPr="00CE0885">
        <w:rPr>
          <w:spacing w:val="-5"/>
          <w:lang w:eastAsia="en-GB"/>
        </w:rPr>
        <w:t xml:space="preserve"> </w:t>
      </w:r>
      <w:r w:rsidRPr="00CE0885">
        <w:rPr>
          <w:lang w:eastAsia="en-GB"/>
        </w:rPr>
        <w:t>en</w:t>
      </w:r>
      <w:r w:rsidRPr="00CE0885">
        <w:rPr>
          <w:spacing w:val="-2"/>
          <w:lang w:eastAsia="en-GB"/>
        </w:rPr>
        <w:t>t</w:t>
      </w:r>
      <w:r w:rsidRPr="00CE0885">
        <w:rPr>
          <w:lang w:eastAsia="en-GB"/>
        </w:rPr>
        <w:t>er</w:t>
      </w:r>
      <w:r w:rsidRPr="00CE0885">
        <w:rPr>
          <w:spacing w:val="-5"/>
          <w:lang w:eastAsia="en-GB"/>
        </w:rPr>
        <w:t xml:space="preserve"> in to </w:t>
      </w:r>
      <w:r w:rsidRPr="00CE0885">
        <w:rPr>
          <w:lang w:eastAsia="en-GB"/>
        </w:rPr>
        <w:t>A</w:t>
      </w:r>
      <w:r w:rsidRPr="00CE0885">
        <w:rPr>
          <w:spacing w:val="-2"/>
          <w:lang w:eastAsia="en-GB"/>
        </w:rPr>
        <w:t>P</w:t>
      </w:r>
      <w:r w:rsidRPr="00CE0885">
        <w:rPr>
          <w:spacing w:val="-1"/>
          <w:lang w:eastAsia="en-GB"/>
        </w:rPr>
        <w:t>M</w:t>
      </w:r>
      <w:r w:rsidRPr="00CE0885">
        <w:rPr>
          <w:lang w:eastAsia="en-GB"/>
        </w:rPr>
        <w:t>S</w:t>
      </w:r>
      <w:r w:rsidRPr="00CE0885">
        <w:rPr>
          <w:spacing w:val="-6"/>
          <w:lang w:eastAsia="en-GB"/>
        </w:rPr>
        <w:t xml:space="preserve"> </w:t>
      </w:r>
      <w:r w:rsidRPr="00CE0885">
        <w:rPr>
          <w:lang w:eastAsia="en-GB"/>
        </w:rPr>
        <w:t>cont</w:t>
      </w:r>
      <w:r w:rsidRPr="00CE0885">
        <w:rPr>
          <w:spacing w:val="-1"/>
          <w:lang w:eastAsia="en-GB"/>
        </w:rPr>
        <w:t>r</w:t>
      </w:r>
      <w:r w:rsidRPr="00CE0885">
        <w:rPr>
          <w:lang w:eastAsia="en-GB"/>
        </w:rPr>
        <w:t>acts</w:t>
      </w:r>
      <w:r w:rsidRPr="00CE0885">
        <w:rPr>
          <w:spacing w:val="-12"/>
          <w:lang w:eastAsia="en-GB"/>
        </w:rPr>
        <w:t xml:space="preserve"> </w:t>
      </w:r>
      <w:r w:rsidRPr="00CE0885">
        <w:rPr>
          <w:spacing w:val="-3"/>
          <w:lang w:eastAsia="en-GB"/>
        </w:rPr>
        <w:t>w</w:t>
      </w:r>
      <w:r w:rsidRPr="00CE0885">
        <w:rPr>
          <w:lang w:eastAsia="en-GB"/>
        </w:rPr>
        <w:t>ith</w:t>
      </w:r>
      <w:r w:rsidRPr="00CE0885">
        <w:rPr>
          <w:spacing w:val="-2"/>
          <w:lang w:eastAsia="en-GB"/>
        </w:rPr>
        <w:t xml:space="preserve"> </w:t>
      </w:r>
      <w:r w:rsidRPr="00CE0885">
        <w:rPr>
          <w:lang w:eastAsia="en-GB"/>
        </w:rPr>
        <w:t>any</w:t>
      </w:r>
      <w:r w:rsidRPr="00CE0885">
        <w:rPr>
          <w:spacing w:val="-6"/>
          <w:lang w:eastAsia="en-GB"/>
        </w:rPr>
        <w:t xml:space="preserve"> </w:t>
      </w:r>
      <w:r w:rsidRPr="00CE0885">
        <w:rPr>
          <w:lang w:eastAsia="en-GB"/>
        </w:rPr>
        <w:t>indi</w:t>
      </w:r>
      <w:r w:rsidRPr="00CE0885">
        <w:rPr>
          <w:spacing w:val="-2"/>
          <w:lang w:eastAsia="en-GB"/>
        </w:rPr>
        <w:t>v</w:t>
      </w:r>
      <w:r w:rsidRPr="00CE0885">
        <w:rPr>
          <w:lang w:eastAsia="en-GB"/>
        </w:rPr>
        <w:t>idual</w:t>
      </w:r>
      <w:r w:rsidRPr="00CE0885">
        <w:rPr>
          <w:spacing w:val="-10"/>
          <w:lang w:eastAsia="en-GB"/>
        </w:rPr>
        <w:t xml:space="preserve"> </w:t>
      </w:r>
      <w:r w:rsidRPr="00CE0885">
        <w:rPr>
          <w:lang w:eastAsia="en-GB"/>
        </w:rPr>
        <w:t>or</w:t>
      </w:r>
      <w:r w:rsidRPr="00CE0885">
        <w:rPr>
          <w:spacing w:val="-2"/>
          <w:lang w:eastAsia="en-GB"/>
        </w:rPr>
        <w:t xml:space="preserve"> </w:t>
      </w:r>
      <w:r w:rsidRPr="00CE0885">
        <w:rPr>
          <w:lang w:eastAsia="en-GB"/>
        </w:rPr>
        <w:t>o</w:t>
      </w:r>
      <w:r w:rsidRPr="00CE0885">
        <w:rPr>
          <w:spacing w:val="-1"/>
          <w:lang w:eastAsia="en-GB"/>
        </w:rPr>
        <w:t>rg</w:t>
      </w:r>
      <w:r w:rsidRPr="00CE0885">
        <w:rPr>
          <w:lang w:eastAsia="en-GB"/>
        </w:rPr>
        <w:t>anisat</w:t>
      </w:r>
      <w:r w:rsidRPr="00CE0885">
        <w:rPr>
          <w:spacing w:val="-3"/>
          <w:lang w:eastAsia="en-GB"/>
        </w:rPr>
        <w:t>i</w:t>
      </w:r>
      <w:r w:rsidRPr="00CE0885">
        <w:rPr>
          <w:lang w:eastAsia="en-GB"/>
        </w:rPr>
        <w:t>on that</w:t>
      </w:r>
      <w:r w:rsidRPr="00CE0885">
        <w:rPr>
          <w:spacing w:val="-5"/>
          <w:lang w:eastAsia="en-GB"/>
        </w:rPr>
        <w:t xml:space="preserve"> </w:t>
      </w:r>
      <w:r w:rsidRPr="00CE0885">
        <w:rPr>
          <w:spacing w:val="2"/>
          <w:lang w:eastAsia="en-GB"/>
        </w:rPr>
        <w:t>m</w:t>
      </w:r>
      <w:r w:rsidRPr="00CE0885">
        <w:rPr>
          <w:spacing w:val="-1"/>
          <w:lang w:eastAsia="en-GB"/>
        </w:rPr>
        <w:t>e</w:t>
      </w:r>
      <w:r w:rsidRPr="00CE0885">
        <w:rPr>
          <w:lang w:eastAsia="en-GB"/>
        </w:rPr>
        <w:t>ets</w:t>
      </w:r>
      <w:r w:rsidRPr="00CE0885">
        <w:rPr>
          <w:spacing w:val="-7"/>
          <w:lang w:eastAsia="en-GB"/>
        </w:rPr>
        <w:t xml:space="preserve"> </w:t>
      </w:r>
      <w:r w:rsidRPr="00CE0885">
        <w:rPr>
          <w:spacing w:val="-2"/>
          <w:lang w:eastAsia="en-GB"/>
        </w:rPr>
        <w:t>t</w:t>
      </w:r>
      <w:r w:rsidRPr="00CE0885">
        <w:rPr>
          <w:lang w:eastAsia="en-GB"/>
        </w:rPr>
        <w:t>he</w:t>
      </w:r>
      <w:r w:rsidRPr="00CE0885">
        <w:rPr>
          <w:spacing w:val="-4"/>
          <w:lang w:eastAsia="en-GB"/>
        </w:rPr>
        <w:t xml:space="preserve"> </w:t>
      </w:r>
      <w:r w:rsidRPr="00CE0885">
        <w:rPr>
          <w:lang w:eastAsia="en-GB"/>
        </w:rPr>
        <w:t>p</w:t>
      </w:r>
      <w:r w:rsidRPr="00CE0885">
        <w:rPr>
          <w:spacing w:val="-1"/>
          <w:lang w:eastAsia="en-GB"/>
        </w:rPr>
        <w:t>r</w:t>
      </w:r>
      <w:r w:rsidRPr="00CE0885">
        <w:rPr>
          <w:lang w:eastAsia="en-GB"/>
        </w:rPr>
        <w:t>o</w:t>
      </w:r>
      <w:r w:rsidRPr="00CE0885">
        <w:rPr>
          <w:spacing w:val="-2"/>
          <w:lang w:eastAsia="en-GB"/>
        </w:rPr>
        <w:t>v</w:t>
      </w:r>
      <w:r w:rsidRPr="00CE0885">
        <w:rPr>
          <w:lang w:eastAsia="en-GB"/>
        </w:rPr>
        <w:t>ider</w:t>
      </w:r>
      <w:r w:rsidRPr="00CE0885">
        <w:rPr>
          <w:spacing w:val="-9"/>
          <w:lang w:eastAsia="en-GB"/>
        </w:rPr>
        <w:t xml:space="preserve"> </w:t>
      </w:r>
      <w:r w:rsidRPr="00CE0885">
        <w:rPr>
          <w:lang w:eastAsia="en-GB"/>
        </w:rPr>
        <w:t>condit</w:t>
      </w:r>
      <w:r w:rsidRPr="00CE0885">
        <w:rPr>
          <w:spacing w:val="-3"/>
          <w:lang w:eastAsia="en-GB"/>
        </w:rPr>
        <w:t>i</w:t>
      </w:r>
      <w:r w:rsidRPr="00CE0885">
        <w:rPr>
          <w:lang w:eastAsia="en-GB"/>
        </w:rPr>
        <w:t>ons</w:t>
      </w:r>
      <w:r w:rsidRPr="00CE0885">
        <w:rPr>
          <w:spacing w:val="-11"/>
          <w:lang w:eastAsia="en-GB"/>
        </w:rPr>
        <w:t xml:space="preserve"> </w:t>
      </w:r>
      <w:r w:rsidRPr="00CE0885">
        <w:rPr>
          <w:spacing w:val="-1"/>
          <w:lang w:eastAsia="en-GB"/>
        </w:rPr>
        <w:t>d</w:t>
      </w:r>
      <w:r w:rsidRPr="00CE0885">
        <w:rPr>
          <w:lang w:eastAsia="en-GB"/>
        </w:rPr>
        <w:t>etail</w:t>
      </w:r>
      <w:r w:rsidRPr="00CE0885">
        <w:rPr>
          <w:spacing w:val="-1"/>
          <w:lang w:eastAsia="en-GB"/>
        </w:rPr>
        <w:t>e</w:t>
      </w:r>
      <w:r w:rsidRPr="00CE0885">
        <w:rPr>
          <w:lang w:eastAsia="en-GB"/>
        </w:rPr>
        <w:t>d</w:t>
      </w:r>
      <w:r w:rsidRPr="00CE0885">
        <w:rPr>
          <w:spacing w:val="-6"/>
          <w:lang w:eastAsia="en-GB"/>
        </w:rPr>
        <w:t xml:space="preserve"> </w:t>
      </w:r>
      <w:r w:rsidRPr="00CE0885">
        <w:rPr>
          <w:lang w:eastAsia="en-GB"/>
        </w:rPr>
        <w:t>in</w:t>
      </w:r>
      <w:r w:rsidRPr="00CE0885">
        <w:rPr>
          <w:spacing w:val="-3"/>
          <w:lang w:eastAsia="en-GB"/>
        </w:rPr>
        <w:t xml:space="preserve"> the APMS </w:t>
      </w:r>
      <w:r w:rsidRPr="00CE0885">
        <w:rPr>
          <w:lang w:eastAsia="en-GB"/>
        </w:rPr>
        <w:t>Di</w:t>
      </w:r>
      <w:r w:rsidRPr="00CE0885">
        <w:rPr>
          <w:spacing w:val="-1"/>
          <w:lang w:eastAsia="en-GB"/>
        </w:rPr>
        <w:t>r</w:t>
      </w:r>
      <w:r w:rsidRPr="00CE0885">
        <w:rPr>
          <w:lang w:eastAsia="en-GB"/>
        </w:rPr>
        <w:t>ections.</w:t>
      </w:r>
      <w:bookmarkEnd w:id="700"/>
    </w:p>
    <w:p w14:paraId="03762734" w14:textId="141D9C77" w:rsidR="00977693" w:rsidRPr="00CE0885" w:rsidRDefault="00977693" w:rsidP="006B781A">
      <w:pPr>
        <w:pStyle w:val="Heading3"/>
        <w:rPr>
          <w:lang w:eastAsia="en-GB"/>
        </w:rPr>
      </w:pPr>
      <w:bookmarkStart w:id="701" w:name="_Toc440981840"/>
      <w:r w:rsidRPr="00CE0885">
        <w:rPr>
          <w:spacing w:val="2"/>
          <w:lang w:eastAsia="en-GB"/>
        </w:rPr>
        <w:t xml:space="preserve">For further information on what types of organisations can enter into the different types of contracts </w:t>
      </w:r>
      <w:r w:rsidR="00A114DF">
        <w:rPr>
          <w:spacing w:val="2"/>
          <w:lang w:eastAsia="en-GB"/>
        </w:rPr>
        <w:t>(p</w:t>
      </w:r>
      <w:r w:rsidR="00A114DF" w:rsidRPr="00CE0885">
        <w:rPr>
          <w:lang w:eastAsia="en-GB"/>
        </w:rPr>
        <w:t xml:space="preserve">lease refer to </w:t>
      </w:r>
      <w:r w:rsidR="00A114DF">
        <w:rPr>
          <w:lang w:eastAsia="en-GB"/>
        </w:rPr>
        <w:t>the ‘Contracts Described’ chapter for further information</w:t>
      </w:r>
      <w:r w:rsidRPr="00CE0885">
        <w:rPr>
          <w:spacing w:val="2"/>
          <w:lang w:eastAsia="en-GB"/>
        </w:rPr>
        <w:t>).</w:t>
      </w:r>
      <w:bookmarkEnd w:id="701"/>
      <w:r w:rsidRPr="00CE0885">
        <w:rPr>
          <w:spacing w:val="2"/>
          <w:lang w:eastAsia="en-GB"/>
        </w:rPr>
        <w:t xml:space="preserve"> </w:t>
      </w:r>
    </w:p>
    <w:p w14:paraId="66CA9CDA" w14:textId="77777777" w:rsidR="00977693" w:rsidRPr="00CE0885" w:rsidRDefault="00977693" w:rsidP="006B781A">
      <w:pPr>
        <w:pStyle w:val="Heading3"/>
        <w:rPr>
          <w:spacing w:val="-9"/>
          <w:lang w:eastAsia="en-GB"/>
        </w:rPr>
      </w:pPr>
      <w:bookmarkStart w:id="702" w:name="_Toc440981841"/>
      <w:r w:rsidRPr="00CE0885">
        <w:rPr>
          <w:spacing w:val="1"/>
          <w:lang w:eastAsia="en-GB"/>
        </w:rPr>
        <w:t xml:space="preserve">A </w:t>
      </w:r>
      <w:r w:rsidRPr="00CE0885">
        <w:rPr>
          <w:lang w:eastAsia="en-GB"/>
        </w:rPr>
        <w:t>c</w:t>
      </w:r>
      <w:r w:rsidRPr="00CE0885">
        <w:rPr>
          <w:spacing w:val="1"/>
          <w:lang w:eastAsia="en-GB"/>
        </w:rPr>
        <w:t>h</w:t>
      </w:r>
      <w:r w:rsidRPr="00CE0885">
        <w:rPr>
          <w:spacing w:val="-1"/>
          <w:lang w:eastAsia="en-GB"/>
        </w:rPr>
        <w:t>a</w:t>
      </w:r>
      <w:r w:rsidRPr="00CE0885">
        <w:rPr>
          <w:spacing w:val="1"/>
          <w:lang w:eastAsia="en-GB"/>
        </w:rPr>
        <w:t>n</w:t>
      </w:r>
      <w:r w:rsidRPr="00CE0885">
        <w:rPr>
          <w:spacing w:val="-1"/>
          <w:lang w:eastAsia="en-GB"/>
        </w:rPr>
        <w:t>g</w:t>
      </w:r>
      <w:r w:rsidRPr="00CE0885">
        <w:rPr>
          <w:lang w:eastAsia="en-GB"/>
        </w:rPr>
        <w:t>e</w:t>
      </w:r>
      <w:r w:rsidRPr="00CE0885">
        <w:rPr>
          <w:spacing w:val="-9"/>
          <w:lang w:eastAsia="en-GB"/>
        </w:rPr>
        <w:t xml:space="preserve"> </w:t>
      </w:r>
      <w:r w:rsidRPr="00CE0885">
        <w:rPr>
          <w:spacing w:val="3"/>
          <w:lang w:eastAsia="en-GB"/>
        </w:rPr>
        <w:t>f</w:t>
      </w:r>
      <w:r w:rsidRPr="00CE0885">
        <w:rPr>
          <w:spacing w:val="-1"/>
          <w:lang w:eastAsia="en-GB"/>
        </w:rPr>
        <w:t>ro</w:t>
      </w:r>
      <w:r w:rsidRPr="00CE0885">
        <w:rPr>
          <w:lang w:eastAsia="en-GB"/>
        </w:rPr>
        <w:t>m</w:t>
      </w:r>
      <w:r w:rsidRPr="00CE0885">
        <w:rPr>
          <w:spacing w:val="-3"/>
          <w:lang w:eastAsia="en-GB"/>
        </w:rPr>
        <w:t xml:space="preserve"> </w:t>
      </w:r>
      <w:r w:rsidRPr="00CE0885">
        <w:rPr>
          <w:lang w:eastAsia="en-GB"/>
        </w:rPr>
        <w:t>a</w:t>
      </w:r>
      <w:r w:rsidRPr="00CE0885">
        <w:rPr>
          <w:spacing w:val="-2"/>
          <w:lang w:eastAsia="en-GB"/>
        </w:rPr>
        <w:t xml:space="preserve"> </w:t>
      </w:r>
      <w:r w:rsidRPr="00CE0885">
        <w:rPr>
          <w:lang w:eastAsia="en-GB"/>
        </w:rPr>
        <w:t>si</w:t>
      </w:r>
      <w:r w:rsidRPr="00CE0885">
        <w:rPr>
          <w:spacing w:val="1"/>
          <w:lang w:eastAsia="en-GB"/>
        </w:rPr>
        <w:t>n</w:t>
      </w:r>
      <w:r w:rsidRPr="00CE0885">
        <w:rPr>
          <w:spacing w:val="-1"/>
          <w:lang w:eastAsia="en-GB"/>
        </w:rPr>
        <w:t>g</w:t>
      </w:r>
      <w:r w:rsidRPr="00CE0885">
        <w:rPr>
          <w:lang w:eastAsia="en-GB"/>
        </w:rPr>
        <w:t>l</w:t>
      </w:r>
      <w:r w:rsidRPr="00CE0885">
        <w:rPr>
          <w:spacing w:val="1"/>
          <w:lang w:eastAsia="en-GB"/>
        </w:rPr>
        <w:t>e</w:t>
      </w:r>
      <w:r w:rsidRPr="00CE0885">
        <w:rPr>
          <w:spacing w:val="-1"/>
          <w:lang w:eastAsia="en-GB"/>
        </w:rPr>
        <w:t>-</w:t>
      </w:r>
      <w:r w:rsidRPr="00CE0885">
        <w:rPr>
          <w:spacing w:val="1"/>
          <w:lang w:eastAsia="en-GB"/>
        </w:rPr>
        <w:t>han</w:t>
      </w:r>
      <w:r w:rsidRPr="00CE0885">
        <w:rPr>
          <w:spacing w:val="-1"/>
          <w:lang w:eastAsia="en-GB"/>
        </w:rPr>
        <w:t>d</w:t>
      </w:r>
      <w:r w:rsidRPr="00CE0885">
        <w:rPr>
          <w:spacing w:val="1"/>
          <w:lang w:eastAsia="en-GB"/>
        </w:rPr>
        <w:t>e</w:t>
      </w:r>
      <w:r w:rsidRPr="00CE0885">
        <w:rPr>
          <w:lang w:eastAsia="en-GB"/>
        </w:rPr>
        <w:t>d</w:t>
      </w:r>
      <w:r w:rsidRPr="00CE0885">
        <w:rPr>
          <w:spacing w:val="-16"/>
          <w:lang w:eastAsia="en-GB"/>
        </w:rPr>
        <w:t xml:space="preserve"> </w:t>
      </w:r>
      <w:r w:rsidRPr="00CE0885">
        <w:rPr>
          <w:spacing w:val="1"/>
          <w:lang w:eastAsia="en-GB"/>
        </w:rPr>
        <w:t>o</w:t>
      </w:r>
      <w:r w:rsidRPr="00CE0885">
        <w:rPr>
          <w:lang w:eastAsia="en-GB"/>
        </w:rPr>
        <w:t>r</w:t>
      </w:r>
      <w:r w:rsidRPr="00CE0885">
        <w:rPr>
          <w:spacing w:val="-2"/>
          <w:lang w:eastAsia="en-GB"/>
        </w:rPr>
        <w:t xml:space="preserve"> </w:t>
      </w:r>
      <w:r w:rsidRPr="00CE0885">
        <w:rPr>
          <w:spacing w:val="1"/>
          <w:lang w:eastAsia="en-GB"/>
        </w:rPr>
        <w:t>pa</w:t>
      </w:r>
      <w:r w:rsidRPr="00CE0885">
        <w:rPr>
          <w:spacing w:val="-1"/>
          <w:lang w:eastAsia="en-GB"/>
        </w:rPr>
        <w:t>r</w:t>
      </w:r>
      <w:r w:rsidRPr="00CE0885">
        <w:rPr>
          <w:spacing w:val="-2"/>
          <w:lang w:eastAsia="en-GB"/>
        </w:rPr>
        <w:t>t</w:t>
      </w:r>
      <w:r w:rsidRPr="00CE0885">
        <w:rPr>
          <w:spacing w:val="1"/>
          <w:lang w:eastAsia="en-GB"/>
        </w:rPr>
        <w:t>ne</w:t>
      </w:r>
      <w:r w:rsidRPr="00CE0885">
        <w:rPr>
          <w:spacing w:val="-1"/>
          <w:lang w:eastAsia="en-GB"/>
        </w:rPr>
        <w:t>r</w:t>
      </w:r>
      <w:r w:rsidRPr="00CE0885">
        <w:rPr>
          <w:lang w:eastAsia="en-GB"/>
        </w:rPr>
        <w:t>s</w:t>
      </w:r>
      <w:r w:rsidRPr="00CE0885">
        <w:rPr>
          <w:spacing w:val="1"/>
          <w:lang w:eastAsia="en-GB"/>
        </w:rPr>
        <w:t>h</w:t>
      </w:r>
      <w:r w:rsidRPr="00CE0885">
        <w:rPr>
          <w:lang w:eastAsia="en-GB"/>
        </w:rPr>
        <w:t>ip c</w:t>
      </w:r>
      <w:r w:rsidRPr="00CE0885">
        <w:rPr>
          <w:spacing w:val="1"/>
          <w:lang w:eastAsia="en-GB"/>
        </w:rPr>
        <w:t>ont</w:t>
      </w:r>
      <w:r w:rsidRPr="00CE0885">
        <w:rPr>
          <w:spacing w:val="-1"/>
          <w:lang w:eastAsia="en-GB"/>
        </w:rPr>
        <w:t>r</w:t>
      </w:r>
      <w:r w:rsidRPr="00CE0885">
        <w:rPr>
          <w:spacing w:val="1"/>
          <w:lang w:eastAsia="en-GB"/>
        </w:rPr>
        <w:t>a</w:t>
      </w:r>
      <w:r w:rsidRPr="00CE0885">
        <w:rPr>
          <w:lang w:eastAsia="en-GB"/>
        </w:rPr>
        <w:t>ct</w:t>
      </w:r>
      <w:r w:rsidRPr="00CE0885">
        <w:rPr>
          <w:spacing w:val="-10"/>
          <w:lang w:eastAsia="en-GB"/>
        </w:rPr>
        <w:t xml:space="preserve"> </w:t>
      </w:r>
      <w:r w:rsidRPr="00CE0885">
        <w:rPr>
          <w:spacing w:val="1"/>
          <w:lang w:eastAsia="en-GB"/>
        </w:rPr>
        <w:t>t</w:t>
      </w:r>
      <w:r w:rsidRPr="00CE0885">
        <w:rPr>
          <w:lang w:eastAsia="en-GB"/>
        </w:rPr>
        <w:t>o</w:t>
      </w:r>
      <w:r w:rsidRPr="00CE0885">
        <w:rPr>
          <w:spacing w:val="-3"/>
          <w:lang w:eastAsia="en-GB"/>
        </w:rPr>
        <w:t xml:space="preserve"> </w:t>
      </w:r>
      <w:r w:rsidRPr="00CE0885">
        <w:rPr>
          <w:lang w:eastAsia="en-GB"/>
        </w:rPr>
        <w:t>a</w:t>
      </w:r>
      <w:r w:rsidRPr="00CE0885">
        <w:rPr>
          <w:spacing w:val="1"/>
          <w:lang w:eastAsia="en-GB"/>
        </w:rPr>
        <w:t xml:space="preserve"> </w:t>
      </w:r>
      <w:r w:rsidRPr="00CE0885">
        <w:rPr>
          <w:lang w:eastAsia="en-GB"/>
        </w:rPr>
        <w:t>li</w:t>
      </w:r>
      <w:r w:rsidRPr="00CE0885">
        <w:rPr>
          <w:spacing w:val="2"/>
          <w:lang w:eastAsia="en-GB"/>
        </w:rPr>
        <w:t>m</w:t>
      </w:r>
      <w:r w:rsidRPr="00CE0885">
        <w:rPr>
          <w:lang w:eastAsia="en-GB"/>
        </w:rPr>
        <w:t>i</w:t>
      </w:r>
      <w:r w:rsidRPr="00CE0885">
        <w:rPr>
          <w:spacing w:val="-2"/>
          <w:lang w:eastAsia="en-GB"/>
        </w:rPr>
        <w:t>t</w:t>
      </w:r>
      <w:r w:rsidRPr="00CE0885">
        <w:rPr>
          <w:spacing w:val="1"/>
          <w:lang w:eastAsia="en-GB"/>
        </w:rPr>
        <w:t>e</w:t>
      </w:r>
      <w:r w:rsidRPr="00CE0885">
        <w:rPr>
          <w:lang w:eastAsia="en-GB"/>
        </w:rPr>
        <w:t>d</w:t>
      </w:r>
      <w:r w:rsidRPr="00CE0885">
        <w:rPr>
          <w:spacing w:val="-5"/>
          <w:lang w:eastAsia="en-GB"/>
        </w:rPr>
        <w:t xml:space="preserve"> </w:t>
      </w:r>
      <w:r w:rsidRPr="00CE0885">
        <w:rPr>
          <w:lang w:eastAsia="en-GB"/>
        </w:rPr>
        <w:t>c</w:t>
      </w:r>
      <w:r w:rsidRPr="00CE0885">
        <w:rPr>
          <w:spacing w:val="-1"/>
          <w:lang w:eastAsia="en-GB"/>
        </w:rPr>
        <w:t>o</w:t>
      </w:r>
      <w:r w:rsidRPr="00CE0885">
        <w:rPr>
          <w:spacing w:val="2"/>
          <w:lang w:eastAsia="en-GB"/>
        </w:rPr>
        <w:t>m</w:t>
      </w:r>
      <w:r w:rsidRPr="00CE0885">
        <w:rPr>
          <w:spacing w:val="1"/>
          <w:lang w:eastAsia="en-GB"/>
        </w:rPr>
        <w:t>p</w:t>
      </w:r>
      <w:r w:rsidRPr="00CE0885">
        <w:rPr>
          <w:spacing w:val="-1"/>
          <w:lang w:eastAsia="en-GB"/>
        </w:rPr>
        <w:t>a</w:t>
      </w:r>
      <w:r w:rsidRPr="00CE0885">
        <w:rPr>
          <w:spacing w:val="1"/>
          <w:lang w:eastAsia="en-GB"/>
        </w:rPr>
        <w:t>n</w:t>
      </w:r>
      <w:r w:rsidRPr="00CE0885">
        <w:rPr>
          <w:lang w:eastAsia="en-GB"/>
        </w:rPr>
        <w:t>y</w:t>
      </w:r>
      <w:r w:rsidRPr="00CE0885">
        <w:rPr>
          <w:spacing w:val="-12"/>
          <w:lang w:eastAsia="en-GB"/>
        </w:rPr>
        <w:t xml:space="preserve"> </w:t>
      </w:r>
      <w:r w:rsidRPr="00CE0885">
        <w:rPr>
          <w:lang w:eastAsia="en-GB"/>
        </w:rPr>
        <w:t>is</w:t>
      </w:r>
      <w:r w:rsidRPr="00CE0885">
        <w:rPr>
          <w:spacing w:val="-2"/>
          <w:lang w:eastAsia="en-GB"/>
        </w:rPr>
        <w:t xml:space="preserve"> a complete change of the identity of the contracting party, regardless of whether the company is owned and/or run by the original contractors. A change from an individual or partnership to a company will</w:t>
      </w:r>
      <w:r w:rsidRPr="00CE0885">
        <w:rPr>
          <w:spacing w:val="-9"/>
          <w:lang w:eastAsia="en-GB"/>
        </w:rPr>
        <w:t xml:space="preserve"> </w:t>
      </w:r>
      <w:r w:rsidRPr="00CE0885">
        <w:rPr>
          <w:spacing w:val="-1"/>
          <w:lang w:eastAsia="en-GB"/>
        </w:rPr>
        <w:t>r</w:t>
      </w:r>
      <w:r w:rsidRPr="00CE0885">
        <w:rPr>
          <w:spacing w:val="1"/>
          <w:lang w:eastAsia="en-GB"/>
        </w:rPr>
        <w:t>e</w:t>
      </w:r>
      <w:r w:rsidRPr="00CE0885">
        <w:rPr>
          <w:spacing w:val="-1"/>
          <w:lang w:eastAsia="en-GB"/>
        </w:rPr>
        <w:t>q</w:t>
      </w:r>
      <w:r w:rsidRPr="00CE0885">
        <w:rPr>
          <w:spacing w:val="1"/>
          <w:lang w:eastAsia="en-GB"/>
        </w:rPr>
        <w:t>u</w:t>
      </w:r>
      <w:r w:rsidRPr="00CE0885">
        <w:rPr>
          <w:lang w:eastAsia="en-GB"/>
        </w:rPr>
        <w:t>i</w:t>
      </w:r>
      <w:r w:rsidRPr="00CE0885">
        <w:rPr>
          <w:spacing w:val="-1"/>
          <w:lang w:eastAsia="en-GB"/>
        </w:rPr>
        <w:t>r</w:t>
      </w:r>
      <w:r w:rsidRPr="00CE0885">
        <w:rPr>
          <w:lang w:eastAsia="en-GB"/>
        </w:rPr>
        <w:t>e</w:t>
      </w:r>
      <w:r w:rsidRPr="00CE0885">
        <w:rPr>
          <w:spacing w:val="-5"/>
          <w:lang w:eastAsia="en-GB"/>
        </w:rPr>
        <w:t xml:space="preserve"> </w:t>
      </w:r>
      <w:r w:rsidRPr="00CE0885">
        <w:rPr>
          <w:spacing w:val="-2"/>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3"/>
          <w:lang w:eastAsia="en-GB"/>
        </w:rPr>
        <w:t>i</w:t>
      </w:r>
      <w:r w:rsidRPr="00CE0885">
        <w:rPr>
          <w:lang w:eastAsia="en-GB"/>
        </w:rPr>
        <w:t>ss</w:t>
      </w:r>
      <w:r w:rsidRPr="00CE0885">
        <w:rPr>
          <w:spacing w:val="1"/>
          <w:lang w:eastAsia="en-GB"/>
        </w:rPr>
        <w:t>u</w:t>
      </w:r>
      <w:r w:rsidRPr="00CE0885">
        <w:rPr>
          <w:lang w:eastAsia="en-GB"/>
        </w:rPr>
        <w:t>e</w:t>
      </w:r>
      <w:r w:rsidRPr="00CE0885">
        <w:rPr>
          <w:spacing w:val="-4"/>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a</w:t>
      </w:r>
      <w:r w:rsidRPr="00CE0885">
        <w:rPr>
          <w:spacing w:val="-2"/>
          <w:lang w:eastAsia="en-GB"/>
        </w:rPr>
        <w:t xml:space="preserve"> </w:t>
      </w:r>
      <w:r w:rsidRPr="00CE0885">
        <w:rPr>
          <w:spacing w:val="1"/>
          <w:lang w:eastAsia="en-GB"/>
        </w:rPr>
        <w:t>ne</w:t>
      </w:r>
      <w:r w:rsidRPr="00CE0885">
        <w:rPr>
          <w:lang w:eastAsia="en-GB"/>
        </w:rPr>
        <w:t>w</w:t>
      </w:r>
      <w:r w:rsidRPr="00CE0885">
        <w:rPr>
          <w:spacing w:val="-6"/>
          <w:lang w:eastAsia="en-GB"/>
        </w:rPr>
        <w:t xml:space="preserve"> </w:t>
      </w:r>
      <w:r w:rsidRPr="00CE0885">
        <w:rPr>
          <w:lang w:eastAsia="en-GB"/>
        </w:rPr>
        <w:t>c</w:t>
      </w:r>
      <w:r w:rsidRPr="00CE0885">
        <w:rPr>
          <w:spacing w:val="1"/>
          <w:lang w:eastAsia="en-GB"/>
        </w:rPr>
        <w:t>ont</w:t>
      </w:r>
      <w:r w:rsidRPr="00CE0885">
        <w:rPr>
          <w:spacing w:val="-1"/>
          <w:lang w:eastAsia="en-GB"/>
        </w:rPr>
        <w:t>r</w:t>
      </w:r>
      <w:r w:rsidRPr="00CE0885">
        <w:rPr>
          <w:spacing w:val="1"/>
          <w:lang w:eastAsia="en-GB"/>
        </w:rPr>
        <w:t>a</w:t>
      </w:r>
      <w:r w:rsidRPr="00CE0885">
        <w:rPr>
          <w:lang w:eastAsia="en-GB"/>
        </w:rPr>
        <w:t>ct</w:t>
      </w:r>
      <w:r w:rsidRPr="00CE0885">
        <w:rPr>
          <w:spacing w:val="-10"/>
          <w:lang w:eastAsia="en-GB"/>
        </w:rPr>
        <w:t xml:space="preserve"> </w:t>
      </w:r>
      <w:r w:rsidRPr="00CE0885">
        <w:rPr>
          <w:spacing w:val="1"/>
          <w:lang w:eastAsia="en-GB"/>
        </w:rPr>
        <w:t xml:space="preserve">and is often referred to as a contract novation or incorporation. </w:t>
      </w:r>
      <w:r w:rsidRPr="00CE0885">
        <w:rPr>
          <w:spacing w:val="-2"/>
          <w:lang w:eastAsia="en-GB"/>
        </w:rPr>
        <w:t>The process in reverse is often referred to as dis-incorporation. Such a change will not be a variation to the original contract as the original contract will be replaced by the new contract</w:t>
      </w:r>
      <w:r w:rsidRPr="00CE0885">
        <w:rPr>
          <w:spacing w:val="-9"/>
          <w:lang w:eastAsia="en-GB"/>
        </w:rPr>
        <w:t>.</w:t>
      </w:r>
      <w:bookmarkEnd w:id="702"/>
    </w:p>
    <w:p w14:paraId="05F0426C" w14:textId="77777777" w:rsidR="00977693" w:rsidRPr="009055A7" w:rsidRDefault="00977693" w:rsidP="00977693">
      <w:pPr>
        <w:widowControl w:val="0"/>
        <w:spacing w:line="360" w:lineRule="auto"/>
        <w:ind w:left="1414"/>
        <w:jc w:val="both"/>
        <w:rPr>
          <w:rFonts w:cs="Arial"/>
          <w:bCs w:val="0"/>
          <w:sz w:val="20"/>
          <w:szCs w:val="20"/>
          <w:lang w:eastAsia="en-GB"/>
        </w:rPr>
      </w:pPr>
    </w:p>
    <w:p w14:paraId="6D30D9EF" w14:textId="144A9B0A" w:rsidR="00977693" w:rsidRPr="00CE0885" w:rsidRDefault="00AF27D3" w:rsidP="00202DD3">
      <w:pPr>
        <w:pStyle w:val="Heading2"/>
        <w:rPr>
          <w:lang w:eastAsia="en-GB"/>
        </w:rPr>
      </w:pPr>
      <w:bookmarkStart w:id="703" w:name="_Toc440981842"/>
      <w:bookmarkStart w:id="704" w:name="_Toc498495395"/>
      <w:r>
        <w:rPr>
          <w:lang w:eastAsia="en-GB"/>
        </w:rPr>
        <w:t>Contract</w:t>
      </w:r>
      <w:r w:rsidR="00977693" w:rsidRPr="00CE0885">
        <w:rPr>
          <w:lang w:eastAsia="en-GB"/>
        </w:rPr>
        <w:t>s and Incorporation/Dis-incorporation</w:t>
      </w:r>
      <w:bookmarkEnd w:id="703"/>
      <w:bookmarkEnd w:id="704"/>
    </w:p>
    <w:p w14:paraId="0625A894" w14:textId="77777777" w:rsidR="00977693" w:rsidRPr="00CE0885" w:rsidRDefault="00977693" w:rsidP="006B781A">
      <w:pPr>
        <w:pStyle w:val="Heading3"/>
        <w:rPr>
          <w:lang w:eastAsia="en-GB"/>
        </w:rPr>
      </w:pPr>
      <w:bookmarkStart w:id="705" w:name="_Toc440981843"/>
      <w:r w:rsidRPr="00CE0885">
        <w:rPr>
          <w:lang w:eastAsia="en-GB"/>
        </w:rPr>
        <w:t>Incorporation of a GMS contract usually occurs where a contractor that is an individual or a partnership wishes to transfer the contract to a company limited by shares.</w:t>
      </w:r>
      <w:bookmarkEnd w:id="705"/>
      <w:r w:rsidRPr="00CE0885">
        <w:rPr>
          <w:lang w:eastAsia="en-GB"/>
        </w:rPr>
        <w:t xml:space="preserve"> </w:t>
      </w:r>
    </w:p>
    <w:p w14:paraId="6DC0E7E4" w14:textId="77777777" w:rsidR="00977693" w:rsidRPr="00CE0885" w:rsidRDefault="00977693" w:rsidP="006B781A">
      <w:pPr>
        <w:pStyle w:val="Heading3"/>
        <w:rPr>
          <w:lang w:eastAsia="en-GB"/>
        </w:rPr>
      </w:pPr>
      <w:bookmarkStart w:id="706" w:name="_Toc440981844"/>
      <w:r w:rsidRPr="00CE0885">
        <w:rPr>
          <w:lang w:eastAsia="en-GB"/>
        </w:rPr>
        <w:t>Incorporation of a PMS agreement usually occurs where a contractor that is one or more individuals wishes to transfer the agreement to a qualifying body.</w:t>
      </w:r>
      <w:bookmarkEnd w:id="706"/>
      <w:r w:rsidRPr="00CE0885">
        <w:rPr>
          <w:lang w:eastAsia="en-GB"/>
        </w:rPr>
        <w:t xml:space="preserve"> </w:t>
      </w:r>
    </w:p>
    <w:p w14:paraId="1C8D0387" w14:textId="77777777" w:rsidR="00977693" w:rsidRPr="00CE0885" w:rsidRDefault="00977693" w:rsidP="006B781A">
      <w:pPr>
        <w:pStyle w:val="Heading3"/>
        <w:rPr>
          <w:lang w:eastAsia="en-GB"/>
        </w:rPr>
      </w:pPr>
      <w:bookmarkStart w:id="707" w:name="_Toc440981845"/>
      <w:r w:rsidRPr="00CE0885">
        <w:rPr>
          <w:lang w:eastAsia="en-GB"/>
        </w:rPr>
        <w:t>Dis-incorporation is the same process in reverse.</w:t>
      </w:r>
      <w:bookmarkEnd w:id="707"/>
    </w:p>
    <w:p w14:paraId="68CD0285" w14:textId="77777777" w:rsidR="00977693" w:rsidRPr="00CE0885" w:rsidRDefault="00977693" w:rsidP="006B781A">
      <w:pPr>
        <w:pStyle w:val="Heading3"/>
        <w:rPr>
          <w:lang w:eastAsia="en-GB"/>
        </w:rPr>
      </w:pPr>
      <w:bookmarkStart w:id="708" w:name="_Toc440981846"/>
      <w:r w:rsidRPr="00CE0885">
        <w:rPr>
          <w:lang w:eastAsia="en-GB"/>
        </w:rPr>
        <w:t>Where one party to a contract (A) proposes to completely remove itself from the contract to be replaced by a separate party (B), this cannot be a variation to the contract. Instead this is a transfer of the rights and obligations under the contract which is termed a contract novation.</w:t>
      </w:r>
      <w:bookmarkEnd w:id="708"/>
      <w:r w:rsidRPr="00CE0885">
        <w:rPr>
          <w:lang w:eastAsia="en-GB"/>
        </w:rPr>
        <w:t xml:space="preserve"> </w:t>
      </w:r>
    </w:p>
    <w:p w14:paraId="1BE6962A" w14:textId="77777777" w:rsidR="00977693" w:rsidRPr="00CE0885" w:rsidRDefault="00977693" w:rsidP="006B781A">
      <w:pPr>
        <w:pStyle w:val="Heading3"/>
        <w:rPr>
          <w:lang w:eastAsia="en-GB"/>
        </w:rPr>
      </w:pPr>
      <w:bookmarkStart w:id="709" w:name="_Toc440981847"/>
      <w:r w:rsidRPr="00CE0885">
        <w:rPr>
          <w:lang w:eastAsia="en-GB"/>
        </w:rPr>
        <w:t>A contract novation is not a variation. A contract novation involves the termination of the existing contract and entering into a new contract on the same terms as the original contract but with the parties details changed. Where a new contract is awarded, regardless of the fact that it may be a contract novation or may be on the same terms as the original contract, there may be procurement law implications. commissioners must also act in accordance with any procurement protocol issued by NHS England.</w:t>
      </w:r>
      <w:bookmarkEnd w:id="709"/>
    </w:p>
    <w:p w14:paraId="781B87AC" w14:textId="77777777" w:rsidR="00977693" w:rsidRPr="00CE0885" w:rsidRDefault="00977693" w:rsidP="006B781A">
      <w:pPr>
        <w:pStyle w:val="Heading3"/>
        <w:rPr>
          <w:lang w:eastAsia="en-GB"/>
        </w:rPr>
      </w:pPr>
      <w:bookmarkStart w:id="710" w:name="_Toc440981848"/>
      <w:r w:rsidRPr="00CE0885">
        <w:rPr>
          <w:lang w:eastAsia="en-GB"/>
        </w:rPr>
        <w:t>Contract novations are often requested where a person or company is selling its business and as part of the sale it is transferring its contracts and its customers to the buyer. The contracts are novated and the buyer agrees to take over the seller’s responsibilities for performing the contracts and takes on any associated debts and obligations.</w:t>
      </w:r>
      <w:bookmarkEnd w:id="710"/>
    </w:p>
    <w:p w14:paraId="5330B716" w14:textId="77777777" w:rsidR="00977693" w:rsidRPr="00CE0885" w:rsidRDefault="00977693" w:rsidP="006B781A">
      <w:pPr>
        <w:pStyle w:val="Heading3"/>
        <w:rPr>
          <w:lang w:eastAsia="en-GB"/>
        </w:rPr>
      </w:pPr>
      <w:bookmarkStart w:id="711" w:name="_Ref411549259"/>
      <w:bookmarkStart w:id="712" w:name="_Toc440981849"/>
      <w:r w:rsidRPr="00CE0885">
        <w:rPr>
          <w:lang w:eastAsia="en-GB"/>
        </w:rPr>
        <w:t>There is no express right for a contractor to incorporate or dis-incorporate a contract. Contractors should be made aware that incorporation or dis-incorporation could potentially result in the Commissioner deciding to competitively tender the new contract in accordance with procurement law. The contractor to the original contract may not be successful in winning the new contract.</w:t>
      </w:r>
      <w:bookmarkEnd w:id="711"/>
      <w:bookmarkEnd w:id="712"/>
    </w:p>
    <w:p w14:paraId="0EECAC86" w14:textId="77777777" w:rsidR="00977693" w:rsidRPr="00CE0885" w:rsidRDefault="00977693" w:rsidP="006B781A">
      <w:pPr>
        <w:pStyle w:val="Heading3"/>
        <w:rPr>
          <w:lang w:eastAsia="en-GB"/>
        </w:rPr>
      </w:pPr>
      <w:bookmarkStart w:id="713" w:name="_Toc440981850"/>
      <w:r w:rsidRPr="00CE0885">
        <w:rPr>
          <w:lang w:eastAsia="en-GB"/>
        </w:rPr>
        <w:t>The contractor may be unwilling to relinquish its original contract, unless it receives assurances from the Commissioner that the Commissioner will commission an equivalent (or mutually agreed) level of activity from the contractor under the new contract. As set out below, there are factors that the Commissioner should consider before providing any such assurance.</w:t>
      </w:r>
      <w:bookmarkEnd w:id="713"/>
      <w:r w:rsidRPr="00CE0885">
        <w:rPr>
          <w:lang w:eastAsia="en-GB"/>
        </w:rPr>
        <w:t xml:space="preserve"> </w:t>
      </w:r>
    </w:p>
    <w:p w14:paraId="28A348E1" w14:textId="77777777" w:rsidR="00977693" w:rsidRPr="00CE0885" w:rsidRDefault="00977693" w:rsidP="003331F2">
      <w:pPr>
        <w:pStyle w:val="BodyText"/>
      </w:pPr>
    </w:p>
    <w:p w14:paraId="0B5C8D29" w14:textId="77777777" w:rsidR="00977693" w:rsidRPr="00CE5A3A" w:rsidRDefault="00977693" w:rsidP="00CE5A3A">
      <w:pPr>
        <w:pStyle w:val="BodyText"/>
        <w:rPr>
          <w:b/>
          <w:sz w:val="24"/>
          <w:szCs w:val="24"/>
        </w:rPr>
      </w:pPr>
      <w:bookmarkStart w:id="714" w:name="_Toc440981851"/>
      <w:r w:rsidRPr="00CE5A3A">
        <w:rPr>
          <w:b/>
          <w:sz w:val="24"/>
          <w:szCs w:val="24"/>
        </w:rPr>
        <w:t>Managing a request for Incorporation or Dis-incorporation</w:t>
      </w:r>
      <w:bookmarkEnd w:id="714"/>
    </w:p>
    <w:p w14:paraId="78A00B99" w14:textId="77777777" w:rsidR="00977693" w:rsidRPr="00CE0885" w:rsidRDefault="00977693" w:rsidP="006B781A">
      <w:pPr>
        <w:pStyle w:val="Heading3"/>
        <w:rPr>
          <w:lang w:eastAsia="en-GB"/>
        </w:rPr>
      </w:pPr>
      <w:bookmarkStart w:id="715" w:name="_Toc440981852"/>
      <w:r w:rsidRPr="00CE0885">
        <w:rPr>
          <w:lang w:eastAsia="en-GB"/>
        </w:rPr>
        <w:t>On receipt of a request from a contractor to incorporate or dis-incorporate, the process below should be followed.</w:t>
      </w:r>
      <w:bookmarkEnd w:id="715"/>
    </w:p>
    <w:p w14:paraId="2EE9E525" w14:textId="77777777" w:rsidR="00977693" w:rsidRPr="00CE0885" w:rsidRDefault="00977693" w:rsidP="00FA6A70">
      <w:pPr>
        <w:pStyle w:val="Heading4"/>
      </w:pPr>
      <w:bookmarkStart w:id="716" w:name="_Toc440981853"/>
      <w:r w:rsidRPr="00CE0885">
        <w:t>the Commissioner should acknowledge the request and send the contractor an assessment template. A letter and the assessment template for incorporation are provided in Annex 7 with a form for internal Commissioner use provided in Annex 8. A letter and assessment template for dis-incorporation is provided in Annex 9.</w:t>
      </w:r>
      <w:bookmarkEnd w:id="716"/>
    </w:p>
    <w:p w14:paraId="5E0879F5" w14:textId="77777777" w:rsidR="00977693" w:rsidRPr="00CE0885" w:rsidRDefault="00977693" w:rsidP="00FA6A70">
      <w:pPr>
        <w:pStyle w:val="Heading4"/>
      </w:pPr>
      <w:bookmarkStart w:id="717" w:name="_Toc440981854"/>
      <w:r w:rsidRPr="00CE0885">
        <w:t xml:space="preserve">the Commissioner should make the contractor aware of the potential implications of the incorporation or dis-incorporation as outlined in paragraph </w:t>
      </w:r>
      <w:r w:rsidRPr="00CE0885">
        <w:fldChar w:fldCharType="begin"/>
      </w:r>
      <w:r w:rsidRPr="00CE0885">
        <w:instrText xml:space="preserve"> REF _Ref411549259 \r \h  \* MERGEFORMAT </w:instrText>
      </w:r>
      <w:r w:rsidRPr="00CE0885">
        <w:fldChar w:fldCharType="separate"/>
      </w:r>
      <w:r w:rsidR="00622FF2">
        <w:t>7.10.7</w:t>
      </w:r>
      <w:r w:rsidRPr="00CE0885">
        <w:fldChar w:fldCharType="end"/>
      </w:r>
      <w:r w:rsidRPr="00CE0885">
        <w:t>.</w:t>
      </w:r>
      <w:bookmarkEnd w:id="717"/>
    </w:p>
    <w:p w14:paraId="063B8AB8" w14:textId="77777777" w:rsidR="00977693" w:rsidRPr="00CE0885" w:rsidRDefault="00977693" w:rsidP="00FA6A70">
      <w:pPr>
        <w:pStyle w:val="Heading4"/>
      </w:pPr>
      <w:bookmarkStart w:id="718" w:name="_Toc440981855"/>
      <w:r w:rsidRPr="00CE0885">
        <w:t>on receipt of the information, the Commissioner should review the information and decide whether to agree the request.</w:t>
      </w:r>
      <w:bookmarkEnd w:id="718"/>
    </w:p>
    <w:p w14:paraId="354558BC" w14:textId="77777777" w:rsidR="00977693" w:rsidRPr="00CE0885" w:rsidRDefault="00977693" w:rsidP="006B781A">
      <w:pPr>
        <w:pStyle w:val="Heading3"/>
        <w:rPr>
          <w:rFonts w:eastAsia="MS Mincho"/>
          <w:lang w:eastAsia="en-GB"/>
        </w:rPr>
      </w:pPr>
      <w:bookmarkStart w:id="719" w:name="_Toc440981856"/>
      <w:r w:rsidRPr="00CE0885">
        <w:rPr>
          <w:rFonts w:eastAsia="MS Mincho"/>
          <w:lang w:eastAsia="en-GB"/>
        </w:rPr>
        <w:t xml:space="preserve">The Commissioner should first consider whether the proposed new contractor is eligible to enter into the contract. </w:t>
      </w:r>
      <w:r w:rsidRPr="00CE0885">
        <w:rPr>
          <w:lang w:eastAsia="en-GB"/>
        </w:rPr>
        <w:t>If it is not eligible, the Commissioner must refuse the request. A template letter of refusal of a request to incorporate is provided at Annex 10 and in respect of dis-incorporation at Annex 11.</w:t>
      </w:r>
      <w:bookmarkEnd w:id="719"/>
    </w:p>
    <w:p w14:paraId="4069FE5C" w14:textId="77777777" w:rsidR="00977693" w:rsidRPr="00FA6A70" w:rsidRDefault="00977693" w:rsidP="006B781A">
      <w:pPr>
        <w:pStyle w:val="Heading3"/>
        <w:rPr>
          <w:rStyle w:val="Heading4Char"/>
        </w:rPr>
      </w:pPr>
      <w:bookmarkStart w:id="720" w:name="_Toc440981857"/>
      <w:r w:rsidRPr="00CE0885">
        <w:rPr>
          <w:lang w:eastAsia="en-GB"/>
        </w:rPr>
        <w:t xml:space="preserve">Where the proposed contractor is eligible, the Commissioner should consider a number of further matters listed below. In considering these matters, the Commissioner, is required to act reasonably and otherwise in accordance with </w:t>
      </w:r>
      <w:r w:rsidRPr="00FA6A70">
        <w:rPr>
          <w:rStyle w:val="Heading4Char"/>
        </w:rPr>
        <w:t>public law principles:</w:t>
      </w:r>
      <w:bookmarkEnd w:id="720"/>
    </w:p>
    <w:p w14:paraId="3D4FF600" w14:textId="77777777" w:rsidR="00977693" w:rsidRPr="00CE0885" w:rsidRDefault="00977693" w:rsidP="00FA6A70">
      <w:pPr>
        <w:pStyle w:val="Heading4"/>
      </w:pPr>
      <w:bookmarkStart w:id="721" w:name="_Toc440981858"/>
      <w:r w:rsidRPr="00CE0885">
        <w:t>the Commissioner's obligations under procurement law to determine whether there is a risk of challenge in agreeing the request or whether a competitive tender process should be carried out (commissioners must also act in accordance with any procurement protocol issued by NHS England);</w:t>
      </w:r>
      <w:bookmarkEnd w:id="721"/>
      <w:r w:rsidRPr="00CE0885">
        <w:t xml:space="preserve">  </w:t>
      </w:r>
    </w:p>
    <w:p w14:paraId="3F9D2B07" w14:textId="77777777" w:rsidR="00977693" w:rsidRPr="00CE0885" w:rsidRDefault="00977693" w:rsidP="00FA6A70">
      <w:pPr>
        <w:pStyle w:val="Heading4"/>
      </w:pPr>
      <w:bookmarkStart w:id="722" w:name="_Toc440981859"/>
      <w:r w:rsidRPr="00CE0885">
        <w:t>the effect of the proposal on the statutory duties of NHS England, particularly the duty under section 13K of the NHS Act (duty to promote innovation) and section 13P (duty as respects variation in provision of health services);</w:t>
      </w:r>
      <w:bookmarkEnd w:id="722"/>
    </w:p>
    <w:p w14:paraId="0B887AE5" w14:textId="77777777" w:rsidR="00977693" w:rsidRPr="00CE0885" w:rsidRDefault="00977693" w:rsidP="00FA6A70">
      <w:pPr>
        <w:pStyle w:val="Heading4"/>
      </w:pPr>
      <w:bookmarkStart w:id="723" w:name="_Toc440981860"/>
      <w:r w:rsidRPr="00CE0885">
        <w:t>the value of the contract;</w:t>
      </w:r>
      <w:bookmarkEnd w:id="723"/>
      <w:r w:rsidRPr="00CE0885">
        <w:t xml:space="preserve"> </w:t>
      </w:r>
    </w:p>
    <w:p w14:paraId="0DDF6462" w14:textId="77777777" w:rsidR="00977693" w:rsidRPr="00CE0885" w:rsidRDefault="00977693" w:rsidP="00FA6A70">
      <w:pPr>
        <w:pStyle w:val="Heading4"/>
      </w:pPr>
      <w:bookmarkStart w:id="724" w:name="_Toc440981861"/>
      <w:r w:rsidRPr="00CE0885">
        <w:t>the level of market interest;</w:t>
      </w:r>
      <w:bookmarkEnd w:id="724"/>
      <w:r w:rsidRPr="00CE0885">
        <w:t xml:space="preserve"> </w:t>
      </w:r>
    </w:p>
    <w:p w14:paraId="4E1AB820" w14:textId="77777777" w:rsidR="00977693" w:rsidRPr="00CE0885" w:rsidRDefault="00977693" w:rsidP="00FA6A70">
      <w:pPr>
        <w:pStyle w:val="Heading4"/>
      </w:pPr>
      <w:bookmarkStart w:id="725" w:name="_Toc440981862"/>
      <w:r w:rsidRPr="00CE0885">
        <w:t>the potential for innovation;</w:t>
      </w:r>
      <w:bookmarkEnd w:id="725"/>
    </w:p>
    <w:p w14:paraId="72168A20" w14:textId="77777777" w:rsidR="00977693" w:rsidRPr="00CE0885" w:rsidRDefault="00977693" w:rsidP="00FA6A70">
      <w:pPr>
        <w:pStyle w:val="Heading4"/>
      </w:pPr>
      <w:bookmarkStart w:id="726" w:name="_Toc440981863"/>
      <w:r w:rsidRPr="00CE0885">
        <w:t>the need to protect services in the core contract;</w:t>
      </w:r>
      <w:bookmarkEnd w:id="726"/>
    </w:p>
    <w:p w14:paraId="65BDDA0B" w14:textId="77777777" w:rsidR="00977693" w:rsidRPr="00CE0885" w:rsidRDefault="00977693" w:rsidP="00FA6A70">
      <w:pPr>
        <w:pStyle w:val="Heading4"/>
      </w:pPr>
      <w:bookmarkStart w:id="727" w:name="_Toc440981864"/>
      <w:r w:rsidRPr="00CE0885">
        <w:t>continuity of patient care;</w:t>
      </w:r>
      <w:bookmarkEnd w:id="727"/>
    </w:p>
    <w:p w14:paraId="3F62D1E8" w14:textId="77777777" w:rsidR="00977693" w:rsidRPr="00CE0885" w:rsidRDefault="00977693" w:rsidP="00FA6A70">
      <w:pPr>
        <w:pStyle w:val="Heading4"/>
      </w:pPr>
      <w:bookmarkStart w:id="728" w:name="_Toc440981865"/>
      <w:r w:rsidRPr="00CE0885">
        <w:t>the extent to which the original contractor(s) will be controlling and giving instructions to the proposed contractor to comply with contractual obligations;</w:t>
      </w:r>
      <w:bookmarkEnd w:id="728"/>
    </w:p>
    <w:p w14:paraId="4D1B7910" w14:textId="77777777" w:rsidR="00977693" w:rsidRPr="00CE0885" w:rsidRDefault="00977693" w:rsidP="00FA6A70">
      <w:pPr>
        <w:pStyle w:val="Heading4"/>
      </w:pPr>
      <w:bookmarkStart w:id="729" w:name="_Toc440981866"/>
      <w:r w:rsidRPr="00CE0885">
        <w:t>that extent of change to the terms of the existing and new contract (i.e. contract value or services);</w:t>
      </w:r>
      <w:bookmarkEnd w:id="729"/>
    </w:p>
    <w:p w14:paraId="3200351A" w14:textId="77777777" w:rsidR="00977693" w:rsidRPr="00CE0885" w:rsidRDefault="00977693" w:rsidP="00FA6A70">
      <w:pPr>
        <w:pStyle w:val="Heading4"/>
      </w:pPr>
      <w:bookmarkStart w:id="730" w:name="_Toc440981867"/>
      <w:r w:rsidRPr="00CE0885">
        <w:t>payments under the existing contract and value for money;</w:t>
      </w:r>
      <w:bookmarkEnd w:id="730"/>
      <w:r w:rsidRPr="00CE0885">
        <w:t xml:space="preserve"> </w:t>
      </w:r>
    </w:p>
    <w:p w14:paraId="4D01FB90" w14:textId="77777777" w:rsidR="00977693" w:rsidRPr="00CE0885" w:rsidRDefault="00977693" w:rsidP="00FA6A70">
      <w:pPr>
        <w:pStyle w:val="Heading4"/>
      </w:pPr>
      <w:bookmarkStart w:id="731" w:name="_Toc440981868"/>
      <w:r w:rsidRPr="00CE0885">
        <w:t>benefits to patients of the proposal;</w:t>
      </w:r>
      <w:bookmarkEnd w:id="731"/>
      <w:r w:rsidRPr="00CE0885">
        <w:t xml:space="preserve"> </w:t>
      </w:r>
    </w:p>
    <w:p w14:paraId="601CAA56" w14:textId="77777777" w:rsidR="00977693" w:rsidRPr="00CE0885" w:rsidRDefault="00977693" w:rsidP="00FA6A70">
      <w:pPr>
        <w:pStyle w:val="Heading4"/>
      </w:pPr>
      <w:bookmarkStart w:id="732" w:name="_Toc440981869"/>
      <w:r w:rsidRPr="00CE0885">
        <w:t>opening hours (including evening and weekend) required;</w:t>
      </w:r>
      <w:bookmarkEnd w:id="732"/>
    </w:p>
    <w:p w14:paraId="46BF9C14" w14:textId="77777777" w:rsidR="00977693" w:rsidRPr="00CE0885" w:rsidRDefault="00977693" w:rsidP="00FA6A70">
      <w:pPr>
        <w:pStyle w:val="Heading4"/>
      </w:pPr>
      <w:bookmarkStart w:id="733" w:name="_Toc440981870"/>
      <w:r w:rsidRPr="00CE0885">
        <w:t>whether the Commissioner requires that the existing contractor guarantees the performance of the proposed contractor – any such requirement must be proportionate to the risks associated with the novation and reasonable with a clear rationale for placing such a responsibility on the existing contractor – legal advice should be sought</w:t>
      </w:r>
      <w:bookmarkEnd w:id="733"/>
    </w:p>
    <w:p w14:paraId="3FD38841" w14:textId="77777777" w:rsidR="00977693" w:rsidRPr="00CE0885" w:rsidRDefault="00977693" w:rsidP="00FA6A70">
      <w:pPr>
        <w:pStyle w:val="Heading4"/>
      </w:pPr>
      <w:bookmarkStart w:id="734" w:name="_Toc440981871"/>
      <w:r w:rsidRPr="00CE0885">
        <w:t>whether the proposed contractor is a company:</w:t>
      </w:r>
      <w:bookmarkEnd w:id="734"/>
    </w:p>
    <w:p w14:paraId="311EE90D" w14:textId="77777777" w:rsidR="00977693" w:rsidRPr="001A315E" w:rsidRDefault="00977693" w:rsidP="005A7DDA">
      <w:pPr>
        <w:pStyle w:val="ListParagraph"/>
        <w:widowControl w:val="0"/>
        <w:numPr>
          <w:ilvl w:val="0"/>
          <w:numId w:val="106"/>
        </w:numPr>
        <w:tabs>
          <w:tab w:val="left" w:pos="3261"/>
        </w:tabs>
        <w:spacing w:line="360" w:lineRule="auto"/>
        <w:jc w:val="both"/>
        <w:outlineLvl w:val="3"/>
        <w:rPr>
          <w:rFonts w:cs="Arial"/>
          <w:bCs w:val="0"/>
          <w:szCs w:val="24"/>
          <w:lang w:eastAsia="en-GB"/>
        </w:rPr>
      </w:pPr>
      <w:r w:rsidRPr="001A315E">
        <w:rPr>
          <w:rFonts w:cs="Arial"/>
          <w:bCs w:val="0"/>
          <w:szCs w:val="24"/>
          <w:lang w:eastAsia="en-GB"/>
        </w:rPr>
        <w:t>but is not registered with Companies House (the contractor may take the view that this cannot be finalised until agreement in principle has been given by the Commissioner);</w:t>
      </w:r>
    </w:p>
    <w:p w14:paraId="09DF5D7C" w14:textId="77777777" w:rsidR="00977693" w:rsidRPr="001A315E" w:rsidRDefault="00977693" w:rsidP="005A7DDA">
      <w:pPr>
        <w:pStyle w:val="ListParagraph"/>
        <w:widowControl w:val="0"/>
        <w:numPr>
          <w:ilvl w:val="0"/>
          <w:numId w:val="106"/>
        </w:numPr>
        <w:tabs>
          <w:tab w:val="left" w:pos="3261"/>
        </w:tabs>
        <w:spacing w:line="360" w:lineRule="auto"/>
        <w:jc w:val="both"/>
        <w:outlineLvl w:val="3"/>
        <w:rPr>
          <w:rFonts w:cs="Arial"/>
          <w:bCs w:val="0"/>
          <w:szCs w:val="24"/>
          <w:lang w:eastAsia="en-GB"/>
        </w:rPr>
      </w:pPr>
      <w:r w:rsidRPr="001A315E">
        <w:rPr>
          <w:rFonts w:cs="Arial"/>
          <w:bCs w:val="0"/>
          <w:szCs w:val="24"/>
          <w:lang w:eastAsia="en-GB"/>
        </w:rPr>
        <w:t>and any director of the company has been disqualified from another registered company (check Insolvency Website and Companies House Disqualified Directors);</w:t>
      </w:r>
    </w:p>
    <w:p w14:paraId="591215A4" w14:textId="77777777" w:rsidR="00977693" w:rsidRPr="00CE0885" w:rsidRDefault="00977693" w:rsidP="00FA6A70">
      <w:pPr>
        <w:pStyle w:val="Heading4"/>
      </w:pPr>
      <w:bookmarkStart w:id="735" w:name="_Toc440981872"/>
      <w:r w:rsidRPr="00CE0885">
        <w:t>an unsatisfactory Disclosure and Barring Scheme;</w:t>
      </w:r>
      <w:bookmarkEnd w:id="735"/>
    </w:p>
    <w:p w14:paraId="25D52C3E" w14:textId="77777777" w:rsidR="00977693" w:rsidRPr="00CE0885" w:rsidRDefault="00977693" w:rsidP="00FA6A70">
      <w:pPr>
        <w:pStyle w:val="Heading4"/>
      </w:pPr>
      <w:bookmarkStart w:id="736" w:name="_Toc440981873"/>
      <w:r w:rsidRPr="00CE0885">
        <w:t>whether the existing contractor has outstanding debts and whether novation is made conditional on repayment being made;</w:t>
      </w:r>
      <w:bookmarkEnd w:id="736"/>
    </w:p>
    <w:p w14:paraId="7E0EFD11" w14:textId="77777777" w:rsidR="00977693" w:rsidRPr="00CE0885" w:rsidRDefault="00977693" w:rsidP="00FA6A70">
      <w:pPr>
        <w:pStyle w:val="Heading4"/>
      </w:pPr>
      <w:bookmarkStart w:id="737" w:name="_Toc440981874"/>
      <w:r w:rsidRPr="00CE0885">
        <w:t>whether the existing contractor has received a breach or remedial notice and whether novation is made conditional on the proposed contractor taking on the consequences of the notices, e.g. action the remedial activity; and/or</w:t>
      </w:r>
      <w:bookmarkEnd w:id="737"/>
    </w:p>
    <w:p w14:paraId="200F7E5F" w14:textId="77777777" w:rsidR="00977693" w:rsidRPr="00CE0885" w:rsidRDefault="00977693" w:rsidP="00FA6A70">
      <w:pPr>
        <w:pStyle w:val="Heading4"/>
      </w:pPr>
      <w:bookmarkStart w:id="738" w:name="_Toc440981875"/>
      <w:r w:rsidRPr="00CE0885">
        <w:t>whether the existing contractor has outstanding issues regarding CQC inspection or practice inspection by the Commissioner and whether the novation should be made conditional on those issues being resolved.</w:t>
      </w:r>
      <w:bookmarkEnd w:id="738"/>
    </w:p>
    <w:p w14:paraId="0D6FCC78" w14:textId="77777777" w:rsidR="00977693" w:rsidRPr="00CE0885" w:rsidRDefault="00977693" w:rsidP="006B781A">
      <w:pPr>
        <w:pStyle w:val="Heading3"/>
        <w:rPr>
          <w:lang w:eastAsia="en-GB"/>
        </w:rPr>
      </w:pPr>
      <w:bookmarkStart w:id="739" w:name="_Toc440981876"/>
      <w:r w:rsidRPr="00CE0885">
        <w:rPr>
          <w:lang w:eastAsia="en-GB"/>
        </w:rPr>
        <w:t>Requests for incorporation or dis-incorporation should be agreed with or without conditions unless there are concerns as to whether a request would present a benefit to patients or create a significant risk of successful procurement law challenge.</w:t>
      </w:r>
      <w:bookmarkEnd w:id="739"/>
    </w:p>
    <w:p w14:paraId="1503D5CA" w14:textId="77777777" w:rsidR="00977693" w:rsidRPr="00552572" w:rsidRDefault="00977693" w:rsidP="00552572">
      <w:pPr>
        <w:pStyle w:val="BodyText"/>
        <w:rPr>
          <w:b/>
          <w:sz w:val="24"/>
          <w:szCs w:val="24"/>
        </w:rPr>
      </w:pPr>
      <w:bookmarkStart w:id="740" w:name="_Toc440981877"/>
      <w:r w:rsidRPr="00552572">
        <w:rPr>
          <w:b/>
          <w:sz w:val="24"/>
          <w:szCs w:val="24"/>
        </w:rPr>
        <w:t>Agreeing the request</w:t>
      </w:r>
      <w:bookmarkEnd w:id="740"/>
    </w:p>
    <w:p w14:paraId="4F2D50B7" w14:textId="77777777" w:rsidR="00977693" w:rsidRPr="00CE0885" w:rsidRDefault="00977693" w:rsidP="006B781A">
      <w:pPr>
        <w:pStyle w:val="Heading3"/>
        <w:rPr>
          <w:lang w:eastAsia="en-GB"/>
        </w:rPr>
      </w:pPr>
      <w:bookmarkStart w:id="741" w:name="_Toc440981878"/>
      <w:r w:rsidRPr="00CE0885">
        <w:rPr>
          <w:lang w:eastAsia="en-GB"/>
        </w:rPr>
        <w:t>Where the Commissioner agrees the request, the original contract will be novated. Legal advice should be sought on whether a deed or a simple novation agreement should be used. A template letter is provided at Annex 12.</w:t>
      </w:r>
      <w:bookmarkEnd w:id="741"/>
    </w:p>
    <w:p w14:paraId="187E6E60" w14:textId="77777777" w:rsidR="00977693" w:rsidRPr="00CE0885" w:rsidRDefault="00977693" w:rsidP="006B781A">
      <w:pPr>
        <w:pStyle w:val="Heading3"/>
        <w:rPr>
          <w:lang w:eastAsia="en-GB"/>
        </w:rPr>
      </w:pPr>
      <w:bookmarkStart w:id="742" w:name="_Toc440981879"/>
      <w:r w:rsidRPr="00CE0885">
        <w:rPr>
          <w:lang w:eastAsia="en-GB"/>
        </w:rPr>
        <w:t>As a contract novation is technically termination of the original contract and replacing it with a new contract, the Commissioner must make appropriate arrangements for the termination of the original contract including:</w:t>
      </w:r>
      <w:bookmarkEnd w:id="742"/>
    </w:p>
    <w:p w14:paraId="455D0FF3" w14:textId="77777777" w:rsidR="00977693" w:rsidRPr="00CE0885" w:rsidRDefault="00977693" w:rsidP="00FA6A70">
      <w:pPr>
        <w:pStyle w:val="Heading4"/>
      </w:pPr>
      <w:bookmarkStart w:id="743" w:name="_Toc440981880"/>
      <w:r w:rsidRPr="00CE0885">
        <w:t>carrying out a financial reconciliation; and</w:t>
      </w:r>
      <w:bookmarkEnd w:id="743"/>
    </w:p>
    <w:p w14:paraId="1E39A429" w14:textId="77777777" w:rsidR="00977693" w:rsidRPr="00CE0885" w:rsidRDefault="00977693" w:rsidP="00FA6A70">
      <w:pPr>
        <w:pStyle w:val="Heading4"/>
      </w:pPr>
      <w:bookmarkStart w:id="744" w:name="_Toc440981881"/>
      <w:r w:rsidRPr="00CE0885">
        <w:t>any other requirements in the contract relating to termination.</w:t>
      </w:r>
      <w:bookmarkEnd w:id="744"/>
    </w:p>
    <w:p w14:paraId="245B8C4B" w14:textId="77777777" w:rsidR="00977693" w:rsidRPr="00CE0885" w:rsidRDefault="00977693" w:rsidP="006B781A">
      <w:pPr>
        <w:pStyle w:val="Heading3"/>
        <w:rPr>
          <w:lang w:val="de-DE" w:eastAsia="en-GB"/>
        </w:rPr>
      </w:pPr>
      <w:bookmarkStart w:id="745" w:name="_Toc440981882"/>
      <w:r w:rsidRPr="00CE0885">
        <w:rPr>
          <w:lang w:val="de-DE" w:eastAsia="en-GB"/>
        </w:rPr>
        <w:t>The Commissinoer will need to agree a new contract with the new contractor which may vary from the original contract in terms of services provided and any other changes agreed.</w:t>
      </w:r>
      <w:bookmarkEnd w:id="745"/>
    </w:p>
    <w:p w14:paraId="6721D317" w14:textId="77777777" w:rsidR="00977693" w:rsidRPr="00CE0885" w:rsidRDefault="00977693" w:rsidP="006B781A">
      <w:pPr>
        <w:pStyle w:val="Heading3"/>
        <w:rPr>
          <w:lang w:val="de-DE" w:eastAsia="en-GB"/>
        </w:rPr>
      </w:pPr>
      <w:bookmarkStart w:id="746" w:name="_Toc440981883"/>
      <w:r w:rsidRPr="00CE0885">
        <w:rPr>
          <w:lang w:eastAsia="en-GB"/>
        </w:rPr>
        <w:t>Where the request is for incorporation, the new contractor will be a body corporate and the Commissioner should consider whether it is appropriate to require that the new contract contains a change of control clause. Such a clause requires the contractor to notify the Commissioner where there is a change in ownership or control of the contractor. Legal advice should be sought on the wording of the change of control clause. Where a contract contains such a clause and the Commissioner does not consent to the change but the contractor proceeds anyway, the Commissioner may issue a Remedial Notice.</w:t>
      </w:r>
      <w:bookmarkEnd w:id="746"/>
    </w:p>
    <w:p w14:paraId="17ABFBE4" w14:textId="77777777" w:rsidR="00977693" w:rsidRPr="00CE0885" w:rsidRDefault="00977693" w:rsidP="006B781A">
      <w:pPr>
        <w:pStyle w:val="Heading3"/>
        <w:rPr>
          <w:lang w:eastAsia="en-GB"/>
        </w:rPr>
      </w:pPr>
      <w:bookmarkStart w:id="747" w:name="_Toc440981884"/>
      <w:r w:rsidRPr="00CE0885">
        <w:rPr>
          <w:lang w:eastAsia="en-GB"/>
        </w:rPr>
        <w:t>Commencement of the new contract should be made conditional on the new contractor being CQC registered.  The CQC cannot provide the Notification of Decision until the date of commencement is agreed. The contractor should, however, provide the Commissioner with written confirmation from the CQC that the CQC does not intend to impose any restrictions on registration of the new contractor.</w:t>
      </w:r>
      <w:bookmarkEnd w:id="747"/>
    </w:p>
    <w:p w14:paraId="3BEB07D6" w14:textId="77777777" w:rsidR="00977693" w:rsidRPr="00CE0885" w:rsidRDefault="00977693" w:rsidP="003331F2">
      <w:pPr>
        <w:pStyle w:val="BodyText"/>
      </w:pPr>
    </w:p>
    <w:p w14:paraId="42986473" w14:textId="77777777" w:rsidR="00977693" w:rsidRPr="00CE5A3A" w:rsidRDefault="00977693" w:rsidP="00CE5A3A">
      <w:pPr>
        <w:pStyle w:val="BodyText"/>
        <w:rPr>
          <w:b/>
          <w:sz w:val="24"/>
          <w:szCs w:val="24"/>
        </w:rPr>
      </w:pPr>
      <w:bookmarkStart w:id="748" w:name="_Toc440981885"/>
      <w:r w:rsidRPr="00CE5A3A">
        <w:rPr>
          <w:b/>
          <w:sz w:val="24"/>
          <w:szCs w:val="24"/>
        </w:rPr>
        <w:t>Disputes</w:t>
      </w:r>
      <w:bookmarkEnd w:id="748"/>
    </w:p>
    <w:p w14:paraId="6B526318" w14:textId="7E3C34FC" w:rsidR="00977693" w:rsidRPr="00CE0885" w:rsidRDefault="00977693" w:rsidP="006B781A">
      <w:pPr>
        <w:pStyle w:val="Heading3"/>
        <w:rPr>
          <w:lang w:eastAsia="en-GB"/>
        </w:rPr>
      </w:pPr>
      <w:bookmarkStart w:id="749" w:name="_Toc440981886"/>
      <w:r w:rsidRPr="00CE0885">
        <w:rPr>
          <w:lang w:eastAsia="en-GB"/>
        </w:rPr>
        <w:t xml:space="preserve">Where the contractor does not agree with the Commissioner's decision, the contractor may appeal the decision. Please refer to </w:t>
      </w:r>
      <w:r w:rsidR="00965C81">
        <w:rPr>
          <w:lang w:eastAsia="en-GB"/>
        </w:rPr>
        <w:t>the chapter on</w:t>
      </w:r>
      <w:r w:rsidRPr="00CE0885">
        <w:rPr>
          <w:lang w:eastAsia="en-GB"/>
        </w:rPr>
        <w:t xml:space="preserve"> managing disputes for further information.</w:t>
      </w:r>
      <w:bookmarkEnd w:id="749"/>
      <w:r w:rsidRPr="00CE0885">
        <w:rPr>
          <w:lang w:eastAsia="en-GB"/>
        </w:rPr>
        <w:t xml:space="preserve">  </w:t>
      </w:r>
    </w:p>
    <w:p w14:paraId="52B08F52" w14:textId="77777777" w:rsidR="00977693" w:rsidRPr="00CE0885" w:rsidRDefault="00977693" w:rsidP="003331F2">
      <w:pPr>
        <w:pStyle w:val="BodyText"/>
      </w:pPr>
    </w:p>
    <w:p w14:paraId="5A772384" w14:textId="77777777" w:rsidR="00977693" w:rsidRPr="00CE5A3A" w:rsidRDefault="00977693" w:rsidP="00CE5A3A">
      <w:pPr>
        <w:pStyle w:val="BodyText"/>
        <w:rPr>
          <w:b/>
          <w:sz w:val="24"/>
          <w:szCs w:val="24"/>
        </w:rPr>
      </w:pPr>
      <w:bookmarkStart w:id="750" w:name="_Toc440981887"/>
      <w:r w:rsidRPr="00CE5A3A">
        <w:rPr>
          <w:b/>
          <w:sz w:val="24"/>
          <w:szCs w:val="24"/>
        </w:rPr>
        <w:t>Payment system requirements</w:t>
      </w:r>
      <w:bookmarkEnd w:id="750"/>
    </w:p>
    <w:p w14:paraId="279A59EB" w14:textId="77777777" w:rsidR="00977693" w:rsidRDefault="00977693" w:rsidP="006B781A">
      <w:pPr>
        <w:pStyle w:val="Heading3"/>
        <w:rPr>
          <w:lang w:eastAsia="en-GB"/>
        </w:rPr>
      </w:pPr>
      <w:bookmarkStart w:id="751" w:name="_Toc440981888"/>
      <w:r w:rsidRPr="00CE0885">
        <w:rPr>
          <w:lang w:eastAsia="en-GB"/>
        </w:rPr>
        <w:t>Following the commissioner's decision, any changes to the contracts must be made on the relevant payment and contract management systems.</w:t>
      </w:r>
      <w:bookmarkEnd w:id="751"/>
      <w:r w:rsidRPr="00CE0885">
        <w:rPr>
          <w:lang w:eastAsia="en-GB"/>
        </w:rPr>
        <w:t xml:space="preserve"> </w:t>
      </w:r>
    </w:p>
    <w:p w14:paraId="0E4DB7BB" w14:textId="77777777" w:rsidR="001A315E" w:rsidRPr="001A315E" w:rsidRDefault="001A315E" w:rsidP="001A315E">
      <w:pPr>
        <w:rPr>
          <w:lang w:eastAsia="en-GB"/>
        </w:rPr>
      </w:pPr>
    </w:p>
    <w:p w14:paraId="6778537A" w14:textId="77777777" w:rsidR="00977693" w:rsidRDefault="00977693" w:rsidP="00202DD3">
      <w:pPr>
        <w:pStyle w:val="Heading2"/>
        <w:rPr>
          <w:lang w:eastAsia="en-GB"/>
        </w:rPr>
      </w:pPr>
      <w:bookmarkStart w:id="752" w:name="_Toc440981889"/>
      <w:bookmarkStart w:id="753" w:name="_Toc498495396"/>
      <w:r w:rsidRPr="00CE0885">
        <w:rPr>
          <w:lang w:eastAsia="en-GB"/>
        </w:rPr>
        <w:t>Practice Mergers and/or Contractual Mergers</w:t>
      </w:r>
      <w:bookmarkEnd w:id="752"/>
      <w:bookmarkEnd w:id="753"/>
    </w:p>
    <w:p w14:paraId="568E3874" w14:textId="77777777" w:rsidR="001A315E" w:rsidRPr="001A315E" w:rsidRDefault="001A315E" w:rsidP="001A315E">
      <w:pPr>
        <w:rPr>
          <w:lang w:eastAsia="en-GB"/>
        </w:rPr>
      </w:pPr>
    </w:p>
    <w:p w14:paraId="0E2757A0" w14:textId="77777777" w:rsidR="00977693" w:rsidRPr="00CE0885" w:rsidRDefault="00977693" w:rsidP="006B781A">
      <w:pPr>
        <w:pStyle w:val="Heading3"/>
      </w:pPr>
      <w:bookmarkStart w:id="754" w:name="_Toc440981890"/>
      <w:r w:rsidRPr="00CE0885">
        <w:t>A GP or partnership may hold more than one form of primary care contract with a Commissioner.  For example a GMS contractor can also be a party under a PMS agreement and vice versa and/or a company may, for example  hold several GMS contracts.</w:t>
      </w:r>
    </w:p>
    <w:p w14:paraId="1659429C" w14:textId="77777777" w:rsidR="00977693" w:rsidRPr="00CE0885" w:rsidRDefault="00977693" w:rsidP="006B781A">
      <w:pPr>
        <w:pStyle w:val="Heading3"/>
      </w:pPr>
      <w:r w:rsidRPr="00CE0885">
        <w:t xml:space="preserve">This flexibility has enabled GP practices to come together in varying ways to provide support for each other, expand on the services available and/or resolve premises issues and achieve economies of scale, though each will have their own reasons for coming together. </w:t>
      </w:r>
    </w:p>
    <w:p w14:paraId="795D17F6" w14:textId="77777777" w:rsidR="00977693" w:rsidRPr="00CE0885" w:rsidRDefault="00977693" w:rsidP="006B781A">
      <w:pPr>
        <w:pStyle w:val="Heading3"/>
      </w:pPr>
      <w:r w:rsidRPr="00CE0885">
        <w:t>The overarching issues for the Commissioner to consider when any such proposal is made are the benefits to patients and the financial implications of the practice merger.</w:t>
      </w:r>
    </w:p>
    <w:p w14:paraId="036D288A" w14:textId="77777777" w:rsidR="00977693" w:rsidRPr="00B30FA5" w:rsidRDefault="00977693" w:rsidP="00B30FA5">
      <w:pPr>
        <w:pStyle w:val="BodyText"/>
        <w:rPr>
          <w:b/>
          <w:sz w:val="24"/>
          <w:szCs w:val="24"/>
        </w:rPr>
      </w:pPr>
      <w:r w:rsidRPr="00B30FA5">
        <w:rPr>
          <w:b/>
          <w:sz w:val="24"/>
          <w:szCs w:val="24"/>
        </w:rPr>
        <w:t>Practice merger models</w:t>
      </w:r>
    </w:p>
    <w:p w14:paraId="0DB8E677" w14:textId="77777777" w:rsidR="00977693" w:rsidRPr="00CE0885" w:rsidRDefault="00977693" w:rsidP="006B781A">
      <w:pPr>
        <w:pStyle w:val="Heading3"/>
      </w:pPr>
      <w:r w:rsidRPr="00CE0885">
        <w:t>There are many ways in which practices may seek to come together.  The most common are listed below but Commissioners should recognise that a proposed practice merger may fall into one or more of the models below or may propose a different approach:</w:t>
      </w:r>
    </w:p>
    <w:p w14:paraId="096E1CC7" w14:textId="77777777" w:rsidR="00977693" w:rsidRPr="00FA6A70" w:rsidRDefault="00977693" w:rsidP="00FA6A70">
      <w:pPr>
        <w:pStyle w:val="Heading4"/>
        <w:rPr>
          <w:b/>
        </w:rPr>
      </w:pPr>
      <w:r w:rsidRPr="00FA6A70">
        <w:rPr>
          <w:b/>
        </w:rPr>
        <w:t xml:space="preserve">Model 1: GP providers agree loose arrangements such as sharing back office functions or management staff or may even create a new legal entity to manage and oversee the delivery of services under the GP contracts. </w:t>
      </w:r>
      <w:bookmarkStart w:id="755" w:name="NHS_England_only_has_to_have_regard_to_t"/>
      <w:bookmarkEnd w:id="755"/>
      <w:r w:rsidRPr="00FA6A70">
        <w:rPr>
          <w:b/>
        </w:rPr>
        <w:t xml:space="preserve"> This is not a formal merger and the contracts with the Commissioner will not change (this model is often referred to as a contractual joint venture).</w:t>
      </w:r>
    </w:p>
    <w:p w14:paraId="6052C4F3" w14:textId="77777777" w:rsidR="00977693" w:rsidRPr="00FA6A70" w:rsidRDefault="00977693" w:rsidP="00FA6A70">
      <w:pPr>
        <w:pStyle w:val="Heading4"/>
        <w:rPr>
          <w:b/>
        </w:rPr>
      </w:pPr>
      <w:r w:rsidRPr="00FA6A70">
        <w:rPr>
          <w:b/>
        </w:rPr>
        <w:t>Model 2: The GP partners from Practice A may join the partnership of Practice B and vice versa. The new partnership may continue to hold the two separate contracts but will have merged at an operational level.</w:t>
      </w:r>
    </w:p>
    <w:p w14:paraId="625A8321" w14:textId="77777777" w:rsidR="00977693" w:rsidRPr="00FA6A70" w:rsidRDefault="00977693" w:rsidP="00FA6A70">
      <w:pPr>
        <w:pStyle w:val="Heading4"/>
        <w:rPr>
          <w:b/>
        </w:rPr>
      </w:pPr>
      <w:r w:rsidRPr="00FA6A70">
        <w:rPr>
          <w:b/>
        </w:rPr>
        <w:t>Model 3: GP partners from Practice A join the partnership of Practice B and Practice A ceases trading.  The Commissioner terminates Practice A's contract and varies Practice B's contract to include the services originally provided by Practice A.  This may happen with more than two practices so that the larger partnership holds one larger contract for services originally provided by a number of practices under a number of contracts.  The parties are likely to enter into a business transfer agreement for the transfer of assets and staff.</w:t>
      </w:r>
    </w:p>
    <w:p w14:paraId="4565758F" w14:textId="77777777" w:rsidR="00977693" w:rsidRPr="00FA6A70" w:rsidRDefault="00977693" w:rsidP="00FA6A70">
      <w:pPr>
        <w:pStyle w:val="Heading4"/>
        <w:rPr>
          <w:b/>
        </w:rPr>
      </w:pPr>
      <w:r w:rsidRPr="00FA6A70">
        <w:rPr>
          <w:b/>
        </w:rPr>
        <w:t>Model 4: GP providers come together to create a new legal entity (for example, the GP partners become shareholders of a new company limited by shares).  This may involve:</w:t>
      </w:r>
    </w:p>
    <w:p w14:paraId="605BD05B" w14:textId="77777777" w:rsidR="00977693" w:rsidRPr="00CE0885" w:rsidRDefault="00977693" w:rsidP="005A7DDA">
      <w:pPr>
        <w:pStyle w:val="Heading5"/>
        <w:numPr>
          <w:ilvl w:val="0"/>
          <w:numId w:val="104"/>
        </w:numPr>
      </w:pPr>
      <w:r w:rsidRPr="00CE0885">
        <w:t>novating the existing GP contracts to the new entity;</w:t>
      </w:r>
    </w:p>
    <w:p w14:paraId="3D5511FE" w14:textId="77777777" w:rsidR="00977693" w:rsidRPr="00CE0885" w:rsidRDefault="00977693" w:rsidP="005A7DDA">
      <w:pPr>
        <w:pStyle w:val="Heading5"/>
        <w:numPr>
          <w:ilvl w:val="0"/>
          <w:numId w:val="104"/>
        </w:numPr>
      </w:pPr>
      <w:r w:rsidRPr="00CE0885">
        <w:t>terminating the majority of the existing GP contracts and varying one to include all existing services; or</w:t>
      </w:r>
    </w:p>
    <w:p w14:paraId="03A01C70" w14:textId="77777777" w:rsidR="00977693" w:rsidRPr="00CE0885" w:rsidRDefault="00977693" w:rsidP="005A7DDA">
      <w:pPr>
        <w:pStyle w:val="Heading5"/>
        <w:numPr>
          <w:ilvl w:val="0"/>
          <w:numId w:val="104"/>
        </w:numPr>
      </w:pPr>
      <w:r w:rsidRPr="00CE0885">
        <w:t>terminating the existing GP contracts and directly awarding a new contract to the new entity.</w:t>
      </w:r>
    </w:p>
    <w:p w14:paraId="306F9C07" w14:textId="77777777" w:rsidR="00977693" w:rsidRPr="00CE0885" w:rsidRDefault="00977693" w:rsidP="006B781A">
      <w:pPr>
        <w:pStyle w:val="Heading3"/>
      </w:pPr>
      <w:r w:rsidRPr="00CE0885">
        <w:t>Practice mergers can be complex matters which should not be approached lightly by either the contractors or the Commissioner.  Where a practice merger requires amendments to the practice contracts, the final commissioning decision on whether contracts should be amended to effect the proposed merger, lies with the Commissioner and there are a number of important issues that would need to be considered, prior to giving consent. An overview of the potential issues is set out below. This is by no means an exhaustive list and the Commissioner should refer to and seek appropriate guidance in each case to ensure that all relevant matters are considered.</w:t>
      </w:r>
    </w:p>
    <w:p w14:paraId="44C179E1" w14:textId="77777777" w:rsidR="00977693" w:rsidRPr="00B30FA5" w:rsidRDefault="00977693" w:rsidP="00B30FA5">
      <w:pPr>
        <w:pStyle w:val="BodyText"/>
        <w:rPr>
          <w:b/>
          <w:sz w:val="24"/>
          <w:szCs w:val="24"/>
        </w:rPr>
      </w:pPr>
      <w:r w:rsidRPr="00B30FA5">
        <w:rPr>
          <w:b/>
          <w:sz w:val="24"/>
          <w:szCs w:val="24"/>
        </w:rPr>
        <w:t xml:space="preserve">Benefits to patients </w:t>
      </w:r>
    </w:p>
    <w:p w14:paraId="4D6D9590" w14:textId="77777777" w:rsidR="00977693" w:rsidRPr="00CE0885" w:rsidRDefault="00977693" w:rsidP="006B781A">
      <w:pPr>
        <w:pStyle w:val="Heading3"/>
      </w:pPr>
      <w:r w:rsidRPr="00CE0885">
        <w:t xml:space="preserve">The Commissioner should consider the following matters in relation to the effect of the proposed practice merger on patients: </w:t>
      </w:r>
    </w:p>
    <w:p w14:paraId="000F9394" w14:textId="77777777" w:rsidR="00977693" w:rsidRPr="00FA6A70" w:rsidRDefault="00977693" w:rsidP="00FA6A70">
      <w:pPr>
        <w:pStyle w:val="Heading4"/>
        <w:rPr>
          <w:b/>
        </w:rPr>
      </w:pPr>
      <w:r w:rsidRPr="00FA6A70">
        <w:rPr>
          <w:b/>
        </w:rPr>
        <w:t>how patients would access a single service;</w:t>
      </w:r>
    </w:p>
    <w:p w14:paraId="709D3535" w14:textId="77777777" w:rsidR="00977693" w:rsidRPr="00FA6A70" w:rsidRDefault="00977693" w:rsidP="00FA6A70">
      <w:pPr>
        <w:pStyle w:val="Heading4"/>
        <w:rPr>
          <w:b/>
        </w:rPr>
      </w:pPr>
      <w:r w:rsidRPr="00FA6A70">
        <w:rPr>
          <w:b/>
        </w:rPr>
        <w:t>what would the practice boundary be (inner and outer);</w:t>
      </w:r>
    </w:p>
    <w:p w14:paraId="5A0F250B" w14:textId="77777777" w:rsidR="00977693" w:rsidRPr="00FA6A70" w:rsidRDefault="00977693" w:rsidP="00FA6A70">
      <w:pPr>
        <w:pStyle w:val="Heading4"/>
        <w:rPr>
          <w:b/>
        </w:rPr>
      </w:pPr>
      <w:r w:rsidRPr="00FA6A70">
        <w:rPr>
          <w:b/>
        </w:rPr>
        <w:t>assurances that all patients will access a single service with consistency across provision, i.e. home visits, booking appointments, essential and additional services, opening hours, extended hours, and so on, single IT and phone system;</w:t>
      </w:r>
    </w:p>
    <w:p w14:paraId="120D091D" w14:textId="77777777" w:rsidR="00977693" w:rsidRPr="00FA6A70" w:rsidRDefault="00977693" w:rsidP="00FA6A70">
      <w:pPr>
        <w:pStyle w:val="Heading4"/>
        <w:rPr>
          <w:b/>
        </w:rPr>
      </w:pPr>
      <w:r w:rsidRPr="00FA6A70">
        <w:rPr>
          <w:b/>
        </w:rPr>
        <w:t>premises arrangements and accessibility of those premises to patients; and</w:t>
      </w:r>
    </w:p>
    <w:p w14:paraId="19236984" w14:textId="77777777" w:rsidR="00977693" w:rsidRPr="00FA6A70" w:rsidRDefault="00977693" w:rsidP="00FA6A70">
      <w:pPr>
        <w:pStyle w:val="Heading4"/>
        <w:rPr>
          <w:b/>
        </w:rPr>
      </w:pPr>
      <w:r w:rsidRPr="00FA6A70">
        <w:rPr>
          <w:b/>
        </w:rPr>
        <w:t>proposed arrangements for involving the patients about the proposed changes, communicating the change to patients and ensuring patient choice throughout.</w:t>
      </w:r>
    </w:p>
    <w:p w14:paraId="7E93A778" w14:textId="77777777" w:rsidR="00977693" w:rsidRPr="00B30FA5" w:rsidRDefault="00977693" w:rsidP="00B30FA5">
      <w:pPr>
        <w:pStyle w:val="BodyText"/>
        <w:rPr>
          <w:b/>
          <w:sz w:val="24"/>
          <w:szCs w:val="24"/>
        </w:rPr>
      </w:pPr>
      <w:r w:rsidRPr="00B30FA5">
        <w:rPr>
          <w:b/>
          <w:sz w:val="24"/>
          <w:szCs w:val="24"/>
        </w:rPr>
        <w:t xml:space="preserve">Costs/value for money </w:t>
      </w:r>
    </w:p>
    <w:p w14:paraId="018CA17B" w14:textId="77777777" w:rsidR="00977693" w:rsidRPr="00CE0885" w:rsidRDefault="00977693" w:rsidP="006B781A">
      <w:pPr>
        <w:pStyle w:val="Heading3"/>
      </w:pPr>
      <w:r w:rsidRPr="00CE0885">
        <w:t>A contract merger is likely to merge two contracts with differing values, this would have an ‘averaging’ effect, possibly resulting in a higher cost per head of population under a single contract than the Commissioner would have expected. For example:</w:t>
      </w:r>
    </w:p>
    <w:p w14:paraId="0B1B9AF8" w14:textId="77777777" w:rsidR="00977693" w:rsidRPr="00FA6A70" w:rsidRDefault="00977693" w:rsidP="00FA6A70">
      <w:pPr>
        <w:pStyle w:val="Heading4"/>
        <w:rPr>
          <w:b/>
        </w:rPr>
      </w:pPr>
      <w:r w:rsidRPr="00FA6A70">
        <w:rPr>
          <w:b/>
        </w:rPr>
        <w:t>practice A attracts £120 per patient with a list size is 1,400;</w:t>
      </w:r>
    </w:p>
    <w:p w14:paraId="3D14C0CF" w14:textId="77777777" w:rsidR="00977693" w:rsidRPr="00FA6A70" w:rsidRDefault="00977693" w:rsidP="00FA6A70">
      <w:pPr>
        <w:pStyle w:val="Heading4"/>
        <w:rPr>
          <w:b/>
        </w:rPr>
      </w:pPr>
      <w:r w:rsidRPr="00FA6A70">
        <w:rPr>
          <w:b/>
        </w:rPr>
        <w:t>practice B attracts only £90 per patient but has a list size of 5,000;</w:t>
      </w:r>
    </w:p>
    <w:p w14:paraId="6035AAB0" w14:textId="77777777" w:rsidR="00977693" w:rsidRPr="00FA6A70" w:rsidRDefault="00977693" w:rsidP="00FA6A70">
      <w:pPr>
        <w:pStyle w:val="Heading4"/>
        <w:rPr>
          <w:b/>
        </w:rPr>
      </w:pPr>
      <w:r w:rsidRPr="00FA6A70">
        <w:rPr>
          <w:b/>
        </w:rPr>
        <w:t>practice A’s contract value by registered population = £168,000;</w:t>
      </w:r>
    </w:p>
    <w:p w14:paraId="05E2103C" w14:textId="77777777" w:rsidR="00977693" w:rsidRPr="00FA6A70" w:rsidRDefault="00977693" w:rsidP="00FA6A70">
      <w:pPr>
        <w:pStyle w:val="Heading4"/>
        <w:rPr>
          <w:b/>
        </w:rPr>
      </w:pPr>
      <w:r w:rsidRPr="00FA6A70">
        <w:rPr>
          <w:b/>
        </w:rPr>
        <w:t>practice B’s contract value by registered population = £450,000;</w:t>
      </w:r>
    </w:p>
    <w:p w14:paraId="4C958FA9" w14:textId="77777777" w:rsidR="00977693" w:rsidRPr="00FA6A70" w:rsidRDefault="00977693" w:rsidP="00FA6A70">
      <w:pPr>
        <w:pStyle w:val="Heading4"/>
        <w:rPr>
          <w:b/>
        </w:rPr>
      </w:pPr>
      <w:r w:rsidRPr="00FA6A70">
        <w:rPr>
          <w:b/>
        </w:rPr>
        <w:t>total cost to the Commissioner = £618,000;</w:t>
      </w:r>
    </w:p>
    <w:p w14:paraId="20B51346" w14:textId="2810DE0A" w:rsidR="00977693" w:rsidRPr="00FA6A70" w:rsidRDefault="00977693" w:rsidP="00FA6A70">
      <w:pPr>
        <w:pStyle w:val="Heading4"/>
        <w:rPr>
          <w:b/>
        </w:rPr>
      </w:pPr>
      <w:r w:rsidRPr="00FA6A70">
        <w:rPr>
          <w:b/>
        </w:rPr>
        <w:t>a merger would result in a list size of 6,400 patients</w:t>
      </w:r>
      <w:r w:rsidR="00CF37FA">
        <w:rPr>
          <w:b/>
        </w:rPr>
        <w:t xml:space="preserve"> and as result the </w:t>
      </w:r>
      <w:r w:rsidRPr="00FA6A70">
        <w:rPr>
          <w:b/>
        </w:rPr>
        <w:t xml:space="preserve">per patient cost </w:t>
      </w:r>
      <w:r w:rsidR="00CF37FA">
        <w:rPr>
          <w:b/>
        </w:rPr>
        <w:t>would require renegotiation</w:t>
      </w:r>
    </w:p>
    <w:p w14:paraId="5DB125D7" w14:textId="77777777" w:rsidR="00977693" w:rsidRPr="00CE0885" w:rsidRDefault="00977693" w:rsidP="006B781A">
      <w:pPr>
        <w:pStyle w:val="Heading3"/>
      </w:pPr>
      <w:r w:rsidRPr="00CE0885">
        <w:t>There may be other financial arrangements that need to be considered including but not limited to:</w:t>
      </w:r>
    </w:p>
    <w:p w14:paraId="700598E5" w14:textId="77777777" w:rsidR="00977693" w:rsidRPr="00FA6A70" w:rsidRDefault="00977693" w:rsidP="00FA6A70">
      <w:pPr>
        <w:pStyle w:val="Heading4"/>
        <w:rPr>
          <w:b/>
        </w:rPr>
      </w:pPr>
      <w:r w:rsidRPr="00FA6A70">
        <w:rPr>
          <w:b/>
        </w:rPr>
        <w:t>the impact of directions under the Statement of Financial Entitlements, or any specific terms included in the individual contracts;</w:t>
      </w:r>
    </w:p>
    <w:p w14:paraId="21C789B2" w14:textId="77777777" w:rsidR="00977693" w:rsidRPr="00FA6A70" w:rsidRDefault="00977693" w:rsidP="00FA6A70">
      <w:pPr>
        <w:pStyle w:val="Heading4"/>
        <w:rPr>
          <w:b/>
        </w:rPr>
      </w:pPr>
      <w:r w:rsidRPr="00FA6A70">
        <w:rPr>
          <w:b/>
        </w:rPr>
        <w:t>QOF - merging contracts midway through a financial year in respect of QOF achievements and payments is enormously complex and requires significant safeguards to be built in to ensure there is no duplication of payments at year-end. There will also be an averaging of the arrangements and achievements in this respect too. For example:</w:t>
      </w:r>
    </w:p>
    <w:p w14:paraId="7EFA38EB" w14:textId="77777777" w:rsidR="00977693" w:rsidRPr="009055A7" w:rsidRDefault="00977693" w:rsidP="00977693">
      <w:pPr>
        <w:rPr>
          <w:rFonts w:cs="Arial"/>
          <w:szCs w:val="24"/>
        </w:rPr>
      </w:pPr>
    </w:p>
    <w:p w14:paraId="6066859B" w14:textId="77777777" w:rsidR="00977693" w:rsidRPr="00CE0885" w:rsidRDefault="00977693" w:rsidP="005A7DDA">
      <w:pPr>
        <w:pStyle w:val="Heading4"/>
        <w:numPr>
          <w:ilvl w:val="0"/>
          <w:numId w:val="105"/>
        </w:numPr>
      </w:pPr>
      <w:r w:rsidRPr="00CE0885">
        <w:t>practice A has always achieved highly against each indicator of QOF;</w:t>
      </w:r>
    </w:p>
    <w:p w14:paraId="58207D6C" w14:textId="77777777" w:rsidR="00977693" w:rsidRPr="00CE0885" w:rsidRDefault="00977693" w:rsidP="005A7DDA">
      <w:pPr>
        <w:pStyle w:val="Heading4"/>
        <w:numPr>
          <w:ilvl w:val="0"/>
          <w:numId w:val="105"/>
        </w:numPr>
      </w:pPr>
      <w:r w:rsidRPr="00CE0885">
        <w:t>practice B has struggled to meet the criteria under several of the indicators;</w:t>
      </w:r>
    </w:p>
    <w:p w14:paraId="71788A92" w14:textId="77777777" w:rsidR="00977693" w:rsidRPr="00CE0885" w:rsidRDefault="00977693" w:rsidP="005A7DDA">
      <w:pPr>
        <w:pStyle w:val="Heading4"/>
        <w:numPr>
          <w:ilvl w:val="0"/>
          <w:numId w:val="105"/>
        </w:numPr>
      </w:pPr>
      <w:r w:rsidRPr="00CE0885">
        <w:t>the results of a merger might be a single practice with mediocre achievement against aspirations and this would affect the aspirational payment that the single contract would attract; and</w:t>
      </w:r>
    </w:p>
    <w:p w14:paraId="38690A49" w14:textId="77777777" w:rsidR="00977693" w:rsidRPr="00FA6A70" w:rsidRDefault="00977693" w:rsidP="00FA6A70">
      <w:pPr>
        <w:pStyle w:val="Heading4"/>
        <w:rPr>
          <w:b/>
        </w:rPr>
      </w:pPr>
      <w:r w:rsidRPr="00FA6A70">
        <w:rPr>
          <w:b/>
        </w:rPr>
        <w:t>premises reimbursements.</w:t>
      </w:r>
    </w:p>
    <w:p w14:paraId="30BC671D" w14:textId="77777777" w:rsidR="00977693" w:rsidRPr="009055A7" w:rsidRDefault="00977693" w:rsidP="00977693">
      <w:pPr>
        <w:rPr>
          <w:rFonts w:cs="Arial"/>
          <w:szCs w:val="24"/>
        </w:rPr>
      </w:pPr>
    </w:p>
    <w:p w14:paraId="46CCA025" w14:textId="77777777" w:rsidR="00977693" w:rsidRDefault="00977693" w:rsidP="00977693">
      <w:pPr>
        <w:ind w:firstLine="720"/>
        <w:rPr>
          <w:rFonts w:cs="Arial"/>
          <w:szCs w:val="24"/>
        </w:rPr>
      </w:pPr>
      <w:r w:rsidRPr="00CE0885">
        <w:rPr>
          <w:rFonts w:cs="Arial"/>
          <w:szCs w:val="24"/>
        </w:rPr>
        <w:t>General duties of NHS England</w:t>
      </w:r>
    </w:p>
    <w:p w14:paraId="0CF24863" w14:textId="77777777" w:rsidR="00FA6A70" w:rsidRPr="00CE0885" w:rsidRDefault="00FA6A70" w:rsidP="00977693">
      <w:pPr>
        <w:ind w:firstLine="720"/>
        <w:rPr>
          <w:rFonts w:cs="Arial"/>
          <w:szCs w:val="24"/>
        </w:rPr>
      </w:pPr>
    </w:p>
    <w:p w14:paraId="332898C3" w14:textId="77777777" w:rsidR="00977693" w:rsidRPr="00CE0885" w:rsidRDefault="00977693" w:rsidP="006B781A">
      <w:pPr>
        <w:pStyle w:val="Heading3"/>
      </w:pPr>
      <w:r w:rsidRPr="00CE0885">
        <w:t xml:space="preserve">The general duties of NHS England/the Commissioner are likely to be relevant to a decision by the Commissioner to approve a practice merger that results in changes to the way services are delivered. </w:t>
      </w:r>
    </w:p>
    <w:p w14:paraId="37794B34" w14:textId="77777777" w:rsidR="00977693" w:rsidRPr="00CE0885" w:rsidRDefault="00977693" w:rsidP="006B781A">
      <w:pPr>
        <w:pStyle w:val="Heading3"/>
      </w:pPr>
      <w:r w:rsidRPr="00CE0885">
        <w:t>As set out in the relevant chapter on NHS England's general duties, section 13Q of the NHS Act 2006 requires NHS England to make arrangements to involve the public in the commissioning of services (see the box at the end of this section in relation to CCG duties). The requirements are triggered if there are proposals that mean that patients would experience a change to the range of services available or the manner in which they are delivered (e.g. if a practice is closed following a practice merger).</w:t>
      </w:r>
    </w:p>
    <w:p w14:paraId="4346E5FA" w14:textId="77777777" w:rsidR="00977693" w:rsidRPr="00CE0885" w:rsidRDefault="00977693" w:rsidP="006B781A">
      <w:pPr>
        <w:pStyle w:val="Heading3"/>
      </w:pPr>
      <w:r w:rsidRPr="00CE0885">
        <w:t>As set out in the chapter on NHS England's general duties, NHS England has published guidance on section 13Q in the form of "The Statement of Arrangements &amp; Guidance on Patient and Public Participation in Commissioning" (the "Statement").</w:t>
      </w:r>
    </w:p>
    <w:p w14:paraId="11F18ABB" w14:textId="77777777" w:rsidR="00977693" w:rsidRPr="00CE0885" w:rsidRDefault="00977693" w:rsidP="006B781A">
      <w:pPr>
        <w:pStyle w:val="Heading3"/>
      </w:pPr>
      <w:r w:rsidRPr="00CE0885">
        <w:t>The Statement sets out that a change in the GP delivering the service is not usually enough to trigger the duty but that care must be taken if a change in personnel makes services less accessible to patient groups (e.g. because patients wish to be treated by someone of the same religion and gender as them). Where a practice merger may result in a change of the personnel delivering the service, the Commissioner should be alert to this.</w:t>
      </w:r>
    </w:p>
    <w:p w14:paraId="7A63D26A" w14:textId="77777777" w:rsidR="00977693" w:rsidRPr="00CE0885" w:rsidRDefault="00977693" w:rsidP="006B781A">
      <w:pPr>
        <w:pStyle w:val="Heading3"/>
      </w:pPr>
      <w:r w:rsidRPr="00CE0885">
        <w:t>In practice, what will be sufficient in terms of patient involvement is very context specific. The extent of the patient engagement activities required will depend on a number of factors including the extent of the impact any changes will have. As a general rule, the greater the extent of changes and number of people affected, the greater the level of activity that is likely to be necessary to achieve an appropriate level of public involvement.</w:t>
      </w:r>
    </w:p>
    <w:p w14:paraId="628C2C55" w14:textId="77777777" w:rsidR="00977693" w:rsidRPr="00CE0885" w:rsidRDefault="00977693" w:rsidP="006B781A">
      <w:pPr>
        <w:pStyle w:val="Heading3"/>
      </w:pPr>
      <w:r w:rsidRPr="00CE0885">
        <w:t>Generally speaking, to meet the section 13Q duty, involvement needs to apply to and inform the whole decision making process, but this does not mean that patients need to be actively involved at every moment. Provided involvement is suitably built into the overall process, its timing can be arranged at stages to suit the Commissioner's decision-making processes. In particular, it is not necessary to involve patients immediately at the outset of any planning/consideration/decision making process in relation to any proposals of the commissioning of new services, provided patient involvement is planned for some early stage in the process. The plans for patient involvement should be clearly documented from the outset and the Commissioner should consider liaising with patient representative groups, such as local Healthwatch or the practices' patient participation group.</w:t>
      </w:r>
    </w:p>
    <w:p w14:paraId="368DB496" w14:textId="77777777" w:rsidR="00977693" w:rsidRPr="00CE0885" w:rsidRDefault="00977693" w:rsidP="006B781A">
      <w:pPr>
        <w:pStyle w:val="Heading3"/>
      </w:pPr>
      <w:r w:rsidRPr="00CE0885">
        <w:t>The timing of public involvement is again a matter of broad discretion for the Commissioner. However, any involvement should be meaningful. As such, the Commissioner should involve patients at the time proposals are developed and considered. Overall, it is helpful to bear in mind the "Gunning" principles (these are used to judge whether or not a consultation exercise has been "fair" but are useful when making arrangements for patient and public involvement), as follows:</w:t>
      </w:r>
    </w:p>
    <w:p w14:paraId="7555B40F" w14:textId="77777777" w:rsidR="00977693" w:rsidRPr="00CE0885" w:rsidRDefault="00977693" w:rsidP="005A7DDA">
      <w:pPr>
        <w:pStyle w:val="Heading3"/>
        <w:numPr>
          <w:ilvl w:val="0"/>
          <w:numId w:val="108"/>
        </w:numPr>
        <w:spacing w:before="200" w:after="60" w:line="240" w:lineRule="auto"/>
        <w:jc w:val="both"/>
        <w:rPr>
          <w:rFonts w:cs="Arial"/>
          <w:b/>
          <w:szCs w:val="24"/>
        </w:rPr>
      </w:pPr>
      <w:r w:rsidRPr="00CE0885">
        <w:rPr>
          <w:rFonts w:cs="Arial"/>
          <w:b/>
          <w:szCs w:val="24"/>
        </w:rPr>
        <w:t>Involvement should take place when the proposal is still at a formative stage;</w:t>
      </w:r>
    </w:p>
    <w:p w14:paraId="73E98DEB" w14:textId="77777777" w:rsidR="00977693" w:rsidRPr="00CE0885" w:rsidRDefault="00977693" w:rsidP="005A7DDA">
      <w:pPr>
        <w:pStyle w:val="Heading3"/>
        <w:numPr>
          <w:ilvl w:val="0"/>
          <w:numId w:val="108"/>
        </w:numPr>
        <w:spacing w:before="200" w:after="60" w:line="240" w:lineRule="auto"/>
        <w:jc w:val="both"/>
        <w:rPr>
          <w:rFonts w:cs="Arial"/>
          <w:b/>
          <w:szCs w:val="24"/>
        </w:rPr>
      </w:pPr>
      <w:r w:rsidRPr="00CE0885">
        <w:rPr>
          <w:rFonts w:cs="Arial"/>
          <w:b/>
          <w:szCs w:val="24"/>
        </w:rPr>
        <w:t>Sufficient information regarding the proposals should be provided, to allow meaningful involvement;</w:t>
      </w:r>
    </w:p>
    <w:p w14:paraId="61F674EB" w14:textId="77777777" w:rsidR="00977693" w:rsidRPr="00CE0885" w:rsidRDefault="00977693" w:rsidP="005A7DDA">
      <w:pPr>
        <w:pStyle w:val="Heading3"/>
        <w:numPr>
          <w:ilvl w:val="0"/>
          <w:numId w:val="108"/>
        </w:numPr>
        <w:spacing w:before="200" w:after="60" w:line="240" w:lineRule="auto"/>
        <w:jc w:val="both"/>
        <w:rPr>
          <w:rFonts w:cs="Arial"/>
          <w:b/>
          <w:szCs w:val="24"/>
        </w:rPr>
      </w:pPr>
      <w:r w:rsidRPr="00CE0885">
        <w:rPr>
          <w:rFonts w:cs="Arial"/>
          <w:b/>
          <w:szCs w:val="24"/>
        </w:rPr>
        <w:t>Adequate time should be given for consideration of the information provided and for response;</w:t>
      </w:r>
    </w:p>
    <w:p w14:paraId="46F041A6" w14:textId="77777777" w:rsidR="00977693" w:rsidRPr="00CE0885" w:rsidRDefault="00977693" w:rsidP="005A7DDA">
      <w:pPr>
        <w:pStyle w:val="Heading3"/>
        <w:numPr>
          <w:ilvl w:val="0"/>
          <w:numId w:val="108"/>
        </w:numPr>
        <w:spacing w:before="200" w:after="60" w:line="240" w:lineRule="auto"/>
        <w:jc w:val="both"/>
        <w:rPr>
          <w:rFonts w:cs="Arial"/>
          <w:b/>
          <w:szCs w:val="24"/>
        </w:rPr>
      </w:pPr>
      <w:r w:rsidRPr="00CE0885">
        <w:rPr>
          <w:rFonts w:cs="Arial"/>
          <w:b/>
          <w:szCs w:val="24"/>
        </w:rPr>
        <w:t>The product of the involvement should be conscientiously taken into account by the decision-maker.</w:t>
      </w:r>
    </w:p>
    <w:p w14:paraId="0A1354D3" w14:textId="77777777" w:rsidR="00977693" w:rsidRPr="00CE0885" w:rsidRDefault="00977693" w:rsidP="005A7DDA">
      <w:pPr>
        <w:pStyle w:val="Heading3"/>
        <w:numPr>
          <w:ilvl w:val="0"/>
          <w:numId w:val="108"/>
        </w:numPr>
        <w:spacing w:before="200" w:after="60" w:line="240" w:lineRule="auto"/>
        <w:jc w:val="both"/>
        <w:rPr>
          <w:rFonts w:cs="Arial"/>
          <w:b/>
          <w:szCs w:val="24"/>
        </w:rPr>
      </w:pPr>
      <w:r w:rsidRPr="00CE0885">
        <w:rPr>
          <w:rFonts w:cs="Arial"/>
          <w:b/>
          <w:szCs w:val="24"/>
        </w:rPr>
        <w:t>Separately, bearing in mind the Commissioner's equalities responsibilities, the Commissioner should consider carrying out an Equality Impact Assessment, to check whether any specific groups of people require specific or enhanced forms of involvement.</w:t>
      </w:r>
    </w:p>
    <w:p w14:paraId="22A9DC20" w14:textId="77777777" w:rsidR="00977693" w:rsidRPr="00B30FA5" w:rsidRDefault="00977693" w:rsidP="00B30FA5">
      <w:pPr>
        <w:pStyle w:val="BodyText"/>
        <w:rPr>
          <w:b/>
          <w:sz w:val="24"/>
          <w:szCs w:val="24"/>
        </w:rPr>
      </w:pPr>
      <w:r w:rsidRPr="00B30FA5">
        <w:rPr>
          <w:b/>
          <w:sz w:val="24"/>
          <w:szCs w:val="24"/>
        </w:rPr>
        <w:t>Competition</w:t>
      </w:r>
    </w:p>
    <w:p w14:paraId="696E7750" w14:textId="77777777" w:rsidR="00977693" w:rsidRPr="00CE0885" w:rsidRDefault="00977693" w:rsidP="006B781A">
      <w:pPr>
        <w:pStyle w:val="Heading3"/>
      </w:pPr>
      <w:r w:rsidRPr="00CE0885">
        <w:t>A key question in relation to whether a practice merger raises any competition issues is whether the GP practices cease to be distinct, since for merger control purposes, this means they have to be brought under some form of common ownership or common control. This could happen under certain types of merger model (for example, via a corporate structure), but by no means all.</w:t>
      </w:r>
    </w:p>
    <w:p w14:paraId="4DE42109" w14:textId="77777777" w:rsidR="00977693" w:rsidRPr="00CE0885" w:rsidRDefault="00977693" w:rsidP="006B781A">
      <w:pPr>
        <w:pStyle w:val="Heading3"/>
      </w:pPr>
      <w:r w:rsidRPr="00CE0885">
        <w:t>If no one party has a sufficient degree of ownership or control over the practice merger (usually via a shareholding exceeding 25%) then the whole arrangement would remain a contractual one. However, if a party has a 25% or more shareholding, a "relevant merger situation" could be created, meaning that the Competition and Markets Authority ("CMA") would then have the right to examine the practice merger, and whether it poses the risk of a substantial lessening of competition in any market in the UK. There are few recent competition decisions relating to practice mergers. In 2013 an arrangement between SSP Health Ltd and Sefton and Liverpool Primary Care Trust under which SSP Health managed and operated 22 GP practice in Merseyside was found not to be a relevant merger situation.</w:t>
      </w:r>
    </w:p>
    <w:p w14:paraId="43D44277" w14:textId="3A5D67F9" w:rsidR="00977693" w:rsidRPr="00CE0885" w:rsidRDefault="00977693" w:rsidP="006B781A">
      <w:pPr>
        <w:pStyle w:val="Heading3"/>
      </w:pPr>
      <w:r w:rsidRPr="00CE0885">
        <w:t>The outcome of any examination by the CMA is not easy to predict. However, in NHS hospital mergers the issue is usually whether, if the CMA identifies a risk of a substantial lessening of competition, that risk is counterbalanced by benefits for patients.</w:t>
      </w:r>
      <w:r w:rsidR="00B163FF">
        <w:t xml:space="preserve"> Therefore, the commissioner should clearly articulate the benefits of delivering Primary Care at scale in its Primary Care strategy.</w:t>
      </w:r>
    </w:p>
    <w:p w14:paraId="4106B429" w14:textId="77777777" w:rsidR="00977693" w:rsidRPr="00CE0885" w:rsidRDefault="00977693" w:rsidP="006B781A">
      <w:pPr>
        <w:pStyle w:val="Heading3"/>
      </w:pPr>
      <w:r w:rsidRPr="00CE0885">
        <w:t xml:space="preserve">Additionally there are competition law prohibitions on anti-competitive agreements and practice and the abuse of a dominant position. There is, however, some uncertainty as to how competition law applies in detail to the activities of GPs operating solely within an NHS contractual framework. </w:t>
      </w:r>
    </w:p>
    <w:p w14:paraId="393A5612" w14:textId="77777777" w:rsidR="00977693" w:rsidRPr="00CE0885" w:rsidRDefault="00977693" w:rsidP="006B781A">
      <w:pPr>
        <w:pStyle w:val="Heading3"/>
      </w:pPr>
      <w:r w:rsidRPr="00CE0885">
        <w:t>Competition law would most likely apply to the collaborative arrangements underpinning a practice merger where services could also be supplied by private sector operators. The main areas to watch would be to avoid any commercial restrictions agreed between GPs which go further than is strictly necessary to make the collaboration work; to keep the exchange of commercial and pricing information between GPs to the minimum; and (if a practice merger comes to have a very strong local position, giving it an effective monopoly) to avoid abusing that dominant position (by, for example, discriminating against private competitors, or otherwise behaving unfairly).</w:t>
      </w:r>
    </w:p>
    <w:p w14:paraId="0E04CDD4" w14:textId="77777777" w:rsidR="00977693" w:rsidRPr="00CE0885" w:rsidRDefault="00977693" w:rsidP="006B781A">
      <w:pPr>
        <w:pStyle w:val="Heading3"/>
      </w:pPr>
      <w:r w:rsidRPr="00CE0885">
        <w:t>The NHS (Procurement, Patient Choice and Competition) Regulations 2013 ("PPCC") (enforced by NHS Improvement) also require Commissioners not to engage in "anticompetitive behaviour" when commissioning health care services for the purposes of the NHS, unless to do so is in the interests of people who use the services. This includes where services are provided in an integrated way and when providers co-operate to provide the services to improve the quality of the services. The Commissioner should therefore consider, case-by-case, whether a merger is likely to improve the quality of the services and record this decision.</w:t>
      </w:r>
    </w:p>
    <w:p w14:paraId="6958F6F5" w14:textId="77777777" w:rsidR="00977693" w:rsidRPr="00CE0885" w:rsidRDefault="00977693" w:rsidP="006B781A">
      <w:pPr>
        <w:pStyle w:val="Heading3"/>
      </w:pPr>
      <w:r w:rsidRPr="00CE0885">
        <w:t>"Arrangements" for the provision of health care services for the purposes of the NHS must not include terms or conditions restricting competition which are not necessary to attain outcomes beneficial for the users of services, or to the general objective of procuring high quality health care services. Again, the Commissioner can assure itself that it is not in breach of this by always considering the impact on the quality of the services following a merger.</w:t>
      </w:r>
    </w:p>
    <w:p w14:paraId="15071702" w14:textId="77777777" w:rsidR="00977693" w:rsidRPr="00CE0885" w:rsidRDefault="00977693" w:rsidP="006B781A">
      <w:pPr>
        <w:pStyle w:val="Heading3"/>
      </w:pPr>
      <w:r w:rsidRPr="00CE0885">
        <w:t xml:space="preserve">The PPCC require the Commissioner to have regard to how it enables providers to compete to provide the services and allow patients a choice of provider of the services. Providing that the Commissioner considers this against the overall duty to improve the quality of services it will satisfy this requirement – this is not an absolute obligation to ensure that patients have a choice of provider. </w:t>
      </w:r>
    </w:p>
    <w:p w14:paraId="4C0A60D2" w14:textId="77777777" w:rsidR="00977693" w:rsidRPr="00CE0885" w:rsidRDefault="00977693" w:rsidP="006B781A">
      <w:pPr>
        <w:pStyle w:val="Heading3"/>
      </w:pPr>
      <w:r w:rsidRPr="00CE0885">
        <w:t>The Commissioner will be aware of its duty to ensure that it maintains a record of any contract award detailing how the award complies with its duties under sections 13D, 13E and 13N (for NHS England) and sections 14Q, 14R and 14Z1 (for CCGs) of the NHS Act 2006 (i.e. duties as to effectiveness, efficiency etc., improvement in quality of services and promoting integration). It is essential for the Commissioner to keep an audit trail of decisions made and have a clear approval process for mergers.</w:t>
      </w:r>
    </w:p>
    <w:p w14:paraId="453141DD" w14:textId="77777777" w:rsidR="00977693" w:rsidRPr="00CE0885" w:rsidRDefault="00977693" w:rsidP="006B781A">
      <w:pPr>
        <w:pStyle w:val="Heading3"/>
      </w:pPr>
      <w:r w:rsidRPr="00CE0885">
        <w:t>In addition to considering the changes that GP mergers bring to the provision of core primary care, the Commissioner also needs to consider the (potentially) dominant or strong market position of such GP providers in the market in respect of future opportunities. Currently core primary care services and locally enhanced services are dominated by GP providers but as new business models ("NBM") (for example, Multispecialty Community Providers (MCP) and Primary and Acute Care Systems (PACS)) are developed and put out to competition, large GP providers will be in a strong position to bid for these opportunities or partner with Trusts or other potential providers to form joint ventures to hold such contracts, restricting the available opportunities for other providers to provide services in that area.</w:t>
      </w:r>
    </w:p>
    <w:p w14:paraId="0DB89281" w14:textId="77777777" w:rsidR="00977693" w:rsidRPr="00CE0885" w:rsidRDefault="00977693" w:rsidP="006B781A">
      <w:pPr>
        <w:pStyle w:val="Heading3"/>
      </w:pPr>
      <w:r w:rsidRPr="00CE0885">
        <w:t>Not only could NBM contract-holders provide the majority of services in an area but they will be able to control the way that services are delivered, appointing subcontractors as required, and changing the scope of services to meet the contractual outcomes. This could put them in strong market positions, possibly creating local situations of dominance or monopoly. Under these circumstances, either NHS Improvement or the CMA may be alert to possible abuses of dominance, like long term exclusivity or discriminatory behaviour. The Commissioner will need to continue to monitor this position.</w:t>
      </w:r>
    </w:p>
    <w:p w14:paraId="7CD922D2" w14:textId="77777777" w:rsidR="00977693" w:rsidRPr="00422A0E" w:rsidRDefault="00977693" w:rsidP="00422A0E">
      <w:pPr>
        <w:pStyle w:val="BodyText"/>
        <w:rPr>
          <w:b/>
          <w:sz w:val="24"/>
          <w:szCs w:val="24"/>
        </w:rPr>
      </w:pPr>
      <w:r w:rsidRPr="00422A0E">
        <w:rPr>
          <w:b/>
          <w:sz w:val="24"/>
          <w:szCs w:val="24"/>
        </w:rPr>
        <w:t>Procurement</w:t>
      </w:r>
    </w:p>
    <w:p w14:paraId="3119C8D4" w14:textId="77777777" w:rsidR="00977693" w:rsidRPr="00CE0885" w:rsidRDefault="00977693" w:rsidP="006B781A">
      <w:pPr>
        <w:pStyle w:val="Heading3"/>
      </w:pPr>
      <w:r w:rsidRPr="00CE0885">
        <w:t>Practice mergers often require the Commissioner to either:</w:t>
      </w:r>
    </w:p>
    <w:p w14:paraId="453A2E47" w14:textId="77777777" w:rsidR="00977693" w:rsidRPr="00CE0885" w:rsidRDefault="00977693" w:rsidP="00836ECF">
      <w:pPr>
        <w:pStyle w:val="Heading3"/>
        <w:numPr>
          <w:ilvl w:val="2"/>
          <w:numId w:val="34"/>
        </w:numPr>
        <w:tabs>
          <w:tab w:val="clear" w:pos="0"/>
          <w:tab w:val="num" w:pos="2393"/>
        </w:tabs>
        <w:spacing w:before="200" w:after="60" w:line="240" w:lineRule="auto"/>
        <w:ind w:left="2393" w:hanging="953"/>
        <w:jc w:val="both"/>
        <w:rPr>
          <w:rFonts w:cs="Arial"/>
          <w:b/>
          <w:szCs w:val="24"/>
        </w:rPr>
      </w:pPr>
      <w:r w:rsidRPr="00CE0885">
        <w:rPr>
          <w:rFonts w:cs="Arial"/>
          <w:b/>
          <w:szCs w:val="24"/>
        </w:rPr>
        <w:t>mutually agree the termination of existing contracts and directly award a new contract to a new legal entity; or</w:t>
      </w:r>
    </w:p>
    <w:p w14:paraId="640E3BA6" w14:textId="77777777" w:rsidR="00977693" w:rsidRPr="00CE0885" w:rsidRDefault="00977693" w:rsidP="00836ECF">
      <w:pPr>
        <w:pStyle w:val="Heading3"/>
        <w:numPr>
          <w:ilvl w:val="2"/>
          <w:numId w:val="34"/>
        </w:numPr>
        <w:tabs>
          <w:tab w:val="clear" w:pos="0"/>
          <w:tab w:val="num" w:pos="2393"/>
        </w:tabs>
        <w:spacing w:before="200" w:after="60" w:line="240" w:lineRule="auto"/>
        <w:ind w:left="2393" w:hanging="953"/>
        <w:jc w:val="both"/>
        <w:rPr>
          <w:rFonts w:cs="Arial"/>
          <w:b/>
          <w:szCs w:val="24"/>
        </w:rPr>
      </w:pPr>
      <w:r w:rsidRPr="00CE0885">
        <w:rPr>
          <w:rFonts w:cs="Arial"/>
          <w:b/>
          <w:szCs w:val="24"/>
        </w:rPr>
        <w:t>terminate existing contracts and then significantly vary one contract to add all of the terminated services.</w:t>
      </w:r>
    </w:p>
    <w:p w14:paraId="111331B0" w14:textId="77777777" w:rsidR="00977693" w:rsidRPr="00CE0885" w:rsidRDefault="00977693" w:rsidP="006B781A">
      <w:pPr>
        <w:pStyle w:val="Heading3"/>
      </w:pPr>
      <w:r w:rsidRPr="00CE0885">
        <w:t>The Commissioner's consent is required to vary the services, performance standards or pricing etc. of any GP contract.</w:t>
      </w:r>
    </w:p>
    <w:p w14:paraId="2865F35F" w14:textId="77777777" w:rsidR="00977693" w:rsidRPr="00CE0885" w:rsidRDefault="00977693" w:rsidP="006B781A">
      <w:pPr>
        <w:pStyle w:val="Heading3"/>
      </w:pPr>
      <w:r w:rsidRPr="00CE0885">
        <w:t xml:space="preserve">The Public Contracts Regulations ("PCR") 2015 are clear that a material variation to a public contract is likely to require a new procurement procedure as the varied contract will be deemed a new contract for procurement purposes. </w:t>
      </w:r>
    </w:p>
    <w:p w14:paraId="6A365375" w14:textId="77777777" w:rsidR="00977693" w:rsidRPr="00CE0885" w:rsidRDefault="00977693" w:rsidP="006B781A">
      <w:pPr>
        <w:pStyle w:val="Heading3"/>
      </w:pPr>
      <w:r w:rsidRPr="00CE0885">
        <w:t>There are a number of exceptions to the basic principle that a modified contract will be a new contract requiring a procurement process. These are set out in Regulation 72 of the PCR 2015.</w:t>
      </w:r>
    </w:p>
    <w:p w14:paraId="412CA870" w14:textId="77777777" w:rsidR="00977693" w:rsidRPr="00CE0885" w:rsidRDefault="00977693" w:rsidP="006B781A">
      <w:pPr>
        <w:pStyle w:val="Heading3"/>
      </w:pPr>
      <w:r w:rsidRPr="00CE0885">
        <w:t>The most relevant exception is at Regulation 72(1)(d) which enables the Commissioner to vary public contracts "where a new contractor replaces the one to which [NHS England] had initially award the contract as a consequence of…universal or partial succession into the position of the initial contractor, following corporate restructuring, including takeover, merger….etc." The new contractor will need to fulfil the criteria for qualitative selection (i.e. the PQQ) initially established (we appreciate that this may not be the case for GP contracts which are not always procured and may have been in place for a considerable number of years) and this Regulation cannot be relied on if the aim is to circumvent the procurement rules.</w:t>
      </w:r>
    </w:p>
    <w:p w14:paraId="6946B0F8" w14:textId="77777777" w:rsidR="00977693" w:rsidRPr="00CE0885" w:rsidRDefault="00977693" w:rsidP="006B781A">
      <w:pPr>
        <w:pStyle w:val="Heading3"/>
      </w:pPr>
      <w:r w:rsidRPr="00CE0885">
        <w:t>This means that where the initial contractors (here, the individual GP practices) merge with each other their contracts can be varied to enable the new entity (which may be a new corporate entity or a wider group of partners) to hold the larger, varied contract, the Commissioner may not need to procure this new / varied contract.</w:t>
      </w:r>
    </w:p>
    <w:p w14:paraId="58000397" w14:textId="77777777" w:rsidR="00977693" w:rsidRPr="00CE0885" w:rsidRDefault="00977693" w:rsidP="006B781A">
      <w:pPr>
        <w:pStyle w:val="Heading3"/>
      </w:pPr>
      <w:r w:rsidRPr="00CE0885">
        <w:t>Pursuant to the PPCC, the Commissioner must consider appropriate means of improving the quality and efficiency of services which may include allowing providers to compete and giving patients a choice of provider. When GP practices merge, this may reduce patient choice and can be problematic in small towns where there has been an irrevocable breakdown in the relationship between the patient and contractor. In these circumstances, if all of the local GP practices merge then that contractor will be a provider of all of the available GP services in the locality which may cause an issue for that particular patient.</w:t>
      </w:r>
    </w:p>
    <w:p w14:paraId="1396AE78" w14:textId="77777777" w:rsidR="00977693" w:rsidRPr="00422A0E" w:rsidRDefault="00977693" w:rsidP="00422A0E">
      <w:pPr>
        <w:pStyle w:val="BodyText"/>
        <w:rPr>
          <w:b/>
          <w:sz w:val="24"/>
          <w:szCs w:val="24"/>
        </w:rPr>
      </w:pPr>
      <w:r w:rsidRPr="00422A0E">
        <w:rPr>
          <w:b/>
          <w:sz w:val="24"/>
          <w:szCs w:val="24"/>
        </w:rPr>
        <w:t>Other matters</w:t>
      </w:r>
    </w:p>
    <w:p w14:paraId="16AFF9AD" w14:textId="77777777" w:rsidR="00977693" w:rsidRPr="00CE0885" w:rsidRDefault="00977693" w:rsidP="006B781A">
      <w:pPr>
        <w:pStyle w:val="Heading3"/>
      </w:pPr>
      <w:r w:rsidRPr="00CE0885">
        <w:t>This may include but is not limited to the effect of the practice merger on:</w:t>
      </w:r>
    </w:p>
    <w:p w14:paraId="780A31A5" w14:textId="77777777" w:rsidR="00977693" w:rsidRPr="00CE0885" w:rsidRDefault="00977693" w:rsidP="005A7DDA">
      <w:pPr>
        <w:pStyle w:val="Heading3"/>
        <w:numPr>
          <w:ilvl w:val="0"/>
          <w:numId w:val="109"/>
        </w:numPr>
        <w:spacing w:before="200" w:after="60" w:line="240" w:lineRule="auto"/>
        <w:jc w:val="both"/>
        <w:rPr>
          <w:rFonts w:cs="Arial"/>
          <w:b/>
          <w:szCs w:val="24"/>
        </w:rPr>
      </w:pPr>
      <w:r w:rsidRPr="00CE0885">
        <w:rPr>
          <w:rFonts w:cs="Arial"/>
          <w:b/>
          <w:szCs w:val="24"/>
        </w:rPr>
        <w:t>the provision and/or contracting of additional services such as locally commissioned services; and</w:t>
      </w:r>
    </w:p>
    <w:p w14:paraId="3A1F71F1" w14:textId="77777777" w:rsidR="00977693" w:rsidRPr="00CE0885" w:rsidRDefault="00977693" w:rsidP="005A7DDA">
      <w:pPr>
        <w:pStyle w:val="Heading3"/>
        <w:numPr>
          <w:ilvl w:val="0"/>
          <w:numId w:val="109"/>
        </w:numPr>
        <w:spacing w:before="200" w:after="60" w:line="240" w:lineRule="auto"/>
        <w:jc w:val="both"/>
        <w:rPr>
          <w:rFonts w:cs="Arial"/>
          <w:b/>
          <w:szCs w:val="24"/>
        </w:rPr>
      </w:pPr>
      <w:r w:rsidRPr="00CE0885">
        <w:rPr>
          <w:rFonts w:cs="Arial"/>
          <w:b/>
          <w:szCs w:val="24"/>
        </w:rPr>
        <w:t>out of hours opt-outs; and</w:t>
      </w:r>
    </w:p>
    <w:p w14:paraId="30623AD6" w14:textId="77777777" w:rsidR="001A315E" w:rsidRDefault="001A315E" w:rsidP="003331F2">
      <w:pPr>
        <w:pStyle w:val="BodyText"/>
      </w:pPr>
    </w:p>
    <w:p w14:paraId="6362ECB6" w14:textId="77777777" w:rsidR="00977693" w:rsidRPr="00B30FA5" w:rsidRDefault="00977693" w:rsidP="00B30FA5">
      <w:pPr>
        <w:pStyle w:val="BodyText"/>
        <w:rPr>
          <w:b/>
          <w:sz w:val="24"/>
          <w:szCs w:val="24"/>
        </w:rPr>
      </w:pPr>
      <w:r w:rsidRPr="00B30FA5">
        <w:rPr>
          <w:b/>
          <w:sz w:val="24"/>
          <w:szCs w:val="24"/>
        </w:rPr>
        <w:t>Mergers generally</w:t>
      </w:r>
    </w:p>
    <w:p w14:paraId="4377FA36" w14:textId="77777777" w:rsidR="001A315E" w:rsidRPr="001A315E" w:rsidRDefault="001A315E" w:rsidP="001A315E"/>
    <w:p w14:paraId="651FEADD" w14:textId="77777777" w:rsidR="00977693" w:rsidRPr="00CE0885" w:rsidRDefault="00977693" w:rsidP="006B781A">
      <w:pPr>
        <w:pStyle w:val="Heading3"/>
      </w:pPr>
      <w:r w:rsidRPr="00CE0885">
        <w:t>In general terms contractual mergers should only be considered in cases of like-for-like contracts, i.e. GMS with GMS and PMS with PMS because of the differences in terms and financial arrangements. However, this does not remove the ability of a PMS provider to request to merge its business with a GMS provider and eventually work under one form of contractual terms.</w:t>
      </w:r>
    </w:p>
    <w:p w14:paraId="14821DF1" w14:textId="77777777" w:rsidR="00977693" w:rsidRPr="00CE0885" w:rsidRDefault="00977693" w:rsidP="006B781A">
      <w:pPr>
        <w:pStyle w:val="Heading3"/>
      </w:pPr>
      <w:r w:rsidRPr="00CE0885">
        <w:t>Commissioners should advise contractors to seek guidance from their representative bodies in this instance to ensure they follow due process and are fully aware of the implications.</w:t>
      </w:r>
    </w:p>
    <w:p w14:paraId="5EC3717A" w14:textId="77777777" w:rsidR="00977693" w:rsidRPr="00CE0885" w:rsidRDefault="00977693" w:rsidP="006B781A">
      <w:pPr>
        <w:pStyle w:val="Heading3"/>
      </w:pPr>
      <w:r w:rsidRPr="00CE0885">
        <w:t>It is essential that patients from the terminating contract are included under the remaining contract through bulk transfer where possible to avoid additional cost pressure.</w:t>
      </w:r>
    </w:p>
    <w:p w14:paraId="0AE547BD" w14:textId="77777777" w:rsidR="00977693" w:rsidRPr="00CE0885" w:rsidRDefault="00977693" w:rsidP="006B781A">
      <w:pPr>
        <w:pStyle w:val="Heading3"/>
      </w:pPr>
      <w:r w:rsidRPr="00CE0885">
        <w:t>The Commissioner must bear in mind that even avoiding this additional cost, once patients are under the new contract, the Carr-Hill formula will be applied and may even then increase the cost of the transferring patients based on one of the other factors, such as rurality, when it may not have applied to the terminating contract.</w:t>
      </w:r>
    </w:p>
    <w:p w14:paraId="18FDDF26" w14:textId="77777777" w:rsidR="00977693" w:rsidRPr="00CE0885" w:rsidRDefault="00977693" w:rsidP="006B781A">
      <w:pPr>
        <w:pStyle w:val="Heading3"/>
      </w:pPr>
      <w:r w:rsidRPr="00CE0885">
        <w:t>The Carr-Hill allocation formula is used to adjust the global sum payment for a number of local demographic and other factors, which may affect a practice workload. For example, a practice with a large number of elderly patients may have a higher workload than one that primarily cares for commuters.</w:t>
      </w:r>
    </w:p>
    <w:p w14:paraId="5E668534" w14:textId="77777777" w:rsidR="00977693" w:rsidRPr="00CE0885" w:rsidRDefault="00977693" w:rsidP="006B781A">
      <w:pPr>
        <w:pStyle w:val="Heading3"/>
      </w:pPr>
      <w:r w:rsidRPr="00CE0885">
        <w:t>The factors included in the Carr-Hill formula are:</w:t>
      </w:r>
    </w:p>
    <w:p w14:paraId="1E10F1E9" w14:textId="77777777" w:rsidR="00977693" w:rsidRPr="00CE0885" w:rsidRDefault="00977693" w:rsidP="005A7DDA">
      <w:pPr>
        <w:pStyle w:val="Heading3"/>
        <w:numPr>
          <w:ilvl w:val="0"/>
          <w:numId w:val="107"/>
        </w:numPr>
        <w:spacing w:before="200" w:after="60" w:line="240" w:lineRule="auto"/>
        <w:jc w:val="both"/>
        <w:rPr>
          <w:rFonts w:cs="Arial"/>
          <w:b/>
          <w:szCs w:val="24"/>
        </w:rPr>
      </w:pPr>
      <w:r w:rsidRPr="00CE0885">
        <w:rPr>
          <w:rFonts w:cs="Arial"/>
          <w:b/>
          <w:szCs w:val="24"/>
        </w:rPr>
        <w:t>patient age and gender (used to reflect frequency of home and surgery visits);</w:t>
      </w:r>
    </w:p>
    <w:p w14:paraId="0B1D3F34" w14:textId="77777777" w:rsidR="00977693" w:rsidRPr="00CE0885" w:rsidRDefault="00977693" w:rsidP="005A7DDA">
      <w:pPr>
        <w:pStyle w:val="Heading3"/>
        <w:numPr>
          <w:ilvl w:val="0"/>
          <w:numId w:val="107"/>
        </w:numPr>
        <w:spacing w:before="200" w:after="60" w:line="240" w:lineRule="auto"/>
        <w:jc w:val="both"/>
        <w:rPr>
          <w:rFonts w:cs="Arial"/>
          <w:b/>
          <w:szCs w:val="24"/>
        </w:rPr>
      </w:pPr>
      <w:r w:rsidRPr="00CE0885">
        <w:rPr>
          <w:rFonts w:cs="Arial"/>
          <w:b/>
          <w:szCs w:val="24"/>
        </w:rPr>
        <w:t>additional needs: standardised mortality ratio and standardised long-standing Illness for patients under the age of 65 years;</w:t>
      </w:r>
    </w:p>
    <w:p w14:paraId="7C0E7345" w14:textId="77777777" w:rsidR="00977693" w:rsidRPr="00CE0885" w:rsidRDefault="00977693" w:rsidP="005A7DDA">
      <w:pPr>
        <w:pStyle w:val="Heading3"/>
        <w:numPr>
          <w:ilvl w:val="0"/>
          <w:numId w:val="107"/>
        </w:numPr>
        <w:spacing w:before="200" w:after="60" w:line="240" w:lineRule="auto"/>
        <w:jc w:val="both"/>
        <w:rPr>
          <w:rFonts w:cs="Arial"/>
          <w:b/>
          <w:szCs w:val="24"/>
        </w:rPr>
      </w:pPr>
      <w:r w:rsidRPr="00CE0885">
        <w:rPr>
          <w:rFonts w:cs="Arial"/>
          <w:b/>
          <w:szCs w:val="24"/>
        </w:rPr>
        <w:t>number of newly registered patients (generate 40% of work in first year);</w:t>
      </w:r>
    </w:p>
    <w:p w14:paraId="516925E9" w14:textId="77777777" w:rsidR="00977693" w:rsidRPr="00CE0885" w:rsidRDefault="00977693" w:rsidP="005A7DDA">
      <w:pPr>
        <w:pStyle w:val="Heading3"/>
        <w:numPr>
          <w:ilvl w:val="0"/>
          <w:numId w:val="107"/>
        </w:numPr>
        <w:spacing w:before="200" w:after="60" w:line="240" w:lineRule="auto"/>
        <w:jc w:val="both"/>
        <w:rPr>
          <w:rFonts w:cs="Arial"/>
          <w:b/>
          <w:szCs w:val="24"/>
        </w:rPr>
      </w:pPr>
      <w:r w:rsidRPr="00CE0885">
        <w:rPr>
          <w:rFonts w:cs="Arial"/>
          <w:b/>
          <w:szCs w:val="24"/>
        </w:rPr>
        <w:t>rurality;</w:t>
      </w:r>
    </w:p>
    <w:p w14:paraId="49E0419F" w14:textId="77777777" w:rsidR="00977693" w:rsidRPr="00CE0885" w:rsidRDefault="00977693" w:rsidP="005A7DDA">
      <w:pPr>
        <w:pStyle w:val="Heading3"/>
        <w:numPr>
          <w:ilvl w:val="0"/>
          <w:numId w:val="107"/>
        </w:numPr>
        <w:spacing w:before="200" w:after="60" w:line="240" w:lineRule="auto"/>
        <w:jc w:val="both"/>
        <w:rPr>
          <w:rFonts w:cs="Arial"/>
          <w:b/>
          <w:szCs w:val="24"/>
        </w:rPr>
      </w:pPr>
      <w:r w:rsidRPr="00CE0885">
        <w:rPr>
          <w:rFonts w:cs="Arial"/>
          <w:b/>
          <w:szCs w:val="24"/>
        </w:rPr>
        <w:t>costs of living in some geographical areas ; and</w:t>
      </w:r>
    </w:p>
    <w:p w14:paraId="3B4252C5" w14:textId="77777777" w:rsidR="00977693" w:rsidRDefault="00977693" w:rsidP="005A7DDA">
      <w:pPr>
        <w:pStyle w:val="Heading3"/>
        <w:numPr>
          <w:ilvl w:val="0"/>
          <w:numId w:val="107"/>
        </w:numPr>
        <w:spacing w:before="200" w:after="60" w:line="240" w:lineRule="auto"/>
        <w:jc w:val="both"/>
        <w:rPr>
          <w:rFonts w:cs="Arial"/>
          <w:b/>
          <w:szCs w:val="24"/>
        </w:rPr>
      </w:pPr>
      <w:r w:rsidRPr="00CE0885">
        <w:rPr>
          <w:rFonts w:cs="Arial"/>
          <w:b/>
          <w:szCs w:val="24"/>
        </w:rPr>
        <w:t>patient age/gender for nursing/residential consultations.</w:t>
      </w:r>
    </w:p>
    <w:p w14:paraId="6CC6B49E" w14:textId="77777777" w:rsidR="001A315E" w:rsidRPr="001A315E" w:rsidRDefault="001A315E" w:rsidP="001A315E"/>
    <w:p w14:paraId="7A6E1984" w14:textId="77777777" w:rsidR="00977693" w:rsidRDefault="00977693" w:rsidP="006B781A">
      <w:pPr>
        <w:pStyle w:val="Heading3"/>
      </w:pPr>
      <w:r w:rsidRPr="00CE0885">
        <w:t>The Commissioner may request that practices proposing to merge collectively submit a business case (a sample business case is provided at Annex 12A) which the Commissioner can use to base its decisions on whether to approve the merger and the consequential contract variations. A template mobilisation plan for practices to tailor and submit with their business case is provided at Annex 12B.</w:t>
      </w:r>
    </w:p>
    <w:p w14:paraId="1E0C0AC9" w14:textId="77777777" w:rsidR="001A315E" w:rsidRPr="001A315E" w:rsidRDefault="001A315E" w:rsidP="001A315E"/>
    <w:p w14:paraId="6CD5E7DE" w14:textId="77777777" w:rsidR="00977693" w:rsidRPr="00CE0885" w:rsidRDefault="00977693" w:rsidP="006B781A">
      <w:pPr>
        <w:pStyle w:val="Heading3"/>
      </w:pPr>
      <w:r w:rsidRPr="00CE0885">
        <w:t>The Commissioner will need to amend the template business case to ensure it requests all the relevant information in respect of the merger. The Commissioner should therefore seek to engage with the practices early in the development process to shape the business case and to liaise with the practices on any amendments or updates to the business case to enable the business case to be as comprehensive as possible prior to the Commissioner making its decision.</w:t>
      </w:r>
    </w:p>
    <w:p w14:paraId="652D26DB" w14:textId="4F067E63" w:rsidR="00977693" w:rsidRPr="009055A7" w:rsidRDefault="001A315E" w:rsidP="00977693">
      <w:pPr>
        <w:rPr>
          <w:rFonts w:cs="Arial"/>
          <w:szCs w:val="24"/>
        </w:rPr>
      </w:pPr>
      <w:r>
        <w:rPr>
          <w:rFonts w:cs="Arial"/>
          <w:szCs w:val="24"/>
        </w:rPr>
        <w:br w:type="page"/>
      </w:r>
    </w:p>
    <w:p w14:paraId="10389F77" w14:textId="77777777" w:rsidR="00977693" w:rsidRPr="00CE0885" w:rsidRDefault="00977693" w:rsidP="00977693">
      <w:pPr>
        <w:rPr>
          <w:rFonts w:cs="Arial"/>
          <w:szCs w:val="24"/>
        </w:rPr>
      </w:pPr>
    </w:p>
    <w:tbl>
      <w:tblPr>
        <w:tblStyle w:val="TableGrid"/>
        <w:tblW w:w="0" w:type="auto"/>
        <w:tblLook w:val="04A0" w:firstRow="1" w:lastRow="0" w:firstColumn="1" w:lastColumn="0" w:noHBand="0" w:noVBand="1"/>
        <w:tblCaption w:val="a text box"/>
        <w:tblDescription w:val="a text box"/>
      </w:tblPr>
      <w:tblGrid>
        <w:gridCol w:w="9286"/>
      </w:tblGrid>
      <w:tr w:rsidR="00977693" w:rsidRPr="00CE0885" w14:paraId="321856E1" w14:textId="77777777" w:rsidTr="00BD5B3E">
        <w:trPr>
          <w:tblHeader/>
        </w:trPr>
        <w:tc>
          <w:tcPr>
            <w:tcW w:w="9286" w:type="dxa"/>
          </w:tcPr>
          <w:p w14:paraId="674A4E07" w14:textId="77777777" w:rsidR="00977693" w:rsidRPr="00CE0885" w:rsidRDefault="00977693" w:rsidP="00213D9D">
            <w:pPr>
              <w:spacing w:before="120" w:after="120"/>
              <w:rPr>
                <w:rFonts w:cs="Arial"/>
                <w:szCs w:val="24"/>
              </w:rPr>
            </w:pPr>
            <w:r w:rsidRPr="00CE0885">
              <w:rPr>
                <w:rFonts w:cs="Arial"/>
                <w:szCs w:val="24"/>
              </w:rPr>
              <w:t>Co-commissioning - delegated commissioning arrangements</w:t>
            </w:r>
          </w:p>
          <w:p w14:paraId="28A04C6B" w14:textId="77777777" w:rsidR="00977693" w:rsidRPr="009055A7" w:rsidRDefault="00977693" w:rsidP="00213D9D">
            <w:pPr>
              <w:spacing w:before="120" w:after="120"/>
              <w:ind w:left="720"/>
              <w:rPr>
                <w:rFonts w:cs="Arial"/>
                <w:szCs w:val="24"/>
              </w:rPr>
            </w:pPr>
            <w:r w:rsidRPr="009055A7">
              <w:rPr>
                <w:rFonts w:cs="Arial"/>
                <w:szCs w:val="24"/>
              </w:rPr>
              <w:t>A CCG that has delegated commissioning arrangements will have entered into a Delegation Agreement with NHS England setting out the scope of those arrangements.</w:t>
            </w:r>
          </w:p>
          <w:p w14:paraId="28A07199" w14:textId="77777777" w:rsidR="00977693" w:rsidRPr="00CE0885" w:rsidRDefault="00977693" w:rsidP="00213D9D">
            <w:pPr>
              <w:spacing w:before="120" w:after="120"/>
              <w:ind w:left="720"/>
              <w:rPr>
                <w:rFonts w:cs="Arial"/>
                <w:szCs w:val="24"/>
              </w:rPr>
            </w:pPr>
            <w:r w:rsidRPr="00CE0885">
              <w:rPr>
                <w:rFonts w:cs="Arial"/>
                <w:szCs w:val="24"/>
              </w:rPr>
              <w:t>The Delegation Agreement includes a section on approving GP practice mergers and closures. When carrying out such actions, the CCG is required to act in accordance with the Delegation Agreement which includes but is not limited to:</w:t>
            </w:r>
          </w:p>
          <w:p w14:paraId="2E32D46C" w14:textId="77777777" w:rsidR="00977693" w:rsidRPr="00CE0885" w:rsidRDefault="00977693" w:rsidP="00836ECF">
            <w:pPr>
              <w:pStyle w:val="ListParagraph"/>
              <w:numPr>
                <w:ilvl w:val="0"/>
                <w:numId w:val="57"/>
              </w:numPr>
              <w:spacing w:before="120" w:after="120"/>
              <w:jc w:val="both"/>
              <w:rPr>
                <w:rFonts w:cs="Arial"/>
                <w:szCs w:val="24"/>
              </w:rPr>
            </w:pPr>
            <w:r w:rsidRPr="00CE0885">
              <w:rPr>
                <w:rFonts w:cs="Arial"/>
                <w:szCs w:val="24"/>
              </w:rPr>
              <w:t>undertaking all necessary consultation when taking any decision in relation to GP practice mergers or GP practice closures, including those set out under section 14Z2 of the NHS Act (duty for public involvement and consultation). The consultation undertaken must be appropriate and proportionate in the circumstances and should include consulting with the LMC;</w:t>
            </w:r>
          </w:p>
          <w:p w14:paraId="6F0C04E7" w14:textId="77777777" w:rsidR="00977693" w:rsidRPr="00CE0885" w:rsidRDefault="00977693" w:rsidP="00213D9D">
            <w:pPr>
              <w:pStyle w:val="ListParagraph"/>
              <w:spacing w:before="120" w:after="120"/>
              <w:ind w:left="1440"/>
              <w:rPr>
                <w:rFonts w:cs="Arial"/>
                <w:szCs w:val="24"/>
              </w:rPr>
            </w:pPr>
          </w:p>
          <w:p w14:paraId="3B2511AC" w14:textId="77777777" w:rsidR="00977693" w:rsidRPr="00CE0885" w:rsidRDefault="00977693" w:rsidP="00836ECF">
            <w:pPr>
              <w:pStyle w:val="ListParagraph"/>
              <w:numPr>
                <w:ilvl w:val="0"/>
                <w:numId w:val="57"/>
              </w:numPr>
              <w:spacing w:before="120" w:after="120"/>
              <w:jc w:val="both"/>
              <w:rPr>
                <w:rFonts w:cs="Arial"/>
                <w:szCs w:val="24"/>
              </w:rPr>
            </w:pPr>
            <w:r w:rsidRPr="00CE0885">
              <w:rPr>
                <w:rFonts w:cs="Arial"/>
                <w:szCs w:val="24"/>
              </w:rPr>
              <w:t>prior to making any decision, clearly demonstrating the grounds for such a decision and fully considering any impact on the GP practice’s registered population and that of surrounding practices. The CCG must be able to clearly demonstrate that it has considered other options and has entered into dialogue with the GP contractor as to how any closure or merger will be managed; and</w:t>
            </w:r>
          </w:p>
          <w:p w14:paraId="1823C1CA" w14:textId="77777777" w:rsidR="00977693" w:rsidRPr="00CE0885" w:rsidRDefault="00977693" w:rsidP="00213D9D">
            <w:pPr>
              <w:pStyle w:val="ListParagraph"/>
              <w:spacing w:before="120" w:after="120"/>
              <w:ind w:left="1440"/>
              <w:rPr>
                <w:rFonts w:cs="Arial"/>
                <w:szCs w:val="24"/>
              </w:rPr>
            </w:pPr>
          </w:p>
          <w:p w14:paraId="2ECE0EBE" w14:textId="77777777" w:rsidR="00977693" w:rsidRPr="00CE0885" w:rsidRDefault="00977693" w:rsidP="00836ECF">
            <w:pPr>
              <w:pStyle w:val="ListParagraph"/>
              <w:numPr>
                <w:ilvl w:val="0"/>
                <w:numId w:val="57"/>
              </w:numPr>
              <w:spacing w:before="120" w:after="120"/>
              <w:jc w:val="both"/>
              <w:rPr>
                <w:rFonts w:cs="Arial"/>
                <w:szCs w:val="24"/>
              </w:rPr>
            </w:pPr>
            <w:r w:rsidRPr="00CE0885">
              <w:rPr>
                <w:rFonts w:cs="Arial"/>
                <w:szCs w:val="24"/>
              </w:rPr>
              <w:t>in making any decisions, taking account of the CCG's obligations as set out in the Delegation Agreement in relation to procurement, where applicable.</w:t>
            </w:r>
          </w:p>
        </w:tc>
      </w:tr>
    </w:tbl>
    <w:p w14:paraId="6AC9D6FE" w14:textId="77777777" w:rsidR="00977693" w:rsidRPr="00CE0885" w:rsidRDefault="00977693" w:rsidP="00977693">
      <w:pPr>
        <w:ind w:firstLine="720"/>
        <w:rPr>
          <w:rFonts w:cs="Arial"/>
          <w:szCs w:val="24"/>
        </w:rPr>
      </w:pPr>
    </w:p>
    <w:p w14:paraId="5C49C5A2" w14:textId="77777777" w:rsidR="00977693" w:rsidRPr="00CE0885" w:rsidRDefault="00977693" w:rsidP="00977693">
      <w:pPr>
        <w:ind w:firstLine="720"/>
        <w:rPr>
          <w:rFonts w:cs="Arial"/>
          <w:szCs w:val="24"/>
        </w:rPr>
      </w:pPr>
    </w:p>
    <w:p w14:paraId="152FBF55" w14:textId="77777777" w:rsidR="00977693" w:rsidRPr="00CE0885" w:rsidRDefault="00977693" w:rsidP="00977693">
      <w:pPr>
        <w:rPr>
          <w:rFonts w:cs="Arial"/>
          <w:szCs w:val="24"/>
        </w:rPr>
      </w:pPr>
      <w:r w:rsidRPr="00CE0885">
        <w:rPr>
          <w:rFonts w:cs="Arial"/>
          <w:szCs w:val="24"/>
        </w:rPr>
        <w:br w:type="page"/>
      </w:r>
    </w:p>
    <w:p w14:paraId="1C1200F7" w14:textId="52C9AD09" w:rsidR="00977693" w:rsidRPr="000A529F" w:rsidRDefault="00977693" w:rsidP="000A529F">
      <w:pPr>
        <w:pStyle w:val="Heading3"/>
        <w:rPr>
          <w:rFonts w:eastAsia="Malgun Gothic"/>
          <w:b/>
        </w:rPr>
      </w:pPr>
      <w:r w:rsidRPr="000A529F">
        <w:rPr>
          <w:b/>
        </w:rPr>
        <w:t>Annex A</w:t>
      </w:r>
      <w:r w:rsidR="001A315E" w:rsidRPr="000A529F">
        <w:rPr>
          <w:b/>
        </w:rPr>
        <w:t xml:space="preserve"> - </w:t>
      </w:r>
      <w:r w:rsidRPr="000A529F">
        <w:rPr>
          <w:rFonts w:eastAsia="Malgun Gothic"/>
          <w:b/>
        </w:rPr>
        <w:t xml:space="preserve">Template Business Case for Practice Merger </w:t>
      </w:r>
    </w:p>
    <w:p w14:paraId="79BBB45B" w14:textId="77777777" w:rsidR="00977693" w:rsidRPr="00CE0885" w:rsidRDefault="00977693" w:rsidP="00977693">
      <w:pPr>
        <w:rPr>
          <w:rFonts w:eastAsia="Malgun Gothic" w:cs="Arial"/>
          <w:szCs w:val="24"/>
        </w:rPr>
      </w:pPr>
    </w:p>
    <w:p w14:paraId="5B90CEA4" w14:textId="77777777" w:rsidR="00977693" w:rsidRPr="00CE0885" w:rsidRDefault="00977693" w:rsidP="00977693">
      <w:pPr>
        <w:jc w:val="center"/>
        <w:rPr>
          <w:rFonts w:cs="Arial"/>
          <w:szCs w:val="24"/>
        </w:rPr>
      </w:pPr>
    </w:p>
    <w:p w14:paraId="5D544FEE" w14:textId="77777777" w:rsidR="00977693" w:rsidRPr="00CE0885" w:rsidRDefault="00977693" w:rsidP="00977693">
      <w:pPr>
        <w:rPr>
          <w:rFonts w:cs="Arial"/>
          <w:szCs w:val="24"/>
        </w:rPr>
      </w:pPr>
    </w:p>
    <w:p w14:paraId="068B3BF3" w14:textId="77777777" w:rsidR="00977693" w:rsidRPr="00CE0885" w:rsidRDefault="00977693" w:rsidP="00977693">
      <w:pPr>
        <w:rPr>
          <w:rFonts w:cs="Arial"/>
          <w:b/>
          <w:szCs w:val="24"/>
        </w:rPr>
      </w:pPr>
      <w:r w:rsidRPr="00CE0885">
        <w:rPr>
          <w:rFonts w:cs="Arial"/>
          <w:b/>
          <w:szCs w:val="24"/>
        </w:rPr>
        <w:t>1. Explanation of the practice merger</w:t>
      </w:r>
    </w:p>
    <w:p w14:paraId="26878EA1" w14:textId="77777777" w:rsidR="00977693" w:rsidRPr="00CE0885" w:rsidRDefault="00977693" w:rsidP="00977693">
      <w:pPr>
        <w:rPr>
          <w:rFonts w:cs="Arial"/>
          <w:b/>
          <w:szCs w:val="24"/>
        </w:rPr>
      </w:pPr>
    </w:p>
    <w:tbl>
      <w:tblPr>
        <w:tblStyle w:val="TableGrid"/>
        <w:tblW w:w="0" w:type="auto"/>
        <w:tblLook w:val="04A0" w:firstRow="1" w:lastRow="0" w:firstColumn="1" w:lastColumn="0" w:noHBand="0" w:noVBand="1"/>
        <w:tblCaption w:val="a text box"/>
        <w:tblDescription w:val="a text box"/>
      </w:tblPr>
      <w:tblGrid>
        <w:gridCol w:w="9286"/>
      </w:tblGrid>
      <w:tr w:rsidR="00977693" w:rsidRPr="00CE0885" w14:paraId="370BE4AD" w14:textId="77777777" w:rsidTr="00BD5B3E">
        <w:trPr>
          <w:tblHeader/>
        </w:trPr>
        <w:tc>
          <w:tcPr>
            <w:tcW w:w="9286" w:type="dxa"/>
          </w:tcPr>
          <w:p w14:paraId="3977768D" w14:textId="77777777" w:rsidR="00977693" w:rsidRPr="00CE0885" w:rsidRDefault="00977693" w:rsidP="00213D9D">
            <w:pPr>
              <w:spacing w:before="120" w:after="120"/>
              <w:rPr>
                <w:rFonts w:cs="Arial"/>
                <w:szCs w:val="24"/>
              </w:rPr>
            </w:pPr>
            <w:r w:rsidRPr="00CE0885">
              <w:rPr>
                <w:rFonts w:cs="Arial"/>
                <w:szCs w:val="24"/>
              </w:rPr>
              <w:t>Practices should provide an overview below of how the practices are merging. Paragraph 11.4 of the Contract Variations chapter provides common models of practice mergers and may be helpful here but practices should recognise that mergers are not restricted to one of the models listed and proposed mergers may adopt elements of more than one model or may adopt an entirely different approach.</w:t>
            </w:r>
          </w:p>
        </w:tc>
      </w:tr>
      <w:tr w:rsidR="00977693" w:rsidRPr="00CE0885" w14:paraId="02B85AF5" w14:textId="77777777" w:rsidTr="00213D9D">
        <w:tc>
          <w:tcPr>
            <w:tcW w:w="9286" w:type="dxa"/>
          </w:tcPr>
          <w:p w14:paraId="5E509870" w14:textId="77777777" w:rsidR="00977693" w:rsidRPr="00CE0885" w:rsidRDefault="00977693" w:rsidP="00213D9D">
            <w:pPr>
              <w:spacing w:before="120" w:after="120"/>
              <w:rPr>
                <w:rFonts w:cs="Arial"/>
                <w:b/>
                <w:szCs w:val="24"/>
              </w:rPr>
            </w:pPr>
            <w:r w:rsidRPr="00CE0885">
              <w:rPr>
                <w:rFonts w:cs="Arial"/>
                <w:b/>
                <w:szCs w:val="24"/>
              </w:rPr>
              <w:t xml:space="preserve"> </w:t>
            </w:r>
          </w:p>
          <w:p w14:paraId="54F4E77D" w14:textId="77777777" w:rsidR="00977693" w:rsidRPr="00CE0885" w:rsidRDefault="00977693" w:rsidP="00213D9D">
            <w:pPr>
              <w:spacing w:before="120" w:after="120"/>
              <w:rPr>
                <w:rFonts w:cs="Arial"/>
                <w:b/>
                <w:szCs w:val="24"/>
              </w:rPr>
            </w:pPr>
          </w:p>
          <w:p w14:paraId="52618857" w14:textId="77777777" w:rsidR="00977693" w:rsidRPr="00CE0885" w:rsidRDefault="00977693" w:rsidP="00213D9D">
            <w:pPr>
              <w:spacing w:before="120" w:after="120"/>
              <w:rPr>
                <w:rFonts w:cs="Arial"/>
                <w:b/>
                <w:szCs w:val="24"/>
              </w:rPr>
            </w:pPr>
          </w:p>
        </w:tc>
      </w:tr>
    </w:tbl>
    <w:p w14:paraId="75862B50" w14:textId="77777777" w:rsidR="00977693" w:rsidRPr="00CE0885" w:rsidRDefault="00977693" w:rsidP="00977693">
      <w:pPr>
        <w:rPr>
          <w:rFonts w:cs="Arial"/>
          <w:b/>
          <w:szCs w:val="24"/>
        </w:rPr>
      </w:pPr>
    </w:p>
    <w:p w14:paraId="373892C1" w14:textId="77777777" w:rsidR="00977693" w:rsidRPr="00CE0885" w:rsidRDefault="00977693" w:rsidP="00977693">
      <w:pPr>
        <w:rPr>
          <w:rFonts w:cs="Arial"/>
          <w:b/>
          <w:szCs w:val="24"/>
        </w:rPr>
      </w:pPr>
    </w:p>
    <w:p w14:paraId="1062B5E1" w14:textId="77777777" w:rsidR="00977693" w:rsidRPr="00CE0885" w:rsidRDefault="00977693" w:rsidP="00977693">
      <w:pPr>
        <w:rPr>
          <w:rFonts w:cs="Arial"/>
          <w:b/>
          <w:szCs w:val="24"/>
        </w:rPr>
      </w:pPr>
      <w:r w:rsidRPr="00CE0885">
        <w:rPr>
          <w:rFonts w:cs="Arial"/>
          <w:b/>
          <w:szCs w:val="24"/>
        </w:rPr>
        <w:t>2. Practices' characteristics and intentions for the merged practice</w:t>
      </w:r>
    </w:p>
    <w:p w14:paraId="35E84252" w14:textId="77777777" w:rsidR="00977693" w:rsidRPr="00CE0885" w:rsidRDefault="00977693" w:rsidP="00977693">
      <w:pPr>
        <w:rPr>
          <w:rFonts w:cs="Arial"/>
          <w:szCs w:val="24"/>
        </w:rPr>
      </w:pPr>
    </w:p>
    <w:tbl>
      <w:tblPr>
        <w:tblW w:w="100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2604"/>
        <w:gridCol w:w="2604"/>
        <w:gridCol w:w="2605"/>
      </w:tblGrid>
      <w:tr w:rsidR="00977693" w:rsidRPr="00CE0885" w14:paraId="37FE6153" w14:textId="77777777" w:rsidTr="00213D9D">
        <w:tc>
          <w:tcPr>
            <w:tcW w:w="2235" w:type="dxa"/>
          </w:tcPr>
          <w:p w14:paraId="2A450581" w14:textId="77777777" w:rsidR="00977693" w:rsidRPr="00CE0885" w:rsidRDefault="00977693" w:rsidP="00D2123D">
            <w:pPr>
              <w:pStyle w:val="BodyText"/>
            </w:pPr>
          </w:p>
        </w:tc>
        <w:tc>
          <w:tcPr>
            <w:tcW w:w="2604" w:type="dxa"/>
          </w:tcPr>
          <w:p w14:paraId="34F0E4CE" w14:textId="77777777" w:rsidR="00977693" w:rsidRPr="00CE0885" w:rsidRDefault="00977693" w:rsidP="00D2123D">
            <w:pPr>
              <w:pStyle w:val="BodyText"/>
            </w:pPr>
            <w:r w:rsidRPr="00CE0885">
              <w:t>Current Provision – Practice 1</w:t>
            </w:r>
          </w:p>
        </w:tc>
        <w:tc>
          <w:tcPr>
            <w:tcW w:w="2604" w:type="dxa"/>
          </w:tcPr>
          <w:p w14:paraId="18867C7E" w14:textId="77777777" w:rsidR="00977693" w:rsidRPr="00CE0885" w:rsidRDefault="00977693" w:rsidP="00D2123D">
            <w:pPr>
              <w:pStyle w:val="BodyText"/>
            </w:pPr>
            <w:r w:rsidRPr="00CE0885">
              <w:t>Current Provision – Practice 2</w:t>
            </w:r>
          </w:p>
        </w:tc>
        <w:tc>
          <w:tcPr>
            <w:tcW w:w="2605" w:type="dxa"/>
          </w:tcPr>
          <w:p w14:paraId="7A62B673" w14:textId="77777777" w:rsidR="00977693" w:rsidRPr="00CE0885" w:rsidRDefault="00977693" w:rsidP="00D2123D">
            <w:pPr>
              <w:pStyle w:val="BodyText"/>
            </w:pPr>
            <w:r w:rsidRPr="00CE0885">
              <w:t>Merged Practice</w:t>
            </w:r>
          </w:p>
        </w:tc>
      </w:tr>
      <w:tr w:rsidR="00977693" w:rsidRPr="00CE0885" w14:paraId="768493DF" w14:textId="77777777" w:rsidTr="00213D9D">
        <w:tc>
          <w:tcPr>
            <w:tcW w:w="2235" w:type="dxa"/>
          </w:tcPr>
          <w:p w14:paraId="34E87742" w14:textId="77777777" w:rsidR="00977693" w:rsidRPr="00CE0885" w:rsidRDefault="00977693" w:rsidP="00D2123D">
            <w:pPr>
              <w:pStyle w:val="BodyText"/>
            </w:pPr>
            <w:r w:rsidRPr="00CE0885">
              <w:t>Name and address of practice</w:t>
            </w:r>
          </w:p>
          <w:p w14:paraId="5533EB1A" w14:textId="77777777" w:rsidR="00977693" w:rsidRPr="00CE0885" w:rsidRDefault="00977693" w:rsidP="00D2123D">
            <w:pPr>
              <w:pStyle w:val="BodyText"/>
            </w:pPr>
            <w:r w:rsidRPr="00CE0885">
              <w:t>(provide name and address)</w:t>
            </w:r>
          </w:p>
        </w:tc>
        <w:tc>
          <w:tcPr>
            <w:tcW w:w="2604" w:type="dxa"/>
          </w:tcPr>
          <w:p w14:paraId="43CF3344" w14:textId="77777777" w:rsidR="00977693" w:rsidRPr="00CE0885" w:rsidRDefault="00977693" w:rsidP="00D2123D">
            <w:pPr>
              <w:pStyle w:val="BodyText"/>
            </w:pPr>
          </w:p>
        </w:tc>
        <w:tc>
          <w:tcPr>
            <w:tcW w:w="2604" w:type="dxa"/>
          </w:tcPr>
          <w:p w14:paraId="7EEE83FA" w14:textId="77777777" w:rsidR="00977693" w:rsidRPr="00CE0885" w:rsidRDefault="00977693" w:rsidP="00D2123D">
            <w:pPr>
              <w:pStyle w:val="BodyText"/>
            </w:pPr>
          </w:p>
        </w:tc>
        <w:tc>
          <w:tcPr>
            <w:tcW w:w="2605" w:type="dxa"/>
          </w:tcPr>
          <w:p w14:paraId="1F4A0A94" w14:textId="77777777" w:rsidR="00977693" w:rsidRPr="00CE0885" w:rsidRDefault="00977693" w:rsidP="00D2123D">
            <w:pPr>
              <w:pStyle w:val="BodyText"/>
            </w:pPr>
          </w:p>
        </w:tc>
      </w:tr>
      <w:tr w:rsidR="00977693" w:rsidRPr="00CE0885" w14:paraId="1927AF60" w14:textId="77777777" w:rsidTr="00213D9D">
        <w:tc>
          <w:tcPr>
            <w:tcW w:w="2235" w:type="dxa"/>
          </w:tcPr>
          <w:p w14:paraId="5729D67C" w14:textId="77777777" w:rsidR="00977693" w:rsidRPr="00CE0885" w:rsidRDefault="00977693" w:rsidP="00D2123D">
            <w:pPr>
              <w:pStyle w:val="BodyText"/>
            </w:pPr>
            <w:r w:rsidRPr="00CE0885">
              <w:t>Contract type</w:t>
            </w:r>
          </w:p>
          <w:p w14:paraId="7B163247" w14:textId="77777777" w:rsidR="00977693" w:rsidRPr="00CE0885" w:rsidRDefault="00977693" w:rsidP="00D2123D">
            <w:pPr>
              <w:pStyle w:val="BodyText"/>
            </w:pPr>
            <w:r w:rsidRPr="00CE0885">
              <w:t>(GMS, PMS, APMS)</w:t>
            </w:r>
          </w:p>
        </w:tc>
        <w:tc>
          <w:tcPr>
            <w:tcW w:w="2604" w:type="dxa"/>
          </w:tcPr>
          <w:p w14:paraId="1D93C8D4" w14:textId="77777777" w:rsidR="00977693" w:rsidRPr="00CE0885" w:rsidRDefault="00977693" w:rsidP="00D2123D">
            <w:pPr>
              <w:pStyle w:val="BodyText"/>
            </w:pPr>
          </w:p>
        </w:tc>
        <w:tc>
          <w:tcPr>
            <w:tcW w:w="2604" w:type="dxa"/>
          </w:tcPr>
          <w:p w14:paraId="498C2A62" w14:textId="77777777" w:rsidR="00977693" w:rsidRPr="00CE0885" w:rsidRDefault="00977693" w:rsidP="00D2123D">
            <w:pPr>
              <w:pStyle w:val="BodyText"/>
            </w:pPr>
          </w:p>
        </w:tc>
        <w:tc>
          <w:tcPr>
            <w:tcW w:w="2605" w:type="dxa"/>
          </w:tcPr>
          <w:p w14:paraId="2142C260" w14:textId="77777777" w:rsidR="00977693" w:rsidRPr="00CE0885" w:rsidRDefault="00977693" w:rsidP="00D2123D">
            <w:pPr>
              <w:pStyle w:val="BodyText"/>
            </w:pPr>
          </w:p>
        </w:tc>
      </w:tr>
      <w:tr w:rsidR="00977693" w:rsidRPr="00CE0885" w14:paraId="418AE397" w14:textId="77777777" w:rsidTr="00213D9D">
        <w:tc>
          <w:tcPr>
            <w:tcW w:w="2235" w:type="dxa"/>
          </w:tcPr>
          <w:p w14:paraId="227FA8D4" w14:textId="77777777" w:rsidR="00977693" w:rsidRPr="00CE0885" w:rsidRDefault="00977693" w:rsidP="00D2123D">
            <w:pPr>
              <w:pStyle w:val="BodyText"/>
            </w:pPr>
            <w:r w:rsidRPr="00CE0885">
              <w:t>Name of contractor(s)</w:t>
            </w:r>
          </w:p>
        </w:tc>
        <w:tc>
          <w:tcPr>
            <w:tcW w:w="2604" w:type="dxa"/>
          </w:tcPr>
          <w:p w14:paraId="167C9446" w14:textId="77777777" w:rsidR="00977693" w:rsidRPr="00CE0885" w:rsidRDefault="00977693" w:rsidP="00D2123D">
            <w:pPr>
              <w:pStyle w:val="BodyText"/>
            </w:pPr>
          </w:p>
        </w:tc>
        <w:tc>
          <w:tcPr>
            <w:tcW w:w="2604" w:type="dxa"/>
          </w:tcPr>
          <w:p w14:paraId="4451114E" w14:textId="77777777" w:rsidR="00977693" w:rsidRPr="00CE0885" w:rsidRDefault="00977693" w:rsidP="00D2123D">
            <w:pPr>
              <w:pStyle w:val="BodyText"/>
            </w:pPr>
          </w:p>
        </w:tc>
        <w:tc>
          <w:tcPr>
            <w:tcW w:w="2605" w:type="dxa"/>
          </w:tcPr>
          <w:p w14:paraId="7511A8F0" w14:textId="77777777" w:rsidR="00977693" w:rsidRPr="00CE0885" w:rsidRDefault="00977693" w:rsidP="00D2123D">
            <w:pPr>
              <w:pStyle w:val="BodyText"/>
            </w:pPr>
          </w:p>
        </w:tc>
      </w:tr>
      <w:tr w:rsidR="00977693" w:rsidRPr="00CE0885" w14:paraId="01C8BFC9" w14:textId="77777777" w:rsidTr="00213D9D">
        <w:tc>
          <w:tcPr>
            <w:tcW w:w="2235" w:type="dxa"/>
          </w:tcPr>
          <w:p w14:paraId="084A00FC" w14:textId="77777777" w:rsidR="00977693" w:rsidRPr="00CE0885" w:rsidRDefault="00977693" w:rsidP="00D2123D">
            <w:pPr>
              <w:pStyle w:val="BodyText"/>
            </w:pPr>
            <w:r w:rsidRPr="00CE0885">
              <w:t>Location</w:t>
            </w:r>
          </w:p>
          <w:p w14:paraId="1A1470F5" w14:textId="77777777" w:rsidR="00977693" w:rsidRPr="00CE0885" w:rsidRDefault="00977693" w:rsidP="00D2123D">
            <w:pPr>
              <w:pStyle w:val="BodyText"/>
            </w:pPr>
            <w:r w:rsidRPr="00CE0885">
              <w:t>(provide addresses of all premises from which practice services are provided)</w:t>
            </w:r>
          </w:p>
        </w:tc>
        <w:tc>
          <w:tcPr>
            <w:tcW w:w="2604" w:type="dxa"/>
          </w:tcPr>
          <w:p w14:paraId="1D3E1D54" w14:textId="77777777" w:rsidR="00977693" w:rsidRPr="00CE0885" w:rsidRDefault="00977693" w:rsidP="00D2123D">
            <w:pPr>
              <w:pStyle w:val="BodyText"/>
            </w:pPr>
          </w:p>
        </w:tc>
        <w:tc>
          <w:tcPr>
            <w:tcW w:w="2604" w:type="dxa"/>
          </w:tcPr>
          <w:p w14:paraId="72F7ED70" w14:textId="77777777" w:rsidR="00977693" w:rsidRPr="00CE0885" w:rsidRDefault="00977693" w:rsidP="00D2123D">
            <w:pPr>
              <w:pStyle w:val="BodyText"/>
            </w:pPr>
          </w:p>
        </w:tc>
        <w:tc>
          <w:tcPr>
            <w:tcW w:w="2605" w:type="dxa"/>
          </w:tcPr>
          <w:p w14:paraId="2C5CDE4B" w14:textId="77777777" w:rsidR="00977693" w:rsidRPr="00CE0885" w:rsidRDefault="00977693" w:rsidP="00D2123D">
            <w:pPr>
              <w:pStyle w:val="BodyText"/>
            </w:pPr>
          </w:p>
        </w:tc>
      </w:tr>
      <w:tr w:rsidR="00977693" w:rsidRPr="00CE0885" w14:paraId="6832FD18" w14:textId="77777777" w:rsidTr="00213D9D">
        <w:tc>
          <w:tcPr>
            <w:tcW w:w="2235" w:type="dxa"/>
          </w:tcPr>
          <w:p w14:paraId="0D724203" w14:textId="77777777" w:rsidR="00977693" w:rsidRPr="00CE0885" w:rsidRDefault="00977693" w:rsidP="00D2123D">
            <w:pPr>
              <w:pStyle w:val="BodyText"/>
            </w:pPr>
            <w:r w:rsidRPr="00CE0885">
              <w:t>Practice area</w:t>
            </w:r>
          </w:p>
          <w:p w14:paraId="735B2536" w14:textId="77777777" w:rsidR="00977693" w:rsidRPr="00CE0885" w:rsidRDefault="00977693" w:rsidP="00D2123D">
            <w:pPr>
              <w:pStyle w:val="BodyText"/>
            </w:pPr>
            <w:r w:rsidRPr="00CE0885">
              <w:t>(provide map of  area)</w:t>
            </w:r>
          </w:p>
        </w:tc>
        <w:tc>
          <w:tcPr>
            <w:tcW w:w="2604" w:type="dxa"/>
          </w:tcPr>
          <w:p w14:paraId="0AAF7B56" w14:textId="77777777" w:rsidR="00977693" w:rsidRPr="00CE0885" w:rsidRDefault="00977693" w:rsidP="00D2123D">
            <w:pPr>
              <w:pStyle w:val="BodyText"/>
            </w:pPr>
          </w:p>
        </w:tc>
        <w:tc>
          <w:tcPr>
            <w:tcW w:w="2604" w:type="dxa"/>
          </w:tcPr>
          <w:p w14:paraId="091B4951" w14:textId="77777777" w:rsidR="00977693" w:rsidRPr="00CE0885" w:rsidRDefault="00977693" w:rsidP="00D2123D">
            <w:pPr>
              <w:pStyle w:val="BodyText"/>
            </w:pPr>
          </w:p>
        </w:tc>
        <w:tc>
          <w:tcPr>
            <w:tcW w:w="2605" w:type="dxa"/>
          </w:tcPr>
          <w:p w14:paraId="76D86F4E" w14:textId="77777777" w:rsidR="00977693" w:rsidRPr="00CE0885" w:rsidRDefault="00977693" w:rsidP="00D2123D">
            <w:pPr>
              <w:pStyle w:val="BodyText"/>
            </w:pPr>
          </w:p>
        </w:tc>
      </w:tr>
      <w:tr w:rsidR="00977693" w:rsidRPr="00CE0885" w14:paraId="09D3F617" w14:textId="77777777" w:rsidTr="00213D9D">
        <w:tc>
          <w:tcPr>
            <w:tcW w:w="2235" w:type="dxa"/>
          </w:tcPr>
          <w:p w14:paraId="07246201" w14:textId="77777777" w:rsidR="00977693" w:rsidRPr="00CE0885" w:rsidRDefault="00977693" w:rsidP="00D2123D">
            <w:pPr>
              <w:pStyle w:val="BodyText"/>
            </w:pPr>
            <w:r w:rsidRPr="00CE0885">
              <w:t>List size</w:t>
            </w:r>
          </w:p>
          <w:p w14:paraId="19D08380" w14:textId="77777777" w:rsidR="00977693" w:rsidRPr="00CE0885" w:rsidRDefault="00977693" w:rsidP="00D2123D">
            <w:pPr>
              <w:pStyle w:val="BodyText"/>
            </w:pPr>
            <w:r w:rsidRPr="00CE0885">
              <w:t>(provide figure)</w:t>
            </w:r>
          </w:p>
        </w:tc>
        <w:tc>
          <w:tcPr>
            <w:tcW w:w="2604" w:type="dxa"/>
          </w:tcPr>
          <w:p w14:paraId="6F5195BF" w14:textId="77777777" w:rsidR="00977693" w:rsidRPr="00CE0885" w:rsidRDefault="00977693" w:rsidP="00D2123D">
            <w:pPr>
              <w:pStyle w:val="BodyText"/>
            </w:pPr>
          </w:p>
        </w:tc>
        <w:tc>
          <w:tcPr>
            <w:tcW w:w="2604" w:type="dxa"/>
          </w:tcPr>
          <w:p w14:paraId="27EAAED5" w14:textId="77777777" w:rsidR="00977693" w:rsidRPr="00CE0885" w:rsidRDefault="00977693" w:rsidP="00D2123D">
            <w:pPr>
              <w:pStyle w:val="BodyText"/>
            </w:pPr>
          </w:p>
        </w:tc>
        <w:tc>
          <w:tcPr>
            <w:tcW w:w="2605" w:type="dxa"/>
          </w:tcPr>
          <w:p w14:paraId="7141F153" w14:textId="77777777" w:rsidR="00977693" w:rsidRPr="00CE0885" w:rsidRDefault="00977693" w:rsidP="00D2123D">
            <w:pPr>
              <w:pStyle w:val="BodyText"/>
            </w:pPr>
          </w:p>
        </w:tc>
      </w:tr>
      <w:tr w:rsidR="00977693" w:rsidRPr="00CE0885" w14:paraId="71976CF6" w14:textId="77777777" w:rsidTr="00213D9D">
        <w:tc>
          <w:tcPr>
            <w:tcW w:w="2235" w:type="dxa"/>
          </w:tcPr>
          <w:p w14:paraId="23948A6D" w14:textId="77777777" w:rsidR="00977693" w:rsidRPr="00CE0885" w:rsidRDefault="00977693" w:rsidP="00D2123D">
            <w:pPr>
              <w:pStyle w:val="BodyText"/>
            </w:pPr>
            <w:r w:rsidRPr="00CE0885">
              <w:t>Number of GPs and clinical sessions</w:t>
            </w:r>
          </w:p>
          <w:p w14:paraId="148F48AC" w14:textId="77777777" w:rsidR="00977693" w:rsidRPr="00CE0885" w:rsidRDefault="00977693" w:rsidP="00D2123D">
            <w:pPr>
              <w:pStyle w:val="BodyText"/>
            </w:pPr>
            <w:r w:rsidRPr="00CE0885">
              <w:t>(provide breakdown)</w:t>
            </w:r>
          </w:p>
        </w:tc>
        <w:tc>
          <w:tcPr>
            <w:tcW w:w="2604" w:type="dxa"/>
          </w:tcPr>
          <w:p w14:paraId="57E3B67D" w14:textId="77777777" w:rsidR="00977693" w:rsidRPr="00CE0885" w:rsidRDefault="00977693" w:rsidP="00D2123D">
            <w:pPr>
              <w:pStyle w:val="BodyText"/>
            </w:pPr>
          </w:p>
        </w:tc>
        <w:tc>
          <w:tcPr>
            <w:tcW w:w="2604" w:type="dxa"/>
          </w:tcPr>
          <w:p w14:paraId="55DCC89A" w14:textId="77777777" w:rsidR="00977693" w:rsidRPr="00CE0885" w:rsidRDefault="00977693" w:rsidP="00D2123D">
            <w:pPr>
              <w:pStyle w:val="BodyText"/>
            </w:pPr>
          </w:p>
        </w:tc>
        <w:tc>
          <w:tcPr>
            <w:tcW w:w="2605" w:type="dxa"/>
          </w:tcPr>
          <w:p w14:paraId="1208AB11" w14:textId="77777777" w:rsidR="00977693" w:rsidRPr="00CE0885" w:rsidRDefault="00977693" w:rsidP="00D2123D">
            <w:pPr>
              <w:pStyle w:val="BodyText"/>
            </w:pPr>
          </w:p>
        </w:tc>
      </w:tr>
      <w:tr w:rsidR="00977693" w:rsidRPr="00CE0885" w14:paraId="5C622B93" w14:textId="77777777" w:rsidTr="00213D9D">
        <w:tc>
          <w:tcPr>
            <w:tcW w:w="2235" w:type="dxa"/>
          </w:tcPr>
          <w:p w14:paraId="593C05A3" w14:textId="77777777" w:rsidR="00977693" w:rsidRPr="00CE0885" w:rsidRDefault="00977693" w:rsidP="00D2123D">
            <w:pPr>
              <w:pStyle w:val="BodyText"/>
            </w:pPr>
            <w:r w:rsidRPr="00CE0885">
              <w:t>Number of other practice staff</w:t>
            </w:r>
          </w:p>
          <w:p w14:paraId="6EB12A2F" w14:textId="77777777" w:rsidR="00977693" w:rsidRPr="00CE0885" w:rsidRDefault="00977693" w:rsidP="00D2123D">
            <w:pPr>
              <w:pStyle w:val="BodyText"/>
            </w:pPr>
            <w:r w:rsidRPr="00CE0885">
              <w:t>(provide breakdown)</w:t>
            </w:r>
          </w:p>
        </w:tc>
        <w:tc>
          <w:tcPr>
            <w:tcW w:w="2604" w:type="dxa"/>
          </w:tcPr>
          <w:p w14:paraId="1DAC4377" w14:textId="77777777" w:rsidR="00977693" w:rsidRPr="00CE0885" w:rsidRDefault="00977693" w:rsidP="00D2123D">
            <w:pPr>
              <w:pStyle w:val="BodyText"/>
            </w:pPr>
          </w:p>
        </w:tc>
        <w:tc>
          <w:tcPr>
            <w:tcW w:w="2604" w:type="dxa"/>
          </w:tcPr>
          <w:p w14:paraId="74A4DF67" w14:textId="77777777" w:rsidR="00977693" w:rsidRPr="00CE0885" w:rsidRDefault="00977693" w:rsidP="00D2123D">
            <w:pPr>
              <w:pStyle w:val="BodyText"/>
            </w:pPr>
          </w:p>
        </w:tc>
        <w:tc>
          <w:tcPr>
            <w:tcW w:w="2605" w:type="dxa"/>
          </w:tcPr>
          <w:p w14:paraId="741B74F1" w14:textId="77777777" w:rsidR="00977693" w:rsidRPr="00CE0885" w:rsidRDefault="00977693" w:rsidP="00D2123D">
            <w:pPr>
              <w:pStyle w:val="BodyText"/>
            </w:pPr>
          </w:p>
        </w:tc>
      </w:tr>
      <w:tr w:rsidR="00977693" w:rsidRPr="00CE0885" w14:paraId="74855947" w14:textId="77777777" w:rsidTr="00213D9D">
        <w:tc>
          <w:tcPr>
            <w:tcW w:w="2235" w:type="dxa"/>
          </w:tcPr>
          <w:p w14:paraId="3D2E8124" w14:textId="77777777" w:rsidR="00977693" w:rsidRPr="00CE0885" w:rsidRDefault="00977693" w:rsidP="00D2123D">
            <w:pPr>
              <w:pStyle w:val="BodyText"/>
            </w:pPr>
            <w:r w:rsidRPr="00CE0885">
              <w:t>Number of hours of nursing time</w:t>
            </w:r>
          </w:p>
          <w:p w14:paraId="3C1D1AA5" w14:textId="77777777" w:rsidR="00977693" w:rsidRPr="00CE0885" w:rsidRDefault="00977693" w:rsidP="00D2123D">
            <w:pPr>
              <w:pStyle w:val="BodyText"/>
            </w:pPr>
            <w:r w:rsidRPr="00CE0885">
              <w:t>(provide breakdown)</w:t>
            </w:r>
          </w:p>
        </w:tc>
        <w:tc>
          <w:tcPr>
            <w:tcW w:w="2604" w:type="dxa"/>
          </w:tcPr>
          <w:p w14:paraId="4393FA3E" w14:textId="77777777" w:rsidR="00977693" w:rsidRPr="00CE0885" w:rsidRDefault="00977693" w:rsidP="00D2123D">
            <w:pPr>
              <w:pStyle w:val="BodyText"/>
            </w:pPr>
          </w:p>
        </w:tc>
        <w:tc>
          <w:tcPr>
            <w:tcW w:w="2604" w:type="dxa"/>
          </w:tcPr>
          <w:p w14:paraId="1EF3EF3F" w14:textId="77777777" w:rsidR="00977693" w:rsidRPr="00CE0885" w:rsidRDefault="00977693" w:rsidP="00D2123D">
            <w:pPr>
              <w:pStyle w:val="BodyText"/>
            </w:pPr>
          </w:p>
        </w:tc>
        <w:tc>
          <w:tcPr>
            <w:tcW w:w="2605" w:type="dxa"/>
          </w:tcPr>
          <w:p w14:paraId="0F2E0BBF" w14:textId="77777777" w:rsidR="00977693" w:rsidRPr="00CE0885" w:rsidRDefault="00977693" w:rsidP="00D2123D">
            <w:pPr>
              <w:pStyle w:val="BodyText"/>
            </w:pPr>
          </w:p>
        </w:tc>
      </w:tr>
      <w:tr w:rsidR="00977693" w:rsidRPr="00CE0885" w14:paraId="22D3BD7D" w14:textId="77777777" w:rsidTr="00213D9D">
        <w:tc>
          <w:tcPr>
            <w:tcW w:w="2235" w:type="dxa"/>
          </w:tcPr>
          <w:p w14:paraId="3ABEF028" w14:textId="77777777" w:rsidR="00977693" w:rsidRPr="00CE0885" w:rsidRDefault="00977693" w:rsidP="00D2123D">
            <w:pPr>
              <w:pStyle w:val="BodyText"/>
            </w:pPr>
            <w:r w:rsidRPr="00CE0885">
              <w:t>CCG area(s)</w:t>
            </w:r>
          </w:p>
          <w:p w14:paraId="4A0FEFA5" w14:textId="77777777" w:rsidR="00977693" w:rsidRPr="00CE0885" w:rsidRDefault="00977693" w:rsidP="00D2123D">
            <w:pPr>
              <w:pStyle w:val="BodyText"/>
            </w:pPr>
            <w:r w:rsidRPr="00CE0885">
              <w:t>(list CCG(s) in which practices are located)</w:t>
            </w:r>
          </w:p>
        </w:tc>
        <w:tc>
          <w:tcPr>
            <w:tcW w:w="2604" w:type="dxa"/>
          </w:tcPr>
          <w:p w14:paraId="606960DC" w14:textId="77777777" w:rsidR="00977693" w:rsidRPr="00CE0885" w:rsidRDefault="00977693" w:rsidP="00D2123D">
            <w:pPr>
              <w:pStyle w:val="BodyText"/>
            </w:pPr>
          </w:p>
        </w:tc>
        <w:tc>
          <w:tcPr>
            <w:tcW w:w="2604" w:type="dxa"/>
          </w:tcPr>
          <w:p w14:paraId="45B5C28B" w14:textId="77777777" w:rsidR="00977693" w:rsidRPr="00CE0885" w:rsidRDefault="00977693" w:rsidP="00D2123D">
            <w:pPr>
              <w:pStyle w:val="BodyText"/>
            </w:pPr>
          </w:p>
        </w:tc>
        <w:tc>
          <w:tcPr>
            <w:tcW w:w="2605" w:type="dxa"/>
          </w:tcPr>
          <w:p w14:paraId="68F53A8A" w14:textId="77777777" w:rsidR="00977693" w:rsidRPr="00CE0885" w:rsidRDefault="00977693" w:rsidP="00D2123D">
            <w:pPr>
              <w:pStyle w:val="BodyText"/>
            </w:pPr>
          </w:p>
        </w:tc>
      </w:tr>
      <w:tr w:rsidR="00977693" w:rsidRPr="00CE0885" w14:paraId="4E602AC6" w14:textId="77777777" w:rsidTr="00213D9D">
        <w:tc>
          <w:tcPr>
            <w:tcW w:w="2235" w:type="dxa"/>
          </w:tcPr>
          <w:p w14:paraId="301939D4" w14:textId="77777777" w:rsidR="00977693" w:rsidRPr="00CE0885" w:rsidRDefault="00977693" w:rsidP="00D2123D">
            <w:pPr>
              <w:pStyle w:val="BodyText"/>
            </w:pPr>
            <w:r w:rsidRPr="00CE0885">
              <w:t>Which computer system/s</w:t>
            </w:r>
          </w:p>
          <w:p w14:paraId="52CC568D" w14:textId="77777777" w:rsidR="00977693" w:rsidRPr="00CE0885" w:rsidRDefault="00977693" w:rsidP="00D2123D">
            <w:pPr>
              <w:pStyle w:val="BodyText"/>
            </w:pPr>
            <w:r w:rsidRPr="00CE0885">
              <w:t>(list system(s) used)</w:t>
            </w:r>
          </w:p>
        </w:tc>
        <w:tc>
          <w:tcPr>
            <w:tcW w:w="2604" w:type="dxa"/>
          </w:tcPr>
          <w:p w14:paraId="04214594" w14:textId="77777777" w:rsidR="00977693" w:rsidRPr="00CE0885" w:rsidRDefault="00977693" w:rsidP="00D2123D">
            <w:pPr>
              <w:pStyle w:val="BodyText"/>
            </w:pPr>
          </w:p>
        </w:tc>
        <w:tc>
          <w:tcPr>
            <w:tcW w:w="2604" w:type="dxa"/>
          </w:tcPr>
          <w:p w14:paraId="0B76F6E4" w14:textId="77777777" w:rsidR="00977693" w:rsidRPr="00CE0885" w:rsidRDefault="00977693" w:rsidP="00D2123D">
            <w:pPr>
              <w:pStyle w:val="BodyText"/>
            </w:pPr>
          </w:p>
        </w:tc>
        <w:tc>
          <w:tcPr>
            <w:tcW w:w="2605" w:type="dxa"/>
          </w:tcPr>
          <w:p w14:paraId="6DEA3E2D" w14:textId="77777777" w:rsidR="00977693" w:rsidRPr="00CE0885" w:rsidRDefault="00977693" w:rsidP="00D2123D">
            <w:pPr>
              <w:pStyle w:val="BodyText"/>
            </w:pPr>
          </w:p>
        </w:tc>
      </w:tr>
      <w:tr w:rsidR="00977693" w:rsidRPr="00CE0885" w14:paraId="68B157C9" w14:textId="77777777" w:rsidTr="00213D9D">
        <w:tc>
          <w:tcPr>
            <w:tcW w:w="2235" w:type="dxa"/>
          </w:tcPr>
          <w:p w14:paraId="5A55D375" w14:textId="77777777" w:rsidR="00977693" w:rsidRPr="00CE0885" w:rsidRDefault="00977693" w:rsidP="00D2123D">
            <w:pPr>
              <w:pStyle w:val="BodyText"/>
            </w:pPr>
            <w:r w:rsidRPr="00CE0885">
              <w:t>Clinical  governance/ complaints lead and systems</w:t>
            </w:r>
          </w:p>
          <w:p w14:paraId="299E0E11" w14:textId="77777777" w:rsidR="00977693" w:rsidRPr="00CE0885" w:rsidRDefault="00977693" w:rsidP="00D2123D">
            <w:pPr>
              <w:pStyle w:val="BodyText"/>
            </w:pPr>
            <w:r w:rsidRPr="00CE0885">
              <w:t>(provide names)</w:t>
            </w:r>
          </w:p>
        </w:tc>
        <w:tc>
          <w:tcPr>
            <w:tcW w:w="2604" w:type="dxa"/>
          </w:tcPr>
          <w:p w14:paraId="2F8E5E7F" w14:textId="77777777" w:rsidR="00977693" w:rsidRPr="00CE0885" w:rsidRDefault="00977693" w:rsidP="00D2123D">
            <w:pPr>
              <w:pStyle w:val="BodyText"/>
            </w:pPr>
          </w:p>
        </w:tc>
        <w:tc>
          <w:tcPr>
            <w:tcW w:w="2604" w:type="dxa"/>
          </w:tcPr>
          <w:p w14:paraId="03CBEA15" w14:textId="77777777" w:rsidR="00977693" w:rsidRPr="00CE0885" w:rsidRDefault="00977693" w:rsidP="00D2123D">
            <w:pPr>
              <w:pStyle w:val="BodyText"/>
            </w:pPr>
          </w:p>
        </w:tc>
        <w:tc>
          <w:tcPr>
            <w:tcW w:w="2605" w:type="dxa"/>
          </w:tcPr>
          <w:p w14:paraId="40DFE718" w14:textId="77777777" w:rsidR="00977693" w:rsidRPr="00CE0885" w:rsidRDefault="00977693" w:rsidP="00D2123D">
            <w:pPr>
              <w:pStyle w:val="BodyText"/>
            </w:pPr>
          </w:p>
        </w:tc>
      </w:tr>
      <w:tr w:rsidR="00977693" w:rsidRPr="00CE0885" w14:paraId="0B368F52" w14:textId="77777777" w:rsidTr="00213D9D">
        <w:tc>
          <w:tcPr>
            <w:tcW w:w="2235" w:type="dxa"/>
          </w:tcPr>
          <w:p w14:paraId="7681B293" w14:textId="77777777" w:rsidR="00977693" w:rsidRPr="00CE0885" w:rsidRDefault="00977693" w:rsidP="00D2123D">
            <w:pPr>
              <w:pStyle w:val="BodyText"/>
            </w:pPr>
            <w:r w:rsidRPr="00CE0885">
              <w:t>Training practice</w:t>
            </w:r>
          </w:p>
          <w:p w14:paraId="68ACBB91" w14:textId="77777777" w:rsidR="00977693" w:rsidRPr="00CE0885" w:rsidRDefault="00977693" w:rsidP="00D2123D">
            <w:pPr>
              <w:pStyle w:val="BodyText"/>
            </w:pPr>
            <w:r w:rsidRPr="00CE0885">
              <w:t>(yes/no)</w:t>
            </w:r>
          </w:p>
        </w:tc>
        <w:tc>
          <w:tcPr>
            <w:tcW w:w="2604" w:type="dxa"/>
          </w:tcPr>
          <w:p w14:paraId="45A4A7C8" w14:textId="77777777" w:rsidR="00977693" w:rsidRPr="00CE0885" w:rsidRDefault="00977693" w:rsidP="00D2123D">
            <w:pPr>
              <w:pStyle w:val="BodyText"/>
            </w:pPr>
          </w:p>
        </w:tc>
        <w:tc>
          <w:tcPr>
            <w:tcW w:w="2604" w:type="dxa"/>
          </w:tcPr>
          <w:p w14:paraId="58C57208" w14:textId="77777777" w:rsidR="00977693" w:rsidRPr="00CE0885" w:rsidRDefault="00977693" w:rsidP="00D2123D">
            <w:pPr>
              <w:pStyle w:val="BodyText"/>
            </w:pPr>
          </w:p>
        </w:tc>
        <w:tc>
          <w:tcPr>
            <w:tcW w:w="2605" w:type="dxa"/>
          </w:tcPr>
          <w:p w14:paraId="29B47699" w14:textId="77777777" w:rsidR="00977693" w:rsidRPr="00CE0885" w:rsidRDefault="00977693" w:rsidP="00D2123D">
            <w:pPr>
              <w:pStyle w:val="BodyText"/>
            </w:pPr>
          </w:p>
        </w:tc>
      </w:tr>
      <w:tr w:rsidR="00977693" w:rsidRPr="00CE0885" w14:paraId="4509EC1E" w14:textId="77777777" w:rsidTr="00213D9D">
        <w:tc>
          <w:tcPr>
            <w:tcW w:w="2235" w:type="dxa"/>
          </w:tcPr>
          <w:p w14:paraId="4724F80F" w14:textId="77777777" w:rsidR="00977693" w:rsidRPr="00CE0885" w:rsidRDefault="00977693" w:rsidP="00D2123D">
            <w:pPr>
              <w:pStyle w:val="BodyText"/>
            </w:pPr>
            <w:r w:rsidRPr="00CE0885">
              <w:t>Opening hours</w:t>
            </w:r>
          </w:p>
          <w:p w14:paraId="704D24EC" w14:textId="77777777" w:rsidR="00977693" w:rsidRPr="00CE0885" w:rsidRDefault="00977693" w:rsidP="00D2123D">
            <w:pPr>
              <w:pStyle w:val="BodyText"/>
            </w:pPr>
            <w:r w:rsidRPr="00CE0885">
              <w:t>(list days and times)</w:t>
            </w:r>
          </w:p>
        </w:tc>
        <w:tc>
          <w:tcPr>
            <w:tcW w:w="2604" w:type="dxa"/>
          </w:tcPr>
          <w:p w14:paraId="5A8E6AE4" w14:textId="77777777" w:rsidR="00977693" w:rsidRPr="00CE0885" w:rsidRDefault="00977693" w:rsidP="00D2123D">
            <w:pPr>
              <w:pStyle w:val="BodyText"/>
            </w:pPr>
          </w:p>
        </w:tc>
        <w:tc>
          <w:tcPr>
            <w:tcW w:w="2604" w:type="dxa"/>
          </w:tcPr>
          <w:p w14:paraId="24A7A218" w14:textId="77777777" w:rsidR="00977693" w:rsidRPr="00CE0885" w:rsidRDefault="00977693" w:rsidP="00D2123D">
            <w:pPr>
              <w:pStyle w:val="BodyText"/>
            </w:pPr>
          </w:p>
        </w:tc>
        <w:tc>
          <w:tcPr>
            <w:tcW w:w="2605" w:type="dxa"/>
          </w:tcPr>
          <w:p w14:paraId="4E023076" w14:textId="77777777" w:rsidR="00977693" w:rsidRPr="00CE0885" w:rsidRDefault="00977693" w:rsidP="00D2123D">
            <w:pPr>
              <w:pStyle w:val="BodyText"/>
            </w:pPr>
          </w:p>
        </w:tc>
      </w:tr>
      <w:tr w:rsidR="00977693" w:rsidRPr="00CE0885" w14:paraId="304A47F9" w14:textId="77777777" w:rsidTr="00213D9D">
        <w:tc>
          <w:tcPr>
            <w:tcW w:w="2235" w:type="dxa"/>
          </w:tcPr>
          <w:p w14:paraId="28B41F27" w14:textId="77777777" w:rsidR="00977693" w:rsidRPr="00CE0885" w:rsidRDefault="00977693" w:rsidP="00D2123D">
            <w:pPr>
              <w:pStyle w:val="BodyText"/>
            </w:pPr>
            <w:r w:rsidRPr="00CE0885">
              <w:t>Extended hours</w:t>
            </w:r>
          </w:p>
          <w:p w14:paraId="211BF65C" w14:textId="77777777" w:rsidR="00977693" w:rsidRPr="00CE0885" w:rsidRDefault="00977693" w:rsidP="00D2123D">
            <w:pPr>
              <w:pStyle w:val="BodyText"/>
            </w:pPr>
            <w:r w:rsidRPr="00CE0885">
              <w:t>(list days and times)</w:t>
            </w:r>
          </w:p>
        </w:tc>
        <w:tc>
          <w:tcPr>
            <w:tcW w:w="2604" w:type="dxa"/>
          </w:tcPr>
          <w:p w14:paraId="48C6DD12" w14:textId="77777777" w:rsidR="00977693" w:rsidRPr="00CE0885" w:rsidRDefault="00977693" w:rsidP="00D2123D">
            <w:pPr>
              <w:pStyle w:val="BodyText"/>
            </w:pPr>
          </w:p>
        </w:tc>
        <w:tc>
          <w:tcPr>
            <w:tcW w:w="2604" w:type="dxa"/>
          </w:tcPr>
          <w:p w14:paraId="101BD77B" w14:textId="77777777" w:rsidR="00977693" w:rsidRPr="00CE0885" w:rsidRDefault="00977693" w:rsidP="00D2123D">
            <w:pPr>
              <w:pStyle w:val="BodyText"/>
            </w:pPr>
          </w:p>
        </w:tc>
        <w:tc>
          <w:tcPr>
            <w:tcW w:w="2605" w:type="dxa"/>
          </w:tcPr>
          <w:p w14:paraId="1726384B" w14:textId="77777777" w:rsidR="00977693" w:rsidRPr="00CE0885" w:rsidRDefault="00977693" w:rsidP="00D2123D">
            <w:pPr>
              <w:pStyle w:val="BodyText"/>
            </w:pPr>
          </w:p>
        </w:tc>
      </w:tr>
      <w:tr w:rsidR="00977693" w:rsidRPr="00CE0885" w14:paraId="2377F0C5" w14:textId="77777777" w:rsidTr="00213D9D">
        <w:tc>
          <w:tcPr>
            <w:tcW w:w="2235" w:type="dxa"/>
          </w:tcPr>
          <w:p w14:paraId="2CB7F42C" w14:textId="77777777" w:rsidR="00977693" w:rsidRPr="00CE0885" w:rsidRDefault="00977693" w:rsidP="00D2123D">
            <w:pPr>
              <w:pStyle w:val="BodyText"/>
            </w:pPr>
            <w:r w:rsidRPr="00CE0885">
              <w:t xml:space="preserve">Enhanced services </w:t>
            </w:r>
          </w:p>
          <w:p w14:paraId="281F1839" w14:textId="77777777" w:rsidR="00977693" w:rsidRPr="00CE0885" w:rsidRDefault="00977693" w:rsidP="00D2123D">
            <w:pPr>
              <w:pStyle w:val="BodyText"/>
            </w:pPr>
            <w:r w:rsidRPr="00CE0885">
              <w:t>(list all enhanced services delivered)</w:t>
            </w:r>
          </w:p>
        </w:tc>
        <w:tc>
          <w:tcPr>
            <w:tcW w:w="2604" w:type="dxa"/>
          </w:tcPr>
          <w:p w14:paraId="4BF10D2F" w14:textId="77777777" w:rsidR="00977693" w:rsidRPr="00CE0885" w:rsidRDefault="00977693" w:rsidP="00D2123D">
            <w:pPr>
              <w:pStyle w:val="BodyText"/>
            </w:pPr>
          </w:p>
        </w:tc>
        <w:tc>
          <w:tcPr>
            <w:tcW w:w="2604" w:type="dxa"/>
          </w:tcPr>
          <w:p w14:paraId="7993B30A" w14:textId="77777777" w:rsidR="00977693" w:rsidRPr="00CE0885" w:rsidRDefault="00977693" w:rsidP="00D2123D">
            <w:pPr>
              <w:pStyle w:val="BodyText"/>
            </w:pPr>
          </w:p>
        </w:tc>
        <w:tc>
          <w:tcPr>
            <w:tcW w:w="2605" w:type="dxa"/>
          </w:tcPr>
          <w:p w14:paraId="32488736" w14:textId="77777777" w:rsidR="00977693" w:rsidRPr="00CE0885" w:rsidRDefault="00977693" w:rsidP="00D2123D">
            <w:pPr>
              <w:pStyle w:val="BodyText"/>
            </w:pPr>
          </w:p>
        </w:tc>
      </w:tr>
      <w:tr w:rsidR="00977693" w:rsidRPr="00CE0885" w14:paraId="03CDA794" w14:textId="77777777" w:rsidTr="00213D9D">
        <w:tc>
          <w:tcPr>
            <w:tcW w:w="2235" w:type="dxa"/>
          </w:tcPr>
          <w:p w14:paraId="4B5C7A5A" w14:textId="77777777" w:rsidR="00977693" w:rsidRPr="00CE0885" w:rsidRDefault="00977693" w:rsidP="00D2123D">
            <w:pPr>
              <w:pStyle w:val="BodyText"/>
            </w:pPr>
            <w:r w:rsidRPr="00CE0885">
              <w:t>Premises</w:t>
            </w:r>
          </w:p>
          <w:p w14:paraId="35CE9ECB" w14:textId="77777777" w:rsidR="00977693" w:rsidRPr="00CE0885" w:rsidRDefault="00977693" w:rsidP="00D2123D">
            <w:pPr>
              <w:pStyle w:val="BodyText"/>
            </w:pPr>
            <w:r w:rsidRPr="00CE0885">
              <w:t>(for each premises listed above, indicate whether premises are owned or leased and provide details of the terms of occupation)</w:t>
            </w:r>
          </w:p>
        </w:tc>
        <w:tc>
          <w:tcPr>
            <w:tcW w:w="2604" w:type="dxa"/>
          </w:tcPr>
          <w:p w14:paraId="52AEB241" w14:textId="77777777" w:rsidR="00977693" w:rsidRPr="00CE0885" w:rsidRDefault="00977693" w:rsidP="00D2123D">
            <w:pPr>
              <w:pStyle w:val="BodyText"/>
            </w:pPr>
          </w:p>
        </w:tc>
        <w:tc>
          <w:tcPr>
            <w:tcW w:w="2604" w:type="dxa"/>
          </w:tcPr>
          <w:p w14:paraId="12F93FA8" w14:textId="77777777" w:rsidR="00977693" w:rsidRPr="00CE0885" w:rsidRDefault="00977693" w:rsidP="00D2123D">
            <w:pPr>
              <w:pStyle w:val="BodyText"/>
            </w:pPr>
          </w:p>
        </w:tc>
        <w:tc>
          <w:tcPr>
            <w:tcW w:w="2605" w:type="dxa"/>
          </w:tcPr>
          <w:p w14:paraId="7F0BD3EA" w14:textId="77777777" w:rsidR="00977693" w:rsidRPr="00CE0885" w:rsidRDefault="00977693" w:rsidP="00D2123D">
            <w:pPr>
              <w:pStyle w:val="BodyText"/>
            </w:pPr>
          </w:p>
        </w:tc>
      </w:tr>
    </w:tbl>
    <w:p w14:paraId="03A29E14" w14:textId="77777777" w:rsidR="00977693" w:rsidRPr="00CE0885" w:rsidRDefault="00977693" w:rsidP="00977693">
      <w:pPr>
        <w:rPr>
          <w:rFonts w:cs="Arial"/>
          <w:szCs w:val="24"/>
        </w:rPr>
      </w:pPr>
    </w:p>
    <w:p w14:paraId="1097196B" w14:textId="77777777" w:rsidR="00977693" w:rsidRPr="00CE0885" w:rsidRDefault="00977693" w:rsidP="00977693">
      <w:pPr>
        <w:rPr>
          <w:rFonts w:cs="Arial"/>
          <w:szCs w:val="24"/>
        </w:rPr>
      </w:pPr>
    </w:p>
    <w:p w14:paraId="0FB6E189" w14:textId="77777777" w:rsidR="00977693" w:rsidRPr="00CE0885" w:rsidRDefault="00977693" w:rsidP="00977693">
      <w:pPr>
        <w:rPr>
          <w:rFonts w:cs="Arial"/>
          <w:b/>
          <w:szCs w:val="24"/>
        </w:rPr>
      </w:pPr>
      <w:r w:rsidRPr="00CE0885">
        <w:rPr>
          <w:rFonts w:cs="Arial"/>
          <w:b/>
          <w:szCs w:val="24"/>
        </w:rPr>
        <w:t>2. Patient benefits</w:t>
      </w:r>
    </w:p>
    <w:p w14:paraId="75F6F911" w14:textId="77777777" w:rsidR="00977693" w:rsidRPr="00CE0885" w:rsidRDefault="00977693" w:rsidP="00977693">
      <w:pPr>
        <w:rPr>
          <w:rFonts w:cs="Arial"/>
          <w:b/>
          <w:szCs w:val="24"/>
        </w:rPr>
      </w:pPr>
    </w:p>
    <w:tbl>
      <w:tblPr>
        <w:tblStyle w:val="TableGrid"/>
        <w:tblW w:w="0" w:type="auto"/>
        <w:tblLook w:val="04A0" w:firstRow="1" w:lastRow="0" w:firstColumn="1" w:lastColumn="0" w:noHBand="0" w:noVBand="1"/>
        <w:tblCaption w:val="a text box"/>
        <w:tblDescription w:val="a text box"/>
      </w:tblPr>
      <w:tblGrid>
        <w:gridCol w:w="9242"/>
      </w:tblGrid>
      <w:tr w:rsidR="00977693" w:rsidRPr="00CE0885" w14:paraId="790B8635" w14:textId="77777777" w:rsidTr="00BD5B3E">
        <w:trPr>
          <w:tblHeader/>
        </w:trPr>
        <w:tc>
          <w:tcPr>
            <w:tcW w:w="9242" w:type="dxa"/>
          </w:tcPr>
          <w:p w14:paraId="1EBDF923" w14:textId="77777777" w:rsidR="00977693" w:rsidRPr="00CE0885" w:rsidRDefault="00977693" w:rsidP="00213D9D">
            <w:pPr>
              <w:spacing w:before="120" w:after="120"/>
              <w:rPr>
                <w:rFonts w:cs="Arial"/>
                <w:szCs w:val="24"/>
              </w:rPr>
            </w:pPr>
            <w:r w:rsidRPr="00CE0885">
              <w:rPr>
                <w:rFonts w:cs="Arial"/>
                <w:szCs w:val="24"/>
              </w:rPr>
              <w:t>Please explain below the consequences of the proposed practice merger for patients. You should include comments on any benefits or adverse effects on patients in relation to matters such as access to services and service delivery arrangements.</w:t>
            </w:r>
          </w:p>
        </w:tc>
      </w:tr>
      <w:tr w:rsidR="00977693" w:rsidRPr="00CE0885" w14:paraId="7660ACA2" w14:textId="77777777" w:rsidTr="00213D9D">
        <w:tc>
          <w:tcPr>
            <w:tcW w:w="9242" w:type="dxa"/>
          </w:tcPr>
          <w:p w14:paraId="4A289EEE" w14:textId="77777777" w:rsidR="00977693" w:rsidRPr="00CE0885" w:rsidRDefault="00977693" w:rsidP="00213D9D">
            <w:pPr>
              <w:spacing w:before="120" w:after="120"/>
              <w:rPr>
                <w:rFonts w:cs="Arial"/>
                <w:b/>
                <w:szCs w:val="24"/>
              </w:rPr>
            </w:pPr>
          </w:p>
          <w:p w14:paraId="1365FE16" w14:textId="77777777" w:rsidR="00977693" w:rsidRPr="00CE0885" w:rsidRDefault="00977693" w:rsidP="00213D9D">
            <w:pPr>
              <w:spacing w:before="120" w:after="120"/>
              <w:rPr>
                <w:rFonts w:cs="Arial"/>
                <w:b/>
                <w:szCs w:val="24"/>
              </w:rPr>
            </w:pPr>
          </w:p>
          <w:p w14:paraId="4AD13B81" w14:textId="77777777" w:rsidR="00977693" w:rsidRPr="00CE0885" w:rsidRDefault="00977693" w:rsidP="00213D9D">
            <w:pPr>
              <w:spacing w:before="120" w:after="120"/>
              <w:rPr>
                <w:rFonts w:cs="Arial"/>
                <w:b/>
                <w:szCs w:val="24"/>
              </w:rPr>
            </w:pPr>
          </w:p>
          <w:p w14:paraId="57E48F77" w14:textId="77777777" w:rsidR="00977693" w:rsidRPr="00CE0885" w:rsidRDefault="00977693" w:rsidP="00213D9D">
            <w:pPr>
              <w:spacing w:before="120" w:after="120"/>
              <w:rPr>
                <w:rFonts w:cs="Arial"/>
                <w:b/>
                <w:szCs w:val="24"/>
              </w:rPr>
            </w:pPr>
          </w:p>
        </w:tc>
      </w:tr>
    </w:tbl>
    <w:p w14:paraId="75CBABF9" w14:textId="77777777" w:rsidR="00977693" w:rsidRPr="00CE0885" w:rsidRDefault="00977693" w:rsidP="00977693">
      <w:pPr>
        <w:rPr>
          <w:rFonts w:cs="Arial"/>
          <w:b/>
          <w:szCs w:val="24"/>
        </w:rPr>
      </w:pPr>
    </w:p>
    <w:p w14:paraId="219169AB" w14:textId="77777777" w:rsidR="00977693" w:rsidRPr="00CE0885" w:rsidRDefault="00977693" w:rsidP="00977693">
      <w:pPr>
        <w:rPr>
          <w:rFonts w:cs="Arial"/>
          <w:b/>
          <w:szCs w:val="24"/>
        </w:rPr>
      </w:pPr>
    </w:p>
    <w:p w14:paraId="628F827C" w14:textId="77777777" w:rsidR="00977693" w:rsidRPr="00CE0885" w:rsidRDefault="00977693" w:rsidP="00977693">
      <w:pPr>
        <w:rPr>
          <w:rFonts w:cs="Arial"/>
          <w:b/>
          <w:szCs w:val="24"/>
        </w:rPr>
      </w:pPr>
      <w:r w:rsidRPr="00CE0885">
        <w:rPr>
          <w:rFonts w:cs="Arial"/>
          <w:b/>
          <w:szCs w:val="24"/>
        </w:rPr>
        <w:t xml:space="preserve">3. Financial considerations </w:t>
      </w:r>
    </w:p>
    <w:p w14:paraId="368DC62F" w14:textId="77777777" w:rsidR="00977693" w:rsidRPr="00CE0885" w:rsidRDefault="00977693" w:rsidP="00977693">
      <w:pPr>
        <w:rPr>
          <w:rFonts w:cs="Arial"/>
          <w:b/>
          <w:szCs w:val="24"/>
        </w:rPr>
      </w:pPr>
    </w:p>
    <w:tbl>
      <w:tblPr>
        <w:tblStyle w:val="TableGrid"/>
        <w:tblW w:w="0" w:type="auto"/>
        <w:tblLook w:val="04A0" w:firstRow="1" w:lastRow="0" w:firstColumn="1" w:lastColumn="0" w:noHBand="0" w:noVBand="1"/>
        <w:tblCaption w:val="a text box"/>
        <w:tblDescription w:val="a text box"/>
      </w:tblPr>
      <w:tblGrid>
        <w:gridCol w:w="2660"/>
        <w:gridCol w:w="6582"/>
      </w:tblGrid>
      <w:tr w:rsidR="00977693" w:rsidRPr="00CE0885" w14:paraId="1EA6795B" w14:textId="77777777" w:rsidTr="00BD5B3E">
        <w:trPr>
          <w:tblHeader/>
        </w:trPr>
        <w:tc>
          <w:tcPr>
            <w:tcW w:w="9242" w:type="dxa"/>
            <w:gridSpan w:val="2"/>
          </w:tcPr>
          <w:p w14:paraId="77F8CB91" w14:textId="77777777" w:rsidR="00977693" w:rsidRPr="00CE0885" w:rsidRDefault="00977693" w:rsidP="00213D9D">
            <w:pPr>
              <w:spacing w:before="120" w:after="120"/>
              <w:rPr>
                <w:rFonts w:cs="Arial"/>
                <w:szCs w:val="24"/>
              </w:rPr>
            </w:pPr>
            <w:r w:rsidRPr="00CE0885">
              <w:rPr>
                <w:rFonts w:cs="Arial"/>
                <w:szCs w:val="24"/>
              </w:rPr>
              <w:t xml:space="preserve">Please provide comments </w:t>
            </w:r>
            <w:r w:rsidRPr="00CE0885">
              <w:rPr>
                <w:rFonts w:cs="Arial"/>
                <w:b/>
                <w:szCs w:val="24"/>
                <w:u w:val="single"/>
              </w:rPr>
              <w:t>from a financial perspective</w:t>
            </w:r>
            <w:r w:rsidRPr="00CE0885">
              <w:rPr>
                <w:rFonts w:cs="Arial"/>
                <w:szCs w:val="24"/>
              </w:rPr>
              <w:t xml:space="preserve"> on the following matters if they are relevant to the proposed practice merger.</w:t>
            </w:r>
          </w:p>
        </w:tc>
      </w:tr>
      <w:tr w:rsidR="00977693" w:rsidRPr="00CE0885" w14:paraId="680233B9" w14:textId="77777777" w:rsidTr="00213D9D">
        <w:tc>
          <w:tcPr>
            <w:tcW w:w="2660" w:type="dxa"/>
          </w:tcPr>
          <w:p w14:paraId="738A5F50" w14:textId="77777777" w:rsidR="00977693" w:rsidRPr="00CE0885" w:rsidRDefault="00977693" w:rsidP="00213D9D">
            <w:pPr>
              <w:spacing w:before="120" w:after="120"/>
              <w:rPr>
                <w:rFonts w:cs="Arial"/>
                <w:b/>
                <w:szCs w:val="24"/>
              </w:rPr>
            </w:pPr>
            <w:r w:rsidRPr="00CE0885">
              <w:rPr>
                <w:rFonts w:cs="Arial"/>
                <w:b/>
                <w:szCs w:val="24"/>
              </w:rPr>
              <w:t>Premises</w:t>
            </w:r>
          </w:p>
        </w:tc>
        <w:tc>
          <w:tcPr>
            <w:tcW w:w="6582" w:type="dxa"/>
          </w:tcPr>
          <w:p w14:paraId="1E77764D" w14:textId="77777777" w:rsidR="00977693" w:rsidRPr="00CE0885" w:rsidRDefault="00977693" w:rsidP="00213D9D">
            <w:pPr>
              <w:spacing w:before="120" w:after="120"/>
              <w:rPr>
                <w:rFonts w:cs="Arial"/>
                <w:b/>
                <w:szCs w:val="24"/>
              </w:rPr>
            </w:pPr>
          </w:p>
        </w:tc>
      </w:tr>
      <w:tr w:rsidR="00977693" w:rsidRPr="00CE0885" w14:paraId="34081E8B" w14:textId="77777777" w:rsidTr="00213D9D">
        <w:tc>
          <w:tcPr>
            <w:tcW w:w="2660" w:type="dxa"/>
          </w:tcPr>
          <w:p w14:paraId="3787328C" w14:textId="77777777" w:rsidR="00977693" w:rsidRPr="00CE0885" w:rsidRDefault="00977693" w:rsidP="00213D9D">
            <w:pPr>
              <w:spacing w:before="120" w:after="120"/>
              <w:rPr>
                <w:rFonts w:cs="Arial"/>
                <w:b/>
                <w:szCs w:val="24"/>
              </w:rPr>
            </w:pPr>
            <w:r w:rsidRPr="00CE0885">
              <w:rPr>
                <w:rFonts w:cs="Arial"/>
                <w:b/>
                <w:szCs w:val="24"/>
              </w:rPr>
              <w:t>IT</w:t>
            </w:r>
          </w:p>
        </w:tc>
        <w:tc>
          <w:tcPr>
            <w:tcW w:w="6582" w:type="dxa"/>
          </w:tcPr>
          <w:p w14:paraId="58AB05BE" w14:textId="77777777" w:rsidR="00977693" w:rsidRPr="00CE0885" w:rsidRDefault="00977693" w:rsidP="00213D9D">
            <w:pPr>
              <w:spacing w:before="120" w:after="120"/>
              <w:rPr>
                <w:rFonts w:cs="Arial"/>
                <w:b/>
                <w:szCs w:val="24"/>
              </w:rPr>
            </w:pPr>
          </w:p>
        </w:tc>
      </w:tr>
      <w:tr w:rsidR="00977693" w:rsidRPr="00CE0885" w14:paraId="37575885" w14:textId="77777777" w:rsidTr="00213D9D">
        <w:tc>
          <w:tcPr>
            <w:tcW w:w="2660" w:type="dxa"/>
          </w:tcPr>
          <w:p w14:paraId="36889024" w14:textId="77777777" w:rsidR="00977693" w:rsidRPr="00CE0885" w:rsidRDefault="00977693" w:rsidP="00213D9D">
            <w:pPr>
              <w:spacing w:before="120" w:after="120"/>
              <w:rPr>
                <w:rFonts w:cs="Arial"/>
                <w:b/>
                <w:szCs w:val="24"/>
              </w:rPr>
            </w:pPr>
            <w:r w:rsidRPr="00CE0885">
              <w:rPr>
                <w:rFonts w:cs="Arial"/>
                <w:b/>
                <w:szCs w:val="24"/>
              </w:rPr>
              <w:t>TUPE</w:t>
            </w:r>
          </w:p>
        </w:tc>
        <w:tc>
          <w:tcPr>
            <w:tcW w:w="6582" w:type="dxa"/>
          </w:tcPr>
          <w:p w14:paraId="300E8028" w14:textId="77777777" w:rsidR="00977693" w:rsidRPr="00CE0885" w:rsidRDefault="00977693" w:rsidP="00213D9D">
            <w:pPr>
              <w:spacing w:before="120" w:after="120"/>
              <w:rPr>
                <w:rFonts w:cs="Arial"/>
                <w:b/>
                <w:szCs w:val="24"/>
              </w:rPr>
            </w:pPr>
          </w:p>
        </w:tc>
      </w:tr>
      <w:tr w:rsidR="00977693" w:rsidRPr="00CE0885" w14:paraId="78D1CDDC" w14:textId="77777777" w:rsidTr="00213D9D">
        <w:tc>
          <w:tcPr>
            <w:tcW w:w="2660" w:type="dxa"/>
          </w:tcPr>
          <w:p w14:paraId="2CEBC5ED" w14:textId="77777777" w:rsidR="00977693" w:rsidRPr="00CE0885" w:rsidRDefault="00977693" w:rsidP="00213D9D">
            <w:pPr>
              <w:spacing w:before="120" w:after="120"/>
              <w:rPr>
                <w:rFonts w:cs="Arial"/>
                <w:b/>
                <w:szCs w:val="24"/>
              </w:rPr>
            </w:pPr>
            <w:r w:rsidRPr="00CE0885">
              <w:rPr>
                <w:rFonts w:cs="Arial"/>
                <w:b/>
                <w:szCs w:val="24"/>
              </w:rPr>
              <w:t>Redundancy</w:t>
            </w:r>
          </w:p>
        </w:tc>
        <w:tc>
          <w:tcPr>
            <w:tcW w:w="6582" w:type="dxa"/>
          </w:tcPr>
          <w:p w14:paraId="6C14E63E" w14:textId="77777777" w:rsidR="00977693" w:rsidRPr="00CE0885" w:rsidRDefault="00977693" w:rsidP="00213D9D">
            <w:pPr>
              <w:spacing w:before="120" w:after="120"/>
              <w:rPr>
                <w:rFonts w:cs="Arial"/>
                <w:b/>
                <w:szCs w:val="24"/>
              </w:rPr>
            </w:pPr>
          </w:p>
        </w:tc>
      </w:tr>
      <w:tr w:rsidR="00977693" w:rsidRPr="00CE0885" w14:paraId="7B3C0D7B" w14:textId="77777777" w:rsidTr="00213D9D">
        <w:tc>
          <w:tcPr>
            <w:tcW w:w="2660" w:type="dxa"/>
          </w:tcPr>
          <w:p w14:paraId="23D35C25" w14:textId="77777777" w:rsidR="00977693" w:rsidRPr="00CE0885" w:rsidRDefault="00977693" w:rsidP="00213D9D">
            <w:pPr>
              <w:spacing w:before="120" w:after="120"/>
              <w:rPr>
                <w:rFonts w:cs="Arial"/>
                <w:b/>
                <w:szCs w:val="24"/>
              </w:rPr>
            </w:pPr>
            <w:r w:rsidRPr="00CE0885">
              <w:rPr>
                <w:rFonts w:cs="Arial"/>
                <w:b/>
                <w:szCs w:val="24"/>
              </w:rPr>
              <w:t>QOF</w:t>
            </w:r>
          </w:p>
        </w:tc>
        <w:tc>
          <w:tcPr>
            <w:tcW w:w="6582" w:type="dxa"/>
          </w:tcPr>
          <w:p w14:paraId="7E82CE94" w14:textId="77777777" w:rsidR="00977693" w:rsidRPr="00CE0885" w:rsidRDefault="00977693" w:rsidP="00213D9D">
            <w:pPr>
              <w:spacing w:before="120" w:after="120"/>
              <w:rPr>
                <w:rFonts w:cs="Arial"/>
                <w:b/>
                <w:szCs w:val="24"/>
              </w:rPr>
            </w:pPr>
          </w:p>
        </w:tc>
      </w:tr>
      <w:tr w:rsidR="00977693" w:rsidRPr="00CE0885" w14:paraId="06468CDA" w14:textId="77777777" w:rsidTr="00213D9D">
        <w:tc>
          <w:tcPr>
            <w:tcW w:w="2660" w:type="dxa"/>
          </w:tcPr>
          <w:p w14:paraId="49DE227E" w14:textId="77777777" w:rsidR="00977693" w:rsidRPr="00CE0885" w:rsidRDefault="00977693" w:rsidP="00213D9D">
            <w:pPr>
              <w:spacing w:before="120" w:after="120"/>
              <w:rPr>
                <w:rFonts w:cs="Arial"/>
                <w:b/>
                <w:szCs w:val="24"/>
              </w:rPr>
            </w:pPr>
            <w:r w:rsidRPr="00CE0885">
              <w:rPr>
                <w:rFonts w:cs="Arial"/>
                <w:b/>
                <w:szCs w:val="24"/>
              </w:rPr>
              <w:t xml:space="preserve">Pension/seniority </w:t>
            </w:r>
          </w:p>
        </w:tc>
        <w:tc>
          <w:tcPr>
            <w:tcW w:w="6582" w:type="dxa"/>
          </w:tcPr>
          <w:p w14:paraId="69DE0A85" w14:textId="77777777" w:rsidR="00977693" w:rsidRPr="00CE0885" w:rsidRDefault="00977693" w:rsidP="00213D9D">
            <w:pPr>
              <w:spacing w:before="120" w:after="120"/>
              <w:rPr>
                <w:rFonts w:cs="Arial"/>
                <w:b/>
                <w:szCs w:val="24"/>
              </w:rPr>
            </w:pPr>
          </w:p>
        </w:tc>
      </w:tr>
      <w:tr w:rsidR="00977693" w:rsidRPr="00CE0885" w14:paraId="4E799C43" w14:textId="77777777" w:rsidTr="00213D9D">
        <w:tc>
          <w:tcPr>
            <w:tcW w:w="2660" w:type="dxa"/>
          </w:tcPr>
          <w:p w14:paraId="5B963653" w14:textId="77777777" w:rsidR="00977693" w:rsidRPr="00CE0885" w:rsidRDefault="00977693" w:rsidP="00213D9D">
            <w:pPr>
              <w:spacing w:before="120" w:after="120"/>
              <w:rPr>
                <w:rFonts w:cs="Arial"/>
                <w:b/>
                <w:szCs w:val="24"/>
              </w:rPr>
            </w:pPr>
            <w:r w:rsidRPr="00CE0885">
              <w:rPr>
                <w:rFonts w:cs="Arial"/>
                <w:b/>
                <w:szCs w:val="24"/>
              </w:rPr>
              <w:t xml:space="preserve">MPIG/PMS Premium </w:t>
            </w:r>
          </w:p>
        </w:tc>
        <w:tc>
          <w:tcPr>
            <w:tcW w:w="6582" w:type="dxa"/>
          </w:tcPr>
          <w:p w14:paraId="2CAEF1A9" w14:textId="77777777" w:rsidR="00977693" w:rsidRPr="00CE0885" w:rsidRDefault="00977693" w:rsidP="00213D9D">
            <w:pPr>
              <w:spacing w:before="120" w:after="120"/>
              <w:rPr>
                <w:rFonts w:cs="Arial"/>
                <w:b/>
                <w:szCs w:val="24"/>
              </w:rPr>
            </w:pPr>
          </w:p>
        </w:tc>
      </w:tr>
      <w:tr w:rsidR="00977693" w:rsidRPr="00CE0885" w14:paraId="20436DAB" w14:textId="77777777" w:rsidTr="00213D9D">
        <w:tc>
          <w:tcPr>
            <w:tcW w:w="2660" w:type="dxa"/>
          </w:tcPr>
          <w:p w14:paraId="2A6C9533" w14:textId="77777777" w:rsidR="00977693" w:rsidRPr="00CE0885" w:rsidRDefault="00977693" w:rsidP="00213D9D">
            <w:pPr>
              <w:spacing w:before="120" w:after="120"/>
              <w:rPr>
                <w:rFonts w:cs="Arial"/>
                <w:b/>
                <w:szCs w:val="24"/>
              </w:rPr>
            </w:pPr>
            <w:r w:rsidRPr="00CE0885">
              <w:rPr>
                <w:rFonts w:cs="Arial"/>
                <w:b/>
                <w:szCs w:val="24"/>
              </w:rPr>
              <w:t>Dispensing</w:t>
            </w:r>
          </w:p>
        </w:tc>
        <w:tc>
          <w:tcPr>
            <w:tcW w:w="6582" w:type="dxa"/>
          </w:tcPr>
          <w:p w14:paraId="22A49DB8" w14:textId="77777777" w:rsidR="00977693" w:rsidRPr="00CE0885" w:rsidRDefault="00977693" w:rsidP="00213D9D">
            <w:pPr>
              <w:spacing w:before="120" w:after="120"/>
              <w:rPr>
                <w:rFonts w:cs="Arial"/>
                <w:b/>
                <w:szCs w:val="24"/>
              </w:rPr>
            </w:pPr>
          </w:p>
        </w:tc>
      </w:tr>
    </w:tbl>
    <w:p w14:paraId="55D2FA15" w14:textId="77777777" w:rsidR="00977693" w:rsidRPr="00CE0885" w:rsidRDefault="00977693" w:rsidP="00977693">
      <w:pPr>
        <w:rPr>
          <w:rFonts w:cs="Arial"/>
          <w:b/>
          <w:szCs w:val="24"/>
        </w:rPr>
      </w:pPr>
    </w:p>
    <w:p w14:paraId="19D0E3FA" w14:textId="77777777" w:rsidR="00977693" w:rsidRPr="00CE0885" w:rsidRDefault="00977693" w:rsidP="00977693">
      <w:pPr>
        <w:rPr>
          <w:rFonts w:cs="Arial"/>
          <w:b/>
          <w:szCs w:val="24"/>
        </w:rPr>
      </w:pPr>
    </w:p>
    <w:p w14:paraId="7DC6BA52" w14:textId="77777777" w:rsidR="00977693" w:rsidRPr="00CE0885" w:rsidRDefault="00977693" w:rsidP="00977693">
      <w:pPr>
        <w:rPr>
          <w:rFonts w:cs="Arial"/>
          <w:b/>
          <w:szCs w:val="24"/>
        </w:rPr>
      </w:pPr>
      <w:r w:rsidRPr="00CE0885">
        <w:rPr>
          <w:rFonts w:cs="Arial"/>
          <w:b/>
          <w:szCs w:val="24"/>
        </w:rPr>
        <w:t>4. Service delivery</w:t>
      </w:r>
    </w:p>
    <w:p w14:paraId="4BE6C716" w14:textId="77777777" w:rsidR="00977693" w:rsidRPr="00CE0885" w:rsidRDefault="00977693" w:rsidP="00977693">
      <w:pPr>
        <w:rPr>
          <w:rFonts w:cs="Arial"/>
          <w:b/>
          <w:szCs w:val="24"/>
        </w:rPr>
      </w:pPr>
    </w:p>
    <w:tbl>
      <w:tblPr>
        <w:tblStyle w:val="TableGrid"/>
        <w:tblW w:w="0" w:type="auto"/>
        <w:tblLook w:val="04A0" w:firstRow="1" w:lastRow="0" w:firstColumn="1" w:lastColumn="0" w:noHBand="0" w:noVBand="1"/>
        <w:tblCaption w:val="a text box"/>
        <w:tblDescription w:val="a text box"/>
      </w:tblPr>
      <w:tblGrid>
        <w:gridCol w:w="2660"/>
        <w:gridCol w:w="6582"/>
      </w:tblGrid>
      <w:tr w:rsidR="00977693" w:rsidRPr="00CE0885" w14:paraId="484665CF" w14:textId="77777777" w:rsidTr="00BD5B3E">
        <w:trPr>
          <w:tblHeader/>
        </w:trPr>
        <w:tc>
          <w:tcPr>
            <w:tcW w:w="9242" w:type="dxa"/>
            <w:gridSpan w:val="2"/>
          </w:tcPr>
          <w:p w14:paraId="6F707506" w14:textId="77777777" w:rsidR="00977693" w:rsidRPr="00CE0885" w:rsidRDefault="00977693" w:rsidP="00213D9D">
            <w:pPr>
              <w:spacing w:before="120" w:after="120"/>
              <w:rPr>
                <w:rFonts w:cs="Arial"/>
                <w:szCs w:val="24"/>
              </w:rPr>
            </w:pPr>
            <w:r w:rsidRPr="00CE0885">
              <w:rPr>
                <w:rFonts w:cs="Arial"/>
                <w:szCs w:val="24"/>
              </w:rPr>
              <w:t xml:space="preserve">Please provide comments </w:t>
            </w:r>
            <w:r w:rsidRPr="00CE0885">
              <w:rPr>
                <w:rFonts w:cs="Arial"/>
                <w:b/>
                <w:szCs w:val="24"/>
                <w:u w:val="single"/>
              </w:rPr>
              <w:t>from a service delivery perspective</w:t>
            </w:r>
            <w:r w:rsidRPr="00CE0885">
              <w:rPr>
                <w:rFonts w:cs="Arial"/>
                <w:szCs w:val="24"/>
              </w:rPr>
              <w:t xml:space="preserve"> on the following matters if they are relevant to the proposed practice merger.</w:t>
            </w:r>
          </w:p>
        </w:tc>
      </w:tr>
      <w:tr w:rsidR="00977693" w:rsidRPr="00CE0885" w14:paraId="2562100A" w14:textId="77777777" w:rsidTr="00213D9D">
        <w:tc>
          <w:tcPr>
            <w:tcW w:w="2660" w:type="dxa"/>
          </w:tcPr>
          <w:p w14:paraId="4FBC8F23" w14:textId="77777777" w:rsidR="00977693" w:rsidRPr="00CE0885" w:rsidRDefault="00977693" w:rsidP="00213D9D">
            <w:pPr>
              <w:spacing w:before="120" w:after="120"/>
              <w:rPr>
                <w:rFonts w:cs="Arial"/>
                <w:b/>
                <w:szCs w:val="24"/>
              </w:rPr>
            </w:pPr>
            <w:r w:rsidRPr="00CE0885">
              <w:rPr>
                <w:rFonts w:cs="Arial"/>
                <w:b/>
                <w:szCs w:val="24"/>
              </w:rPr>
              <w:t>QOF</w:t>
            </w:r>
          </w:p>
        </w:tc>
        <w:tc>
          <w:tcPr>
            <w:tcW w:w="6582" w:type="dxa"/>
          </w:tcPr>
          <w:p w14:paraId="0FCC22DC" w14:textId="77777777" w:rsidR="00977693" w:rsidRPr="00CE0885" w:rsidRDefault="00977693" w:rsidP="00213D9D">
            <w:pPr>
              <w:spacing w:before="120" w:after="120"/>
              <w:rPr>
                <w:rFonts w:cs="Arial"/>
                <w:b/>
                <w:szCs w:val="24"/>
              </w:rPr>
            </w:pPr>
          </w:p>
        </w:tc>
      </w:tr>
      <w:tr w:rsidR="00977693" w:rsidRPr="00CE0885" w14:paraId="34B58363" w14:textId="77777777" w:rsidTr="00213D9D">
        <w:tc>
          <w:tcPr>
            <w:tcW w:w="2660" w:type="dxa"/>
          </w:tcPr>
          <w:p w14:paraId="3E0E195D" w14:textId="77777777" w:rsidR="00977693" w:rsidRPr="00CE0885" w:rsidRDefault="00977693" w:rsidP="00213D9D">
            <w:pPr>
              <w:spacing w:before="120" w:after="120"/>
              <w:rPr>
                <w:rFonts w:cs="Arial"/>
                <w:b/>
                <w:szCs w:val="24"/>
              </w:rPr>
            </w:pPr>
            <w:r w:rsidRPr="00CE0885">
              <w:rPr>
                <w:rFonts w:cs="Arial"/>
                <w:b/>
                <w:szCs w:val="24"/>
              </w:rPr>
              <w:t>Access</w:t>
            </w:r>
          </w:p>
        </w:tc>
        <w:tc>
          <w:tcPr>
            <w:tcW w:w="6582" w:type="dxa"/>
          </w:tcPr>
          <w:p w14:paraId="3DEFD46F" w14:textId="77777777" w:rsidR="00977693" w:rsidRPr="00CE0885" w:rsidRDefault="00977693" w:rsidP="00213D9D">
            <w:pPr>
              <w:spacing w:before="120" w:after="120"/>
              <w:rPr>
                <w:rFonts w:cs="Arial"/>
                <w:b/>
                <w:szCs w:val="24"/>
              </w:rPr>
            </w:pPr>
          </w:p>
        </w:tc>
      </w:tr>
      <w:tr w:rsidR="00977693" w:rsidRPr="00CE0885" w14:paraId="52490523" w14:textId="77777777" w:rsidTr="00213D9D">
        <w:tc>
          <w:tcPr>
            <w:tcW w:w="2660" w:type="dxa"/>
          </w:tcPr>
          <w:p w14:paraId="327E375F" w14:textId="77777777" w:rsidR="00977693" w:rsidRPr="00CE0885" w:rsidRDefault="00977693" w:rsidP="00213D9D">
            <w:pPr>
              <w:spacing w:before="120" w:after="120"/>
              <w:rPr>
                <w:rFonts w:cs="Arial"/>
                <w:b/>
                <w:szCs w:val="24"/>
              </w:rPr>
            </w:pPr>
            <w:r w:rsidRPr="00CE0885">
              <w:rPr>
                <w:rFonts w:cs="Arial"/>
                <w:b/>
                <w:szCs w:val="24"/>
              </w:rPr>
              <w:t>Primary Care Web Tool</w:t>
            </w:r>
          </w:p>
        </w:tc>
        <w:tc>
          <w:tcPr>
            <w:tcW w:w="6582" w:type="dxa"/>
          </w:tcPr>
          <w:p w14:paraId="2F1EF926" w14:textId="77777777" w:rsidR="00977693" w:rsidRPr="00CE0885" w:rsidRDefault="00977693" w:rsidP="00213D9D">
            <w:pPr>
              <w:spacing w:before="120" w:after="120"/>
              <w:rPr>
                <w:rFonts w:cs="Arial"/>
                <w:b/>
                <w:szCs w:val="24"/>
              </w:rPr>
            </w:pPr>
          </w:p>
        </w:tc>
      </w:tr>
      <w:tr w:rsidR="00977693" w:rsidRPr="00CE0885" w14:paraId="03FCF2FE" w14:textId="77777777" w:rsidTr="00213D9D">
        <w:tc>
          <w:tcPr>
            <w:tcW w:w="2660" w:type="dxa"/>
          </w:tcPr>
          <w:p w14:paraId="565703DA" w14:textId="77777777" w:rsidR="00977693" w:rsidRPr="00CE0885" w:rsidRDefault="00977693" w:rsidP="00213D9D">
            <w:pPr>
              <w:spacing w:before="120" w:after="120"/>
              <w:rPr>
                <w:rFonts w:cs="Arial"/>
                <w:b/>
                <w:szCs w:val="24"/>
              </w:rPr>
            </w:pPr>
            <w:r w:rsidRPr="00CE0885">
              <w:rPr>
                <w:rFonts w:cs="Arial"/>
                <w:b/>
                <w:szCs w:val="24"/>
              </w:rPr>
              <w:t>Recent of ongoing breaches of contract</w:t>
            </w:r>
          </w:p>
        </w:tc>
        <w:tc>
          <w:tcPr>
            <w:tcW w:w="6582" w:type="dxa"/>
          </w:tcPr>
          <w:p w14:paraId="633BB0DD" w14:textId="77777777" w:rsidR="00977693" w:rsidRPr="00CE0885" w:rsidRDefault="00977693" w:rsidP="00213D9D">
            <w:pPr>
              <w:spacing w:before="120" w:after="120"/>
              <w:rPr>
                <w:rFonts w:cs="Arial"/>
                <w:b/>
                <w:szCs w:val="24"/>
              </w:rPr>
            </w:pPr>
          </w:p>
        </w:tc>
      </w:tr>
      <w:tr w:rsidR="00977693" w:rsidRPr="00CE0885" w14:paraId="301031A1" w14:textId="77777777" w:rsidTr="00213D9D">
        <w:tc>
          <w:tcPr>
            <w:tcW w:w="2660" w:type="dxa"/>
          </w:tcPr>
          <w:p w14:paraId="1A02B28C" w14:textId="77777777" w:rsidR="00977693" w:rsidRPr="00CE0885" w:rsidRDefault="00977693" w:rsidP="00213D9D">
            <w:pPr>
              <w:spacing w:before="120" w:after="120"/>
              <w:rPr>
                <w:rFonts w:cs="Arial"/>
                <w:b/>
                <w:szCs w:val="24"/>
              </w:rPr>
            </w:pPr>
            <w:r w:rsidRPr="00CE0885">
              <w:rPr>
                <w:rFonts w:cs="Arial"/>
                <w:b/>
                <w:szCs w:val="24"/>
              </w:rPr>
              <w:t>Recent or pending CQC matters</w:t>
            </w:r>
          </w:p>
        </w:tc>
        <w:tc>
          <w:tcPr>
            <w:tcW w:w="6582" w:type="dxa"/>
          </w:tcPr>
          <w:p w14:paraId="74886824" w14:textId="77777777" w:rsidR="00977693" w:rsidRPr="00CE0885" w:rsidRDefault="00977693" w:rsidP="00213D9D">
            <w:pPr>
              <w:spacing w:before="120" w:after="120"/>
              <w:rPr>
                <w:rFonts w:cs="Arial"/>
                <w:b/>
                <w:szCs w:val="24"/>
              </w:rPr>
            </w:pPr>
          </w:p>
        </w:tc>
      </w:tr>
      <w:tr w:rsidR="00977693" w:rsidRPr="00CE0885" w14:paraId="49C6F3A8" w14:textId="77777777" w:rsidTr="00213D9D">
        <w:tc>
          <w:tcPr>
            <w:tcW w:w="2660" w:type="dxa"/>
          </w:tcPr>
          <w:p w14:paraId="784CAD66" w14:textId="77777777" w:rsidR="00977693" w:rsidRPr="00CE0885" w:rsidRDefault="00977693" w:rsidP="00213D9D">
            <w:pPr>
              <w:spacing w:before="120" w:after="120"/>
              <w:rPr>
                <w:rFonts w:cs="Arial"/>
                <w:b/>
                <w:szCs w:val="24"/>
              </w:rPr>
            </w:pPr>
            <w:r w:rsidRPr="00CE0885">
              <w:rPr>
                <w:rFonts w:cs="Arial"/>
                <w:b/>
                <w:szCs w:val="24"/>
              </w:rPr>
              <w:t>If one practice's service delivery is of a lower standard, is there a proposal to improve performance</w:t>
            </w:r>
          </w:p>
        </w:tc>
        <w:tc>
          <w:tcPr>
            <w:tcW w:w="6582" w:type="dxa"/>
          </w:tcPr>
          <w:p w14:paraId="30A51FEF" w14:textId="77777777" w:rsidR="00977693" w:rsidRPr="00CE0885" w:rsidRDefault="00977693" w:rsidP="00213D9D">
            <w:pPr>
              <w:spacing w:before="120" w:after="120"/>
              <w:rPr>
                <w:rFonts w:cs="Arial"/>
                <w:b/>
                <w:szCs w:val="24"/>
              </w:rPr>
            </w:pPr>
          </w:p>
        </w:tc>
      </w:tr>
      <w:tr w:rsidR="00977693" w:rsidRPr="00CE0885" w14:paraId="13B3C038" w14:textId="77777777" w:rsidTr="00213D9D">
        <w:tc>
          <w:tcPr>
            <w:tcW w:w="2660" w:type="dxa"/>
          </w:tcPr>
          <w:p w14:paraId="707E5A15" w14:textId="77777777" w:rsidR="00977693" w:rsidRPr="00CE0885" w:rsidRDefault="00977693" w:rsidP="00213D9D">
            <w:pPr>
              <w:spacing w:before="120" w:after="120"/>
              <w:rPr>
                <w:rFonts w:cs="Arial"/>
                <w:b/>
                <w:szCs w:val="24"/>
              </w:rPr>
            </w:pPr>
            <w:r w:rsidRPr="00CE0885">
              <w:rPr>
                <w:rFonts w:cs="Arial"/>
                <w:b/>
                <w:szCs w:val="24"/>
              </w:rPr>
              <w:t>Will there be any cessation of services post-merger?</w:t>
            </w:r>
          </w:p>
        </w:tc>
        <w:tc>
          <w:tcPr>
            <w:tcW w:w="6582" w:type="dxa"/>
          </w:tcPr>
          <w:p w14:paraId="3A52C09B" w14:textId="77777777" w:rsidR="00977693" w:rsidRPr="00CE0885" w:rsidRDefault="00977693" w:rsidP="00213D9D">
            <w:pPr>
              <w:spacing w:before="120" w:after="120"/>
              <w:rPr>
                <w:rFonts w:cs="Arial"/>
                <w:b/>
                <w:szCs w:val="24"/>
              </w:rPr>
            </w:pPr>
          </w:p>
        </w:tc>
      </w:tr>
      <w:tr w:rsidR="00977693" w:rsidRPr="00CE0885" w14:paraId="6C74BA7B" w14:textId="77777777" w:rsidTr="00213D9D">
        <w:tc>
          <w:tcPr>
            <w:tcW w:w="2660" w:type="dxa"/>
          </w:tcPr>
          <w:p w14:paraId="71E1E9E0" w14:textId="77777777" w:rsidR="00977693" w:rsidRPr="00CE0885" w:rsidRDefault="00977693" w:rsidP="00213D9D">
            <w:pPr>
              <w:spacing w:before="120" w:after="120"/>
              <w:rPr>
                <w:rFonts w:cs="Arial"/>
                <w:b/>
                <w:szCs w:val="24"/>
              </w:rPr>
            </w:pPr>
            <w:r w:rsidRPr="00CE0885">
              <w:rPr>
                <w:rFonts w:cs="Arial"/>
                <w:b/>
                <w:szCs w:val="24"/>
              </w:rPr>
              <w:t>Will there be a reduction of hours for which services are provided post-merger?</w:t>
            </w:r>
          </w:p>
        </w:tc>
        <w:tc>
          <w:tcPr>
            <w:tcW w:w="6582" w:type="dxa"/>
          </w:tcPr>
          <w:p w14:paraId="02D625CC" w14:textId="77777777" w:rsidR="00977693" w:rsidRPr="00CE0885" w:rsidRDefault="00977693" w:rsidP="00213D9D">
            <w:pPr>
              <w:spacing w:before="120" w:after="120"/>
              <w:rPr>
                <w:rFonts w:cs="Arial"/>
                <w:b/>
                <w:szCs w:val="24"/>
              </w:rPr>
            </w:pPr>
          </w:p>
        </w:tc>
      </w:tr>
      <w:tr w:rsidR="00977693" w:rsidRPr="00CE0885" w14:paraId="57B19F3D" w14:textId="77777777" w:rsidTr="00213D9D">
        <w:tc>
          <w:tcPr>
            <w:tcW w:w="2660" w:type="dxa"/>
          </w:tcPr>
          <w:p w14:paraId="5522E371" w14:textId="77777777" w:rsidR="00977693" w:rsidRPr="00CE0885" w:rsidRDefault="00977693" w:rsidP="00213D9D">
            <w:pPr>
              <w:spacing w:before="120" w:after="120"/>
              <w:rPr>
                <w:rFonts w:cs="Arial"/>
                <w:b/>
                <w:szCs w:val="24"/>
              </w:rPr>
            </w:pPr>
            <w:r w:rsidRPr="00CE0885">
              <w:rPr>
                <w:rFonts w:cs="Arial"/>
                <w:b/>
                <w:szCs w:val="24"/>
              </w:rPr>
              <w:t>Will there be a change in the hours at which services are provided?</w:t>
            </w:r>
          </w:p>
        </w:tc>
        <w:tc>
          <w:tcPr>
            <w:tcW w:w="6582" w:type="dxa"/>
          </w:tcPr>
          <w:p w14:paraId="367C400A" w14:textId="77777777" w:rsidR="00977693" w:rsidRPr="00CE0885" w:rsidRDefault="00977693" w:rsidP="00213D9D">
            <w:pPr>
              <w:spacing w:before="120" w:after="120"/>
              <w:rPr>
                <w:rFonts w:cs="Arial"/>
                <w:b/>
                <w:szCs w:val="24"/>
              </w:rPr>
            </w:pPr>
          </w:p>
        </w:tc>
      </w:tr>
      <w:tr w:rsidR="00977693" w:rsidRPr="00CE0885" w14:paraId="753AE293" w14:textId="77777777" w:rsidTr="00213D9D">
        <w:tc>
          <w:tcPr>
            <w:tcW w:w="2660" w:type="dxa"/>
          </w:tcPr>
          <w:p w14:paraId="5436DEAB" w14:textId="77777777" w:rsidR="00977693" w:rsidRPr="00CE0885" w:rsidRDefault="00977693" w:rsidP="00213D9D">
            <w:pPr>
              <w:spacing w:before="120" w:after="120"/>
              <w:rPr>
                <w:rFonts w:cs="Arial"/>
                <w:b/>
                <w:szCs w:val="24"/>
              </w:rPr>
            </w:pPr>
            <w:r w:rsidRPr="00CE0885">
              <w:rPr>
                <w:rFonts w:cs="Arial"/>
                <w:b/>
                <w:szCs w:val="24"/>
              </w:rPr>
              <w:t>Will there be a reduction in the number of locations or a change in the location of premises from services are provided?</w:t>
            </w:r>
          </w:p>
        </w:tc>
        <w:tc>
          <w:tcPr>
            <w:tcW w:w="6582" w:type="dxa"/>
          </w:tcPr>
          <w:p w14:paraId="58093B75" w14:textId="77777777" w:rsidR="00977693" w:rsidRPr="00CE0885" w:rsidRDefault="00977693" w:rsidP="00213D9D">
            <w:pPr>
              <w:spacing w:before="120" w:after="120"/>
              <w:rPr>
                <w:rFonts w:cs="Arial"/>
                <w:b/>
                <w:szCs w:val="24"/>
              </w:rPr>
            </w:pPr>
          </w:p>
        </w:tc>
      </w:tr>
      <w:tr w:rsidR="00977693" w:rsidRPr="00CE0885" w14:paraId="35F82108" w14:textId="77777777" w:rsidTr="00213D9D">
        <w:tc>
          <w:tcPr>
            <w:tcW w:w="2660" w:type="dxa"/>
          </w:tcPr>
          <w:p w14:paraId="6F1310E5" w14:textId="77777777" w:rsidR="00977693" w:rsidRPr="00CE0885" w:rsidRDefault="00977693" w:rsidP="00213D9D">
            <w:pPr>
              <w:spacing w:before="120" w:after="120"/>
              <w:rPr>
                <w:rFonts w:cs="Arial"/>
                <w:b/>
                <w:szCs w:val="24"/>
              </w:rPr>
            </w:pPr>
            <w:r w:rsidRPr="00CE0885">
              <w:rPr>
                <w:rFonts w:cs="Arial"/>
                <w:b/>
                <w:szCs w:val="24"/>
              </w:rPr>
              <w:t>Resilience – where the merged patient list is over 10,000, how will the practices ensure resilience to ensure that performance and patient experience is maintained and improved.</w:t>
            </w:r>
          </w:p>
        </w:tc>
        <w:tc>
          <w:tcPr>
            <w:tcW w:w="6582" w:type="dxa"/>
          </w:tcPr>
          <w:p w14:paraId="497C05D2" w14:textId="77777777" w:rsidR="00977693" w:rsidRPr="00CE0885" w:rsidRDefault="00977693" w:rsidP="00213D9D">
            <w:pPr>
              <w:spacing w:before="120" w:after="120"/>
              <w:rPr>
                <w:rFonts w:cs="Arial"/>
                <w:b/>
                <w:szCs w:val="24"/>
              </w:rPr>
            </w:pPr>
          </w:p>
        </w:tc>
      </w:tr>
    </w:tbl>
    <w:p w14:paraId="0B17FE49" w14:textId="77777777" w:rsidR="00977693" w:rsidRPr="00CE0885" w:rsidRDefault="00977693" w:rsidP="00977693">
      <w:pPr>
        <w:rPr>
          <w:rFonts w:cs="Arial"/>
          <w:b/>
          <w:szCs w:val="24"/>
        </w:rPr>
      </w:pPr>
    </w:p>
    <w:p w14:paraId="3282E9D9" w14:textId="77777777" w:rsidR="00977693" w:rsidRPr="00CE0885" w:rsidRDefault="00977693" w:rsidP="00977693">
      <w:pPr>
        <w:rPr>
          <w:rFonts w:cs="Arial"/>
          <w:b/>
          <w:szCs w:val="24"/>
        </w:rPr>
      </w:pPr>
    </w:p>
    <w:p w14:paraId="6351ED91" w14:textId="77777777" w:rsidR="00977693" w:rsidRPr="00CE0885" w:rsidRDefault="00977693" w:rsidP="00977693">
      <w:pPr>
        <w:rPr>
          <w:rFonts w:cs="Arial"/>
          <w:b/>
          <w:szCs w:val="24"/>
        </w:rPr>
      </w:pPr>
      <w:r w:rsidRPr="00CE0885">
        <w:rPr>
          <w:rFonts w:cs="Arial"/>
          <w:b/>
          <w:szCs w:val="24"/>
        </w:rPr>
        <w:t>5. Patient and stakeholder engagement</w:t>
      </w:r>
    </w:p>
    <w:p w14:paraId="5913B54E" w14:textId="77777777" w:rsidR="00977693" w:rsidRPr="00CE0885" w:rsidRDefault="00977693" w:rsidP="00977693">
      <w:pPr>
        <w:rPr>
          <w:rFonts w:cs="Arial"/>
          <w:b/>
          <w:szCs w:val="24"/>
        </w:rPr>
      </w:pPr>
    </w:p>
    <w:tbl>
      <w:tblPr>
        <w:tblStyle w:val="TableGrid"/>
        <w:tblW w:w="0" w:type="auto"/>
        <w:tblLook w:val="04A0" w:firstRow="1" w:lastRow="0" w:firstColumn="1" w:lastColumn="0" w:noHBand="0" w:noVBand="1"/>
        <w:tblCaption w:val="a text box"/>
        <w:tblDescription w:val="a text box"/>
      </w:tblPr>
      <w:tblGrid>
        <w:gridCol w:w="2831"/>
        <w:gridCol w:w="6455"/>
      </w:tblGrid>
      <w:tr w:rsidR="00977693" w:rsidRPr="00CE0885" w14:paraId="23794225" w14:textId="77777777" w:rsidTr="00371D3A">
        <w:trPr>
          <w:tblHeader/>
        </w:trPr>
        <w:tc>
          <w:tcPr>
            <w:tcW w:w="9242" w:type="dxa"/>
            <w:gridSpan w:val="2"/>
          </w:tcPr>
          <w:p w14:paraId="641F652C" w14:textId="77777777" w:rsidR="00977693" w:rsidRPr="00CE0885" w:rsidRDefault="00977693" w:rsidP="00213D9D">
            <w:pPr>
              <w:spacing w:before="120" w:after="120"/>
              <w:rPr>
                <w:rFonts w:cs="Arial"/>
                <w:szCs w:val="24"/>
              </w:rPr>
            </w:pPr>
            <w:r w:rsidRPr="00CE0885">
              <w:rPr>
                <w:rFonts w:cs="Arial"/>
                <w:szCs w:val="24"/>
              </w:rPr>
              <w:t>Please provide comments on the following matters.</w:t>
            </w:r>
          </w:p>
        </w:tc>
      </w:tr>
      <w:tr w:rsidR="00977693" w:rsidRPr="00CE0885" w14:paraId="2543B68E" w14:textId="77777777" w:rsidTr="00213D9D">
        <w:tc>
          <w:tcPr>
            <w:tcW w:w="2660" w:type="dxa"/>
          </w:tcPr>
          <w:p w14:paraId="7DEB5443" w14:textId="77777777" w:rsidR="00977693" w:rsidRPr="00CE0885" w:rsidRDefault="00977693" w:rsidP="00213D9D">
            <w:pPr>
              <w:spacing w:before="120" w:after="120"/>
              <w:rPr>
                <w:rFonts w:cs="Arial"/>
                <w:b/>
                <w:szCs w:val="24"/>
              </w:rPr>
            </w:pPr>
            <w:r w:rsidRPr="00CE0885">
              <w:rPr>
                <w:rFonts w:cs="Arial"/>
                <w:b/>
                <w:szCs w:val="24"/>
              </w:rPr>
              <w:t>Have the practices engaged with patients and/or stakeholders on the practice merger?</w:t>
            </w:r>
          </w:p>
        </w:tc>
        <w:tc>
          <w:tcPr>
            <w:tcW w:w="6582" w:type="dxa"/>
          </w:tcPr>
          <w:p w14:paraId="480C91D7" w14:textId="77777777" w:rsidR="00977693" w:rsidRPr="00CE0885" w:rsidRDefault="00977693" w:rsidP="00213D9D">
            <w:pPr>
              <w:spacing w:before="120" w:after="120"/>
              <w:rPr>
                <w:rFonts w:cs="Arial"/>
                <w:b/>
                <w:szCs w:val="24"/>
              </w:rPr>
            </w:pPr>
          </w:p>
        </w:tc>
      </w:tr>
      <w:tr w:rsidR="00977693" w:rsidRPr="00CE0885" w14:paraId="45BFEF9E" w14:textId="77777777" w:rsidTr="00213D9D">
        <w:tc>
          <w:tcPr>
            <w:tcW w:w="2660" w:type="dxa"/>
          </w:tcPr>
          <w:p w14:paraId="31BF2A12" w14:textId="77777777" w:rsidR="00977693" w:rsidRPr="00CE0885" w:rsidRDefault="00977693" w:rsidP="00213D9D">
            <w:pPr>
              <w:spacing w:before="120" w:after="120"/>
              <w:rPr>
                <w:rFonts w:cs="Arial"/>
                <w:b/>
                <w:szCs w:val="24"/>
              </w:rPr>
            </w:pPr>
            <w:r w:rsidRPr="00CE0885">
              <w:rPr>
                <w:rFonts w:cs="Arial"/>
                <w:b/>
                <w:szCs w:val="24"/>
              </w:rPr>
              <w:t>Do the practices intend to engage with patients/stakeholders?</w:t>
            </w:r>
          </w:p>
        </w:tc>
        <w:tc>
          <w:tcPr>
            <w:tcW w:w="6582" w:type="dxa"/>
          </w:tcPr>
          <w:p w14:paraId="0DBDCF21" w14:textId="77777777" w:rsidR="00977693" w:rsidRPr="00CE0885" w:rsidRDefault="00977693" w:rsidP="00213D9D">
            <w:pPr>
              <w:spacing w:before="120" w:after="120"/>
              <w:rPr>
                <w:rFonts w:cs="Arial"/>
                <w:b/>
                <w:szCs w:val="24"/>
              </w:rPr>
            </w:pPr>
          </w:p>
        </w:tc>
      </w:tr>
      <w:tr w:rsidR="00977693" w:rsidRPr="00CE0885" w14:paraId="0D3B3CBC" w14:textId="77777777" w:rsidTr="00213D9D">
        <w:tc>
          <w:tcPr>
            <w:tcW w:w="2660" w:type="dxa"/>
          </w:tcPr>
          <w:p w14:paraId="6F5856F0" w14:textId="77777777" w:rsidR="00977693" w:rsidRPr="00CE0885" w:rsidRDefault="00977693" w:rsidP="00213D9D">
            <w:pPr>
              <w:spacing w:before="120" w:after="120"/>
              <w:rPr>
                <w:rFonts w:cs="Arial"/>
                <w:b/>
                <w:szCs w:val="24"/>
              </w:rPr>
            </w:pPr>
            <w:r w:rsidRPr="00CE0885">
              <w:rPr>
                <w:rFonts w:cs="Arial"/>
                <w:b/>
                <w:szCs w:val="24"/>
              </w:rPr>
              <w:t>When did/will you engage with patients/stakeholders?</w:t>
            </w:r>
          </w:p>
        </w:tc>
        <w:tc>
          <w:tcPr>
            <w:tcW w:w="6582" w:type="dxa"/>
          </w:tcPr>
          <w:p w14:paraId="2B0C2D86" w14:textId="77777777" w:rsidR="00977693" w:rsidRPr="00CE0885" w:rsidRDefault="00977693" w:rsidP="00213D9D">
            <w:pPr>
              <w:spacing w:before="120" w:after="120"/>
              <w:rPr>
                <w:rFonts w:cs="Arial"/>
                <w:b/>
                <w:szCs w:val="24"/>
              </w:rPr>
            </w:pPr>
          </w:p>
        </w:tc>
      </w:tr>
      <w:tr w:rsidR="00977693" w:rsidRPr="00CE0885" w14:paraId="3BE76C00" w14:textId="77777777" w:rsidTr="00213D9D">
        <w:tc>
          <w:tcPr>
            <w:tcW w:w="2660" w:type="dxa"/>
          </w:tcPr>
          <w:p w14:paraId="34959D9D" w14:textId="77777777" w:rsidR="00977693" w:rsidRPr="00CE0885" w:rsidRDefault="00977693" w:rsidP="00213D9D">
            <w:pPr>
              <w:spacing w:before="120" w:after="120"/>
              <w:rPr>
                <w:rFonts w:cs="Arial"/>
                <w:b/>
                <w:szCs w:val="24"/>
              </w:rPr>
            </w:pPr>
            <w:r w:rsidRPr="00CE0885">
              <w:rPr>
                <w:rFonts w:cs="Arial"/>
                <w:b/>
                <w:szCs w:val="24"/>
              </w:rPr>
              <w:t>In what form did/will you engage with patients/stakeholders?</w:t>
            </w:r>
          </w:p>
        </w:tc>
        <w:tc>
          <w:tcPr>
            <w:tcW w:w="6582" w:type="dxa"/>
          </w:tcPr>
          <w:p w14:paraId="6ACC550B" w14:textId="77777777" w:rsidR="00977693" w:rsidRPr="00CE0885" w:rsidRDefault="00977693" w:rsidP="00213D9D">
            <w:pPr>
              <w:spacing w:before="120" w:after="120"/>
              <w:rPr>
                <w:rFonts w:cs="Arial"/>
                <w:b/>
                <w:szCs w:val="24"/>
              </w:rPr>
            </w:pPr>
          </w:p>
        </w:tc>
      </w:tr>
      <w:tr w:rsidR="00977693" w:rsidRPr="00CE0885" w14:paraId="0925FDFF" w14:textId="77777777" w:rsidTr="00213D9D">
        <w:tc>
          <w:tcPr>
            <w:tcW w:w="2660" w:type="dxa"/>
          </w:tcPr>
          <w:p w14:paraId="38271025" w14:textId="77777777" w:rsidR="00977693" w:rsidRPr="00CE0885" w:rsidRDefault="00977693" w:rsidP="00213D9D">
            <w:pPr>
              <w:spacing w:before="120" w:after="120"/>
              <w:rPr>
                <w:rFonts w:cs="Arial"/>
                <w:b/>
                <w:szCs w:val="24"/>
              </w:rPr>
            </w:pPr>
            <w:r w:rsidRPr="00CE0885">
              <w:rPr>
                <w:rFonts w:cs="Arial"/>
                <w:b/>
                <w:szCs w:val="24"/>
              </w:rPr>
              <w:t>With whom did/will you engage?</w:t>
            </w:r>
          </w:p>
        </w:tc>
        <w:tc>
          <w:tcPr>
            <w:tcW w:w="6582" w:type="dxa"/>
          </w:tcPr>
          <w:p w14:paraId="4DA3349B" w14:textId="77777777" w:rsidR="00977693" w:rsidRPr="00CE0885" w:rsidRDefault="00977693" w:rsidP="00213D9D">
            <w:pPr>
              <w:spacing w:before="120" w:after="120"/>
              <w:rPr>
                <w:rFonts w:cs="Arial"/>
                <w:b/>
                <w:szCs w:val="24"/>
              </w:rPr>
            </w:pPr>
          </w:p>
        </w:tc>
      </w:tr>
      <w:tr w:rsidR="00977693" w:rsidRPr="00CE0885" w14:paraId="7E5B3428" w14:textId="77777777" w:rsidTr="00213D9D">
        <w:tc>
          <w:tcPr>
            <w:tcW w:w="2660" w:type="dxa"/>
          </w:tcPr>
          <w:p w14:paraId="118DD164" w14:textId="77777777" w:rsidR="00977693" w:rsidRPr="00CE0885" w:rsidRDefault="00977693" w:rsidP="00213D9D">
            <w:pPr>
              <w:spacing w:before="120" w:after="120"/>
              <w:rPr>
                <w:rFonts w:cs="Arial"/>
                <w:b/>
                <w:szCs w:val="24"/>
              </w:rPr>
            </w:pPr>
            <w:r w:rsidRPr="00CE0885">
              <w:rPr>
                <w:rFonts w:cs="Arial"/>
                <w:b/>
                <w:szCs w:val="24"/>
              </w:rPr>
              <w:t>If you have already carried out engagements, what was the outcome?</w:t>
            </w:r>
          </w:p>
        </w:tc>
        <w:tc>
          <w:tcPr>
            <w:tcW w:w="6582" w:type="dxa"/>
          </w:tcPr>
          <w:p w14:paraId="08A6B42F" w14:textId="77777777" w:rsidR="00977693" w:rsidRPr="00CE0885" w:rsidRDefault="00977693" w:rsidP="00213D9D">
            <w:pPr>
              <w:spacing w:before="120" w:after="120"/>
              <w:rPr>
                <w:rFonts w:cs="Arial"/>
                <w:b/>
                <w:szCs w:val="24"/>
              </w:rPr>
            </w:pPr>
          </w:p>
        </w:tc>
      </w:tr>
    </w:tbl>
    <w:p w14:paraId="0BECCE82" w14:textId="77777777" w:rsidR="00977693" w:rsidRPr="00CE0885" w:rsidRDefault="00977693" w:rsidP="00977693">
      <w:pPr>
        <w:rPr>
          <w:rFonts w:cs="Arial"/>
          <w:b/>
          <w:szCs w:val="24"/>
        </w:rPr>
      </w:pPr>
    </w:p>
    <w:p w14:paraId="16BAFAF7" w14:textId="77777777" w:rsidR="00977693" w:rsidRPr="00CE0885" w:rsidRDefault="00977693" w:rsidP="00977693">
      <w:pPr>
        <w:rPr>
          <w:rFonts w:cs="Arial"/>
          <w:b/>
          <w:szCs w:val="24"/>
        </w:rPr>
      </w:pPr>
    </w:p>
    <w:p w14:paraId="1E3A8FE1" w14:textId="77777777" w:rsidR="00977693" w:rsidRPr="00CE0885" w:rsidRDefault="00977693" w:rsidP="00977693">
      <w:pPr>
        <w:rPr>
          <w:rFonts w:cs="Arial"/>
          <w:b/>
          <w:szCs w:val="24"/>
        </w:rPr>
      </w:pPr>
      <w:r w:rsidRPr="00CE0885">
        <w:rPr>
          <w:rFonts w:cs="Arial"/>
          <w:b/>
          <w:szCs w:val="24"/>
        </w:rPr>
        <w:t>6. Contractual actions</w:t>
      </w:r>
    </w:p>
    <w:p w14:paraId="47AE5C6A" w14:textId="77777777" w:rsidR="00977693" w:rsidRPr="00CE0885" w:rsidRDefault="00977693" w:rsidP="00977693">
      <w:pPr>
        <w:rPr>
          <w:rFonts w:cs="Arial"/>
          <w:b/>
          <w:szCs w:val="24"/>
        </w:rPr>
      </w:pPr>
    </w:p>
    <w:tbl>
      <w:tblPr>
        <w:tblStyle w:val="TableGrid"/>
        <w:tblW w:w="0" w:type="auto"/>
        <w:tblLook w:val="04A0" w:firstRow="1" w:lastRow="0" w:firstColumn="1" w:lastColumn="0" w:noHBand="0" w:noVBand="1"/>
        <w:tblCaption w:val="a text box"/>
        <w:tblDescription w:val="a text box"/>
      </w:tblPr>
      <w:tblGrid>
        <w:gridCol w:w="9242"/>
      </w:tblGrid>
      <w:tr w:rsidR="00977693" w:rsidRPr="00CE0885" w14:paraId="60BA33AE" w14:textId="77777777" w:rsidTr="00371D3A">
        <w:trPr>
          <w:tblHeader/>
        </w:trPr>
        <w:tc>
          <w:tcPr>
            <w:tcW w:w="9242" w:type="dxa"/>
          </w:tcPr>
          <w:p w14:paraId="071C38C3" w14:textId="77777777" w:rsidR="00977693" w:rsidRPr="00CE0885" w:rsidRDefault="00977693" w:rsidP="00213D9D">
            <w:pPr>
              <w:spacing w:before="120" w:after="120"/>
              <w:rPr>
                <w:rFonts w:cs="Arial"/>
                <w:szCs w:val="24"/>
              </w:rPr>
            </w:pPr>
            <w:r w:rsidRPr="00CE0885">
              <w:rPr>
                <w:rFonts w:cs="Arial"/>
                <w:szCs w:val="24"/>
              </w:rPr>
              <w:t>Please provide below an explanation of any contractual variations that you consider are necessary to effect the proposed practice merger.</w:t>
            </w:r>
          </w:p>
        </w:tc>
      </w:tr>
      <w:tr w:rsidR="00977693" w:rsidRPr="00CE0885" w14:paraId="1507E7EA" w14:textId="77777777" w:rsidTr="00213D9D">
        <w:tc>
          <w:tcPr>
            <w:tcW w:w="9242" w:type="dxa"/>
          </w:tcPr>
          <w:p w14:paraId="625D85CE" w14:textId="77777777" w:rsidR="00977693" w:rsidRPr="00CE0885" w:rsidRDefault="00977693" w:rsidP="00213D9D">
            <w:pPr>
              <w:spacing w:before="120" w:after="120"/>
              <w:rPr>
                <w:rFonts w:cs="Arial"/>
                <w:b/>
                <w:szCs w:val="24"/>
              </w:rPr>
            </w:pPr>
          </w:p>
          <w:p w14:paraId="38E329BF" w14:textId="77777777" w:rsidR="00977693" w:rsidRPr="00CE0885" w:rsidRDefault="00977693" w:rsidP="00213D9D">
            <w:pPr>
              <w:spacing w:before="120" w:after="120"/>
              <w:rPr>
                <w:rFonts w:cs="Arial"/>
                <w:b/>
                <w:szCs w:val="24"/>
              </w:rPr>
            </w:pPr>
          </w:p>
          <w:p w14:paraId="7DC54C2A" w14:textId="77777777" w:rsidR="00977693" w:rsidRPr="00CE0885" w:rsidRDefault="00977693" w:rsidP="00213D9D">
            <w:pPr>
              <w:spacing w:before="120" w:after="120"/>
              <w:rPr>
                <w:rFonts w:cs="Arial"/>
                <w:b/>
                <w:szCs w:val="24"/>
              </w:rPr>
            </w:pPr>
          </w:p>
        </w:tc>
      </w:tr>
    </w:tbl>
    <w:p w14:paraId="6B58AAD6" w14:textId="77777777" w:rsidR="00977693" w:rsidRPr="00CE0885" w:rsidRDefault="00977693" w:rsidP="00977693">
      <w:pPr>
        <w:rPr>
          <w:rFonts w:cs="Arial"/>
          <w:b/>
          <w:szCs w:val="24"/>
        </w:rPr>
      </w:pPr>
      <w:r w:rsidRPr="00CE0885">
        <w:rPr>
          <w:rFonts w:cs="Arial"/>
          <w:b/>
          <w:szCs w:val="24"/>
        </w:rPr>
        <w:t xml:space="preserve"> </w:t>
      </w:r>
    </w:p>
    <w:p w14:paraId="439EC1BD" w14:textId="77777777" w:rsidR="00977693" w:rsidRPr="00CE0885" w:rsidRDefault="00977693" w:rsidP="00977693">
      <w:pPr>
        <w:rPr>
          <w:rFonts w:cs="Arial"/>
          <w:b/>
          <w:szCs w:val="24"/>
        </w:rPr>
      </w:pPr>
    </w:p>
    <w:p w14:paraId="3C7B3C03" w14:textId="77777777" w:rsidR="00977693" w:rsidRPr="00CE0885" w:rsidRDefault="00977693" w:rsidP="00977693">
      <w:pPr>
        <w:rPr>
          <w:rFonts w:cs="Arial"/>
          <w:b/>
          <w:szCs w:val="24"/>
        </w:rPr>
      </w:pPr>
    </w:p>
    <w:p w14:paraId="5EBA1C73" w14:textId="77777777" w:rsidR="00977693" w:rsidRPr="00CE0885" w:rsidRDefault="00977693" w:rsidP="00977693">
      <w:pPr>
        <w:rPr>
          <w:rFonts w:cs="Arial"/>
          <w:b/>
          <w:szCs w:val="24"/>
        </w:rPr>
      </w:pPr>
      <w:r w:rsidRPr="00CE0885">
        <w:rPr>
          <w:rFonts w:cs="Arial"/>
          <w:b/>
          <w:szCs w:val="24"/>
        </w:rPr>
        <w:t>7. Procurement and competition</w:t>
      </w:r>
    </w:p>
    <w:p w14:paraId="24E24E0E" w14:textId="77777777" w:rsidR="00977693" w:rsidRPr="00CE0885" w:rsidRDefault="00977693" w:rsidP="00977693">
      <w:pPr>
        <w:rPr>
          <w:rFonts w:cs="Arial"/>
          <w:b/>
          <w:szCs w:val="24"/>
        </w:rPr>
      </w:pPr>
    </w:p>
    <w:tbl>
      <w:tblPr>
        <w:tblStyle w:val="TableGrid"/>
        <w:tblW w:w="0" w:type="auto"/>
        <w:tblLook w:val="04A0" w:firstRow="1" w:lastRow="0" w:firstColumn="1" w:lastColumn="0" w:noHBand="0" w:noVBand="1"/>
        <w:tblCaption w:val="a text box"/>
        <w:tblDescription w:val="a text box"/>
      </w:tblPr>
      <w:tblGrid>
        <w:gridCol w:w="9242"/>
      </w:tblGrid>
      <w:tr w:rsidR="00977693" w:rsidRPr="00CE0885" w14:paraId="627661C7" w14:textId="77777777" w:rsidTr="00371D3A">
        <w:trPr>
          <w:tblHeader/>
        </w:trPr>
        <w:tc>
          <w:tcPr>
            <w:tcW w:w="9242" w:type="dxa"/>
          </w:tcPr>
          <w:p w14:paraId="18D9469B" w14:textId="77777777" w:rsidR="00977693" w:rsidRPr="00CE0885" w:rsidRDefault="00977693" w:rsidP="00213D9D">
            <w:pPr>
              <w:spacing w:before="120" w:after="120"/>
              <w:rPr>
                <w:rFonts w:cs="Arial"/>
                <w:szCs w:val="24"/>
              </w:rPr>
            </w:pPr>
            <w:r w:rsidRPr="00CE0885">
              <w:rPr>
                <w:rFonts w:cs="Arial"/>
                <w:szCs w:val="24"/>
              </w:rPr>
              <w:t xml:space="preserve">Please provide below any comments on the procurement and/or competition matters that may arise as a result of the proposed contract merger. </w:t>
            </w:r>
          </w:p>
        </w:tc>
      </w:tr>
      <w:tr w:rsidR="00977693" w:rsidRPr="00CE0885" w14:paraId="69C94A2F" w14:textId="77777777" w:rsidTr="00213D9D">
        <w:tc>
          <w:tcPr>
            <w:tcW w:w="9242" w:type="dxa"/>
          </w:tcPr>
          <w:p w14:paraId="7291F558" w14:textId="77777777" w:rsidR="00977693" w:rsidRPr="00CE0885" w:rsidRDefault="00977693" w:rsidP="00213D9D">
            <w:pPr>
              <w:spacing w:before="120" w:after="120"/>
              <w:rPr>
                <w:rFonts w:cs="Arial"/>
                <w:b/>
                <w:szCs w:val="24"/>
              </w:rPr>
            </w:pPr>
          </w:p>
          <w:p w14:paraId="647E19F1" w14:textId="77777777" w:rsidR="00977693" w:rsidRPr="00CE0885" w:rsidRDefault="00977693" w:rsidP="00213D9D">
            <w:pPr>
              <w:spacing w:before="120" w:after="120"/>
              <w:rPr>
                <w:rFonts w:cs="Arial"/>
                <w:b/>
                <w:szCs w:val="24"/>
              </w:rPr>
            </w:pPr>
          </w:p>
          <w:p w14:paraId="54B61ED2" w14:textId="77777777" w:rsidR="00977693" w:rsidRPr="00CE0885" w:rsidRDefault="00977693" w:rsidP="00213D9D">
            <w:pPr>
              <w:spacing w:before="120" w:after="120"/>
              <w:rPr>
                <w:rFonts w:cs="Arial"/>
                <w:b/>
                <w:szCs w:val="24"/>
              </w:rPr>
            </w:pPr>
          </w:p>
        </w:tc>
      </w:tr>
    </w:tbl>
    <w:p w14:paraId="6A2FDC7E" w14:textId="77777777" w:rsidR="00977693" w:rsidRPr="00CE0885" w:rsidRDefault="00977693" w:rsidP="00977693">
      <w:pPr>
        <w:rPr>
          <w:rFonts w:cs="Arial"/>
          <w:b/>
          <w:szCs w:val="24"/>
        </w:rPr>
      </w:pPr>
    </w:p>
    <w:p w14:paraId="492AAB6F" w14:textId="77777777" w:rsidR="00977693" w:rsidRPr="00CE0885" w:rsidRDefault="00977693" w:rsidP="00977693">
      <w:pPr>
        <w:rPr>
          <w:rFonts w:cs="Arial"/>
          <w:b/>
          <w:szCs w:val="24"/>
        </w:rPr>
      </w:pPr>
    </w:p>
    <w:p w14:paraId="04FF9D1E" w14:textId="77777777" w:rsidR="00977693" w:rsidRPr="00CE0885" w:rsidRDefault="00977693" w:rsidP="00977693">
      <w:pPr>
        <w:rPr>
          <w:rFonts w:cs="Arial"/>
          <w:b/>
          <w:szCs w:val="24"/>
        </w:rPr>
      </w:pPr>
    </w:p>
    <w:p w14:paraId="5D3B2891" w14:textId="77777777" w:rsidR="00977693" w:rsidRPr="00CE0885" w:rsidRDefault="00977693" w:rsidP="00977693">
      <w:pPr>
        <w:rPr>
          <w:rFonts w:cs="Arial"/>
          <w:b/>
          <w:szCs w:val="24"/>
        </w:rPr>
      </w:pPr>
      <w:r w:rsidRPr="00CE0885">
        <w:rPr>
          <w:rFonts w:cs="Arial"/>
          <w:b/>
          <w:szCs w:val="24"/>
        </w:rPr>
        <w:t>8. Merger mobilisation</w:t>
      </w:r>
    </w:p>
    <w:p w14:paraId="41902402" w14:textId="77777777" w:rsidR="00977693" w:rsidRPr="00CE0885" w:rsidRDefault="00977693" w:rsidP="00977693">
      <w:pPr>
        <w:rPr>
          <w:rFonts w:cs="Arial"/>
          <w:b/>
          <w:szCs w:val="24"/>
        </w:rPr>
      </w:pPr>
    </w:p>
    <w:tbl>
      <w:tblPr>
        <w:tblStyle w:val="TableGrid"/>
        <w:tblW w:w="0" w:type="auto"/>
        <w:tblLook w:val="04A0" w:firstRow="1" w:lastRow="0" w:firstColumn="1" w:lastColumn="0" w:noHBand="0" w:noVBand="1"/>
        <w:tblCaption w:val="a text box"/>
        <w:tblDescription w:val="a text box"/>
      </w:tblPr>
      <w:tblGrid>
        <w:gridCol w:w="9242"/>
      </w:tblGrid>
      <w:tr w:rsidR="00977693" w:rsidRPr="00CE0885" w14:paraId="2305C195" w14:textId="77777777" w:rsidTr="00371D3A">
        <w:trPr>
          <w:tblHeader/>
        </w:trPr>
        <w:tc>
          <w:tcPr>
            <w:tcW w:w="9242" w:type="dxa"/>
          </w:tcPr>
          <w:p w14:paraId="51C238B1" w14:textId="77777777" w:rsidR="00977693" w:rsidRPr="00CE0885" w:rsidRDefault="00977693" w:rsidP="00213D9D">
            <w:pPr>
              <w:spacing w:before="120" w:after="120"/>
              <w:rPr>
                <w:rFonts w:cs="Arial"/>
                <w:szCs w:val="24"/>
              </w:rPr>
            </w:pPr>
            <w:r w:rsidRPr="00CE0885">
              <w:rPr>
                <w:rFonts w:cs="Arial"/>
                <w:szCs w:val="24"/>
              </w:rPr>
              <w:t xml:space="preserve">Please set out below a step by step plan to the mobilisation of the merger if the business case is approved including what actions are required of the practices and third parties, such as commissioners, the order in which the actions need to be undertaken and timescales for the actions to be completed. A template mobilisation plan that can be used but will need to be amended to fit the proposed practice merger is set out at Annex 12B. </w:t>
            </w:r>
          </w:p>
        </w:tc>
      </w:tr>
      <w:tr w:rsidR="00977693" w:rsidRPr="00CE0885" w14:paraId="6BB48C49" w14:textId="77777777" w:rsidTr="00213D9D">
        <w:tc>
          <w:tcPr>
            <w:tcW w:w="9242" w:type="dxa"/>
          </w:tcPr>
          <w:p w14:paraId="2EE03E75" w14:textId="77777777" w:rsidR="00977693" w:rsidRPr="00CE0885" w:rsidRDefault="00977693" w:rsidP="00213D9D">
            <w:pPr>
              <w:spacing w:before="120" w:after="120"/>
              <w:rPr>
                <w:rFonts w:cs="Arial"/>
                <w:b/>
                <w:szCs w:val="24"/>
              </w:rPr>
            </w:pPr>
          </w:p>
          <w:p w14:paraId="6BC8D35C" w14:textId="77777777" w:rsidR="00977693" w:rsidRPr="00CE0885" w:rsidRDefault="00977693" w:rsidP="00213D9D">
            <w:pPr>
              <w:spacing w:before="120" w:after="120"/>
              <w:rPr>
                <w:rFonts w:cs="Arial"/>
                <w:b/>
                <w:szCs w:val="24"/>
              </w:rPr>
            </w:pPr>
          </w:p>
          <w:p w14:paraId="12616DDB" w14:textId="77777777" w:rsidR="00977693" w:rsidRPr="00CE0885" w:rsidRDefault="00977693" w:rsidP="00213D9D">
            <w:pPr>
              <w:spacing w:before="120" w:after="120"/>
              <w:rPr>
                <w:rFonts w:cs="Arial"/>
                <w:b/>
                <w:szCs w:val="24"/>
              </w:rPr>
            </w:pPr>
          </w:p>
          <w:p w14:paraId="3EC020BB" w14:textId="77777777" w:rsidR="00977693" w:rsidRPr="00CE0885" w:rsidRDefault="00977693" w:rsidP="00213D9D">
            <w:pPr>
              <w:spacing w:before="120" w:after="120"/>
              <w:rPr>
                <w:rFonts w:cs="Arial"/>
                <w:b/>
                <w:szCs w:val="24"/>
              </w:rPr>
            </w:pPr>
          </w:p>
        </w:tc>
      </w:tr>
    </w:tbl>
    <w:p w14:paraId="0876AB02" w14:textId="77777777" w:rsidR="00977693" w:rsidRPr="00CE0885" w:rsidRDefault="00977693" w:rsidP="00977693">
      <w:pPr>
        <w:rPr>
          <w:rFonts w:cs="Arial"/>
          <w:b/>
          <w:szCs w:val="24"/>
        </w:rPr>
      </w:pPr>
    </w:p>
    <w:p w14:paraId="4B8B2126" w14:textId="77777777" w:rsidR="00977693" w:rsidRPr="00CE0885" w:rsidRDefault="00977693" w:rsidP="00977693">
      <w:pPr>
        <w:rPr>
          <w:rFonts w:cs="Arial"/>
          <w:b/>
          <w:szCs w:val="24"/>
        </w:rPr>
      </w:pPr>
    </w:p>
    <w:p w14:paraId="33839C33" w14:textId="77777777" w:rsidR="00977693" w:rsidRPr="00CE0885" w:rsidRDefault="00977693" w:rsidP="00977693">
      <w:pPr>
        <w:rPr>
          <w:rFonts w:cs="Arial"/>
          <w:b/>
          <w:szCs w:val="24"/>
        </w:rPr>
      </w:pPr>
    </w:p>
    <w:p w14:paraId="5B0C31DC" w14:textId="77777777" w:rsidR="00977693" w:rsidRPr="00CE0885" w:rsidRDefault="00977693" w:rsidP="00977693">
      <w:pPr>
        <w:rPr>
          <w:rFonts w:cs="Arial"/>
          <w:b/>
          <w:szCs w:val="24"/>
        </w:rPr>
      </w:pPr>
      <w:r w:rsidRPr="00CE0885">
        <w:rPr>
          <w:rFonts w:cs="Arial"/>
          <w:b/>
          <w:szCs w:val="24"/>
        </w:rPr>
        <w:t>8. Additional information</w:t>
      </w:r>
    </w:p>
    <w:p w14:paraId="7DE19CE2" w14:textId="77777777" w:rsidR="00977693" w:rsidRPr="00CE0885" w:rsidRDefault="00977693" w:rsidP="00977693">
      <w:pPr>
        <w:rPr>
          <w:rFonts w:cs="Arial"/>
          <w:b/>
          <w:szCs w:val="24"/>
        </w:rPr>
      </w:pPr>
    </w:p>
    <w:tbl>
      <w:tblPr>
        <w:tblStyle w:val="TableGrid"/>
        <w:tblW w:w="0" w:type="auto"/>
        <w:tblLook w:val="04A0" w:firstRow="1" w:lastRow="0" w:firstColumn="1" w:lastColumn="0" w:noHBand="0" w:noVBand="1"/>
        <w:tblCaption w:val="a text box"/>
        <w:tblDescription w:val="a text box"/>
      </w:tblPr>
      <w:tblGrid>
        <w:gridCol w:w="9242"/>
      </w:tblGrid>
      <w:tr w:rsidR="00977693" w:rsidRPr="00CE0885" w14:paraId="3BCCD3CA" w14:textId="77777777" w:rsidTr="00371D3A">
        <w:trPr>
          <w:tblHeader/>
        </w:trPr>
        <w:tc>
          <w:tcPr>
            <w:tcW w:w="9242" w:type="dxa"/>
          </w:tcPr>
          <w:p w14:paraId="534C93BE" w14:textId="77777777" w:rsidR="00977693" w:rsidRPr="00CE0885" w:rsidRDefault="00977693" w:rsidP="00213D9D">
            <w:pPr>
              <w:spacing w:before="120" w:after="120"/>
              <w:rPr>
                <w:rFonts w:cs="Arial"/>
                <w:szCs w:val="24"/>
              </w:rPr>
            </w:pPr>
            <w:r w:rsidRPr="00CE0885">
              <w:rPr>
                <w:rFonts w:cs="Arial"/>
                <w:szCs w:val="24"/>
              </w:rPr>
              <w:t>Please provide any additional information that will support the proposed practice merger.</w:t>
            </w:r>
          </w:p>
        </w:tc>
      </w:tr>
      <w:tr w:rsidR="00977693" w:rsidRPr="00CE0885" w14:paraId="28C30CF3" w14:textId="77777777" w:rsidTr="00213D9D">
        <w:tc>
          <w:tcPr>
            <w:tcW w:w="9242" w:type="dxa"/>
          </w:tcPr>
          <w:p w14:paraId="3BE5B836" w14:textId="77777777" w:rsidR="00977693" w:rsidRPr="00CE0885" w:rsidRDefault="00977693" w:rsidP="00213D9D">
            <w:pPr>
              <w:spacing w:before="120" w:after="120"/>
              <w:rPr>
                <w:rFonts w:cs="Arial"/>
                <w:b/>
                <w:szCs w:val="24"/>
              </w:rPr>
            </w:pPr>
          </w:p>
          <w:p w14:paraId="76D8C28F" w14:textId="77777777" w:rsidR="00977693" w:rsidRPr="00CE0885" w:rsidRDefault="00977693" w:rsidP="00213D9D">
            <w:pPr>
              <w:spacing w:before="120" w:after="120"/>
              <w:rPr>
                <w:rFonts w:cs="Arial"/>
                <w:b/>
                <w:szCs w:val="24"/>
              </w:rPr>
            </w:pPr>
          </w:p>
          <w:p w14:paraId="74ACEB12" w14:textId="77777777" w:rsidR="00977693" w:rsidRPr="00CE0885" w:rsidRDefault="00977693" w:rsidP="00213D9D">
            <w:pPr>
              <w:spacing w:before="120" w:after="120"/>
              <w:rPr>
                <w:rFonts w:cs="Arial"/>
                <w:b/>
                <w:szCs w:val="24"/>
              </w:rPr>
            </w:pPr>
          </w:p>
        </w:tc>
      </w:tr>
    </w:tbl>
    <w:p w14:paraId="5DD4800C" w14:textId="77777777" w:rsidR="00977693" w:rsidRPr="00CE0885" w:rsidRDefault="00977693" w:rsidP="00977693">
      <w:pPr>
        <w:rPr>
          <w:rFonts w:cs="Arial"/>
          <w:b/>
          <w:szCs w:val="24"/>
        </w:rPr>
      </w:pPr>
      <w:r w:rsidRPr="00CE0885">
        <w:rPr>
          <w:rFonts w:cs="Arial"/>
          <w:b/>
          <w:szCs w:val="24"/>
        </w:rPr>
        <w:t xml:space="preserve"> </w:t>
      </w:r>
    </w:p>
    <w:p w14:paraId="3C4127EC" w14:textId="77777777" w:rsidR="00977693" w:rsidRPr="00CE0885" w:rsidRDefault="00977693" w:rsidP="00977693">
      <w:pPr>
        <w:rPr>
          <w:rFonts w:cs="Arial"/>
          <w:b/>
          <w:szCs w:val="24"/>
        </w:rPr>
      </w:pPr>
    </w:p>
    <w:p w14:paraId="2AA5613A" w14:textId="77777777" w:rsidR="00977693" w:rsidRPr="00CE0885" w:rsidRDefault="00977693" w:rsidP="00977693">
      <w:pPr>
        <w:rPr>
          <w:rFonts w:cs="Arial"/>
          <w:b/>
          <w:szCs w:val="24"/>
        </w:rPr>
      </w:pPr>
    </w:p>
    <w:p w14:paraId="258FB567" w14:textId="77777777" w:rsidR="00977693" w:rsidRPr="00CE0885" w:rsidRDefault="00977693" w:rsidP="00977693">
      <w:pPr>
        <w:rPr>
          <w:rFonts w:cs="Arial"/>
          <w:b/>
          <w:szCs w:val="24"/>
        </w:rPr>
      </w:pPr>
      <w:r w:rsidRPr="00CE0885">
        <w:rPr>
          <w:rFonts w:cs="Arial"/>
          <w:b/>
          <w:szCs w:val="24"/>
        </w:rPr>
        <w:t>9. Signatures</w:t>
      </w:r>
    </w:p>
    <w:p w14:paraId="152F0743" w14:textId="77777777" w:rsidR="00977693" w:rsidRPr="00CE0885" w:rsidRDefault="00977693" w:rsidP="00977693">
      <w:pPr>
        <w:rPr>
          <w:rFonts w:cs="Arial"/>
          <w:b/>
          <w:szCs w:val="24"/>
        </w:rPr>
      </w:pPr>
    </w:p>
    <w:tbl>
      <w:tblPr>
        <w:tblStyle w:val="TableGrid"/>
        <w:tblW w:w="0" w:type="auto"/>
        <w:tblLook w:val="04A0" w:firstRow="1" w:lastRow="0" w:firstColumn="1" w:lastColumn="0" w:noHBand="0" w:noVBand="1"/>
        <w:tblCaption w:val="a text box"/>
        <w:tblDescription w:val="a text box"/>
      </w:tblPr>
      <w:tblGrid>
        <w:gridCol w:w="2660"/>
        <w:gridCol w:w="6582"/>
      </w:tblGrid>
      <w:tr w:rsidR="00977693" w:rsidRPr="00CE0885" w14:paraId="6893C911" w14:textId="77777777" w:rsidTr="00371D3A">
        <w:trPr>
          <w:tblHeader/>
        </w:trPr>
        <w:tc>
          <w:tcPr>
            <w:tcW w:w="9242" w:type="dxa"/>
            <w:gridSpan w:val="2"/>
          </w:tcPr>
          <w:p w14:paraId="48365CD2" w14:textId="77777777" w:rsidR="00977693" w:rsidRPr="00CE0885" w:rsidRDefault="00977693" w:rsidP="00213D9D">
            <w:pPr>
              <w:spacing w:before="120" w:after="120"/>
              <w:rPr>
                <w:rFonts w:cs="Arial"/>
                <w:szCs w:val="24"/>
              </w:rPr>
            </w:pPr>
            <w:r w:rsidRPr="00CE0885">
              <w:rPr>
                <w:rFonts w:cs="Arial"/>
                <w:szCs w:val="24"/>
              </w:rPr>
              <w:t>Please ensure all Contractors under the current practice contracts sign below to indicate they agree with the information provided in this business case.</w:t>
            </w:r>
          </w:p>
        </w:tc>
      </w:tr>
      <w:tr w:rsidR="00977693" w:rsidRPr="00CE0885" w14:paraId="705277D9" w14:textId="77777777" w:rsidTr="00213D9D">
        <w:tc>
          <w:tcPr>
            <w:tcW w:w="2660" w:type="dxa"/>
          </w:tcPr>
          <w:p w14:paraId="089576C8" w14:textId="77777777" w:rsidR="00977693" w:rsidRPr="00CE0885" w:rsidRDefault="00977693" w:rsidP="00213D9D">
            <w:pPr>
              <w:spacing w:before="120" w:after="120"/>
              <w:rPr>
                <w:rFonts w:cs="Arial"/>
                <w:b/>
                <w:szCs w:val="24"/>
              </w:rPr>
            </w:pPr>
            <w:r w:rsidRPr="00CE0885">
              <w:rPr>
                <w:rFonts w:cs="Arial"/>
                <w:b/>
                <w:szCs w:val="24"/>
              </w:rPr>
              <w:t>[</w:t>
            </w:r>
            <w:r w:rsidRPr="00CE0885">
              <w:rPr>
                <w:rFonts w:cs="Arial"/>
                <w:b/>
                <w:szCs w:val="24"/>
                <w:highlight w:val="yellow"/>
              </w:rPr>
              <w:t>name</w:t>
            </w:r>
            <w:r w:rsidRPr="00CE0885">
              <w:rPr>
                <w:rFonts w:cs="Arial"/>
                <w:b/>
                <w:szCs w:val="24"/>
              </w:rPr>
              <w:t>]</w:t>
            </w:r>
          </w:p>
        </w:tc>
        <w:tc>
          <w:tcPr>
            <w:tcW w:w="6582" w:type="dxa"/>
          </w:tcPr>
          <w:p w14:paraId="68FA95D2" w14:textId="77777777" w:rsidR="00977693" w:rsidRPr="00CE0885" w:rsidRDefault="00977693" w:rsidP="00213D9D">
            <w:pPr>
              <w:spacing w:before="120" w:after="120"/>
              <w:rPr>
                <w:rFonts w:cs="Arial"/>
                <w:szCs w:val="24"/>
              </w:rPr>
            </w:pPr>
            <w:r w:rsidRPr="00CE0885">
              <w:rPr>
                <w:rFonts w:cs="Arial"/>
                <w:szCs w:val="24"/>
              </w:rPr>
              <w:t>[</w:t>
            </w:r>
            <w:r w:rsidRPr="00CE0885">
              <w:rPr>
                <w:rFonts w:cs="Arial"/>
                <w:szCs w:val="24"/>
                <w:highlight w:val="yellow"/>
              </w:rPr>
              <w:t>signature</w:t>
            </w:r>
            <w:r w:rsidRPr="00CE0885">
              <w:rPr>
                <w:rFonts w:cs="Arial"/>
                <w:szCs w:val="24"/>
              </w:rPr>
              <w:t>]</w:t>
            </w:r>
          </w:p>
        </w:tc>
      </w:tr>
      <w:tr w:rsidR="00977693" w:rsidRPr="00CE0885" w14:paraId="31B8DFE4" w14:textId="77777777" w:rsidTr="00213D9D">
        <w:tc>
          <w:tcPr>
            <w:tcW w:w="2660" w:type="dxa"/>
          </w:tcPr>
          <w:p w14:paraId="26CCA284" w14:textId="77777777" w:rsidR="00977693" w:rsidRPr="00CE0885" w:rsidRDefault="00977693" w:rsidP="00213D9D">
            <w:pPr>
              <w:spacing w:before="120" w:after="120"/>
              <w:rPr>
                <w:rFonts w:cs="Arial"/>
                <w:b/>
                <w:szCs w:val="24"/>
              </w:rPr>
            </w:pPr>
            <w:r w:rsidRPr="00CE0885">
              <w:rPr>
                <w:rFonts w:cs="Arial"/>
                <w:b/>
                <w:szCs w:val="24"/>
              </w:rPr>
              <w:t>[</w:t>
            </w:r>
            <w:r w:rsidRPr="00CE0885">
              <w:rPr>
                <w:rFonts w:cs="Arial"/>
                <w:b/>
                <w:szCs w:val="24"/>
                <w:highlight w:val="yellow"/>
              </w:rPr>
              <w:t>name</w:t>
            </w:r>
            <w:r w:rsidRPr="00CE0885">
              <w:rPr>
                <w:rFonts w:cs="Arial"/>
                <w:b/>
                <w:szCs w:val="24"/>
              </w:rPr>
              <w:t>]</w:t>
            </w:r>
          </w:p>
        </w:tc>
        <w:tc>
          <w:tcPr>
            <w:tcW w:w="6582" w:type="dxa"/>
          </w:tcPr>
          <w:p w14:paraId="13835DF9" w14:textId="77777777" w:rsidR="00977693" w:rsidRPr="00CE0885" w:rsidRDefault="00977693" w:rsidP="00213D9D">
            <w:pPr>
              <w:spacing w:before="120" w:after="120"/>
              <w:rPr>
                <w:rFonts w:cs="Arial"/>
                <w:szCs w:val="24"/>
              </w:rPr>
            </w:pPr>
            <w:r w:rsidRPr="00CE0885">
              <w:rPr>
                <w:rFonts w:cs="Arial"/>
                <w:szCs w:val="24"/>
              </w:rPr>
              <w:t>[</w:t>
            </w:r>
            <w:r w:rsidRPr="00CE0885">
              <w:rPr>
                <w:rFonts w:cs="Arial"/>
                <w:szCs w:val="24"/>
                <w:highlight w:val="yellow"/>
              </w:rPr>
              <w:t>signature</w:t>
            </w:r>
            <w:r w:rsidRPr="00CE0885">
              <w:rPr>
                <w:rFonts w:cs="Arial"/>
                <w:szCs w:val="24"/>
              </w:rPr>
              <w:t>]</w:t>
            </w:r>
          </w:p>
        </w:tc>
      </w:tr>
      <w:tr w:rsidR="00977693" w:rsidRPr="00CE0885" w14:paraId="0E4C3792" w14:textId="77777777" w:rsidTr="00213D9D">
        <w:tc>
          <w:tcPr>
            <w:tcW w:w="2660" w:type="dxa"/>
          </w:tcPr>
          <w:p w14:paraId="1C71FDC7" w14:textId="77777777" w:rsidR="00977693" w:rsidRPr="00CE0885" w:rsidRDefault="00977693" w:rsidP="00213D9D">
            <w:pPr>
              <w:spacing w:before="120" w:after="120"/>
              <w:rPr>
                <w:rFonts w:cs="Arial"/>
                <w:b/>
                <w:szCs w:val="24"/>
              </w:rPr>
            </w:pPr>
            <w:r w:rsidRPr="00CE0885">
              <w:rPr>
                <w:rFonts w:cs="Arial"/>
                <w:b/>
                <w:szCs w:val="24"/>
              </w:rPr>
              <w:t>[</w:t>
            </w:r>
            <w:r w:rsidRPr="00CE0885">
              <w:rPr>
                <w:rFonts w:cs="Arial"/>
                <w:b/>
                <w:szCs w:val="24"/>
                <w:highlight w:val="yellow"/>
              </w:rPr>
              <w:t>name</w:t>
            </w:r>
            <w:r w:rsidRPr="00CE0885">
              <w:rPr>
                <w:rFonts w:cs="Arial"/>
                <w:b/>
                <w:szCs w:val="24"/>
              </w:rPr>
              <w:t>]</w:t>
            </w:r>
          </w:p>
        </w:tc>
        <w:tc>
          <w:tcPr>
            <w:tcW w:w="6582" w:type="dxa"/>
          </w:tcPr>
          <w:p w14:paraId="5C218DDD" w14:textId="77777777" w:rsidR="00977693" w:rsidRPr="00CE0885" w:rsidRDefault="00977693" w:rsidP="00213D9D">
            <w:pPr>
              <w:spacing w:before="120" w:after="120"/>
              <w:rPr>
                <w:rFonts w:cs="Arial"/>
                <w:szCs w:val="24"/>
              </w:rPr>
            </w:pPr>
            <w:r w:rsidRPr="00CE0885">
              <w:rPr>
                <w:rFonts w:cs="Arial"/>
                <w:szCs w:val="24"/>
              </w:rPr>
              <w:t>[</w:t>
            </w:r>
            <w:r w:rsidRPr="00CE0885">
              <w:rPr>
                <w:rFonts w:cs="Arial"/>
                <w:szCs w:val="24"/>
                <w:highlight w:val="yellow"/>
              </w:rPr>
              <w:t>signature</w:t>
            </w:r>
            <w:r w:rsidRPr="00CE0885">
              <w:rPr>
                <w:rFonts w:cs="Arial"/>
                <w:szCs w:val="24"/>
              </w:rPr>
              <w:t>]</w:t>
            </w:r>
          </w:p>
        </w:tc>
      </w:tr>
    </w:tbl>
    <w:p w14:paraId="1CFC9F2D" w14:textId="77777777" w:rsidR="00977693" w:rsidRPr="00CE0885" w:rsidRDefault="00977693" w:rsidP="00977693">
      <w:pPr>
        <w:rPr>
          <w:rFonts w:cs="Arial"/>
          <w:b/>
        </w:rPr>
      </w:pPr>
    </w:p>
    <w:p w14:paraId="22735199" w14:textId="77777777" w:rsidR="00977693" w:rsidRPr="00CE0885" w:rsidRDefault="00977693" w:rsidP="00977693">
      <w:pPr>
        <w:rPr>
          <w:rFonts w:cs="Arial"/>
          <w:b/>
        </w:rPr>
      </w:pPr>
    </w:p>
    <w:p w14:paraId="6254A38E" w14:textId="4371527B" w:rsidR="00977693" w:rsidRPr="00CE0885" w:rsidRDefault="00977693" w:rsidP="00977693">
      <w:pPr>
        <w:rPr>
          <w:rFonts w:cs="Arial"/>
          <w:b/>
        </w:rPr>
      </w:pPr>
    </w:p>
    <w:p w14:paraId="64136995" w14:textId="77777777" w:rsidR="00977693" w:rsidRPr="00CE0885" w:rsidRDefault="00977693" w:rsidP="00977693">
      <w:pPr>
        <w:rPr>
          <w:rFonts w:cs="Arial"/>
          <w:b/>
        </w:rPr>
        <w:sectPr w:rsidR="00977693" w:rsidRPr="00CE0885" w:rsidSect="00213D9D">
          <w:headerReference w:type="even" r:id="rId84"/>
          <w:headerReference w:type="default" r:id="rId85"/>
          <w:footerReference w:type="even" r:id="rId86"/>
          <w:footerReference w:type="default" r:id="rId87"/>
          <w:headerReference w:type="first" r:id="rId88"/>
          <w:footerReference w:type="first" r:id="rId89"/>
          <w:pgSz w:w="11906" w:h="16838"/>
          <w:pgMar w:top="1418" w:right="1418" w:bottom="1418" w:left="1418" w:header="720" w:footer="720" w:gutter="0"/>
          <w:cols w:space="720"/>
          <w:docGrid w:linePitch="272"/>
        </w:sectPr>
      </w:pPr>
    </w:p>
    <w:p w14:paraId="58BDDC29" w14:textId="3552EDBB" w:rsidR="00977693" w:rsidRDefault="00977693" w:rsidP="000A529F">
      <w:pPr>
        <w:pStyle w:val="Heading3"/>
        <w:rPr>
          <w:rFonts w:eastAsia="Malgun Gothic"/>
          <w:b/>
        </w:rPr>
      </w:pPr>
      <w:r w:rsidRPr="000A529F">
        <w:rPr>
          <w:b/>
          <w:sz w:val="28"/>
          <w:szCs w:val="28"/>
        </w:rPr>
        <w:t>Annex B</w:t>
      </w:r>
      <w:r w:rsidR="001A315E" w:rsidRPr="000A529F">
        <w:rPr>
          <w:b/>
          <w:sz w:val="28"/>
          <w:szCs w:val="28"/>
        </w:rPr>
        <w:t xml:space="preserve">  </w:t>
      </w:r>
      <w:r w:rsidRPr="000A529F">
        <w:rPr>
          <w:rFonts w:eastAsia="Malgun Gothic"/>
          <w:b/>
        </w:rPr>
        <w:t xml:space="preserve">Template Mobilisation Plan for Practice Merger </w:t>
      </w:r>
    </w:p>
    <w:p w14:paraId="09764ED2" w14:textId="77777777" w:rsidR="0022238B" w:rsidRDefault="0022238B" w:rsidP="0000534D">
      <w:pPr>
        <w:rPr>
          <w:rFonts w:eastAsia="Malgun Gothic"/>
        </w:rPr>
      </w:pPr>
    </w:p>
    <w:bookmarkStart w:id="756" w:name="_1570168874"/>
    <w:bookmarkEnd w:id="756"/>
    <w:p w14:paraId="7F25587A" w14:textId="0870F83F" w:rsidR="0022238B" w:rsidRPr="004B57CD" w:rsidRDefault="002306F3" w:rsidP="005A7DDA">
      <w:pPr>
        <w:pStyle w:val="ListParagraph"/>
        <w:numPr>
          <w:ilvl w:val="0"/>
          <w:numId w:val="153"/>
        </w:numPr>
        <w:rPr>
          <w:rFonts w:eastAsia="Malgun Gothic"/>
        </w:rPr>
      </w:pPr>
      <w:r>
        <w:fldChar w:fldCharType="begin"/>
      </w:r>
      <w:r>
        <w:instrText xml:space="preserve"> HYPERLINK "https://www.england.nhs.uk/publication/primary-medical-care-policy-and-guidance-manual-practice-mergers-and-or-contractual-mergers-annexes/" </w:instrText>
      </w:r>
      <w:r>
        <w:fldChar w:fldCharType="separate"/>
      </w:r>
      <w:r w:rsidR="004B57CD" w:rsidRPr="007F7DB4">
        <w:rPr>
          <w:rStyle w:val="Hyperlink"/>
          <w:rFonts w:eastAsia="Malgun Gothic"/>
        </w:rPr>
        <w:t>Template Mobilisation Plan for Practice Merger</w:t>
      </w:r>
      <w:r>
        <w:rPr>
          <w:rStyle w:val="Hyperlink"/>
          <w:rFonts w:eastAsia="Malgun Gothic"/>
        </w:rPr>
        <w:fldChar w:fldCharType="end"/>
      </w:r>
    </w:p>
    <w:p w14:paraId="06B40244" w14:textId="77777777" w:rsidR="00977693" w:rsidRPr="009055A7" w:rsidRDefault="00977693" w:rsidP="00977693">
      <w:pPr>
        <w:rPr>
          <w:rFonts w:cs="Arial"/>
          <w:b/>
        </w:rPr>
      </w:pPr>
    </w:p>
    <w:p w14:paraId="42C7975C" w14:textId="77777777" w:rsidR="00977693" w:rsidRPr="00CE0885" w:rsidRDefault="00977693" w:rsidP="00977693">
      <w:pPr>
        <w:rPr>
          <w:rFonts w:cs="Arial"/>
          <w:b/>
        </w:rPr>
      </w:pPr>
    </w:p>
    <w:p w14:paraId="6209CB3D" w14:textId="01601E4B" w:rsidR="00977693" w:rsidRPr="00CE0885" w:rsidRDefault="00977693" w:rsidP="00202DD3">
      <w:pPr>
        <w:pStyle w:val="Heading2"/>
        <w:rPr>
          <w:lang w:eastAsia="en-GB"/>
        </w:rPr>
      </w:pPr>
      <w:bookmarkStart w:id="757" w:name="_Toc440981921"/>
      <w:bookmarkStart w:id="758" w:name="_Toc498495397"/>
      <w:bookmarkEnd w:id="754"/>
      <w:r w:rsidRPr="00CE0885">
        <w:rPr>
          <w:lang w:eastAsia="en-GB"/>
        </w:rPr>
        <w:t>Changes to Services</w:t>
      </w:r>
      <w:bookmarkEnd w:id="757"/>
      <w:bookmarkEnd w:id="758"/>
    </w:p>
    <w:p w14:paraId="2CC6CC10" w14:textId="77777777" w:rsidR="00977693" w:rsidRPr="00CE0885" w:rsidRDefault="00977693" w:rsidP="00980A75">
      <w:pPr>
        <w:pStyle w:val="Heading3"/>
        <w:rPr>
          <w:lang w:eastAsia="en-GB"/>
        </w:rPr>
      </w:pPr>
      <w:bookmarkStart w:id="759" w:name="_Toc440981922"/>
      <w:r w:rsidRPr="00CE0885">
        <w:rPr>
          <w:lang w:eastAsia="en-GB"/>
        </w:rPr>
        <w:t>commissioners will need to consider changes to local service provision as a consequence of a health needs assessment of the local community with particular regard to the diverse nature of the community and reducing health inequalities in access and outcomes.</w:t>
      </w:r>
      <w:bookmarkEnd w:id="759"/>
    </w:p>
    <w:p w14:paraId="618F40AD" w14:textId="77777777" w:rsidR="00977693" w:rsidRPr="00CE0885" w:rsidRDefault="00977693" w:rsidP="00980A75">
      <w:pPr>
        <w:pStyle w:val="Heading3"/>
        <w:rPr>
          <w:lang w:eastAsia="en-GB"/>
        </w:rPr>
      </w:pPr>
      <w:bookmarkStart w:id="760" w:name="_Toc440981923"/>
      <w:r w:rsidRPr="00CE0885">
        <w:rPr>
          <w:spacing w:val="2"/>
          <w:lang w:eastAsia="en-GB"/>
        </w:rPr>
        <w:t>T</w:t>
      </w:r>
      <w:r w:rsidRPr="00CE0885">
        <w:rPr>
          <w:spacing w:val="-1"/>
          <w:lang w:eastAsia="en-GB"/>
        </w:rPr>
        <w:t>h</w:t>
      </w:r>
      <w:r w:rsidRPr="00CE0885">
        <w:rPr>
          <w:lang w:eastAsia="en-GB"/>
        </w:rPr>
        <w:t>e</w:t>
      </w:r>
      <w:r w:rsidRPr="00CE0885">
        <w:rPr>
          <w:spacing w:val="-2"/>
          <w:lang w:eastAsia="en-GB"/>
        </w:rPr>
        <w:t xml:space="preserve"> </w:t>
      </w:r>
      <w:r w:rsidRPr="00CE0885">
        <w:rPr>
          <w:lang w:eastAsia="en-GB"/>
        </w:rPr>
        <w:t>Commissioner</w:t>
      </w:r>
      <w:r w:rsidRPr="00CE0885">
        <w:rPr>
          <w:spacing w:val="-4"/>
          <w:lang w:eastAsia="en-GB"/>
        </w:rPr>
        <w:t xml:space="preserve"> </w:t>
      </w:r>
      <w:r w:rsidRPr="00CE0885">
        <w:rPr>
          <w:lang w:eastAsia="en-GB"/>
        </w:rPr>
        <w:t>and</w:t>
      </w:r>
      <w:r w:rsidRPr="00CE0885">
        <w:rPr>
          <w:spacing w:val="-5"/>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2"/>
          <w:lang w:eastAsia="en-GB"/>
        </w:rPr>
        <w:t>c</w:t>
      </w:r>
      <w:r w:rsidRPr="00CE0885">
        <w:rPr>
          <w:lang w:eastAsia="en-GB"/>
        </w:rPr>
        <w:t>ont</w:t>
      </w:r>
      <w:r w:rsidRPr="00CE0885">
        <w:rPr>
          <w:spacing w:val="-1"/>
          <w:lang w:eastAsia="en-GB"/>
        </w:rPr>
        <w:t>r</w:t>
      </w:r>
      <w:r w:rsidRPr="00CE0885">
        <w:rPr>
          <w:lang w:eastAsia="en-GB"/>
        </w:rPr>
        <w:t>ac</w:t>
      </w:r>
      <w:r w:rsidRPr="00CE0885">
        <w:rPr>
          <w:spacing w:val="-2"/>
          <w:lang w:eastAsia="en-GB"/>
        </w:rPr>
        <w:t>t</w:t>
      </w:r>
      <w:r w:rsidRPr="00CE0885">
        <w:rPr>
          <w:lang w:eastAsia="en-GB"/>
        </w:rPr>
        <w:t>or</w:t>
      </w:r>
      <w:r w:rsidRPr="00CE0885">
        <w:rPr>
          <w:spacing w:val="-11"/>
          <w:lang w:eastAsia="en-GB"/>
        </w:rPr>
        <w:t xml:space="preserve"> </w:t>
      </w:r>
      <w:r w:rsidRPr="00CE0885">
        <w:rPr>
          <w:lang w:eastAsia="en-GB"/>
        </w:rPr>
        <w:t>shall</w:t>
      </w:r>
      <w:r w:rsidRPr="00CE0885">
        <w:rPr>
          <w:spacing w:val="-5"/>
          <w:lang w:eastAsia="en-GB"/>
        </w:rPr>
        <w:t xml:space="preserve"> </w:t>
      </w:r>
      <w:r w:rsidRPr="00CE0885">
        <w:rPr>
          <w:spacing w:val="-1"/>
          <w:lang w:eastAsia="en-GB"/>
        </w:rPr>
        <w:t>o</w:t>
      </w:r>
      <w:r w:rsidRPr="00CE0885">
        <w:rPr>
          <w:lang w:eastAsia="en-GB"/>
        </w:rPr>
        <w:t>nly</w:t>
      </w:r>
      <w:r w:rsidRPr="00CE0885">
        <w:rPr>
          <w:spacing w:val="-6"/>
          <w:lang w:eastAsia="en-GB"/>
        </w:rPr>
        <w:t xml:space="preserve"> </w:t>
      </w:r>
      <w:r w:rsidRPr="00CE0885">
        <w:rPr>
          <w:lang w:eastAsia="en-GB"/>
        </w:rPr>
        <w:t>a</w:t>
      </w:r>
      <w:r w:rsidRPr="00CE0885">
        <w:rPr>
          <w:spacing w:val="-1"/>
          <w:lang w:eastAsia="en-GB"/>
        </w:rPr>
        <w:t>g</w:t>
      </w:r>
      <w:r w:rsidRPr="00CE0885">
        <w:rPr>
          <w:spacing w:val="2"/>
          <w:lang w:eastAsia="en-GB"/>
        </w:rPr>
        <w:t>r</w:t>
      </w:r>
      <w:r w:rsidRPr="00CE0885">
        <w:rPr>
          <w:lang w:eastAsia="en-GB"/>
        </w:rPr>
        <w:t>ee</w:t>
      </w:r>
      <w:r w:rsidRPr="00CE0885">
        <w:rPr>
          <w:spacing w:val="-4"/>
          <w:lang w:eastAsia="en-GB"/>
        </w:rPr>
        <w:t xml:space="preserve"> </w:t>
      </w:r>
      <w:r w:rsidRPr="00CE0885">
        <w:rPr>
          <w:spacing w:val="-2"/>
          <w:lang w:eastAsia="en-GB"/>
        </w:rPr>
        <w:t>t</w:t>
      </w:r>
      <w:r w:rsidRPr="00CE0885">
        <w:rPr>
          <w:lang w:eastAsia="en-GB"/>
        </w:rPr>
        <w:t xml:space="preserve">o </w:t>
      </w:r>
      <w:r w:rsidRPr="00CE0885">
        <w:rPr>
          <w:spacing w:val="-1"/>
          <w:lang w:eastAsia="en-GB"/>
        </w:rPr>
        <w:t>a</w:t>
      </w:r>
      <w:r w:rsidRPr="00CE0885">
        <w:rPr>
          <w:lang w:eastAsia="en-GB"/>
        </w:rPr>
        <w:t>ny</w:t>
      </w:r>
      <w:r w:rsidRPr="00CE0885">
        <w:rPr>
          <w:spacing w:val="-6"/>
          <w:lang w:eastAsia="en-GB"/>
        </w:rPr>
        <w:t xml:space="preserve"> </w:t>
      </w:r>
      <w:r w:rsidRPr="00CE0885">
        <w:rPr>
          <w:lang w:eastAsia="en-GB"/>
        </w:rPr>
        <w:t>chan</w:t>
      </w:r>
      <w:r w:rsidRPr="00CE0885">
        <w:rPr>
          <w:spacing w:val="-1"/>
          <w:lang w:eastAsia="en-GB"/>
        </w:rPr>
        <w:t>g</w:t>
      </w:r>
      <w:r w:rsidRPr="00CE0885">
        <w:rPr>
          <w:lang w:eastAsia="en-GB"/>
        </w:rPr>
        <w:t>e</w:t>
      </w:r>
      <w:r w:rsidRPr="00CE0885">
        <w:rPr>
          <w:spacing w:val="-6"/>
          <w:lang w:eastAsia="en-GB"/>
        </w:rPr>
        <w:t xml:space="preserve"> </w:t>
      </w:r>
      <w:r w:rsidRPr="00CE0885">
        <w:rPr>
          <w:lang w:eastAsia="en-GB"/>
        </w:rPr>
        <w:t>to</w:t>
      </w:r>
      <w:r w:rsidRPr="00CE0885">
        <w:rPr>
          <w:spacing w:val="-3"/>
          <w:lang w:eastAsia="en-GB"/>
        </w:rPr>
        <w:t xml:space="preserve"> </w:t>
      </w:r>
      <w:r w:rsidRPr="00CE0885">
        <w:rPr>
          <w:lang w:eastAsia="en-GB"/>
        </w:rPr>
        <w:t>t</w:t>
      </w:r>
      <w:r w:rsidRPr="00CE0885">
        <w:rPr>
          <w:spacing w:val="-1"/>
          <w:lang w:eastAsia="en-GB"/>
        </w:rPr>
        <w:t>h</w:t>
      </w:r>
      <w:r w:rsidRPr="00CE0885">
        <w:rPr>
          <w:lang w:eastAsia="en-GB"/>
        </w:rPr>
        <w:t>e deli</w:t>
      </w:r>
      <w:r w:rsidRPr="00CE0885">
        <w:rPr>
          <w:spacing w:val="-2"/>
          <w:lang w:eastAsia="en-GB"/>
        </w:rPr>
        <w:t>v</w:t>
      </w:r>
      <w:r w:rsidRPr="00CE0885">
        <w:rPr>
          <w:lang w:eastAsia="en-GB"/>
        </w:rPr>
        <w:t>e</w:t>
      </w:r>
      <w:r w:rsidRPr="00CE0885">
        <w:rPr>
          <w:spacing w:val="2"/>
          <w:lang w:eastAsia="en-GB"/>
        </w:rPr>
        <w:t>r</w:t>
      </w:r>
      <w:r w:rsidRPr="00CE0885">
        <w:rPr>
          <w:lang w:eastAsia="en-GB"/>
        </w:rPr>
        <w:t>y</w:t>
      </w:r>
      <w:r w:rsidRPr="00CE0885">
        <w:rPr>
          <w:spacing w:val="-10"/>
          <w:lang w:eastAsia="en-GB"/>
        </w:rPr>
        <w:t xml:space="preserve"> </w:t>
      </w:r>
      <w:r w:rsidRPr="00CE0885">
        <w:rPr>
          <w:lang w:eastAsia="en-GB"/>
        </w:rPr>
        <w:t xml:space="preserve">of </w:t>
      </w:r>
      <w:r w:rsidRPr="00CE0885">
        <w:rPr>
          <w:spacing w:val="-2"/>
          <w:lang w:eastAsia="en-GB"/>
        </w:rPr>
        <w:t>s</w:t>
      </w:r>
      <w:r w:rsidRPr="00CE0885">
        <w:rPr>
          <w:lang w:eastAsia="en-GB"/>
        </w:rPr>
        <w:t>e</w:t>
      </w:r>
      <w:r w:rsidRPr="00CE0885">
        <w:rPr>
          <w:spacing w:val="-1"/>
          <w:lang w:eastAsia="en-GB"/>
        </w:rPr>
        <w:t>r</w:t>
      </w:r>
      <w:r w:rsidRPr="00CE0885">
        <w:rPr>
          <w:spacing w:val="-2"/>
          <w:lang w:eastAsia="en-GB"/>
        </w:rPr>
        <w:t>v</w:t>
      </w:r>
      <w:r w:rsidRPr="00CE0885">
        <w:rPr>
          <w:lang w:eastAsia="en-GB"/>
        </w:rPr>
        <w:t>ices</w:t>
      </w:r>
      <w:r w:rsidRPr="00CE0885">
        <w:rPr>
          <w:spacing w:val="-9"/>
          <w:lang w:eastAsia="en-GB"/>
        </w:rPr>
        <w:t xml:space="preserve"> </w:t>
      </w:r>
      <w:r w:rsidRPr="00CE0885">
        <w:rPr>
          <w:lang w:eastAsia="en-GB"/>
        </w:rPr>
        <w:t>af</w:t>
      </w:r>
      <w:r w:rsidRPr="00CE0885">
        <w:rPr>
          <w:spacing w:val="-2"/>
          <w:lang w:eastAsia="en-GB"/>
        </w:rPr>
        <w:t>t</w:t>
      </w:r>
      <w:r w:rsidRPr="00CE0885">
        <w:rPr>
          <w:lang w:eastAsia="en-GB"/>
        </w:rPr>
        <w:t>er</w:t>
      </w:r>
      <w:r w:rsidRPr="00CE0885">
        <w:rPr>
          <w:spacing w:val="-5"/>
          <w:lang w:eastAsia="en-GB"/>
        </w:rPr>
        <w:t xml:space="preserve"> </w:t>
      </w:r>
      <w:r w:rsidRPr="00CE0885">
        <w:rPr>
          <w:lang w:eastAsia="en-GB"/>
        </w:rPr>
        <w:t>all</w:t>
      </w:r>
      <w:r w:rsidRPr="00CE0885">
        <w:rPr>
          <w:spacing w:val="-2"/>
          <w:lang w:eastAsia="en-GB"/>
        </w:rPr>
        <w:t xml:space="preserve"> </w:t>
      </w:r>
      <w:r w:rsidRPr="00CE0885">
        <w:rPr>
          <w:lang w:eastAsia="en-GB"/>
        </w:rPr>
        <w:t>le</w:t>
      </w:r>
      <w:r w:rsidRPr="00CE0885">
        <w:rPr>
          <w:spacing w:val="-1"/>
          <w:lang w:eastAsia="en-GB"/>
        </w:rPr>
        <w:t>g</w:t>
      </w:r>
      <w:r w:rsidRPr="00CE0885">
        <w:rPr>
          <w:lang w:eastAsia="en-GB"/>
        </w:rPr>
        <w:t>al</w:t>
      </w:r>
      <w:r w:rsidRPr="00CE0885">
        <w:rPr>
          <w:spacing w:val="-5"/>
          <w:lang w:eastAsia="en-GB"/>
        </w:rPr>
        <w:t xml:space="preserve"> </w:t>
      </w:r>
      <w:r w:rsidRPr="00CE0885">
        <w:rPr>
          <w:lang w:eastAsia="en-GB"/>
        </w:rPr>
        <w:t>obli</w:t>
      </w:r>
      <w:r w:rsidRPr="00CE0885">
        <w:rPr>
          <w:spacing w:val="-1"/>
          <w:lang w:eastAsia="en-GB"/>
        </w:rPr>
        <w:t>g</w:t>
      </w:r>
      <w:r w:rsidRPr="00CE0885">
        <w:rPr>
          <w:lang w:eastAsia="en-GB"/>
        </w:rPr>
        <w:t>ations</w:t>
      </w:r>
      <w:r w:rsidRPr="00CE0885">
        <w:rPr>
          <w:spacing w:val="-11"/>
          <w:lang w:eastAsia="en-GB"/>
        </w:rPr>
        <w:t xml:space="preserve"> </w:t>
      </w:r>
      <w:r w:rsidRPr="00CE0885">
        <w:rPr>
          <w:spacing w:val="-3"/>
          <w:lang w:eastAsia="en-GB"/>
        </w:rPr>
        <w:t>i</w:t>
      </w:r>
      <w:r w:rsidRPr="00CE0885">
        <w:rPr>
          <w:lang w:eastAsia="en-GB"/>
        </w:rPr>
        <w:t xml:space="preserve">n </w:t>
      </w:r>
      <w:r w:rsidRPr="00CE0885">
        <w:rPr>
          <w:spacing w:val="-1"/>
          <w:lang w:eastAsia="en-GB"/>
        </w:rPr>
        <w:t>r</w:t>
      </w:r>
      <w:r w:rsidRPr="00CE0885">
        <w:rPr>
          <w:lang w:eastAsia="en-GB"/>
        </w:rPr>
        <w:t>espe</w:t>
      </w:r>
      <w:r w:rsidRPr="00CE0885">
        <w:rPr>
          <w:spacing w:val="-2"/>
          <w:lang w:eastAsia="en-GB"/>
        </w:rPr>
        <w:t>c</w:t>
      </w:r>
      <w:r w:rsidRPr="00CE0885">
        <w:rPr>
          <w:lang w:eastAsia="en-GB"/>
        </w:rPr>
        <w:t>t</w:t>
      </w:r>
      <w:r w:rsidRPr="00CE0885">
        <w:rPr>
          <w:spacing w:val="-7"/>
          <w:lang w:eastAsia="en-GB"/>
        </w:rPr>
        <w:t xml:space="preserve"> </w:t>
      </w:r>
      <w:r w:rsidRPr="00CE0885">
        <w:rPr>
          <w:spacing w:val="-1"/>
          <w:lang w:eastAsia="en-GB"/>
        </w:rPr>
        <w:t>o</w:t>
      </w:r>
      <w:r w:rsidRPr="00CE0885">
        <w:rPr>
          <w:lang w:eastAsia="en-GB"/>
        </w:rPr>
        <w:t>f</w:t>
      </w:r>
      <w:r w:rsidRPr="00CE0885">
        <w:rPr>
          <w:spacing w:val="-1"/>
          <w:lang w:eastAsia="en-GB"/>
        </w:rPr>
        <w:t xml:space="preserve"> consultation, engagement or involvement of the </w:t>
      </w:r>
      <w:r w:rsidRPr="00CE0885">
        <w:rPr>
          <w:lang w:eastAsia="en-GB"/>
        </w:rPr>
        <w:t>p</w:t>
      </w:r>
      <w:r w:rsidRPr="00CE0885">
        <w:rPr>
          <w:spacing w:val="-1"/>
          <w:lang w:eastAsia="en-GB"/>
        </w:rPr>
        <w:t>u</w:t>
      </w:r>
      <w:r w:rsidRPr="00CE0885">
        <w:rPr>
          <w:lang w:eastAsia="en-GB"/>
        </w:rPr>
        <w:t>blic</w:t>
      </w:r>
      <w:r w:rsidRPr="00CE0885">
        <w:rPr>
          <w:spacing w:val="-6"/>
          <w:lang w:eastAsia="en-GB"/>
        </w:rPr>
        <w:t xml:space="preserve">, </w:t>
      </w:r>
      <w:r w:rsidRPr="00CE0885">
        <w:rPr>
          <w:lang w:eastAsia="en-GB"/>
        </w:rPr>
        <w:t>pati</w:t>
      </w:r>
      <w:r w:rsidRPr="00CE0885">
        <w:rPr>
          <w:spacing w:val="-1"/>
          <w:lang w:eastAsia="en-GB"/>
        </w:rPr>
        <w:t>e</w:t>
      </w:r>
      <w:r w:rsidRPr="00CE0885">
        <w:rPr>
          <w:lang w:eastAsia="en-GB"/>
        </w:rPr>
        <w:t>nts</w:t>
      </w:r>
      <w:r w:rsidRPr="00CE0885">
        <w:rPr>
          <w:spacing w:val="-6"/>
          <w:lang w:eastAsia="en-GB"/>
        </w:rPr>
        <w:t xml:space="preserve"> and other organisations </w:t>
      </w:r>
      <w:r w:rsidRPr="00CE0885">
        <w:rPr>
          <w:lang w:eastAsia="en-GB"/>
        </w:rPr>
        <w:t>ha</w:t>
      </w:r>
      <w:r w:rsidRPr="00CE0885">
        <w:rPr>
          <w:spacing w:val="-2"/>
          <w:lang w:eastAsia="en-GB"/>
        </w:rPr>
        <w:t>v</w:t>
      </w:r>
      <w:r w:rsidRPr="00CE0885">
        <w:rPr>
          <w:lang w:eastAsia="en-GB"/>
        </w:rPr>
        <w:t>e</w:t>
      </w:r>
      <w:r w:rsidRPr="00CE0885">
        <w:rPr>
          <w:spacing w:val="-3"/>
          <w:lang w:eastAsia="en-GB"/>
        </w:rPr>
        <w:t xml:space="preserve"> </w:t>
      </w:r>
      <w:r w:rsidRPr="00CE0885">
        <w:rPr>
          <w:spacing w:val="-1"/>
          <w:lang w:eastAsia="en-GB"/>
        </w:rPr>
        <w:t>b</w:t>
      </w:r>
      <w:r w:rsidRPr="00CE0885">
        <w:rPr>
          <w:lang w:eastAsia="en-GB"/>
        </w:rPr>
        <w:t>een</w:t>
      </w:r>
      <w:r w:rsidRPr="00CE0885">
        <w:rPr>
          <w:spacing w:val="-6"/>
          <w:lang w:eastAsia="en-GB"/>
        </w:rPr>
        <w:t xml:space="preserve"> </w:t>
      </w:r>
      <w:r w:rsidRPr="00CE0885">
        <w:rPr>
          <w:lang w:eastAsia="en-GB"/>
        </w:rPr>
        <w:t>fu</w:t>
      </w:r>
      <w:r w:rsidRPr="00CE0885">
        <w:rPr>
          <w:spacing w:val="-3"/>
          <w:lang w:eastAsia="en-GB"/>
        </w:rPr>
        <w:t>l</w:t>
      </w:r>
      <w:r w:rsidRPr="00CE0885">
        <w:rPr>
          <w:spacing w:val="3"/>
          <w:lang w:eastAsia="en-GB"/>
        </w:rPr>
        <w:t>f</w:t>
      </w:r>
      <w:r w:rsidRPr="00CE0885">
        <w:rPr>
          <w:lang w:eastAsia="en-GB"/>
        </w:rPr>
        <w:t>illed.</w:t>
      </w:r>
      <w:bookmarkEnd w:id="760"/>
    </w:p>
    <w:p w14:paraId="4FB115E6" w14:textId="77777777" w:rsidR="00977693" w:rsidRPr="00CE0885" w:rsidRDefault="00977693" w:rsidP="00980A75">
      <w:pPr>
        <w:pStyle w:val="Heading3"/>
        <w:rPr>
          <w:spacing w:val="-10"/>
          <w:lang w:eastAsia="en-GB"/>
        </w:rPr>
      </w:pPr>
      <w:bookmarkStart w:id="761" w:name="_Toc440981924"/>
      <w:r w:rsidRPr="00CE0885">
        <w:rPr>
          <w:spacing w:val="2"/>
          <w:lang w:eastAsia="en-GB"/>
        </w:rPr>
        <w:t>The paragraphs below</w:t>
      </w:r>
      <w:r w:rsidRPr="00CE0885">
        <w:rPr>
          <w:spacing w:val="-11"/>
          <w:lang w:eastAsia="en-GB"/>
        </w:rPr>
        <w:t xml:space="preserve"> </w:t>
      </w:r>
      <w:r w:rsidRPr="00CE0885">
        <w:rPr>
          <w:spacing w:val="1"/>
          <w:lang w:eastAsia="en-GB"/>
        </w:rPr>
        <w:t>o</w:t>
      </w:r>
      <w:r w:rsidRPr="00CE0885">
        <w:rPr>
          <w:spacing w:val="-1"/>
          <w:lang w:eastAsia="en-GB"/>
        </w:rPr>
        <w:t>u</w:t>
      </w:r>
      <w:r w:rsidRPr="00CE0885">
        <w:rPr>
          <w:spacing w:val="1"/>
          <w:lang w:eastAsia="en-GB"/>
        </w:rPr>
        <w:t>t</w:t>
      </w:r>
      <w:r w:rsidRPr="00CE0885">
        <w:rPr>
          <w:lang w:eastAsia="en-GB"/>
        </w:rPr>
        <w:t>li</w:t>
      </w:r>
      <w:r w:rsidRPr="00CE0885">
        <w:rPr>
          <w:spacing w:val="1"/>
          <w:lang w:eastAsia="en-GB"/>
        </w:rPr>
        <w:t>ne</w:t>
      </w:r>
      <w:r w:rsidRPr="00CE0885">
        <w:rPr>
          <w:spacing w:val="-10"/>
          <w:lang w:eastAsia="en-GB"/>
        </w:rPr>
        <w:t xml:space="preserve"> </w:t>
      </w:r>
      <w:r w:rsidRPr="00CE0885">
        <w:rPr>
          <w:spacing w:val="1"/>
          <w:lang w:eastAsia="en-GB"/>
        </w:rPr>
        <w:t>th</w:t>
      </w:r>
      <w:r w:rsidRPr="00CE0885">
        <w:rPr>
          <w:lang w:eastAsia="en-GB"/>
        </w:rPr>
        <w:t>e</w:t>
      </w:r>
      <w:r w:rsidRPr="00CE0885">
        <w:rPr>
          <w:spacing w:val="-4"/>
          <w:lang w:eastAsia="en-GB"/>
        </w:rPr>
        <w:t xml:space="preserve"> </w:t>
      </w:r>
      <w:r w:rsidRPr="00CE0885">
        <w:rPr>
          <w:spacing w:val="1"/>
          <w:lang w:eastAsia="en-GB"/>
        </w:rPr>
        <w:t>p</w:t>
      </w:r>
      <w:r w:rsidRPr="00CE0885">
        <w:rPr>
          <w:spacing w:val="-1"/>
          <w:lang w:eastAsia="en-GB"/>
        </w:rPr>
        <w:t>r</w:t>
      </w:r>
      <w:r w:rsidRPr="00CE0885">
        <w:rPr>
          <w:lang w:eastAsia="en-GB"/>
        </w:rPr>
        <w:t>i</w:t>
      </w:r>
      <w:r w:rsidRPr="00CE0885">
        <w:rPr>
          <w:spacing w:val="1"/>
          <w:lang w:eastAsia="en-GB"/>
        </w:rPr>
        <w:t>n</w:t>
      </w:r>
      <w:r w:rsidRPr="00CE0885">
        <w:rPr>
          <w:lang w:eastAsia="en-GB"/>
        </w:rPr>
        <w:t>ci</w:t>
      </w:r>
      <w:r w:rsidRPr="00CE0885">
        <w:rPr>
          <w:spacing w:val="1"/>
          <w:lang w:eastAsia="en-GB"/>
        </w:rPr>
        <w:t>p</w:t>
      </w:r>
      <w:r w:rsidRPr="00CE0885">
        <w:rPr>
          <w:lang w:eastAsia="en-GB"/>
        </w:rPr>
        <w:t>l</w:t>
      </w:r>
      <w:r w:rsidRPr="00CE0885">
        <w:rPr>
          <w:spacing w:val="1"/>
          <w:lang w:eastAsia="en-GB"/>
        </w:rPr>
        <w:t>e</w:t>
      </w:r>
      <w:r w:rsidRPr="00CE0885">
        <w:rPr>
          <w:lang w:eastAsia="en-GB"/>
        </w:rPr>
        <w:t>s</w:t>
      </w:r>
      <w:r w:rsidRPr="00CE0885">
        <w:rPr>
          <w:spacing w:val="-10"/>
          <w:lang w:eastAsia="en-GB"/>
        </w:rPr>
        <w:t xml:space="preserve"> </w:t>
      </w:r>
      <w:r w:rsidRPr="00CE0885">
        <w:rPr>
          <w:spacing w:val="-1"/>
          <w:lang w:eastAsia="en-GB"/>
        </w:rPr>
        <w:t>a</w:t>
      </w:r>
      <w:r w:rsidRPr="00CE0885">
        <w:rPr>
          <w:spacing w:val="1"/>
          <w:lang w:eastAsia="en-GB"/>
        </w:rPr>
        <w:t>n</w:t>
      </w:r>
      <w:r w:rsidRPr="00CE0885">
        <w:rPr>
          <w:lang w:eastAsia="en-GB"/>
        </w:rPr>
        <w:t>d</w:t>
      </w:r>
      <w:r w:rsidRPr="00CE0885">
        <w:rPr>
          <w:spacing w:val="-5"/>
          <w:lang w:eastAsia="en-GB"/>
        </w:rPr>
        <w:t xml:space="preserve"> </w:t>
      </w:r>
      <w:r w:rsidRPr="00CE0885">
        <w:rPr>
          <w:lang w:eastAsia="en-GB"/>
        </w:rPr>
        <w:t>s</w:t>
      </w:r>
      <w:r w:rsidRPr="00CE0885">
        <w:rPr>
          <w:spacing w:val="1"/>
          <w:lang w:eastAsia="en-GB"/>
        </w:rPr>
        <w:t>tep</w:t>
      </w:r>
      <w:r w:rsidRPr="00CE0885">
        <w:rPr>
          <w:lang w:eastAsia="en-GB"/>
        </w:rPr>
        <w:t>s</w:t>
      </w:r>
      <w:r w:rsidRPr="00CE0885">
        <w:rPr>
          <w:spacing w:val="-6"/>
          <w:lang w:eastAsia="en-GB"/>
        </w:rPr>
        <w:t xml:space="preserve"> </w:t>
      </w:r>
      <w:r w:rsidRPr="00CE0885">
        <w:rPr>
          <w:spacing w:val="-1"/>
          <w:lang w:eastAsia="en-GB"/>
        </w:rPr>
        <w:t>r</w:t>
      </w:r>
      <w:r w:rsidRPr="00CE0885">
        <w:rPr>
          <w:spacing w:val="1"/>
          <w:lang w:eastAsia="en-GB"/>
        </w:rPr>
        <w:t>e</w:t>
      </w:r>
      <w:r w:rsidRPr="00CE0885">
        <w:rPr>
          <w:spacing w:val="-1"/>
          <w:lang w:eastAsia="en-GB"/>
        </w:rPr>
        <w:t>q</w:t>
      </w:r>
      <w:r w:rsidRPr="00CE0885">
        <w:rPr>
          <w:spacing w:val="1"/>
          <w:lang w:eastAsia="en-GB"/>
        </w:rPr>
        <w:t>u</w:t>
      </w:r>
      <w:r w:rsidRPr="00CE0885">
        <w:rPr>
          <w:lang w:eastAsia="en-GB"/>
        </w:rPr>
        <w:t>i</w:t>
      </w:r>
      <w:r w:rsidRPr="00CE0885">
        <w:rPr>
          <w:spacing w:val="-1"/>
          <w:lang w:eastAsia="en-GB"/>
        </w:rPr>
        <w:t>r</w:t>
      </w:r>
      <w:r w:rsidRPr="00CE0885">
        <w:rPr>
          <w:spacing w:val="1"/>
          <w:lang w:eastAsia="en-GB"/>
        </w:rPr>
        <w:t>e</w:t>
      </w:r>
      <w:r w:rsidRPr="00CE0885">
        <w:rPr>
          <w:lang w:eastAsia="en-GB"/>
        </w:rPr>
        <w:t>d</w:t>
      </w:r>
      <w:r w:rsidRPr="00CE0885">
        <w:rPr>
          <w:spacing w:val="-10"/>
          <w:lang w:eastAsia="en-GB"/>
        </w:rPr>
        <w:t xml:space="preserve"> </w:t>
      </w:r>
      <w:r w:rsidRPr="00CE0885">
        <w:rPr>
          <w:spacing w:val="1"/>
          <w:lang w:eastAsia="en-GB"/>
        </w:rPr>
        <w:t>t</w:t>
      </w:r>
      <w:r w:rsidRPr="00CE0885">
        <w:rPr>
          <w:lang w:eastAsia="en-GB"/>
        </w:rPr>
        <w:t>o</w:t>
      </w:r>
      <w:r w:rsidRPr="00CE0885">
        <w:rPr>
          <w:spacing w:val="-3"/>
          <w:lang w:eastAsia="en-GB"/>
        </w:rPr>
        <w:t xml:space="preserve"> </w:t>
      </w:r>
      <w:r w:rsidRPr="00CE0885">
        <w:rPr>
          <w:spacing w:val="1"/>
          <w:lang w:eastAsia="en-GB"/>
        </w:rPr>
        <w:t>p</w:t>
      </w:r>
      <w:r w:rsidRPr="00CE0885">
        <w:rPr>
          <w:spacing w:val="-1"/>
          <w:lang w:eastAsia="en-GB"/>
        </w:rPr>
        <w:t>r</w:t>
      </w:r>
      <w:r w:rsidRPr="00CE0885">
        <w:rPr>
          <w:spacing w:val="1"/>
          <w:lang w:eastAsia="en-GB"/>
        </w:rPr>
        <w:t>o</w:t>
      </w:r>
      <w:r w:rsidRPr="00CE0885">
        <w:rPr>
          <w:lang w:eastAsia="en-GB"/>
        </w:rPr>
        <w:t>c</w:t>
      </w:r>
      <w:r w:rsidRPr="00CE0885">
        <w:rPr>
          <w:spacing w:val="-1"/>
          <w:lang w:eastAsia="en-GB"/>
        </w:rPr>
        <w:t>e</w:t>
      </w:r>
      <w:r w:rsidRPr="00CE0885">
        <w:rPr>
          <w:lang w:eastAsia="en-GB"/>
        </w:rPr>
        <w:t xml:space="preserve">ss </w:t>
      </w:r>
      <w:r w:rsidRPr="00CE0885">
        <w:rPr>
          <w:spacing w:val="1"/>
          <w:lang w:eastAsia="en-GB"/>
        </w:rPr>
        <w:t>th</w:t>
      </w:r>
      <w:r w:rsidRPr="00CE0885">
        <w:rPr>
          <w:lang w:eastAsia="en-GB"/>
        </w:rPr>
        <w:t>e</w:t>
      </w:r>
      <w:r w:rsidRPr="00CE0885">
        <w:rPr>
          <w:spacing w:val="-4"/>
          <w:lang w:eastAsia="en-GB"/>
        </w:rPr>
        <w:t xml:space="preserve"> </w:t>
      </w:r>
      <w:r w:rsidRPr="00CE0885">
        <w:rPr>
          <w:spacing w:val="-1"/>
          <w:lang w:eastAsia="en-GB"/>
        </w:rPr>
        <w:t>m</w:t>
      </w:r>
      <w:r w:rsidRPr="00CE0885">
        <w:rPr>
          <w:spacing w:val="1"/>
          <w:lang w:eastAsia="en-GB"/>
        </w:rPr>
        <w:t>o</w:t>
      </w:r>
      <w:r w:rsidRPr="00CE0885">
        <w:rPr>
          <w:lang w:eastAsia="en-GB"/>
        </w:rPr>
        <w:t>st</w:t>
      </w:r>
      <w:r w:rsidRPr="00CE0885">
        <w:rPr>
          <w:spacing w:val="-4"/>
          <w:lang w:eastAsia="en-GB"/>
        </w:rPr>
        <w:t xml:space="preserve"> </w:t>
      </w:r>
      <w:r w:rsidRPr="00CE0885">
        <w:rPr>
          <w:spacing w:val="-2"/>
          <w:lang w:eastAsia="en-GB"/>
        </w:rPr>
        <w:t>c</w:t>
      </w:r>
      <w:r w:rsidRPr="00CE0885">
        <w:rPr>
          <w:spacing w:val="1"/>
          <w:lang w:eastAsia="en-GB"/>
        </w:rPr>
        <w:t>o</w:t>
      </w:r>
      <w:r w:rsidRPr="00CE0885">
        <w:rPr>
          <w:spacing w:val="-1"/>
          <w:lang w:eastAsia="en-GB"/>
        </w:rPr>
        <w:t>m</w:t>
      </w:r>
      <w:r w:rsidRPr="00CE0885">
        <w:rPr>
          <w:spacing w:val="2"/>
          <w:lang w:eastAsia="en-GB"/>
        </w:rPr>
        <w:t>m</w:t>
      </w:r>
      <w:r w:rsidRPr="00CE0885">
        <w:rPr>
          <w:spacing w:val="1"/>
          <w:lang w:eastAsia="en-GB"/>
        </w:rPr>
        <w:t>on</w:t>
      </w:r>
      <w:r w:rsidRPr="00CE0885">
        <w:rPr>
          <w:lang w:eastAsia="en-GB"/>
        </w:rPr>
        <w:t>ly</w:t>
      </w:r>
      <w:r w:rsidRPr="00CE0885">
        <w:rPr>
          <w:spacing w:val="-13"/>
          <w:lang w:eastAsia="en-GB"/>
        </w:rPr>
        <w:t xml:space="preserve"> </w:t>
      </w:r>
      <w:r w:rsidRPr="00CE0885">
        <w:rPr>
          <w:spacing w:val="1"/>
          <w:lang w:eastAsia="en-GB"/>
        </w:rPr>
        <w:t>o</w:t>
      </w:r>
      <w:r w:rsidRPr="00CE0885">
        <w:rPr>
          <w:lang w:eastAsia="en-GB"/>
        </w:rPr>
        <w:t>cc</w:t>
      </w:r>
      <w:r w:rsidRPr="00CE0885">
        <w:rPr>
          <w:spacing w:val="1"/>
          <w:lang w:eastAsia="en-GB"/>
        </w:rPr>
        <w:t>u</w:t>
      </w:r>
      <w:r w:rsidRPr="00CE0885">
        <w:rPr>
          <w:spacing w:val="-1"/>
          <w:lang w:eastAsia="en-GB"/>
        </w:rPr>
        <w:t>rr</w:t>
      </w:r>
      <w:r w:rsidRPr="00CE0885">
        <w:rPr>
          <w:lang w:eastAsia="en-GB"/>
        </w:rPr>
        <w:t>i</w:t>
      </w:r>
      <w:r w:rsidRPr="00CE0885">
        <w:rPr>
          <w:spacing w:val="1"/>
          <w:lang w:eastAsia="en-GB"/>
        </w:rPr>
        <w:t>n</w:t>
      </w:r>
      <w:r w:rsidRPr="00CE0885">
        <w:rPr>
          <w:spacing w:val="-1"/>
          <w:lang w:eastAsia="en-GB"/>
        </w:rPr>
        <w:t>g service changes</w:t>
      </w:r>
      <w:r w:rsidRPr="00CE0885">
        <w:rPr>
          <w:lang w:eastAsia="en-GB"/>
        </w:rPr>
        <w:t>.</w:t>
      </w:r>
      <w:bookmarkEnd w:id="761"/>
      <w:r w:rsidRPr="00CE0885">
        <w:rPr>
          <w:spacing w:val="-10"/>
          <w:lang w:eastAsia="en-GB"/>
        </w:rPr>
        <w:t xml:space="preserve"> </w:t>
      </w:r>
    </w:p>
    <w:p w14:paraId="57A1E55B" w14:textId="77777777" w:rsidR="00977693" w:rsidRPr="009055A7" w:rsidRDefault="00977693" w:rsidP="00977693">
      <w:pPr>
        <w:widowControl w:val="0"/>
        <w:spacing w:line="360" w:lineRule="auto"/>
        <w:ind w:left="1414"/>
        <w:jc w:val="both"/>
        <w:rPr>
          <w:rFonts w:cs="Arial"/>
          <w:bCs w:val="0"/>
          <w:sz w:val="20"/>
          <w:szCs w:val="20"/>
          <w:lang w:eastAsia="en-GB"/>
        </w:rPr>
      </w:pPr>
    </w:p>
    <w:p w14:paraId="78E8B4DD" w14:textId="77777777" w:rsidR="00977693" w:rsidRPr="00CE0885" w:rsidRDefault="00977693" w:rsidP="00202DD3">
      <w:pPr>
        <w:pStyle w:val="Heading2"/>
        <w:rPr>
          <w:lang w:eastAsia="en-GB"/>
        </w:rPr>
      </w:pPr>
      <w:bookmarkStart w:id="762" w:name="_Toc440981925"/>
      <w:bookmarkStart w:id="763" w:name="_Toc498495398"/>
      <w:r w:rsidRPr="00CE0885">
        <w:rPr>
          <w:lang w:eastAsia="en-GB"/>
        </w:rPr>
        <w:t>Open and Closed Lists</w:t>
      </w:r>
      <w:bookmarkEnd w:id="762"/>
      <w:bookmarkEnd w:id="763"/>
    </w:p>
    <w:p w14:paraId="126F7634" w14:textId="77777777" w:rsidR="00977693" w:rsidRPr="00CE0885" w:rsidRDefault="00977693" w:rsidP="00980A75">
      <w:pPr>
        <w:pStyle w:val="Heading3"/>
        <w:rPr>
          <w:lang w:eastAsia="en-GB"/>
        </w:rPr>
      </w:pPr>
      <w:bookmarkStart w:id="764" w:name="_Toc440981926"/>
      <w:r w:rsidRPr="00CE0885">
        <w:rPr>
          <w:spacing w:val="2"/>
          <w:lang w:eastAsia="en-GB"/>
        </w:rPr>
        <w:t>T</w:t>
      </w:r>
      <w:r w:rsidRPr="00CE0885">
        <w:rPr>
          <w:spacing w:val="-1"/>
          <w:lang w:eastAsia="en-GB"/>
        </w:rPr>
        <w:t>h</w:t>
      </w:r>
      <w:r w:rsidRPr="00CE0885">
        <w:rPr>
          <w:spacing w:val="1"/>
          <w:lang w:eastAsia="en-GB"/>
        </w:rPr>
        <w:t>e</w:t>
      </w:r>
      <w:r w:rsidRPr="00CE0885">
        <w:rPr>
          <w:spacing w:val="-1"/>
          <w:lang w:eastAsia="en-GB"/>
        </w:rPr>
        <w:t>r</w:t>
      </w:r>
      <w:r w:rsidRPr="00CE0885">
        <w:rPr>
          <w:lang w:eastAsia="en-GB"/>
        </w:rPr>
        <w:t>e</w:t>
      </w:r>
      <w:r w:rsidRPr="00CE0885">
        <w:rPr>
          <w:spacing w:val="-4"/>
          <w:lang w:eastAsia="en-GB"/>
        </w:rPr>
        <w:t xml:space="preserve"> </w:t>
      </w:r>
      <w:r w:rsidRPr="00CE0885">
        <w:rPr>
          <w:spacing w:val="1"/>
          <w:lang w:eastAsia="en-GB"/>
        </w:rPr>
        <w:t>a</w:t>
      </w:r>
      <w:r w:rsidRPr="00CE0885">
        <w:rPr>
          <w:spacing w:val="-1"/>
          <w:lang w:eastAsia="en-GB"/>
        </w:rPr>
        <w:t>r</w:t>
      </w:r>
      <w:r w:rsidRPr="00CE0885">
        <w:rPr>
          <w:lang w:eastAsia="en-GB"/>
        </w:rPr>
        <w:t>e</w:t>
      </w:r>
      <w:r w:rsidRPr="00CE0885">
        <w:rPr>
          <w:spacing w:val="-4"/>
          <w:lang w:eastAsia="en-GB"/>
        </w:rPr>
        <w:t xml:space="preserve"> </w:t>
      </w:r>
      <w:r w:rsidRPr="00CE0885">
        <w:rPr>
          <w:lang w:eastAsia="en-GB"/>
        </w:rPr>
        <w:t>ci</w:t>
      </w:r>
      <w:r w:rsidRPr="00CE0885">
        <w:rPr>
          <w:spacing w:val="-1"/>
          <w:lang w:eastAsia="en-GB"/>
        </w:rPr>
        <w:t>r</w:t>
      </w:r>
      <w:r w:rsidRPr="00CE0885">
        <w:rPr>
          <w:lang w:eastAsia="en-GB"/>
        </w:rPr>
        <w:t>c</w:t>
      </w:r>
      <w:r w:rsidRPr="00CE0885">
        <w:rPr>
          <w:spacing w:val="1"/>
          <w:lang w:eastAsia="en-GB"/>
        </w:rPr>
        <w:t>u</w:t>
      </w:r>
      <w:r w:rsidRPr="00CE0885">
        <w:rPr>
          <w:spacing w:val="2"/>
          <w:lang w:eastAsia="en-GB"/>
        </w:rPr>
        <w:t>m</w:t>
      </w:r>
      <w:r w:rsidRPr="00CE0885">
        <w:rPr>
          <w:lang w:eastAsia="en-GB"/>
        </w:rPr>
        <w:t>s</w:t>
      </w:r>
      <w:r w:rsidRPr="00CE0885">
        <w:rPr>
          <w:spacing w:val="-2"/>
          <w:lang w:eastAsia="en-GB"/>
        </w:rPr>
        <w:t>t</w:t>
      </w:r>
      <w:r w:rsidRPr="00CE0885">
        <w:rPr>
          <w:spacing w:val="1"/>
          <w:lang w:eastAsia="en-GB"/>
        </w:rPr>
        <w:t>an</w:t>
      </w:r>
      <w:r w:rsidRPr="00CE0885">
        <w:rPr>
          <w:spacing w:val="-2"/>
          <w:lang w:eastAsia="en-GB"/>
        </w:rPr>
        <w:t>c</w:t>
      </w:r>
      <w:r w:rsidRPr="00CE0885">
        <w:rPr>
          <w:spacing w:val="1"/>
          <w:lang w:eastAsia="en-GB"/>
        </w:rPr>
        <w:t>e</w:t>
      </w:r>
      <w:r w:rsidRPr="00CE0885">
        <w:rPr>
          <w:lang w:eastAsia="en-GB"/>
        </w:rPr>
        <w:t>s</w:t>
      </w:r>
      <w:r w:rsidRPr="00CE0885">
        <w:rPr>
          <w:spacing w:val="-15"/>
          <w:lang w:eastAsia="en-GB"/>
        </w:rPr>
        <w:t xml:space="preserve"> </w:t>
      </w:r>
      <w:r w:rsidRPr="00CE0885">
        <w:rPr>
          <w:spacing w:val="-3"/>
          <w:lang w:eastAsia="en-GB"/>
        </w:rPr>
        <w:t>w</w:t>
      </w:r>
      <w:r w:rsidRPr="00CE0885">
        <w:rPr>
          <w:spacing w:val="1"/>
          <w:lang w:eastAsia="en-GB"/>
        </w:rPr>
        <w:t>he</w:t>
      </w:r>
      <w:r w:rsidRPr="00CE0885">
        <w:rPr>
          <w:spacing w:val="-1"/>
          <w:lang w:eastAsia="en-GB"/>
        </w:rPr>
        <w:t>r</w:t>
      </w:r>
      <w:r w:rsidRPr="00CE0885">
        <w:rPr>
          <w:lang w:eastAsia="en-GB"/>
        </w:rPr>
        <w:t>e</w:t>
      </w:r>
      <w:r w:rsidRPr="00CE0885">
        <w:rPr>
          <w:spacing w:val="-5"/>
          <w:lang w:eastAsia="en-GB"/>
        </w:rPr>
        <w:t xml:space="preserve"> </w:t>
      </w:r>
      <w:r w:rsidRPr="00CE0885">
        <w:rPr>
          <w:lang w:eastAsia="en-GB"/>
        </w:rPr>
        <w:t>a</w:t>
      </w:r>
      <w:r w:rsidRPr="00CE0885">
        <w:rPr>
          <w:spacing w:val="1"/>
          <w:lang w:eastAsia="en-GB"/>
        </w:rPr>
        <w:t xml:space="preserve"> </w:t>
      </w:r>
      <w:r w:rsidRPr="00CE0885">
        <w:rPr>
          <w:lang w:eastAsia="en-GB"/>
        </w:rPr>
        <w:t>c</w:t>
      </w:r>
      <w:r w:rsidRPr="00CE0885">
        <w:rPr>
          <w:spacing w:val="-1"/>
          <w:lang w:eastAsia="en-GB"/>
        </w:rPr>
        <w:t>o</w:t>
      </w:r>
      <w:r w:rsidRPr="00CE0885">
        <w:rPr>
          <w:spacing w:val="1"/>
          <w:lang w:eastAsia="en-GB"/>
        </w:rPr>
        <w:t>nt</w:t>
      </w:r>
      <w:r w:rsidRPr="00CE0885">
        <w:rPr>
          <w:spacing w:val="-1"/>
          <w:lang w:eastAsia="en-GB"/>
        </w:rPr>
        <w:t>r</w:t>
      </w:r>
      <w:r w:rsidRPr="00CE0885">
        <w:rPr>
          <w:spacing w:val="1"/>
          <w:lang w:eastAsia="en-GB"/>
        </w:rPr>
        <w:t>a</w:t>
      </w:r>
      <w:r w:rsidRPr="00CE0885">
        <w:rPr>
          <w:lang w:eastAsia="en-GB"/>
        </w:rPr>
        <w:t>c</w:t>
      </w:r>
      <w:r w:rsidRPr="00CE0885">
        <w:rPr>
          <w:spacing w:val="-2"/>
          <w:lang w:eastAsia="en-GB"/>
        </w:rPr>
        <w:t>t</w:t>
      </w:r>
      <w:r w:rsidRPr="00CE0885">
        <w:rPr>
          <w:spacing w:val="1"/>
          <w:lang w:eastAsia="en-GB"/>
        </w:rPr>
        <w:t>o</w:t>
      </w:r>
      <w:r w:rsidRPr="00CE0885">
        <w:rPr>
          <w:lang w:eastAsia="en-GB"/>
        </w:rPr>
        <w:t>r</w:t>
      </w:r>
      <w:r w:rsidRPr="00CE0885">
        <w:rPr>
          <w:spacing w:val="-14"/>
          <w:lang w:eastAsia="en-GB"/>
        </w:rPr>
        <w:t xml:space="preserve"> </w:t>
      </w:r>
      <w:r w:rsidRPr="00CE0885">
        <w:rPr>
          <w:spacing w:val="2"/>
          <w:lang w:eastAsia="en-GB"/>
        </w:rPr>
        <w:t>m</w:t>
      </w:r>
      <w:r w:rsidRPr="00CE0885">
        <w:rPr>
          <w:spacing w:val="1"/>
          <w:lang w:eastAsia="en-GB"/>
        </w:rPr>
        <w:t>a</w:t>
      </w:r>
      <w:r w:rsidRPr="00CE0885">
        <w:rPr>
          <w:lang w:eastAsia="en-GB"/>
        </w:rPr>
        <w:t>y</w:t>
      </w:r>
      <w:r w:rsidRPr="00CE0885">
        <w:rPr>
          <w:spacing w:val="-7"/>
          <w:lang w:eastAsia="en-GB"/>
        </w:rPr>
        <w:t xml:space="preserve"> </w:t>
      </w:r>
      <w:r w:rsidRPr="00CE0885">
        <w:rPr>
          <w:spacing w:val="-3"/>
          <w:lang w:eastAsia="en-GB"/>
        </w:rPr>
        <w:t>w</w:t>
      </w:r>
      <w:r w:rsidRPr="00CE0885">
        <w:rPr>
          <w:lang w:eastAsia="en-GB"/>
        </w:rPr>
        <w:t>ish</w:t>
      </w:r>
      <w:r w:rsidRPr="00CE0885">
        <w:rPr>
          <w:spacing w:val="-3"/>
          <w:lang w:eastAsia="en-GB"/>
        </w:rPr>
        <w:t xml:space="preserve"> </w:t>
      </w:r>
      <w:r w:rsidRPr="00CE0885">
        <w:rPr>
          <w:spacing w:val="1"/>
          <w:lang w:eastAsia="en-GB"/>
        </w:rPr>
        <w:t>t</w:t>
      </w:r>
      <w:r w:rsidRPr="00CE0885">
        <w:rPr>
          <w:lang w:eastAsia="en-GB"/>
        </w:rPr>
        <w:t>o cl</w:t>
      </w:r>
      <w:r w:rsidRPr="00CE0885">
        <w:rPr>
          <w:spacing w:val="1"/>
          <w:lang w:eastAsia="en-GB"/>
        </w:rPr>
        <w:t>o</w:t>
      </w:r>
      <w:r w:rsidRPr="00CE0885">
        <w:rPr>
          <w:lang w:eastAsia="en-GB"/>
        </w:rPr>
        <w:t>se</w:t>
      </w:r>
      <w:r w:rsidRPr="00CE0885">
        <w:rPr>
          <w:spacing w:val="-4"/>
          <w:lang w:eastAsia="en-GB"/>
        </w:rPr>
        <w:t xml:space="preserve"> </w:t>
      </w:r>
      <w:r w:rsidRPr="00CE0885">
        <w:rPr>
          <w:spacing w:val="-2"/>
          <w:lang w:eastAsia="en-GB"/>
        </w:rPr>
        <w:t>t</w:t>
      </w:r>
      <w:r w:rsidRPr="00CE0885">
        <w:rPr>
          <w:spacing w:val="1"/>
          <w:lang w:eastAsia="en-GB"/>
        </w:rPr>
        <w:t>he</w:t>
      </w:r>
      <w:r w:rsidRPr="00CE0885">
        <w:rPr>
          <w:lang w:eastAsia="en-GB"/>
        </w:rPr>
        <w:t>ir</w:t>
      </w:r>
      <w:r w:rsidRPr="00CE0885">
        <w:rPr>
          <w:spacing w:val="-5"/>
          <w:lang w:eastAsia="en-GB"/>
        </w:rPr>
        <w:t xml:space="preserve"> </w:t>
      </w:r>
      <w:r w:rsidRPr="00CE0885">
        <w:rPr>
          <w:lang w:eastAsia="en-GB"/>
        </w:rPr>
        <w:t xml:space="preserve">list </w:t>
      </w:r>
      <w:r w:rsidRPr="00CE0885">
        <w:rPr>
          <w:spacing w:val="1"/>
          <w:lang w:eastAsia="en-GB"/>
        </w:rPr>
        <w:t>t</w:t>
      </w:r>
      <w:r w:rsidRPr="00CE0885">
        <w:rPr>
          <w:lang w:eastAsia="en-GB"/>
        </w:rPr>
        <w:t xml:space="preserve">o </w:t>
      </w:r>
      <w:r w:rsidRPr="00CE0885">
        <w:rPr>
          <w:spacing w:val="-1"/>
          <w:lang w:eastAsia="en-GB"/>
        </w:rPr>
        <w:t>n</w:t>
      </w:r>
      <w:r w:rsidRPr="00CE0885">
        <w:rPr>
          <w:spacing w:val="1"/>
          <w:lang w:eastAsia="en-GB"/>
        </w:rPr>
        <w:t>e</w:t>
      </w:r>
      <w:r w:rsidRPr="00CE0885">
        <w:rPr>
          <w:lang w:eastAsia="en-GB"/>
        </w:rPr>
        <w:t>w</w:t>
      </w:r>
      <w:r w:rsidRPr="00CE0885">
        <w:rPr>
          <w:spacing w:val="-6"/>
          <w:lang w:eastAsia="en-GB"/>
        </w:rPr>
        <w:t xml:space="preserve"> </w:t>
      </w:r>
      <w:r w:rsidRPr="00CE0885">
        <w:rPr>
          <w:spacing w:val="-1"/>
          <w:lang w:eastAsia="en-GB"/>
        </w:rPr>
        <w:t>r</w:t>
      </w:r>
      <w:r w:rsidRPr="00CE0885">
        <w:rPr>
          <w:spacing w:val="1"/>
          <w:lang w:eastAsia="en-GB"/>
        </w:rPr>
        <w:t>e</w:t>
      </w:r>
      <w:r w:rsidRPr="00CE0885">
        <w:rPr>
          <w:spacing w:val="-1"/>
          <w:lang w:eastAsia="en-GB"/>
        </w:rPr>
        <w:t>g</w:t>
      </w:r>
      <w:r w:rsidRPr="00CE0885">
        <w:rPr>
          <w:lang w:eastAsia="en-GB"/>
        </w:rPr>
        <w:t>is</w:t>
      </w:r>
      <w:r w:rsidRPr="00CE0885">
        <w:rPr>
          <w:spacing w:val="1"/>
          <w:lang w:eastAsia="en-GB"/>
        </w:rPr>
        <w:t>t</w:t>
      </w:r>
      <w:r w:rsidRPr="00CE0885">
        <w:rPr>
          <w:spacing w:val="-1"/>
          <w:lang w:eastAsia="en-GB"/>
        </w:rPr>
        <w:t>r</w:t>
      </w:r>
      <w:r w:rsidRPr="00CE0885">
        <w:rPr>
          <w:spacing w:val="1"/>
          <w:lang w:eastAsia="en-GB"/>
        </w:rPr>
        <w:t>at</w:t>
      </w:r>
      <w:r w:rsidRPr="00CE0885">
        <w:rPr>
          <w:lang w:eastAsia="en-GB"/>
        </w:rPr>
        <w:t>i</w:t>
      </w:r>
      <w:r w:rsidRPr="00CE0885">
        <w:rPr>
          <w:spacing w:val="1"/>
          <w:lang w:eastAsia="en-GB"/>
        </w:rPr>
        <w:t>on</w:t>
      </w:r>
      <w:r w:rsidRPr="00CE0885">
        <w:rPr>
          <w:lang w:eastAsia="en-GB"/>
        </w:rPr>
        <w:t>s,</w:t>
      </w:r>
      <w:r w:rsidRPr="00CE0885">
        <w:rPr>
          <w:spacing w:val="-13"/>
          <w:lang w:eastAsia="en-GB"/>
        </w:rPr>
        <w:t xml:space="preserve"> </w:t>
      </w:r>
      <w:r w:rsidRPr="00CE0885">
        <w:rPr>
          <w:spacing w:val="1"/>
          <w:lang w:eastAsia="en-GB"/>
        </w:rPr>
        <w:t>e</w:t>
      </w:r>
      <w:r w:rsidRPr="00CE0885">
        <w:rPr>
          <w:lang w:eastAsia="en-GB"/>
        </w:rPr>
        <w:t>.g.</w:t>
      </w:r>
      <w:r w:rsidRPr="00CE0885">
        <w:rPr>
          <w:spacing w:val="-4"/>
          <w:lang w:eastAsia="en-GB"/>
        </w:rPr>
        <w:t xml:space="preserve"> </w:t>
      </w:r>
      <w:r w:rsidRPr="00CE0885">
        <w:rPr>
          <w:lang w:eastAsia="en-GB"/>
        </w:rPr>
        <w:t>i</w:t>
      </w:r>
      <w:r w:rsidRPr="00CE0885">
        <w:rPr>
          <w:spacing w:val="1"/>
          <w:lang w:eastAsia="en-GB"/>
        </w:rPr>
        <w:t>nte</w:t>
      </w:r>
      <w:r w:rsidRPr="00CE0885">
        <w:rPr>
          <w:spacing w:val="-1"/>
          <w:lang w:eastAsia="en-GB"/>
        </w:rPr>
        <w:t>r</w:t>
      </w:r>
      <w:r w:rsidRPr="00CE0885">
        <w:rPr>
          <w:spacing w:val="1"/>
          <w:lang w:eastAsia="en-GB"/>
        </w:rPr>
        <w:t>na</w:t>
      </w:r>
      <w:r w:rsidRPr="00CE0885">
        <w:rPr>
          <w:lang w:eastAsia="en-GB"/>
        </w:rPr>
        <w:t>l</w:t>
      </w:r>
      <w:r w:rsidRPr="00CE0885">
        <w:rPr>
          <w:spacing w:val="-8"/>
          <w:lang w:eastAsia="en-GB"/>
        </w:rPr>
        <w:t xml:space="preserve"> </w:t>
      </w:r>
      <w:r w:rsidRPr="00CE0885">
        <w:rPr>
          <w:spacing w:val="-2"/>
          <w:lang w:eastAsia="en-GB"/>
        </w:rPr>
        <w:t>c</w:t>
      </w:r>
      <w:r w:rsidRPr="00CE0885">
        <w:rPr>
          <w:spacing w:val="1"/>
          <w:lang w:eastAsia="en-GB"/>
        </w:rPr>
        <w:t>a</w:t>
      </w:r>
      <w:r w:rsidRPr="00CE0885">
        <w:rPr>
          <w:spacing w:val="-1"/>
          <w:lang w:eastAsia="en-GB"/>
        </w:rPr>
        <w:t>p</w:t>
      </w:r>
      <w:r w:rsidRPr="00CE0885">
        <w:rPr>
          <w:spacing w:val="1"/>
          <w:lang w:eastAsia="en-GB"/>
        </w:rPr>
        <w:t>a</w:t>
      </w:r>
      <w:r w:rsidRPr="00CE0885">
        <w:rPr>
          <w:lang w:eastAsia="en-GB"/>
        </w:rPr>
        <w:t>ci</w:t>
      </w:r>
      <w:r w:rsidRPr="00CE0885">
        <w:rPr>
          <w:spacing w:val="1"/>
          <w:lang w:eastAsia="en-GB"/>
        </w:rPr>
        <w:t>t</w:t>
      </w:r>
      <w:r w:rsidRPr="00CE0885">
        <w:rPr>
          <w:lang w:eastAsia="en-GB"/>
        </w:rPr>
        <w:t>y</w:t>
      </w:r>
      <w:r w:rsidRPr="00CE0885">
        <w:rPr>
          <w:spacing w:val="-11"/>
          <w:lang w:eastAsia="en-GB"/>
        </w:rPr>
        <w:t xml:space="preserve"> </w:t>
      </w:r>
      <w:r w:rsidRPr="00CE0885">
        <w:rPr>
          <w:lang w:eastAsia="en-GB"/>
        </w:rPr>
        <w:t>iss</w:t>
      </w:r>
      <w:r w:rsidRPr="00CE0885">
        <w:rPr>
          <w:spacing w:val="1"/>
          <w:lang w:eastAsia="en-GB"/>
        </w:rPr>
        <w:t>ue</w:t>
      </w:r>
      <w:r w:rsidRPr="00CE0885">
        <w:rPr>
          <w:lang w:eastAsia="en-GB"/>
        </w:rPr>
        <w:t>s</w:t>
      </w:r>
      <w:r w:rsidRPr="00CE0885">
        <w:rPr>
          <w:spacing w:val="-7"/>
          <w:lang w:eastAsia="en-GB"/>
        </w:rPr>
        <w:t xml:space="preserve"> </w:t>
      </w:r>
      <w:r w:rsidRPr="00CE0885">
        <w:rPr>
          <w:spacing w:val="1"/>
          <w:lang w:eastAsia="en-GB"/>
        </w:rPr>
        <w:t>o</w:t>
      </w:r>
      <w:r w:rsidRPr="00CE0885">
        <w:rPr>
          <w:lang w:eastAsia="en-GB"/>
        </w:rPr>
        <w:t>r</w:t>
      </w:r>
      <w:r w:rsidRPr="00CE0885">
        <w:rPr>
          <w:spacing w:val="-2"/>
          <w:lang w:eastAsia="en-GB"/>
        </w:rPr>
        <w:t xml:space="preserve"> </w:t>
      </w:r>
      <w:r w:rsidRPr="00CE0885">
        <w:rPr>
          <w:spacing w:val="1"/>
          <w:lang w:eastAsia="en-GB"/>
        </w:rPr>
        <w:t>p</w:t>
      </w:r>
      <w:r w:rsidRPr="00CE0885">
        <w:rPr>
          <w:spacing w:val="-1"/>
          <w:lang w:eastAsia="en-GB"/>
        </w:rPr>
        <w:t>re</w:t>
      </w:r>
      <w:r w:rsidRPr="00CE0885">
        <w:rPr>
          <w:spacing w:val="2"/>
          <w:lang w:eastAsia="en-GB"/>
        </w:rPr>
        <w:t>m</w:t>
      </w:r>
      <w:r w:rsidRPr="00CE0885">
        <w:rPr>
          <w:lang w:eastAsia="en-GB"/>
        </w:rPr>
        <w:t>is</w:t>
      </w:r>
      <w:r w:rsidRPr="00CE0885">
        <w:rPr>
          <w:spacing w:val="1"/>
          <w:lang w:eastAsia="en-GB"/>
        </w:rPr>
        <w:t>e</w:t>
      </w:r>
      <w:r w:rsidRPr="00CE0885">
        <w:rPr>
          <w:lang w:eastAsia="en-GB"/>
        </w:rPr>
        <w:t xml:space="preserve">s </w:t>
      </w:r>
      <w:r w:rsidRPr="00CE0885">
        <w:rPr>
          <w:spacing w:val="-1"/>
          <w:lang w:eastAsia="en-GB"/>
        </w:rPr>
        <w:t>r</w:t>
      </w:r>
      <w:r w:rsidRPr="00CE0885">
        <w:rPr>
          <w:spacing w:val="1"/>
          <w:lang w:eastAsia="en-GB"/>
        </w:rPr>
        <w:t>efu</w:t>
      </w:r>
      <w:r w:rsidRPr="00CE0885">
        <w:rPr>
          <w:spacing w:val="-1"/>
          <w:lang w:eastAsia="en-GB"/>
        </w:rPr>
        <w:t>r</w:t>
      </w:r>
      <w:r w:rsidRPr="00CE0885">
        <w:rPr>
          <w:spacing w:val="1"/>
          <w:lang w:eastAsia="en-GB"/>
        </w:rPr>
        <w:t>b</w:t>
      </w:r>
      <w:r w:rsidRPr="00CE0885">
        <w:rPr>
          <w:lang w:eastAsia="en-GB"/>
        </w:rPr>
        <w:t>is</w:t>
      </w:r>
      <w:r w:rsidRPr="00CE0885">
        <w:rPr>
          <w:spacing w:val="-1"/>
          <w:lang w:eastAsia="en-GB"/>
        </w:rPr>
        <w:t>h</w:t>
      </w:r>
      <w:r w:rsidRPr="00CE0885">
        <w:rPr>
          <w:spacing w:val="2"/>
          <w:lang w:eastAsia="en-GB"/>
        </w:rPr>
        <w:t>m</w:t>
      </w:r>
      <w:r w:rsidRPr="00CE0885">
        <w:rPr>
          <w:spacing w:val="1"/>
          <w:lang w:eastAsia="en-GB"/>
        </w:rPr>
        <w:t>e</w:t>
      </w:r>
      <w:r w:rsidRPr="00CE0885">
        <w:rPr>
          <w:spacing w:val="-1"/>
          <w:lang w:eastAsia="en-GB"/>
        </w:rPr>
        <w:t>n</w:t>
      </w:r>
      <w:r w:rsidRPr="00CE0885">
        <w:rPr>
          <w:spacing w:val="1"/>
          <w:lang w:eastAsia="en-GB"/>
        </w:rPr>
        <w:t>t</w:t>
      </w:r>
      <w:r w:rsidRPr="00CE0885">
        <w:rPr>
          <w:lang w:eastAsia="en-GB"/>
        </w:rPr>
        <w:t>s.</w:t>
      </w:r>
      <w:r w:rsidRPr="00CE0885">
        <w:rPr>
          <w:spacing w:val="-18"/>
          <w:lang w:eastAsia="en-GB"/>
        </w:rPr>
        <w:t xml:space="preserve"> </w:t>
      </w:r>
      <w:r w:rsidRPr="00CE0885">
        <w:rPr>
          <w:lang w:eastAsia="en-GB"/>
        </w:rPr>
        <w:t>A</w:t>
      </w:r>
      <w:r w:rsidRPr="00CE0885">
        <w:rPr>
          <w:spacing w:val="-1"/>
          <w:lang w:eastAsia="en-GB"/>
        </w:rPr>
        <w:t xml:space="preserve"> </w:t>
      </w:r>
      <w:r w:rsidRPr="00CE0885">
        <w:rPr>
          <w:lang w:eastAsia="en-GB"/>
        </w:rPr>
        <w:t>c</w:t>
      </w:r>
      <w:r w:rsidRPr="00CE0885">
        <w:rPr>
          <w:spacing w:val="1"/>
          <w:lang w:eastAsia="en-GB"/>
        </w:rPr>
        <w:t>ont</w:t>
      </w:r>
      <w:r w:rsidRPr="00CE0885">
        <w:rPr>
          <w:spacing w:val="-3"/>
          <w:lang w:eastAsia="en-GB"/>
        </w:rPr>
        <w:t>r</w:t>
      </w:r>
      <w:r w:rsidRPr="00CE0885">
        <w:rPr>
          <w:spacing w:val="1"/>
          <w:lang w:eastAsia="en-GB"/>
        </w:rPr>
        <w:t>a</w:t>
      </w:r>
      <w:r w:rsidRPr="00CE0885">
        <w:rPr>
          <w:lang w:eastAsia="en-GB"/>
        </w:rPr>
        <w:t>c</w:t>
      </w:r>
      <w:r w:rsidRPr="00CE0885">
        <w:rPr>
          <w:spacing w:val="1"/>
          <w:lang w:eastAsia="en-GB"/>
        </w:rPr>
        <w:t>to</w:t>
      </w:r>
      <w:r w:rsidRPr="00CE0885">
        <w:rPr>
          <w:lang w:eastAsia="en-GB"/>
        </w:rPr>
        <w:t>r</w:t>
      </w:r>
      <w:r w:rsidRPr="00CE0885">
        <w:rPr>
          <w:spacing w:val="-14"/>
          <w:lang w:eastAsia="en-GB"/>
        </w:rPr>
        <w:t xml:space="preserve"> </w:t>
      </w:r>
      <w:r w:rsidRPr="00CE0885">
        <w:rPr>
          <w:spacing w:val="2"/>
          <w:lang w:eastAsia="en-GB"/>
        </w:rPr>
        <w:t>m</w:t>
      </w:r>
      <w:r w:rsidRPr="00CE0885">
        <w:rPr>
          <w:spacing w:val="1"/>
          <w:lang w:eastAsia="en-GB"/>
        </w:rPr>
        <w:t>a</w:t>
      </w:r>
      <w:r w:rsidRPr="00CE0885">
        <w:rPr>
          <w:lang w:eastAsia="en-GB"/>
        </w:rPr>
        <w:t>y</w:t>
      </w:r>
      <w:r w:rsidRPr="00CE0885">
        <w:rPr>
          <w:spacing w:val="-7"/>
          <w:lang w:eastAsia="en-GB"/>
        </w:rPr>
        <w:t xml:space="preserve"> </w:t>
      </w:r>
      <w:r w:rsidRPr="00CE0885">
        <w:rPr>
          <w:spacing w:val="1"/>
          <w:lang w:eastAsia="en-GB"/>
        </w:rPr>
        <w:t>a</w:t>
      </w:r>
      <w:r w:rsidRPr="00CE0885">
        <w:rPr>
          <w:lang w:eastAsia="en-GB"/>
        </w:rPr>
        <w:t>lso</w:t>
      </w:r>
      <w:r w:rsidRPr="00CE0885">
        <w:rPr>
          <w:spacing w:val="-5"/>
          <w:lang w:eastAsia="en-GB"/>
        </w:rPr>
        <w:t xml:space="preserve"> </w:t>
      </w:r>
      <w:r w:rsidRPr="00CE0885">
        <w:rPr>
          <w:lang w:eastAsia="en-GB"/>
        </w:rPr>
        <w:t>s</w:t>
      </w:r>
      <w:r w:rsidRPr="00CE0885">
        <w:rPr>
          <w:spacing w:val="1"/>
          <w:lang w:eastAsia="en-GB"/>
        </w:rPr>
        <w:t>ee</w:t>
      </w:r>
      <w:r w:rsidRPr="00CE0885">
        <w:rPr>
          <w:lang w:eastAsia="en-GB"/>
        </w:rPr>
        <w:t>k</w:t>
      </w:r>
      <w:r w:rsidRPr="00CE0885">
        <w:rPr>
          <w:spacing w:val="-5"/>
          <w:lang w:eastAsia="en-GB"/>
        </w:rPr>
        <w:t xml:space="preserve"> </w:t>
      </w:r>
      <w:r w:rsidRPr="00CE0885">
        <w:rPr>
          <w:spacing w:val="-2"/>
          <w:lang w:eastAsia="en-GB"/>
        </w:rPr>
        <w:t>t</w:t>
      </w:r>
      <w:r w:rsidRPr="00CE0885">
        <w:rPr>
          <w:lang w:eastAsia="en-GB"/>
        </w:rPr>
        <w:t xml:space="preserve">o </w:t>
      </w:r>
      <w:r w:rsidRPr="00CE0885">
        <w:rPr>
          <w:spacing w:val="1"/>
          <w:lang w:eastAsia="en-GB"/>
        </w:rPr>
        <w:t>e</w:t>
      </w:r>
      <w:r w:rsidRPr="00CE0885">
        <w:rPr>
          <w:spacing w:val="-2"/>
          <w:lang w:eastAsia="en-GB"/>
        </w:rPr>
        <w:t>x</w:t>
      </w:r>
      <w:r w:rsidRPr="00CE0885">
        <w:rPr>
          <w:spacing w:val="1"/>
          <w:lang w:eastAsia="en-GB"/>
        </w:rPr>
        <w:t>te</w:t>
      </w:r>
      <w:r w:rsidRPr="00CE0885">
        <w:rPr>
          <w:spacing w:val="-1"/>
          <w:lang w:eastAsia="en-GB"/>
        </w:rPr>
        <w:t>n</w:t>
      </w:r>
      <w:r w:rsidRPr="00CE0885">
        <w:rPr>
          <w:lang w:eastAsia="en-GB"/>
        </w:rPr>
        <w:t>d</w:t>
      </w:r>
      <w:r w:rsidRPr="00CE0885">
        <w:rPr>
          <w:spacing w:val="-5"/>
          <w:lang w:eastAsia="en-GB"/>
        </w:rPr>
        <w:t xml:space="preserve"> </w:t>
      </w:r>
      <w:r w:rsidRPr="00CE0885">
        <w:rPr>
          <w:lang w:eastAsia="en-GB"/>
        </w:rPr>
        <w:t>a</w:t>
      </w:r>
      <w:r w:rsidRPr="00CE0885">
        <w:rPr>
          <w:spacing w:val="1"/>
          <w:lang w:eastAsia="en-GB"/>
        </w:rPr>
        <w:t xml:space="preserve"> </w:t>
      </w:r>
      <w:r w:rsidRPr="00CE0885">
        <w:rPr>
          <w:lang w:eastAsia="en-GB"/>
        </w:rPr>
        <w:t>cl</w:t>
      </w:r>
      <w:r w:rsidRPr="00CE0885">
        <w:rPr>
          <w:spacing w:val="1"/>
          <w:lang w:eastAsia="en-GB"/>
        </w:rPr>
        <w:t>o</w:t>
      </w:r>
      <w:r w:rsidRPr="00CE0885">
        <w:rPr>
          <w:spacing w:val="-2"/>
          <w:lang w:eastAsia="en-GB"/>
        </w:rPr>
        <w:t>s</w:t>
      </w:r>
      <w:r w:rsidRPr="00CE0885">
        <w:rPr>
          <w:spacing w:val="-1"/>
          <w:lang w:eastAsia="en-GB"/>
        </w:rPr>
        <w:t>e</w:t>
      </w:r>
      <w:r w:rsidRPr="00CE0885">
        <w:rPr>
          <w:lang w:eastAsia="en-GB"/>
        </w:rPr>
        <w:t>d</w:t>
      </w:r>
      <w:r w:rsidRPr="00CE0885">
        <w:rPr>
          <w:spacing w:val="-5"/>
          <w:lang w:eastAsia="en-GB"/>
        </w:rPr>
        <w:t xml:space="preserve"> </w:t>
      </w:r>
      <w:r w:rsidRPr="00CE0885">
        <w:rPr>
          <w:lang w:eastAsia="en-GB"/>
        </w:rPr>
        <w:t>list</w:t>
      </w:r>
      <w:r w:rsidRPr="00CE0885">
        <w:rPr>
          <w:spacing w:val="-2"/>
          <w:lang w:eastAsia="en-GB"/>
        </w:rPr>
        <w:t xml:space="preserve"> </w:t>
      </w:r>
      <w:r w:rsidRPr="00CE0885">
        <w:rPr>
          <w:spacing w:val="1"/>
          <w:lang w:eastAsia="en-GB"/>
        </w:rPr>
        <w:t>pe</w:t>
      </w:r>
      <w:r w:rsidRPr="00CE0885">
        <w:rPr>
          <w:spacing w:val="-1"/>
          <w:lang w:eastAsia="en-GB"/>
        </w:rPr>
        <w:t>r</w:t>
      </w:r>
      <w:r w:rsidRPr="00CE0885">
        <w:rPr>
          <w:lang w:eastAsia="en-GB"/>
        </w:rPr>
        <w:t>i</w:t>
      </w:r>
      <w:r w:rsidRPr="00CE0885">
        <w:rPr>
          <w:spacing w:val="-1"/>
          <w:lang w:eastAsia="en-GB"/>
        </w:rPr>
        <w:t>o</w:t>
      </w:r>
      <w:r w:rsidRPr="00CE0885">
        <w:rPr>
          <w:lang w:eastAsia="en-GB"/>
        </w:rPr>
        <w:t>d</w:t>
      </w:r>
      <w:r w:rsidRPr="00CE0885">
        <w:rPr>
          <w:spacing w:val="-5"/>
          <w:lang w:eastAsia="en-GB"/>
        </w:rPr>
        <w:t xml:space="preserve"> </w:t>
      </w:r>
      <w:r w:rsidRPr="00CE0885">
        <w:rPr>
          <w:spacing w:val="1"/>
          <w:lang w:eastAsia="en-GB"/>
        </w:rPr>
        <w:t>o</w:t>
      </w:r>
      <w:r w:rsidRPr="00CE0885">
        <w:rPr>
          <w:lang w:eastAsia="en-GB"/>
        </w:rPr>
        <w:t>r</w:t>
      </w:r>
      <w:r w:rsidRPr="00CE0885">
        <w:rPr>
          <w:spacing w:val="-2"/>
          <w:lang w:eastAsia="en-GB"/>
        </w:rPr>
        <w:t xml:space="preserve"> </w:t>
      </w:r>
      <w:r w:rsidRPr="00CE0885">
        <w:rPr>
          <w:spacing w:val="-1"/>
          <w:lang w:eastAsia="en-GB"/>
        </w:rPr>
        <w:t>o</w:t>
      </w:r>
      <w:r w:rsidRPr="00CE0885">
        <w:rPr>
          <w:spacing w:val="1"/>
          <w:lang w:eastAsia="en-GB"/>
        </w:rPr>
        <w:t>p</w:t>
      </w:r>
      <w:r w:rsidRPr="00CE0885">
        <w:rPr>
          <w:spacing w:val="-1"/>
          <w:lang w:eastAsia="en-GB"/>
        </w:rPr>
        <w:t>e</w:t>
      </w:r>
      <w:r w:rsidRPr="00CE0885">
        <w:rPr>
          <w:lang w:eastAsia="en-GB"/>
        </w:rPr>
        <w:t>n</w:t>
      </w:r>
      <w:r w:rsidRPr="00CE0885">
        <w:rPr>
          <w:spacing w:val="-3"/>
          <w:lang w:eastAsia="en-GB"/>
        </w:rPr>
        <w:t xml:space="preserve"> </w:t>
      </w:r>
      <w:r w:rsidRPr="00CE0885">
        <w:rPr>
          <w:spacing w:val="1"/>
          <w:lang w:eastAsia="en-GB"/>
        </w:rPr>
        <w:t>t</w:t>
      </w:r>
      <w:r w:rsidRPr="00CE0885">
        <w:rPr>
          <w:spacing w:val="-1"/>
          <w:lang w:eastAsia="en-GB"/>
        </w:rPr>
        <w:t>h</w:t>
      </w:r>
      <w:r w:rsidRPr="00CE0885">
        <w:rPr>
          <w:spacing w:val="1"/>
          <w:lang w:eastAsia="en-GB"/>
        </w:rPr>
        <w:t>e</w:t>
      </w:r>
      <w:r w:rsidRPr="00CE0885">
        <w:rPr>
          <w:lang w:eastAsia="en-GB"/>
        </w:rPr>
        <w:t>ir list</w:t>
      </w:r>
      <w:r w:rsidRPr="00CE0885">
        <w:rPr>
          <w:spacing w:val="-2"/>
          <w:lang w:eastAsia="en-GB"/>
        </w:rPr>
        <w:t xml:space="preserve"> </w:t>
      </w:r>
      <w:r w:rsidRPr="00CE0885">
        <w:rPr>
          <w:spacing w:val="1"/>
          <w:lang w:eastAsia="en-GB"/>
        </w:rPr>
        <w:t>a</w:t>
      </w:r>
      <w:r w:rsidRPr="00CE0885">
        <w:rPr>
          <w:spacing w:val="-1"/>
          <w:lang w:eastAsia="en-GB"/>
        </w:rPr>
        <w:t>g</w:t>
      </w:r>
      <w:r w:rsidRPr="00CE0885">
        <w:rPr>
          <w:spacing w:val="1"/>
          <w:lang w:eastAsia="en-GB"/>
        </w:rPr>
        <w:t>a</w:t>
      </w:r>
      <w:r w:rsidRPr="00CE0885">
        <w:rPr>
          <w:lang w:eastAsia="en-GB"/>
        </w:rPr>
        <w:t>in</w:t>
      </w:r>
      <w:r w:rsidRPr="00CE0885">
        <w:rPr>
          <w:spacing w:val="-4"/>
          <w:lang w:eastAsia="en-GB"/>
        </w:rPr>
        <w:t xml:space="preserve"> </w:t>
      </w:r>
      <w:r w:rsidRPr="00CE0885">
        <w:rPr>
          <w:spacing w:val="1"/>
          <w:lang w:eastAsia="en-GB"/>
        </w:rPr>
        <w:t>b</w:t>
      </w:r>
      <w:r w:rsidRPr="00CE0885">
        <w:rPr>
          <w:spacing w:val="-1"/>
          <w:lang w:eastAsia="en-GB"/>
        </w:rPr>
        <w:t>e</w:t>
      </w:r>
      <w:r w:rsidRPr="00CE0885">
        <w:rPr>
          <w:spacing w:val="1"/>
          <w:lang w:eastAsia="en-GB"/>
        </w:rPr>
        <w:t>fo</w:t>
      </w:r>
      <w:r w:rsidRPr="00CE0885">
        <w:rPr>
          <w:spacing w:val="-1"/>
          <w:lang w:eastAsia="en-GB"/>
        </w:rPr>
        <w:t>r</w:t>
      </w:r>
      <w:r w:rsidRPr="00CE0885">
        <w:rPr>
          <w:lang w:eastAsia="en-GB"/>
        </w:rPr>
        <w:t>e</w:t>
      </w:r>
      <w:r w:rsidRPr="00CE0885">
        <w:rPr>
          <w:spacing w:val="-5"/>
          <w:lang w:eastAsia="en-GB"/>
        </w:rPr>
        <w:t xml:space="preserve"> </w:t>
      </w:r>
      <w:r w:rsidRPr="00CE0885">
        <w:rPr>
          <w:spacing w:val="-2"/>
          <w:lang w:eastAsia="en-GB"/>
        </w:rPr>
        <w:t>t</w:t>
      </w:r>
      <w:r w:rsidRPr="00CE0885">
        <w:rPr>
          <w:spacing w:val="1"/>
          <w:lang w:eastAsia="en-GB"/>
        </w:rPr>
        <w:t>h</w:t>
      </w:r>
      <w:r w:rsidRPr="00CE0885">
        <w:rPr>
          <w:lang w:eastAsia="en-GB"/>
        </w:rPr>
        <w:t>e</w:t>
      </w:r>
      <w:r w:rsidRPr="00CE0885">
        <w:rPr>
          <w:spacing w:val="-4"/>
          <w:lang w:eastAsia="en-GB"/>
        </w:rPr>
        <w:t xml:space="preserve"> </w:t>
      </w:r>
      <w:r w:rsidRPr="00CE0885">
        <w:rPr>
          <w:spacing w:val="1"/>
          <w:lang w:eastAsia="en-GB"/>
        </w:rPr>
        <w:t>e</w:t>
      </w:r>
      <w:r w:rsidRPr="00CE0885">
        <w:rPr>
          <w:spacing w:val="-1"/>
          <w:lang w:eastAsia="en-GB"/>
        </w:rPr>
        <w:t>n</w:t>
      </w:r>
      <w:r w:rsidRPr="00CE0885">
        <w:rPr>
          <w:lang w:eastAsia="en-GB"/>
        </w:rPr>
        <w:t>d</w:t>
      </w:r>
      <w:r w:rsidRPr="00CE0885">
        <w:rPr>
          <w:spacing w:val="-2"/>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1"/>
          <w:lang w:eastAsia="en-GB"/>
        </w:rPr>
        <w:t>a</w:t>
      </w:r>
      <w:r w:rsidRPr="00CE0885">
        <w:rPr>
          <w:lang w:eastAsia="en-GB"/>
        </w:rPr>
        <w:t>n</w:t>
      </w:r>
      <w:r w:rsidRPr="00CE0885">
        <w:rPr>
          <w:spacing w:val="-4"/>
          <w:lang w:eastAsia="en-GB"/>
        </w:rPr>
        <w:t xml:space="preserve"> </w:t>
      </w:r>
      <w:r w:rsidRPr="00CE0885">
        <w:rPr>
          <w:spacing w:val="1"/>
          <w:lang w:eastAsia="en-GB"/>
        </w:rPr>
        <w:t>a</w:t>
      </w:r>
      <w:r w:rsidRPr="00CE0885">
        <w:rPr>
          <w:spacing w:val="-1"/>
          <w:lang w:eastAsia="en-GB"/>
        </w:rPr>
        <w:t>gr</w:t>
      </w:r>
      <w:r w:rsidRPr="00CE0885">
        <w:rPr>
          <w:spacing w:val="1"/>
          <w:lang w:eastAsia="en-GB"/>
        </w:rPr>
        <w:t>ee</w:t>
      </w:r>
      <w:r w:rsidRPr="00CE0885">
        <w:rPr>
          <w:lang w:eastAsia="en-GB"/>
        </w:rPr>
        <w:t>d</w:t>
      </w:r>
      <w:r w:rsidRPr="00CE0885">
        <w:rPr>
          <w:spacing w:val="-8"/>
          <w:lang w:eastAsia="en-GB"/>
        </w:rPr>
        <w:t xml:space="preserve"> </w:t>
      </w:r>
      <w:r w:rsidRPr="00CE0885">
        <w:rPr>
          <w:spacing w:val="1"/>
          <w:lang w:eastAsia="en-GB"/>
        </w:rPr>
        <w:t>pe</w:t>
      </w:r>
      <w:r w:rsidRPr="00CE0885">
        <w:rPr>
          <w:spacing w:val="-1"/>
          <w:lang w:eastAsia="en-GB"/>
        </w:rPr>
        <w:t>r</w:t>
      </w:r>
      <w:r w:rsidRPr="00CE0885">
        <w:rPr>
          <w:lang w:eastAsia="en-GB"/>
        </w:rPr>
        <w:t>i</w:t>
      </w:r>
      <w:r w:rsidRPr="00CE0885">
        <w:rPr>
          <w:spacing w:val="1"/>
          <w:lang w:eastAsia="en-GB"/>
        </w:rPr>
        <w:t>od</w:t>
      </w:r>
      <w:r w:rsidRPr="00CE0885">
        <w:rPr>
          <w:lang w:eastAsia="en-GB"/>
        </w:rPr>
        <w:t>.</w:t>
      </w:r>
      <w:bookmarkEnd w:id="764"/>
      <w:r w:rsidRPr="00CE0885">
        <w:rPr>
          <w:spacing w:val="-11"/>
          <w:lang w:eastAsia="en-GB"/>
        </w:rPr>
        <w:t xml:space="preserve"> </w:t>
      </w:r>
    </w:p>
    <w:p w14:paraId="59165C5D" w14:textId="10C56422" w:rsidR="00977693" w:rsidRPr="00CE0885" w:rsidRDefault="00977693" w:rsidP="00980A75">
      <w:pPr>
        <w:pStyle w:val="Heading3"/>
        <w:rPr>
          <w:spacing w:val="-6"/>
          <w:lang w:eastAsia="en-GB"/>
        </w:rPr>
      </w:pPr>
      <w:bookmarkStart w:id="765" w:name="_Toc440981927"/>
      <w:r w:rsidRPr="00CE0885">
        <w:rPr>
          <w:lang w:eastAsia="en-GB"/>
        </w:rPr>
        <w:t>F</w:t>
      </w:r>
      <w:r w:rsidRPr="00CE0885">
        <w:rPr>
          <w:spacing w:val="1"/>
          <w:lang w:eastAsia="en-GB"/>
        </w:rPr>
        <w:t>u</w:t>
      </w:r>
      <w:r w:rsidRPr="00CE0885">
        <w:rPr>
          <w:spacing w:val="-1"/>
          <w:lang w:eastAsia="en-GB"/>
        </w:rPr>
        <w:t>r</w:t>
      </w:r>
      <w:r w:rsidRPr="00CE0885">
        <w:rPr>
          <w:spacing w:val="1"/>
          <w:lang w:eastAsia="en-GB"/>
        </w:rPr>
        <w:t>the</w:t>
      </w:r>
      <w:r w:rsidRPr="00CE0885">
        <w:rPr>
          <w:lang w:eastAsia="en-GB"/>
        </w:rPr>
        <w:t>r</w:t>
      </w:r>
      <w:r w:rsidRPr="00CE0885">
        <w:rPr>
          <w:spacing w:val="-8"/>
          <w:lang w:eastAsia="en-GB"/>
        </w:rPr>
        <w:t xml:space="preserve"> </w:t>
      </w:r>
      <w:r w:rsidRPr="00CE0885">
        <w:rPr>
          <w:spacing w:val="-1"/>
          <w:lang w:eastAsia="en-GB"/>
        </w:rPr>
        <w:t>d</w:t>
      </w:r>
      <w:r w:rsidRPr="00CE0885">
        <w:rPr>
          <w:spacing w:val="1"/>
          <w:lang w:eastAsia="en-GB"/>
        </w:rPr>
        <w:t>eta</w:t>
      </w:r>
      <w:r w:rsidRPr="00CE0885">
        <w:rPr>
          <w:lang w:eastAsia="en-GB"/>
        </w:rPr>
        <w:t>ils</w:t>
      </w:r>
      <w:r w:rsidRPr="00CE0885">
        <w:rPr>
          <w:spacing w:val="-7"/>
          <w:lang w:eastAsia="en-GB"/>
        </w:rPr>
        <w:t xml:space="preserve"> </w:t>
      </w:r>
      <w:r w:rsidRPr="00CE0885">
        <w:rPr>
          <w:spacing w:val="-1"/>
          <w:lang w:eastAsia="en-GB"/>
        </w:rPr>
        <w:t>o</w:t>
      </w:r>
      <w:r w:rsidRPr="00CE0885">
        <w:rPr>
          <w:lang w:eastAsia="en-GB"/>
        </w:rPr>
        <w:t>n</w:t>
      </w:r>
      <w:r w:rsidRPr="00CE0885">
        <w:rPr>
          <w:spacing w:val="-1"/>
          <w:lang w:eastAsia="en-GB"/>
        </w:rPr>
        <w:t xml:space="preserve"> h</w:t>
      </w:r>
      <w:r w:rsidRPr="00CE0885">
        <w:rPr>
          <w:spacing w:val="1"/>
          <w:lang w:eastAsia="en-GB"/>
        </w:rPr>
        <w:t>o</w:t>
      </w:r>
      <w:r w:rsidRPr="00CE0885">
        <w:rPr>
          <w:lang w:eastAsia="en-GB"/>
        </w:rPr>
        <w:t>w</w:t>
      </w:r>
      <w:r w:rsidRPr="00CE0885">
        <w:rPr>
          <w:spacing w:val="-6"/>
          <w:lang w:eastAsia="en-GB"/>
        </w:rPr>
        <w:t xml:space="preserve"> </w:t>
      </w:r>
      <w:r w:rsidRPr="00CE0885">
        <w:rPr>
          <w:spacing w:val="1"/>
          <w:lang w:eastAsia="en-GB"/>
        </w:rPr>
        <w:t>t</w:t>
      </w:r>
      <w:r w:rsidRPr="00CE0885">
        <w:rPr>
          <w:lang w:eastAsia="en-GB"/>
        </w:rPr>
        <w:t>o</w:t>
      </w:r>
      <w:r w:rsidRPr="00CE0885">
        <w:rPr>
          <w:spacing w:val="-3"/>
          <w:lang w:eastAsia="en-GB"/>
        </w:rPr>
        <w:t xml:space="preserve"> </w:t>
      </w:r>
      <w:r w:rsidRPr="00CE0885">
        <w:rPr>
          <w:spacing w:val="2"/>
          <w:lang w:eastAsia="en-GB"/>
        </w:rPr>
        <w:t>m</w:t>
      </w:r>
      <w:r w:rsidRPr="00CE0885">
        <w:rPr>
          <w:spacing w:val="1"/>
          <w:lang w:eastAsia="en-GB"/>
        </w:rPr>
        <w:t>a</w:t>
      </w:r>
      <w:r w:rsidRPr="00CE0885">
        <w:rPr>
          <w:spacing w:val="-1"/>
          <w:lang w:eastAsia="en-GB"/>
        </w:rPr>
        <w:t>n</w:t>
      </w:r>
      <w:r w:rsidRPr="00CE0885">
        <w:rPr>
          <w:spacing w:val="1"/>
          <w:lang w:eastAsia="en-GB"/>
        </w:rPr>
        <w:t>a</w:t>
      </w:r>
      <w:r w:rsidRPr="00CE0885">
        <w:rPr>
          <w:spacing w:val="-1"/>
          <w:lang w:eastAsia="en-GB"/>
        </w:rPr>
        <w:t>g</w:t>
      </w:r>
      <w:r w:rsidRPr="00CE0885">
        <w:rPr>
          <w:lang w:eastAsia="en-GB"/>
        </w:rPr>
        <w:t>e</w:t>
      </w:r>
      <w:r w:rsidRPr="00CE0885">
        <w:rPr>
          <w:spacing w:val="-7"/>
          <w:lang w:eastAsia="en-GB"/>
        </w:rPr>
        <w:t xml:space="preserve"> </w:t>
      </w:r>
      <w:r w:rsidRPr="00CE0885">
        <w:rPr>
          <w:lang w:eastAsia="en-GB"/>
        </w:rPr>
        <w:t>patient</w:t>
      </w:r>
      <w:r w:rsidRPr="00CE0885">
        <w:rPr>
          <w:spacing w:val="-5"/>
          <w:lang w:eastAsia="en-GB"/>
        </w:rPr>
        <w:t xml:space="preserve"> </w:t>
      </w:r>
      <w:r w:rsidRPr="00CE0885">
        <w:rPr>
          <w:lang w:eastAsia="en-GB"/>
        </w:rPr>
        <w:t>lists</w:t>
      </w:r>
      <w:r w:rsidRPr="00CE0885">
        <w:rPr>
          <w:spacing w:val="-4"/>
          <w:lang w:eastAsia="en-GB"/>
        </w:rPr>
        <w:t xml:space="preserve"> </w:t>
      </w:r>
      <w:r w:rsidRPr="00CE0885">
        <w:rPr>
          <w:spacing w:val="-1"/>
          <w:lang w:eastAsia="en-GB"/>
        </w:rPr>
        <w:t>ar</w:t>
      </w:r>
      <w:r w:rsidRPr="00CE0885">
        <w:rPr>
          <w:lang w:eastAsia="en-GB"/>
        </w:rPr>
        <w:t>e</w:t>
      </w:r>
      <w:r w:rsidRPr="00CE0885">
        <w:rPr>
          <w:spacing w:val="-1"/>
          <w:lang w:eastAsia="en-GB"/>
        </w:rPr>
        <w:t xml:space="preserve"> </w:t>
      </w:r>
      <w:r w:rsidRPr="00CE0885">
        <w:rPr>
          <w:lang w:eastAsia="en-GB"/>
        </w:rPr>
        <w:t>s</w:t>
      </w:r>
      <w:r w:rsidRPr="00CE0885">
        <w:rPr>
          <w:spacing w:val="1"/>
          <w:lang w:eastAsia="en-GB"/>
        </w:rPr>
        <w:t>e</w:t>
      </w:r>
      <w:r w:rsidRPr="00CE0885">
        <w:rPr>
          <w:lang w:eastAsia="en-GB"/>
        </w:rPr>
        <w:t>t</w:t>
      </w:r>
      <w:r w:rsidRPr="00CE0885">
        <w:rPr>
          <w:spacing w:val="-2"/>
          <w:lang w:eastAsia="en-GB"/>
        </w:rPr>
        <w:t xml:space="preserve"> </w:t>
      </w:r>
      <w:r w:rsidRPr="00CE0885">
        <w:rPr>
          <w:spacing w:val="-1"/>
          <w:lang w:eastAsia="en-GB"/>
        </w:rPr>
        <w:t>o</w:t>
      </w:r>
      <w:r w:rsidRPr="00CE0885">
        <w:rPr>
          <w:spacing w:val="1"/>
          <w:lang w:eastAsia="en-GB"/>
        </w:rPr>
        <w:t>u</w:t>
      </w:r>
      <w:r w:rsidRPr="00CE0885">
        <w:rPr>
          <w:lang w:eastAsia="en-GB"/>
        </w:rPr>
        <w:t>t</w:t>
      </w:r>
      <w:r w:rsidRPr="00CE0885">
        <w:rPr>
          <w:spacing w:val="-2"/>
          <w:lang w:eastAsia="en-GB"/>
        </w:rPr>
        <w:t xml:space="preserve"> </w:t>
      </w:r>
      <w:r w:rsidRPr="00CE0885">
        <w:rPr>
          <w:lang w:eastAsia="en-GB"/>
        </w:rPr>
        <w:t>in</w:t>
      </w:r>
      <w:r w:rsidRPr="00CE0885">
        <w:rPr>
          <w:spacing w:val="-3"/>
          <w:lang w:eastAsia="en-GB"/>
        </w:rPr>
        <w:t xml:space="preserve">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00965C81">
        <w:rPr>
          <w:lang w:eastAsia="en-GB"/>
        </w:rPr>
        <w:t>chapter</w:t>
      </w:r>
      <w:r w:rsidR="00965C81" w:rsidRPr="00CE0885">
        <w:rPr>
          <w:spacing w:val="-1"/>
          <w:lang w:eastAsia="en-GB"/>
        </w:rPr>
        <w:t xml:space="preserve"> </w:t>
      </w:r>
      <w:r w:rsidRPr="00CE0885">
        <w:rPr>
          <w:spacing w:val="-1"/>
          <w:lang w:eastAsia="en-GB"/>
        </w:rPr>
        <w:t>on managing patient lists</w:t>
      </w:r>
      <w:r w:rsidRPr="00CE0885">
        <w:rPr>
          <w:spacing w:val="-6"/>
          <w:lang w:eastAsia="en-GB"/>
        </w:rPr>
        <w:t>.</w:t>
      </w:r>
      <w:bookmarkEnd w:id="765"/>
    </w:p>
    <w:p w14:paraId="49E253D2" w14:textId="77777777" w:rsidR="00977693" w:rsidRPr="009055A7" w:rsidRDefault="00977693" w:rsidP="00977693">
      <w:pPr>
        <w:widowControl w:val="0"/>
        <w:spacing w:line="360" w:lineRule="auto"/>
        <w:ind w:left="1414"/>
        <w:jc w:val="both"/>
        <w:rPr>
          <w:rFonts w:cs="Arial"/>
          <w:bCs w:val="0"/>
          <w:sz w:val="20"/>
          <w:szCs w:val="20"/>
          <w:lang w:eastAsia="en-GB"/>
        </w:rPr>
      </w:pPr>
    </w:p>
    <w:p w14:paraId="0AB678AF" w14:textId="77777777" w:rsidR="00977693" w:rsidRPr="00CE0885" w:rsidRDefault="00977693" w:rsidP="00202DD3">
      <w:pPr>
        <w:pStyle w:val="Heading2"/>
        <w:rPr>
          <w:lang w:eastAsia="en-GB"/>
        </w:rPr>
      </w:pPr>
      <w:bookmarkStart w:id="766" w:name="_Toc440981928"/>
      <w:bookmarkStart w:id="767" w:name="_Toc498495399"/>
      <w:r w:rsidRPr="00CE0885">
        <w:rPr>
          <w:lang w:eastAsia="en-GB"/>
        </w:rPr>
        <w:t>Boundary Changes</w:t>
      </w:r>
      <w:bookmarkEnd w:id="766"/>
      <w:bookmarkEnd w:id="767"/>
    </w:p>
    <w:p w14:paraId="15407970" w14:textId="77777777" w:rsidR="00977693" w:rsidRPr="00CE0885" w:rsidRDefault="00977693" w:rsidP="00980A75">
      <w:pPr>
        <w:pStyle w:val="Heading3"/>
        <w:rPr>
          <w:lang w:eastAsia="en-GB"/>
        </w:rPr>
      </w:pPr>
      <w:bookmarkStart w:id="768" w:name="_Toc440981929"/>
      <w:r w:rsidRPr="00CE0885">
        <w:rPr>
          <w:spacing w:val="2"/>
          <w:lang w:eastAsia="en-GB"/>
        </w:rPr>
        <w:t>T</w:t>
      </w:r>
      <w:r w:rsidRPr="00CE0885">
        <w:rPr>
          <w:spacing w:val="-1"/>
          <w:lang w:eastAsia="en-GB"/>
        </w:rPr>
        <w:t>h</w:t>
      </w:r>
      <w:r w:rsidRPr="00CE0885">
        <w:rPr>
          <w:lang w:eastAsia="en-GB"/>
        </w:rPr>
        <w:t>e</w:t>
      </w:r>
      <w:r w:rsidRPr="00CE0885">
        <w:rPr>
          <w:spacing w:val="-1"/>
          <w:lang w:eastAsia="en-GB"/>
        </w:rPr>
        <w:t>r</w:t>
      </w:r>
      <w:r w:rsidRPr="00CE0885">
        <w:rPr>
          <w:lang w:eastAsia="en-GB"/>
        </w:rPr>
        <w:t>e</w:t>
      </w:r>
      <w:r w:rsidRPr="00CE0885">
        <w:rPr>
          <w:spacing w:val="-7"/>
          <w:lang w:eastAsia="en-GB"/>
        </w:rPr>
        <w:t xml:space="preserve"> </w:t>
      </w:r>
      <w:r w:rsidRPr="00CE0885">
        <w:rPr>
          <w:spacing w:val="2"/>
          <w:lang w:eastAsia="en-GB"/>
        </w:rPr>
        <w:t>m</w:t>
      </w:r>
      <w:r w:rsidRPr="00CE0885">
        <w:rPr>
          <w:lang w:eastAsia="en-GB"/>
        </w:rPr>
        <w:t>ay</w:t>
      </w:r>
      <w:r w:rsidRPr="00CE0885">
        <w:rPr>
          <w:spacing w:val="-7"/>
          <w:lang w:eastAsia="en-GB"/>
        </w:rPr>
        <w:t xml:space="preserve"> </w:t>
      </w:r>
      <w:r w:rsidRPr="00CE0885">
        <w:rPr>
          <w:lang w:eastAsia="en-GB"/>
        </w:rPr>
        <w:t>be</w:t>
      </w:r>
      <w:r w:rsidRPr="00CE0885">
        <w:rPr>
          <w:spacing w:val="-1"/>
          <w:lang w:eastAsia="en-GB"/>
        </w:rPr>
        <w:t xml:space="preserve"> </w:t>
      </w:r>
      <w:r w:rsidRPr="00CE0885">
        <w:rPr>
          <w:lang w:eastAsia="en-GB"/>
        </w:rPr>
        <w:t>ci</w:t>
      </w:r>
      <w:r w:rsidRPr="00CE0885">
        <w:rPr>
          <w:spacing w:val="-1"/>
          <w:lang w:eastAsia="en-GB"/>
        </w:rPr>
        <w:t>r</w:t>
      </w:r>
      <w:r w:rsidRPr="00CE0885">
        <w:rPr>
          <w:lang w:eastAsia="en-GB"/>
        </w:rPr>
        <w:t>c</w:t>
      </w:r>
      <w:r w:rsidRPr="00CE0885">
        <w:rPr>
          <w:spacing w:val="-1"/>
          <w:lang w:eastAsia="en-GB"/>
        </w:rPr>
        <w:t>u</w:t>
      </w:r>
      <w:r w:rsidRPr="00CE0885">
        <w:rPr>
          <w:spacing w:val="2"/>
          <w:lang w:eastAsia="en-GB"/>
        </w:rPr>
        <w:t>m</w:t>
      </w:r>
      <w:r w:rsidRPr="00CE0885">
        <w:rPr>
          <w:lang w:eastAsia="en-GB"/>
        </w:rPr>
        <w:t>s</w:t>
      </w:r>
      <w:r w:rsidRPr="00CE0885">
        <w:rPr>
          <w:spacing w:val="-2"/>
          <w:lang w:eastAsia="en-GB"/>
        </w:rPr>
        <w:t>t</w:t>
      </w:r>
      <w:r w:rsidRPr="00CE0885">
        <w:rPr>
          <w:lang w:eastAsia="en-GB"/>
        </w:rPr>
        <w:t>ances</w:t>
      </w:r>
      <w:r w:rsidRPr="00CE0885">
        <w:rPr>
          <w:spacing w:val="-15"/>
          <w:lang w:eastAsia="en-GB"/>
        </w:rPr>
        <w:t xml:space="preserve"> </w:t>
      </w:r>
      <w:r w:rsidRPr="00CE0885">
        <w:rPr>
          <w:spacing w:val="-3"/>
          <w:lang w:eastAsia="en-GB"/>
        </w:rPr>
        <w:t>w</w:t>
      </w:r>
      <w:r w:rsidRPr="00CE0885">
        <w:rPr>
          <w:lang w:eastAsia="en-GB"/>
        </w:rPr>
        <w:t>hen</w:t>
      </w:r>
      <w:r w:rsidRPr="00CE0885">
        <w:rPr>
          <w:spacing w:val="-7"/>
          <w:lang w:eastAsia="en-GB"/>
        </w:rPr>
        <w:t xml:space="preserve"> </w:t>
      </w:r>
      <w:r w:rsidRPr="00CE0885">
        <w:rPr>
          <w:lang w:eastAsia="en-GB"/>
        </w:rPr>
        <w:t>a c</w:t>
      </w:r>
      <w:r w:rsidRPr="00CE0885">
        <w:rPr>
          <w:spacing w:val="-1"/>
          <w:lang w:eastAsia="en-GB"/>
        </w:rPr>
        <w:t>o</w:t>
      </w:r>
      <w:r w:rsidRPr="00CE0885">
        <w:rPr>
          <w:lang w:eastAsia="en-GB"/>
        </w:rPr>
        <w:t>nt</w:t>
      </w:r>
      <w:r w:rsidRPr="00CE0885">
        <w:rPr>
          <w:spacing w:val="-1"/>
          <w:lang w:eastAsia="en-GB"/>
        </w:rPr>
        <w:t>r</w:t>
      </w:r>
      <w:r w:rsidRPr="00CE0885">
        <w:rPr>
          <w:lang w:eastAsia="en-GB"/>
        </w:rPr>
        <w:t>ac</w:t>
      </w:r>
      <w:r w:rsidRPr="00CE0885">
        <w:rPr>
          <w:spacing w:val="-2"/>
          <w:lang w:eastAsia="en-GB"/>
        </w:rPr>
        <w:t>t</w:t>
      </w:r>
      <w:r w:rsidRPr="00CE0885">
        <w:rPr>
          <w:lang w:eastAsia="en-GB"/>
        </w:rPr>
        <w:t>or</w:t>
      </w:r>
      <w:r w:rsidRPr="00CE0885">
        <w:rPr>
          <w:spacing w:val="-11"/>
          <w:lang w:eastAsia="en-GB"/>
        </w:rPr>
        <w:t xml:space="preserve"> </w:t>
      </w:r>
      <w:r w:rsidRPr="00CE0885">
        <w:rPr>
          <w:spacing w:val="-3"/>
          <w:lang w:eastAsia="en-GB"/>
        </w:rPr>
        <w:t>w</w:t>
      </w:r>
      <w:r w:rsidRPr="00CE0885">
        <w:rPr>
          <w:lang w:eastAsia="en-GB"/>
        </w:rPr>
        <w:t>ishes</w:t>
      </w:r>
      <w:r w:rsidRPr="00CE0885">
        <w:rPr>
          <w:spacing w:val="-7"/>
          <w:lang w:eastAsia="en-GB"/>
        </w:rPr>
        <w:t xml:space="preserve"> </w:t>
      </w:r>
      <w:r w:rsidRPr="00CE0885">
        <w:rPr>
          <w:lang w:eastAsia="en-GB"/>
        </w:rPr>
        <w:t>to ch</w:t>
      </w:r>
      <w:r w:rsidRPr="00CE0885">
        <w:rPr>
          <w:spacing w:val="-1"/>
          <w:lang w:eastAsia="en-GB"/>
        </w:rPr>
        <w:t>a</w:t>
      </w:r>
      <w:r w:rsidRPr="00CE0885">
        <w:rPr>
          <w:lang w:eastAsia="en-GB"/>
        </w:rPr>
        <w:t>n</w:t>
      </w:r>
      <w:r w:rsidRPr="00CE0885">
        <w:rPr>
          <w:spacing w:val="-1"/>
          <w:lang w:eastAsia="en-GB"/>
        </w:rPr>
        <w:t>g</w:t>
      </w:r>
      <w:r w:rsidRPr="00CE0885">
        <w:rPr>
          <w:lang w:eastAsia="en-GB"/>
        </w:rPr>
        <w:t>e</w:t>
      </w:r>
      <w:r w:rsidRPr="00CE0885">
        <w:rPr>
          <w:spacing w:val="-6"/>
          <w:lang w:eastAsia="en-GB"/>
        </w:rPr>
        <w:t xml:space="preserve"> </w:t>
      </w:r>
      <w:r w:rsidRPr="00CE0885">
        <w:rPr>
          <w:lang w:eastAsia="en-GB"/>
        </w:rPr>
        <w:t>t</w:t>
      </w:r>
      <w:r w:rsidRPr="00CE0885">
        <w:rPr>
          <w:spacing w:val="-1"/>
          <w:lang w:eastAsia="en-GB"/>
        </w:rPr>
        <w:t>h</w:t>
      </w:r>
      <w:r w:rsidRPr="00CE0885">
        <w:rPr>
          <w:lang w:eastAsia="en-GB"/>
        </w:rPr>
        <w:t xml:space="preserve">eir </w:t>
      </w:r>
      <w:r w:rsidRPr="00CE0885">
        <w:rPr>
          <w:spacing w:val="2"/>
          <w:lang w:eastAsia="en-GB"/>
        </w:rPr>
        <w:t>m</w:t>
      </w:r>
      <w:r w:rsidRPr="00CE0885">
        <w:rPr>
          <w:lang w:eastAsia="en-GB"/>
        </w:rPr>
        <w:t>ain</w:t>
      </w:r>
      <w:r w:rsidRPr="00CE0885">
        <w:rPr>
          <w:spacing w:val="-6"/>
          <w:lang w:eastAsia="en-GB"/>
        </w:rPr>
        <w:t xml:space="preserve"> </w:t>
      </w:r>
      <w:r w:rsidRPr="00CE0885">
        <w:rPr>
          <w:lang w:eastAsia="en-GB"/>
        </w:rPr>
        <w:t>p</w:t>
      </w:r>
      <w:r w:rsidRPr="00CE0885">
        <w:rPr>
          <w:spacing w:val="-1"/>
          <w:lang w:eastAsia="en-GB"/>
        </w:rPr>
        <w:t>r</w:t>
      </w:r>
      <w:r w:rsidRPr="00CE0885">
        <w:rPr>
          <w:lang w:eastAsia="en-GB"/>
        </w:rPr>
        <w:t>actice</w:t>
      </w:r>
      <w:r w:rsidRPr="00CE0885">
        <w:rPr>
          <w:spacing w:val="-9"/>
          <w:lang w:eastAsia="en-GB"/>
        </w:rPr>
        <w:t xml:space="preserve"> </w:t>
      </w:r>
      <w:r w:rsidRPr="00CE0885">
        <w:rPr>
          <w:lang w:eastAsia="en-GB"/>
        </w:rPr>
        <w:t>b</w:t>
      </w:r>
      <w:r w:rsidRPr="00CE0885">
        <w:rPr>
          <w:spacing w:val="-1"/>
          <w:lang w:eastAsia="en-GB"/>
        </w:rPr>
        <w:t>o</w:t>
      </w:r>
      <w:r w:rsidRPr="00CE0885">
        <w:rPr>
          <w:lang w:eastAsia="en-GB"/>
        </w:rPr>
        <w:t>un</w:t>
      </w:r>
      <w:r w:rsidRPr="00CE0885">
        <w:rPr>
          <w:spacing w:val="-1"/>
          <w:lang w:eastAsia="en-GB"/>
        </w:rPr>
        <w:t>d</w:t>
      </w:r>
      <w:r w:rsidRPr="00CE0885">
        <w:rPr>
          <w:lang w:eastAsia="en-GB"/>
        </w:rPr>
        <w:t>a</w:t>
      </w:r>
      <w:r w:rsidRPr="00CE0885">
        <w:rPr>
          <w:spacing w:val="-1"/>
          <w:lang w:eastAsia="en-GB"/>
        </w:rPr>
        <w:t>r</w:t>
      </w:r>
      <w:r w:rsidRPr="00CE0885">
        <w:rPr>
          <w:lang w:eastAsia="en-GB"/>
        </w:rPr>
        <w:t>y</w:t>
      </w:r>
      <w:r w:rsidRPr="00CE0885">
        <w:rPr>
          <w:spacing w:val="-12"/>
          <w:lang w:eastAsia="en-GB"/>
        </w:rPr>
        <w:t xml:space="preserve"> </w:t>
      </w:r>
      <w:r w:rsidRPr="00CE0885">
        <w:rPr>
          <w:lang w:eastAsia="en-GB"/>
        </w:rPr>
        <w:t>to either</w:t>
      </w:r>
      <w:r w:rsidRPr="00CE0885">
        <w:rPr>
          <w:spacing w:val="-6"/>
          <w:lang w:eastAsia="en-GB"/>
        </w:rPr>
        <w:t xml:space="preserve"> </w:t>
      </w:r>
      <w:r w:rsidRPr="00CE0885">
        <w:rPr>
          <w:lang w:eastAsia="en-GB"/>
        </w:rPr>
        <w:t>e</w:t>
      </w:r>
      <w:r w:rsidRPr="00CE0885">
        <w:rPr>
          <w:spacing w:val="-2"/>
          <w:lang w:eastAsia="en-GB"/>
        </w:rPr>
        <w:t>x</w:t>
      </w:r>
      <w:r w:rsidRPr="00CE0885">
        <w:rPr>
          <w:lang w:eastAsia="en-GB"/>
        </w:rPr>
        <w:t>p</w:t>
      </w:r>
      <w:r w:rsidRPr="00CE0885">
        <w:rPr>
          <w:spacing w:val="-1"/>
          <w:lang w:eastAsia="en-GB"/>
        </w:rPr>
        <w:t>a</w:t>
      </w:r>
      <w:r w:rsidRPr="00CE0885">
        <w:rPr>
          <w:lang w:eastAsia="en-GB"/>
        </w:rPr>
        <w:t>nd</w:t>
      </w:r>
      <w:r w:rsidRPr="00CE0885">
        <w:rPr>
          <w:spacing w:val="-9"/>
          <w:lang w:eastAsia="en-GB"/>
        </w:rPr>
        <w:t xml:space="preserve"> </w:t>
      </w:r>
      <w:r w:rsidRPr="00CE0885">
        <w:rPr>
          <w:lang w:eastAsia="en-GB"/>
        </w:rPr>
        <w:t>or</w:t>
      </w:r>
      <w:r w:rsidRPr="00CE0885">
        <w:rPr>
          <w:spacing w:val="-2"/>
          <w:lang w:eastAsia="en-GB"/>
        </w:rPr>
        <w:t xml:space="preserve"> </w:t>
      </w:r>
      <w:r w:rsidRPr="00CE0885">
        <w:rPr>
          <w:lang w:eastAsia="en-GB"/>
        </w:rPr>
        <w:t>cont</w:t>
      </w:r>
      <w:r w:rsidRPr="00CE0885">
        <w:rPr>
          <w:spacing w:val="-1"/>
          <w:lang w:eastAsia="en-GB"/>
        </w:rPr>
        <w:t>r</w:t>
      </w:r>
      <w:r w:rsidRPr="00CE0885">
        <w:rPr>
          <w:lang w:eastAsia="en-GB"/>
        </w:rPr>
        <w:t>act</w:t>
      </w:r>
      <w:r w:rsidRPr="00CE0885">
        <w:rPr>
          <w:spacing w:val="-10"/>
          <w:lang w:eastAsia="en-GB"/>
        </w:rPr>
        <w:t xml:space="preserve"> </w:t>
      </w:r>
      <w:r w:rsidRPr="00CE0885">
        <w:rPr>
          <w:lang w:eastAsia="en-GB"/>
        </w:rPr>
        <w:t>the</w:t>
      </w:r>
      <w:r w:rsidRPr="00CE0885">
        <w:rPr>
          <w:spacing w:val="-4"/>
          <w:lang w:eastAsia="en-GB"/>
        </w:rPr>
        <w:t xml:space="preserve"> </w:t>
      </w:r>
      <w:r w:rsidRPr="00CE0885">
        <w:rPr>
          <w:lang w:eastAsia="en-GB"/>
        </w:rPr>
        <w:t>p</w:t>
      </w:r>
      <w:r w:rsidRPr="00CE0885">
        <w:rPr>
          <w:spacing w:val="-1"/>
          <w:lang w:eastAsia="en-GB"/>
        </w:rPr>
        <w:t>r</w:t>
      </w:r>
      <w:r w:rsidRPr="00CE0885">
        <w:rPr>
          <w:lang w:eastAsia="en-GB"/>
        </w:rPr>
        <w:t>actice</w:t>
      </w:r>
      <w:r w:rsidRPr="00CE0885">
        <w:rPr>
          <w:spacing w:val="-9"/>
          <w:lang w:eastAsia="en-GB"/>
        </w:rPr>
        <w:t xml:space="preserve"> </w:t>
      </w:r>
      <w:r w:rsidRPr="00CE0885">
        <w:rPr>
          <w:lang w:eastAsia="en-GB"/>
        </w:rPr>
        <w:t>a</w:t>
      </w:r>
      <w:r w:rsidRPr="00CE0885">
        <w:rPr>
          <w:spacing w:val="-1"/>
          <w:lang w:eastAsia="en-GB"/>
        </w:rPr>
        <w:t>re</w:t>
      </w:r>
      <w:r w:rsidRPr="00CE0885">
        <w:rPr>
          <w:lang w:eastAsia="en-GB"/>
        </w:rPr>
        <w:t>a for</w:t>
      </w:r>
      <w:r w:rsidRPr="00CE0885">
        <w:rPr>
          <w:spacing w:val="-3"/>
          <w:lang w:eastAsia="en-GB"/>
        </w:rPr>
        <w:t xml:space="preserve"> </w:t>
      </w:r>
      <w:r w:rsidRPr="00CE0885">
        <w:rPr>
          <w:lang w:eastAsia="en-GB"/>
        </w:rPr>
        <w:t>new</w:t>
      </w:r>
      <w:r w:rsidRPr="00CE0885">
        <w:rPr>
          <w:spacing w:val="-6"/>
          <w:lang w:eastAsia="en-GB"/>
        </w:rPr>
        <w:t xml:space="preserve"> </w:t>
      </w:r>
      <w:r w:rsidRPr="00CE0885">
        <w:rPr>
          <w:spacing w:val="-1"/>
          <w:lang w:eastAsia="en-GB"/>
        </w:rPr>
        <w:t>r</w:t>
      </w:r>
      <w:r w:rsidRPr="00CE0885">
        <w:rPr>
          <w:lang w:eastAsia="en-GB"/>
        </w:rPr>
        <w:t>e</w:t>
      </w:r>
      <w:r w:rsidRPr="00CE0885">
        <w:rPr>
          <w:spacing w:val="-1"/>
          <w:lang w:eastAsia="en-GB"/>
        </w:rPr>
        <w:t>g</w:t>
      </w:r>
      <w:r w:rsidRPr="00CE0885">
        <w:rPr>
          <w:lang w:eastAsia="en-GB"/>
        </w:rPr>
        <w:t>ist</w:t>
      </w:r>
      <w:r w:rsidRPr="00CE0885">
        <w:rPr>
          <w:spacing w:val="-1"/>
          <w:lang w:eastAsia="en-GB"/>
        </w:rPr>
        <w:t>r</w:t>
      </w:r>
      <w:r w:rsidRPr="00CE0885">
        <w:rPr>
          <w:lang w:eastAsia="en-GB"/>
        </w:rPr>
        <w:t>ations</w:t>
      </w:r>
      <w:r w:rsidRPr="00CE0885">
        <w:rPr>
          <w:spacing w:val="-13"/>
          <w:lang w:eastAsia="en-GB"/>
        </w:rPr>
        <w:t xml:space="preserve"> </w:t>
      </w:r>
      <w:r w:rsidRPr="00CE0885">
        <w:rPr>
          <w:spacing w:val="-1"/>
          <w:lang w:eastAsia="en-GB"/>
        </w:rPr>
        <w:t>d</w:t>
      </w:r>
      <w:r w:rsidRPr="00CE0885">
        <w:rPr>
          <w:lang w:eastAsia="en-GB"/>
        </w:rPr>
        <w:t>ue</w:t>
      </w:r>
      <w:r w:rsidRPr="00CE0885">
        <w:rPr>
          <w:spacing w:val="-2"/>
          <w:lang w:eastAsia="en-GB"/>
        </w:rPr>
        <w:t xml:space="preserve"> t</w:t>
      </w:r>
      <w:r w:rsidRPr="00CE0885">
        <w:rPr>
          <w:lang w:eastAsia="en-GB"/>
        </w:rPr>
        <w:t xml:space="preserve">o </w:t>
      </w:r>
      <w:r w:rsidRPr="00CE0885">
        <w:rPr>
          <w:spacing w:val="-1"/>
          <w:lang w:eastAsia="en-GB"/>
        </w:rPr>
        <w:t>n</w:t>
      </w:r>
      <w:r w:rsidRPr="00CE0885">
        <w:rPr>
          <w:lang w:eastAsia="en-GB"/>
        </w:rPr>
        <w:t>ew</w:t>
      </w:r>
      <w:r w:rsidRPr="00CE0885">
        <w:rPr>
          <w:spacing w:val="-6"/>
          <w:lang w:eastAsia="en-GB"/>
        </w:rPr>
        <w:t xml:space="preserve"> </w:t>
      </w:r>
      <w:r w:rsidRPr="00CE0885">
        <w:rPr>
          <w:spacing w:val="-1"/>
          <w:lang w:eastAsia="en-GB"/>
        </w:rPr>
        <w:t>r</w:t>
      </w:r>
      <w:r w:rsidRPr="00CE0885">
        <w:rPr>
          <w:lang w:eastAsia="en-GB"/>
        </w:rPr>
        <w:t>ede</w:t>
      </w:r>
      <w:r w:rsidRPr="00CE0885">
        <w:rPr>
          <w:spacing w:val="-2"/>
          <w:lang w:eastAsia="en-GB"/>
        </w:rPr>
        <w:t>v</w:t>
      </w:r>
      <w:r w:rsidRPr="00CE0885">
        <w:rPr>
          <w:lang w:eastAsia="en-GB"/>
        </w:rPr>
        <w:t>elop</w:t>
      </w:r>
      <w:r w:rsidRPr="00CE0885">
        <w:rPr>
          <w:spacing w:val="-1"/>
          <w:lang w:eastAsia="en-GB"/>
        </w:rPr>
        <w:t>m</w:t>
      </w:r>
      <w:r w:rsidRPr="00CE0885">
        <w:rPr>
          <w:lang w:eastAsia="en-GB"/>
        </w:rPr>
        <w:t>ent,</w:t>
      </w:r>
      <w:r w:rsidRPr="00CE0885">
        <w:rPr>
          <w:spacing w:val="-16"/>
          <w:lang w:eastAsia="en-GB"/>
        </w:rPr>
        <w:t xml:space="preserve"> </w:t>
      </w:r>
      <w:r w:rsidRPr="00CE0885">
        <w:rPr>
          <w:spacing w:val="-3"/>
          <w:lang w:eastAsia="en-GB"/>
        </w:rPr>
        <w:t>l</w:t>
      </w:r>
      <w:r w:rsidRPr="00CE0885">
        <w:rPr>
          <w:lang w:eastAsia="en-GB"/>
        </w:rPr>
        <w:t>ocal</w:t>
      </w:r>
      <w:r w:rsidRPr="00CE0885">
        <w:rPr>
          <w:spacing w:val="-5"/>
          <w:lang w:eastAsia="en-GB"/>
        </w:rPr>
        <w:t xml:space="preserve"> </w:t>
      </w:r>
      <w:r w:rsidRPr="00CE0885">
        <w:rPr>
          <w:spacing w:val="-1"/>
          <w:lang w:eastAsia="en-GB"/>
        </w:rPr>
        <w:t>a</w:t>
      </w:r>
      <w:r w:rsidRPr="00CE0885">
        <w:rPr>
          <w:lang w:eastAsia="en-GB"/>
        </w:rPr>
        <w:t>ut</w:t>
      </w:r>
      <w:r w:rsidRPr="00CE0885">
        <w:rPr>
          <w:spacing w:val="-1"/>
          <w:lang w:eastAsia="en-GB"/>
        </w:rPr>
        <w:t>h</w:t>
      </w:r>
      <w:r w:rsidRPr="00CE0885">
        <w:rPr>
          <w:lang w:eastAsia="en-GB"/>
        </w:rPr>
        <w:t>o</w:t>
      </w:r>
      <w:r w:rsidRPr="00CE0885">
        <w:rPr>
          <w:spacing w:val="-1"/>
          <w:lang w:eastAsia="en-GB"/>
        </w:rPr>
        <w:t>r</w:t>
      </w:r>
      <w:r w:rsidRPr="00CE0885">
        <w:rPr>
          <w:lang w:eastAsia="en-GB"/>
        </w:rPr>
        <w:t>ity co</w:t>
      </w:r>
      <w:r w:rsidRPr="00CE0885">
        <w:rPr>
          <w:spacing w:val="2"/>
          <w:lang w:eastAsia="en-GB"/>
        </w:rPr>
        <w:t>m</w:t>
      </w:r>
      <w:r w:rsidRPr="00CE0885">
        <w:rPr>
          <w:spacing w:val="-1"/>
          <w:lang w:eastAsia="en-GB"/>
        </w:rPr>
        <w:t>p</w:t>
      </w:r>
      <w:r w:rsidRPr="00CE0885">
        <w:rPr>
          <w:lang w:eastAsia="en-GB"/>
        </w:rPr>
        <w:t>ulso</w:t>
      </w:r>
      <w:r w:rsidRPr="00CE0885">
        <w:rPr>
          <w:spacing w:val="-1"/>
          <w:lang w:eastAsia="en-GB"/>
        </w:rPr>
        <w:t>r</w:t>
      </w:r>
      <w:r w:rsidRPr="00CE0885">
        <w:rPr>
          <w:lang w:eastAsia="en-GB"/>
        </w:rPr>
        <w:t>y</w:t>
      </w:r>
      <w:r w:rsidRPr="00CE0885">
        <w:rPr>
          <w:spacing w:val="-14"/>
          <w:lang w:eastAsia="en-GB"/>
        </w:rPr>
        <w:t xml:space="preserve"> </w:t>
      </w:r>
      <w:r w:rsidRPr="00CE0885">
        <w:rPr>
          <w:lang w:eastAsia="en-GB"/>
        </w:rPr>
        <w:t>pu</w:t>
      </w:r>
      <w:r w:rsidRPr="00CE0885">
        <w:rPr>
          <w:spacing w:val="-1"/>
          <w:lang w:eastAsia="en-GB"/>
        </w:rPr>
        <w:t>r</w:t>
      </w:r>
      <w:r w:rsidRPr="00CE0885">
        <w:rPr>
          <w:lang w:eastAsia="en-GB"/>
        </w:rPr>
        <w:t>chase</w:t>
      </w:r>
      <w:r w:rsidRPr="00CE0885">
        <w:rPr>
          <w:spacing w:val="-13"/>
          <w:lang w:eastAsia="en-GB"/>
        </w:rPr>
        <w:t xml:space="preserve"> </w:t>
      </w:r>
      <w:r w:rsidRPr="00CE0885">
        <w:rPr>
          <w:lang w:eastAsia="en-GB"/>
        </w:rPr>
        <w:t>sche</w:t>
      </w:r>
      <w:r w:rsidRPr="00CE0885">
        <w:rPr>
          <w:spacing w:val="-1"/>
          <w:lang w:eastAsia="en-GB"/>
        </w:rPr>
        <w:t>m</w:t>
      </w:r>
      <w:r w:rsidRPr="00CE0885">
        <w:rPr>
          <w:lang w:eastAsia="en-GB"/>
        </w:rPr>
        <w:t>es</w:t>
      </w:r>
      <w:r w:rsidRPr="00CE0885">
        <w:rPr>
          <w:spacing w:val="-10"/>
          <w:lang w:eastAsia="en-GB"/>
        </w:rPr>
        <w:t xml:space="preserve"> </w:t>
      </w:r>
      <w:r w:rsidRPr="00CE0885">
        <w:rPr>
          <w:spacing w:val="-1"/>
          <w:lang w:eastAsia="en-GB"/>
        </w:rPr>
        <w:t>a</w:t>
      </w:r>
      <w:r w:rsidRPr="00CE0885">
        <w:rPr>
          <w:lang w:eastAsia="en-GB"/>
        </w:rPr>
        <w:t>nd</w:t>
      </w:r>
      <w:r w:rsidRPr="00CE0885">
        <w:rPr>
          <w:spacing w:val="-2"/>
          <w:lang w:eastAsia="en-GB"/>
        </w:rPr>
        <w:t>/</w:t>
      </w:r>
      <w:r w:rsidRPr="00CE0885">
        <w:rPr>
          <w:lang w:eastAsia="en-GB"/>
        </w:rPr>
        <w:t>or</w:t>
      </w:r>
      <w:r w:rsidRPr="00CE0885">
        <w:rPr>
          <w:spacing w:val="-7"/>
          <w:lang w:eastAsia="en-GB"/>
        </w:rPr>
        <w:t xml:space="preserve"> </w:t>
      </w:r>
      <w:r w:rsidRPr="00CE0885">
        <w:rPr>
          <w:spacing w:val="-1"/>
          <w:lang w:eastAsia="en-GB"/>
        </w:rPr>
        <w:t>r</w:t>
      </w:r>
      <w:r w:rsidRPr="00CE0885">
        <w:rPr>
          <w:lang w:eastAsia="en-GB"/>
        </w:rPr>
        <w:t>o</w:t>
      </w:r>
      <w:r w:rsidRPr="00CE0885">
        <w:rPr>
          <w:spacing w:val="-1"/>
          <w:lang w:eastAsia="en-GB"/>
        </w:rPr>
        <w:t>a</w:t>
      </w:r>
      <w:r w:rsidRPr="00CE0885">
        <w:rPr>
          <w:lang w:eastAsia="en-GB"/>
        </w:rPr>
        <w:t>d</w:t>
      </w:r>
      <w:r w:rsidRPr="00CE0885">
        <w:rPr>
          <w:spacing w:val="-3"/>
          <w:lang w:eastAsia="en-GB"/>
        </w:rPr>
        <w:t xml:space="preserve"> </w:t>
      </w:r>
      <w:r w:rsidRPr="00CE0885">
        <w:rPr>
          <w:spacing w:val="-1"/>
          <w:lang w:eastAsia="en-GB"/>
        </w:rPr>
        <w:t>d</w:t>
      </w:r>
      <w:r w:rsidRPr="00CE0885">
        <w:rPr>
          <w:lang w:eastAsia="en-GB"/>
        </w:rPr>
        <w:t>e</w:t>
      </w:r>
      <w:r w:rsidRPr="00CE0885">
        <w:rPr>
          <w:spacing w:val="-2"/>
          <w:lang w:eastAsia="en-GB"/>
        </w:rPr>
        <w:t>v</w:t>
      </w:r>
      <w:r w:rsidRPr="00CE0885">
        <w:rPr>
          <w:lang w:eastAsia="en-GB"/>
        </w:rPr>
        <w:t>elop</w:t>
      </w:r>
      <w:r w:rsidRPr="00CE0885">
        <w:rPr>
          <w:spacing w:val="2"/>
          <w:lang w:eastAsia="en-GB"/>
        </w:rPr>
        <w:t>m</w:t>
      </w:r>
      <w:r w:rsidRPr="00CE0885">
        <w:rPr>
          <w:spacing w:val="-1"/>
          <w:lang w:eastAsia="en-GB"/>
        </w:rPr>
        <w:t>e</w:t>
      </w:r>
      <w:r w:rsidRPr="00CE0885">
        <w:rPr>
          <w:lang w:eastAsia="en-GB"/>
        </w:rPr>
        <w:t>nts.</w:t>
      </w:r>
      <w:bookmarkEnd w:id="768"/>
    </w:p>
    <w:p w14:paraId="657F8970" w14:textId="77777777" w:rsidR="00977693" w:rsidRPr="00CE0885" w:rsidRDefault="00977693" w:rsidP="00980A75">
      <w:pPr>
        <w:pStyle w:val="Heading3"/>
        <w:rPr>
          <w:lang w:eastAsia="en-GB"/>
        </w:rPr>
      </w:pPr>
      <w:bookmarkStart w:id="769" w:name="_Toc440981930"/>
      <w:r w:rsidRPr="00CE0885">
        <w:rPr>
          <w:spacing w:val="-1"/>
          <w:lang w:eastAsia="en-GB"/>
        </w:rPr>
        <w:t>M</w:t>
      </w:r>
      <w:r w:rsidRPr="00CE0885">
        <w:rPr>
          <w:lang w:eastAsia="en-GB"/>
        </w:rPr>
        <w:t>ost</w:t>
      </w:r>
      <w:r w:rsidRPr="00CE0885">
        <w:rPr>
          <w:spacing w:val="-4"/>
          <w:lang w:eastAsia="en-GB"/>
        </w:rPr>
        <w:t xml:space="preserve"> </w:t>
      </w:r>
      <w:r w:rsidRPr="00CE0885">
        <w:rPr>
          <w:lang w:eastAsia="en-GB"/>
        </w:rPr>
        <w:t>p</w:t>
      </w:r>
      <w:r w:rsidRPr="00CE0885">
        <w:rPr>
          <w:spacing w:val="-1"/>
          <w:lang w:eastAsia="en-GB"/>
        </w:rPr>
        <w:t>r</w:t>
      </w:r>
      <w:r w:rsidRPr="00CE0885">
        <w:rPr>
          <w:lang w:eastAsia="en-GB"/>
        </w:rPr>
        <w:t>actices</w:t>
      </w:r>
      <w:r w:rsidRPr="00CE0885">
        <w:rPr>
          <w:spacing w:val="-12"/>
          <w:lang w:eastAsia="en-GB"/>
        </w:rPr>
        <w:t xml:space="preserve"> </w:t>
      </w:r>
      <w:r w:rsidRPr="00CE0885">
        <w:rPr>
          <w:spacing w:val="-3"/>
          <w:lang w:eastAsia="en-GB"/>
        </w:rPr>
        <w:t>w</w:t>
      </w:r>
      <w:r w:rsidRPr="00CE0885">
        <w:rPr>
          <w:lang w:eastAsia="en-GB"/>
        </w:rPr>
        <w:t>ill</w:t>
      </w:r>
      <w:r w:rsidRPr="00CE0885">
        <w:rPr>
          <w:spacing w:val="-3"/>
          <w:lang w:eastAsia="en-GB"/>
        </w:rPr>
        <w:t xml:space="preserve"> </w:t>
      </w:r>
      <w:r w:rsidRPr="00CE0885">
        <w:rPr>
          <w:lang w:eastAsia="en-GB"/>
        </w:rPr>
        <w:t>also ha</w:t>
      </w:r>
      <w:r w:rsidRPr="00CE0885">
        <w:rPr>
          <w:spacing w:val="-2"/>
          <w:lang w:eastAsia="en-GB"/>
        </w:rPr>
        <w:t>v</w:t>
      </w:r>
      <w:r w:rsidRPr="00CE0885">
        <w:rPr>
          <w:lang w:eastAsia="en-GB"/>
        </w:rPr>
        <w:t>e</w:t>
      </w:r>
      <w:r w:rsidRPr="00CE0885">
        <w:rPr>
          <w:spacing w:val="-3"/>
          <w:lang w:eastAsia="en-GB"/>
        </w:rPr>
        <w:t xml:space="preserve"> w</w:t>
      </w:r>
      <w:r w:rsidRPr="00CE0885">
        <w:rPr>
          <w:lang w:eastAsia="en-GB"/>
        </w:rPr>
        <w:t>ithin</w:t>
      </w:r>
      <w:r w:rsidRPr="00CE0885">
        <w:rPr>
          <w:spacing w:val="-4"/>
          <w:lang w:eastAsia="en-GB"/>
        </w:rPr>
        <w:t xml:space="preserve"> </w:t>
      </w:r>
      <w:r w:rsidRPr="00CE0885">
        <w:rPr>
          <w:lang w:eastAsia="en-GB"/>
        </w:rPr>
        <w:t>their</w:t>
      </w:r>
      <w:r w:rsidRPr="00CE0885">
        <w:rPr>
          <w:spacing w:val="-5"/>
          <w:lang w:eastAsia="en-GB"/>
        </w:rPr>
        <w:t xml:space="preserve"> </w:t>
      </w:r>
      <w:r w:rsidRPr="00CE0885">
        <w:rPr>
          <w:lang w:eastAsia="en-GB"/>
        </w:rPr>
        <w:t>c</w:t>
      </w:r>
      <w:r w:rsidRPr="00CE0885">
        <w:rPr>
          <w:spacing w:val="-1"/>
          <w:lang w:eastAsia="en-GB"/>
        </w:rPr>
        <w:t>o</w:t>
      </w:r>
      <w:r w:rsidRPr="00CE0885">
        <w:rPr>
          <w:lang w:eastAsia="en-GB"/>
        </w:rPr>
        <w:t>nt</w:t>
      </w:r>
      <w:r w:rsidRPr="00CE0885">
        <w:rPr>
          <w:spacing w:val="-1"/>
          <w:lang w:eastAsia="en-GB"/>
        </w:rPr>
        <w:t>r</w:t>
      </w:r>
      <w:r w:rsidRPr="00CE0885">
        <w:rPr>
          <w:lang w:eastAsia="en-GB"/>
        </w:rPr>
        <w:t>acts</w:t>
      </w:r>
      <w:r w:rsidRPr="00CE0885">
        <w:rPr>
          <w:spacing w:val="-10"/>
          <w:lang w:eastAsia="en-GB"/>
        </w:rPr>
        <w:t xml:space="preserve"> </w:t>
      </w:r>
      <w:r w:rsidRPr="00CE0885">
        <w:rPr>
          <w:lang w:eastAsia="en-GB"/>
        </w:rPr>
        <w:t>a</w:t>
      </w:r>
      <w:r w:rsidRPr="00CE0885">
        <w:rPr>
          <w:spacing w:val="-2"/>
          <w:lang w:eastAsia="en-GB"/>
        </w:rPr>
        <w:t xml:space="preserve"> </w:t>
      </w:r>
      <w:r w:rsidRPr="00CE0885">
        <w:rPr>
          <w:lang w:eastAsia="en-GB"/>
        </w:rPr>
        <w:t>d</w:t>
      </w:r>
      <w:r w:rsidRPr="00CE0885">
        <w:rPr>
          <w:spacing w:val="-1"/>
          <w:lang w:eastAsia="en-GB"/>
        </w:rPr>
        <w:t>e</w:t>
      </w:r>
      <w:r w:rsidRPr="00CE0885">
        <w:rPr>
          <w:spacing w:val="3"/>
          <w:lang w:eastAsia="en-GB"/>
        </w:rPr>
        <w:t>f</w:t>
      </w:r>
      <w:r w:rsidRPr="00CE0885">
        <w:rPr>
          <w:spacing w:val="-3"/>
          <w:lang w:eastAsia="en-GB"/>
        </w:rPr>
        <w:t>i</w:t>
      </w:r>
      <w:r w:rsidRPr="00CE0885">
        <w:rPr>
          <w:lang w:eastAsia="en-GB"/>
        </w:rPr>
        <w:t>ned</w:t>
      </w:r>
      <w:r w:rsidRPr="00CE0885">
        <w:rPr>
          <w:spacing w:val="-9"/>
          <w:lang w:eastAsia="en-GB"/>
        </w:rPr>
        <w:t xml:space="preserve"> </w:t>
      </w:r>
      <w:r w:rsidRPr="00CE0885">
        <w:rPr>
          <w:lang w:eastAsia="en-GB"/>
        </w:rPr>
        <w:t>ou</w:t>
      </w:r>
      <w:r w:rsidRPr="00CE0885">
        <w:rPr>
          <w:spacing w:val="-2"/>
          <w:lang w:eastAsia="en-GB"/>
        </w:rPr>
        <w:t>t</w:t>
      </w:r>
      <w:r w:rsidRPr="00CE0885">
        <w:rPr>
          <w:lang w:eastAsia="en-GB"/>
        </w:rPr>
        <w:t>er bo</w:t>
      </w:r>
      <w:r w:rsidRPr="00CE0885">
        <w:rPr>
          <w:spacing w:val="-1"/>
          <w:lang w:eastAsia="en-GB"/>
        </w:rPr>
        <w:t>u</w:t>
      </w:r>
      <w:r w:rsidRPr="00CE0885">
        <w:rPr>
          <w:lang w:eastAsia="en-GB"/>
        </w:rPr>
        <w:t>nda</w:t>
      </w:r>
      <w:r w:rsidRPr="00CE0885">
        <w:rPr>
          <w:spacing w:val="-1"/>
          <w:lang w:eastAsia="en-GB"/>
        </w:rPr>
        <w:t>r</w:t>
      </w:r>
      <w:r w:rsidRPr="00CE0885">
        <w:rPr>
          <w:spacing w:val="-2"/>
          <w:lang w:eastAsia="en-GB"/>
        </w:rPr>
        <w:t>y</w:t>
      </w:r>
      <w:r w:rsidRPr="00CE0885">
        <w:rPr>
          <w:spacing w:val="-10"/>
          <w:lang w:eastAsia="en-GB"/>
        </w:rPr>
        <w:t xml:space="preserve"> </w:t>
      </w:r>
      <w:r w:rsidRPr="00CE0885">
        <w:rPr>
          <w:lang w:eastAsia="en-GB"/>
        </w:rPr>
        <w:t>to</w:t>
      </w:r>
      <w:r w:rsidRPr="00CE0885">
        <w:rPr>
          <w:spacing w:val="-3"/>
          <w:lang w:eastAsia="en-GB"/>
        </w:rPr>
        <w:t xml:space="preserve"> </w:t>
      </w:r>
      <w:r w:rsidRPr="00CE0885">
        <w:rPr>
          <w:lang w:eastAsia="en-GB"/>
        </w:rPr>
        <w:t>allow</w:t>
      </w:r>
      <w:r w:rsidRPr="00CE0885">
        <w:rPr>
          <w:spacing w:val="-7"/>
          <w:lang w:eastAsia="en-GB"/>
        </w:rPr>
        <w:t xml:space="preserve"> </w:t>
      </w:r>
      <w:r w:rsidRPr="00CE0885">
        <w:rPr>
          <w:lang w:eastAsia="en-GB"/>
        </w:rPr>
        <w:t>th</w:t>
      </w:r>
      <w:r w:rsidRPr="00CE0885">
        <w:rPr>
          <w:spacing w:val="-1"/>
          <w:lang w:eastAsia="en-GB"/>
        </w:rPr>
        <w:t>o</w:t>
      </w:r>
      <w:r w:rsidRPr="00CE0885">
        <w:rPr>
          <w:lang w:eastAsia="en-GB"/>
        </w:rPr>
        <w:t>se</w:t>
      </w:r>
      <w:r w:rsidRPr="00CE0885">
        <w:rPr>
          <w:spacing w:val="-4"/>
          <w:lang w:eastAsia="en-GB"/>
        </w:rPr>
        <w:t xml:space="preserve"> </w:t>
      </w:r>
      <w:r w:rsidRPr="00CE0885">
        <w:rPr>
          <w:lang w:eastAsia="en-GB"/>
        </w:rPr>
        <w:t>p</w:t>
      </w:r>
      <w:r w:rsidRPr="00CE0885">
        <w:rPr>
          <w:spacing w:val="-1"/>
          <w:lang w:eastAsia="en-GB"/>
        </w:rPr>
        <w:t>a</w:t>
      </w:r>
      <w:r w:rsidRPr="00CE0885">
        <w:rPr>
          <w:lang w:eastAsia="en-GB"/>
        </w:rPr>
        <w:t>tients,</w:t>
      </w:r>
      <w:r w:rsidRPr="00CE0885">
        <w:rPr>
          <w:spacing w:val="-10"/>
          <w:lang w:eastAsia="en-GB"/>
        </w:rPr>
        <w:t xml:space="preserve"> </w:t>
      </w:r>
      <w:r w:rsidRPr="00CE0885">
        <w:rPr>
          <w:spacing w:val="-3"/>
          <w:lang w:eastAsia="en-GB"/>
        </w:rPr>
        <w:t>w</w:t>
      </w:r>
      <w:r w:rsidRPr="00CE0885">
        <w:rPr>
          <w:lang w:eastAsia="en-GB"/>
        </w:rPr>
        <w:t>ho</w:t>
      </w:r>
      <w:r w:rsidRPr="00CE0885">
        <w:rPr>
          <w:spacing w:val="-2"/>
          <w:lang w:eastAsia="en-GB"/>
        </w:rPr>
        <w:t xml:space="preserve"> </w:t>
      </w:r>
      <w:r w:rsidRPr="00CE0885">
        <w:rPr>
          <w:spacing w:val="2"/>
          <w:lang w:eastAsia="en-GB"/>
        </w:rPr>
        <w:t>m</w:t>
      </w:r>
      <w:r w:rsidRPr="00CE0885">
        <w:rPr>
          <w:lang w:eastAsia="en-GB"/>
        </w:rPr>
        <w:t>o</w:t>
      </w:r>
      <w:r w:rsidRPr="00CE0885">
        <w:rPr>
          <w:spacing w:val="-2"/>
          <w:lang w:eastAsia="en-GB"/>
        </w:rPr>
        <w:t>v</w:t>
      </w:r>
      <w:r w:rsidRPr="00CE0885">
        <w:rPr>
          <w:lang w:eastAsia="en-GB"/>
        </w:rPr>
        <w:t>e</w:t>
      </w:r>
      <w:r w:rsidRPr="00CE0885">
        <w:rPr>
          <w:spacing w:val="-7"/>
          <w:lang w:eastAsia="en-GB"/>
        </w:rPr>
        <w:t xml:space="preserve"> </w:t>
      </w:r>
      <w:r w:rsidRPr="00CE0885">
        <w:rPr>
          <w:lang w:eastAsia="en-GB"/>
        </w:rPr>
        <w:t>ho</w:t>
      </w:r>
      <w:r w:rsidRPr="00CE0885">
        <w:rPr>
          <w:spacing w:val="-1"/>
          <w:lang w:eastAsia="en-GB"/>
        </w:rPr>
        <w:t>m</w:t>
      </w:r>
      <w:r w:rsidRPr="00CE0885">
        <w:rPr>
          <w:lang w:eastAsia="en-GB"/>
        </w:rPr>
        <w:t>e</w:t>
      </w:r>
      <w:r w:rsidRPr="00CE0885">
        <w:rPr>
          <w:spacing w:val="-4"/>
          <w:lang w:eastAsia="en-GB"/>
        </w:rPr>
        <w:t xml:space="preserve"> </w:t>
      </w:r>
      <w:r w:rsidRPr="00CE0885">
        <w:rPr>
          <w:lang w:eastAsia="en-GB"/>
        </w:rPr>
        <w:t>a</w:t>
      </w:r>
      <w:r w:rsidRPr="00CE0885">
        <w:rPr>
          <w:spacing w:val="-2"/>
          <w:lang w:eastAsia="en-GB"/>
        </w:rPr>
        <w:t xml:space="preserve"> </w:t>
      </w:r>
      <w:r w:rsidRPr="00CE0885">
        <w:rPr>
          <w:spacing w:val="-1"/>
          <w:lang w:eastAsia="en-GB"/>
        </w:rPr>
        <w:t>r</w:t>
      </w:r>
      <w:r w:rsidRPr="00CE0885">
        <w:rPr>
          <w:lang w:eastAsia="en-GB"/>
        </w:rPr>
        <w:t>elati</w:t>
      </w:r>
      <w:r w:rsidRPr="00CE0885">
        <w:rPr>
          <w:spacing w:val="-2"/>
          <w:lang w:eastAsia="en-GB"/>
        </w:rPr>
        <w:t>v</w:t>
      </w:r>
      <w:r w:rsidRPr="00CE0885">
        <w:rPr>
          <w:lang w:eastAsia="en-GB"/>
        </w:rPr>
        <w:t>ely</w:t>
      </w:r>
      <w:r w:rsidRPr="00CE0885">
        <w:rPr>
          <w:spacing w:val="-11"/>
          <w:lang w:eastAsia="en-GB"/>
        </w:rPr>
        <w:t xml:space="preserve"> </w:t>
      </w:r>
      <w:r w:rsidRPr="00CE0885">
        <w:rPr>
          <w:lang w:eastAsia="en-GB"/>
        </w:rPr>
        <w:t>sho</w:t>
      </w:r>
      <w:r w:rsidRPr="00CE0885">
        <w:rPr>
          <w:spacing w:val="-1"/>
          <w:lang w:eastAsia="en-GB"/>
        </w:rPr>
        <w:t>r</w:t>
      </w:r>
      <w:r w:rsidRPr="00CE0885">
        <w:rPr>
          <w:lang w:eastAsia="en-GB"/>
        </w:rPr>
        <w:t>t distan</w:t>
      </w:r>
      <w:r w:rsidRPr="00CE0885">
        <w:rPr>
          <w:spacing w:val="-2"/>
          <w:lang w:eastAsia="en-GB"/>
        </w:rPr>
        <w:t>c</w:t>
      </w:r>
      <w:r w:rsidRPr="00CE0885">
        <w:rPr>
          <w:lang w:eastAsia="en-GB"/>
        </w:rPr>
        <w:t>e</w:t>
      </w:r>
      <w:r w:rsidRPr="00CE0885">
        <w:rPr>
          <w:spacing w:val="-7"/>
          <w:lang w:eastAsia="en-GB"/>
        </w:rPr>
        <w:t xml:space="preserve"> </w:t>
      </w:r>
      <w:r w:rsidRPr="00CE0885">
        <w:rPr>
          <w:lang w:eastAsia="en-GB"/>
        </w:rPr>
        <w:t>o</w:t>
      </w:r>
      <w:r w:rsidRPr="00CE0885">
        <w:rPr>
          <w:spacing w:val="-1"/>
          <w:lang w:eastAsia="en-GB"/>
        </w:rPr>
        <w:t>u</w:t>
      </w:r>
      <w:r w:rsidRPr="00CE0885">
        <w:rPr>
          <w:lang w:eastAsia="en-GB"/>
        </w:rPr>
        <w:t>tside</w:t>
      </w:r>
      <w:r w:rsidRPr="00CE0885">
        <w:rPr>
          <w:spacing w:val="-9"/>
          <w:lang w:eastAsia="en-GB"/>
        </w:rPr>
        <w:t xml:space="preserve"> </w:t>
      </w:r>
      <w:r w:rsidRPr="00CE0885">
        <w:rPr>
          <w:spacing w:val="-1"/>
          <w:lang w:eastAsia="en-GB"/>
        </w:rPr>
        <w:t>o</w:t>
      </w:r>
      <w:r w:rsidRPr="00CE0885">
        <w:rPr>
          <w:lang w:eastAsia="en-GB"/>
        </w:rPr>
        <w:t xml:space="preserve">f </w:t>
      </w:r>
      <w:r w:rsidRPr="00CE0885">
        <w:rPr>
          <w:spacing w:val="-2"/>
          <w:lang w:eastAsia="en-GB"/>
        </w:rPr>
        <w:t>t</w:t>
      </w:r>
      <w:r w:rsidRPr="00CE0885">
        <w:rPr>
          <w:lang w:eastAsia="en-GB"/>
        </w:rPr>
        <w:t>he</w:t>
      </w:r>
      <w:r w:rsidRPr="00CE0885">
        <w:rPr>
          <w:spacing w:val="-4"/>
          <w:lang w:eastAsia="en-GB"/>
        </w:rPr>
        <w:t xml:space="preserve"> </w:t>
      </w:r>
      <w:r w:rsidRPr="00CE0885">
        <w:rPr>
          <w:spacing w:val="2"/>
          <w:lang w:eastAsia="en-GB"/>
        </w:rPr>
        <w:t>m</w:t>
      </w:r>
      <w:r w:rsidRPr="00CE0885">
        <w:rPr>
          <w:lang w:eastAsia="en-GB"/>
        </w:rPr>
        <w:t>ain</w:t>
      </w:r>
      <w:r w:rsidRPr="00CE0885">
        <w:rPr>
          <w:spacing w:val="-6"/>
          <w:lang w:eastAsia="en-GB"/>
        </w:rPr>
        <w:t xml:space="preserve"> </w:t>
      </w:r>
      <w:r w:rsidRPr="00CE0885">
        <w:rPr>
          <w:lang w:eastAsia="en-GB"/>
        </w:rPr>
        <w:t>b</w:t>
      </w:r>
      <w:r w:rsidRPr="00CE0885">
        <w:rPr>
          <w:spacing w:val="-1"/>
          <w:lang w:eastAsia="en-GB"/>
        </w:rPr>
        <w:t>o</w:t>
      </w:r>
      <w:r w:rsidRPr="00CE0885">
        <w:rPr>
          <w:lang w:eastAsia="en-GB"/>
        </w:rPr>
        <w:t>u</w:t>
      </w:r>
      <w:r w:rsidRPr="00CE0885">
        <w:rPr>
          <w:spacing w:val="-1"/>
          <w:lang w:eastAsia="en-GB"/>
        </w:rPr>
        <w:t>n</w:t>
      </w:r>
      <w:r w:rsidRPr="00CE0885">
        <w:rPr>
          <w:lang w:eastAsia="en-GB"/>
        </w:rPr>
        <w:t>da</w:t>
      </w:r>
      <w:r w:rsidRPr="00CE0885">
        <w:rPr>
          <w:spacing w:val="-1"/>
          <w:lang w:eastAsia="en-GB"/>
        </w:rPr>
        <w:t>r</w:t>
      </w:r>
      <w:r w:rsidRPr="00CE0885">
        <w:rPr>
          <w:spacing w:val="-2"/>
          <w:lang w:eastAsia="en-GB"/>
        </w:rPr>
        <w:t>y</w:t>
      </w:r>
      <w:r w:rsidRPr="00CE0885">
        <w:rPr>
          <w:spacing w:val="-10"/>
          <w:lang w:eastAsia="en-GB"/>
        </w:rPr>
        <w:t xml:space="preserve"> </w:t>
      </w:r>
      <w:r w:rsidRPr="00CE0885">
        <w:rPr>
          <w:lang w:eastAsia="en-GB"/>
        </w:rPr>
        <w:t>and</w:t>
      </w:r>
      <w:r w:rsidRPr="00CE0885">
        <w:rPr>
          <w:spacing w:val="-2"/>
          <w:lang w:eastAsia="en-GB"/>
        </w:rPr>
        <w:t xml:space="preserve"> </w:t>
      </w:r>
      <w:r w:rsidRPr="00CE0885">
        <w:rPr>
          <w:spacing w:val="-3"/>
          <w:lang w:eastAsia="en-GB"/>
        </w:rPr>
        <w:t>w</w:t>
      </w:r>
      <w:r w:rsidRPr="00CE0885">
        <w:rPr>
          <w:lang w:eastAsia="en-GB"/>
        </w:rPr>
        <w:t>ho</w:t>
      </w:r>
      <w:r w:rsidRPr="00CE0885">
        <w:rPr>
          <w:spacing w:val="-2"/>
          <w:lang w:eastAsia="en-GB"/>
        </w:rPr>
        <w:t xml:space="preserve"> </w:t>
      </w:r>
      <w:r w:rsidRPr="00CE0885">
        <w:rPr>
          <w:spacing w:val="-3"/>
          <w:lang w:eastAsia="en-GB"/>
        </w:rPr>
        <w:t>w</w:t>
      </w:r>
      <w:r w:rsidRPr="00CE0885">
        <w:rPr>
          <w:lang w:eastAsia="en-GB"/>
        </w:rPr>
        <w:t>ould</w:t>
      </w:r>
      <w:r w:rsidRPr="00CE0885">
        <w:rPr>
          <w:spacing w:val="-4"/>
          <w:lang w:eastAsia="en-GB"/>
        </w:rPr>
        <w:t xml:space="preserve"> </w:t>
      </w:r>
      <w:r w:rsidRPr="00CE0885">
        <w:rPr>
          <w:lang w:eastAsia="en-GB"/>
        </w:rPr>
        <w:t>p</w:t>
      </w:r>
      <w:r w:rsidRPr="00CE0885">
        <w:rPr>
          <w:spacing w:val="-1"/>
          <w:lang w:eastAsia="en-GB"/>
        </w:rPr>
        <w:t>re</w:t>
      </w:r>
      <w:r w:rsidRPr="00CE0885">
        <w:rPr>
          <w:lang w:eastAsia="en-GB"/>
        </w:rPr>
        <w:t>fer</w:t>
      </w:r>
      <w:r w:rsidRPr="00CE0885">
        <w:rPr>
          <w:spacing w:val="-6"/>
          <w:lang w:eastAsia="en-GB"/>
        </w:rPr>
        <w:t xml:space="preserve"> </w:t>
      </w:r>
      <w:r w:rsidRPr="00CE0885">
        <w:rPr>
          <w:lang w:eastAsia="en-GB"/>
        </w:rPr>
        <w:t>to</w:t>
      </w:r>
      <w:r w:rsidRPr="00CE0885">
        <w:rPr>
          <w:spacing w:val="-3"/>
          <w:lang w:eastAsia="en-GB"/>
        </w:rPr>
        <w:t xml:space="preserve"> </w:t>
      </w:r>
      <w:r w:rsidRPr="00CE0885">
        <w:rPr>
          <w:lang w:eastAsia="en-GB"/>
        </w:rPr>
        <w:t xml:space="preserve">stay </w:t>
      </w:r>
      <w:r w:rsidRPr="00CE0885">
        <w:rPr>
          <w:spacing w:val="-3"/>
          <w:lang w:eastAsia="en-GB"/>
        </w:rPr>
        <w:t>w</w:t>
      </w:r>
      <w:r w:rsidRPr="00CE0885">
        <w:rPr>
          <w:lang w:eastAsia="en-GB"/>
        </w:rPr>
        <w:t>ith</w:t>
      </w:r>
      <w:r w:rsidRPr="00CE0885">
        <w:rPr>
          <w:spacing w:val="-2"/>
          <w:lang w:eastAsia="en-GB"/>
        </w:rPr>
        <w:t xml:space="preserve"> </w:t>
      </w:r>
      <w:r w:rsidRPr="00CE0885">
        <w:rPr>
          <w:lang w:eastAsia="en-GB"/>
        </w:rPr>
        <w:t>their</w:t>
      </w:r>
      <w:r w:rsidRPr="00CE0885">
        <w:rPr>
          <w:spacing w:val="-5"/>
          <w:lang w:eastAsia="en-GB"/>
        </w:rPr>
        <w:t xml:space="preserve"> </w:t>
      </w:r>
      <w:r w:rsidRPr="00CE0885">
        <w:rPr>
          <w:lang w:eastAsia="en-GB"/>
        </w:rPr>
        <w:t>e</w:t>
      </w:r>
      <w:r w:rsidRPr="00CE0885">
        <w:rPr>
          <w:spacing w:val="-2"/>
          <w:lang w:eastAsia="en-GB"/>
        </w:rPr>
        <w:t>x</w:t>
      </w:r>
      <w:r w:rsidRPr="00CE0885">
        <w:rPr>
          <w:lang w:eastAsia="en-GB"/>
        </w:rPr>
        <w:t>isting</w:t>
      </w:r>
      <w:r w:rsidRPr="00CE0885">
        <w:rPr>
          <w:spacing w:val="-9"/>
          <w:lang w:eastAsia="en-GB"/>
        </w:rPr>
        <w:t xml:space="preserve"> </w:t>
      </w:r>
      <w:r w:rsidRPr="00CE0885">
        <w:rPr>
          <w:lang w:eastAsia="en-GB"/>
        </w:rPr>
        <w:t>p</w:t>
      </w:r>
      <w:r w:rsidRPr="00CE0885">
        <w:rPr>
          <w:spacing w:val="-1"/>
          <w:lang w:eastAsia="en-GB"/>
        </w:rPr>
        <w:t>r</w:t>
      </w:r>
      <w:r w:rsidRPr="00CE0885">
        <w:rPr>
          <w:lang w:eastAsia="en-GB"/>
        </w:rPr>
        <w:t>actice</w:t>
      </w:r>
      <w:r w:rsidRPr="00CE0885">
        <w:rPr>
          <w:spacing w:val="-6"/>
          <w:lang w:eastAsia="en-GB"/>
        </w:rPr>
        <w:t xml:space="preserve"> </w:t>
      </w:r>
      <w:r w:rsidRPr="00CE0885">
        <w:rPr>
          <w:spacing w:val="-3"/>
          <w:lang w:eastAsia="en-GB"/>
        </w:rPr>
        <w:t>w</w:t>
      </w:r>
      <w:r w:rsidRPr="00CE0885">
        <w:rPr>
          <w:lang w:eastAsia="en-GB"/>
        </w:rPr>
        <w:t>ith</w:t>
      </w:r>
      <w:r w:rsidRPr="00CE0885">
        <w:rPr>
          <w:spacing w:val="-2"/>
          <w:lang w:eastAsia="en-GB"/>
        </w:rPr>
        <w:t xml:space="preserve"> </w:t>
      </w:r>
      <w:r w:rsidRPr="00CE0885">
        <w:rPr>
          <w:spacing w:val="-3"/>
          <w:lang w:eastAsia="en-GB"/>
        </w:rPr>
        <w:t>w</w:t>
      </w:r>
      <w:r w:rsidRPr="00CE0885">
        <w:rPr>
          <w:lang w:eastAsia="en-GB"/>
        </w:rPr>
        <w:t>hom</w:t>
      </w:r>
      <w:r w:rsidRPr="00CE0885">
        <w:rPr>
          <w:spacing w:val="-4"/>
          <w:lang w:eastAsia="en-GB"/>
        </w:rPr>
        <w:t xml:space="preserve"> </w:t>
      </w:r>
      <w:r w:rsidRPr="00CE0885">
        <w:rPr>
          <w:lang w:eastAsia="en-GB"/>
        </w:rPr>
        <w:t>they</w:t>
      </w:r>
      <w:r w:rsidRPr="00CE0885">
        <w:rPr>
          <w:spacing w:val="-7"/>
          <w:lang w:eastAsia="en-GB"/>
        </w:rPr>
        <w:t xml:space="preserve"> </w:t>
      </w:r>
      <w:r w:rsidRPr="00CE0885">
        <w:rPr>
          <w:spacing w:val="2"/>
          <w:lang w:eastAsia="en-GB"/>
        </w:rPr>
        <w:t>m</w:t>
      </w:r>
      <w:r w:rsidRPr="00CE0885">
        <w:rPr>
          <w:spacing w:val="-1"/>
          <w:lang w:eastAsia="en-GB"/>
        </w:rPr>
        <w:t>a</w:t>
      </w:r>
      <w:r w:rsidRPr="00CE0885">
        <w:rPr>
          <w:lang w:eastAsia="en-GB"/>
        </w:rPr>
        <w:t>y</w:t>
      </w:r>
      <w:r w:rsidRPr="00CE0885">
        <w:rPr>
          <w:spacing w:val="-7"/>
          <w:lang w:eastAsia="en-GB"/>
        </w:rPr>
        <w:t xml:space="preserve"> </w:t>
      </w:r>
      <w:r w:rsidRPr="00CE0885">
        <w:rPr>
          <w:lang w:eastAsia="en-GB"/>
        </w:rPr>
        <w:t>ha</w:t>
      </w:r>
      <w:r w:rsidRPr="00CE0885">
        <w:rPr>
          <w:spacing w:val="-2"/>
          <w:lang w:eastAsia="en-GB"/>
        </w:rPr>
        <w:t>v</w:t>
      </w:r>
      <w:r w:rsidRPr="00CE0885">
        <w:rPr>
          <w:lang w:eastAsia="en-GB"/>
        </w:rPr>
        <w:t>e</w:t>
      </w:r>
      <w:r w:rsidRPr="00CE0885">
        <w:rPr>
          <w:spacing w:val="-3"/>
          <w:lang w:eastAsia="en-GB"/>
        </w:rPr>
        <w:t xml:space="preserve"> </w:t>
      </w:r>
      <w:r w:rsidRPr="00CE0885">
        <w:rPr>
          <w:lang w:eastAsia="en-GB"/>
        </w:rPr>
        <w:t xml:space="preserve">a </w:t>
      </w:r>
      <w:r w:rsidRPr="00CE0885">
        <w:rPr>
          <w:spacing w:val="-3"/>
          <w:lang w:eastAsia="en-GB"/>
        </w:rPr>
        <w:t>w</w:t>
      </w:r>
      <w:r w:rsidRPr="00CE0885">
        <w:rPr>
          <w:lang w:eastAsia="en-GB"/>
        </w:rPr>
        <w:t>ell</w:t>
      </w:r>
      <w:r w:rsidRPr="00CE0885">
        <w:rPr>
          <w:spacing w:val="-1"/>
          <w:lang w:eastAsia="en-GB"/>
        </w:rPr>
        <w:t>-</w:t>
      </w:r>
      <w:r w:rsidRPr="00CE0885">
        <w:rPr>
          <w:lang w:eastAsia="en-GB"/>
        </w:rPr>
        <w:t xml:space="preserve">established </w:t>
      </w:r>
      <w:r w:rsidRPr="00CE0885">
        <w:rPr>
          <w:spacing w:val="-1"/>
          <w:lang w:eastAsia="en-GB"/>
        </w:rPr>
        <w:t>r</w:t>
      </w:r>
      <w:r w:rsidRPr="00CE0885">
        <w:rPr>
          <w:lang w:eastAsia="en-GB"/>
        </w:rPr>
        <w:t>elationsh</w:t>
      </w:r>
      <w:r w:rsidRPr="00CE0885">
        <w:rPr>
          <w:spacing w:val="-3"/>
          <w:lang w:eastAsia="en-GB"/>
        </w:rPr>
        <w:t>i</w:t>
      </w:r>
      <w:r w:rsidRPr="00CE0885">
        <w:rPr>
          <w:lang w:eastAsia="en-GB"/>
        </w:rPr>
        <w:t>p,</w:t>
      </w:r>
      <w:r w:rsidRPr="00CE0885">
        <w:rPr>
          <w:spacing w:val="-12"/>
          <w:lang w:eastAsia="en-GB"/>
        </w:rPr>
        <w:t xml:space="preserve"> </w:t>
      </w:r>
      <w:r w:rsidRPr="00CE0885">
        <w:rPr>
          <w:spacing w:val="-2"/>
          <w:lang w:eastAsia="en-GB"/>
        </w:rPr>
        <w:t>t</w:t>
      </w:r>
      <w:r w:rsidRPr="00CE0885">
        <w:rPr>
          <w:lang w:eastAsia="en-GB"/>
        </w:rPr>
        <w:t xml:space="preserve">o </w:t>
      </w:r>
      <w:r w:rsidRPr="00CE0885">
        <w:rPr>
          <w:spacing w:val="-1"/>
          <w:lang w:eastAsia="en-GB"/>
        </w:rPr>
        <w:t>re</w:t>
      </w:r>
      <w:r w:rsidRPr="00CE0885">
        <w:rPr>
          <w:spacing w:val="2"/>
          <w:lang w:eastAsia="en-GB"/>
        </w:rPr>
        <w:t>m</w:t>
      </w:r>
      <w:r w:rsidRPr="00CE0885">
        <w:rPr>
          <w:lang w:eastAsia="en-GB"/>
        </w:rPr>
        <w:t>ain</w:t>
      </w:r>
      <w:r w:rsidRPr="00CE0885">
        <w:rPr>
          <w:spacing w:val="-8"/>
          <w:lang w:eastAsia="en-GB"/>
        </w:rPr>
        <w:t xml:space="preserve"> </w:t>
      </w:r>
      <w:r w:rsidRPr="00CE0885">
        <w:rPr>
          <w:spacing w:val="-1"/>
          <w:lang w:eastAsia="en-GB"/>
        </w:rPr>
        <w:t>r</w:t>
      </w:r>
      <w:r w:rsidRPr="00CE0885">
        <w:rPr>
          <w:lang w:eastAsia="en-GB"/>
        </w:rPr>
        <w:t>e</w:t>
      </w:r>
      <w:r w:rsidRPr="00CE0885">
        <w:rPr>
          <w:spacing w:val="-1"/>
          <w:lang w:eastAsia="en-GB"/>
        </w:rPr>
        <w:t>g</w:t>
      </w:r>
      <w:r w:rsidRPr="00CE0885">
        <w:rPr>
          <w:lang w:eastAsia="en-GB"/>
        </w:rPr>
        <w:t>iste</w:t>
      </w:r>
      <w:r w:rsidRPr="00CE0885">
        <w:rPr>
          <w:spacing w:val="-1"/>
          <w:lang w:eastAsia="en-GB"/>
        </w:rPr>
        <w:t>r</w:t>
      </w:r>
      <w:r w:rsidRPr="00CE0885">
        <w:rPr>
          <w:lang w:eastAsia="en-GB"/>
        </w:rPr>
        <w:t>ed.</w:t>
      </w:r>
      <w:bookmarkEnd w:id="769"/>
    </w:p>
    <w:p w14:paraId="68C88007" w14:textId="77777777" w:rsidR="00977693" w:rsidRPr="00CE0885" w:rsidRDefault="00977693" w:rsidP="00980A75">
      <w:pPr>
        <w:pStyle w:val="Heading3"/>
        <w:rPr>
          <w:lang w:eastAsia="en-GB"/>
        </w:rPr>
      </w:pPr>
      <w:bookmarkStart w:id="770" w:name="_Toc440981931"/>
      <w:r w:rsidRPr="00CE0885">
        <w:rPr>
          <w:lang w:eastAsia="en-GB"/>
        </w:rPr>
        <w:t>For</w:t>
      </w:r>
      <w:r w:rsidRPr="00CE0885">
        <w:rPr>
          <w:spacing w:val="-4"/>
          <w:lang w:eastAsia="en-GB"/>
        </w:rPr>
        <w:t xml:space="preserve"> </w:t>
      </w:r>
      <w:r w:rsidRPr="00CE0885">
        <w:rPr>
          <w:lang w:eastAsia="en-GB"/>
        </w:rPr>
        <w:t>the</w:t>
      </w:r>
      <w:r w:rsidRPr="00CE0885">
        <w:rPr>
          <w:spacing w:val="-4"/>
          <w:lang w:eastAsia="en-GB"/>
        </w:rPr>
        <w:t xml:space="preserve"> </w:t>
      </w:r>
      <w:r w:rsidRPr="00CE0885">
        <w:rPr>
          <w:lang w:eastAsia="en-GB"/>
        </w:rPr>
        <w:t>pu</w:t>
      </w:r>
      <w:r w:rsidRPr="00CE0885">
        <w:rPr>
          <w:spacing w:val="-1"/>
          <w:lang w:eastAsia="en-GB"/>
        </w:rPr>
        <w:t>rp</w:t>
      </w:r>
      <w:r w:rsidRPr="00CE0885">
        <w:rPr>
          <w:lang w:eastAsia="en-GB"/>
        </w:rPr>
        <w:t>oses</w:t>
      </w:r>
      <w:r w:rsidRPr="00CE0885">
        <w:rPr>
          <w:spacing w:val="-12"/>
          <w:lang w:eastAsia="en-GB"/>
        </w:rPr>
        <w:t xml:space="preserve"> </w:t>
      </w:r>
      <w:r w:rsidRPr="00CE0885">
        <w:rPr>
          <w:spacing w:val="-1"/>
          <w:lang w:eastAsia="en-GB"/>
        </w:rPr>
        <w:t>o</w:t>
      </w:r>
      <w:r w:rsidRPr="00CE0885">
        <w:rPr>
          <w:lang w:eastAsia="en-GB"/>
        </w:rPr>
        <w:t>f s</w:t>
      </w:r>
      <w:r w:rsidRPr="00CE0885">
        <w:rPr>
          <w:spacing w:val="-1"/>
          <w:lang w:eastAsia="en-GB"/>
        </w:rPr>
        <w:t>er</w:t>
      </w:r>
      <w:r w:rsidRPr="00CE0885">
        <w:rPr>
          <w:lang w:eastAsia="en-GB"/>
        </w:rPr>
        <w:t>vice</w:t>
      </w:r>
      <w:r w:rsidRPr="00CE0885">
        <w:rPr>
          <w:spacing w:val="-6"/>
          <w:lang w:eastAsia="en-GB"/>
        </w:rPr>
        <w:t xml:space="preserve"> </w:t>
      </w:r>
      <w:r w:rsidRPr="00CE0885">
        <w:rPr>
          <w:lang w:eastAsia="en-GB"/>
        </w:rPr>
        <w:t>p</w:t>
      </w:r>
      <w:r w:rsidRPr="00CE0885">
        <w:rPr>
          <w:spacing w:val="-1"/>
          <w:lang w:eastAsia="en-GB"/>
        </w:rPr>
        <w:t>r</w:t>
      </w:r>
      <w:r w:rsidRPr="00CE0885">
        <w:rPr>
          <w:lang w:eastAsia="en-GB"/>
        </w:rPr>
        <w:t>o</w:t>
      </w:r>
      <w:r w:rsidRPr="00CE0885">
        <w:rPr>
          <w:spacing w:val="-2"/>
          <w:lang w:eastAsia="en-GB"/>
        </w:rPr>
        <w:t>v</w:t>
      </w:r>
      <w:r w:rsidRPr="00CE0885">
        <w:rPr>
          <w:lang w:eastAsia="en-GB"/>
        </w:rPr>
        <w:t>ision,</w:t>
      </w:r>
      <w:r w:rsidRPr="00CE0885">
        <w:rPr>
          <w:spacing w:val="-9"/>
          <w:lang w:eastAsia="en-GB"/>
        </w:rPr>
        <w:t xml:space="preserve"> </w:t>
      </w:r>
      <w:r w:rsidRPr="00CE0885">
        <w:rPr>
          <w:lang w:eastAsia="en-GB"/>
        </w:rPr>
        <w:t>the</w:t>
      </w:r>
      <w:r w:rsidRPr="00CE0885">
        <w:rPr>
          <w:spacing w:val="-4"/>
          <w:lang w:eastAsia="en-GB"/>
        </w:rPr>
        <w:t xml:space="preserve"> </w:t>
      </w:r>
      <w:r w:rsidRPr="00CE0885">
        <w:rPr>
          <w:lang w:eastAsia="en-GB"/>
        </w:rPr>
        <w:t>full</w:t>
      </w:r>
      <w:r w:rsidRPr="00CE0885">
        <w:rPr>
          <w:spacing w:val="-5"/>
          <w:lang w:eastAsia="en-GB"/>
        </w:rPr>
        <w:t xml:space="preserve"> </w:t>
      </w:r>
      <w:r w:rsidRPr="00CE0885">
        <w:rPr>
          <w:spacing w:val="-1"/>
          <w:lang w:eastAsia="en-GB"/>
        </w:rPr>
        <w:t>r</w:t>
      </w:r>
      <w:r w:rsidRPr="00CE0885">
        <w:rPr>
          <w:lang w:eastAsia="en-GB"/>
        </w:rPr>
        <w:t>an</w:t>
      </w:r>
      <w:r w:rsidRPr="00CE0885">
        <w:rPr>
          <w:spacing w:val="-1"/>
          <w:lang w:eastAsia="en-GB"/>
        </w:rPr>
        <w:t>g</w:t>
      </w:r>
      <w:r w:rsidRPr="00CE0885">
        <w:rPr>
          <w:lang w:eastAsia="en-GB"/>
        </w:rPr>
        <w:t>e</w:t>
      </w:r>
      <w:r w:rsidRPr="00CE0885">
        <w:rPr>
          <w:spacing w:val="-4"/>
          <w:lang w:eastAsia="en-GB"/>
        </w:rPr>
        <w:t xml:space="preserve"> </w:t>
      </w:r>
      <w:r w:rsidRPr="00CE0885">
        <w:rPr>
          <w:spacing w:val="-1"/>
          <w:lang w:eastAsia="en-GB"/>
        </w:rPr>
        <w:t>o</w:t>
      </w:r>
      <w:r w:rsidRPr="00CE0885">
        <w:rPr>
          <w:lang w:eastAsia="en-GB"/>
        </w:rPr>
        <w:t xml:space="preserve">f </w:t>
      </w:r>
      <w:r w:rsidRPr="00CE0885">
        <w:rPr>
          <w:spacing w:val="-2"/>
          <w:lang w:eastAsia="en-GB"/>
        </w:rPr>
        <w:t>c</w:t>
      </w:r>
      <w:r w:rsidRPr="00CE0885">
        <w:rPr>
          <w:lang w:eastAsia="en-GB"/>
        </w:rPr>
        <w:t>ont</w:t>
      </w:r>
      <w:r w:rsidRPr="00CE0885">
        <w:rPr>
          <w:spacing w:val="-1"/>
          <w:lang w:eastAsia="en-GB"/>
        </w:rPr>
        <w:t>r</w:t>
      </w:r>
      <w:r w:rsidRPr="00CE0885">
        <w:rPr>
          <w:lang w:eastAsia="en-GB"/>
        </w:rPr>
        <w:t>a</w:t>
      </w:r>
      <w:r w:rsidRPr="00CE0885">
        <w:rPr>
          <w:spacing w:val="-2"/>
          <w:lang w:eastAsia="en-GB"/>
        </w:rPr>
        <w:t>c</w:t>
      </w:r>
      <w:r w:rsidRPr="00CE0885">
        <w:rPr>
          <w:lang w:eastAsia="en-GB"/>
        </w:rPr>
        <w:t>tual se</w:t>
      </w:r>
      <w:r w:rsidRPr="00CE0885">
        <w:rPr>
          <w:spacing w:val="-1"/>
          <w:lang w:eastAsia="en-GB"/>
        </w:rPr>
        <w:t>r</w:t>
      </w:r>
      <w:r w:rsidRPr="00CE0885">
        <w:rPr>
          <w:spacing w:val="-2"/>
          <w:lang w:eastAsia="en-GB"/>
        </w:rPr>
        <w:t>v</w:t>
      </w:r>
      <w:r w:rsidRPr="00CE0885">
        <w:rPr>
          <w:lang w:eastAsia="en-GB"/>
        </w:rPr>
        <w:t>ices</w:t>
      </w:r>
      <w:r w:rsidRPr="00CE0885">
        <w:rPr>
          <w:spacing w:val="-9"/>
          <w:lang w:eastAsia="en-GB"/>
        </w:rPr>
        <w:t xml:space="preserve"> </w:t>
      </w:r>
      <w:r w:rsidRPr="00CE0885">
        <w:rPr>
          <w:spacing w:val="2"/>
          <w:lang w:eastAsia="en-GB"/>
        </w:rPr>
        <w:t>m</w:t>
      </w:r>
      <w:r w:rsidRPr="00CE0885">
        <w:rPr>
          <w:lang w:eastAsia="en-GB"/>
        </w:rPr>
        <w:t>ust</w:t>
      </w:r>
      <w:r w:rsidRPr="00CE0885">
        <w:rPr>
          <w:spacing w:val="-4"/>
          <w:lang w:eastAsia="en-GB"/>
        </w:rPr>
        <w:t xml:space="preserve"> </w:t>
      </w:r>
      <w:r w:rsidRPr="00CE0885">
        <w:rPr>
          <w:spacing w:val="-1"/>
          <w:lang w:eastAsia="en-GB"/>
        </w:rPr>
        <w:t>b</w:t>
      </w:r>
      <w:r w:rsidRPr="00CE0885">
        <w:rPr>
          <w:lang w:eastAsia="en-GB"/>
        </w:rPr>
        <w:t>e</w:t>
      </w:r>
      <w:r w:rsidRPr="00CE0885">
        <w:rPr>
          <w:spacing w:val="-4"/>
          <w:lang w:eastAsia="en-GB"/>
        </w:rPr>
        <w:t xml:space="preserve"> </w:t>
      </w:r>
      <w:r w:rsidRPr="00CE0885">
        <w:rPr>
          <w:spacing w:val="2"/>
          <w:lang w:eastAsia="en-GB"/>
        </w:rPr>
        <w:t>m</w:t>
      </w:r>
      <w:r w:rsidRPr="00CE0885">
        <w:rPr>
          <w:lang w:eastAsia="en-GB"/>
        </w:rPr>
        <w:t>a</w:t>
      </w:r>
      <w:r w:rsidRPr="00CE0885">
        <w:rPr>
          <w:spacing w:val="-1"/>
          <w:lang w:eastAsia="en-GB"/>
        </w:rPr>
        <w:t>d</w:t>
      </w:r>
      <w:r w:rsidRPr="00CE0885">
        <w:rPr>
          <w:lang w:eastAsia="en-GB"/>
        </w:rPr>
        <w:t>e</w:t>
      </w:r>
      <w:r w:rsidRPr="00CE0885">
        <w:rPr>
          <w:spacing w:val="-4"/>
          <w:lang w:eastAsia="en-GB"/>
        </w:rPr>
        <w:t xml:space="preserve"> </w:t>
      </w:r>
      <w:r w:rsidRPr="00CE0885">
        <w:rPr>
          <w:lang w:eastAsia="en-GB"/>
        </w:rPr>
        <w:t>a</w:t>
      </w:r>
      <w:r w:rsidRPr="00CE0885">
        <w:rPr>
          <w:spacing w:val="-2"/>
          <w:lang w:eastAsia="en-GB"/>
        </w:rPr>
        <w:t>v</w:t>
      </w:r>
      <w:r w:rsidRPr="00CE0885">
        <w:rPr>
          <w:lang w:eastAsia="en-GB"/>
        </w:rPr>
        <w:t>ailable</w:t>
      </w:r>
      <w:r w:rsidRPr="00CE0885">
        <w:rPr>
          <w:spacing w:val="-7"/>
          <w:lang w:eastAsia="en-GB"/>
        </w:rPr>
        <w:t xml:space="preserve"> </w:t>
      </w:r>
      <w:r w:rsidRPr="00CE0885">
        <w:rPr>
          <w:spacing w:val="-2"/>
          <w:lang w:eastAsia="en-GB"/>
        </w:rPr>
        <w:t>t</w:t>
      </w:r>
      <w:r w:rsidRPr="00CE0885">
        <w:rPr>
          <w:lang w:eastAsia="en-GB"/>
        </w:rPr>
        <w:t>o t</w:t>
      </w:r>
      <w:r w:rsidRPr="00CE0885">
        <w:rPr>
          <w:spacing w:val="-1"/>
          <w:lang w:eastAsia="en-GB"/>
        </w:rPr>
        <w:t>h</w:t>
      </w:r>
      <w:r w:rsidRPr="00CE0885">
        <w:rPr>
          <w:lang w:eastAsia="en-GB"/>
        </w:rPr>
        <w:t>ose</w:t>
      </w:r>
      <w:r w:rsidRPr="00CE0885">
        <w:rPr>
          <w:spacing w:val="-7"/>
          <w:lang w:eastAsia="en-GB"/>
        </w:rPr>
        <w:t xml:space="preserve"> </w:t>
      </w:r>
      <w:r w:rsidRPr="00CE0885">
        <w:rPr>
          <w:lang w:eastAsia="en-GB"/>
        </w:rPr>
        <w:t>p</w:t>
      </w:r>
      <w:r w:rsidRPr="00CE0885">
        <w:rPr>
          <w:spacing w:val="-1"/>
          <w:lang w:eastAsia="en-GB"/>
        </w:rPr>
        <w:t>a</w:t>
      </w:r>
      <w:r w:rsidRPr="00CE0885">
        <w:rPr>
          <w:lang w:eastAsia="en-GB"/>
        </w:rPr>
        <w:t>tients</w:t>
      </w:r>
      <w:r w:rsidRPr="00CE0885">
        <w:rPr>
          <w:spacing w:val="-8"/>
          <w:lang w:eastAsia="en-GB"/>
        </w:rPr>
        <w:t xml:space="preserve"> </w:t>
      </w:r>
      <w:r w:rsidRPr="00CE0885">
        <w:rPr>
          <w:spacing w:val="-1"/>
          <w:lang w:eastAsia="en-GB"/>
        </w:rPr>
        <w:t>r</w:t>
      </w:r>
      <w:r w:rsidRPr="00CE0885">
        <w:rPr>
          <w:lang w:eastAsia="en-GB"/>
        </w:rPr>
        <w:t>e</w:t>
      </w:r>
      <w:r w:rsidRPr="00CE0885">
        <w:rPr>
          <w:spacing w:val="-1"/>
          <w:lang w:eastAsia="en-GB"/>
        </w:rPr>
        <w:t>g</w:t>
      </w:r>
      <w:r w:rsidRPr="00CE0885">
        <w:rPr>
          <w:lang w:eastAsia="en-GB"/>
        </w:rPr>
        <w:t>iste</w:t>
      </w:r>
      <w:r w:rsidRPr="00CE0885">
        <w:rPr>
          <w:spacing w:val="-1"/>
          <w:lang w:eastAsia="en-GB"/>
        </w:rPr>
        <w:t>r</w:t>
      </w:r>
      <w:r w:rsidRPr="00CE0885">
        <w:rPr>
          <w:lang w:eastAsia="en-GB"/>
        </w:rPr>
        <w:t>ed</w:t>
      </w:r>
      <w:r w:rsidRPr="00CE0885">
        <w:rPr>
          <w:spacing w:val="-12"/>
          <w:lang w:eastAsia="en-GB"/>
        </w:rPr>
        <w:t xml:space="preserve"> </w:t>
      </w:r>
      <w:r w:rsidRPr="00CE0885">
        <w:rPr>
          <w:spacing w:val="-3"/>
          <w:lang w:eastAsia="en-GB"/>
        </w:rPr>
        <w:t>w</w:t>
      </w:r>
      <w:r w:rsidRPr="00CE0885">
        <w:rPr>
          <w:lang w:eastAsia="en-GB"/>
        </w:rPr>
        <w:t>ith</w:t>
      </w:r>
      <w:r w:rsidRPr="00CE0885">
        <w:rPr>
          <w:spacing w:val="-2"/>
          <w:lang w:eastAsia="en-GB"/>
        </w:rPr>
        <w:t xml:space="preserve"> </w:t>
      </w:r>
      <w:r w:rsidRPr="00CE0885">
        <w:rPr>
          <w:lang w:eastAsia="en-GB"/>
        </w:rPr>
        <w:t>the p</w:t>
      </w:r>
      <w:r w:rsidRPr="00CE0885">
        <w:rPr>
          <w:spacing w:val="-1"/>
          <w:lang w:eastAsia="en-GB"/>
        </w:rPr>
        <w:t>r</w:t>
      </w:r>
      <w:r w:rsidRPr="00CE0885">
        <w:rPr>
          <w:lang w:eastAsia="en-GB"/>
        </w:rPr>
        <w:t>actice</w:t>
      </w:r>
      <w:r w:rsidRPr="00CE0885">
        <w:rPr>
          <w:spacing w:val="-6"/>
          <w:lang w:eastAsia="en-GB"/>
        </w:rPr>
        <w:t xml:space="preserve"> </w:t>
      </w:r>
      <w:r w:rsidRPr="00CE0885">
        <w:rPr>
          <w:spacing w:val="-3"/>
          <w:lang w:eastAsia="en-GB"/>
        </w:rPr>
        <w:t>w</w:t>
      </w:r>
      <w:r w:rsidRPr="00CE0885">
        <w:rPr>
          <w:lang w:eastAsia="en-GB"/>
        </w:rPr>
        <w:t>ithin</w:t>
      </w:r>
      <w:r w:rsidRPr="00CE0885">
        <w:rPr>
          <w:spacing w:val="-4"/>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o</w:t>
      </w:r>
      <w:r w:rsidRPr="00CE0885">
        <w:rPr>
          <w:lang w:eastAsia="en-GB"/>
        </w:rPr>
        <w:t>ut</w:t>
      </w:r>
      <w:r w:rsidRPr="00CE0885">
        <w:rPr>
          <w:spacing w:val="-1"/>
          <w:lang w:eastAsia="en-GB"/>
        </w:rPr>
        <w:t>e</w:t>
      </w:r>
      <w:r w:rsidRPr="00CE0885">
        <w:rPr>
          <w:lang w:eastAsia="en-GB"/>
        </w:rPr>
        <w:t>r</w:t>
      </w:r>
      <w:r w:rsidRPr="00CE0885">
        <w:rPr>
          <w:spacing w:val="-5"/>
          <w:lang w:eastAsia="en-GB"/>
        </w:rPr>
        <w:t xml:space="preserve"> </w:t>
      </w:r>
      <w:r w:rsidRPr="00CE0885">
        <w:rPr>
          <w:lang w:eastAsia="en-GB"/>
        </w:rPr>
        <w:t>bou</w:t>
      </w:r>
      <w:r w:rsidRPr="00CE0885">
        <w:rPr>
          <w:spacing w:val="-1"/>
          <w:lang w:eastAsia="en-GB"/>
        </w:rPr>
        <w:t>n</w:t>
      </w:r>
      <w:r w:rsidRPr="00CE0885">
        <w:rPr>
          <w:lang w:eastAsia="en-GB"/>
        </w:rPr>
        <w:t>da</w:t>
      </w:r>
      <w:r w:rsidRPr="00CE0885">
        <w:rPr>
          <w:spacing w:val="-1"/>
          <w:lang w:eastAsia="en-GB"/>
        </w:rPr>
        <w:t>r</w:t>
      </w:r>
      <w:r w:rsidRPr="00CE0885">
        <w:rPr>
          <w:lang w:eastAsia="en-GB"/>
        </w:rPr>
        <w:t>y</w:t>
      </w:r>
      <w:r w:rsidRPr="00CE0885">
        <w:rPr>
          <w:spacing w:val="-12"/>
          <w:lang w:eastAsia="en-GB"/>
        </w:rPr>
        <w:t xml:space="preserve"> </w:t>
      </w:r>
      <w:r w:rsidRPr="00CE0885">
        <w:rPr>
          <w:lang w:eastAsia="en-GB"/>
        </w:rPr>
        <w:t>and</w:t>
      </w:r>
      <w:r w:rsidRPr="00CE0885">
        <w:rPr>
          <w:spacing w:val="-5"/>
          <w:lang w:eastAsia="en-GB"/>
        </w:rPr>
        <w:t xml:space="preserve"> </w:t>
      </w:r>
      <w:r w:rsidRPr="00CE0885">
        <w:rPr>
          <w:lang w:eastAsia="en-GB"/>
        </w:rPr>
        <w:t>the</w:t>
      </w:r>
      <w:r w:rsidRPr="00CE0885">
        <w:rPr>
          <w:spacing w:val="-4"/>
          <w:lang w:eastAsia="en-GB"/>
        </w:rPr>
        <w:t xml:space="preserve"> </w:t>
      </w:r>
      <w:r w:rsidRPr="00CE0885">
        <w:rPr>
          <w:lang w:eastAsia="en-GB"/>
        </w:rPr>
        <w:t>o</w:t>
      </w:r>
      <w:r w:rsidRPr="00CE0885">
        <w:rPr>
          <w:spacing w:val="-1"/>
          <w:lang w:eastAsia="en-GB"/>
        </w:rPr>
        <w:t>u</w:t>
      </w:r>
      <w:r w:rsidRPr="00CE0885">
        <w:rPr>
          <w:spacing w:val="-2"/>
          <w:lang w:eastAsia="en-GB"/>
        </w:rPr>
        <w:t>t</w:t>
      </w:r>
      <w:r w:rsidRPr="00CE0885">
        <w:rPr>
          <w:lang w:eastAsia="en-GB"/>
        </w:rPr>
        <w:t>er</w:t>
      </w:r>
      <w:r w:rsidRPr="00CE0885">
        <w:rPr>
          <w:spacing w:val="-5"/>
          <w:lang w:eastAsia="en-GB"/>
        </w:rPr>
        <w:t xml:space="preserve"> </w:t>
      </w:r>
      <w:r w:rsidRPr="00CE0885">
        <w:rPr>
          <w:lang w:eastAsia="en-GB"/>
        </w:rPr>
        <w:t>bo</w:t>
      </w:r>
      <w:r w:rsidRPr="00CE0885">
        <w:rPr>
          <w:spacing w:val="-1"/>
          <w:lang w:eastAsia="en-GB"/>
        </w:rPr>
        <w:t>u</w:t>
      </w:r>
      <w:r w:rsidRPr="00CE0885">
        <w:rPr>
          <w:lang w:eastAsia="en-GB"/>
        </w:rPr>
        <w:t>n</w:t>
      </w:r>
      <w:r w:rsidRPr="00CE0885">
        <w:rPr>
          <w:spacing w:val="-1"/>
          <w:lang w:eastAsia="en-GB"/>
        </w:rPr>
        <w:t>d</w:t>
      </w:r>
      <w:r w:rsidRPr="00CE0885">
        <w:rPr>
          <w:lang w:eastAsia="en-GB"/>
        </w:rPr>
        <w:t>a</w:t>
      </w:r>
      <w:r w:rsidRPr="00CE0885">
        <w:rPr>
          <w:spacing w:val="-1"/>
          <w:lang w:eastAsia="en-GB"/>
        </w:rPr>
        <w:t>r</w:t>
      </w:r>
      <w:r w:rsidRPr="00CE0885">
        <w:rPr>
          <w:lang w:eastAsia="en-GB"/>
        </w:rPr>
        <w:t>y</w:t>
      </w:r>
      <w:r w:rsidRPr="00CE0885">
        <w:rPr>
          <w:spacing w:val="-12"/>
          <w:lang w:eastAsia="en-GB"/>
        </w:rPr>
        <w:t xml:space="preserve"> </w:t>
      </w:r>
      <w:r w:rsidRPr="00CE0885">
        <w:rPr>
          <w:lang w:eastAsia="en-GB"/>
        </w:rPr>
        <w:t>a</w:t>
      </w:r>
      <w:r w:rsidRPr="00CE0885">
        <w:rPr>
          <w:spacing w:val="-1"/>
          <w:lang w:eastAsia="en-GB"/>
        </w:rPr>
        <w:t>r</w:t>
      </w:r>
      <w:r w:rsidRPr="00CE0885">
        <w:rPr>
          <w:lang w:eastAsia="en-GB"/>
        </w:rPr>
        <w:t>ea</w:t>
      </w:r>
      <w:r w:rsidRPr="00CE0885">
        <w:rPr>
          <w:spacing w:val="-3"/>
          <w:lang w:eastAsia="en-GB"/>
        </w:rPr>
        <w:t xml:space="preserve"> </w:t>
      </w:r>
      <w:r w:rsidRPr="00CE0885">
        <w:rPr>
          <w:spacing w:val="-1"/>
          <w:lang w:eastAsia="en-GB"/>
        </w:rPr>
        <w:t>m</w:t>
      </w:r>
      <w:r w:rsidRPr="00CE0885">
        <w:rPr>
          <w:lang w:eastAsia="en-GB"/>
        </w:rPr>
        <w:t>ust be</w:t>
      </w:r>
      <w:r w:rsidRPr="00CE0885">
        <w:rPr>
          <w:spacing w:val="-1"/>
          <w:lang w:eastAsia="en-GB"/>
        </w:rPr>
        <w:t xml:space="preserve"> </w:t>
      </w:r>
      <w:r w:rsidRPr="00CE0885">
        <w:rPr>
          <w:lang w:eastAsia="en-GB"/>
        </w:rPr>
        <w:t>t</w:t>
      </w:r>
      <w:r w:rsidRPr="00CE0885">
        <w:rPr>
          <w:spacing w:val="-1"/>
          <w:lang w:eastAsia="en-GB"/>
        </w:rPr>
        <w:t>re</w:t>
      </w:r>
      <w:r w:rsidRPr="00CE0885">
        <w:rPr>
          <w:lang w:eastAsia="en-GB"/>
        </w:rPr>
        <w:t>at</w:t>
      </w:r>
      <w:r w:rsidRPr="00CE0885">
        <w:rPr>
          <w:spacing w:val="-1"/>
          <w:lang w:eastAsia="en-GB"/>
        </w:rPr>
        <w:t>e</w:t>
      </w:r>
      <w:r w:rsidRPr="00CE0885">
        <w:rPr>
          <w:lang w:eastAsia="en-GB"/>
        </w:rPr>
        <w:t>d</w:t>
      </w:r>
      <w:r w:rsidRPr="00CE0885">
        <w:rPr>
          <w:spacing w:val="-5"/>
          <w:lang w:eastAsia="en-GB"/>
        </w:rPr>
        <w:t xml:space="preserve"> </w:t>
      </w:r>
      <w:r w:rsidRPr="00CE0885">
        <w:rPr>
          <w:lang w:eastAsia="en-GB"/>
        </w:rPr>
        <w:t>as</w:t>
      </w:r>
      <w:r w:rsidRPr="00CE0885">
        <w:rPr>
          <w:spacing w:val="-5"/>
          <w:lang w:eastAsia="en-GB"/>
        </w:rPr>
        <w:t xml:space="preserve"> </w:t>
      </w:r>
      <w:r w:rsidRPr="00CE0885">
        <w:rPr>
          <w:lang w:eastAsia="en-GB"/>
        </w:rPr>
        <w:t>pa</w:t>
      </w:r>
      <w:r w:rsidRPr="00CE0885">
        <w:rPr>
          <w:spacing w:val="-1"/>
          <w:lang w:eastAsia="en-GB"/>
        </w:rPr>
        <w:t>r</w:t>
      </w:r>
      <w:r w:rsidRPr="00CE0885">
        <w:rPr>
          <w:lang w:eastAsia="en-GB"/>
        </w:rPr>
        <w:t>t</w:t>
      </w:r>
      <w:r w:rsidRPr="00CE0885">
        <w:rPr>
          <w:spacing w:val="-5"/>
          <w:lang w:eastAsia="en-GB"/>
        </w:rPr>
        <w:t xml:space="preserve"> </w:t>
      </w:r>
      <w:r w:rsidRPr="00CE0885">
        <w:rPr>
          <w:spacing w:val="-1"/>
          <w:lang w:eastAsia="en-GB"/>
        </w:rPr>
        <w:t>o</w:t>
      </w:r>
      <w:r w:rsidRPr="00CE0885">
        <w:rPr>
          <w:lang w:eastAsia="en-GB"/>
        </w:rPr>
        <w:t xml:space="preserve">f </w:t>
      </w:r>
      <w:r w:rsidRPr="00CE0885">
        <w:rPr>
          <w:spacing w:val="-2"/>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p</w:t>
      </w:r>
      <w:r w:rsidRPr="00CE0885">
        <w:rPr>
          <w:spacing w:val="-1"/>
          <w:lang w:eastAsia="en-GB"/>
        </w:rPr>
        <w:t>r</w:t>
      </w:r>
      <w:r w:rsidRPr="00CE0885">
        <w:rPr>
          <w:lang w:eastAsia="en-GB"/>
        </w:rPr>
        <w:t>actice’s</w:t>
      </w:r>
      <w:r w:rsidRPr="00CE0885">
        <w:rPr>
          <w:spacing w:val="-12"/>
          <w:lang w:eastAsia="en-GB"/>
        </w:rPr>
        <w:t xml:space="preserve"> </w:t>
      </w:r>
      <w:r w:rsidRPr="00CE0885">
        <w:rPr>
          <w:lang w:eastAsia="en-GB"/>
        </w:rPr>
        <w:t>co</w:t>
      </w:r>
      <w:r w:rsidRPr="00CE0885">
        <w:rPr>
          <w:spacing w:val="-1"/>
          <w:lang w:eastAsia="en-GB"/>
        </w:rPr>
        <w:t>n</w:t>
      </w:r>
      <w:r w:rsidRPr="00CE0885">
        <w:rPr>
          <w:lang w:eastAsia="en-GB"/>
        </w:rPr>
        <w:t>t</w:t>
      </w:r>
      <w:r w:rsidRPr="00CE0885">
        <w:rPr>
          <w:spacing w:val="-1"/>
          <w:lang w:eastAsia="en-GB"/>
        </w:rPr>
        <w:t>r</w:t>
      </w:r>
      <w:r w:rsidRPr="00CE0885">
        <w:rPr>
          <w:lang w:eastAsia="en-GB"/>
        </w:rPr>
        <w:t>act</w:t>
      </w:r>
      <w:r w:rsidRPr="00CE0885">
        <w:rPr>
          <w:spacing w:val="-1"/>
          <w:lang w:eastAsia="en-GB"/>
        </w:rPr>
        <w:t>e</w:t>
      </w:r>
      <w:r w:rsidRPr="00CE0885">
        <w:rPr>
          <w:lang w:eastAsia="en-GB"/>
        </w:rPr>
        <w:t>d</w:t>
      </w:r>
      <w:r w:rsidRPr="00CE0885">
        <w:rPr>
          <w:spacing w:val="-12"/>
          <w:lang w:eastAsia="en-GB"/>
        </w:rPr>
        <w:t xml:space="preserve"> </w:t>
      </w:r>
      <w:r w:rsidRPr="00CE0885">
        <w:rPr>
          <w:lang w:eastAsia="en-GB"/>
        </w:rPr>
        <w:t>a</w:t>
      </w:r>
      <w:r w:rsidRPr="00CE0885">
        <w:rPr>
          <w:spacing w:val="-1"/>
          <w:lang w:eastAsia="en-GB"/>
        </w:rPr>
        <w:t>r</w:t>
      </w:r>
      <w:r w:rsidRPr="00CE0885">
        <w:rPr>
          <w:lang w:eastAsia="en-GB"/>
        </w:rPr>
        <w:t>ea.</w:t>
      </w:r>
      <w:bookmarkEnd w:id="770"/>
    </w:p>
    <w:p w14:paraId="6EE46D6C" w14:textId="77777777" w:rsidR="00977693" w:rsidRPr="00CE0885" w:rsidRDefault="00977693" w:rsidP="00980A75">
      <w:pPr>
        <w:pStyle w:val="Heading3"/>
        <w:rPr>
          <w:lang w:eastAsia="en-GB"/>
        </w:rPr>
      </w:pPr>
      <w:bookmarkStart w:id="771" w:name="_Toc440981932"/>
      <w:r w:rsidRPr="00CE0885">
        <w:rPr>
          <w:lang w:eastAsia="en-GB"/>
        </w:rPr>
        <w:t>Any</w:t>
      </w:r>
      <w:r w:rsidRPr="00CE0885">
        <w:rPr>
          <w:spacing w:val="-6"/>
          <w:lang w:eastAsia="en-GB"/>
        </w:rPr>
        <w:t xml:space="preserve"> </w:t>
      </w:r>
      <w:r w:rsidRPr="00CE0885">
        <w:rPr>
          <w:lang w:eastAsia="en-GB"/>
        </w:rPr>
        <w:t>chan</w:t>
      </w:r>
      <w:r w:rsidRPr="00CE0885">
        <w:rPr>
          <w:spacing w:val="-1"/>
          <w:lang w:eastAsia="en-GB"/>
        </w:rPr>
        <w:t>g</w:t>
      </w:r>
      <w:r w:rsidRPr="00CE0885">
        <w:rPr>
          <w:lang w:eastAsia="en-GB"/>
        </w:rPr>
        <w:t>es</w:t>
      </w:r>
      <w:r w:rsidRPr="00CE0885">
        <w:rPr>
          <w:spacing w:val="-9"/>
          <w:lang w:eastAsia="en-GB"/>
        </w:rPr>
        <w:t xml:space="preserve"> </w:t>
      </w:r>
      <w:r w:rsidRPr="00CE0885">
        <w:rPr>
          <w:spacing w:val="-2"/>
          <w:lang w:eastAsia="en-GB"/>
        </w:rPr>
        <w:t>t</w:t>
      </w:r>
      <w:r w:rsidRPr="00CE0885">
        <w:rPr>
          <w:lang w:eastAsia="en-GB"/>
        </w:rPr>
        <w:t>o 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p</w:t>
      </w:r>
      <w:r w:rsidRPr="00CE0885">
        <w:rPr>
          <w:spacing w:val="-3"/>
          <w:lang w:eastAsia="en-GB"/>
        </w:rPr>
        <w:t>r</w:t>
      </w:r>
      <w:r w:rsidRPr="00CE0885">
        <w:rPr>
          <w:lang w:eastAsia="en-GB"/>
        </w:rPr>
        <w:t>actice</w:t>
      </w:r>
      <w:r w:rsidRPr="00CE0885">
        <w:rPr>
          <w:spacing w:val="-6"/>
          <w:lang w:eastAsia="en-GB"/>
        </w:rPr>
        <w:t xml:space="preserve"> </w:t>
      </w:r>
      <w:r w:rsidRPr="00CE0885">
        <w:rPr>
          <w:lang w:eastAsia="en-GB"/>
        </w:rPr>
        <w:t>a</w:t>
      </w:r>
      <w:r w:rsidRPr="00CE0885">
        <w:rPr>
          <w:spacing w:val="-1"/>
          <w:lang w:eastAsia="en-GB"/>
        </w:rPr>
        <w:t>rea</w:t>
      </w:r>
      <w:r w:rsidRPr="00CE0885">
        <w:rPr>
          <w:spacing w:val="17"/>
          <w:position w:val="11"/>
          <w:lang w:eastAsia="en-GB"/>
        </w:rPr>
        <w:t xml:space="preserve"> </w:t>
      </w:r>
      <w:r w:rsidRPr="00CE0885">
        <w:rPr>
          <w:spacing w:val="-1"/>
          <w:lang w:eastAsia="en-GB"/>
        </w:rPr>
        <w:t>(</w:t>
      </w:r>
      <w:r w:rsidRPr="00CE0885">
        <w:rPr>
          <w:spacing w:val="2"/>
          <w:lang w:eastAsia="en-GB"/>
        </w:rPr>
        <w:t>m</w:t>
      </w:r>
      <w:r w:rsidRPr="00CE0885">
        <w:rPr>
          <w:lang w:eastAsia="en-GB"/>
        </w:rPr>
        <w:t>ain</w:t>
      </w:r>
      <w:r w:rsidRPr="00CE0885">
        <w:rPr>
          <w:spacing w:val="-7"/>
          <w:lang w:eastAsia="en-GB"/>
        </w:rPr>
        <w:t xml:space="preserve"> </w:t>
      </w:r>
      <w:r w:rsidRPr="00CE0885">
        <w:rPr>
          <w:lang w:eastAsia="en-GB"/>
        </w:rPr>
        <w:t>and</w:t>
      </w:r>
      <w:r w:rsidRPr="00CE0885">
        <w:rPr>
          <w:spacing w:val="-7"/>
          <w:lang w:eastAsia="en-GB"/>
        </w:rPr>
        <w:t xml:space="preserve"> </w:t>
      </w:r>
      <w:r w:rsidRPr="00CE0885">
        <w:rPr>
          <w:lang w:eastAsia="en-GB"/>
        </w:rPr>
        <w:t>outer</w:t>
      </w:r>
      <w:r w:rsidRPr="00CE0885">
        <w:rPr>
          <w:spacing w:val="-8"/>
          <w:lang w:eastAsia="en-GB"/>
        </w:rPr>
        <w:t xml:space="preserve"> </w:t>
      </w:r>
      <w:r w:rsidRPr="00CE0885">
        <w:rPr>
          <w:lang w:eastAsia="en-GB"/>
        </w:rPr>
        <w:t>bo</w:t>
      </w:r>
      <w:r w:rsidRPr="00CE0885">
        <w:rPr>
          <w:spacing w:val="-1"/>
          <w:lang w:eastAsia="en-GB"/>
        </w:rPr>
        <w:t>u</w:t>
      </w:r>
      <w:r w:rsidRPr="00CE0885">
        <w:rPr>
          <w:lang w:eastAsia="en-GB"/>
        </w:rPr>
        <w:t>n</w:t>
      </w:r>
      <w:r w:rsidRPr="00CE0885">
        <w:rPr>
          <w:spacing w:val="-1"/>
          <w:lang w:eastAsia="en-GB"/>
        </w:rPr>
        <w:t>d</w:t>
      </w:r>
      <w:r w:rsidRPr="00CE0885">
        <w:rPr>
          <w:lang w:eastAsia="en-GB"/>
        </w:rPr>
        <w:t>a</w:t>
      </w:r>
      <w:r w:rsidRPr="00CE0885">
        <w:rPr>
          <w:spacing w:val="-1"/>
          <w:lang w:eastAsia="en-GB"/>
        </w:rPr>
        <w:t>r</w:t>
      </w:r>
      <w:r w:rsidRPr="00CE0885">
        <w:rPr>
          <w:spacing w:val="-2"/>
          <w:lang w:eastAsia="en-GB"/>
        </w:rPr>
        <w:t>y</w:t>
      </w:r>
      <w:r w:rsidRPr="00CE0885">
        <w:rPr>
          <w:lang w:eastAsia="en-GB"/>
        </w:rPr>
        <w:t>)</w:t>
      </w:r>
      <w:r w:rsidRPr="00CE0885">
        <w:rPr>
          <w:spacing w:val="-11"/>
          <w:lang w:eastAsia="en-GB"/>
        </w:rPr>
        <w:t xml:space="preserve"> </w:t>
      </w:r>
      <w:r w:rsidRPr="00CE0885">
        <w:rPr>
          <w:spacing w:val="2"/>
          <w:lang w:eastAsia="en-GB"/>
        </w:rPr>
        <w:t>m</w:t>
      </w:r>
      <w:r w:rsidRPr="00CE0885">
        <w:rPr>
          <w:lang w:eastAsia="en-GB"/>
        </w:rPr>
        <w:t>ust</w:t>
      </w:r>
      <w:r w:rsidRPr="00CE0885">
        <w:rPr>
          <w:spacing w:val="-6"/>
          <w:lang w:eastAsia="en-GB"/>
        </w:rPr>
        <w:t xml:space="preserve"> </w:t>
      </w:r>
      <w:r w:rsidRPr="00CE0885">
        <w:rPr>
          <w:lang w:eastAsia="en-GB"/>
        </w:rPr>
        <w:t>be conside</w:t>
      </w:r>
      <w:r w:rsidRPr="00CE0885">
        <w:rPr>
          <w:spacing w:val="-1"/>
          <w:lang w:eastAsia="en-GB"/>
        </w:rPr>
        <w:t>re</w:t>
      </w:r>
      <w:r w:rsidRPr="00CE0885">
        <w:rPr>
          <w:lang w:eastAsia="en-GB"/>
        </w:rPr>
        <w:t>d</w:t>
      </w:r>
      <w:r w:rsidRPr="00CE0885">
        <w:rPr>
          <w:spacing w:val="-10"/>
          <w:lang w:eastAsia="en-GB"/>
        </w:rPr>
        <w:t xml:space="preserve"> </w:t>
      </w:r>
      <w:r w:rsidRPr="00CE0885">
        <w:rPr>
          <w:lang w:eastAsia="en-GB"/>
        </w:rPr>
        <w:t>a</w:t>
      </w:r>
      <w:r w:rsidRPr="00CE0885">
        <w:rPr>
          <w:spacing w:val="-2"/>
          <w:lang w:eastAsia="en-GB"/>
        </w:rPr>
        <w:t xml:space="preserve"> v</w:t>
      </w:r>
      <w:r w:rsidRPr="00CE0885">
        <w:rPr>
          <w:lang w:eastAsia="en-GB"/>
        </w:rPr>
        <w:t>a</w:t>
      </w:r>
      <w:r w:rsidRPr="00CE0885">
        <w:rPr>
          <w:spacing w:val="-1"/>
          <w:lang w:eastAsia="en-GB"/>
        </w:rPr>
        <w:t>r</w:t>
      </w:r>
      <w:r w:rsidRPr="00CE0885">
        <w:rPr>
          <w:lang w:eastAsia="en-GB"/>
        </w:rPr>
        <w:t>iation</w:t>
      </w:r>
      <w:r w:rsidRPr="00CE0885">
        <w:rPr>
          <w:spacing w:val="-10"/>
          <w:lang w:eastAsia="en-GB"/>
        </w:rPr>
        <w:t xml:space="preserve"> </w:t>
      </w:r>
      <w:r w:rsidRPr="00CE0885">
        <w:rPr>
          <w:lang w:eastAsia="en-GB"/>
        </w:rPr>
        <w:t>to 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c</w:t>
      </w:r>
      <w:r w:rsidRPr="00CE0885">
        <w:rPr>
          <w:spacing w:val="-1"/>
          <w:lang w:eastAsia="en-GB"/>
        </w:rPr>
        <w:t>o</w:t>
      </w:r>
      <w:r w:rsidRPr="00CE0885">
        <w:rPr>
          <w:lang w:eastAsia="en-GB"/>
        </w:rPr>
        <w:t>nt</w:t>
      </w:r>
      <w:r w:rsidRPr="00CE0885">
        <w:rPr>
          <w:spacing w:val="-1"/>
          <w:lang w:eastAsia="en-GB"/>
        </w:rPr>
        <w:t>r</w:t>
      </w:r>
      <w:r w:rsidRPr="00CE0885">
        <w:rPr>
          <w:lang w:eastAsia="en-GB"/>
        </w:rPr>
        <w:t>act</w:t>
      </w:r>
      <w:r w:rsidRPr="00CE0885">
        <w:rPr>
          <w:spacing w:val="-10"/>
          <w:lang w:eastAsia="en-GB"/>
        </w:rPr>
        <w:t xml:space="preserve"> </w:t>
      </w:r>
      <w:r w:rsidRPr="00CE0885">
        <w:rPr>
          <w:lang w:eastAsia="en-GB"/>
        </w:rPr>
        <w:t>a</w:t>
      </w:r>
      <w:r w:rsidRPr="00CE0885">
        <w:rPr>
          <w:spacing w:val="-1"/>
          <w:lang w:eastAsia="en-GB"/>
        </w:rPr>
        <w:t>n</w:t>
      </w:r>
      <w:r w:rsidRPr="00CE0885">
        <w:rPr>
          <w:lang w:eastAsia="en-GB"/>
        </w:rPr>
        <w:t>d</w:t>
      </w:r>
      <w:r w:rsidRPr="00CE0885">
        <w:rPr>
          <w:spacing w:val="-2"/>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4"/>
          <w:lang w:eastAsia="en-GB"/>
        </w:rPr>
        <w:t xml:space="preserve"> </w:t>
      </w:r>
      <w:r w:rsidRPr="00CE0885">
        <w:rPr>
          <w:lang w:eastAsia="en-GB"/>
        </w:rPr>
        <w:t>d</w:t>
      </w:r>
      <w:r w:rsidRPr="00CE0885">
        <w:rPr>
          <w:spacing w:val="-1"/>
          <w:lang w:eastAsia="en-GB"/>
        </w:rPr>
        <w:t>e</w:t>
      </w:r>
      <w:r w:rsidRPr="00CE0885">
        <w:rPr>
          <w:spacing w:val="3"/>
          <w:lang w:eastAsia="en-GB"/>
        </w:rPr>
        <w:t>f</w:t>
      </w:r>
      <w:r w:rsidRPr="00CE0885">
        <w:rPr>
          <w:lang w:eastAsia="en-GB"/>
        </w:rPr>
        <w:t>initi</w:t>
      </w:r>
      <w:r w:rsidRPr="00CE0885">
        <w:rPr>
          <w:spacing w:val="-1"/>
          <w:lang w:eastAsia="en-GB"/>
        </w:rPr>
        <w:t>o</w:t>
      </w:r>
      <w:r w:rsidRPr="00CE0885">
        <w:rPr>
          <w:lang w:eastAsia="en-GB"/>
        </w:rPr>
        <w:t>ns</w:t>
      </w:r>
      <w:r w:rsidRPr="00CE0885">
        <w:rPr>
          <w:spacing w:val="-11"/>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t</w:t>
      </w:r>
      <w:r w:rsidRPr="00CE0885">
        <w:rPr>
          <w:spacing w:val="-1"/>
          <w:lang w:eastAsia="en-GB"/>
        </w:rPr>
        <w:t>h</w:t>
      </w:r>
      <w:r w:rsidRPr="00CE0885">
        <w:rPr>
          <w:lang w:eastAsia="en-GB"/>
        </w:rPr>
        <w:t>ese</w:t>
      </w:r>
      <w:r w:rsidRPr="00CE0885">
        <w:rPr>
          <w:spacing w:val="-7"/>
          <w:lang w:eastAsia="en-GB"/>
        </w:rPr>
        <w:t xml:space="preserve"> </w:t>
      </w:r>
      <w:r w:rsidRPr="00CE0885">
        <w:rPr>
          <w:lang w:eastAsia="en-GB"/>
        </w:rPr>
        <w:t>a</w:t>
      </w:r>
      <w:r w:rsidRPr="00CE0885">
        <w:rPr>
          <w:spacing w:val="-1"/>
          <w:lang w:eastAsia="en-GB"/>
        </w:rPr>
        <w:t>re</w:t>
      </w:r>
      <w:r w:rsidRPr="00CE0885">
        <w:rPr>
          <w:lang w:eastAsia="en-GB"/>
        </w:rPr>
        <w:t>as a</w:t>
      </w:r>
      <w:r w:rsidRPr="00CE0885">
        <w:rPr>
          <w:spacing w:val="2"/>
          <w:lang w:eastAsia="en-GB"/>
        </w:rPr>
        <w:t>m</w:t>
      </w:r>
      <w:r w:rsidRPr="00CE0885">
        <w:rPr>
          <w:spacing w:val="-1"/>
          <w:lang w:eastAsia="en-GB"/>
        </w:rPr>
        <w:t>e</w:t>
      </w:r>
      <w:r w:rsidRPr="00CE0885">
        <w:rPr>
          <w:lang w:eastAsia="en-GB"/>
        </w:rPr>
        <w:t>n</w:t>
      </w:r>
      <w:r w:rsidRPr="00CE0885">
        <w:rPr>
          <w:spacing w:val="-1"/>
          <w:lang w:eastAsia="en-GB"/>
        </w:rPr>
        <w:t>d</w:t>
      </w:r>
      <w:r w:rsidRPr="00CE0885">
        <w:rPr>
          <w:lang w:eastAsia="en-GB"/>
        </w:rPr>
        <w:t>ed</w:t>
      </w:r>
      <w:r w:rsidRPr="00CE0885">
        <w:rPr>
          <w:spacing w:val="-11"/>
          <w:lang w:eastAsia="en-GB"/>
        </w:rPr>
        <w:t xml:space="preserve"> </w:t>
      </w:r>
      <w:r w:rsidRPr="00CE0885">
        <w:rPr>
          <w:lang w:eastAsia="en-GB"/>
        </w:rPr>
        <w:t>un</w:t>
      </w:r>
      <w:r w:rsidRPr="00CE0885">
        <w:rPr>
          <w:spacing w:val="-1"/>
          <w:lang w:eastAsia="en-GB"/>
        </w:rPr>
        <w:t>d</w:t>
      </w:r>
      <w:r w:rsidRPr="00CE0885">
        <w:rPr>
          <w:lang w:eastAsia="en-GB"/>
        </w:rPr>
        <w:t>er</w:t>
      </w:r>
      <w:r w:rsidRPr="00CE0885">
        <w:rPr>
          <w:spacing w:val="-6"/>
          <w:lang w:eastAsia="en-GB"/>
        </w:rPr>
        <w:t xml:space="preserve"> </w:t>
      </w:r>
      <w:r w:rsidRPr="00CE0885">
        <w:rPr>
          <w:lang w:eastAsia="en-GB"/>
        </w:rPr>
        <w:t xml:space="preserve">a </w:t>
      </w:r>
      <w:r w:rsidRPr="00CE0885">
        <w:rPr>
          <w:spacing w:val="-2"/>
          <w:lang w:eastAsia="en-GB"/>
        </w:rPr>
        <w:t>v</w:t>
      </w:r>
      <w:r w:rsidRPr="00CE0885">
        <w:rPr>
          <w:lang w:eastAsia="en-GB"/>
        </w:rPr>
        <w:t>a</w:t>
      </w:r>
      <w:r w:rsidRPr="00CE0885">
        <w:rPr>
          <w:spacing w:val="-1"/>
          <w:lang w:eastAsia="en-GB"/>
        </w:rPr>
        <w:t>r</w:t>
      </w:r>
      <w:r w:rsidRPr="00CE0885">
        <w:rPr>
          <w:lang w:eastAsia="en-GB"/>
        </w:rPr>
        <w:t>iation</w:t>
      </w:r>
      <w:r w:rsidRPr="00CE0885">
        <w:rPr>
          <w:spacing w:val="-10"/>
          <w:lang w:eastAsia="en-GB"/>
        </w:rPr>
        <w:t xml:space="preserve"> </w:t>
      </w:r>
      <w:r w:rsidRPr="00CE0885">
        <w:rPr>
          <w:lang w:eastAsia="en-GB"/>
        </w:rPr>
        <w:t>notic</w:t>
      </w:r>
      <w:r w:rsidRPr="00CE0885">
        <w:rPr>
          <w:spacing w:val="-1"/>
          <w:lang w:eastAsia="en-GB"/>
        </w:rPr>
        <w:t>e</w:t>
      </w:r>
      <w:r w:rsidRPr="00CE0885">
        <w:rPr>
          <w:lang w:eastAsia="en-GB"/>
        </w:rPr>
        <w:t>.</w:t>
      </w:r>
      <w:r w:rsidRPr="00CE0885">
        <w:rPr>
          <w:spacing w:val="-8"/>
          <w:lang w:eastAsia="en-GB"/>
        </w:rPr>
        <w:t xml:space="preserve"> </w:t>
      </w:r>
      <w:r w:rsidRPr="00CE0885">
        <w:rPr>
          <w:spacing w:val="2"/>
          <w:lang w:eastAsia="en-GB"/>
        </w:rPr>
        <w:t>T</w:t>
      </w:r>
      <w:r w:rsidRPr="00CE0885">
        <w:rPr>
          <w:spacing w:val="-1"/>
          <w:lang w:eastAsia="en-GB"/>
        </w:rPr>
        <w:t>h</w:t>
      </w:r>
      <w:r w:rsidRPr="00CE0885">
        <w:rPr>
          <w:lang w:eastAsia="en-GB"/>
        </w:rPr>
        <w:t>e</w:t>
      </w:r>
      <w:r w:rsidRPr="00CE0885">
        <w:rPr>
          <w:spacing w:val="-2"/>
          <w:lang w:eastAsia="en-GB"/>
        </w:rPr>
        <w:t xml:space="preserve"> </w:t>
      </w:r>
      <w:r w:rsidRPr="00CE0885">
        <w:rPr>
          <w:lang w:eastAsia="en-GB"/>
        </w:rPr>
        <w:t>c</w:t>
      </w:r>
      <w:r w:rsidRPr="00CE0885">
        <w:rPr>
          <w:spacing w:val="-1"/>
          <w:lang w:eastAsia="en-GB"/>
        </w:rPr>
        <w:t>o</w:t>
      </w:r>
      <w:r w:rsidRPr="00CE0885">
        <w:rPr>
          <w:lang w:eastAsia="en-GB"/>
        </w:rPr>
        <w:t>nt</w:t>
      </w:r>
      <w:r w:rsidRPr="00CE0885">
        <w:rPr>
          <w:spacing w:val="-1"/>
          <w:lang w:eastAsia="en-GB"/>
        </w:rPr>
        <w:t>r</w:t>
      </w:r>
      <w:r w:rsidRPr="00CE0885">
        <w:rPr>
          <w:lang w:eastAsia="en-GB"/>
        </w:rPr>
        <w:t>actor</w:t>
      </w:r>
      <w:r w:rsidRPr="00CE0885">
        <w:rPr>
          <w:spacing w:val="-14"/>
          <w:lang w:eastAsia="en-GB"/>
        </w:rPr>
        <w:t xml:space="preserve"> </w:t>
      </w:r>
      <w:r w:rsidRPr="00CE0885">
        <w:rPr>
          <w:spacing w:val="2"/>
          <w:lang w:eastAsia="en-GB"/>
        </w:rPr>
        <w:t>m</w:t>
      </w:r>
      <w:r w:rsidRPr="00CE0885">
        <w:rPr>
          <w:lang w:eastAsia="en-GB"/>
        </w:rPr>
        <w:t>ust</w:t>
      </w:r>
      <w:r w:rsidRPr="00CE0885">
        <w:rPr>
          <w:spacing w:val="-6"/>
          <w:lang w:eastAsia="en-GB"/>
        </w:rPr>
        <w:t xml:space="preserve"> </w:t>
      </w:r>
      <w:r w:rsidRPr="00CE0885">
        <w:rPr>
          <w:lang w:eastAsia="en-GB"/>
        </w:rPr>
        <w:t>not</w:t>
      </w:r>
      <w:r w:rsidRPr="00CE0885">
        <w:rPr>
          <w:spacing w:val="-3"/>
          <w:lang w:eastAsia="en-GB"/>
        </w:rPr>
        <w:t>i</w:t>
      </w:r>
      <w:r w:rsidRPr="00CE0885">
        <w:rPr>
          <w:spacing w:val="3"/>
          <w:lang w:eastAsia="en-GB"/>
        </w:rPr>
        <w:t>f</w:t>
      </w:r>
      <w:r w:rsidRPr="00CE0885">
        <w:rPr>
          <w:lang w:eastAsia="en-GB"/>
        </w:rPr>
        <w:t>y</w:t>
      </w:r>
      <w:r w:rsidRPr="00CE0885">
        <w:rPr>
          <w:spacing w:val="-8"/>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3"/>
          <w:lang w:eastAsia="en-GB"/>
        </w:rPr>
        <w:t>Commissioner</w:t>
      </w:r>
      <w:r w:rsidRPr="00CE0885">
        <w:rPr>
          <w:spacing w:val="-2"/>
          <w:lang w:eastAsia="en-GB"/>
        </w:rPr>
        <w:t xml:space="preserve"> </w:t>
      </w:r>
      <w:r w:rsidRPr="00CE0885">
        <w:rPr>
          <w:spacing w:val="-1"/>
          <w:lang w:eastAsia="en-GB"/>
        </w:rPr>
        <w:t>o</w:t>
      </w:r>
      <w:r w:rsidRPr="00CE0885">
        <w:rPr>
          <w:lang w:eastAsia="en-GB"/>
        </w:rPr>
        <w:t>f its</w:t>
      </w:r>
      <w:r w:rsidRPr="00CE0885">
        <w:rPr>
          <w:spacing w:val="-2"/>
          <w:lang w:eastAsia="en-GB"/>
        </w:rPr>
        <w:t xml:space="preserve"> </w:t>
      </w:r>
      <w:r w:rsidRPr="00CE0885">
        <w:rPr>
          <w:lang w:eastAsia="en-GB"/>
        </w:rPr>
        <w:t>i</w:t>
      </w:r>
      <w:r w:rsidRPr="00CE0885">
        <w:rPr>
          <w:spacing w:val="-1"/>
          <w:lang w:eastAsia="en-GB"/>
        </w:rPr>
        <w:t>n</w:t>
      </w:r>
      <w:r w:rsidRPr="00CE0885">
        <w:rPr>
          <w:lang w:eastAsia="en-GB"/>
        </w:rPr>
        <w:t>te</w:t>
      </w:r>
      <w:r w:rsidRPr="00CE0885">
        <w:rPr>
          <w:spacing w:val="-1"/>
          <w:lang w:eastAsia="en-GB"/>
        </w:rPr>
        <w:t>n</w:t>
      </w:r>
      <w:r w:rsidRPr="00CE0885">
        <w:rPr>
          <w:lang w:eastAsia="en-GB"/>
        </w:rPr>
        <w:t>t</w:t>
      </w:r>
      <w:r w:rsidRPr="00CE0885">
        <w:rPr>
          <w:spacing w:val="-5"/>
          <w:lang w:eastAsia="en-GB"/>
        </w:rPr>
        <w:t xml:space="preserve"> </w:t>
      </w:r>
      <w:r w:rsidRPr="00CE0885">
        <w:rPr>
          <w:lang w:eastAsia="en-GB"/>
        </w:rPr>
        <w:t>to</w:t>
      </w:r>
      <w:r w:rsidRPr="00CE0885">
        <w:rPr>
          <w:spacing w:val="-3"/>
          <w:lang w:eastAsia="en-GB"/>
        </w:rPr>
        <w:t xml:space="preserve"> </w:t>
      </w:r>
      <w:r w:rsidRPr="00CE0885">
        <w:rPr>
          <w:spacing w:val="-2"/>
          <w:lang w:eastAsia="en-GB"/>
        </w:rPr>
        <w:t>v</w:t>
      </w:r>
      <w:r w:rsidRPr="00CE0885">
        <w:rPr>
          <w:lang w:eastAsia="en-GB"/>
        </w:rPr>
        <w:t>a</w:t>
      </w:r>
      <w:r w:rsidRPr="00CE0885">
        <w:rPr>
          <w:spacing w:val="-1"/>
          <w:lang w:eastAsia="en-GB"/>
        </w:rPr>
        <w:t>r</w:t>
      </w:r>
      <w:r w:rsidRPr="00CE0885">
        <w:rPr>
          <w:lang w:eastAsia="en-GB"/>
        </w:rPr>
        <w:t>y</w:t>
      </w:r>
      <w:r w:rsidRPr="00CE0885">
        <w:rPr>
          <w:spacing w:val="-5"/>
          <w:lang w:eastAsia="en-GB"/>
        </w:rPr>
        <w:t xml:space="preserve"> </w:t>
      </w:r>
      <w:r w:rsidRPr="00CE0885">
        <w:rPr>
          <w:lang w:eastAsia="en-GB"/>
        </w:rPr>
        <w:t>its</w:t>
      </w:r>
      <w:r w:rsidRPr="00CE0885">
        <w:rPr>
          <w:spacing w:val="-2"/>
          <w:lang w:eastAsia="en-GB"/>
        </w:rPr>
        <w:t xml:space="preserve"> </w:t>
      </w:r>
      <w:r w:rsidRPr="00CE0885">
        <w:rPr>
          <w:lang w:eastAsia="en-GB"/>
        </w:rPr>
        <w:t>a</w:t>
      </w:r>
      <w:r w:rsidRPr="00CE0885">
        <w:rPr>
          <w:spacing w:val="-1"/>
          <w:lang w:eastAsia="en-GB"/>
        </w:rPr>
        <w:t>r</w:t>
      </w:r>
      <w:r w:rsidRPr="00CE0885">
        <w:rPr>
          <w:lang w:eastAsia="en-GB"/>
        </w:rPr>
        <w:t>ea</w:t>
      </w:r>
      <w:r w:rsidRPr="00CE0885">
        <w:rPr>
          <w:spacing w:val="-3"/>
          <w:lang w:eastAsia="en-GB"/>
        </w:rPr>
        <w:t xml:space="preserve"> </w:t>
      </w:r>
      <w:r w:rsidRPr="00CE0885">
        <w:rPr>
          <w:lang w:eastAsia="en-GB"/>
        </w:rPr>
        <w:t>in</w:t>
      </w:r>
      <w:r w:rsidRPr="00CE0885">
        <w:rPr>
          <w:spacing w:val="-3"/>
          <w:lang w:eastAsia="en-GB"/>
        </w:rPr>
        <w:t xml:space="preserve"> w</w:t>
      </w:r>
      <w:r w:rsidRPr="00CE0885">
        <w:rPr>
          <w:spacing w:val="-1"/>
          <w:lang w:eastAsia="en-GB"/>
        </w:rPr>
        <w:t>r</w:t>
      </w:r>
      <w:r w:rsidRPr="00CE0885">
        <w:rPr>
          <w:lang w:eastAsia="en-GB"/>
        </w:rPr>
        <w:t>iting</w:t>
      </w:r>
      <w:r w:rsidRPr="00CE0885">
        <w:rPr>
          <w:spacing w:val="-8"/>
          <w:lang w:eastAsia="en-GB"/>
        </w:rPr>
        <w:t xml:space="preserve"> </w:t>
      </w:r>
      <w:r w:rsidRPr="00CE0885">
        <w:rPr>
          <w:lang w:eastAsia="en-GB"/>
        </w:rPr>
        <w:t>setting</w:t>
      </w:r>
      <w:r w:rsidRPr="00CE0885">
        <w:rPr>
          <w:spacing w:val="-8"/>
          <w:lang w:eastAsia="en-GB"/>
        </w:rPr>
        <w:t xml:space="preserve"> </w:t>
      </w:r>
      <w:r w:rsidRPr="00CE0885">
        <w:rPr>
          <w:lang w:eastAsia="en-GB"/>
        </w:rPr>
        <w:t>out</w:t>
      </w:r>
      <w:r w:rsidRPr="00CE0885">
        <w:rPr>
          <w:spacing w:val="-2"/>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r</w:t>
      </w:r>
      <w:r w:rsidRPr="00CE0885">
        <w:rPr>
          <w:lang w:eastAsia="en-GB"/>
        </w:rPr>
        <w:t>ea</w:t>
      </w:r>
      <w:r w:rsidRPr="00CE0885">
        <w:rPr>
          <w:spacing w:val="-2"/>
          <w:lang w:eastAsia="en-GB"/>
        </w:rPr>
        <w:t>s</w:t>
      </w:r>
      <w:r w:rsidRPr="00CE0885">
        <w:rPr>
          <w:lang w:eastAsia="en-GB"/>
        </w:rPr>
        <w:t>ons</w:t>
      </w:r>
      <w:r w:rsidRPr="00CE0885">
        <w:rPr>
          <w:spacing w:val="-11"/>
          <w:lang w:eastAsia="en-GB"/>
        </w:rPr>
        <w:t xml:space="preserve"> </w:t>
      </w:r>
      <w:r w:rsidRPr="00CE0885">
        <w:rPr>
          <w:lang w:eastAsia="en-GB"/>
        </w:rPr>
        <w:t>for</w:t>
      </w:r>
      <w:r w:rsidRPr="00CE0885">
        <w:rPr>
          <w:spacing w:val="-3"/>
          <w:lang w:eastAsia="en-GB"/>
        </w:rPr>
        <w:t xml:space="preserve"> </w:t>
      </w:r>
      <w:r w:rsidRPr="00CE0885">
        <w:rPr>
          <w:spacing w:val="-2"/>
          <w:lang w:eastAsia="en-GB"/>
        </w:rPr>
        <w:t>t</w:t>
      </w:r>
      <w:r w:rsidRPr="00CE0885">
        <w:rPr>
          <w:lang w:eastAsia="en-GB"/>
        </w:rPr>
        <w:t>he chan</w:t>
      </w:r>
      <w:r w:rsidRPr="00CE0885">
        <w:rPr>
          <w:spacing w:val="-1"/>
          <w:lang w:eastAsia="en-GB"/>
        </w:rPr>
        <w:t>g</w:t>
      </w:r>
      <w:r w:rsidRPr="00CE0885">
        <w:rPr>
          <w:lang w:eastAsia="en-GB"/>
        </w:rPr>
        <w:t>e</w:t>
      </w:r>
      <w:r w:rsidRPr="00CE0885">
        <w:rPr>
          <w:spacing w:val="-6"/>
          <w:lang w:eastAsia="en-GB"/>
        </w:rPr>
        <w:t xml:space="preserve"> </w:t>
      </w:r>
      <w:r w:rsidRPr="00CE0885">
        <w:rPr>
          <w:spacing w:val="-1"/>
          <w:lang w:eastAsia="en-GB"/>
        </w:rPr>
        <w:t>a</w:t>
      </w:r>
      <w:r w:rsidRPr="00CE0885">
        <w:rPr>
          <w:lang w:eastAsia="en-GB"/>
        </w:rPr>
        <w:t>nd</w:t>
      </w:r>
      <w:r w:rsidRPr="00CE0885">
        <w:rPr>
          <w:spacing w:val="-5"/>
          <w:lang w:eastAsia="en-GB"/>
        </w:rPr>
        <w:t xml:space="preserve"> </w:t>
      </w:r>
      <w:r w:rsidRPr="00CE0885">
        <w:rPr>
          <w:lang w:eastAsia="en-GB"/>
        </w:rPr>
        <w:t>full</w:t>
      </w:r>
      <w:r w:rsidRPr="00CE0885">
        <w:rPr>
          <w:spacing w:val="-3"/>
          <w:lang w:eastAsia="en-GB"/>
        </w:rPr>
        <w:t xml:space="preserve"> </w:t>
      </w:r>
      <w:r w:rsidRPr="00CE0885">
        <w:rPr>
          <w:spacing w:val="-1"/>
          <w:lang w:eastAsia="en-GB"/>
        </w:rPr>
        <w:t>d</w:t>
      </w:r>
      <w:r w:rsidRPr="00CE0885">
        <w:rPr>
          <w:lang w:eastAsia="en-GB"/>
        </w:rPr>
        <w:t>etails</w:t>
      </w:r>
      <w:r w:rsidRPr="00CE0885">
        <w:rPr>
          <w:spacing w:val="-9"/>
          <w:lang w:eastAsia="en-GB"/>
        </w:rPr>
        <w:t xml:space="preserve"> </w:t>
      </w:r>
      <w:r w:rsidRPr="00CE0885">
        <w:rPr>
          <w:spacing w:val="-1"/>
          <w:lang w:eastAsia="en-GB"/>
        </w:rPr>
        <w:t>o</w:t>
      </w:r>
      <w:r w:rsidRPr="00CE0885">
        <w:rPr>
          <w:lang w:eastAsia="en-GB"/>
        </w:rPr>
        <w:t>f 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p</w:t>
      </w:r>
      <w:r w:rsidRPr="00CE0885">
        <w:rPr>
          <w:spacing w:val="-1"/>
          <w:lang w:eastAsia="en-GB"/>
        </w:rPr>
        <w:t>ro</w:t>
      </w:r>
      <w:r w:rsidRPr="00CE0885">
        <w:rPr>
          <w:lang w:eastAsia="en-GB"/>
        </w:rPr>
        <w:t>po</w:t>
      </w:r>
      <w:r w:rsidRPr="00CE0885">
        <w:rPr>
          <w:spacing w:val="-2"/>
          <w:lang w:eastAsia="en-GB"/>
        </w:rPr>
        <w:t>s</w:t>
      </w:r>
      <w:r w:rsidRPr="00CE0885">
        <w:rPr>
          <w:lang w:eastAsia="en-GB"/>
        </w:rPr>
        <w:t>ed</w:t>
      </w:r>
      <w:r w:rsidRPr="00CE0885">
        <w:rPr>
          <w:spacing w:val="-11"/>
          <w:lang w:eastAsia="en-GB"/>
        </w:rPr>
        <w:t xml:space="preserve"> </w:t>
      </w:r>
      <w:r w:rsidRPr="00CE0885">
        <w:rPr>
          <w:lang w:eastAsia="en-GB"/>
        </w:rPr>
        <w:t>p</w:t>
      </w:r>
      <w:r w:rsidRPr="00CE0885">
        <w:rPr>
          <w:spacing w:val="-1"/>
          <w:lang w:eastAsia="en-GB"/>
        </w:rPr>
        <w:t>r</w:t>
      </w:r>
      <w:r w:rsidRPr="00CE0885">
        <w:rPr>
          <w:lang w:eastAsia="en-GB"/>
        </w:rPr>
        <w:t>acti</w:t>
      </w:r>
      <w:r w:rsidRPr="00CE0885">
        <w:rPr>
          <w:spacing w:val="-2"/>
          <w:lang w:eastAsia="en-GB"/>
        </w:rPr>
        <w:t>c</w:t>
      </w:r>
      <w:r w:rsidRPr="00CE0885">
        <w:rPr>
          <w:lang w:eastAsia="en-GB"/>
        </w:rPr>
        <w:t>e</w:t>
      </w:r>
      <w:r w:rsidRPr="00CE0885">
        <w:rPr>
          <w:spacing w:val="-6"/>
          <w:lang w:eastAsia="en-GB"/>
        </w:rPr>
        <w:t xml:space="preserve"> </w:t>
      </w:r>
      <w:r w:rsidRPr="00CE0885">
        <w:rPr>
          <w:lang w:eastAsia="en-GB"/>
        </w:rPr>
        <w:t>a</w:t>
      </w:r>
      <w:r w:rsidRPr="00CE0885">
        <w:rPr>
          <w:spacing w:val="-1"/>
          <w:lang w:eastAsia="en-GB"/>
        </w:rPr>
        <w:t>r</w:t>
      </w:r>
      <w:r w:rsidRPr="00CE0885">
        <w:rPr>
          <w:lang w:eastAsia="en-GB"/>
        </w:rPr>
        <w:t>e</w:t>
      </w:r>
      <w:r w:rsidRPr="00CE0885">
        <w:rPr>
          <w:spacing w:val="-1"/>
          <w:lang w:eastAsia="en-GB"/>
        </w:rPr>
        <w:t>a</w:t>
      </w:r>
      <w:r w:rsidRPr="00CE0885">
        <w:rPr>
          <w:lang w:eastAsia="en-GB"/>
        </w:rPr>
        <w:t>,</w:t>
      </w:r>
      <w:r w:rsidRPr="00CE0885">
        <w:rPr>
          <w:spacing w:val="-4"/>
          <w:lang w:eastAsia="en-GB"/>
        </w:rPr>
        <w:t xml:space="preserve"> </w:t>
      </w:r>
      <w:r w:rsidRPr="00CE0885">
        <w:rPr>
          <w:spacing w:val="-3"/>
          <w:lang w:eastAsia="en-GB"/>
        </w:rPr>
        <w:t>w</w:t>
      </w:r>
      <w:r w:rsidRPr="00CE0885">
        <w:rPr>
          <w:lang w:eastAsia="en-GB"/>
        </w:rPr>
        <w:t>ith</w:t>
      </w:r>
      <w:r w:rsidRPr="00CE0885">
        <w:rPr>
          <w:spacing w:val="-2"/>
          <w:lang w:eastAsia="en-GB"/>
        </w:rPr>
        <w:t xml:space="preserve"> </w:t>
      </w:r>
      <w:r w:rsidRPr="00CE0885">
        <w:rPr>
          <w:w w:val="99"/>
          <w:lang w:eastAsia="en-GB"/>
        </w:rPr>
        <w:t>any additi</w:t>
      </w:r>
      <w:r w:rsidRPr="00CE0885">
        <w:rPr>
          <w:spacing w:val="-1"/>
          <w:w w:val="99"/>
          <w:lang w:eastAsia="en-GB"/>
        </w:rPr>
        <w:t>o</w:t>
      </w:r>
      <w:r w:rsidRPr="00CE0885">
        <w:rPr>
          <w:w w:val="99"/>
          <w:lang w:eastAsia="en-GB"/>
        </w:rPr>
        <w:t>nal</w:t>
      </w:r>
      <w:r w:rsidRPr="00CE0885">
        <w:rPr>
          <w:lang w:eastAsia="en-GB"/>
        </w:rPr>
        <w:t xml:space="preserve"> s</w:t>
      </w:r>
      <w:r w:rsidRPr="00CE0885">
        <w:rPr>
          <w:spacing w:val="-1"/>
          <w:lang w:eastAsia="en-GB"/>
        </w:rPr>
        <w:t>u</w:t>
      </w:r>
      <w:r w:rsidRPr="00CE0885">
        <w:rPr>
          <w:lang w:eastAsia="en-GB"/>
        </w:rPr>
        <w:t>p</w:t>
      </w:r>
      <w:r w:rsidRPr="00CE0885">
        <w:rPr>
          <w:spacing w:val="-1"/>
          <w:lang w:eastAsia="en-GB"/>
        </w:rPr>
        <w:t>p</w:t>
      </w:r>
      <w:r w:rsidRPr="00CE0885">
        <w:rPr>
          <w:lang w:eastAsia="en-GB"/>
        </w:rPr>
        <w:t>o</w:t>
      </w:r>
      <w:r w:rsidRPr="00CE0885">
        <w:rPr>
          <w:spacing w:val="-1"/>
          <w:lang w:eastAsia="en-GB"/>
        </w:rPr>
        <w:t>r</w:t>
      </w:r>
      <w:r w:rsidRPr="00CE0885">
        <w:rPr>
          <w:lang w:eastAsia="en-GB"/>
        </w:rPr>
        <w:t>ting</w:t>
      </w:r>
      <w:r w:rsidRPr="00CE0885">
        <w:rPr>
          <w:spacing w:val="-12"/>
          <w:lang w:eastAsia="en-GB"/>
        </w:rPr>
        <w:t xml:space="preserve"> </w:t>
      </w:r>
      <w:r w:rsidRPr="00CE0885">
        <w:rPr>
          <w:spacing w:val="-1"/>
          <w:lang w:eastAsia="en-GB"/>
        </w:rPr>
        <w:t>e</w:t>
      </w:r>
      <w:r w:rsidRPr="00CE0885">
        <w:rPr>
          <w:spacing w:val="-2"/>
          <w:lang w:eastAsia="en-GB"/>
        </w:rPr>
        <w:t>v</w:t>
      </w:r>
      <w:r w:rsidRPr="00CE0885">
        <w:rPr>
          <w:lang w:eastAsia="en-GB"/>
        </w:rPr>
        <w:t>idence</w:t>
      </w:r>
      <w:r w:rsidRPr="00CE0885">
        <w:rPr>
          <w:spacing w:val="-8"/>
          <w:lang w:eastAsia="en-GB"/>
        </w:rPr>
        <w:t xml:space="preserve"> </w:t>
      </w:r>
      <w:r w:rsidRPr="00CE0885">
        <w:rPr>
          <w:lang w:eastAsia="en-GB"/>
        </w:rPr>
        <w:t>th</w:t>
      </w:r>
      <w:r w:rsidRPr="00CE0885">
        <w:rPr>
          <w:spacing w:val="-1"/>
          <w:lang w:eastAsia="en-GB"/>
        </w:rPr>
        <w:t>a</w:t>
      </w:r>
      <w:r w:rsidRPr="00CE0885">
        <w:rPr>
          <w:lang w:eastAsia="en-GB"/>
        </w:rPr>
        <w:t>t</w:t>
      </w:r>
      <w:r w:rsidRPr="00CE0885">
        <w:rPr>
          <w:spacing w:val="-5"/>
          <w:lang w:eastAsia="en-GB"/>
        </w:rPr>
        <w:t xml:space="preserve"> </w:t>
      </w:r>
      <w:r w:rsidRPr="00CE0885">
        <w:rPr>
          <w:spacing w:val="2"/>
          <w:lang w:eastAsia="en-GB"/>
        </w:rPr>
        <w:t>m</w:t>
      </w:r>
      <w:r w:rsidRPr="00CE0885">
        <w:rPr>
          <w:lang w:eastAsia="en-GB"/>
        </w:rPr>
        <w:t>ay</w:t>
      </w:r>
      <w:r w:rsidRPr="00CE0885">
        <w:rPr>
          <w:spacing w:val="-7"/>
          <w:lang w:eastAsia="en-GB"/>
        </w:rPr>
        <w:t xml:space="preserve"> </w:t>
      </w:r>
      <w:r w:rsidRPr="00CE0885">
        <w:rPr>
          <w:lang w:eastAsia="en-GB"/>
        </w:rPr>
        <w:t>assist</w:t>
      </w:r>
      <w:r w:rsidRPr="00CE0885">
        <w:rPr>
          <w:spacing w:val="-5"/>
          <w:lang w:eastAsia="en-GB"/>
        </w:rPr>
        <w:t xml:space="preserve"> </w:t>
      </w:r>
      <w:r w:rsidRPr="00CE0885">
        <w:rPr>
          <w:lang w:eastAsia="en-GB"/>
        </w:rPr>
        <w:t>the</w:t>
      </w:r>
      <w:r w:rsidRPr="00CE0885">
        <w:rPr>
          <w:spacing w:val="-4"/>
          <w:lang w:eastAsia="en-GB"/>
        </w:rPr>
        <w:t xml:space="preserve"> </w:t>
      </w:r>
      <w:r w:rsidRPr="00CE0885">
        <w:rPr>
          <w:lang w:eastAsia="en-GB"/>
        </w:rPr>
        <w:t xml:space="preserve">Commissioner in </w:t>
      </w:r>
      <w:r w:rsidRPr="00CE0885">
        <w:rPr>
          <w:spacing w:val="-1"/>
          <w:lang w:eastAsia="en-GB"/>
        </w:rPr>
        <w:t>re</w:t>
      </w:r>
      <w:r w:rsidRPr="00CE0885">
        <w:rPr>
          <w:lang w:eastAsia="en-GB"/>
        </w:rPr>
        <w:t>ach</w:t>
      </w:r>
      <w:r w:rsidRPr="00CE0885">
        <w:rPr>
          <w:spacing w:val="-3"/>
          <w:lang w:eastAsia="en-GB"/>
        </w:rPr>
        <w:t>i</w:t>
      </w:r>
      <w:r w:rsidRPr="00CE0885">
        <w:rPr>
          <w:lang w:eastAsia="en-GB"/>
        </w:rPr>
        <w:t>ng its</w:t>
      </w:r>
      <w:r w:rsidRPr="00CE0885">
        <w:rPr>
          <w:spacing w:val="-2"/>
          <w:lang w:eastAsia="en-GB"/>
        </w:rPr>
        <w:t xml:space="preserve"> </w:t>
      </w:r>
      <w:r w:rsidRPr="00CE0885">
        <w:rPr>
          <w:lang w:eastAsia="en-GB"/>
        </w:rPr>
        <w:t>decision (a template application notice is set out in Annex 13 A)..</w:t>
      </w:r>
      <w:bookmarkEnd w:id="771"/>
    </w:p>
    <w:p w14:paraId="4C46C31E" w14:textId="77777777" w:rsidR="00977693" w:rsidRPr="00CE0885" w:rsidRDefault="00977693" w:rsidP="00980A75">
      <w:pPr>
        <w:pStyle w:val="Heading3"/>
        <w:rPr>
          <w:lang w:eastAsia="en-GB"/>
        </w:rPr>
      </w:pPr>
      <w:bookmarkStart w:id="772" w:name="_Toc440981933"/>
      <w:r w:rsidRPr="00CE0885">
        <w:rPr>
          <w:spacing w:val="2"/>
          <w:lang w:eastAsia="en-GB"/>
        </w:rPr>
        <w:t>T</w:t>
      </w:r>
      <w:r w:rsidRPr="00CE0885">
        <w:rPr>
          <w:spacing w:val="-1"/>
          <w:lang w:eastAsia="en-GB"/>
        </w:rPr>
        <w:t>h</w:t>
      </w:r>
      <w:r w:rsidRPr="00CE0885">
        <w:rPr>
          <w:lang w:eastAsia="en-GB"/>
        </w:rPr>
        <w:t>e</w:t>
      </w:r>
      <w:r w:rsidRPr="00CE0885">
        <w:rPr>
          <w:spacing w:val="-2"/>
          <w:lang w:eastAsia="en-GB"/>
        </w:rPr>
        <w:t xml:space="preserve"> </w:t>
      </w:r>
      <w:r w:rsidRPr="00CE0885">
        <w:rPr>
          <w:lang w:eastAsia="en-GB"/>
        </w:rPr>
        <w:t>c</w:t>
      </w:r>
      <w:r w:rsidRPr="00CE0885">
        <w:rPr>
          <w:spacing w:val="-1"/>
          <w:lang w:eastAsia="en-GB"/>
        </w:rPr>
        <w:t>o</w:t>
      </w:r>
      <w:r w:rsidRPr="00CE0885">
        <w:rPr>
          <w:lang w:eastAsia="en-GB"/>
        </w:rPr>
        <w:t>nt</w:t>
      </w:r>
      <w:r w:rsidRPr="00CE0885">
        <w:rPr>
          <w:spacing w:val="-1"/>
          <w:lang w:eastAsia="en-GB"/>
        </w:rPr>
        <w:t>r</w:t>
      </w:r>
      <w:r w:rsidRPr="00CE0885">
        <w:rPr>
          <w:lang w:eastAsia="en-GB"/>
        </w:rPr>
        <w:t>ac</w:t>
      </w:r>
      <w:r w:rsidRPr="00CE0885">
        <w:rPr>
          <w:spacing w:val="-2"/>
          <w:lang w:eastAsia="en-GB"/>
        </w:rPr>
        <w:t>t</w:t>
      </w:r>
      <w:r w:rsidRPr="00CE0885">
        <w:rPr>
          <w:lang w:eastAsia="en-GB"/>
        </w:rPr>
        <w:t>or</w:t>
      </w:r>
      <w:r w:rsidRPr="00CE0885">
        <w:rPr>
          <w:spacing w:val="-11"/>
          <w:lang w:eastAsia="en-GB"/>
        </w:rPr>
        <w:t xml:space="preserve"> </w:t>
      </w:r>
      <w:r w:rsidRPr="00CE0885">
        <w:rPr>
          <w:lang w:eastAsia="en-GB"/>
        </w:rPr>
        <w:t>a</w:t>
      </w:r>
      <w:r w:rsidRPr="00CE0885">
        <w:rPr>
          <w:spacing w:val="-1"/>
          <w:lang w:eastAsia="en-GB"/>
        </w:rPr>
        <w:t>n</w:t>
      </w:r>
      <w:r w:rsidRPr="00CE0885">
        <w:rPr>
          <w:lang w:eastAsia="en-GB"/>
        </w:rPr>
        <w:t>d</w:t>
      </w:r>
      <w:r w:rsidRPr="00CE0885">
        <w:rPr>
          <w:spacing w:val="-2"/>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4"/>
          <w:lang w:eastAsia="en-GB"/>
        </w:rPr>
        <w:t xml:space="preserve"> </w:t>
      </w:r>
      <w:r w:rsidRPr="00CE0885">
        <w:rPr>
          <w:lang w:eastAsia="en-GB"/>
        </w:rPr>
        <w:t>Commissioner</w:t>
      </w:r>
      <w:r w:rsidRPr="00CE0885">
        <w:rPr>
          <w:spacing w:val="-3"/>
          <w:lang w:eastAsia="en-GB"/>
        </w:rPr>
        <w:t xml:space="preserve"> </w:t>
      </w:r>
      <w:r w:rsidRPr="00CE0885">
        <w:rPr>
          <w:spacing w:val="-1"/>
          <w:lang w:eastAsia="en-GB"/>
        </w:rPr>
        <w:t>m</w:t>
      </w:r>
      <w:r w:rsidRPr="00CE0885">
        <w:rPr>
          <w:lang w:eastAsia="en-GB"/>
        </w:rPr>
        <w:t>ust</w:t>
      </w:r>
      <w:r w:rsidRPr="00CE0885">
        <w:rPr>
          <w:spacing w:val="-6"/>
          <w:lang w:eastAsia="en-GB"/>
        </w:rPr>
        <w:t xml:space="preserve"> </w:t>
      </w:r>
      <w:r w:rsidRPr="00CE0885">
        <w:rPr>
          <w:lang w:eastAsia="en-GB"/>
        </w:rPr>
        <w:t>en</w:t>
      </w:r>
      <w:r w:rsidRPr="00CE0885">
        <w:rPr>
          <w:spacing w:val="-1"/>
          <w:lang w:eastAsia="en-GB"/>
        </w:rPr>
        <w:t>g</w:t>
      </w:r>
      <w:r w:rsidRPr="00CE0885">
        <w:rPr>
          <w:lang w:eastAsia="en-GB"/>
        </w:rPr>
        <w:t>a</w:t>
      </w:r>
      <w:r w:rsidRPr="00CE0885">
        <w:rPr>
          <w:spacing w:val="-1"/>
          <w:lang w:eastAsia="en-GB"/>
        </w:rPr>
        <w:t>g</w:t>
      </w:r>
      <w:r w:rsidRPr="00CE0885">
        <w:rPr>
          <w:lang w:eastAsia="en-GB"/>
        </w:rPr>
        <w:t>e</w:t>
      </w:r>
      <w:r w:rsidRPr="00CE0885">
        <w:rPr>
          <w:spacing w:val="-6"/>
          <w:lang w:eastAsia="en-GB"/>
        </w:rPr>
        <w:t xml:space="preserve"> </w:t>
      </w:r>
      <w:r w:rsidRPr="00CE0885">
        <w:rPr>
          <w:lang w:eastAsia="en-GB"/>
        </w:rPr>
        <w:t xml:space="preserve">in </w:t>
      </w:r>
      <w:r w:rsidRPr="00CE0885">
        <w:rPr>
          <w:spacing w:val="-1"/>
          <w:lang w:eastAsia="en-GB"/>
        </w:rPr>
        <w:t>op</w:t>
      </w:r>
      <w:r w:rsidRPr="00CE0885">
        <w:rPr>
          <w:lang w:eastAsia="en-GB"/>
        </w:rPr>
        <w:t>en</w:t>
      </w:r>
      <w:r w:rsidRPr="00CE0885">
        <w:rPr>
          <w:spacing w:val="-3"/>
          <w:lang w:eastAsia="en-GB"/>
        </w:rPr>
        <w:t xml:space="preserve"> </w:t>
      </w:r>
      <w:r w:rsidRPr="00CE0885">
        <w:rPr>
          <w:lang w:eastAsia="en-GB"/>
        </w:rPr>
        <w:t>d</w:t>
      </w:r>
      <w:r w:rsidRPr="00CE0885">
        <w:rPr>
          <w:spacing w:val="-3"/>
          <w:lang w:eastAsia="en-GB"/>
        </w:rPr>
        <w:t>i</w:t>
      </w:r>
      <w:r w:rsidRPr="00CE0885">
        <w:rPr>
          <w:lang w:eastAsia="en-GB"/>
        </w:rPr>
        <w:t>alo</w:t>
      </w:r>
      <w:r w:rsidRPr="00CE0885">
        <w:rPr>
          <w:spacing w:val="-1"/>
          <w:lang w:eastAsia="en-GB"/>
        </w:rPr>
        <w:t>g</w:t>
      </w:r>
      <w:r w:rsidRPr="00CE0885">
        <w:rPr>
          <w:lang w:eastAsia="en-GB"/>
        </w:rPr>
        <w:t>ue conce</w:t>
      </w:r>
      <w:r w:rsidRPr="00CE0885">
        <w:rPr>
          <w:spacing w:val="-1"/>
          <w:lang w:eastAsia="en-GB"/>
        </w:rPr>
        <w:t>r</w:t>
      </w:r>
      <w:r w:rsidRPr="00CE0885">
        <w:rPr>
          <w:lang w:eastAsia="en-GB"/>
        </w:rPr>
        <w:t>ning</w:t>
      </w:r>
      <w:r w:rsidRPr="00CE0885">
        <w:rPr>
          <w:spacing w:val="-13"/>
          <w:lang w:eastAsia="en-GB"/>
        </w:rPr>
        <w:t xml:space="preserve"> </w:t>
      </w:r>
      <w:r w:rsidRPr="00CE0885">
        <w:rPr>
          <w:spacing w:val="-2"/>
          <w:lang w:eastAsia="en-GB"/>
        </w:rPr>
        <w:t>t</w:t>
      </w:r>
      <w:r w:rsidRPr="00CE0885">
        <w:rPr>
          <w:lang w:eastAsia="en-GB"/>
        </w:rPr>
        <w:t>he</w:t>
      </w:r>
      <w:r w:rsidRPr="00CE0885">
        <w:rPr>
          <w:spacing w:val="-1"/>
          <w:lang w:eastAsia="en-GB"/>
        </w:rPr>
        <w:t xml:space="preserve"> </w:t>
      </w:r>
      <w:r w:rsidRPr="00CE0885">
        <w:rPr>
          <w:lang w:eastAsia="en-GB"/>
        </w:rPr>
        <w:t>ci</w:t>
      </w:r>
      <w:r w:rsidRPr="00CE0885">
        <w:rPr>
          <w:spacing w:val="-1"/>
          <w:lang w:eastAsia="en-GB"/>
        </w:rPr>
        <w:t>r</w:t>
      </w:r>
      <w:r w:rsidRPr="00CE0885">
        <w:rPr>
          <w:lang w:eastAsia="en-GB"/>
        </w:rPr>
        <w:t>c</w:t>
      </w:r>
      <w:r w:rsidRPr="00CE0885">
        <w:rPr>
          <w:spacing w:val="-1"/>
          <w:lang w:eastAsia="en-GB"/>
        </w:rPr>
        <w:t>um</w:t>
      </w:r>
      <w:r w:rsidRPr="00CE0885">
        <w:rPr>
          <w:lang w:eastAsia="en-GB"/>
        </w:rPr>
        <w:t>stances</w:t>
      </w:r>
      <w:r w:rsidRPr="00CE0885">
        <w:rPr>
          <w:spacing w:val="-17"/>
          <w:lang w:eastAsia="en-GB"/>
        </w:rPr>
        <w:t xml:space="preserve"> </w:t>
      </w:r>
      <w:r w:rsidRPr="00CE0885">
        <w:rPr>
          <w:lang w:eastAsia="en-GB"/>
        </w:rPr>
        <w:t>t</w:t>
      </w:r>
      <w:r w:rsidRPr="00CE0885">
        <w:rPr>
          <w:spacing w:val="-1"/>
          <w:lang w:eastAsia="en-GB"/>
        </w:rPr>
        <w:t>h</w:t>
      </w:r>
      <w:r w:rsidRPr="00CE0885">
        <w:rPr>
          <w:lang w:eastAsia="en-GB"/>
        </w:rPr>
        <w:t>at</w:t>
      </w:r>
      <w:r w:rsidRPr="00CE0885">
        <w:rPr>
          <w:spacing w:val="-3"/>
          <w:lang w:eastAsia="en-GB"/>
        </w:rPr>
        <w:t xml:space="preserve"> </w:t>
      </w:r>
      <w:r w:rsidRPr="00CE0885">
        <w:rPr>
          <w:spacing w:val="-1"/>
          <w:lang w:eastAsia="en-GB"/>
        </w:rPr>
        <w:t>h</w:t>
      </w:r>
      <w:r w:rsidRPr="00CE0885">
        <w:rPr>
          <w:lang w:eastAsia="en-GB"/>
        </w:rPr>
        <w:t>a</w:t>
      </w:r>
      <w:r w:rsidRPr="00CE0885">
        <w:rPr>
          <w:spacing w:val="-2"/>
          <w:lang w:eastAsia="en-GB"/>
        </w:rPr>
        <w:t>v</w:t>
      </w:r>
      <w:r w:rsidRPr="00CE0885">
        <w:rPr>
          <w:lang w:eastAsia="en-GB"/>
        </w:rPr>
        <w:t>e</w:t>
      </w:r>
      <w:r w:rsidRPr="00CE0885">
        <w:rPr>
          <w:spacing w:val="-3"/>
          <w:lang w:eastAsia="en-GB"/>
        </w:rPr>
        <w:t xml:space="preserve"> </w:t>
      </w:r>
      <w:r w:rsidRPr="00CE0885">
        <w:rPr>
          <w:lang w:eastAsia="en-GB"/>
        </w:rPr>
        <w:t>led</w:t>
      </w:r>
      <w:r w:rsidRPr="00CE0885">
        <w:rPr>
          <w:spacing w:val="-1"/>
          <w:lang w:eastAsia="en-GB"/>
        </w:rPr>
        <w:t xml:space="preserve"> </w:t>
      </w:r>
      <w:r w:rsidRPr="00CE0885">
        <w:rPr>
          <w:spacing w:val="-2"/>
          <w:lang w:eastAsia="en-GB"/>
        </w:rPr>
        <w:t>t</w:t>
      </w:r>
      <w:r w:rsidRPr="00CE0885">
        <w:rPr>
          <w:lang w:eastAsia="en-GB"/>
        </w:rPr>
        <w:t>o t</w:t>
      </w:r>
      <w:r w:rsidRPr="00CE0885">
        <w:rPr>
          <w:spacing w:val="-1"/>
          <w:lang w:eastAsia="en-GB"/>
        </w:rPr>
        <w:t>h</w:t>
      </w:r>
      <w:r w:rsidRPr="00CE0885">
        <w:rPr>
          <w:lang w:eastAsia="en-GB"/>
        </w:rPr>
        <w:t>e</w:t>
      </w:r>
      <w:r w:rsidRPr="00CE0885">
        <w:rPr>
          <w:spacing w:val="-1"/>
          <w:lang w:eastAsia="en-GB"/>
        </w:rPr>
        <w:t xml:space="preserve"> r</w:t>
      </w:r>
      <w:r w:rsidRPr="00CE0885">
        <w:rPr>
          <w:lang w:eastAsia="en-GB"/>
        </w:rPr>
        <w:t>e</w:t>
      </w:r>
      <w:r w:rsidRPr="00CE0885">
        <w:rPr>
          <w:spacing w:val="-1"/>
          <w:lang w:eastAsia="en-GB"/>
        </w:rPr>
        <w:t>q</w:t>
      </w:r>
      <w:r w:rsidRPr="00CE0885">
        <w:rPr>
          <w:lang w:eastAsia="en-GB"/>
        </w:rPr>
        <w:t>uest</w:t>
      </w:r>
      <w:r w:rsidRPr="00CE0885">
        <w:rPr>
          <w:spacing w:val="-9"/>
          <w:lang w:eastAsia="en-GB"/>
        </w:rPr>
        <w:t xml:space="preserve"> </w:t>
      </w:r>
      <w:r w:rsidRPr="00CE0885">
        <w:rPr>
          <w:lang w:eastAsia="en-GB"/>
        </w:rPr>
        <w:t>to chan</w:t>
      </w:r>
      <w:r w:rsidRPr="00CE0885">
        <w:rPr>
          <w:spacing w:val="-1"/>
          <w:lang w:eastAsia="en-GB"/>
        </w:rPr>
        <w:t>g</w:t>
      </w:r>
      <w:r w:rsidRPr="00CE0885">
        <w:rPr>
          <w:lang w:eastAsia="en-GB"/>
        </w:rPr>
        <w:t>e</w:t>
      </w:r>
      <w:r w:rsidRPr="00CE0885">
        <w:rPr>
          <w:spacing w:val="-6"/>
          <w:lang w:eastAsia="en-GB"/>
        </w:rPr>
        <w:t xml:space="preserve"> </w:t>
      </w:r>
      <w:r w:rsidRPr="00CE0885">
        <w:rPr>
          <w:spacing w:val="-2"/>
          <w:lang w:eastAsia="en-GB"/>
        </w:rPr>
        <w:t>t</w:t>
      </w:r>
      <w:r w:rsidRPr="00CE0885">
        <w:rPr>
          <w:lang w:eastAsia="en-GB"/>
        </w:rPr>
        <w:t>heir</w:t>
      </w:r>
      <w:r w:rsidRPr="00CE0885">
        <w:rPr>
          <w:spacing w:val="-5"/>
          <w:lang w:eastAsia="en-GB"/>
        </w:rPr>
        <w:t xml:space="preserve"> </w:t>
      </w:r>
      <w:r w:rsidRPr="00CE0885">
        <w:rPr>
          <w:spacing w:val="-1"/>
          <w:lang w:eastAsia="en-GB"/>
        </w:rPr>
        <w:t>b</w:t>
      </w:r>
      <w:r w:rsidRPr="00CE0885">
        <w:rPr>
          <w:lang w:eastAsia="en-GB"/>
        </w:rPr>
        <w:t>ou</w:t>
      </w:r>
      <w:r w:rsidRPr="00CE0885">
        <w:rPr>
          <w:spacing w:val="-1"/>
          <w:lang w:eastAsia="en-GB"/>
        </w:rPr>
        <w:t>n</w:t>
      </w:r>
      <w:r w:rsidRPr="00CE0885">
        <w:rPr>
          <w:lang w:eastAsia="en-GB"/>
        </w:rPr>
        <w:t>da</w:t>
      </w:r>
      <w:r w:rsidRPr="00CE0885">
        <w:rPr>
          <w:spacing w:val="-1"/>
          <w:lang w:eastAsia="en-GB"/>
        </w:rPr>
        <w:t>r</w:t>
      </w:r>
      <w:r w:rsidRPr="00CE0885">
        <w:rPr>
          <w:lang w:eastAsia="en-GB"/>
        </w:rPr>
        <w:t>y</w:t>
      </w:r>
      <w:r w:rsidRPr="00CE0885">
        <w:rPr>
          <w:spacing w:val="-12"/>
          <w:lang w:eastAsia="en-GB"/>
        </w:rPr>
        <w:t xml:space="preserve"> </w:t>
      </w:r>
      <w:r w:rsidRPr="00CE0885">
        <w:rPr>
          <w:lang w:eastAsia="en-GB"/>
        </w:rPr>
        <w:t>and</w:t>
      </w:r>
      <w:r w:rsidRPr="00CE0885">
        <w:rPr>
          <w:spacing w:val="-5"/>
          <w:lang w:eastAsia="en-GB"/>
        </w:rPr>
        <w:t xml:space="preserve"> </w:t>
      </w:r>
      <w:r w:rsidRPr="00CE0885">
        <w:rPr>
          <w:lang w:eastAsia="en-GB"/>
        </w:rPr>
        <w:t>discuss</w:t>
      </w:r>
      <w:r w:rsidRPr="00CE0885">
        <w:rPr>
          <w:spacing w:val="-8"/>
          <w:lang w:eastAsia="en-GB"/>
        </w:rPr>
        <w:t xml:space="preserve"> </w:t>
      </w:r>
      <w:r w:rsidRPr="00CE0885">
        <w:rPr>
          <w:spacing w:val="-2"/>
          <w:lang w:eastAsia="en-GB"/>
        </w:rPr>
        <w:t>t</w:t>
      </w:r>
      <w:r w:rsidRPr="00CE0885">
        <w:rPr>
          <w:lang w:eastAsia="en-GB"/>
        </w:rPr>
        <w:t>he</w:t>
      </w:r>
      <w:r w:rsidRPr="00CE0885">
        <w:rPr>
          <w:spacing w:val="-4"/>
          <w:lang w:eastAsia="en-GB"/>
        </w:rPr>
        <w:t xml:space="preserve"> </w:t>
      </w:r>
      <w:r w:rsidRPr="00CE0885">
        <w:rPr>
          <w:lang w:eastAsia="en-GB"/>
        </w:rPr>
        <w:t>possi</w:t>
      </w:r>
      <w:r w:rsidRPr="00CE0885">
        <w:rPr>
          <w:spacing w:val="-1"/>
          <w:lang w:eastAsia="en-GB"/>
        </w:rPr>
        <w:t>b</w:t>
      </w:r>
      <w:r w:rsidRPr="00CE0885">
        <w:rPr>
          <w:lang w:eastAsia="en-GB"/>
        </w:rPr>
        <w:t>le</w:t>
      </w:r>
      <w:r w:rsidRPr="00CE0885">
        <w:rPr>
          <w:spacing w:val="-7"/>
          <w:lang w:eastAsia="en-GB"/>
        </w:rPr>
        <w:t xml:space="preserve"> </w:t>
      </w:r>
      <w:r w:rsidRPr="00CE0885">
        <w:rPr>
          <w:lang w:eastAsia="en-GB"/>
        </w:rPr>
        <w:t>i</w:t>
      </w:r>
      <w:r w:rsidRPr="00CE0885">
        <w:rPr>
          <w:spacing w:val="2"/>
          <w:lang w:eastAsia="en-GB"/>
        </w:rPr>
        <w:t>m</w:t>
      </w:r>
      <w:r w:rsidRPr="00CE0885">
        <w:rPr>
          <w:lang w:eastAsia="en-GB"/>
        </w:rPr>
        <w:t>plicat</w:t>
      </w:r>
      <w:r w:rsidRPr="00CE0885">
        <w:rPr>
          <w:spacing w:val="-3"/>
          <w:lang w:eastAsia="en-GB"/>
        </w:rPr>
        <w:t>i</w:t>
      </w:r>
      <w:r w:rsidRPr="00CE0885">
        <w:rPr>
          <w:lang w:eastAsia="en-GB"/>
        </w:rPr>
        <w:t>ons</w:t>
      </w:r>
      <w:r w:rsidRPr="00CE0885">
        <w:rPr>
          <w:spacing w:val="-15"/>
          <w:lang w:eastAsia="en-GB"/>
        </w:rPr>
        <w:t xml:space="preserve"> </w:t>
      </w:r>
      <w:r w:rsidRPr="00CE0885">
        <w:rPr>
          <w:spacing w:val="-1"/>
          <w:lang w:eastAsia="en-GB"/>
        </w:rPr>
        <w:t>o</w:t>
      </w:r>
      <w:r w:rsidRPr="00CE0885">
        <w:rPr>
          <w:lang w:eastAsia="en-GB"/>
        </w:rPr>
        <w:t xml:space="preserve">f </w:t>
      </w:r>
      <w:r w:rsidRPr="00CE0885">
        <w:rPr>
          <w:spacing w:val="-2"/>
          <w:lang w:eastAsia="en-GB"/>
        </w:rPr>
        <w:t>t</w:t>
      </w:r>
      <w:r w:rsidRPr="00CE0885">
        <w:rPr>
          <w:lang w:eastAsia="en-GB"/>
        </w:rPr>
        <w:t>he action,</w:t>
      </w:r>
      <w:r w:rsidRPr="00CE0885">
        <w:rPr>
          <w:spacing w:val="-8"/>
          <w:lang w:eastAsia="en-GB"/>
        </w:rPr>
        <w:t xml:space="preserve"> </w:t>
      </w:r>
      <w:r w:rsidRPr="00CE0885">
        <w:rPr>
          <w:lang w:eastAsia="en-GB"/>
        </w:rPr>
        <w:t>i.e. a</w:t>
      </w:r>
      <w:r w:rsidRPr="00CE0885">
        <w:rPr>
          <w:spacing w:val="-2"/>
          <w:lang w:eastAsia="en-GB"/>
        </w:rPr>
        <w:t xml:space="preserve"> </w:t>
      </w:r>
      <w:r w:rsidRPr="00CE0885">
        <w:rPr>
          <w:spacing w:val="-1"/>
          <w:lang w:eastAsia="en-GB"/>
        </w:rPr>
        <w:t>r</w:t>
      </w:r>
      <w:r w:rsidRPr="00CE0885">
        <w:rPr>
          <w:lang w:eastAsia="en-GB"/>
        </w:rPr>
        <w:t>educ</w:t>
      </w:r>
      <w:r w:rsidRPr="00CE0885">
        <w:rPr>
          <w:spacing w:val="-3"/>
          <w:lang w:eastAsia="en-GB"/>
        </w:rPr>
        <w:t>i</w:t>
      </w:r>
      <w:r w:rsidRPr="00CE0885">
        <w:rPr>
          <w:lang w:eastAsia="en-GB"/>
        </w:rPr>
        <w:t>ng</w:t>
      </w:r>
      <w:r w:rsidRPr="00CE0885">
        <w:rPr>
          <w:spacing w:val="-10"/>
          <w:lang w:eastAsia="en-GB"/>
        </w:rPr>
        <w:t xml:space="preserve"> </w:t>
      </w:r>
      <w:r w:rsidRPr="00CE0885">
        <w:rPr>
          <w:spacing w:val="-1"/>
          <w:lang w:eastAsia="en-GB"/>
        </w:rPr>
        <w:t>p</w:t>
      </w:r>
      <w:r w:rsidRPr="00CE0885">
        <w:rPr>
          <w:lang w:eastAsia="en-GB"/>
        </w:rPr>
        <w:t>atient</w:t>
      </w:r>
      <w:r w:rsidRPr="00CE0885">
        <w:rPr>
          <w:spacing w:val="-8"/>
          <w:lang w:eastAsia="en-GB"/>
        </w:rPr>
        <w:t xml:space="preserve"> </w:t>
      </w:r>
      <w:r w:rsidRPr="00CE0885">
        <w:rPr>
          <w:spacing w:val="-1"/>
          <w:lang w:eastAsia="en-GB"/>
        </w:rPr>
        <w:t>r</w:t>
      </w:r>
      <w:r w:rsidRPr="00CE0885">
        <w:rPr>
          <w:lang w:eastAsia="en-GB"/>
        </w:rPr>
        <w:t>e</w:t>
      </w:r>
      <w:r w:rsidRPr="00CE0885">
        <w:rPr>
          <w:spacing w:val="-1"/>
          <w:lang w:eastAsia="en-GB"/>
        </w:rPr>
        <w:t>g</w:t>
      </w:r>
      <w:r w:rsidRPr="00CE0885">
        <w:rPr>
          <w:lang w:eastAsia="en-GB"/>
        </w:rPr>
        <w:t>iste</w:t>
      </w:r>
      <w:r w:rsidRPr="00CE0885">
        <w:rPr>
          <w:spacing w:val="-1"/>
          <w:lang w:eastAsia="en-GB"/>
        </w:rPr>
        <w:t>r</w:t>
      </w:r>
      <w:r w:rsidRPr="00CE0885">
        <w:rPr>
          <w:lang w:eastAsia="en-GB"/>
        </w:rPr>
        <w:t>,</w:t>
      </w:r>
      <w:r w:rsidRPr="00CE0885">
        <w:rPr>
          <w:spacing w:val="-8"/>
          <w:lang w:eastAsia="en-GB"/>
        </w:rPr>
        <w:t xml:space="preserve"> </w:t>
      </w:r>
      <w:r w:rsidRPr="00CE0885">
        <w:rPr>
          <w:lang w:eastAsia="en-GB"/>
        </w:rPr>
        <w:t>an</w:t>
      </w:r>
      <w:r w:rsidRPr="00CE0885">
        <w:rPr>
          <w:spacing w:val="-4"/>
          <w:lang w:eastAsia="en-GB"/>
        </w:rPr>
        <w:t xml:space="preserve"> </w:t>
      </w:r>
      <w:r w:rsidRPr="00CE0885">
        <w:rPr>
          <w:lang w:eastAsia="en-GB"/>
        </w:rPr>
        <w:t>e</w:t>
      </w:r>
      <w:r w:rsidRPr="00CE0885">
        <w:rPr>
          <w:spacing w:val="-2"/>
          <w:lang w:eastAsia="en-GB"/>
        </w:rPr>
        <w:t>x</w:t>
      </w:r>
      <w:r w:rsidRPr="00CE0885">
        <w:rPr>
          <w:lang w:eastAsia="en-GB"/>
        </w:rPr>
        <w:t>p</w:t>
      </w:r>
      <w:r w:rsidRPr="00CE0885">
        <w:rPr>
          <w:spacing w:val="-1"/>
          <w:lang w:eastAsia="en-GB"/>
        </w:rPr>
        <w:t>a</w:t>
      </w:r>
      <w:r w:rsidRPr="00CE0885">
        <w:rPr>
          <w:lang w:eastAsia="en-GB"/>
        </w:rPr>
        <w:t>nding</w:t>
      </w:r>
      <w:r w:rsidRPr="00CE0885">
        <w:rPr>
          <w:spacing w:val="-12"/>
          <w:lang w:eastAsia="en-GB"/>
        </w:rPr>
        <w:t xml:space="preserve"> </w:t>
      </w:r>
      <w:r w:rsidRPr="00CE0885">
        <w:rPr>
          <w:lang w:eastAsia="en-GB"/>
        </w:rPr>
        <w:t>pat</w:t>
      </w:r>
      <w:r w:rsidRPr="00CE0885">
        <w:rPr>
          <w:spacing w:val="-3"/>
          <w:lang w:eastAsia="en-GB"/>
        </w:rPr>
        <w:t>i</w:t>
      </w:r>
      <w:r w:rsidRPr="00CE0885">
        <w:rPr>
          <w:lang w:eastAsia="en-GB"/>
        </w:rPr>
        <w:t>ent</w:t>
      </w:r>
      <w:r w:rsidRPr="00CE0885">
        <w:rPr>
          <w:spacing w:val="-6"/>
          <w:lang w:eastAsia="en-GB"/>
        </w:rPr>
        <w:t xml:space="preserve"> </w:t>
      </w:r>
      <w:r w:rsidRPr="00CE0885">
        <w:rPr>
          <w:spacing w:val="-3"/>
          <w:lang w:eastAsia="en-GB"/>
        </w:rPr>
        <w:t>r</w:t>
      </w:r>
      <w:r w:rsidRPr="00CE0885">
        <w:rPr>
          <w:lang w:eastAsia="en-GB"/>
        </w:rPr>
        <w:t>e</w:t>
      </w:r>
      <w:r w:rsidRPr="00CE0885">
        <w:rPr>
          <w:spacing w:val="-1"/>
          <w:lang w:eastAsia="en-GB"/>
        </w:rPr>
        <w:t>g</w:t>
      </w:r>
      <w:r w:rsidRPr="00CE0885">
        <w:rPr>
          <w:lang w:eastAsia="en-GB"/>
        </w:rPr>
        <w:t>iste</w:t>
      </w:r>
      <w:r w:rsidRPr="00CE0885">
        <w:rPr>
          <w:spacing w:val="-1"/>
          <w:lang w:eastAsia="en-GB"/>
        </w:rPr>
        <w:t>r</w:t>
      </w:r>
      <w:r w:rsidRPr="00CE0885">
        <w:rPr>
          <w:lang w:eastAsia="en-GB"/>
        </w:rPr>
        <w:t>, the</w:t>
      </w:r>
      <w:r w:rsidRPr="00CE0885">
        <w:rPr>
          <w:spacing w:val="-4"/>
          <w:lang w:eastAsia="en-GB"/>
        </w:rPr>
        <w:t xml:space="preserve"> </w:t>
      </w:r>
      <w:r w:rsidRPr="00CE0885">
        <w:rPr>
          <w:spacing w:val="3"/>
          <w:lang w:eastAsia="en-GB"/>
        </w:rPr>
        <w:t>f</w:t>
      </w:r>
      <w:r w:rsidRPr="00CE0885">
        <w:rPr>
          <w:spacing w:val="-3"/>
          <w:lang w:eastAsia="en-GB"/>
        </w:rPr>
        <w:t>i</w:t>
      </w:r>
      <w:r w:rsidRPr="00CE0885">
        <w:rPr>
          <w:lang w:eastAsia="en-GB"/>
        </w:rPr>
        <w:t>nancial</w:t>
      </w:r>
      <w:r w:rsidRPr="00CE0885">
        <w:rPr>
          <w:spacing w:val="-9"/>
          <w:lang w:eastAsia="en-GB"/>
        </w:rPr>
        <w:t xml:space="preserve"> </w:t>
      </w:r>
      <w:r w:rsidRPr="00CE0885">
        <w:rPr>
          <w:spacing w:val="-3"/>
          <w:lang w:eastAsia="en-GB"/>
        </w:rPr>
        <w:t>i</w:t>
      </w:r>
      <w:r w:rsidRPr="00CE0885">
        <w:rPr>
          <w:spacing w:val="2"/>
          <w:lang w:eastAsia="en-GB"/>
        </w:rPr>
        <w:t>m</w:t>
      </w:r>
      <w:r w:rsidRPr="00CE0885">
        <w:rPr>
          <w:lang w:eastAsia="en-GB"/>
        </w:rPr>
        <w:t>plicat</w:t>
      </w:r>
      <w:r w:rsidRPr="00CE0885">
        <w:rPr>
          <w:spacing w:val="-3"/>
          <w:lang w:eastAsia="en-GB"/>
        </w:rPr>
        <w:t>i</w:t>
      </w:r>
      <w:r w:rsidRPr="00CE0885">
        <w:rPr>
          <w:spacing w:val="-1"/>
          <w:lang w:eastAsia="en-GB"/>
        </w:rPr>
        <w:t>o</w:t>
      </w:r>
      <w:r w:rsidRPr="00CE0885">
        <w:rPr>
          <w:lang w:eastAsia="en-GB"/>
        </w:rPr>
        <w:t>ns</w:t>
      </w:r>
      <w:r w:rsidRPr="00CE0885">
        <w:rPr>
          <w:spacing w:val="-13"/>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bo</w:t>
      </w:r>
      <w:r w:rsidRPr="00CE0885">
        <w:rPr>
          <w:spacing w:val="-2"/>
          <w:lang w:eastAsia="en-GB"/>
        </w:rPr>
        <w:t>t</w:t>
      </w:r>
      <w:r w:rsidRPr="00CE0885">
        <w:rPr>
          <w:lang w:eastAsia="en-GB"/>
        </w:rPr>
        <w:t>h</w:t>
      </w:r>
      <w:r w:rsidRPr="00CE0885">
        <w:rPr>
          <w:spacing w:val="-3"/>
          <w:lang w:eastAsia="en-GB"/>
        </w:rPr>
        <w:t xml:space="preserve"> </w:t>
      </w:r>
      <w:r w:rsidRPr="00CE0885">
        <w:rPr>
          <w:spacing w:val="-1"/>
          <w:lang w:eastAsia="en-GB"/>
        </w:rPr>
        <w:t>a</w:t>
      </w:r>
      <w:r w:rsidRPr="00CE0885">
        <w:rPr>
          <w:lang w:eastAsia="en-GB"/>
        </w:rPr>
        <w:t>nd</w:t>
      </w:r>
      <w:r w:rsidRPr="00CE0885">
        <w:rPr>
          <w:spacing w:val="-5"/>
          <w:lang w:eastAsia="en-GB"/>
        </w:rPr>
        <w:t xml:space="preserve"> </w:t>
      </w:r>
      <w:r w:rsidRPr="00CE0885">
        <w:rPr>
          <w:lang w:eastAsia="en-GB"/>
        </w:rPr>
        <w:t>any</w:t>
      </w:r>
      <w:r w:rsidRPr="00CE0885">
        <w:rPr>
          <w:spacing w:val="-6"/>
          <w:lang w:eastAsia="en-GB"/>
        </w:rPr>
        <w:t xml:space="preserve"> </w:t>
      </w:r>
      <w:r w:rsidRPr="00CE0885">
        <w:rPr>
          <w:lang w:eastAsia="en-GB"/>
        </w:rPr>
        <w:t>po</w:t>
      </w:r>
      <w:r w:rsidRPr="00CE0885">
        <w:rPr>
          <w:spacing w:val="-2"/>
          <w:lang w:eastAsia="en-GB"/>
        </w:rPr>
        <w:t>s</w:t>
      </w:r>
      <w:r w:rsidRPr="00CE0885">
        <w:rPr>
          <w:lang w:eastAsia="en-GB"/>
        </w:rPr>
        <w:t>sible</w:t>
      </w:r>
      <w:r w:rsidRPr="00CE0885">
        <w:rPr>
          <w:spacing w:val="-7"/>
          <w:lang w:eastAsia="en-GB"/>
        </w:rPr>
        <w:t xml:space="preserve"> </w:t>
      </w:r>
      <w:r w:rsidRPr="00CE0885">
        <w:rPr>
          <w:lang w:eastAsia="en-GB"/>
        </w:rPr>
        <w:t>alte</w:t>
      </w:r>
      <w:r w:rsidRPr="00CE0885">
        <w:rPr>
          <w:spacing w:val="-1"/>
          <w:lang w:eastAsia="en-GB"/>
        </w:rPr>
        <w:t>rn</w:t>
      </w:r>
      <w:r w:rsidRPr="00CE0885">
        <w:rPr>
          <w:lang w:eastAsia="en-GB"/>
        </w:rPr>
        <w:t>ati</w:t>
      </w:r>
      <w:r w:rsidRPr="00CE0885">
        <w:rPr>
          <w:spacing w:val="-2"/>
          <w:lang w:eastAsia="en-GB"/>
        </w:rPr>
        <w:t>v</w:t>
      </w:r>
      <w:r w:rsidRPr="00CE0885">
        <w:rPr>
          <w:lang w:eastAsia="en-GB"/>
        </w:rPr>
        <w:t>e actions</w:t>
      </w:r>
      <w:r w:rsidRPr="00CE0885">
        <w:rPr>
          <w:spacing w:val="-10"/>
          <w:lang w:eastAsia="en-GB"/>
        </w:rPr>
        <w:t xml:space="preserve"> </w:t>
      </w:r>
      <w:r w:rsidRPr="00CE0885">
        <w:rPr>
          <w:lang w:eastAsia="en-GB"/>
        </w:rPr>
        <w:t>th</w:t>
      </w:r>
      <w:r w:rsidRPr="00CE0885">
        <w:rPr>
          <w:spacing w:val="-1"/>
          <w:lang w:eastAsia="en-GB"/>
        </w:rPr>
        <w:t>a</w:t>
      </w:r>
      <w:r w:rsidRPr="00CE0885">
        <w:rPr>
          <w:lang w:eastAsia="en-GB"/>
        </w:rPr>
        <w:t>t</w:t>
      </w:r>
      <w:r w:rsidRPr="00CE0885">
        <w:rPr>
          <w:spacing w:val="-3"/>
          <w:lang w:eastAsia="en-GB"/>
        </w:rPr>
        <w:t xml:space="preserve"> </w:t>
      </w:r>
      <w:r w:rsidRPr="00CE0885">
        <w:rPr>
          <w:spacing w:val="-1"/>
          <w:lang w:eastAsia="en-GB"/>
        </w:rPr>
        <w:t>m</w:t>
      </w:r>
      <w:r w:rsidRPr="00CE0885">
        <w:rPr>
          <w:lang w:eastAsia="en-GB"/>
        </w:rPr>
        <w:t>ay</w:t>
      </w:r>
      <w:r w:rsidRPr="00CE0885">
        <w:rPr>
          <w:spacing w:val="-7"/>
          <w:lang w:eastAsia="en-GB"/>
        </w:rPr>
        <w:t xml:space="preserve"> </w:t>
      </w:r>
      <w:r w:rsidRPr="00CE0885">
        <w:rPr>
          <w:lang w:eastAsia="en-GB"/>
        </w:rPr>
        <w:t>be</w:t>
      </w:r>
      <w:r w:rsidRPr="00CE0885">
        <w:rPr>
          <w:spacing w:val="-1"/>
          <w:lang w:eastAsia="en-GB"/>
        </w:rPr>
        <w:t xml:space="preserve"> </w:t>
      </w:r>
      <w:r w:rsidRPr="00CE0885">
        <w:rPr>
          <w:spacing w:val="-2"/>
          <w:lang w:eastAsia="en-GB"/>
        </w:rPr>
        <w:t>t</w:t>
      </w:r>
      <w:r w:rsidRPr="00CE0885">
        <w:rPr>
          <w:spacing w:val="-1"/>
          <w:lang w:eastAsia="en-GB"/>
        </w:rPr>
        <w:t>a</w:t>
      </w:r>
      <w:r w:rsidRPr="00CE0885">
        <w:rPr>
          <w:lang w:eastAsia="en-GB"/>
        </w:rPr>
        <w:t>ken</w:t>
      </w:r>
      <w:r w:rsidRPr="00CE0885">
        <w:rPr>
          <w:spacing w:val="-4"/>
          <w:lang w:eastAsia="en-GB"/>
        </w:rPr>
        <w:t xml:space="preserve"> </w:t>
      </w:r>
      <w:r w:rsidRPr="00CE0885">
        <w:rPr>
          <w:lang w:eastAsia="en-GB"/>
        </w:rPr>
        <w:t>by</w:t>
      </w:r>
      <w:r w:rsidRPr="00CE0885">
        <w:rPr>
          <w:spacing w:val="-5"/>
          <w:lang w:eastAsia="en-GB"/>
        </w:rPr>
        <w:t xml:space="preserve"> </w:t>
      </w:r>
      <w:r w:rsidRPr="00CE0885">
        <w:rPr>
          <w:lang w:eastAsia="en-GB"/>
        </w:rPr>
        <w:t>eit</w:t>
      </w:r>
      <w:r w:rsidRPr="00CE0885">
        <w:rPr>
          <w:spacing w:val="-1"/>
          <w:lang w:eastAsia="en-GB"/>
        </w:rPr>
        <w:t>h</w:t>
      </w:r>
      <w:r w:rsidRPr="00CE0885">
        <w:rPr>
          <w:lang w:eastAsia="en-GB"/>
        </w:rPr>
        <w:t>er</w:t>
      </w:r>
      <w:r w:rsidRPr="00CE0885">
        <w:rPr>
          <w:spacing w:val="-6"/>
          <w:lang w:eastAsia="en-GB"/>
        </w:rPr>
        <w:t xml:space="preserve"> </w:t>
      </w:r>
      <w:r w:rsidRPr="00CE0885">
        <w:rPr>
          <w:lang w:eastAsia="en-GB"/>
        </w:rPr>
        <w:t>pa</w:t>
      </w:r>
      <w:r w:rsidRPr="00CE0885">
        <w:rPr>
          <w:spacing w:val="-1"/>
          <w:lang w:eastAsia="en-GB"/>
        </w:rPr>
        <w:t>r</w:t>
      </w:r>
      <w:r w:rsidRPr="00CE0885">
        <w:rPr>
          <w:lang w:eastAsia="en-GB"/>
        </w:rPr>
        <w:t>ty</w:t>
      </w:r>
      <w:r w:rsidRPr="00CE0885">
        <w:rPr>
          <w:spacing w:val="-7"/>
          <w:lang w:eastAsia="en-GB"/>
        </w:rPr>
        <w:t xml:space="preserve"> </w:t>
      </w:r>
      <w:r w:rsidRPr="00CE0885">
        <w:rPr>
          <w:lang w:eastAsia="en-GB"/>
        </w:rPr>
        <w:t>to</w:t>
      </w:r>
      <w:r w:rsidRPr="00CE0885">
        <w:rPr>
          <w:spacing w:val="-3"/>
          <w:lang w:eastAsia="en-GB"/>
        </w:rPr>
        <w:t xml:space="preserve"> </w:t>
      </w:r>
      <w:r w:rsidRPr="00CE0885">
        <w:rPr>
          <w:spacing w:val="-1"/>
          <w:lang w:eastAsia="en-GB"/>
        </w:rPr>
        <w:t>e</w:t>
      </w:r>
      <w:r w:rsidRPr="00CE0885">
        <w:rPr>
          <w:lang w:eastAsia="en-GB"/>
        </w:rPr>
        <w:t>nable</w:t>
      </w:r>
      <w:r w:rsidRPr="00CE0885">
        <w:rPr>
          <w:spacing w:val="-8"/>
          <w:lang w:eastAsia="en-GB"/>
        </w:rPr>
        <w:t xml:space="preserve"> </w:t>
      </w:r>
      <w:r w:rsidRPr="00CE0885">
        <w:rPr>
          <w:lang w:eastAsia="en-GB"/>
        </w:rPr>
        <w:t>the</w:t>
      </w:r>
      <w:r w:rsidRPr="00CE0885">
        <w:rPr>
          <w:spacing w:val="-4"/>
          <w:lang w:eastAsia="en-GB"/>
        </w:rPr>
        <w:t xml:space="preserve"> </w:t>
      </w:r>
      <w:r w:rsidRPr="00CE0885">
        <w:rPr>
          <w:lang w:eastAsia="en-GB"/>
        </w:rPr>
        <w:t>p</w:t>
      </w:r>
      <w:r w:rsidRPr="00CE0885">
        <w:rPr>
          <w:spacing w:val="-1"/>
          <w:lang w:eastAsia="en-GB"/>
        </w:rPr>
        <w:t>r</w:t>
      </w:r>
      <w:r w:rsidRPr="00CE0885">
        <w:rPr>
          <w:lang w:eastAsia="en-GB"/>
        </w:rPr>
        <w:t>acti</w:t>
      </w:r>
      <w:r w:rsidRPr="00CE0885">
        <w:rPr>
          <w:spacing w:val="-2"/>
          <w:lang w:eastAsia="en-GB"/>
        </w:rPr>
        <w:t>c</w:t>
      </w:r>
      <w:r w:rsidRPr="00CE0885">
        <w:rPr>
          <w:lang w:eastAsia="en-GB"/>
        </w:rPr>
        <w:t>e</w:t>
      </w:r>
      <w:r w:rsidRPr="00CE0885">
        <w:rPr>
          <w:spacing w:val="-6"/>
          <w:lang w:eastAsia="en-GB"/>
        </w:rPr>
        <w:t xml:space="preserve"> </w:t>
      </w:r>
      <w:r w:rsidRPr="00CE0885">
        <w:rPr>
          <w:lang w:eastAsia="en-GB"/>
        </w:rPr>
        <w:t xml:space="preserve">to </w:t>
      </w:r>
      <w:r w:rsidRPr="00CE0885">
        <w:rPr>
          <w:spacing w:val="2"/>
          <w:lang w:eastAsia="en-GB"/>
        </w:rPr>
        <w:t>m</w:t>
      </w:r>
      <w:r w:rsidRPr="00CE0885">
        <w:rPr>
          <w:lang w:eastAsia="en-GB"/>
        </w:rPr>
        <w:t>ain</w:t>
      </w:r>
      <w:r w:rsidRPr="00CE0885">
        <w:rPr>
          <w:spacing w:val="-2"/>
          <w:lang w:eastAsia="en-GB"/>
        </w:rPr>
        <w:t>t</w:t>
      </w:r>
      <w:r w:rsidRPr="00CE0885">
        <w:rPr>
          <w:lang w:eastAsia="en-GB"/>
        </w:rPr>
        <w:t>ain</w:t>
      </w:r>
      <w:r w:rsidRPr="00CE0885">
        <w:rPr>
          <w:spacing w:val="-7"/>
          <w:lang w:eastAsia="en-GB"/>
        </w:rPr>
        <w:t xml:space="preserve"> </w:t>
      </w:r>
      <w:r w:rsidRPr="00CE0885">
        <w:rPr>
          <w:lang w:eastAsia="en-GB"/>
        </w:rPr>
        <w:t>its</w:t>
      </w:r>
      <w:r w:rsidRPr="00CE0885">
        <w:rPr>
          <w:spacing w:val="-4"/>
          <w:lang w:eastAsia="en-GB"/>
        </w:rPr>
        <w:t xml:space="preserve"> </w:t>
      </w:r>
      <w:r w:rsidRPr="00CE0885">
        <w:rPr>
          <w:lang w:eastAsia="en-GB"/>
        </w:rPr>
        <w:t>e</w:t>
      </w:r>
      <w:r w:rsidRPr="00CE0885">
        <w:rPr>
          <w:spacing w:val="-2"/>
          <w:lang w:eastAsia="en-GB"/>
        </w:rPr>
        <w:t>x</w:t>
      </w:r>
      <w:r w:rsidRPr="00CE0885">
        <w:rPr>
          <w:lang w:eastAsia="en-GB"/>
        </w:rPr>
        <w:t>isting</w:t>
      </w:r>
      <w:r w:rsidRPr="00CE0885">
        <w:rPr>
          <w:spacing w:val="-9"/>
          <w:lang w:eastAsia="en-GB"/>
        </w:rPr>
        <w:t xml:space="preserve"> </w:t>
      </w:r>
      <w:r w:rsidRPr="00CE0885">
        <w:rPr>
          <w:lang w:eastAsia="en-GB"/>
        </w:rPr>
        <w:t>p</w:t>
      </w:r>
      <w:r w:rsidRPr="00CE0885">
        <w:rPr>
          <w:spacing w:val="-1"/>
          <w:lang w:eastAsia="en-GB"/>
        </w:rPr>
        <w:t>r</w:t>
      </w:r>
      <w:r w:rsidRPr="00CE0885">
        <w:rPr>
          <w:lang w:eastAsia="en-GB"/>
        </w:rPr>
        <w:t>actice</w:t>
      </w:r>
      <w:r w:rsidRPr="00CE0885">
        <w:rPr>
          <w:spacing w:val="-6"/>
          <w:lang w:eastAsia="en-GB"/>
        </w:rPr>
        <w:t xml:space="preserve"> </w:t>
      </w:r>
      <w:r w:rsidRPr="00CE0885">
        <w:rPr>
          <w:lang w:eastAsia="en-GB"/>
        </w:rPr>
        <w:t>a</w:t>
      </w:r>
      <w:r w:rsidRPr="00CE0885">
        <w:rPr>
          <w:spacing w:val="-1"/>
          <w:lang w:eastAsia="en-GB"/>
        </w:rPr>
        <w:t>re</w:t>
      </w:r>
      <w:r w:rsidRPr="00CE0885">
        <w:rPr>
          <w:lang w:eastAsia="en-GB"/>
        </w:rPr>
        <w:t>a.</w:t>
      </w:r>
      <w:bookmarkEnd w:id="772"/>
    </w:p>
    <w:p w14:paraId="51B82B8A" w14:textId="77777777" w:rsidR="00977693" w:rsidRPr="00CE0885" w:rsidRDefault="00977693" w:rsidP="00980A75">
      <w:pPr>
        <w:pStyle w:val="Heading3"/>
        <w:rPr>
          <w:lang w:eastAsia="en-GB"/>
        </w:rPr>
      </w:pPr>
      <w:bookmarkStart w:id="773" w:name="_Toc440981934"/>
      <w:r w:rsidRPr="00CE0885">
        <w:rPr>
          <w:lang w:eastAsia="en-GB"/>
        </w:rPr>
        <w:t>Commissioners</w:t>
      </w:r>
      <w:r w:rsidRPr="00CE0885">
        <w:rPr>
          <w:spacing w:val="-6"/>
          <w:lang w:eastAsia="en-GB"/>
        </w:rPr>
        <w:t xml:space="preserve"> </w:t>
      </w:r>
      <w:r w:rsidRPr="00CE0885">
        <w:rPr>
          <w:spacing w:val="2"/>
          <w:lang w:eastAsia="en-GB"/>
        </w:rPr>
        <w:t>m</w:t>
      </w:r>
      <w:r w:rsidRPr="00CE0885">
        <w:rPr>
          <w:lang w:eastAsia="en-GB"/>
        </w:rPr>
        <w:t>u</w:t>
      </w:r>
      <w:r w:rsidRPr="00CE0885">
        <w:rPr>
          <w:spacing w:val="-2"/>
          <w:lang w:eastAsia="en-GB"/>
        </w:rPr>
        <w:t>s</w:t>
      </w:r>
      <w:r w:rsidRPr="00CE0885">
        <w:rPr>
          <w:lang w:eastAsia="en-GB"/>
        </w:rPr>
        <w:t>t</w:t>
      </w:r>
      <w:r w:rsidRPr="00CE0885">
        <w:rPr>
          <w:spacing w:val="-4"/>
          <w:lang w:eastAsia="en-GB"/>
        </w:rPr>
        <w:t xml:space="preserve"> </w:t>
      </w:r>
      <w:r w:rsidRPr="00CE0885">
        <w:rPr>
          <w:lang w:eastAsia="en-GB"/>
        </w:rPr>
        <w:t>c</w:t>
      </w:r>
      <w:r w:rsidRPr="00CE0885">
        <w:rPr>
          <w:spacing w:val="-1"/>
          <w:lang w:eastAsia="en-GB"/>
        </w:rPr>
        <w:t>o</w:t>
      </w:r>
      <w:r w:rsidRPr="00CE0885">
        <w:rPr>
          <w:lang w:eastAsia="en-GB"/>
        </w:rPr>
        <w:t>nsider</w:t>
      </w:r>
      <w:r w:rsidRPr="00CE0885">
        <w:rPr>
          <w:spacing w:val="-9"/>
          <w:lang w:eastAsia="en-GB"/>
        </w:rPr>
        <w:t xml:space="preserve"> </w:t>
      </w:r>
      <w:r w:rsidRPr="00CE0885">
        <w:rPr>
          <w:spacing w:val="-2"/>
          <w:lang w:eastAsia="en-GB"/>
        </w:rPr>
        <w:t>t</w:t>
      </w:r>
      <w:r w:rsidRPr="00CE0885">
        <w:rPr>
          <w:lang w:eastAsia="en-GB"/>
        </w:rPr>
        <w:t>he</w:t>
      </w:r>
      <w:r w:rsidRPr="00CE0885">
        <w:rPr>
          <w:spacing w:val="-4"/>
          <w:lang w:eastAsia="en-GB"/>
        </w:rPr>
        <w:t xml:space="preserve"> </w:t>
      </w:r>
      <w:r w:rsidRPr="00CE0885">
        <w:rPr>
          <w:lang w:eastAsia="en-GB"/>
        </w:rPr>
        <w:t>applicati</w:t>
      </w:r>
      <w:r w:rsidRPr="00CE0885">
        <w:rPr>
          <w:spacing w:val="-1"/>
          <w:lang w:eastAsia="en-GB"/>
        </w:rPr>
        <w:t>o</w:t>
      </w:r>
      <w:r w:rsidRPr="00CE0885">
        <w:rPr>
          <w:lang w:eastAsia="en-GB"/>
        </w:rPr>
        <w:t>n</w:t>
      </w:r>
      <w:r w:rsidRPr="00CE0885">
        <w:rPr>
          <w:spacing w:val="-9"/>
          <w:lang w:eastAsia="en-GB"/>
        </w:rPr>
        <w:t xml:space="preserve"> </w:t>
      </w:r>
      <w:r w:rsidRPr="00CE0885">
        <w:rPr>
          <w:spacing w:val="-1"/>
          <w:lang w:eastAsia="en-GB"/>
        </w:rPr>
        <w:t>h</w:t>
      </w:r>
      <w:r w:rsidRPr="00CE0885">
        <w:rPr>
          <w:lang w:eastAsia="en-GB"/>
        </w:rPr>
        <w:t>a</w:t>
      </w:r>
      <w:r w:rsidRPr="00CE0885">
        <w:rPr>
          <w:spacing w:val="-2"/>
          <w:lang w:eastAsia="en-GB"/>
        </w:rPr>
        <w:t>v</w:t>
      </w:r>
      <w:r w:rsidRPr="00CE0885">
        <w:rPr>
          <w:lang w:eastAsia="en-GB"/>
        </w:rPr>
        <w:t>ing</w:t>
      </w:r>
      <w:r w:rsidRPr="00CE0885">
        <w:rPr>
          <w:spacing w:val="-8"/>
          <w:lang w:eastAsia="en-GB"/>
        </w:rPr>
        <w:t xml:space="preserve"> </w:t>
      </w:r>
      <w:r w:rsidRPr="00CE0885">
        <w:rPr>
          <w:spacing w:val="-1"/>
          <w:lang w:eastAsia="en-GB"/>
        </w:rPr>
        <w:t>r</w:t>
      </w:r>
      <w:r w:rsidRPr="00CE0885">
        <w:rPr>
          <w:lang w:eastAsia="en-GB"/>
        </w:rPr>
        <w:t>ega</w:t>
      </w:r>
      <w:r w:rsidRPr="00CE0885">
        <w:rPr>
          <w:spacing w:val="-1"/>
          <w:lang w:eastAsia="en-GB"/>
        </w:rPr>
        <w:t>r</w:t>
      </w:r>
      <w:r w:rsidRPr="00CE0885">
        <w:rPr>
          <w:lang w:eastAsia="en-GB"/>
        </w:rPr>
        <w:t>d</w:t>
      </w:r>
      <w:r w:rsidRPr="00CE0885">
        <w:rPr>
          <w:spacing w:val="-5"/>
          <w:lang w:eastAsia="en-GB"/>
        </w:rPr>
        <w:t xml:space="preserve"> </w:t>
      </w:r>
      <w:r w:rsidRPr="00CE0885">
        <w:rPr>
          <w:lang w:eastAsia="en-GB"/>
        </w:rPr>
        <w:t>to</w:t>
      </w:r>
      <w:r w:rsidRPr="00CE0885">
        <w:rPr>
          <w:spacing w:val="-3"/>
          <w:lang w:eastAsia="en-GB"/>
        </w:rPr>
        <w:t xml:space="preserve"> </w:t>
      </w:r>
      <w:r w:rsidRPr="00CE0885">
        <w:rPr>
          <w:lang w:eastAsia="en-GB"/>
        </w:rPr>
        <w:t>ot</w:t>
      </w:r>
      <w:r w:rsidRPr="00CE0885">
        <w:rPr>
          <w:spacing w:val="-1"/>
          <w:lang w:eastAsia="en-GB"/>
        </w:rPr>
        <w:t>h</w:t>
      </w:r>
      <w:r w:rsidRPr="00CE0885">
        <w:rPr>
          <w:lang w:eastAsia="en-GB"/>
        </w:rPr>
        <w:t>er</w:t>
      </w:r>
      <w:r w:rsidRPr="00CE0885">
        <w:rPr>
          <w:spacing w:val="-5"/>
          <w:lang w:eastAsia="en-GB"/>
        </w:rPr>
        <w:t xml:space="preserve"> </w:t>
      </w:r>
      <w:r w:rsidRPr="00CE0885">
        <w:rPr>
          <w:lang w:eastAsia="en-GB"/>
        </w:rPr>
        <w:t>p</w:t>
      </w:r>
      <w:r w:rsidRPr="00CE0885">
        <w:rPr>
          <w:spacing w:val="-1"/>
          <w:lang w:eastAsia="en-GB"/>
        </w:rPr>
        <w:t>r</w:t>
      </w:r>
      <w:r w:rsidRPr="00CE0885">
        <w:rPr>
          <w:lang w:eastAsia="en-GB"/>
        </w:rPr>
        <w:t>acti</w:t>
      </w:r>
      <w:r w:rsidRPr="00CE0885">
        <w:rPr>
          <w:spacing w:val="-2"/>
          <w:lang w:eastAsia="en-GB"/>
        </w:rPr>
        <w:t>c</w:t>
      </w:r>
      <w:r w:rsidRPr="00CE0885">
        <w:rPr>
          <w:lang w:eastAsia="en-GB"/>
        </w:rPr>
        <w:t>es’ bo</w:t>
      </w:r>
      <w:r w:rsidRPr="00CE0885">
        <w:rPr>
          <w:spacing w:val="-1"/>
          <w:lang w:eastAsia="en-GB"/>
        </w:rPr>
        <w:t>u</w:t>
      </w:r>
      <w:r w:rsidRPr="00CE0885">
        <w:rPr>
          <w:lang w:eastAsia="en-GB"/>
        </w:rPr>
        <w:t>nda</w:t>
      </w:r>
      <w:r w:rsidRPr="00CE0885">
        <w:rPr>
          <w:spacing w:val="-1"/>
          <w:lang w:eastAsia="en-GB"/>
        </w:rPr>
        <w:t>r</w:t>
      </w:r>
      <w:r w:rsidRPr="00CE0885">
        <w:rPr>
          <w:lang w:eastAsia="en-GB"/>
        </w:rPr>
        <w:t>ies,</w:t>
      </w:r>
      <w:r w:rsidRPr="00CE0885">
        <w:rPr>
          <w:spacing w:val="-14"/>
          <w:lang w:eastAsia="en-GB"/>
        </w:rPr>
        <w:t xml:space="preserve"> </w:t>
      </w:r>
      <w:r w:rsidRPr="00CE0885">
        <w:rPr>
          <w:lang w:eastAsia="en-GB"/>
        </w:rPr>
        <w:t>p</w:t>
      </w:r>
      <w:r w:rsidRPr="00CE0885">
        <w:rPr>
          <w:spacing w:val="-1"/>
          <w:lang w:eastAsia="en-GB"/>
        </w:rPr>
        <w:t>a</w:t>
      </w:r>
      <w:r w:rsidRPr="00CE0885">
        <w:rPr>
          <w:lang w:eastAsia="en-GB"/>
        </w:rPr>
        <w:t>tient</w:t>
      </w:r>
      <w:r w:rsidRPr="00CE0885">
        <w:rPr>
          <w:spacing w:val="-8"/>
          <w:lang w:eastAsia="en-GB"/>
        </w:rPr>
        <w:t xml:space="preserve"> </w:t>
      </w:r>
      <w:r w:rsidRPr="00CE0885">
        <w:rPr>
          <w:lang w:eastAsia="en-GB"/>
        </w:rPr>
        <w:t>a</w:t>
      </w:r>
      <w:r w:rsidRPr="00CE0885">
        <w:rPr>
          <w:spacing w:val="-2"/>
          <w:lang w:eastAsia="en-GB"/>
        </w:rPr>
        <w:t>c</w:t>
      </w:r>
      <w:r w:rsidRPr="00CE0885">
        <w:rPr>
          <w:lang w:eastAsia="en-GB"/>
        </w:rPr>
        <w:t>cess</w:t>
      </w:r>
      <w:r w:rsidRPr="00CE0885">
        <w:rPr>
          <w:spacing w:val="-7"/>
          <w:lang w:eastAsia="en-GB"/>
        </w:rPr>
        <w:t xml:space="preserve"> </w:t>
      </w:r>
      <w:r w:rsidRPr="00CE0885">
        <w:rPr>
          <w:lang w:eastAsia="en-GB"/>
        </w:rPr>
        <w:t>to</w:t>
      </w:r>
      <w:r w:rsidRPr="00CE0885">
        <w:rPr>
          <w:spacing w:val="-3"/>
          <w:lang w:eastAsia="en-GB"/>
        </w:rPr>
        <w:t xml:space="preserve"> </w:t>
      </w:r>
      <w:r w:rsidRPr="00CE0885">
        <w:rPr>
          <w:lang w:eastAsia="en-GB"/>
        </w:rPr>
        <w:t>ot</w:t>
      </w:r>
      <w:r w:rsidRPr="00CE0885">
        <w:rPr>
          <w:spacing w:val="-1"/>
          <w:lang w:eastAsia="en-GB"/>
        </w:rPr>
        <w:t>h</w:t>
      </w:r>
      <w:r w:rsidRPr="00CE0885">
        <w:rPr>
          <w:lang w:eastAsia="en-GB"/>
        </w:rPr>
        <w:t>er</w:t>
      </w:r>
      <w:r w:rsidRPr="00CE0885">
        <w:rPr>
          <w:spacing w:val="-5"/>
          <w:lang w:eastAsia="en-GB"/>
        </w:rPr>
        <w:t xml:space="preserve"> </w:t>
      </w:r>
      <w:r w:rsidRPr="00CE0885">
        <w:rPr>
          <w:lang w:eastAsia="en-GB"/>
        </w:rPr>
        <w:t>local</w:t>
      </w:r>
      <w:r w:rsidRPr="00CE0885">
        <w:rPr>
          <w:spacing w:val="-5"/>
          <w:lang w:eastAsia="en-GB"/>
        </w:rPr>
        <w:t xml:space="preserve"> </w:t>
      </w:r>
      <w:r w:rsidRPr="00CE0885">
        <w:rPr>
          <w:spacing w:val="-2"/>
          <w:lang w:eastAsia="en-GB"/>
        </w:rPr>
        <w:t>s</w:t>
      </w:r>
      <w:r w:rsidRPr="00CE0885">
        <w:rPr>
          <w:lang w:eastAsia="en-GB"/>
        </w:rPr>
        <w:t>e</w:t>
      </w:r>
      <w:r w:rsidRPr="00CE0885">
        <w:rPr>
          <w:spacing w:val="-1"/>
          <w:lang w:eastAsia="en-GB"/>
        </w:rPr>
        <w:t>r</w:t>
      </w:r>
      <w:r w:rsidRPr="00CE0885">
        <w:rPr>
          <w:lang w:eastAsia="en-GB"/>
        </w:rPr>
        <w:t>vices</w:t>
      </w:r>
      <w:r w:rsidRPr="00CE0885">
        <w:rPr>
          <w:spacing w:val="-9"/>
          <w:lang w:eastAsia="en-GB"/>
        </w:rPr>
        <w:t xml:space="preserve"> </w:t>
      </w:r>
      <w:r w:rsidRPr="00CE0885">
        <w:rPr>
          <w:lang w:eastAsia="en-GB"/>
        </w:rPr>
        <w:t>a</w:t>
      </w:r>
      <w:r w:rsidRPr="00CE0885">
        <w:rPr>
          <w:spacing w:val="-1"/>
          <w:lang w:eastAsia="en-GB"/>
        </w:rPr>
        <w:t>n</w:t>
      </w:r>
      <w:r w:rsidRPr="00CE0885">
        <w:rPr>
          <w:lang w:eastAsia="en-GB"/>
        </w:rPr>
        <w:t>d</w:t>
      </w:r>
      <w:r w:rsidRPr="00CE0885">
        <w:rPr>
          <w:spacing w:val="-2"/>
          <w:lang w:eastAsia="en-GB"/>
        </w:rPr>
        <w:t xml:space="preserve"> </w:t>
      </w:r>
      <w:r w:rsidRPr="00CE0885">
        <w:rPr>
          <w:lang w:eastAsia="en-GB"/>
        </w:rPr>
        <w:t xml:space="preserve">in </w:t>
      </w:r>
      <w:r w:rsidRPr="00CE0885">
        <w:rPr>
          <w:spacing w:val="-1"/>
          <w:lang w:eastAsia="en-GB"/>
        </w:rPr>
        <w:t>g</w:t>
      </w:r>
      <w:r w:rsidRPr="00CE0885">
        <w:rPr>
          <w:lang w:eastAsia="en-GB"/>
        </w:rPr>
        <w:t>e</w:t>
      </w:r>
      <w:r w:rsidRPr="00CE0885">
        <w:rPr>
          <w:spacing w:val="-1"/>
          <w:lang w:eastAsia="en-GB"/>
        </w:rPr>
        <w:t>n</w:t>
      </w:r>
      <w:r w:rsidRPr="00CE0885">
        <w:rPr>
          <w:lang w:eastAsia="en-GB"/>
        </w:rPr>
        <w:t>e</w:t>
      </w:r>
      <w:r w:rsidRPr="00CE0885">
        <w:rPr>
          <w:spacing w:val="-1"/>
          <w:lang w:eastAsia="en-GB"/>
        </w:rPr>
        <w:t>r</w:t>
      </w:r>
      <w:r w:rsidRPr="00CE0885">
        <w:rPr>
          <w:lang w:eastAsia="en-GB"/>
        </w:rPr>
        <w:t>al other</w:t>
      </w:r>
      <w:r w:rsidRPr="00CE0885">
        <w:rPr>
          <w:spacing w:val="-8"/>
          <w:lang w:eastAsia="en-GB"/>
        </w:rPr>
        <w:t xml:space="preserve"> </w:t>
      </w:r>
      <w:r w:rsidRPr="00CE0885">
        <w:rPr>
          <w:lang w:eastAsia="en-GB"/>
        </w:rPr>
        <w:t>heal</w:t>
      </w:r>
      <w:r w:rsidRPr="00CE0885">
        <w:rPr>
          <w:spacing w:val="-2"/>
          <w:lang w:eastAsia="en-GB"/>
        </w:rPr>
        <w:t>t</w:t>
      </w:r>
      <w:r w:rsidRPr="00CE0885">
        <w:rPr>
          <w:lang w:eastAsia="en-GB"/>
        </w:rPr>
        <w:t>h</w:t>
      </w:r>
      <w:r w:rsidRPr="00CE0885">
        <w:rPr>
          <w:spacing w:val="-5"/>
          <w:lang w:eastAsia="en-GB"/>
        </w:rPr>
        <w:t xml:space="preserve"> </w:t>
      </w:r>
      <w:r w:rsidRPr="00CE0885">
        <w:rPr>
          <w:lang w:eastAsia="en-GB"/>
        </w:rPr>
        <w:t>se</w:t>
      </w:r>
      <w:r w:rsidRPr="00CE0885">
        <w:rPr>
          <w:spacing w:val="-1"/>
          <w:lang w:eastAsia="en-GB"/>
        </w:rPr>
        <w:t>r</w:t>
      </w:r>
      <w:r w:rsidRPr="00CE0885">
        <w:rPr>
          <w:spacing w:val="-2"/>
          <w:lang w:eastAsia="en-GB"/>
        </w:rPr>
        <w:t>v</w:t>
      </w:r>
      <w:r w:rsidRPr="00CE0885">
        <w:rPr>
          <w:lang w:eastAsia="en-GB"/>
        </w:rPr>
        <w:t>ice</w:t>
      </w:r>
      <w:r w:rsidRPr="00CE0885">
        <w:rPr>
          <w:spacing w:val="-6"/>
          <w:lang w:eastAsia="en-GB"/>
        </w:rPr>
        <w:t xml:space="preserve"> </w:t>
      </w:r>
      <w:r w:rsidRPr="00CE0885">
        <w:rPr>
          <w:lang w:eastAsia="en-GB"/>
        </w:rPr>
        <w:t>c</w:t>
      </w:r>
      <w:r w:rsidRPr="00CE0885">
        <w:rPr>
          <w:spacing w:val="-1"/>
          <w:lang w:eastAsia="en-GB"/>
        </w:rPr>
        <w:t>o</w:t>
      </w:r>
      <w:r w:rsidRPr="00CE0885">
        <w:rPr>
          <w:spacing w:val="-2"/>
          <w:lang w:eastAsia="en-GB"/>
        </w:rPr>
        <w:t>v</w:t>
      </w:r>
      <w:r w:rsidRPr="00CE0885">
        <w:rPr>
          <w:lang w:eastAsia="en-GB"/>
        </w:rPr>
        <w:t>e</w:t>
      </w:r>
      <w:r w:rsidRPr="00CE0885">
        <w:rPr>
          <w:spacing w:val="-1"/>
          <w:lang w:eastAsia="en-GB"/>
        </w:rPr>
        <w:t>r</w:t>
      </w:r>
      <w:r w:rsidRPr="00CE0885">
        <w:rPr>
          <w:lang w:eastAsia="en-GB"/>
        </w:rPr>
        <w:t>a</w:t>
      </w:r>
      <w:r w:rsidRPr="00CE0885">
        <w:rPr>
          <w:spacing w:val="-1"/>
          <w:lang w:eastAsia="en-GB"/>
        </w:rPr>
        <w:t>g</w:t>
      </w:r>
      <w:r w:rsidRPr="00CE0885">
        <w:rPr>
          <w:lang w:eastAsia="en-GB"/>
        </w:rPr>
        <w:t>e</w:t>
      </w:r>
      <w:r w:rsidRPr="00CE0885">
        <w:rPr>
          <w:spacing w:val="-6"/>
          <w:lang w:eastAsia="en-GB"/>
        </w:rPr>
        <w:t xml:space="preserve"> </w:t>
      </w:r>
      <w:r w:rsidRPr="00CE0885">
        <w:rPr>
          <w:spacing w:val="-3"/>
          <w:lang w:eastAsia="en-GB"/>
        </w:rPr>
        <w:t>w</w:t>
      </w:r>
      <w:r w:rsidRPr="00CE0885">
        <w:rPr>
          <w:lang w:eastAsia="en-GB"/>
        </w:rPr>
        <w:t>ithin</w:t>
      </w:r>
      <w:r w:rsidRPr="00CE0885">
        <w:rPr>
          <w:spacing w:val="-4"/>
          <w:lang w:eastAsia="en-GB"/>
        </w:rPr>
        <w:t xml:space="preserve"> </w:t>
      </w:r>
      <w:r w:rsidRPr="00CE0885">
        <w:rPr>
          <w:lang w:eastAsia="en-GB"/>
        </w:rPr>
        <w:t>a locati</w:t>
      </w:r>
      <w:r w:rsidRPr="00CE0885">
        <w:rPr>
          <w:spacing w:val="-1"/>
          <w:lang w:eastAsia="en-GB"/>
        </w:rPr>
        <w:t>o</w:t>
      </w:r>
      <w:r w:rsidRPr="00CE0885">
        <w:rPr>
          <w:lang w:eastAsia="en-GB"/>
        </w:rPr>
        <w:t>n</w:t>
      </w:r>
      <w:r w:rsidRPr="00CE0885">
        <w:rPr>
          <w:spacing w:val="-6"/>
          <w:lang w:eastAsia="en-GB"/>
        </w:rPr>
        <w:t xml:space="preserve"> </w:t>
      </w:r>
      <w:r w:rsidRPr="00CE0885">
        <w:rPr>
          <w:lang w:eastAsia="en-GB"/>
        </w:rPr>
        <w:t>a</w:t>
      </w:r>
      <w:r w:rsidRPr="00CE0885">
        <w:rPr>
          <w:spacing w:val="-1"/>
          <w:lang w:eastAsia="en-GB"/>
        </w:rPr>
        <w:t>n</w:t>
      </w:r>
      <w:r w:rsidRPr="00CE0885">
        <w:rPr>
          <w:lang w:eastAsia="en-GB"/>
        </w:rPr>
        <w:t>d</w:t>
      </w:r>
      <w:r w:rsidRPr="00CE0885">
        <w:rPr>
          <w:spacing w:val="-5"/>
          <w:lang w:eastAsia="en-GB"/>
        </w:rPr>
        <w:t xml:space="preserve"> </w:t>
      </w:r>
      <w:r w:rsidRPr="00CE0885">
        <w:rPr>
          <w:spacing w:val="2"/>
          <w:lang w:eastAsia="en-GB"/>
        </w:rPr>
        <w:t>m</w:t>
      </w:r>
      <w:r w:rsidRPr="00CE0885">
        <w:rPr>
          <w:lang w:eastAsia="en-GB"/>
        </w:rPr>
        <w:t>ay</w:t>
      </w:r>
      <w:r w:rsidRPr="00CE0885">
        <w:rPr>
          <w:spacing w:val="-7"/>
          <w:lang w:eastAsia="en-GB"/>
        </w:rPr>
        <w:t xml:space="preserve"> </w:t>
      </w:r>
      <w:r w:rsidRPr="00CE0885">
        <w:rPr>
          <w:lang w:eastAsia="en-GB"/>
        </w:rPr>
        <w:t>seek</w:t>
      </w:r>
      <w:r w:rsidRPr="00CE0885">
        <w:rPr>
          <w:spacing w:val="-5"/>
          <w:lang w:eastAsia="en-GB"/>
        </w:rPr>
        <w:t xml:space="preserve"> </w:t>
      </w:r>
      <w:r w:rsidRPr="00CE0885">
        <w:rPr>
          <w:spacing w:val="-2"/>
          <w:lang w:eastAsia="en-GB"/>
        </w:rPr>
        <w:t>t</w:t>
      </w:r>
      <w:r w:rsidRPr="00CE0885">
        <w:rPr>
          <w:lang w:eastAsia="en-GB"/>
        </w:rPr>
        <w:t xml:space="preserve">o involve the </w:t>
      </w:r>
      <w:r w:rsidRPr="00CE0885">
        <w:rPr>
          <w:spacing w:val="-1"/>
          <w:lang w:eastAsia="en-GB"/>
        </w:rPr>
        <w:t>p</w:t>
      </w:r>
      <w:r w:rsidRPr="00CE0885">
        <w:rPr>
          <w:lang w:eastAsia="en-GB"/>
        </w:rPr>
        <w:t>ublic</w:t>
      </w:r>
      <w:r w:rsidRPr="00CE0885">
        <w:rPr>
          <w:spacing w:val="-6"/>
          <w:lang w:eastAsia="en-GB"/>
        </w:rPr>
        <w:t xml:space="preserve"> </w:t>
      </w:r>
      <w:r w:rsidRPr="00CE0885">
        <w:rPr>
          <w:lang w:eastAsia="en-GB"/>
        </w:rPr>
        <w:t>to</w:t>
      </w:r>
      <w:r w:rsidRPr="00CE0885">
        <w:rPr>
          <w:spacing w:val="-3"/>
          <w:lang w:eastAsia="en-GB"/>
        </w:rPr>
        <w:t xml:space="preserve"> </w:t>
      </w:r>
      <w:r w:rsidRPr="00CE0885">
        <w:rPr>
          <w:lang w:eastAsia="en-GB"/>
        </w:rPr>
        <w:t>seek</w:t>
      </w:r>
      <w:r w:rsidRPr="00CE0885">
        <w:rPr>
          <w:spacing w:val="-5"/>
          <w:lang w:eastAsia="en-GB"/>
        </w:rPr>
        <w:t xml:space="preserve"> </w:t>
      </w:r>
      <w:r w:rsidRPr="00CE0885">
        <w:rPr>
          <w:spacing w:val="-2"/>
          <w:lang w:eastAsia="en-GB"/>
        </w:rPr>
        <w:t>t</w:t>
      </w:r>
      <w:r w:rsidRPr="00CE0885">
        <w:rPr>
          <w:lang w:eastAsia="en-GB"/>
        </w:rPr>
        <w:t>heir</w:t>
      </w:r>
      <w:r w:rsidRPr="00CE0885">
        <w:rPr>
          <w:spacing w:val="-5"/>
          <w:lang w:eastAsia="en-GB"/>
        </w:rPr>
        <w:t xml:space="preserve"> </w:t>
      </w:r>
      <w:r w:rsidRPr="00CE0885">
        <w:rPr>
          <w:spacing w:val="-2"/>
          <w:lang w:eastAsia="en-GB"/>
        </w:rPr>
        <w:t>v</w:t>
      </w:r>
      <w:r w:rsidRPr="00CE0885">
        <w:rPr>
          <w:lang w:eastAsia="en-GB"/>
        </w:rPr>
        <w:t>ie</w:t>
      </w:r>
      <w:r w:rsidRPr="00CE0885">
        <w:rPr>
          <w:spacing w:val="-3"/>
          <w:lang w:eastAsia="en-GB"/>
        </w:rPr>
        <w:t>w</w:t>
      </w:r>
      <w:r w:rsidRPr="00CE0885">
        <w:rPr>
          <w:lang w:eastAsia="en-GB"/>
        </w:rPr>
        <w:t>s.</w:t>
      </w:r>
      <w:bookmarkEnd w:id="773"/>
    </w:p>
    <w:p w14:paraId="216B3E94" w14:textId="77777777" w:rsidR="00977693" w:rsidRPr="00CE0885" w:rsidRDefault="00977693" w:rsidP="00980A75">
      <w:pPr>
        <w:pStyle w:val="Heading3"/>
        <w:rPr>
          <w:lang w:eastAsia="en-GB"/>
        </w:rPr>
      </w:pPr>
      <w:bookmarkStart w:id="774" w:name="_Toc440981935"/>
      <w:r w:rsidRPr="00CE0885">
        <w:rPr>
          <w:spacing w:val="1"/>
          <w:lang w:eastAsia="en-GB"/>
        </w:rPr>
        <w:t>On</w:t>
      </w:r>
      <w:r w:rsidRPr="00CE0885">
        <w:rPr>
          <w:lang w:eastAsia="en-GB"/>
        </w:rPr>
        <w:t>ce</w:t>
      </w:r>
      <w:r w:rsidRPr="00CE0885">
        <w:rPr>
          <w:spacing w:val="-7"/>
          <w:lang w:eastAsia="en-GB"/>
        </w:rPr>
        <w:t xml:space="preserve"> </w:t>
      </w:r>
      <w:r w:rsidRPr="00CE0885">
        <w:rPr>
          <w:lang w:eastAsia="en-GB"/>
        </w:rPr>
        <w:t>a</w:t>
      </w:r>
      <w:r w:rsidRPr="00CE0885">
        <w:rPr>
          <w:spacing w:val="1"/>
          <w:lang w:eastAsia="en-GB"/>
        </w:rPr>
        <w:t xml:space="preserve"> </w:t>
      </w:r>
      <w:r w:rsidRPr="00CE0885">
        <w:rPr>
          <w:spacing w:val="-1"/>
          <w:lang w:eastAsia="en-GB"/>
        </w:rPr>
        <w:t>d</w:t>
      </w:r>
      <w:r w:rsidRPr="00CE0885">
        <w:rPr>
          <w:spacing w:val="1"/>
          <w:lang w:eastAsia="en-GB"/>
        </w:rPr>
        <w:t>e</w:t>
      </w:r>
      <w:r w:rsidRPr="00CE0885">
        <w:rPr>
          <w:lang w:eastAsia="en-GB"/>
        </w:rPr>
        <w:t>cisi</w:t>
      </w:r>
      <w:r w:rsidRPr="00CE0885">
        <w:rPr>
          <w:spacing w:val="1"/>
          <w:lang w:eastAsia="en-GB"/>
        </w:rPr>
        <w:t>o</w:t>
      </w:r>
      <w:r w:rsidRPr="00CE0885">
        <w:rPr>
          <w:lang w:eastAsia="en-GB"/>
        </w:rPr>
        <w:t>n</w:t>
      </w:r>
      <w:r w:rsidRPr="00CE0885">
        <w:rPr>
          <w:spacing w:val="-7"/>
          <w:lang w:eastAsia="en-GB"/>
        </w:rPr>
        <w:t xml:space="preserve"> </w:t>
      </w:r>
      <w:r w:rsidRPr="00CE0885">
        <w:rPr>
          <w:lang w:eastAsia="en-GB"/>
        </w:rPr>
        <w:t>is</w:t>
      </w:r>
      <w:r w:rsidRPr="00CE0885">
        <w:rPr>
          <w:spacing w:val="-2"/>
          <w:lang w:eastAsia="en-GB"/>
        </w:rPr>
        <w:t xml:space="preserve"> </w:t>
      </w:r>
      <w:r w:rsidRPr="00CE0885">
        <w:rPr>
          <w:spacing w:val="-1"/>
          <w:lang w:eastAsia="en-GB"/>
        </w:rPr>
        <w:t>rea</w:t>
      </w:r>
      <w:r w:rsidRPr="00CE0885">
        <w:rPr>
          <w:lang w:eastAsia="en-GB"/>
        </w:rPr>
        <w:t>c</w:t>
      </w:r>
      <w:r w:rsidRPr="00CE0885">
        <w:rPr>
          <w:spacing w:val="1"/>
          <w:lang w:eastAsia="en-GB"/>
        </w:rPr>
        <w:t>he</w:t>
      </w:r>
      <w:r w:rsidRPr="00CE0885">
        <w:rPr>
          <w:lang w:eastAsia="en-GB"/>
        </w:rPr>
        <w:t>d</w:t>
      </w:r>
      <w:r w:rsidRPr="00CE0885">
        <w:rPr>
          <w:spacing w:val="-10"/>
          <w:lang w:eastAsia="en-GB"/>
        </w:rPr>
        <w:t xml:space="preserve"> </w:t>
      </w:r>
      <w:r w:rsidRPr="00CE0885">
        <w:rPr>
          <w:spacing w:val="1"/>
          <w:lang w:eastAsia="en-GB"/>
        </w:rPr>
        <w:t>o</w:t>
      </w:r>
      <w:r w:rsidRPr="00CE0885">
        <w:rPr>
          <w:lang w:eastAsia="en-GB"/>
        </w:rPr>
        <w:t>n</w:t>
      </w:r>
      <w:r w:rsidRPr="00CE0885">
        <w:rPr>
          <w:spacing w:val="-1"/>
          <w:lang w:eastAsia="en-GB"/>
        </w:rPr>
        <w:t xml:space="preserve"> </w:t>
      </w:r>
      <w:r w:rsidRPr="00CE0885">
        <w:rPr>
          <w:spacing w:val="-3"/>
          <w:lang w:eastAsia="en-GB"/>
        </w:rPr>
        <w:t>w</w:t>
      </w:r>
      <w:r w:rsidRPr="00CE0885">
        <w:rPr>
          <w:spacing w:val="1"/>
          <w:lang w:eastAsia="en-GB"/>
        </w:rPr>
        <w:t>het</w:t>
      </w:r>
      <w:r w:rsidRPr="00CE0885">
        <w:rPr>
          <w:spacing w:val="-1"/>
          <w:lang w:eastAsia="en-GB"/>
        </w:rPr>
        <w:t>h</w:t>
      </w:r>
      <w:r w:rsidRPr="00CE0885">
        <w:rPr>
          <w:spacing w:val="1"/>
          <w:lang w:eastAsia="en-GB"/>
        </w:rPr>
        <w:t>e</w:t>
      </w:r>
      <w:r w:rsidRPr="00CE0885">
        <w:rPr>
          <w:lang w:eastAsia="en-GB"/>
        </w:rPr>
        <w:t>r</w:t>
      </w:r>
      <w:r w:rsidRPr="00CE0885">
        <w:rPr>
          <w:spacing w:val="-9"/>
          <w:lang w:eastAsia="en-GB"/>
        </w:rPr>
        <w:t xml:space="preserve"> </w:t>
      </w:r>
      <w:r w:rsidRPr="00CE0885">
        <w:rPr>
          <w:spacing w:val="1"/>
          <w:lang w:eastAsia="en-GB"/>
        </w:rPr>
        <w:t>t</w:t>
      </w:r>
      <w:r w:rsidRPr="00CE0885">
        <w:rPr>
          <w:lang w:eastAsia="en-GB"/>
        </w:rPr>
        <w:t>o</w:t>
      </w:r>
      <w:r w:rsidRPr="00CE0885">
        <w:rPr>
          <w:spacing w:val="-3"/>
          <w:lang w:eastAsia="en-GB"/>
        </w:rPr>
        <w:t xml:space="preserve"> </w:t>
      </w:r>
      <w:r w:rsidRPr="00CE0885">
        <w:rPr>
          <w:spacing w:val="1"/>
          <w:lang w:eastAsia="en-GB"/>
        </w:rPr>
        <w:t>a</w:t>
      </w:r>
      <w:r w:rsidRPr="00CE0885">
        <w:rPr>
          <w:spacing w:val="-2"/>
          <w:lang w:eastAsia="en-GB"/>
        </w:rPr>
        <w:t>c</w:t>
      </w:r>
      <w:r w:rsidRPr="00CE0885">
        <w:rPr>
          <w:lang w:eastAsia="en-GB"/>
        </w:rPr>
        <w:t>c</w:t>
      </w:r>
      <w:r w:rsidRPr="00CE0885">
        <w:rPr>
          <w:spacing w:val="1"/>
          <w:lang w:eastAsia="en-GB"/>
        </w:rPr>
        <w:t>ep</w:t>
      </w:r>
      <w:r w:rsidRPr="00CE0885">
        <w:rPr>
          <w:lang w:eastAsia="en-GB"/>
        </w:rPr>
        <w:t>t</w:t>
      </w:r>
      <w:r w:rsidRPr="00CE0885">
        <w:rPr>
          <w:spacing w:val="-8"/>
          <w:lang w:eastAsia="en-GB"/>
        </w:rPr>
        <w:t xml:space="preserve"> </w:t>
      </w:r>
      <w:r w:rsidRPr="00CE0885">
        <w:rPr>
          <w:spacing w:val="1"/>
          <w:lang w:eastAsia="en-GB"/>
        </w:rPr>
        <w:t>o</w:t>
      </w:r>
      <w:r w:rsidRPr="00CE0885">
        <w:rPr>
          <w:lang w:eastAsia="en-GB"/>
        </w:rPr>
        <w:t>r</w:t>
      </w:r>
      <w:r w:rsidRPr="00CE0885">
        <w:rPr>
          <w:spacing w:val="-2"/>
          <w:lang w:eastAsia="en-GB"/>
        </w:rPr>
        <w:t xml:space="preserve"> </w:t>
      </w:r>
      <w:r w:rsidRPr="00CE0885">
        <w:rPr>
          <w:spacing w:val="-1"/>
          <w:lang w:eastAsia="en-GB"/>
        </w:rPr>
        <w:t>r</w:t>
      </w:r>
      <w:r w:rsidRPr="00CE0885">
        <w:rPr>
          <w:spacing w:val="1"/>
          <w:lang w:eastAsia="en-GB"/>
        </w:rPr>
        <w:t>e</w:t>
      </w:r>
      <w:r w:rsidRPr="00CE0885">
        <w:rPr>
          <w:lang w:eastAsia="en-GB"/>
        </w:rPr>
        <w:t>j</w:t>
      </w:r>
      <w:r w:rsidRPr="00CE0885">
        <w:rPr>
          <w:spacing w:val="1"/>
          <w:lang w:eastAsia="en-GB"/>
        </w:rPr>
        <w:t>e</w:t>
      </w:r>
      <w:r w:rsidRPr="00CE0885">
        <w:rPr>
          <w:lang w:eastAsia="en-GB"/>
        </w:rPr>
        <w:t>ct</w:t>
      </w:r>
      <w:r w:rsidRPr="00CE0885">
        <w:rPr>
          <w:spacing w:val="-5"/>
          <w:lang w:eastAsia="en-GB"/>
        </w:rPr>
        <w:t xml:space="preserve"> </w:t>
      </w:r>
      <w:r w:rsidRPr="00CE0885">
        <w:rPr>
          <w:spacing w:val="-2"/>
          <w:lang w:eastAsia="en-GB"/>
        </w:rPr>
        <w:t>t</w:t>
      </w:r>
      <w:r w:rsidRPr="00CE0885">
        <w:rPr>
          <w:spacing w:val="1"/>
          <w:lang w:eastAsia="en-GB"/>
        </w:rPr>
        <w:t>h</w:t>
      </w:r>
      <w:r w:rsidRPr="00CE0885">
        <w:rPr>
          <w:lang w:eastAsia="en-GB"/>
        </w:rPr>
        <w:t xml:space="preserve">e </w:t>
      </w:r>
      <w:r w:rsidRPr="00CE0885">
        <w:rPr>
          <w:spacing w:val="1"/>
          <w:lang w:eastAsia="en-GB"/>
        </w:rPr>
        <w:t>app</w:t>
      </w:r>
      <w:r w:rsidRPr="00CE0885">
        <w:rPr>
          <w:lang w:eastAsia="en-GB"/>
        </w:rPr>
        <w:t>lic</w:t>
      </w:r>
      <w:r w:rsidRPr="00CE0885">
        <w:rPr>
          <w:spacing w:val="1"/>
          <w:lang w:eastAsia="en-GB"/>
        </w:rPr>
        <w:t>at</w:t>
      </w:r>
      <w:r w:rsidRPr="00CE0885">
        <w:rPr>
          <w:lang w:eastAsia="en-GB"/>
        </w:rPr>
        <w:t>i</w:t>
      </w:r>
      <w:r w:rsidRPr="00CE0885">
        <w:rPr>
          <w:spacing w:val="-1"/>
          <w:lang w:eastAsia="en-GB"/>
        </w:rPr>
        <w:t>o</w:t>
      </w:r>
      <w:r w:rsidRPr="00CE0885">
        <w:rPr>
          <w:spacing w:val="1"/>
          <w:lang w:eastAsia="en-GB"/>
        </w:rPr>
        <w:t>n</w:t>
      </w:r>
      <w:r w:rsidRPr="00CE0885">
        <w:rPr>
          <w:lang w:eastAsia="en-GB"/>
        </w:rPr>
        <w:t>,</w:t>
      </w:r>
      <w:r w:rsidRPr="00CE0885">
        <w:rPr>
          <w:spacing w:val="-11"/>
          <w:lang w:eastAsia="en-GB"/>
        </w:rPr>
        <w:t xml:space="preserve"> </w:t>
      </w:r>
      <w:r w:rsidRPr="00CE0885">
        <w:rPr>
          <w:spacing w:val="-2"/>
          <w:lang w:eastAsia="en-GB"/>
        </w:rPr>
        <w:t>t</w:t>
      </w:r>
      <w:r w:rsidRPr="00CE0885">
        <w:rPr>
          <w:spacing w:val="1"/>
          <w:lang w:eastAsia="en-GB"/>
        </w:rPr>
        <w:t>h</w:t>
      </w:r>
      <w:r w:rsidRPr="00CE0885">
        <w:rPr>
          <w:lang w:eastAsia="en-GB"/>
        </w:rPr>
        <w:t>e</w:t>
      </w:r>
      <w:r w:rsidRPr="00CE0885">
        <w:rPr>
          <w:spacing w:val="-4"/>
          <w:lang w:eastAsia="en-GB"/>
        </w:rPr>
        <w:t xml:space="preserve"> </w:t>
      </w:r>
      <w:r w:rsidRPr="00CE0885">
        <w:rPr>
          <w:spacing w:val="-2"/>
          <w:lang w:eastAsia="en-GB"/>
        </w:rPr>
        <w:t>Commissioner</w:t>
      </w:r>
      <w:r w:rsidRPr="00CE0885">
        <w:rPr>
          <w:lang w:eastAsia="en-GB"/>
        </w:rPr>
        <w:t xml:space="preserve"> s</w:t>
      </w:r>
      <w:r w:rsidRPr="00CE0885">
        <w:rPr>
          <w:spacing w:val="-1"/>
          <w:lang w:eastAsia="en-GB"/>
        </w:rPr>
        <w:t>ho</w:t>
      </w:r>
      <w:r w:rsidRPr="00CE0885">
        <w:rPr>
          <w:spacing w:val="1"/>
          <w:lang w:eastAsia="en-GB"/>
        </w:rPr>
        <w:t>u</w:t>
      </w:r>
      <w:r w:rsidRPr="00CE0885">
        <w:rPr>
          <w:lang w:eastAsia="en-GB"/>
        </w:rPr>
        <w:t>ld</w:t>
      </w:r>
      <w:r w:rsidRPr="00CE0885">
        <w:rPr>
          <w:spacing w:val="-5"/>
          <w:lang w:eastAsia="en-GB"/>
        </w:rPr>
        <w:t xml:space="preserve"> </w:t>
      </w:r>
      <w:r w:rsidRPr="00CE0885">
        <w:rPr>
          <w:spacing w:val="-1"/>
          <w:lang w:eastAsia="en-GB"/>
        </w:rPr>
        <w:t>n</w:t>
      </w:r>
      <w:r w:rsidRPr="00CE0885">
        <w:rPr>
          <w:spacing w:val="1"/>
          <w:lang w:eastAsia="en-GB"/>
        </w:rPr>
        <w:t>ot</w:t>
      </w:r>
      <w:r w:rsidRPr="00CE0885">
        <w:rPr>
          <w:spacing w:val="-3"/>
          <w:lang w:eastAsia="en-GB"/>
        </w:rPr>
        <w:t>i</w:t>
      </w:r>
      <w:r w:rsidRPr="00CE0885">
        <w:rPr>
          <w:spacing w:val="3"/>
          <w:lang w:eastAsia="en-GB"/>
        </w:rPr>
        <w:t>f</w:t>
      </w:r>
      <w:r w:rsidRPr="00CE0885">
        <w:rPr>
          <w:lang w:eastAsia="en-GB"/>
        </w:rPr>
        <w:t>y</w:t>
      </w:r>
      <w:r w:rsidRPr="00CE0885">
        <w:rPr>
          <w:spacing w:val="-8"/>
          <w:lang w:eastAsia="en-GB"/>
        </w:rPr>
        <w:t xml:space="preserve"> </w:t>
      </w:r>
      <w:r w:rsidRPr="00CE0885">
        <w:rPr>
          <w:spacing w:val="1"/>
          <w:lang w:eastAsia="en-GB"/>
        </w:rPr>
        <w:t>th</w:t>
      </w:r>
      <w:r w:rsidRPr="00CE0885">
        <w:rPr>
          <w:lang w:eastAsia="en-GB"/>
        </w:rPr>
        <w:t>e</w:t>
      </w:r>
      <w:r w:rsidRPr="00CE0885">
        <w:rPr>
          <w:spacing w:val="-1"/>
          <w:lang w:eastAsia="en-GB"/>
        </w:rPr>
        <w:t xml:space="preserve"> </w:t>
      </w:r>
      <w:r w:rsidRPr="00CE0885">
        <w:rPr>
          <w:spacing w:val="-2"/>
          <w:lang w:eastAsia="en-GB"/>
        </w:rPr>
        <w:t>c</w:t>
      </w:r>
      <w:r w:rsidRPr="00CE0885">
        <w:rPr>
          <w:spacing w:val="1"/>
          <w:lang w:eastAsia="en-GB"/>
        </w:rPr>
        <w:t>ont</w:t>
      </w:r>
      <w:r w:rsidRPr="00CE0885">
        <w:rPr>
          <w:spacing w:val="-1"/>
          <w:lang w:eastAsia="en-GB"/>
        </w:rPr>
        <w:t>r</w:t>
      </w:r>
      <w:r w:rsidRPr="00CE0885">
        <w:rPr>
          <w:spacing w:val="1"/>
          <w:lang w:eastAsia="en-GB"/>
        </w:rPr>
        <w:t>a</w:t>
      </w:r>
      <w:r w:rsidRPr="00CE0885">
        <w:rPr>
          <w:lang w:eastAsia="en-GB"/>
        </w:rPr>
        <w:t>c</w:t>
      </w:r>
      <w:r w:rsidRPr="00CE0885">
        <w:rPr>
          <w:spacing w:val="-2"/>
          <w:lang w:eastAsia="en-GB"/>
        </w:rPr>
        <w:t>t</w:t>
      </w:r>
      <w:r w:rsidRPr="00CE0885">
        <w:rPr>
          <w:spacing w:val="-1"/>
          <w:lang w:eastAsia="en-GB"/>
        </w:rPr>
        <w:t>o</w:t>
      </w:r>
      <w:r w:rsidRPr="00CE0885">
        <w:rPr>
          <w:lang w:eastAsia="en-GB"/>
        </w:rPr>
        <w:t>r</w:t>
      </w:r>
      <w:r w:rsidRPr="00CE0885">
        <w:rPr>
          <w:spacing w:val="-11"/>
          <w:lang w:eastAsia="en-GB"/>
        </w:rPr>
        <w:t xml:space="preserve"> </w:t>
      </w:r>
      <w:r w:rsidRPr="00CE0885">
        <w:rPr>
          <w:lang w:eastAsia="en-GB"/>
        </w:rPr>
        <w:t xml:space="preserve">in </w:t>
      </w:r>
      <w:r w:rsidRPr="00CE0885">
        <w:rPr>
          <w:spacing w:val="-3"/>
          <w:lang w:eastAsia="en-GB"/>
        </w:rPr>
        <w:t>w</w:t>
      </w:r>
      <w:r w:rsidRPr="00CE0885">
        <w:rPr>
          <w:spacing w:val="-1"/>
          <w:lang w:eastAsia="en-GB"/>
        </w:rPr>
        <w:t>r</w:t>
      </w:r>
      <w:r w:rsidRPr="00CE0885">
        <w:rPr>
          <w:lang w:eastAsia="en-GB"/>
        </w:rPr>
        <w:t>i</w:t>
      </w:r>
      <w:r w:rsidRPr="00CE0885">
        <w:rPr>
          <w:spacing w:val="1"/>
          <w:lang w:eastAsia="en-GB"/>
        </w:rPr>
        <w:t>t</w:t>
      </w:r>
      <w:r w:rsidRPr="00CE0885">
        <w:rPr>
          <w:lang w:eastAsia="en-GB"/>
        </w:rPr>
        <w:t>i</w:t>
      </w:r>
      <w:r w:rsidRPr="00CE0885">
        <w:rPr>
          <w:spacing w:val="3"/>
          <w:lang w:eastAsia="en-GB"/>
        </w:rPr>
        <w:t>n</w:t>
      </w:r>
      <w:r w:rsidRPr="00CE0885">
        <w:rPr>
          <w:lang w:eastAsia="en-GB"/>
        </w:rPr>
        <w:t>g</w:t>
      </w:r>
      <w:r w:rsidRPr="00CE0885">
        <w:rPr>
          <w:spacing w:val="-8"/>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i</w:t>
      </w:r>
      <w:r w:rsidRPr="00CE0885">
        <w:rPr>
          <w:spacing w:val="1"/>
          <w:lang w:eastAsia="en-GB"/>
        </w:rPr>
        <w:t>t</w:t>
      </w:r>
      <w:r w:rsidRPr="00CE0885">
        <w:rPr>
          <w:lang w:eastAsia="en-GB"/>
        </w:rPr>
        <w:t xml:space="preserve">s </w:t>
      </w:r>
      <w:r w:rsidRPr="00CE0885">
        <w:rPr>
          <w:spacing w:val="1"/>
          <w:lang w:eastAsia="en-GB"/>
        </w:rPr>
        <w:t>de</w:t>
      </w:r>
      <w:r w:rsidRPr="00CE0885">
        <w:rPr>
          <w:lang w:eastAsia="en-GB"/>
        </w:rPr>
        <w:t>cisi</w:t>
      </w:r>
      <w:r w:rsidRPr="00CE0885">
        <w:rPr>
          <w:spacing w:val="1"/>
          <w:lang w:eastAsia="en-GB"/>
        </w:rPr>
        <w:t>on (a template letter is provided in Annex 13B)</w:t>
      </w:r>
      <w:r w:rsidRPr="00CE0885">
        <w:rPr>
          <w:lang w:eastAsia="en-GB"/>
        </w:rPr>
        <w:t>.</w:t>
      </w:r>
      <w:bookmarkEnd w:id="774"/>
    </w:p>
    <w:p w14:paraId="2A4C6765" w14:textId="77777777" w:rsidR="00977693" w:rsidRPr="00CE0885" w:rsidRDefault="00977693" w:rsidP="00980A75">
      <w:pPr>
        <w:pStyle w:val="Heading3"/>
        <w:rPr>
          <w:lang w:eastAsia="en-GB"/>
        </w:rPr>
      </w:pPr>
      <w:bookmarkStart w:id="775" w:name="_Toc440981936"/>
      <w:r w:rsidRPr="00CE0885">
        <w:rPr>
          <w:spacing w:val="1"/>
          <w:lang w:eastAsia="en-GB"/>
        </w:rPr>
        <w:t>I</w:t>
      </w:r>
      <w:r w:rsidRPr="00CE0885">
        <w:rPr>
          <w:lang w:eastAsia="en-GB"/>
        </w:rPr>
        <w:t xml:space="preserve">f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2"/>
          <w:lang w:eastAsia="en-GB"/>
        </w:rPr>
        <w:t>Commissioner</w:t>
      </w:r>
      <w:r w:rsidRPr="00CE0885">
        <w:rPr>
          <w:spacing w:val="-3"/>
          <w:lang w:eastAsia="en-GB"/>
        </w:rPr>
        <w:t xml:space="preserve"> </w:t>
      </w:r>
      <w:r w:rsidRPr="00CE0885">
        <w:rPr>
          <w:spacing w:val="1"/>
          <w:lang w:eastAsia="en-GB"/>
        </w:rPr>
        <w:t>a</w:t>
      </w:r>
      <w:r w:rsidRPr="00CE0885">
        <w:rPr>
          <w:lang w:eastAsia="en-GB"/>
        </w:rPr>
        <w:t>cc</w:t>
      </w:r>
      <w:r w:rsidRPr="00CE0885">
        <w:rPr>
          <w:spacing w:val="1"/>
          <w:lang w:eastAsia="en-GB"/>
        </w:rPr>
        <w:t>e</w:t>
      </w:r>
      <w:r w:rsidRPr="00CE0885">
        <w:rPr>
          <w:spacing w:val="-1"/>
          <w:lang w:eastAsia="en-GB"/>
        </w:rPr>
        <w:t>p</w:t>
      </w:r>
      <w:r w:rsidRPr="00CE0885">
        <w:rPr>
          <w:spacing w:val="1"/>
          <w:lang w:eastAsia="en-GB"/>
        </w:rPr>
        <w:t>t</w:t>
      </w:r>
      <w:r w:rsidRPr="00CE0885">
        <w:rPr>
          <w:lang w:eastAsia="en-GB"/>
        </w:rPr>
        <w:t>s</w:t>
      </w:r>
      <w:r w:rsidRPr="00CE0885">
        <w:rPr>
          <w:spacing w:val="-8"/>
          <w:lang w:eastAsia="en-GB"/>
        </w:rPr>
        <w:t xml:space="preserve">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pr</w:t>
      </w:r>
      <w:r w:rsidRPr="00CE0885">
        <w:rPr>
          <w:spacing w:val="1"/>
          <w:lang w:eastAsia="en-GB"/>
        </w:rPr>
        <w:t>opo</w:t>
      </w:r>
      <w:r w:rsidRPr="00CE0885">
        <w:rPr>
          <w:lang w:eastAsia="en-GB"/>
        </w:rPr>
        <w:t>s</w:t>
      </w:r>
      <w:r w:rsidRPr="00CE0885">
        <w:rPr>
          <w:spacing w:val="-1"/>
          <w:lang w:eastAsia="en-GB"/>
        </w:rPr>
        <w:t>e</w:t>
      </w:r>
      <w:r w:rsidRPr="00CE0885">
        <w:rPr>
          <w:lang w:eastAsia="en-GB"/>
        </w:rPr>
        <w:t>d</w:t>
      </w:r>
      <w:r w:rsidRPr="00CE0885">
        <w:rPr>
          <w:spacing w:val="-8"/>
          <w:lang w:eastAsia="en-GB"/>
        </w:rPr>
        <w:t xml:space="preserve"> </w:t>
      </w:r>
      <w:r w:rsidRPr="00CE0885">
        <w:rPr>
          <w:lang w:eastAsia="en-GB"/>
        </w:rPr>
        <w:t>c</w:t>
      </w:r>
      <w:r w:rsidRPr="00CE0885">
        <w:rPr>
          <w:spacing w:val="-1"/>
          <w:lang w:eastAsia="en-GB"/>
        </w:rPr>
        <w:t>h</w:t>
      </w:r>
      <w:r w:rsidRPr="00CE0885">
        <w:rPr>
          <w:spacing w:val="1"/>
          <w:lang w:eastAsia="en-GB"/>
        </w:rPr>
        <w:t>an</w:t>
      </w:r>
      <w:r w:rsidRPr="00CE0885">
        <w:rPr>
          <w:spacing w:val="-1"/>
          <w:lang w:eastAsia="en-GB"/>
        </w:rPr>
        <w:t>g</w:t>
      </w:r>
      <w:r w:rsidRPr="00CE0885">
        <w:rPr>
          <w:spacing w:val="1"/>
          <w:lang w:eastAsia="en-GB"/>
        </w:rPr>
        <w:t>e</w:t>
      </w:r>
      <w:r w:rsidRPr="00CE0885">
        <w:rPr>
          <w:lang w:eastAsia="en-GB"/>
        </w:rPr>
        <w:t>s</w:t>
      </w:r>
      <w:r w:rsidRPr="00CE0885">
        <w:rPr>
          <w:spacing w:val="-9"/>
          <w:lang w:eastAsia="en-GB"/>
        </w:rPr>
        <w:t xml:space="preserve"> </w:t>
      </w:r>
      <w:r w:rsidRPr="00CE0885">
        <w:rPr>
          <w:spacing w:val="-2"/>
          <w:lang w:eastAsia="en-GB"/>
        </w:rPr>
        <w:t>t</w:t>
      </w:r>
      <w:r w:rsidRPr="00CE0885">
        <w:rPr>
          <w:lang w:eastAsia="en-GB"/>
        </w:rPr>
        <w:t xml:space="preserve">o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1"/>
          <w:lang w:eastAsia="en-GB"/>
        </w:rPr>
        <w:t>p</w:t>
      </w:r>
      <w:r w:rsidRPr="00CE0885">
        <w:rPr>
          <w:spacing w:val="-1"/>
          <w:lang w:eastAsia="en-GB"/>
        </w:rPr>
        <w:t>r</w:t>
      </w:r>
      <w:r w:rsidRPr="00CE0885">
        <w:rPr>
          <w:spacing w:val="1"/>
          <w:lang w:eastAsia="en-GB"/>
        </w:rPr>
        <w:t>a</w:t>
      </w:r>
      <w:r w:rsidRPr="00CE0885">
        <w:rPr>
          <w:lang w:eastAsia="en-GB"/>
        </w:rPr>
        <w:t>c</w:t>
      </w:r>
      <w:r w:rsidRPr="00CE0885">
        <w:rPr>
          <w:spacing w:val="1"/>
          <w:lang w:eastAsia="en-GB"/>
        </w:rPr>
        <w:t>t</w:t>
      </w:r>
      <w:r w:rsidRPr="00CE0885">
        <w:rPr>
          <w:lang w:eastAsia="en-GB"/>
        </w:rPr>
        <w:t>ice</w:t>
      </w:r>
      <w:r w:rsidRPr="00CE0885">
        <w:rPr>
          <w:spacing w:val="-9"/>
          <w:lang w:eastAsia="en-GB"/>
        </w:rPr>
        <w:t xml:space="preserve"> </w:t>
      </w:r>
      <w:r w:rsidRPr="00CE0885">
        <w:rPr>
          <w:spacing w:val="1"/>
          <w:lang w:eastAsia="en-GB"/>
        </w:rPr>
        <w:t>a</w:t>
      </w:r>
      <w:r w:rsidRPr="00CE0885">
        <w:rPr>
          <w:spacing w:val="-1"/>
          <w:lang w:eastAsia="en-GB"/>
        </w:rPr>
        <w:t>r</w:t>
      </w:r>
      <w:r w:rsidRPr="00CE0885">
        <w:rPr>
          <w:spacing w:val="1"/>
          <w:lang w:eastAsia="en-GB"/>
        </w:rPr>
        <w:t>e</w:t>
      </w:r>
      <w:r w:rsidRPr="00CE0885">
        <w:rPr>
          <w:spacing w:val="-1"/>
          <w:lang w:eastAsia="en-GB"/>
        </w:rPr>
        <w:t>a</w:t>
      </w:r>
      <w:r w:rsidRPr="00CE0885">
        <w:rPr>
          <w:lang w:eastAsia="en-GB"/>
        </w:rPr>
        <w:t>,</w:t>
      </w:r>
      <w:r w:rsidRPr="00CE0885">
        <w:rPr>
          <w:spacing w:val="-4"/>
          <w:lang w:eastAsia="en-GB"/>
        </w:rPr>
        <w:t xml:space="preserve"> </w:t>
      </w:r>
      <w:r w:rsidRPr="00CE0885">
        <w:rPr>
          <w:spacing w:val="1"/>
          <w:lang w:eastAsia="en-GB"/>
        </w:rPr>
        <w:t>t</w:t>
      </w:r>
      <w:r w:rsidRPr="00CE0885">
        <w:rPr>
          <w:spacing w:val="-1"/>
          <w:lang w:eastAsia="en-GB"/>
        </w:rPr>
        <w:t>h</w:t>
      </w:r>
      <w:r w:rsidRPr="00CE0885">
        <w:rPr>
          <w:lang w:eastAsia="en-GB"/>
        </w:rPr>
        <w:t>e c</w:t>
      </w:r>
      <w:r w:rsidRPr="00CE0885">
        <w:rPr>
          <w:spacing w:val="1"/>
          <w:lang w:eastAsia="en-GB"/>
        </w:rPr>
        <w:t>ont</w:t>
      </w:r>
      <w:r w:rsidRPr="00CE0885">
        <w:rPr>
          <w:spacing w:val="-1"/>
          <w:lang w:eastAsia="en-GB"/>
        </w:rPr>
        <w:t>r</w:t>
      </w:r>
      <w:r w:rsidRPr="00CE0885">
        <w:rPr>
          <w:spacing w:val="1"/>
          <w:lang w:eastAsia="en-GB"/>
        </w:rPr>
        <w:t>a</w:t>
      </w:r>
      <w:r w:rsidRPr="00CE0885">
        <w:rPr>
          <w:lang w:eastAsia="en-GB"/>
        </w:rPr>
        <w:t>c</w:t>
      </w:r>
      <w:r w:rsidRPr="00CE0885">
        <w:rPr>
          <w:spacing w:val="-2"/>
          <w:lang w:eastAsia="en-GB"/>
        </w:rPr>
        <w:t>t</w:t>
      </w:r>
      <w:r w:rsidRPr="00CE0885">
        <w:rPr>
          <w:spacing w:val="1"/>
          <w:lang w:eastAsia="en-GB"/>
        </w:rPr>
        <w:t>o</w:t>
      </w:r>
      <w:r w:rsidRPr="00CE0885">
        <w:rPr>
          <w:lang w:eastAsia="en-GB"/>
        </w:rPr>
        <w:t>r</w:t>
      </w:r>
      <w:r w:rsidRPr="00CE0885">
        <w:rPr>
          <w:spacing w:val="-11"/>
          <w:lang w:eastAsia="en-GB"/>
        </w:rPr>
        <w:t xml:space="preserve"> </w:t>
      </w:r>
      <w:r w:rsidRPr="00CE0885">
        <w:rPr>
          <w:lang w:eastAsia="en-GB"/>
        </w:rPr>
        <w:t>should</w:t>
      </w:r>
      <w:r w:rsidRPr="00CE0885">
        <w:rPr>
          <w:spacing w:val="-5"/>
          <w:lang w:eastAsia="en-GB"/>
        </w:rPr>
        <w:t xml:space="preserve"> </w:t>
      </w:r>
      <w:r w:rsidRPr="00CE0885">
        <w:rPr>
          <w:spacing w:val="-1"/>
          <w:lang w:eastAsia="en-GB"/>
        </w:rPr>
        <w:t>b</w:t>
      </w:r>
      <w:r w:rsidRPr="00CE0885">
        <w:rPr>
          <w:lang w:eastAsia="en-GB"/>
        </w:rPr>
        <w:t>e</w:t>
      </w:r>
      <w:r w:rsidRPr="00CE0885">
        <w:rPr>
          <w:spacing w:val="-1"/>
          <w:lang w:eastAsia="en-GB"/>
        </w:rPr>
        <w:t xml:space="preserve"> n</w:t>
      </w:r>
      <w:r w:rsidRPr="00CE0885">
        <w:rPr>
          <w:spacing w:val="1"/>
          <w:lang w:eastAsia="en-GB"/>
        </w:rPr>
        <w:t>ot</w:t>
      </w:r>
      <w:r w:rsidRPr="00CE0885">
        <w:rPr>
          <w:spacing w:val="-3"/>
          <w:lang w:eastAsia="en-GB"/>
        </w:rPr>
        <w:t>i</w:t>
      </w:r>
      <w:r w:rsidRPr="00CE0885">
        <w:rPr>
          <w:spacing w:val="3"/>
          <w:lang w:eastAsia="en-GB"/>
        </w:rPr>
        <w:t>f</w:t>
      </w:r>
      <w:r w:rsidRPr="00CE0885">
        <w:rPr>
          <w:lang w:eastAsia="en-GB"/>
        </w:rPr>
        <w:t>i</w:t>
      </w:r>
      <w:r w:rsidRPr="00CE0885">
        <w:rPr>
          <w:spacing w:val="-1"/>
          <w:lang w:eastAsia="en-GB"/>
        </w:rPr>
        <w:t>e</w:t>
      </w:r>
      <w:r w:rsidRPr="00CE0885">
        <w:rPr>
          <w:spacing w:val="1"/>
          <w:lang w:eastAsia="en-GB"/>
        </w:rPr>
        <w:t>d</w:t>
      </w:r>
      <w:r w:rsidRPr="00CE0885">
        <w:rPr>
          <w:lang w:eastAsia="en-GB"/>
        </w:rPr>
        <w:t>,</w:t>
      </w:r>
      <w:r w:rsidRPr="00CE0885">
        <w:rPr>
          <w:spacing w:val="-9"/>
          <w:lang w:eastAsia="en-GB"/>
        </w:rPr>
        <w:t xml:space="preserve"> </w:t>
      </w:r>
      <w:r w:rsidRPr="00CE0885">
        <w:rPr>
          <w:spacing w:val="1"/>
          <w:lang w:eastAsia="en-GB"/>
        </w:rPr>
        <w:t>a</w:t>
      </w:r>
      <w:r w:rsidRPr="00CE0885">
        <w:rPr>
          <w:lang w:eastAsia="en-GB"/>
        </w:rPr>
        <w:t>s</w:t>
      </w:r>
      <w:r w:rsidRPr="00CE0885">
        <w:rPr>
          <w:spacing w:val="-3"/>
          <w:lang w:eastAsia="en-GB"/>
        </w:rPr>
        <w:t xml:space="preserve"> </w:t>
      </w:r>
      <w:r w:rsidRPr="00CE0885">
        <w:rPr>
          <w:lang w:eastAsia="en-GB"/>
        </w:rPr>
        <w:t>s</w:t>
      </w:r>
      <w:r w:rsidRPr="00CE0885">
        <w:rPr>
          <w:spacing w:val="-1"/>
          <w:lang w:eastAsia="en-GB"/>
        </w:rPr>
        <w:t>o</w:t>
      </w:r>
      <w:r w:rsidRPr="00CE0885">
        <w:rPr>
          <w:spacing w:val="1"/>
          <w:lang w:eastAsia="en-GB"/>
        </w:rPr>
        <w:t>o</w:t>
      </w:r>
      <w:r w:rsidRPr="00CE0885">
        <w:rPr>
          <w:lang w:eastAsia="en-GB"/>
        </w:rPr>
        <w:t>n</w:t>
      </w:r>
      <w:r w:rsidRPr="00CE0885">
        <w:rPr>
          <w:spacing w:val="-6"/>
          <w:lang w:eastAsia="en-GB"/>
        </w:rPr>
        <w:t xml:space="preserve"> </w:t>
      </w:r>
      <w:r w:rsidRPr="00CE0885">
        <w:rPr>
          <w:spacing w:val="1"/>
          <w:lang w:eastAsia="en-GB"/>
        </w:rPr>
        <w:t>a</w:t>
      </w:r>
      <w:r w:rsidRPr="00CE0885">
        <w:rPr>
          <w:lang w:eastAsia="en-GB"/>
        </w:rPr>
        <w:t>s</w:t>
      </w:r>
      <w:r w:rsidRPr="00CE0885">
        <w:rPr>
          <w:spacing w:val="-3"/>
          <w:lang w:eastAsia="en-GB"/>
        </w:rPr>
        <w:t xml:space="preserve"> </w:t>
      </w:r>
      <w:r w:rsidRPr="00CE0885">
        <w:rPr>
          <w:spacing w:val="1"/>
          <w:lang w:eastAsia="en-GB"/>
        </w:rPr>
        <w:t>po</w:t>
      </w:r>
      <w:r w:rsidRPr="00CE0885">
        <w:rPr>
          <w:lang w:eastAsia="en-GB"/>
        </w:rPr>
        <w:t>ss</w:t>
      </w:r>
      <w:r w:rsidRPr="00CE0885">
        <w:rPr>
          <w:spacing w:val="-3"/>
          <w:lang w:eastAsia="en-GB"/>
        </w:rPr>
        <w:t>i</w:t>
      </w:r>
      <w:r w:rsidRPr="00CE0885">
        <w:rPr>
          <w:spacing w:val="-1"/>
          <w:lang w:eastAsia="en-GB"/>
        </w:rPr>
        <w:t>b</w:t>
      </w:r>
      <w:r w:rsidRPr="00CE0885">
        <w:rPr>
          <w:lang w:eastAsia="en-GB"/>
        </w:rPr>
        <w:t>l</w:t>
      </w:r>
      <w:r w:rsidRPr="00CE0885">
        <w:rPr>
          <w:spacing w:val="1"/>
          <w:lang w:eastAsia="en-GB"/>
        </w:rPr>
        <w:t>e</w:t>
      </w:r>
      <w:r w:rsidRPr="00CE0885">
        <w:rPr>
          <w:lang w:eastAsia="en-GB"/>
        </w:rPr>
        <w:t>,</w:t>
      </w:r>
      <w:r w:rsidRPr="00CE0885">
        <w:rPr>
          <w:spacing w:val="-8"/>
          <w:lang w:eastAsia="en-GB"/>
        </w:rPr>
        <w:t xml:space="preserve"> </w:t>
      </w:r>
      <w:r w:rsidRPr="00CE0885">
        <w:rPr>
          <w:lang w:eastAsia="en-GB"/>
        </w:rPr>
        <w:t xml:space="preserve">in </w:t>
      </w:r>
      <w:r w:rsidRPr="00CE0885">
        <w:rPr>
          <w:spacing w:val="-3"/>
          <w:lang w:eastAsia="en-GB"/>
        </w:rPr>
        <w:t>w</w:t>
      </w:r>
      <w:r w:rsidRPr="00CE0885">
        <w:rPr>
          <w:spacing w:val="-1"/>
          <w:lang w:eastAsia="en-GB"/>
        </w:rPr>
        <w:t>r</w:t>
      </w:r>
      <w:r w:rsidRPr="00CE0885">
        <w:rPr>
          <w:lang w:eastAsia="en-GB"/>
        </w:rPr>
        <w:t>i</w:t>
      </w:r>
      <w:r w:rsidRPr="00CE0885">
        <w:rPr>
          <w:spacing w:val="1"/>
          <w:lang w:eastAsia="en-GB"/>
        </w:rPr>
        <w:t>t</w:t>
      </w:r>
      <w:r w:rsidRPr="00CE0885">
        <w:rPr>
          <w:lang w:eastAsia="en-GB"/>
        </w:rPr>
        <w:t>i</w:t>
      </w:r>
      <w:r w:rsidRPr="00CE0885">
        <w:rPr>
          <w:spacing w:val="1"/>
          <w:lang w:eastAsia="en-GB"/>
        </w:rPr>
        <w:t>n</w:t>
      </w:r>
      <w:r w:rsidRPr="00CE0885">
        <w:rPr>
          <w:lang w:eastAsia="en-GB"/>
        </w:rPr>
        <w:t>g</w:t>
      </w:r>
      <w:r w:rsidRPr="00CE0885">
        <w:rPr>
          <w:spacing w:val="-8"/>
          <w:lang w:eastAsia="en-GB"/>
        </w:rPr>
        <w:t xml:space="preserve"> </w:t>
      </w:r>
      <w:r w:rsidRPr="00CE0885">
        <w:rPr>
          <w:spacing w:val="1"/>
          <w:lang w:eastAsia="en-GB"/>
        </w:rPr>
        <w:t>o</w:t>
      </w:r>
      <w:r w:rsidRPr="00CE0885">
        <w:rPr>
          <w:spacing w:val="3"/>
          <w:lang w:eastAsia="en-GB"/>
        </w:rPr>
        <w:t>f</w:t>
      </w:r>
      <w:r w:rsidRPr="00CE0885">
        <w:rPr>
          <w:lang w:eastAsia="en-GB"/>
        </w:rPr>
        <w:t>:</w:t>
      </w:r>
      <w:bookmarkEnd w:id="775"/>
    </w:p>
    <w:p w14:paraId="502746F0" w14:textId="77777777" w:rsidR="00977693" w:rsidRPr="00980A75" w:rsidRDefault="00977693" w:rsidP="005A7DDA">
      <w:pPr>
        <w:pStyle w:val="ListParagraph"/>
        <w:widowControl w:val="0"/>
        <w:numPr>
          <w:ilvl w:val="0"/>
          <w:numId w:val="58"/>
        </w:numPr>
        <w:spacing w:line="360" w:lineRule="auto"/>
        <w:jc w:val="both"/>
        <w:outlineLvl w:val="2"/>
        <w:rPr>
          <w:rFonts w:cs="Arial"/>
          <w:bCs w:val="0"/>
          <w:szCs w:val="24"/>
          <w:lang w:eastAsia="en-GB"/>
        </w:rPr>
      </w:pPr>
      <w:bookmarkStart w:id="776" w:name="_Toc440981937"/>
      <w:r w:rsidRPr="00980A75">
        <w:rPr>
          <w:rFonts w:cs="Arial"/>
          <w:bCs w:val="0"/>
          <w:szCs w:val="24"/>
          <w:lang w:eastAsia="en-GB"/>
        </w:rPr>
        <w:t>the</w:t>
      </w:r>
      <w:r w:rsidRPr="00980A75">
        <w:rPr>
          <w:rFonts w:cs="Arial"/>
          <w:bCs w:val="0"/>
          <w:spacing w:val="-4"/>
          <w:szCs w:val="24"/>
          <w:lang w:eastAsia="en-GB"/>
        </w:rPr>
        <w:t xml:space="preserve"> </w:t>
      </w:r>
      <w:r w:rsidRPr="00980A75">
        <w:rPr>
          <w:rFonts w:cs="Arial"/>
          <w:bCs w:val="0"/>
          <w:szCs w:val="24"/>
          <w:lang w:eastAsia="en-GB"/>
        </w:rPr>
        <w:t>acce</w:t>
      </w:r>
      <w:r w:rsidRPr="00980A75">
        <w:rPr>
          <w:rFonts w:cs="Arial"/>
          <w:bCs w:val="0"/>
          <w:spacing w:val="-1"/>
          <w:szCs w:val="24"/>
          <w:lang w:eastAsia="en-GB"/>
        </w:rPr>
        <w:t>p</w:t>
      </w:r>
      <w:r w:rsidRPr="00980A75">
        <w:rPr>
          <w:rFonts w:cs="Arial"/>
          <w:bCs w:val="0"/>
          <w:szCs w:val="24"/>
          <w:lang w:eastAsia="en-GB"/>
        </w:rPr>
        <w:t>tan</w:t>
      </w:r>
      <w:r w:rsidRPr="00980A75">
        <w:rPr>
          <w:rFonts w:cs="Arial"/>
          <w:bCs w:val="0"/>
          <w:spacing w:val="-2"/>
          <w:szCs w:val="24"/>
          <w:lang w:eastAsia="en-GB"/>
        </w:rPr>
        <w:t>c</w:t>
      </w:r>
      <w:r w:rsidRPr="00980A75">
        <w:rPr>
          <w:rFonts w:cs="Arial"/>
          <w:bCs w:val="0"/>
          <w:szCs w:val="24"/>
          <w:lang w:eastAsia="en-GB"/>
        </w:rPr>
        <w:t>e;</w:t>
      </w:r>
      <w:bookmarkEnd w:id="776"/>
    </w:p>
    <w:p w14:paraId="0DD93657" w14:textId="77777777" w:rsidR="00977693" w:rsidRPr="00980A75" w:rsidRDefault="00977693" w:rsidP="005A7DDA">
      <w:pPr>
        <w:pStyle w:val="ListParagraph"/>
        <w:widowControl w:val="0"/>
        <w:numPr>
          <w:ilvl w:val="0"/>
          <w:numId w:val="58"/>
        </w:numPr>
        <w:spacing w:line="360" w:lineRule="auto"/>
        <w:jc w:val="both"/>
        <w:outlineLvl w:val="2"/>
        <w:rPr>
          <w:rFonts w:cs="Arial"/>
          <w:bCs w:val="0"/>
          <w:szCs w:val="24"/>
          <w:lang w:eastAsia="en-GB"/>
        </w:rPr>
      </w:pPr>
      <w:bookmarkStart w:id="777" w:name="_Toc440981938"/>
      <w:r w:rsidRPr="00980A75">
        <w:rPr>
          <w:rFonts w:cs="Arial"/>
          <w:bCs w:val="0"/>
          <w:spacing w:val="1"/>
          <w:szCs w:val="24"/>
          <w:lang w:eastAsia="en-GB"/>
        </w:rPr>
        <w:t>th</w:t>
      </w:r>
      <w:r w:rsidRPr="00980A75">
        <w:rPr>
          <w:rFonts w:cs="Arial"/>
          <w:bCs w:val="0"/>
          <w:szCs w:val="24"/>
          <w:lang w:eastAsia="en-GB"/>
        </w:rPr>
        <w:t>e</w:t>
      </w:r>
      <w:r w:rsidRPr="00980A75">
        <w:rPr>
          <w:rFonts w:cs="Arial"/>
          <w:bCs w:val="0"/>
          <w:spacing w:val="-4"/>
          <w:szCs w:val="24"/>
          <w:lang w:eastAsia="en-GB"/>
        </w:rPr>
        <w:t xml:space="preserve"> </w:t>
      </w:r>
      <w:r w:rsidRPr="00980A75">
        <w:rPr>
          <w:rFonts w:cs="Arial"/>
          <w:bCs w:val="0"/>
          <w:spacing w:val="1"/>
          <w:szCs w:val="24"/>
          <w:lang w:eastAsia="en-GB"/>
        </w:rPr>
        <w:t>da</w:t>
      </w:r>
      <w:r w:rsidRPr="00980A75">
        <w:rPr>
          <w:rFonts w:cs="Arial"/>
          <w:bCs w:val="0"/>
          <w:spacing w:val="-2"/>
          <w:szCs w:val="24"/>
          <w:lang w:eastAsia="en-GB"/>
        </w:rPr>
        <w:t>t</w:t>
      </w:r>
      <w:r w:rsidRPr="00980A75">
        <w:rPr>
          <w:rFonts w:cs="Arial"/>
          <w:bCs w:val="0"/>
          <w:szCs w:val="24"/>
          <w:lang w:eastAsia="en-GB"/>
        </w:rPr>
        <w:t>e</w:t>
      </w:r>
      <w:r w:rsidRPr="00980A75">
        <w:rPr>
          <w:rFonts w:cs="Arial"/>
          <w:bCs w:val="0"/>
          <w:spacing w:val="-3"/>
          <w:szCs w:val="24"/>
          <w:lang w:eastAsia="en-GB"/>
        </w:rPr>
        <w:t xml:space="preserve"> </w:t>
      </w:r>
      <w:r w:rsidRPr="00980A75">
        <w:rPr>
          <w:rFonts w:cs="Arial"/>
          <w:bCs w:val="0"/>
          <w:spacing w:val="-1"/>
          <w:szCs w:val="24"/>
          <w:lang w:eastAsia="en-GB"/>
        </w:rPr>
        <w:t>u</w:t>
      </w:r>
      <w:r w:rsidRPr="00980A75">
        <w:rPr>
          <w:rFonts w:cs="Arial"/>
          <w:bCs w:val="0"/>
          <w:spacing w:val="1"/>
          <w:szCs w:val="24"/>
          <w:lang w:eastAsia="en-GB"/>
        </w:rPr>
        <w:t>po</w:t>
      </w:r>
      <w:r w:rsidRPr="00980A75">
        <w:rPr>
          <w:rFonts w:cs="Arial"/>
          <w:bCs w:val="0"/>
          <w:szCs w:val="24"/>
          <w:lang w:eastAsia="en-GB"/>
        </w:rPr>
        <w:t>n</w:t>
      </w:r>
      <w:r w:rsidRPr="00980A75">
        <w:rPr>
          <w:rFonts w:cs="Arial"/>
          <w:bCs w:val="0"/>
          <w:spacing w:val="-3"/>
          <w:szCs w:val="24"/>
          <w:lang w:eastAsia="en-GB"/>
        </w:rPr>
        <w:t xml:space="preserve"> w</w:t>
      </w:r>
      <w:r w:rsidRPr="00980A75">
        <w:rPr>
          <w:rFonts w:cs="Arial"/>
          <w:bCs w:val="0"/>
          <w:spacing w:val="1"/>
          <w:szCs w:val="24"/>
          <w:lang w:eastAsia="en-GB"/>
        </w:rPr>
        <w:t>h</w:t>
      </w:r>
      <w:r w:rsidRPr="00980A75">
        <w:rPr>
          <w:rFonts w:cs="Arial"/>
          <w:bCs w:val="0"/>
          <w:szCs w:val="24"/>
          <w:lang w:eastAsia="en-GB"/>
        </w:rPr>
        <w:t>ich</w:t>
      </w:r>
      <w:r w:rsidRPr="00980A75">
        <w:rPr>
          <w:rFonts w:cs="Arial"/>
          <w:bCs w:val="0"/>
          <w:spacing w:val="-4"/>
          <w:szCs w:val="24"/>
          <w:lang w:eastAsia="en-GB"/>
        </w:rPr>
        <w:t xml:space="preserve"> </w:t>
      </w:r>
      <w:r w:rsidRPr="00980A75">
        <w:rPr>
          <w:rFonts w:cs="Arial"/>
          <w:bCs w:val="0"/>
          <w:spacing w:val="-2"/>
          <w:szCs w:val="24"/>
          <w:lang w:eastAsia="en-GB"/>
        </w:rPr>
        <w:t>t</w:t>
      </w:r>
      <w:r w:rsidRPr="00980A75">
        <w:rPr>
          <w:rFonts w:cs="Arial"/>
          <w:bCs w:val="0"/>
          <w:spacing w:val="-1"/>
          <w:szCs w:val="24"/>
          <w:lang w:eastAsia="en-GB"/>
        </w:rPr>
        <w:t>h</w:t>
      </w:r>
      <w:r w:rsidRPr="00980A75">
        <w:rPr>
          <w:rFonts w:cs="Arial"/>
          <w:bCs w:val="0"/>
          <w:szCs w:val="24"/>
          <w:lang w:eastAsia="en-GB"/>
        </w:rPr>
        <w:t>e</w:t>
      </w:r>
      <w:r w:rsidRPr="00980A75">
        <w:rPr>
          <w:rFonts w:cs="Arial"/>
          <w:bCs w:val="0"/>
          <w:spacing w:val="-1"/>
          <w:szCs w:val="24"/>
          <w:lang w:eastAsia="en-GB"/>
        </w:rPr>
        <w:t xml:space="preserve"> </w:t>
      </w:r>
      <w:r w:rsidRPr="00980A75">
        <w:rPr>
          <w:rFonts w:cs="Arial"/>
          <w:bCs w:val="0"/>
          <w:szCs w:val="24"/>
          <w:lang w:eastAsia="en-GB"/>
        </w:rPr>
        <w:t>c</w:t>
      </w:r>
      <w:r w:rsidRPr="00980A75">
        <w:rPr>
          <w:rFonts w:cs="Arial"/>
          <w:bCs w:val="0"/>
          <w:spacing w:val="1"/>
          <w:szCs w:val="24"/>
          <w:lang w:eastAsia="en-GB"/>
        </w:rPr>
        <w:t>h</w:t>
      </w:r>
      <w:r w:rsidRPr="00980A75">
        <w:rPr>
          <w:rFonts w:cs="Arial"/>
          <w:bCs w:val="0"/>
          <w:spacing w:val="-1"/>
          <w:szCs w:val="24"/>
          <w:lang w:eastAsia="en-GB"/>
        </w:rPr>
        <w:t>a</w:t>
      </w:r>
      <w:r w:rsidRPr="00980A75">
        <w:rPr>
          <w:rFonts w:cs="Arial"/>
          <w:bCs w:val="0"/>
          <w:spacing w:val="1"/>
          <w:szCs w:val="24"/>
          <w:lang w:eastAsia="en-GB"/>
        </w:rPr>
        <w:t>n</w:t>
      </w:r>
      <w:r w:rsidRPr="00980A75">
        <w:rPr>
          <w:rFonts w:cs="Arial"/>
          <w:bCs w:val="0"/>
          <w:spacing w:val="-1"/>
          <w:szCs w:val="24"/>
          <w:lang w:eastAsia="en-GB"/>
        </w:rPr>
        <w:t>g</w:t>
      </w:r>
      <w:r w:rsidRPr="00980A75">
        <w:rPr>
          <w:rFonts w:cs="Arial"/>
          <w:bCs w:val="0"/>
          <w:spacing w:val="1"/>
          <w:szCs w:val="24"/>
          <w:lang w:eastAsia="en-GB"/>
        </w:rPr>
        <w:t>e</w:t>
      </w:r>
      <w:r w:rsidRPr="00980A75">
        <w:rPr>
          <w:rFonts w:cs="Arial"/>
          <w:bCs w:val="0"/>
          <w:szCs w:val="24"/>
          <w:lang w:eastAsia="en-GB"/>
        </w:rPr>
        <w:t>s</w:t>
      </w:r>
      <w:r w:rsidRPr="00980A75">
        <w:rPr>
          <w:rFonts w:cs="Arial"/>
          <w:bCs w:val="0"/>
          <w:spacing w:val="-9"/>
          <w:szCs w:val="24"/>
          <w:lang w:eastAsia="en-GB"/>
        </w:rPr>
        <w:t xml:space="preserve"> </w:t>
      </w:r>
      <w:r w:rsidRPr="00980A75">
        <w:rPr>
          <w:rFonts w:cs="Arial"/>
          <w:bCs w:val="0"/>
          <w:spacing w:val="-3"/>
          <w:szCs w:val="24"/>
          <w:lang w:eastAsia="en-GB"/>
        </w:rPr>
        <w:t>w</w:t>
      </w:r>
      <w:r w:rsidRPr="00980A75">
        <w:rPr>
          <w:rFonts w:cs="Arial"/>
          <w:bCs w:val="0"/>
          <w:szCs w:val="24"/>
          <w:lang w:eastAsia="en-GB"/>
        </w:rPr>
        <w:t>ill</w:t>
      </w:r>
      <w:r w:rsidRPr="00980A75">
        <w:rPr>
          <w:rFonts w:cs="Arial"/>
          <w:bCs w:val="0"/>
          <w:spacing w:val="-3"/>
          <w:szCs w:val="24"/>
          <w:lang w:eastAsia="en-GB"/>
        </w:rPr>
        <w:t xml:space="preserve"> </w:t>
      </w:r>
      <w:r w:rsidRPr="00980A75">
        <w:rPr>
          <w:rFonts w:cs="Arial"/>
          <w:bCs w:val="0"/>
          <w:spacing w:val="1"/>
          <w:szCs w:val="24"/>
          <w:lang w:eastAsia="en-GB"/>
        </w:rPr>
        <w:t>ta</w:t>
      </w:r>
      <w:r w:rsidRPr="00980A75">
        <w:rPr>
          <w:rFonts w:cs="Arial"/>
          <w:bCs w:val="0"/>
          <w:szCs w:val="24"/>
          <w:lang w:eastAsia="en-GB"/>
        </w:rPr>
        <w:t>ke</w:t>
      </w:r>
      <w:r w:rsidRPr="00980A75">
        <w:rPr>
          <w:rFonts w:cs="Arial"/>
          <w:bCs w:val="0"/>
          <w:spacing w:val="-3"/>
          <w:szCs w:val="24"/>
          <w:lang w:eastAsia="en-GB"/>
        </w:rPr>
        <w:t xml:space="preserve"> </w:t>
      </w:r>
      <w:r w:rsidRPr="00980A75">
        <w:rPr>
          <w:rFonts w:cs="Arial"/>
          <w:bCs w:val="0"/>
          <w:spacing w:val="-1"/>
          <w:szCs w:val="24"/>
          <w:lang w:eastAsia="en-GB"/>
        </w:rPr>
        <w:t>e</w:t>
      </w:r>
      <w:r w:rsidRPr="00980A75">
        <w:rPr>
          <w:rFonts w:cs="Arial"/>
          <w:bCs w:val="0"/>
          <w:spacing w:val="1"/>
          <w:szCs w:val="24"/>
          <w:lang w:eastAsia="en-GB"/>
        </w:rPr>
        <w:t>ffe</w:t>
      </w:r>
      <w:r w:rsidRPr="00980A75">
        <w:rPr>
          <w:rFonts w:cs="Arial"/>
          <w:bCs w:val="0"/>
          <w:szCs w:val="24"/>
          <w:lang w:eastAsia="en-GB"/>
        </w:rPr>
        <w:t>c</w:t>
      </w:r>
      <w:r w:rsidRPr="00980A75">
        <w:rPr>
          <w:rFonts w:cs="Arial"/>
          <w:bCs w:val="0"/>
          <w:spacing w:val="1"/>
          <w:szCs w:val="24"/>
          <w:lang w:eastAsia="en-GB"/>
        </w:rPr>
        <w:t>t</w:t>
      </w:r>
      <w:r w:rsidRPr="00980A75">
        <w:rPr>
          <w:rFonts w:cs="Arial"/>
          <w:bCs w:val="0"/>
          <w:szCs w:val="24"/>
          <w:lang w:eastAsia="en-GB"/>
        </w:rPr>
        <w:t>;</w:t>
      </w:r>
      <w:r w:rsidRPr="00980A75">
        <w:rPr>
          <w:rFonts w:cs="Arial"/>
          <w:bCs w:val="0"/>
          <w:spacing w:val="-6"/>
          <w:szCs w:val="24"/>
          <w:lang w:eastAsia="en-GB"/>
        </w:rPr>
        <w:t xml:space="preserve"> </w:t>
      </w:r>
      <w:r w:rsidRPr="00980A75">
        <w:rPr>
          <w:rFonts w:cs="Arial"/>
          <w:bCs w:val="0"/>
          <w:spacing w:val="-1"/>
          <w:szCs w:val="24"/>
          <w:lang w:eastAsia="en-GB"/>
        </w:rPr>
        <w:t>a</w:t>
      </w:r>
      <w:r w:rsidRPr="00980A75">
        <w:rPr>
          <w:rFonts w:cs="Arial"/>
          <w:bCs w:val="0"/>
          <w:spacing w:val="1"/>
          <w:szCs w:val="24"/>
          <w:lang w:eastAsia="en-GB"/>
        </w:rPr>
        <w:t>n</w:t>
      </w:r>
      <w:r w:rsidRPr="00980A75">
        <w:rPr>
          <w:rFonts w:cs="Arial"/>
          <w:bCs w:val="0"/>
          <w:szCs w:val="24"/>
          <w:lang w:eastAsia="en-GB"/>
        </w:rPr>
        <w:t>d</w:t>
      </w:r>
      <w:bookmarkEnd w:id="777"/>
    </w:p>
    <w:p w14:paraId="61065037" w14:textId="77777777" w:rsidR="00977693" w:rsidRPr="00980A75" w:rsidRDefault="00977693" w:rsidP="005A7DDA">
      <w:pPr>
        <w:pStyle w:val="ListParagraph"/>
        <w:widowControl w:val="0"/>
        <w:numPr>
          <w:ilvl w:val="0"/>
          <w:numId w:val="58"/>
        </w:numPr>
        <w:spacing w:line="360" w:lineRule="auto"/>
        <w:jc w:val="both"/>
        <w:outlineLvl w:val="2"/>
        <w:rPr>
          <w:rFonts w:cs="Arial"/>
          <w:bCs w:val="0"/>
          <w:szCs w:val="24"/>
          <w:lang w:eastAsia="en-GB"/>
        </w:rPr>
      </w:pPr>
      <w:bookmarkStart w:id="778" w:name="_Toc440981939"/>
      <w:r w:rsidRPr="00980A75">
        <w:rPr>
          <w:rFonts w:cs="Arial"/>
          <w:bCs w:val="0"/>
          <w:szCs w:val="24"/>
          <w:lang w:eastAsia="en-GB"/>
        </w:rPr>
        <w:t xml:space="preserve">a </w:t>
      </w:r>
      <w:r w:rsidRPr="00980A75">
        <w:rPr>
          <w:rFonts w:cs="Arial"/>
          <w:bCs w:val="0"/>
          <w:spacing w:val="-1"/>
          <w:szCs w:val="24"/>
          <w:lang w:eastAsia="en-GB"/>
        </w:rPr>
        <w:t>r</w:t>
      </w:r>
      <w:r w:rsidRPr="00980A75">
        <w:rPr>
          <w:rFonts w:cs="Arial"/>
          <w:bCs w:val="0"/>
          <w:szCs w:val="24"/>
          <w:lang w:eastAsia="en-GB"/>
        </w:rPr>
        <w:t>e</w:t>
      </w:r>
      <w:r w:rsidRPr="00980A75">
        <w:rPr>
          <w:rFonts w:cs="Arial"/>
          <w:bCs w:val="0"/>
          <w:spacing w:val="-1"/>
          <w:szCs w:val="24"/>
          <w:lang w:eastAsia="en-GB"/>
        </w:rPr>
        <w:t>q</w:t>
      </w:r>
      <w:r w:rsidRPr="00980A75">
        <w:rPr>
          <w:rFonts w:cs="Arial"/>
          <w:bCs w:val="0"/>
          <w:szCs w:val="24"/>
          <w:lang w:eastAsia="en-GB"/>
        </w:rPr>
        <w:t>ui</w:t>
      </w:r>
      <w:r w:rsidRPr="00980A75">
        <w:rPr>
          <w:rFonts w:cs="Arial"/>
          <w:bCs w:val="0"/>
          <w:spacing w:val="-1"/>
          <w:szCs w:val="24"/>
          <w:lang w:eastAsia="en-GB"/>
        </w:rPr>
        <w:t>r</w:t>
      </w:r>
      <w:r w:rsidRPr="00980A75">
        <w:rPr>
          <w:rFonts w:cs="Arial"/>
          <w:bCs w:val="0"/>
          <w:szCs w:val="24"/>
          <w:lang w:eastAsia="en-GB"/>
        </w:rPr>
        <w:t>e</w:t>
      </w:r>
      <w:r w:rsidRPr="00980A75">
        <w:rPr>
          <w:rFonts w:cs="Arial"/>
          <w:bCs w:val="0"/>
          <w:spacing w:val="2"/>
          <w:szCs w:val="24"/>
          <w:lang w:eastAsia="en-GB"/>
        </w:rPr>
        <w:t>m</w:t>
      </w:r>
      <w:r w:rsidRPr="00980A75">
        <w:rPr>
          <w:rFonts w:cs="Arial"/>
          <w:bCs w:val="0"/>
          <w:spacing w:val="-1"/>
          <w:szCs w:val="24"/>
          <w:lang w:eastAsia="en-GB"/>
        </w:rPr>
        <w:t>e</w:t>
      </w:r>
      <w:r w:rsidRPr="00980A75">
        <w:rPr>
          <w:rFonts w:cs="Arial"/>
          <w:bCs w:val="0"/>
          <w:szCs w:val="24"/>
          <w:lang w:eastAsia="en-GB"/>
        </w:rPr>
        <w:t>nt</w:t>
      </w:r>
      <w:r w:rsidRPr="00980A75">
        <w:rPr>
          <w:rFonts w:cs="Arial"/>
          <w:bCs w:val="0"/>
          <w:spacing w:val="-14"/>
          <w:szCs w:val="24"/>
          <w:lang w:eastAsia="en-GB"/>
        </w:rPr>
        <w:t xml:space="preserve"> </w:t>
      </w:r>
      <w:r w:rsidRPr="00980A75">
        <w:rPr>
          <w:rFonts w:cs="Arial"/>
          <w:bCs w:val="0"/>
          <w:spacing w:val="-1"/>
          <w:szCs w:val="24"/>
          <w:lang w:eastAsia="en-GB"/>
        </w:rPr>
        <w:t>o</w:t>
      </w:r>
      <w:r w:rsidRPr="00980A75">
        <w:rPr>
          <w:rFonts w:cs="Arial"/>
          <w:bCs w:val="0"/>
          <w:szCs w:val="24"/>
          <w:lang w:eastAsia="en-GB"/>
        </w:rPr>
        <w:t xml:space="preserve">f </w:t>
      </w:r>
      <w:r w:rsidRPr="00980A75">
        <w:rPr>
          <w:rFonts w:cs="Arial"/>
          <w:bCs w:val="0"/>
          <w:spacing w:val="-2"/>
          <w:szCs w:val="24"/>
          <w:lang w:eastAsia="en-GB"/>
        </w:rPr>
        <w:t>t</w:t>
      </w:r>
      <w:r w:rsidRPr="00980A75">
        <w:rPr>
          <w:rFonts w:cs="Arial"/>
          <w:bCs w:val="0"/>
          <w:szCs w:val="24"/>
          <w:lang w:eastAsia="en-GB"/>
        </w:rPr>
        <w:t>he</w:t>
      </w:r>
      <w:r w:rsidRPr="00980A75">
        <w:rPr>
          <w:rFonts w:cs="Arial"/>
          <w:bCs w:val="0"/>
          <w:spacing w:val="-1"/>
          <w:szCs w:val="24"/>
          <w:lang w:eastAsia="en-GB"/>
        </w:rPr>
        <w:t xml:space="preserve"> </w:t>
      </w:r>
      <w:r w:rsidRPr="00980A75">
        <w:rPr>
          <w:rFonts w:cs="Arial"/>
          <w:bCs w:val="0"/>
          <w:spacing w:val="-2"/>
          <w:szCs w:val="24"/>
          <w:lang w:eastAsia="en-GB"/>
        </w:rPr>
        <w:t>c</w:t>
      </w:r>
      <w:r w:rsidRPr="00980A75">
        <w:rPr>
          <w:rFonts w:cs="Arial"/>
          <w:bCs w:val="0"/>
          <w:szCs w:val="24"/>
          <w:lang w:eastAsia="en-GB"/>
        </w:rPr>
        <w:t>ont</w:t>
      </w:r>
      <w:r w:rsidRPr="00980A75">
        <w:rPr>
          <w:rFonts w:cs="Arial"/>
          <w:bCs w:val="0"/>
          <w:spacing w:val="-1"/>
          <w:szCs w:val="24"/>
          <w:lang w:eastAsia="en-GB"/>
        </w:rPr>
        <w:t>r</w:t>
      </w:r>
      <w:r w:rsidRPr="00980A75">
        <w:rPr>
          <w:rFonts w:cs="Arial"/>
          <w:bCs w:val="0"/>
          <w:szCs w:val="24"/>
          <w:lang w:eastAsia="en-GB"/>
        </w:rPr>
        <w:t>ac</w:t>
      </w:r>
      <w:r w:rsidRPr="00980A75">
        <w:rPr>
          <w:rFonts w:cs="Arial"/>
          <w:bCs w:val="0"/>
          <w:spacing w:val="-2"/>
          <w:szCs w:val="24"/>
          <w:lang w:eastAsia="en-GB"/>
        </w:rPr>
        <w:t>t</w:t>
      </w:r>
      <w:r w:rsidRPr="00980A75">
        <w:rPr>
          <w:rFonts w:cs="Arial"/>
          <w:bCs w:val="0"/>
          <w:szCs w:val="24"/>
          <w:lang w:eastAsia="en-GB"/>
        </w:rPr>
        <w:t>or</w:t>
      </w:r>
      <w:r w:rsidRPr="00980A75">
        <w:rPr>
          <w:rFonts w:cs="Arial"/>
          <w:bCs w:val="0"/>
          <w:spacing w:val="-11"/>
          <w:szCs w:val="24"/>
          <w:lang w:eastAsia="en-GB"/>
        </w:rPr>
        <w:t xml:space="preserve"> </w:t>
      </w:r>
      <w:r w:rsidRPr="00980A75">
        <w:rPr>
          <w:rFonts w:cs="Arial"/>
          <w:bCs w:val="0"/>
          <w:szCs w:val="24"/>
          <w:lang w:eastAsia="en-GB"/>
        </w:rPr>
        <w:t>to</w:t>
      </w:r>
      <w:r w:rsidRPr="00980A75">
        <w:rPr>
          <w:rFonts w:cs="Arial"/>
          <w:bCs w:val="0"/>
          <w:spacing w:val="-3"/>
          <w:szCs w:val="24"/>
          <w:lang w:eastAsia="en-GB"/>
        </w:rPr>
        <w:t xml:space="preserve"> </w:t>
      </w:r>
      <w:r w:rsidRPr="00980A75">
        <w:rPr>
          <w:rFonts w:cs="Arial"/>
          <w:bCs w:val="0"/>
          <w:szCs w:val="24"/>
          <w:lang w:eastAsia="en-GB"/>
        </w:rPr>
        <w:t>p</w:t>
      </w:r>
      <w:r w:rsidRPr="00980A75">
        <w:rPr>
          <w:rFonts w:cs="Arial"/>
          <w:bCs w:val="0"/>
          <w:spacing w:val="-1"/>
          <w:szCs w:val="24"/>
          <w:lang w:eastAsia="en-GB"/>
        </w:rPr>
        <w:t>u</w:t>
      </w:r>
      <w:r w:rsidRPr="00980A75">
        <w:rPr>
          <w:rFonts w:cs="Arial"/>
          <w:bCs w:val="0"/>
          <w:szCs w:val="24"/>
          <w:lang w:eastAsia="en-GB"/>
        </w:rPr>
        <w:t>blish</w:t>
      </w:r>
      <w:r w:rsidRPr="00980A75">
        <w:rPr>
          <w:rFonts w:cs="Arial"/>
          <w:bCs w:val="0"/>
          <w:spacing w:val="-6"/>
          <w:szCs w:val="24"/>
          <w:lang w:eastAsia="en-GB"/>
        </w:rPr>
        <w:t xml:space="preserve"> </w:t>
      </w:r>
      <w:r w:rsidRPr="00980A75">
        <w:rPr>
          <w:rFonts w:cs="Arial"/>
          <w:bCs w:val="0"/>
          <w:szCs w:val="24"/>
          <w:lang w:eastAsia="en-GB"/>
        </w:rPr>
        <w:t>t</w:t>
      </w:r>
      <w:r w:rsidRPr="00980A75">
        <w:rPr>
          <w:rFonts w:cs="Arial"/>
          <w:bCs w:val="0"/>
          <w:spacing w:val="-1"/>
          <w:szCs w:val="24"/>
          <w:lang w:eastAsia="en-GB"/>
        </w:rPr>
        <w:t>h</w:t>
      </w:r>
      <w:r w:rsidRPr="00980A75">
        <w:rPr>
          <w:rFonts w:cs="Arial"/>
          <w:bCs w:val="0"/>
          <w:szCs w:val="24"/>
          <w:lang w:eastAsia="en-GB"/>
        </w:rPr>
        <w:t>e</w:t>
      </w:r>
      <w:r w:rsidRPr="00980A75">
        <w:rPr>
          <w:rFonts w:cs="Arial"/>
          <w:bCs w:val="0"/>
          <w:spacing w:val="-4"/>
          <w:szCs w:val="24"/>
          <w:lang w:eastAsia="en-GB"/>
        </w:rPr>
        <w:t xml:space="preserve"> </w:t>
      </w:r>
      <w:r w:rsidRPr="00980A75">
        <w:rPr>
          <w:rFonts w:cs="Arial"/>
          <w:bCs w:val="0"/>
          <w:szCs w:val="24"/>
          <w:lang w:eastAsia="en-GB"/>
        </w:rPr>
        <w:t>de</w:t>
      </w:r>
      <w:r w:rsidRPr="00980A75">
        <w:rPr>
          <w:rFonts w:cs="Arial"/>
          <w:bCs w:val="0"/>
          <w:spacing w:val="-2"/>
          <w:szCs w:val="24"/>
          <w:lang w:eastAsia="en-GB"/>
        </w:rPr>
        <w:t>t</w:t>
      </w:r>
      <w:r w:rsidRPr="00980A75">
        <w:rPr>
          <w:rFonts w:cs="Arial"/>
          <w:bCs w:val="0"/>
          <w:szCs w:val="24"/>
          <w:lang w:eastAsia="en-GB"/>
        </w:rPr>
        <w:t>ails</w:t>
      </w:r>
      <w:r w:rsidRPr="00980A75">
        <w:rPr>
          <w:rFonts w:cs="Arial"/>
          <w:bCs w:val="0"/>
          <w:spacing w:val="-7"/>
          <w:szCs w:val="24"/>
          <w:lang w:eastAsia="en-GB"/>
        </w:rPr>
        <w:t xml:space="preserve"> </w:t>
      </w:r>
      <w:r w:rsidRPr="00980A75">
        <w:rPr>
          <w:rFonts w:cs="Arial"/>
          <w:bCs w:val="0"/>
          <w:spacing w:val="-1"/>
          <w:szCs w:val="24"/>
          <w:lang w:eastAsia="en-GB"/>
        </w:rPr>
        <w:t>o</w:t>
      </w:r>
      <w:r w:rsidRPr="00980A75">
        <w:rPr>
          <w:rFonts w:cs="Arial"/>
          <w:bCs w:val="0"/>
          <w:szCs w:val="24"/>
          <w:lang w:eastAsia="en-GB"/>
        </w:rPr>
        <w:t xml:space="preserve">f </w:t>
      </w:r>
      <w:r w:rsidRPr="00980A75">
        <w:rPr>
          <w:rFonts w:cs="Arial"/>
          <w:bCs w:val="0"/>
          <w:spacing w:val="-2"/>
          <w:szCs w:val="24"/>
          <w:lang w:eastAsia="en-GB"/>
        </w:rPr>
        <w:t>t</w:t>
      </w:r>
      <w:r w:rsidRPr="00980A75">
        <w:rPr>
          <w:rFonts w:cs="Arial"/>
          <w:bCs w:val="0"/>
          <w:szCs w:val="24"/>
          <w:lang w:eastAsia="en-GB"/>
        </w:rPr>
        <w:t>he new</w:t>
      </w:r>
      <w:r w:rsidRPr="00980A75">
        <w:rPr>
          <w:rFonts w:cs="Arial"/>
          <w:bCs w:val="0"/>
          <w:spacing w:val="-6"/>
          <w:szCs w:val="24"/>
          <w:lang w:eastAsia="en-GB"/>
        </w:rPr>
        <w:t xml:space="preserve"> </w:t>
      </w:r>
      <w:r w:rsidRPr="00980A75">
        <w:rPr>
          <w:rFonts w:cs="Arial"/>
          <w:bCs w:val="0"/>
          <w:szCs w:val="24"/>
          <w:lang w:eastAsia="en-GB"/>
        </w:rPr>
        <w:t>p</w:t>
      </w:r>
      <w:r w:rsidRPr="00980A75">
        <w:rPr>
          <w:rFonts w:cs="Arial"/>
          <w:bCs w:val="0"/>
          <w:spacing w:val="-1"/>
          <w:szCs w:val="24"/>
          <w:lang w:eastAsia="en-GB"/>
        </w:rPr>
        <w:t>r</w:t>
      </w:r>
      <w:r w:rsidRPr="00980A75">
        <w:rPr>
          <w:rFonts w:cs="Arial"/>
          <w:bCs w:val="0"/>
          <w:szCs w:val="24"/>
          <w:lang w:eastAsia="en-GB"/>
        </w:rPr>
        <w:t>actice</w:t>
      </w:r>
      <w:r w:rsidRPr="00980A75">
        <w:rPr>
          <w:rFonts w:cs="Arial"/>
          <w:bCs w:val="0"/>
          <w:spacing w:val="-6"/>
          <w:szCs w:val="24"/>
          <w:lang w:eastAsia="en-GB"/>
        </w:rPr>
        <w:t xml:space="preserve"> </w:t>
      </w:r>
      <w:r w:rsidRPr="00980A75">
        <w:rPr>
          <w:rFonts w:cs="Arial"/>
          <w:bCs w:val="0"/>
          <w:szCs w:val="24"/>
          <w:lang w:eastAsia="en-GB"/>
        </w:rPr>
        <w:t>a</w:t>
      </w:r>
      <w:r w:rsidRPr="00980A75">
        <w:rPr>
          <w:rFonts w:cs="Arial"/>
          <w:bCs w:val="0"/>
          <w:spacing w:val="-1"/>
          <w:szCs w:val="24"/>
          <w:lang w:eastAsia="en-GB"/>
        </w:rPr>
        <w:t>re</w:t>
      </w:r>
      <w:r w:rsidRPr="00980A75">
        <w:rPr>
          <w:rFonts w:cs="Arial"/>
          <w:bCs w:val="0"/>
          <w:szCs w:val="24"/>
          <w:lang w:eastAsia="en-GB"/>
        </w:rPr>
        <w:t>a</w:t>
      </w:r>
      <w:r w:rsidRPr="00980A75">
        <w:rPr>
          <w:rFonts w:cs="Arial"/>
          <w:bCs w:val="0"/>
          <w:spacing w:val="-3"/>
          <w:szCs w:val="24"/>
          <w:lang w:eastAsia="en-GB"/>
        </w:rPr>
        <w:t xml:space="preserve"> w</w:t>
      </w:r>
      <w:r w:rsidRPr="00980A75">
        <w:rPr>
          <w:rFonts w:cs="Arial"/>
          <w:bCs w:val="0"/>
          <w:szCs w:val="24"/>
          <w:lang w:eastAsia="en-GB"/>
        </w:rPr>
        <w:t>ithin</w:t>
      </w:r>
      <w:r w:rsidRPr="00980A75">
        <w:rPr>
          <w:rFonts w:cs="Arial"/>
          <w:bCs w:val="0"/>
          <w:spacing w:val="-4"/>
          <w:szCs w:val="24"/>
          <w:lang w:eastAsia="en-GB"/>
        </w:rPr>
        <w:t xml:space="preserve"> </w:t>
      </w:r>
      <w:r w:rsidRPr="00980A75">
        <w:rPr>
          <w:rFonts w:cs="Arial"/>
          <w:bCs w:val="0"/>
          <w:szCs w:val="24"/>
          <w:lang w:eastAsia="en-GB"/>
        </w:rPr>
        <w:t>t</w:t>
      </w:r>
      <w:r w:rsidRPr="00980A75">
        <w:rPr>
          <w:rFonts w:cs="Arial"/>
          <w:bCs w:val="0"/>
          <w:spacing w:val="-1"/>
          <w:szCs w:val="24"/>
          <w:lang w:eastAsia="en-GB"/>
        </w:rPr>
        <w:t>h</w:t>
      </w:r>
      <w:r w:rsidRPr="00980A75">
        <w:rPr>
          <w:rFonts w:cs="Arial"/>
          <w:bCs w:val="0"/>
          <w:szCs w:val="24"/>
          <w:lang w:eastAsia="en-GB"/>
        </w:rPr>
        <w:t>eir</w:t>
      </w:r>
      <w:r w:rsidRPr="00980A75">
        <w:rPr>
          <w:rFonts w:cs="Arial"/>
          <w:bCs w:val="0"/>
          <w:spacing w:val="-5"/>
          <w:szCs w:val="24"/>
          <w:lang w:eastAsia="en-GB"/>
        </w:rPr>
        <w:t xml:space="preserve"> </w:t>
      </w:r>
      <w:r w:rsidRPr="00980A75">
        <w:rPr>
          <w:rFonts w:cs="Arial"/>
          <w:bCs w:val="0"/>
          <w:szCs w:val="24"/>
          <w:lang w:eastAsia="en-GB"/>
        </w:rPr>
        <w:t>pati</w:t>
      </w:r>
      <w:r w:rsidRPr="00980A75">
        <w:rPr>
          <w:rFonts w:cs="Arial"/>
          <w:bCs w:val="0"/>
          <w:spacing w:val="-1"/>
          <w:szCs w:val="24"/>
          <w:lang w:eastAsia="en-GB"/>
        </w:rPr>
        <w:t>e</w:t>
      </w:r>
      <w:r w:rsidRPr="00980A75">
        <w:rPr>
          <w:rFonts w:cs="Arial"/>
          <w:bCs w:val="0"/>
          <w:szCs w:val="24"/>
          <w:lang w:eastAsia="en-GB"/>
        </w:rPr>
        <w:t>nt</w:t>
      </w:r>
      <w:r w:rsidRPr="00980A75">
        <w:rPr>
          <w:rFonts w:cs="Arial"/>
          <w:bCs w:val="0"/>
          <w:spacing w:val="-6"/>
          <w:szCs w:val="24"/>
          <w:lang w:eastAsia="en-GB"/>
        </w:rPr>
        <w:t xml:space="preserve"> </w:t>
      </w:r>
      <w:r w:rsidRPr="00980A75">
        <w:rPr>
          <w:rFonts w:cs="Arial"/>
          <w:bCs w:val="0"/>
          <w:szCs w:val="24"/>
          <w:lang w:eastAsia="en-GB"/>
        </w:rPr>
        <w:t>i</w:t>
      </w:r>
      <w:r w:rsidRPr="00980A75">
        <w:rPr>
          <w:rFonts w:cs="Arial"/>
          <w:bCs w:val="0"/>
          <w:spacing w:val="-1"/>
          <w:szCs w:val="24"/>
          <w:lang w:eastAsia="en-GB"/>
        </w:rPr>
        <w:t>n</w:t>
      </w:r>
      <w:r w:rsidRPr="00980A75">
        <w:rPr>
          <w:rFonts w:cs="Arial"/>
          <w:bCs w:val="0"/>
          <w:szCs w:val="24"/>
          <w:lang w:eastAsia="en-GB"/>
        </w:rPr>
        <w:t>fo</w:t>
      </w:r>
      <w:r w:rsidRPr="00980A75">
        <w:rPr>
          <w:rFonts w:cs="Arial"/>
          <w:bCs w:val="0"/>
          <w:spacing w:val="-1"/>
          <w:szCs w:val="24"/>
          <w:lang w:eastAsia="en-GB"/>
        </w:rPr>
        <w:t>rm</w:t>
      </w:r>
      <w:r w:rsidRPr="00980A75">
        <w:rPr>
          <w:rFonts w:cs="Arial"/>
          <w:bCs w:val="0"/>
          <w:szCs w:val="24"/>
          <w:lang w:eastAsia="en-GB"/>
        </w:rPr>
        <w:t>at</w:t>
      </w:r>
      <w:r w:rsidRPr="00980A75">
        <w:rPr>
          <w:rFonts w:cs="Arial"/>
          <w:bCs w:val="0"/>
          <w:spacing w:val="-3"/>
          <w:szCs w:val="24"/>
          <w:lang w:eastAsia="en-GB"/>
        </w:rPr>
        <w:t>i</w:t>
      </w:r>
      <w:r w:rsidRPr="00980A75">
        <w:rPr>
          <w:rFonts w:cs="Arial"/>
          <w:bCs w:val="0"/>
          <w:szCs w:val="24"/>
          <w:lang w:eastAsia="en-GB"/>
        </w:rPr>
        <w:t>on</w:t>
      </w:r>
      <w:r w:rsidRPr="00980A75">
        <w:rPr>
          <w:rFonts w:cs="Arial"/>
          <w:bCs w:val="0"/>
          <w:spacing w:val="-10"/>
          <w:szCs w:val="24"/>
          <w:lang w:eastAsia="en-GB"/>
        </w:rPr>
        <w:t xml:space="preserve"> </w:t>
      </w:r>
      <w:r w:rsidRPr="00980A75">
        <w:rPr>
          <w:rFonts w:cs="Arial"/>
          <w:bCs w:val="0"/>
          <w:w w:val="99"/>
          <w:szCs w:val="24"/>
          <w:lang w:eastAsia="en-GB"/>
        </w:rPr>
        <w:t>l</w:t>
      </w:r>
      <w:r w:rsidRPr="00980A75">
        <w:rPr>
          <w:rFonts w:cs="Arial"/>
          <w:bCs w:val="0"/>
          <w:spacing w:val="-1"/>
          <w:w w:val="99"/>
          <w:szCs w:val="24"/>
          <w:lang w:eastAsia="en-GB"/>
        </w:rPr>
        <w:t>ea</w:t>
      </w:r>
      <w:r w:rsidRPr="00980A75">
        <w:rPr>
          <w:rFonts w:cs="Arial"/>
          <w:bCs w:val="0"/>
          <w:spacing w:val="3"/>
          <w:w w:val="99"/>
          <w:szCs w:val="24"/>
          <w:lang w:eastAsia="en-GB"/>
        </w:rPr>
        <w:t>f</w:t>
      </w:r>
      <w:r w:rsidRPr="00980A75">
        <w:rPr>
          <w:rFonts w:cs="Arial"/>
          <w:bCs w:val="0"/>
          <w:w w:val="99"/>
          <w:szCs w:val="24"/>
          <w:lang w:eastAsia="en-GB"/>
        </w:rPr>
        <w:t>let and</w:t>
      </w:r>
      <w:r w:rsidRPr="00980A75">
        <w:rPr>
          <w:rFonts w:cs="Arial"/>
          <w:bCs w:val="0"/>
          <w:spacing w:val="-1"/>
          <w:szCs w:val="24"/>
          <w:lang w:eastAsia="en-GB"/>
        </w:rPr>
        <w:t xml:space="preserve"> </w:t>
      </w:r>
      <w:r w:rsidRPr="00980A75">
        <w:rPr>
          <w:rFonts w:cs="Arial"/>
          <w:bCs w:val="0"/>
          <w:szCs w:val="24"/>
          <w:lang w:eastAsia="en-GB"/>
        </w:rPr>
        <w:t>on</w:t>
      </w:r>
      <w:r w:rsidRPr="00980A75">
        <w:rPr>
          <w:rFonts w:cs="Arial"/>
          <w:bCs w:val="0"/>
          <w:spacing w:val="-4"/>
          <w:szCs w:val="24"/>
          <w:lang w:eastAsia="en-GB"/>
        </w:rPr>
        <w:t xml:space="preserve"> </w:t>
      </w:r>
      <w:r w:rsidRPr="00980A75">
        <w:rPr>
          <w:rFonts w:cs="Arial"/>
          <w:bCs w:val="0"/>
          <w:szCs w:val="24"/>
          <w:lang w:eastAsia="en-GB"/>
        </w:rPr>
        <w:t>their</w:t>
      </w:r>
      <w:r w:rsidRPr="00980A75">
        <w:rPr>
          <w:rFonts w:cs="Arial"/>
          <w:bCs w:val="0"/>
          <w:spacing w:val="-5"/>
          <w:szCs w:val="24"/>
          <w:lang w:eastAsia="en-GB"/>
        </w:rPr>
        <w:t xml:space="preserve"> </w:t>
      </w:r>
      <w:r w:rsidRPr="00980A75">
        <w:rPr>
          <w:rFonts w:cs="Arial"/>
          <w:bCs w:val="0"/>
          <w:spacing w:val="-3"/>
          <w:szCs w:val="24"/>
          <w:lang w:eastAsia="en-GB"/>
        </w:rPr>
        <w:t>w</w:t>
      </w:r>
      <w:r w:rsidRPr="00980A75">
        <w:rPr>
          <w:rFonts w:cs="Arial"/>
          <w:bCs w:val="0"/>
          <w:szCs w:val="24"/>
          <w:lang w:eastAsia="en-GB"/>
        </w:rPr>
        <w:t>ebsite</w:t>
      </w:r>
      <w:r w:rsidRPr="00980A75">
        <w:rPr>
          <w:rFonts w:cs="Arial"/>
          <w:bCs w:val="0"/>
          <w:spacing w:val="-6"/>
          <w:szCs w:val="24"/>
          <w:lang w:eastAsia="en-GB"/>
        </w:rPr>
        <w:t xml:space="preserve"> </w:t>
      </w:r>
      <w:r w:rsidRPr="00980A75">
        <w:rPr>
          <w:rFonts w:cs="Arial"/>
          <w:bCs w:val="0"/>
          <w:spacing w:val="-1"/>
          <w:szCs w:val="24"/>
          <w:lang w:eastAsia="en-GB"/>
        </w:rPr>
        <w:t>(</w:t>
      </w:r>
      <w:r w:rsidRPr="00980A75">
        <w:rPr>
          <w:rFonts w:cs="Arial"/>
          <w:bCs w:val="0"/>
          <w:spacing w:val="-3"/>
          <w:szCs w:val="24"/>
          <w:lang w:eastAsia="en-GB"/>
        </w:rPr>
        <w:t>i</w:t>
      </w:r>
      <w:r w:rsidRPr="00980A75">
        <w:rPr>
          <w:rFonts w:cs="Arial"/>
          <w:bCs w:val="0"/>
          <w:szCs w:val="24"/>
          <w:lang w:eastAsia="en-GB"/>
        </w:rPr>
        <w:t>f</w:t>
      </w:r>
      <w:r w:rsidRPr="00980A75">
        <w:rPr>
          <w:rFonts w:cs="Arial"/>
          <w:bCs w:val="0"/>
          <w:spacing w:val="-1"/>
          <w:szCs w:val="24"/>
          <w:lang w:eastAsia="en-GB"/>
        </w:rPr>
        <w:t xml:space="preserve"> </w:t>
      </w:r>
      <w:r w:rsidRPr="00980A75">
        <w:rPr>
          <w:rFonts w:cs="Arial"/>
          <w:bCs w:val="0"/>
          <w:szCs w:val="24"/>
          <w:lang w:eastAsia="en-GB"/>
        </w:rPr>
        <w:t>they</w:t>
      </w:r>
      <w:r w:rsidRPr="00980A75">
        <w:rPr>
          <w:rFonts w:cs="Arial"/>
          <w:bCs w:val="0"/>
          <w:spacing w:val="-7"/>
          <w:szCs w:val="24"/>
          <w:lang w:eastAsia="en-GB"/>
        </w:rPr>
        <w:t xml:space="preserve"> </w:t>
      </w:r>
      <w:r w:rsidRPr="00980A75">
        <w:rPr>
          <w:rFonts w:cs="Arial"/>
          <w:bCs w:val="0"/>
          <w:szCs w:val="24"/>
          <w:lang w:eastAsia="en-GB"/>
        </w:rPr>
        <w:t>ha</w:t>
      </w:r>
      <w:r w:rsidRPr="00980A75">
        <w:rPr>
          <w:rFonts w:cs="Arial"/>
          <w:bCs w:val="0"/>
          <w:spacing w:val="-2"/>
          <w:szCs w:val="24"/>
          <w:lang w:eastAsia="en-GB"/>
        </w:rPr>
        <w:t>v</w:t>
      </w:r>
      <w:r w:rsidRPr="00980A75">
        <w:rPr>
          <w:rFonts w:cs="Arial"/>
          <w:bCs w:val="0"/>
          <w:szCs w:val="24"/>
          <w:lang w:eastAsia="en-GB"/>
        </w:rPr>
        <w:t>e</w:t>
      </w:r>
      <w:r w:rsidRPr="00980A75">
        <w:rPr>
          <w:rFonts w:cs="Arial"/>
          <w:bCs w:val="0"/>
          <w:spacing w:val="-3"/>
          <w:szCs w:val="24"/>
          <w:lang w:eastAsia="en-GB"/>
        </w:rPr>
        <w:t xml:space="preserve"> </w:t>
      </w:r>
      <w:r w:rsidRPr="00980A75">
        <w:rPr>
          <w:rFonts w:cs="Arial"/>
          <w:bCs w:val="0"/>
          <w:spacing w:val="-1"/>
          <w:szCs w:val="24"/>
          <w:lang w:eastAsia="en-GB"/>
        </w:rPr>
        <w:t>o</w:t>
      </w:r>
      <w:r w:rsidRPr="00980A75">
        <w:rPr>
          <w:rFonts w:cs="Arial"/>
          <w:bCs w:val="0"/>
          <w:szCs w:val="24"/>
          <w:lang w:eastAsia="en-GB"/>
        </w:rPr>
        <w:t>ne</w:t>
      </w:r>
      <w:r w:rsidRPr="00980A75">
        <w:rPr>
          <w:rFonts w:cs="Arial"/>
          <w:bCs w:val="0"/>
          <w:spacing w:val="-1"/>
          <w:szCs w:val="24"/>
          <w:lang w:eastAsia="en-GB"/>
        </w:rPr>
        <w:t>)</w:t>
      </w:r>
      <w:r w:rsidRPr="00980A75">
        <w:rPr>
          <w:rFonts w:cs="Arial"/>
          <w:bCs w:val="0"/>
          <w:szCs w:val="24"/>
          <w:lang w:eastAsia="en-GB"/>
        </w:rPr>
        <w:t>.</w:t>
      </w:r>
      <w:bookmarkEnd w:id="778"/>
    </w:p>
    <w:p w14:paraId="4A40390D" w14:textId="77777777" w:rsidR="00977693" w:rsidRPr="00CE0885" w:rsidRDefault="00977693" w:rsidP="00980A75">
      <w:pPr>
        <w:pStyle w:val="Heading3"/>
        <w:rPr>
          <w:lang w:eastAsia="en-GB"/>
        </w:rPr>
      </w:pPr>
      <w:bookmarkStart w:id="779" w:name="_Toc440981940"/>
      <w:r w:rsidRPr="00CE0885">
        <w:rPr>
          <w:spacing w:val="1"/>
          <w:lang w:eastAsia="en-GB"/>
        </w:rPr>
        <w:t>I</w:t>
      </w:r>
      <w:r w:rsidRPr="00CE0885">
        <w:rPr>
          <w:lang w:eastAsia="en-GB"/>
        </w:rPr>
        <w:t xml:space="preserve">f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2"/>
          <w:lang w:eastAsia="en-GB"/>
        </w:rPr>
        <w:t>Commissioner</w:t>
      </w:r>
      <w:r w:rsidRPr="00CE0885">
        <w:rPr>
          <w:spacing w:val="-3"/>
          <w:lang w:eastAsia="en-GB"/>
        </w:rPr>
        <w:t xml:space="preserve"> </w:t>
      </w:r>
      <w:r w:rsidRPr="00CE0885">
        <w:rPr>
          <w:spacing w:val="1"/>
          <w:lang w:eastAsia="en-GB"/>
        </w:rPr>
        <w:t>de</w:t>
      </w:r>
      <w:r w:rsidRPr="00CE0885">
        <w:rPr>
          <w:lang w:eastAsia="en-GB"/>
        </w:rPr>
        <w:t>cli</w:t>
      </w:r>
      <w:r w:rsidRPr="00CE0885">
        <w:rPr>
          <w:spacing w:val="1"/>
          <w:lang w:eastAsia="en-GB"/>
        </w:rPr>
        <w:t>ne</w:t>
      </w:r>
      <w:r w:rsidRPr="00CE0885">
        <w:rPr>
          <w:lang w:eastAsia="en-GB"/>
        </w:rPr>
        <w:t>s</w:t>
      </w:r>
      <w:r w:rsidRPr="00CE0885">
        <w:rPr>
          <w:spacing w:val="-11"/>
          <w:lang w:eastAsia="en-GB"/>
        </w:rPr>
        <w:t xml:space="preserve">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pr</w:t>
      </w:r>
      <w:r w:rsidRPr="00CE0885">
        <w:rPr>
          <w:spacing w:val="1"/>
          <w:lang w:eastAsia="en-GB"/>
        </w:rPr>
        <w:t>opo</w:t>
      </w:r>
      <w:r w:rsidRPr="00CE0885">
        <w:rPr>
          <w:lang w:eastAsia="en-GB"/>
        </w:rPr>
        <w:t>s</w:t>
      </w:r>
      <w:r w:rsidRPr="00CE0885">
        <w:rPr>
          <w:spacing w:val="-1"/>
          <w:lang w:eastAsia="en-GB"/>
        </w:rPr>
        <w:t>e</w:t>
      </w:r>
      <w:r w:rsidRPr="00CE0885">
        <w:rPr>
          <w:lang w:eastAsia="en-GB"/>
        </w:rPr>
        <w:t>d</w:t>
      </w:r>
      <w:r w:rsidRPr="00CE0885">
        <w:rPr>
          <w:spacing w:val="-8"/>
          <w:lang w:eastAsia="en-GB"/>
        </w:rPr>
        <w:t xml:space="preserve"> </w:t>
      </w:r>
      <w:r w:rsidRPr="00CE0885">
        <w:rPr>
          <w:lang w:eastAsia="en-GB"/>
        </w:rPr>
        <w:t>c</w:t>
      </w:r>
      <w:r w:rsidRPr="00CE0885">
        <w:rPr>
          <w:spacing w:val="-1"/>
          <w:lang w:eastAsia="en-GB"/>
        </w:rPr>
        <w:t>h</w:t>
      </w:r>
      <w:r w:rsidRPr="00CE0885">
        <w:rPr>
          <w:spacing w:val="1"/>
          <w:lang w:eastAsia="en-GB"/>
        </w:rPr>
        <w:t>an</w:t>
      </w:r>
      <w:r w:rsidRPr="00CE0885">
        <w:rPr>
          <w:spacing w:val="-1"/>
          <w:lang w:eastAsia="en-GB"/>
        </w:rPr>
        <w:t>g</w:t>
      </w:r>
      <w:r w:rsidRPr="00CE0885">
        <w:rPr>
          <w:spacing w:val="1"/>
          <w:lang w:eastAsia="en-GB"/>
        </w:rPr>
        <w:t>e</w:t>
      </w:r>
      <w:r w:rsidRPr="00CE0885">
        <w:rPr>
          <w:lang w:eastAsia="en-GB"/>
        </w:rPr>
        <w:t>s</w:t>
      </w:r>
      <w:r w:rsidRPr="00CE0885">
        <w:rPr>
          <w:spacing w:val="-9"/>
          <w:lang w:eastAsia="en-GB"/>
        </w:rPr>
        <w:t xml:space="preserve"> </w:t>
      </w:r>
      <w:r w:rsidRPr="00CE0885">
        <w:rPr>
          <w:spacing w:val="-2"/>
          <w:lang w:eastAsia="en-GB"/>
        </w:rPr>
        <w:t>t</w:t>
      </w:r>
      <w:r w:rsidRPr="00CE0885">
        <w:rPr>
          <w:lang w:eastAsia="en-GB"/>
        </w:rPr>
        <w:t xml:space="preserve">o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1"/>
          <w:lang w:eastAsia="en-GB"/>
        </w:rPr>
        <w:t>p</w:t>
      </w:r>
      <w:r w:rsidRPr="00CE0885">
        <w:rPr>
          <w:spacing w:val="-1"/>
          <w:lang w:eastAsia="en-GB"/>
        </w:rPr>
        <w:t>r</w:t>
      </w:r>
      <w:r w:rsidRPr="00CE0885">
        <w:rPr>
          <w:spacing w:val="1"/>
          <w:lang w:eastAsia="en-GB"/>
        </w:rPr>
        <w:t>a</w:t>
      </w:r>
      <w:r w:rsidRPr="00CE0885">
        <w:rPr>
          <w:lang w:eastAsia="en-GB"/>
        </w:rPr>
        <w:t>c</w:t>
      </w:r>
      <w:r w:rsidRPr="00CE0885">
        <w:rPr>
          <w:spacing w:val="1"/>
          <w:lang w:eastAsia="en-GB"/>
        </w:rPr>
        <w:t>t</w:t>
      </w:r>
      <w:r w:rsidRPr="00CE0885">
        <w:rPr>
          <w:lang w:eastAsia="en-GB"/>
        </w:rPr>
        <w:t>ice</w:t>
      </w:r>
      <w:r w:rsidRPr="00CE0885">
        <w:rPr>
          <w:spacing w:val="-9"/>
          <w:lang w:eastAsia="en-GB"/>
        </w:rPr>
        <w:t xml:space="preserve"> </w:t>
      </w:r>
      <w:r w:rsidRPr="00CE0885">
        <w:rPr>
          <w:spacing w:val="1"/>
          <w:lang w:eastAsia="en-GB"/>
        </w:rPr>
        <w:t>a</w:t>
      </w:r>
      <w:r w:rsidRPr="00CE0885">
        <w:rPr>
          <w:spacing w:val="-1"/>
          <w:lang w:eastAsia="en-GB"/>
        </w:rPr>
        <w:t>r</w:t>
      </w:r>
      <w:r w:rsidRPr="00CE0885">
        <w:rPr>
          <w:spacing w:val="1"/>
          <w:lang w:eastAsia="en-GB"/>
        </w:rPr>
        <w:t>e</w:t>
      </w:r>
      <w:r w:rsidRPr="00CE0885">
        <w:rPr>
          <w:spacing w:val="-1"/>
          <w:lang w:eastAsia="en-GB"/>
        </w:rPr>
        <w:t>a</w:t>
      </w:r>
      <w:r w:rsidRPr="00CE0885">
        <w:rPr>
          <w:lang w:eastAsia="en-GB"/>
        </w:rPr>
        <w:t>,</w:t>
      </w:r>
      <w:r w:rsidRPr="00CE0885">
        <w:rPr>
          <w:spacing w:val="-4"/>
          <w:lang w:eastAsia="en-GB"/>
        </w:rPr>
        <w:t xml:space="preserve"> </w:t>
      </w:r>
      <w:r w:rsidRPr="00CE0885">
        <w:rPr>
          <w:spacing w:val="1"/>
          <w:lang w:eastAsia="en-GB"/>
        </w:rPr>
        <w:t>t</w:t>
      </w:r>
      <w:r w:rsidRPr="00CE0885">
        <w:rPr>
          <w:spacing w:val="-1"/>
          <w:lang w:eastAsia="en-GB"/>
        </w:rPr>
        <w:t>h</w:t>
      </w:r>
      <w:r w:rsidRPr="00CE0885">
        <w:rPr>
          <w:lang w:eastAsia="en-GB"/>
        </w:rPr>
        <w:t>e c</w:t>
      </w:r>
      <w:r w:rsidRPr="00CE0885">
        <w:rPr>
          <w:spacing w:val="1"/>
          <w:lang w:eastAsia="en-GB"/>
        </w:rPr>
        <w:t>ont</w:t>
      </w:r>
      <w:r w:rsidRPr="00CE0885">
        <w:rPr>
          <w:spacing w:val="-1"/>
          <w:lang w:eastAsia="en-GB"/>
        </w:rPr>
        <w:t>r</w:t>
      </w:r>
      <w:r w:rsidRPr="00CE0885">
        <w:rPr>
          <w:spacing w:val="1"/>
          <w:lang w:eastAsia="en-GB"/>
        </w:rPr>
        <w:t>a</w:t>
      </w:r>
      <w:r w:rsidRPr="00CE0885">
        <w:rPr>
          <w:lang w:eastAsia="en-GB"/>
        </w:rPr>
        <w:t>c</w:t>
      </w:r>
      <w:r w:rsidRPr="00CE0885">
        <w:rPr>
          <w:spacing w:val="-2"/>
          <w:lang w:eastAsia="en-GB"/>
        </w:rPr>
        <w:t>t</w:t>
      </w:r>
      <w:r w:rsidRPr="00CE0885">
        <w:rPr>
          <w:spacing w:val="1"/>
          <w:lang w:eastAsia="en-GB"/>
        </w:rPr>
        <w:t>o</w:t>
      </w:r>
      <w:r w:rsidRPr="00CE0885">
        <w:rPr>
          <w:lang w:eastAsia="en-GB"/>
        </w:rPr>
        <w:t>r</w:t>
      </w:r>
      <w:r w:rsidRPr="00CE0885">
        <w:rPr>
          <w:spacing w:val="-11"/>
          <w:lang w:eastAsia="en-GB"/>
        </w:rPr>
        <w:t xml:space="preserve"> </w:t>
      </w:r>
      <w:r w:rsidRPr="00CE0885">
        <w:rPr>
          <w:lang w:eastAsia="en-GB"/>
        </w:rPr>
        <w:t>should</w:t>
      </w:r>
      <w:r w:rsidRPr="00CE0885">
        <w:rPr>
          <w:spacing w:val="-5"/>
          <w:lang w:eastAsia="en-GB"/>
        </w:rPr>
        <w:t xml:space="preserve"> </w:t>
      </w:r>
      <w:r w:rsidRPr="00CE0885">
        <w:rPr>
          <w:spacing w:val="-1"/>
          <w:lang w:eastAsia="en-GB"/>
        </w:rPr>
        <w:t>b</w:t>
      </w:r>
      <w:r w:rsidRPr="00CE0885">
        <w:rPr>
          <w:lang w:eastAsia="en-GB"/>
        </w:rPr>
        <w:t>e</w:t>
      </w:r>
      <w:r w:rsidRPr="00CE0885">
        <w:rPr>
          <w:spacing w:val="-1"/>
          <w:lang w:eastAsia="en-GB"/>
        </w:rPr>
        <w:t xml:space="preserve"> n</w:t>
      </w:r>
      <w:r w:rsidRPr="00CE0885">
        <w:rPr>
          <w:spacing w:val="1"/>
          <w:lang w:eastAsia="en-GB"/>
        </w:rPr>
        <w:t>ot</w:t>
      </w:r>
      <w:r w:rsidRPr="00CE0885">
        <w:rPr>
          <w:spacing w:val="-3"/>
          <w:lang w:eastAsia="en-GB"/>
        </w:rPr>
        <w:t>i</w:t>
      </w:r>
      <w:r w:rsidRPr="00CE0885">
        <w:rPr>
          <w:spacing w:val="3"/>
          <w:lang w:eastAsia="en-GB"/>
        </w:rPr>
        <w:t>f</w:t>
      </w:r>
      <w:r w:rsidRPr="00CE0885">
        <w:rPr>
          <w:lang w:eastAsia="en-GB"/>
        </w:rPr>
        <w:t>i</w:t>
      </w:r>
      <w:r w:rsidRPr="00CE0885">
        <w:rPr>
          <w:spacing w:val="-1"/>
          <w:lang w:eastAsia="en-GB"/>
        </w:rPr>
        <w:t>e</w:t>
      </w:r>
      <w:r w:rsidRPr="00CE0885">
        <w:rPr>
          <w:spacing w:val="1"/>
          <w:lang w:eastAsia="en-GB"/>
        </w:rPr>
        <w:t>d</w:t>
      </w:r>
      <w:r w:rsidRPr="00CE0885">
        <w:rPr>
          <w:lang w:eastAsia="en-GB"/>
        </w:rPr>
        <w:t>,</w:t>
      </w:r>
      <w:r w:rsidRPr="00CE0885">
        <w:rPr>
          <w:spacing w:val="-9"/>
          <w:lang w:eastAsia="en-GB"/>
        </w:rPr>
        <w:t xml:space="preserve"> </w:t>
      </w:r>
      <w:r w:rsidRPr="00CE0885">
        <w:rPr>
          <w:spacing w:val="1"/>
          <w:lang w:eastAsia="en-GB"/>
        </w:rPr>
        <w:t>a</w:t>
      </w:r>
      <w:r w:rsidRPr="00CE0885">
        <w:rPr>
          <w:lang w:eastAsia="en-GB"/>
        </w:rPr>
        <w:t>s</w:t>
      </w:r>
      <w:r w:rsidRPr="00CE0885">
        <w:rPr>
          <w:spacing w:val="-3"/>
          <w:lang w:eastAsia="en-GB"/>
        </w:rPr>
        <w:t xml:space="preserve"> </w:t>
      </w:r>
      <w:r w:rsidRPr="00CE0885">
        <w:rPr>
          <w:lang w:eastAsia="en-GB"/>
        </w:rPr>
        <w:t>s</w:t>
      </w:r>
      <w:r w:rsidRPr="00CE0885">
        <w:rPr>
          <w:spacing w:val="-1"/>
          <w:lang w:eastAsia="en-GB"/>
        </w:rPr>
        <w:t>o</w:t>
      </w:r>
      <w:r w:rsidRPr="00CE0885">
        <w:rPr>
          <w:spacing w:val="1"/>
          <w:lang w:eastAsia="en-GB"/>
        </w:rPr>
        <w:t>o</w:t>
      </w:r>
      <w:r w:rsidRPr="00CE0885">
        <w:rPr>
          <w:lang w:eastAsia="en-GB"/>
        </w:rPr>
        <w:t>n</w:t>
      </w:r>
      <w:r w:rsidRPr="00CE0885">
        <w:rPr>
          <w:spacing w:val="-6"/>
          <w:lang w:eastAsia="en-GB"/>
        </w:rPr>
        <w:t xml:space="preserve"> </w:t>
      </w:r>
      <w:r w:rsidRPr="00CE0885">
        <w:rPr>
          <w:spacing w:val="1"/>
          <w:lang w:eastAsia="en-GB"/>
        </w:rPr>
        <w:t>a</w:t>
      </w:r>
      <w:r w:rsidRPr="00CE0885">
        <w:rPr>
          <w:lang w:eastAsia="en-GB"/>
        </w:rPr>
        <w:t>s</w:t>
      </w:r>
      <w:r w:rsidRPr="00CE0885">
        <w:rPr>
          <w:spacing w:val="-3"/>
          <w:lang w:eastAsia="en-GB"/>
        </w:rPr>
        <w:t xml:space="preserve"> </w:t>
      </w:r>
      <w:r w:rsidRPr="00CE0885">
        <w:rPr>
          <w:spacing w:val="1"/>
          <w:lang w:eastAsia="en-GB"/>
        </w:rPr>
        <w:t>po</w:t>
      </w:r>
      <w:r w:rsidRPr="00CE0885">
        <w:rPr>
          <w:lang w:eastAsia="en-GB"/>
        </w:rPr>
        <w:t>ss</w:t>
      </w:r>
      <w:r w:rsidRPr="00CE0885">
        <w:rPr>
          <w:spacing w:val="-3"/>
          <w:lang w:eastAsia="en-GB"/>
        </w:rPr>
        <w:t>i</w:t>
      </w:r>
      <w:r w:rsidRPr="00CE0885">
        <w:rPr>
          <w:spacing w:val="-1"/>
          <w:lang w:eastAsia="en-GB"/>
        </w:rPr>
        <w:t>b</w:t>
      </w:r>
      <w:r w:rsidRPr="00CE0885">
        <w:rPr>
          <w:lang w:eastAsia="en-GB"/>
        </w:rPr>
        <w:t>l</w:t>
      </w:r>
      <w:r w:rsidRPr="00CE0885">
        <w:rPr>
          <w:spacing w:val="1"/>
          <w:lang w:eastAsia="en-GB"/>
        </w:rPr>
        <w:t>e</w:t>
      </w:r>
      <w:r w:rsidRPr="00CE0885">
        <w:rPr>
          <w:lang w:eastAsia="en-GB"/>
        </w:rPr>
        <w:t>,</w:t>
      </w:r>
      <w:r w:rsidRPr="00CE0885">
        <w:rPr>
          <w:spacing w:val="-8"/>
          <w:lang w:eastAsia="en-GB"/>
        </w:rPr>
        <w:t xml:space="preserve"> </w:t>
      </w:r>
      <w:r w:rsidRPr="00CE0885">
        <w:rPr>
          <w:lang w:eastAsia="en-GB"/>
        </w:rPr>
        <w:t xml:space="preserve">in </w:t>
      </w:r>
      <w:r w:rsidRPr="00CE0885">
        <w:rPr>
          <w:spacing w:val="-3"/>
          <w:lang w:eastAsia="en-GB"/>
        </w:rPr>
        <w:t>w</w:t>
      </w:r>
      <w:r w:rsidRPr="00CE0885">
        <w:rPr>
          <w:spacing w:val="-1"/>
          <w:lang w:eastAsia="en-GB"/>
        </w:rPr>
        <w:t>r</w:t>
      </w:r>
      <w:r w:rsidRPr="00CE0885">
        <w:rPr>
          <w:lang w:eastAsia="en-GB"/>
        </w:rPr>
        <w:t>i</w:t>
      </w:r>
      <w:r w:rsidRPr="00CE0885">
        <w:rPr>
          <w:spacing w:val="1"/>
          <w:lang w:eastAsia="en-GB"/>
        </w:rPr>
        <w:t>t</w:t>
      </w:r>
      <w:r w:rsidRPr="00CE0885">
        <w:rPr>
          <w:lang w:eastAsia="en-GB"/>
        </w:rPr>
        <w:t>i</w:t>
      </w:r>
      <w:r w:rsidRPr="00CE0885">
        <w:rPr>
          <w:spacing w:val="1"/>
          <w:lang w:eastAsia="en-GB"/>
        </w:rPr>
        <w:t>n</w:t>
      </w:r>
      <w:r w:rsidRPr="00CE0885">
        <w:rPr>
          <w:lang w:eastAsia="en-GB"/>
        </w:rPr>
        <w:t>g</w:t>
      </w:r>
      <w:r w:rsidRPr="00CE0885">
        <w:rPr>
          <w:spacing w:val="-8"/>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2"/>
          <w:lang w:eastAsia="en-GB"/>
        </w:rPr>
        <w:t>t</w:t>
      </w:r>
      <w:r w:rsidRPr="00CE0885">
        <w:rPr>
          <w:spacing w:val="1"/>
          <w:lang w:eastAsia="en-GB"/>
        </w:rPr>
        <w:t>ha</w:t>
      </w:r>
      <w:r w:rsidRPr="00CE0885">
        <w:rPr>
          <w:lang w:eastAsia="en-GB"/>
        </w:rPr>
        <w:t xml:space="preserve">t </w:t>
      </w:r>
      <w:r w:rsidRPr="00CE0885">
        <w:rPr>
          <w:spacing w:val="1"/>
          <w:lang w:eastAsia="en-GB"/>
        </w:rPr>
        <w:t>de</w:t>
      </w:r>
      <w:r w:rsidRPr="00CE0885">
        <w:rPr>
          <w:lang w:eastAsia="en-GB"/>
        </w:rPr>
        <w:t>cisi</w:t>
      </w:r>
      <w:r w:rsidRPr="00CE0885">
        <w:rPr>
          <w:spacing w:val="1"/>
          <w:lang w:eastAsia="en-GB"/>
        </w:rPr>
        <w:t>o</w:t>
      </w:r>
      <w:r w:rsidRPr="00CE0885">
        <w:rPr>
          <w:lang w:eastAsia="en-GB"/>
        </w:rPr>
        <w:t>n</w:t>
      </w:r>
      <w:r w:rsidRPr="00CE0885">
        <w:rPr>
          <w:spacing w:val="-10"/>
          <w:lang w:eastAsia="en-GB"/>
        </w:rPr>
        <w:t xml:space="preserve"> </w:t>
      </w:r>
      <w:r w:rsidRPr="00CE0885">
        <w:rPr>
          <w:spacing w:val="1"/>
          <w:lang w:eastAsia="en-GB"/>
        </w:rPr>
        <w:t>an</w:t>
      </w:r>
      <w:r w:rsidRPr="00CE0885">
        <w:rPr>
          <w:lang w:eastAsia="en-GB"/>
        </w:rPr>
        <w:t>d</w:t>
      </w:r>
      <w:r w:rsidRPr="00CE0885">
        <w:rPr>
          <w:spacing w:val="-5"/>
          <w:lang w:eastAsia="en-GB"/>
        </w:rPr>
        <w:t xml:space="preserve"> </w:t>
      </w:r>
      <w:r w:rsidRPr="00CE0885">
        <w:rPr>
          <w:spacing w:val="1"/>
          <w:lang w:eastAsia="en-GB"/>
        </w:rPr>
        <w:t>t</w:t>
      </w:r>
      <w:r w:rsidRPr="00CE0885">
        <w:rPr>
          <w:lang w:eastAsia="en-GB"/>
        </w:rPr>
        <w:t xml:space="preserve">o </w:t>
      </w:r>
      <w:r w:rsidRPr="00CE0885">
        <w:rPr>
          <w:spacing w:val="-3"/>
          <w:lang w:eastAsia="en-GB"/>
        </w:rPr>
        <w:t>i</w:t>
      </w:r>
      <w:r w:rsidRPr="00CE0885">
        <w:rPr>
          <w:spacing w:val="1"/>
          <w:lang w:eastAsia="en-GB"/>
        </w:rPr>
        <w:t>n</w:t>
      </w:r>
      <w:r w:rsidRPr="00CE0885">
        <w:rPr>
          <w:lang w:eastAsia="en-GB"/>
        </w:rPr>
        <w:t>cl</w:t>
      </w:r>
      <w:r w:rsidRPr="00CE0885">
        <w:rPr>
          <w:spacing w:val="1"/>
          <w:lang w:eastAsia="en-GB"/>
        </w:rPr>
        <w:t>u</w:t>
      </w:r>
      <w:r w:rsidRPr="00CE0885">
        <w:rPr>
          <w:spacing w:val="-1"/>
          <w:lang w:eastAsia="en-GB"/>
        </w:rPr>
        <w:t>de</w:t>
      </w:r>
      <w:r w:rsidRPr="00CE0885">
        <w:rPr>
          <w:lang w:eastAsia="en-GB"/>
        </w:rPr>
        <w:t>:</w:t>
      </w:r>
      <w:bookmarkEnd w:id="779"/>
    </w:p>
    <w:p w14:paraId="1CD99738" w14:textId="77777777" w:rsidR="00977693" w:rsidRPr="00980A75" w:rsidRDefault="00977693" w:rsidP="005A7DDA">
      <w:pPr>
        <w:pStyle w:val="ListParagraph"/>
        <w:widowControl w:val="0"/>
        <w:numPr>
          <w:ilvl w:val="0"/>
          <w:numId w:val="58"/>
        </w:numPr>
        <w:spacing w:line="360" w:lineRule="auto"/>
        <w:jc w:val="both"/>
        <w:outlineLvl w:val="2"/>
        <w:rPr>
          <w:rFonts w:cs="Arial"/>
          <w:bCs w:val="0"/>
          <w:szCs w:val="24"/>
          <w:lang w:eastAsia="en-GB"/>
        </w:rPr>
      </w:pPr>
      <w:bookmarkStart w:id="780" w:name="_Toc440981941"/>
      <w:r w:rsidRPr="00980A75">
        <w:rPr>
          <w:rFonts w:cs="Arial"/>
          <w:bCs w:val="0"/>
          <w:szCs w:val="24"/>
          <w:lang w:eastAsia="en-GB"/>
        </w:rPr>
        <w:t>the</w:t>
      </w:r>
      <w:r w:rsidRPr="00980A75">
        <w:rPr>
          <w:rFonts w:cs="Arial"/>
          <w:bCs w:val="0"/>
          <w:spacing w:val="-1"/>
          <w:szCs w:val="24"/>
          <w:lang w:eastAsia="en-GB"/>
        </w:rPr>
        <w:t xml:space="preserve"> re</w:t>
      </w:r>
      <w:r w:rsidRPr="00980A75">
        <w:rPr>
          <w:rFonts w:cs="Arial"/>
          <w:bCs w:val="0"/>
          <w:szCs w:val="24"/>
          <w:lang w:eastAsia="en-GB"/>
        </w:rPr>
        <w:t>asons</w:t>
      </w:r>
      <w:r w:rsidRPr="00980A75">
        <w:rPr>
          <w:rFonts w:cs="Arial"/>
          <w:bCs w:val="0"/>
          <w:spacing w:val="-13"/>
          <w:szCs w:val="24"/>
          <w:lang w:eastAsia="en-GB"/>
        </w:rPr>
        <w:t xml:space="preserve"> </w:t>
      </w:r>
      <w:r w:rsidRPr="00980A75">
        <w:rPr>
          <w:rFonts w:cs="Arial"/>
          <w:bCs w:val="0"/>
          <w:spacing w:val="3"/>
          <w:szCs w:val="24"/>
          <w:lang w:eastAsia="en-GB"/>
        </w:rPr>
        <w:t>f</w:t>
      </w:r>
      <w:r w:rsidRPr="00980A75">
        <w:rPr>
          <w:rFonts w:cs="Arial"/>
          <w:bCs w:val="0"/>
          <w:szCs w:val="24"/>
          <w:lang w:eastAsia="en-GB"/>
        </w:rPr>
        <w:t>or</w:t>
      </w:r>
      <w:r w:rsidRPr="00980A75">
        <w:rPr>
          <w:rFonts w:cs="Arial"/>
          <w:bCs w:val="0"/>
          <w:spacing w:val="-3"/>
          <w:szCs w:val="24"/>
          <w:lang w:eastAsia="en-GB"/>
        </w:rPr>
        <w:t xml:space="preserve"> </w:t>
      </w:r>
      <w:r w:rsidRPr="00980A75">
        <w:rPr>
          <w:rFonts w:cs="Arial"/>
          <w:bCs w:val="0"/>
          <w:spacing w:val="-2"/>
          <w:szCs w:val="24"/>
          <w:lang w:eastAsia="en-GB"/>
        </w:rPr>
        <w:t>t</w:t>
      </w:r>
      <w:r w:rsidRPr="00980A75">
        <w:rPr>
          <w:rFonts w:cs="Arial"/>
          <w:bCs w:val="0"/>
          <w:szCs w:val="24"/>
          <w:lang w:eastAsia="en-GB"/>
        </w:rPr>
        <w:t>he</w:t>
      </w:r>
      <w:r w:rsidRPr="00980A75">
        <w:rPr>
          <w:rFonts w:cs="Arial"/>
          <w:bCs w:val="0"/>
          <w:spacing w:val="-4"/>
          <w:szCs w:val="24"/>
          <w:lang w:eastAsia="en-GB"/>
        </w:rPr>
        <w:t xml:space="preserve"> </w:t>
      </w:r>
      <w:r w:rsidRPr="00980A75">
        <w:rPr>
          <w:rFonts w:cs="Arial"/>
          <w:bCs w:val="0"/>
          <w:szCs w:val="24"/>
          <w:lang w:eastAsia="en-GB"/>
        </w:rPr>
        <w:t>de</w:t>
      </w:r>
      <w:r w:rsidRPr="00980A75">
        <w:rPr>
          <w:rFonts w:cs="Arial"/>
          <w:bCs w:val="0"/>
          <w:spacing w:val="-2"/>
          <w:szCs w:val="24"/>
          <w:lang w:eastAsia="en-GB"/>
        </w:rPr>
        <w:t>c</w:t>
      </w:r>
      <w:r w:rsidRPr="00980A75">
        <w:rPr>
          <w:rFonts w:cs="Arial"/>
          <w:bCs w:val="0"/>
          <w:szCs w:val="24"/>
          <w:lang w:eastAsia="en-GB"/>
        </w:rPr>
        <w:t>ision;</w:t>
      </w:r>
      <w:bookmarkEnd w:id="780"/>
    </w:p>
    <w:p w14:paraId="628AFD9B" w14:textId="77777777" w:rsidR="00977693" w:rsidRPr="00980A75" w:rsidRDefault="00977693" w:rsidP="005A7DDA">
      <w:pPr>
        <w:pStyle w:val="ListParagraph"/>
        <w:widowControl w:val="0"/>
        <w:numPr>
          <w:ilvl w:val="0"/>
          <w:numId w:val="58"/>
        </w:numPr>
        <w:spacing w:line="360" w:lineRule="auto"/>
        <w:jc w:val="both"/>
        <w:outlineLvl w:val="2"/>
        <w:rPr>
          <w:rFonts w:cs="Arial"/>
          <w:bCs w:val="0"/>
          <w:szCs w:val="24"/>
          <w:lang w:eastAsia="en-GB"/>
        </w:rPr>
      </w:pPr>
      <w:bookmarkStart w:id="781" w:name="_Toc440981942"/>
      <w:r w:rsidRPr="00980A75">
        <w:rPr>
          <w:rFonts w:cs="Arial"/>
          <w:bCs w:val="0"/>
          <w:szCs w:val="24"/>
          <w:lang w:eastAsia="en-GB"/>
        </w:rPr>
        <w:t>the</w:t>
      </w:r>
      <w:r w:rsidRPr="00980A75">
        <w:rPr>
          <w:rFonts w:cs="Arial"/>
          <w:bCs w:val="0"/>
          <w:spacing w:val="-1"/>
          <w:szCs w:val="24"/>
          <w:lang w:eastAsia="en-GB"/>
        </w:rPr>
        <w:t xml:space="preserve"> r</w:t>
      </w:r>
      <w:r w:rsidRPr="00980A75">
        <w:rPr>
          <w:rFonts w:cs="Arial"/>
          <w:bCs w:val="0"/>
          <w:szCs w:val="24"/>
          <w:lang w:eastAsia="en-GB"/>
        </w:rPr>
        <w:t>i</w:t>
      </w:r>
      <w:r w:rsidRPr="00980A75">
        <w:rPr>
          <w:rFonts w:cs="Arial"/>
          <w:bCs w:val="0"/>
          <w:spacing w:val="-1"/>
          <w:szCs w:val="24"/>
          <w:lang w:eastAsia="en-GB"/>
        </w:rPr>
        <w:t>g</w:t>
      </w:r>
      <w:r w:rsidRPr="00980A75">
        <w:rPr>
          <w:rFonts w:cs="Arial"/>
          <w:bCs w:val="0"/>
          <w:szCs w:val="24"/>
          <w:lang w:eastAsia="en-GB"/>
        </w:rPr>
        <w:t>ht</w:t>
      </w:r>
      <w:r w:rsidRPr="00980A75">
        <w:rPr>
          <w:rFonts w:cs="Arial"/>
          <w:bCs w:val="0"/>
          <w:spacing w:val="-4"/>
          <w:szCs w:val="24"/>
          <w:lang w:eastAsia="en-GB"/>
        </w:rPr>
        <w:t xml:space="preserve"> </w:t>
      </w:r>
      <w:r w:rsidRPr="00980A75">
        <w:rPr>
          <w:rFonts w:cs="Arial"/>
          <w:bCs w:val="0"/>
          <w:spacing w:val="-1"/>
          <w:szCs w:val="24"/>
          <w:lang w:eastAsia="en-GB"/>
        </w:rPr>
        <w:t>o</w:t>
      </w:r>
      <w:r w:rsidRPr="00980A75">
        <w:rPr>
          <w:rFonts w:cs="Arial"/>
          <w:bCs w:val="0"/>
          <w:szCs w:val="24"/>
          <w:lang w:eastAsia="en-GB"/>
        </w:rPr>
        <w:t>f</w:t>
      </w:r>
      <w:r w:rsidRPr="00980A75">
        <w:rPr>
          <w:rFonts w:cs="Arial"/>
          <w:bCs w:val="0"/>
          <w:spacing w:val="-1"/>
          <w:szCs w:val="24"/>
          <w:lang w:eastAsia="en-GB"/>
        </w:rPr>
        <w:t xml:space="preserve"> </w:t>
      </w:r>
      <w:r w:rsidRPr="00980A75">
        <w:rPr>
          <w:rFonts w:cs="Arial"/>
          <w:bCs w:val="0"/>
          <w:szCs w:val="24"/>
          <w:lang w:eastAsia="en-GB"/>
        </w:rPr>
        <w:t>t</w:t>
      </w:r>
      <w:r w:rsidRPr="00980A75">
        <w:rPr>
          <w:rFonts w:cs="Arial"/>
          <w:bCs w:val="0"/>
          <w:spacing w:val="-1"/>
          <w:szCs w:val="24"/>
          <w:lang w:eastAsia="en-GB"/>
        </w:rPr>
        <w:t>h</w:t>
      </w:r>
      <w:r w:rsidRPr="00980A75">
        <w:rPr>
          <w:rFonts w:cs="Arial"/>
          <w:bCs w:val="0"/>
          <w:szCs w:val="24"/>
          <w:lang w:eastAsia="en-GB"/>
        </w:rPr>
        <w:t>e</w:t>
      </w:r>
      <w:r w:rsidRPr="00980A75">
        <w:rPr>
          <w:rFonts w:cs="Arial"/>
          <w:bCs w:val="0"/>
          <w:spacing w:val="-1"/>
          <w:szCs w:val="24"/>
          <w:lang w:eastAsia="en-GB"/>
        </w:rPr>
        <w:t xml:space="preserve"> </w:t>
      </w:r>
      <w:r w:rsidRPr="00980A75">
        <w:rPr>
          <w:rFonts w:cs="Arial"/>
          <w:bCs w:val="0"/>
          <w:szCs w:val="24"/>
          <w:lang w:eastAsia="en-GB"/>
        </w:rPr>
        <w:t>c</w:t>
      </w:r>
      <w:r w:rsidRPr="00980A75">
        <w:rPr>
          <w:rFonts w:cs="Arial"/>
          <w:bCs w:val="0"/>
          <w:spacing w:val="-1"/>
          <w:szCs w:val="24"/>
          <w:lang w:eastAsia="en-GB"/>
        </w:rPr>
        <w:t>o</w:t>
      </w:r>
      <w:r w:rsidRPr="00980A75">
        <w:rPr>
          <w:rFonts w:cs="Arial"/>
          <w:bCs w:val="0"/>
          <w:szCs w:val="24"/>
          <w:lang w:eastAsia="en-GB"/>
        </w:rPr>
        <w:t>nt</w:t>
      </w:r>
      <w:r w:rsidRPr="00980A75">
        <w:rPr>
          <w:rFonts w:cs="Arial"/>
          <w:bCs w:val="0"/>
          <w:spacing w:val="-1"/>
          <w:szCs w:val="24"/>
          <w:lang w:eastAsia="en-GB"/>
        </w:rPr>
        <w:t>r</w:t>
      </w:r>
      <w:r w:rsidRPr="00980A75">
        <w:rPr>
          <w:rFonts w:cs="Arial"/>
          <w:bCs w:val="0"/>
          <w:szCs w:val="24"/>
          <w:lang w:eastAsia="en-GB"/>
        </w:rPr>
        <w:t>ac</w:t>
      </w:r>
      <w:r w:rsidRPr="00980A75">
        <w:rPr>
          <w:rFonts w:cs="Arial"/>
          <w:bCs w:val="0"/>
          <w:spacing w:val="-2"/>
          <w:szCs w:val="24"/>
          <w:lang w:eastAsia="en-GB"/>
        </w:rPr>
        <w:t>t</w:t>
      </w:r>
      <w:r w:rsidRPr="00980A75">
        <w:rPr>
          <w:rFonts w:cs="Arial"/>
          <w:bCs w:val="0"/>
          <w:szCs w:val="24"/>
          <w:lang w:eastAsia="en-GB"/>
        </w:rPr>
        <w:t>or</w:t>
      </w:r>
      <w:r w:rsidRPr="00980A75">
        <w:rPr>
          <w:rFonts w:cs="Arial"/>
          <w:bCs w:val="0"/>
          <w:spacing w:val="-11"/>
          <w:szCs w:val="24"/>
          <w:lang w:eastAsia="en-GB"/>
        </w:rPr>
        <w:t xml:space="preserve"> </w:t>
      </w:r>
      <w:r w:rsidRPr="00980A75">
        <w:rPr>
          <w:rFonts w:cs="Arial"/>
          <w:bCs w:val="0"/>
          <w:szCs w:val="24"/>
          <w:lang w:eastAsia="en-GB"/>
        </w:rPr>
        <w:t xml:space="preserve">to </w:t>
      </w:r>
      <w:r w:rsidRPr="00980A75">
        <w:rPr>
          <w:rFonts w:cs="Arial"/>
          <w:bCs w:val="0"/>
          <w:spacing w:val="-1"/>
          <w:szCs w:val="24"/>
          <w:lang w:eastAsia="en-GB"/>
        </w:rPr>
        <w:t>a</w:t>
      </w:r>
      <w:r w:rsidRPr="00980A75">
        <w:rPr>
          <w:rFonts w:cs="Arial"/>
          <w:bCs w:val="0"/>
          <w:szCs w:val="24"/>
          <w:lang w:eastAsia="en-GB"/>
        </w:rPr>
        <w:t>p</w:t>
      </w:r>
      <w:r w:rsidRPr="00980A75">
        <w:rPr>
          <w:rFonts w:cs="Arial"/>
          <w:bCs w:val="0"/>
          <w:spacing w:val="-1"/>
          <w:szCs w:val="24"/>
          <w:lang w:eastAsia="en-GB"/>
        </w:rPr>
        <w:t>p</w:t>
      </w:r>
      <w:r w:rsidRPr="00980A75">
        <w:rPr>
          <w:rFonts w:cs="Arial"/>
          <w:bCs w:val="0"/>
          <w:szCs w:val="24"/>
          <w:lang w:eastAsia="en-GB"/>
        </w:rPr>
        <w:t>eal</w:t>
      </w:r>
      <w:r w:rsidRPr="00980A75">
        <w:rPr>
          <w:rFonts w:cs="Arial"/>
          <w:bCs w:val="0"/>
          <w:spacing w:val="-7"/>
          <w:szCs w:val="24"/>
          <w:lang w:eastAsia="en-GB"/>
        </w:rPr>
        <w:t xml:space="preserve"> </w:t>
      </w:r>
      <w:r w:rsidRPr="00980A75">
        <w:rPr>
          <w:rFonts w:cs="Arial"/>
          <w:bCs w:val="0"/>
          <w:spacing w:val="-1"/>
          <w:szCs w:val="24"/>
          <w:lang w:eastAsia="en-GB"/>
        </w:rPr>
        <w:t>a</w:t>
      </w:r>
      <w:r w:rsidRPr="00980A75">
        <w:rPr>
          <w:rFonts w:cs="Arial"/>
          <w:bCs w:val="0"/>
          <w:szCs w:val="24"/>
          <w:lang w:eastAsia="en-GB"/>
        </w:rPr>
        <w:t>nd</w:t>
      </w:r>
      <w:r w:rsidRPr="00980A75">
        <w:rPr>
          <w:rFonts w:cs="Arial"/>
          <w:bCs w:val="0"/>
          <w:spacing w:val="-5"/>
          <w:szCs w:val="24"/>
          <w:lang w:eastAsia="en-GB"/>
        </w:rPr>
        <w:t xml:space="preserve"> </w:t>
      </w:r>
      <w:r w:rsidRPr="00980A75">
        <w:rPr>
          <w:rFonts w:cs="Arial"/>
          <w:bCs w:val="0"/>
          <w:szCs w:val="24"/>
          <w:lang w:eastAsia="en-GB"/>
        </w:rPr>
        <w:t>the</w:t>
      </w:r>
      <w:r w:rsidRPr="00980A75">
        <w:rPr>
          <w:rFonts w:cs="Arial"/>
          <w:bCs w:val="0"/>
          <w:spacing w:val="-4"/>
          <w:szCs w:val="24"/>
          <w:lang w:eastAsia="en-GB"/>
        </w:rPr>
        <w:t xml:space="preserve"> </w:t>
      </w:r>
      <w:r w:rsidRPr="00980A75">
        <w:rPr>
          <w:rFonts w:cs="Arial"/>
          <w:bCs w:val="0"/>
          <w:szCs w:val="24"/>
          <w:lang w:eastAsia="en-GB"/>
        </w:rPr>
        <w:t>p</w:t>
      </w:r>
      <w:r w:rsidRPr="00980A75">
        <w:rPr>
          <w:rFonts w:cs="Arial"/>
          <w:bCs w:val="0"/>
          <w:spacing w:val="-3"/>
          <w:szCs w:val="24"/>
          <w:lang w:eastAsia="en-GB"/>
        </w:rPr>
        <w:t>r</w:t>
      </w:r>
      <w:r w:rsidRPr="00980A75">
        <w:rPr>
          <w:rFonts w:cs="Arial"/>
          <w:bCs w:val="0"/>
          <w:szCs w:val="24"/>
          <w:lang w:eastAsia="en-GB"/>
        </w:rPr>
        <w:t>ocess</w:t>
      </w:r>
      <w:r w:rsidRPr="00980A75">
        <w:rPr>
          <w:rFonts w:cs="Arial"/>
          <w:bCs w:val="0"/>
          <w:spacing w:val="-10"/>
          <w:szCs w:val="24"/>
          <w:lang w:eastAsia="en-GB"/>
        </w:rPr>
        <w:t xml:space="preserve"> </w:t>
      </w:r>
      <w:r w:rsidRPr="00980A75">
        <w:rPr>
          <w:rFonts w:cs="Arial"/>
          <w:bCs w:val="0"/>
          <w:szCs w:val="24"/>
          <w:lang w:eastAsia="en-GB"/>
        </w:rPr>
        <w:t>for doing</w:t>
      </w:r>
      <w:r w:rsidRPr="00980A75">
        <w:rPr>
          <w:rFonts w:cs="Arial"/>
          <w:bCs w:val="0"/>
          <w:spacing w:val="-7"/>
          <w:szCs w:val="24"/>
          <w:lang w:eastAsia="en-GB"/>
        </w:rPr>
        <w:t xml:space="preserve"> </w:t>
      </w:r>
      <w:r w:rsidRPr="00980A75">
        <w:rPr>
          <w:rFonts w:cs="Arial"/>
          <w:bCs w:val="0"/>
          <w:szCs w:val="24"/>
          <w:lang w:eastAsia="en-GB"/>
        </w:rPr>
        <w:t>so;</w:t>
      </w:r>
      <w:r w:rsidRPr="00980A75">
        <w:rPr>
          <w:rFonts w:cs="Arial"/>
          <w:bCs w:val="0"/>
          <w:spacing w:val="-4"/>
          <w:szCs w:val="24"/>
          <w:lang w:eastAsia="en-GB"/>
        </w:rPr>
        <w:t xml:space="preserve"> </w:t>
      </w:r>
      <w:r w:rsidRPr="00980A75">
        <w:rPr>
          <w:rFonts w:cs="Arial"/>
          <w:bCs w:val="0"/>
          <w:szCs w:val="24"/>
          <w:lang w:eastAsia="en-GB"/>
        </w:rPr>
        <w:t>and</w:t>
      </w:r>
      <w:bookmarkEnd w:id="781"/>
    </w:p>
    <w:p w14:paraId="09302157" w14:textId="77777777" w:rsidR="00977693" w:rsidRPr="00980A75" w:rsidRDefault="00977693" w:rsidP="005A7DDA">
      <w:pPr>
        <w:pStyle w:val="ListParagraph"/>
        <w:widowControl w:val="0"/>
        <w:numPr>
          <w:ilvl w:val="0"/>
          <w:numId w:val="58"/>
        </w:numPr>
        <w:spacing w:line="360" w:lineRule="auto"/>
        <w:jc w:val="both"/>
        <w:outlineLvl w:val="2"/>
        <w:rPr>
          <w:rFonts w:cs="Arial"/>
          <w:bCs w:val="0"/>
          <w:szCs w:val="24"/>
          <w:lang w:eastAsia="en-GB"/>
        </w:rPr>
      </w:pPr>
      <w:bookmarkStart w:id="782" w:name="_Toc440981943"/>
      <w:r w:rsidRPr="00980A75">
        <w:rPr>
          <w:rFonts w:cs="Arial"/>
          <w:bCs w:val="0"/>
          <w:szCs w:val="24"/>
          <w:lang w:eastAsia="en-GB"/>
        </w:rPr>
        <w:t>s</w:t>
      </w:r>
      <w:r w:rsidRPr="00980A75">
        <w:rPr>
          <w:rFonts w:cs="Arial"/>
          <w:bCs w:val="0"/>
          <w:spacing w:val="1"/>
          <w:szCs w:val="24"/>
          <w:lang w:eastAsia="en-GB"/>
        </w:rPr>
        <w:t>pe</w:t>
      </w:r>
      <w:r w:rsidRPr="00980A75">
        <w:rPr>
          <w:rFonts w:cs="Arial"/>
          <w:bCs w:val="0"/>
          <w:szCs w:val="24"/>
          <w:lang w:eastAsia="en-GB"/>
        </w:rPr>
        <w:t>c</w:t>
      </w:r>
      <w:r w:rsidRPr="00980A75">
        <w:rPr>
          <w:rFonts w:cs="Arial"/>
          <w:bCs w:val="0"/>
          <w:spacing w:val="-3"/>
          <w:szCs w:val="24"/>
          <w:lang w:eastAsia="en-GB"/>
        </w:rPr>
        <w:t>i</w:t>
      </w:r>
      <w:r w:rsidRPr="00980A75">
        <w:rPr>
          <w:rFonts w:cs="Arial"/>
          <w:bCs w:val="0"/>
          <w:spacing w:val="3"/>
          <w:szCs w:val="24"/>
          <w:lang w:eastAsia="en-GB"/>
        </w:rPr>
        <w:t>f</w:t>
      </w:r>
      <w:r w:rsidRPr="00980A75">
        <w:rPr>
          <w:rFonts w:cs="Arial"/>
          <w:bCs w:val="0"/>
          <w:szCs w:val="24"/>
          <w:lang w:eastAsia="en-GB"/>
        </w:rPr>
        <w:t>y</w:t>
      </w:r>
      <w:r w:rsidRPr="00980A75">
        <w:rPr>
          <w:rFonts w:cs="Arial"/>
          <w:bCs w:val="0"/>
          <w:spacing w:val="-9"/>
          <w:szCs w:val="24"/>
          <w:lang w:eastAsia="en-GB"/>
        </w:rPr>
        <w:t xml:space="preserve"> </w:t>
      </w:r>
      <w:r w:rsidRPr="00980A75">
        <w:rPr>
          <w:rFonts w:cs="Arial"/>
          <w:bCs w:val="0"/>
          <w:spacing w:val="1"/>
          <w:szCs w:val="24"/>
          <w:lang w:eastAsia="en-GB"/>
        </w:rPr>
        <w:t>an</w:t>
      </w:r>
      <w:r w:rsidRPr="00980A75">
        <w:rPr>
          <w:rFonts w:cs="Arial"/>
          <w:bCs w:val="0"/>
          <w:szCs w:val="24"/>
          <w:lang w:eastAsia="en-GB"/>
        </w:rPr>
        <w:t>y</w:t>
      </w:r>
      <w:r w:rsidRPr="00980A75">
        <w:rPr>
          <w:rFonts w:cs="Arial"/>
          <w:bCs w:val="0"/>
          <w:spacing w:val="-6"/>
          <w:szCs w:val="24"/>
          <w:lang w:eastAsia="en-GB"/>
        </w:rPr>
        <w:t xml:space="preserve"> </w:t>
      </w:r>
      <w:r w:rsidRPr="00980A75">
        <w:rPr>
          <w:rFonts w:cs="Arial"/>
          <w:bCs w:val="0"/>
          <w:spacing w:val="1"/>
          <w:szCs w:val="24"/>
          <w:lang w:eastAsia="en-GB"/>
        </w:rPr>
        <w:t>pe</w:t>
      </w:r>
      <w:r w:rsidRPr="00980A75">
        <w:rPr>
          <w:rFonts w:cs="Arial"/>
          <w:bCs w:val="0"/>
          <w:spacing w:val="-1"/>
          <w:szCs w:val="24"/>
          <w:lang w:eastAsia="en-GB"/>
        </w:rPr>
        <w:t>r</w:t>
      </w:r>
      <w:r w:rsidRPr="00980A75">
        <w:rPr>
          <w:rFonts w:cs="Arial"/>
          <w:bCs w:val="0"/>
          <w:szCs w:val="24"/>
          <w:lang w:eastAsia="en-GB"/>
        </w:rPr>
        <w:t>i</w:t>
      </w:r>
      <w:r w:rsidRPr="00980A75">
        <w:rPr>
          <w:rFonts w:cs="Arial"/>
          <w:bCs w:val="0"/>
          <w:spacing w:val="1"/>
          <w:szCs w:val="24"/>
          <w:lang w:eastAsia="en-GB"/>
        </w:rPr>
        <w:t>o</w:t>
      </w:r>
      <w:r w:rsidRPr="00980A75">
        <w:rPr>
          <w:rFonts w:cs="Arial"/>
          <w:bCs w:val="0"/>
          <w:szCs w:val="24"/>
          <w:lang w:eastAsia="en-GB"/>
        </w:rPr>
        <w:t>d</w:t>
      </w:r>
      <w:r w:rsidRPr="00980A75">
        <w:rPr>
          <w:rFonts w:cs="Arial"/>
          <w:bCs w:val="0"/>
          <w:spacing w:val="-5"/>
          <w:szCs w:val="24"/>
          <w:lang w:eastAsia="en-GB"/>
        </w:rPr>
        <w:t xml:space="preserve"> </w:t>
      </w:r>
      <w:r w:rsidRPr="00980A75">
        <w:rPr>
          <w:rFonts w:cs="Arial"/>
          <w:bCs w:val="0"/>
          <w:spacing w:val="-3"/>
          <w:szCs w:val="24"/>
          <w:lang w:eastAsia="en-GB"/>
        </w:rPr>
        <w:t>w</w:t>
      </w:r>
      <w:r w:rsidRPr="00980A75">
        <w:rPr>
          <w:rFonts w:cs="Arial"/>
          <w:bCs w:val="0"/>
          <w:szCs w:val="24"/>
          <w:lang w:eastAsia="en-GB"/>
        </w:rPr>
        <w:t>i</w:t>
      </w:r>
      <w:r w:rsidRPr="00980A75">
        <w:rPr>
          <w:rFonts w:cs="Arial"/>
          <w:bCs w:val="0"/>
          <w:spacing w:val="1"/>
          <w:szCs w:val="24"/>
          <w:lang w:eastAsia="en-GB"/>
        </w:rPr>
        <w:t>th</w:t>
      </w:r>
      <w:r w:rsidRPr="00980A75">
        <w:rPr>
          <w:rFonts w:cs="Arial"/>
          <w:bCs w:val="0"/>
          <w:szCs w:val="24"/>
          <w:lang w:eastAsia="en-GB"/>
        </w:rPr>
        <w:t>in</w:t>
      </w:r>
      <w:r w:rsidRPr="00980A75">
        <w:rPr>
          <w:rFonts w:cs="Arial"/>
          <w:bCs w:val="0"/>
          <w:spacing w:val="-4"/>
          <w:szCs w:val="24"/>
          <w:lang w:eastAsia="en-GB"/>
        </w:rPr>
        <w:t xml:space="preserve"> </w:t>
      </w:r>
      <w:r w:rsidRPr="00980A75">
        <w:rPr>
          <w:rFonts w:cs="Arial"/>
          <w:bCs w:val="0"/>
          <w:spacing w:val="-3"/>
          <w:szCs w:val="24"/>
          <w:lang w:eastAsia="en-GB"/>
        </w:rPr>
        <w:t>w</w:t>
      </w:r>
      <w:r w:rsidRPr="00980A75">
        <w:rPr>
          <w:rFonts w:cs="Arial"/>
          <w:bCs w:val="0"/>
          <w:spacing w:val="1"/>
          <w:szCs w:val="24"/>
          <w:lang w:eastAsia="en-GB"/>
        </w:rPr>
        <w:t>h</w:t>
      </w:r>
      <w:r w:rsidRPr="00980A75">
        <w:rPr>
          <w:rFonts w:cs="Arial"/>
          <w:bCs w:val="0"/>
          <w:szCs w:val="24"/>
          <w:lang w:eastAsia="en-GB"/>
        </w:rPr>
        <w:t>ich</w:t>
      </w:r>
      <w:r w:rsidRPr="00980A75">
        <w:rPr>
          <w:rFonts w:cs="Arial"/>
          <w:bCs w:val="0"/>
          <w:spacing w:val="-4"/>
          <w:szCs w:val="24"/>
          <w:lang w:eastAsia="en-GB"/>
        </w:rPr>
        <w:t xml:space="preserve"> </w:t>
      </w:r>
      <w:r w:rsidRPr="00980A75">
        <w:rPr>
          <w:rFonts w:cs="Arial"/>
          <w:bCs w:val="0"/>
          <w:spacing w:val="1"/>
          <w:szCs w:val="24"/>
          <w:lang w:eastAsia="en-GB"/>
        </w:rPr>
        <w:t>th</w:t>
      </w:r>
      <w:r w:rsidRPr="00980A75">
        <w:rPr>
          <w:rFonts w:cs="Arial"/>
          <w:bCs w:val="0"/>
          <w:szCs w:val="24"/>
          <w:lang w:eastAsia="en-GB"/>
        </w:rPr>
        <w:t>e</w:t>
      </w:r>
      <w:r w:rsidRPr="00980A75">
        <w:rPr>
          <w:rFonts w:cs="Arial"/>
          <w:bCs w:val="0"/>
          <w:spacing w:val="-1"/>
          <w:szCs w:val="24"/>
          <w:lang w:eastAsia="en-GB"/>
        </w:rPr>
        <w:t xml:space="preserve"> </w:t>
      </w:r>
      <w:r w:rsidRPr="00980A75">
        <w:rPr>
          <w:rFonts w:cs="Arial"/>
          <w:bCs w:val="0"/>
          <w:spacing w:val="-2"/>
          <w:szCs w:val="24"/>
          <w:lang w:eastAsia="en-GB"/>
        </w:rPr>
        <w:t>Commissioner</w:t>
      </w:r>
      <w:r w:rsidRPr="00980A75">
        <w:rPr>
          <w:rFonts w:cs="Arial"/>
          <w:bCs w:val="0"/>
          <w:spacing w:val="-3"/>
          <w:szCs w:val="24"/>
          <w:lang w:eastAsia="en-GB"/>
        </w:rPr>
        <w:t xml:space="preserve"> w</w:t>
      </w:r>
      <w:r w:rsidRPr="00980A75">
        <w:rPr>
          <w:rFonts w:cs="Arial"/>
          <w:bCs w:val="0"/>
          <w:spacing w:val="1"/>
          <w:szCs w:val="24"/>
          <w:lang w:eastAsia="en-GB"/>
        </w:rPr>
        <w:t>ou</w:t>
      </w:r>
      <w:r w:rsidRPr="00980A75">
        <w:rPr>
          <w:rFonts w:cs="Arial"/>
          <w:bCs w:val="0"/>
          <w:szCs w:val="24"/>
          <w:lang w:eastAsia="en-GB"/>
        </w:rPr>
        <w:t>ld</w:t>
      </w:r>
      <w:r w:rsidRPr="00980A75">
        <w:rPr>
          <w:rFonts w:cs="Arial"/>
          <w:bCs w:val="0"/>
          <w:spacing w:val="-4"/>
          <w:szCs w:val="24"/>
          <w:lang w:eastAsia="en-GB"/>
        </w:rPr>
        <w:t xml:space="preserve"> </w:t>
      </w:r>
      <w:r w:rsidRPr="00980A75">
        <w:rPr>
          <w:rFonts w:cs="Arial"/>
          <w:bCs w:val="0"/>
          <w:spacing w:val="1"/>
          <w:szCs w:val="24"/>
          <w:lang w:eastAsia="en-GB"/>
        </w:rPr>
        <w:t>no</w:t>
      </w:r>
      <w:r w:rsidRPr="00980A75">
        <w:rPr>
          <w:rFonts w:cs="Arial"/>
          <w:bCs w:val="0"/>
          <w:szCs w:val="24"/>
          <w:lang w:eastAsia="en-GB"/>
        </w:rPr>
        <w:t>t</w:t>
      </w:r>
      <w:r w:rsidRPr="00980A75">
        <w:rPr>
          <w:rFonts w:cs="Arial"/>
          <w:bCs w:val="0"/>
          <w:spacing w:val="-2"/>
          <w:szCs w:val="24"/>
          <w:lang w:eastAsia="en-GB"/>
        </w:rPr>
        <w:t xml:space="preserve"> </w:t>
      </w:r>
      <w:r w:rsidRPr="00980A75">
        <w:rPr>
          <w:rFonts w:cs="Arial"/>
          <w:bCs w:val="0"/>
          <w:spacing w:val="-2"/>
          <w:w w:val="99"/>
          <w:szCs w:val="24"/>
          <w:lang w:eastAsia="en-GB"/>
        </w:rPr>
        <w:t>c</w:t>
      </w:r>
      <w:r w:rsidRPr="00980A75">
        <w:rPr>
          <w:rFonts w:cs="Arial"/>
          <w:bCs w:val="0"/>
          <w:spacing w:val="1"/>
          <w:w w:val="99"/>
          <w:szCs w:val="24"/>
          <w:lang w:eastAsia="en-GB"/>
        </w:rPr>
        <w:t>on</w:t>
      </w:r>
      <w:r w:rsidRPr="00980A75">
        <w:rPr>
          <w:rFonts w:cs="Arial"/>
          <w:bCs w:val="0"/>
          <w:w w:val="99"/>
          <w:szCs w:val="24"/>
          <w:lang w:eastAsia="en-GB"/>
        </w:rPr>
        <w:t>si</w:t>
      </w:r>
      <w:r w:rsidRPr="00980A75">
        <w:rPr>
          <w:rFonts w:cs="Arial"/>
          <w:bCs w:val="0"/>
          <w:spacing w:val="1"/>
          <w:w w:val="99"/>
          <w:szCs w:val="24"/>
          <w:lang w:eastAsia="en-GB"/>
        </w:rPr>
        <w:t>de</w:t>
      </w:r>
      <w:r w:rsidRPr="00980A75">
        <w:rPr>
          <w:rFonts w:cs="Arial"/>
          <w:bCs w:val="0"/>
          <w:w w:val="99"/>
          <w:szCs w:val="24"/>
          <w:lang w:eastAsia="en-GB"/>
        </w:rPr>
        <w:t>r a</w:t>
      </w:r>
      <w:r w:rsidRPr="00980A75">
        <w:rPr>
          <w:rFonts w:cs="Arial"/>
          <w:bCs w:val="0"/>
          <w:spacing w:val="-1"/>
          <w:szCs w:val="24"/>
          <w:lang w:eastAsia="en-GB"/>
        </w:rPr>
        <w:t xml:space="preserve"> </w:t>
      </w:r>
      <w:r w:rsidRPr="00980A75">
        <w:rPr>
          <w:rFonts w:cs="Arial"/>
          <w:bCs w:val="0"/>
          <w:spacing w:val="3"/>
          <w:szCs w:val="24"/>
          <w:lang w:eastAsia="en-GB"/>
        </w:rPr>
        <w:t>f</w:t>
      </w:r>
      <w:r w:rsidRPr="00980A75">
        <w:rPr>
          <w:rFonts w:cs="Arial"/>
          <w:bCs w:val="0"/>
          <w:spacing w:val="1"/>
          <w:szCs w:val="24"/>
          <w:lang w:eastAsia="en-GB"/>
        </w:rPr>
        <w:t>u</w:t>
      </w:r>
      <w:r w:rsidRPr="00980A75">
        <w:rPr>
          <w:rFonts w:cs="Arial"/>
          <w:bCs w:val="0"/>
          <w:spacing w:val="-1"/>
          <w:szCs w:val="24"/>
          <w:lang w:eastAsia="en-GB"/>
        </w:rPr>
        <w:t>r</w:t>
      </w:r>
      <w:r w:rsidRPr="00980A75">
        <w:rPr>
          <w:rFonts w:cs="Arial"/>
          <w:bCs w:val="0"/>
          <w:spacing w:val="1"/>
          <w:szCs w:val="24"/>
          <w:lang w:eastAsia="en-GB"/>
        </w:rPr>
        <w:t>t</w:t>
      </w:r>
      <w:r w:rsidRPr="00980A75">
        <w:rPr>
          <w:rFonts w:cs="Arial"/>
          <w:bCs w:val="0"/>
          <w:spacing w:val="-1"/>
          <w:szCs w:val="24"/>
          <w:lang w:eastAsia="en-GB"/>
        </w:rPr>
        <w:t>h</w:t>
      </w:r>
      <w:r w:rsidRPr="00980A75">
        <w:rPr>
          <w:rFonts w:cs="Arial"/>
          <w:bCs w:val="0"/>
          <w:spacing w:val="1"/>
          <w:szCs w:val="24"/>
          <w:lang w:eastAsia="en-GB"/>
        </w:rPr>
        <w:t>e</w:t>
      </w:r>
      <w:r w:rsidRPr="00980A75">
        <w:rPr>
          <w:rFonts w:cs="Arial"/>
          <w:bCs w:val="0"/>
          <w:szCs w:val="24"/>
          <w:lang w:eastAsia="en-GB"/>
        </w:rPr>
        <w:t>r</w:t>
      </w:r>
      <w:r w:rsidRPr="00980A75">
        <w:rPr>
          <w:rFonts w:cs="Arial"/>
          <w:bCs w:val="0"/>
          <w:spacing w:val="-7"/>
          <w:szCs w:val="24"/>
          <w:lang w:eastAsia="en-GB"/>
        </w:rPr>
        <w:t xml:space="preserve"> </w:t>
      </w:r>
      <w:r w:rsidRPr="00980A75">
        <w:rPr>
          <w:rFonts w:cs="Arial"/>
          <w:bCs w:val="0"/>
          <w:spacing w:val="-1"/>
          <w:szCs w:val="24"/>
          <w:lang w:eastAsia="en-GB"/>
        </w:rPr>
        <w:t>a</w:t>
      </w:r>
      <w:r w:rsidRPr="00980A75">
        <w:rPr>
          <w:rFonts w:cs="Arial"/>
          <w:bCs w:val="0"/>
          <w:spacing w:val="1"/>
          <w:szCs w:val="24"/>
          <w:lang w:eastAsia="en-GB"/>
        </w:rPr>
        <w:t>pp</w:t>
      </w:r>
      <w:r w:rsidRPr="00980A75">
        <w:rPr>
          <w:rFonts w:cs="Arial"/>
          <w:bCs w:val="0"/>
          <w:szCs w:val="24"/>
          <w:lang w:eastAsia="en-GB"/>
        </w:rPr>
        <w:t>lic</w:t>
      </w:r>
      <w:r w:rsidRPr="00980A75">
        <w:rPr>
          <w:rFonts w:cs="Arial"/>
          <w:bCs w:val="0"/>
          <w:spacing w:val="1"/>
          <w:szCs w:val="24"/>
          <w:lang w:eastAsia="en-GB"/>
        </w:rPr>
        <w:t>at</w:t>
      </w:r>
      <w:r w:rsidRPr="00980A75">
        <w:rPr>
          <w:rFonts w:cs="Arial"/>
          <w:bCs w:val="0"/>
          <w:szCs w:val="24"/>
          <w:lang w:eastAsia="en-GB"/>
        </w:rPr>
        <w:t>i</w:t>
      </w:r>
      <w:r w:rsidRPr="00980A75">
        <w:rPr>
          <w:rFonts w:cs="Arial"/>
          <w:bCs w:val="0"/>
          <w:spacing w:val="-1"/>
          <w:szCs w:val="24"/>
          <w:lang w:eastAsia="en-GB"/>
        </w:rPr>
        <w:t>o</w:t>
      </w:r>
      <w:r w:rsidRPr="00980A75">
        <w:rPr>
          <w:rFonts w:cs="Arial"/>
          <w:bCs w:val="0"/>
          <w:szCs w:val="24"/>
          <w:lang w:eastAsia="en-GB"/>
        </w:rPr>
        <w:t>n</w:t>
      </w:r>
      <w:r w:rsidRPr="00980A75">
        <w:rPr>
          <w:rFonts w:cs="Arial"/>
          <w:bCs w:val="0"/>
          <w:spacing w:val="-12"/>
          <w:szCs w:val="24"/>
          <w:lang w:eastAsia="en-GB"/>
        </w:rPr>
        <w:t xml:space="preserve"> </w:t>
      </w:r>
      <w:r w:rsidRPr="00980A75">
        <w:rPr>
          <w:rFonts w:cs="Arial"/>
          <w:bCs w:val="0"/>
          <w:spacing w:val="3"/>
          <w:szCs w:val="24"/>
          <w:lang w:eastAsia="en-GB"/>
        </w:rPr>
        <w:t>f</w:t>
      </w:r>
      <w:r w:rsidRPr="00980A75">
        <w:rPr>
          <w:rFonts w:cs="Arial"/>
          <w:bCs w:val="0"/>
          <w:spacing w:val="-1"/>
          <w:szCs w:val="24"/>
          <w:lang w:eastAsia="en-GB"/>
        </w:rPr>
        <w:t>ro</w:t>
      </w:r>
      <w:r w:rsidRPr="00980A75">
        <w:rPr>
          <w:rFonts w:cs="Arial"/>
          <w:bCs w:val="0"/>
          <w:szCs w:val="24"/>
          <w:lang w:eastAsia="en-GB"/>
        </w:rPr>
        <w:t>m</w:t>
      </w:r>
      <w:r w:rsidRPr="00980A75">
        <w:rPr>
          <w:rFonts w:cs="Arial"/>
          <w:bCs w:val="0"/>
          <w:spacing w:val="-3"/>
          <w:szCs w:val="24"/>
          <w:lang w:eastAsia="en-GB"/>
        </w:rPr>
        <w:t xml:space="preserve"> </w:t>
      </w:r>
      <w:r w:rsidRPr="00980A75">
        <w:rPr>
          <w:rFonts w:cs="Arial"/>
          <w:bCs w:val="0"/>
          <w:spacing w:val="-2"/>
          <w:szCs w:val="24"/>
          <w:lang w:eastAsia="en-GB"/>
        </w:rPr>
        <w:t>t</w:t>
      </w:r>
      <w:r w:rsidRPr="00980A75">
        <w:rPr>
          <w:rFonts w:cs="Arial"/>
          <w:bCs w:val="0"/>
          <w:spacing w:val="1"/>
          <w:szCs w:val="24"/>
          <w:lang w:eastAsia="en-GB"/>
        </w:rPr>
        <w:t>h</w:t>
      </w:r>
      <w:r w:rsidRPr="00980A75">
        <w:rPr>
          <w:rFonts w:cs="Arial"/>
          <w:bCs w:val="0"/>
          <w:szCs w:val="24"/>
          <w:lang w:eastAsia="en-GB"/>
        </w:rPr>
        <w:t>is</w:t>
      </w:r>
      <w:r w:rsidRPr="00980A75">
        <w:rPr>
          <w:rFonts w:cs="Arial"/>
          <w:bCs w:val="0"/>
          <w:spacing w:val="-4"/>
          <w:szCs w:val="24"/>
          <w:lang w:eastAsia="en-GB"/>
        </w:rPr>
        <w:t xml:space="preserve"> </w:t>
      </w:r>
      <w:r w:rsidRPr="00980A75">
        <w:rPr>
          <w:rFonts w:cs="Arial"/>
          <w:bCs w:val="0"/>
          <w:szCs w:val="24"/>
          <w:lang w:eastAsia="en-GB"/>
        </w:rPr>
        <w:t>c</w:t>
      </w:r>
      <w:r w:rsidRPr="00980A75">
        <w:rPr>
          <w:rFonts w:cs="Arial"/>
          <w:bCs w:val="0"/>
          <w:spacing w:val="1"/>
          <w:szCs w:val="24"/>
          <w:lang w:eastAsia="en-GB"/>
        </w:rPr>
        <w:t>ont</w:t>
      </w:r>
      <w:r w:rsidRPr="00980A75">
        <w:rPr>
          <w:rFonts w:cs="Arial"/>
          <w:bCs w:val="0"/>
          <w:spacing w:val="-3"/>
          <w:szCs w:val="24"/>
          <w:lang w:eastAsia="en-GB"/>
        </w:rPr>
        <w:t>r</w:t>
      </w:r>
      <w:r w:rsidRPr="00980A75">
        <w:rPr>
          <w:rFonts w:cs="Arial"/>
          <w:bCs w:val="0"/>
          <w:spacing w:val="1"/>
          <w:szCs w:val="24"/>
          <w:lang w:eastAsia="en-GB"/>
        </w:rPr>
        <w:t>a</w:t>
      </w:r>
      <w:r w:rsidRPr="00980A75">
        <w:rPr>
          <w:rFonts w:cs="Arial"/>
          <w:bCs w:val="0"/>
          <w:szCs w:val="24"/>
          <w:lang w:eastAsia="en-GB"/>
        </w:rPr>
        <w:t>c</w:t>
      </w:r>
      <w:r w:rsidRPr="00980A75">
        <w:rPr>
          <w:rFonts w:cs="Arial"/>
          <w:bCs w:val="0"/>
          <w:spacing w:val="1"/>
          <w:szCs w:val="24"/>
          <w:lang w:eastAsia="en-GB"/>
        </w:rPr>
        <w:t>to</w:t>
      </w:r>
      <w:r w:rsidRPr="00980A75">
        <w:rPr>
          <w:rFonts w:cs="Arial"/>
          <w:bCs w:val="0"/>
          <w:szCs w:val="24"/>
          <w:lang w:eastAsia="en-GB"/>
        </w:rPr>
        <w:t>r</w:t>
      </w:r>
      <w:r w:rsidRPr="00980A75">
        <w:rPr>
          <w:rFonts w:cs="Arial"/>
          <w:bCs w:val="0"/>
          <w:spacing w:val="-11"/>
          <w:szCs w:val="24"/>
          <w:lang w:eastAsia="en-GB"/>
        </w:rPr>
        <w:t xml:space="preserve"> </w:t>
      </w:r>
      <w:r w:rsidRPr="00980A75">
        <w:rPr>
          <w:rFonts w:cs="Arial"/>
          <w:bCs w:val="0"/>
          <w:spacing w:val="-2"/>
          <w:szCs w:val="24"/>
          <w:lang w:eastAsia="en-GB"/>
        </w:rPr>
        <w:t>t</w:t>
      </w:r>
      <w:r w:rsidRPr="00980A75">
        <w:rPr>
          <w:rFonts w:cs="Arial"/>
          <w:bCs w:val="0"/>
          <w:szCs w:val="24"/>
          <w:lang w:eastAsia="en-GB"/>
        </w:rPr>
        <w:t xml:space="preserve">o </w:t>
      </w:r>
      <w:r w:rsidRPr="00980A75">
        <w:rPr>
          <w:rFonts w:cs="Arial"/>
          <w:bCs w:val="0"/>
          <w:spacing w:val="-2"/>
          <w:szCs w:val="24"/>
          <w:lang w:eastAsia="en-GB"/>
        </w:rPr>
        <w:t>v</w:t>
      </w:r>
      <w:r w:rsidRPr="00980A75">
        <w:rPr>
          <w:rFonts w:cs="Arial"/>
          <w:bCs w:val="0"/>
          <w:spacing w:val="1"/>
          <w:szCs w:val="24"/>
          <w:lang w:eastAsia="en-GB"/>
        </w:rPr>
        <w:t>a</w:t>
      </w:r>
      <w:r w:rsidRPr="00980A75">
        <w:rPr>
          <w:rFonts w:cs="Arial"/>
          <w:bCs w:val="0"/>
          <w:spacing w:val="-1"/>
          <w:szCs w:val="24"/>
          <w:lang w:eastAsia="en-GB"/>
        </w:rPr>
        <w:t>r</w:t>
      </w:r>
      <w:r w:rsidRPr="00980A75">
        <w:rPr>
          <w:rFonts w:cs="Arial"/>
          <w:bCs w:val="0"/>
          <w:szCs w:val="24"/>
          <w:lang w:eastAsia="en-GB"/>
        </w:rPr>
        <w:t>y</w:t>
      </w:r>
      <w:r w:rsidRPr="00980A75">
        <w:rPr>
          <w:rFonts w:cs="Arial"/>
          <w:bCs w:val="0"/>
          <w:spacing w:val="-7"/>
          <w:szCs w:val="24"/>
          <w:lang w:eastAsia="en-GB"/>
        </w:rPr>
        <w:t xml:space="preserve"> </w:t>
      </w:r>
      <w:r w:rsidRPr="00980A75">
        <w:rPr>
          <w:rFonts w:cs="Arial"/>
          <w:bCs w:val="0"/>
          <w:szCs w:val="24"/>
          <w:lang w:eastAsia="en-GB"/>
        </w:rPr>
        <w:t>i</w:t>
      </w:r>
      <w:r w:rsidRPr="00980A75">
        <w:rPr>
          <w:rFonts w:cs="Arial"/>
          <w:bCs w:val="0"/>
          <w:spacing w:val="1"/>
          <w:szCs w:val="24"/>
          <w:lang w:eastAsia="en-GB"/>
        </w:rPr>
        <w:t>t</w:t>
      </w:r>
      <w:r w:rsidRPr="00980A75">
        <w:rPr>
          <w:rFonts w:cs="Arial"/>
          <w:bCs w:val="0"/>
          <w:szCs w:val="24"/>
          <w:lang w:eastAsia="en-GB"/>
        </w:rPr>
        <w:t>s</w:t>
      </w:r>
      <w:r w:rsidRPr="00980A75">
        <w:rPr>
          <w:rFonts w:cs="Arial"/>
          <w:bCs w:val="0"/>
          <w:spacing w:val="-2"/>
          <w:szCs w:val="24"/>
          <w:lang w:eastAsia="en-GB"/>
        </w:rPr>
        <w:t xml:space="preserve"> </w:t>
      </w:r>
      <w:r w:rsidRPr="00980A75">
        <w:rPr>
          <w:rFonts w:cs="Arial"/>
          <w:bCs w:val="0"/>
          <w:spacing w:val="1"/>
          <w:szCs w:val="24"/>
          <w:lang w:eastAsia="en-GB"/>
        </w:rPr>
        <w:t>p</w:t>
      </w:r>
      <w:r w:rsidRPr="00980A75">
        <w:rPr>
          <w:rFonts w:cs="Arial"/>
          <w:bCs w:val="0"/>
          <w:spacing w:val="-1"/>
          <w:szCs w:val="24"/>
          <w:lang w:eastAsia="en-GB"/>
        </w:rPr>
        <w:t>r</w:t>
      </w:r>
      <w:r w:rsidRPr="00980A75">
        <w:rPr>
          <w:rFonts w:cs="Arial"/>
          <w:bCs w:val="0"/>
          <w:spacing w:val="1"/>
          <w:szCs w:val="24"/>
          <w:lang w:eastAsia="en-GB"/>
        </w:rPr>
        <w:t>a</w:t>
      </w:r>
      <w:r w:rsidRPr="00980A75">
        <w:rPr>
          <w:rFonts w:cs="Arial"/>
          <w:bCs w:val="0"/>
          <w:szCs w:val="24"/>
          <w:lang w:eastAsia="en-GB"/>
        </w:rPr>
        <w:t>c</w:t>
      </w:r>
      <w:r w:rsidRPr="00980A75">
        <w:rPr>
          <w:rFonts w:cs="Arial"/>
          <w:bCs w:val="0"/>
          <w:spacing w:val="1"/>
          <w:szCs w:val="24"/>
          <w:lang w:eastAsia="en-GB"/>
        </w:rPr>
        <w:t>t</w:t>
      </w:r>
      <w:r w:rsidRPr="00980A75">
        <w:rPr>
          <w:rFonts w:cs="Arial"/>
          <w:bCs w:val="0"/>
          <w:szCs w:val="24"/>
          <w:lang w:eastAsia="en-GB"/>
        </w:rPr>
        <w:t xml:space="preserve">ice </w:t>
      </w:r>
      <w:r w:rsidRPr="00980A75">
        <w:rPr>
          <w:rFonts w:cs="Arial"/>
          <w:bCs w:val="0"/>
          <w:spacing w:val="1"/>
          <w:szCs w:val="24"/>
          <w:lang w:eastAsia="en-GB"/>
        </w:rPr>
        <w:t>a</w:t>
      </w:r>
      <w:r w:rsidRPr="00980A75">
        <w:rPr>
          <w:rFonts w:cs="Arial"/>
          <w:bCs w:val="0"/>
          <w:spacing w:val="-1"/>
          <w:szCs w:val="24"/>
          <w:lang w:eastAsia="en-GB"/>
        </w:rPr>
        <w:t>r</w:t>
      </w:r>
      <w:r w:rsidRPr="00980A75">
        <w:rPr>
          <w:rFonts w:cs="Arial"/>
          <w:bCs w:val="0"/>
          <w:spacing w:val="1"/>
          <w:szCs w:val="24"/>
          <w:lang w:eastAsia="en-GB"/>
        </w:rPr>
        <w:t>ea</w:t>
      </w:r>
      <w:r w:rsidRPr="00980A75">
        <w:rPr>
          <w:rFonts w:cs="Arial"/>
          <w:bCs w:val="0"/>
          <w:szCs w:val="24"/>
          <w:lang w:eastAsia="en-GB"/>
        </w:rPr>
        <w:t>.</w:t>
      </w:r>
      <w:bookmarkEnd w:id="782"/>
    </w:p>
    <w:p w14:paraId="167BCE04" w14:textId="77777777" w:rsidR="00977693" w:rsidRPr="00B30FA5" w:rsidRDefault="00977693" w:rsidP="00B30FA5">
      <w:pPr>
        <w:pStyle w:val="Heading3"/>
      </w:pPr>
      <w:bookmarkStart w:id="783" w:name="_Toc440981944"/>
      <w:r w:rsidRPr="00B30FA5">
        <w:t>Practices who are intending to reduce their practice area must be advised that registered patients who subsequently fall outside of the new agreed area, but who are within the original practice area (main and outer boundary) can only be removed from the list if one or more of the provisions of the relevant regulations / directions that relate to removal of patients from the practice's patient list apply.</w:t>
      </w:r>
      <w:bookmarkEnd w:id="783"/>
    </w:p>
    <w:p w14:paraId="269B26E7" w14:textId="77777777" w:rsidR="00977693" w:rsidRPr="009055A7" w:rsidRDefault="00977693" w:rsidP="00977693">
      <w:pPr>
        <w:widowControl w:val="0"/>
        <w:spacing w:line="360" w:lineRule="auto"/>
        <w:ind w:left="1414"/>
        <w:jc w:val="both"/>
        <w:rPr>
          <w:rFonts w:cs="Arial"/>
          <w:bCs w:val="0"/>
          <w:sz w:val="20"/>
          <w:szCs w:val="20"/>
          <w:lang w:eastAsia="en-GB"/>
        </w:rPr>
      </w:pPr>
    </w:p>
    <w:p w14:paraId="29302F48" w14:textId="77777777" w:rsidR="00977693" w:rsidRPr="00CE0885" w:rsidRDefault="00977693" w:rsidP="00202DD3">
      <w:pPr>
        <w:pStyle w:val="Heading2"/>
        <w:rPr>
          <w:lang w:eastAsia="en-GB"/>
        </w:rPr>
      </w:pPr>
      <w:bookmarkStart w:id="784" w:name="_Toc440981945"/>
      <w:bookmarkStart w:id="785" w:name="_Toc498495400"/>
      <w:r w:rsidRPr="00CE0885">
        <w:rPr>
          <w:lang w:eastAsia="en-GB"/>
        </w:rPr>
        <w:t>Premises</w:t>
      </w:r>
      <w:bookmarkEnd w:id="784"/>
      <w:bookmarkEnd w:id="785"/>
    </w:p>
    <w:p w14:paraId="38929BF2" w14:textId="77777777" w:rsidR="00977693" w:rsidRPr="00CE0885" w:rsidRDefault="00977693" w:rsidP="00980A75">
      <w:pPr>
        <w:pStyle w:val="Heading3"/>
        <w:rPr>
          <w:lang w:eastAsia="en-GB"/>
        </w:rPr>
      </w:pPr>
      <w:bookmarkStart w:id="786" w:name="_Toc440981946"/>
      <w:r w:rsidRPr="00CE0885">
        <w:rPr>
          <w:spacing w:val="2"/>
          <w:lang w:eastAsia="en-GB"/>
        </w:rPr>
        <w:t>A</w:t>
      </w:r>
      <w:r w:rsidRPr="00CE0885">
        <w:rPr>
          <w:spacing w:val="1"/>
          <w:lang w:eastAsia="en-GB"/>
        </w:rPr>
        <w:t xml:space="preserve"> </w:t>
      </w:r>
      <w:r w:rsidRPr="00CE0885">
        <w:rPr>
          <w:lang w:eastAsia="en-GB"/>
        </w:rPr>
        <w:t>c</w:t>
      </w:r>
      <w:r w:rsidRPr="00CE0885">
        <w:rPr>
          <w:spacing w:val="-1"/>
          <w:lang w:eastAsia="en-GB"/>
        </w:rPr>
        <w:t>o</w:t>
      </w:r>
      <w:r w:rsidRPr="00CE0885">
        <w:rPr>
          <w:spacing w:val="1"/>
          <w:lang w:eastAsia="en-GB"/>
        </w:rPr>
        <w:t>nt</w:t>
      </w:r>
      <w:r w:rsidRPr="00CE0885">
        <w:rPr>
          <w:spacing w:val="-1"/>
          <w:lang w:eastAsia="en-GB"/>
        </w:rPr>
        <w:t>r</w:t>
      </w:r>
      <w:r w:rsidRPr="00CE0885">
        <w:rPr>
          <w:spacing w:val="1"/>
          <w:lang w:eastAsia="en-GB"/>
        </w:rPr>
        <w:t>a</w:t>
      </w:r>
      <w:r w:rsidRPr="00CE0885">
        <w:rPr>
          <w:lang w:eastAsia="en-GB"/>
        </w:rPr>
        <w:t>c</w:t>
      </w:r>
      <w:r w:rsidRPr="00CE0885">
        <w:rPr>
          <w:spacing w:val="-2"/>
          <w:lang w:eastAsia="en-GB"/>
        </w:rPr>
        <w:t>t</w:t>
      </w:r>
      <w:r w:rsidRPr="00CE0885">
        <w:rPr>
          <w:spacing w:val="1"/>
          <w:lang w:eastAsia="en-GB"/>
        </w:rPr>
        <w:t>o</w:t>
      </w:r>
      <w:r w:rsidRPr="00CE0885">
        <w:rPr>
          <w:lang w:eastAsia="en-GB"/>
        </w:rPr>
        <w:t>r</w:t>
      </w:r>
      <w:r w:rsidRPr="00CE0885">
        <w:rPr>
          <w:spacing w:val="-11"/>
          <w:lang w:eastAsia="en-GB"/>
        </w:rPr>
        <w:t xml:space="preserve"> may </w:t>
      </w:r>
      <w:r w:rsidRPr="00CE0885">
        <w:rPr>
          <w:spacing w:val="-3"/>
          <w:lang w:eastAsia="en-GB"/>
        </w:rPr>
        <w:t>w</w:t>
      </w:r>
      <w:r w:rsidRPr="00CE0885">
        <w:rPr>
          <w:lang w:eastAsia="en-GB"/>
        </w:rPr>
        <w:t>is</w:t>
      </w:r>
      <w:r w:rsidRPr="00CE0885">
        <w:rPr>
          <w:spacing w:val="1"/>
          <w:lang w:eastAsia="en-GB"/>
        </w:rPr>
        <w:t>h</w:t>
      </w:r>
      <w:r w:rsidRPr="00CE0885">
        <w:rPr>
          <w:spacing w:val="-7"/>
          <w:lang w:eastAsia="en-GB"/>
        </w:rPr>
        <w:t xml:space="preserve"> </w:t>
      </w:r>
      <w:r w:rsidRPr="00CE0885">
        <w:rPr>
          <w:spacing w:val="1"/>
          <w:lang w:eastAsia="en-GB"/>
        </w:rPr>
        <w:t>t</w:t>
      </w:r>
      <w:r w:rsidRPr="00CE0885">
        <w:rPr>
          <w:lang w:eastAsia="en-GB"/>
        </w:rPr>
        <w:t xml:space="preserve">o </w:t>
      </w:r>
      <w:r w:rsidRPr="00CE0885">
        <w:rPr>
          <w:spacing w:val="-1"/>
          <w:lang w:eastAsia="en-GB"/>
        </w:rPr>
        <w:t>m</w:t>
      </w:r>
      <w:r w:rsidRPr="00CE0885">
        <w:rPr>
          <w:spacing w:val="1"/>
          <w:lang w:eastAsia="en-GB"/>
        </w:rPr>
        <w:t>a</w:t>
      </w:r>
      <w:r w:rsidRPr="00CE0885">
        <w:rPr>
          <w:lang w:eastAsia="en-GB"/>
        </w:rPr>
        <w:t>ke c</w:t>
      </w:r>
      <w:r w:rsidRPr="00CE0885">
        <w:rPr>
          <w:spacing w:val="1"/>
          <w:lang w:eastAsia="en-GB"/>
        </w:rPr>
        <w:t>han</w:t>
      </w:r>
      <w:r w:rsidRPr="00CE0885">
        <w:rPr>
          <w:spacing w:val="-1"/>
          <w:lang w:eastAsia="en-GB"/>
        </w:rPr>
        <w:t>g</w:t>
      </w:r>
      <w:r w:rsidRPr="00CE0885">
        <w:rPr>
          <w:spacing w:val="1"/>
          <w:lang w:eastAsia="en-GB"/>
        </w:rPr>
        <w:t>e</w:t>
      </w:r>
      <w:r w:rsidRPr="00CE0885">
        <w:rPr>
          <w:lang w:eastAsia="en-GB"/>
        </w:rPr>
        <w:t>s</w:t>
      </w:r>
      <w:r w:rsidRPr="00CE0885">
        <w:rPr>
          <w:spacing w:val="-9"/>
          <w:lang w:eastAsia="en-GB"/>
        </w:rPr>
        <w:t xml:space="preserve"> </w:t>
      </w:r>
      <w:r w:rsidRPr="00CE0885">
        <w:rPr>
          <w:spacing w:val="-2"/>
          <w:lang w:eastAsia="en-GB"/>
        </w:rPr>
        <w:t>t</w:t>
      </w:r>
      <w:r w:rsidRPr="00CE0885">
        <w:rPr>
          <w:lang w:eastAsia="en-GB"/>
        </w:rPr>
        <w:t>o i</w:t>
      </w:r>
      <w:r w:rsidRPr="00CE0885">
        <w:rPr>
          <w:spacing w:val="1"/>
          <w:lang w:eastAsia="en-GB"/>
        </w:rPr>
        <w:t>t</w:t>
      </w:r>
      <w:r w:rsidRPr="00CE0885">
        <w:rPr>
          <w:lang w:eastAsia="en-GB"/>
        </w:rPr>
        <w:t>s</w:t>
      </w:r>
      <w:r w:rsidRPr="00CE0885">
        <w:rPr>
          <w:spacing w:val="-2"/>
          <w:lang w:eastAsia="en-GB"/>
        </w:rPr>
        <w:t xml:space="preserve"> c</w:t>
      </w:r>
      <w:r w:rsidRPr="00CE0885">
        <w:rPr>
          <w:spacing w:val="1"/>
          <w:lang w:eastAsia="en-GB"/>
        </w:rPr>
        <w:t>ont</w:t>
      </w:r>
      <w:r w:rsidRPr="00CE0885">
        <w:rPr>
          <w:spacing w:val="-1"/>
          <w:lang w:eastAsia="en-GB"/>
        </w:rPr>
        <w:t>r</w:t>
      </w:r>
      <w:r w:rsidRPr="00CE0885">
        <w:rPr>
          <w:spacing w:val="1"/>
          <w:lang w:eastAsia="en-GB"/>
        </w:rPr>
        <w:t>a</w:t>
      </w:r>
      <w:r w:rsidRPr="00CE0885">
        <w:rPr>
          <w:lang w:eastAsia="en-GB"/>
        </w:rPr>
        <w:t>c</w:t>
      </w:r>
      <w:r w:rsidRPr="00CE0885">
        <w:rPr>
          <w:spacing w:val="-2"/>
          <w:lang w:eastAsia="en-GB"/>
        </w:rPr>
        <w:t>t</w:t>
      </w:r>
      <w:r w:rsidRPr="00CE0885">
        <w:rPr>
          <w:spacing w:val="1"/>
          <w:lang w:eastAsia="en-GB"/>
        </w:rPr>
        <w:t>e</w:t>
      </w:r>
      <w:r w:rsidRPr="00CE0885">
        <w:rPr>
          <w:lang w:eastAsia="en-GB"/>
        </w:rPr>
        <w:t>d</w:t>
      </w:r>
      <w:r w:rsidRPr="00CE0885">
        <w:rPr>
          <w:spacing w:val="-9"/>
          <w:lang w:eastAsia="en-GB"/>
        </w:rPr>
        <w:t xml:space="preserve"> </w:t>
      </w:r>
      <w:r w:rsidRPr="00CE0885">
        <w:rPr>
          <w:spacing w:val="1"/>
          <w:lang w:eastAsia="en-GB"/>
        </w:rPr>
        <w:t>p</w:t>
      </w:r>
      <w:r w:rsidRPr="00CE0885">
        <w:rPr>
          <w:spacing w:val="-1"/>
          <w:lang w:eastAsia="en-GB"/>
        </w:rPr>
        <w:t>r</w:t>
      </w:r>
      <w:r w:rsidRPr="00CE0885">
        <w:rPr>
          <w:spacing w:val="1"/>
          <w:lang w:eastAsia="en-GB"/>
        </w:rPr>
        <w:t>a</w:t>
      </w:r>
      <w:r w:rsidRPr="00CE0885">
        <w:rPr>
          <w:spacing w:val="-2"/>
          <w:lang w:eastAsia="en-GB"/>
        </w:rPr>
        <w:t>c</w:t>
      </w:r>
      <w:r w:rsidRPr="00CE0885">
        <w:rPr>
          <w:spacing w:val="1"/>
          <w:lang w:eastAsia="en-GB"/>
        </w:rPr>
        <w:t>t</w:t>
      </w:r>
      <w:r w:rsidRPr="00CE0885">
        <w:rPr>
          <w:lang w:eastAsia="en-GB"/>
        </w:rPr>
        <w:t>ice</w:t>
      </w:r>
      <w:r w:rsidRPr="00CE0885">
        <w:rPr>
          <w:spacing w:val="-6"/>
          <w:lang w:eastAsia="en-GB"/>
        </w:rPr>
        <w:t xml:space="preserve"> </w:t>
      </w:r>
      <w:r w:rsidRPr="00CE0885">
        <w:rPr>
          <w:spacing w:val="1"/>
          <w:lang w:eastAsia="en-GB"/>
        </w:rPr>
        <w:t>p</w:t>
      </w:r>
      <w:r w:rsidRPr="00CE0885">
        <w:rPr>
          <w:spacing w:val="-1"/>
          <w:lang w:eastAsia="en-GB"/>
        </w:rPr>
        <w:t>re</w:t>
      </w:r>
      <w:r w:rsidRPr="00CE0885">
        <w:rPr>
          <w:spacing w:val="2"/>
          <w:lang w:eastAsia="en-GB"/>
        </w:rPr>
        <w:t>m</w:t>
      </w:r>
      <w:r w:rsidRPr="00CE0885">
        <w:rPr>
          <w:lang w:eastAsia="en-GB"/>
        </w:rPr>
        <w:t>is</w:t>
      </w:r>
      <w:r w:rsidRPr="00CE0885">
        <w:rPr>
          <w:spacing w:val="1"/>
          <w:lang w:eastAsia="en-GB"/>
        </w:rPr>
        <w:t>e</w:t>
      </w:r>
      <w:r w:rsidRPr="00CE0885">
        <w:rPr>
          <w:lang w:eastAsia="en-GB"/>
        </w:rPr>
        <w:t>s</w:t>
      </w:r>
      <w:r w:rsidRPr="00CE0885">
        <w:rPr>
          <w:spacing w:val="-12"/>
          <w:lang w:eastAsia="en-GB"/>
        </w:rPr>
        <w:t xml:space="preserve"> </w:t>
      </w:r>
      <w:r w:rsidRPr="00CE0885">
        <w:rPr>
          <w:spacing w:val="-1"/>
          <w:lang w:eastAsia="en-GB"/>
        </w:rPr>
        <w:t>(</w:t>
      </w:r>
      <w:r w:rsidRPr="00CE0885">
        <w:rPr>
          <w:lang w:eastAsia="en-GB"/>
        </w:rPr>
        <w:t>i</w:t>
      </w:r>
      <w:r w:rsidRPr="00CE0885">
        <w:rPr>
          <w:spacing w:val="1"/>
          <w:lang w:eastAsia="en-GB"/>
        </w:rPr>
        <w:t>n</w:t>
      </w:r>
      <w:r w:rsidRPr="00CE0885">
        <w:rPr>
          <w:lang w:eastAsia="en-GB"/>
        </w:rPr>
        <w:t>cl</w:t>
      </w:r>
      <w:r w:rsidRPr="00CE0885">
        <w:rPr>
          <w:spacing w:val="1"/>
          <w:lang w:eastAsia="en-GB"/>
        </w:rPr>
        <w:t>ud</w:t>
      </w:r>
      <w:r w:rsidRPr="00CE0885">
        <w:rPr>
          <w:lang w:eastAsia="en-GB"/>
        </w:rPr>
        <w:t>i</w:t>
      </w:r>
      <w:r w:rsidRPr="00CE0885">
        <w:rPr>
          <w:spacing w:val="1"/>
          <w:lang w:eastAsia="en-GB"/>
        </w:rPr>
        <w:t>n</w:t>
      </w:r>
      <w:r w:rsidRPr="00CE0885">
        <w:rPr>
          <w:lang w:eastAsia="en-GB"/>
        </w:rPr>
        <w:t>g</w:t>
      </w:r>
      <w:r w:rsidRPr="00CE0885">
        <w:rPr>
          <w:spacing w:val="-11"/>
          <w:lang w:eastAsia="en-GB"/>
        </w:rPr>
        <w:t xml:space="preserve"> </w:t>
      </w:r>
      <w:r w:rsidRPr="00CE0885">
        <w:rPr>
          <w:spacing w:val="1"/>
          <w:lang w:eastAsia="en-GB"/>
        </w:rPr>
        <w:t>b</w:t>
      </w:r>
      <w:r w:rsidRPr="00CE0885">
        <w:rPr>
          <w:spacing w:val="-1"/>
          <w:lang w:eastAsia="en-GB"/>
        </w:rPr>
        <w:t>ra</w:t>
      </w:r>
      <w:r w:rsidRPr="00CE0885">
        <w:rPr>
          <w:spacing w:val="1"/>
          <w:lang w:eastAsia="en-GB"/>
        </w:rPr>
        <w:t>n</w:t>
      </w:r>
      <w:r w:rsidRPr="00CE0885">
        <w:rPr>
          <w:lang w:eastAsia="en-GB"/>
        </w:rPr>
        <w:t>ch s</w:t>
      </w:r>
      <w:r w:rsidRPr="00CE0885">
        <w:rPr>
          <w:spacing w:val="1"/>
          <w:lang w:eastAsia="en-GB"/>
        </w:rPr>
        <w:t>u</w:t>
      </w:r>
      <w:r w:rsidRPr="00CE0885">
        <w:rPr>
          <w:spacing w:val="-1"/>
          <w:lang w:eastAsia="en-GB"/>
        </w:rPr>
        <w:t>rg</w:t>
      </w:r>
      <w:r w:rsidRPr="00CE0885">
        <w:rPr>
          <w:spacing w:val="1"/>
          <w:lang w:eastAsia="en-GB"/>
        </w:rPr>
        <w:t>e</w:t>
      </w:r>
      <w:r w:rsidRPr="00CE0885">
        <w:rPr>
          <w:spacing w:val="-1"/>
          <w:lang w:eastAsia="en-GB"/>
        </w:rPr>
        <w:t>r</w:t>
      </w:r>
      <w:r w:rsidRPr="00CE0885">
        <w:rPr>
          <w:lang w:eastAsia="en-GB"/>
        </w:rPr>
        <w:t>i</w:t>
      </w:r>
      <w:r w:rsidRPr="00CE0885">
        <w:rPr>
          <w:spacing w:val="1"/>
          <w:lang w:eastAsia="en-GB"/>
        </w:rPr>
        <w:t>e</w:t>
      </w:r>
      <w:r w:rsidRPr="00CE0885">
        <w:rPr>
          <w:lang w:eastAsia="en-GB"/>
        </w:rPr>
        <w:t xml:space="preserve">s – for further information, see paragraphs </w:t>
      </w:r>
      <w:r w:rsidRPr="00CE0885">
        <w:rPr>
          <w:lang w:eastAsia="en-GB"/>
        </w:rPr>
        <w:fldChar w:fldCharType="begin"/>
      </w:r>
      <w:r w:rsidRPr="00CE0885">
        <w:rPr>
          <w:lang w:eastAsia="en-GB"/>
        </w:rPr>
        <w:instrText xml:space="preserve"> REF _Ref410634689 \r \h  \* MERGEFORMAT </w:instrText>
      </w:r>
      <w:r w:rsidRPr="00CE0885">
        <w:rPr>
          <w:lang w:eastAsia="en-GB"/>
        </w:rPr>
      </w:r>
      <w:r w:rsidRPr="00CE0885">
        <w:rPr>
          <w:lang w:eastAsia="en-GB"/>
        </w:rPr>
        <w:fldChar w:fldCharType="separate"/>
      </w:r>
      <w:r w:rsidR="00622FF2">
        <w:rPr>
          <w:lang w:eastAsia="en-GB"/>
        </w:rPr>
        <w:t>7.15.7</w:t>
      </w:r>
      <w:r w:rsidRPr="00CE0885">
        <w:rPr>
          <w:lang w:eastAsia="en-GB"/>
        </w:rPr>
        <w:fldChar w:fldCharType="end"/>
      </w:r>
      <w:r w:rsidRPr="00CE0885">
        <w:rPr>
          <w:lang w:eastAsia="en-GB"/>
        </w:rPr>
        <w:t xml:space="preserve"> to </w:t>
      </w:r>
      <w:r w:rsidRPr="00CE0885">
        <w:rPr>
          <w:lang w:eastAsia="en-GB"/>
        </w:rPr>
        <w:fldChar w:fldCharType="begin"/>
      </w:r>
      <w:r w:rsidRPr="00CE0885">
        <w:rPr>
          <w:lang w:eastAsia="en-GB"/>
        </w:rPr>
        <w:instrText xml:space="preserve"> REF _Ref410634700 \r \h  \* MERGEFORMAT </w:instrText>
      </w:r>
      <w:r w:rsidRPr="00CE0885">
        <w:rPr>
          <w:lang w:eastAsia="en-GB"/>
        </w:rPr>
      </w:r>
      <w:r w:rsidRPr="00CE0885">
        <w:rPr>
          <w:lang w:eastAsia="en-GB"/>
        </w:rPr>
        <w:fldChar w:fldCharType="separate"/>
      </w:r>
      <w:r w:rsidR="00622FF2">
        <w:rPr>
          <w:lang w:eastAsia="en-GB"/>
        </w:rPr>
        <w:t>7.15.25</w:t>
      </w:r>
      <w:r w:rsidRPr="00CE0885">
        <w:rPr>
          <w:lang w:eastAsia="en-GB"/>
        </w:rPr>
        <w:fldChar w:fldCharType="end"/>
      </w:r>
      <w:r w:rsidRPr="00CE0885">
        <w:rPr>
          <w:lang w:eastAsia="en-GB"/>
        </w:rPr>
        <w:t xml:space="preserve"> below)</w:t>
      </w:r>
      <w:r w:rsidRPr="00CE0885">
        <w:rPr>
          <w:spacing w:val="-11"/>
          <w:lang w:eastAsia="en-GB"/>
        </w:rPr>
        <w:t xml:space="preserve"> </w:t>
      </w:r>
      <w:r w:rsidRPr="00CE0885">
        <w:rPr>
          <w:spacing w:val="3"/>
          <w:lang w:eastAsia="en-GB"/>
        </w:rPr>
        <w:t>f</w:t>
      </w:r>
      <w:r w:rsidRPr="00CE0885">
        <w:rPr>
          <w:spacing w:val="-1"/>
          <w:lang w:eastAsia="en-GB"/>
        </w:rPr>
        <w:t>ro</w:t>
      </w:r>
      <w:r w:rsidRPr="00CE0885">
        <w:rPr>
          <w:lang w:eastAsia="en-GB"/>
        </w:rPr>
        <w:t>m</w:t>
      </w:r>
      <w:r w:rsidRPr="00CE0885">
        <w:rPr>
          <w:spacing w:val="-3"/>
          <w:lang w:eastAsia="en-GB"/>
        </w:rPr>
        <w:t xml:space="preserve"> w</w:t>
      </w:r>
      <w:r w:rsidRPr="00CE0885">
        <w:rPr>
          <w:spacing w:val="1"/>
          <w:lang w:eastAsia="en-GB"/>
        </w:rPr>
        <w:t>h</w:t>
      </w:r>
      <w:r w:rsidRPr="00CE0885">
        <w:rPr>
          <w:lang w:eastAsia="en-GB"/>
        </w:rPr>
        <w:t>ich</w:t>
      </w:r>
      <w:r w:rsidRPr="00CE0885">
        <w:rPr>
          <w:spacing w:val="-4"/>
          <w:lang w:eastAsia="en-GB"/>
        </w:rPr>
        <w:t xml:space="preserve"> </w:t>
      </w:r>
      <w:r w:rsidRPr="00CE0885">
        <w:rPr>
          <w:lang w:eastAsia="en-GB"/>
        </w:rPr>
        <w:t>s</w:t>
      </w:r>
      <w:r w:rsidRPr="00CE0885">
        <w:rPr>
          <w:spacing w:val="1"/>
          <w:lang w:eastAsia="en-GB"/>
        </w:rPr>
        <w:t>e</w:t>
      </w:r>
      <w:r w:rsidRPr="00CE0885">
        <w:rPr>
          <w:spacing w:val="-1"/>
          <w:lang w:eastAsia="en-GB"/>
        </w:rPr>
        <w:t>r</w:t>
      </w:r>
      <w:r w:rsidRPr="00CE0885">
        <w:rPr>
          <w:spacing w:val="-2"/>
          <w:lang w:eastAsia="en-GB"/>
        </w:rPr>
        <w:t>v</w:t>
      </w:r>
      <w:r w:rsidRPr="00CE0885">
        <w:rPr>
          <w:lang w:eastAsia="en-GB"/>
        </w:rPr>
        <w:t>ic</w:t>
      </w:r>
      <w:r w:rsidRPr="00CE0885">
        <w:rPr>
          <w:spacing w:val="1"/>
          <w:lang w:eastAsia="en-GB"/>
        </w:rPr>
        <w:t>e</w:t>
      </w:r>
      <w:r w:rsidRPr="00CE0885">
        <w:rPr>
          <w:lang w:eastAsia="en-GB"/>
        </w:rPr>
        <w:t>s</w:t>
      </w:r>
      <w:r w:rsidRPr="00CE0885">
        <w:rPr>
          <w:spacing w:val="-9"/>
          <w:lang w:eastAsia="en-GB"/>
        </w:rPr>
        <w:t xml:space="preserve"> </w:t>
      </w:r>
      <w:r w:rsidRPr="00CE0885">
        <w:rPr>
          <w:spacing w:val="1"/>
          <w:lang w:eastAsia="en-GB"/>
        </w:rPr>
        <w:t>a</w:t>
      </w:r>
      <w:r w:rsidRPr="00CE0885">
        <w:rPr>
          <w:spacing w:val="-1"/>
          <w:lang w:eastAsia="en-GB"/>
        </w:rPr>
        <w:t>r</w:t>
      </w:r>
      <w:r w:rsidRPr="00CE0885">
        <w:rPr>
          <w:lang w:eastAsia="en-GB"/>
        </w:rPr>
        <w:t>e</w:t>
      </w:r>
      <w:r w:rsidRPr="00CE0885">
        <w:rPr>
          <w:spacing w:val="-1"/>
          <w:lang w:eastAsia="en-GB"/>
        </w:rPr>
        <w:t xml:space="preserve"> </w:t>
      </w:r>
      <w:r w:rsidRPr="00CE0885">
        <w:rPr>
          <w:spacing w:val="1"/>
          <w:lang w:eastAsia="en-GB"/>
        </w:rPr>
        <w:t>p</w:t>
      </w:r>
      <w:r w:rsidRPr="00CE0885">
        <w:rPr>
          <w:spacing w:val="-1"/>
          <w:lang w:eastAsia="en-GB"/>
        </w:rPr>
        <w:t>r</w:t>
      </w:r>
      <w:r w:rsidRPr="00CE0885">
        <w:rPr>
          <w:spacing w:val="1"/>
          <w:lang w:eastAsia="en-GB"/>
        </w:rPr>
        <w:t>o</w:t>
      </w:r>
      <w:r w:rsidRPr="00CE0885">
        <w:rPr>
          <w:spacing w:val="-2"/>
          <w:lang w:eastAsia="en-GB"/>
        </w:rPr>
        <w:t>v</w:t>
      </w:r>
      <w:r w:rsidRPr="00CE0885">
        <w:rPr>
          <w:lang w:eastAsia="en-GB"/>
        </w:rPr>
        <w:t>i</w:t>
      </w:r>
      <w:r w:rsidRPr="00CE0885">
        <w:rPr>
          <w:spacing w:val="1"/>
          <w:lang w:eastAsia="en-GB"/>
        </w:rPr>
        <w:t>ded</w:t>
      </w:r>
      <w:r w:rsidRPr="00CE0885">
        <w:rPr>
          <w:lang w:eastAsia="en-GB"/>
        </w:rPr>
        <w:t>.</w:t>
      </w:r>
      <w:bookmarkEnd w:id="786"/>
    </w:p>
    <w:p w14:paraId="6B7574FE" w14:textId="77777777" w:rsidR="00977693" w:rsidRPr="00CE0885" w:rsidRDefault="00977693" w:rsidP="00980A75">
      <w:pPr>
        <w:pStyle w:val="Heading3"/>
        <w:rPr>
          <w:lang w:eastAsia="en-GB"/>
        </w:rPr>
      </w:pPr>
      <w:bookmarkStart w:id="787" w:name="_Toc440981947"/>
      <w:r w:rsidRPr="00CE0885">
        <w:rPr>
          <w:spacing w:val="2"/>
          <w:lang w:eastAsia="en-GB"/>
        </w:rPr>
        <w:t>T</w:t>
      </w:r>
      <w:r w:rsidRPr="00CE0885">
        <w:rPr>
          <w:spacing w:val="1"/>
          <w:lang w:eastAsia="en-GB"/>
        </w:rPr>
        <w:t>h</w:t>
      </w:r>
      <w:r w:rsidRPr="00CE0885">
        <w:rPr>
          <w:lang w:eastAsia="en-GB"/>
        </w:rPr>
        <w:t>is</w:t>
      </w:r>
      <w:r w:rsidRPr="00CE0885">
        <w:rPr>
          <w:spacing w:val="-5"/>
          <w:lang w:eastAsia="en-GB"/>
        </w:rPr>
        <w:t xml:space="preserve"> </w:t>
      </w:r>
      <w:r w:rsidRPr="00CE0885">
        <w:rPr>
          <w:spacing w:val="-3"/>
          <w:lang w:eastAsia="en-GB"/>
        </w:rPr>
        <w:t>w</w:t>
      </w:r>
      <w:r w:rsidRPr="00CE0885">
        <w:rPr>
          <w:spacing w:val="1"/>
          <w:lang w:eastAsia="en-GB"/>
        </w:rPr>
        <w:t>ou</w:t>
      </w:r>
      <w:r w:rsidRPr="00CE0885">
        <w:rPr>
          <w:lang w:eastAsia="en-GB"/>
        </w:rPr>
        <w:t>ld</w:t>
      </w:r>
      <w:r w:rsidRPr="00CE0885">
        <w:rPr>
          <w:spacing w:val="-7"/>
          <w:lang w:eastAsia="en-GB"/>
        </w:rPr>
        <w:t xml:space="preserve"> likely </w:t>
      </w:r>
      <w:r w:rsidRPr="00CE0885">
        <w:rPr>
          <w:spacing w:val="1"/>
          <w:lang w:eastAsia="en-GB"/>
        </w:rPr>
        <w:t>b</w:t>
      </w:r>
      <w:r w:rsidRPr="00CE0885">
        <w:rPr>
          <w:lang w:eastAsia="en-GB"/>
        </w:rPr>
        <w:t>e</w:t>
      </w:r>
      <w:r w:rsidRPr="00CE0885">
        <w:rPr>
          <w:spacing w:val="-4"/>
          <w:lang w:eastAsia="en-GB"/>
        </w:rPr>
        <w:t xml:space="preserve"> </w:t>
      </w:r>
      <w:r w:rsidRPr="00CE0885">
        <w:rPr>
          <w:lang w:eastAsia="en-GB"/>
        </w:rPr>
        <w:t>a</w:t>
      </w:r>
      <w:r w:rsidRPr="00CE0885">
        <w:rPr>
          <w:spacing w:val="1"/>
          <w:lang w:eastAsia="en-GB"/>
        </w:rPr>
        <w:t xml:space="preserve"> </w:t>
      </w:r>
      <w:r w:rsidRPr="00CE0885">
        <w:rPr>
          <w:lang w:eastAsia="en-GB"/>
        </w:rPr>
        <w:t>si</w:t>
      </w:r>
      <w:r w:rsidRPr="00CE0885">
        <w:rPr>
          <w:spacing w:val="-1"/>
          <w:lang w:eastAsia="en-GB"/>
        </w:rPr>
        <w:t>g</w:t>
      </w:r>
      <w:r w:rsidRPr="00CE0885">
        <w:rPr>
          <w:spacing w:val="1"/>
          <w:lang w:eastAsia="en-GB"/>
        </w:rPr>
        <w:t>n</w:t>
      </w:r>
      <w:r w:rsidRPr="00CE0885">
        <w:rPr>
          <w:lang w:eastAsia="en-GB"/>
        </w:rPr>
        <w:t>i</w:t>
      </w:r>
      <w:r w:rsidRPr="00CE0885">
        <w:rPr>
          <w:spacing w:val="3"/>
          <w:lang w:eastAsia="en-GB"/>
        </w:rPr>
        <w:t>f</w:t>
      </w:r>
      <w:r w:rsidRPr="00CE0885">
        <w:rPr>
          <w:spacing w:val="-3"/>
          <w:lang w:eastAsia="en-GB"/>
        </w:rPr>
        <w:t>i</w:t>
      </w:r>
      <w:r w:rsidRPr="00CE0885">
        <w:rPr>
          <w:lang w:eastAsia="en-GB"/>
        </w:rPr>
        <w:t>c</w:t>
      </w:r>
      <w:r w:rsidRPr="00CE0885">
        <w:rPr>
          <w:spacing w:val="1"/>
          <w:lang w:eastAsia="en-GB"/>
        </w:rPr>
        <w:t>an</w:t>
      </w:r>
      <w:r w:rsidRPr="00CE0885">
        <w:rPr>
          <w:lang w:eastAsia="en-GB"/>
        </w:rPr>
        <w:t>t</w:t>
      </w:r>
      <w:r w:rsidRPr="00CE0885">
        <w:rPr>
          <w:spacing w:val="-10"/>
          <w:lang w:eastAsia="en-GB"/>
        </w:rPr>
        <w:t xml:space="preserve"> </w:t>
      </w:r>
      <w:r w:rsidRPr="00CE0885">
        <w:rPr>
          <w:spacing w:val="-2"/>
          <w:lang w:eastAsia="en-GB"/>
        </w:rPr>
        <w:t>c</w:t>
      </w:r>
      <w:r w:rsidRPr="00CE0885">
        <w:rPr>
          <w:spacing w:val="1"/>
          <w:lang w:eastAsia="en-GB"/>
        </w:rPr>
        <w:t>han</w:t>
      </w:r>
      <w:r w:rsidRPr="00CE0885">
        <w:rPr>
          <w:spacing w:val="-1"/>
          <w:lang w:eastAsia="en-GB"/>
        </w:rPr>
        <w:t>g</w:t>
      </w:r>
      <w:r w:rsidRPr="00CE0885">
        <w:rPr>
          <w:lang w:eastAsia="en-GB"/>
        </w:rPr>
        <w:t>e</w:t>
      </w:r>
      <w:r w:rsidRPr="00CE0885">
        <w:rPr>
          <w:spacing w:val="-9"/>
          <w:lang w:eastAsia="en-GB"/>
        </w:rPr>
        <w:t xml:space="preserve"> </w:t>
      </w:r>
      <w:r w:rsidRPr="00CE0885">
        <w:rPr>
          <w:spacing w:val="1"/>
          <w:lang w:eastAsia="en-GB"/>
        </w:rPr>
        <w:t>t</w:t>
      </w:r>
      <w:r w:rsidRPr="00CE0885">
        <w:rPr>
          <w:lang w:eastAsia="en-GB"/>
        </w:rPr>
        <w:t>o s</w:t>
      </w:r>
      <w:r w:rsidRPr="00CE0885">
        <w:rPr>
          <w:spacing w:val="1"/>
          <w:lang w:eastAsia="en-GB"/>
        </w:rPr>
        <w:t>e</w:t>
      </w:r>
      <w:r w:rsidRPr="00CE0885">
        <w:rPr>
          <w:spacing w:val="-1"/>
          <w:lang w:eastAsia="en-GB"/>
        </w:rPr>
        <w:t>r</w:t>
      </w:r>
      <w:r w:rsidRPr="00CE0885">
        <w:rPr>
          <w:spacing w:val="-2"/>
          <w:lang w:eastAsia="en-GB"/>
        </w:rPr>
        <w:t>v</w:t>
      </w:r>
      <w:r w:rsidRPr="00CE0885">
        <w:rPr>
          <w:lang w:eastAsia="en-GB"/>
        </w:rPr>
        <w:t>ic</w:t>
      </w:r>
      <w:r w:rsidRPr="00CE0885">
        <w:rPr>
          <w:spacing w:val="1"/>
          <w:lang w:eastAsia="en-GB"/>
        </w:rPr>
        <w:t>e</w:t>
      </w:r>
      <w:r w:rsidRPr="00CE0885">
        <w:rPr>
          <w:lang w:eastAsia="en-GB"/>
        </w:rPr>
        <w:t>s</w:t>
      </w:r>
      <w:r w:rsidRPr="00CE0885">
        <w:rPr>
          <w:spacing w:val="-9"/>
          <w:lang w:eastAsia="en-GB"/>
        </w:rPr>
        <w:t xml:space="preserve"> </w:t>
      </w:r>
      <w:r w:rsidRPr="00CE0885">
        <w:rPr>
          <w:spacing w:val="1"/>
          <w:lang w:eastAsia="en-GB"/>
        </w:rPr>
        <w:t>fo</w:t>
      </w:r>
      <w:r w:rsidRPr="00CE0885">
        <w:rPr>
          <w:lang w:eastAsia="en-GB"/>
        </w:rPr>
        <w:t>r</w:t>
      </w:r>
      <w:r w:rsidRPr="00CE0885">
        <w:rPr>
          <w:spacing w:val="-3"/>
          <w:lang w:eastAsia="en-GB"/>
        </w:rPr>
        <w:t xml:space="preserve">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r</w:t>
      </w:r>
      <w:r w:rsidRPr="00CE0885">
        <w:rPr>
          <w:spacing w:val="1"/>
          <w:lang w:eastAsia="en-GB"/>
        </w:rPr>
        <w:t>e</w:t>
      </w:r>
      <w:r w:rsidRPr="00CE0885">
        <w:rPr>
          <w:spacing w:val="-1"/>
          <w:lang w:eastAsia="en-GB"/>
        </w:rPr>
        <w:t>g</w:t>
      </w:r>
      <w:r w:rsidRPr="00CE0885">
        <w:rPr>
          <w:lang w:eastAsia="en-GB"/>
        </w:rPr>
        <w:t>is</w:t>
      </w:r>
      <w:r w:rsidRPr="00CE0885">
        <w:rPr>
          <w:spacing w:val="1"/>
          <w:lang w:eastAsia="en-GB"/>
        </w:rPr>
        <w:t>te</w:t>
      </w:r>
      <w:r w:rsidRPr="00CE0885">
        <w:rPr>
          <w:spacing w:val="-1"/>
          <w:lang w:eastAsia="en-GB"/>
        </w:rPr>
        <w:t>r</w:t>
      </w:r>
      <w:r w:rsidRPr="00CE0885">
        <w:rPr>
          <w:spacing w:val="1"/>
          <w:lang w:eastAsia="en-GB"/>
        </w:rPr>
        <w:t>e</w:t>
      </w:r>
      <w:r w:rsidRPr="00CE0885">
        <w:rPr>
          <w:lang w:eastAsia="en-GB"/>
        </w:rPr>
        <w:t xml:space="preserve">d </w:t>
      </w:r>
      <w:r w:rsidRPr="00CE0885">
        <w:rPr>
          <w:spacing w:val="1"/>
          <w:lang w:eastAsia="en-GB"/>
        </w:rPr>
        <w:t>po</w:t>
      </w:r>
      <w:r w:rsidRPr="00CE0885">
        <w:rPr>
          <w:spacing w:val="-1"/>
          <w:lang w:eastAsia="en-GB"/>
        </w:rPr>
        <w:t>p</w:t>
      </w:r>
      <w:r w:rsidRPr="00CE0885">
        <w:rPr>
          <w:spacing w:val="1"/>
          <w:lang w:eastAsia="en-GB"/>
        </w:rPr>
        <w:t>u</w:t>
      </w:r>
      <w:r w:rsidRPr="00CE0885">
        <w:rPr>
          <w:lang w:eastAsia="en-GB"/>
        </w:rPr>
        <w:t>l</w:t>
      </w:r>
      <w:r w:rsidRPr="00CE0885">
        <w:rPr>
          <w:spacing w:val="1"/>
          <w:lang w:eastAsia="en-GB"/>
        </w:rPr>
        <w:t>at</w:t>
      </w:r>
      <w:r w:rsidRPr="00CE0885">
        <w:rPr>
          <w:lang w:eastAsia="en-GB"/>
        </w:rPr>
        <w:t>i</w:t>
      </w:r>
      <w:r w:rsidRPr="00CE0885">
        <w:rPr>
          <w:spacing w:val="1"/>
          <w:lang w:eastAsia="en-GB"/>
        </w:rPr>
        <w:t>o</w:t>
      </w:r>
      <w:r w:rsidRPr="00CE0885">
        <w:rPr>
          <w:lang w:eastAsia="en-GB"/>
        </w:rPr>
        <w:t>n</w:t>
      </w:r>
      <w:r w:rsidRPr="00CE0885">
        <w:rPr>
          <w:spacing w:val="-12"/>
          <w:lang w:eastAsia="en-GB"/>
        </w:rPr>
        <w:t xml:space="preserve"> </w:t>
      </w:r>
      <w:r w:rsidRPr="00CE0885">
        <w:rPr>
          <w:spacing w:val="1"/>
          <w:lang w:eastAsia="en-GB"/>
        </w:rPr>
        <w:t>a</w:t>
      </w:r>
      <w:r w:rsidRPr="00CE0885">
        <w:rPr>
          <w:spacing w:val="-1"/>
          <w:lang w:eastAsia="en-GB"/>
        </w:rPr>
        <w:t>n</w:t>
      </w:r>
      <w:r w:rsidRPr="00CE0885">
        <w:rPr>
          <w:lang w:eastAsia="en-GB"/>
        </w:rPr>
        <w:t>d</w:t>
      </w:r>
      <w:r w:rsidRPr="00CE0885">
        <w:rPr>
          <w:spacing w:val="-2"/>
          <w:lang w:eastAsia="en-GB"/>
        </w:rPr>
        <w:t xml:space="preserve"> </w:t>
      </w:r>
      <w:r w:rsidRPr="00CE0885">
        <w:rPr>
          <w:spacing w:val="1"/>
          <w:lang w:eastAsia="en-GB"/>
        </w:rPr>
        <w:t>a</w:t>
      </w:r>
      <w:r w:rsidRPr="00CE0885">
        <w:rPr>
          <w:lang w:eastAsia="en-GB"/>
        </w:rPr>
        <w:t>s</w:t>
      </w:r>
      <w:r w:rsidRPr="00CE0885">
        <w:rPr>
          <w:spacing w:val="-5"/>
          <w:lang w:eastAsia="en-GB"/>
        </w:rPr>
        <w:t xml:space="preserve"> </w:t>
      </w:r>
      <w:r w:rsidRPr="00CE0885">
        <w:rPr>
          <w:lang w:eastAsia="en-GB"/>
        </w:rPr>
        <w:t>s</w:t>
      </w:r>
      <w:r w:rsidRPr="00CE0885">
        <w:rPr>
          <w:spacing w:val="1"/>
          <w:lang w:eastAsia="en-GB"/>
        </w:rPr>
        <w:t>u</w:t>
      </w:r>
      <w:r w:rsidRPr="00CE0885">
        <w:rPr>
          <w:spacing w:val="-2"/>
          <w:lang w:eastAsia="en-GB"/>
        </w:rPr>
        <w:t>c</w:t>
      </w:r>
      <w:r w:rsidRPr="00CE0885">
        <w:rPr>
          <w:lang w:eastAsia="en-GB"/>
        </w:rPr>
        <w:t>h</w:t>
      </w:r>
      <w:r w:rsidRPr="00CE0885">
        <w:rPr>
          <w:spacing w:val="-3"/>
          <w:lang w:eastAsia="en-GB"/>
        </w:rPr>
        <w:t xml:space="preserve">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2"/>
          <w:lang w:eastAsia="en-GB"/>
        </w:rPr>
        <w:t>Commissioner</w:t>
      </w:r>
      <w:r w:rsidRPr="00CE0885">
        <w:rPr>
          <w:spacing w:val="-3"/>
          <w:lang w:eastAsia="en-GB"/>
        </w:rPr>
        <w:t xml:space="preserve"> </w:t>
      </w:r>
      <w:r w:rsidRPr="00CE0885">
        <w:rPr>
          <w:spacing w:val="1"/>
          <w:lang w:eastAsia="en-GB"/>
        </w:rPr>
        <w:t>an</w:t>
      </w:r>
      <w:r w:rsidRPr="00CE0885">
        <w:rPr>
          <w:lang w:eastAsia="en-GB"/>
        </w:rPr>
        <w:t>d</w:t>
      </w:r>
      <w:r w:rsidRPr="00CE0885">
        <w:rPr>
          <w:spacing w:val="-5"/>
          <w:lang w:eastAsia="en-GB"/>
        </w:rPr>
        <w:t xml:space="preserve">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c</w:t>
      </w:r>
      <w:r w:rsidRPr="00CE0885">
        <w:rPr>
          <w:spacing w:val="-1"/>
          <w:lang w:eastAsia="en-GB"/>
        </w:rPr>
        <w:t>o</w:t>
      </w:r>
      <w:r w:rsidRPr="00CE0885">
        <w:rPr>
          <w:spacing w:val="1"/>
          <w:lang w:eastAsia="en-GB"/>
        </w:rPr>
        <w:t>nt</w:t>
      </w:r>
      <w:r w:rsidRPr="00CE0885">
        <w:rPr>
          <w:spacing w:val="-1"/>
          <w:lang w:eastAsia="en-GB"/>
        </w:rPr>
        <w:t>r</w:t>
      </w:r>
      <w:r w:rsidRPr="00CE0885">
        <w:rPr>
          <w:spacing w:val="1"/>
          <w:lang w:eastAsia="en-GB"/>
        </w:rPr>
        <w:t>a</w:t>
      </w:r>
      <w:r w:rsidRPr="00CE0885">
        <w:rPr>
          <w:lang w:eastAsia="en-GB"/>
        </w:rPr>
        <w:t>c</w:t>
      </w:r>
      <w:r w:rsidRPr="00CE0885">
        <w:rPr>
          <w:spacing w:val="1"/>
          <w:lang w:eastAsia="en-GB"/>
        </w:rPr>
        <w:t>to</w:t>
      </w:r>
      <w:r w:rsidRPr="00CE0885">
        <w:rPr>
          <w:lang w:eastAsia="en-GB"/>
        </w:rPr>
        <w:t>r</w:t>
      </w:r>
      <w:r w:rsidRPr="00CE0885">
        <w:rPr>
          <w:spacing w:val="-14"/>
          <w:lang w:eastAsia="en-GB"/>
        </w:rPr>
        <w:t xml:space="preserve"> </w:t>
      </w:r>
      <w:r w:rsidRPr="00CE0885">
        <w:rPr>
          <w:spacing w:val="2"/>
          <w:lang w:eastAsia="en-GB"/>
        </w:rPr>
        <w:t>m</w:t>
      </w:r>
      <w:r w:rsidRPr="00CE0885">
        <w:rPr>
          <w:spacing w:val="1"/>
          <w:lang w:eastAsia="en-GB"/>
        </w:rPr>
        <w:t>u</w:t>
      </w:r>
      <w:r w:rsidRPr="00CE0885">
        <w:rPr>
          <w:lang w:eastAsia="en-GB"/>
        </w:rPr>
        <w:t>st</w:t>
      </w:r>
      <w:r w:rsidRPr="00CE0885">
        <w:rPr>
          <w:spacing w:val="-6"/>
          <w:lang w:eastAsia="en-GB"/>
        </w:rPr>
        <w:t xml:space="preserve"> </w:t>
      </w:r>
      <w:r w:rsidRPr="00CE0885">
        <w:rPr>
          <w:spacing w:val="1"/>
          <w:lang w:eastAsia="en-GB"/>
        </w:rPr>
        <w:t>en</w:t>
      </w:r>
      <w:r w:rsidRPr="00CE0885">
        <w:rPr>
          <w:spacing w:val="-1"/>
          <w:lang w:eastAsia="en-GB"/>
        </w:rPr>
        <w:t>g</w:t>
      </w:r>
      <w:r w:rsidRPr="00CE0885">
        <w:rPr>
          <w:spacing w:val="1"/>
          <w:lang w:eastAsia="en-GB"/>
        </w:rPr>
        <w:t>a</w:t>
      </w:r>
      <w:r w:rsidRPr="00CE0885">
        <w:rPr>
          <w:spacing w:val="-1"/>
          <w:lang w:eastAsia="en-GB"/>
        </w:rPr>
        <w:t>g</w:t>
      </w:r>
      <w:r w:rsidRPr="00CE0885">
        <w:rPr>
          <w:lang w:eastAsia="en-GB"/>
        </w:rPr>
        <w:t>e</w:t>
      </w:r>
      <w:r w:rsidRPr="00CE0885">
        <w:rPr>
          <w:spacing w:val="-6"/>
          <w:lang w:eastAsia="en-GB"/>
        </w:rPr>
        <w:t xml:space="preserve"> </w:t>
      </w:r>
      <w:r w:rsidRPr="00CE0885">
        <w:rPr>
          <w:lang w:eastAsia="en-GB"/>
        </w:rPr>
        <w:t>in</w:t>
      </w:r>
      <w:r w:rsidRPr="00CE0885">
        <w:rPr>
          <w:spacing w:val="-3"/>
          <w:lang w:eastAsia="en-GB"/>
        </w:rPr>
        <w:t xml:space="preserve"> </w:t>
      </w:r>
      <w:r w:rsidRPr="00CE0885">
        <w:rPr>
          <w:spacing w:val="-1"/>
          <w:lang w:eastAsia="en-GB"/>
        </w:rPr>
        <w:t>o</w:t>
      </w:r>
      <w:r w:rsidRPr="00CE0885">
        <w:rPr>
          <w:spacing w:val="1"/>
          <w:lang w:eastAsia="en-GB"/>
        </w:rPr>
        <w:t>pe</w:t>
      </w:r>
      <w:r w:rsidRPr="00CE0885">
        <w:rPr>
          <w:lang w:eastAsia="en-GB"/>
        </w:rPr>
        <w:t xml:space="preserve">n </w:t>
      </w:r>
      <w:r w:rsidRPr="00CE0885">
        <w:rPr>
          <w:spacing w:val="1"/>
          <w:lang w:eastAsia="en-GB"/>
        </w:rPr>
        <w:t>d</w:t>
      </w:r>
      <w:r w:rsidRPr="00CE0885">
        <w:rPr>
          <w:lang w:eastAsia="en-GB"/>
        </w:rPr>
        <w:t>i</w:t>
      </w:r>
      <w:r w:rsidRPr="00CE0885">
        <w:rPr>
          <w:spacing w:val="1"/>
          <w:lang w:eastAsia="en-GB"/>
        </w:rPr>
        <w:t>a</w:t>
      </w:r>
      <w:r w:rsidRPr="00CE0885">
        <w:rPr>
          <w:lang w:eastAsia="en-GB"/>
        </w:rPr>
        <w:t>l</w:t>
      </w:r>
      <w:r w:rsidRPr="00CE0885">
        <w:rPr>
          <w:spacing w:val="1"/>
          <w:lang w:eastAsia="en-GB"/>
        </w:rPr>
        <w:t>o</w:t>
      </w:r>
      <w:r w:rsidRPr="00CE0885">
        <w:rPr>
          <w:spacing w:val="-1"/>
          <w:lang w:eastAsia="en-GB"/>
        </w:rPr>
        <w:t>g</w:t>
      </w:r>
      <w:r w:rsidRPr="00CE0885">
        <w:rPr>
          <w:spacing w:val="1"/>
          <w:lang w:eastAsia="en-GB"/>
        </w:rPr>
        <w:t>u</w:t>
      </w:r>
      <w:r w:rsidRPr="00CE0885">
        <w:rPr>
          <w:lang w:eastAsia="en-GB"/>
        </w:rPr>
        <w:t>e</w:t>
      </w:r>
      <w:r w:rsidRPr="00CE0885">
        <w:rPr>
          <w:spacing w:val="-7"/>
          <w:lang w:eastAsia="en-GB"/>
        </w:rPr>
        <w:t xml:space="preserve"> </w:t>
      </w:r>
      <w:r w:rsidRPr="00CE0885">
        <w:rPr>
          <w:lang w:eastAsia="en-GB"/>
        </w:rPr>
        <w:t>in</w:t>
      </w:r>
      <w:r w:rsidRPr="00CE0885">
        <w:rPr>
          <w:spacing w:val="-3"/>
          <w:lang w:eastAsia="en-GB"/>
        </w:rPr>
        <w:t xml:space="preserve"> </w:t>
      </w:r>
      <w:r w:rsidRPr="00CE0885">
        <w:rPr>
          <w:spacing w:val="1"/>
          <w:lang w:eastAsia="en-GB"/>
        </w:rPr>
        <w:t>th</w:t>
      </w:r>
      <w:r w:rsidRPr="00CE0885">
        <w:rPr>
          <w:lang w:eastAsia="en-GB"/>
        </w:rPr>
        <w:t>e</w:t>
      </w:r>
      <w:r w:rsidRPr="00CE0885">
        <w:rPr>
          <w:spacing w:val="-6"/>
          <w:lang w:eastAsia="en-GB"/>
        </w:rPr>
        <w:t xml:space="preserve"> </w:t>
      </w:r>
      <w:r w:rsidRPr="00CE0885">
        <w:rPr>
          <w:spacing w:val="3"/>
          <w:lang w:eastAsia="en-GB"/>
        </w:rPr>
        <w:t>f</w:t>
      </w:r>
      <w:r w:rsidRPr="00CE0885">
        <w:rPr>
          <w:lang w:eastAsia="en-GB"/>
        </w:rPr>
        <w:t>i</w:t>
      </w:r>
      <w:r w:rsidRPr="00CE0885">
        <w:rPr>
          <w:spacing w:val="-1"/>
          <w:lang w:eastAsia="en-GB"/>
        </w:rPr>
        <w:t>r</w:t>
      </w:r>
      <w:r w:rsidRPr="00CE0885">
        <w:rPr>
          <w:lang w:eastAsia="en-GB"/>
        </w:rPr>
        <w:t>st</w:t>
      </w:r>
      <w:r w:rsidRPr="00CE0885">
        <w:rPr>
          <w:spacing w:val="-3"/>
          <w:lang w:eastAsia="en-GB"/>
        </w:rPr>
        <w:t xml:space="preserve"> </w:t>
      </w:r>
      <w:r w:rsidRPr="00CE0885">
        <w:rPr>
          <w:lang w:eastAsia="en-GB"/>
        </w:rPr>
        <w:t>i</w:t>
      </w:r>
      <w:r w:rsidRPr="00CE0885">
        <w:rPr>
          <w:spacing w:val="1"/>
          <w:lang w:eastAsia="en-GB"/>
        </w:rPr>
        <w:t>n</w:t>
      </w:r>
      <w:r w:rsidRPr="00CE0885">
        <w:rPr>
          <w:lang w:eastAsia="en-GB"/>
        </w:rPr>
        <w:t>s</w:t>
      </w:r>
      <w:r w:rsidRPr="00CE0885">
        <w:rPr>
          <w:spacing w:val="-2"/>
          <w:lang w:eastAsia="en-GB"/>
        </w:rPr>
        <w:t>t</w:t>
      </w:r>
      <w:r w:rsidRPr="00CE0885">
        <w:rPr>
          <w:spacing w:val="1"/>
          <w:lang w:eastAsia="en-GB"/>
        </w:rPr>
        <w:t>an</w:t>
      </w:r>
      <w:r w:rsidRPr="00CE0885">
        <w:rPr>
          <w:lang w:eastAsia="en-GB"/>
        </w:rPr>
        <w:t>ce</w:t>
      </w:r>
      <w:r w:rsidRPr="00CE0885">
        <w:rPr>
          <w:spacing w:val="-10"/>
          <w:lang w:eastAsia="en-GB"/>
        </w:rPr>
        <w:t xml:space="preserve"> </w:t>
      </w:r>
      <w:r w:rsidRPr="00CE0885">
        <w:rPr>
          <w:spacing w:val="1"/>
          <w:lang w:eastAsia="en-GB"/>
        </w:rPr>
        <w:t>t</w:t>
      </w:r>
      <w:r w:rsidRPr="00CE0885">
        <w:rPr>
          <w:lang w:eastAsia="en-GB"/>
        </w:rPr>
        <w:t xml:space="preserve">o </w:t>
      </w:r>
      <w:r w:rsidRPr="00CE0885">
        <w:rPr>
          <w:spacing w:val="-2"/>
          <w:lang w:eastAsia="en-GB"/>
        </w:rPr>
        <w:t>c</w:t>
      </w:r>
      <w:r w:rsidRPr="00CE0885">
        <w:rPr>
          <w:spacing w:val="1"/>
          <w:lang w:eastAsia="en-GB"/>
        </w:rPr>
        <w:t>on</w:t>
      </w:r>
      <w:r w:rsidRPr="00CE0885">
        <w:rPr>
          <w:lang w:eastAsia="en-GB"/>
        </w:rPr>
        <w:t>si</w:t>
      </w:r>
      <w:r w:rsidRPr="00CE0885">
        <w:rPr>
          <w:spacing w:val="1"/>
          <w:lang w:eastAsia="en-GB"/>
        </w:rPr>
        <w:t>de</w:t>
      </w:r>
      <w:r w:rsidRPr="00CE0885">
        <w:rPr>
          <w:lang w:eastAsia="en-GB"/>
        </w:rPr>
        <w:t>r</w:t>
      </w:r>
      <w:r w:rsidRPr="00CE0885">
        <w:rPr>
          <w:spacing w:val="-12"/>
          <w:lang w:eastAsia="en-GB"/>
        </w:rPr>
        <w:t xml:space="preserve"> </w:t>
      </w:r>
      <w:r w:rsidRPr="00CE0885">
        <w:rPr>
          <w:spacing w:val="1"/>
          <w:lang w:eastAsia="en-GB"/>
        </w:rPr>
        <w:t>th</w:t>
      </w:r>
      <w:r w:rsidRPr="00CE0885">
        <w:rPr>
          <w:lang w:eastAsia="en-GB"/>
        </w:rPr>
        <w:t>e</w:t>
      </w:r>
      <w:r w:rsidRPr="00CE0885">
        <w:rPr>
          <w:spacing w:val="-4"/>
          <w:lang w:eastAsia="en-GB"/>
        </w:rPr>
        <w:t xml:space="preserve"> </w:t>
      </w:r>
      <w:r w:rsidRPr="00CE0885">
        <w:rPr>
          <w:spacing w:val="-2"/>
          <w:lang w:eastAsia="en-GB"/>
        </w:rPr>
        <w:t>c</w:t>
      </w:r>
      <w:r w:rsidRPr="00CE0885">
        <w:rPr>
          <w:spacing w:val="1"/>
          <w:lang w:eastAsia="en-GB"/>
        </w:rPr>
        <w:t>on</w:t>
      </w:r>
      <w:r w:rsidRPr="00CE0885">
        <w:rPr>
          <w:lang w:eastAsia="en-GB"/>
        </w:rPr>
        <w:t>s</w:t>
      </w:r>
      <w:r w:rsidRPr="00CE0885">
        <w:rPr>
          <w:spacing w:val="1"/>
          <w:lang w:eastAsia="en-GB"/>
        </w:rPr>
        <w:t>e</w:t>
      </w:r>
      <w:r w:rsidRPr="00CE0885">
        <w:rPr>
          <w:spacing w:val="-1"/>
          <w:lang w:eastAsia="en-GB"/>
        </w:rPr>
        <w:t>q</w:t>
      </w:r>
      <w:r w:rsidRPr="00CE0885">
        <w:rPr>
          <w:spacing w:val="1"/>
          <w:lang w:eastAsia="en-GB"/>
        </w:rPr>
        <w:t>u</w:t>
      </w:r>
      <w:r w:rsidRPr="00CE0885">
        <w:rPr>
          <w:spacing w:val="-1"/>
          <w:lang w:eastAsia="en-GB"/>
        </w:rPr>
        <w:t>e</w:t>
      </w:r>
      <w:r w:rsidRPr="00CE0885">
        <w:rPr>
          <w:spacing w:val="1"/>
          <w:lang w:eastAsia="en-GB"/>
        </w:rPr>
        <w:t>n</w:t>
      </w:r>
      <w:r w:rsidRPr="00CE0885">
        <w:rPr>
          <w:lang w:eastAsia="en-GB"/>
        </w:rPr>
        <w:t>c</w:t>
      </w:r>
      <w:r w:rsidRPr="00CE0885">
        <w:rPr>
          <w:spacing w:val="1"/>
          <w:lang w:eastAsia="en-GB"/>
        </w:rPr>
        <w:t>e</w:t>
      </w:r>
      <w:r w:rsidRPr="00CE0885">
        <w:rPr>
          <w:lang w:eastAsia="en-GB"/>
        </w:rPr>
        <w:t>s</w:t>
      </w:r>
      <w:r w:rsidRPr="00CE0885">
        <w:rPr>
          <w:spacing w:val="-17"/>
          <w:lang w:eastAsia="en-GB"/>
        </w:rPr>
        <w:t xml:space="preserve"> </w:t>
      </w:r>
      <w:r w:rsidRPr="00CE0885">
        <w:rPr>
          <w:spacing w:val="1"/>
          <w:lang w:eastAsia="en-GB"/>
        </w:rPr>
        <w:t>an</w:t>
      </w:r>
      <w:r w:rsidRPr="00CE0885">
        <w:rPr>
          <w:lang w:eastAsia="en-GB"/>
        </w:rPr>
        <w:t>d i</w:t>
      </w:r>
      <w:r w:rsidRPr="00CE0885">
        <w:rPr>
          <w:spacing w:val="2"/>
          <w:lang w:eastAsia="en-GB"/>
        </w:rPr>
        <w:t>m</w:t>
      </w:r>
      <w:r w:rsidRPr="00CE0885">
        <w:rPr>
          <w:spacing w:val="1"/>
          <w:lang w:eastAsia="en-GB"/>
        </w:rPr>
        <w:t>p</w:t>
      </w:r>
      <w:r w:rsidRPr="00CE0885">
        <w:rPr>
          <w:lang w:eastAsia="en-GB"/>
        </w:rPr>
        <w:t>lic</w:t>
      </w:r>
      <w:r w:rsidRPr="00CE0885">
        <w:rPr>
          <w:spacing w:val="1"/>
          <w:lang w:eastAsia="en-GB"/>
        </w:rPr>
        <w:t>at</w:t>
      </w:r>
      <w:r w:rsidRPr="00CE0885">
        <w:rPr>
          <w:lang w:eastAsia="en-GB"/>
        </w:rPr>
        <w:t>i</w:t>
      </w:r>
      <w:r w:rsidRPr="00CE0885">
        <w:rPr>
          <w:spacing w:val="-1"/>
          <w:lang w:eastAsia="en-GB"/>
        </w:rPr>
        <w:t>o</w:t>
      </w:r>
      <w:r w:rsidRPr="00CE0885">
        <w:rPr>
          <w:spacing w:val="1"/>
          <w:lang w:eastAsia="en-GB"/>
        </w:rPr>
        <w:t>n</w:t>
      </w:r>
      <w:r w:rsidRPr="00CE0885">
        <w:rPr>
          <w:lang w:eastAsia="en-GB"/>
        </w:rPr>
        <w:t>s</w:t>
      </w:r>
      <w:r w:rsidRPr="00CE0885">
        <w:rPr>
          <w:spacing w:val="-13"/>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1"/>
          <w:lang w:eastAsia="en-GB"/>
        </w:rPr>
        <w:t>p</w:t>
      </w:r>
      <w:r w:rsidRPr="00CE0885">
        <w:rPr>
          <w:spacing w:val="-1"/>
          <w:lang w:eastAsia="en-GB"/>
        </w:rPr>
        <w:t>ro</w:t>
      </w:r>
      <w:r w:rsidRPr="00CE0885">
        <w:rPr>
          <w:spacing w:val="1"/>
          <w:lang w:eastAsia="en-GB"/>
        </w:rPr>
        <w:t>po</w:t>
      </w:r>
      <w:r w:rsidRPr="00CE0885">
        <w:rPr>
          <w:lang w:eastAsia="en-GB"/>
        </w:rPr>
        <w:t>s</w:t>
      </w:r>
      <w:r w:rsidRPr="00CE0885">
        <w:rPr>
          <w:spacing w:val="-1"/>
          <w:lang w:eastAsia="en-GB"/>
        </w:rPr>
        <w:t>e</w:t>
      </w:r>
      <w:r w:rsidRPr="00CE0885">
        <w:rPr>
          <w:lang w:eastAsia="en-GB"/>
        </w:rPr>
        <w:t>d</w:t>
      </w:r>
      <w:r w:rsidRPr="00CE0885">
        <w:rPr>
          <w:spacing w:val="-8"/>
          <w:lang w:eastAsia="en-GB"/>
        </w:rPr>
        <w:t xml:space="preserve"> </w:t>
      </w:r>
      <w:r w:rsidRPr="00CE0885">
        <w:rPr>
          <w:lang w:eastAsia="en-GB"/>
        </w:rPr>
        <w:t>c</w:t>
      </w:r>
      <w:r w:rsidRPr="00CE0885">
        <w:rPr>
          <w:spacing w:val="1"/>
          <w:lang w:eastAsia="en-GB"/>
        </w:rPr>
        <w:t>h</w:t>
      </w:r>
      <w:r w:rsidRPr="00CE0885">
        <w:rPr>
          <w:spacing w:val="-1"/>
          <w:lang w:eastAsia="en-GB"/>
        </w:rPr>
        <w:t>a</w:t>
      </w:r>
      <w:r w:rsidRPr="00CE0885">
        <w:rPr>
          <w:spacing w:val="1"/>
          <w:lang w:eastAsia="en-GB"/>
        </w:rPr>
        <w:t>n</w:t>
      </w:r>
      <w:r w:rsidRPr="00CE0885">
        <w:rPr>
          <w:spacing w:val="-1"/>
          <w:lang w:eastAsia="en-GB"/>
        </w:rPr>
        <w:t>g</w:t>
      </w:r>
      <w:r w:rsidRPr="00CE0885">
        <w:rPr>
          <w:lang w:eastAsia="en-GB"/>
        </w:rPr>
        <w:t>e</w:t>
      </w:r>
      <w:r w:rsidRPr="00CE0885">
        <w:rPr>
          <w:spacing w:val="-6"/>
          <w:lang w:eastAsia="en-GB"/>
        </w:rPr>
        <w:t xml:space="preserve"> </w:t>
      </w:r>
      <w:r w:rsidRPr="00CE0885">
        <w:rPr>
          <w:spacing w:val="-1"/>
          <w:lang w:eastAsia="en-GB"/>
        </w:rPr>
        <w:t>a</w:t>
      </w:r>
      <w:r w:rsidRPr="00CE0885">
        <w:rPr>
          <w:spacing w:val="1"/>
          <w:lang w:eastAsia="en-GB"/>
        </w:rPr>
        <w:t>n</w:t>
      </w:r>
      <w:r w:rsidRPr="00CE0885">
        <w:rPr>
          <w:lang w:eastAsia="en-GB"/>
        </w:rPr>
        <w:t>d</w:t>
      </w:r>
      <w:r w:rsidRPr="00CE0885">
        <w:rPr>
          <w:spacing w:val="-5"/>
          <w:lang w:eastAsia="en-GB"/>
        </w:rPr>
        <w:t xml:space="preserve"> </w:t>
      </w:r>
      <w:r w:rsidRPr="00CE0885">
        <w:rPr>
          <w:spacing w:val="1"/>
          <w:lang w:eastAsia="en-GB"/>
        </w:rPr>
        <w:t>d</w:t>
      </w:r>
      <w:r w:rsidRPr="00CE0885">
        <w:rPr>
          <w:lang w:eastAsia="en-GB"/>
        </w:rPr>
        <w:t>isc</w:t>
      </w:r>
      <w:r w:rsidRPr="00CE0885">
        <w:rPr>
          <w:spacing w:val="1"/>
          <w:lang w:eastAsia="en-GB"/>
        </w:rPr>
        <w:t>u</w:t>
      </w:r>
      <w:r w:rsidRPr="00CE0885">
        <w:rPr>
          <w:lang w:eastAsia="en-GB"/>
        </w:rPr>
        <w:t>ss</w:t>
      </w:r>
      <w:r w:rsidRPr="00CE0885">
        <w:rPr>
          <w:spacing w:val="-8"/>
          <w:lang w:eastAsia="en-GB"/>
        </w:rPr>
        <w:t xml:space="preserve"> </w:t>
      </w:r>
      <w:r w:rsidRPr="00CE0885">
        <w:rPr>
          <w:spacing w:val="1"/>
          <w:lang w:eastAsia="en-GB"/>
        </w:rPr>
        <w:t>an</w:t>
      </w:r>
      <w:r w:rsidRPr="00CE0885">
        <w:rPr>
          <w:lang w:eastAsia="en-GB"/>
        </w:rPr>
        <w:t>y</w:t>
      </w:r>
      <w:r w:rsidRPr="00CE0885">
        <w:rPr>
          <w:spacing w:val="-6"/>
          <w:lang w:eastAsia="en-GB"/>
        </w:rPr>
        <w:t xml:space="preserve"> </w:t>
      </w:r>
      <w:r w:rsidRPr="00CE0885">
        <w:rPr>
          <w:spacing w:val="1"/>
          <w:lang w:eastAsia="en-GB"/>
        </w:rPr>
        <w:t>po</w:t>
      </w:r>
      <w:r w:rsidRPr="00CE0885">
        <w:rPr>
          <w:lang w:eastAsia="en-GB"/>
        </w:rPr>
        <w:t>ssi</w:t>
      </w:r>
      <w:r w:rsidRPr="00CE0885">
        <w:rPr>
          <w:spacing w:val="1"/>
          <w:lang w:eastAsia="en-GB"/>
        </w:rPr>
        <w:t>b</w:t>
      </w:r>
      <w:r w:rsidRPr="00CE0885">
        <w:rPr>
          <w:spacing w:val="-3"/>
          <w:lang w:eastAsia="en-GB"/>
        </w:rPr>
        <w:t>l</w:t>
      </w:r>
      <w:r w:rsidRPr="00CE0885">
        <w:rPr>
          <w:lang w:eastAsia="en-GB"/>
        </w:rPr>
        <w:t xml:space="preserve">e </w:t>
      </w:r>
      <w:r w:rsidRPr="00CE0885">
        <w:rPr>
          <w:spacing w:val="1"/>
          <w:lang w:eastAsia="en-GB"/>
        </w:rPr>
        <w:t>a</w:t>
      </w:r>
      <w:r w:rsidRPr="00CE0885">
        <w:rPr>
          <w:lang w:eastAsia="en-GB"/>
        </w:rPr>
        <w:t>l</w:t>
      </w:r>
      <w:r w:rsidRPr="00CE0885">
        <w:rPr>
          <w:spacing w:val="1"/>
          <w:lang w:eastAsia="en-GB"/>
        </w:rPr>
        <w:t>te</w:t>
      </w:r>
      <w:r w:rsidRPr="00CE0885">
        <w:rPr>
          <w:spacing w:val="-1"/>
          <w:lang w:eastAsia="en-GB"/>
        </w:rPr>
        <w:t>r</w:t>
      </w:r>
      <w:r w:rsidRPr="00CE0885">
        <w:rPr>
          <w:spacing w:val="1"/>
          <w:lang w:eastAsia="en-GB"/>
        </w:rPr>
        <w:t>nat</w:t>
      </w:r>
      <w:r w:rsidRPr="00CE0885">
        <w:rPr>
          <w:lang w:eastAsia="en-GB"/>
        </w:rPr>
        <w:t>i</w:t>
      </w:r>
      <w:r w:rsidRPr="00CE0885">
        <w:rPr>
          <w:spacing w:val="-2"/>
          <w:lang w:eastAsia="en-GB"/>
        </w:rPr>
        <w:t>v</w:t>
      </w:r>
      <w:r w:rsidRPr="00CE0885">
        <w:rPr>
          <w:spacing w:val="1"/>
          <w:lang w:eastAsia="en-GB"/>
        </w:rPr>
        <w:t>e</w:t>
      </w:r>
      <w:r w:rsidRPr="00CE0885">
        <w:rPr>
          <w:lang w:eastAsia="en-GB"/>
        </w:rPr>
        <w:t>s</w:t>
      </w:r>
      <w:r w:rsidRPr="00CE0885">
        <w:rPr>
          <w:spacing w:val="-12"/>
          <w:lang w:eastAsia="en-GB"/>
        </w:rPr>
        <w:t xml:space="preserve"> </w:t>
      </w:r>
      <w:r w:rsidRPr="00CE0885">
        <w:rPr>
          <w:spacing w:val="1"/>
          <w:lang w:eastAsia="en-GB"/>
        </w:rPr>
        <w:t>t</w:t>
      </w:r>
      <w:r w:rsidRPr="00CE0885">
        <w:rPr>
          <w:spacing w:val="-1"/>
          <w:lang w:eastAsia="en-GB"/>
        </w:rPr>
        <w:t>h</w:t>
      </w:r>
      <w:r w:rsidRPr="00CE0885">
        <w:rPr>
          <w:spacing w:val="1"/>
          <w:lang w:eastAsia="en-GB"/>
        </w:rPr>
        <w:t>a</w:t>
      </w:r>
      <w:r w:rsidRPr="00CE0885">
        <w:rPr>
          <w:lang w:eastAsia="en-GB"/>
        </w:rPr>
        <w:t>t</w:t>
      </w:r>
      <w:r w:rsidRPr="00CE0885">
        <w:rPr>
          <w:spacing w:val="-5"/>
          <w:lang w:eastAsia="en-GB"/>
        </w:rPr>
        <w:t xml:space="preserve"> </w:t>
      </w:r>
      <w:r w:rsidRPr="00CE0885">
        <w:rPr>
          <w:spacing w:val="2"/>
          <w:lang w:eastAsia="en-GB"/>
        </w:rPr>
        <w:t>m</w:t>
      </w:r>
      <w:r w:rsidRPr="00CE0885">
        <w:rPr>
          <w:spacing w:val="1"/>
          <w:lang w:eastAsia="en-GB"/>
        </w:rPr>
        <w:t>a</w:t>
      </w:r>
      <w:r w:rsidRPr="00CE0885">
        <w:rPr>
          <w:lang w:eastAsia="en-GB"/>
        </w:rPr>
        <w:t>y</w:t>
      </w:r>
      <w:r w:rsidRPr="00CE0885">
        <w:rPr>
          <w:spacing w:val="-7"/>
          <w:lang w:eastAsia="en-GB"/>
        </w:rPr>
        <w:t xml:space="preserve"> </w:t>
      </w:r>
      <w:r w:rsidRPr="00CE0885">
        <w:rPr>
          <w:spacing w:val="-1"/>
          <w:lang w:eastAsia="en-GB"/>
        </w:rPr>
        <w:t>b</w:t>
      </w:r>
      <w:r w:rsidRPr="00CE0885">
        <w:rPr>
          <w:lang w:eastAsia="en-GB"/>
        </w:rPr>
        <w:t>e</w:t>
      </w:r>
      <w:r w:rsidRPr="00CE0885">
        <w:rPr>
          <w:spacing w:val="-1"/>
          <w:lang w:eastAsia="en-GB"/>
        </w:rPr>
        <w:t xml:space="preserve"> </w:t>
      </w:r>
      <w:r w:rsidRPr="00CE0885">
        <w:rPr>
          <w:spacing w:val="1"/>
          <w:lang w:eastAsia="en-GB"/>
        </w:rPr>
        <w:t>a</w:t>
      </w:r>
      <w:r w:rsidRPr="00CE0885">
        <w:rPr>
          <w:spacing w:val="-1"/>
          <w:lang w:eastAsia="en-GB"/>
        </w:rPr>
        <w:t>gr</w:t>
      </w:r>
      <w:r w:rsidRPr="00CE0885">
        <w:rPr>
          <w:spacing w:val="1"/>
          <w:lang w:eastAsia="en-GB"/>
        </w:rPr>
        <w:t>ee</w:t>
      </w:r>
      <w:r w:rsidRPr="00CE0885">
        <w:rPr>
          <w:lang w:eastAsia="en-GB"/>
        </w:rPr>
        <w:t>d</w:t>
      </w:r>
      <w:r w:rsidRPr="00CE0885">
        <w:rPr>
          <w:spacing w:val="-8"/>
          <w:lang w:eastAsia="en-GB"/>
        </w:rPr>
        <w:t xml:space="preserve"> </w:t>
      </w:r>
      <w:r w:rsidRPr="00CE0885">
        <w:rPr>
          <w:spacing w:val="1"/>
          <w:lang w:eastAsia="en-GB"/>
        </w:rPr>
        <w:t>bet</w:t>
      </w:r>
      <w:r w:rsidRPr="00CE0885">
        <w:rPr>
          <w:spacing w:val="-3"/>
          <w:lang w:eastAsia="en-GB"/>
        </w:rPr>
        <w:t>w</w:t>
      </w:r>
      <w:r w:rsidRPr="00CE0885">
        <w:rPr>
          <w:spacing w:val="1"/>
          <w:lang w:eastAsia="en-GB"/>
        </w:rPr>
        <w:t>ee</w:t>
      </w:r>
      <w:r w:rsidRPr="00CE0885">
        <w:rPr>
          <w:lang w:eastAsia="en-GB"/>
        </w:rPr>
        <w:t>n</w:t>
      </w:r>
      <w:r w:rsidRPr="00CE0885">
        <w:rPr>
          <w:spacing w:val="-10"/>
          <w:lang w:eastAsia="en-GB"/>
        </w:rPr>
        <w:t xml:space="preserve"> </w:t>
      </w:r>
      <w:r w:rsidRPr="00CE0885">
        <w:rPr>
          <w:spacing w:val="1"/>
          <w:lang w:eastAsia="en-GB"/>
        </w:rPr>
        <w:t>th</w:t>
      </w:r>
      <w:r w:rsidRPr="00CE0885">
        <w:rPr>
          <w:spacing w:val="-1"/>
          <w:lang w:eastAsia="en-GB"/>
        </w:rPr>
        <w:t>e</w:t>
      </w:r>
      <w:r w:rsidRPr="00CE0885">
        <w:rPr>
          <w:spacing w:val="2"/>
          <w:lang w:eastAsia="en-GB"/>
        </w:rPr>
        <w:t>m</w:t>
      </w:r>
      <w:r w:rsidRPr="00CE0885">
        <w:rPr>
          <w:lang w:eastAsia="en-GB"/>
        </w:rPr>
        <w:t>.</w:t>
      </w:r>
      <w:bookmarkEnd w:id="787"/>
    </w:p>
    <w:p w14:paraId="14162B90" w14:textId="77777777" w:rsidR="00977693" w:rsidRPr="00CE0885" w:rsidRDefault="00977693" w:rsidP="00980A75">
      <w:pPr>
        <w:pStyle w:val="Heading3"/>
        <w:rPr>
          <w:lang w:eastAsia="en-GB"/>
        </w:rPr>
      </w:pPr>
      <w:bookmarkStart w:id="788" w:name="_Toc440981948"/>
      <w:r w:rsidRPr="00CE0885">
        <w:rPr>
          <w:spacing w:val="2"/>
          <w:lang w:eastAsia="en-GB"/>
        </w:rPr>
        <w:t>T</w:t>
      </w:r>
      <w:r w:rsidRPr="00CE0885">
        <w:rPr>
          <w:spacing w:val="-1"/>
          <w:lang w:eastAsia="en-GB"/>
        </w:rPr>
        <w:t>h</w:t>
      </w:r>
      <w:r w:rsidRPr="00CE0885">
        <w:rPr>
          <w:lang w:eastAsia="en-GB"/>
        </w:rPr>
        <w:t>e</w:t>
      </w:r>
      <w:r w:rsidRPr="00CE0885">
        <w:rPr>
          <w:spacing w:val="-2"/>
          <w:lang w:eastAsia="en-GB"/>
        </w:rPr>
        <w:t xml:space="preserve"> Commissioner</w:t>
      </w:r>
      <w:r w:rsidRPr="00CE0885">
        <w:rPr>
          <w:spacing w:val="-3"/>
          <w:lang w:eastAsia="en-GB"/>
        </w:rPr>
        <w:t xml:space="preserve"> </w:t>
      </w:r>
      <w:r w:rsidRPr="00CE0885">
        <w:rPr>
          <w:spacing w:val="1"/>
          <w:lang w:eastAsia="en-GB"/>
        </w:rPr>
        <w:t>an</w:t>
      </w:r>
      <w:r w:rsidRPr="00CE0885">
        <w:rPr>
          <w:lang w:eastAsia="en-GB"/>
        </w:rPr>
        <w:t>d</w:t>
      </w:r>
      <w:r w:rsidRPr="00CE0885">
        <w:rPr>
          <w:spacing w:val="-5"/>
          <w:lang w:eastAsia="en-GB"/>
        </w:rPr>
        <w:t xml:space="preserve"> </w:t>
      </w:r>
      <w:r w:rsidRPr="00CE0885">
        <w:rPr>
          <w:lang w:eastAsia="en-GB"/>
        </w:rPr>
        <w:t>c</w:t>
      </w:r>
      <w:r w:rsidRPr="00CE0885">
        <w:rPr>
          <w:spacing w:val="1"/>
          <w:lang w:eastAsia="en-GB"/>
        </w:rPr>
        <w:t>o</w:t>
      </w:r>
      <w:r w:rsidRPr="00CE0885">
        <w:rPr>
          <w:spacing w:val="-1"/>
          <w:lang w:eastAsia="en-GB"/>
        </w:rPr>
        <w:t>n</w:t>
      </w:r>
      <w:r w:rsidRPr="00CE0885">
        <w:rPr>
          <w:spacing w:val="1"/>
          <w:lang w:eastAsia="en-GB"/>
        </w:rPr>
        <w:t>t</w:t>
      </w:r>
      <w:r w:rsidRPr="00CE0885">
        <w:rPr>
          <w:spacing w:val="-1"/>
          <w:lang w:eastAsia="en-GB"/>
        </w:rPr>
        <w:t>r</w:t>
      </w:r>
      <w:r w:rsidRPr="00CE0885">
        <w:rPr>
          <w:spacing w:val="1"/>
          <w:lang w:eastAsia="en-GB"/>
        </w:rPr>
        <w:t>a</w:t>
      </w:r>
      <w:r w:rsidRPr="00CE0885">
        <w:rPr>
          <w:lang w:eastAsia="en-GB"/>
        </w:rPr>
        <w:t>c</w:t>
      </w:r>
      <w:r w:rsidRPr="00CE0885">
        <w:rPr>
          <w:spacing w:val="1"/>
          <w:lang w:eastAsia="en-GB"/>
        </w:rPr>
        <w:t>to</w:t>
      </w:r>
      <w:r w:rsidRPr="00CE0885">
        <w:rPr>
          <w:spacing w:val="-1"/>
          <w:lang w:eastAsia="en-GB"/>
        </w:rPr>
        <w:t>r</w:t>
      </w:r>
      <w:r w:rsidRPr="00CE0885">
        <w:rPr>
          <w:lang w:eastAsia="en-GB"/>
        </w:rPr>
        <w:t>,</w:t>
      </w:r>
      <w:r w:rsidRPr="00CE0885">
        <w:rPr>
          <w:spacing w:val="-12"/>
          <w:lang w:eastAsia="en-GB"/>
        </w:rPr>
        <w:t xml:space="preserve"> </w:t>
      </w:r>
      <w:r w:rsidRPr="00CE0885">
        <w:rPr>
          <w:spacing w:val="1"/>
          <w:lang w:eastAsia="en-GB"/>
        </w:rPr>
        <w:t>th</w:t>
      </w:r>
      <w:r w:rsidRPr="00CE0885">
        <w:rPr>
          <w:spacing w:val="-1"/>
          <w:lang w:eastAsia="en-GB"/>
        </w:rPr>
        <w:t>r</w:t>
      </w:r>
      <w:r w:rsidRPr="00CE0885">
        <w:rPr>
          <w:spacing w:val="1"/>
          <w:lang w:eastAsia="en-GB"/>
        </w:rPr>
        <w:t>ou</w:t>
      </w:r>
      <w:r w:rsidRPr="00CE0885">
        <w:rPr>
          <w:spacing w:val="-1"/>
          <w:lang w:eastAsia="en-GB"/>
        </w:rPr>
        <w:t>g</w:t>
      </w:r>
      <w:r w:rsidRPr="00CE0885">
        <w:rPr>
          <w:lang w:eastAsia="en-GB"/>
        </w:rPr>
        <w:t>h</w:t>
      </w:r>
      <w:r w:rsidRPr="00CE0885">
        <w:rPr>
          <w:spacing w:val="-6"/>
          <w:lang w:eastAsia="en-GB"/>
        </w:rPr>
        <w:t xml:space="preserve"> </w:t>
      </w:r>
      <w:r w:rsidRPr="00CE0885">
        <w:rPr>
          <w:spacing w:val="-2"/>
          <w:lang w:eastAsia="en-GB"/>
        </w:rPr>
        <w:t>t</w:t>
      </w:r>
      <w:r w:rsidRPr="00CE0885">
        <w:rPr>
          <w:spacing w:val="1"/>
          <w:lang w:eastAsia="en-GB"/>
        </w:rPr>
        <w:t>he</w:t>
      </w:r>
      <w:r w:rsidRPr="00CE0885">
        <w:rPr>
          <w:lang w:eastAsia="en-GB"/>
        </w:rPr>
        <w:t>ir</w:t>
      </w:r>
      <w:r w:rsidRPr="00CE0885">
        <w:rPr>
          <w:spacing w:val="-5"/>
          <w:lang w:eastAsia="en-GB"/>
        </w:rPr>
        <w:t xml:space="preserve"> </w:t>
      </w:r>
      <w:r w:rsidRPr="00CE0885">
        <w:rPr>
          <w:spacing w:val="1"/>
          <w:lang w:eastAsia="en-GB"/>
        </w:rPr>
        <w:t>d</w:t>
      </w:r>
      <w:r w:rsidRPr="00CE0885">
        <w:rPr>
          <w:lang w:eastAsia="en-GB"/>
        </w:rPr>
        <w:t>i</w:t>
      </w:r>
      <w:r w:rsidRPr="00CE0885">
        <w:rPr>
          <w:spacing w:val="1"/>
          <w:lang w:eastAsia="en-GB"/>
        </w:rPr>
        <w:t>a</w:t>
      </w:r>
      <w:r w:rsidRPr="00CE0885">
        <w:rPr>
          <w:spacing w:val="-3"/>
          <w:lang w:eastAsia="en-GB"/>
        </w:rPr>
        <w:t>l</w:t>
      </w:r>
      <w:r w:rsidRPr="00CE0885">
        <w:rPr>
          <w:spacing w:val="1"/>
          <w:lang w:eastAsia="en-GB"/>
        </w:rPr>
        <w:t>o</w:t>
      </w:r>
      <w:r w:rsidRPr="00CE0885">
        <w:rPr>
          <w:spacing w:val="-1"/>
          <w:lang w:eastAsia="en-GB"/>
        </w:rPr>
        <w:t>g</w:t>
      </w:r>
      <w:r w:rsidRPr="00CE0885">
        <w:rPr>
          <w:spacing w:val="1"/>
          <w:lang w:eastAsia="en-GB"/>
        </w:rPr>
        <w:t>ue</w:t>
      </w:r>
      <w:r w:rsidRPr="00CE0885">
        <w:rPr>
          <w:lang w:eastAsia="en-GB"/>
        </w:rPr>
        <w:t>,</w:t>
      </w:r>
      <w:r w:rsidRPr="00CE0885">
        <w:rPr>
          <w:spacing w:val="-11"/>
          <w:lang w:eastAsia="en-GB"/>
        </w:rPr>
        <w:t xml:space="preserve"> </w:t>
      </w:r>
      <w:r w:rsidRPr="00CE0885">
        <w:rPr>
          <w:spacing w:val="2"/>
          <w:lang w:eastAsia="en-GB"/>
        </w:rPr>
        <w:t>m</w:t>
      </w:r>
      <w:r w:rsidRPr="00CE0885">
        <w:rPr>
          <w:spacing w:val="1"/>
          <w:lang w:eastAsia="en-GB"/>
        </w:rPr>
        <w:t>a</w:t>
      </w:r>
      <w:r w:rsidRPr="00CE0885">
        <w:rPr>
          <w:lang w:eastAsia="en-GB"/>
        </w:rPr>
        <w:t>y</w:t>
      </w:r>
      <w:r w:rsidRPr="00CE0885">
        <w:rPr>
          <w:spacing w:val="-7"/>
          <w:lang w:eastAsia="en-GB"/>
        </w:rPr>
        <w:t xml:space="preserve"> </w:t>
      </w:r>
      <w:r w:rsidRPr="00CE0885">
        <w:rPr>
          <w:spacing w:val="1"/>
          <w:lang w:eastAsia="en-GB"/>
        </w:rPr>
        <w:t>e</w:t>
      </w:r>
      <w:r w:rsidRPr="00CE0885">
        <w:rPr>
          <w:lang w:eastAsia="en-GB"/>
        </w:rPr>
        <w:t>s</w:t>
      </w:r>
      <w:r w:rsidRPr="00CE0885">
        <w:rPr>
          <w:spacing w:val="1"/>
          <w:lang w:eastAsia="en-GB"/>
        </w:rPr>
        <w:t>t</w:t>
      </w:r>
      <w:r w:rsidRPr="00CE0885">
        <w:rPr>
          <w:spacing w:val="-1"/>
          <w:lang w:eastAsia="en-GB"/>
        </w:rPr>
        <w:t>a</w:t>
      </w:r>
      <w:r w:rsidRPr="00CE0885">
        <w:rPr>
          <w:spacing w:val="1"/>
          <w:lang w:eastAsia="en-GB"/>
        </w:rPr>
        <w:t>b</w:t>
      </w:r>
      <w:r w:rsidRPr="00CE0885">
        <w:rPr>
          <w:lang w:eastAsia="en-GB"/>
        </w:rPr>
        <w:t>lish</w:t>
      </w:r>
      <w:r w:rsidRPr="00CE0885">
        <w:rPr>
          <w:spacing w:val="-7"/>
          <w:lang w:eastAsia="en-GB"/>
        </w:rPr>
        <w:t xml:space="preserve"> </w:t>
      </w:r>
      <w:r w:rsidRPr="00CE0885">
        <w:rPr>
          <w:spacing w:val="-2"/>
          <w:lang w:eastAsia="en-GB"/>
        </w:rPr>
        <w:t>t</w:t>
      </w:r>
      <w:r w:rsidRPr="00CE0885">
        <w:rPr>
          <w:spacing w:val="1"/>
          <w:lang w:eastAsia="en-GB"/>
        </w:rPr>
        <w:t>ha</w:t>
      </w:r>
      <w:r w:rsidRPr="00CE0885">
        <w:rPr>
          <w:lang w:eastAsia="en-GB"/>
        </w:rPr>
        <w:t>t</w:t>
      </w:r>
      <w:r w:rsidRPr="00CE0885">
        <w:rPr>
          <w:spacing w:val="-5"/>
          <w:lang w:eastAsia="en-GB"/>
        </w:rPr>
        <w:t xml:space="preserve"> </w:t>
      </w:r>
      <w:r w:rsidRPr="00CE0885">
        <w:rPr>
          <w:spacing w:val="1"/>
          <w:lang w:eastAsia="en-GB"/>
        </w:rPr>
        <w:t>th</w:t>
      </w:r>
      <w:r w:rsidRPr="00CE0885">
        <w:rPr>
          <w:spacing w:val="-1"/>
          <w:lang w:eastAsia="en-GB"/>
        </w:rPr>
        <w:t>er</w:t>
      </w:r>
      <w:r w:rsidRPr="00CE0885">
        <w:rPr>
          <w:lang w:eastAsia="en-GB"/>
        </w:rPr>
        <w:t>e is</w:t>
      </w:r>
      <w:r w:rsidRPr="00CE0885">
        <w:rPr>
          <w:spacing w:val="-2"/>
          <w:lang w:eastAsia="en-GB"/>
        </w:rPr>
        <w:t xml:space="preserve"> </w:t>
      </w:r>
      <w:r w:rsidRPr="00CE0885">
        <w:rPr>
          <w:lang w:eastAsia="en-GB"/>
        </w:rPr>
        <w:t>a</w:t>
      </w:r>
      <w:r w:rsidRPr="00CE0885">
        <w:rPr>
          <w:spacing w:val="1"/>
          <w:lang w:eastAsia="en-GB"/>
        </w:rPr>
        <w:t xml:space="preserve"> n</w:t>
      </w:r>
      <w:r w:rsidRPr="00CE0885">
        <w:rPr>
          <w:spacing w:val="-1"/>
          <w:lang w:eastAsia="en-GB"/>
        </w:rPr>
        <w:t>e</w:t>
      </w:r>
      <w:r w:rsidRPr="00CE0885">
        <w:rPr>
          <w:spacing w:val="1"/>
          <w:lang w:eastAsia="en-GB"/>
        </w:rPr>
        <w:t>e</w:t>
      </w:r>
      <w:r w:rsidRPr="00CE0885">
        <w:rPr>
          <w:lang w:eastAsia="en-GB"/>
        </w:rPr>
        <w:t>d</w:t>
      </w:r>
      <w:r w:rsidRPr="00CE0885">
        <w:rPr>
          <w:spacing w:val="-6"/>
          <w:lang w:eastAsia="en-GB"/>
        </w:rPr>
        <w:t xml:space="preserve"> </w:t>
      </w:r>
      <w:r w:rsidRPr="00CE0885">
        <w:rPr>
          <w:spacing w:val="1"/>
          <w:lang w:eastAsia="en-GB"/>
        </w:rPr>
        <w:t>t</w:t>
      </w:r>
      <w:r w:rsidRPr="00CE0885">
        <w:rPr>
          <w:lang w:eastAsia="en-GB"/>
        </w:rPr>
        <w:t xml:space="preserve">o </w:t>
      </w:r>
      <w:r w:rsidRPr="00CE0885">
        <w:rPr>
          <w:spacing w:val="-1"/>
          <w:lang w:eastAsia="en-GB"/>
        </w:rPr>
        <w:t>r</w:t>
      </w:r>
      <w:r w:rsidRPr="00CE0885">
        <w:rPr>
          <w:spacing w:val="1"/>
          <w:lang w:eastAsia="en-GB"/>
        </w:rPr>
        <w:t>e</w:t>
      </w:r>
      <w:r w:rsidRPr="00CE0885">
        <w:rPr>
          <w:spacing w:val="-2"/>
          <w:lang w:eastAsia="en-GB"/>
        </w:rPr>
        <w:t>t</w:t>
      </w:r>
      <w:r w:rsidRPr="00CE0885">
        <w:rPr>
          <w:spacing w:val="1"/>
          <w:lang w:eastAsia="en-GB"/>
        </w:rPr>
        <w:t>a</w:t>
      </w:r>
      <w:r w:rsidRPr="00CE0885">
        <w:rPr>
          <w:lang w:eastAsia="en-GB"/>
        </w:rPr>
        <w:t>in</w:t>
      </w:r>
      <w:r w:rsidRPr="00CE0885">
        <w:rPr>
          <w:spacing w:val="-7"/>
          <w:lang w:eastAsia="en-GB"/>
        </w:rPr>
        <w:t xml:space="preserve"> </w:t>
      </w:r>
      <w:r w:rsidRPr="00CE0885">
        <w:rPr>
          <w:spacing w:val="2"/>
          <w:lang w:eastAsia="en-GB"/>
        </w:rPr>
        <w:t>m</w:t>
      </w:r>
      <w:r w:rsidRPr="00CE0885">
        <w:rPr>
          <w:spacing w:val="-1"/>
          <w:lang w:eastAsia="en-GB"/>
        </w:rPr>
        <w:t>ed</w:t>
      </w:r>
      <w:r w:rsidRPr="00CE0885">
        <w:rPr>
          <w:lang w:eastAsia="en-GB"/>
        </w:rPr>
        <w:t>ic</w:t>
      </w:r>
      <w:r w:rsidRPr="00CE0885">
        <w:rPr>
          <w:spacing w:val="1"/>
          <w:lang w:eastAsia="en-GB"/>
        </w:rPr>
        <w:t>a</w:t>
      </w:r>
      <w:r w:rsidRPr="00CE0885">
        <w:rPr>
          <w:lang w:eastAsia="en-GB"/>
        </w:rPr>
        <w:t>l</w:t>
      </w:r>
      <w:r w:rsidRPr="00CE0885">
        <w:rPr>
          <w:spacing w:val="-8"/>
          <w:lang w:eastAsia="en-GB"/>
        </w:rPr>
        <w:t xml:space="preserve"> </w:t>
      </w:r>
      <w:r w:rsidRPr="00CE0885">
        <w:rPr>
          <w:lang w:eastAsia="en-GB"/>
        </w:rPr>
        <w:t>s</w:t>
      </w:r>
      <w:r w:rsidRPr="00CE0885">
        <w:rPr>
          <w:spacing w:val="1"/>
          <w:lang w:eastAsia="en-GB"/>
        </w:rPr>
        <w:t>e</w:t>
      </w:r>
      <w:r w:rsidRPr="00CE0885">
        <w:rPr>
          <w:spacing w:val="-1"/>
          <w:lang w:eastAsia="en-GB"/>
        </w:rPr>
        <w:t>r</w:t>
      </w:r>
      <w:r w:rsidRPr="00CE0885">
        <w:rPr>
          <w:spacing w:val="-2"/>
          <w:lang w:eastAsia="en-GB"/>
        </w:rPr>
        <w:t>v</w:t>
      </w:r>
      <w:r w:rsidRPr="00CE0885">
        <w:rPr>
          <w:lang w:eastAsia="en-GB"/>
        </w:rPr>
        <w:t>ice</w:t>
      </w:r>
      <w:r w:rsidRPr="00CE0885">
        <w:rPr>
          <w:spacing w:val="-6"/>
          <w:lang w:eastAsia="en-GB"/>
        </w:rPr>
        <w:t xml:space="preserve"> </w:t>
      </w:r>
      <w:r w:rsidRPr="00CE0885">
        <w:rPr>
          <w:spacing w:val="1"/>
          <w:lang w:eastAsia="en-GB"/>
        </w:rPr>
        <w:t>p</w:t>
      </w:r>
      <w:r w:rsidRPr="00CE0885">
        <w:rPr>
          <w:spacing w:val="-1"/>
          <w:lang w:eastAsia="en-GB"/>
        </w:rPr>
        <w:t>r</w:t>
      </w:r>
      <w:r w:rsidRPr="00CE0885">
        <w:rPr>
          <w:spacing w:val="1"/>
          <w:lang w:eastAsia="en-GB"/>
        </w:rPr>
        <w:t>o</w:t>
      </w:r>
      <w:r w:rsidRPr="00CE0885">
        <w:rPr>
          <w:spacing w:val="-2"/>
          <w:lang w:eastAsia="en-GB"/>
        </w:rPr>
        <w:t>v</w:t>
      </w:r>
      <w:r w:rsidRPr="00CE0885">
        <w:rPr>
          <w:lang w:eastAsia="en-GB"/>
        </w:rPr>
        <w:t>isi</w:t>
      </w:r>
      <w:r w:rsidRPr="00CE0885">
        <w:rPr>
          <w:spacing w:val="1"/>
          <w:lang w:eastAsia="en-GB"/>
        </w:rPr>
        <w:t>o</w:t>
      </w:r>
      <w:r w:rsidRPr="00CE0885">
        <w:rPr>
          <w:lang w:eastAsia="en-GB"/>
        </w:rPr>
        <w:t>n</w:t>
      </w:r>
      <w:r w:rsidRPr="00CE0885">
        <w:rPr>
          <w:spacing w:val="-8"/>
          <w:lang w:eastAsia="en-GB"/>
        </w:rPr>
        <w:t xml:space="preserve"> </w:t>
      </w:r>
      <w:r w:rsidRPr="00CE0885">
        <w:rPr>
          <w:spacing w:val="2"/>
          <w:lang w:eastAsia="en-GB"/>
        </w:rPr>
        <w:t>i</w:t>
      </w:r>
      <w:r w:rsidRPr="00CE0885">
        <w:rPr>
          <w:lang w:eastAsia="en-GB"/>
        </w:rPr>
        <w:t xml:space="preserve">n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l</w:t>
      </w:r>
      <w:r w:rsidRPr="00CE0885">
        <w:rPr>
          <w:spacing w:val="1"/>
          <w:lang w:eastAsia="en-GB"/>
        </w:rPr>
        <w:t>o</w:t>
      </w:r>
      <w:r w:rsidRPr="00CE0885">
        <w:rPr>
          <w:lang w:eastAsia="en-GB"/>
        </w:rPr>
        <w:t>c</w:t>
      </w:r>
      <w:r w:rsidRPr="00CE0885">
        <w:rPr>
          <w:spacing w:val="1"/>
          <w:lang w:eastAsia="en-GB"/>
        </w:rPr>
        <w:t>a</w:t>
      </w:r>
      <w:r w:rsidRPr="00CE0885">
        <w:rPr>
          <w:lang w:eastAsia="en-GB"/>
        </w:rPr>
        <w:t>li</w:t>
      </w:r>
      <w:r w:rsidRPr="00CE0885">
        <w:rPr>
          <w:spacing w:val="1"/>
          <w:lang w:eastAsia="en-GB"/>
        </w:rPr>
        <w:t>t</w:t>
      </w:r>
      <w:r w:rsidRPr="00CE0885">
        <w:rPr>
          <w:lang w:eastAsia="en-GB"/>
        </w:rPr>
        <w:t>y</w:t>
      </w:r>
      <w:r w:rsidRPr="00CE0885">
        <w:rPr>
          <w:spacing w:val="-9"/>
          <w:lang w:eastAsia="en-GB"/>
        </w:rPr>
        <w:t xml:space="preserve"> </w:t>
      </w:r>
      <w:r w:rsidRPr="00CE0885">
        <w:rPr>
          <w:spacing w:val="1"/>
          <w:lang w:eastAsia="en-GB"/>
        </w:rPr>
        <w:t>an</w:t>
      </w:r>
      <w:r w:rsidRPr="00CE0885">
        <w:rPr>
          <w:lang w:eastAsia="en-GB"/>
        </w:rPr>
        <w:t>d</w:t>
      </w:r>
      <w:r w:rsidRPr="00CE0885">
        <w:rPr>
          <w:spacing w:val="-5"/>
          <w:lang w:eastAsia="en-GB"/>
        </w:rPr>
        <w:t xml:space="preserve"> </w:t>
      </w:r>
      <w:r w:rsidRPr="00CE0885">
        <w:rPr>
          <w:spacing w:val="-1"/>
          <w:w w:val="99"/>
          <w:lang w:eastAsia="en-GB"/>
        </w:rPr>
        <w:t>m</w:t>
      </w:r>
      <w:r w:rsidRPr="00CE0885">
        <w:rPr>
          <w:spacing w:val="1"/>
          <w:w w:val="99"/>
          <w:lang w:eastAsia="en-GB"/>
        </w:rPr>
        <w:t>u</w:t>
      </w:r>
      <w:r w:rsidRPr="00CE0885">
        <w:rPr>
          <w:w w:val="99"/>
          <w:lang w:eastAsia="en-GB"/>
        </w:rPr>
        <w:t>st s</w:t>
      </w:r>
      <w:r w:rsidRPr="00CE0885">
        <w:rPr>
          <w:spacing w:val="1"/>
          <w:w w:val="99"/>
          <w:lang w:eastAsia="en-GB"/>
        </w:rPr>
        <w:t>ee</w:t>
      </w:r>
      <w:r w:rsidRPr="00CE0885">
        <w:rPr>
          <w:w w:val="99"/>
          <w:lang w:eastAsia="en-GB"/>
        </w:rPr>
        <w:t>k</w:t>
      </w:r>
      <w:r w:rsidRPr="00CE0885">
        <w:rPr>
          <w:lang w:eastAsia="en-GB"/>
        </w:rPr>
        <w:t xml:space="preserve"> </w:t>
      </w:r>
      <w:r w:rsidRPr="00CE0885">
        <w:rPr>
          <w:spacing w:val="-2"/>
          <w:lang w:eastAsia="en-GB"/>
        </w:rPr>
        <w:t>t</w:t>
      </w:r>
      <w:r w:rsidRPr="00CE0885">
        <w:rPr>
          <w:lang w:eastAsia="en-GB"/>
        </w:rPr>
        <w:t>o</w:t>
      </w:r>
      <w:r w:rsidRPr="00CE0885">
        <w:rPr>
          <w:spacing w:val="-3"/>
          <w:lang w:eastAsia="en-GB"/>
        </w:rPr>
        <w:t xml:space="preserve"> </w:t>
      </w:r>
      <w:r w:rsidRPr="00CE0885">
        <w:rPr>
          <w:spacing w:val="3"/>
          <w:lang w:eastAsia="en-GB"/>
        </w:rPr>
        <w:t>f</w:t>
      </w:r>
      <w:r w:rsidRPr="00CE0885">
        <w:rPr>
          <w:lang w:eastAsia="en-GB"/>
        </w:rPr>
        <w:t>i</w:t>
      </w:r>
      <w:r w:rsidRPr="00CE0885">
        <w:rPr>
          <w:spacing w:val="-1"/>
          <w:lang w:eastAsia="en-GB"/>
        </w:rPr>
        <w:t>n</w:t>
      </w:r>
      <w:r w:rsidRPr="00CE0885">
        <w:rPr>
          <w:lang w:eastAsia="en-GB"/>
        </w:rPr>
        <w:t>d</w:t>
      </w:r>
      <w:r w:rsidRPr="00CE0885">
        <w:rPr>
          <w:spacing w:val="-2"/>
          <w:lang w:eastAsia="en-GB"/>
        </w:rPr>
        <w:t xml:space="preserve"> </w:t>
      </w:r>
      <w:r w:rsidRPr="00CE0885">
        <w:rPr>
          <w:lang w:eastAsia="en-GB"/>
        </w:rPr>
        <w:t>a</w:t>
      </w:r>
      <w:r w:rsidRPr="00CE0885">
        <w:rPr>
          <w:spacing w:val="1"/>
          <w:lang w:eastAsia="en-GB"/>
        </w:rPr>
        <w:t xml:space="preserve"> </w:t>
      </w:r>
      <w:r w:rsidRPr="00CE0885">
        <w:rPr>
          <w:spacing w:val="-2"/>
          <w:lang w:eastAsia="en-GB"/>
        </w:rPr>
        <w:t>s</w:t>
      </w:r>
      <w:r w:rsidRPr="00CE0885">
        <w:rPr>
          <w:spacing w:val="1"/>
          <w:lang w:eastAsia="en-GB"/>
        </w:rPr>
        <w:t>o</w:t>
      </w:r>
      <w:r w:rsidRPr="00CE0885">
        <w:rPr>
          <w:lang w:eastAsia="en-GB"/>
        </w:rPr>
        <w:t>l</w:t>
      </w:r>
      <w:r w:rsidRPr="00CE0885">
        <w:rPr>
          <w:spacing w:val="1"/>
          <w:lang w:eastAsia="en-GB"/>
        </w:rPr>
        <w:t>ut</w:t>
      </w:r>
      <w:r w:rsidRPr="00CE0885">
        <w:rPr>
          <w:lang w:eastAsia="en-GB"/>
        </w:rPr>
        <w:t>i</w:t>
      </w:r>
      <w:r w:rsidRPr="00CE0885">
        <w:rPr>
          <w:spacing w:val="-1"/>
          <w:lang w:eastAsia="en-GB"/>
        </w:rPr>
        <w:t>o</w:t>
      </w:r>
      <w:r w:rsidRPr="00CE0885">
        <w:rPr>
          <w:spacing w:val="1"/>
          <w:lang w:eastAsia="en-GB"/>
        </w:rPr>
        <w:t>n</w:t>
      </w:r>
      <w:r w:rsidRPr="00CE0885">
        <w:rPr>
          <w:lang w:eastAsia="en-GB"/>
        </w:rPr>
        <w:t>,</w:t>
      </w:r>
      <w:r w:rsidRPr="00CE0885">
        <w:rPr>
          <w:spacing w:val="-10"/>
          <w:lang w:eastAsia="en-GB"/>
        </w:rPr>
        <w:t xml:space="preserve"> </w:t>
      </w:r>
      <w:r w:rsidRPr="00CE0885">
        <w:rPr>
          <w:spacing w:val="-3"/>
          <w:lang w:eastAsia="en-GB"/>
        </w:rPr>
        <w:t>w</w:t>
      </w:r>
      <w:r w:rsidRPr="00CE0885">
        <w:rPr>
          <w:spacing w:val="1"/>
          <w:lang w:eastAsia="en-GB"/>
        </w:rPr>
        <w:t>h</w:t>
      </w:r>
      <w:r w:rsidRPr="00CE0885">
        <w:rPr>
          <w:lang w:eastAsia="en-GB"/>
        </w:rPr>
        <w:t>ich</w:t>
      </w:r>
      <w:r w:rsidRPr="00CE0885">
        <w:rPr>
          <w:spacing w:val="-4"/>
          <w:lang w:eastAsia="en-GB"/>
        </w:rPr>
        <w:t xml:space="preserve"> </w:t>
      </w:r>
      <w:r w:rsidRPr="00CE0885">
        <w:rPr>
          <w:lang w:eastAsia="en-GB"/>
        </w:rPr>
        <w:t>c</w:t>
      </w:r>
      <w:r w:rsidRPr="00CE0885">
        <w:rPr>
          <w:spacing w:val="1"/>
          <w:lang w:eastAsia="en-GB"/>
        </w:rPr>
        <w:t>ou</w:t>
      </w:r>
      <w:r w:rsidRPr="00CE0885">
        <w:rPr>
          <w:lang w:eastAsia="en-GB"/>
        </w:rPr>
        <w:t>ld</w:t>
      </w:r>
      <w:r w:rsidRPr="00CE0885">
        <w:rPr>
          <w:spacing w:val="-4"/>
          <w:lang w:eastAsia="en-GB"/>
        </w:rPr>
        <w:t xml:space="preserve"> </w:t>
      </w:r>
      <w:r w:rsidRPr="00CE0885">
        <w:rPr>
          <w:lang w:eastAsia="en-GB"/>
        </w:rPr>
        <w:t>i</w:t>
      </w:r>
      <w:r w:rsidRPr="00CE0885">
        <w:rPr>
          <w:spacing w:val="1"/>
          <w:lang w:eastAsia="en-GB"/>
        </w:rPr>
        <w:t>n</w:t>
      </w:r>
      <w:r w:rsidRPr="00CE0885">
        <w:rPr>
          <w:lang w:eastAsia="en-GB"/>
        </w:rPr>
        <w:t>cl</w:t>
      </w:r>
      <w:r w:rsidRPr="00CE0885">
        <w:rPr>
          <w:spacing w:val="1"/>
          <w:lang w:eastAsia="en-GB"/>
        </w:rPr>
        <w:t>u</w:t>
      </w:r>
      <w:r w:rsidRPr="00CE0885">
        <w:rPr>
          <w:spacing w:val="-1"/>
          <w:lang w:eastAsia="en-GB"/>
        </w:rPr>
        <w:t>d</w:t>
      </w:r>
      <w:r w:rsidRPr="00CE0885">
        <w:rPr>
          <w:lang w:eastAsia="en-GB"/>
        </w:rPr>
        <w:t>e</w:t>
      </w:r>
      <w:r w:rsidRPr="00CE0885">
        <w:rPr>
          <w:spacing w:val="-6"/>
          <w:lang w:eastAsia="en-GB"/>
        </w:rPr>
        <w:t xml:space="preserve"> </w:t>
      </w:r>
      <w:r w:rsidRPr="00CE0885">
        <w:rPr>
          <w:spacing w:val="-2"/>
          <w:lang w:eastAsia="en-GB"/>
        </w:rPr>
        <w:t>t</w:t>
      </w:r>
      <w:r w:rsidRPr="00CE0885">
        <w:rPr>
          <w:spacing w:val="-1"/>
          <w:lang w:eastAsia="en-GB"/>
        </w:rPr>
        <w:t>e</w:t>
      </w:r>
      <w:r w:rsidRPr="00CE0885">
        <w:rPr>
          <w:spacing w:val="1"/>
          <w:lang w:eastAsia="en-GB"/>
        </w:rPr>
        <w:t>nde</w:t>
      </w:r>
      <w:r w:rsidRPr="00CE0885">
        <w:rPr>
          <w:spacing w:val="-1"/>
          <w:lang w:eastAsia="en-GB"/>
        </w:rPr>
        <w:t>r</w:t>
      </w:r>
      <w:r w:rsidRPr="00CE0885">
        <w:rPr>
          <w:lang w:eastAsia="en-GB"/>
        </w:rPr>
        <w:t>i</w:t>
      </w:r>
      <w:r w:rsidRPr="00CE0885">
        <w:rPr>
          <w:spacing w:val="1"/>
          <w:lang w:eastAsia="en-GB"/>
        </w:rPr>
        <w:t>n</w:t>
      </w:r>
      <w:r w:rsidRPr="00CE0885">
        <w:rPr>
          <w:lang w:eastAsia="en-GB"/>
        </w:rPr>
        <w:t>g</w:t>
      </w:r>
      <w:r w:rsidRPr="00CE0885">
        <w:rPr>
          <w:spacing w:val="-13"/>
          <w:lang w:eastAsia="en-GB"/>
        </w:rPr>
        <w:t xml:space="preserve"> </w:t>
      </w:r>
      <w:r w:rsidRPr="00CE0885">
        <w:rPr>
          <w:spacing w:val="3"/>
          <w:lang w:eastAsia="en-GB"/>
        </w:rPr>
        <w:t>f</w:t>
      </w:r>
      <w:r w:rsidRPr="00CE0885">
        <w:rPr>
          <w:spacing w:val="1"/>
          <w:lang w:eastAsia="en-GB"/>
        </w:rPr>
        <w:t>o</w:t>
      </w:r>
      <w:r w:rsidRPr="00CE0885">
        <w:rPr>
          <w:lang w:eastAsia="en-GB"/>
        </w:rPr>
        <w:t>r</w:t>
      </w:r>
      <w:r w:rsidRPr="00CE0885">
        <w:rPr>
          <w:spacing w:val="-3"/>
          <w:lang w:eastAsia="en-GB"/>
        </w:rPr>
        <w:t xml:space="preserve"> </w:t>
      </w:r>
      <w:r w:rsidRPr="00CE0885">
        <w:rPr>
          <w:lang w:eastAsia="en-GB"/>
        </w:rPr>
        <w:t>a</w:t>
      </w:r>
      <w:r w:rsidRPr="00CE0885">
        <w:rPr>
          <w:spacing w:val="-2"/>
          <w:lang w:eastAsia="en-GB"/>
        </w:rPr>
        <w:t xml:space="preserve"> </w:t>
      </w:r>
      <w:r w:rsidRPr="00CE0885">
        <w:rPr>
          <w:spacing w:val="1"/>
          <w:lang w:eastAsia="en-GB"/>
        </w:rPr>
        <w:t>ne</w:t>
      </w:r>
      <w:r w:rsidRPr="00CE0885">
        <w:rPr>
          <w:lang w:eastAsia="en-GB"/>
        </w:rPr>
        <w:t>w</w:t>
      </w:r>
      <w:r w:rsidRPr="00CE0885">
        <w:rPr>
          <w:spacing w:val="-6"/>
          <w:lang w:eastAsia="en-GB"/>
        </w:rPr>
        <w:t xml:space="preserve"> </w:t>
      </w:r>
      <w:r w:rsidRPr="00CE0885">
        <w:rPr>
          <w:spacing w:val="1"/>
          <w:lang w:eastAsia="en-GB"/>
        </w:rPr>
        <w:t>p</w:t>
      </w:r>
      <w:r w:rsidRPr="00CE0885">
        <w:rPr>
          <w:spacing w:val="-1"/>
          <w:lang w:eastAsia="en-GB"/>
        </w:rPr>
        <w:t>r</w:t>
      </w:r>
      <w:r w:rsidRPr="00CE0885">
        <w:rPr>
          <w:spacing w:val="1"/>
          <w:lang w:eastAsia="en-GB"/>
        </w:rPr>
        <w:t>o</w:t>
      </w:r>
      <w:r w:rsidRPr="00CE0885">
        <w:rPr>
          <w:spacing w:val="-2"/>
          <w:lang w:eastAsia="en-GB"/>
        </w:rPr>
        <w:t>v</w:t>
      </w:r>
      <w:r w:rsidRPr="00CE0885">
        <w:rPr>
          <w:lang w:eastAsia="en-GB"/>
        </w:rPr>
        <w:t>i</w:t>
      </w:r>
      <w:r w:rsidRPr="00CE0885">
        <w:rPr>
          <w:spacing w:val="1"/>
          <w:lang w:eastAsia="en-GB"/>
        </w:rPr>
        <w:t>de</w:t>
      </w:r>
      <w:r w:rsidRPr="00CE0885">
        <w:rPr>
          <w:lang w:eastAsia="en-GB"/>
        </w:rPr>
        <w:t xml:space="preserve">r </w:t>
      </w:r>
      <w:r w:rsidRPr="00CE0885">
        <w:rPr>
          <w:spacing w:val="-3"/>
          <w:lang w:eastAsia="en-GB"/>
        </w:rPr>
        <w:t>w</w:t>
      </w:r>
      <w:r w:rsidRPr="00CE0885">
        <w:rPr>
          <w:lang w:eastAsia="en-GB"/>
        </w:rPr>
        <w:t>i</w:t>
      </w:r>
      <w:r w:rsidRPr="00CE0885">
        <w:rPr>
          <w:spacing w:val="1"/>
          <w:lang w:eastAsia="en-GB"/>
        </w:rPr>
        <w:t>th</w:t>
      </w:r>
      <w:r w:rsidRPr="00CE0885">
        <w:rPr>
          <w:lang w:eastAsia="en-GB"/>
        </w:rPr>
        <w:t>in</w:t>
      </w:r>
      <w:r w:rsidRPr="00CE0885">
        <w:rPr>
          <w:spacing w:val="-4"/>
          <w:lang w:eastAsia="en-GB"/>
        </w:rPr>
        <w:t xml:space="preserve"> </w:t>
      </w:r>
      <w:r w:rsidRPr="00CE0885">
        <w:rPr>
          <w:spacing w:val="1"/>
          <w:lang w:eastAsia="en-GB"/>
        </w:rPr>
        <w:t>tha</w:t>
      </w:r>
      <w:r w:rsidRPr="00CE0885">
        <w:rPr>
          <w:lang w:eastAsia="en-GB"/>
        </w:rPr>
        <w:t>t</w:t>
      </w:r>
      <w:r w:rsidRPr="00CE0885">
        <w:rPr>
          <w:spacing w:val="-3"/>
          <w:lang w:eastAsia="en-GB"/>
        </w:rPr>
        <w:t xml:space="preserve"> </w:t>
      </w:r>
      <w:r w:rsidRPr="00CE0885">
        <w:rPr>
          <w:lang w:eastAsia="en-GB"/>
        </w:rPr>
        <w:t>l</w:t>
      </w:r>
      <w:r w:rsidRPr="00CE0885">
        <w:rPr>
          <w:spacing w:val="1"/>
          <w:lang w:eastAsia="en-GB"/>
        </w:rPr>
        <w:t>o</w:t>
      </w:r>
      <w:r w:rsidRPr="00CE0885">
        <w:rPr>
          <w:lang w:eastAsia="en-GB"/>
        </w:rPr>
        <w:t>c</w:t>
      </w:r>
      <w:r w:rsidRPr="00CE0885">
        <w:rPr>
          <w:spacing w:val="1"/>
          <w:lang w:eastAsia="en-GB"/>
        </w:rPr>
        <w:t>a</w:t>
      </w:r>
      <w:r w:rsidRPr="00CE0885">
        <w:rPr>
          <w:lang w:eastAsia="en-GB"/>
        </w:rPr>
        <w:t>li</w:t>
      </w:r>
      <w:r w:rsidRPr="00CE0885">
        <w:rPr>
          <w:spacing w:val="1"/>
          <w:lang w:eastAsia="en-GB"/>
        </w:rPr>
        <w:t>t</w:t>
      </w:r>
      <w:r w:rsidRPr="00CE0885">
        <w:rPr>
          <w:spacing w:val="-2"/>
          <w:lang w:eastAsia="en-GB"/>
        </w:rPr>
        <w:t>y</w:t>
      </w:r>
      <w:r w:rsidRPr="00CE0885">
        <w:rPr>
          <w:lang w:eastAsia="en-GB"/>
        </w:rPr>
        <w:t>,</w:t>
      </w:r>
      <w:r w:rsidRPr="00CE0885">
        <w:rPr>
          <w:spacing w:val="-7"/>
          <w:lang w:eastAsia="en-GB"/>
        </w:rPr>
        <w:t xml:space="preserve"> </w:t>
      </w:r>
      <w:r w:rsidRPr="00CE0885">
        <w:rPr>
          <w:spacing w:val="1"/>
          <w:lang w:eastAsia="en-GB"/>
        </w:rPr>
        <w:t>t</w:t>
      </w:r>
      <w:r w:rsidRPr="00CE0885">
        <w:rPr>
          <w:spacing w:val="-1"/>
          <w:lang w:eastAsia="en-GB"/>
        </w:rPr>
        <w:t>ho</w:t>
      </w:r>
      <w:r w:rsidRPr="00CE0885">
        <w:rPr>
          <w:spacing w:val="1"/>
          <w:lang w:eastAsia="en-GB"/>
        </w:rPr>
        <w:t>u</w:t>
      </w:r>
      <w:r w:rsidRPr="00CE0885">
        <w:rPr>
          <w:spacing w:val="-1"/>
          <w:lang w:eastAsia="en-GB"/>
        </w:rPr>
        <w:t>g</w:t>
      </w:r>
      <w:r w:rsidRPr="00CE0885">
        <w:rPr>
          <w:lang w:eastAsia="en-GB"/>
        </w:rPr>
        <w:t>h</w:t>
      </w:r>
      <w:r w:rsidRPr="00CE0885">
        <w:rPr>
          <w:spacing w:val="-5"/>
          <w:lang w:eastAsia="en-GB"/>
        </w:rPr>
        <w:t xml:space="preserve"> </w:t>
      </w:r>
      <w:r w:rsidRPr="00CE0885">
        <w:rPr>
          <w:spacing w:val="1"/>
          <w:lang w:eastAsia="en-GB"/>
        </w:rPr>
        <w:t>no</w:t>
      </w:r>
      <w:r w:rsidRPr="00CE0885">
        <w:rPr>
          <w:lang w:eastAsia="en-GB"/>
        </w:rPr>
        <w:t>t</w:t>
      </w:r>
      <w:r w:rsidRPr="00CE0885">
        <w:rPr>
          <w:spacing w:val="-4"/>
          <w:lang w:eastAsia="en-GB"/>
        </w:rPr>
        <w:t xml:space="preserve"> </w:t>
      </w:r>
      <w:r w:rsidRPr="00CE0885">
        <w:rPr>
          <w:spacing w:val="1"/>
          <w:lang w:eastAsia="en-GB"/>
        </w:rPr>
        <w:t>ne</w:t>
      </w:r>
      <w:r w:rsidRPr="00CE0885">
        <w:rPr>
          <w:spacing w:val="-2"/>
          <w:lang w:eastAsia="en-GB"/>
        </w:rPr>
        <w:t>c</w:t>
      </w:r>
      <w:r w:rsidRPr="00CE0885">
        <w:rPr>
          <w:spacing w:val="1"/>
          <w:lang w:eastAsia="en-GB"/>
        </w:rPr>
        <w:t>e</w:t>
      </w:r>
      <w:r w:rsidRPr="00CE0885">
        <w:rPr>
          <w:lang w:eastAsia="en-GB"/>
        </w:rPr>
        <w:t>ss</w:t>
      </w:r>
      <w:r w:rsidRPr="00CE0885">
        <w:rPr>
          <w:spacing w:val="1"/>
          <w:lang w:eastAsia="en-GB"/>
        </w:rPr>
        <w:t>a</w:t>
      </w:r>
      <w:r w:rsidRPr="00CE0885">
        <w:rPr>
          <w:spacing w:val="-1"/>
          <w:lang w:eastAsia="en-GB"/>
        </w:rPr>
        <w:t>r</w:t>
      </w:r>
      <w:r w:rsidRPr="00CE0885">
        <w:rPr>
          <w:lang w:eastAsia="en-GB"/>
        </w:rPr>
        <w:t>ily</w:t>
      </w:r>
      <w:r w:rsidRPr="00CE0885">
        <w:rPr>
          <w:spacing w:val="-12"/>
          <w:lang w:eastAsia="en-GB"/>
        </w:rPr>
        <w:t xml:space="preserve"> </w:t>
      </w:r>
      <w:r w:rsidRPr="00CE0885">
        <w:rPr>
          <w:spacing w:val="-3"/>
          <w:lang w:eastAsia="en-GB"/>
        </w:rPr>
        <w:t>w</w:t>
      </w:r>
      <w:r w:rsidRPr="00CE0885">
        <w:rPr>
          <w:lang w:eastAsia="en-GB"/>
        </w:rPr>
        <w:t>i</w:t>
      </w:r>
      <w:r w:rsidRPr="00CE0885">
        <w:rPr>
          <w:spacing w:val="3"/>
          <w:lang w:eastAsia="en-GB"/>
        </w:rPr>
        <w:t>t</w:t>
      </w:r>
      <w:r w:rsidRPr="00CE0885">
        <w:rPr>
          <w:spacing w:val="1"/>
          <w:lang w:eastAsia="en-GB"/>
        </w:rPr>
        <w:t>h</w:t>
      </w:r>
      <w:r w:rsidRPr="00CE0885">
        <w:rPr>
          <w:lang w:eastAsia="en-GB"/>
        </w:rPr>
        <w:t>in</w:t>
      </w:r>
      <w:r w:rsidRPr="00CE0885">
        <w:rPr>
          <w:spacing w:val="-4"/>
          <w:lang w:eastAsia="en-GB"/>
        </w:rPr>
        <w:t xml:space="preserve">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s</w:t>
      </w:r>
      <w:r w:rsidRPr="00CE0885">
        <w:rPr>
          <w:spacing w:val="-1"/>
          <w:lang w:eastAsia="en-GB"/>
        </w:rPr>
        <w:t>a</w:t>
      </w:r>
      <w:r w:rsidRPr="00CE0885">
        <w:rPr>
          <w:spacing w:val="2"/>
          <w:lang w:eastAsia="en-GB"/>
        </w:rPr>
        <w:t>m</w:t>
      </w:r>
      <w:r w:rsidRPr="00CE0885">
        <w:rPr>
          <w:lang w:eastAsia="en-GB"/>
        </w:rPr>
        <w:t>e</w:t>
      </w:r>
      <w:r w:rsidRPr="00CE0885">
        <w:rPr>
          <w:spacing w:val="-7"/>
          <w:lang w:eastAsia="en-GB"/>
        </w:rPr>
        <w:t xml:space="preserve"> </w:t>
      </w:r>
      <w:r w:rsidRPr="00CE0885">
        <w:rPr>
          <w:spacing w:val="1"/>
          <w:lang w:eastAsia="en-GB"/>
        </w:rPr>
        <w:t>p</w:t>
      </w:r>
      <w:r w:rsidRPr="00CE0885">
        <w:rPr>
          <w:spacing w:val="-1"/>
          <w:lang w:eastAsia="en-GB"/>
        </w:rPr>
        <w:t>re</w:t>
      </w:r>
      <w:r w:rsidRPr="00CE0885">
        <w:rPr>
          <w:spacing w:val="2"/>
          <w:lang w:eastAsia="en-GB"/>
        </w:rPr>
        <w:t>m</w:t>
      </w:r>
      <w:r w:rsidRPr="00CE0885">
        <w:rPr>
          <w:lang w:eastAsia="en-GB"/>
        </w:rPr>
        <w:t>is</w:t>
      </w:r>
      <w:r w:rsidRPr="00CE0885">
        <w:rPr>
          <w:spacing w:val="1"/>
          <w:lang w:eastAsia="en-GB"/>
        </w:rPr>
        <w:t>e</w:t>
      </w:r>
      <w:r w:rsidRPr="00CE0885">
        <w:rPr>
          <w:spacing w:val="-2"/>
          <w:lang w:eastAsia="en-GB"/>
        </w:rPr>
        <w:t>s</w:t>
      </w:r>
      <w:r w:rsidRPr="00CE0885">
        <w:rPr>
          <w:lang w:eastAsia="en-GB"/>
        </w:rPr>
        <w:t>.</w:t>
      </w:r>
      <w:bookmarkEnd w:id="788"/>
    </w:p>
    <w:p w14:paraId="3191ED62" w14:textId="77777777" w:rsidR="00977693" w:rsidRPr="00CE0885" w:rsidRDefault="00977693" w:rsidP="00980A75">
      <w:pPr>
        <w:pStyle w:val="Heading3"/>
        <w:rPr>
          <w:lang w:eastAsia="en-GB"/>
        </w:rPr>
      </w:pPr>
      <w:bookmarkStart w:id="789" w:name="_Toc440981949"/>
      <w:r w:rsidRPr="00CE0885">
        <w:rPr>
          <w:lang w:eastAsia="en-GB"/>
        </w:rPr>
        <w:t>Once,</w:t>
      </w:r>
      <w:r w:rsidRPr="00CE0885">
        <w:rPr>
          <w:spacing w:val="-7"/>
          <w:lang w:eastAsia="en-GB"/>
        </w:rPr>
        <w:t xml:space="preserve"> </w:t>
      </w:r>
      <w:r w:rsidRPr="00CE0885">
        <w:rPr>
          <w:lang w:eastAsia="en-GB"/>
        </w:rPr>
        <w:t>a</w:t>
      </w:r>
      <w:r w:rsidRPr="00CE0885">
        <w:rPr>
          <w:spacing w:val="-1"/>
          <w:lang w:eastAsia="en-GB"/>
        </w:rPr>
        <w:t>n</w:t>
      </w:r>
      <w:r w:rsidRPr="00CE0885">
        <w:rPr>
          <w:lang w:eastAsia="en-GB"/>
        </w:rPr>
        <w:t>d</w:t>
      </w:r>
      <w:r w:rsidRPr="00CE0885">
        <w:rPr>
          <w:spacing w:val="-2"/>
          <w:lang w:eastAsia="en-GB"/>
        </w:rPr>
        <w:t xml:space="preserve"> </w:t>
      </w:r>
      <w:r w:rsidRPr="00CE0885">
        <w:rPr>
          <w:spacing w:val="-3"/>
          <w:lang w:eastAsia="en-GB"/>
        </w:rPr>
        <w:t>i</w:t>
      </w:r>
      <w:r w:rsidRPr="00CE0885">
        <w:rPr>
          <w:spacing w:val="3"/>
          <w:lang w:eastAsia="en-GB"/>
        </w:rPr>
        <w:t>f</w:t>
      </w:r>
      <w:r w:rsidRPr="00CE0885">
        <w:rPr>
          <w:lang w:eastAsia="en-GB"/>
        </w:rPr>
        <w:t>,</w:t>
      </w:r>
      <w:r w:rsidRPr="00CE0885">
        <w:rPr>
          <w:spacing w:val="-1"/>
          <w:lang w:eastAsia="en-GB"/>
        </w:rPr>
        <w:t xml:space="preserve"> </w:t>
      </w:r>
      <w:r w:rsidRPr="00CE0885">
        <w:rPr>
          <w:spacing w:val="-2"/>
          <w:lang w:eastAsia="en-GB"/>
        </w:rPr>
        <w:t>t</w:t>
      </w:r>
      <w:r w:rsidRPr="00CE0885">
        <w:rPr>
          <w:lang w:eastAsia="en-GB"/>
        </w:rPr>
        <w:t>he</w:t>
      </w:r>
      <w:r w:rsidRPr="00CE0885">
        <w:rPr>
          <w:spacing w:val="-4"/>
          <w:lang w:eastAsia="en-GB"/>
        </w:rPr>
        <w:t xml:space="preserve"> </w:t>
      </w:r>
      <w:r w:rsidRPr="00CE0885">
        <w:rPr>
          <w:spacing w:val="3"/>
          <w:lang w:eastAsia="en-GB"/>
        </w:rPr>
        <w:t>f</w:t>
      </w:r>
      <w:r w:rsidRPr="00CE0885">
        <w:rPr>
          <w:spacing w:val="-3"/>
          <w:lang w:eastAsia="en-GB"/>
        </w:rPr>
        <w:t>i</w:t>
      </w:r>
      <w:r w:rsidRPr="00CE0885">
        <w:rPr>
          <w:lang w:eastAsia="en-GB"/>
        </w:rPr>
        <w:t>nal</w:t>
      </w:r>
      <w:r w:rsidRPr="00CE0885">
        <w:rPr>
          <w:spacing w:val="-6"/>
          <w:lang w:eastAsia="en-GB"/>
        </w:rPr>
        <w:t xml:space="preserve"> </w:t>
      </w:r>
      <w:r w:rsidRPr="00CE0885">
        <w:rPr>
          <w:lang w:eastAsia="en-GB"/>
        </w:rPr>
        <w:t>date</w:t>
      </w:r>
      <w:r w:rsidRPr="00CE0885">
        <w:rPr>
          <w:spacing w:val="-8"/>
          <w:lang w:eastAsia="en-GB"/>
        </w:rPr>
        <w:t xml:space="preserve"> </w:t>
      </w:r>
      <w:r w:rsidRPr="00CE0885">
        <w:rPr>
          <w:spacing w:val="3"/>
          <w:lang w:eastAsia="en-GB"/>
        </w:rPr>
        <w:t>f</w:t>
      </w:r>
      <w:r w:rsidRPr="00CE0885">
        <w:rPr>
          <w:lang w:eastAsia="en-GB"/>
        </w:rPr>
        <w:t>or</w:t>
      </w:r>
      <w:r w:rsidRPr="00CE0885">
        <w:rPr>
          <w:spacing w:val="-3"/>
          <w:lang w:eastAsia="en-GB"/>
        </w:rPr>
        <w:t xml:space="preserve"> </w:t>
      </w:r>
      <w:r w:rsidRPr="00CE0885">
        <w:rPr>
          <w:lang w:eastAsia="en-GB"/>
        </w:rPr>
        <w:t>clo</w:t>
      </w:r>
      <w:r w:rsidRPr="00CE0885">
        <w:rPr>
          <w:spacing w:val="-2"/>
          <w:lang w:eastAsia="en-GB"/>
        </w:rPr>
        <w:t>s</w:t>
      </w:r>
      <w:r w:rsidRPr="00CE0885">
        <w:rPr>
          <w:lang w:eastAsia="en-GB"/>
        </w:rPr>
        <w:t>u</w:t>
      </w:r>
      <w:r w:rsidRPr="00CE0885">
        <w:rPr>
          <w:spacing w:val="-1"/>
          <w:lang w:eastAsia="en-GB"/>
        </w:rPr>
        <w:t>r</w:t>
      </w:r>
      <w:r w:rsidRPr="00CE0885">
        <w:rPr>
          <w:lang w:eastAsia="en-GB"/>
        </w:rPr>
        <w:t>e</w:t>
      </w:r>
      <w:r w:rsidRPr="00CE0885">
        <w:rPr>
          <w:spacing w:val="-6"/>
          <w:lang w:eastAsia="en-GB"/>
        </w:rPr>
        <w:t xml:space="preserve"> </w:t>
      </w:r>
      <w:r w:rsidRPr="00CE0885">
        <w:rPr>
          <w:lang w:eastAsia="en-GB"/>
        </w:rPr>
        <w:t>is</w:t>
      </w:r>
      <w:r w:rsidRPr="00CE0885">
        <w:rPr>
          <w:spacing w:val="-2"/>
          <w:lang w:eastAsia="en-GB"/>
        </w:rPr>
        <w:t xml:space="preserve"> </w:t>
      </w:r>
      <w:r w:rsidRPr="00CE0885">
        <w:rPr>
          <w:lang w:eastAsia="en-GB"/>
        </w:rPr>
        <w:t>c</w:t>
      </w:r>
      <w:r w:rsidRPr="00CE0885">
        <w:rPr>
          <w:spacing w:val="-1"/>
          <w:lang w:eastAsia="en-GB"/>
        </w:rPr>
        <w:t>on</w:t>
      </w:r>
      <w:r w:rsidRPr="00CE0885">
        <w:rPr>
          <w:lang w:eastAsia="en-GB"/>
        </w:rPr>
        <w:t>fi</w:t>
      </w:r>
      <w:r w:rsidRPr="00CE0885">
        <w:rPr>
          <w:spacing w:val="-1"/>
          <w:lang w:eastAsia="en-GB"/>
        </w:rPr>
        <w:t>r</w:t>
      </w:r>
      <w:r w:rsidRPr="00CE0885">
        <w:rPr>
          <w:spacing w:val="2"/>
          <w:lang w:eastAsia="en-GB"/>
        </w:rPr>
        <w:t>m</w:t>
      </w:r>
      <w:r w:rsidRPr="00CE0885">
        <w:rPr>
          <w:lang w:eastAsia="en-GB"/>
        </w:rPr>
        <w:t>ed,</w:t>
      </w:r>
      <w:r w:rsidRPr="00CE0885">
        <w:rPr>
          <w:spacing w:val="-9"/>
          <w:lang w:eastAsia="en-GB"/>
        </w:rPr>
        <w:t xml:space="preserve"> </w:t>
      </w:r>
      <w:r w:rsidRPr="00CE0885">
        <w:rPr>
          <w:spacing w:val="-2"/>
          <w:lang w:eastAsia="en-GB"/>
        </w:rPr>
        <w:t>t</w:t>
      </w:r>
      <w:r w:rsidRPr="00CE0885">
        <w:rPr>
          <w:lang w:eastAsia="en-GB"/>
        </w:rPr>
        <w:t>he</w:t>
      </w:r>
      <w:r w:rsidRPr="00CE0885">
        <w:rPr>
          <w:spacing w:val="-4"/>
          <w:lang w:eastAsia="en-GB"/>
        </w:rPr>
        <w:t xml:space="preserve"> </w:t>
      </w:r>
      <w:r w:rsidRPr="00CE0885">
        <w:rPr>
          <w:spacing w:val="-2"/>
          <w:lang w:eastAsia="en-GB"/>
        </w:rPr>
        <w:t>Commissioner</w:t>
      </w:r>
      <w:r w:rsidRPr="00CE0885">
        <w:rPr>
          <w:lang w:eastAsia="en-GB"/>
        </w:rPr>
        <w:t xml:space="preserve"> </w:t>
      </w:r>
      <w:r w:rsidRPr="00CE0885">
        <w:rPr>
          <w:spacing w:val="-3"/>
          <w:lang w:eastAsia="en-GB"/>
        </w:rPr>
        <w:t>w</w:t>
      </w:r>
      <w:r w:rsidRPr="00CE0885">
        <w:rPr>
          <w:lang w:eastAsia="en-GB"/>
        </w:rPr>
        <w:t>ill</w:t>
      </w:r>
      <w:r w:rsidRPr="00CE0885">
        <w:rPr>
          <w:spacing w:val="-3"/>
          <w:lang w:eastAsia="en-GB"/>
        </w:rPr>
        <w:t xml:space="preserve"> </w:t>
      </w:r>
      <w:r w:rsidRPr="00CE0885">
        <w:rPr>
          <w:lang w:eastAsia="en-GB"/>
        </w:rPr>
        <w:t>issue</w:t>
      </w:r>
      <w:r w:rsidRPr="00CE0885">
        <w:rPr>
          <w:spacing w:val="-4"/>
          <w:lang w:eastAsia="en-GB"/>
        </w:rPr>
        <w:t xml:space="preserve"> </w:t>
      </w:r>
      <w:r w:rsidRPr="00CE0885">
        <w:rPr>
          <w:lang w:eastAsia="en-GB"/>
        </w:rPr>
        <w:t xml:space="preserve">a </w:t>
      </w:r>
      <w:r w:rsidRPr="00CE0885">
        <w:rPr>
          <w:spacing w:val="-2"/>
          <w:lang w:eastAsia="en-GB"/>
        </w:rPr>
        <w:t>v</w:t>
      </w:r>
      <w:r w:rsidRPr="00CE0885">
        <w:rPr>
          <w:lang w:eastAsia="en-GB"/>
        </w:rPr>
        <w:t>a</w:t>
      </w:r>
      <w:r w:rsidRPr="00CE0885">
        <w:rPr>
          <w:spacing w:val="-1"/>
          <w:lang w:eastAsia="en-GB"/>
        </w:rPr>
        <w:t>r</w:t>
      </w:r>
      <w:r w:rsidRPr="00CE0885">
        <w:rPr>
          <w:lang w:eastAsia="en-GB"/>
        </w:rPr>
        <w:t>iation</w:t>
      </w:r>
      <w:r w:rsidRPr="00CE0885">
        <w:rPr>
          <w:spacing w:val="-7"/>
          <w:lang w:eastAsia="en-GB"/>
        </w:rPr>
        <w:t xml:space="preserve"> </w:t>
      </w:r>
      <w:r w:rsidRPr="00CE0885">
        <w:rPr>
          <w:lang w:eastAsia="en-GB"/>
        </w:rPr>
        <w:t>a</w:t>
      </w:r>
      <w:r w:rsidRPr="00CE0885">
        <w:rPr>
          <w:spacing w:val="-1"/>
          <w:lang w:eastAsia="en-GB"/>
        </w:rPr>
        <w:t>gr</w:t>
      </w:r>
      <w:r w:rsidRPr="00CE0885">
        <w:rPr>
          <w:lang w:eastAsia="en-GB"/>
        </w:rPr>
        <w:t>ee</w:t>
      </w:r>
      <w:r w:rsidRPr="00CE0885">
        <w:rPr>
          <w:spacing w:val="2"/>
          <w:lang w:eastAsia="en-GB"/>
        </w:rPr>
        <w:t>m</w:t>
      </w:r>
      <w:r w:rsidRPr="00CE0885">
        <w:rPr>
          <w:spacing w:val="-1"/>
          <w:lang w:eastAsia="en-GB"/>
        </w:rPr>
        <w:t>e</w:t>
      </w:r>
      <w:r w:rsidRPr="00CE0885">
        <w:rPr>
          <w:lang w:eastAsia="en-GB"/>
        </w:rPr>
        <w:t>nt</w:t>
      </w:r>
      <w:r w:rsidRPr="00CE0885">
        <w:rPr>
          <w:spacing w:val="-12"/>
          <w:lang w:eastAsia="en-GB"/>
        </w:rPr>
        <w:t xml:space="preserve"> </w:t>
      </w:r>
      <w:r w:rsidRPr="00CE0885">
        <w:rPr>
          <w:lang w:eastAsia="en-GB"/>
        </w:rPr>
        <w:t>n</w:t>
      </w:r>
      <w:r w:rsidRPr="00CE0885">
        <w:rPr>
          <w:spacing w:val="-1"/>
          <w:lang w:eastAsia="en-GB"/>
        </w:rPr>
        <w:t>o</w:t>
      </w:r>
      <w:r w:rsidRPr="00CE0885">
        <w:rPr>
          <w:lang w:eastAsia="en-GB"/>
        </w:rPr>
        <w:t>tice</w:t>
      </w:r>
      <w:r w:rsidRPr="00CE0885">
        <w:rPr>
          <w:spacing w:val="-4"/>
          <w:lang w:eastAsia="en-GB"/>
        </w:rPr>
        <w:t xml:space="preserve"> </w:t>
      </w:r>
      <w:r w:rsidRPr="00CE0885">
        <w:rPr>
          <w:lang w:eastAsia="en-GB"/>
        </w:rPr>
        <w:t xml:space="preserve">to </w:t>
      </w:r>
      <w:r w:rsidRPr="00CE0885">
        <w:rPr>
          <w:spacing w:val="-1"/>
          <w:lang w:eastAsia="en-GB"/>
        </w:rPr>
        <w:t>rem</w:t>
      </w:r>
      <w:r w:rsidRPr="00CE0885">
        <w:rPr>
          <w:lang w:eastAsia="en-GB"/>
        </w:rPr>
        <w:t>o</w:t>
      </w:r>
      <w:r w:rsidRPr="00CE0885">
        <w:rPr>
          <w:spacing w:val="-2"/>
          <w:lang w:eastAsia="en-GB"/>
        </w:rPr>
        <w:t>v</w:t>
      </w:r>
      <w:r w:rsidRPr="00CE0885">
        <w:rPr>
          <w:lang w:eastAsia="en-GB"/>
        </w:rPr>
        <w:t>e</w:t>
      </w:r>
      <w:r w:rsidRPr="00CE0885">
        <w:rPr>
          <w:spacing w:val="-6"/>
          <w:lang w:eastAsia="en-GB"/>
        </w:rPr>
        <w:t xml:space="preserve"> </w:t>
      </w:r>
      <w:r w:rsidRPr="00CE0885">
        <w:rPr>
          <w:lang w:eastAsia="en-GB"/>
        </w:rPr>
        <w:t>the</w:t>
      </w:r>
      <w:r w:rsidRPr="00CE0885">
        <w:rPr>
          <w:spacing w:val="-1"/>
          <w:lang w:eastAsia="en-GB"/>
        </w:rPr>
        <w:t xml:space="preserve"> r</w:t>
      </w:r>
      <w:r w:rsidRPr="00CE0885">
        <w:rPr>
          <w:lang w:eastAsia="en-GB"/>
        </w:rPr>
        <w:t>e</w:t>
      </w:r>
      <w:r w:rsidRPr="00CE0885">
        <w:rPr>
          <w:spacing w:val="-1"/>
          <w:lang w:eastAsia="en-GB"/>
        </w:rPr>
        <w:t>g</w:t>
      </w:r>
      <w:r w:rsidRPr="00CE0885">
        <w:rPr>
          <w:spacing w:val="-3"/>
          <w:lang w:eastAsia="en-GB"/>
        </w:rPr>
        <w:t>i</w:t>
      </w:r>
      <w:r w:rsidRPr="00CE0885">
        <w:rPr>
          <w:lang w:eastAsia="en-GB"/>
        </w:rPr>
        <w:t>ste</w:t>
      </w:r>
      <w:r w:rsidRPr="00CE0885">
        <w:rPr>
          <w:spacing w:val="-1"/>
          <w:lang w:eastAsia="en-GB"/>
        </w:rPr>
        <w:t>r</w:t>
      </w:r>
      <w:r w:rsidRPr="00CE0885">
        <w:rPr>
          <w:lang w:eastAsia="en-GB"/>
        </w:rPr>
        <w:t>ed</w:t>
      </w:r>
      <w:r w:rsidRPr="00CE0885">
        <w:rPr>
          <w:spacing w:val="-12"/>
          <w:lang w:eastAsia="en-GB"/>
        </w:rPr>
        <w:t xml:space="preserve"> </w:t>
      </w:r>
      <w:r w:rsidRPr="00CE0885">
        <w:rPr>
          <w:lang w:eastAsia="en-GB"/>
        </w:rPr>
        <w:t>add</w:t>
      </w:r>
      <w:r w:rsidRPr="00CE0885">
        <w:rPr>
          <w:spacing w:val="-1"/>
          <w:lang w:eastAsia="en-GB"/>
        </w:rPr>
        <w:t>r</w:t>
      </w:r>
      <w:r w:rsidRPr="00CE0885">
        <w:rPr>
          <w:lang w:eastAsia="en-GB"/>
        </w:rPr>
        <w:t>ess</w:t>
      </w:r>
      <w:r w:rsidRPr="00CE0885">
        <w:rPr>
          <w:spacing w:val="-11"/>
          <w:lang w:eastAsia="en-GB"/>
        </w:rPr>
        <w:t xml:space="preserve"> </w:t>
      </w:r>
      <w:r w:rsidRPr="00CE0885">
        <w:rPr>
          <w:spacing w:val="3"/>
          <w:lang w:eastAsia="en-GB"/>
        </w:rPr>
        <w:t>f</w:t>
      </w:r>
      <w:r w:rsidRPr="00CE0885">
        <w:rPr>
          <w:spacing w:val="-1"/>
          <w:lang w:eastAsia="en-GB"/>
        </w:rPr>
        <w:t>r</w:t>
      </w:r>
      <w:r w:rsidRPr="00CE0885">
        <w:rPr>
          <w:lang w:eastAsia="en-GB"/>
        </w:rPr>
        <w:t>om</w:t>
      </w:r>
      <w:r w:rsidRPr="00CE0885">
        <w:rPr>
          <w:spacing w:val="-5"/>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co</w:t>
      </w:r>
      <w:r w:rsidRPr="00CE0885">
        <w:rPr>
          <w:spacing w:val="-1"/>
          <w:lang w:eastAsia="en-GB"/>
        </w:rPr>
        <w:t>n</w:t>
      </w:r>
      <w:r w:rsidRPr="00CE0885">
        <w:rPr>
          <w:lang w:eastAsia="en-GB"/>
        </w:rPr>
        <w:t>t</w:t>
      </w:r>
      <w:r w:rsidRPr="00CE0885">
        <w:rPr>
          <w:spacing w:val="-1"/>
          <w:lang w:eastAsia="en-GB"/>
        </w:rPr>
        <w:t>r</w:t>
      </w:r>
      <w:r w:rsidRPr="00CE0885">
        <w:rPr>
          <w:lang w:eastAsia="en-GB"/>
        </w:rPr>
        <w:t>act,</w:t>
      </w:r>
      <w:r w:rsidRPr="00CE0885">
        <w:rPr>
          <w:spacing w:val="-10"/>
          <w:lang w:eastAsia="en-GB"/>
        </w:rPr>
        <w:t xml:space="preserve"> </w:t>
      </w:r>
      <w:r w:rsidRPr="00CE0885">
        <w:rPr>
          <w:lang w:eastAsia="en-GB"/>
        </w:rPr>
        <w:t>and</w:t>
      </w:r>
      <w:r w:rsidRPr="00CE0885">
        <w:rPr>
          <w:spacing w:val="-5"/>
          <w:lang w:eastAsia="en-GB"/>
        </w:rPr>
        <w:t xml:space="preserve"> </w:t>
      </w:r>
      <w:r w:rsidRPr="00CE0885">
        <w:rPr>
          <w:lang w:eastAsia="en-GB"/>
        </w:rPr>
        <w:t>as</w:t>
      </w:r>
      <w:r w:rsidRPr="00CE0885">
        <w:rPr>
          <w:spacing w:val="-3"/>
          <w:lang w:eastAsia="en-GB"/>
        </w:rPr>
        <w:t xml:space="preserve"> </w:t>
      </w:r>
      <w:r w:rsidRPr="00CE0885">
        <w:rPr>
          <w:lang w:eastAsia="en-GB"/>
        </w:rPr>
        <w:t>in</w:t>
      </w:r>
      <w:r w:rsidRPr="00CE0885">
        <w:rPr>
          <w:spacing w:val="-3"/>
          <w:lang w:eastAsia="en-GB"/>
        </w:rPr>
        <w:t xml:space="preserve"> </w:t>
      </w:r>
      <w:r w:rsidRPr="00CE0885">
        <w:rPr>
          <w:lang w:eastAsia="en-GB"/>
        </w:rPr>
        <w:t>o</w:t>
      </w:r>
      <w:r w:rsidRPr="00CE0885">
        <w:rPr>
          <w:spacing w:val="-2"/>
          <w:lang w:eastAsia="en-GB"/>
        </w:rPr>
        <w:t>t</w:t>
      </w:r>
      <w:r w:rsidRPr="00CE0885">
        <w:rPr>
          <w:lang w:eastAsia="en-GB"/>
        </w:rPr>
        <w:t>her</w:t>
      </w:r>
      <w:r w:rsidRPr="00CE0885">
        <w:rPr>
          <w:spacing w:val="-5"/>
          <w:lang w:eastAsia="en-GB"/>
        </w:rPr>
        <w:t xml:space="preserve"> </w:t>
      </w:r>
      <w:r w:rsidRPr="00CE0885">
        <w:rPr>
          <w:spacing w:val="-2"/>
          <w:lang w:eastAsia="en-GB"/>
        </w:rPr>
        <w:t>v</w:t>
      </w:r>
      <w:r w:rsidRPr="00CE0885">
        <w:rPr>
          <w:lang w:eastAsia="en-GB"/>
        </w:rPr>
        <w:t>a</w:t>
      </w:r>
      <w:r w:rsidRPr="00CE0885">
        <w:rPr>
          <w:spacing w:val="-1"/>
          <w:lang w:eastAsia="en-GB"/>
        </w:rPr>
        <w:t>r</w:t>
      </w:r>
      <w:r w:rsidRPr="00CE0885">
        <w:rPr>
          <w:lang w:eastAsia="en-GB"/>
        </w:rPr>
        <w:t>iations</w:t>
      </w:r>
      <w:r w:rsidRPr="00CE0885">
        <w:rPr>
          <w:spacing w:val="-10"/>
          <w:lang w:eastAsia="en-GB"/>
        </w:rPr>
        <w:t xml:space="preserve"> </w:t>
      </w:r>
      <w:r w:rsidRPr="00CE0885">
        <w:rPr>
          <w:spacing w:val="-1"/>
          <w:lang w:eastAsia="en-GB"/>
        </w:rPr>
        <w:t>u</w:t>
      </w:r>
      <w:r w:rsidRPr="00CE0885">
        <w:rPr>
          <w:lang w:eastAsia="en-GB"/>
        </w:rPr>
        <w:t>nder</w:t>
      </w:r>
      <w:r w:rsidRPr="00CE0885">
        <w:rPr>
          <w:spacing w:val="-9"/>
          <w:lang w:eastAsia="en-GB"/>
        </w:rPr>
        <w:t xml:space="preserve"> </w:t>
      </w:r>
      <w:r w:rsidRPr="00CE0885">
        <w:rPr>
          <w:lang w:eastAsia="en-GB"/>
        </w:rPr>
        <w:t>th</w:t>
      </w:r>
      <w:r w:rsidRPr="00CE0885">
        <w:rPr>
          <w:spacing w:val="-3"/>
          <w:lang w:eastAsia="en-GB"/>
        </w:rPr>
        <w:t>i</w:t>
      </w:r>
      <w:r w:rsidRPr="00CE0885">
        <w:rPr>
          <w:lang w:eastAsia="en-GB"/>
        </w:rPr>
        <w:t>s policy,</w:t>
      </w:r>
      <w:r w:rsidRPr="00CE0885">
        <w:rPr>
          <w:spacing w:val="-6"/>
          <w:lang w:eastAsia="en-GB"/>
        </w:rPr>
        <w:t xml:space="preserve"> </w:t>
      </w:r>
      <w:r w:rsidRPr="00CE0885">
        <w:rPr>
          <w:lang w:eastAsia="en-GB"/>
        </w:rPr>
        <w:t>include</w:t>
      </w:r>
      <w:r w:rsidRPr="00CE0885">
        <w:rPr>
          <w:spacing w:val="-6"/>
          <w:lang w:eastAsia="en-GB"/>
        </w:rPr>
        <w:t xml:space="preserve"> </w:t>
      </w:r>
      <w:r w:rsidRPr="00CE0885">
        <w:rPr>
          <w:spacing w:val="-2"/>
          <w:lang w:eastAsia="en-GB"/>
        </w:rPr>
        <w:t>t</w:t>
      </w:r>
      <w:r w:rsidRPr="00CE0885">
        <w:rPr>
          <w:lang w:eastAsia="en-GB"/>
        </w:rPr>
        <w:t>he</w:t>
      </w:r>
      <w:r w:rsidRPr="00CE0885">
        <w:rPr>
          <w:spacing w:val="-4"/>
          <w:lang w:eastAsia="en-GB"/>
        </w:rPr>
        <w:t xml:space="preserve"> wording of the variation and the date on which it will take effect.</w:t>
      </w:r>
      <w:bookmarkEnd w:id="789"/>
      <w:r w:rsidRPr="00CE0885">
        <w:rPr>
          <w:spacing w:val="-4"/>
          <w:lang w:eastAsia="en-GB"/>
        </w:rPr>
        <w:t xml:space="preserve"> </w:t>
      </w:r>
    </w:p>
    <w:p w14:paraId="464C99AD" w14:textId="77777777" w:rsidR="00977693" w:rsidRPr="00CE0885" w:rsidRDefault="00977693" w:rsidP="00980A75">
      <w:pPr>
        <w:pStyle w:val="Heading3"/>
        <w:rPr>
          <w:lang w:eastAsia="en-GB"/>
        </w:rPr>
      </w:pPr>
      <w:bookmarkStart w:id="790" w:name="_Toc440981950"/>
      <w:r w:rsidRPr="00CE0885">
        <w:rPr>
          <w:spacing w:val="2"/>
          <w:lang w:eastAsia="en-GB"/>
        </w:rPr>
        <w:t>T</w:t>
      </w:r>
      <w:r w:rsidRPr="00CE0885">
        <w:rPr>
          <w:spacing w:val="-1"/>
          <w:lang w:eastAsia="en-GB"/>
        </w:rPr>
        <w:t>h</w:t>
      </w:r>
      <w:r w:rsidRPr="00CE0885">
        <w:rPr>
          <w:lang w:eastAsia="en-GB"/>
        </w:rPr>
        <w:t>e</w:t>
      </w:r>
      <w:r w:rsidRPr="00CE0885">
        <w:rPr>
          <w:spacing w:val="-2"/>
          <w:lang w:eastAsia="en-GB"/>
        </w:rPr>
        <w:t xml:space="preserve"> </w:t>
      </w:r>
      <w:r w:rsidRPr="00CE0885">
        <w:rPr>
          <w:lang w:eastAsia="en-GB"/>
        </w:rPr>
        <w:t>c</w:t>
      </w:r>
      <w:r w:rsidRPr="00CE0885">
        <w:rPr>
          <w:spacing w:val="-1"/>
          <w:lang w:eastAsia="en-GB"/>
        </w:rPr>
        <w:t>o</w:t>
      </w:r>
      <w:r w:rsidRPr="00CE0885">
        <w:rPr>
          <w:spacing w:val="1"/>
          <w:lang w:eastAsia="en-GB"/>
        </w:rPr>
        <w:t>nt</w:t>
      </w:r>
      <w:r w:rsidRPr="00CE0885">
        <w:rPr>
          <w:spacing w:val="-1"/>
          <w:lang w:eastAsia="en-GB"/>
        </w:rPr>
        <w:t>r</w:t>
      </w:r>
      <w:r w:rsidRPr="00CE0885">
        <w:rPr>
          <w:spacing w:val="1"/>
          <w:lang w:eastAsia="en-GB"/>
        </w:rPr>
        <w:t>a</w:t>
      </w:r>
      <w:r w:rsidRPr="00CE0885">
        <w:rPr>
          <w:lang w:eastAsia="en-GB"/>
        </w:rPr>
        <w:t>c</w:t>
      </w:r>
      <w:r w:rsidRPr="00CE0885">
        <w:rPr>
          <w:spacing w:val="-2"/>
          <w:lang w:eastAsia="en-GB"/>
        </w:rPr>
        <w:t>t</w:t>
      </w:r>
      <w:r w:rsidRPr="00CE0885">
        <w:rPr>
          <w:spacing w:val="1"/>
          <w:lang w:eastAsia="en-GB"/>
        </w:rPr>
        <w:t>o</w:t>
      </w:r>
      <w:r w:rsidRPr="00CE0885">
        <w:rPr>
          <w:lang w:eastAsia="en-GB"/>
        </w:rPr>
        <w:t>r</w:t>
      </w:r>
      <w:r w:rsidRPr="00CE0885">
        <w:rPr>
          <w:spacing w:val="-11"/>
          <w:lang w:eastAsia="en-GB"/>
        </w:rPr>
        <w:t xml:space="preserve"> </w:t>
      </w:r>
      <w:r w:rsidRPr="00CE0885">
        <w:rPr>
          <w:spacing w:val="-3"/>
          <w:lang w:eastAsia="en-GB"/>
        </w:rPr>
        <w:t>w</w:t>
      </w:r>
      <w:r w:rsidRPr="00CE0885">
        <w:rPr>
          <w:lang w:eastAsia="en-GB"/>
        </w:rPr>
        <w:t>ill</w:t>
      </w:r>
      <w:r w:rsidRPr="00CE0885">
        <w:rPr>
          <w:spacing w:val="-3"/>
          <w:lang w:eastAsia="en-GB"/>
        </w:rPr>
        <w:t xml:space="preserve"> </w:t>
      </w:r>
      <w:r w:rsidRPr="00CE0885">
        <w:rPr>
          <w:spacing w:val="1"/>
          <w:lang w:eastAsia="en-GB"/>
        </w:rPr>
        <w:t>b</w:t>
      </w:r>
      <w:r w:rsidRPr="00CE0885">
        <w:rPr>
          <w:lang w:eastAsia="en-GB"/>
        </w:rPr>
        <w:t>e</w:t>
      </w:r>
      <w:r w:rsidRPr="00CE0885">
        <w:rPr>
          <w:spacing w:val="-1"/>
          <w:lang w:eastAsia="en-GB"/>
        </w:rPr>
        <w:t xml:space="preserve"> </w:t>
      </w:r>
      <w:r w:rsidRPr="00CE0885">
        <w:rPr>
          <w:spacing w:val="1"/>
          <w:lang w:eastAsia="en-GB"/>
        </w:rPr>
        <w:t>fu</w:t>
      </w:r>
      <w:r w:rsidRPr="00CE0885">
        <w:rPr>
          <w:lang w:eastAsia="en-GB"/>
        </w:rPr>
        <w:t>lly</w:t>
      </w:r>
      <w:r w:rsidRPr="00CE0885">
        <w:rPr>
          <w:spacing w:val="-6"/>
          <w:lang w:eastAsia="en-GB"/>
        </w:rPr>
        <w:t xml:space="preserve"> </w:t>
      </w:r>
      <w:r w:rsidRPr="00CE0885">
        <w:rPr>
          <w:spacing w:val="-1"/>
          <w:lang w:eastAsia="en-GB"/>
        </w:rPr>
        <w:t>r</w:t>
      </w:r>
      <w:r w:rsidRPr="00CE0885">
        <w:rPr>
          <w:spacing w:val="1"/>
          <w:lang w:eastAsia="en-GB"/>
        </w:rPr>
        <w:t>e</w:t>
      </w:r>
      <w:r w:rsidRPr="00CE0885">
        <w:rPr>
          <w:lang w:eastAsia="en-GB"/>
        </w:rPr>
        <w:t>s</w:t>
      </w:r>
      <w:r w:rsidRPr="00CE0885">
        <w:rPr>
          <w:spacing w:val="1"/>
          <w:lang w:eastAsia="en-GB"/>
        </w:rPr>
        <w:t>pon</w:t>
      </w:r>
      <w:r w:rsidRPr="00CE0885">
        <w:rPr>
          <w:lang w:eastAsia="en-GB"/>
        </w:rPr>
        <w:t>si</w:t>
      </w:r>
      <w:r w:rsidRPr="00CE0885">
        <w:rPr>
          <w:spacing w:val="1"/>
          <w:lang w:eastAsia="en-GB"/>
        </w:rPr>
        <w:t>b</w:t>
      </w:r>
      <w:r w:rsidRPr="00CE0885">
        <w:rPr>
          <w:lang w:eastAsia="en-GB"/>
        </w:rPr>
        <w:t>le</w:t>
      </w:r>
      <w:r w:rsidRPr="00CE0885">
        <w:rPr>
          <w:spacing w:val="-13"/>
          <w:lang w:eastAsia="en-GB"/>
        </w:rPr>
        <w:t xml:space="preserve"> </w:t>
      </w:r>
      <w:r w:rsidRPr="00CE0885">
        <w:rPr>
          <w:spacing w:val="3"/>
          <w:lang w:eastAsia="en-GB"/>
        </w:rPr>
        <w:t>f</w:t>
      </w:r>
      <w:r w:rsidRPr="00CE0885">
        <w:rPr>
          <w:spacing w:val="1"/>
          <w:lang w:eastAsia="en-GB"/>
        </w:rPr>
        <w:t>o</w:t>
      </w:r>
      <w:r w:rsidRPr="00CE0885">
        <w:rPr>
          <w:lang w:eastAsia="en-GB"/>
        </w:rPr>
        <w:t>r</w:t>
      </w:r>
      <w:r w:rsidRPr="00CE0885">
        <w:rPr>
          <w:spacing w:val="-3"/>
          <w:lang w:eastAsia="en-GB"/>
        </w:rPr>
        <w:t xml:space="preserve"> </w:t>
      </w:r>
      <w:r w:rsidRPr="00CE0885">
        <w:rPr>
          <w:spacing w:val="-2"/>
          <w:lang w:eastAsia="en-GB"/>
        </w:rPr>
        <w:t>c</w:t>
      </w:r>
      <w:r w:rsidRPr="00CE0885">
        <w:rPr>
          <w:spacing w:val="1"/>
          <w:lang w:eastAsia="en-GB"/>
        </w:rPr>
        <w:t>e</w:t>
      </w:r>
      <w:r w:rsidRPr="00CE0885">
        <w:rPr>
          <w:spacing w:val="-2"/>
          <w:lang w:eastAsia="en-GB"/>
        </w:rPr>
        <w:t>s</w:t>
      </w:r>
      <w:r w:rsidRPr="00CE0885">
        <w:rPr>
          <w:lang w:eastAsia="en-GB"/>
        </w:rPr>
        <w:t>s</w:t>
      </w:r>
      <w:r w:rsidRPr="00CE0885">
        <w:rPr>
          <w:spacing w:val="1"/>
          <w:lang w:eastAsia="en-GB"/>
        </w:rPr>
        <w:t>at</w:t>
      </w:r>
      <w:r w:rsidRPr="00CE0885">
        <w:rPr>
          <w:lang w:eastAsia="en-GB"/>
        </w:rPr>
        <w:t>i</w:t>
      </w:r>
      <w:r w:rsidRPr="00CE0885">
        <w:rPr>
          <w:spacing w:val="1"/>
          <w:lang w:eastAsia="en-GB"/>
        </w:rPr>
        <w:t>o</w:t>
      </w:r>
      <w:r w:rsidRPr="00CE0885">
        <w:rPr>
          <w:lang w:eastAsia="en-GB"/>
        </w:rPr>
        <w:t>n</w:t>
      </w:r>
      <w:r w:rsidRPr="00CE0885">
        <w:rPr>
          <w:spacing w:val="-11"/>
          <w:lang w:eastAsia="en-GB"/>
        </w:rPr>
        <w:t xml:space="preserve"> </w:t>
      </w:r>
      <w:r w:rsidRPr="00CE0885">
        <w:rPr>
          <w:spacing w:val="1"/>
          <w:lang w:eastAsia="en-GB"/>
        </w:rPr>
        <w:t>o</w:t>
      </w:r>
      <w:r w:rsidRPr="00CE0885">
        <w:rPr>
          <w:lang w:eastAsia="en-GB"/>
        </w:rPr>
        <w:t>r</w:t>
      </w:r>
      <w:r w:rsidRPr="00CE0885">
        <w:rPr>
          <w:spacing w:val="-2"/>
          <w:lang w:eastAsia="en-GB"/>
        </w:rPr>
        <w:t xml:space="preserve"> </w:t>
      </w:r>
      <w:r w:rsidRPr="00CE0885">
        <w:rPr>
          <w:spacing w:val="1"/>
          <w:lang w:eastAsia="en-GB"/>
        </w:rPr>
        <w:t>a</w:t>
      </w:r>
      <w:r w:rsidRPr="00CE0885">
        <w:rPr>
          <w:lang w:eastAsia="en-GB"/>
        </w:rPr>
        <w:t>ssi</w:t>
      </w:r>
      <w:r w:rsidRPr="00CE0885">
        <w:rPr>
          <w:spacing w:val="-1"/>
          <w:lang w:eastAsia="en-GB"/>
        </w:rPr>
        <w:t>g</w:t>
      </w:r>
      <w:r w:rsidRPr="00CE0885">
        <w:rPr>
          <w:spacing w:val="1"/>
          <w:lang w:eastAsia="en-GB"/>
        </w:rPr>
        <w:t>n</w:t>
      </w:r>
      <w:r w:rsidRPr="00CE0885">
        <w:rPr>
          <w:spacing w:val="-1"/>
          <w:lang w:eastAsia="en-GB"/>
        </w:rPr>
        <w:t>m</w:t>
      </w:r>
      <w:r w:rsidRPr="00CE0885">
        <w:rPr>
          <w:spacing w:val="1"/>
          <w:lang w:eastAsia="en-GB"/>
        </w:rPr>
        <w:t>en</w:t>
      </w:r>
      <w:r w:rsidRPr="00CE0885">
        <w:rPr>
          <w:lang w:eastAsia="en-GB"/>
        </w:rPr>
        <w:t>t</w:t>
      </w:r>
      <w:r w:rsidRPr="00CE0885">
        <w:rPr>
          <w:spacing w:val="-13"/>
          <w:lang w:eastAsia="en-GB"/>
        </w:rPr>
        <w:t xml:space="preserve"> </w:t>
      </w:r>
      <w:r w:rsidRPr="00CE0885">
        <w:rPr>
          <w:spacing w:val="-1"/>
          <w:lang w:eastAsia="en-GB"/>
        </w:rPr>
        <w:t>o</w:t>
      </w:r>
      <w:r w:rsidRPr="00CE0885">
        <w:rPr>
          <w:lang w:eastAsia="en-GB"/>
        </w:rPr>
        <w:t xml:space="preserve">f </w:t>
      </w:r>
      <w:r w:rsidRPr="00CE0885">
        <w:rPr>
          <w:spacing w:val="1"/>
          <w:lang w:eastAsia="en-GB"/>
        </w:rPr>
        <w:t>th</w:t>
      </w:r>
      <w:r w:rsidRPr="00CE0885">
        <w:rPr>
          <w:lang w:eastAsia="en-GB"/>
        </w:rPr>
        <w:t>e</w:t>
      </w:r>
      <w:r w:rsidRPr="00CE0885">
        <w:rPr>
          <w:spacing w:val="-1"/>
          <w:lang w:eastAsia="en-GB"/>
        </w:rPr>
        <w:t xml:space="preserve"> </w:t>
      </w:r>
      <w:r w:rsidRPr="00CE0885">
        <w:rPr>
          <w:lang w:eastAsia="en-GB"/>
        </w:rPr>
        <w:t>l</w:t>
      </w:r>
      <w:r w:rsidRPr="00CE0885">
        <w:rPr>
          <w:spacing w:val="-1"/>
          <w:lang w:eastAsia="en-GB"/>
        </w:rPr>
        <w:t>e</w:t>
      </w:r>
      <w:r w:rsidRPr="00CE0885">
        <w:rPr>
          <w:spacing w:val="1"/>
          <w:lang w:eastAsia="en-GB"/>
        </w:rPr>
        <w:t>a</w:t>
      </w:r>
      <w:r w:rsidRPr="00CE0885">
        <w:rPr>
          <w:lang w:eastAsia="en-GB"/>
        </w:rPr>
        <w:t>se</w:t>
      </w:r>
      <w:r w:rsidRPr="00CE0885">
        <w:rPr>
          <w:spacing w:val="-7"/>
          <w:lang w:eastAsia="en-GB"/>
        </w:rPr>
        <w:t xml:space="preserve"> </w:t>
      </w:r>
      <w:r w:rsidRPr="00CE0885">
        <w:rPr>
          <w:spacing w:val="1"/>
          <w:lang w:eastAsia="en-GB"/>
        </w:rPr>
        <w:t>fo</w:t>
      </w:r>
      <w:r w:rsidRPr="00CE0885">
        <w:rPr>
          <w:lang w:eastAsia="en-GB"/>
        </w:rPr>
        <w:t>r</w:t>
      </w:r>
      <w:r w:rsidRPr="00CE0885">
        <w:rPr>
          <w:spacing w:val="-3"/>
          <w:lang w:eastAsia="en-GB"/>
        </w:rPr>
        <w:t xml:space="preserve"> </w:t>
      </w:r>
      <w:r w:rsidRPr="00CE0885">
        <w:rPr>
          <w:spacing w:val="-1"/>
          <w:lang w:eastAsia="en-GB"/>
        </w:rPr>
        <w:t>a</w:t>
      </w:r>
      <w:r w:rsidRPr="00CE0885">
        <w:rPr>
          <w:spacing w:val="1"/>
          <w:lang w:eastAsia="en-GB"/>
        </w:rPr>
        <w:t>n</w:t>
      </w:r>
      <w:r w:rsidRPr="00CE0885">
        <w:rPr>
          <w:lang w:eastAsia="en-GB"/>
        </w:rPr>
        <w:t>y</w:t>
      </w:r>
      <w:r w:rsidRPr="00CE0885">
        <w:rPr>
          <w:spacing w:val="-6"/>
          <w:lang w:eastAsia="en-GB"/>
        </w:rPr>
        <w:t xml:space="preserve"> </w:t>
      </w:r>
      <w:r w:rsidRPr="00CE0885">
        <w:rPr>
          <w:spacing w:val="-1"/>
          <w:lang w:eastAsia="en-GB"/>
        </w:rPr>
        <w:t>r</w:t>
      </w:r>
      <w:r w:rsidRPr="00CE0885">
        <w:rPr>
          <w:spacing w:val="1"/>
          <w:lang w:eastAsia="en-GB"/>
        </w:rPr>
        <w:t>ent</w:t>
      </w:r>
      <w:r w:rsidRPr="00CE0885">
        <w:rPr>
          <w:spacing w:val="-1"/>
          <w:lang w:eastAsia="en-GB"/>
        </w:rPr>
        <w:t>e</w:t>
      </w:r>
      <w:r w:rsidRPr="00CE0885">
        <w:rPr>
          <w:lang w:eastAsia="en-GB"/>
        </w:rPr>
        <w:t>d</w:t>
      </w:r>
      <w:r w:rsidRPr="00CE0885">
        <w:rPr>
          <w:spacing w:val="-5"/>
          <w:lang w:eastAsia="en-GB"/>
        </w:rPr>
        <w:t xml:space="preserve"> </w:t>
      </w:r>
      <w:r w:rsidRPr="00CE0885">
        <w:rPr>
          <w:spacing w:val="1"/>
          <w:lang w:eastAsia="en-GB"/>
        </w:rPr>
        <w:t>p</w:t>
      </w:r>
      <w:r w:rsidRPr="00CE0885">
        <w:rPr>
          <w:spacing w:val="-1"/>
          <w:lang w:eastAsia="en-GB"/>
        </w:rPr>
        <w:t>re</w:t>
      </w:r>
      <w:r w:rsidRPr="00CE0885">
        <w:rPr>
          <w:spacing w:val="2"/>
          <w:lang w:eastAsia="en-GB"/>
        </w:rPr>
        <w:t>m</w:t>
      </w:r>
      <w:r w:rsidRPr="00CE0885">
        <w:rPr>
          <w:lang w:eastAsia="en-GB"/>
        </w:rPr>
        <w:t>is</w:t>
      </w:r>
      <w:r w:rsidRPr="00CE0885">
        <w:rPr>
          <w:spacing w:val="1"/>
          <w:lang w:eastAsia="en-GB"/>
        </w:rPr>
        <w:t>e</w:t>
      </w:r>
      <w:r w:rsidRPr="00CE0885">
        <w:rPr>
          <w:lang w:eastAsia="en-GB"/>
        </w:rPr>
        <w:t>s</w:t>
      </w:r>
      <w:r w:rsidRPr="00CE0885">
        <w:rPr>
          <w:spacing w:val="-10"/>
          <w:lang w:eastAsia="en-GB"/>
        </w:rPr>
        <w:t xml:space="preserve"> </w:t>
      </w:r>
      <w:r w:rsidRPr="00CE0885">
        <w:rPr>
          <w:spacing w:val="-1"/>
          <w:lang w:eastAsia="en-GB"/>
        </w:rPr>
        <w:t>a</w:t>
      </w:r>
      <w:r w:rsidRPr="00CE0885">
        <w:rPr>
          <w:spacing w:val="1"/>
          <w:lang w:eastAsia="en-GB"/>
        </w:rPr>
        <w:t>n</w:t>
      </w:r>
      <w:r w:rsidRPr="00CE0885">
        <w:rPr>
          <w:lang w:eastAsia="en-GB"/>
        </w:rPr>
        <w:t>d</w:t>
      </w:r>
      <w:r w:rsidRPr="00CE0885">
        <w:rPr>
          <w:spacing w:val="-5"/>
          <w:lang w:eastAsia="en-GB"/>
        </w:rPr>
        <w:t xml:space="preserve"> </w:t>
      </w:r>
      <w:r w:rsidRPr="00CE0885">
        <w:rPr>
          <w:spacing w:val="1"/>
          <w:lang w:eastAsia="en-GB"/>
        </w:rPr>
        <w:t>an</w:t>
      </w:r>
      <w:r w:rsidRPr="00CE0885">
        <w:rPr>
          <w:lang w:eastAsia="en-GB"/>
        </w:rPr>
        <w:t>y</w:t>
      </w:r>
      <w:r w:rsidRPr="00CE0885">
        <w:rPr>
          <w:spacing w:val="-6"/>
          <w:lang w:eastAsia="en-GB"/>
        </w:rPr>
        <w:t xml:space="preserve"> </w:t>
      </w:r>
      <w:r w:rsidRPr="00CE0885">
        <w:rPr>
          <w:spacing w:val="1"/>
          <w:lang w:eastAsia="en-GB"/>
        </w:rPr>
        <w:t>d</w:t>
      </w:r>
      <w:r w:rsidRPr="00CE0885">
        <w:rPr>
          <w:spacing w:val="-3"/>
          <w:lang w:eastAsia="en-GB"/>
        </w:rPr>
        <w:t>i</w:t>
      </w:r>
      <w:r w:rsidRPr="00CE0885">
        <w:rPr>
          <w:lang w:eastAsia="en-GB"/>
        </w:rPr>
        <w:t>s</w:t>
      </w:r>
      <w:r w:rsidRPr="00CE0885">
        <w:rPr>
          <w:spacing w:val="1"/>
          <w:lang w:eastAsia="en-GB"/>
        </w:rPr>
        <w:t>po</w:t>
      </w:r>
      <w:r w:rsidRPr="00CE0885">
        <w:rPr>
          <w:lang w:eastAsia="en-GB"/>
        </w:rPr>
        <w:t>s</w:t>
      </w:r>
      <w:r w:rsidRPr="00CE0885">
        <w:rPr>
          <w:spacing w:val="1"/>
          <w:lang w:eastAsia="en-GB"/>
        </w:rPr>
        <w:t>a</w:t>
      </w:r>
      <w:r w:rsidRPr="00CE0885">
        <w:rPr>
          <w:lang w:eastAsia="en-GB"/>
        </w:rPr>
        <w:t>l</w:t>
      </w:r>
      <w:r w:rsidRPr="00CE0885">
        <w:rPr>
          <w:spacing w:val="-11"/>
          <w:lang w:eastAsia="en-GB"/>
        </w:rPr>
        <w:t xml:space="preserve"> </w:t>
      </w:r>
      <w:r w:rsidRPr="00CE0885">
        <w:rPr>
          <w:spacing w:val="-1"/>
          <w:lang w:eastAsia="en-GB"/>
        </w:rPr>
        <w:t>o</w:t>
      </w:r>
      <w:r w:rsidRPr="00CE0885">
        <w:rPr>
          <w:lang w:eastAsia="en-GB"/>
        </w:rPr>
        <w:t>f</w:t>
      </w:r>
      <w:r w:rsidRPr="00CE0885">
        <w:rPr>
          <w:spacing w:val="1"/>
          <w:lang w:eastAsia="en-GB"/>
        </w:rPr>
        <w:t xml:space="preserve"> o</w:t>
      </w:r>
      <w:r w:rsidRPr="00CE0885">
        <w:rPr>
          <w:spacing w:val="-3"/>
          <w:lang w:eastAsia="en-GB"/>
        </w:rPr>
        <w:t>w</w:t>
      </w:r>
      <w:r w:rsidRPr="00CE0885">
        <w:rPr>
          <w:spacing w:val="1"/>
          <w:lang w:eastAsia="en-GB"/>
        </w:rPr>
        <w:t>ne</w:t>
      </w:r>
      <w:r w:rsidRPr="00CE0885">
        <w:rPr>
          <w:lang w:eastAsia="en-GB"/>
        </w:rPr>
        <w:t>r</w:t>
      </w:r>
      <w:r w:rsidRPr="00CE0885">
        <w:rPr>
          <w:spacing w:val="-7"/>
          <w:lang w:eastAsia="en-GB"/>
        </w:rPr>
        <w:t xml:space="preserve"> </w:t>
      </w:r>
      <w:r w:rsidRPr="00CE0885">
        <w:rPr>
          <w:spacing w:val="1"/>
          <w:lang w:eastAsia="en-GB"/>
        </w:rPr>
        <w:t>o</w:t>
      </w:r>
      <w:r w:rsidRPr="00CE0885">
        <w:rPr>
          <w:lang w:eastAsia="en-GB"/>
        </w:rPr>
        <w:t>c</w:t>
      </w:r>
      <w:r w:rsidRPr="00CE0885">
        <w:rPr>
          <w:spacing w:val="-2"/>
          <w:lang w:eastAsia="en-GB"/>
        </w:rPr>
        <w:t>c</w:t>
      </w:r>
      <w:r w:rsidRPr="00CE0885">
        <w:rPr>
          <w:spacing w:val="1"/>
          <w:lang w:eastAsia="en-GB"/>
        </w:rPr>
        <w:t>up</w:t>
      </w:r>
      <w:r w:rsidRPr="00CE0885">
        <w:rPr>
          <w:spacing w:val="-3"/>
          <w:lang w:eastAsia="en-GB"/>
        </w:rPr>
        <w:t>i</w:t>
      </w:r>
      <w:r w:rsidRPr="00CE0885">
        <w:rPr>
          <w:spacing w:val="1"/>
          <w:lang w:eastAsia="en-GB"/>
        </w:rPr>
        <w:t>e</w:t>
      </w:r>
      <w:r w:rsidRPr="00CE0885">
        <w:rPr>
          <w:lang w:eastAsia="en-GB"/>
        </w:rPr>
        <w:t xml:space="preserve">d </w:t>
      </w:r>
      <w:r w:rsidRPr="00CE0885">
        <w:rPr>
          <w:spacing w:val="1"/>
          <w:lang w:eastAsia="en-GB"/>
        </w:rPr>
        <w:t>p</w:t>
      </w:r>
      <w:r w:rsidRPr="00CE0885">
        <w:rPr>
          <w:spacing w:val="-1"/>
          <w:lang w:eastAsia="en-GB"/>
        </w:rPr>
        <w:t>r</w:t>
      </w:r>
      <w:r w:rsidRPr="00CE0885">
        <w:rPr>
          <w:spacing w:val="1"/>
          <w:lang w:eastAsia="en-GB"/>
        </w:rPr>
        <w:t>e</w:t>
      </w:r>
      <w:r w:rsidRPr="00CE0885">
        <w:rPr>
          <w:spacing w:val="2"/>
          <w:lang w:eastAsia="en-GB"/>
        </w:rPr>
        <w:t>m</w:t>
      </w:r>
      <w:r w:rsidRPr="00CE0885">
        <w:rPr>
          <w:lang w:eastAsia="en-GB"/>
        </w:rPr>
        <w:t>is</w:t>
      </w:r>
      <w:r w:rsidRPr="00CE0885">
        <w:rPr>
          <w:spacing w:val="1"/>
          <w:lang w:eastAsia="en-GB"/>
        </w:rPr>
        <w:t>e</w:t>
      </w:r>
      <w:r w:rsidRPr="00CE0885">
        <w:rPr>
          <w:spacing w:val="-2"/>
          <w:lang w:eastAsia="en-GB"/>
        </w:rPr>
        <w:t>s</w:t>
      </w:r>
      <w:r w:rsidRPr="00CE0885">
        <w:rPr>
          <w:lang w:eastAsia="en-GB"/>
        </w:rPr>
        <w:t>.</w:t>
      </w:r>
      <w:bookmarkEnd w:id="790"/>
      <w:r w:rsidRPr="00CE0885">
        <w:rPr>
          <w:spacing w:val="-9"/>
          <w:lang w:eastAsia="en-GB"/>
        </w:rPr>
        <w:t xml:space="preserve"> </w:t>
      </w:r>
    </w:p>
    <w:p w14:paraId="03B049DC" w14:textId="77777777" w:rsidR="00977693" w:rsidRPr="00CE0885" w:rsidRDefault="00977693" w:rsidP="00980A75">
      <w:pPr>
        <w:pStyle w:val="Heading3"/>
        <w:rPr>
          <w:lang w:eastAsia="en-GB"/>
        </w:rPr>
      </w:pPr>
      <w:bookmarkStart w:id="791" w:name="_Toc440981951"/>
      <w:r w:rsidRPr="00CE0885">
        <w:rPr>
          <w:spacing w:val="6"/>
          <w:lang w:eastAsia="en-GB"/>
        </w:rPr>
        <w:t>W</w:t>
      </w:r>
      <w:r w:rsidRPr="00CE0885">
        <w:rPr>
          <w:spacing w:val="-1"/>
          <w:lang w:eastAsia="en-GB"/>
        </w:rPr>
        <w:t>h</w:t>
      </w:r>
      <w:r w:rsidRPr="00CE0885">
        <w:rPr>
          <w:spacing w:val="-3"/>
          <w:lang w:eastAsia="en-GB"/>
        </w:rPr>
        <w:t>i</w:t>
      </w:r>
      <w:r w:rsidRPr="00CE0885">
        <w:rPr>
          <w:lang w:eastAsia="en-GB"/>
        </w:rPr>
        <w:t>le</w:t>
      </w:r>
      <w:r w:rsidRPr="00CE0885">
        <w:rPr>
          <w:spacing w:val="-4"/>
          <w:lang w:eastAsia="en-GB"/>
        </w:rPr>
        <w:t xml:space="preserve"> </w:t>
      </w:r>
      <w:r w:rsidRPr="00CE0885">
        <w:rPr>
          <w:lang w:eastAsia="en-GB"/>
        </w:rPr>
        <w:t>it is</w:t>
      </w:r>
      <w:r w:rsidRPr="00CE0885">
        <w:rPr>
          <w:spacing w:val="-4"/>
          <w:lang w:eastAsia="en-GB"/>
        </w:rPr>
        <w:t xml:space="preserve"> </w:t>
      </w:r>
      <w:r w:rsidRPr="00CE0885">
        <w:rPr>
          <w:lang w:eastAsia="en-GB"/>
        </w:rPr>
        <w:t>likely</w:t>
      </w:r>
      <w:r w:rsidRPr="00CE0885">
        <w:rPr>
          <w:spacing w:val="-7"/>
          <w:lang w:eastAsia="en-GB"/>
        </w:rPr>
        <w:t xml:space="preserve"> </w:t>
      </w:r>
      <w:r w:rsidRPr="00CE0885">
        <w:rPr>
          <w:lang w:eastAsia="en-GB"/>
        </w:rPr>
        <w:t>that</w:t>
      </w:r>
      <w:r w:rsidRPr="00CE0885">
        <w:rPr>
          <w:spacing w:val="-3"/>
          <w:lang w:eastAsia="en-GB"/>
        </w:rPr>
        <w:t xml:space="preserve"> </w:t>
      </w:r>
      <w:r w:rsidRPr="00CE0885">
        <w:rPr>
          <w:lang w:eastAsia="en-GB"/>
        </w:rPr>
        <w:t>a</w:t>
      </w:r>
      <w:r w:rsidRPr="00CE0885">
        <w:rPr>
          <w:spacing w:val="-2"/>
          <w:lang w:eastAsia="en-GB"/>
        </w:rPr>
        <w:t xml:space="preserve"> </w:t>
      </w:r>
      <w:r w:rsidRPr="00CE0885">
        <w:rPr>
          <w:lang w:eastAsia="en-GB"/>
        </w:rPr>
        <w:t>P</w:t>
      </w:r>
      <w:r w:rsidRPr="00CE0885">
        <w:rPr>
          <w:spacing w:val="-1"/>
          <w:lang w:eastAsia="en-GB"/>
        </w:rPr>
        <w:t>M</w:t>
      </w:r>
      <w:r w:rsidRPr="00CE0885">
        <w:rPr>
          <w:lang w:eastAsia="en-GB"/>
        </w:rPr>
        <w:t>S/APMS</w:t>
      </w:r>
      <w:r w:rsidRPr="00CE0885">
        <w:rPr>
          <w:spacing w:val="-4"/>
          <w:lang w:eastAsia="en-GB"/>
        </w:rPr>
        <w:t xml:space="preserve"> </w:t>
      </w:r>
      <w:r w:rsidRPr="00CE0885">
        <w:rPr>
          <w:lang w:eastAsia="en-GB"/>
        </w:rPr>
        <w:t>contract</w:t>
      </w:r>
      <w:r w:rsidRPr="00CE0885">
        <w:rPr>
          <w:spacing w:val="-10"/>
          <w:lang w:eastAsia="en-GB"/>
        </w:rPr>
        <w:t xml:space="preserve"> </w:t>
      </w:r>
      <w:r w:rsidRPr="00CE0885">
        <w:rPr>
          <w:spacing w:val="-3"/>
          <w:lang w:eastAsia="en-GB"/>
        </w:rPr>
        <w:t>w</w:t>
      </w:r>
      <w:r w:rsidRPr="00CE0885">
        <w:rPr>
          <w:lang w:eastAsia="en-GB"/>
        </w:rPr>
        <w:t>ould</w:t>
      </w:r>
      <w:r w:rsidRPr="00CE0885">
        <w:rPr>
          <w:spacing w:val="-4"/>
          <w:lang w:eastAsia="en-GB"/>
        </w:rPr>
        <w:t xml:space="preserve"> </w:t>
      </w:r>
      <w:r w:rsidRPr="00CE0885">
        <w:rPr>
          <w:spacing w:val="-1"/>
          <w:lang w:eastAsia="en-GB"/>
        </w:rPr>
        <w:t>re</w:t>
      </w:r>
      <w:r w:rsidRPr="00CE0885">
        <w:rPr>
          <w:spacing w:val="3"/>
          <w:lang w:eastAsia="en-GB"/>
        </w:rPr>
        <w:t>f</w:t>
      </w:r>
      <w:r w:rsidRPr="00CE0885">
        <w:rPr>
          <w:lang w:eastAsia="en-GB"/>
        </w:rPr>
        <w:t>lect</w:t>
      </w:r>
      <w:r w:rsidRPr="00CE0885">
        <w:rPr>
          <w:spacing w:val="-8"/>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te</w:t>
      </w:r>
      <w:r w:rsidRPr="00CE0885">
        <w:rPr>
          <w:spacing w:val="-3"/>
          <w:lang w:eastAsia="en-GB"/>
        </w:rPr>
        <w:t>r</w:t>
      </w:r>
      <w:r w:rsidRPr="00CE0885">
        <w:rPr>
          <w:spacing w:val="2"/>
          <w:lang w:eastAsia="en-GB"/>
        </w:rPr>
        <w:t>m</w:t>
      </w:r>
      <w:r w:rsidRPr="00CE0885">
        <w:rPr>
          <w:lang w:eastAsia="en-GB"/>
        </w:rPr>
        <w:t>s as</w:t>
      </w:r>
      <w:r w:rsidRPr="00CE0885">
        <w:rPr>
          <w:spacing w:val="-3"/>
          <w:lang w:eastAsia="en-GB"/>
        </w:rPr>
        <w:t xml:space="preserve"> </w:t>
      </w:r>
      <w:r w:rsidRPr="00CE0885">
        <w:rPr>
          <w:lang w:eastAsia="en-GB"/>
        </w:rPr>
        <w:t>laid</w:t>
      </w:r>
      <w:r w:rsidRPr="00CE0885">
        <w:rPr>
          <w:spacing w:val="-5"/>
          <w:lang w:eastAsia="en-GB"/>
        </w:rPr>
        <w:t xml:space="preserve"> </w:t>
      </w:r>
      <w:r w:rsidRPr="00CE0885">
        <w:rPr>
          <w:lang w:eastAsia="en-GB"/>
        </w:rPr>
        <w:t>out</w:t>
      </w:r>
      <w:r w:rsidRPr="00CE0885">
        <w:rPr>
          <w:spacing w:val="-2"/>
          <w:lang w:eastAsia="en-GB"/>
        </w:rPr>
        <w:t xml:space="preserve"> </w:t>
      </w:r>
      <w:r w:rsidRPr="00CE0885">
        <w:rPr>
          <w:lang w:eastAsia="en-GB"/>
        </w:rPr>
        <w:t>in</w:t>
      </w:r>
      <w:r w:rsidRPr="00CE0885">
        <w:rPr>
          <w:spacing w:val="-3"/>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G</w:t>
      </w:r>
      <w:r w:rsidRPr="00CE0885">
        <w:rPr>
          <w:spacing w:val="-1"/>
          <w:lang w:eastAsia="en-GB"/>
        </w:rPr>
        <w:t>M</w:t>
      </w:r>
      <w:r w:rsidRPr="00CE0885">
        <w:rPr>
          <w:lang w:eastAsia="en-GB"/>
        </w:rPr>
        <w:t>S</w:t>
      </w:r>
      <w:r w:rsidRPr="00CE0885">
        <w:rPr>
          <w:spacing w:val="-6"/>
          <w:lang w:eastAsia="en-GB"/>
        </w:rPr>
        <w:t xml:space="preserve"> contract </w:t>
      </w:r>
      <w:r w:rsidRPr="00CE0885">
        <w:rPr>
          <w:lang w:eastAsia="en-GB"/>
        </w:rPr>
        <w:t>e</w:t>
      </w:r>
      <w:r w:rsidRPr="00CE0885">
        <w:rPr>
          <w:spacing w:val="-2"/>
          <w:lang w:eastAsia="en-GB"/>
        </w:rPr>
        <w:t>x</w:t>
      </w:r>
      <w:r w:rsidRPr="00CE0885">
        <w:rPr>
          <w:lang w:eastAsia="en-GB"/>
        </w:rPr>
        <w:t>a</w:t>
      </w:r>
      <w:r w:rsidRPr="00CE0885">
        <w:rPr>
          <w:spacing w:val="2"/>
          <w:lang w:eastAsia="en-GB"/>
        </w:rPr>
        <w:t>m</w:t>
      </w:r>
      <w:r w:rsidRPr="00CE0885">
        <w:rPr>
          <w:lang w:eastAsia="en-GB"/>
        </w:rPr>
        <w:t>ple</w:t>
      </w:r>
      <w:r w:rsidRPr="00CE0885">
        <w:rPr>
          <w:spacing w:val="-10"/>
          <w:lang w:eastAsia="en-GB"/>
        </w:rPr>
        <w:t xml:space="preserve"> </w:t>
      </w:r>
      <w:r w:rsidRPr="00CE0885">
        <w:rPr>
          <w:lang w:eastAsia="en-GB"/>
        </w:rPr>
        <w:t>abo</w:t>
      </w:r>
      <w:r w:rsidRPr="00CE0885">
        <w:rPr>
          <w:spacing w:val="-2"/>
          <w:lang w:eastAsia="en-GB"/>
        </w:rPr>
        <w:t>v</w:t>
      </w:r>
      <w:r w:rsidRPr="00CE0885">
        <w:rPr>
          <w:lang w:eastAsia="en-GB"/>
        </w:rPr>
        <w:t>e,</w:t>
      </w:r>
      <w:r w:rsidRPr="00CE0885">
        <w:rPr>
          <w:spacing w:val="-6"/>
          <w:lang w:eastAsia="en-GB"/>
        </w:rPr>
        <w:t xml:space="preserve"> </w:t>
      </w:r>
      <w:r w:rsidRPr="00CE0885">
        <w:rPr>
          <w:lang w:eastAsia="en-GB"/>
        </w:rPr>
        <w:t>it is</w:t>
      </w:r>
      <w:r w:rsidRPr="00CE0885">
        <w:rPr>
          <w:spacing w:val="-4"/>
          <w:lang w:eastAsia="en-GB"/>
        </w:rPr>
        <w:t xml:space="preserve"> </w:t>
      </w:r>
      <w:r w:rsidRPr="00CE0885">
        <w:rPr>
          <w:lang w:eastAsia="en-GB"/>
        </w:rPr>
        <w:t>e</w:t>
      </w:r>
      <w:r w:rsidRPr="00CE0885">
        <w:rPr>
          <w:spacing w:val="-2"/>
          <w:lang w:eastAsia="en-GB"/>
        </w:rPr>
        <w:t>s</w:t>
      </w:r>
      <w:r w:rsidRPr="00CE0885">
        <w:rPr>
          <w:lang w:eastAsia="en-GB"/>
        </w:rPr>
        <w:t>sential</w:t>
      </w:r>
      <w:r w:rsidRPr="00CE0885">
        <w:rPr>
          <w:spacing w:val="-9"/>
          <w:lang w:eastAsia="en-GB"/>
        </w:rPr>
        <w:t xml:space="preserve"> </w:t>
      </w:r>
      <w:r w:rsidRPr="00CE0885">
        <w:rPr>
          <w:spacing w:val="-2"/>
          <w:lang w:eastAsia="en-GB"/>
        </w:rPr>
        <w:t>t</w:t>
      </w:r>
      <w:r w:rsidRPr="00CE0885">
        <w:rPr>
          <w:lang w:eastAsia="en-GB"/>
        </w:rPr>
        <w:t>hat</w:t>
      </w:r>
      <w:r w:rsidRPr="00CE0885">
        <w:rPr>
          <w:spacing w:val="-5"/>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2"/>
          <w:lang w:eastAsia="en-GB"/>
        </w:rPr>
        <w:t>Commissioner</w:t>
      </w:r>
      <w:r w:rsidRPr="00CE0885">
        <w:rPr>
          <w:lang w:eastAsia="en-GB"/>
        </w:rPr>
        <w:t xml:space="preserve"> </w:t>
      </w:r>
      <w:r w:rsidRPr="00CE0885">
        <w:rPr>
          <w:spacing w:val="-1"/>
          <w:lang w:eastAsia="en-GB"/>
        </w:rPr>
        <w:t>r</w:t>
      </w:r>
      <w:r w:rsidRPr="00CE0885">
        <w:rPr>
          <w:lang w:eastAsia="en-GB"/>
        </w:rPr>
        <w:t>e</w:t>
      </w:r>
      <w:r w:rsidRPr="00CE0885">
        <w:rPr>
          <w:spacing w:val="-2"/>
          <w:lang w:eastAsia="en-GB"/>
        </w:rPr>
        <w:t>v</w:t>
      </w:r>
      <w:r w:rsidRPr="00CE0885">
        <w:rPr>
          <w:lang w:eastAsia="en-GB"/>
        </w:rPr>
        <w:t>i</w:t>
      </w:r>
      <w:r w:rsidRPr="00CE0885">
        <w:rPr>
          <w:spacing w:val="3"/>
          <w:lang w:eastAsia="en-GB"/>
        </w:rPr>
        <w:t>e</w:t>
      </w:r>
      <w:r w:rsidRPr="00CE0885">
        <w:rPr>
          <w:spacing w:val="-3"/>
          <w:lang w:eastAsia="en-GB"/>
        </w:rPr>
        <w:t>w</w:t>
      </w:r>
      <w:r w:rsidRPr="00CE0885">
        <w:rPr>
          <w:lang w:eastAsia="en-GB"/>
        </w:rPr>
        <w:t>s</w:t>
      </w:r>
      <w:r w:rsidRPr="00CE0885">
        <w:rPr>
          <w:spacing w:val="-8"/>
          <w:lang w:eastAsia="en-GB"/>
        </w:rPr>
        <w:t xml:space="preserve"> </w:t>
      </w:r>
      <w:r w:rsidRPr="00CE0885">
        <w:rPr>
          <w:lang w:eastAsia="en-GB"/>
        </w:rPr>
        <w:t>the</w:t>
      </w:r>
      <w:r w:rsidRPr="00CE0885">
        <w:rPr>
          <w:spacing w:val="-1"/>
          <w:lang w:eastAsia="en-GB"/>
        </w:rPr>
        <w:t xml:space="preserve"> </w:t>
      </w:r>
      <w:r w:rsidRPr="00CE0885">
        <w:rPr>
          <w:lang w:eastAsia="en-GB"/>
        </w:rPr>
        <w:t>indi</w:t>
      </w:r>
      <w:r w:rsidRPr="00CE0885">
        <w:rPr>
          <w:spacing w:val="-2"/>
          <w:lang w:eastAsia="en-GB"/>
        </w:rPr>
        <w:t>v</w:t>
      </w:r>
      <w:r w:rsidRPr="00CE0885">
        <w:rPr>
          <w:lang w:eastAsia="en-GB"/>
        </w:rPr>
        <w:t>idual</w:t>
      </w:r>
      <w:r w:rsidRPr="00CE0885">
        <w:rPr>
          <w:spacing w:val="-12"/>
          <w:lang w:eastAsia="en-GB"/>
        </w:rPr>
        <w:t xml:space="preserve"> </w:t>
      </w:r>
      <w:r w:rsidRPr="00CE0885">
        <w:rPr>
          <w:lang w:eastAsia="en-GB"/>
        </w:rPr>
        <w:t>contract</w:t>
      </w:r>
      <w:r w:rsidRPr="00CE0885">
        <w:rPr>
          <w:spacing w:val="-12"/>
          <w:lang w:eastAsia="en-GB"/>
        </w:rPr>
        <w:t xml:space="preserve"> </w:t>
      </w:r>
      <w:r w:rsidRPr="00CE0885">
        <w:rPr>
          <w:lang w:eastAsia="en-GB"/>
        </w:rPr>
        <w:t>for</w:t>
      </w:r>
      <w:r w:rsidRPr="00CE0885">
        <w:rPr>
          <w:spacing w:val="-3"/>
          <w:lang w:eastAsia="en-GB"/>
        </w:rPr>
        <w:t xml:space="preserve"> </w:t>
      </w:r>
      <w:r w:rsidRPr="00CE0885">
        <w:rPr>
          <w:lang w:eastAsia="en-GB"/>
        </w:rPr>
        <w:t>relevant provisions that relates to</w:t>
      </w:r>
      <w:r w:rsidRPr="00CE0885">
        <w:rPr>
          <w:spacing w:val="-14"/>
          <w:lang w:eastAsia="en-GB"/>
        </w:rPr>
        <w:t xml:space="preserve"> </w:t>
      </w:r>
      <w:r w:rsidRPr="00CE0885">
        <w:rPr>
          <w:spacing w:val="-1"/>
          <w:lang w:eastAsia="en-GB"/>
        </w:rPr>
        <w:t>r</w:t>
      </w:r>
      <w:r w:rsidRPr="00CE0885">
        <w:rPr>
          <w:lang w:eastAsia="en-GB"/>
        </w:rPr>
        <w:t>e</w:t>
      </w:r>
      <w:r w:rsidRPr="00CE0885">
        <w:rPr>
          <w:spacing w:val="2"/>
          <w:lang w:eastAsia="en-GB"/>
        </w:rPr>
        <w:t>m</w:t>
      </w:r>
      <w:r w:rsidRPr="00CE0885">
        <w:rPr>
          <w:lang w:eastAsia="en-GB"/>
        </w:rPr>
        <w:t>o</w:t>
      </w:r>
      <w:r w:rsidRPr="00CE0885">
        <w:rPr>
          <w:spacing w:val="-2"/>
          <w:lang w:eastAsia="en-GB"/>
        </w:rPr>
        <w:t>v</w:t>
      </w:r>
      <w:r w:rsidRPr="00CE0885">
        <w:rPr>
          <w:lang w:eastAsia="en-GB"/>
        </w:rPr>
        <w:t>ing</w:t>
      </w:r>
      <w:r w:rsidRPr="00CE0885">
        <w:rPr>
          <w:spacing w:val="-6"/>
          <w:lang w:eastAsia="en-GB"/>
        </w:rPr>
        <w:t xml:space="preserve"> </w:t>
      </w:r>
      <w:r w:rsidRPr="00CE0885">
        <w:rPr>
          <w:lang w:eastAsia="en-GB"/>
        </w:rPr>
        <w:t>the</w:t>
      </w:r>
      <w:r w:rsidRPr="00CE0885">
        <w:rPr>
          <w:spacing w:val="-1"/>
          <w:lang w:eastAsia="en-GB"/>
        </w:rPr>
        <w:t xml:space="preserve"> </w:t>
      </w:r>
      <w:r w:rsidRPr="00CE0885">
        <w:rPr>
          <w:lang w:eastAsia="en-GB"/>
        </w:rPr>
        <w:t>closi</w:t>
      </w:r>
      <w:r w:rsidRPr="00CE0885">
        <w:rPr>
          <w:spacing w:val="-1"/>
          <w:lang w:eastAsia="en-GB"/>
        </w:rPr>
        <w:t>n</w:t>
      </w:r>
      <w:r w:rsidRPr="00CE0885">
        <w:rPr>
          <w:lang w:eastAsia="en-GB"/>
        </w:rPr>
        <w:t>g p</w:t>
      </w:r>
      <w:r w:rsidRPr="00CE0885">
        <w:rPr>
          <w:spacing w:val="-1"/>
          <w:lang w:eastAsia="en-GB"/>
        </w:rPr>
        <w:t>r</w:t>
      </w:r>
      <w:r w:rsidRPr="00CE0885">
        <w:rPr>
          <w:lang w:eastAsia="en-GB"/>
        </w:rPr>
        <w:t>e</w:t>
      </w:r>
      <w:r w:rsidRPr="00CE0885">
        <w:rPr>
          <w:spacing w:val="2"/>
          <w:lang w:eastAsia="en-GB"/>
        </w:rPr>
        <w:t>m</w:t>
      </w:r>
      <w:r w:rsidRPr="00CE0885">
        <w:rPr>
          <w:lang w:eastAsia="en-GB"/>
        </w:rPr>
        <w:t>ises</w:t>
      </w:r>
      <w:r w:rsidRPr="00CE0885">
        <w:rPr>
          <w:spacing w:val="-12"/>
          <w:lang w:eastAsia="en-GB"/>
        </w:rPr>
        <w:t xml:space="preserve"> </w:t>
      </w:r>
      <w:r w:rsidRPr="00CE0885">
        <w:rPr>
          <w:lang w:eastAsia="en-GB"/>
        </w:rPr>
        <w:t>a</w:t>
      </w:r>
      <w:r w:rsidRPr="00CE0885">
        <w:rPr>
          <w:spacing w:val="-1"/>
          <w:lang w:eastAsia="en-GB"/>
        </w:rPr>
        <w:t>n</w:t>
      </w:r>
      <w:r w:rsidRPr="00CE0885">
        <w:rPr>
          <w:lang w:eastAsia="en-GB"/>
        </w:rPr>
        <w:t>d</w:t>
      </w:r>
      <w:r w:rsidRPr="00CE0885">
        <w:rPr>
          <w:spacing w:val="-2"/>
          <w:lang w:eastAsia="en-GB"/>
        </w:rPr>
        <w:t xml:space="preserve"> </w:t>
      </w:r>
      <w:r w:rsidRPr="00CE0885">
        <w:rPr>
          <w:spacing w:val="-1"/>
          <w:lang w:eastAsia="en-GB"/>
        </w:rPr>
        <w:t>a</w:t>
      </w:r>
      <w:r w:rsidRPr="00CE0885">
        <w:rPr>
          <w:lang w:eastAsia="en-GB"/>
        </w:rPr>
        <w:t>ny</w:t>
      </w:r>
      <w:r w:rsidRPr="00CE0885">
        <w:rPr>
          <w:spacing w:val="-6"/>
          <w:lang w:eastAsia="en-GB"/>
        </w:rPr>
        <w:t xml:space="preserve"> </w:t>
      </w:r>
      <w:r w:rsidRPr="00CE0885">
        <w:rPr>
          <w:spacing w:val="-1"/>
          <w:lang w:eastAsia="en-GB"/>
        </w:rPr>
        <w:t>r</w:t>
      </w:r>
      <w:r w:rsidRPr="00CE0885">
        <w:rPr>
          <w:lang w:eastAsia="en-GB"/>
        </w:rPr>
        <w:t>i</w:t>
      </w:r>
      <w:r w:rsidRPr="00CE0885">
        <w:rPr>
          <w:spacing w:val="-1"/>
          <w:lang w:eastAsia="en-GB"/>
        </w:rPr>
        <w:t>g</w:t>
      </w:r>
      <w:r w:rsidRPr="00CE0885">
        <w:rPr>
          <w:lang w:eastAsia="en-GB"/>
        </w:rPr>
        <w:t>h</w:t>
      </w:r>
      <w:r w:rsidRPr="00CE0885">
        <w:rPr>
          <w:spacing w:val="3"/>
          <w:lang w:eastAsia="en-GB"/>
        </w:rPr>
        <w:t>t</w:t>
      </w:r>
      <w:r w:rsidRPr="00CE0885">
        <w:rPr>
          <w:lang w:eastAsia="en-GB"/>
        </w:rPr>
        <w:t>s</w:t>
      </w:r>
      <w:r w:rsidRPr="00CE0885">
        <w:rPr>
          <w:spacing w:val="-6"/>
          <w:lang w:eastAsia="en-GB"/>
        </w:rPr>
        <w:t xml:space="preserve"> </w:t>
      </w:r>
      <w:r w:rsidRPr="00CE0885">
        <w:rPr>
          <w:lang w:eastAsia="en-GB"/>
        </w:rPr>
        <w:t>associa</w:t>
      </w:r>
      <w:r w:rsidRPr="00CE0885">
        <w:rPr>
          <w:spacing w:val="-2"/>
          <w:lang w:eastAsia="en-GB"/>
        </w:rPr>
        <w:t>t</w:t>
      </w:r>
      <w:r w:rsidRPr="00CE0885">
        <w:rPr>
          <w:lang w:eastAsia="en-GB"/>
        </w:rPr>
        <w:t>ed</w:t>
      </w:r>
      <w:r w:rsidRPr="00CE0885">
        <w:rPr>
          <w:spacing w:val="-9"/>
          <w:lang w:eastAsia="en-GB"/>
        </w:rPr>
        <w:t xml:space="preserve"> </w:t>
      </w:r>
      <w:r w:rsidRPr="00CE0885">
        <w:rPr>
          <w:spacing w:val="-3"/>
          <w:lang w:eastAsia="en-GB"/>
        </w:rPr>
        <w:t>w</w:t>
      </w:r>
      <w:r w:rsidRPr="00CE0885">
        <w:rPr>
          <w:lang w:eastAsia="en-GB"/>
        </w:rPr>
        <w:t>ith</w:t>
      </w:r>
      <w:r w:rsidRPr="00CE0885">
        <w:rPr>
          <w:spacing w:val="-2"/>
          <w:lang w:eastAsia="en-GB"/>
        </w:rPr>
        <w:t xml:space="preserve"> </w:t>
      </w:r>
      <w:r w:rsidRPr="00CE0885">
        <w:rPr>
          <w:lang w:eastAsia="en-GB"/>
        </w:rPr>
        <w:t>t</w:t>
      </w:r>
      <w:r w:rsidRPr="00CE0885">
        <w:rPr>
          <w:spacing w:val="-1"/>
          <w:lang w:eastAsia="en-GB"/>
        </w:rPr>
        <w:t>h</w:t>
      </w:r>
      <w:r w:rsidRPr="00CE0885">
        <w:rPr>
          <w:lang w:eastAsia="en-GB"/>
        </w:rPr>
        <w:t>at</w:t>
      </w:r>
      <w:r w:rsidRPr="00CE0885">
        <w:rPr>
          <w:spacing w:val="-5"/>
          <w:lang w:eastAsia="en-GB"/>
        </w:rPr>
        <w:t xml:space="preserve"> </w:t>
      </w:r>
      <w:r w:rsidRPr="00CE0885">
        <w:rPr>
          <w:lang w:eastAsia="en-GB"/>
        </w:rPr>
        <w:t>p</w:t>
      </w:r>
      <w:r w:rsidRPr="00CE0885">
        <w:rPr>
          <w:spacing w:val="-1"/>
          <w:lang w:eastAsia="en-GB"/>
        </w:rPr>
        <w:t>r</w:t>
      </w:r>
      <w:r w:rsidRPr="00CE0885">
        <w:rPr>
          <w:lang w:eastAsia="en-GB"/>
        </w:rPr>
        <w:t>e</w:t>
      </w:r>
      <w:r w:rsidRPr="00CE0885">
        <w:rPr>
          <w:spacing w:val="2"/>
          <w:lang w:eastAsia="en-GB"/>
        </w:rPr>
        <w:t>m</w:t>
      </w:r>
      <w:r w:rsidRPr="00CE0885">
        <w:rPr>
          <w:lang w:eastAsia="en-GB"/>
        </w:rPr>
        <w:t>ises.</w:t>
      </w:r>
      <w:bookmarkEnd w:id="791"/>
    </w:p>
    <w:p w14:paraId="1D0E1F64" w14:textId="77777777" w:rsidR="00977693" w:rsidRPr="0008784C" w:rsidRDefault="00977693" w:rsidP="0008784C">
      <w:pPr>
        <w:pStyle w:val="BodyText"/>
        <w:rPr>
          <w:b/>
          <w:sz w:val="24"/>
          <w:szCs w:val="24"/>
        </w:rPr>
      </w:pPr>
      <w:r w:rsidRPr="00CE0885">
        <w:br/>
      </w:r>
      <w:bookmarkStart w:id="792" w:name="_Toc440981952"/>
      <w:r w:rsidRPr="0008784C">
        <w:rPr>
          <w:b/>
          <w:sz w:val="24"/>
          <w:szCs w:val="24"/>
        </w:rPr>
        <w:t>Branch Closure</w:t>
      </w:r>
      <w:bookmarkEnd w:id="792"/>
    </w:p>
    <w:p w14:paraId="41D70815" w14:textId="77777777" w:rsidR="00977693" w:rsidRPr="00CE0885" w:rsidRDefault="00977693" w:rsidP="00980A75">
      <w:pPr>
        <w:pStyle w:val="Heading3"/>
        <w:rPr>
          <w:lang w:eastAsia="en-GB"/>
        </w:rPr>
      </w:pPr>
      <w:bookmarkStart w:id="793" w:name="_Ref410634689"/>
      <w:bookmarkStart w:id="794" w:name="_Toc440981953"/>
      <w:r w:rsidRPr="00CE0885">
        <w:rPr>
          <w:lang w:eastAsia="en-GB"/>
        </w:rPr>
        <w:t>The closure of a branch surgery may be as a result of an application made by the contractor to the Commissioner or due to the Commissioner instigating the closure following full consideration of the impact of such a closure.</w:t>
      </w:r>
      <w:bookmarkEnd w:id="793"/>
      <w:bookmarkEnd w:id="794"/>
    </w:p>
    <w:p w14:paraId="715DF5C7" w14:textId="77777777" w:rsidR="00977693" w:rsidRPr="00CE0885" w:rsidRDefault="00977693" w:rsidP="00980A75">
      <w:pPr>
        <w:pStyle w:val="Heading3"/>
        <w:rPr>
          <w:lang w:eastAsia="en-GB"/>
        </w:rPr>
      </w:pPr>
      <w:bookmarkStart w:id="795" w:name="_Toc440981954"/>
      <w:r w:rsidRPr="00CE0885">
        <w:rPr>
          <w:lang w:eastAsia="en-GB"/>
        </w:rPr>
        <w:t>In the circumstances that the Commissioner is instigating a branch closure, the Commissioner must be able to clearly demonstrate the grounds for such a closure and have fully considered any impact on the contractors registered population and any financial impact on the actual contractor. The Commissioner will be expected to demonstrate that they have considered any other options available prior to instigating a branch closure and entering into a dialogue with the contractor as to how the closure is to be managed.  The Commissioner will need to have complied with the duty (under section 13Q of the NHS Act) to involve patients in decision-making before any final decision to close a branch is made.</w:t>
      </w:r>
      <w:bookmarkEnd w:id="795"/>
    </w:p>
    <w:p w14:paraId="3CAABF91" w14:textId="77777777" w:rsidR="00977693" w:rsidRPr="00CE0885" w:rsidRDefault="00977693" w:rsidP="00980A75">
      <w:pPr>
        <w:pStyle w:val="Heading3"/>
        <w:rPr>
          <w:lang w:eastAsia="en-GB"/>
        </w:rPr>
      </w:pPr>
      <w:bookmarkStart w:id="796" w:name="_Toc440981955"/>
      <w:r w:rsidRPr="00CE0885">
        <w:rPr>
          <w:lang w:eastAsia="en-GB"/>
        </w:rPr>
        <w:t>Where a contractor wishes to close a branch surgery, the contractor should have preliminary discussions with the Commissioner to determine appropriate and proportionate patient involvement requirements prior to the consideration of such a service provision change.  Even though the closure is being instigated by the contractor, the Commissioner will still need to comply with the section 13Q duty to involve patients in decision-making before any final decision is made.</w:t>
      </w:r>
      <w:bookmarkEnd w:id="796"/>
    </w:p>
    <w:p w14:paraId="7D83E348" w14:textId="77777777" w:rsidR="00977693" w:rsidRPr="00CE0885" w:rsidRDefault="00977693" w:rsidP="00980A75">
      <w:pPr>
        <w:pStyle w:val="Heading3"/>
        <w:rPr>
          <w:lang w:eastAsia="en-GB"/>
        </w:rPr>
      </w:pPr>
      <w:bookmarkStart w:id="797" w:name="_Toc440981956"/>
      <w:r w:rsidRPr="00CE0885">
        <w:rPr>
          <w:lang w:eastAsia="en-GB"/>
        </w:rPr>
        <w:t>The closure of a branch surgery would be a significant change to services for the registered population and as such the Commissioner and the contractor should engage in open dialogue in the first instance to consider the consequences and implications of the proposed change and discuss any possible alternatives that may be agreed between them.  At this stage the duty to involve the public in proposals for change is triggered and the Commissioner and contractor should work together on fair and proportionate ways to achieve this. The Commissioner should ensure clarity on what involvement activities are required by the contractor.</w:t>
      </w:r>
      <w:bookmarkEnd w:id="797"/>
      <w:r w:rsidRPr="00CE0885">
        <w:rPr>
          <w:lang w:eastAsia="en-GB"/>
        </w:rPr>
        <w:t xml:space="preserve"> </w:t>
      </w:r>
    </w:p>
    <w:p w14:paraId="47B3378B" w14:textId="77777777" w:rsidR="00977693" w:rsidRPr="003331F2" w:rsidRDefault="00977693" w:rsidP="005A7DDA">
      <w:pPr>
        <w:pStyle w:val="BodyText"/>
        <w:numPr>
          <w:ilvl w:val="0"/>
          <w:numId w:val="140"/>
        </w:numPr>
        <w:rPr>
          <w:sz w:val="24"/>
          <w:szCs w:val="24"/>
        </w:rPr>
      </w:pPr>
      <w:bookmarkStart w:id="798" w:name="_Ref412737059"/>
      <w:bookmarkStart w:id="799" w:name="_Toc440981957"/>
      <w:r w:rsidRPr="00CE0885">
        <w:t xml:space="preserve">Contractor and Commissioner discussions resulting ultimately in a decision about a branch closure will often include consideration of (but not be </w:t>
      </w:r>
      <w:r w:rsidRPr="003331F2">
        <w:rPr>
          <w:sz w:val="24"/>
          <w:szCs w:val="24"/>
        </w:rPr>
        <w:t>limited to):</w:t>
      </w:r>
      <w:bookmarkEnd w:id="798"/>
      <w:bookmarkEnd w:id="799"/>
    </w:p>
    <w:p w14:paraId="4166A909" w14:textId="77777777" w:rsidR="00977693" w:rsidRPr="003331F2" w:rsidRDefault="00977693" w:rsidP="005A7DDA">
      <w:pPr>
        <w:pStyle w:val="BodyText"/>
        <w:numPr>
          <w:ilvl w:val="0"/>
          <w:numId w:val="140"/>
        </w:numPr>
        <w:rPr>
          <w:rFonts w:cs="Arial"/>
          <w:bCs/>
          <w:sz w:val="24"/>
          <w:szCs w:val="24"/>
        </w:rPr>
      </w:pPr>
      <w:bookmarkStart w:id="800" w:name="_Toc440981958"/>
      <w:r w:rsidRPr="003331F2">
        <w:rPr>
          <w:rFonts w:cs="Arial"/>
          <w:bCs/>
          <w:sz w:val="24"/>
          <w:szCs w:val="24"/>
        </w:rPr>
        <w:t>financial viability;</w:t>
      </w:r>
      <w:bookmarkEnd w:id="800"/>
    </w:p>
    <w:p w14:paraId="1A6F9A6F" w14:textId="77777777" w:rsidR="00977693" w:rsidRPr="003331F2" w:rsidRDefault="00977693" w:rsidP="005A7DDA">
      <w:pPr>
        <w:pStyle w:val="BodyText"/>
        <w:numPr>
          <w:ilvl w:val="0"/>
          <w:numId w:val="140"/>
        </w:numPr>
        <w:rPr>
          <w:rFonts w:cs="Arial"/>
          <w:bCs/>
          <w:sz w:val="24"/>
          <w:szCs w:val="24"/>
        </w:rPr>
      </w:pPr>
      <w:bookmarkStart w:id="801" w:name="_Toc440981959"/>
      <w:r w:rsidRPr="003331F2">
        <w:rPr>
          <w:rFonts w:cs="Arial"/>
          <w:bCs/>
          <w:sz w:val="24"/>
          <w:szCs w:val="24"/>
        </w:rPr>
        <w:t>registered list size and patient demographics;</w:t>
      </w:r>
      <w:bookmarkEnd w:id="801"/>
    </w:p>
    <w:p w14:paraId="468457D6" w14:textId="77777777" w:rsidR="00977693" w:rsidRPr="003331F2" w:rsidRDefault="00977693" w:rsidP="005A7DDA">
      <w:pPr>
        <w:pStyle w:val="BodyText"/>
        <w:numPr>
          <w:ilvl w:val="0"/>
          <w:numId w:val="140"/>
        </w:numPr>
        <w:rPr>
          <w:rFonts w:cs="Arial"/>
          <w:bCs/>
          <w:sz w:val="24"/>
          <w:szCs w:val="24"/>
        </w:rPr>
      </w:pPr>
      <w:bookmarkStart w:id="802" w:name="_Toc440981960"/>
      <w:r w:rsidRPr="003331F2">
        <w:rPr>
          <w:rFonts w:cs="Arial"/>
          <w:bCs/>
          <w:sz w:val="24"/>
          <w:szCs w:val="24"/>
        </w:rPr>
        <w:t>condition, accessibility and compliance to required standards of the premises;</w:t>
      </w:r>
      <w:bookmarkEnd w:id="802"/>
    </w:p>
    <w:p w14:paraId="5E2A7978" w14:textId="77777777" w:rsidR="00977693" w:rsidRPr="003331F2" w:rsidRDefault="00977693" w:rsidP="005A7DDA">
      <w:pPr>
        <w:pStyle w:val="BodyText"/>
        <w:numPr>
          <w:ilvl w:val="0"/>
          <w:numId w:val="140"/>
        </w:numPr>
        <w:rPr>
          <w:rFonts w:cs="Arial"/>
          <w:bCs/>
          <w:sz w:val="24"/>
          <w:szCs w:val="24"/>
        </w:rPr>
      </w:pPr>
      <w:bookmarkStart w:id="803" w:name="_Toc440981961"/>
      <w:r w:rsidRPr="003331F2">
        <w:rPr>
          <w:rFonts w:cs="Arial"/>
          <w:bCs/>
          <w:sz w:val="24"/>
          <w:szCs w:val="24"/>
        </w:rPr>
        <w:t>accessibility of the main surgery premises including transport implications;</w:t>
      </w:r>
      <w:bookmarkEnd w:id="803"/>
      <w:r w:rsidRPr="003331F2">
        <w:rPr>
          <w:rFonts w:cs="Arial"/>
          <w:bCs/>
          <w:sz w:val="24"/>
          <w:szCs w:val="24"/>
        </w:rPr>
        <w:t xml:space="preserve"> </w:t>
      </w:r>
    </w:p>
    <w:p w14:paraId="1E82CA6F" w14:textId="77777777" w:rsidR="00977693" w:rsidRPr="003331F2" w:rsidRDefault="00977693" w:rsidP="005A7DDA">
      <w:pPr>
        <w:pStyle w:val="BodyText"/>
        <w:numPr>
          <w:ilvl w:val="0"/>
          <w:numId w:val="140"/>
        </w:numPr>
        <w:rPr>
          <w:rFonts w:cs="Arial"/>
          <w:bCs/>
          <w:sz w:val="24"/>
          <w:szCs w:val="24"/>
        </w:rPr>
      </w:pPr>
      <w:bookmarkStart w:id="804" w:name="_Toc440981962"/>
      <w:r w:rsidRPr="003331F2">
        <w:rPr>
          <w:rFonts w:cs="Arial"/>
          <w:bCs/>
          <w:sz w:val="24"/>
          <w:szCs w:val="24"/>
        </w:rPr>
        <w:t>the Commissioner’s strategic plans for the area;</w:t>
      </w:r>
      <w:bookmarkEnd w:id="804"/>
    </w:p>
    <w:p w14:paraId="1A9CD600" w14:textId="77777777" w:rsidR="00977693" w:rsidRPr="003331F2" w:rsidRDefault="00977693" w:rsidP="005A7DDA">
      <w:pPr>
        <w:pStyle w:val="BodyText"/>
        <w:numPr>
          <w:ilvl w:val="0"/>
          <w:numId w:val="140"/>
        </w:numPr>
        <w:rPr>
          <w:rFonts w:cs="Arial"/>
          <w:bCs/>
          <w:sz w:val="24"/>
          <w:szCs w:val="24"/>
        </w:rPr>
      </w:pPr>
      <w:bookmarkStart w:id="805" w:name="_Toc440981963"/>
      <w:r w:rsidRPr="003331F2">
        <w:rPr>
          <w:rFonts w:cs="Arial"/>
          <w:bCs/>
          <w:sz w:val="24"/>
          <w:szCs w:val="24"/>
        </w:rPr>
        <w:t>other primary health care provision within the locality (including other providers and their current list provision, accessibility, dispensaries and rural issues);</w:t>
      </w:r>
      <w:bookmarkEnd w:id="805"/>
    </w:p>
    <w:p w14:paraId="0DCA7108" w14:textId="77777777" w:rsidR="00977693" w:rsidRPr="003331F2" w:rsidRDefault="00977693" w:rsidP="005A7DDA">
      <w:pPr>
        <w:pStyle w:val="BodyText"/>
        <w:numPr>
          <w:ilvl w:val="0"/>
          <w:numId w:val="140"/>
        </w:numPr>
        <w:rPr>
          <w:rFonts w:cs="Arial"/>
          <w:bCs/>
          <w:sz w:val="24"/>
          <w:szCs w:val="24"/>
        </w:rPr>
      </w:pPr>
      <w:bookmarkStart w:id="806" w:name="_Toc440981964"/>
      <w:r w:rsidRPr="003331F2">
        <w:rPr>
          <w:rFonts w:cs="Arial"/>
          <w:bCs/>
          <w:sz w:val="24"/>
          <w:szCs w:val="24"/>
        </w:rPr>
        <w:t>dispensing implications (if a dispensing practice);</w:t>
      </w:r>
      <w:bookmarkEnd w:id="806"/>
    </w:p>
    <w:p w14:paraId="2A5EE7C5" w14:textId="77777777" w:rsidR="00977693" w:rsidRPr="003331F2" w:rsidRDefault="00977693" w:rsidP="005A7DDA">
      <w:pPr>
        <w:pStyle w:val="BodyText"/>
        <w:numPr>
          <w:ilvl w:val="0"/>
          <w:numId w:val="140"/>
        </w:numPr>
        <w:rPr>
          <w:rFonts w:cs="Arial"/>
          <w:bCs/>
          <w:sz w:val="24"/>
          <w:szCs w:val="24"/>
        </w:rPr>
      </w:pPr>
      <w:bookmarkStart w:id="807" w:name="_Toc440981965"/>
      <w:r w:rsidRPr="003331F2">
        <w:rPr>
          <w:rFonts w:cs="Arial"/>
          <w:bCs/>
          <w:sz w:val="24"/>
          <w:szCs w:val="24"/>
        </w:rPr>
        <w:t>whether the contractor is currently in receipt of premises costs for the relevant premises;</w:t>
      </w:r>
      <w:bookmarkEnd w:id="807"/>
    </w:p>
    <w:p w14:paraId="15EE3C52" w14:textId="77777777" w:rsidR="00977693" w:rsidRPr="003331F2" w:rsidRDefault="00977693" w:rsidP="005A7DDA">
      <w:pPr>
        <w:pStyle w:val="BodyText"/>
        <w:numPr>
          <w:ilvl w:val="0"/>
          <w:numId w:val="140"/>
        </w:numPr>
        <w:rPr>
          <w:rFonts w:cs="Arial"/>
          <w:bCs/>
          <w:sz w:val="24"/>
          <w:szCs w:val="24"/>
        </w:rPr>
      </w:pPr>
      <w:bookmarkStart w:id="808" w:name="_Toc440981966"/>
      <w:r w:rsidRPr="003331F2">
        <w:rPr>
          <w:rFonts w:cs="Arial"/>
          <w:bCs/>
          <w:sz w:val="24"/>
          <w:szCs w:val="24"/>
        </w:rPr>
        <w:t>other payment amendments;</w:t>
      </w:r>
      <w:bookmarkEnd w:id="808"/>
    </w:p>
    <w:p w14:paraId="6F8CE1C4" w14:textId="77777777" w:rsidR="00977693" w:rsidRPr="003331F2" w:rsidRDefault="00977693" w:rsidP="005A7DDA">
      <w:pPr>
        <w:pStyle w:val="BodyText"/>
        <w:numPr>
          <w:ilvl w:val="0"/>
          <w:numId w:val="140"/>
        </w:numPr>
        <w:rPr>
          <w:rFonts w:cs="Arial"/>
          <w:bCs/>
          <w:sz w:val="24"/>
          <w:szCs w:val="24"/>
        </w:rPr>
      </w:pPr>
      <w:bookmarkStart w:id="809" w:name="_Toc440981967"/>
      <w:r w:rsidRPr="003331F2">
        <w:rPr>
          <w:rFonts w:cs="Arial"/>
          <w:bCs/>
          <w:sz w:val="24"/>
          <w:szCs w:val="24"/>
        </w:rPr>
        <w:t>possible co-location of services;</w:t>
      </w:r>
      <w:bookmarkEnd w:id="809"/>
    </w:p>
    <w:p w14:paraId="0ABDFD17" w14:textId="77777777" w:rsidR="00977693" w:rsidRPr="003331F2" w:rsidRDefault="00977693" w:rsidP="005A7DDA">
      <w:pPr>
        <w:pStyle w:val="BodyText"/>
        <w:numPr>
          <w:ilvl w:val="0"/>
          <w:numId w:val="140"/>
        </w:numPr>
        <w:rPr>
          <w:rFonts w:cs="Arial"/>
          <w:bCs/>
          <w:sz w:val="24"/>
          <w:szCs w:val="24"/>
        </w:rPr>
      </w:pPr>
      <w:bookmarkStart w:id="810" w:name="_Toc440981968"/>
      <w:r w:rsidRPr="003331F2">
        <w:rPr>
          <w:rFonts w:cs="Arial"/>
          <w:bCs/>
          <w:sz w:val="24"/>
          <w:szCs w:val="24"/>
        </w:rPr>
        <w:t>rurality issues;</w:t>
      </w:r>
      <w:bookmarkEnd w:id="810"/>
    </w:p>
    <w:p w14:paraId="35A30996" w14:textId="77777777" w:rsidR="00977693" w:rsidRPr="003331F2" w:rsidRDefault="00977693" w:rsidP="005A7DDA">
      <w:pPr>
        <w:pStyle w:val="BodyText"/>
        <w:numPr>
          <w:ilvl w:val="0"/>
          <w:numId w:val="140"/>
        </w:numPr>
        <w:rPr>
          <w:rFonts w:cs="Arial"/>
          <w:bCs/>
          <w:sz w:val="24"/>
          <w:szCs w:val="24"/>
        </w:rPr>
      </w:pPr>
      <w:bookmarkStart w:id="811" w:name="_Toc440981969"/>
      <w:r w:rsidRPr="003331F2">
        <w:rPr>
          <w:rFonts w:cs="Arial"/>
          <w:bCs/>
          <w:sz w:val="24"/>
          <w:szCs w:val="24"/>
        </w:rPr>
        <w:t>patient feedback;</w:t>
      </w:r>
      <w:bookmarkEnd w:id="811"/>
    </w:p>
    <w:p w14:paraId="4AB39C1A" w14:textId="77777777" w:rsidR="00977693" w:rsidRPr="003331F2" w:rsidRDefault="00977693" w:rsidP="005A7DDA">
      <w:pPr>
        <w:pStyle w:val="BodyText"/>
        <w:numPr>
          <w:ilvl w:val="0"/>
          <w:numId w:val="140"/>
        </w:numPr>
        <w:rPr>
          <w:rFonts w:cs="Arial"/>
          <w:bCs/>
          <w:sz w:val="24"/>
          <w:szCs w:val="24"/>
        </w:rPr>
      </w:pPr>
      <w:bookmarkStart w:id="812" w:name="_Toc440981970"/>
      <w:r w:rsidRPr="003331F2">
        <w:rPr>
          <w:rFonts w:cs="Arial"/>
          <w:bCs/>
          <w:sz w:val="24"/>
          <w:szCs w:val="24"/>
        </w:rPr>
        <w:t>any impact on groups protected by the Equality Act 2010 (for further detail see chapter 4 (General duties of NHS England);</w:t>
      </w:r>
      <w:bookmarkEnd w:id="812"/>
    </w:p>
    <w:p w14:paraId="67787EC3" w14:textId="77777777" w:rsidR="00977693" w:rsidRPr="003331F2" w:rsidRDefault="00977693" w:rsidP="005A7DDA">
      <w:pPr>
        <w:pStyle w:val="BodyText"/>
        <w:numPr>
          <w:ilvl w:val="0"/>
          <w:numId w:val="140"/>
        </w:numPr>
        <w:rPr>
          <w:rFonts w:cs="Arial"/>
          <w:bCs/>
          <w:sz w:val="24"/>
          <w:szCs w:val="24"/>
        </w:rPr>
      </w:pPr>
      <w:bookmarkStart w:id="813" w:name="_Toc440981971"/>
      <w:r w:rsidRPr="003331F2">
        <w:rPr>
          <w:rFonts w:cs="Arial"/>
          <w:bCs/>
          <w:sz w:val="24"/>
          <w:szCs w:val="24"/>
        </w:rPr>
        <w:t>the impact on health and health inequalities; and</w:t>
      </w:r>
      <w:bookmarkEnd w:id="813"/>
    </w:p>
    <w:p w14:paraId="14A3FF92" w14:textId="77777777" w:rsidR="00977693" w:rsidRPr="003331F2" w:rsidRDefault="00977693" w:rsidP="005A7DDA">
      <w:pPr>
        <w:pStyle w:val="BodyText"/>
        <w:numPr>
          <w:ilvl w:val="0"/>
          <w:numId w:val="140"/>
        </w:numPr>
        <w:rPr>
          <w:rFonts w:cs="Arial"/>
          <w:bCs/>
          <w:sz w:val="24"/>
          <w:szCs w:val="24"/>
        </w:rPr>
      </w:pPr>
      <w:bookmarkStart w:id="814" w:name="_Toc440981972"/>
      <w:r w:rsidRPr="003331F2">
        <w:rPr>
          <w:rFonts w:cs="Arial"/>
          <w:bCs/>
          <w:sz w:val="24"/>
          <w:szCs w:val="24"/>
        </w:rPr>
        <w:t>any other relevant duties under Part 2 of the NHS Act (for further detail see chapter 4 (General duties of NHS England).</w:t>
      </w:r>
      <w:bookmarkEnd w:id="814"/>
      <w:r w:rsidRPr="003331F2">
        <w:rPr>
          <w:rFonts w:cs="Arial"/>
          <w:bCs/>
          <w:sz w:val="24"/>
          <w:szCs w:val="24"/>
        </w:rPr>
        <w:t xml:space="preserve"> </w:t>
      </w:r>
    </w:p>
    <w:p w14:paraId="729039C3" w14:textId="77777777" w:rsidR="00977693" w:rsidRPr="00CE0885" w:rsidRDefault="00977693" w:rsidP="00980A75">
      <w:pPr>
        <w:pStyle w:val="Heading3"/>
        <w:rPr>
          <w:lang w:eastAsia="en-GB"/>
        </w:rPr>
      </w:pPr>
      <w:bookmarkStart w:id="815" w:name="_Toc440981973"/>
      <w:r w:rsidRPr="00CE0885">
        <w:rPr>
          <w:lang w:eastAsia="en-GB"/>
        </w:rPr>
        <w:t>The Commissioner and contractor, through their dialogue, may establish that there is a need to retain medical service provision in the locality and must find a solution, which could include tendering for a new provider within that locality though not necessarily within the same premises.  Note that most changes in premises will trigger the commissioner's duties to involve patients in decision-making.</w:t>
      </w:r>
      <w:bookmarkEnd w:id="815"/>
    </w:p>
    <w:p w14:paraId="2204D0BF" w14:textId="77777777" w:rsidR="00977693" w:rsidRPr="00CE0885" w:rsidRDefault="00977693" w:rsidP="00980A75">
      <w:pPr>
        <w:pStyle w:val="Heading3"/>
        <w:rPr>
          <w:lang w:eastAsia="en-GB"/>
        </w:rPr>
      </w:pPr>
      <w:bookmarkStart w:id="816" w:name="_Toc440981974"/>
      <w:r w:rsidRPr="00CE0885">
        <w:rPr>
          <w:lang w:eastAsia="en-GB"/>
        </w:rPr>
        <w:t>The Commissioner should confirm any such arrangements and agreements in writing to the contractor as soon as is practicably possible after the agreement is reached.</w:t>
      </w:r>
      <w:bookmarkEnd w:id="816"/>
    </w:p>
    <w:p w14:paraId="2DC9003C" w14:textId="77777777" w:rsidR="00977693" w:rsidRPr="00CE0885" w:rsidRDefault="00977693" w:rsidP="00980A75">
      <w:pPr>
        <w:pStyle w:val="Heading3"/>
        <w:rPr>
          <w:lang w:eastAsia="en-GB"/>
        </w:rPr>
      </w:pPr>
      <w:bookmarkStart w:id="817" w:name="_Toc440981975"/>
      <w:r w:rsidRPr="00CE0885">
        <w:rPr>
          <w:lang w:eastAsia="en-GB"/>
        </w:rPr>
        <w:t>If the Commissioner and the contractor are unable to reach an agreement to keep the branch surgery open, then the contractor, based upon their previous discussions with the Commissioner regarding appropriate and proportionate involvement, will  continue to involve patients in the proposed changes.</w:t>
      </w:r>
      <w:bookmarkEnd w:id="817"/>
    </w:p>
    <w:p w14:paraId="131AD744" w14:textId="77777777" w:rsidR="00977693" w:rsidRPr="009055A7" w:rsidRDefault="00977693" w:rsidP="00980A75">
      <w:pPr>
        <w:pStyle w:val="Heading3"/>
        <w:rPr>
          <w:sz w:val="20"/>
          <w:szCs w:val="20"/>
          <w:lang w:eastAsia="en-GB"/>
        </w:rPr>
      </w:pPr>
      <w:bookmarkStart w:id="818" w:name="_Toc440981976"/>
      <w:r w:rsidRPr="00CE0885">
        <w:rPr>
          <w:lang w:eastAsia="en-GB"/>
        </w:rPr>
        <w:t xml:space="preserve">The contractor is required to follow </w:t>
      </w:r>
      <w:hyperlink r:id="rId90" w:history="1">
        <w:r w:rsidRPr="00CE0885">
          <w:rPr>
            <w:u w:val="single"/>
            <w:lang w:eastAsia="en-GB"/>
          </w:rPr>
          <w:t>The Patient and Public Participation Policy</w:t>
        </w:r>
      </w:hyperlink>
      <w:r w:rsidRPr="00CE0885">
        <w:rPr>
          <w:lang w:eastAsia="en-GB"/>
        </w:rPr>
        <w:t xml:space="preserve">, </w:t>
      </w:r>
      <w:hyperlink r:id="rId91" w:history="1">
        <w:r w:rsidRPr="00CE0885">
          <w:rPr>
            <w:u w:val="single"/>
            <w:lang w:eastAsia="en-GB"/>
          </w:rPr>
          <w:t>The Statement of Arrangements &amp; Guidance on Patient and Public Participation in Commissioning,</w:t>
        </w:r>
      </w:hyperlink>
      <w:r w:rsidRPr="00CE0885">
        <w:rPr>
          <w:lang w:eastAsia="en-GB"/>
        </w:rPr>
        <w:t xml:space="preserve"> and </w:t>
      </w:r>
      <w:hyperlink r:id="rId92" w:history="1">
        <w:r w:rsidRPr="00CE0885">
          <w:rPr>
            <w:u w:val="single"/>
            <w:lang w:eastAsia="en-GB"/>
          </w:rPr>
          <w:t>The Framework for Patient and Public Participation in Primary Care Commissioning</w:t>
        </w:r>
      </w:hyperlink>
      <w:r w:rsidRPr="00CE0885">
        <w:rPr>
          <w:lang w:eastAsia="en-GB"/>
        </w:rPr>
        <w:t xml:space="preserve"> process as appropriate to the arrangements agreed with the Commissioner, with support and advice as appropriate from the Commissioner.  Adherence to the PPP involvement process will help ensure that an appropriate involvement exercise is carried out, that meets the legal obligations on the Commissioner</w:t>
      </w:r>
      <w:r w:rsidRPr="009055A7">
        <w:rPr>
          <w:sz w:val="20"/>
          <w:szCs w:val="20"/>
          <w:lang w:eastAsia="en-GB"/>
        </w:rPr>
        <w:t>.</w:t>
      </w:r>
      <w:bookmarkEnd w:id="818"/>
      <w:r w:rsidRPr="009055A7">
        <w:rPr>
          <w:sz w:val="20"/>
          <w:szCs w:val="20"/>
          <w:lang w:eastAsia="en-GB"/>
        </w:rPr>
        <w:t xml:space="preserve"> </w:t>
      </w:r>
    </w:p>
    <w:p w14:paraId="07C0FA89" w14:textId="77777777" w:rsidR="00977693" w:rsidRPr="00CE0885" w:rsidRDefault="00977693" w:rsidP="00980A75">
      <w:pPr>
        <w:pStyle w:val="Heading3"/>
        <w:rPr>
          <w:lang w:eastAsia="en-GB"/>
        </w:rPr>
      </w:pPr>
      <w:bookmarkStart w:id="819" w:name="_Toc440981977"/>
      <w:r w:rsidRPr="00CE0885">
        <w:rPr>
          <w:lang w:eastAsia="en-GB"/>
        </w:rPr>
        <w:t>Once this involvement exercise has been undertaken and the results provided to the Commissioner, the contractor would then submit a formal application to close the branch surgery to the Commissioner for consideration (Annex 14A).</w:t>
      </w:r>
      <w:bookmarkEnd w:id="819"/>
    </w:p>
    <w:p w14:paraId="11582167" w14:textId="77777777" w:rsidR="00977693" w:rsidRPr="00CE0885" w:rsidRDefault="00977693" w:rsidP="00980A75">
      <w:pPr>
        <w:pStyle w:val="Heading3"/>
        <w:rPr>
          <w:lang w:eastAsia="en-GB"/>
        </w:rPr>
      </w:pPr>
      <w:bookmarkStart w:id="820" w:name="_Toc440981978"/>
      <w:r w:rsidRPr="00CE0885">
        <w:rPr>
          <w:lang w:eastAsia="en-GB"/>
        </w:rPr>
        <w:t xml:space="preserve">The Commissioner will then assess the application regarding the closure and the outcome of the patient involvement exercise with a view to either accepting or refusing the proposal. These assessments will need to again consider all the relevant factors, including those listed at paragraph </w:t>
      </w:r>
      <w:r w:rsidRPr="00CE0885">
        <w:rPr>
          <w:lang w:eastAsia="en-GB"/>
        </w:rPr>
        <w:fldChar w:fldCharType="begin"/>
      </w:r>
      <w:r w:rsidRPr="00CE0885">
        <w:rPr>
          <w:lang w:eastAsia="en-GB"/>
        </w:rPr>
        <w:instrText xml:space="preserve"> REF _Ref412737059 \r \h  \* MERGEFORMAT </w:instrText>
      </w:r>
      <w:r w:rsidRPr="00CE0885">
        <w:rPr>
          <w:lang w:eastAsia="en-GB"/>
        </w:rPr>
      </w:r>
      <w:r w:rsidRPr="00CE0885">
        <w:rPr>
          <w:lang w:eastAsia="en-GB"/>
        </w:rPr>
        <w:fldChar w:fldCharType="separate"/>
      </w:r>
      <w:r w:rsidR="00622FF2">
        <w:rPr>
          <w:lang w:eastAsia="en-GB"/>
        </w:rPr>
        <w:t></w:t>
      </w:r>
      <w:r w:rsidRPr="00CE0885">
        <w:rPr>
          <w:lang w:eastAsia="en-GB"/>
        </w:rPr>
        <w:fldChar w:fldCharType="end"/>
      </w:r>
      <w:r w:rsidRPr="00CE0885">
        <w:rPr>
          <w:lang w:eastAsia="en-GB"/>
        </w:rPr>
        <w:t>.  The Commissioner should document how it has taken the various factors into account.</w:t>
      </w:r>
      <w:bookmarkEnd w:id="820"/>
    </w:p>
    <w:p w14:paraId="7D0638C4" w14:textId="77777777" w:rsidR="00977693" w:rsidRPr="00CE0885" w:rsidRDefault="00977693" w:rsidP="00980A75">
      <w:pPr>
        <w:pStyle w:val="Heading3"/>
        <w:rPr>
          <w:lang w:eastAsia="en-GB"/>
        </w:rPr>
      </w:pPr>
      <w:bookmarkStart w:id="821" w:name="_Toc440981979"/>
      <w:r w:rsidRPr="00CE0885">
        <w:rPr>
          <w:lang w:eastAsia="en-GB"/>
        </w:rPr>
        <w:t>Either the contractor or the Commissioner may invite the LMC to be party to these discussions at any time.</w:t>
      </w:r>
      <w:bookmarkEnd w:id="821"/>
    </w:p>
    <w:p w14:paraId="72BCBAED" w14:textId="77777777" w:rsidR="00977693" w:rsidRPr="00CE0885" w:rsidRDefault="00977693" w:rsidP="00980A75">
      <w:pPr>
        <w:pStyle w:val="Heading3"/>
        <w:rPr>
          <w:lang w:eastAsia="en-GB"/>
        </w:rPr>
      </w:pPr>
      <w:bookmarkStart w:id="822" w:name="_Toc440981980"/>
      <w:r w:rsidRPr="00CE0885">
        <w:rPr>
          <w:lang w:eastAsia="en-GB"/>
        </w:rPr>
        <w:t>Where the Commissioner refuses the branch closure through its internal assessment procedure, the contractor shall be notified in writing within 28 days following the internal assessment and the contractor may then follow the relevant resolution process as referenced in the contract. Please refer to Annex 14B.</w:t>
      </w:r>
      <w:bookmarkEnd w:id="822"/>
    </w:p>
    <w:p w14:paraId="4D5BFC86" w14:textId="77777777" w:rsidR="00977693" w:rsidRPr="00CE0885" w:rsidRDefault="00977693" w:rsidP="00980A75">
      <w:pPr>
        <w:pStyle w:val="Heading3"/>
        <w:rPr>
          <w:lang w:eastAsia="en-GB"/>
        </w:rPr>
      </w:pPr>
      <w:bookmarkStart w:id="823" w:name="_Toc440981981"/>
      <w:r w:rsidRPr="00CE0885">
        <w:rPr>
          <w:lang w:eastAsia="en-GB"/>
        </w:rPr>
        <w:t>Where the Commissioner approves the branch closure, the Commissioner will need to ensure that it retrieves all NHS owned assets from the premises.</w:t>
      </w:r>
      <w:bookmarkEnd w:id="823"/>
      <w:r w:rsidRPr="00CE0885">
        <w:rPr>
          <w:lang w:eastAsia="en-GB"/>
        </w:rPr>
        <w:t xml:space="preserve"> </w:t>
      </w:r>
    </w:p>
    <w:p w14:paraId="5CF38635" w14:textId="77777777" w:rsidR="00977693" w:rsidRPr="00CE0885" w:rsidRDefault="00977693" w:rsidP="00980A75">
      <w:pPr>
        <w:pStyle w:val="Heading3"/>
        <w:rPr>
          <w:lang w:eastAsia="en-GB"/>
        </w:rPr>
      </w:pPr>
      <w:bookmarkStart w:id="824" w:name="_Toc440981982"/>
      <w:r w:rsidRPr="00CE0885">
        <w:rPr>
          <w:lang w:eastAsia="en-GB"/>
        </w:rPr>
        <w:t>The contractor remains responsible for ensuring the transfer of patient records (electronic and paper Lloyd George notes) and confidential information to the main surgery, having full regard to confidentiality and data protection requirements, Records Management: NHS Code of Practice guidance and any relevant guidance from the Health &amp; Social Care Information Centre or the Information Commissioner's Office. Where a third party contractor is being used to handle records, they must be vetted and appropriate contractual arrangements put in place. Further information is contained in Annex 15.</w:t>
      </w:r>
      <w:bookmarkEnd w:id="824"/>
    </w:p>
    <w:p w14:paraId="05707DD1" w14:textId="77777777" w:rsidR="00977693" w:rsidRPr="00CE0885" w:rsidRDefault="00977693" w:rsidP="00980A75">
      <w:pPr>
        <w:pStyle w:val="Heading3"/>
        <w:rPr>
          <w:lang w:eastAsia="en-GB"/>
        </w:rPr>
      </w:pPr>
      <w:bookmarkStart w:id="825" w:name="_Toc440981983"/>
      <w:r w:rsidRPr="00CE0885">
        <w:rPr>
          <w:lang w:eastAsia="en-GB"/>
        </w:rPr>
        <w:t xml:space="preserve">The contractor remains responsible for carrying out public involvement in accordance with the instructions given by the Commissioner and informing the registered patients of the proposed changes. However, ultimately it is the Commissioner's responsibility to ensure that involvement activities have met legal requirements, even if carried out by the contractor.  Further guidance can be found in the NHS England documents </w:t>
      </w:r>
      <w:bookmarkEnd w:id="825"/>
      <w:r w:rsidRPr="002306F3">
        <w:rPr>
          <w:color w:val="005EB8" w:themeColor="text2"/>
        </w:rPr>
        <w:fldChar w:fldCharType="begin"/>
      </w:r>
      <w:r w:rsidRPr="002306F3">
        <w:rPr>
          <w:color w:val="005EB8" w:themeColor="text2"/>
        </w:rPr>
        <w:instrText xml:space="preserve"> HYPERLINK "https://www.england.nhs.uk/wp-content/uploads/2017/04/ppp-policy.pdf" </w:instrText>
      </w:r>
      <w:r w:rsidRPr="002306F3">
        <w:rPr>
          <w:color w:val="005EB8" w:themeColor="text2"/>
        </w:rPr>
        <w:fldChar w:fldCharType="separate"/>
      </w:r>
      <w:r w:rsidRPr="002306F3">
        <w:rPr>
          <w:color w:val="005EB8" w:themeColor="text2"/>
          <w:u w:val="single"/>
        </w:rPr>
        <w:t>The Patient and Public Participation Policy</w:t>
      </w:r>
      <w:r w:rsidRPr="002306F3">
        <w:rPr>
          <w:color w:val="005EB8" w:themeColor="text2"/>
        </w:rPr>
        <w:fldChar w:fldCharType="end"/>
      </w:r>
      <w:r w:rsidRPr="00CE0885">
        <w:rPr>
          <w:lang w:eastAsia="en-GB"/>
        </w:rPr>
        <w:t xml:space="preserve">, </w:t>
      </w:r>
      <w:hyperlink r:id="rId93" w:history="1">
        <w:r w:rsidRPr="002306F3">
          <w:rPr>
            <w:color w:val="005EB8" w:themeColor="text2"/>
            <w:u w:val="single"/>
          </w:rPr>
          <w:t>The Statement of Arrangements &amp; Guidance on Patient and Public Participation in Commissioning</w:t>
        </w:r>
        <w:r w:rsidRPr="00CE0885">
          <w:rPr>
            <w:u w:val="single"/>
            <w:lang w:eastAsia="en-GB"/>
          </w:rPr>
          <w:t>,</w:t>
        </w:r>
      </w:hyperlink>
      <w:r w:rsidRPr="00CE0885">
        <w:rPr>
          <w:lang w:eastAsia="en-GB"/>
        </w:rPr>
        <w:t xml:space="preserve"> and </w:t>
      </w:r>
      <w:hyperlink r:id="rId94" w:history="1">
        <w:r w:rsidRPr="002306F3">
          <w:rPr>
            <w:color w:val="005EB8" w:themeColor="text2"/>
            <w:u w:val="single"/>
          </w:rPr>
          <w:t>The Framework for Patient and Public Participation in Primary Care Commissioning</w:t>
        </w:r>
      </w:hyperlink>
    </w:p>
    <w:p w14:paraId="4797773E" w14:textId="77777777" w:rsidR="00977693" w:rsidRPr="00CE0885" w:rsidRDefault="00977693" w:rsidP="00980A75">
      <w:pPr>
        <w:pStyle w:val="Heading3"/>
        <w:rPr>
          <w:lang w:eastAsia="en-GB"/>
        </w:rPr>
      </w:pPr>
      <w:bookmarkStart w:id="826" w:name="_Toc440981984"/>
      <w:r w:rsidRPr="00CE0885">
        <w:rPr>
          <w:lang w:eastAsia="en-GB"/>
        </w:rPr>
        <w:t>Once the final date for closure is confirmed the Commissioner will issue a standard variation notice to remove the registered address of the branch surgery from the contract, including the amended sections of the contract for completeness.</w:t>
      </w:r>
      <w:bookmarkEnd w:id="826"/>
    </w:p>
    <w:p w14:paraId="18C667D5" w14:textId="77777777" w:rsidR="00977693" w:rsidRPr="00CE0885" w:rsidRDefault="00977693" w:rsidP="00980A75">
      <w:pPr>
        <w:pStyle w:val="Heading3"/>
        <w:rPr>
          <w:lang w:eastAsia="en-GB"/>
        </w:rPr>
      </w:pPr>
      <w:bookmarkStart w:id="827" w:name="_Toc440981985"/>
      <w:r w:rsidRPr="00CE0885">
        <w:rPr>
          <w:lang w:eastAsia="en-GB"/>
        </w:rPr>
        <w:t>Where the contractor has previously been granted premises consent to dispense, and these rights are only associated with the closing premises in question (that is listed on the relevant dispensing contractor list), the contractor’s consent to dispense will cease.</w:t>
      </w:r>
      <w:bookmarkEnd w:id="827"/>
    </w:p>
    <w:p w14:paraId="0E8A15D9" w14:textId="77777777" w:rsidR="00977693" w:rsidRPr="00CE0885" w:rsidRDefault="00977693" w:rsidP="00980A75">
      <w:pPr>
        <w:pStyle w:val="Heading3"/>
        <w:rPr>
          <w:lang w:eastAsia="en-GB"/>
        </w:rPr>
      </w:pPr>
      <w:bookmarkStart w:id="828" w:name="_Toc440981986"/>
      <w:r w:rsidRPr="00CE0885">
        <w:rPr>
          <w:lang w:eastAsia="en-GB"/>
        </w:rPr>
        <w:t>The Commissioner shall update its records and ensure that the relevant dispensing contractor list is updated appropriately to reflect the removal of the premises.</w:t>
      </w:r>
      <w:bookmarkEnd w:id="828"/>
    </w:p>
    <w:p w14:paraId="6274D389" w14:textId="77777777" w:rsidR="00977693" w:rsidRPr="00CE0885" w:rsidRDefault="00977693" w:rsidP="00980A75">
      <w:pPr>
        <w:pStyle w:val="Heading3"/>
        <w:rPr>
          <w:lang w:eastAsia="en-GB"/>
        </w:rPr>
      </w:pPr>
      <w:bookmarkStart w:id="829" w:name="_Ref410634700"/>
      <w:bookmarkStart w:id="830" w:name="_Toc440981987"/>
      <w:r w:rsidRPr="00CE0885">
        <w:rPr>
          <w:lang w:eastAsia="en-GB"/>
        </w:rPr>
        <w:t>It is possible that a PMS or APMS contract will reflect the terms as set out above. It is however essential that the Commissioner reviews the individual contract for these or any other relevant provisions to allow a variation to effectively remove the closing premises and any rights associated with that premises alone</w:t>
      </w:r>
      <w:bookmarkEnd w:id="829"/>
      <w:r w:rsidRPr="00CE0885">
        <w:rPr>
          <w:lang w:eastAsia="en-GB"/>
        </w:rPr>
        <w:t>.</w:t>
      </w:r>
      <w:bookmarkEnd w:id="830"/>
    </w:p>
    <w:p w14:paraId="36E42754" w14:textId="77777777" w:rsidR="00977693" w:rsidRPr="00CE0885" w:rsidRDefault="00977693" w:rsidP="00980A75">
      <w:pPr>
        <w:pStyle w:val="Heading3"/>
        <w:rPr>
          <w:lang w:eastAsia="en-GB"/>
        </w:rPr>
      </w:pPr>
      <w:r w:rsidRPr="00CE0885">
        <w:rPr>
          <w:lang w:eastAsia="en-GB"/>
        </w:rPr>
        <w:t>Where the commissioner is operating under delegated authority and is considering a branch closure, the commissioner must have regard to the matters set out in the Delegation Agreement as indicated in section 11.14 of this policy.</w:t>
      </w:r>
    </w:p>
    <w:p w14:paraId="69C5A551" w14:textId="77777777" w:rsidR="00977693" w:rsidRPr="009055A7" w:rsidRDefault="00977693" w:rsidP="00977693">
      <w:pPr>
        <w:widowControl w:val="0"/>
        <w:spacing w:line="360" w:lineRule="auto"/>
        <w:ind w:left="1414"/>
        <w:jc w:val="both"/>
        <w:rPr>
          <w:rFonts w:cs="Arial"/>
          <w:bCs w:val="0"/>
          <w:sz w:val="20"/>
          <w:szCs w:val="20"/>
          <w:lang w:eastAsia="en-GB"/>
        </w:rPr>
      </w:pPr>
    </w:p>
    <w:p w14:paraId="5E641287" w14:textId="77777777" w:rsidR="00977693" w:rsidRPr="00CE0885" w:rsidRDefault="00977693" w:rsidP="00977693">
      <w:pPr>
        <w:widowControl w:val="0"/>
        <w:spacing w:line="360" w:lineRule="auto"/>
        <w:jc w:val="both"/>
        <w:rPr>
          <w:rFonts w:cs="Arial"/>
          <w:bCs w:val="0"/>
          <w:sz w:val="20"/>
          <w:szCs w:val="20"/>
          <w:lang w:eastAsia="en-GB"/>
        </w:rPr>
      </w:pPr>
    </w:p>
    <w:p w14:paraId="4027B9C8" w14:textId="77777777" w:rsidR="00977693" w:rsidRPr="00CE0885" w:rsidRDefault="00977693" w:rsidP="00202DD3">
      <w:pPr>
        <w:pStyle w:val="Heading2"/>
        <w:rPr>
          <w:lang w:eastAsia="en-GB"/>
        </w:rPr>
      </w:pPr>
      <w:bookmarkStart w:id="831" w:name="_Toc440981988"/>
      <w:bookmarkStart w:id="832" w:name="_Toc498495401"/>
      <w:r w:rsidRPr="00CE0885">
        <w:rPr>
          <w:lang w:eastAsia="en-GB"/>
        </w:rPr>
        <w:t>Opt Outs</w:t>
      </w:r>
      <w:bookmarkEnd w:id="831"/>
      <w:bookmarkEnd w:id="832"/>
    </w:p>
    <w:p w14:paraId="4F0F0758" w14:textId="77777777" w:rsidR="00977693" w:rsidRPr="00CE0885" w:rsidRDefault="00977693" w:rsidP="00E47A71">
      <w:pPr>
        <w:pStyle w:val="Heading3"/>
        <w:rPr>
          <w:lang w:eastAsia="en-GB"/>
        </w:rPr>
      </w:pPr>
      <w:bookmarkStart w:id="833" w:name="_Toc440981989"/>
      <w:r w:rsidRPr="00CE0885">
        <w:rPr>
          <w:spacing w:val="1"/>
          <w:lang w:eastAsia="en-GB"/>
        </w:rPr>
        <w:t>Se</w:t>
      </w:r>
      <w:r w:rsidRPr="00CE0885">
        <w:rPr>
          <w:spacing w:val="-1"/>
          <w:lang w:eastAsia="en-GB"/>
        </w:rPr>
        <w:t>r</w:t>
      </w:r>
      <w:r w:rsidRPr="00CE0885">
        <w:rPr>
          <w:spacing w:val="-2"/>
          <w:lang w:eastAsia="en-GB"/>
        </w:rPr>
        <w:t>v</w:t>
      </w:r>
      <w:r w:rsidRPr="00CE0885">
        <w:rPr>
          <w:lang w:eastAsia="en-GB"/>
        </w:rPr>
        <w:t>ic</w:t>
      </w:r>
      <w:r w:rsidRPr="00CE0885">
        <w:rPr>
          <w:spacing w:val="1"/>
          <w:lang w:eastAsia="en-GB"/>
        </w:rPr>
        <w:t>e</w:t>
      </w:r>
      <w:r w:rsidRPr="00CE0885">
        <w:rPr>
          <w:lang w:eastAsia="en-GB"/>
        </w:rPr>
        <w:t>s</w:t>
      </w:r>
      <w:r w:rsidRPr="00CE0885">
        <w:rPr>
          <w:spacing w:val="-9"/>
          <w:lang w:eastAsia="en-GB"/>
        </w:rPr>
        <w:t xml:space="preserve"> </w:t>
      </w:r>
      <w:r w:rsidRPr="00CE0885">
        <w:rPr>
          <w:spacing w:val="1"/>
          <w:lang w:eastAsia="en-GB"/>
        </w:rPr>
        <w:t>unde</w:t>
      </w:r>
      <w:r w:rsidRPr="00CE0885">
        <w:rPr>
          <w:lang w:eastAsia="en-GB"/>
        </w:rPr>
        <w:t>r</w:t>
      </w:r>
      <w:r w:rsidRPr="00CE0885">
        <w:rPr>
          <w:spacing w:val="-6"/>
          <w:lang w:eastAsia="en-GB"/>
        </w:rPr>
        <w:t xml:space="preserve"> </w:t>
      </w:r>
      <w:r w:rsidRPr="00CE0885">
        <w:rPr>
          <w:spacing w:val="1"/>
          <w:lang w:eastAsia="en-GB"/>
        </w:rPr>
        <w:t>p</w:t>
      </w:r>
      <w:r w:rsidRPr="00CE0885">
        <w:rPr>
          <w:spacing w:val="-1"/>
          <w:lang w:eastAsia="en-GB"/>
        </w:rPr>
        <w:t>r</w:t>
      </w:r>
      <w:r w:rsidRPr="00CE0885">
        <w:rPr>
          <w:lang w:eastAsia="en-GB"/>
        </w:rPr>
        <w:t>i</w:t>
      </w:r>
      <w:r w:rsidRPr="00CE0885">
        <w:rPr>
          <w:spacing w:val="2"/>
          <w:lang w:eastAsia="en-GB"/>
        </w:rPr>
        <w:t>m</w:t>
      </w:r>
      <w:r w:rsidRPr="00CE0885">
        <w:rPr>
          <w:spacing w:val="1"/>
          <w:lang w:eastAsia="en-GB"/>
        </w:rPr>
        <w:t>a</w:t>
      </w:r>
      <w:r w:rsidRPr="00CE0885">
        <w:rPr>
          <w:spacing w:val="-1"/>
          <w:lang w:eastAsia="en-GB"/>
        </w:rPr>
        <w:t>r</w:t>
      </w:r>
      <w:r w:rsidRPr="00CE0885">
        <w:rPr>
          <w:lang w:eastAsia="en-GB"/>
        </w:rPr>
        <w:t>y</w:t>
      </w:r>
      <w:r w:rsidRPr="00CE0885">
        <w:rPr>
          <w:spacing w:val="-10"/>
          <w:lang w:eastAsia="en-GB"/>
        </w:rPr>
        <w:t xml:space="preserve"> </w:t>
      </w:r>
      <w:r w:rsidRPr="00CE0885">
        <w:rPr>
          <w:spacing w:val="2"/>
          <w:lang w:eastAsia="en-GB"/>
        </w:rPr>
        <w:t>m</w:t>
      </w:r>
      <w:r w:rsidRPr="00CE0885">
        <w:rPr>
          <w:spacing w:val="1"/>
          <w:lang w:eastAsia="en-GB"/>
        </w:rPr>
        <w:t>ed</w:t>
      </w:r>
      <w:r w:rsidRPr="00CE0885">
        <w:rPr>
          <w:lang w:eastAsia="en-GB"/>
        </w:rPr>
        <w:t>i</w:t>
      </w:r>
      <w:r w:rsidRPr="00CE0885">
        <w:rPr>
          <w:spacing w:val="-2"/>
          <w:lang w:eastAsia="en-GB"/>
        </w:rPr>
        <w:t>c</w:t>
      </w:r>
      <w:r w:rsidRPr="00CE0885">
        <w:rPr>
          <w:spacing w:val="1"/>
          <w:lang w:eastAsia="en-GB"/>
        </w:rPr>
        <w:t>a</w:t>
      </w:r>
      <w:r w:rsidRPr="00CE0885">
        <w:rPr>
          <w:lang w:eastAsia="en-GB"/>
        </w:rPr>
        <w:t>l</w:t>
      </w:r>
      <w:r w:rsidRPr="00CE0885">
        <w:rPr>
          <w:spacing w:val="-8"/>
          <w:lang w:eastAsia="en-GB"/>
        </w:rPr>
        <w:t xml:space="preserve"> </w:t>
      </w:r>
      <w:r w:rsidRPr="00CE0885">
        <w:rPr>
          <w:lang w:eastAsia="en-GB"/>
        </w:rPr>
        <w:t>contracts</w:t>
      </w:r>
      <w:r w:rsidRPr="00CE0885">
        <w:rPr>
          <w:spacing w:val="-15"/>
          <w:lang w:eastAsia="en-GB"/>
        </w:rPr>
        <w:t xml:space="preserve"> </w:t>
      </w:r>
      <w:r w:rsidRPr="00CE0885">
        <w:rPr>
          <w:spacing w:val="1"/>
          <w:lang w:eastAsia="en-GB"/>
        </w:rPr>
        <w:t>a</w:t>
      </w:r>
      <w:r w:rsidRPr="00CE0885">
        <w:rPr>
          <w:spacing w:val="-1"/>
          <w:lang w:eastAsia="en-GB"/>
        </w:rPr>
        <w:t>r</w:t>
      </w:r>
      <w:r w:rsidRPr="00CE0885">
        <w:rPr>
          <w:lang w:eastAsia="en-GB"/>
        </w:rPr>
        <w:t>e</w:t>
      </w:r>
      <w:r w:rsidRPr="00CE0885">
        <w:rPr>
          <w:spacing w:val="-1"/>
          <w:lang w:eastAsia="en-GB"/>
        </w:rPr>
        <w:t xml:space="preserve"> </w:t>
      </w:r>
      <w:r w:rsidRPr="00CE0885">
        <w:rPr>
          <w:spacing w:val="-2"/>
          <w:lang w:eastAsia="en-GB"/>
        </w:rPr>
        <w:t>categorised as</w:t>
      </w:r>
      <w:r w:rsidRPr="00CE0885">
        <w:rPr>
          <w:lang w:eastAsia="en-GB"/>
        </w:rPr>
        <w:t>:</w:t>
      </w:r>
      <w:bookmarkEnd w:id="833"/>
      <w:r w:rsidRPr="00CE0885">
        <w:rPr>
          <w:lang w:eastAsia="en-GB"/>
        </w:rPr>
        <w:t xml:space="preserve"> </w:t>
      </w:r>
    </w:p>
    <w:p w14:paraId="0E99A512" w14:textId="77777777" w:rsidR="00977693" w:rsidRPr="00CE0885" w:rsidRDefault="00977693" w:rsidP="00E47A71">
      <w:pPr>
        <w:pStyle w:val="Heading4"/>
      </w:pPr>
      <w:bookmarkStart w:id="834" w:name="_Toc440981990"/>
      <w:r w:rsidRPr="00CE0885">
        <w:rPr>
          <w:spacing w:val="1"/>
        </w:rPr>
        <w:t>E</w:t>
      </w:r>
      <w:r w:rsidRPr="00CE0885">
        <w:t>ss</w:t>
      </w:r>
      <w:r w:rsidRPr="00CE0885">
        <w:rPr>
          <w:spacing w:val="1"/>
        </w:rPr>
        <w:t>ent</w:t>
      </w:r>
      <w:r w:rsidRPr="00CE0885">
        <w:t>i</w:t>
      </w:r>
      <w:r w:rsidRPr="00CE0885">
        <w:rPr>
          <w:spacing w:val="1"/>
        </w:rPr>
        <w:t>a</w:t>
      </w:r>
      <w:r w:rsidRPr="00CE0885">
        <w:t>l</w:t>
      </w:r>
      <w:r w:rsidRPr="00CE0885">
        <w:rPr>
          <w:spacing w:val="-10"/>
        </w:rPr>
        <w:t xml:space="preserve"> </w:t>
      </w:r>
      <w:r w:rsidRPr="00CE0885">
        <w:rPr>
          <w:spacing w:val="-2"/>
        </w:rPr>
        <w:t>s</w:t>
      </w:r>
      <w:r w:rsidRPr="00CE0885">
        <w:rPr>
          <w:spacing w:val="1"/>
        </w:rPr>
        <w:t>e</w:t>
      </w:r>
      <w:r w:rsidRPr="00CE0885">
        <w:rPr>
          <w:spacing w:val="-1"/>
        </w:rPr>
        <w:t>r</w:t>
      </w:r>
      <w:r w:rsidRPr="00CE0885">
        <w:rPr>
          <w:spacing w:val="-2"/>
        </w:rPr>
        <w:t>v</w:t>
      </w:r>
      <w:r w:rsidRPr="00CE0885">
        <w:t>ic</w:t>
      </w:r>
      <w:r w:rsidRPr="00CE0885">
        <w:rPr>
          <w:spacing w:val="1"/>
        </w:rPr>
        <w:t>e</w:t>
      </w:r>
      <w:r w:rsidRPr="00CE0885">
        <w:t>s – these are the services described in regulation 15 of the GMS Regulations which a GMS contractor must provide. Essential services are not mandatory for PMS or APMS contractors;</w:t>
      </w:r>
      <w:bookmarkEnd w:id="834"/>
      <w:r w:rsidRPr="00CE0885">
        <w:t xml:space="preserve"> </w:t>
      </w:r>
    </w:p>
    <w:p w14:paraId="375E5ECF" w14:textId="77777777" w:rsidR="00977693" w:rsidRPr="00CE0885" w:rsidRDefault="00977693" w:rsidP="00E47A71">
      <w:pPr>
        <w:pStyle w:val="Heading4"/>
      </w:pPr>
      <w:bookmarkStart w:id="835" w:name="_Toc440981991"/>
      <w:r w:rsidRPr="00CE0885">
        <w:t>Additi</w:t>
      </w:r>
      <w:r w:rsidRPr="00CE0885">
        <w:rPr>
          <w:spacing w:val="-1"/>
        </w:rPr>
        <w:t>o</w:t>
      </w:r>
      <w:r w:rsidRPr="00CE0885">
        <w:t>nal</w:t>
      </w:r>
      <w:r w:rsidRPr="00CE0885">
        <w:rPr>
          <w:spacing w:val="-11"/>
        </w:rPr>
        <w:t xml:space="preserve"> </w:t>
      </w:r>
      <w:r w:rsidRPr="00CE0885">
        <w:t>se</w:t>
      </w:r>
      <w:r w:rsidRPr="00CE0885">
        <w:rPr>
          <w:spacing w:val="-1"/>
        </w:rPr>
        <w:t>r</w:t>
      </w:r>
      <w:r w:rsidRPr="00CE0885">
        <w:rPr>
          <w:spacing w:val="-2"/>
        </w:rPr>
        <w:t>v</w:t>
      </w:r>
      <w:r w:rsidRPr="00CE0885">
        <w:t>ices</w:t>
      </w:r>
      <w:r w:rsidRPr="00CE0885">
        <w:rPr>
          <w:spacing w:val="-1"/>
          <w:position w:val="11"/>
        </w:rPr>
        <w:t xml:space="preserve"> </w:t>
      </w:r>
      <w:r w:rsidRPr="00CE0885">
        <w:t>a</w:t>
      </w:r>
      <w:r w:rsidRPr="00CE0885">
        <w:rPr>
          <w:spacing w:val="-1"/>
        </w:rPr>
        <w:t>n</w:t>
      </w:r>
      <w:r w:rsidRPr="00CE0885">
        <w:t>d</w:t>
      </w:r>
      <w:r w:rsidRPr="00CE0885">
        <w:rPr>
          <w:spacing w:val="-2"/>
        </w:rPr>
        <w:t xml:space="preserve"> </w:t>
      </w:r>
      <w:r w:rsidRPr="00CE0885">
        <w:t>o</w:t>
      </w:r>
      <w:r w:rsidRPr="00CE0885">
        <w:rPr>
          <w:spacing w:val="-1"/>
        </w:rPr>
        <w:t>u</w:t>
      </w:r>
      <w:r w:rsidRPr="00CE0885">
        <w:t>t</w:t>
      </w:r>
      <w:r w:rsidRPr="00CE0885">
        <w:rPr>
          <w:spacing w:val="-2"/>
        </w:rPr>
        <w:t xml:space="preserve"> </w:t>
      </w:r>
      <w:r w:rsidRPr="00CE0885">
        <w:rPr>
          <w:spacing w:val="-1"/>
        </w:rPr>
        <w:t>o</w:t>
      </w:r>
      <w:r w:rsidRPr="00CE0885">
        <w:t>f</w:t>
      </w:r>
      <w:r w:rsidRPr="00CE0885">
        <w:rPr>
          <w:spacing w:val="-1"/>
        </w:rPr>
        <w:t xml:space="preserve"> </w:t>
      </w:r>
      <w:r w:rsidRPr="00CE0885">
        <w:t>h</w:t>
      </w:r>
      <w:r w:rsidRPr="00CE0885">
        <w:rPr>
          <w:spacing w:val="-1"/>
        </w:rPr>
        <w:t>o</w:t>
      </w:r>
      <w:r w:rsidRPr="00CE0885">
        <w:t>u</w:t>
      </w:r>
      <w:r w:rsidRPr="00CE0885">
        <w:rPr>
          <w:spacing w:val="-1"/>
        </w:rPr>
        <w:t>r</w:t>
      </w:r>
      <w:r w:rsidRPr="00CE0885">
        <w:t>s – these are specific services that are additional to essential services. It is not mandatory for contractors to provide these services but where GMS and PMS contractors provide such services, the contracts must contain terms relating to the procedure for opting out of those services. It is not a requirement that APMS contracts contain such opt out provisions but the Commissioner should review the relevant APMS contract to determine whether any such provisions have been included; or</w:t>
      </w:r>
      <w:bookmarkEnd w:id="835"/>
    </w:p>
    <w:p w14:paraId="3A67F8AD" w14:textId="77777777" w:rsidR="00977693" w:rsidRPr="00CE0885" w:rsidRDefault="00977693" w:rsidP="00E47A71">
      <w:pPr>
        <w:pStyle w:val="Heading4"/>
      </w:pPr>
      <w:bookmarkStart w:id="836" w:name="_Toc440981992"/>
      <w:r w:rsidRPr="00CE0885">
        <w:t>Enh</w:t>
      </w:r>
      <w:r w:rsidRPr="00CE0885">
        <w:rPr>
          <w:spacing w:val="-1"/>
        </w:rPr>
        <w:t>a</w:t>
      </w:r>
      <w:r w:rsidRPr="00CE0885">
        <w:t>nc</w:t>
      </w:r>
      <w:r w:rsidRPr="00CE0885">
        <w:rPr>
          <w:spacing w:val="-1"/>
        </w:rPr>
        <w:t>e</w:t>
      </w:r>
      <w:r w:rsidRPr="00CE0885">
        <w:t>d</w:t>
      </w:r>
      <w:r w:rsidRPr="00CE0885">
        <w:rPr>
          <w:spacing w:val="-9"/>
        </w:rPr>
        <w:t xml:space="preserve"> </w:t>
      </w:r>
      <w:r w:rsidRPr="00CE0885">
        <w:t>se</w:t>
      </w:r>
      <w:r w:rsidRPr="00CE0885">
        <w:rPr>
          <w:spacing w:val="-1"/>
        </w:rPr>
        <w:t>r</w:t>
      </w:r>
      <w:r w:rsidRPr="00CE0885">
        <w:rPr>
          <w:spacing w:val="-2"/>
        </w:rPr>
        <w:t>v</w:t>
      </w:r>
      <w:r w:rsidRPr="00CE0885">
        <w:t>ices - t</w:t>
      </w:r>
      <w:r w:rsidRPr="00CE0885">
        <w:rPr>
          <w:spacing w:val="-1"/>
        </w:rPr>
        <w:t>h</w:t>
      </w:r>
      <w:r w:rsidRPr="00CE0885">
        <w:t>ese a</w:t>
      </w:r>
      <w:r w:rsidRPr="00CE0885">
        <w:rPr>
          <w:spacing w:val="-1"/>
        </w:rPr>
        <w:t>r</w:t>
      </w:r>
      <w:r w:rsidRPr="00CE0885">
        <w:t>e</w:t>
      </w:r>
      <w:r w:rsidRPr="00CE0885">
        <w:rPr>
          <w:spacing w:val="-4"/>
        </w:rPr>
        <w:t xml:space="preserve"> any </w:t>
      </w:r>
      <w:r w:rsidRPr="00CE0885">
        <w:t>se</w:t>
      </w:r>
      <w:r w:rsidRPr="00CE0885">
        <w:rPr>
          <w:spacing w:val="-1"/>
        </w:rPr>
        <w:t>r</w:t>
      </w:r>
      <w:r w:rsidRPr="00CE0885">
        <w:rPr>
          <w:spacing w:val="-2"/>
        </w:rPr>
        <w:t>v</w:t>
      </w:r>
      <w:r w:rsidRPr="00CE0885">
        <w:t>ices</w:t>
      </w:r>
      <w:r w:rsidRPr="00CE0885">
        <w:rPr>
          <w:spacing w:val="-9"/>
        </w:rPr>
        <w:t xml:space="preserve"> </w:t>
      </w:r>
      <w:r w:rsidRPr="00CE0885">
        <w:t xml:space="preserve">that go beyond essential, additional or out of hours services that </w:t>
      </w:r>
      <w:r w:rsidRPr="00CE0885">
        <w:rPr>
          <w:spacing w:val="-2"/>
        </w:rPr>
        <w:t>t</w:t>
      </w:r>
      <w:r w:rsidRPr="00CE0885">
        <w:t>he</w:t>
      </w:r>
      <w:r w:rsidRPr="00CE0885">
        <w:rPr>
          <w:spacing w:val="-1"/>
        </w:rPr>
        <w:t xml:space="preserve"> </w:t>
      </w:r>
      <w:r w:rsidRPr="00CE0885">
        <w:t>c</w:t>
      </w:r>
      <w:r w:rsidRPr="00CE0885">
        <w:rPr>
          <w:spacing w:val="-1"/>
        </w:rPr>
        <w:t>o</w:t>
      </w:r>
      <w:r w:rsidRPr="00CE0885">
        <w:t>nt</w:t>
      </w:r>
      <w:r w:rsidRPr="00CE0885">
        <w:rPr>
          <w:spacing w:val="-1"/>
        </w:rPr>
        <w:t>r</w:t>
      </w:r>
      <w:r w:rsidRPr="00CE0885">
        <w:t>ac</w:t>
      </w:r>
      <w:r w:rsidRPr="00CE0885">
        <w:rPr>
          <w:spacing w:val="-2"/>
        </w:rPr>
        <w:t>t</w:t>
      </w:r>
      <w:r w:rsidRPr="00CE0885">
        <w:t>or</w:t>
      </w:r>
      <w:r w:rsidRPr="00CE0885">
        <w:rPr>
          <w:spacing w:val="-11"/>
        </w:rPr>
        <w:t xml:space="preserve"> </w:t>
      </w:r>
      <w:r w:rsidRPr="00CE0885">
        <w:rPr>
          <w:spacing w:val="-1"/>
        </w:rPr>
        <w:t>m</w:t>
      </w:r>
      <w:r w:rsidRPr="00CE0885">
        <w:t>ay</w:t>
      </w:r>
      <w:r w:rsidRPr="00CE0885">
        <w:rPr>
          <w:spacing w:val="-7"/>
        </w:rPr>
        <w:t xml:space="preserve"> </w:t>
      </w:r>
      <w:r w:rsidRPr="00CE0885">
        <w:t>ha</w:t>
      </w:r>
      <w:r w:rsidRPr="00CE0885">
        <w:rPr>
          <w:spacing w:val="-2"/>
        </w:rPr>
        <w:t>v</w:t>
      </w:r>
      <w:r w:rsidRPr="00CE0885">
        <w:t>e a</w:t>
      </w:r>
      <w:r w:rsidRPr="00CE0885">
        <w:rPr>
          <w:spacing w:val="-1"/>
        </w:rPr>
        <w:t>gr</w:t>
      </w:r>
      <w:r w:rsidRPr="00CE0885">
        <w:t>eed to</w:t>
      </w:r>
      <w:r w:rsidRPr="00CE0885">
        <w:rPr>
          <w:spacing w:val="-3"/>
        </w:rPr>
        <w:t xml:space="preserve"> </w:t>
      </w:r>
      <w:r w:rsidRPr="00CE0885">
        <w:t>be</w:t>
      </w:r>
      <w:r w:rsidRPr="00CE0885">
        <w:rPr>
          <w:spacing w:val="-4"/>
        </w:rPr>
        <w:t xml:space="preserve"> </w:t>
      </w:r>
      <w:r w:rsidRPr="00CE0885">
        <w:t>inclu</w:t>
      </w:r>
      <w:r w:rsidRPr="00CE0885">
        <w:rPr>
          <w:spacing w:val="-1"/>
        </w:rPr>
        <w:t>d</w:t>
      </w:r>
      <w:r w:rsidRPr="00CE0885">
        <w:t>ed.</w:t>
      </w:r>
      <w:bookmarkEnd w:id="836"/>
    </w:p>
    <w:p w14:paraId="41BBD7A5" w14:textId="77777777" w:rsidR="00977693" w:rsidRPr="00CE0885" w:rsidRDefault="00977693" w:rsidP="00E47A71">
      <w:pPr>
        <w:pStyle w:val="Heading3"/>
        <w:rPr>
          <w:lang w:eastAsia="en-GB"/>
        </w:rPr>
      </w:pPr>
      <w:bookmarkStart w:id="837" w:name="_Toc440981993"/>
      <w:r w:rsidRPr="00CE0885">
        <w:rPr>
          <w:spacing w:val="6"/>
          <w:lang w:eastAsia="en-GB"/>
        </w:rPr>
        <w:t>W</w:t>
      </w:r>
      <w:r w:rsidRPr="00CE0885">
        <w:rPr>
          <w:spacing w:val="-1"/>
          <w:lang w:eastAsia="en-GB"/>
        </w:rPr>
        <w:t>h</w:t>
      </w:r>
      <w:r w:rsidRPr="00CE0885">
        <w:rPr>
          <w:spacing w:val="1"/>
          <w:lang w:eastAsia="en-GB"/>
        </w:rPr>
        <w:t>e</w:t>
      </w:r>
      <w:r w:rsidRPr="00CE0885">
        <w:rPr>
          <w:spacing w:val="-1"/>
          <w:lang w:eastAsia="en-GB"/>
        </w:rPr>
        <w:t>r</w:t>
      </w:r>
      <w:r w:rsidRPr="00CE0885">
        <w:rPr>
          <w:lang w:eastAsia="en-GB"/>
        </w:rPr>
        <w:t>e</w:t>
      </w:r>
      <w:r w:rsidRPr="00CE0885">
        <w:rPr>
          <w:spacing w:val="-8"/>
          <w:lang w:eastAsia="en-GB"/>
        </w:rPr>
        <w:t xml:space="preserve"> </w:t>
      </w:r>
      <w:r w:rsidRPr="00CE0885">
        <w:rPr>
          <w:lang w:eastAsia="en-GB"/>
        </w:rPr>
        <w:t>a c</w:t>
      </w:r>
      <w:r w:rsidRPr="00CE0885">
        <w:rPr>
          <w:spacing w:val="1"/>
          <w:lang w:eastAsia="en-GB"/>
        </w:rPr>
        <w:t>ont</w:t>
      </w:r>
      <w:r w:rsidRPr="00CE0885">
        <w:rPr>
          <w:spacing w:val="-1"/>
          <w:lang w:eastAsia="en-GB"/>
        </w:rPr>
        <w:t>r</w:t>
      </w:r>
      <w:r w:rsidRPr="00CE0885">
        <w:rPr>
          <w:spacing w:val="1"/>
          <w:lang w:eastAsia="en-GB"/>
        </w:rPr>
        <w:t>a</w:t>
      </w:r>
      <w:r w:rsidRPr="00CE0885">
        <w:rPr>
          <w:lang w:eastAsia="en-GB"/>
        </w:rPr>
        <w:t>c</w:t>
      </w:r>
      <w:r w:rsidRPr="00CE0885">
        <w:rPr>
          <w:spacing w:val="-2"/>
          <w:lang w:eastAsia="en-GB"/>
        </w:rPr>
        <w:t>t</w:t>
      </w:r>
      <w:r w:rsidRPr="00CE0885">
        <w:rPr>
          <w:spacing w:val="1"/>
          <w:lang w:eastAsia="en-GB"/>
        </w:rPr>
        <w:t>o</w:t>
      </w:r>
      <w:r w:rsidRPr="00CE0885">
        <w:rPr>
          <w:lang w:eastAsia="en-GB"/>
        </w:rPr>
        <w:t>r</w:t>
      </w:r>
      <w:r w:rsidRPr="00CE0885">
        <w:rPr>
          <w:spacing w:val="-11"/>
          <w:lang w:eastAsia="en-GB"/>
        </w:rPr>
        <w:t xml:space="preserve"> </w:t>
      </w:r>
      <w:r w:rsidRPr="00CE0885">
        <w:rPr>
          <w:spacing w:val="1"/>
          <w:lang w:eastAsia="en-GB"/>
        </w:rPr>
        <w:t>ha</w:t>
      </w:r>
      <w:r w:rsidRPr="00CE0885">
        <w:rPr>
          <w:lang w:eastAsia="en-GB"/>
        </w:rPr>
        <w:t>s</w:t>
      </w:r>
      <w:r w:rsidRPr="00CE0885">
        <w:rPr>
          <w:spacing w:val="-6"/>
          <w:lang w:eastAsia="en-GB"/>
        </w:rPr>
        <w:t xml:space="preserve"> </w:t>
      </w:r>
      <w:r w:rsidRPr="00CE0885">
        <w:rPr>
          <w:spacing w:val="1"/>
          <w:lang w:eastAsia="en-GB"/>
        </w:rPr>
        <w:t>op</w:t>
      </w:r>
      <w:r w:rsidRPr="00CE0885">
        <w:rPr>
          <w:spacing w:val="-2"/>
          <w:lang w:eastAsia="en-GB"/>
        </w:rPr>
        <w:t>t</w:t>
      </w:r>
      <w:r w:rsidRPr="00CE0885">
        <w:rPr>
          <w:spacing w:val="1"/>
          <w:lang w:eastAsia="en-GB"/>
        </w:rPr>
        <w:t>e</w:t>
      </w:r>
      <w:r w:rsidRPr="00CE0885">
        <w:rPr>
          <w:lang w:eastAsia="en-GB"/>
        </w:rPr>
        <w:t>d</w:t>
      </w:r>
      <w:r w:rsidRPr="00CE0885">
        <w:rPr>
          <w:spacing w:val="-7"/>
          <w:lang w:eastAsia="en-GB"/>
        </w:rPr>
        <w:t xml:space="preserve"> </w:t>
      </w:r>
      <w:r w:rsidRPr="00CE0885">
        <w:rPr>
          <w:spacing w:val="-1"/>
          <w:lang w:eastAsia="en-GB"/>
        </w:rPr>
        <w:t>o</w:t>
      </w:r>
      <w:r w:rsidRPr="00CE0885">
        <w:rPr>
          <w:spacing w:val="1"/>
          <w:lang w:eastAsia="en-GB"/>
        </w:rPr>
        <w:t>u</w:t>
      </w:r>
      <w:r w:rsidRPr="00CE0885">
        <w:rPr>
          <w:lang w:eastAsia="en-GB"/>
        </w:rPr>
        <w:t>t</w:t>
      </w:r>
      <w:r w:rsidRPr="00CE0885">
        <w:rPr>
          <w:spacing w:val="-2"/>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1"/>
          <w:lang w:eastAsia="en-GB"/>
        </w:rPr>
        <w:t>de</w:t>
      </w:r>
      <w:r w:rsidRPr="00CE0885">
        <w:rPr>
          <w:lang w:eastAsia="en-GB"/>
        </w:rPr>
        <w:t>li</w:t>
      </w:r>
      <w:r w:rsidRPr="00CE0885">
        <w:rPr>
          <w:spacing w:val="-2"/>
          <w:lang w:eastAsia="en-GB"/>
        </w:rPr>
        <w:t>v</w:t>
      </w:r>
      <w:r w:rsidRPr="00CE0885">
        <w:rPr>
          <w:spacing w:val="1"/>
          <w:lang w:eastAsia="en-GB"/>
        </w:rPr>
        <w:t>e</w:t>
      </w:r>
      <w:r w:rsidRPr="00CE0885">
        <w:rPr>
          <w:spacing w:val="-1"/>
          <w:lang w:eastAsia="en-GB"/>
        </w:rPr>
        <w:t>r</w:t>
      </w:r>
      <w:r w:rsidRPr="00CE0885">
        <w:rPr>
          <w:lang w:eastAsia="en-GB"/>
        </w:rPr>
        <w:t>i</w:t>
      </w:r>
      <w:r w:rsidRPr="00CE0885">
        <w:rPr>
          <w:spacing w:val="1"/>
          <w:lang w:eastAsia="en-GB"/>
        </w:rPr>
        <w:t>n</w:t>
      </w:r>
      <w:r w:rsidRPr="00CE0885">
        <w:rPr>
          <w:lang w:eastAsia="en-GB"/>
        </w:rPr>
        <w:t>g</w:t>
      </w:r>
      <w:r w:rsidRPr="00CE0885">
        <w:rPr>
          <w:spacing w:val="-11"/>
          <w:lang w:eastAsia="en-GB"/>
        </w:rPr>
        <w:t xml:space="preserve"> </w:t>
      </w:r>
      <w:r w:rsidRPr="00CE0885">
        <w:rPr>
          <w:spacing w:val="1"/>
          <w:lang w:eastAsia="en-GB"/>
        </w:rPr>
        <w:t>an</w:t>
      </w:r>
      <w:r w:rsidRPr="00CE0885">
        <w:rPr>
          <w:lang w:eastAsia="en-GB"/>
        </w:rPr>
        <w:t>y</w:t>
      </w:r>
      <w:r w:rsidRPr="00CE0885">
        <w:rPr>
          <w:spacing w:val="-6"/>
          <w:lang w:eastAsia="en-GB"/>
        </w:rPr>
        <w:t xml:space="preserve"> </w:t>
      </w:r>
      <w:r w:rsidRPr="00CE0885">
        <w:rPr>
          <w:spacing w:val="1"/>
          <w:lang w:eastAsia="en-GB"/>
        </w:rPr>
        <w:t>o</w:t>
      </w:r>
      <w:r w:rsidRPr="00CE0885">
        <w:rPr>
          <w:lang w:eastAsia="en-GB"/>
        </w:rPr>
        <w:t>r</w:t>
      </w:r>
      <w:r w:rsidRPr="00CE0885">
        <w:rPr>
          <w:spacing w:val="-2"/>
          <w:lang w:eastAsia="en-GB"/>
        </w:rPr>
        <w:t xml:space="preserve"> </w:t>
      </w:r>
      <w:r w:rsidRPr="00CE0885">
        <w:rPr>
          <w:spacing w:val="1"/>
          <w:lang w:eastAsia="en-GB"/>
        </w:rPr>
        <w:t>a</w:t>
      </w:r>
      <w:r w:rsidRPr="00CE0885">
        <w:rPr>
          <w:lang w:eastAsia="en-GB"/>
        </w:rPr>
        <w:t>ll</w:t>
      </w:r>
      <w:r w:rsidRPr="00CE0885">
        <w:rPr>
          <w:spacing w:val="-2"/>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2"/>
          <w:lang w:eastAsia="en-GB"/>
        </w:rPr>
        <w:t>t</w:t>
      </w:r>
      <w:r w:rsidRPr="00CE0885">
        <w:rPr>
          <w:spacing w:val="1"/>
          <w:lang w:eastAsia="en-GB"/>
        </w:rPr>
        <w:t>h</w:t>
      </w:r>
      <w:r w:rsidRPr="00CE0885">
        <w:rPr>
          <w:lang w:eastAsia="en-GB"/>
        </w:rPr>
        <w:t>e</w:t>
      </w:r>
      <w:r w:rsidRPr="00CE0885">
        <w:rPr>
          <w:spacing w:val="-4"/>
          <w:lang w:eastAsia="en-GB"/>
        </w:rPr>
        <w:t xml:space="preserve"> </w:t>
      </w:r>
      <w:r w:rsidRPr="00CE0885">
        <w:rPr>
          <w:spacing w:val="1"/>
          <w:lang w:eastAsia="en-GB"/>
        </w:rPr>
        <w:t>add</w:t>
      </w:r>
      <w:r w:rsidRPr="00CE0885">
        <w:rPr>
          <w:lang w:eastAsia="en-GB"/>
        </w:rPr>
        <w:t>i</w:t>
      </w:r>
      <w:r w:rsidRPr="00CE0885">
        <w:rPr>
          <w:spacing w:val="1"/>
          <w:lang w:eastAsia="en-GB"/>
        </w:rPr>
        <w:t>t</w:t>
      </w:r>
      <w:r w:rsidRPr="00CE0885">
        <w:rPr>
          <w:lang w:eastAsia="en-GB"/>
        </w:rPr>
        <w:t>i</w:t>
      </w:r>
      <w:r w:rsidRPr="00CE0885">
        <w:rPr>
          <w:spacing w:val="-1"/>
          <w:lang w:eastAsia="en-GB"/>
        </w:rPr>
        <w:t>o</w:t>
      </w:r>
      <w:r w:rsidRPr="00CE0885">
        <w:rPr>
          <w:spacing w:val="1"/>
          <w:lang w:eastAsia="en-GB"/>
        </w:rPr>
        <w:t>na</w:t>
      </w:r>
      <w:r w:rsidRPr="00CE0885">
        <w:rPr>
          <w:lang w:eastAsia="en-GB"/>
        </w:rPr>
        <w:t>l or out of hours s</w:t>
      </w:r>
      <w:r w:rsidRPr="00CE0885">
        <w:rPr>
          <w:spacing w:val="1"/>
          <w:lang w:eastAsia="en-GB"/>
        </w:rPr>
        <w:t>e</w:t>
      </w:r>
      <w:r w:rsidRPr="00CE0885">
        <w:rPr>
          <w:spacing w:val="-1"/>
          <w:lang w:eastAsia="en-GB"/>
        </w:rPr>
        <w:t>r</w:t>
      </w:r>
      <w:r w:rsidRPr="00CE0885">
        <w:rPr>
          <w:spacing w:val="-2"/>
          <w:lang w:eastAsia="en-GB"/>
        </w:rPr>
        <w:t>v</w:t>
      </w:r>
      <w:r w:rsidRPr="00CE0885">
        <w:rPr>
          <w:lang w:eastAsia="en-GB"/>
        </w:rPr>
        <w:t>ic</w:t>
      </w:r>
      <w:r w:rsidRPr="00CE0885">
        <w:rPr>
          <w:spacing w:val="1"/>
          <w:lang w:eastAsia="en-GB"/>
        </w:rPr>
        <w:t>e</w:t>
      </w:r>
      <w:r w:rsidRPr="00CE0885">
        <w:rPr>
          <w:lang w:eastAsia="en-GB"/>
        </w:rPr>
        <w:t>s,</w:t>
      </w:r>
      <w:r w:rsidRPr="00CE0885">
        <w:rPr>
          <w:spacing w:val="-8"/>
          <w:lang w:eastAsia="en-GB"/>
        </w:rPr>
        <w:t xml:space="preserve"> </w:t>
      </w:r>
      <w:r w:rsidRPr="00CE0885">
        <w:rPr>
          <w:spacing w:val="1"/>
          <w:lang w:eastAsia="en-GB"/>
        </w:rPr>
        <w:t>th</w:t>
      </w:r>
      <w:r w:rsidRPr="00CE0885">
        <w:rPr>
          <w:lang w:eastAsia="en-GB"/>
        </w:rPr>
        <w:t>e</w:t>
      </w:r>
      <w:r w:rsidRPr="00CE0885">
        <w:rPr>
          <w:spacing w:val="-1"/>
          <w:lang w:eastAsia="en-GB"/>
        </w:rPr>
        <w:t xml:space="preserve"> </w:t>
      </w:r>
      <w:r w:rsidRPr="00CE0885">
        <w:rPr>
          <w:lang w:eastAsia="en-GB"/>
        </w:rPr>
        <w:t>Commissioner</w:t>
      </w:r>
      <w:r w:rsidRPr="00CE0885">
        <w:rPr>
          <w:spacing w:val="-4"/>
          <w:lang w:eastAsia="en-GB"/>
        </w:rPr>
        <w:t xml:space="preserve"> </w:t>
      </w:r>
      <w:r w:rsidRPr="00CE0885">
        <w:rPr>
          <w:spacing w:val="2"/>
          <w:lang w:eastAsia="en-GB"/>
        </w:rPr>
        <w:t>m</w:t>
      </w:r>
      <w:r w:rsidRPr="00CE0885">
        <w:rPr>
          <w:spacing w:val="1"/>
          <w:lang w:eastAsia="en-GB"/>
        </w:rPr>
        <w:t>u</w:t>
      </w:r>
      <w:r w:rsidRPr="00CE0885">
        <w:rPr>
          <w:lang w:eastAsia="en-GB"/>
        </w:rPr>
        <w:t>st</w:t>
      </w:r>
      <w:r w:rsidRPr="00CE0885">
        <w:rPr>
          <w:spacing w:val="-4"/>
          <w:lang w:eastAsia="en-GB"/>
        </w:rPr>
        <w:t xml:space="preserve"> </w:t>
      </w:r>
      <w:r w:rsidRPr="00CE0885">
        <w:rPr>
          <w:spacing w:val="-2"/>
          <w:lang w:eastAsia="en-GB"/>
        </w:rPr>
        <w:t>c</w:t>
      </w:r>
      <w:r w:rsidRPr="00CE0885">
        <w:rPr>
          <w:spacing w:val="-1"/>
          <w:lang w:eastAsia="en-GB"/>
        </w:rPr>
        <w:t>o</w:t>
      </w:r>
      <w:r w:rsidRPr="00CE0885">
        <w:rPr>
          <w:spacing w:val="2"/>
          <w:lang w:eastAsia="en-GB"/>
        </w:rPr>
        <w:t>mm</w:t>
      </w:r>
      <w:r w:rsidRPr="00CE0885">
        <w:rPr>
          <w:lang w:eastAsia="en-GB"/>
        </w:rPr>
        <w:t>issi</w:t>
      </w:r>
      <w:r w:rsidRPr="00CE0885">
        <w:rPr>
          <w:spacing w:val="-1"/>
          <w:lang w:eastAsia="en-GB"/>
        </w:rPr>
        <w:t>o</w:t>
      </w:r>
      <w:r w:rsidRPr="00CE0885">
        <w:rPr>
          <w:lang w:eastAsia="en-GB"/>
        </w:rPr>
        <w:t>n</w:t>
      </w:r>
      <w:r w:rsidRPr="00CE0885">
        <w:rPr>
          <w:spacing w:val="-11"/>
          <w:lang w:eastAsia="en-GB"/>
        </w:rPr>
        <w:t xml:space="preserve"> </w:t>
      </w:r>
      <w:r w:rsidRPr="00CE0885">
        <w:rPr>
          <w:spacing w:val="1"/>
          <w:lang w:eastAsia="en-GB"/>
        </w:rPr>
        <w:t>t</w:t>
      </w:r>
      <w:r w:rsidRPr="00CE0885">
        <w:rPr>
          <w:spacing w:val="-1"/>
          <w:lang w:eastAsia="en-GB"/>
        </w:rPr>
        <w:t>h</w:t>
      </w:r>
      <w:r w:rsidRPr="00CE0885">
        <w:rPr>
          <w:spacing w:val="1"/>
          <w:lang w:eastAsia="en-GB"/>
        </w:rPr>
        <w:t>e</w:t>
      </w:r>
      <w:r w:rsidRPr="00CE0885">
        <w:rPr>
          <w:spacing w:val="-2"/>
          <w:lang w:eastAsia="en-GB"/>
        </w:rPr>
        <w:t>s</w:t>
      </w:r>
      <w:r w:rsidRPr="00CE0885">
        <w:rPr>
          <w:lang w:eastAsia="en-GB"/>
        </w:rPr>
        <w:t>e</w:t>
      </w:r>
      <w:r w:rsidRPr="00CE0885">
        <w:rPr>
          <w:spacing w:val="-4"/>
          <w:lang w:eastAsia="en-GB"/>
        </w:rPr>
        <w:t xml:space="preserve"> </w:t>
      </w:r>
      <w:r w:rsidRPr="00CE0885">
        <w:rPr>
          <w:lang w:eastAsia="en-GB"/>
        </w:rPr>
        <w:t>s</w:t>
      </w:r>
      <w:r w:rsidRPr="00CE0885">
        <w:rPr>
          <w:spacing w:val="1"/>
          <w:lang w:eastAsia="en-GB"/>
        </w:rPr>
        <w:t>e</w:t>
      </w:r>
      <w:r w:rsidRPr="00CE0885">
        <w:rPr>
          <w:spacing w:val="-1"/>
          <w:lang w:eastAsia="en-GB"/>
        </w:rPr>
        <w:t>r</w:t>
      </w:r>
      <w:r w:rsidRPr="00CE0885">
        <w:rPr>
          <w:spacing w:val="-2"/>
          <w:lang w:eastAsia="en-GB"/>
        </w:rPr>
        <w:t>v</w:t>
      </w:r>
      <w:r w:rsidRPr="00CE0885">
        <w:rPr>
          <w:lang w:eastAsia="en-GB"/>
        </w:rPr>
        <w:t>ic</w:t>
      </w:r>
      <w:r w:rsidRPr="00CE0885">
        <w:rPr>
          <w:spacing w:val="1"/>
          <w:lang w:eastAsia="en-GB"/>
        </w:rPr>
        <w:t>e</w:t>
      </w:r>
      <w:r w:rsidRPr="00CE0885">
        <w:rPr>
          <w:lang w:eastAsia="en-GB"/>
        </w:rPr>
        <w:t>s</w:t>
      </w:r>
      <w:r w:rsidRPr="00CE0885">
        <w:rPr>
          <w:spacing w:val="-9"/>
          <w:lang w:eastAsia="en-GB"/>
        </w:rPr>
        <w:t xml:space="preserve"> </w:t>
      </w:r>
      <w:r w:rsidRPr="00CE0885">
        <w:rPr>
          <w:spacing w:val="3"/>
          <w:lang w:eastAsia="en-GB"/>
        </w:rPr>
        <w:t>f</w:t>
      </w:r>
      <w:r w:rsidRPr="00CE0885">
        <w:rPr>
          <w:spacing w:val="-1"/>
          <w:lang w:eastAsia="en-GB"/>
        </w:rPr>
        <w:t>ro</w:t>
      </w:r>
      <w:r w:rsidRPr="00CE0885">
        <w:rPr>
          <w:lang w:eastAsia="en-GB"/>
        </w:rPr>
        <w:t>m</w:t>
      </w:r>
      <w:r w:rsidRPr="00CE0885">
        <w:rPr>
          <w:spacing w:val="-5"/>
          <w:lang w:eastAsia="en-GB"/>
        </w:rPr>
        <w:t xml:space="preserve"> </w:t>
      </w:r>
      <w:r w:rsidRPr="00CE0885">
        <w:rPr>
          <w:spacing w:val="1"/>
          <w:lang w:eastAsia="en-GB"/>
        </w:rPr>
        <w:t>a</w:t>
      </w:r>
      <w:r w:rsidRPr="00CE0885">
        <w:rPr>
          <w:lang w:eastAsia="en-GB"/>
        </w:rPr>
        <w:t xml:space="preserve">n </w:t>
      </w:r>
      <w:r w:rsidRPr="00CE0885">
        <w:rPr>
          <w:spacing w:val="1"/>
          <w:lang w:eastAsia="en-GB"/>
        </w:rPr>
        <w:t>a</w:t>
      </w:r>
      <w:r w:rsidRPr="00CE0885">
        <w:rPr>
          <w:lang w:eastAsia="en-GB"/>
        </w:rPr>
        <w:t>l</w:t>
      </w:r>
      <w:r w:rsidRPr="00CE0885">
        <w:rPr>
          <w:spacing w:val="1"/>
          <w:lang w:eastAsia="en-GB"/>
        </w:rPr>
        <w:t>te</w:t>
      </w:r>
      <w:r w:rsidRPr="00CE0885">
        <w:rPr>
          <w:spacing w:val="-1"/>
          <w:lang w:eastAsia="en-GB"/>
        </w:rPr>
        <w:t>r</w:t>
      </w:r>
      <w:r w:rsidRPr="00CE0885">
        <w:rPr>
          <w:spacing w:val="1"/>
          <w:lang w:eastAsia="en-GB"/>
        </w:rPr>
        <w:t>nat</w:t>
      </w:r>
      <w:r w:rsidRPr="00CE0885">
        <w:rPr>
          <w:lang w:eastAsia="en-GB"/>
        </w:rPr>
        <w:t>i</w:t>
      </w:r>
      <w:r w:rsidRPr="00CE0885">
        <w:rPr>
          <w:spacing w:val="-2"/>
          <w:lang w:eastAsia="en-GB"/>
        </w:rPr>
        <w:t>v</w:t>
      </w:r>
      <w:r w:rsidRPr="00CE0885">
        <w:rPr>
          <w:lang w:eastAsia="en-GB"/>
        </w:rPr>
        <w:t>e</w:t>
      </w:r>
      <w:r w:rsidRPr="00CE0885">
        <w:rPr>
          <w:spacing w:val="-9"/>
          <w:lang w:eastAsia="en-GB"/>
        </w:rPr>
        <w:t xml:space="preserve"> </w:t>
      </w:r>
      <w:r w:rsidRPr="00CE0885">
        <w:rPr>
          <w:lang w:eastAsia="en-GB"/>
        </w:rPr>
        <w:t>s</w:t>
      </w:r>
      <w:r w:rsidRPr="00CE0885">
        <w:rPr>
          <w:spacing w:val="-1"/>
          <w:lang w:eastAsia="en-GB"/>
        </w:rPr>
        <w:t>o</w:t>
      </w:r>
      <w:r w:rsidRPr="00CE0885">
        <w:rPr>
          <w:spacing w:val="1"/>
          <w:lang w:eastAsia="en-GB"/>
        </w:rPr>
        <w:t>u</w:t>
      </w:r>
      <w:r w:rsidRPr="00CE0885">
        <w:rPr>
          <w:spacing w:val="-1"/>
          <w:lang w:eastAsia="en-GB"/>
        </w:rPr>
        <w:t>r</w:t>
      </w:r>
      <w:r w:rsidRPr="00CE0885">
        <w:rPr>
          <w:lang w:eastAsia="en-GB"/>
        </w:rPr>
        <w:t>ce</w:t>
      </w:r>
      <w:r w:rsidRPr="00CE0885">
        <w:rPr>
          <w:spacing w:val="-8"/>
          <w:lang w:eastAsia="en-GB"/>
        </w:rPr>
        <w:t xml:space="preserve"> </w:t>
      </w:r>
      <w:r w:rsidRPr="00CE0885">
        <w:rPr>
          <w:spacing w:val="3"/>
          <w:lang w:eastAsia="en-GB"/>
        </w:rPr>
        <w:t>f</w:t>
      </w:r>
      <w:r w:rsidRPr="00CE0885">
        <w:rPr>
          <w:spacing w:val="1"/>
          <w:lang w:eastAsia="en-GB"/>
        </w:rPr>
        <w:t>o</w:t>
      </w:r>
      <w:r w:rsidRPr="00CE0885">
        <w:rPr>
          <w:lang w:eastAsia="en-GB"/>
        </w:rPr>
        <w:t>r</w:t>
      </w:r>
      <w:r w:rsidRPr="00CE0885">
        <w:rPr>
          <w:spacing w:val="-6"/>
          <w:lang w:eastAsia="en-GB"/>
        </w:rPr>
        <w:t xml:space="preserve"> </w:t>
      </w:r>
      <w:r w:rsidRPr="00CE0885">
        <w:rPr>
          <w:spacing w:val="-2"/>
          <w:lang w:eastAsia="en-GB"/>
        </w:rPr>
        <w:t>t</w:t>
      </w:r>
      <w:r w:rsidRPr="00CE0885">
        <w:rPr>
          <w:spacing w:val="1"/>
          <w:lang w:eastAsia="en-GB"/>
        </w:rPr>
        <w:t>h</w:t>
      </w:r>
      <w:r w:rsidRPr="00CE0885">
        <w:rPr>
          <w:lang w:eastAsia="en-GB"/>
        </w:rPr>
        <w:t>e</w:t>
      </w:r>
      <w:r w:rsidRPr="00CE0885">
        <w:rPr>
          <w:spacing w:val="-1"/>
          <w:lang w:eastAsia="en-GB"/>
        </w:rPr>
        <w:t xml:space="preserve"> r</w:t>
      </w:r>
      <w:r w:rsidRPr="00CE0885">
        <w:rPr>
          <w:spacing w:val="1"/>
          <w:lang w:eastAsia="en-GB"/>
        </w:rPr>
        <w:t>e</w:t>
      </w:r>
      <w:r w:rsidRPr="00CE0885">
        <w:rPr>
          <w:spacing w:val="-1"/>
          <w:lang w:eastAsia="en-GB"/>
        </w:rPr>
        <w:t>g</w:t>
      </w:r>
      <w:r w:rsidRPr="00CE0885">
        <w:rPr>
          <w:lang w:eastAsia="en-GB"/>
        </w:rPr>
        <w:t>is</w:t>
      </w:r>
      <w:r w:rsidRPr="00CE0885">
        <w:rPr>
          <w:spacing w:val="1"/>
          <w:lang w:eastAsia="en-GB"/>
        </w:rPr>
        <w:t>te</w:t>
      </w:r>
      <w:r w:rsidRPr="00CE0885">
        <w:rPr>
          <w:spacing w:val="-1"/>
          <w:lang w:eastAsia="en-GB"/>
        </w:rPr>
        <w:t>r</w:t>
      </w:r>
      <w:r w:rsidRPr="00CE0885">
        <w:rPr>
          <w:spacing w:val="1"/>
          <w:lang w:eastAsia="en-GB"/>
        </w:rPr>
        <w:t>e</w:t>
      </w:r>
      <w:r w:rsidRPr="00CE0885">
        <w:rPr>
          <w:lang w:eastAsia="en-GB"/>
        </w:rPr>
        <w:t>d</w:t>
      </w:r>
      <w:r w:rsidRPr="00CE0885">
        <w:rPr>
          <w:spacing w:val="-12"/>
          <w:lang w:eastAsia="en-GB"/>
        </w:rPr>
        <w:t xml:space="preserve"> </w:t>
      </w:r>
      <w:r w:rsidRPr="00CE0885">
        <w:rPr>
          <w:spacing w:val="1"/>
          <w:lang w:eastAsia="en-GB"/>
        </w:rPr>
        <w:t>pat</w:t>
      </w:r>
      <w:r w:rsidRPr="00CE0885">
        <w:rPr>
          <w:spacing w:val="-3"/>
          <w:lang w:eastAsia="en-GB"/>
        </w:rPr>
        <w:t>i</w:t>
      </w:r>
      <w:r w:rsidRPr="00CE0885">
        <w:rPr>
          <w:spacing w:val="1"/>
          <w:lang w:eastAsia="en-GB"/>
        </w:rPr>
        <w:t>ent</w:t>
      </w:r>
      <w:r w:rsidRPr="00CE0885">
        <w:rPr>
          <w:lang w:eastAsia="en-GB"/>
        </w:rPr>
        <w:t>s</w:t>
      </w:r>
      <w:r w:rsidRPr="00CE0885">
        <w:rPr>
          <w:spacing w:val="-10"/>
          <w:lang w:eastAsia="en-GB"/>
        </w:rPr>
        <w:t xml:space="preserve"> </w:t>
      </w:r>
      <w:r w:rsidRPr="00CE0885">
        <w:rPr>
          <w:spacing w:val="1"/>
          <w:lang w:eastAsia="en-GB"/>
        </w:rPr>
        <w:t>un</w:t>
      </w:r>
      <w:r w:rsidRPr="00CE0885">
        <w:rPr>
          <w:spacing w:val="-1"/>
          <w:lang w:eastAsia="en-GB"/>
        </w:rPr>
        <w:t>d</w:t>
      </w:r>
      <w:r w:rsidRPr="00CE0885">
        <w:rPr>
          <w:spacing w:val="1"/>
          <w:lang w:eastAsia="en-GB"/>
        </w:rPr>
        <w:t>e</w:t>
      </w:r>
      <w:r w:rsidRPr="00CE0885">
        <w:rPr>
          <w:lang w:eastAsia="en-GB"/>
        </w:rPr>
        <w:t>r</w:t>
      </w:r>
      <w:r w:rsidRPr="00CE0885">
        <w:rPr>
          <w:spacing w:val="-6"/>
          <w:lang w:eastAsia="en-GB"/>
        </w:rPr>
        <w:t xml:space="preserve"> </w:t>
      </w:r>
      <w:r w:rsidRPr="00CE0885">
        <w:rPr>
          <w:spacing w:val="1"/>
          <w:lang w:eastAsia="en-GB"/>
        </w:rPr>
        <w:t>th</w:t>
      </w:r>
      <w:r w:rsidRPr="00CE0885">
        <w:rPr>
          <w:spacing w:val="-1"/>
          <w:lang w:eastAsia="en-GB"/>
        </w:rPr>
        <w:t>a</w:t>
      </w:r>
      <w:r w:rsidRPr="00CE0885">
        <w:rPr>
          <w:lang w:eastAsia="en-GB"/>
        </w:rPr>
        <w:t>t</w:t>
      </w:r>
      <w:r w:rsidRPr="00CE0885">
        <w:rPr>
          <w:spacing w:val="-3"/>
          <w:lang w:eastAsia="en-GB"/>
        </w:rPr>
        <w:t xml:space="preserve"> </w:t>
      </w:r>
      <w:r w:rsidRPr="00CE0885">
        <w:rPr>
          <w:lang w:eastAsia="en-GB"/>
        </w:rPr>
        <w:t>c</w:t>
      </w:r>
      <w:r w:rsidRPr="00CE0885">
        <w:rPr>
          <w:spacing w:val="-1"/>
          <w:lang w:eastAsia="en-GB"/>
        </w:rPr>
        <w:t>o</w:t>
      </w:r>
      <w:r w:rsidRPr="00CE0885">
        <w:rPr>
          <w:spacing w:val="1"/>
          <w:lang w:eastAsia="en-GB"/>
        </w:rPr>
        <w:t>nt</w:t>
      </w:r>
      <w:r w:rsidRPr="00CE0885">
        <w:rPr>
          <w:spacing w:val="-1"/>
          <w:lang w:eastAsia="en-GB"/>
        </w:rPr>
        <w:t>r</w:t>
      </w:r>
      <w:r w:rsidRPr="00CE0885">
        <w:rPr>
          <w:spacing w:val="1"/>
          <w:lang w:eastAsia="en-GB"/>
        </w:rPr>
        <w:t>a</w:t>
      </w:r>
      <w:r w:rsidRPr="00CE0885">
        <w:rPr>
          <w:lang w:eastAsia="en-GB"/>
        </w:rPr>
        <w:t>c</w:t>
      </w:r>
      <w:r w:rsidRPr="00CE0885">
        <w:rPr>
          <w:spacing w:val="1"/>
          <w:lang w:eastAsia="en-GB"/>
        </w:rPr>
        <w:t>t</w:t>
      </w:r>
      <w:r w:rsidRPr="00CE0885">
        <w:rPr>
          <w:lang w:eastAsia="en-GB"/>
        </w:rPr>
        <w:t>.</w:t>
      </w:r>
      <w:bookmarkEnd w:id="837"/>
    </w:p>
    <w:p w14:paraId="5E4CA3C4" w14:textId="77777777" w:rsidR="00977693" w:rsidRPr="00CE0885" w:rsidRDefault="00977693" w:rsidP="00E47A71">
      <w:pPr>
        <w:pStyle w:val="Heading3"/>
        <w:rPr>
          <w:lang w:eastAsia="en-GB"/>
        </w:rPr>
      </w:pPr>
      <w:bookmarkStart w:id="838" w:name="_Toc440981994"/>
      <w:r w:rsidRPr="00CE0885">
        <w:rPr>
          <w:lang w:eastAsia="en-GB"/>
        </w:rPr>
        <w:t>Prior to any opt out taking effect, the Commissioner and the contractor shall discuss how to inform the contractor's patients of the proposed opt out. The Commissioner can request the contractor to inform its registered patients of an opt out and the arrangements made for them to receive the additional service or out of hours services by either placing a notice in the practice's waiting rooms; or including the information in the practice leaflet.</w:t>
      </w:r>
      <w:bookmarkEnd w:id="838"/>
    </w:p>
    <w:p w14:paraId="3D337357" w14:textId="1ABDDD53" w:rsidR="00977693" w:rsidRPr="00CE0885" w:rsidRDefault="00977693" w:rsidP="00C5615F">
      <w:pPr>
        <w:pStyle w:val="Heading3"/>
        <w:rPr>
          <w:lang w:eastAsia="en-GB"/>
        </w:rPr>
      </w:pPr>
      <w:bookmarkStart w:id="839" w:name="_Toc440981995"/>
      <w:r w:rsidRPr="00CE0885">
        <w:rPr>
          <w:lang w:eastAsia="en-GB"/>
        </w:rPr>
        <w:t xml:space="preserve">The Regulations do not refer to opt-ins, i.e. where a contractor wishes to provide services which it previously opted out of providing. If the Commissioner receives a request to opt-in, it should refer to their Legal Team </w:t>
      </w:r>
      <w:r w:rsidR="00C5615F">
        <w:rPr>
          <w:lang w:eastAsia="en-GB"/>
        </w:rPr>
        <w:t>(</w:t>
      </w:r>
      <w:hyperlink r:id="rId95" w:history="1">
        <w:r w:rsidR="00C5615F" w:rsidRPr="00CE13A6">
          <w:rPr>
            <w:rStyle w:val="Hyperlink"/>
            <w:lang w:eastAsia="en-GB"/>
          </w:rPr>
          <w:t>england.legal@nhs.net</w:t>
        </w:r>
      </w:hyperlink>
      <w:r w:rsidR="00C5615F">
        <w:rPr>
          <w:lang w:eastAsia="en-GB"/>
        </w:rPr>
        <w:t xml:space="preserve">) </w:t>
      </w:r>
      <w:r w:rsidRPr="00CE0885">
        <w:rPr>
          <w:lang w:eastAsia="en-GB"/>
        </w:rPr>
        <w:t>for consideration of the procurement implications.</w:t>
      </w:r>
      <w:bookmarkEnd w:id="839"/>
      <w:r w:rsidRPr="00CE0885">
        <w:rPr>
          <w:lang w:eastAsia="en-GB"/>
        </w:rPr>
        <w:t xml:space="preserve"> </w:t>
      </w:r>
    </w:p>
    <w:p w14:paraId="79DCA1F9" w14:textId="77777777" w:rsidR="00977693" w:rsidRPr="00CE0885" w:rsidRDefault="00977693" w:rsidP="003331F2">
      <w:pPr>
        <w:pStyle w:val="BodyText"/>
      </w:pPr>
    </w:p>
    <w:p w14:paraId="7AD3EAD7" w14:textId="77777777" w:rsidR="005A7DDA" w:rsidRDefault="005A7DDA" w:rsidP="00B30FA5">
      <w:pPr>
        <w:pStyle w:val="BodyText"/>
        <w:rPr>
          <w:b/>
          <w:sz w:val="24"/>
          <w:szCs w:val="24"/>
        </w:rPr>
      </w:pPr>
      <w:bookmarkStart w:id="840" w:name="_Toc440981996"/>
    </w:p>
    <w:p w14:paraId="2EE5246E" w14:textId="77777777" w:rsidR="005A7DDA" w:rsidRDefault="005A7DDA" w:rsidP="00B30FA5">
      <w:pPr>
        <w:pStyle w:val="BodyText"/>
        <w:rPr>
          <w:b/>
          <w:sz w:val="24"/>
          <w:szCs w:val="24"/>
        </w:rPr>
      </w:pPr>
    </w:p>
    <w:p w14:paraId="203ED7B4" w14:textId="77777777" w:rsidR="00977693" w:rsidRPr="00B30FA5" w:rsidRDefault="00977693" w:rsidP="00B30FA5">
      <w:pPr>
        <w:pStyle w:val="BodyText"/>
        <w:rPr>
          <w:b/>
          <w:sz w:val="24"/>
          <w:szCs w:val="24"/>
        </w:rPr>
      </w:pPr>
      <w:r w:rsidRPr="00B30FA5">
        <w:rPr>
          <w:b/>
          <w:sz w:val="24"/>
          <w:szCs w:val="24"/>
        </w:rPr>
        <w:t>Opt out of additional services</w:t>
      </w:r>
      <w:bookmarkEnd w:id="840"/>
    </w:p>
    <w:p w14:paraId="25E5CCD0" w14:textId="77777777" w:rsidR="00977693" w:rsidRPr="00CE0885" w:rsidRDefault="00977693" w:rsidP="00E47A71">
      <w:pPr>
        <w:pStyle w:val="Heading3"/>
        <w:rPr>
          <w:lang w:eastAsia="en-GB"/>
        </w:rPr>
      </w:pPr>
      <w:bookmarkStart w:id="841" w:name="_Toc440981997"/>
      <w:r w:rsidRPr="00CE0885">
        <w:rPr>
          <w:lang w:eastAsia="en-GB"/>
        </w:rPr>
        <w:t>Where a contract wants to opt out of providing additional services, the contractor must</w:t>
      </w:r>
      <w:r w:rsidRPr="00CE0885">
        <w:rPr>
          <w:spacing w:val="-5"/>
          <w:lang w:eastAsia="en-GB"/>
        </w:rPr>
        <w:t xml:space="preserve"> </w:t>
      </w:r>
      <w:r w:rsidRPr="00CE0885">
        <w:rPr>
          <w:spacing w:val="-1"/>
          <w:lang w:eastAsia="en-GB"/>
        </w:rPr>
        <w:t>notify</w:t>
      </w:r>
      <w:r w:rsidRPr="00CE0885">
        <w:rPr>
          <w:lang w:eastAsia="en-GB"/>
        </w:rPr>
        <w:t xml:space="preserve"> </w:t>
      </w:r>
      <w:r w:rsidRPr="00CE0885">
        <w:rPr>
          <w:spacing w:val="1"/>
          <w:lang w:eastAsia="en-GB"/>
        </w:rPr>
        <w:t>th</w:t>
      </w:r>
      <w:r w:rsidRPr="00CE0885">
        <w:rPr>
          <w:lang w:eastAsia="en-GB"/>
        </w:rPr>
        <w:t>e</w:t>
      </w:r>
      <w:r w:rsidRPr="00CE0885">
        <w:rPr>
          <w:spacing w:val="-1"/>
          <w:lang w:eastAsia="en-GB"/>
        </w:rPr>
        <w:t xml:space="preserve"> </w:t>
      </w:r>
      <w:r w:rsidRPr="00CE0885">
        <w:rPr>
          <w:lang w:eastAsia="en-GB"/>
        </w:rPr>
        <w:t>Commissioner</w:t>
      </w:r>
      <w:r w:rsidRPr="00CE0885">
        <w:rPr>
          <w:spacing w:val="-2"/>
          <w:lang w:eastAsia="en-GB"/>
        </w:rPr>
        <w:t xml:space="preserve"> </w:t>
      </w:r>
      <w:r w:rsidRPr="00CE0885">
        <w:rPr>
          <w:lang w:eastAsia="en-GB"/>
        </w:rPr>
        <w:t xml:space="preserve">in </w:t>
      </w:r>
      <w:r w:rsidRPr="00CE0885">
        <w:rPr>
          <w:spacing w:val="-3"/>
          <w:lang w:eastAsia="en-GB"/>
        </w:rPr>
        <w:t>w</w:t>
      </w:r>
      <w:r w:rsidRPr="00CE0885">
        <w:rPr>
          <w:spacing w:val="-1"/>
          <w:lang w:eastAsia="en-GB"/>
        </w:rPr>
        <w:t>r</w:t>
      </w:r>
      <w:r w:rsidRPr="00CE0885">
        <w:rPr>
          <w:lang w:eastAsia="en-GB"/>
        </w:rPr>
        <w:t>i</w:t>
      </w:r>
      <w:r w:rsidRPr="00CE0885">
        <w:rPr>
          <w:spacing w:val="1"/>
          <w:lang w:eastAsia="en-GB"/>
        </w:rPr>
        <w:t>t</w:t>
      </w:r>
      <w:r w:rsidRPr="00CE0885">
        <w:rPr>
          <w:lang w:eastAsia="en-GB"/>
        </w:rPr>
        <w:t>i</w:t>
      </w:r>
      <w:r w:rsidRPr="00CE0885">
        <w:rPr>
          <w:spacing w:val="1"/>
          <w:lang w:eastAsia="en-GB"/>
        </w:rPr>
        <w:t>n</w:t>
      </w:r>
      <w:r w:rsidRPr="00CE0885">
        <w:rPr>
          <w:lang w:eastAsia="en-GB"/>
        </w:rPr>
        <w:t>g</w:t>
      </w:r>
      <w:r w:rsidRPr="00CE0885">
        <w:rPr>
          <w:spacing w:val="-8"/>
          <w:lang w:eastAsia="en-GB"/>
        </w:rPr>
        <w:t xml:space="preserve"> </w:t>
      </w:r>
      <w:r w:rsidRPr="00CE0885">
        <w:rPr>
          <w:lang w:eastAsia="en-GB"/>
        </w:rPr>
        <w:t>s</w:t>
      </w:r>
      <w:r w:rsidRPr="00CE0885">
        <w:rPr>
          <w:spacing w:val="1"/>
          <w:lang w:eastAsia="en-GB"/>
        </w:rPr>
        <w:t>tat</w:t>
      </w:r>
      <w:r w:rsidRPr="00CE0885">
        <w:rPr>
          <w:lang w:eastAsia="en-GB"/>
        </w:rPr>
        <w:t>ing</w:t>
      </w:r>
      <w:r w:rsidRPr="00CE0885">
        <w:rPr>
          <w:spacing w:val="-6"/>
          <w:lang w:eastAsia="en-GB"/>
        </w:rPr>
        <w:t xml:space="preserve"> </w:t>
      </w:r>
      <w:r w:rsidRPr="00CE0885">
        <w:rPr>
          <w:spacing w:val="1"/>
          <w:lang w:eastAsia="en-GB"/>
        </w:rPr>
        <w:t>th</w:t>
      </w:r>
      <w:r w:rsidRPr="00CE0885">
        <w:rPr>
          <w:lang w:eastAsia="en-GB"/>
        </w:rPr>
        <w:t>e</w:t>
      </w:r>
      <w:r w:rsidRPr="00CE0885">
        <w:rPr>
          <w:spacing w:val="-4"/>
          <w:lang w:eastAsia="en-GB"/>
        </w:rPr>
        <w:t xml:space="preserve"> </w:t>
      </w:r>
      <w:r w:rsidRPr="00CE0885">
        <w:rPr>
          <w:spacing w:val="-1"/>
          <w:lang w:eastAsia="en-GB"/>
        </w:rPr>
        <w:t>re</w:t>
      </w:r>
      <w:r w:rsidRPr="00CE0885">
        <w:rPr>
          <w:spacing w:val="1"/>
          <w:lang w:eastAsia="en-GB"/>
        </w:rPr>
        <w:t>a</w:t>
      </w:r>
      <w:r w:rsidRPr="00CE0885">
        <w:rPr>
          <w:lang w:eastAsia="en-GB"/>
        </w:rPr>
        <w:t>s</w:t>
      </w:r>
      <w:r w:rsidRPr="00CE0885">
        <w:rPr>
          <w:spacing w:val="1"/>
          <w:lang w:eastAsia="en-GB"/>
        </w:rPr>
        <w:t>on</w:t>
      </w:r>
      <w:r w:rsidRPr="00CE0885">
        <w:rPr>
          <w:lang w:eastAsia="en-GB"/>
        </w:rPr>
        <w:t>s</w:t>
      </w:r>
      <w:r w:rsidRPr="00CE0885">
        <w:rPr>
          <w:spacing w:val="-11"/>
          <w:lang w:eastAsia="en-GB"/>
        </w:rPr>
        <w:t xml:space="preserve"> </w:t>
      </w:r>
      <w:r w:rsidRPr="00CE0885">
        <w:rPr>
          <w:spacing w:val="1"/>
          <w:lang w:eastAsia="en-GB"/>
        </w:rPr>
        <w:t>fo</w:t>
      </w:r>
      <w:r w:rsidRPr="00CE0885">
        <w:rPr>
          <w:lang w:eastAsia="en-GB"/>
        </w:rPr>
        <w:t>r</w:t>
      </w:r>
      <w:r w:rsidRPr="00CE0885">
        <w:rPr>
          <w:spacing w:val="-3"/>
          <w:lang w:eastAsia="en-GB"/>
        </w:rPr>
        <w:t xml:space="preserve"> w</w:t>
      </w:r>
      <w:r w:rsidRPr="00CE0885">
        <w:rPr>
          <w:lang w:eastAsia="en-GB"/>
        </w:rPr>
        <w:t>is</w:t>
      </w:r>
      <w:r w:rsidRPr="00CE0885">
        <w:rPr>
          <w:spacing w:val="1"/>
          <w:lang w:eastAsia="en-GB"/>
        </w:rPr>
        <w:t>h</w:t>
      </w:r>
      <w:r w:rsidRPr="00CE0885">
        <w:rPr>
          <w:lang w:eastAsia="en-GB"/>
        </w:rPr>
        <w:t>i</w:t>
      </w:r>
      <w:r w:rsidRPr="00CE0885">
        <w:rPr>
          <w:spacing w:val="1"/>
          <w:lang w:eastAsia="en-GB"/>
        </w:rPr>
        <w:t>n</w:t>
      </w:r>
      <w:r w:rsidRPr="00CE0885">
        <w:rPr>
          <w:lang w:eastAsia="en-GB"/>
        </w:rPr>
        <w:t>g</w:t>
      </w:r>
      <w:r w:rsidRPr="00CE0885">
        <w:rPr>
          <w:spacing w:val="-9"/>
          <w:lang w:eastAsia="en-GB"/>
        </w:rPr>
        <w:t xml:space="preserve"> </w:t>
      </w:r>
      <w:r w:rsidRPr="00CE0885">
        <w:rPr>
          <w:spacing w:val="1"/>
          <w:lang w:eastAsia="en-GB"/>
        </w:rPr>
        <w:t>t</w:t>
      </w:r>
      <w:r w:rsidRPr="00CE0885">
        <w:rPr>
          <w:lang w:eastAsia="en-GB"/>
        </w:rPr>
        <w:t xml:space="preserve">o </w:t>
      </w:r>
      <w:r w:rsidRPr="00CE0885">
        <w:rPr>
          <w:spacing w:val="1"/>
          <w:lang w:eastAsia="en-GB"/>
        </w:rPr>
        <w:t>o</w:t>
      </w:r>
      <w:r w:rsidRPr="00CE0885">
        <w:rPr>
          <w:spacing w:val="-1"/>
          <w:lang w:eastAsia="en-GB"/>
        </w:rPr>
        <w:t>p</w:t>
      </w:r>
      <w:r w:rsidRPr="00CE0885">
        <w:rPr>
          <w:lang w:eastAsia="en-GB"/>
        </w:rPr>
        <w:t>t</w:t>
      </w:r>
      <w:r w:rsidRPr="00CE0885">
        <w:rPr>
          <w:spacing w:val="-2"/>
          <w:lang w:eastAsia="en-GB"/>
        </w:rPr>
        <w:t xml:space="preserve"> </w:t>
      </w:r>
      <w:r w:rsidRPr="00CE0885">
        <w:rPr>
          <w:spacing w:val="1"/>
          <w:lang w:eastAsia="en-GB"/>
        </w:rPr>
        <w:t>ou</w:t>
      </w:r>
      <w:r w:rsidRPr="00CE0885">
        <w:rPr>
          <w:spacing w:val="-2"/>
          <w:lang w:eastAsia="en-GB"/>
        </w:rPr>
        <w:t>t. This notice is referred to as</w:t>
      </w:r>
      <w:r w:rsidRPr="00CE0885">
        <w:rPr>
          <w:lang w:eastAsia="en-GB"/>
        </w:rPr>
        <w:t xml:space="preserve"> a</w:t>
      </w:r>
      <w:r w:rsidRPr="00CE0885">
        <w:rPr>
          <w:spacing w:val="1"/>
          <w:lang w:eastAsia="en-GB"/>
        </w:rPr>
        <w:t xml:space="preserve"> p</w:t>
      </w:r>
      <w:r w:rsidRPr="00CE0885">
        <w:rPr>
          <w:spacing w:val="-1"/>
          <w:lang w:eastAsia="en-GB"/>
        </w:rPr>
        <w:t>r</w:t>
      </w:r>
      <w:r w:rsidRPr="00CE0885">
        <w:rPr>
          <w:spacing w:val="1"/>
          <w:lang w:eastAsia="en-GB"/>
        </w:rPr>
        <w:t>e</w:t>
      </w:r>
      <w:r w:rsidRPr="00CE0885">
        <w:rPr>
          <w:lang w:eastAsia="en-GB"/>
        </w:rPr>
        <w:t>li</w:t>
      </w:r>
      <w:r w:rsidRPr="00CE0885">
        <w:rPr>
          <w:spacing w:val="2"/>
          <w:lang w:eastAsia="en-GB"/>
        </w:rPr>
        <w:t>m</w:t>
      </w:r>
      <w:r w:rsidRPr="00CE0885">
        <w:rPr>
          <w:lang w:eastAsia="en-GB"/>
        </w:rPr>
        <w:t>i</w:t>
      </w:r>
      <w:r w:rsidRPr="00CE0885">
        <w:rPr>
          <w:spacing w:val="1"/>
          <w:lang w:eastAsia="en-GB"/>
        </w:rPr>
        <w:t>na</w:t>
      </w:r>
      <w:r w:rsidRPr="00CE0885">
        <w:rPr>
          <w:spacing w:val="-1"/>
          <w:lang w:eastAsia="en-GB"/>
        </w:rPr>
        <w:t>r</w:t>
      </w:r>
      <w:r w:rsidRPr="00CE0885">
        <w:rPr>
          <w:lang w:eastAsia="en-GB"/>
        </w:rPr>
        <w:t>y</w:t>
      </w:r>
      <w:r w:rsidRPr="00CE0885">
        <w:rPr>
          <w:spacing w:val="-14"/>
          <w:lang w:eastAsia="en-GB"/>
        </w:rPr>
        <w:t xml:space="preserve"> </w:t>
      </w:r>
      <w:r w:rsidRPr="00CE0885">
        <w:rPr>
          <w:spacing w:val="1"/>
          <w:lang w:eastAsia="en-GB"/>
        </w:rPr>
        <w:t>opt</w:t>
      </w:r>
      <w:r w:rsidRPr="00CE0885">
        <w:rPr>
          <w:spacing w:val="-1"/>
          <w:lang w:eastAsia="en-GB"/>
        </w:rPr>
        <w:t>-</w:t>
      </w:r>
      <w:r w:rsidRPr="00CE0885">
        <w:rPr>
          <w:spacing w:val="1"/>
          <w:lang w:eastAsia="en-GB"/>
        </w:rPr>
        <w:t>ou</w:t>
      </w:r>
      <w:r w:rsidRPr="00CE0885">
        <w:rPr>
          <w:lang w:eastAsia="en-GB"/>
        </w:rPr>
        <w:t>t</w:t>
      </w:r>
      <w:r w:rsidRPr="00CE0885">
        <w:rPr>
          <w:spacing w:val="-8"/>
          <w:lang w:eastAsia="en-GB"/>
        </w:rPr>
        <w:t xml:space="preserve"> </w:t>
      </w:r>
      <w:r w:rsidRPr="00CE0885">
        <w:rPr>
          <w:spacing w:val="1"/>
          <w:lang w:eastAsia="en-GB"/>
        </w:rPr>
        <w:t>not</w:t>
      </w:r>
      <w:r w:rsidRPr="00CE0885">
        <w:rPr>
          <w:lang w:eastAsia="en-GB"/>
        </w:rPr>
        <w:t>ic</w:t>
      </w:r>
      <w:r w:rsidRPr="00CE0885">
        <w:rPr>
          <w:spacing w:val="1"/>
          <w:lang w:eastAsia="en-GB"/>
        </w:rPr>
        <w:t>e</w:t>
      </w:r>
      <w:r w:rsidRPr="00CE0885">
        <w:rPr>
          <w:lang w:eastAsia="en-GB"/>
        </w:rPr>
        <w:t>.</w:t>
      </w:r>
      <w:bookmarkEnd w:id="841"/>
    </w:p>
    <w:p w14:paraId="7BEF18C8" w14:textId="77777777" w:rsidR="00977693" w:rsidRPr="00CE0885" w:rsidRDefault="00977693" w:rsidP="00E47A71">
      <w:pPr>
        <w:pStyle w:val="Heading3"/>
        <w:rPr>
          <w:lang w:eastAsia="en-GB"/>
        </w:rPr>
      </w:pPr>
      <w:bookmarkStart w:id="842" w:name="_Toc440981998"/>
      <w:r w:rsidRPr="00CE0885">
        <w:rPr>
          <w:lang w:eastAsia="en-GB"/>
        </w:rPr>
        <w:t>As a next step, the Commissioner must discuss with the contractor what support the Commissioner may give the contractor to enable the contractor to continue to provide the additional service. The parties must also discuss other changes which with party could make to enable the contractor to continue providing the service.  These discussions must be started as</w:t>
      </w:r>
      <w:r w:rsidRPr="00CE0885">
        <w:rPr>
          <w:spacing w:val="-3"/>
          <w:lang w:eastAsia="en-GB"/>
        </w:rPr>
        <w:t xml:space="preserve"> </w:t>
      </w:r>
      <w:r w:rsidRPr="00CE0885">
        <w:rPr>
          <w:lang w:eastAsia="en-GB"/>
        </w:rPr>
        <w:t>so</w:t>
      </w:r>
      <w:r w:rsidRPr="00CE0885">
        <w:rPr>
          <w:spacing w:val="-1"/>
          <w:lang w:eastAsia="en-GB"/>
        </w:rPr>
        <w:t>o</w:t>
      </w:r>
      <w:r w:rsidRPr="00CE0885">
        <w:rPr>
          <w:lang w:eastAsia="en-GB"/>
        </w:rPr>
        <w:t>n</w:t>
      </w:r>
      <w:r w:rsidRPr="00CE0885">
        <w:rPr>
          <w:spacing w:val="-3"/>
          <w:lang w:eastAsia="en-GB"/>
        </w:rPr>
        <w:t xml:space="preserve"> </w:t>
      </w:r>
      <w:r w:rsidRPr="00CE0885">
        <w:rPr>
          <w:lang w:eastAsia="en-GB"/>
        </w:rPr>
        <w:t>as</w:t>
      </w:r>
      <w:r w:rsidRPr="00CE0885">
        <w:rPr>
          <w:spacing w:val="-3"/>
          <w:lang w:eastAsia="en-GB"/>
        </w:rPr>
        <w:t xml:space="preserve"> </w:t>
      </w:r>
      <w:r w:rsidRPr="00CE0885">
        <w:rPr>
          <w:lang w:eastAsia="en-GB"/>
        </w:rPr>
        <w:t>is</w:t>
      </w:r>
      <w:r w:rsidRPr="00CE0885">
        <w:rPr>
          <w:spacing w:val="-2"/>
          <w:lang w:eastAsia="en-GB"/>
        </w:rPr>
        <w:t xml:space="preserve"> </w:t>
      </w:r>
      <w:r w:rsidRPr="00CE0885">
        <w:rPr>
          <w:spacing w:val="-3"/>
          <w:lang w:eastAsia="en-GB"/>
        </w:rPr>
        <w:t>r</w:t>
      </w:r>
      <w:r w:rsidRPr="00CE0885">
        <w:rPr>
          <w:lang w:eastAsia="en-GB"/>
        </w:rPr>
        <w:t>eas</w:t>
      </w:r>
      <w:r w:rsidRPr="00CE0885">
        <w:rPr>
          <w:spacing w:val="-1"/>
          <w:lang w:eastAsia="en-GB"/>
        </w:rPr>
        <w:t>o</w:t>
      </w:r>
      <w:r w:rsidRPr="00CE0885">
        <w:rPr>
          <w:lang w:eastAsia="en-GB"/>
        </w:rPr>
        <w:t>n</w:t>
      </w:r>
      <w:r w:rsidRPr="00CE0885">
        <w:rPr>
          <w:spacing w:val="-1"/>
          <w:lang w:eastAsia="en-GB"/>
        </w:rPr>
        <w:t>a</w:t>
      </w:r>
      <w:r w:rsidRPr="00CE0885">
        <w:rPr>
          <w:lang w:eastAsia="en-GB"/>
        </w:rPr>
        <w:t>bly</w:t>
      </w:r>
      <w:r w:rsidRPr="00CE0885">
        <w:rPr>
          <w:spacing w:val="-14"/>
          <w:lang w:eastAsia="en-GB"/>
        </w:rPr>
        <w:t xml:space="preserve"> </w:t>
      </w:r>
      <w:r w:rsidRPr="00CE0885">
        <w:rPr>
          <w:lang w:eastAsia="en-GB"/>
        </w:rPr>
        <w:t>p</w:t>
      </w:r>
      <w:r w:rsidRPr="00CE0885">
        <w:rPr>
          <w:spacing w:val="-1"/>
          <w:lang w:eastAsia="en-GB"/>
        </w:rPr>
        <w:t>r</w:t>
      </w:r>
      <w:r w:rsidRPr="00CE0885">
        <w:rPr>
          <w:lang w:eastAsia="en-GB"/>
        </w:rPr>
        <w:t>acticable</w:t>
      </w:r>
      <w:r w:rsidRPr="00CE0885">
        <w:rPr>
          <w:spacing w:val="-10"/>
          <w:lang w:eastAsia="en-GB"/>
        </w:rPr>
        <w:t xml:space="preserve"> </w:t>
      </w:r>
      <w:r w:rsidRPr="00CE0885">
        <w:rPr>
          <w:spacing w:val="-1"/>
          <w:lang w:eastAsia="en-GB"/>
        </w:rPr>
        <w:t>a</w:t>
      </w:r>
      <w:r w:rsidRPr="00CE0885">
        <w:rPr>
          <w:lang w:eastAsia="en-GB"/>
        </w:rPr>
        <w:t>nd</w:t>
      </w:r>
      <w:r w:rsidRPr="00CE0885">
        <w:rPr>
          <w:spacing w:val="-2"/>
          <w:lang w:eastAsia="en-GB"/>
        </w:rPr>
        <w:t xml:space="preserve"> </w:t>
      </w:r>
      <w:r w:rsidRPr="00CE0885">
        <w:rPr>
          <w:lang w:eastAsia="en-GB"/>
        </w:rPr>
        <w:t>in</w:t>
      </w:r>
      <w:r w:rsidRPr="00CE0885">
        <w:rPr>
          <w:spacing w:val="-3"/>
          <w:lang w:eastAsia="en-GB"/>
        </w:rPr>
        <w:t xml:space="preserve"> </w:t>
      </w:r>
      <w:r w:rsidRPr="00CE0885">
        <w:rPr>
          <w:spacing w:val="-1"/>
          <w:lang w:eastAsia="en-GB"/>
        </w:rPr>
        <w:t>a</w:t>
      </w:r>
      <w:r w:rsidRPr="00CE0885">
        <w:rPr>
          <w:lang w:eastAsia="en-GB"/>
        </w:rPr>
        <w:t>ny</w:t>
      </w:r>
      <w:r w:rsidRPr="00CE0885">
        <w:rPr>
          <w:spacing w:val="-6"/>
          <w:lang w:eastAsia="en-GB"/>
        </w:rPr>
        <w:t xml:space="preserve"> </w:t>
      </w:r>
      <w:r w:rsidRPr="00CE0885">
        <w:rPr>
          <w:lang w:eastAsia="en-GB"/>
        </w:rPr>
        <w:t>e</w:t>
      </w:r>
      <w:r w:rsidRPr="00CE0885">
        <w:rPr>
          <w:spacing w:val="-2"/>
          <w:lang w:eastAsia="en-GB"/>
        </w:rPr>
        <w:t>v</w:t>
      </w:r>
      <w:r w:rsidRPr="00CE0885">
        <w:rPr>
          <w:lang w:eastAsia="en-GB"/>
        </w:rPr>
        <w:t>ent</w:t>
      </w:r>
      <w:r w:rsidRPr="00CE0885">
        <w:rPr>
          <w:spacing w:val="-5"/>
          <w:lang w:eastAsia="en-GB"/>
        </w:rPr>
        <w:t xml:space="preserve"> </w:t>
      </w:r>
      <w:r w:rsidRPr="00CE0885">
        <w:rPr>
          <w:spacing w:val="-3"/>
          <w:lang w:eastAsia="en-GB"/>
        </w:rPr>
        <w:t>w</w:t>
      </w:r>
      <w:r w:rsidRPr="00CE0885">
        <w:rPr>
          <w:lang w:eastAsia="en-GB"/>
        </w:rPr>
        <w:t>ithin</w:t>
      </w:r>
      <w:r w:rsidRPr="00CE0885">
        <w:rPr>
          <w:spacing w:val="-4"/>
          <w:lang w:eastAsia="en-GB"/>
        </w:rPr>
        <w:t xml:space="preserve"> </w:t>
      </w:r>
      <w:r w:rsidRPr="00CE0885">
        <w:rPr>
          <w:lang w:eastAsia="en-GB"/>
        </w:rPr>
        <w:t>se</w:t>
      </w:r>
      <w:r w:rsidRPr="00CE0885">
        <w:rPr>
          <w:spacing w:val="-2"/>
          <w:lang w:eastAsia="en-GB"/>
        </w:rPr>
        <w:t>v</w:t>
      </w:r>
      <w:r w:rsidRPr="00CE0885">
        <w:rPr>
          <w:lang w:eastAsia="en-GB"/>
        </w:rPr>
        <w:t>en</w:t>
      </w:r>
      <w:r w:rsidRPr="00CE0885">
        <w:rPr>
          <w:spacing w:val="-7"/>
          <w:lang w:eastAsia="en-GB"/>
        </w:rPr>
        <w:t xml:space="preserve"> </w:t>
      </w:r>
      <w:r w:rsidRPr="00CE0885">
        <w:rPr>
          <w:lang w:eastAsia="en-GB"/>
        </w:rPr>
        <w:t>da</w:t>
      </w:r>
      <w:r w:rsidRPr="00CE0885">
        <w:rPr>
          <w:spacing w:val="-2"/>
          <w:lang w:eastAsia="en-GB"/>
        </w:rPr>
        <w:t>y</w:t>
      </w:r>
      <w:r w:rsidRPr="00CE0885">
        <w:rPr>
          <w:lang w:eastAsia="en-GB"/>
        </w:rPr>
        <w:t>s</w:t>
      </w:r>
      <w:r w:rsidRPr="00CE0885">
        <w:rPr>
          <w:spacing w:val="-5"/>
          <w:lang w:eastAsia="en-GB"/>
        </w:rPr>
        <w:t xml:space="preserve"> </w:t>
      </w:r>
      <w:r w:rsidRPr="00CE0885">
        <w:rPr>
          <w:spacing w:val="-1"/>
          <w:lang w:eastAsia="en-GB"/>
        </w:rPr>
        <w:t>b</w:t>
      </w:r>
      <w:r w:rsidRPr="00CE0885">
        <w:rPr>
          <w:lang w:eastAsia="en-GB"/>
        </w:rPr>
        <w:t>e</w:t>
      </w:r>
      <w:r w:rsidRPr="00CE0885">
        <w:rPr>
          <w:spacing w:val="-1"/>
          <w:lang w:eastAsia="en-GB"/>
        </w:rPr>
        <w:t>g</w:t>
      </w:r>
      <w:r w:rsidRPr="00CE0885">
        <w:rPr>
          <w:lang w:eastAsia="en-GB"/>
        </w:rPr>
        <w:t>inning</w:t>
      </w:r>
      <w:r w:rsidRPr="00CE0885">
        <w:rPr>
          <w:spacing w:val="-11"/>
          <w:lang w:eastAsia="en-GB"/>
        </w:rPr>
        <w:t xml:space="preserve"> </w:t>
      </w:r>
      <w:r w:rsidRPr="00CE0885">
        <w:rPr>
          <w:spacing w:val="-3"/>
          <w:lang w:eastAsia="en-GB"/>
        </w:rPr>
        <w:t>w</w:t>
      </w:r>
      <w:r w:rsidRPr="00CE0885">
        <w:rPr>
          <w:lang w:eastAsia="en-GB"/>
        </w:rPr>
        <w:t>ith</w:t>
      </w:r>
      <w:r w:rsidRPr="00CE0885">
        <w:rPr>
          <w:spacing w:val="-2"/>
          <w:lang w:eastAsia="en-GB"/>
        </w:rPr>
        <w:t xml:space="preserve"> </w:t>
      </w:r>
      <w:r w:rsidRPr="00CE0885">
        <w:rPr>
          <w:lang w:eastAsia="en-GB"/>
        </w:rPr>
        <w:t>the</w:t>
      </w:r>
      <w:r w:rsidRPr="00CE0885">
        <w:rPr>
          <w:spacing w:val="-1"/>
          <w:lang w:eastAsia="en-GB"/>
        </w:rPr>
        <w:t xml:space="preserve"> r</w:t>
      </w:r>
      <w:r w:rsidRPr="00CE0885">
        <w:rPr>
          <w:lang w:eastAsia="en-GB"/>
        </w:rPr>
        <w:t>ece</w:t>
      </w:r>
      <w:r w:rsidRPr="00CE0885">
        <w:rPr>
          <w:spacing w:val="-3"/>
          <w:lang w:eastAsia="en-GB"/>
        </w:rPr>
        <w:t>i</w:t>
      </w:r>
      <w:r w:rsidRPr="00CE0885">
        <w:rPr>
          <w:lang w:eastAsia="en-GB"/>
        </w:rPr>
        <w:t>pt</w:t>
      </w:r>
      <w:r w:rsidRPr="00CE0885">
        <w:rPr>
          <w:spacing w:val="-6"/>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t</w:t>
      </w:r>
      <w:r w:rsidRPr="00CE0885">
        <w:rPr>
          <w:spacing w:val="-1"/>
          <w:lang w:eastAsia="en-GB"/>
        </w:rPr>
        <w:t>h</w:t>
      </w:r>
      <w:r w:rsidRPr="00CE0885">
        <w:rPr>
          <w:lang w:eastAsia="en-GB"/>
        </w:rPr>
        <w:t>e p</w:t>
      </w:r>
      <w:r w:rsidRPr="00CE0885">
        <w:rPr>
          <w:spacing w:val="-1"/>
          <w:lang w:eastAsia="en-GB"/>
        </w:rPr>
        <w:t>r</w:t>
      </w:r>
      <w:r w:rsidRPr="00CE0885">
        <w:rPr>
          <w:lang w:eastAsia="en-GB"/>
        </w:rPr>
        <w:t>eli</w:t>
      </w:r>
      <w:r w:rsidRPr="00CE0885">
        <w:rPr>
          <w:spacing w:val="2"/>
          <w:lang w:eastAsia="en-GB"/>
        </w:rPr>
        <w:t>m</w:t>
      </w:r>
      <w:r w:rsidRPr="00CE0885">
        <w:rPr>
          <w:lang w:eastAsia="en-GB"/>
        </w:rPr>
        <w:t>ina</w:t>
      </w:r>
      <w:r w:rsidRPr="00CE0885">
        <w:rPr>
          <w:spacing w:val="-1"/>
          <w:lang w:eastAsia="en-GB"/>
        </w:rPr>
        <w:t>r</w:t>
      </w:r>
      <w:r w:rsidRPr="00CE0885">
        <w:rPr>
          <w:lang w:eastAsia="en-GB"/>
        </w:rPr>
        <w:t>y</w:t>
      </w:r>
      <w:r w:rsidRPr="00CE0885">
        <w:rPr>
          <w:spacing w:val="-14"/>
          <w:lang w:eastAsia="en-GB"/>
        </w:rPr>
        <w:t xml:space="preserve"> </w:t>
      </w:r>
      <w:r w:rsidRPr="00CE0885">
        <w:rPr>
          <w:lang w:eastAsia="en-GB"/>
        </w:rPr>
        <w:t>opt</w:t>
      </w:r>
      <w:r w:rsidRPr="00CE0885">
        <w:rPr>
          <w:spacing w:val="-1"/>
          <w:lang w:eastAsia="en-GB"/>
        </w:rPr>
        <w:t>-o</w:t>
      </w:r>
      <w:r w:rsidRPr="00CE0885">
        <w:rPr>
          <w:lang w:eastAsia="en-GB"/>
        </w:rPr>
        <w:t>ut</w:t>
      </w:r>
      <w:r w:rsidRPr="00CE0885">
        <w:rPr>
          <w:spacing w:val="-6"/>
          <w:lang w:eastAsia="en-GB"/>
        </w:rPr>
        <w:t xml:space="preserve"> </w:t>
      </w:r>
      <w:r w:rsidRPr="00CE0885">
        <w:rPr>
          <w:spacing w:val="-1"/>
          <w:lang w:eastAsia="en-GB"/>
        </w:rPr>
        <w:t>n</w:t>
      </w:r>
      <w:r w:rsidRPr="00CE0885">
        <w:rPr>
          <w:lang w:eastAsia="en-GB"/>
        </w:rPr>
        <w:t>ot</w:t>
      </w:r>
      <w:r w:rsidRPr="00CE0885">
        <w:rPr>
          <w:spacing w:val="-3"/>
          <w:lang w:eastAsia="en-GB"/>
        </w:rPr>
        <w:t>i</w:t>
      </w:r>
      <w:r w:rsidRPr="00CE0885">
        <w:rPr>
          <w:lang w:eastAsia="en-GB"/>
        </w:rPr>
        <w:t>ce</w:t>
      </w:r>
      <w:r w:rsidRPr="00CE0885">
        <w:rPr>
          <w:spacing w:val="-4"/>
          <w:lang w:eastAsia="en-GB"/>
        </w:rPr>
        <w:t xml:space="preserve">. </w:t>
      </w:r>
      <w:r w:rsidRPr="00CE0885">
        <w:rPr>
          <w:lang w:eastAsia="en-GB"/>
        </w:rPr>
        <w:t>The</w:t>
      </w:r>
      <w:r w:rsidRPr="00CE0885">
        <w:rPr>
          <w:spacing w:val="-1"/>
          <w:lang w:eastAsia="en-GB"/>
        </w:rPr>
        <w:t xml:space="preserve"> </w:t>
      </w:r>
      <w:r w:rsidRPr="00CE0885">
        <w:rPr>
          <w:spacing w:val="-2"/>
          <w:lang w:eastAsia="en-GB"/>
        </w:rPr>
        <w:t>Commissioner</w:t>
      </w:r>
      <w:r w:rsidRPr="00CE0885">
        <w:rPr>
          <w:spacing w:val="-3"/>
          <w:lang w:eastAsia="en-GB"/>
        </w:rPr>
        <w:t xml:space="preserve"> </w:t>
      </w:r>
      <w:r w:rsidRPr="00CE0885">
        <w:rPr>
          <w:lang w:eastAsia="en-GB"/>
        </w:rPr>
        <w:t>a</w:t>
      </w:r>
      <w:r w:rsidRPr="00CE0885">
        <w:rPr>
          <w:spacing w:val="-1"/>
          <w:lang w:eastAsia="en-GB"/>
        </w:rPr>
        <w:t>n</w:t>
      </w:r>
      <w:r w:rsidRPr="00CE0885">
        <w:rPr>
          <w:lang w:eastAsia="en-GB"/>
        </w:rPr>
        <w:t>d</w:t>
      </w:r>
      <w:r w:rsidRPr="00CE0885">
        <w:rPr>
          <w:spacing w:val="-2"/>
          <w:lang w:eastAsia="en-GB"/>
        </w:rPr>
        <w:t xml:space="preserve"> t</w:t>
      </w:r>
      <w:r w:rsidRPr="00CE0885">
        <w:rPr>
          <w:lang w:eastAsia="en-GB"/>
        </w:rPr>
        <w:t>he</w:t>
      </w:r>
      <w:r w:rsidRPr="00CE0885">
        <w:rPr>
          <w:spacing w:val="-1"/>
          <w:lang w:eastAsia="en-GB"/>
        </w:rPr>
        <w:t xml:space="preserve"> </w:t>
      </w:r>
      <w:r w:rsidRPr="00CE0885">
        <w:rPr>
          <w:spacing w:val="-2"/>
          <w:lang w:eastAsia="en-GB"/>
        </w:rPr>
        <w:t>c</w:t>
      </w:r>
      <w:r w:rsidRPr="00CE0885">
        <w:rPr>
          <w:lang w:eastAsia="en-GB"/>
        </w:rPr>
        <w:t>ont</w:t>
      </w:r>
      <w:r w:rsidRPr="00CE0885">
        <w:rPr>
          <w:spacing w:val="-1"/>
          <w:lang w:eastAsia="en-GB"/>
        </w:rPr>
        <w:t>r</w:t>
      </w:r>
      <w:r w:rsidRPr="00CE0885">
        <w:rPr>
          <w:lang w:eastAsia="en-GB"/>
        </w:rPr>
        <w:t>a</w:t>
      </w:r>
      <w:r w:rsidRPr="00CE0885">
        <w:rPr>
          <w:spacing w:val="-2"/>
          <w:lang w:eastAsia="en-GB"/>
        </w:rPr>
        <w:t>c</w:t>
      </w:r>
      <w:r w:rsidRPr="00CE0885">
        <w:rPr>
          <w:lang w:eastAsia="en-GB"/>
        </w:rPr>
        <w:t>tor</w:t>
      </w:r>
      <w:r w:rsidRPr="00CE0885">
        <w:rPr>
          <w:spacing w:val="-11"/>
          <w:lang w:eastAsia="en-GB"/>
        </w:rPr>
        <w:t xml:space="preserve"> </w:t>
      </w:r>
      <w:r w:rsidRPr="00CE0885">
        <w:rPr>
          <w:lang w:eastAsia="en-GB"/>
        </w:rPr>
        <w:t>must</w:t>
      </w:r>
      <w:r w:rsidRPr="00CE0885">
        <w:rPr>
          <w:spacing w:val="-5"/>
          <w:lang w:eastAsia="en-GB"/>
        </w:rPr>
        <w:t xml:space="preserve"> </w:t>
      </w:r>
      <w:r w:rsidRPr="00CE0885">
        <w:rPr>
          <w:lang w:eastAsia="en-GB"/>
        </w:rPr>
        <w:t>u</w:t>
      </w:r>
      <w:r w:rsidRPr="00CE0885">
        <w:rPr>
          <w:spacing w:val="-2"/>
          <w:lang w:eastAsia="en-GB"/>
        </w:rPr>
        <w:t>s</w:t>
      </w:r>
      <w:r w:rsidRPr="00CE0885">
        <w:rPr>
          <w:lang w:eastAsia="en-GB"/>
        </w:rPr>
        <w:t>e</w:t>
      </w:r>
      <w:r w:rsidRPr="00CE0885">
        <w:rPr>
          <w:spacing w:val="-2"/>
          <w:lang w:eastAsia="en-GB"/>
        </w:rPr>
        <w:t xml:space="preserve"> </w:t>
      </w:r>
      <w:r w:rsidRPr="00CE0885">
        <w:rPr>
          <w:spacing w:val="-1"/>
          <w:lang w:eastAsia="en-GB"/>
        </w:rPr>
        <w:t>r</w:t>
      </w:r>
      <w:r w:rsidRPr="00CE0885">
        <w:rPr>
          <w:lang w:eastAsia="en-GB"/>
        </w:rPr>
        <w:t>ea</w:t>
      </w:r>
      <w:r w:rsidRPr="00CE0885">
        <w:rPr>
          <w:spacing w:val="-2"/>
          <w:lang w:eastAsia="en-GB"/>
        </w:rPr>
        <w:t>s</w:t>
      </w:r>
      <w:r w:rsidRPr="00CE0885">
        <w:rPr>
          <w:lang w:eastAsia="en-GB"/>
        </w:rPr>
        <w:t>o</w:t>
      </w:r>
      <w:r w:rsidRPr="00CE0885">
        <w:rPr>
          <w:spacing w:val="-1"/>
          <w:lang w:eastAsia="en-GB"/>
        </w:rPr>
        <w:t>n</w:t>
      </w:r>
      <w:r w:rsidRPr="00CE0885">
        <w:rPr>
          <w:lang w:eastAsia="en-GB"/>
        </w:rPr>
        <w:t>ab</w:t>
      </w:r>
      <w:r w:rsidRPr="00CE0885">
        <w:rPr>
          <w:spacing w:val="-3"/>
          <w:lang w:eastAsia="en-GB"/>
        </w:rPr>
        <w:t>l</w:t>
      </w:r>
      <w:r w:rsidRPr="00CE0885">
        <w:rPr>
          <w:lang w:eastAsia="en-GB"/>
        </w:rPr>
        <w:t>e</w:t>
      </w:r>
      <w:r w:rsidRPr="00CE0885">
        <w:rPr>
          <w:spacing w:val="-10"/>
          <w:lang w:eastAsia="en-GB"/>
        </w:rPr>
        <w:t xml:space="preserve"> </w:t>
      </w:r>
      <w:r w:rsidRPr="00CE0885">
        <w:rPr>
          <w:lang w:eastAsia="en-GB"/>
        </w:rPr>
        <w:t>e</w:t>
      </w:r>
      <w:r w:rsidRPr="00CE0885">
        <w:rPr>
          <w:spacing w:val="-1"/>
          <w:lang w:eastAsia="en-GB"/>
        </w:rPr>
        <w:t>n</w:t>
      </w:r>
      <w:r w:rsidRPr="00CE0885">
        <w:rPr>
          <w:lang w:eastAsia="en-GB"/>
        </w:rPr>
        <w:t>dea</w:t>
      </w:r>
      <w:r w:rsidRPr="00CE0885">
        <w:rPr>
          <w:spacing w:val="-2"/>
          <w:lang w:eastAsia="en-GB"/>
        </w:rPr>
        <w:t>v</w:t>
      </w:r>
      <w:r w:rsidRPr="00CE0885">
        <w:rPr>
          <w:lang w:eastAsia="en-GB"/>
        </w:rPr>
        <w:t>ou</w:t>
      </w:r>
      <w:r w:rsidRPr="00CE0885">
        <w:rPr>
          <w:spacing w:val="-1"/>
          <w:lang w:eastAsia="en-GB"/>
        </w:rPr>
        <w:t>r</w:t>
      </w:r>
      <w:r w:rsidRPr="00CE0885">
        <w:rPr>
          <w:lang w:eastAsia="en-GB"/>
        </w:rPr>
        <w:t>s</w:t>
      </w:r>
      <w:r w:rsidRPr="00CE0885">
        <w:rPr>
          <w:spacing w:val="-13"/>
          <w:lang w:eastAsia="en-GB"/>
        </w:rPr>
        <w:t xml:space="preserve"> </w:t>
      </w:r>
      <w:r w:rsidRPr="00CE0885">
        <w:rPr>
          <w:spacing w:val="-2"/>
          <w:lang w:eastAsia="en-GB"/>
        </w:rPr>
        <w:t>t</w:t>
      </w:r>
      <w:r w:rsidRPr="00CE0885">
        <w:rPr>
          <w:lang w:eastAsia="en-GB"/>
        </w:rPr>
        <w:t>o achie</w:t>
      </w:r>
      <w:r w:rsidRPr="00CE0885">
        <w:rPr>
          <w:spacing w:val="-2"/>
          <w:lang w:eastAsia="en-GB"/>
        </w:rPr>
        <w:t>v</w:t>
      </w:r>
      <w:r w:rsidRPr="00CE0885">
        <w:rPr>
          <w:lang w:eastAsia="en-GB"/>
        </w:rPr>
        <w:t>e</w:t>
      </w:r>
      <w:r w:rsidRPr="00CE0885">
        <w:rPr>
          <w:spacing w:val="-6"/>
          <w:lang w:eastAsia="en-GB"/>
        </w:rPr>
        <w:t xml:space="preserve"> </w:t>
      </w:r>
      <w:r w:rsidRPr="00CE0885">
        <w:rPr>
          <w:lang w:eastAsia="en-GB"/>
        </w:rPr>
        <w:t>this</w:t>
      </w:r>
      <w:r w:rsidRPr="00CE0885">
        <w:rPr>
          <w:spacing w:val="-4"/>
          <w:lang w:eastAsia="en-GB"/>
        </w:rPr>
        <w:t xml:space="preserve"> </w:t>
      </w:r>
      <w:r w:rsidRPr="00CE0885">
        <w:rPr>
          <w:lang w:eastAsia="en-GB"/>
        </w:rPr>
        <w:t>a</w:t>
      </w:r>
      <w:r w:rsidRPr="00CE0885">
        <w:rPr>
          <w:spacing w:val="-3"/>
          <w:lang w:eastAsia="en-GB"/>
        </w:rPr>
        <w:t>i</w:t>
      </w:r>
      <w:r w:rsidRPr="00CE0885">
        <w:rPr>
          <w:spacing w:val="2"/>
          <w:lang w:eastAsia="en-GB"/>
        </w:rPr>
        <w:t>m</w:t>
      </w:r>
      <w:r w:rsidRPr="00CE0885">
        <w:rPr>
          <w:lang w:eastAsia="en-GB"/>
        </w:rPr>
        <w:t xml:space="preserve"> of enabling the contractor to continue to provide the additional service.</w:t>
      </w:r>
      <w:bookmarkEnd w:id="842"/>
    </w:p>
    <w:p w14:paraId="1E96ACF7" w14:textId="77777777" w:rsidR="00977693" w:rsidRPr="00CE0885" w:rsidRDefault="00977693" w:rsidP="00E47A71">
      <w:pPr>
        <w:pStyle w:val="Heading3"/>
        <w:rPr>
          <w:lang w:eastAsia="en-GB"/>
        </w:rPr>
      </w:pPr>
      <w:bookmarkStart w:id="843" w:name="_Toc440981999"/>
      <w:r w:rsidRPr="00CE0885">
        <w:rPr>
          <w:spacing w:val="2"/>
          <w:lang w:eastAsia="en-GB"/>
        </w:rPr>
        <w:t>T</w:t>
      </w:r>
      <w:r w:rsidRPr="00CE0885">
        <w:rPr>
          <w:spacing w:val="-1"/>
          <w:lang w:eastAsia="en-GB"/>
        </w:rPr>
        <w:t>h</w:t>
      </w:r>
      <w:r w:rsidRPr="00CE0885">
        <w:rPr>
          <w:lang w:eastAsia="en-GB"/>
        </w:rPr>
        <w:t>e</w:t>
      </w:r>
      <w:r w:rsidRPr="00CE0885">
        <w:rPr>
          <w:spacing w:val="-2"/>
          <w:lang w:eastAsia="en-GB"/>
        </w:rPr>
        <w:t xml:space="preserve"> </w:t>
      </w:r>
      <w:r w:rsidRPr="00CE0885">
        <w:rPr>
          <w:lang w:eastAsia="en-GB"/>
        </w:rPr>
        <w:t>discuss</w:t>
      </w:r>
      <w:r w:rsidRPr="00CE0885">
        <w:rPr>
          <w:spacing w:val="-3"/>
          <w:lang w:eastAsia="en-GB"/>
        </w:rPr>
        <w:t>i</w:t>
      </w:r>
      <w:r w:rsidRPr="00CE0885">
        <w:rPr>
          <w:lang w:eastAsia="en-GB"/>
        </w:rPr>
        <w:t>ons</w:t>
      </w:r>
      <w:r w:rsidRPr="00CE0885">
        <w:rPr>
          <w:spacing w:val="-12"/>
          <w:lang w:eastAsia="en-GB"/>
        </w:rPr>
        <w:t xml:space="preserve"> </w:t>
      </w:r>
      <w:r w:rsidRPr="00CE0885">
        <w:rPr>
          <w:spacing w:val="-2"/>
          <w:lang w:eastAsia="en-GB"/>
        </w:rPr>
        <w:t>must</w:t>
      </w:r>
      <w:r w:rsidRPr="00CE0885">
        <w:rPr>
          <w:spacing w:val="-7"/>
          <w:lang w:eastAsia="en-GB"/>
        </w:rPr>
        <w:t xml:space="preserve"> </w:t>
      </w:r>
      <w:r w:rsidRPr="00CE0885">
        <w:rPr>
          <w:lang w:eastAsia="en-GB"/>
        </w:rPr>
        <w:t>be</w:t>
      </w:r>
      <w:r w:rsidRPr="00CE0885">
        <w:rPr>
          <w:spacing w:val="-1"/>
          <w:lang w:eastAsia="en-GB"/>
        </w:rPr>
        <w:t xml:space="preserve"> </w:t>
      </w:r>
      <w:r w:rsidRPr="00CE0885">
        <w:rPr>
          <w:lang w:eastAsia="en-GB"/>
        </w:rPr>
        <w:t>c</w:t>
      </w:r>
      <w:r w:rsidRPr="00CE0885">
        <w:rPr>
          <w:spacing w:val="-1"/>
          <w:lang w:eastAsia="en-GB"/>
        </w:rPr>
        <w:t>o</w:t>
      </w:r>
      <w:r w:rsidRPr="00CE0885">
        <w:rPr>
          <w:spacing w:val="2"/>
          <w:lang w:eastAsia="en-GB"/>
        </w:rPr>
        <w:t>m</w:t>
      </w:r>
      <w:r w:rsidRPr="00CE0885">
        <w:rPr>
          <w:lang w:eastAsia="en-GB"/>
        </w:rPr>
        <w:t>p</w:t>
      </w:r>
      <w:r w:rsidRPr="00CE0885">
        <w:rPr>
          <w:spacing w:val="-3"/>
          <w:lang w:eastAsia="en-GB"/>
        </w:rPr>
        <w:t>l</w:t>
      </w:r>
      <w:r w:rsidRPr="00CE0885">
        <w:rPr>
          <w:lang w:eastAsia="en-GB"/>
        </w:rPr>
        <w:t>et</w:t>
      </w:r>
      <w:r w:rsidRPr="00CE0885">
        <w:rPr>
          <w:spacing w:val="-1"/>
          <w:lang w:eastAsia="en-GB"/>
        </w:rPr>
        <w:t>e</w:t>
      </w:r>
      <w:r w:rsidRPr="00CE0885">
        <w:rPr>
          <w:lang w:eastAsia="en-GB"/>
        </w:rPr>
        <w:t>d</w:t>
      </w:r>
      <w:r w:rsidRPr="00CE0885">
        <w:rPr>
          <w:spacing w:val="-9"/>
          <w:lang w:eastAsia="en-GB"/>
        </w:rPr>
        <w:t xml:space="preserve"> </w:t>
      </w:r>
      <w:r w:rsidRPr="00CE0885">
        <w:rPr>
          <w:spacing w:val="-3"/>
          <w:lang w:eastAsia="en-GB"/>
        </w:rPr>
        <w:t>w</w:t>
      </w:r>
      <w:r w:rsidRPr="00CE0885">
        <w:rPr>
          <w:lang w:eastAsia="en-GB"/>
        </w:rPr>
        <w:t>ithin</w:t>
      </w:r>
      <w:r w:rsidRPr="00CE0885">
        <w:rPr>
          <w:spacing w:val="-4"/>
          <w:lang w:eastAsia="en-GB"/>
        </w:rPr>
        <w:t xml:space="preserve"> </w:t>
      </w:r>
      <w:r w:rsidRPr="00CE0885">
        <w:rPr>
          <w:lang w:eastAsia="en-GB"/>
        </w:rPr>
        <w:t>ten da</w:t>
      </w:r>
      <w:r w:rsidRPr="00CE0885">
        <w:rPr>
          <w:spacing w:val="-2"/>
          <w:lang w:eastAsia="en-GB"/>
        </w:rPr>
        <w:t>y</w:t>
      </w:r>
      <w:r w:rsidRPr="00CE0885">
        <w:rPr>
          <w:lang w:eastAsia="en-GB"/>
        </w:rPr>
        <w:t>s</w:t>
      </w:r>
      <w:r w:rsidRPr="00CE0885">
        <w:rPr>
          <w:spacing w:val="-5"/>
          <w:lang w:eastAsia="en-GB"/>
        </w:rPr>
        <w:t xml:space="preserve"> </w:t>
      </w:r>
      <w:r w:rsidRPr="00CE0885">
        <w:rPr>
          <w:lang w:eastAsia="en-GB"/>
        </w:rPr>
        <w:t>be</w:t>
      </w:r>
      <w:r w:rsidRPr="00CE0885">
        <w:rPr>
          <w:spacing w:val="-1"/>
          <w:lang w:eastAsia="en-GB"/>
        </w:rPr>
        <w:t>g</w:t>
      </w:r>
      <w:r w:rsidRPr="00CE0885">
        <w:rPr>
          <w:lang w:eastAsia="en-GB"/>
        </w:rPr>
        <w:t>inning</w:t>
      </w:r>
      <w:r w:rsidRPr="00CE0885">
        <w:rPr>
          <w:spacing w:val="-11"/>
          <w:lang w:eastAsia="en-GB"/>
        </w:rPr>
        <w:t xml:space="preserve"> </w:t>
      </w:r>
      <w:r w:rsidRPr="00CE0885">
        <w:rPr>
          <w:spacing w:val="-3"/>
          <w:lang w:eastAsia="en-GB"/>
        </w:rPr>
        <w:t>w</w:t>
      </w:r>
      <w:r w:rsidRPr="00CE0885">
        <w:rPr>
          <w:lang w:eastAsia="en-GB"/>
        </w:rPr>
        <w:t>ith</w:t>
      </w:r>
      <w:r w:rsidRPr="00CE0885">
        <w:rPr>
          <w:spacing w:val="-2"/>
          <w:lang w:eastAsia="en-GB"/>
        </w:rPr>
        <w:t xml:space="preserve"> </w:t>
      </w:r>
      <w:r w:rsidRPr="00CE0885">
        <w:rPr>
          <w:lang w:eastAsia="en-GB"/>
        </w:rPr>
        <w:t>the</w:t>
      </w:r>
      <w:r w:rsidRPr="00CE0885">
        <w:rPr>
          <w:spacing w:val="-1"/>
          <w:lang w:eastAsia="en-GB"/>
        </w:rPr>
        <w:t xml:space="preserve"> </w:t>
      </w:r>
      <w:r w:rsidRPr="00CE0885">
        <w:rPr>
          <w:lang w:eastAsia="en-GB"/>
        </w:rPr>
        <w:t>d</w:t>
      </w:r>
      <w:r w:rsidRPr="00CE0885">
        <w:rPr>
          <w:spacing w:val="-1"/>
          <w:lang w:eastAsia="en-GB"/>
        </w:rPr>
        <w:t>a</w:t>
      </w:r>
      <w:r w:rsidRPr="00CE0885">
        <w:rPr>
          <w:lang w:eastAsia="en-GB"/>
        </w:rPr>
        <w:t>te</w:t>
      </w:r>
      <w:r w:rsidRPr="00CE0885">
        <w:rPr>
          <w:spacing w:val="-6"/>
          <w:lang w:eastAsia="en-GB"/>
        </w:rPr>
        <w:t xml:space="preserve"> </w:t>
      </w:r>
      <w:r w:rsidRPr="00CE0885">
        <w:rPr>
          <w:spacing w:val="-1"/>
          <w:lang w:eastAsia="en-GB"/>
        </w:rPr>
        <w:t>o</w:t>
      </w:r>
      <w:r w:rsidRPr="00CE0885">
        <w:rPr>
          <w:lang w:eastAsia="en-GB"/>
        </w:rPr>
        <w:t xml:space="preserve">f </w:t>
      </w:r>
      <w:r w:rsidRPr="00CE0885">
        <w:rPr>
          <w:spacing w:val="-2"/>
          <w:lang w:eastAsia="en-GB"/>
        </w:rPr>
        <w:t>t</w:t>
      </w:r>
      <w:r w:rsidRPr="00CE0885">
        <w:rPr>
          <w:lang w:eastAsia="en-GB"/>
        </w:rPr>
        <w:t>he</w:t>
      </w:r>
      <w:r w:rsidRPr="00CE0885">
        <w:rPr>
          <w:spacing w:val="-1"/>
          <w:lang w:eastAsia="en-GB"/>
        </w:rPr>
        <w:t xml:space="preserve"> r</w:t>
      </w:r>
      <w:r w:rsidRPr="00CE0885">
        <w:rPr>
          <w:lang w:eastAsia="en-GB"/>
        </w:rPr>
        <w:t>e</w:t>
      </w:r>
      <w:r w:rsidRPr="00CE0885">
        <w:rPr>
          <w:spacing w:val="-2"/>
          <w:lang w:eastAsia="en-GB"/>
        </w:rPr>
        <w:t>c</w:t>
      </w:r>
      <w:r w:rsidRPr="00CE0885">
        <w:rPr>
          <w:lang w:eastAsia="en-GB"/>
        </w:rPr>
        <w:t>eipt</w:t>
      </w:r>
      <w:r w:rsidRPr="00CE0885">
        <w:rPr>
          <w:spacing w:val="-8"/>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the p</w:t>
      </w:r>
      <w:r w:rsidRPr="00CE0885">
        <w:rPr>
          <w:spacing w:val="-1"/>
          <w:lang w:eastAsia="en-GB"/>
        </w:rPr>
        <w:t>r</w:t>
      </w:r>
      <w:r w:rsidRPr="00CE0885">
        <w:rPr>
          <w:lang w:eastAsia="en-GB"/>
        </w:rPr>
        <w:t>eli</w:t>
      </w:r>
      <w:r w:rsidRPr="00CE0885">
        <w:rPr>
          <w:spacing w:val="2"/>
          <w:lang w:eastAsia="en-GB"/>
        </w:rPr>
        <w:t>m</w:t>
      </w:r>
      <w:r w:rsidRPr="00CE0885">
        <w:rPr>
          <w:lang w:eastAsia="en-GB"/>
        </w:rPr>
        <w:t>ina</w:t>
      </w:r>
      <w:r w:rsidRPr="00CE0885">
        <w:rPr>
          <w:spacing w:val="-1"/>
          <w:lang w:eastAsia="en-GB"/>
        </w:rPr>
        <w:t>r</w:t>
      </w:r>
      <w:r w:rsidRPr="00CE0885">
        <w:rPr>
          <w:lang w:eastAsia="en-GB"/>
        </w:rPr>
        <w:t>y</w:t>
      </w:r>
      <w:r w:rsidRPr="00CE0885">
        <w:rPr>
          <w:spacing w:val="-14"/>
          <w:lang w:eastAsia="en-GB"/>
        </w:rPr>
        <w:t xml:space="preserve"> </w:t>
      </w:r>
      <w:r w:rsidRPr="00CE0885">
        <w:rPr>
          <w:lang w:eastAsia="en-GB"/>
        </w:rPr>
        <w:t>opt</w:t>
      </w:r>
      <w:r w:rsidRPr="00CE0885">
        <w:rPr>
          <w:spacing w:val="-1"/>
          <w:lang w:eastAsia="en-GB"/>
        </w:rPr>
        <w:t>-o</w:t>
      </w:r>
      <w:r w:rsidRPr="00CE0885">
        <w:rPr>
          <w:lang w:eastAsia="en-GB"/>
        </w:rPr>
        <w:t>ut</w:t>
      </w:r>
      <w:r w:rsidRPr="00CE0885">
        <w:rPr>
          <w:spacing w:val="-6"/>
          <w:lang w:eastAsia="en-GB"/>
        </w:rPr>
        <w:t xml:space="preserve"> </w:t>
      </w:r>
      <w:r w:rsidRPr="00CE0885">
        <w:rPr>
          <w:spacing w:val="-1"/>
          <w:lang w:eastAsia="en-GB"/>
        </w:rPr>
        <w:t>n</w:t>
      </w:r>
      <w:r w:rsidRPr="00CE0885">
        <w:rPr>
          <w:lang w:eastAsia="en-GB"/>
        </w:rPr>
        <w:t>ot</w:t>
      </w:r>
      <w:r w:rsidRPr="00CE0885">
        <w:rPr>
          <w:spacing w:val="-3"/>
          <w:lang w:eastAsia="en-GB"/>
        </w:rPr>
        <w:t>i</w:t>
      </w:r>
      <w:r w:rsidRPr="00CE0885">
        <w:rPr>
          <w:lang w:eastAsia="en-GB"/>
        </w:rPr>
        <w:t>ce</w:t>
      </w:r>
      <w:r w:rsidRPr="00CE0885">
        <w:rPr>
          <w:spacing w:val="-4"/>
          <w:lang w:eastAsia="en-GB"/>
        </w:rPr>
        <w:t xml:space="preserve"> </w:t>
      </w:r>
      <w:r w:rsidRPr="00CE0885">
        <w:rPr>
          <w:lang w:eastAsia="en-GB"/>
        </w:rPr>
        <w:t>or</w:t>
      </w:r>
      <w:r w:rsidRPr="00CE0885">
        <w:rPr>
          <w:spacing w:val="-2"/>
          <w:lang w:eastAsia="en-GB"/>
        </w:rPr>
        <w:t xml:space="preserve"> </w:t>
      </w:r>
      <w:r w:rsidRPr="00CE0885">
        <w:rPr>
          <w:spacing w:val="-1"/>
          <w:lang w:eastAsia="en-GB"/>
        </w:rPr>
        <w:t>a</w:t>
      </w:r>
      <w:r w:rsidRPr="00CE0885">
        <w:rPr>
          <w:lang w:eastAsia="en-GB"/>
        </w:rPr>
        <w:t>s</w:t>
      </w:r>
      <w:r w:rsidRPr="00CE0885">
        <w:rPr>
          <w:spacing w:val="-3"/>
          <w:lang w:eastAsia="en-GB"/>
        </w:rPr>
        <w:t xml:space="preserve"> </w:t>
      </w:r>
      <w:r w:rsidRPr="00CE0885">
        <w:rPr>
          <w:lang w:eastAsia="en-GB"/>
        </w:rPr>
        <w:t>soon</w:t>
      </w:r>
      <w:r w:rsidRPr="00CE0885">
        <w:rPr>
          <w:spacing w:val="-6"/>
          <w:lang w:eastAsia="en-GB"/>
        </w:rPr>
        <w:t xml:space="preserve"> </w:t>
      </w:r>
      <w:r w:rsidRPr="00CE0885">
        <w:rPr>
          <w:lang w:eastAsia="en-GB"/>
        </w:rPr>
        <w:t xml:space="preserve">as </w:t>
      </w:r>
      <w:r w:rsidRPr="00CE0885">
        <w:rPr>
          <w:spacing w:val="-1"/>
          <w:lang w:eastAsia="en-GB"/>
        </w:rPr>
        <w:t>r</w:t>
      </w:r>
      <w:r w:rsidRPr="00CE0885">
        <w:rPr>
          <w:lang w:eastAsia="en-GB"/>
        </w:rPr>
        <w:t>easo</w:t>
      </w:r>
      <w:r w:rsidRPr="00CE0885">
        <w:rPr>
          <w:spacing w:val="-1"/>
          <w:lang w:eastAsia="en-GB"/>
        </w:rPr>
        <w:t>n</w:t>
      </w:r>
      <w:r w:rsidRPr="00CE0885">
        <w:rPr>
          <w:lang w:eastAsia="en-GB"/>
        </w:rPr>
        <w:t>ably</w:t>
      </w:r>
      <w:r w:rsidRPr="00CE0885">
        <w:rPr>
          <w:spacing w:val="-14"/>
          <w:lang w:eastAsia="en-GB"/>
        </w:rPr>
        <w:t xml:space="preserve"> </w:t>
      </w:r>
      <w:r w:rsidRPr="00CE0885">
        <w:rPr>
          <w:lang w:eastAsia="en-GB"/>
        </w:rPr>
        <w:t>p</w:t>
      </w:r>
      <w:r w:rsidRPr="00CE0885">
        <w:rPr>
          <w:spacing w:val="-1"/>
          <w:lang w:eastAsia="en-GB"/>
        </w:rPr>
        <w:t>r</w:t>
      </w:r>
      <w:r w:rsidRPr="00CE0885">
        <w:rPr>
          <w:lang w:eastAsia="en-GB"/>
        </w:rPr>
        <w:t>acticable</w:t>
      </w:r>
      <w:r w:rsidRPr="00CE0885">
        <w:rPr>
          <w:spacing w:val="-13"/>
          <w:lang w:eastAsia="en-GB"/>
        </w:rPr>
        <w:t xml:space="preserve"> </w:t>
      </w:r>
      <w:r w:rsidRPr="00CE0885">
        <w:rPr>
          <w:lang w:eastAsia="en-GB"/>
        </w:rPr>
        <w:t>after the ten days.</w:t>
      </w:r>
      <w:bookmarkEnd w:id="843"/>
    </w:p>
    <w:p w14:paraId="15764066" w14:textId="77777777" w:rsidR="00977693" w:rsidRPr="00CE0885" w:rsidRDefault="00977693" w:rsidP="00E47A71">
      <w:pPr>
        <w:pStyle w:val="Heading3"/>
        <w:rPr>
          <w:lang w:eastAsia="en-GB"/>
        </w:rPr>
      </w:pPr>
      <w:bookmarkStart w:id="844" w:name="_Toc440982000"/>
      <w:r w:rsidRPr="00CE0885">
        <w:rPr>
          <w:spacing w:val="1"/>
          <w:lang w:eastAsia="en-GB"/>
        </w:rPr>
        <w:t>I</w:t>
      </w:r>
      <w:r w:rsidRPr="00CE0885">
        <w:rPr>
          <w:lang w:eastAsia="en-GB"/>
        </w:rPr>
        <w:t>f,</w:t>
      </w:r>
      <w:r w:rsidRPr="00CE0885">
        <w:rPr>
          <w:spacing w:val="-2"/>
          <w:lang w:eastAsia="en-GB"/>
        </w:rPr>
        <w:t xml:space="preserve"> </w:t>
      </w:r>
      <w:r w:rsidRPr="00CE0885">
        <w:rPr>
          <w:spacing w:val="3"/>
          <w:lang w:eastAsia="en-GB"/>
        </w:rPr>
        <w:t>after</w:t>
      </w:r>
      <w:r w:rsidRPr="00CE0885">
        <w:rPr>
          <w:spacing w:val="-10"/>
          <w:lang w:eastAsia="en-GB"/>
        </w:rPr>
        <w:t xml:space="preserve"> </w:t>
      </w:r>
      <w:r w:rsidRPr="00CE0885">
        <w:rPr>
          <w:spacing w:val="1"/>
          <w:lang w:eastAsia="en-GB"/>
        </w:rPr>
        <w:t>th</w:t>
      </w:r>
      <w:r w:rsidRPr="00CE0885">
        <w:rPr>
          <w:lang w:eastAsia="en-GB"/>
        </w:rPr>
        <w:t>e</w:t>
      </w:r>
      <w:r w:rsidRPr="00CE0885">
        <w:rPr>
          <w:spacing w:val="-1"/>
          <w:lang w:eastAsia="en-GB"/>
        </w:rPr>
        <w:t xml:space="preserve"> </w:t>
      </w:r>
      <w:r w:rsidRPr="00CE0885">
        <w:rPr>
          <w:spacing w:val="1"/>
          <w:lang w:eastAsia="en-GB"/>
        </w:rPr>
        <w:t>d</w:t>
      </w:r>
      <w:r w:rsidRPr="00CE0885">
        <w:rPr>
          <w:lang w:eastAsia="en-GB"/>
        </w:rPr>
        <w:t>isc</w:t>
      </w:r>
      <w:r w:rsidRPr="00CE0885">
        <w:rPr>
          <w:spacing w:val="1"/>
          <w:lang w:eastAsia="en-GB"/>
        </w:rPr>
        <w:t>u</w:t>
      </w:r>
      <w:r w:rsidRPr="00CE0885">
        <w:rPr>
          <w:lang w:eastAsia="en-GB"/>
        </w:rPr>
        <w:t>ss</w:t>
      </w:r>
      <w:r w:rsidRPr="00CE0885">
        <w:rPr>
          <w:spacing w:val="-3"/>
          <w:lang w:eastAsia="en-GB"/>
        </w:rPr>
        <w:t>i</w:t>
      </w:r>
      <w:r w:rsidRPr="00CE0885">
        <w:rPr>
          <w:spacing w:val="1"/>
          <w:lang w:eastAsia="en-GB"/>
        </w:rPr>
        <w:t>on</w:t>
      </w:r>
      <w:r w:rsidRPr="00CE0885">
        <w:rPr>
          <w:lang w:eastAsia="en-GB"/>
        </w:rPr>
        <w:t>s,</w:t>
      </w:r>
      <w:r w:rsidRPr="00CE0885">
        <w:rPr>
          <w:spacing w:val="-12"/>
          <w:lang w:eastAsia="en-GB"/>
        </w:rPr>
        <w:t xml:space="preserve"> </w:t>
      </w:r>
      <w:r w:rsidRPr="00CE0885">
        <w:rPr>
          <w:spacing w:val="-2"/>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2"/>
          <w:lang w:eastAsia="en-GB"/>
        </w:rPr>
        <w:t>c</w:t>
      </w:r>
      <w:r w:rsidRPr="00CE0885">
        <w:rPr>
          <w:spacing w:val="1"/>
          <w:lang w:eastAsia="en-GB"/>
        </w:rPr>
        <w:t>ont</w:t>
      </w:r>
      <w:r w:rsidRPr="00CE0885">
        <w:rPr>
          <w:spacing w:val="-1"/>
          <w:lang w:eastAsia="en-GB"/>
        </w:rPr>
        <w:t>r</w:t>
      </w:r>
      <w:r w:rsidRPr="00CE0885">
        <w:rPr>
          <w:spacing w:val="1"/>
          <w:lang w:eastAsia="en-GB"/>
        </w:rPr>
        <w:t>a</w:t>
      </w:r>
      <w:r w:rsidRPr="00CE0885">
        <w:rPr>
          <w:spacing w:val="-2"/>
          <w:lang w:eastAsia="en-GB"/>
        </w:rPr>
        <w:t>c</w:t>
      </w:r>
      <w:r w:rsidRPr="00CE0885">
        <w:rPr>
          <w:spacing w:val="1"/>
          <w:lang w:eastAsia="en-GB"/>
        </w:rPr>
        <w:t>to</w:t>
      </w:r>
      <w:r w:rsidRPr="00CE0885">
        <w:rPr>
          <w:lang w:eastAsia="en-GB"/>
        </w:rPr>
        <w:t>r</w:t>
      </w:r>
      <w:r w:rsidRPr="00CE0885">
        <w:rPr>
          <w:spacing w:val="-11"/>
          <w:lang w:eastAsia="en-GB"/>
        </w:rPr>
        <w:t xml:space="preserve"> </w:t>
      </w:r>
      <w:r w:rsidRPr="00CE0885">
        <w:rPr>
          <w:lang w:eastAsia="en-GB"/>
        </w:rPr>
        <w:t>s</w:t>
      </w:r>
      <w:r w:rsidRPr="00CE0885">
        <w:rPr>
          <w:spacing w:val="1"/>
          <w:lang w:eastAsia="en-GB"/>
        </w:rPr>
        <w:t>t</w:t>
      </w:r>
      <w:r w:rsidRPr="00CE0885">
        <w:rPr>
          <w:lang w:eastAsia="en-GB"/>
        </w:rPr>
        <w:t>ill</w:t>
      </w:r>
      <w:r w:rsidRPr="00CE0885">
        <w:rPr>
          <w:spacing w:val="-3"/>
          <w:lang w:eastAsia="en-GB"/>
        </w:rPr>
        <w:t xml:space="preserve"> w</w:t>
      </w:r>
      <w:r w:rsidRPr="00CE0885">
        <w:rPr>
          <w:lang w:eastAsia="en-GB"/>
        </w:rPr>
        <w:t>is</w:t>
      </w:r>
      <w:r w:rsidRPr="00CE0885">
        <w:rPr>
          <w:spacing w:val="1"/>
          <w:lang w:eastAsia="en-GB"/>
        </w:rPr>
        <w:t>he</w:t>
      </w:r>
      <w:r w:rsidRPr="00CE0885">
        <w:rPr>
          <w:lang w:eastAsia="en-GB"/>
        </w:rPr>
        <w:t>s</w:t>
      </w:r>
      <w:r w:rsidRPr="00CE0885">
        <w:rPr>
          <w:spacing w:val="-7"/>
          <w:lang w:eastAsia="en-GB"/>
        </w:rPr>
        <w:t xml:space="preserve"> </w:t>
      </w:r>
      <w:r w:rsidRPr="00CE0885">
        <w:rPr>
          <w:spacing w:val="1"/>
          <w:lang w:eastAsia="en-GB"/>
        </w:rPr>
        <w:t>t</w:t>
      </w:r>
      <w:r w:rsidRPr="00CE0885">
        <w:rPr>
          <w:lang w:eastAsia="en-GB"/>
        </w:rPr>
        <w:t xml:space="preserve">o </w:t>
      </w:r>
      <w:r w:rsidRPr="00CE0885">
        <w:rPr>
          <w:spacing w:val="1"/>
          <w:lang w:eastAsia="en-GB"/>
        </w:rPr>
        <w:t>op</w:t>
      </w:r>
      <w:r w:rsidRPr="00CE0885">
        <w:rPr>
          <w:lang w:eastAsia="en-GB"/>
        </w:rPr>
        <w:t>t</w:t>
      </w:r>
      <w:r w:rsidRPr="00CE0885">
        <w:rPr>
          <w:spacing w:val="-4"/>
          <w:lang w:eastAsia="en-GB"/>
        </w:rPr>
        <w:t xml:space="preserve"> </w:t>
      </w:r>
      <w:r w:rsidRPr="00CE0885">
        <w:rPr>
          <w:spacing w:val="1"/>
          <w:lang w:eastAsia="en-GB"/>
        </w:rPr>
        <w:t>ou</w:t>
      </w:r>
      <w:r w:rsidRPr="00CE0885">
        <w:rPr>
          <w:lang w:eastAsia="en-GB"/>
        </w:rPr>
        <w:t>t,</w:t>
      </w:r>
      <w:r w:rsidRPr="00CE0885">
        <w:rPr>
          <w:spacing w:val="-7"/>
          <w:lang w:eastAsia="en-GB"/>
        </w:rPr>
        <w:t xml:space="preserve"> </w:t>
      </w:r>
      <w:r w:rsidRPr="00CE0885">
        <w:rPr>
          <w:lang w:eastAsia="en-GB"/>
        </w:rPr>
        <w:t>the contractor must s</w:t>
      </w:r>
      <w:r w:rsidRPr="00CE0885">
        <w:rPr>
          <w:spacing w:val="1"/>
          <w:lang w:eastAsia="en-GB"/>
        </w:rPr>
        <w:t>en</w:t>
      </w:r>
      <w:r w:rsidRPr="00CE0885">
        <w:rPr>
          <w:lang w:eastAsia="en-GB"/>
        </w:rPr>
        <w:t>d</w:t>
      </w:r>
      <w:r w:rsidRPr="00CE0885">
        <w:rPr>
          <w:spacing w:val="-6"/>
          <w:lang w:eastAsia="en-GB"/>
        </w:rPr>
        <w:t xml:space="preserve"> </w:t>
      </w:r>
      <w:r w:rsidRPr="00CE0885">
        <w:rPr>
          <w:spacing w:val="1"/>
          <w:lang w:eastAsia="en-GB"/>
        </w:rPr>
        <w:t>a</w:t>
      </w:r>
      <w:r w:rsidRPr="00CE0885">
        <w:rPr>
          <w:lang w:eastAsia="en-GB"/>
        </w:rPr>
        <w:t>n</w:t>
      </w:r>
      <w:r w:rsidRPr="00CE0885">
        <w:rPr>
          <w:spacing w:val="-4"/>
          <w:lang w:eastAsia="en-GB"/>
        </w:rPr>
        <w:t xml:space="preserve"> </w:t>
      </w:r>
      <w:r w:rsidRPr="00CE0885">
        <w:rPr>
          <w:spacing w:val="1"/>
          <w:lang w:eastAsia="en-GB"/>
        </w:rPr>
        <w:t>opt</w:t>
      </w:r>
      <w:r w:rsidRPr="00CE0885">
        <w:rPr>
          <w:spacing w:val="-1"/>
          <w:lang w:eastAsia="en-GB"/>
        </w:rPr>
        <w:t>-o</w:t>
      </w:r>
      <w:r w:rsidRPr="00CE0885">
        <w:rPr>
          <w:spacing w:val="1"/>
          <w:lang w:eastAsia="en-GB"/>
        </w:rPr>
        <w:t>u</w:t>
      </w:r>
      <w:r w:rsidRPr="00CE0885">
        <w:rPr>
          <w:lang w:eastAsia="en-GB"/>
        </w:rPr>
        <w:t>t</w:t>
      </w:r>
      <w:r w:rsidRPr="00CE0885">
        <w:rPr>
          <w:spacing w:val="-8"/>
          <w:lang w:eastAsia="en-GB"/>
        </w:rPr>
        <w:t xml:space="preserve"> </w:t>
      </w:r>
      <w:r w:rsidRPr="00CE0885">
        <w:rPr>
          <w:spacing w:val="1"/>
          <w:lang w:eastAsia="en-GB"/>
        </w:rPr>
        <w:t>not</w:t>
      </w:r>
      <w:r w:rsidRPr="00CE0885">
        <w:rPr>
          <w:lang w:eastAsia="en-GB"/>
        </w:rPr>
        <w:t>ice</w:t>
      </w:r>
      <w:r w:rsidRPr="00CE0885">
        <w:rPr>
          <w:spacing w:val="-9"/>
          <w:lang w:eastAsia="en-GB"/>
        </w:rPr>
        <w:t xml:space="preserve">  </w:t>
      </w:r>
      <w:r w:rsidRPr="00CE0885">
        <w:rPr>
          <w:spacing w:val="1"/>
          <w:lang w:eastAsia="en-GB"/>
        </w:rPr>
        <w:t>t</w:t>
      </w:r>
      <w:r w:rsidRPr="00CE0885">
        <w:rPr>
          <w:lang w:eastAsia="en-GB"/>
        </w:rPr>
        <w:t xml:space="preserve">o </w:t>
      </w:r>
      <w:r w:rsidRPr="00CE0885">
        <w:rPr>
          <w:spacing w:val="1"/>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Commissioner which must include:</w:t>
      </w:r>
      <w:bookmarkEnd w:id="844"/>
    </w:p>
    <w:p w14:paraId="74913329" w14:textId="77777777" w:rsidR="00977693" w:rsidRPr="00CE0885" w:rsidRDefault="00977693" w:rsidP="00E47A71">
      <w:pPr>
        <w:pStyle w:val="Heading4"/>
      </w:pPr>
      <w:bookmarkStart w:id="845" w:name="_Toc440982001"/>
      <w:r w:rsidRPr="00CE0885">
        <w:t>the</w:t>
      </w:r>
      <w:r w:rsidRPr="00CE0885">
        <w:rPr>
          <w:spacing w:val="-4"/>
        </w:rPr>
        <w:t xml:space="preserve"> </w:t>
      </w:r>
      <w:r w:rsidRPr="00CE0885">
        <w:t>additi</w:t>
      </w:r>
      <w:r w:rsidRPr="00CE0885">
        <w:rPr>
          <w:spacing w:val="-1"/>
        </w:rPr>
        <w:t>o</w:t>
      </w:r>
      <w:r w:rsidRPr="00CE0885">
        <w:t>nal</w:t>
      </w:r>
      <w:r w:rsidRPr="00CE0885">
        <w:rPr>
          <w:spacing w:val="-10"/>
        </w:rPr>
        <w:t xml:space="preserve"> </w:t>
      </w:r>
      <w:r w:rsidRPr="00CE0885">
        <w:rPr>
          <w:spacing w:val="-2"/>
        </w:rPr>
        <w:t>s</w:t>
      </w:r>
      <w:r w:rsidRPr="00CE0885">
        <w:t>e</w:t>
      </w:r>
      <w:r w:rsidRPr="00CE0885">
        <w:rPr>
          <w:spacing w:val="-1"/>
        </w:rPr>
        <w:t>r</w:t>
      </w:r>
      <w:r w:rsidRPr="00CE0885">
        <w:rPr>
          <w:spacing w:val="-2"/>
        </w:rPr>
        <w:t>v</w:t>
      </w:r>
      <w:r w:rsidRPr="00CE0885">
        <w:t>ice</w:t>
      </w:r>
      <w:r w:rsidRPr="00CE0885">
        <w:rPr>
          <w:spacing w:val="-6"/>
        </w:rPr>
        <w:t xml:space="preserve"> </w:t>
      </w:r>
      <w:r w:rsidRPr="00CE0885">
        <w:rPr>
          <w:w w:val="99"/>
        </w:rPr>
        <w:t>conce</w:t>
      </w:r>
      <w:r w:rsidRPr="00CE0885">
        <w:rPr>
          <w:spacing w:val="-1"/>
          <w:w w:val="99"/>
        </w:rPr>
        <w:t>rn</w:t>
      </w:r>
      <w:r w:rsidRPr="00CE0885">
        <w:rPr>
          <w:w w:val="99"/>
        </w:rPr>
        <w:t>ed;</w:t>
      </w:r>
      <w:bookmarkEnd w:id="845"/>
    </w:p>
    <w:p w14:paraId="0164AF3F" w14:textId="77777777" w:rsidR="00977693" w:rsidRPr="00CE0885" w:rsidRDefault="00977693" w:rsidP="00E47A71">
      <w:pPr>
        <w:pStyle w:val="Heading4"/>
      </w:pPr>
      <w:bookmarkStart w:id="846" w:name="_Toc440982002"/>
      <w:r w:rsidRPr="00CE0885">
        <w:rPr>
          <w:spacing w:val="-3"/>
        </w:rPr>
        <w:t>w</w:t>
      </w:r>
      <w:r w:rsidRPr="00CE0885">
        <w:t>hether</w:t>
      </w:r>
      <w:r w:rsidRPr="00CE0885">
        <w:rPr>
          <w:spacing w:val="-9"/>
        </w:rPr>
        <w:t xml:space="preserve"> </w:t>
      </w:r>
      <w:r w:rsidRPr="00CE0885">
        <w:t>the</w:t>
      </w:r>
      <w:r w:rsidRPr="00CE0885">
        <w:rPr>
          <w:spacing w:val="-4"/>
        </w:rPr>
        <w:t xml:space="preserve"> </w:t>
      </w:r>
      <w:r w:rsidRPr="00CE0885">
        <w:t>co</w:t>
      </w:r>
      <w:r w:rsidRPr="00CE0885">
        <w:rPr>
          <w:spacing w:val="-1"/>
        </w:rPr>
        <w:t>n</w:t>
      </w:r>
      <w:r w:rsidRPr="00CE0885">
        <w:t>t</w:t>
      </w:r>
      <w:r w:rsidRPr="00CE0885">
        <w:rPr>
          <w:spacing w:val="-1"/>
        </w:rPr>
        <w:t>r</w:t>
      </w:r>
      <w:r w:rsidRPr="00CE0885">
        <w:t>actor</w:t>
      </w:r>
      <w:r w:rsidRPr="00CE0885">
        <w:rPr>
          <w:spacing w:val="-14"/>
        </w:rPr>
        <w:t xml:space="preserve"> </w:t>
      </w:r>
      <w:r w:rsidRPr="00CE0885">
        <w:rPr>
          <w:spacing w:val="-3"/>
        </w:rPr>
        <w:t>w</w:t>
      </w:r>
      <w:r w:rsidRPr="00CE0885">
        <w:t>ishes</w:t>
      </w:r>
      <w:r w:rsidRPr="00CE0885">
        <w:rPr>
          <w:spacing w:val="-7"/>
        </w:rPr>
        <w:t xml:space="preserve"> </w:t>
      </w:r>
      <w:r w:rsidRPr="00CE0885">
        <w:t>to te</w:t>
      </w:r>
      <w:r w:rsidRPr="00CE0885">
        <w:rPr>
          <w:spacing w:val="-1"/>
        </w:rPr>
        <w:t>m</w:t>
      </w:r>
      <w:r w:rsidRPr="00CE0885">
        <w:t>po</w:t>
      </w:r>
      <w:r w:rsidRPr="00CE0885">
        <w:rPr>
          <w:spacing w:val="-1"/>
        </w:rPr>
        <w:t>r</w:t>
      </w:r>
      <w:r w:rsidRPr="00CE0885">
        <w:t>a</w:t>
      </w:r>
      <w:r w:rsidRPr="00CE0885">
        <w:rPr>
          <w:spacing w:val="-1"/>
        </w:rPr>
        <w:t>r</w:t>
      </w:r>
      <w:r w:rsidRPr="00CE0885">
        <w:t>ily or pe</w:t>
      </w:r>
      <w:r w:rsidRPr="00CE0885">
        <w:rPr>
          <w:spacing w:val="-1"/>
        </w:rPr>
        <w:t>rm</w:t>
      </w:r>
      <w:r w:rsidRPr="00CE0885">
        <w:t>an</w:t>
      </w:r>
      <w:r w:rsidRPr="00CE0885">
        <w:rPr>
          <w:spacing w:val="-1"/>
        </w:rPr>
        <w:t>e</w:t>
      </w:r>
      <w:r w:rsidRPr="00CE0885">
        <w:t>ntly</w:t>
      </w:r>
      <w:r w:rsidRPr="00CE0885">
        <w:rPr>
          <w:spacing w:val="-15"/>
        </w:rPr>
        <w:t xml:space="preserve"> </w:t>
      </w:r>
      <w:r w:rsidRPr="00CE0885">
        <w:t>opt</w:t>
      </w:r>
      <w:r w:rsidRPr="00CE0885">
        <w:rPr>
          <w:spacing w:val="-2"/>
        </w:rPr>
        <w:t xml:space="preserve"> </w:t>
      </w:r>
      <w:r w:rsidRPr="00CE0885">
        <w:rPr>
          <w:spacing w:val="-1"/>
        </w:rPr>
        <w:t>o</w:t>
      </w:r>
      <w:r w:rsidRPr="00CE0885">
        <w:t>ut;</w:t>
      </w:r>
      <w:bookmarkEnd w:id="846"/>
    </w:p>
    <w:p w14:paraId="0EA3C767" w14:textId="77777777" w:rsidR="00977693" w:rsidRPr="00CE0885" w:rsidRDefault="00977693" w:rsidP="00E47A71">
      <w:pPr>
        <w:pStyle w:val="Heading4"/>
      </w:pPr>
      <w:bookmarkStart w:id="847" w:name="_Toc440982003"/>
      <w:r w:rsidRPr="00CE0885">
        <w:t>the</w:t>
      </w:r>
      <w:r w:rsidRPr="00CE0885">
        <w:rPr>
          <w:spacing w:val="-1"/>
        </w:rPr>
        <w:t xml:space="preserve"> re</w:t>
      </w:r>
      <w:r w:rsidRPr="00CE0885">
        <w:t>asons</w:t>
      </w:r>
      <w:r w:rsidRPr="00CE0885">
        <w:rPr>
          <w:spacing w:val="-13"/>
        </w:rPr>
        <w:t xml:space="preserve"> </w:t>
      </w:r>
      <w:r w:rsidRPr="00CE0885">
        <w:rPr>
          <w:spacing w:val="3"/>
        </w:rPr>
        <w:t>f</w:t>
      </w:r>
      <w:r w:rsidRPr="00CE0885">
        <w:t>or</w:t>
      </w:r>
      <w:r w:rsidRPr="00CE0885">
        <w:rPr>
          <w:spacing w:val="-3"/>
        </w:rPr>
        <w:t xml:space="preserve"> w</w:t>
      </w:r>
      <w:r w:rsidRPr="00CE0885">
        <w:t>ishing</w:t>
      </w:r>
      <w:r w:rsidRPr="00CE0885">
        <w:rPr>
          <w:spacing w:val="-9"/>
        </w:rPr>
        <w:t xml:space="preserve"> </w:t>
      </w:r>
      <w:r w:rsidRPr="00CE0885">
        <w:t>to opt</w:t>
      </w:r>
      <w:r w:rsidRPr="00CE0885">
        <w:rPr>
          <w:spacing w:val="-4"/>
        </w:rPr>
        <w:t xml:space="preserve"> </w:t>
      </w:r>
      <w:r w:rsidRPr="00CE0885">
        <w:t>o</w:t>
      </w:r>
      <w:r w:rsidRPr="00CE0885">
        <w:rPr>
          <w:spacing w:val="-1"/>
        </w:rPr>
        <w:t>u</w:t>
      </w:r>
      <w:r w:rsidRPr="00CE0885">
        <w:t>t;</w:t>
      </w:r>
      <w:bookmarkEnd w:id="847"/>
    </w:p>
    <w:p w14:paraId="3C2560C8" w14:textId="77777777" w:rsidR="00977693" w:rsidRPr="00CE0885" w:rsidRDefault="00977693" w:rsidP="00E47A71">
      <w:pPr>
        <w:pStyle w:val="Heading4"/>
      </w:pPr>
      <w:bookmarkStart w:id="848" w:name="_Toc440982004"/>
      <w:r w:rsidRPr="00CE0885">
        <w:rPr>
          <w:spacing w:val="1"/>
        </w:rPr>
        <w:t>th</w:t>
      </w:r>
      <w:r w:rsidRPr="00CE0885">
        <w:t>e</w:t>
      </w:r>
      <w:r w:rsidRPr="00CE0885">
        <w:rPr>
          <w:spacing w:val="-4"/>
        </w:rPr>
        <w:t xml:space="preserve"> </w:t>
      </w:r>
      <w:r w:rsidRPr="00CE0885">
        <w:rPr>
          <w:spacing w:val="1"/>
        </w:rPr>
        <w:t>da</w:t>
      </w:r>
      <w:r w:rsidRPr="00CE0885">
        <w:rPr>
          <w:spacing w:val="-2"/>
        </w:rPr>
        <w:t>t</w:t>
      </w:r>
      <w:r w:rsidRPr="00CE0885">
        <w:t>e</w:t>
      </w:r>
      <w:r w:rsidRPr="00CE0885">
        <w:rPr>
          <w:spacing w:val="-6"/>
        </w:rPr>
        <w:t xml:space="preserve"> </w:t>
      </w:r>
      <w:r w:rsidRPr="00CE0885">
        <w:rPr>
          <w:spacing w:val="3"/>
        </w:rPr>
        <w:t>f</w:t>
      </w:r>
      <w:r w:rsidRPr="00CE0885">
        <w:rPr>
          <w:spacing w:val="-1"/>
        </w:rPr>
        <w:t>ro</w:t>
      </w:r>
      <w:r w:rsidRPr="00CE0885">
        <w:t>m</w:t>
      </w:r>
      <w:r w:rsidRPr="00CE0885">
        <w:rPr>
          <w:spacing w:val="-3"/>
        </w:rPr>
        <w:t xml:space="preserve"> w</w:t>
      </w:r>
      <w:r w:rsidRPr="00CE0885">
        <w:rPr>
          <w:spacing w:val="1"/>
        </w:rPr>
        <w:t>h</w:t>
      </w:r>
      <w:r w:rsidRPr="00CE0885">
        <w:t>ich</w:t>
      </w:r>
      <w:r w:rsidRPr="00CE0885">
        <w:rPr>
          <w:spacing w:val="-4"/>
        </w:rPr>
        <w:t xml:space="preserve"> </w:t>
      </w:r>
      <w:r w:rsidRPr="00CE0885">
        <w:rPr>
          <w:spacing w:val="1"/>
        </w:rPr>
        <w:t>t</w:t>
      </w:r>
      <w:r w:rsidRPr="00CE0885">
        <w:rPr>
          <w:spacing w:val="-1"/>
        </w:rPr>
        <w:t>h</w:t>
      </w:r>
      <w:r w:rsidRPr="00CE0885">
        <w:t>e</w:t>
      </w:r>
      <w:r w:rsidRPr="00CE0885">
        <w:rPr>
          <w:spacing w:val="-1"/>
        </w:rPr>
        <w:t xml:space="preserve"> </w:t>
      </w:r>
      <w:r w:rsidRPr="00CE0885">
        <w:t>c</w:t>
      </w:r>
      <w:r w:rsidRPr="00CE0885">
        <w:rPr>
          <w:spacing w:val="1"/>
        </w:rPr>
        <w:t>o</w:t>
      </w:r>
      <w:r w:rsidRPr="00CE0885">
        <w:rPr>
          <w:spacing w:val="-1"/>
        </w:rPr>
        <w:t>n</w:t>
      </w:r>
      <w:r w:rsidRPr="00CE0885">
        <w:rPr>
          <w:spacing w:val="1"/>
        </w:rPr>
        <w:t>t</w:t>
      </w:r>
      <w:r w:rsidRPr="00CE0885">
        <w:rPr>
          <w:spacing w:val="-1"/>
        </w:rPr>
        <w:t>r</w:t>
      </w:r>
      <w:r w:rsidRPr="00CE0885">
        <w:rPr>
          <w:spacing w:val="1"/>
        </w:rPr>
        <w:t>a</w:t>
      </w:r>
      <w:r w:rsidRPr="00CE0885">
        <w:t>c</w:t>
      </w:r>
      <w:r w:rsidRPr="00CE0885">
        <w:rPr>
          <w:spacing w:val="1"/>
        </w:rPr>
        <w:t>to</w:t>
      </w:r>
      <w:r w:rsidRPr="00CE0885">
        <w:t>r</w:t>
      </w:r>
      <w:r w:rsidRPr="00CE0885">
        <w:rPr>
          <w:spacing w:val="-11"/>
        </w:rPr>
        <w:t xml:space="preserve"> </w:t>
      </w:r>
      <w:r w:rsidRPr="00CE0885">
        <w:rPr>
          <w:spacing w:val="-3"/>
        </w:rPr>
        <w:t>w</w:t>
      </w:r>
      <w:r w:rsidRPr="00CE0885">
        <w:rPr>
          <w:spacing w:val="1"/>
        </w:rPr>
        <w:t>ou</w:t>
      </w:r>
      <w:r w:rsidRPr="00CE0885">
        <w:t>ld</w:t>
      </w:r>
      <w:r w:rsidRPr="00CE0885">
        <w:rPr>
          <w:spacing w:val="-4"/>
        </w:rPr>
        <w:t xml:space="preserve"> </w:t>
      </w:r>
      <w:r w:rsidRPr="00CE0885">
        <w:t>like</w:t>
      </w:r>
      <w:r w:rsidRPr="00CE0885">
        <w:rPr>
          <w:spacing w:val="-5"/>
        </w:rPr>
        <w:t xml:space="preserve"> </w:t>
      </w:r>
      <w:r w:rsidRPr="00CE0885">
        <w:rPr>
          <w:spacing w:val="1"/>
        </w:rPr>
        <w:t>th</w:t>
      </w:r>
      <w:r w:rsidRPr="00CE0885">
        <w:t xml:space="preserve">e </w:t>
      </w:r>
      <w:r w:rsidRPr="00CE0885">
        <w:rPr>
          <w:spacing w:val="1"/>
        </w:rPr>
        <w:t>op</w:t>
      </w:r>
      <w:r w:rsidRPr="00CE0885">
        <w:t>t</w:t>
      </w:r>
      <w:r w:rsidRPr="00CE0885">
        <w:rPr>
          <w:spacing w:val="-4"/>
        </w:rPr>
        <w:t xml:space="preserve"> </w:t>
      </w:r>
      <w:r w:rsidRPr="00CE0885">
        <w:rPr>
          <w:spacing w:val="1"/>
        </w:rPr>
        <w:t>ou</w:t>
      </w:r>
      <w:r w:rsidRPr="00CE0885">
        <w:t>t</w:t>
      </w:r>
      <w:r w:rsidRPr="00CE0885">
        <w:rPr>
          <w:spacing w:val="-4"/>
        </w:rPr>
        <w:t xml:space="preserve"> </w:t>
      </w:r>
      <w:r w:rsidRPr="00CE0885">
        <w:rPr>
          <w:spacing w:val="1"/>
        </w:rPr>
        <w:t>t</w:t>
      </w:r>
      <w:r w:rsidRPr="00CE0885">
        <w:t xml:space="preserve">o </w:t>
      </w:r>
      <w:r w:rsidRPr="00CE0885">
        <w:rPr>
          <w:spacing w:val="-2"/>
        </w:rPr>
        <w:t>c</w:t>
      </w:r>
      <w:r w:rsidRPr="00CE0885">
        <w:rPr>
          <w:spacing w:val="1"/>
        </w:rPr>
        <w:t>o</w:t>
      </w:r>
      <w:r w:rsidRPr="00CE0885">
        <w:rPr>
          <w:spacing w:val="-1"/>
        </w:rPr>
        <w:t>m</w:t>
      </w:r>
      <w:r w:rsidRPr="00CE0885">
        <w:rPr>
          <w:spacing w:val="2"/>
        </w:rPr>
        <w:t>m</w:t>
      </w:r>
      <w:r w:rsidRPr="00CE0885">
        <w:rPr>
          <w:spacing w:val="-1"/>
        </w:rPr>
        <w:t>e</w:t>
      </w:r>
      <w:r w:rsidRPr="00CE0885">
        <w:rPr>
          <w:spacing w:val="1"/>
        </w:rPr>
        <w:t>n</w:t>
      </w:r>
      <w:r w:rsidRPr="00CE0885">
        <w:t>c</w:t>
      </w:r>
      <w:r w:rsidRPr="00CE0885">
        <w:rPr>
          <w:spacing w:val="1"/>
        </w:rPr>
        <w:t>e</w:t>
      </w:r>
      <w:r w:rsidRPr="00CE0885">
        <w:t>,</w:t>
      </w:r>
      <w:r w:rsidRPr="00CE0885">
        <w:rPr>
          <w:spacing w:val="-16"/>
        </w:rPr>
        <w:t xml:space="preserve"> </w:t>
      </w:r>
      <w:r w:rsidRPr="00CE0885">
        <w:rPr>
          <w:spacing w:val="-3"/>
        </w:rPr>
        <w:t>w</w:t>
      </w:r>
      <w:r w:rsidRPr="00CE0885">
        <w:rPr>
          <w:spacing w:val="1"/>
        </w:rPr>
        <w:t>h</w:t>
      </w:r>
      <w:r w:rsidRPr="00CE0885">
        <w:t>ich</w:t>
      </w:r>
      <w:r w:rsidRPr="00CE0885">
        <w:rPr>
          <w:spacing w:val="-4"/>
        </w:rPr>
        <w:t xml:space="preserve"> </w:t>
      </w:r>
      <w:r w:rsidRPr="00CE0885">
        <w:rPr>
          <w:spacing w:val="2"/>
        </w:rPr>
        <w:t>m</w:t>
      </w:r>
      <w:r w:rsidRPr="00CE0885">
        <w:rPr>
          <w:spacing w:val="1"/>
        </w:rPr>
        <w:t>u</w:t>
      </w:r>
      <w:r w:rsidRPr="00CE0885">
        <w:t>s</w:t>
      </w:r>
      <w:r w:rsidRPr="00CE0885">
        <w:rPr>
          <w:spacing w:val="1"/>
        </w:rPr>
        <w:t>t</w:t>
      </w:r>
      <w:r w:rsidRPr="00CE0885">
        <w:t>:</w:t>
      </w:r>
      <w:bookmarkEnd w:id="848"/>
    </w:p>
    <w:p w14:paraId="00FEBE00" w14:textId="77777777" w:rsidR="00977693" w:rsidRPr="00E47A71" w:rsidRDefault="00977693" w:rsidP="005A7DDA">
      <w:pPr>
        <w:pStyle w:val="ListParagraph"/>
        <w:widowControl w:val="0"/>
        <w:numPr>
          <w:ilvl w:val="0"/>
          <w:numId w:val="111"/>
        </w:numPr>
        <w:tabs>
          <w:tab w:val="left" w:pos="3686"/>
        </w:tabs>
        <w:spacing w:line="360" w:lineRule="auto"/>
        <w:jc w:val="both"/>
        <w:outlineLvl w:val="3"/>
        <w:rPr>
          <w:rFonts w:cs="Arial"/>
          <w:bCs w:val="0"/>
          <w:szCs w:val="24"/>
          <w:lang w:eastAsia="en-GB"/>
        </w:rPr>
      </w:pPr>
      <w:r w:rsidRPr="00E47A71">
        <w:rPr>
          <w:rFonts w:cs="Arial"/>
          <w:bCs w:val="0"/>
          <w:szCs w:val="24"/>
          <w:lang w:eastAsia="en-GB"/>
        </w:rPr>
        <w:t xml:space="preserve">in </w:t>
      </w:r>
      <w:r w:rsidRPr="00E47A71">
        <w:rPr>
          <w:rFonts w:cs="Arial"/>
          <w:bCs w:val="0"/>
          <w:spacing w:val="1"/>
          <w:szCs w:val="24"/>
          <w:lang w:eastAsia="en-GB"/>
        </w:rPr>
        <w:t>th</w:t>
      </w:r>
      <w:r w:rsidRPr="00E47A71">
        <w:rPr>
          <w:rFonts w:cs="Arial"/>
          <w:bCs w:val="0"/>
          <w:szCs w:val="24"/>
          <w:lang w:eastAsia="en-GB"/>
        </w:rPr>
        <w:t>e</w:t>
      </w:r>
      <w:r w:rsidRPr="00E47A71">
        <w:rPr>
          <w:rFonts w:cs="Arial"/>
          <w:bCs w:val="0"/>
          <w:spacing w:val="-4"/>
          <w:szCs w:val="24"/>
          <w:lang w:eastAsia="en-GB"/>
        </w:rPr>
        <w:t xml:space="preserve"> </w:t>
      </w:r>
      <w:r w:rsidRPr="00E47A71">
        <w:rPr>
          <w:rFonts w:cs="Arial"/>
          <w:bCs w:val="0"/>
          <w:szCs w:val="24"/>
          <w:lang w:eastAsia="en-GB"/>
        </w:rPr>
        <w:t>c</w:t>
      </w:r>
      <w:r w:rsidRPr="00E47A71">
        <w:rPr>
          <w:rFonts w:cs="Arial"/>
          <w:bCs w:val="0"/>
          <w:spacing w:val="1"/>
          <w:szCs w:val="24"/>
          <w:lang w:eastAsia="en-GB"/>
        </w:rPr>
        <w:t>a</w:t>
      </w:r>
      <w:r w:rsidRPr="00E47A71">
        <w:rPr>
          <w:rFonts w:cs="Arial"/>
          <w:bCs w:val="0"/>
          <w:szCs w:val="24"/>
          <w:lang w:eastAsia="en-GB"/>
        </w:rPr>
        <w:t>se</w:t>
      </w:r>
      <w:r w:rsidRPr="00E47A71">
        <w:rPr>
          <w:rFonts w:cs="Arial"/>
          <w:bCs w:val="0"/>
          <w:spacing w:val="-6"/>
          <w:szCs w:val="24"/>
          <w:lang w:eastAsia="en-GB"/>
        </w:rPr>
        <w:t xml:space="preserve"> </w:t>
      </w:r>
      <w:r w:rsidRPr="00E47A71">
        <w:rPr>
          <w:rFonts w:cs="Arial"/>
          <w:bCs w:val="0"/>
          <w:spacing w:val="-1"/>
          <w:szCs w:val="24"/>
          <w:lang w:eastAsia="en-GB"/>
        </w:rPr>
        <w:t>o</w:t>
      </w:r>
      <w:r w:rsidRPr="00E47A71">
        <w:rPr>
          <w:rFonts w:cs="Arial"/>
          <w:bCs w:val="0"/>
          <w:szCs w:val="24"/>
          <w:lang w:eastAsia="en-GB"/>
        </w:rPr>
        <w:t>f</w:t>
      </w:r>
      <w:r w:rsidRPr="00E47A71">
        <w:rPr>
          <w:rFonts w:cs="Arial"/>
          <w:bCs w:val="0"/>
          <w:spacing w:val="-1"/>
          <w:szCs w:val="24"/>
          <w:lang w:eastAsia="en-GB"/>
        </w:rPr>
        <w:t xml:space="preserve"> </w:t>
      </w:r>
      <w:r w:rsidRPr="00E47A71">
        <w:rPr>
          <w:rFonts w:cs="Arial"/>
          <w:bCs w:val="0"/>
          <w:szCs w:val="24"/>
          <w:lang w:eastAsia="en-GB"/>
        </w:rPr>
        <w:t>a</w:t>
      </w:r>
      <w:r w:rsidRPr="00E47A71">
        <w:rPr>
          <w:rFonts w:cs="Arial"/>
          <w:bCs w:val="0"/>
          <w:spacing w:val="1"/>
          <w:szCs w:val="24"/>
          <w:lang w:eastAsia="en-GB"/>
        </w:rPr>
        <w:t xml:space="preserve"> </w:t>
      </w:r>
      <w:r w:rsidRPr="00E47A71">
        <w:rPr>
          <w:rFonts w:cs="Arial"/>
          <w:bCs w:val="0"/>
          <w:spacing w:val="-2"/>
          <w:szCs w:val="24"/>
          <w:lang w:eastAsia="en-GB"/>
        </w:rPr>
        <w:t>t</w:t>
      </w:r>
      <w:r w:rsidRPr="00E47A71">
        <w:rPr>
          <w:rFonts w:cs="Arial"/>
          <w:bCs w:val="0"/>
          <w:spacing w:val="1"/>
          <w:szCs w:val="24"/>
          <w:lang w:eastAsia="en-GB"/>
        </w:rPr>
        <w:t>e</w:t>
      </w:r>
      <w:r w:rsidRPr="00E47A71">
        <w:rPr>
          <w:rFonts w:cs="Arial"/>
          <w:bCs w:val="0"/>
          <w:spacing w:val="-1"/>
          <w:szCs w:val="24"/>
          <w:lang w:eastAsia="en-GB"/>
        </w:rPr>
        <w:t>m</w:t>
      </w:r>
      <w:r w:rsidRPr="00E47A71">
        <w:rPr>
          <w:rFonts w:cs="Arial"/>
          <w:bCs w:val="0"/>
          <w:spacing w:val="1"/>
          <w:szCs w:val="24"/>
          <w:lang w:eastAsia="en-GB"/>
        </w:rPr>
        <w:t>po</w:t>
      </w:r>
      <w:r w:rsidRPr="00E47A71">
        <w:rPr>
          <w:rFonts w:cs="Arial"/>
          <w:bCs w:val="0"/>
          <w:spacing w:val="-3"/>
          <w:szCs w:val="24"/>
          <w:lang w:eastAsia="en-GB"/>
        </w:rPr>
        <w:t>r</w:t>
      </w:r>
      <w:r w:rsidRPr="00E47A71">
        <w:rPr>
          <w:rFonts w:cs="Arial"/>
          <w:bCs w:val="0"/>
          <w:spacing w:val="1"/>
          <w:szCs w:val="24"/>
          <w:lang w:eastAsia="en-GB"/>
        </w:rPr>
        <w:t>a</w:t>
      </w:r>
      <w:r w:rsidRPr="00E47A71">
        <w:rPr>
          <w:rFonts w:cs="Arial"/>
          <w:bCs w:val="0"/>
          <w:spacing w:val="-1"/>
          <w:szCs w:val="24"/>
          <w:lang w:eastAsia="en-GB"/>
        </w:rPr>
        <w:t>r</w:t>
      </w:r>
      <w:r w:rsidRPr="00E47A71">
        <w:rPr>
          <w:rFonts w:cs="Arial"/>
          <w:bCs w:val="0"/>
          <w:szCs w:val="24"/>
          <w:lang w:eastAsia="en-GB"/>
        </w:rPr>
        <w:t>y</w:t>
      </w:r>
      <w:r w:rsidRPr="00E47A71">
        <w:rPr>
          <w:rFonts w:cs="Arial"/>
          <w:bCs w:val="0"/>
          <w:spacing w:val="-13"/>
          <w:szCs w:val="24"/>
          <w:lang w:eastAsia="en-GB"/>
        </w:rPr>
        <w:t xml:space="preserve"> </w:t>
      </w:r>
      <w:r w:rsidRPr="00E47A71">
        <w:rPr>
          <w:rFonts w:cs="Arial"/>
          <w:bCs w:val="0"/>
          <w:spacing w:val="1"/>
          <w:szCs w:val="24"/>
          <w:lang w:eastAsia="en-GB"/>
        </w:rPr>
        <w:t>op</w:t>
      </w:r>
      <w:r w:rsidRPr="00E47A71">
        <w:rPr>
          <w:rFonts w:cs="Arial"/>
          <w:bCs w:val="0"/>
          <w:szCs w:val="24"/>
          <w:lang w:eastAsia="en-GB"/>
        </w:rPr>
        <w:t>t</w:t>
      </w:r>
      <w:r w:rsidRPr="00E47A71">
        <w:rPr>
          <w:rFonts w:cs="Arial"/>
          <w:bCs w:val="0"/>
          <w:spacing w:val="-2"/>
          <w:szCs w:val="24"/>
          <w:lang w:eastAsia="en-GB"/>
        </w:rPr>
        <w:t xml:space="preserve"> </w:t>
      </w:r>
      <w:r w:rsidRPr="00E47A71">
        <w:rPr>
          <w:rFonts w:cs="Arial"/>
          <w:bCs w:val="0"/>
          <w:spacing w:val="1"/>
          <w:szCs w:val="24"/>
          <w:lang w:eastAsia="en-GB"/>
        </w:rPr>
        <w:t>ou</w:t>
      </w:r>
      <w:r w:rsidRPr="00E47A71">
        <w:rPr>
          <w:rFonts w:cs="Arial"/>
          <w:bCs w:val="0"/>
          <w:szCs w:val="24"/>
          <w:lang w:eastAsia="en-GB"/>
        </w:rPr>
        <w:t>t,</w:t>
      </w:r>
      <w:r w:rsidRPr="00E47A71">
        <w:rPr>
          <w:rFonts w:cs="Arial"/>
          <w:bCs w:val="0"/>
          <w:spacing w:val="-4"/>
          <w:szCs w:val="24"/>
          <w:lang w:eastAsia="en-GB"/>
        </w:rPr>
        <w:t xml:space="preserve"> </w:t>
      </w:r>
      <w:r w:rsidRPr="00E47A71">
        <w:rPr>
          <w:rFonts w:cs="Arial"/>
          <w:bCs w:val="0"/>
          <w:spacing w:val="1"/>
          <w:szCs w:val="24"/>
          <w:lang w:eastAsia="en-GB"/>
        </w:rPr>
        <w:t>b</w:t>
      </w:r>
      <w:r w:rsidRPr="00E47A71">
        <w:rPr>
          <w:rFonts w:cs="Arial"/>
          <w:bCs w:val="0"/>
          <w:szCs w:val="24"/>
          <w:lang w:eastAsia="en-GB"/>
        </w:rPr>
        <w:t>e</w:t>
      </w:r>
      <w:r w:rsidRPr="00E47A71">
        <w:rPr>
          <w:rFonts w:cs="Arial"/>
          <w:bCs w:val="0"/>
          <w:spacing w:val="-4"/>
          <w:szCs w:val="24"/>
          <w:lang w:eastAsia="en-GB"/>
        </w:rPr>
        <w:t xml:space="preserve"> </w:t>
      </w:r>
      <w:r w:rsidRPr="00E47A71">
        <w:rPr>
          <w:rFonts w:cs="Arial"/>
          <w:bCs w:val="0"/>
          <w:spacing w:val="1"/>
          <w:szCs w:val="24"/>
          <w:lang w:eastAsia="en-GB"/>
        </w:rPr>
        <w:t>a</w:t>
      </w:r>
      <w:r w:rsidRPr="00E47A71">
        <w:rPr>
          <w:rFonts w:cs="Arial"/>
          <w:bCs w:val="0"/>
          <w:szCs w:val="24"/>
          <w:lang w:eastAsia="en-GB"/>
        </w:rPr>
        <w:t>t</w:t>
      </w:r>
      <w:r w:rsidRPr="00E47A71">
        <w:rPr>
          <w:rFonts w:cs="Arial"/>
          <w:bCs w:val="0"/>
          <w:spacing w:val="-1"/>
          <w:szCs w:val="24"/>
          <w:lang w:eastAsia="en-GB"/>
        </w:rPr>
        <w:t xml:space="preserve"> </w:t>
      </w:r>
      <w:r w:rsidRPr="00E47A71">
        <w:rPr>
          <w:rFonts w:cs="Arial"/>
          <w:bCs w:val="0"/>
          <w:spacing w:val="-3"/>
          <w:szCs w:val="24"/>
          <w:lang w:eastAsia="en-GB"/>
        </w:rPr>
        <w:t>l</w:t>
      </w:r>
      <w:r w:rsidRPr="00E47A71">
        <w:rPr>
          <w:rFonts w:cs="Arial"/>
          <w:bCs w:val="0"/>
          <w:spacing w:val="1"/>
          <w:szCs w:val="24"/>
          <w:lang w:eastAsia="en-GB"/>
        </w:rPr>
        <w:t>ea</w:t>
      </w:r>
      <w:r w:rsidRPr="00E47A71">
        <w:rPr>
          <w:rFonts w:cs="Arial"/>
          <w:bCs w:val="0"/>
          <w:szCs w:val="24"/>
          <w:lang w:eastAsia="en-GB"/>
        </w:rPr>
        <w:t>st</w:t>
      </w:r>
      <w:r w:rsidRPr="00E47A71">
        <w:rPr>
          <w:rFonts w:cs="Arial"/>
          <w:bCs w:val="0"/>
          <w:spacing w:val="-6"/>
          <w:szCs w:val="24"/>
          <w:lang w:eastAsia="en-GB"/>
        </w:rPr>
        <w:t xml:space="preserve"> </w:t>
      </w:r>
      <w:r w:rsidRPr="00E47A71">
        <w:rPr>
          <w:rFonts w:cs="Arial"/>
          <w:bCs w:val="0"/>
          <w:spacing w:val="1"/>
          <w:szCs w:val="24"/>
          <w:lang w:eastAsia="en-GB"/>
        </w:rPr>
        <w:t>1</w:t>
      </w:r>
      <w:r w:rsidRPr="00E47A71">
        <w:rPr>
          <w:rFonts w:cs="Arial"/>
          <w:bCs w:val="0"/>
          <w:szCs w:val="24"/>
          <w:lang w:eastAsia="en-GB"/>
        </w:rPr>
        <w:t xml:space="preserve">4 </w:t>
      </w:r>
      <w:r w:rsidRPr="00E47A71">
        <w:rPr>
          <w:rFonts w:cs="Arial"/>
          <w:bCs w:val="0"/>
          <w:spacing w:val="1"/>
          <w:szCs w:val="24"/>
          <w:lang w:eastAsia="en-GB"/>
        </w:rPr>
        <w:t>da</w:t>
      </w:r>
      <w:r w:rsidRPr="00E47A71">
        <w:rPr>
          <w:rFonts w:cs="Arial"/>
          <w:bCs w:val="0"/>
          <w:spacing w:val="-2"/>
          <w:szCs w:val="24"/>
          <w:lang w:eastAsia="en-GB"/>
        </w:rPr>
        <w:t>y</w:t>
      </w:r>
      <w:r w:rsidRPr="00E47A71">
        <w:rPr>
          <w:rFonts w:cs="Arial"/>
          <w:bCs w:val="0"/>
          <w:szCs w:val="24"/>
          <w:lang w:eastAsia="en-GB"/>
        </w:rPr>
        <w:t>s</w:t>
      </w:r>
      <w:r w:rsidRPr="00E47A71">
        <w:rPr>
          <w:rFonts w:cs="Arial"/>
          <w:bCs w:val="0"/>
          <w:spacing w:val="-5"/>
          <w:szCs w:val="24"/>
          <w:lang w:eastAsia="en-GB"/>
        </w:rPr>
        <w:t xml:space="preserve"> </w:t>
      </w:r>
      <w:r w:rsidRPr="00E47A71">
        <w:rPr>
          <w:rFonts w:cs="Arial"/>
          <w:bCs w:val="0"/>
          <w:spacing w:val="-1"/>
          <w:szCs w:val="24"/>
          <w:lang w:eastAsia="en-GB"/>
        </w:rPr>
        <w:t>a</w:t>
      </w:r>
      <w:r w:rsidRPr="00E47A71">
        <w:rPr>
          <w:rFonts w:cs="Arial"/>
          <w:bCs w:val="0"/>
          <w:spacing w:val="3"/>
          <w:szCs w:val="24"/>
          <w:lang w:eastAsia="en-GB"/>
        </w:rPr>
        <w:t>f</w:t>
      </w:r>
      <w:r w:rsidRPr="00E47A71">
        <w:rPr>
          <w:rFonts w:cs="Arial"/>
          <w:bCs w:val="0"/>
          <w:spacing w:val="1"/>
          <w:szCs w:val="24"/>
          <w:lang w:eastAsia="en-GB"/>
        </w:rPr>
        <w:t>te</w:t>
      </w:r>
      <w:r w:rsidRPr="00E47A71">
        <w:rPr>
          <w:rFonts w:cs="Arial"/>
          <w:bCs w:val="0"/>
          <w:szCs w:val="24"/>
          <w:lang w:eastAsia="en-GB"/>
        </w:rPr>
        <w:t>r</w:t>
      </w:r>
      <w:r w:rsidRPr="00E47A71">
        <w:rPr>
          <w:rFonts w:cs="Arial"/>
          <w:bCs w:val="0"/>
          <w:spacing w:val="-5"/>
          <w:szCs w:val="24"/>
          <w:lang w:eastAsia="en-GB"/>
        </w:rPr>
        <w:t xml:space="preserve"> </w:t>
      </w:r>
      <w:r w:rsidRPr="00E47A71">
        <w:rPr>
          <w:rFonts w:cs="Arial"/>
          <w:bCs w:val="0"/>
          <w:spacing w:val="-2"/>
          <w:szCs w:val="24"/>
          <w:lang w:eastAsia="en-GB"/>
        </w:rPr>
        <w:t>t</w:t>
      </w:r>
      <w:r w:rsidRPr="00E47A71">
        <w:rPr>
          <w:rFonts w:cs="Arial"/>
          <w:bCs w:val="0"/>
          <w:spacing w:val="1"/>
          <w:szCs w:val="24"/>
          <w:lang w:eastAsia="en-GB"/>
        </w:rPr>
        <w:t>h</w:t>
      </w:r>
      <w:r w:rsidRPr="00E47A71">
        <w:rPr>
          <w:rFonts w:cs="Arial"/>
          <w:bCs w:val="0"/>
          <w:szCs w:val="24"/>
          <w:lang w:eastAsia="en-GB"/>
        </w:rPr>
        <w:t>e</w:t>
      </w:r>
      <w:r w:rsidRPr="00E47A71">
        <w:rPr>
          <w:rFonts w:cs="Arial"/>
          <w:bCs w:val="0"/>
          <w:spacing w:val="-4"/>
          <w:szCs w:val="24"/>
          <w:lang w:eastAsia="en-GB"/>
        </w:rPr>
        <w:t xml:space="preserve"> </w:t>
      </w:r>
      <w:r w:rsidRPr="00E47A71">
        <w:rPr>
          <w:rFonts w:cs="Arial"/>
          <w:bCs w:val="0"/>
          <w:spacing w:val="1"/>
          <w:szCs w:val="24"/>
          <w:lang w:eastAsia="en-GB"/>
        </w:rPr>
        <w:t>da</w:t>
      </w:r>
      <w:r w:rsidRPr="00E47A71">
        <w:rPr>
          <w:rFonts w:cs="Arial"/>
          <w:bCs w:val="0"/>
          <w:spacing w:val="-2"/>
          <w:szCs w:val="24"/>
          <w:lang w:eastAsia="en-GB"/>
        </w:rPr>
        <w:t>t</w:t>
      </w:r>
      <w:r w:rsidRPr="00E47A71">
        <w:rPr>
          <w:rFonts w:cs="Arial"/>
          <w:bCs w:val="0"/>
          <w:szCs w:val="24"/>
          <w:lang w:eastAsia="en-GB"/>
        </w:rPr>
        <w:t>e</w:t>
      </w:r>
      <w:r w:rsidRPr="00E47A71">
        <w:rPr>
          <w:rFonts w:cs="Arial"/>
          <w:bCs w:val="0"/>
          <w:spacing w:val="-3"/>
          <w:szCs w:val="24"/>
          <w:lang w:eastAsia="en-GB"/>
        </w:rPr>
        <w:t xml:space="preserve"> </w:t>
      </w:r>
      <w:r w:rsidRPr="00E47A71">
        <w:rPr>
          <w:rFonts w:cs="Arial"/>
          <w:bCs w:val="0"/>
          <w:spacing w:val="-1"/>
          <w:szCs w:val="24"/>
          <w:lang w:eastAsia="en-GB"/>
        </w:rPr>
        <w:t>o</w:t>
      </w:r>
      <w:r w:rsidRPr="00E47A71">
        <w:rPr>
          <w:rFonts w:cs="Arial"/>
          <w:bCs w:val="0"/>
          <w:szCs w:val="24"/>
          <w:lang w:eastAsia="en-GB"/>
        </w:rPr>
        <w:t>f</w:t>
      </w:r>
      <w:r w:rsidRPr="00E47A71">
        <w:rPr>
          <w:rFonts w:cs="Arial"/>
          <w:bCs w:val="0"/>
          <w:spacing w:val="-1"/>
          <w:szCs w:val="24"/>
          <w:lang w:eastAsia="en-GB"/>
        </w:rPr>
        <w:t xml:space="preserve"> </w:t>
      </w:r>
      <w:r w:rsidRPr="00E47A71">
        <w:rPr>
          <w:rFonts w:cs="Arial"/>
          <w:bCs w:val="0"/>
          <w:spacing w:val="-2"/>
          <w:szCs w:val="24"/>
          <w:lang w:eastAsia="en-GB"/>
        </w:rPr>
        <w:t>s</w:t>
      </w:r>
      <w:r w:rsidRPr="00E47A71">
        <w:rPr>
          <w:rFonts w:cs="Arial"/>
          <w:bCs w:val="0"/>
          <w:spacing w:val="1"/>
          <w:szCs w:val="24"/>
          <w:lang w:eastAsia="en-GB"/>
        </w:rPr>
        <w:t>e</w:t>
      </w:r>
      <w:r w:rsidRPr="00E47A71">
        <w:rPr>
          <w:rFonts w:cs="Arial"/>
          <w:bCs w:val="0"/>
          <w:spacing w:val="-1"/>
          <w:szCs w:val="24"/>
          <w:lang w:eastAsia="en-GB"/>
        </w:rPr>
        <w:t>r</w:t>
      </w:r>
      <w:r w:rsidRPr="00E47A71">
        <w:rPr>
          <w:rFonts w:cs="Arial"/>
          <w:bCs w:val="0"/>
          <w:spacing w:val="-2"/>
          <w:szCs w:val="24"/>
          <w:lang w:eastAsia="en-GB"/>
        </w:rPr>
        <w:t>v</w:t>
      </w:r>
      <w:r w:rsidRPr="00E47A71">
        <w:rPr>
          <w:rFonts w:cs="Arial"/>
          <w:bCs w:val="0"/>
          <w:szCs w:val="24"/>
          <w:lang w:eastAsia="en-GB"/>
        </w:rPr>
        <w:t>ice</w:t>
      </w:r>
      <w:r w:rsidRPr="00E47A71">
        <w:rPr>
          <w:rFonts w:cs="Arial"/>
          <w:bCs w:val="0"/>
          <w:spacing w:val="-6"/>
          <w:szCs w:val="24"/>
          <w:lang w:eastAsia="en-GB"/>
        </w:rPr>
        <w:t xml:space="preserve"> </w:t>
      </w:r>
      <w:r w:rsidRPr="00E47A71">
        <w:rPr>
          <w:rFonts w:cs="Arial"/>
          <w:bCs w:val="0"/>
          <w:spacing w:val="1"/>
          <w:szCs w:val="24"/>
          <w:lang w:eastAsia="en-GB"/>
        </w:rPr>
        <w:t>o</w:t>
      </w:r>
      <w:r w:rsidRPr="00E47A71">
        <w:rPr>
          <w:rFonts w:cs="Arial"/>
          <w:bCs w:val="0"/>
          <w:szCs w:val="24"/>
          <w:lang w:eastAsia="en-GB"/>
        </w:rPr>
        <w:t>f</w:t>
      </w:r>
      <w:r w:rsidRPr="00E47A71">
        <w:rPr>
          <w:rFonts w:cs="Arial"/>
          <w:bCs w:val="0"/>
          <w:spacing w:val="1"/>
          <w:szCs w:val="24"/>
          <w:lang w:eastAsia="en-GB"/>
        </w:rPr>
        <w:t xml:space="preserve"> </w:t>
      </w:r>
      <w:r w:rsidRPr="00E47A71">
        <w:rPr>
          <w:rFonts w:cs="Arial"/>
          <w:bCs w:val="0"/>
          <w:spacing w:val="-2"/>
          <w:szCs w:val="24"/>
          <w:lang w:eastAsia="en-GB"/>
        </w:rPr>
        <w:t>t</w:t>
      </w:r>
      <w:r w:rsidRPr="00E47A71">
        <w:rPr>
          <w:rFonts w:cs="Arial"/>
          <w:bCs w:val="0"/>
          <w:spacing w:val="1"/>
          <w:szCs w:val="24"/>
          <w:lang w:eastAsia="en-GB"/>
        </w:rPr>
        <w:t>h</w:t>
      </w:r>
      <w:r w:rsidRPr="00E47A71">
        <w:rPr>
          <w:rFonts w:cs="Arial"/>
          <w:bCs w:val="0"/>
          <w:szCs w:val="24"/>
          <w:lang w:eastAsia="en-GB"/>
        </w:rPr>
        <w:t>e</w:t>
      </w:r>
      <w:r w:rsidRPr="00E47A71">
        <w:rPr>
          <w:rFonts w:cs="Arial"/>
          <w:bCs w:val="0"/>
          <w:spacing w:val="-4"/>
          <w:szCs w:val="24"/>
          <w:lang w:eastAsia="en-GB"/>
        </w:rPr>
        <w:t xml:space="preserve"> </w:t>
      </w:r>
      <w:r w:rsidRPr="00E47A71">
        <w:rPr>
          <w:rFonts w:cs="Arial"/>
          <w:bCs w:val="0"/>
          <w:spacing w:val="1"/>
          <w:szCs w:val="24"/>
          <w:lang w:eastAsia="en-GB"/>
        </w:rPr>
        <w:t>op</w:t>
      </w:r>
      <w:r w:rsidRPr="00E47A71">
        <w:rPr>
          <w:rFonts w:cs="Arial"/>
          <w:bCs w:val="0"/>
          <w:szCs w:val="24"/>
          <w:lang w:eastAsia="en-GB"/>
        </w:rPr>
        <w:t>t</w:t>
      </w:r>
      <w:r w:rsidRPr="00E47A71">
        <w:rPr>
          <w:rFonts w:cs="Arial"/>
          <w:bCs w:val="0"/>
          <w:spacing w:val="-4"/>
          <w:szCs w:val="24"/>
          <w:lang w:eastAsia="en-GB"/>
        </w:rPr>
        <w:t>-</w:t>
      </w:r>
      <w:r w:rsidRPr="00E47A71">
        <w:rPr>
          <w:rFonts w:cs="Arial"/>
          <w:bCs w:val="0"/>
          <w:spacing w:val="1"/>
          <w:szCs w:val="24"/>
          <w:lang w:eastAsia="en-GB"/>
        </w:rPr>
        <w:t>o</w:t>
      </w:r>
      <w:r w:rsidRPr="00E47A71">
        <w:rPr>
          <w:rFonts w:cs="Arial"/>
          <w:bCs w:val="0"/>
          <w:spacing w:val="-1"/>
          <w:szCs w:val="24"/>
          <w:lang w:eastAsia="en-GB"/>
        </w:rPr>
        <w:t>u</w:t>
      </w:r>
      <w:r w:rsidRPr="00E47A71">
        <w:rPr>
          <w:rFonts w:cs="Arial"/>
          <w:bCs w:val="0"/>
          <w:szCs w:val="24"/>
          <w:lang w:eastAsia="en-GB"/>
        </w:rPr>
        <w:t>t</w:t>
      </w:r>
      <w:r w:rsidRPr="00E47A71">
        <w:rPr>
          <w:rFonts w:cs="Arial"/>
          <w:bCs w:val="0"/>
          <w:spacing w:val="-2"/>
          <w:szCs w:val="24"/>
          <w:lang w:eastAsia="en-GB"/>
        </w:rPr>
        <w:t xml:space="preserve"> </w:t>
      </w:r>
      <w:r w:rsidRPr="00E47A71">
        <w:rPr>
          <w:rFonts w:cs="Arial"/>
          <w:bCs w:val="0"/>
          <w:spacing w:val="-1"/>
          <w:szCs w:val="24"/>
          <w:lang w:eastAsia="en-GB"/>
        </w:rPr>
        <w:t>no</w:t>
      </w:r>
      <w:r w:rsidRPr="00E47A71">
        <w:rPr>
          <w:rFonts w:cs="Arial"/>
          <w:bCs w:val="0"/>
          <w:spacing w:val="1"/>
          <w:szCs w:val="24"/>
          <w:lang w:eastAsia="en-GB"/>
        </w:rPr>
        <w:t>t</w:t>
      </w:r>
      <w:r w:rsidRPr="00E47A71">
        <w:rPr>
          <w:rFonts w:cs="Arial"/>
          <w:bCs w:val="0"/>
          <w:szCs w:val="24"/>
          <w:lang w:eastAsia="en-GB"/>
        </w:rPr>
        <w:t>ic</w:t>
      </w:r>
      <w:r w:rsidRPr="00E47A71">
        <w:rPr>
          <w:rFonts w:cs="Arial"/>
          <w:bCs w:val="0"/>
          <w:spacing w:val="1"/>
          <w:szCs w:val="24"/>
          <w:lang w:eastAsia="en-GB"/>
        </w:rPr>
        <w:t>e</w:t>
      </w:r>
      <w:r w:rsidRPr="00E47A71">
        <w:rPr>
          <w:rFonts w:cs="Arial"/>
          <w:bCs w:val="0"/>
          <w:szCs w:val="24"/>
          <w:lang w:eastAsia="en-GB"/>
        </w:rPr>
        <w:t xml:space="preserve">; </w:t>
      </w:r>
      <w:r w:rsidRPr="00E47A71">
        <w:rPr>
          <w:rFonts w:cs="Arial"/>
          <w:bCs w:val="0"/>
          <w:spacing w:val="1"/>
          <w:szCs w:val="24"/>
          <w:lang w:eastAsia="en-GB"/>
        </w:rPr>
        <w:t>an</w:t>
      </w:r>
      <w:r w:rsidRPr="00E47A71">
        <w:rPr>
          <w:rFonts w:cs="Arial"/>
          <w:bCs w:val="0"/>
          <w:szCs w:val="24"/>
          <w:lang w:eastAsia="en-GB"/>
        </w:rPr>
        <w:t>d</w:t>
      </w:r>
    </w:p>
    <w:p w14:paraId="47CBBFFF" w14:textId="77777777" w:rsidR="00977693" w:rsidRPr="00E47A71" w:rsidRDefault="00977693" w:rsidP="005A7DDA">
      <w:pPr>
        <w:pStyle w:val="ListParagraph"/>
        <w:widowControl w:val="0"/>
        <w:numPr>
          <w:ilvl w:val="0"/>
          <w:numId w:val="111"/>
        </w:numPr>
        <w:tabs>
          <w:tab w:val="left" w:pos="3686"/>
        </w:tabs>
        <w:spacing w:line="360" w:lineRule="auto"/>
        <w:jc w:val="both"/>
        <w:outlineLvl w:val="3"/>
        <w:rPr>
          <w:rFonts w:cs="Arial"/>
          <w:bCs w:val="0"/>
          <w:szCs w:val="24"/>
          <w:lang w:eastAsia="en-GB"/>
        </w:rPr>
      </w:pPr>
      <w:r w:rsidRPr="00E47A71">
        <w:rPr>
          <w:rFonts w:cs="Arial"/>
          <w:bCs w:val="0"/>
          <w:szCs w:val="24"/>
          <w:lang w:eastAsia="en-GB"/>
        </w:rPr>
        <w:t xml:space="preserve">in </w:t>
      </w:r>
      <w:r w:rsidRPr="00E47A71">
        <w:rPr>
          <w:rFonts w:cs="Arial"/>
          <w:bCs w:val="0"/>
          <w:spacing w:val="1"/>
          <w:szCs w:val="24"/>
          <w:lang w:eastAsia="en-GB"/>
        </w:rPr>
        <w:t>th</w:t>
      </w:r>
      <w:r w:rsidRPr="00E47A71">
        <w:rPr>
          <w:rFonts w:cs="Arial"/>
          <w:bCs w:val="0"/>
          <w:szCs w:val="24"/>
          <w:lang w:eastAsia="en-GB"/>
        </w:rPr>
        <w:t>e</w:t>
      </w:r>
      <w:r w:rsidRPr="00E47A71">
        <w:rPr>
          <w:rFonts w:cs="Arial"/>
          <w:bCs w:val="0"/>
          <w:spacing w:val="-4"/>
          <w:szCs w:val="24"/>
          <w:lang w:eastAsia="en-GB"/>
        </w:rPr>
        <w:t xml:space="preserve"> </w:t>
      </w:r>
      <w:r w:rsidRPr="00E47A71">
        <w:rPr>
          <w:rFonts w:cs="Arial"/>
          <w:bCs w:val="0"/>
          <w:spacing w:val="1"/>
          <w:szCs w:val="24"/>
          <w:lang w:eastAsia="en-GB"/>
        </w:rPr>
        <w:t>case</w:t>
      </w:r>
      <w:r w:rsidRPr="00E47A71">
        <w:rPr>
          <w:rFonts w:cs="Arial"/>
          <w:bCs w:val="0"/>
          <w:spacing w:val="-6"/>
          <w:szCs w:val="24"/>
          <w:lang w:eastAsia="en-GB"/>
        </w:rPr>
        <w:t xml:space="preserve"> </w:t>
      </w:r>
      <w:r w:rsidRPr="00E47A71">
        <w:rPr>
          <w:rFonts w:cs="Arial"/>
          <w:bCs w:val="0"/>
          <w:spacing w:val="-1"/>
          <w:szCs w:val="24"/>
          <w:lang w:eastAsia="en-GB"/>
        </w:rPr>
        <w:t>o</w:t>
      </w:r>
      <w:r w:rsidRPr="00E47A71">
        <w:rPr>
          <w:rFonts w:cs="Arial"/>
          <w:bCs w:val="0"/>
          <w:szCs w:val="24"/>
          <w:lang w:eastAsia="en-GB"/>
        </w:rPr>
        <w:t>f</w:t>
      </w:r>
      <w:r w:rsidRPr="00E47A71">
        <w:rPr>
          <w:rFonts w:cs="Arial"/>
          <w:bCs w:val="0"/>
          <w:spacing w:val="-1"/>
          <w:szCs w:val="24"/>
          <w:lang w:eastAsia="en-GB"/>
        </w:rPr>
        <w:t xml:space="preserve"> </w:t>
      </w:r>
      <w:r w:rsidRPr="00E47A71">
        <w:rPr>
          <w:rFonts w:cs="Arial"/>
          <w:bCs w:val="0"/>
          <w:szCs w:val="24"/>
          <w:lang w:eastAsia="en-GB"/>
        </w:rPr>
        <w:t>a</w:t>
      </w:r>
      <w:r w:rsidRPr="00E47A71">
        <w:rPr>
          <w:rFonts w:cs="Arial"/>
          <w:bCs w:val="0"/>
          <w:spacing w:val="1"/>
          <w:szCs w:val="24"/>
          <w:lang w:eastAsia="en-GB"/>
        </w:rPr>
        <w:t xml:space="preserve"> </w:t>
      </w:r>
      <w:r w:rsidRPr="00E47A71">
        <w:rPr>
          <w:rFonts w:cs="Arial"/>
          <w:bCs w:val="0"/>
          <w:spacing w:val="-1"/>
          <w:szCs w:val="24"/>
          <w:lang w:eastAsia="en-GB"/>
        </w:rPr>
        <w:t>p</w:t>
      </w:r>
      <w:r w:rsidRPr="00E47A71">
        <w:rPr>
          <w:rFonts w:cs="Arial"/>
          <w:bCs w:val="0"/>
          <w:spacing w:val="1"/>
          <w:szCs w:val="24"/>
          <w:lang w:eastAsia="en-GB"/>
        </w:rPr>
        <w:t>e</w:t>
      </w:r>
      <w:r w:rsidRPr="00E47A71">
        <w:rPr>
          <w:rFonts w:cs="Arial"/>
          <w:bCs w:val="0"/>
          <w:spacing w:val="-1"/>
          <w:szCs w:val="24"/>
          <w:lang w:eastAsia="en-GB"/>
        </w:rPr>
        <w:t>r</w:t>
      </w:r>
      <w:r w:rsidRPr="00E47A71">
        <w:rPr>
          <w:rFonts w:cs="Arial"/>
          <w:bCs w:val="0"/>
          <w:spacing w:val="2"/>
          <w:szCs w:val="24"/>
          <w:lang w:eastAsia="en-GB"/>
        </w:rPr>
        <w:t>m</w:t>
      </w:r>
      <w:r w:rsidRPr="00E47A71">
        <w:rPr>
          <w:rFonts w:cs="Arial"/>
          <w:bCs w:val="0"/>
          <w:spacing w:val="-1"/>
          <w:szCs w:val="24"/>
          <w:lang w:eastAsia="en-GB"/>
        </w:rPr>
        <w:t>a</w:t>
      </w:r>
      <w:r w:rsidRPr="00E47A71">
        <w:rPr>
          <w:rFonts w:cs="Arial"/>
          <w:bCs w:val="0"/>
          <w:spacing w:val="1"/>
          <w:szCs w:val="24"/>
          <w:lang w:eastAsia="en-GB"/>
        </w:rPr>
        <w:t>nen</w:t>
      </w:r>
      <w:r w:rsidRPr="00E47A71">
        <w:rPr>
          <w:rFonts w:cs="Arial"/>
          <w:bCs w:val="0"/>
          <w:szCs w:val="24"/>
          <w:lang w:eastAsia="en-GB"/>
        </w:rPr>
        <w:t>t</w:t>
      </w:r>
      <w:r w:rsidRPr="00E47A71">
        <w:rPr>
          <w:rFonts w:cs="Arial"/>
          <w:bCs w:val="0"/>
          <w:spacing w:val="-12"/>
          <w:szCs w:val="24"/>
          <w:lang w:eastAsia="en-GB"/>
        </w:rPr>
        <w:t xml:space="preserve"> </w:t>
      </w:r>
      <w:r w:rsidRPr="00E47A71">
        <w:rPr>
          <w:rFonts w:cs="Arial"/>
          <w:bCs w:val="0"/>
          <w:spacing w:val="1"/>
          <w:szCs w:val="24"/>
          <w:lang w:eastAsia="en-GB"/>
        </w:rPr>
        <w:t>o</w:t>
      </w:r>
      <w:r w:rsidRPr="00E47A71">
        <w:rPr>
          <w:rFonts w:cs="Arial"/>
          <w:bCs w:val="0"/>
          <w:spacing w:val="-1"/>
          <w:szCs w:val="24"/>
          <w:lang w:eastAsia="en-GB"/>
        </w:rPr>
        <w:t>p</w:t>
      </w:r>
      <w:r w:rsidRPr="00E47A71">
        <w:rPr>
          <w:rFonts w:cs="Arial"/>
          <w:bCs w:val="0"/>
          <w:szCs w:val="24"/>
          <w:lang w:eastAsia="en-GB"/>
        </w:rPr>
        <w:t>t</w:t>
      </w:r>
      <w:r w:rsidRPr="00E47A71">
        <w:rPr>
          <w:rFonts w:cs="Arial"/>
          <w:bCs w:val="0"/>
          <w:spacing w:val="-2"/>
          <w:szCs w:val="24"/>
          <w:lang w:eastAsia="en-GB"/>
        </w:rPr>
        <w:t xml:space="preserve"> </w:t>
      </w:r>
      <w:r w:rsidRPr="00E47A71">
        <w:rPr>
          <w:rFonts w:cs="Arial"/>
          <w:bCs w:val="0"/>
          <w:spacing w:val="-1"/>
          <w:szCs w:val="24"/>
          <w:lang w:eastAsia="en-GB"/>
        </w:rPr>
        <w:t>o</w:t>
      </w:r>
      <w:r w:rsidRPr="00E47A71">
        <w:rPr>
          <w:rFonts w:cs="Arial"/>
          <w:bCs w:val="0"/>
          <w:spacing w:val="1"/>
          <w:szCs w:val="24"/>
          <w:lang w:eastAsia="en-GB"/>
        </w:rPr>
        <w:t>u</w:t>
      </w:r>
      <w:r w:rsidRPr="00E47A71">
        <w:rPr>
          <w:rFonts w:cs="Arial"/>
          <w:bCs w:val="0"/>
          <w:szCs w:val="24"/>
          <w:lang w:eastAsia="en-GB"/>
        </w:rPr>
        <w:t>t,</w:t>
      </w:r>
      <w:r w:rsidRPr="00E47A71">
        <w:rPr>
          <w:rFonts w:cs="Arial"/>
          <w:bCs w:val="0"/>
          <w:spacing w:val="-4"/>
          <w:szCs w:val="24"/>
          <w:lang w:eastAsia="en-GB"/>
        </w:rPr>
        <w:t xml:space="preserve"> </w:t>
      </w:r>
      <w:r w:rsidRPr="00E47A71">
        <w:rPr>
          <w:rFonts w:cs="Arial"/>
          <w:bCs w:val="0"/>
          <w:spacing w:val="2"/>
          <w:szCs w:val="24"/>
          <w:lang w:eastAsia="en-GB"/>
        </w:rPr>
        <w:t>m</w:t>
      </w:r>
      <w:r w:rsidRPr="00E47A71">
        <w:rPr>
          <w:rFonts w:cs="Arial"/>
          <w:bCs w:val="0"/>
          <w:spacing w:val="1"/>
          <w:szCs w:val="24"/>
          <w:lang w:eastAsia="en-GB"/>
        </w:rPr>
        <w:t>u</w:t>
      </w:r>
      <w:r w:rsidRPr="00E47A71">
        <w:rPr>
          <w:rFonts w:cs="Arial"/>
          <w:bCs w:val="0"/>
          <w:szCs w:val="24"/>
          <w:lang w:eastAsia="en-GB"/>
        </w:rPr>
        <w:t>st</w:t>
      </w:r>
      <w:r w:rsidRPr="00E47A71">
        <w:rPr>
          <w:rFonts w:cs="Arial"/>
          <w:bCs w:val="0"/>
          <w:spacing w:val="-6"/>
          <w:szCs w:val="24"/>
          <w:lang w:eastAsia="en-GB"/>
        </w:rPr>
        <w:t xml:space="preserve"> </w:t>
      </w:r>
      <w:r w:rsidRPr="00E47A71">
        <w:rPr>
          <w:rFonts w:cs="Arial"/>
          <w:bCs w:val="0"/>
          <w:spacing w:val="1"/>
          <w:szCs w:val="24"/>
          <w:lang w:eastAsia="en-GB"/>
        </w:rPr>
        <w:t>b</w:t>
      </w:r>
      <w:r w:rsidRPr="00E47A71">
        <w:rPr>
          <w:rFonts w:cs="Arial"/>
          <w:bCs w:val="0"/>
          <w:szCs w:val="24"/>
          <w:lang w:eastAsia="en-GB"/>
        </w:rPr>
        <w:t>e</w:t>
      </w:r>
      <w:r w:rsidRPr="00E47A71">
        <w:rPr>
          <w:rFonts w:cs="Arial"/>
          <w:bCs w:val="0"/>
          <w:spacing w:val="-4"/>
          <w:szCs w:val="24"/>
          <w:lang w:eastAsia="en-GB"/>
        </w:rPr>
        <w:t xml:space="preserve"> </w:t>
      </w:r>
      <w:r w:rsidRPr="00E47A71">
        <w:rPr>
          <w:rFonts w:cs="Arial"/>
          <w:bCs w:val="0"/>
          <w:spacing w:val="1"/>
          <w:szCs w:val="24"/>
          <w:lang w:eastAsia="en-GB"/>
        </w:rPr>
        <w:t>t</w:t>
      </w:r>
      <w:r w:rsidRPr="00E47A71">
        <w:rPr>
          <w:rFonts w:cs="Arial"/>
          <w:bCs w:val="0"/>
          <w:spacing w:val="-1"/>
          <w:szCs w:val="24"/>
          <w:lang w:eastAsia="en-GB"/>
        </w:rPr>
        <w:t>h</w:t>
      </w:r>
      <w:r w:rsidRPr="00E47A71">
        <w:rPr>
          <w:rFonts w:cs="Arial"/>
          <w:bCs w:val="0"/>
          <w:szCs w:val="24"/>
          <w:lang w:eastAsia="en-GB"/>
        </w:rPr>
        <w:t>e</w:t>
      </w:r>
      <w:r w:rsidRPr="00E47A71">
        <w:rPr>
          <w:rFonts w:cs="Arial"/>
          <w:bCs w:val="0"/>
          <w:spacing w:val="-1"/>
          <w:szCs w:val="24"/>
          <w:lang w:eastAsia="en-GB"/>
        </w:rPr>
        <w:t xml:space="preserve"> </w:t>
      </w:r>
      <w:r w:rsidRPr="00E47A71">
        <w:rPr>
          <w:rFonts w:cs="Arial"/>
          <w:bCs w:val="0"/>
          <w:spacing w:val="1"/>
          <w:szCs w:val="24"/>
          <w:lang w:eastAsia="en-GB"/>
        </w:rPr>
        <w:t>da</w:t>
      </w:r>
      <w:r w:rsidRPr="00E47A71">
        <w:rPr>
          <w:rFonts w:cs="Arial"/>
          <w:bCs w:val="0"/>
          <w:szCs w:val="24"/>
          <w:lang w:eastAsia="en-GB"/>
        </w:rPr>
        <w:t xml:space="preserve">y </w:t>
      </w:r>
      <w:r w:rsidRPr="00E47A71">
        <w:rPr>
          <w:rFonts w:cs="Arial"/>
          <w:bCs w:val="0"/>
          <w:spacing w:val="1"/>
          <w:szCs w:val="24"/>
          <w:lang w:eastAsia="en-GB"/>
        </w:rPr>
        <w:t>e</w:t>
      </w:r>
      <w:r w:rsidRPr="00E47A71">
        <w:rPr>
          <w:rFonts w:cs="Arial"/>
          <w:bCs w:val="0"/>
          <w:szCs w:val="24"/>
          <w:lang w:eastAsia="en-GB"/>
        </w:rPr>
        <w:t>i</w:t>
      </w:r>
      <w:r w:rsidRPr="00E47A71">
        <w:rPr>
          <w:rFonts w:cs="Arial"/>
          <w:bCs w:val="0"/>
          <w:spacing w:val="1"/>
          <w:szCs w:val="24"/>
          <w:lang w:eastAsia="en-GB"/>
        </w:rPr>
        <w:t>the</w:t>
      </w:r>
      <w:r w:rsidRPr="00E47A71">
        <w:rPr>
          <w:rFonts w:cs="Arial"/>
          <w:bCs w:val="0"/>
          <w:szCs w:val="24"/>
          <w:lang w:eastAsia="en-GB"/>
        </w:rPr>
        <w:t>r</w:t>
      </w:r>
      <w:r w:rsidRPr="00E47A71">
        <w:rPr>
          <w:rFonts w:cs="Arial"/>
          <w:bCs w:val="0"/>
          <w:spacing w:val="-6"/>
          <w:szCs w:val="24"/>
          <w:lang w:eastAsia="en-GB"/>
        </w:rPr>
        <w:t xml:space="preserve"> </w:t>
      </w:r>
      <w:r w:rsidRPr="00E47A71">
        <w:rPr>
          <w:rFonts w:cs="Arial"/>
          <w:bCs w:val="0"/>
          <w:spacing w:val="-2"/>
          <w:szCs w:val="24"/>
          <w:lang w:eastAsia="en-GB"/>
        </w:rPr>
        <w:t>t</w:t>
      </w:r>
      <w:r w:rsidRPr="00E47A71">
        <w:rPr>
          <w:rFonts w:cs="Arial"/>
          <w:bCs w:val="0"/>
          <w:spacing w:val="1"/>
          <w:szCs w:val="24"/>
          <w:lang w:eastAsia="en-GB"/>
        </w:rPr>
        <w:t>h</w:t>
      </w:r>
      <w:r w:rsidRPr="00E47A71">
        <w:rPr>
          <w:rFonts w:cs="Arial"/>
          <w:bCs w:val="0"/>
          <w:spacing w:val="-1"/>
          <w:szCs w:val="24"/>
          <w:lang w:eastAsia="en-GB"/>
        </w:rPr>
        <w:t>r</w:t>
      </w:r>
      <w:r w:rsidRPr="00E47A71">
        <w:rPr>
          <w:rFonts w:cs="Arial"/>
          <w:bCs w:val="0"/>
          <w:spacing w:val="1"/>
          <w:szCs w:val="24"/>
          <w:lang w:eastAsia="en-GB"/>
        </w:rPr>
        <w:t>e</w:t>
      </w:r>
      <w:r w:rsidRPr="00E47A71">
        <w:rPr>
          <w:rFonts w:cs="Arial"/>
          <w:bCs w:val="0"/>
          <w:szCs w:val="24"/>
          <w:lang w:eastAsia="en-GB"/>
        </w:rPr>
        <w:t>e</w:t>
      </w:r>
      <w:r w:rsidRPr="00E47A71">
        <w:rPr>
          <w:rFonts w:cs="Arial"/>
          <w:bCs w:val="0"/>
          <w:spacing w:val="-6"/>
          <w:szCs w:val="24"/>
          <w:lang w:eastAsia="en-GB"/>
        </w:rPr>
        <w:t xml:space="preserve"> </w:t>
      </w:r>
      <w:r w:rsidRPr="00E47A71">
        <w:rPr>
          <w:rFonts w:cs="Arial"/>
          <w:bCs w:val="0"/>
          <w:spacing w:val="1"/>
          <w:szCs w:val="24"/>
          <w:lang w:eastAsia="en-GB"/>
        </w:rPr>
        <w:t>o</w:t>
      </w:r>
      <w:r w:rsidRPr="00E47A71">
        <w:rPr>
          <w:rFonts w:cs="Arial"/>
          <w:bCs w:val="0"/>
          <w:szCs w:val="24"/>
          <w:lang w:eastAsia="en-GB"/>
        </w:rPr>
        <w:t>r</w:t>
      </w:r>
      <w:r w:rsidRPr="00E47A71">
        <w:rPr>
          <w:rFonts w:cs="Arial"/>
          <w:bCs w:val="0"/>
          <w:spacing w:val="-2"/>
          <w:szCs w:val="24"/>
          <w:lang w:eastAsia="en-GB"/>
        </w:rPr>
        <w:t xml:space="preserve"> </w:t>
      </w:r>
      <w:r w:rsidRPr="00E47A71">
        <w:rPr>
          <w:rFonts w:cs="Arial"/>
          <w:bCs w:val="0"/>
          <w:szCs w:val="24"/>
          <w:lang w:eastAsia="en-GB"/>
        </w:rPr>
        <w:t>six</w:t>
      </w:r>
      <w:r w:rsidRPr="00E47A71">
        <w:rPr>
          <w:rFonts w:cs="Arial"/>
          <w:bCs w:val="0"/>
          <w:spacing w:val="-5"/>
          <w:szCs w:val="24"/>
          <w:lang w:eastAsia="en-GB"/>
        </w:rPr>
        <w:t xml:space="preserve"> </w:t>
      </w:r>
      <w:r w:rsidRPr="00E47A71">
        <w:rPr>
          <w:rFonts w:cs="Arial"/>
          <w:bCs w:val="0"/>
          <w:spacing w:val="2"/>
          <w:szCs w:val="24"/>
          <w:lang w:eastAsia="en-GB"/>
        </w:rPr>
        <w:t>m</w:t>
      </w:r>
      <w:r w:rsidRPr="00E47A71">
        <w:rPr>
          <w:rFonts w:cs="Arial"/>
          <w:bCs w:val="0"/>
          <w:spacing w:val="1"/>
          <w:szCs w:val="24"/>
          <w:lang w:eastAsia="en-GB"/>
        </w:rPr>
        <w:t>on</w:t>
      </w:r>
      <w:r w:rsidRPr="00E47A71">
        <w:rPr>
          <w:rFonts w:cs="Arial"/>
          <w:bCs w:val="0"/>
          <w:spacing w:val="-2"/>
          <w:szCs w:val="24"/>
          <w:lang w:eastAsia="en-GB"/>
        </w:rPr>
        <w:t>t</w:t>
      </w:r>
      <w:r w:rsidRPr="00E47A71">
        <w:rPr>
          <w:rFonts w:cs="Arial"/>
          <w:bCs w:val="0"/>
          <w:spacing w:val="1"/>
          <w:szCs w:val="24"/>
          <w:lang w:eastAsia="en-GB"/>
        </w:rPr>
        <w:t>h</w:t>
      </w:r>
      <w:r w:rsidRPr="00E47A71">
        <w:rPr>
          <w:rFonts w:cs="Arial"/>
          <w:bCs w:val="0"/>
          <w:szCs w:val="24"/>
          <w:lang w:eastAsia="en-GB"/>
        </w:rPr>
        <w:t>s</w:t>
      </w:r>
      <w:r w:rsidRPr="00E47A71">
        <w:rPr>
          <w:rFonts w:cs="Arial"/>
          <w:bCs w:val="0"/>
          <w:spacing w:val="-8"/>
          <w:szCs w:val="24"/>
          <w:lang w:eastAsia="en-GB"/>
        </w:rPr>
        <w:t xml:space="preserve"> </w:t>
      </w:r>
      <w:r w:rsidRPr="00E47A71">
        <w:rPr>
          <w:rFonts w:cs="Arial"/>
          <w:bCs w:val="0"/>
          <w:spacing w:val="-1"/>
          <w:szCs w:val="24"/>
          <w:lang w:eastAsia="en-GB"/>
        </w:rPr>
        <w:t>a</w:t>
      </w:r>
      <w:r w:rsidRPr="00E47A71">
        <w:rPr>
          <w:rFonts w:cs="Arial"/>
          <w:bCs w:val="0"/>
          <w:spacing w:val="3"/>
          <w:szCs w:val="24"/>
          <w:lang w:eastAsia="en-GB"/>
        </w:rPr>
        <w:t>f</w:t>
      </w:r>
      <w:r w:rsidRPr="00E47A71">
        <w:rPr>
          <w:rFonts w:cs="Arial"/>
          <w:bCs w:val="0"/>
          <w:spacing w:val="-2"/>
          <w:szCs w:val="24"/>
          <w:lang w:eastAsia="en-GB"/>
        </w:rPr>
        <w:t>t</w:t>
      </w:r>
      <w:r w:rsidRPr="00E47A71">
        <w:rPr>
          <w:rFonts w:cs="Arial"/>
          <w:bCs w:val="0"/>
          <w:spacing w:val="1"/>
          <w:szCs w:val="24"/>
          <w:lang w:eastAsia="en-GB"/>
        </w:rPr>
        <w:t>e</w:t>
      </w:r>
      <w:r w:rsidRPr="00E47A71">
        <w:rPr>
          <w:rFonts w:cs="Arial"/>
          <w:bCs w:val="0"/>
          <w:szCs w:val="24"/>
          <w:lang w:eastAsia="en-GB"/>
        </w:rPr>
        <w:t>r</w:t>
      </w:r>
      <w:r w:rsidRPr="00E47A71">
        <w:rPr>
          <w:rFonts w:cs="Arial"/>
          <w:bCs w:val="0"/>
          <w:spacing w:val="-5"/>
          <w:szCs w:val="24"/>
          <w:lang w:eastAsia="en-GB"/>
        </w:rPr>
        <w:t xml:space="preserve"> </w:t>
      </w:r>
      <w:r w:rsidRPr="00E47A71">
        <w:rPr>
          <w:rFonts w:cs="Arial"/>
          <w:bCs w:val="0"/>
          <w:spacing w:val="1"/>
          <w:szCs w:val="24"/>
          <w:lang w:eastAsia="en-GB"/>
        </w:rPr>
        <w:t>t</w:t>
      </w:r>
      <w:r w:rsidRPr="00E47A71">
        <w:rPr>
          <w:rFonts w:cs="Arial"/>
          <w:bCs w:val="0"/>
          <w:spacing w:val="-1"/>
          <w:szCs w:val="24"/>
          <w:lang w:eastAsia="en-GB"/>
        </w:rPr>
        <w:t>h</w:t>
      </w:r>
      <w:r w:rsidRPr="00E47A71">
        <w:rPr>
          <w:rFonts w:cs="Arial"/>
          <w:bCs w:val="0"/>
          <w:szCs w:val="24"/>
          <w:lang w:eastAsia="en-GB"/>
        </w:rPr>
        <w:t>e</w:t>
      </w:r>
      <w:r w:rsidRPr="00E47A71">
        <w:rPr>
          <w:rFonts w:cs="Arial"/>
          <w:bCs w:val="0"/>
          <w:spacing w:val="-1"/>
          <w:szCs w:val="24"/>
          <w:lang w:eastAsia="en-GB"/>
        </w:rPr>
        <w:t xml:space="preserve"> d</w:t>
      </w:r>
      <w:r w:rsidRPr="00E47A71">
        <w:rPr>
          <w:rFonts w:cs="Arial"/>
          <w:bCs w:val="0"/>
          <w:spacing w:val="1"/>
          <w:szCs w:val="24"/>
          <w:lang w:eastAsia="en-GB"/>
        </w:rPr>
        <w:t>at</w:t>
      </w:r>
      <w:r w:rsidRPr="00E47A71">
        <w:rPr>
          <w:rFonts w:cs="Arial"/>
          <w:bCs w:val="0"/>
          <w:szCs w:val="24"/>
          <w:lang w:eastAsia="en-GB"/>
        </w:rPr>
        <w:t>e</w:t>
      </w:r>
      <w:r w:rsidRPr="00E47A71">
        <w:rPr>
          <w:rFonts w:cs="Arial"/>
          <w:bCs w:val="0"/>
          <w:spacing w:val="-6"/>
          <w:szCs w:val="24"/>
          <w:lang w:eastAsia="en-GB"/>
        </w:rPr>
        <w:t xml:space="preserve"> </w:t>
      </w:r>
      <w:r w:rsidRPr="00E47A71">
        <w:rPr>
          <w:rFonts w:cs="Arial"/>
          <w:bCs w:val="0"/>
          <w:spacing w:val="-1"/>
          <w:szCs w:val="24"/>
          <w:lang w:eastAsia="en-GB"/>
        </w:rPr>
        <w:t>o</w:t>
      </w:r>
      <w:r w:rsidRPr="00E47A71">
        <w:rPr>
          <w:rFonts w:cs="Arial"/>
          <w:bCs w:val="0"/>
          <w:szCs w:val="24"/>
          <w:lang w:eastAsia="en-GB"/>
        </w:rPr>
        <w:t>f</w:t>
      </w:r>
      <w:r w:rsidRPr="00E47A71">
        <w:rPr>
          <w:rFonts w:cs="Arial"/>
          <w:bCs w:val="0"/>
          <w:spacing w:val="1"/>
          <w:szCs w:val="24"/>
          <w:lang w:eastAsia="en-GB"/>
        </w:rPr>
        <w:t xml:space="preserve"> </w:t>
      </w:r>
      <w:r w:rsidRPr="00E47A71">
        <w:rPr>
          <w:rFonts w:cs="Arial"/>
          <w:bCs w:val="0"/>
          <w:spacing w:val="-2"/>
          <w:w w:val="99"/>
          <w:szCs w:val="24"/>
          <w:lang w:eastAsia="en-GB"/>
        </w:rPr>
        <w:t>s</w:t>
      </w:r>
      <w:r w:rsidRPr="00E47A71">
        <w:rPr>
          <w:rFonts w:cs="Arial"/>
          <w:bCs w:val="0"/>
          <w:spacing w:val="1"/>
          <w:w w:val="99"/>
          <w:szCs w:val="24"/>
          <w:lang w:eastAsia="en-GB"/>
        </w:rPr>
        <w:t>e</w:t>
      </w:r>
      <w:r w:rsidRPr="00E47A71">
        <w:rPr>
          <w:rFonts w:cs="Arial"/>
          <w:bCs w:val="0"/>
          <w:spacing w:val="-1"/>
          <w:w w:val="99"/>
          <w:szCs w:val="24"/>
          <w:lang w:eastAsia="en-GB"/>
        </w:rPr>
        <w:t>r</w:t>
      </w:r>
      <w:r w:rsidRPr="00E47A71">
        <w:rPr>
          <w:rFonts w:cs="Arial"/>
          <w:bCs w:val="0"/>
          <w:spacing w:val="-2"/>
          <w:w w:val="99"/>
          <w:szCs w:val="24"/>
          <w:lang w:eastAsia="en-GB"/>
        </w:rPr>
        <w:t>v</w:t>
      </w:r>
      <w:r w:rsidRPr="00E47A71">
        <w:rPr>
          <w:rFonts w:cs="Arial"/>
          <w:bCs w:val="0"/>
          <w:w w:val="99"/>
          <w:szCs w:val="24"/>
          <w:lang w:eastAsia="en-GB"/>
        </w:rPr>
        <w:t xml:space="preserve">ice </w:t>
      </w:r>
      <w:r w:rsidRPr="00E47A71">
        <w:rPr>
          <w:rFonts w:cs="Arial"/>
          <w:bCs w:val="0"/>
          <w:spacing w:val="-1"/>
          <w:w w:val="99"/>
          <w:szCs w:val="24"/>
          <w:lang w:eastAsia="en-GB"/>
        </w:rPr>
        <w:t>o</w:t>
      </w:r>
      <w:r w:rsidRPr="00E47A71">
        <w:rPr>
          <w:rFonts w:cs="Arial"/>
          <w:bCs w:val="0"/>
          <w:w w:val="99"/>
          <w:szCs w:val="24"/>
          <w:lang w:eastAsia="en-GB"/>
        </w:rPr>
        <w:t>f</w:t>
      </w:r>
      <w:r w:rsidRPr="00E47A71">
        <w:rPr>
          <w:rFonts w:cs="Arial"/>
          <w:bCs w:val="0"/>
          <w:spacing w:val="3"/>
          <w:szCs w:val="24"/>
          <w:lang w:eastAsia="en-GB"/>
        </w:rPr>
        <w:t xml:space="preserve"> </w:t>
      </w:r>
      <w:r w:rsidRPr="00E47A71">
        <w:rPr>
          <w:rFonts w:cs="Arial"/>
          <w:bCs w:val="0"/>
          <w:spacing w:val="1"/>
          <w:szCs w:val="24"/>
          <w:lang w:eastAsia="en-GB"/>
        </w:rPr>
        <w:t>t</w:t>
      </w:r>
      <w:r w:rsidRPr="00E47A71">
        <w:rPr>
          <w:rFonts w:cs="Arial"/>
          <w:bCs w:val="0"/>
          <w:spacing w:val="-1"/>
          <w:szCs w:val="24"/>
          <w:lang w:eastAsia="en-GB"/>
        </w:rPr>
        <w:t>h</w:t>
      </w:r>
      <w:r w:rsidRPr="00E47A71">
        <w:rPr>
          <w:rFonts w:cs="Arial"/>
          <w:bCs w:val="0"/>
          <w:szCs w:val="24"/>
          <w:lang w:eastAsia="en-GB"/>
        </w:rPr>
        <w:t>e</w:t>
      </w:r>
      <w:r w:rsidRPr="00E47A71">
        <w:rPr>
          <w:rFonts w:cs="Arial"/>
          <w:bCs w:val="0"/>
          <w:spacing w:val="-1"/>
          <w:szCs w:val="24"/>
          <w:lang w:eastAsia="en-GB"/>
        </w:rPr>
        <w:t xml:space="preserve"> o</w:t>
      </w:r>
      <w:r w:rsidRPr="00E47A71">
        <w:rPr>
          <w:rFonts w:cs="Arial"/>
          <w:bCs w:val="0"/>
          <w:spacing w:val="1"/>
          <w:szCs w:val="24"/>
          <w:lang w:eastAsia="en-GB"/>
        </w:rPr>
        <w:t>pt</w:t>
      </w:r>
      <w:r w:rsidRPr="00E47A71">
        <w:rPr>
          <w:rFonts w:cs="Arial"/>
          <w:bCs w:val="0"/>
          <w:spacing w:val="-1"/>
          <w:szCs w:val="24"/>
          <w:lang w:eastAsia="en-GB"/>
        </w:rPr>
        <w:t>-</w:t>
      </w:r>
      <w:r w:rsidRPr="00E47A71">
        <w:rPr>
          <w:rFonts w:cs="Arial"/>
          <w:bCs w:val="0"/>
          <w:spacing w:val="1"/>
          <w:szCs w:val="24"/>
          <w:lang w:eastAsia="en-GB"/>
        </w:rPr>
        <w:t>o</w:t>
      </w:r>
      <w:r w:rsidRPr="00E47A71">
        <w:rPr>
          <w:rFonts w:cs="Arial"/>
          <w:bCs w:val="0"/>
          <w:spacing w:val="-1"/>
          <w:szCs w:val="24"/>
          <w:lang w:eastAsia="en-GB"/>
        </w:rPr>
        <w:t>u</w:t>
      </w:r>
      <w:r w:rsidRPr="00E47A71">
        <w:rPr>
          <w:rFonts w:cs="Arial"/>
          <w:bCs w:val="0"/>
          <w:szCs w:val="24"/>
          <w:lang w:eastAsia="en-GB"/>
        </w:rPr>
        <w:t>t</w:t>
      </w:r>
      <w:r w:rsidRPr="00E47A71">
        <w:rPr>
          <w:rFonts w:cs="Arial"/>
          <w:bCs w:val="0"/>
          <w:spacing w:val="-6"/>
          <w:szCs w:val="24"/>
          <w:lang w:eastAsia="en-GB"/>
        </w:rPr>
        <w:t xml:space="preserve"> </w:t>
      </w:r>
      <w:r w:rsidRPr="00E47A71">
        <w:rPr>
          <w:rFonts w:cs="Arial"/>
          <w:bCs w:val="0"/>
          <w:spacing w:val="-1"/>
          <w:szCs w:val="24"/>
          <w:lang w:eastAsia="en-GB"/>
        </w:rPr>
        <w:t>n</w:t>
      </w:r>
      <w:r w:rsidRPr="00E47A71">
        <w:rPr>
          <w:rFonts w:cs="Arial"/>
          <w:bCs w:val="0"/>
          <w:spacing w:val="1"/>
          <w:szCs w:val="24"/>
          <w:lang w:eastAsia="en-GB"/>
        </w:rPr>
        <w:t>ot</w:t>
      </w:r>
      <w:r w:rsidRPr="00E47A71">
        <w:rPr>
          <w:rFonts w:cs="Arial"/>
          <w:bCs w:val="0"/>
          <w:szCs w:val="24"/>
          <w:lang w:eastAsia="en-GB"/>
        </w:rPr>
        <w:t>ic</w:t>
      </w:r>
      <w:r w:rsidRPr="00E47A71">
        <w:rPr>
          <w:rFonts w:cs="Arial"/>
          <w:bCs w:val="0"/>
          <w:spacing w:val="1"/>
          <w:szCs w:val="24"/>
          <w:lang w:eastAsia="en-GB"/>
        </w:rPr>
        <w:t>e</w:t>
      </w:r>
      <w:r w:rsidRPr="00E47A71">
        <w:rPr>
          <w:rFonts w:cs="Arial"/>
          <w:bCs w:val="0"/>
          <w:szCs w:val="24"/>
          <w:lang w:eastAsia="en-GB"/>
        </w:rPr>
        <w:t>;</w:t>
      </w:r>
      <w:r w:rsidRPr="00E47A71">
        <w:rPr>
          <w:rFonts w:cs="Arial"/>
          <w:bCs w:val="0"/>
          <w:spacing w:val="-8"/>
          <w:szCs w:val="24"/>
          <w:lang w:eastAsia="en-GB"/>
        </w:rPr>
        <w:t xml:space="preserve"> </w:t>
      </w:r>
      <w:r w:rsidRPr="00E47A71">
        <w:rPr>
          <w:rFonts w:cs="Arial"/>
          <w:bCs w:val="0"/>
          <w:spacing w:val="-1"/>
          <w:szCs w:val="24"/>
          <w:lang w:eastAsia="en-GB"/>
        </w:rPr>
        <w:t>a</w:t>
      </w:r>
      <w:r w:rsidRPr="00E47A71">
        <w:rPr>
          <w:rFonts w:cs="Arial"/>
          <w:bCs w:val="0"/>
          <w:spacing w:val="1"/>
          <w:szCs w:val="24"/>
          <w:lang w:eastAsia="en-GB"/>
        </w:rPr>
        <w:t>n</w:t>
      </w:r>
      <w:r w:rsidRPr="00E47A71">
        <w:rPr>
          <w:rFonts w:cs="Arial"/>
          <w:bCs w:val="0"/>
          <w:szCs w:val="24"/>
          <w:lang w:eastAsia="en-GB"/>
        </w:rPr>
        <w:t>d</w:t>
      </w:r>
    </w:p>
    <w:p w14:paraId="6E9163BD" w14:textId="77777777" w:rsidR="00977693" w:rsidRPr="00CE0885" w:rsidRDefault="00977693" w:rsidP="00E47A71">
      <w:pPr>
        <w:pStyle w:val="Heading4"/>
      </w:pPr>
      <w:bookmarkStart w:id="849" w:name="_Toc440982005"/>
      <w:r w:rsidRPr="00CE0885">
        <w:t xml:space="preserve">in </w:t>
      </w:r>
      <w:r w:rsidRPr="00CE0885">
        <w:rPr>
          <w:spacing w:val="1"/>
        </w:rPr>
        <w:t>th</w:t>
      </w:r>
      <w:r w:rsidRPr="00CE0885">
        <w:t>e</w:t>
      </w:r>
      <w:r w:rsidRPr="00CE0885">
        <w:rPr>
          <w:spacing w:val="-4"/>
        </w:rPr>
        <w:t xml:space="preserve"> </w:t>
      </w:r>
      <w:r w:rsidRPr="00CE0885">
        <w:t>c</w:t>
      </w:r>
      <w:r w:rsidRPr="00CE0885">
        <w:rPr>
          <w:spacing w:val="1"/>
        </w:rPr>
        <w:t>a</w:t>
      </w:r>
      <w:r w:rsidRPr="00CE0885">
        <w:t>se</w:t>
      </w:r>
      <w:r w:rsidRPr="00CE0885">
        <w:rPr>
          <w:spacing w:val="-6"/>
        </w:rPr>
        <w:t xml:space="preserve"> </w:t>
      </w:r>
      <w:r w:rsidRPr="00CE0885">
        <w:rPr>
          <w:spacing w:val="-1"/>
        </w:rPr>
        <w:t>o</w:t>
      </w:r>
      <w:r w:rsidRPr="00CE0885">
        <w:t>f</w:t>
      </w:r>
      <w:r w:rsidRPr="00CE0885">
        <w:rPr>
          <w:spacing w:val="-1"/>
        </w:rPr>
        <w:t xml:space="preserve"> </w:t>
      </w:r>
      <w:r w:rsidRPr="00CE0885">
        <w:t>a</w:t>
      </w:r>
      <w:r w:rsidRPr="00CE0885">
        <w:rPr>
          <w:spacing w:val="1"/>
        </w:rPr>
        <w:t xml:space="preserve"> </w:t>
      </w:r>
      <w:r w:rsidRPr="00CE0885">
        <w:rPr>
          <w:spacing w:val="-2"/>
        </w:rPr>
        <w:t>t</w:t>
      </w:r>
      <w:r w:rsidRPr="00CE0885">
        <w:rPr>
          <w:spacing w:val="1"/>
        </w:rPr>
        <w:t>e</w:t>
      </w:r>
      <w:r w:rsidRPr="00CE0885">
        <w:rPr>
          <w:spacing w:val="-1"/>
        </w:rPr>
        <w:t>m</w:t>
      </w:r>
      <w:r w:rsidRPr="00CE0885">
        <w:rPr>
          <w:spacing w:val="1"/>
        </w:rPr>
        <w:t>po</w:t>
      </w:r>
      <w:r w:rsidRPr="00CE0885">
        <w:rPr>
          <w:spacing w:val="-3"/>
        </w:rPr>
        <w:t>r</w:t>
      </w:r>
      <w:r w:rsidRPr="00CE0885">
        <w:rPr>
          <w:spacing w:val="1"/>
        </w:rPr>
        <w:t>a</w:t>
      </w:r>
      <w:r w:rsidRPr="00CE0885">
        <w:rPr>
          <w:spacing w:val="-1"/>
        </w:rPr>
        <w:t>r</w:t>
      </w:r>
      <w:r w:rsidRPr="00CE0885">
        <w:t>y</w:t>
      </w:r>
      <w:r w:rsidRPr="00CE0885">
        <w:rPr>
          <w:spacing w:val="-13"/>
        </w:rPr>
        <w:t xml:space="preserve"> </w:t>
      </w:r>
      <w:r w:rsidRPr="00CE0885">
        <w:rPr>
          <w:spacing w:val="1"/>
        </w:rPr>
        <w:t>op</w:t>
      </w:r>
      <w:r w:rsidRPr="00CE0885">
        <w:t>t</w:t>
      </w:r>
      <w:r w:rsidRPr="00CE0885">
        <w:rPr>
          <w:spacing w:val="-2"/>
        </w:rPr>
        <w:t xml:space="preserve"> </w:t>
      </w:r>
      <w:r w:rsidRPr="00CE0885">
        <w:rPr>
          <w:spacing w:val="1"/>
        </w:rPr>
        <w:t>ou</w:t>
      </w:r>
      <w:r w:rsidRPr="00CE0885">
        <w:rPr>
          <w:spacing w:val="-2"/>
        </w:rPr>
        <w:t>t</w:t>
      </w:r>
      <w:r w:rsidRPr="00CE0885">
        <w:t>,</w:t>
      </w:r>
      <w:r w:rsidRPr="00CE0885">
        <w:rPr>
          <w:spacing w:val="-3"/>
        </w:rPr>
        <w:t xml:space="preserve"> </w:t>
      </w:r>
      <w:r w:rsidRPr="00CE0885">
        <w:rPr>
          <w:spacing w:val="1"/>
        </w:rPr>
        <w:t>t</w:t>
      </w:r>
      <w:r w:rsidRPr="00CE0885">
        <w:rPr>
          <w:spacing w:val="-1"/>
        </w:rPr>
        <w:t>h</w:t>
      </w:r>
      <w:r w:rsidRPr="00CE0885">
        <w:t>e</w:t>
      </w:r>
      <w:r w:rsidRPr="00CE0885">
        <w:rPr>
          <w:spacing w:val="-1"/>
        </w:rPr>
        <w:t xml:space="preserve"> d</w:t>
      </w:r>
      <w:r w:rsidRPr="00CE0885">
        <w:rPr>
          <w:spacing w:val="1"/>
        </w:rPr>
        <w:t>e</w:t>
      </w:r>
      <w:r w:rsidRPr="00CE0885">
        <w:t>si</w:t>
      </w:r>
      <w:r w:rsidRPr="00CE0885">
        <w:rPr>
          <w:spacing w:val="-1"/>
        </w:rPr>
        <w:t>r</w:t>
      </w:r>
      <w:r w:rsidRPr="00CE0885">
        <w:rPr>
          <w:spacing w:val="1"/>
        </w:rPr>
        <w:t>e</w:t>
      </w:r>
      <w:r w:rsidRPr="00CE0885">
        <w:t xml:space="preserve">d </w:t>
      </w:r>
      <w:r w:rsidRPr="00CE0885">
        <w:rPr>
          <w:spacing w:val="1"/>
        </w:rPr>
        <w:t>du</w:t>
      </w:r>
      <w:r w:rsidRPr="00CE0885">
        <w:rPr>
          <w:spacing w:val="-1"/>
        </w:rPr>
        <w:t>r</w:t>
      </w:r>
      <w:r w:rsidRPr="00CE0885">
        <w:rPr>
          <w:spacing w:val="1"/>
        </w:rPr>
        <w:t>at</w:t>
      </w:r>
      <w:r w:rsidRPr="00CE0885">
        <w:t>i</w:t>
      </w:r>
      <w:r w:rsidRPr="00CE0885">
        <w:rPr>
          <w:spacing w:val="-1"/>
        </w:rPr>
        <w:t>o</w:t>
      </w:r>
      <w:r w:rsidRPr="00CE0885">
        <w:t>n</w:t>
      </w:r>
      <w:r w:rsidRPr="00CE0885">
        <w:rPr>
          <w:spacing w:val="-7"/>
        </w:rPr>
        <w:t xml:space="preserve"> </w:t>
      </w:r>
      <w:r w:rsidRPr="00CE0885">
        <w:rPr>
          <w:spacing w:val="-1"/>
        </w:rPr>
        <w:t>o</w:t>
      </w:r>
      <w:r w:rsidRPr="00CE0885">
        <w:t>f</w:t>
      </w:r>
      <w:r w:rsidRPr="00CE0885">
        <w:rPr>
          <w:spacing w:val="-1"/>
        </w:rPr>
        <w:t xml:space="preserve"> </w:t>
      </w:r>
      <w:r w:rsidRPr="00CE0885">
        <w:rPr>
          <w:spacing w:val="1"/>
        </w:rPr>
        <w:t>t</w:t>
      </w:r>
      <w:r w:rsidRPr="00CE0885">
        <w:rPr>
          <w:spacing w:val="-1"/>
        </w:rPr>
        <w:t>h</w:t>
      </w:r>
      <w:r w:rsidRPr="00CE0885">
        <w:t>e</w:t>
      </w:r>
      <w:r w:rsidRPr="00CE0885">
        <w:rPr>
          <w:spacing w:val="-1"/>
        </w:rPr>
        <w:t xml:space="preserve"> o</w:t>
      </w:r>
      <w:r w:rsidRPr="00CE0885">
        <w:rPr>
          <w:spacing w:val="1"/>
        </w:rPr>
        <w:t>p</w:t>
      </w:r>
      <w:r w:rsidRPr="00CE0885">
        <w:t>t</w:t>
      </w:r>
      <w:r w:rsidRPr="00CE0885">
        <w:rPr>
          <w:spacing w:val="-2"/>
        </w:rPr>
        <w:t xml:space="preserve"> </w:t>
      </w:r>
      <w:r w:rsidRPr="00CE0885">
        <w:rPr>
          <w:spacing w:val="-1"/>
        </w:rPr>
        <w:t>o</w:t>
      </w:r>
      <w:r w:rsidRPr="00CE0885">
        <w:rPr>
          <w:spacing w:val="1"/>
        </w:rPr>
        <w:t>ut</w:t>
      </w:r>
      <w:r w:rsidRPr="00CE0885">
        <w:t>.</w:t>
      </w:r>
      <w:bookmarkEnd w:id="849"/>
    </w:p>
    <w:p w14:paraId="5AAC479D" w14:textId="77777777" w:rsidR="00977693" w:rsidRPr="00CE0885" w:rsidRDefault="00977693" w:rsidP="00E47A71">
      <w:pPr>
        <w:pStyle w:val="Heading3"/>
        <w:rPr>
          <w:lang w:eastAsia="en-GB"/>
        </w:rPr>
      </w:pPr>
      <w:bookmarkStart w:id="850" w:name="_Toc440982006"/>
      <w:r w:rsidRPr="00CE0885">
        <w:rPr>
          <w:lang w:eastAsia="en-GB"/>
        </w:rPr>
        <w:t>The Contract Regulations do not allow contractors to temporarily opt out of providing additional services more than twice. W</w:t>
      </w:r>
      <w:r w:rsidRPr="00CE0885">
        <w:rPr>
          <w:spacing w:val="-1"/>
          <w:lang w:eastAsia="en-GB"/>
        </w:rPr>
        <w:t>her</w:t>
      </w:r>
      <w:r w:rsidRPr="00CE0885">
        <w:rPr>
          <w:lang w:eastAsia="en-GB"/>
        </w:rPr>
        <w:t>e</w:t>
      </w:r>
      <w:r w:rsidRPr="00CE0885">
        <w:rPr>
          <w:spacing w:val="-8"/>
          <w:lang w:eastAsia="en-GB"/>
        </w:rPr>
        <w:t xml:space="preserve"> </w:t>
      </w:r>
      <w:r w:rsidRPr="00CE0885">
        <w:rPr>
          <w:lang w:eastAsia="en-GB"/>
        </w:rPr>
        <w:t xml:space="preserve">a </w:t>
      </w:r>
      <w:r w:rsidRPr="00CE0885">
        <w:rPr>
          <w:spacing w:val="-2"/>
          <w:lang w:eastAsia="en-GB"/>
        </w:rPr>
        <w:t>c</w:t>
      </w:r>
      <w:r w:rsidRPr="00CE0885">
        <w:rPr>
          <w:lang w:eastAsia="en-GB"/>
        </w:rPr>
        <w:t>ont</w:t>
      </w:r>
      <w:r w:rsidRPr="00CE0885">
        <w:rPr>
          <w:spacing w:val="-1"/>
          <w:lang w:eastAsia="en-GB"/>
        </w:rPr>
        <w:t>r</w:t>
      </w:r>
      <w:r w:rsidRPr="00CE0885">
        <w:rPr>
          <w:lang w:eastAsia="en-GB"/>
        </w:rPr>
        <w:t>a</w:t>
      </w:r>
      <w:r w:rsidRPr="00CE0885">
        <w:rPr>
          <w:spacing w:val="-2"/>
          <w:lang w:eastAsia="en-GB"/>
        </w:rPr>
        <w:t>c</w:t>
      </w:r>
      <w:r w:rsidRPr="00CE0885">
        <w:rPr>
          <w:lang w:eastAsia="en-GB"/>
        </w:rPr>
        <w:t>tor</w:t>
      </w:r>
      <w:r w:rsidRPr="00CE0885">
        <w:rPr>
          <w:spacing w:val="-11"/>
          <w:lang w:eastAsia="en-GB"/>
        </w:rPr>
        <w:t xml:space="preserve"> </w:t>
      </w:r>
      <w:r w:rsidRPr="00CE0885">
        <w:rPr>
          <w:spacing w:val="-1"/>
          <w:lang w:eastAsia="en-GB"/>
        </w:rPr>
        <w:t>ha</w:t>
      </w:r>
      <w:r w:rsidRPr="00CE0885">
        <w:rPr>
          <w:lang w:eastAsia="en-GB"/>
        </w:rPr>
        <w:t>s</w:t>
      </w:r>
      <w:r w:rsidRPr="00CE0885">
        <w:rPr>
          <w:spacing w:val="-4"/>
          <w:lang w:eastAsia="en-GB"/>
        </w:rPr>
        <w:t xml:space="preserve"> </w:t>
      </w:r>
      <w:r w:rsidRPr="00CE0885">
        <w:rPr>
          <w:spacing w:val="-1"/>
          <w:lang w:eastAsia="en-GB"/>
        </w:rPr>
        <w:t>g</w:t>
      </w:r>
      <w:r w:rsidRPr="00CE0885">
        <w:rPr>
          <w:spacing w:val="2"/>
          <w:lang w:eastAsia="en-GB"/>
        </w:rPr>
        <w:t>i</w:t>
      </w:r>
      <w:r w:rsidRPr="00CE0885">
        <w:rPr>
          <w:spacing w:val="-2"/>
          <w:lang w:eastAsia="en-GB"/>
        </w:rPr>
        <w:t>v</w:t>
      </w:r>
      <w:r w:rsidRPr="00CE0885">
        <w:rPr>
          <w:lang w:eastAsia="en-GB"/>
        </w:rPr>
        <w:t>en</w:t>
      </w:r>
      <w:r w:rsidRPr="00CE0885">
        <w:rPr>
          <w:spacing w:val="-4"/>
          <w:lang w:eastAsia="en-GB"/>
        </w:rPr>
        <w:t xml:space="preserve"> </w:t>
      </w:r>
      <w:r w:rsidRPr="00CE0885">
        <w:rPr>
          <w:lang w:eastAsia="en-GB"/>
        </w:rPr>
        <w:t>t</w:t>
      </w:r>
      <w:r w:rsidRPr="00CE0885">
        <w:rPr>
          <w:spacing w:val="-3"/>
          <w:lang w:eastAsia="en-GB"/>
        </w:rPr>
        <w:t>w</w:t>
      </w:r>
      <w:r w:rsidRPr="00CE0885">
        <w:rPr>
          <w:lang w:eastAsia="en-GB"/>
        </w:rPr>
        <w:t>o</w:t>
      </w:r>
      <w:r w:rsidRPr="00CE0885">
        <w:rPr>
          <w:spacing w:val="-2"/>
          <w:lang w:eastAsia="en-GB"/>
        </w:rPr>
        <w:t xml:space="preserve"> </w:t>
      </w:r>
      <w:r w:rsidRPr="00CE0885">
        <w:rPr>
          <w:lang w:eastAsia="en-GB"/>
        </w:rPr>
        <w:t>p</w:t>
      </w:r>
      <w:r w:rsidRPr="00CE0885">
        <w:rPr>
          <w:spacing w:val="-1"/>
          <w:lang w:eastAsia="en-GB"/>
        </w:rPr>
        <w:t>r</w:t>
      </w:r>
      <w:r w:rsidRPr="00CE0885">
        <w:rPr>
          <w:lang w:eastAsia="en-GB"/>
        </w:rPr>
        <w:t>e</w:t>
      </w:r>
      <w:r w:rsidRPr="00CE0885">
        <w:rPr>
          <w:spacing w:val="-2"/>
          <w:lang w:eastAsia="en-GB"/>
        </w:rPr>
        <w:t>v</w:t>
      </w:r>
      <w:r w:rsidRPr="00CE0885">
        <w:rPr>
          <w:lang w:eastAsia="en-GB"/>
        </w:rPr>
        <w:t>ious</w:t>
      </w:r>
      <w:r w:rsidRPr="00CE0885">
        <w:rPr>
          <w:spacing w:val="-9"/>
          <w:lang w:eastAsia="en-GB"/>
        </w:rPr>
        <w:t xml:space="preserve"> </w:t>
      </w:r>
      <w:r w:rsidRPr="00CE0885">
        <w:rPr>
          <w:lang w:eastAsia="en-GB"/>
        </w:rPr>
        <w:t>t</w:t>
      </w:r>
      <w:r w:rsidRPr="00CE0885">
        <w:rPr>
          <w:spacing w:val="-1"/>
          <w:lang w:eastAsia="en-GB"/>
        </w:rPr>
        <w:t>e</w:t>
      </w:r>
      <w:r w:rsidRPr="00CE0885">
        <w:rPr>
          <w:spacing w:val="2"/>
          <w:lang w:eastAsia="en-GB"/>
        </w:rPr>
        <w:t>m</w:t>
      </w:r>
      <w:r w:rsidRPr="00CE0885">
        <w:rPr>
          <w:lang w:eastAsia="en-GB"/>
        </w:rPr>
        <w:t>po</w:t>
      </w:r>
      <w:r w:rsidRPr="00CE0885">
        <w:rPr>
          <w:spacing w:val="-3"/>
          <w:lang w:eastAsia="en-GB"/>
        </w:rPr>
        <w:t>r</w:t>
      </w:r>
      <w:r w:rsidRPr="00CE0885">
        <w:rPr>
          <w:lang w:eastAsia="en-GB"/>
        </w:rPr>
        <w:t>a</w:t>
      </w:r>
      <w:r w:rsidRPr="00CE0885">
        <w:rPr>
          <w:spacing w:val="-1"/>
          <w:lang w:eastAsia="en-GB"/>
        </w:rPr>
        <w:t>r</w:t>
      </w:r>
      <w:r w:rsidRPr="00CE0885">
        <w:rPr>
          <w:lang w:eastAsia="en-GB"/>
        </w:rPr>
        <w:t>y</w:t>
      </w:r>
      <w:r w:rsidRPr="00CE0885">
        <w:rPr>
          <w:spacing w:val="-13"/>
          <w:lang w:eastAsia="en-GB"/>
        </w:rPr>
        <w:t xml:space="preserve"> </w:t>
      </w:r>
      <w:r w:rsidRPr="00CE0885">
        <w:rPr>
          <w:lang w:eastAsia="en-GB"/>
        </w:rPr>
        <w:t>opt-out</w:t>
      </w:r>
      <w:r w:rsidRPr="00CE0885">
        <w:rPr>
          <w:spacing w:val="-4"/>
          <w:lang w:eastAsia="en-GB"/>
        </w:rPr>
        <w:t xml:space="preserve"> </w:t>
      </w:r>
      <w:r w:rsidRPr="00CE0885">
        <w:rPr>
          <w:lang w:eastAsia="en-GB"/>
        </w:rPr>
        <w:t>notices</w:t>
      </w:r>
      <w:r w:rsidRPr="00CE0885">
        <w:rPr>
          <w:spacing w:val="-10"/>
          <w:lang w:eastAsia="en-GB"/>
        </w:rPr>
        <w:t xml:space="preserve"> </w:t>
      </w:r>
      <w:r w:rsidRPr="00CE0885">
        <w:rPr>
          <w:spacing w:val="-3"/>
          <w:lang w:eastAsia="en-GB"/>
        </w:rPr>
        <w:t>w</w:t>
      </w:r>
      <w:r w:rsidRPr="00CE0885">
        <w:rPr>
          <w:lang w:eastAsia="en-GB"/>
        </w:rPr>
        <w:t>ithin</w:t>
      </w:r>
      <w:r w:rsidRPr="00CE0885">
        <w:rPr>
          <w:spacing w:val="-4"/>
          <w:lang w:eastAsia="en-GB"/>
        </w:rPr>
        <w:t xml:space="preserve"> </w:t>
      </w:r>
      <w:r w:rsidRPr="00CE0885">
        <w:rPr>
          <w:lang w:eastAsia="en-GB"/>
        </w:rPr>
        <w:t>the</w:t>
      </w:r>
      <w:r w:rsidRPr="00CE0885">
        <w:rPr>
          <w:spacing w:val="-4"/>
          <w:lang w:eastAsia="en-GB"/>
        </w:rPr>
        <w:t xml:space="preserve"> </w:t>
      </w:r>
      <w:r w:rsidRPr="00CE0885">
        <w:rPr>
          <w:spacing w:val="-1"/>
          <w:lang w:eastAsia="en-GB"/>
        </w:rPr>
        <w:t>p</w:t>
      </w:r>
      <w:r w:rsidRPr="00CE0885">
        <w:rPr>
          <w:lang w:eastAsia="en-GB"/>
        </w:rPr>
        <w:t>e</w:t>
      </w:r>
      <w:r w:rsidRPr="00CE0885">
        <w:rPr>
          <w:spacing w:val="-1"/>
          <w:lang w:eastAsia="en-GB"/>
        </w:rPr>
        <w:t>r</w:t>
      </w:r>
      <w:r w:rsidRPr="00CE0885">
        <w:rPr>
          <w:lang w:eastAsia="en-GB"/>
        </w:rPr>
        <w:t>iod</w:t>
      </w:r>
      <w:r w:rsidRPr="00CE0885">
        <w:rPr>
          <w:spacing w:val="-5"/>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th</w:t>
      </w:r>
      <w:r w:rsidRPr="00CE0885">
        <w:rPr>
          <w:spacing w:val="-1"/>
          <w:lang w:eastAsia="en-GB"/>
        </w:rPr>
        <w:t>re</w:t>
      </w:r>
      <w:r w:rsidRPr="00CE0885">
        <w:rPr>
          <w:lang w:eastAsia="en-GB"/>
        </w:rPr>
        <w:t>e</w:t>
      </w:r>
      <w:r w:rsidRPr="00CE0885">
        <w:rPr>
          <w:spacing w:val="-3"/>
          <w:lang w:eastAsia="en-GB"/>
        </w:rPr>
        <w:t xml:space="preserve"> </w:t>
      </w:r>
      <w:r w:rsidRPr="00CE0885">
        <w:rPr>
          <w:spacing w:val="-2"/>
          <w:lang w:eastAsia="en-GB"/>
        </w:rPr>
        <w:t>y</w:t>
      </w:r>
      <w:r w:rsidRPr="00CE0885">
        <w:rPr>
          <w:lang w:eastAsia="en-GB"/>
        </w:rPr>
        <w:t>ea</w:t>
      </w:r>
      <w:r w:rsidRPr="00CE0885">
        <w:rPr>
          <w:spacing w:val="-1"/>
          <w:lang w:eastAsia="en-GB"/>
        </w:rPr>
        <w:t>r</w:t>
      </w:r>
      <w:r w:rsidRPr="00CE0885">
        <w:rPr>
          <w:lang w:eastAsia="en-GB"/>
        </w:rPr>
        <w:t>s</w:t>
      </w:r>
      <w:r w:rsidRPr="00CE0885">
        <w:rPr>
          <w:spacing w:val="-6"/>
          <w:lang w:eastAsia="en-GB"/>
        </w:rPr>
        <w:t xml:space="preserve"> </w:t>
      </w:r>
      <w:r w:rsidRPr="00CE0885">
        <w:rPr>
          <w:lang w:eastAsia="en-GB"/>
        </w:rPr>
        <w:t>e</w:t>
      </w:r>
      <w:r w:rsidRPr="00CE0885">
        <w:rPr>
          <w:spacing w:val="-1"/>
          <w:lang w:eastAsia="en-GB"/>
        </w:rPr>
        <w:t>n</w:t>
      </w:r>
      <w:r w:rsidRPr="00CE0885">
        <w:rPr>
          <w:lang w:eastAsia="en-GB"/>
        </w:rPr>
        <w:t>ding</w:t>
      </w:r>
      <w:r w:rsidRPr="00CE0885">
        <w:rPr>
          <w:spacing w:val="-8"/>
          <w:lang w:eastAsia="en-GB"/>
        </w:rPr>
        <w:t xml:space="preserve"> </w:t>
      </w:r>
      <w:r w:rsidRPr="00CE0885">
        <w:rPr>
          <w:spacing w:val="-3"/>
          <w:lang w:eastAsia="en-GB"/>
        </w:rPr>
        <w:t>w</w:t>
      </w:r>
      <w:r w:rsidRPr="00CE0885">
        <w:rPr>
          <w:lang w:eastAsia="en-GB"/>
        </w:rPr>
        <w:t>ith</w:t>
      </w:r>
      <w:r w:rsidRPr="00CE0885">
        <w:rPr>
          <w:spacing w:val="-2"/>
          <w:lang w:eastAsia="en-GB"/>
        </w:rPr>
        <w:t xml:space="preserve"> </w:t>
      </w:r>
      <w:r w:rsidRPr="00CE0885">
        <w:rPr>
          <w:lang w:eastAsia="en-GB"/>
        </w:rPr>
        <w:t>the date</w:t>
      </w:r>
      <w:r w:rsidRPr="00CE0885">
        <w:rPr>
          <w:spacing w:val="-6"/>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the</w:t>
      </w:r>
      <w:r w:rsidRPr="00CE0885">
        <w:rPr>
          <w:spacing w:val="-4"/>
          <w:lang w:eastAsia="en-GB"/>
        </w:rPr>
        <w:t xml:space="preserve"> </w:t>
      </w:r>
      <w:r w:rsidRPr="00CE0885">
        <w:rPr>
          <w:lang w:eastAsia="en-GB"/>
        </w:rPr>
        <w:t>se</w:t>
      </w:r>
      <w:r w:rsidRPr="00CE0885">
        <w:rPr>
          <w:spacing w:val="-1"/>
          <w:lang w:eastAsia="en-GB"/>
        </w:rPr>
        <w:t>r</w:t>
      </w:r>
      <w:r w:rsidRPr="00CE0885">
        <w:rPr>
          <w:spacing w:val="-2"/>
          <w:lang w:eastAsia="en-GB"/>
        </w:rPr>
        <w:t>v</w:t>
      </w:r>
      <w:r w:rsidRPr="00CE0885">
        <w:rPr>
          <w:lang w:eastAsia="en-GB"/>
        </w:rPr>
        <w:t>ice</w:t>
      </w:r>
      <w:r w:rsidRPr="00CE0885">
        <w:rPr>
          <w:spacing w:val="-6"/>
          <w:lang w:eastAsia="en-GB"/>
        </w:rPr>
        <w:t xml:space="preserve"> </w:t>
      </w:r>
      <w:r w:rsidRPr="00CE0885">
        <w:rPr>
          <w:spacing w:val="-1"/>
          <w:lang w:eastAsia="en-GB"/>
        </w:rPr>
        <w:t>o</w:t>
      </w:r>
      <w:r w:rsidRPr="00CE0885">
        <w:rPr>
          <w:lang w:eastAsia="en-GB"/>
        </w:rPr>
        <w:t xml:space="preserve">f </w:t>
      </w:r>
      <w:r w:rsidRPr="00CE0885">
        <w:rPr>
          <w:spacing w:val="-2"/>
          <w:lang w:eastAsia="en-GB"/>
        </w:rPr>
        <w:t>t</w:t>
      </w:r>
      <w:r w:rsidRPr="00CE0885">
        <w:rPr>
          <w:lang w:eastAsia="en-GB"/>
        </w:rPr>
        <w:t>he</w:t>
      </w:r>
      <w:r w:rsidRPr="00CE0885">
        <w:rPr>
          <w:spacing w:val="-1"/>
          <w:lang w:eastAsia="en-GB"/>
        </w:rPr>
        <w:t xml:space="preserve"> </w:t>
      </w:r>
      <w:r w:rsidRPr="00CE0885">
        <w:rPr>
          <w:lang w:eastAsia="en-GB"/>
        </w:rPr>
        <w:t>la</w:t>
      </w:r>
      <w:r w:rsidRPr="00CE0885">
        <w:rPr>
          <w:spacing w:val="-2"/>
          <w:lang w:eastAsia="en-GB"/>
        </w:rPr>
        <w:t>t</w:t>
      </w:r>
      <w:r w:rsidRPr="00CE0885">
        <w:rPr>
          <w:lang w:eastAsia="en-GB"/>
        </w:rPr>
        <w:t>est</w:t>
      </w:r>
      <w:r w:rsidRPr="00CE0885">
        <w:rPr>
          <w:spacing w:val="-7"/>
          <w:lang w:eastAsia="en-GB"/>
        </w:rPr>
        <w:t xml:space="preserve"> </w:t>
      </w:r>
      <w:r w:rsidRPr="00CE0885">
        <w:rPr>
          <w:lang w:eastAsia="en-GB"/>
        </w:rPr>
        <w:t>opt</w:t>
      </w:r>
      <w:r w:rsidRPr="00CE0885">
        <w:rPr>
          <w:spacing w:val="-1"/>
          <w:lang w:eastAsia="en-GB"/>
        </w:rPr>
        <w:t>-o</w:t>
      </w:r>
      <w:r w:rsidRPr="00CE0885">
        <w:rPr>
          <w:lang w:eastAsia="en-GB"/>
        </w:rPr>
        <w:t>ut</w:t>
      </w:r>
      <w:r w:rsidRPr="00CE0885">
        <w:rPr>
          <w:spacing w:val="-6"/>
          <w:lang w:eastAsia="en-GB"/>
        </w:rPr>
        <w:t xml:space="preserve"> </w:t>
      </w:r>
      <w:r w:rsidRPr="00CE0885">
        <w:rPr>
          <w:spacing w:val="-1"/>
          <w:lang w:eastAsia="en-GB"/>
        </w:rPr>
        <w:t>n</w:t>
      </w:r>
      <w:r w:rsidRPr="00CE0885">
        <w:rPr>
          <w:lang w:eastAsia="en-GB"/>
        </w:rPr>
        <w:t>otice</w:t>
      </w:r>
      <w:r w:rsidRPr="00CE0885">
        <w:rPr>
          <w:spacing w:val="-7"/>
          <w:lang w:eastAsia="en-GB"/>
        </w:rPr>
        <w:t xml:space="preserve"> </w:t>
      </w:r>
      <w:r w:rsidRPr="00CE0885">
        <w:rPr>
          <w:spacing w:val="-1"/>
          <w:lang w:eastAsia="en-GB"/>
        </w:rPr>
        <w:t>(</w:t>
      </w:r>
      <w:r w:rsidRPr="00CE0885">
        <w:rPr>
          <w:spacing w:val="-3"/>
          <w:lang w:eastAsia="en-GB"/>
        </w:rPr>
        <w:t>w</w:t>
      </w:r>
      <w:r w:rsidRPr="00CE0885">
        <w:rPr>
          <w:lang w:eastAsia="en-GB"/>
        </w:rPr>
        <w:t>hether</w:t>
      </w:r>
      <w:r w:rsidRPr="00CE0885">
        <w:rPr>
          <w:spacing w:val="-9"/>
          <w:lang w:eastAsia="en-GB"/>
        </w:rPr>
        <w:t xml:space="preserve"> </w:t>
      </w:r>
      <w:r w:rsidRPr="00CE0885">
        <w:rPr>
          <w:lang w:eastAsia="en-GB"/>
        </w:rPr>
        <w:t>or not</w:t>
      </w:r>
      <w:r w:rsidRPr="00CE0885">
        <w:rPr>
          <w:spacing w:val="-2"/>
          <w:lang w:eastAsia="en-GB"/>
        </w:rPr>
        <w:t xml:space="preserve"> t</w:t>
      </w:r>
      <w:r w:rsidRPr="00CE0885">
        <w:rPr>
          <w:lang w:eastAsia="en-GB"/>
        </w:rPr>
        <w:t>he</w:t>
      </w:r>
      <w:r w:rsidRPr="00CE0885">
        <w:rPr>
          <w:spacing w:val="-1"/>
          <w:lang w:eastAsia="en-GB"/>
        </w:rPr>
        <w:t xml:space="preserve"> </w:t>
      </w:r>
      <w:r w:rsidRPr="00CE0885">
        <w:rPr>
          <w:spacing w:val="-2"/>
          <w:lang w:eastAsia="en-GB"/>
        </w:rPr>
        <w:t>s</w:t>
      </w:r>
      <w:r w:rsidRPr="00CE0885">
        <w:rPr>
          <w:lang w:eastAsia="en-GB"/>
        </w:rPr>
        <w:t>a</w:t>
      </w:r>
      <w:r w:rsidRPr="00CE0885">
        <w:rPr>
          <w:spacing w:val="-1"/>
          <w:lang w:eastAsia="en-GB"/>
        </w:rPr>
        <w:t>m</w:t>
      </w:r>
      <w:r w:rsidRPr="00CE0885">
        <w:rPr>
          <w:lang w:eastAsia="en-GB"/>
        </w:rPr>
        <w:t>e</w:t>
      </w:r>
      <w:r w:rsidRPr="00CE0885">
        <w:rPr>
          <w:spacing w:val="-4"/>
          <w:lang w:eastAsia="en-GB"/>
        </w:rPr>
        <w:t xml:space="preserve"> </w:t>
      </w:r>
      <w:r w:rsidRPr="00CE0885">
        <w:rPr>
          <w:spacing w:val="-1"/>
          <w:lang w:eastAsia="en-GB"/>
        </w:rPr>
        <w:t>a</w:t>
      </w:r>
      <w:r w:rsidRPr="00CE0885">
        <w:rPr>
          <w:lang w:eastAsia="en-GB"/>
        </w:rPr>
        <w:t>dditi</w:t>
      </w:r>
      <w:r w:rsidRPr="00CE0885">
        <w:rPr>
          <w:spacing w:val="-1"/>
          <w:lang w:eastAsia="en-GB"/>
        </w:rPr>
        <w:t>o</w:t>
      </w:r>
      <w:r w:rsidRPr="00CE0885">
        <w:rPr>
          <w:lang w:eastAsia="en-GB"/>
        </w:rPr>
        <w:t>n</w:t>
      </w:r>
      <w:r w:rsidRPr="00CE0885">
        <w:rPr>
          <w:spacing w:val="-1"/>
          <w:lang w:eastAsia="en-GB"/>
        </w:rPr>
        <w:t>a</w:t>
      </w:r>
      <w:r w:rsidRPr="00CE0885">
        <w:rPr>
          <w:lang w:eastAsia="en-GB"/>
        </w:rPr>
        <w:t>l</w:t>
      </w:r>
      <w:r w:rsidRPr="00CE0885">
        <w:rPr>
          <w:spacing w:val="-10"/>
          <w:lang w:eastAsia="en-GB"/>
        </w:rPr>
        <w:t xml:space="preserve"> </w:t>
      </w:r>
      <w:r w:rsidRPr="00CE0885">
        <w:rPr>
          <w:lang w:eastAsia="en-GB"/>
        </w:rPr>
        <w:t>se</w:t>
      </w:r>
      <w:r w:rsidRPr="00CE0885">
        <w:rPr>
          <w:spacing w:val="-1"/>
          <w:lang w:eastAsia="en-GB"/>
        </w:rPr>
        <w:t>r</w:t>
      </w:r>
      <w:r w:rsidRPr="00CE0885">
        <w:rPr>
          <w:spacing w:val="-2"/>
          <w:lang w:eastAsia="en-GB"/>
        </w:rPr>
        <w:t>v</w:t>
      </w:r>
      <w:r w:rsidRPr="00CE0885">
        <w:rPr>
          <w:lang w:eastAsia="en-GB"/>
        </w:rPr>
        <w:t>ice</w:t>
      </w:r>
      <w:r w:rsidRPr="00CE0885">
        <w:rPr>
          <w:spacing w:val="-6"/>
          <w:lang w:eastAsia="en-GB"/>
        </w:rPr>
        <w:t xml:space="preserve"> </w:t>
      </w:r>
      <w:r w:rsidRPr="00CE0885">
        <w:rPr>
          <w:lang w:eastAsia="en-GB"/>
        </w:rPr>
        <w:t>is</w:t>
      </w:r>
      <w:r w:rsidRPr="00CE0885">
        <w:rPr>
          <w:spacing w:val="-2"/>
          <w:lang w:eastAsia="en-GB"/>
        </w:rPr>
        <w:t xml:space="preserve"> </w:t>
      </w:r>
      <w:r w:rsidRPr="00CE0885">
        <w:rPr>
          <w:lang w:eastAsia="en-GB"/>
        </w:rPr>
        <w:t>conce</w:t>
      </w:r>
      <w:r w:rsidRPr="00CE0885">
        <w:rPr>
          <w:spacing w:val="-1"/>
          <w:lang w:eastAsia="en-GB"/>
        </w:rPr>
        <w:t>r</w:t>
      </w:r>
      <w:r w:rsidRPr="00CE0885">
        <w:rPr>
          <w:lang w:eastAsia="en-GB"/>
        </w:rPr>
        <w:t>ned</w:t>
      </w:r>
      <w:r w:rsidRPr="00CE0885">
        <w:rPr>
          <w:spacing w:val="-1"/>
          <w:lang w:eastAsia="en-GB"/>
        </w:rPr>
        <w:t>)</w:t>
      </w:r>
      <w:r w:rsidRPr="00CE0885">
        <w:rPr>
          <w:lang w:eastAsia="en-GB"/>
        </w:rPr>
        <w:t>,</w:t>
      </w:r>
      <w:r w:rsidRPr="00CE0885">
        <w:rPr>
          <w:spacing w:val="-14"/>
          <w:lang w:eastAsia="en-GB"/>
        </w:rPr>
        <w:t xml:space="preserve"> </w:t>
      </w:r>
      <w:r w:rsidRPr="00CE0885">
        <w:rPr>
          <w:lang w:eastAsia="en-GB"/>
        </w:rPr>
        <w:t>the</w:t>
      </w:r>
      <w:r w:rsidRPr="00CE0885">
        <w:rPr>
          <w:spacing w:val="-1"/>
          <w:lang w:eastAsia="en-GB"/>
        </w:rPr>
        <w:t xml:space="preserve"> Commissioner must treat the </w:t>
      </w:r>
      <w:r w:rsidRPr="00CE0885">
        <w:rPr>
          <w:spacing w:val="-3"/>
          <w:lang w:eastAsia="en-GB"/>
        </w:rPr>
        <w:t>l</w:t>
      </w:r>
      <w:r w:rsidRPr="00CE0885">
        <w:rPr>
          <w:lang w:eastAsia="en-GB"/>
        </w:rPr>
        <w:t>atest opt</w:t>
      </w:r>
      <w:r w:rsidRPr="00CE0885">
        <w:rPr>
          <w:spacing w:val="-1"/>
          <w:lang w:eastAsia="en-GB"/>
        </w:rPr>
        <w:t>-</w:t>
      </w:r>
      <w:r w:rsidRPr="00CE0885">
        <w:rPr>
          <w:lang w:eastAsia="en-GB"/>
        </w:rPr>
        <w:t>o</w:t>
      </w:r>
      <w:r w:rsidRPr="00CE0885">
        <w:rPr>
          <w:spacing w:val="-1"/>
          <w:lang w:eastAsia="en-GB"/>
        </w:rPr>
        <w:t>u</w:t>
      </w:r>
      <w:r w:rsidRPr="00CE0885">
        <w:rPr>
          <w:lang w:eastAsia="en-GB"/>
        </w:rPr>
        <w:t>t</w:t>
      </w:r>
      <w:r w:rsidRPr="00CE0885">
        <w:rPr>
          <w:spacing w:val="-6"/>
          <w:lang w:eastAsia="en-GB"/>
        </w:rPr>
        <w:t xml:space="preserve"> </w:t>
      </w:r>
      <w:r w:rsidRPr="00CE0885">
        <w:rPr>
          <w:spacing w:val="-1"/>
          <w:lang w:eastAsia="en-GB"/>
        </w:rPr>
        <w:t>n</w:t>
      </w:r>
      <w:r w:rsidRPr="00CE0885">
        <w:rPr>
          <w:lang w:eastAsia="en-GB"/>
        </w:rPr>
        <w:t>otice</w:t>
      </w:r>
      <w:r w:rsidRPr="00CE0885">
        <w:rPr>
          <w:spacing w:val="-4"/>
          <w:lang w:eastAsia="en-GB"/>
        </w:rPr>
        <w:t xml:space="preserve"> as</w:t>
      </w:r>
      <w:r w:rsidRPr="00CE0885">
        <w:rPr>
          <w:spacing w:val="-5"/>
          <w:lang w:eastAsia="en-GB"/>
        </w:rPr>
        <w:t xml:space="preserve"> a </w:t>
      </w:r>
      <w:r w:rsidRPr="00CE0885">
        <w:rPr>
          <w:lang w:eastAsia="en-GB"/>
        </w:rPr>
        <w:t>pe</w:t>
      </w:r>
      <w:r w:rsidRPr="00CE0885">
        <w:rPr>
          <w:spacing w:val="-3"/>
          <w:lang w:eastAsia="en-GB"/>
        </w:rPr>
        <w:t>r</w:t>
      </w:r>
      <w:r w:rsidRPr="00CE0885">
        <w:rPr>
          <w:spacing w:val="2"/>
          <w:lang w:eastAsia="en-GB"/>
        </w:rPr>
        <w:t>m</w:t>
      </w:r>
      <w:r w:rsidRPr="00CE0885">
        <w:rPr>
          <w:lang w:eastAsia="en-GB"/>
        </w:rPr>
        <w:t>a</w:t>
      </w:r>
      <w:r w:rsidRPr="00CE0885">
        <w:rPr>
          <w:spacing w:val="-1"/>
          <w:lang w:eastAsia="en-GB"/>
        </w:rPr>
        <w:t>n</w:t>
      </w:r>
      <w:r w:rsidRPr="00CE0885">
        <w:rPr>
          <w:lang w:eastAsia="en-GB"/>
        </w:rPr>
        <w:t>ent opt out</w:t>
      </w:r>
      <w:r w:rsidRPr="00CE0885">
        <w:rPr>
          <w:spacing w:val="-12"/>
          <w:lang w:eastAsia="en-GB"/>
        </w:rPr>
        <w:t xml:space="preserve"> </w:t>
      </w:r>
      <w:r w:rsidRPr="00CE0885">
        <w:rPr>
          <w:spacing w:val="-1"/>
          <w:lang w:eastAsia="en-GB"/>
        </w:rPr>
        <w:t>(</w:t>
      </w:r>
      <w:r w:rsidRPr="00CE0885">
        <w:rPr>
          <w:lang w:eastAsia="en-GB"/>
        </w:rPr>
        <w:t>e</w:t>
      </w:r>
      <w:r w:rsidRPr="00CE0885">
        <w:rPr>
          <w:spacing w:val="-2"/>
          <w:lang w:eastAsia="en-GB"/>
        </w:rPr>
        <w:t>v</w:t>
      </w:r>
      <w:r w:rsidRPr="00CE0885">
        <w:rPr>
          <w:lang w:eastAsia="en-GB"/>
        </w:rPr>
        <w:t>en</w:t>
      </w:r>
      <w:r w:rsidRPr="00CE0885">
        <w:rPr>
          <w:spacing w:val="-4"/>
          <w:lang w:eastAsia="en-GB"/>
        </w:rPr>
        <w:t xml:space="preserve"> </w:t>
      </w:r>
      <w:r w:rsidRPr="00CE0885">
        <w:rPr>
          <w:lang w:eastAsia="en-GB"/>
        </w:rPr>
        <w:t>if t</w:t>
      </w:r>
      <w:r w:rsidRPr="00CE0885">
        <w:rPr>
          <w:spacing w:val="-1"/>
          <w:lang w:eastAsia="en-GB"/>
        </w:rPr>
        <w:t>h</w:t>
      </w:r>
      <w:r w:rsidRPr="00CE0885">
        <w:rPr>
          <w:lang w:eastAsia="en-GB"/>
        </w:rPr>
        <w:t>e notice</w:t>
      </w:r>
      <w:r w:rsidRPr="00CE0885">
        <w:rPr>
          <w:spacing w:val="-4"/>
          <w:lang w:eastAsia="en-GB"/>
        </w:rPr>
        <w:t xml:space="preserve"> </w:t>
      </w:r>
      <w:r w:rsidRPr="00CE0885">
        <w:rPr>
          <w:spacing w:val="-2"/>
          <w:lang w:eastAsia="en-GB"/>
        </w:rPr>
        <w:t>s</w:t>
      </w:r>
      <w:r w:rsidRPr="00CE0885">
        <w:rPr>
          <w:lang w:eastAsia="en-GB"/>
        </w:rPr>
        <w:t>a</w:t>
      </w:r>
      <w:r w:rsidRPr="00CE0885">
        <w:rPr>
          <w:spacing w:val="-2"/>
          <w:lang w:eastAsia="en-GB"/>
        </w:rPr>
        <w:t>y</w:t>
      </w:r>
      <w:r w:rsidRPr="00CE0885">
        <w:rPr>
          <w:lang w:eastAsia="en-GB"/>
        </w:rPr>
        <w:t>s</w:t>
      </w:r>
      <w:r w:rsidRPr="00CE0885">
        <w:rPr>
          <w:spacing w:val="-5"/>
          <w:lang w:eastAsia="en-GB"/>
        </w:rPr>
        <w:t xml:space="preserve"> </w:t>
      </w:r>
      <w:r w:rsidRPr="00CE0885">
        <w:rPr>
          <w:lang w:eastAsia="en-GB"/>
        </w:rPr>
        <w:t>that</w:t>
      </w:r>
      <w:r w:rsidRPr="00CE0885">
        <w:rPr>
          <w:spacing w:val="-3"/>
          <w:lang w:eastAsia="en-GB"/>
        </w:rPr>
        <w:t xml:space="preserve"> </w:t>
      </w:r>
      <w:r w:rsidRPr="00CE0885">
        <w:rPr>
          <w:lang w:eastAsia="en-GB"/>
        </w:rPr>
        <w:t>it</w:t>
      </w:r>
      <w:r w:rsidRPr="00CE0885">
        <w:rPr>
          <w:spacing w:val="-2"/>
          <w:lang w:eastAsia="en-GB"/>
        </w:rPr>
        <w:t xml:space="preserve"> </w:t>
      </w:r>
      <w:r w:rsidRPr="00CE0885">
        <w:rPr>
          <w:spacing w:val="-3"/>
          <w:lang w:eastAsia="en-GB"/>
        </w:rPr>
        <w:t>w</w:t>
      </w:r>
      <w:r w:rsidRPr="00CE0885">
        <w:rPr>
          <w:lang w:eastAsia="en-GB"/>
        </w:rPr>
        <w:t>is</w:t>
      </w:r>
      <w:r w:rsidRPr="00CE0885">
        <w:rPr>
          <w:spacing w:val="3"/>
          <w:lang w:eastAsia="en-GB"/>
        </w:rPr>
        <w:t>h</w:t>
      </w:r>
      <w:r w:rsidRPr="00CE0885">
        <w:rPr>
          <w:lang w:eastAsia="en-GB"/>
        </w:rPr>
        <w:t>es</w:t>
      </w:r>
      <w:r w:rsidRPr="00CE0885">
        <w:rPr>
          <w:spacing w:val="-7"/>
          <w:lang w:eastAsia="en-GB"/>
        </w:rPr>
        <w:t xml:space="preserve"> </w:t>
      </w:r>
      <w:r w:rsidRPr="00CE0885">
        <w:rPr>
          <w:lang w:eastAsia="en-GB"/>
        </w:rPr>
        <w:t>to</w:t>
      </w:r>
      <w:r w:rsidRPr="00CE0885">
        <w:rPr>
          <w:spacing w:val="-3"/>
          <w:lang w:eastAsia="en-GB"/>
        </w:rPr>
        <w:t xml:space="preserve"> </w:t>
      </w:r>
      <w:r w:rsidRPr="00CE0885">
        <w:rPr>
          <w:lang w:eastAsia="en-GB"/>
        </w:rPr>
        <w:t>t</w:t>
      </w:r>
      <w:r w:rsidRPr="00CE0885">
        <w:rPr>
          <w:spacing w:val="-1"/>
          <w:lang w:eastAsia="en-GB"/>
        </w:rPr>
        <w:t>e</w:t>
      </w:r>
      <w:r w:rsidRPr="00CE0885">
        <w:rPr>
          <w:spacing w:val="2"/>
          <w:lang w:eastAsia="en-GB"/>
        </w:rPr>
        <w:t>m</w:t>
      </w:r>
      <w:r w:rsidRPr="00CE0885">
        <w:rPr>
          <w:lang w:eastAsia="en-GB"/>
        </w:rPr>
        <w:t>po</w:t>
      </w:r>
      <w:r w:rsidRPr="00CE0885">
        <w:rPr>
          <w:spacing w:val="-3"/>
          <w:lang w:eastAsia="en-GB"/>
        </w:rPr>
        <w:t>r</w:t>
      </w:r>
      <w:r w:rsidRPr="00CE0885">
        <w:rPr>
          <w:lang w:eastAsia="en-GB"/>
        </w:rPr>
        <w:t>a</w:t>
      </w:r>
      <w:r w:rsidRPr="00CE0885">
        <w:rPr>
          <w:spacing w:val="-1"/>
          <w:lang w:eastAsia="en-GB"/>
        </w:rPr>
        <w:t>r</w:t>
      </w:r>
      <w:r w:rsidRPr="00CE0885">
        <w:rPr>
          <w:lang w:eastAsia="en-GB"/>
        </w:rPr>
        <w:t>ily</w:t>
      </w:r>
      <w:r w:rsidRPr="00CE0885">
        <w:rPr>
          <w:spacing w:val="-14"/>
          <w:lang w:eastAsia="en-GB"/>
        </w:rPr>
        <w:t xml:space="preserve"> </w:t>
      </w:r>
      <w:r w:rsidRPr="00CE0885">
        <w:rPr>
          <w:lang w:eastAsia="en-GB"/>
        </w:rPr>
        <w:t>opt</w:t>
      </w:r>
      <w:r w:rsidRPr="00CE0885">
        <w:rPr>
          <w:spacing w:val="-2"/>
          <w:lang w:eastAsia="en-GB"/>
        </w:rPr>
        <w:t xml:space="preserve"> </w:t>
      </w:r>
      <w:r w:rsidRPr="00CE0885">
        <w:rPr>
          <w:spacing w:val="-1"/>
          <w:lang w:eastAsia="en-GB"/>
        </w:rPr>
        <w:t>o</w:t>
      </w:r>
      <w:r w:rsidRPr="00CE0885">
        <w:rPr>
          <w:lang w:eastAsia="en-GB"/>
        </w:rPr>
        <w:t>ut</w:t>
      </w:r>
      <w:r w:rsidRPr="00CE0885">
        <w:rPr>
          <w:spacing w:val="-1"/>
          <w:lang w:eastAsia="en-GB"/>
        </w:rPr>
        <w:t>)</w:t>
      </w:r>
      <w:r w:rsidRPr="00CE0885">
        <w:rPr>
          <w:lang w:eastAsia="en-GB"/>
        </w:rPr>
        <w:t>.</w:t>
      </w:r>
      <w:bookmarkEnd w:id="850"/>
    </w:p>
    <w:p w14:paraId="1E4438EA" w14:textId="77777777" w:rsidR="00977693" w:rsidRPr="00CE0885" w:rsidRDefault="00977693" w:rsidP="003331F2">
      <w:pPr>
        <w:pStyle w:val="BodyText"/>
      </w:pPr>
    </w:p>
    <w:p w14:paraId="3A482B8B" w14:textId="77777777" w:rsidR="00977693" w:rsidRPr="00B30FA5" w:rsidRDefault="00977693" w:rsidP="00B30FA5">
      <w:pPr>
        <w:pStyle w:val="BodyText"/>
        <w:rPr>
          <w:b/>
          <w:sz w:val="24"/>
          <w:szCs w:val="24"/>
        </w:rPr>
      </w:pPr>
      <w:bookmarkStart w:id="851" w:name="_Toc440982007"/>
      <w:r w:rsidRPr="00B30FA5">
        <w:rPr>
          <w:b/>
          <w:sz w:val="24"/>
          <w:szCs w:val="24"/>
        </w:rPr>
        <w:t>Temporary opt out of additional services</w:t>
      </w:r>
      <w:bookmarkEnd w:id="851"/>
    </w:p>
    <w:p w14:paraId="62ECF1A7" w14:textId="77777777" w:rsidR="00E47A71" w:rsidRPr="00CE0885" w:rsidRDefault="00E47A71" w:rsidP="003331F2">
      <w:pPr>
        <w:pStyle w:val="BodyText"/>
      </w:pPr>
    </w:p>
    <w:p w14:paraId="7DBB58B9" w14:textId="77777777" w:rsidR="00977693" w:rsidRPr="00CE0885" w:rsidRDefault="00977693" w:rsidP="00E47A71">
      <w:pPr>
        <w:pStyle w:val="Heading3"/>
        <w:rPr>
          <w:lang w:eastAsia="en-GB"/>
        </w:rPr>
      </w:pPr>
      <w:bookmarkStart w:id="852" w:name="_Toc440982008"/>
      <w:r w:rsidRPr="00CE0885">
        <w:rPr>
          <w:lang w:eastAsia="en-GB"/>
        </w:rPr>
        <w:t>Where the contractor has provided a temporary opt-out notice, the Commissioner must follow the process below:</w:t>
      </w:r>
      <w:bookmarkEnd w:id="852"/>
    </w:p>
    <w:p w14:paraId="17479A42" w14:textId="77777777" w:rsidR="00977693" w:rsidRPr="00CE0885" w:rsidRDefault="00977693" w:rsidP="00E47A71">
      <w:pPr>
        <w:pStyle w:val="Heading4"/>
      </w:pPr>
      <w:bookmarkStart w:id="853" w:name="_Toc440982009"/>
      <w:r w:rsidRPr="00CE0885">
        <w:t>The Commissioner must, as soon as is reasonably practicable and in any event within the period of seven days beginning with the date of receipt of a temporary opt-out notice, either:</w:t>
      </w:r>
      <w:bookmarkEnd w:id="853"/>
    </w:p>
    <w:p w14:paraId="30F5A2EE" w14:textId="77777777" w:rsidR="00977693" w:rsidRPr="00E47A71" w:rsidRDefault="00977693" w:rsidP="005A7DDA">
      <w:pPr>
        <w:pStyle w:val="ListParagraph"/>
        <w:widowControl w:val="0"/>
        <w:numPr>
          <w:ilvl w:val="0"/>
          <w:numId w:val="110"/>
        </w:numPr>
        <w:tabs>
          <w:tab w:val="left" w:pos="3686"/>
        </w:tabs>
        <w:spacing w:line="360" w:lineRule="auto"/>
        <w:jc w:val="both"/>
        <w:outlineLvl w:val="3"/>
        <w:rPr>
          <w:rFonts w:cs="Arial"/>
          <w:bCs w:val="0"/>
          <w:szCs w:val="24"/>
          <w:lang w:eastAsia="en-GB"/>
        </w:rPr>
      </w:pPr>
      <w:r w:rsidRPr="00E47A71">
        <w:rPr>
          <w:rFonts w:cs="Arial"/>
          <w:bCs w:val="0"/>
          <w:szCs w:val="24"/>
          <w:lang w:eastAsia="en-GB"/>
        </w:rPr>
        <w:t>approve the opt-out notice and specify both the date on which the temporary opt out is to commence (which wherever reasonably practicable must be the date requested by the contractor in its opt out notice) and the date that it is to come to an end (“the end date”); or</w:t>
      </w:r>
    </w:p>
    <w:p w14:paraId="5A784CD7" w14:textId="77777777" w:rsidR="00977693" w:rsidRPr="00E47A71" w:rsidRDefault="00977693" w:rsidP="005A7DDA">
      <w:pPr>
        <w:pStyle w:val="ListParagraph"/>
        <w:widowControl w:val="0"/>
        <w:numPr>
          <w:ilvl w:val="0"/>
          <w:numId w:val="110"/>
        </w:numPr>
        <w:tabs>
          <w:tab w:val="left" w:pos="3686"/>
        </w:tabs>
        <w:spacing w:line="360" w:lineRule="auto"/>
        <w:jc w:val="both"/>
        <w:outlineLvl w:val="3"/>
        <w:rPr>
          <w:rFonts w:cs="Arial"/>
          <w:bCs w:val="0"/>
          <w:szCs w:val="24"/>
          <w:lang w:eastAsia="en-GB"/>
        </w:rPr>
      </w:pPr>
      <w:r w:rsidRPr="00E47A71">
        <w:rPr>
          <w:rFonts w:cs="Arial"/>
          <w:bCs w:val="0"/>
          <w:szCs w:val="24"/>
          <w:lang w:eastAsia="en-GB"/>
        </w:rPr>
        <w:t>reject the opt-out notice on the ground that the contractor:</w:t>
      </w:r>
    </w:p>
    <w:p w14:paraId="5428BFC7" w14:textId="77777777" w:rsidR="00977693" w:rsidRPr="00E47A71" w:rsidRDefault="00977693" w:rsidP="005A7DDA">
      <w:pPr>
        <w:pStyle w:val="ListParagraph"/>
        <w:widowControl w:val="0"/>
        <w:numPr>
          <w:ilvl w:val="1"/>
          <w:numId w:val="110"/>
        </w:numPr>
        <w:tabs>
          <w:tab w:val="left" w:pos="5103"/>
        </w:tabs>
        <w:spacing w:line="360" w:lineRule="auto"/>
        <w:jc w:val="both"/>
        <w:outlineLvl w:val="4"/>
        <w:rPr>
          <w:rFonts w:cs="Arial"/>
          <w:bCs w:val="0"/>
          <w:szCs w:val="24"/>
          <w:lang w:eastAsia="en-GB"/>
        </w:rPr>
      </w:pPr>
      <w:r w:rsidRPr="00E47A71">
        <w:rPr>
          <w:rFonts w:cs="Arial"/>
          <w:bCs w:val="0"/>
          <w:szCs w:val="24"/>
          <w:lang w:eastAsia="en-GB"/>
        </w:rPr>
        <w:t>is providing additional services to patients other than its own registered patients or enhanced services, or</w:t>
      </w:r>
    </w:p>
    <w:p w14:paraId="3A520FCF" w14:textId="77777777" w:rsidR="00977693" w:rsidRPr="00E47A71" w:rsidRDefault="00977693" w:rsidP="005A7DDA">
      <w:pPr>
        <w:pStyle w:val="ListParagraph"/>
        <w:widowControl w:val="0"/>
        <w:numPr>
          <w:ilvl w:val="1"/>
          <w:numId w:val="110"/>
        </w:numPr>
        <w:tabs>
          <w:tab w:val="left" w:pos="5103"/>
        </w:tabs>
        <w:spacing w:line="360" w:lineRule="auto"/>
        <w:jc w:val="both"/>
        <w:outlineLvl w:val="4"/>
        <w:rPr>
          <w:rFonts w:cs="Arial"/>
          <w:bCs w:val="0"/>
          <w:szCs w:val="24"/>
          <w:lang w:eastAsia="en-GB"/>
        </w:rPr>
      </w:pPr>
      <w:r w:rsidRPr="00E47A71">
        <w:rPr>
          <w:rFonts w:cs="Arial"/>
          <w:bCs w:val="0"/>
          <w:szCs w:val="24"/>
          <w:lang w:eastAsia="en-GB"/>
        </w:rPr>
        <w:t>has no reasonable need temporarily to opt out having regard to its ability to deliver the additional service;</w:t>
      </w:r>
    </w:p>
    <w:p w14:paraId="79353BDB" w14:textId="77777777" w:rsidR="00977693" w:rsidRPr="00CE0885" w:rsidRDefault="00977693" w:rsidP="00E47A71">
      <w:pPr>
        <w:pStyle w:val="Heading4"/>
      </w:pPr>
      <w:bookmarkStart w:id="854" w:name="_Toc440982010"/>
      <w:r w:rsidRPr="00CE0885">
        <w:t>The Commissioner must notify the contractor whether it has approved or rejected the opt-out notice as soon as possible, including reasons for its decision (Annex 7B).</w:t>
      </w:r>
      <w:bookmarkEnd w:id="854"/>
    </w:p>
    <w:p w14:paraId="0A464197" w14:textId="77777777" w:rsidR="00977693" w:rsidRPr="00CE0885" w:rsidRDefault="00977693" w:rsidP="00E47A71">
      <w:pPr>
        <w:pStyle w:val="Heading3"/>
        <w:rPr>
          <w:lang w:eastAsia="en-GB"/>
        </w:rPr>
      </w:pPr>
      <w:bookmarkStart w:id="855" w:name="_Toc440982011"/>
      <w:r w:rsidRPr="00CE0885">
        <w:rPr>
          <w:lang w:eastAsia="en-GB"/>
        </w:rPr>
        <w:t>The Commissioner or the contractor may have concerns about the ability of the contractor to provide the services at the end of the temporary opt out. If the Commissioner considers that the contractor will be unable to satisfactorily provide the additional service at the end of the temporary opt out, the Commissioner can agree with the contractor to extend the end date. If such extension is not possible, the Commissioner may notify the contractor in writing at least 28 days before the end date that a permanent opt out shall immediately follow the temporary opt out. Similarly, a contractor who has temporarily opted out may, at least three months prior to the end date, notify the Commissioner in writing that it wishes to permanently opt out of the additional service in question.</w:t>
      </w:r>
      <w:bookmarkEnd w:id="855"/>
    </w:p>
    <w:p w14:paraId="444EE93D" w14:textId="77777777" w:rsidR="00977693" w:rsidRPr="00CE0885" w:rsidRDefault="00977693" w:rsidP="003331F2">
      <w:pPr>
        <w:pStyle w:val="BodyText"/>
      </w:pPr>
    </w:p>
    <w:p w14:paraId="2256A985" w14:textId="77777777" w:rsidR="00977693" w:rsidRPr="00B30FA5" w:rsidRDefault="00977693" w:rsidP="00B30FA5">
      <w:pPr>
        <w:pStyle w:val="BodyText"/>
        <w:rPr>
          <w:b/>
          <w:sz w:val="24"/>
          <w:szCs w:val="24"/>
        </w:rPr>
      </w:pPr>
      <w:bookmarkStart w:id="856" w:name="_Toc440982012"/>
      <w:r w:rsidRPr="00B30FA5">
        <w:rPr>
          <w:b/>
          <w:sz w:val="24"/>
          <w:szCs w:val="24"/>
        </w:rPr>
        <w:t>Permanent opt out of additional services</w:t>
      </w:r>
      <w:bookmarkEnd w:id="856"/>
    </w:p>
    <w:p w14:paraId="3BA5CE6D" w14:textId="77777777" w:rsidR="00E47A71" w:rsidRPr="00CE0885" w:rsidRDefault="00E47A71" w:rsidP="003331F2">
      <w:pPr>
        <w:pStyle w:val="BodyText"/>
      </w:pPr>
    </w:p>
    <w:p w14:paraId="71B21D6B" w14:textId="77777777" w:rsidR="00977693" w:rsidRPr="00CE0885" w:rsidRDefault="00977693" w:rsidP="00E47A71">
      <w:pPr>
        <w:pStyle w:val="Heading3"/>
        <w:rPr>
          <w:lang w:eastAsia="en-GB"/>
        </w:rPr>
      </w:pPr>
      <w:bookmarkStart w:id="857" w:name="_Toc440982013"/>
      <w:r w:rsidRPr="00CE0885">
        <w:rPr>
          <w:lang w:eastAsia="en-GB"/>
        </w:rPr>
        <w:t>Where the contractor has provided a permanent opt-out notice, the Commissioner must approve or reject it. The Commissioner must do so as soon as is reasonably practicable and in any event within the period of 28 days beginning with the date of receipt of a permanent opt-out notice. The only ground on which the Commissioner may reject the notice is that the contractor is providing an additional service to patients other than its registered patients or enhanced services. The Commissioner must notify the contractor of its decision as soon as possible, including reasons for its decision where its decision is to reject the opt-out notice.</w:t>
      </w:r>
      <w:bookmarkEnd w:id="857"/>
    </w:p>
    <w:p w14:paraId="591F845C" w14:textId="77777777" w:rsidR="00977693" w:rsidRPr="00CE0885" w:rsidRDefault="00977693" w:rsidP="00E47A71">
      <w:pPr>
        <w:pStyle w:val="Heading3"/>
        <w:rPr>
          <w:b/>
          <w:lang w:eastAsia="en-GB"/>
        </w:rPr>
      </w:pPr>
      <w:bookmarkStart w:id="858" w:name="_Toc440982014"/>
      <w:r w:rsidRPr="00CE0885">
        <w:rPr>
          <w:lang w:eastAsia="en-GB"/>
        </w:rPr>
        <w:t>If, after the Commissioner approves a permanent opt-out, the contractor wishes to withdraw the notice, it can only do so if the Commissioner agrees. This is because after approving the opt-out, the Commissioner must use reasonable to make arrangements for the contractor's registered patients to receive the additional service from an alternative provider.</w:t>
      </w:r>
      <w:bookmarkEnd w:id="858"/>
    </w:p>
    <w:p w14:paraId="2925AC3E" w14:textId="77777777" w:rsidR="00977693" w:rsidRPr="00CE0885" w:rsidRDefault="00977693" w:rsidP="00E47A71">
      <w:pPr>
        <w:pStyle w:val="Heading3"/>
        <w:rPr>
          <w:b/>
          <w:lang w:eastAsia="en-GB"/>
        </w:rPr>
      </w:pPr>
      <w:bookmarkStart w:id="859" w:name="_Ref410639529"/>
      <w:bookmarkStart w:id="860" w:name="_Toc440982015"/>
      <w:r w:rsidRPr="00CE0885">
        <w:rPr>
          <w:lang w:eastAsia="en-GB"/>
        </w:rPr>
        <w:t>It may be difficult for the Commissioner to find an alternative provider to deliver the service from the date on which the contractor proposed to opt out. Where this is the case, the Commissioner must notify the contractor one month before the proposed opt out date requiring the contractor to continue to provide the services for a certain period of time as set out below.</w:t>
      </w:r>
      <w:bookmarkEnd w:id="859"/>
      <w:bookmarkEnd w:id="860"/>
      <w:r w:rsidRPr="00CE0885">
        <w:rPr>
          <w:lang w:eastAsia="en-GB"/>
        </w:rPr>
        <w:t xml:space="preserve"> </w:t>
      </w:r>
    </w:p>
    <w:p w14:paraId="254D92CD" w14:textId="77777777" w:rsidR="00977693" w:rsidRPr="00CE0885" w:rsidRDefault="00977693" w:rsidP="00E47A71">
      <w:pPr>
        <w:pStyle w:val="Heading3"/>
        <w:rPr>
          <w:lang w:eastAsia="en-GB"/>
        </w:rPr>
      </w:pPr>
      <w:bookmarkStart w:id="861" w:name="_Toc440982016"/>
      <w:r w:rsidRPr="00CE0885">
        <w:rPr>
          <w:lang w:eastAsia="en-GB"/>
        </w:rPr>
        <w:t xml:space="preserve">Where the proposed opt out date is three months after service of the opt-out notice (if six months, see paragraph </w:t>
      </w:r>
      <w:r w:rsidRPr="00CE0885">
        <w:rPr>
          <w:lang w:eastAsia="en-GB"/>
        </w:rPr>
        <w:fldChar w:fldCharType="begin"/>
      </w:r>
      <w:r w:rsidRPr="00CE0885">
        <w:rPr>
          <w:lang w:eastAsia="en-GB"/>
        </w:rPr>
        <w:instrText xml:space="preserve"> REF _Ref410638613 \r \h  \* MERGEFORMAT </w:instrText>
      </w:r>
      <w:r w:rsidRPr="00CE0885">
        <w:rPr>
          <w:lang w:eastAsia="en-GB"/>
        </w:rPr>
      </w:r>
      <w:r w:rsidRPr="00CE0885">
        <w:rPr>
          <w:lang w:eastAsia="en-GB"/>
        </w:rPr>
        <w:fldChar w:fldCharType="separate"/>
      </w:r>
      <w:r w:rsidR="00622FF2">
        <w:rPr>
          <w:lang w:eastAsia="en-GB"/>
        </w:rPr>
        <w:t>7.16.17</w:t>
      </w:r>
      <w:r w:rsidRPr="00CE0885">
        <w:rPr>
          <w:lang w:eastAsia="en-GB"/>
        </w:rPr>
        <w:fldChar w:fldCharType="end"/>
      </w:r>
      <w:r w:rsidRPr="00CE0885">
        <w:rPr>
          <w:lang w:eastAsia="en-GB"/>
        </w:rPr>
        <w:t>), the contractor shall continue to provide the additional service until the day six months after the service of the opt-out notice. If, during this period, the Commissioner, despite using its reasonable endeavours, is still unable to find an alternative provider, it can provide a further notice to the contractor requiring the contractor to provide the additional service until the day nine months after the date of service of the permanent opt-out notice.</w:t>
      </w:r>
      <w:bookmarkEnd w:id="861"/>
    </w:p>
    <w:p w14:paraId="2C0598DE" w14:textId="77777777" w:rsidR="00977693" w:rsidRPr="00CE0885" w:rsidRDefault="00977693" w:rsidP="00E47A71">
      <w:pPr>
        <w:pStyle w:val="Heading3"/>
        <w:rPr>
          <w:lang w:eastAsia="en-GB"/>
        </w:rPr>
      </w:pPr>
      <w:bookmarkStart w:id="862" w:name="_Toc440982017"/>
      <w:r w:rsidRPr="00CE0885">
        <w:rPr>
          <w:lang w:eastAsia="en-GB"/>
        </w:rPr>
        <w:t>The contractor may find it difficult to continue providing the services for a further nine months. Therefore, as soon as is reasonably practicable and in any event within seven days of the Commissioner serving a further notice to the contractor to continue providing the service until nine months after the date of service of the permanent opt-out notice, the Commissioner must enter into discussions with the contractor. These discussions must consider what support the Commissioner may give to the contractor or other changes which either party may make in relation to the provision of the additional service until the actual opt out date. The requirement to enter into discussions only arises where the Commissioner requires the contractor to provide the services until the date nine months after service of the opt out notice. It does not apply where the Commissioner requires the contractor to provide the services until the day six months after service of the opt-out notice.</w:t>
      </w:r>
      <w:bookmarkEnd w:id="862"/>
      <w:r w:rsidRPr="00CE0885">
        <w:rPr>
          <w:lang w:eastAsia="en-GB"/>
        </w:rPr>
        <w:t xml:space="preserve"> </w:t>
      </w:r>
    </w:p>
    <w:p w14:paraId="6DC640AE" w14:textId="77777777" w:rsidR="00977693" w:rsidRPr="00CE0885" w:rsidRDefault="00977693" w:rsidP="00E47A71">
      <w:pPr>
        <w:pStyle w:val="Heading3"/>
        <w:rPr>
          <w:lang w:eastAsia="en-GB"/>
        </w:rPr>
      </w:pPr>
      <w:bookmarkStart w:id="863" w:name="_Ref410638613"/>
      <w:bookmarkStart w:id="864" w:name="_Toc440982018"/>
      <w:r w:rsidRPr="00CE0885">
        <w:rPr>
          <w:lang w:eastAsia="en-GB"/>
        </w:rPr>
        <w:t>Where the proposed opt out date is six months after service of the opt-out notice, the contractor shall continue to provide the additional service until the day nine months after the service of the opt-out notice</w:t>
      </w:r>
      <w:bookmarkEnd w:id="863"/>
      <w:r w:rsidRPr="00CE0885">
        <w:rPr>
          <w:lang w:eastAsia="en-GB"/>
        </w:rPr>
        <w:t>.</w:t>
      </w:r>
      <w:bookmarkEnd w:id="864"/>
    </w:p>
    <w:p w14:paraId="69AC50B7" w14:textId="77777777" w:rsidR="00977693" w:rsidRPr="00CE0885" w:rsidRDefault="00977693" w:rsidP="003331F2">
      <w:pPr>
        <w:pStyle w:val="BodyText"/>
      </w:pPr>
    </w:p>
    <w:p w14:paraId="12A15FEA" w14:textId="77777777" w:rsidR="00977693" w:rsidRPr="00B30FA5" w:rsidRDefault="00977693" w:rsidP="00B30FA5">
      <w:pPr>
        <w:pStyle w:val="BodyText"/>
        <w:rPr>
          <w:b/>
          <w:sz w:val="24"/>
          <w:szCs w:val="24"/>
        </w:rPr>
      </w:pPr>
      <w:bookmarkStart w:id="865" w:name="_Toc440982019"/>
      <w:r w:rsidRPr="00B30FA5">
        <w:rPr>
          <w:b/>
          <w:sz w:val="24"/>
          <w:szCs w:val="24"/>
        </w:rPr>
        <w:t>Opt out of Out of Hours</w:t>
      </w:r>
      <w:bookmarkEnd w:id="865"/>
    </w:p>
    <w:p w14:paraId="53E948E8" w14:textId="77777777" w:rsidR="00977693" w:rsidRPr="00CE0885" w:rsidRDefault="00977693" w:rsidP="00E47A71">
      <w:pPr>
        <w:pStyle w:val="Heading3"/>
        <w:rPr>
          <w:lang w:eastAsia="en-GB"/>
        </w:rPr>
      </w:pPr>
      <w:bookmarkStart w:id="866" w:name="_Toc440982020"/>
      <w:r w:rsidRPr="00CE0885">
        <w:rPr>
          <w:lang w:eastAsia="en-GB"/>
        </w:rPr>
        <w:t>If a contractor wishes to terminate its obligation to provide out of hours services, it must provide the Commissioner with an out of hours opt-out notice specifying the date from which the contractor would like the opt out to take effect, which must be either three or six months after the date of service of the out of hours opt-out notice.</w:t>
      </w:r>
      <w:bookmarkEnd w:id="866"/>
    </w:p>
    <w:p w14:paraId="379ECF43" w14:textId="77777777" w:rsidR="00977693" w:rsidRPr="00CE0885" w:rsidRDefault="00977693" w:rsidP="00E47A71">
      <w:pPr>
        <w:pStyle w:val="Heading3"/>
        <w:rPr>
          <w:lang w:eastAsia="en-GB"/>
        </w:rPr>
      </w:pPr>
      <w:bookmarkStart w:id="867" w:name="_Toc440982021"/>
      <w:r w:rsidRPr="00CE0885">
        <w:rPr>
          <w:lang w:eastAsia="en-GB"/>
        </w:rPr>
        <w:t>As soon as is reasonably practicable and in any event within 28 days of receiving the out of hours opt-out notice, the Commissioner shall approve the notice and confirm the date on which the out of hours opt out is to commence. The Commissioner cannot reject an out of hours opt-out notice.</w:t>
      </w:r>
      <w:bookmarkEnd w:id="867"/>
    </w:p>
    <w:p w14:paraId="62821527" w14:textId="77777777" w:rsidR="00977693" w:rsidRPr="00CE0885" w:rsidRDefault="00977693" w:rsidP="00E47A71">
      <w:pPr>
        <w:pStyle w:val="Heading3"/>
        <w:rPr>
          <w:spacing w:val="-10"/>
          <w:lang w:eastAsia="en-GB"/>
        </w:rPr>
      </w:pPr>
      <w:bookmarkStart w:id="868" w:name="_Toc440982022"/>
      <w:r w:rsidRPr="00CE0885">
        <w:rPr>
          <w:lang w:eastAsia="en-GB"/>
        </w:rPr>
        <w:t>If, after the Commissioner approves an out of hours opt-out notice, the contractor wishes to withdraw the notice, it can only do so if the Commissioner agrees. This is because after approving the opt-out, the Commissioner may have made arrangements for the contractor's registered patients to receive the out of hours service from an alternative provider.</w:t>
      </w:r>
      <w:bookmarkEnd w:id="868"/>
    </w:p>
    <w:p w14:paraId="337274E0" w14:textId="77777777" w:rsidR="00977693" w:rsidRPr="00CE0885" w:rsidRDefault="00977693" w:rsidP="00E47A71">
      <w:pPr>
        <w:pStyle w:val="Heading3"/>
        <w:rPr>
          <w:lang w:eastAsia="en-GB"/>
        </w:rPr>
      </w:pPr>
      <w:bookmarkStart w:id="869" w:name="_Toc440982023"/>
      <w:r w:rsidRPr="00CE0885">
        <w:rPr>
          <w:lang w:eastAsia="en-GB"/>
        </w:rPr>
        <w:t xml:space="preserve">If the Commissioner cannot find an alternative provider, paragraphs </w:t>
      </w:r>
      <w:r w:rsidRPr="00CE0885">
        <w:rPr>
          <w:lang w:eastAsia="en-GB"/>
        </w:rPr>
        <w:fldChar w:fldCharType="begin"/>
      </w:r>
      <w:r w:rsidRPr="00CE0885">
        <w:rPr>
          <w:lang w:eastAsia="en-GB"/>
        </w:rPr>
        <w:instrText xml:space="preserve"> REF _Ref410639529 \r \h  \* MERGEFORMAT </w:instrText>
      </w:r>
      <w:r w:rsidRPr="00CE0885">
        <w:rPr>
          <w:lang w:eastAsia="en-GB"/>
        </w:rPr>
      </w:r>
      <w:r w:rsidRPr="00CE0885">
        <w:rPr>
          <w:lang w:eastAsia="en-GB"/>
        </w:rPr>
        <w:fldChar w:fldCharType="separate"/>
      </w:r>
      <w:r w:rsidR="00622FF2">
        <w:rPr>
          <w:lang w:eastAsia="en-GB"/>
        </w:rPr>
        <w:t>7.16.14</w:t>
      </w:r>
      <w:r w:rsidRPr="00CE0885">
        <w:rPr>
          <w:lang w:eastAsia="en-GB"/>
        </w:rPr>
        <w:fldChar w:fldCharType="end"/>
      </w:r>
      <w:r w:rsidRPr="00CE0885">
        <w:rPr>
          <w:lang w:eastAsia="en-GB"/>
        </w:rPr>
        <w:t xml:space="preserve"> to </w:t>
      </w:r>
      <w:r w:rsidRPr="00CE0885">
        <w:rPr>
          <w:lang w:eastAsia="en-GB"/>
        </w:rPr>
        <w:fldChar w:fldCharType="begin"/>
      </w:r>
      <w:r w:rsidRPr="00CE0885">
        <w:rPr>
          <w:lang w:eastAsia="en-GB"/>
        </w:rPr>
        <w:instrText xml:space="preserve"> REF _Ref410638613 \r \h  \* MERGEFORMAT </w:instrText>
      </w:r>
      <w:r w:rsidRPr="00CE0885">
        <w:rPr>
          <w:lang w:eastAsia="en-GB"/>
        </w:rPr>
      </w:r>
      <w:r w:rsidRPr="00CE0885">
        <w:rPr>
          <w:lang w:eastAsia="en-GB"/>
        </w:rPr>
        <w:fldChar w:fldCharType="separate"/>
      </w:r>
      <w:r w:rsidR="00622FF2">
        <w:rPr>
          <w:lang w:eastAsia="en-GB"/>
        </w:rPr>
        <w:t>7.16.17</w:t>
      </w:r>
      <w:r w:rsidRPr="00CE0885">
        <w:rPr>
          <w:lang w:eastAsia="en-GB"/>
        </w:rPr>
        <w:fldChar w:fldCharType="end"/>
      </w:r>
      <w:r w:rsidRPr="00CE0885">
        <w:rPr>
          <w:lang w:eastAsia="en-GB"/>
        </w:rPr>
        <w:t xml:space="preserve"> will apply as if the reference to an additional service was a reference to the out of hours service.</w:t>
      </w:r>
      <w:bookmarkEnd w:id="869"/>
    </w:p>
    <w:p w14:paraId="48FA8AF1" w14:textId="77777777" w:rsidR="00977693" w:rsidRPr="00CE0885" w:rsidRDefault="00977693" w:rsidP="00E47A71">
      <w:pPr>
        <w:pStyle w:val="Heading3"/>
        <w:rPr>
          <w:spacing w:val="-10"/>
          <w:lang w:eastAsia="en-GB"/>
        </w:rPr>
      </w:pPr>
      <w:bookmarkStart w:id="870" w:name="_Toc440982024"/>
      <w:r w:rsidRPr="00CE0885">
        <w:rPr>
          <w:spacing w:val="1"/>
          <w:lang w:eastAsia="en-GB"/>
        </w:rPr>
        <w:t>On</w:t>
      </w:r>
      <w:r w:rsidRPr="00CE0885">
        <w:rPr>
          <w:lang w:eastAsia="en-GB"/>
        </w:rPr>
        <w:t>ce</w:t>
      </w:r>
      <w:r w:rsidRPr="00CE0885">
        <w:rPr>
          <w:spacing w:val="-4"/>
          <w:lang w:eastAsia="en-GB"/>
        </w:rPr>
        <w:t xml:space="preserve"> </w:t>
      </w:r>
      <w:r w:rsidRPr="00CE0885">
        <w:rPr>
          <w:spacing w:val="-2"/>
          <w:lang w:eastAsia="en-GB"/>
        </w:rPr>
        <w:t>t</w:t>
      </w:r>
      <w:r w:rsidRPr="00CE0885">
        <w:rPr>
          <w:spacing w:val="1"/>
          <w:lang w:eastAsia="en-GB"/>
        </w:rPr>
        <w:t>h</w:t>
      </w:r>
      <w:r w:rsidRPr="00CE0885">
        <w:rPr>
          <w:lang w:eastAsia="en-GB"/>
        </w:rPr>
        <w:t>e</w:t>
      </w:r>
      <w:r w:rsidRPr="00CE0885">
        <w:rPr>
          <w:spacing w:val="-4"/>
          <w:lang w:eastAsia="en-GB"/>
        </w:rPr>
        <w:t xml:space="preserve"> </w:t>
      </w:r>
      <w:r w:rsidRPr="00CE0885">
        <w:rPr>
          <w:spacing w:val="1"/>
          <w:lang w:eastAsia="en-GB"/>
        </w:rPr>
        <w:t>te</w:t>
      </w:r>
      <w:r w:rsidRPr="00CE0885">
        <w:rPr>
          <w:spacing w:val="-1"/>
          <w:lang w:eastAsia="en-GB"/>
        </w:rPr>
        <w:t>r</w:t>
      </w:r>
      <w:r w:rsidRPr="00CE0885">
        <w:rPr>
          <w:spacing w:val="2"/>
          <w:lang w:eastAsia="en-GB"/>
        </w:rPr>
        <w:t>m</w:t>
      </w:r>
      <w:r w:rsidRPr="00CE0885">
        <w:rPr>
          <w:lang w:eastAsia="en-GB"/>
        </w:rPr>
        <w:t>s</w:t>
      </w:r>
      <w:r w:rsidRPr="00CE0885">
        <w:rPr>
          <w:spacing w:val="-8"/>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1"/>
          <w:lang w:eastAsia="en-GB"/>
        </w:rPr>
        <w:t>an</w:t>
      </w:r>
      <w:r w:rsidRPr="00CE0885">
        <w:rPr>
          <w:lang w:eastAsia="en-GB"/>
        </w:rPr>
        <w:t>y</w:t>
      </w:r>
      <w:r w:rsidRPr="00CE0885">
        <w:rPr>
          <w:spacing w:val="-6"/>
          <w:lang w:eastAsia="en-GB"/>
        </w:rPr>
        <w:t xml:space="preserve"> </w:t>
      </w:r>
      <w:r w:rsidRPr="00CE0885">
        <w:rPr>
          <w:spacing w:val="1"/>
          <w:lang w:eastAsia="en-GB"/>
        </w:rPr>
        <w:t>pe</w:t>
      </w:r>
      <w:r w:rsidRPr="00CE0885">
        <w:rPr>
          <w:spacing w:val="-1"/>
          <w:lang w:eastAsia="en-GB"/>
        </w:rPr>
        <w:t>rm</w:t>
      </w:r>
      <w:r w:rsidRPr="00CE0885">
        <w:rPr>
          <w:spacing w:val="1"/>
          <w:lang w:eastAsia="en-GB"/>
        </w:rPr>
        <w:t>an</w:t>
      </w:r>
      <w:r w:rsidRPr="00CE0885">
        <w:rPr>
          <w:spacing w:val="-1"/>
          <w:lang w:eastAsia="en-GB"/>
        </w:rPr>
        <w:t>e</w:t>
      </w:r>
      <w:r w:rsidRPr="00CE0885">
        <w:rPr>
          <w:spacing w:val="1"/>
          <w:lang w:eastAsia="en-GB"/>
        </w:rPr>
        <w:t>n</w:t>
      </w:r>
      <w:r w:rsidRPr="00CE0885">
        <w:rPr>
          <w:lang w:eastAsia="en-GB"/>
        </w:rPr>
        <w:t>t</w:t>
      </w:r>
      <w:r w:rsidRPr="00CE0885">
        <w:rPr>
          <w:spacing w:val="-10"/>
          <w:lang w:eastAsia="en-GB"/>
        </w:rPr>
        <w:t xml:space="preserve"> </w:t>
      </w:r>
      <w:r w:rsidRPr="00CE0885">
        <w:rPr>
          <w:spacing w:val="1"/>
          <w:lang w:eastAsia="en-GB"/>
        </w:rPr>
        <w:t>o</w:t>
      </w:r>
      <w:r w:rsidRPr="00CE0885">
        <w:rPr>
          <w:lang w:eastAsia="en-GB"/>
        </w:rPr>
        <w:t>r</w:t>
      </w:r>
      <w:r w:rsidRPr="00CE0885">
        <w:rPr>
          <w:spacing w:val="-5"/>
          <w:lang w:eastAsia="en-GB"/>
        </w:rPr>
        <w:t xml:space="preserve"> </w:t>
      </w:r>
      <w:r w:rsidRPr="00CE0885">
        <w:rPr>
          <w:spacing w:val="1"/>
          <w:lang w:eastAsia="en-GB"/>
        </w:rPr>
        <w:t>t</w:t>
      </w:r>
      <w:r w:rsidRPr="00CE0885">
        <w:rPr>
          <w:spacing w:val="-1"/>
          <w:lang w:eastAsia="en-GB"/>
        </w:rPr>
        <w:t>e</w:t>
      </w:r>
      <w:r w:rsidRPr="00CE0885">
        <w:rPr>
          <w:spacing w:val="2"/>
          <w:lang w:eastAsia="en-GB"/>
        </w:rPr>
        <w:t>m</w:t>
      </w:r>
      <w:r w:rsidRPr="00CE0885">
        <w:rPr>
          <w:spacing w:val="1"/>
          <w:lang w:eastAsia="en-GB"/>
        </w:rPr>
        <w:t>po</w:t>
      </w:r>
      <w:r w:rsidRPr="00CE0885">
        <w:rPr>
          <w:spacing w:val="-3"/>
          <w:lang w:eastAsia="en-GB"/>
        </w:rPr>
        <w:t>r</w:t>
      </w:r>
      <w:r w:rsidRPr="00CE0885">
        <w:rPr>
          <w:spacing w:val="1"/>
          <w:lang w:eastAsia="en-GB"/>
        </w:rPr>
        <w:t>a</w:t>
      </w:r>
      <w:r w:rsidRPr="00CE0885">
        <w:rPr>
          <w:spacing w:val="-1"/>
          <w:lang w:eastAsia="en-GB"/>
        </w:rPr>
        <w:t>r</w:t>
      </w:r>
      <w:r w:rsidRPr="00CE0885">
        <w:rPr>
          <w:lang w:eastAsia="en-GB"/>
        </w:rPr>
        <w:t>y</w:t>
      </w:r>
      <w:r w:rsidRPr="00CE0885">
        <w:rPr>
          <w:spacing w:val="-13"/>
          <w:lang w:eastAsia="en-GB"/>
        </w:rPr>
        <w:t xml:space="preserve"> </w:t>
      </w:r>
      <w:r w:rsidRPr="00CE0885">
        <w:rPr>
          <w:spacing w:val="1"/>
          <w:lang w:eastAsia="en-GB"/>
        </w:rPr>
        <w:t>op</w:t>
      </w:r>
      <w:r w:rsidRPr="00CE0885">
        <w:rPr>
          <w:lang w:eastAsia="en-GB"/>
        </w:rPr>
        <w:t>t</w:t>
      </w:r>
      <w:r w:rsidRPr="00CE0885">
        <w:rPr>
          <w:spacing w:val="-2"/>
          <w:lang w:eastAsia="en-GB"/>
        </w:rPr>
        <w:t xml:space="preserve"> </w:t>
      </w:r>
      <w:r w:rsidRPr="00CE0885">
        <w:rPr>
          <w:spacing w:val="1"/>
          <w:lang w:eastAsia="en-GB"/>
        </w:rPr>
        <w:t>ou</w:t>
      </w:r>
      <w:r w:rsidRPr="00CE0885">
        <w:rPr>
          <w:lang w:eastAsia="en-GB"/>
        </w:rPr>
        <w:t>t</w:t>
      </w:r>
      <w:r w:rsidRPr="00CE0885">
        <w:rPr>
          <w:spacing w:val="-4"/>
          <w:lang w:eastAsia="en-GB"/>
        </w:rPr>
        <w:t xml:space="preserve"> </w:t>
      </w:r>
      <w:r w:rsidRPr="00CE0885">
        <w:rPr>
          <w:spacing w:val="1"/>
          <w:lang w:eastAsia="en-GB"/>
        </w:rPr>
        <w:t>a</w:t>
      </w:r>
      <w:r w:rsidRPr="00CE0885">
        <w:rPr>
          <w:spacing w:val="-1"/>
          <w:lang w:eastAsia="en-GB"/>
        </w:rPr>
        <w:t>r</w:t>
      </w:r>
      <w:r w:rsidRPr="00CE0885">
        <w:rPr>
          <w:lang w:eastAsia="en-GB"/>
        </w:rPr>
        <w:t xml:space="preserve">e </w:t>
      </w:r>
      <w:r w:rsidRPr="00CE0885">
        <w:rPr>
          <w:spacing w:val="1"/>
          <w:lang w:eastAsia="en-GB"/>
        </w:rPr>
        <w:t>a</w:t>
      </w:r>
      <w:r w:rsidRPr="00CE0885">
        <w:rPr>
          <w:spacing w:val="-1"/>
          <w:lang w:eastAsia="en-GB"/>
        </w:rPr>
        <w:t>gr</w:t>
      </w:r>
      <w:r w:rsidRPr="00CE0885">
        <w:rPr>
          <w:spacing w:val="1"/>
          <w:lang w:eastAsia="en-GB"/>
        </w:rPr>
        <w:t>ee</w:t>
      </w:r>
      <w:r w:rsidRPr="00CE0885">
        <w:rPr>
          <w:lang w:eastAsia="en-GB"/>
        </w:rPr>
        <w:t>d</w:t>
      </w:r>
      <w:r w:rsidRPr="00CE0885">
        <w:rPr>
          <w:spacing w:val="-5"/>
          <w:lang w:eastAsia="en-GB"/>
        </w:rPr>
        <w:t xml:space="preserve">, </w:t>
      </w:r>
      <w:r w:rsidRPr="00CE0885">
        <w:rPr>
          <w:lang w:eastAsia="en-GB"/>
        </w:rPr>
        <w:t xml:space="preserve">a </w:t>
      </w:r>
      <w:r w:rsidRPr="00CE0885">
        <w:rPr>
          <w:spacing w:val="-2"/>
          <w:lang w:eastAsia="en-GB"/>
        </w:rPr>
        <w:t>v</w:t>
      </w:r>
      <w:r w:rsidRPr="00CE0885">
        <w:rPr>
          <w:spacing w:val="1"/>
          <w:lang w:eastAsia="en-GB"/>
        </w:rPr>
        <w:t>a</w:t>
      </w:r>
      <w:r w:rsidRPr="00CE0885">
        <w:rPr>
          <w:spacing w:val="-1"/>
          <w:lang w:eastAsia="en-GB"/>
        </w:rPr>
        <w:t>r</w:t>
      </w:r>
      <w:r w:rsidRPr="00CE0885">
        <w:rPr>
          <w:lang w:eastAsia="en-GB"/>
        </w:rPr>
        <w:t>i</w:t>
      </w:r>
      <w:r w:rsidRPr="00CE0885">
        <w:rPr>
          <w:spacing w:val="1"/>
          <w:lang w:eastAsia="en-GB"/>
        </w:rPr>
        <w:t>at</w:t>
      </w:r>
      <w:r w:rsidRPr="00CE0885">
        <w:rPr>
          <w:lang w:eastAsia="en-GB"/>
        </w:rPr>
        <w:t>i</w:t>
      </w:r>
      <w:r w:rsidRPr="00CE0885">
        <w:rPr>
          <w:spacing w:val="1"/>
          <w:lang w:eastAsia="en-GB"/>
        </w:rPr>
        <w:t>o</w:t>
      </w:r>
      <w:r w:rsidRPr="00CE0885">
        <w:rPr>
          <w:lang w:eastAsia="en-GB"/>
        </w:rPr>
        <w:t>n</w:t>
      </w:r>
      <w:r w:rsidRPr="00CE0885">
        <w:rPr>
          <w:spacing w:val="-7"/>
          <w:lang w:eastAsia="en-GB"/>
        </w:rPr>
        <w:t xml:space="preserve"> </w:t>
      </w:r>
      <w:r w:rsidRPr="00CE0885">
        <w:rPr>
          <w:spacing w:val="1"/>
          <w:lang w:eastAsia="en-GB"/>
        </w:rPr>
        <w:t>not</w:t>
      </w:r>
      <w:r w:rsidRPr="00CE0885">
        <w:rPr>
          <w:lang w:eastAsia="en-GB"/>
        </w:rPr>
        <w:t>ice</w:t>
      </w:r>
      <w:r w:rsidRPr="00CE0885">
        <w:rPr>
          <w:spacing w:val="-7"/>
          <w:lang w:eastAsia="en-GB"/>
        </w:rPr>
        <w:t xml:space="preserve"> </w:t>
      </w:r>
      <w:r w:rsidRPr="00CE0885">
        <w:rPr>
          <w:spacing w:val="-1"/>
          <w:lang w:eastAsia="en-GB"/>
        </w:rPr>
        <w:t>m</w:t>
      </w:r>
      <w:r w:rsidRPr="00CE0885">
        <w:rPr>
          <w:spacing w:val="1"/>
          <w:lang w:eastAsia="en-GB"/>
        </w:rPr>
        <w:t>u</w:t>
      </w:r>
      <w:r w:rsidRPr="00CE0885">
        <w:rPr>
          <w:lang w:eastAsia="en-GB"/>
        </w:rPr>
        <w:t>st</w:t>
      </w:r>
      <w:r w:rsidRPr="00CE0885">
        <w:rPr>
          <w:spacing w:val="-4"/>
          <w:lang w:eastAsia="en-GB"/>
        </w:rPr>
        <w:t xml:space="preserve"> </w:t>
      </w:r>
      <w:r w:rsidRPr="00CE0885">
        <w:rPr>
          <w:spacing w:val="-1"/>
          <w:lang w:eastAsia="en-GB"/>
        </w:rPr>
        <w:t>b</w:t>
      </w:r>
      <w:r w:rsidRPr="00CE0885">
        <w:rPr>
          <w:lang w:eastAsia="en-GB"/>
        </w:rPr>
        <w:t>e</w:t>
      </w:r>
      <w:r w:rsidRPr="00CE0885">
        <w:rPr>
          <w:spacing w:val="-1"/>
          <w:lang w:eastAsia="en-GB"/>
        </w:rPr>
        <w:t xml:space="preserve"> </w:t>
      </w:r>
      <w:r w:rsidRPr="00CE0885">
        <w:rPr>
          <w:lang w:eastAsia="en-GB"/>
        </w:rPr>
        <w:t>iss</w:t>
      </w:r>
      <w:r w:rsidRPr="00CE0885">
        <w:rPr>
          <w:spacing w:val="1"/>
          <w:lang w:eastAsia="en-GB"/>
        </w:rPr>
        <w:t>u</w:t>
      </w:r>
      <w:r w:rsidRPr="00CE0885">
        <w:rPr>
          <w:spacing w:val="-1"/>
          <w:lang w:eastAsia="en-GB"/>
        </w:rPr>
        <w:t>e</w:t>
      </w:r>
      <w:r w:rsidRPr="00CE0885">
        <w:rPr>
          <w:lang w:eastAsia="en-GB"/>
        </w:rPr>
        <w:t>d</w:t>
      </w:r>
      <w:r w:rsidRPr="00CE0885">
        <w:rPr>
          <w:spacing w:val="-5"/>
          <w:lang w:eastAsia="en-GB"/>
        </w:rPr>
        <w:t xml:space="preserve"> </w:t>
      </w:r>
      <w:r w:rsidRPr="00CE0885">
        <w:rPr>
          <w:lang w:eastAsia="en-GB"/>
        </w:rPr>
        <w:t xml:space="preserve">in </w:t>
      </w:r>
      <w:r w:rsidRPr="00CE0885">
        <w:rPr>
          <w:spacing w:val="1"/>
          <w:lang w:eastAsia="en-GB"/>
        </w:rPr>
        <w:t>a</w:t>
      </w:r>
      <w:r w:rsidRPr="00CE0885">
        <w:rPr>
          <w:lang w:eastAsia="en-GB"/>
        </w:rPr>
        <w:t>c</w:t>
      </w:r>
      <w:r w:rsidRPr="00CE0885">
        <w:rPr>
          <w:spacing w:val="-2"/>
          <w:lang w:eastAsia="en-GB"/>
        </w:rPr>
        <w:t>c</w:t>
      </w:r>
      <w:r w:rsidRPr="00CE0885">
        <w:rPr>
          <w:spacing w:val="1"/>
          <w:lang w:eastAsia="en-GB"/>
        </w:rPr>
        <w:t>o</w:t>
      </w:r>
      <w:r w:rsidRPr="00CE0885">
        <w:rPr>
          <w:spacing w:val="-1"/>
          <w:lang w:eastAsia="en-GB"/>
        </w:rPr>
        <w:t>r</w:t>
      </w:r>
      <w:r w:rsidRPr="00CE0885">
        <w:rPr>
          <w:spacing w:val="1"/>
          <w:lang w:eastAsia="en-GB"/>
        </w:rPr>
        <w:t>d</w:t>
      </w:r>
      <w:r w:rsidRPr="00CE0885">
        <w:rPr>
          <w:spacing w:val="-1"/>
          <w:lang w:eastAsia="en-GB"/>
        </w:rPr>
        <w:t>a</w:t>
      </w:r>
      <w:r w:rsidRPr="00CE0885">
        <w:rPr>
          <w:spacing w:val="1"/>
          <w:lang w:eastAsia="en-GB"/>
        </w:rPr>
        <w:t>n</w:t>
      </w:r>
      <w:r w:rsidRPr="00CE0885">
        <w:rPr>
          <w:lang w:eastAsia="en-GB"/>
        </w:rPr>
        <w:t>ce</w:t>
      </w:r>
      <w:r w:rsidRPr="00CE0885">
        <w:rPr>
          <w:spacing w:val="-13"/>
          <w:lang w:eastAsia="en-GB"/>
        </w:rPr>
        <w:t xml:space="preserve"> </w:t>
      </w:r>
      <w:r w:rsidRPr="00CE0885">
        <w:rPr>
          <w:spacing w:val="-3"/>
          <w:lang w:eastAsia="en-GB"/>
        </w:rPr>
        <w:t>w</w:t>
      </w:r>
      <w:r w:rsidRPr="00CE0885">
        <w:rPr>
          <w:lang w:eastAsia="en-GB"/>
        </w:rPr>
        <w:t>i</w:t>
      </w:r>
      <w:r w:rsidRPr="00CE0885">
        <w:rPr>
          <w:spacing w:val="1"/>
          <w:lang w:eastAsia="en-GB"/>
        </w:rPr>
        <w:t>t</w:t>
      </w:r>
      <w:r w:rsidRPr="00CE0885">
        <w:rPr>
          <w:lang w:eastAsia="en-GB"/>
        </w:rPr>
        <w:t>h</w:t>
      </w:r>
      <w:r w:rsidRPr="00CE0885">
        <w:rPr>
          <w:spacing w:val="-2"/>
          <w:lang w:eastAsia="en-GB"/>
        </w:rPr>
        <w:t xml:space="preserve"> </w:t>
      </w:r>
      <w:r w:rsidRPr="00CE0885">
        <w:rPr>
          <w:spacing w:val="1"/>
          <w:lang w:eastAsia="en-GB"/>
        </w:rPr>
        <w:t>th</w:t>
      </w:r>
      <w:r w:rsidRPr="00CE0885">
        <w:rPr>
          <w:lang w:eastAsia="en-GB"/>
        </w:rPr>
        <w:t xml:space="preserve">e </w:t>
      </w:r>
      <w:r w:rsidRPr="00CE0885">
        <w:rPr>
          <w:spacing w:val="1"/>
          <w:lang w:eastAsia="en-GB"/>
        </w:rPr>
        <w:t>p</w:t>
      </w:r>
      <w:r w:rsidRPr="00CE0885">
        <w:rPr>
          <w:spacing w:val="-1"/>
          <w:lang w:eastAsia="en-GB"/>
        </w:rPr>
        <w:t>r</w:t>
      </w:r>
      <w:r w:rsidRPr="00CE0885">
        <w:rPr>
          <w:lang w:eastAsia="en-GB"/>
        </w:rPr>
        <w:t>i</w:t>
      </w:r>
      <w:r w:rsidRPr="00CE0885">
        <w:rPr>
          <w:spacing w:val="1"/>
          <w:lang w:eastAsia="en-GB"/>
        </w:rPr>
        <w:t>n</w:t>
      </w:r>
      <w:r w:rsidRPr="00CE0885">
        <w:rPr>
          <w:lang w:eastAsia="en-GB"/>
        </w:rPr>
        <w:t>ci</w:t>
      </w:r>
      <w:r w:rsidRPr="00CE0885">
        <w:rPr>
          <w:spacing w:val="1"/>
          <w:lang w:eastAsia="en-GB"/>
        </w:rPr>
        <w:t>p</w:t>
      </w:r>
      <w:r w:rsidRPr="00CE0885">
        <w:rPr>
          <w:lang w:eastAsia="en-GB"/>
        </w:rPr>
        <w:t>l</w:t>
      </w:r>
      <w:r w:rsidRPr="00CE0885">
        <w:rPr>
          <w:spacing w:val="1"/>
          <w:lang w:eastAsia="en-GB"/>
        </w:rPr>
        <w:t>e</w:t>
      </w:r>
      <w:r w:rsidRPr="00CE0885">
        <w:rPr>
          <w:lang w:eastAsia="en-GB"/>
        </w:rPr>
        <w:t>s</w:t>
      </w:r>
      <w:r w:rsidRPr="00CE0885">
        <w:rPr>
          <w:spacing w:val="-10"/>
          <w:lang w:eastAsia="en-GB"/>
        </w:rPr>
        <w:t xml:space="preserve"> </w:t>
      </w:r>
      <w:r w:rsidRPr="00CE0885">
        <w:rPr>
          <w:lang w:eastAsia="en-GB"/>
        </w:rPr>
        <w:t>l</w:t>
      </w:r>
      <w:r w:rsidRPr="00CE0885">
        <w:rPr>
          <w:spacing w:val="1"/>
          <w:lang w:eastAsia="en-GB"/>
        </w:rPr>
        <w:t>a</w:t>
      </w:r>
      <w:r w:rsidRPr="00CE0885">
        <w:rPr>
          <w:lang w:eastAsia="en-GB"/>
        </w:rPr>
        <w:t>id</w:t>
      </w:r>
      <w:r w:rsidRPr="00CE0885">
        <w:rPr>
          <w:spacing w:val="-5"/>
          <w:lang w:eastAsia="en-GB"/>
        </w:rPr>
        <w:t xml:space="preserve"> </w:t>
      </w:r>
      <w:r w:rsidRPr="00CE0885">
        <w:rPr>
          <w:spacing w:val="1"/>
          <w:lang w:eastAsia="en-GB"/>
        </w:rPr>
        <w:t>ou</w:t>
      </w:r>
      <w:r w:rsidRPr="00CE0885">
        <w:rPr>
          <w:lang w:eastAsia="en-GB"/>
        </w:rPr>
        <w:t>t</w:t>
      </w:r>
      <w:r w:rsidRPr="00CE0885">
        <w:rPr>
          <w:spacing w:val="-2"/>
          <w:lang w:eastAsia="en-GB"/>
        </w:rPr>
        <w:t xml:space="preserve"> </w:t>
      </w:r>
      <w:r w:rsidRPr="00CE0885">
        <w:rPr>
          <w:spacing w:val="-3"/>
          <w:lang w:eastAsia="en-GB"/>
        </w:rPr>
        <w:t>i</w:t>
      </w:r>
      <w:r w:rsidRPr="00CE0885">
        <w:rPr>
          <w:lang w:eastAsia="en-GB"/>
        </w:rPr>
        <w:t xml:space="preserve">n </w:t>
      </w:r>
      <w:r w:rsidRPr="00CE0885">
        <w:rPr>
          <w:spacing w:val="1"/>
          <w:lang w:eastAsia="en-GB"/>
        </w:rPr>
        <w:t>th</w:t>
      </w:r>
      <w:r w:rsidRPr="00CE0885">
        <w:rPr>
          <w:spacing w:val="-3"/>
          <w:lang w:eastAsia="en-GB"/>
        </w:rPr>
        <w:t>i</w:t>
      </w:r>
      <w:r w:rsidRPr="00CE0885">
        <w:rPr>
          <w:lang w:eastAsia="en-GB"/>
        </w:rPr>
        <w:t>s</w:t>
      </w:r>
      <w:r w:rsidRPr="00CE0885">
        <w:rPr>
          <w:spacing w:val="-4"/>
          <w:lang w:eastAsia="en-GB"/>
        </w:rPr>
        <w:t xml:space="preserve"> </w:t>
      </w:r>
      <w:r w:rsidRPr="00CE0885">
        <w:rPr>
          <w:lang w:eastAsia="en-GB"/>
        </w:rPr>
        <w:t>policy</w:t>
      </w:r>
      <w:r w:rsidRPr="00CE0885">
        <w:rPr>
          <w:spacing w:val="-8"/>
          <w:lang w:eastAsia="en-GB"/>
        </w:rPr>
        <w:t xml:space="preserve"> </w:t>
      </w:r>
      <w:r w:rsidRPr="00CE0885">
        <w:rPr>
          <w:spacing w:val="1"/>
          <w:lang w:eastAsia="en-GB"/>
        </w:rPr>
        <w:t>t</w:t>
      </w:r>
      <w:r w:rsidRPr="00CE0885">
        <w:rPr>
          <w:lang w:eastAsia="en-GB"/>
        </w:rPr>
        <w:t xml:space="preserve">o </w:t>
      </w:r>
      <w:r w:rsidRPr="00CE0885">
        <w:rPr>
          <w:spacing w:val="-1"/>
          <w:lang w:eastAsia="en-GB"/>
        </w:rPr>
        <w:t>a</w:t>
      </w:r>
      <w:r w:rsidRPr="00CE0885">
        <w:rPr>
          <w:spacing w:val="2"/>
          <w:lang w:eastAsia="en-GB"/>
        </w:rPr>
        <w:t>m</w:t>
      </w:r>
      <w:r w:rsidRPr="00CE0885">
        <w:rPr>
          <w:spacing w:val="1"/>
          <w:lang w:eastAsia="en-GB"/>
        </w:rPr>
        <w:t>e</w:t>
      </w:r>
      <w:r w:rsidRPr="00CE0885">
        <w:rPr>
          <w:spacing w:val="-1"/>
          <w:lang w:eastAsia="en-GB"/>
        </w:rPr>
        <w:t>n</w:t>
      </w:r>
      <w:r w:rsidRPr="00CE0885">
        <w:rPr>
          <w:lang w:eastAsia="en-GB"/>
        </w:rPr>
        <w:t>d</w:t>
      </w:r>
      <w:r w:rsidRPr="00CE0885">
        <w:rPr>
          <w:spacing w:val="-5"/>
          <w:lang w:eastAsia="en-GB"/>
        </w:rPr>
        <w:t xml:space="preserve"> </w:t>
      </w:r>
      <w:r w:rsidRPr="00CE0885">
        <w:rPr>
          <w:spacing w:val="-2"/>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3"/>
          <w:lang w:eastAsia="en-GB"/>
        </w:rPr>
        <w:t>r</w:t>
      </w:r>
      <w:r w:rsidRPr="00CE0885">
        <w:rPr>
          <w:spacing w:val="1"/>
          <w:lang w:eastAsia="en-GB"/>
        </w:rPr>
        <w:t>e</w:t>
      </w:r>
      <w:r w:rsidRPr="00CE0885">
        <w:rPr>
          <w:lang w:eastAsia="en-GB"/>
        </w:rPr>
        <w:t>l</w:t>
      </w:r>
      <w:r w:rsidRPr="00CE0885">
        <w:rPr>
          <w:spacing w:val="1"/>
          <w:lang w:eastAsia="en-GB"/>
        </w:rPr>
        <w:t>e</w:t>
      </w:r>
      <w:r w:rsidRPr="00CE0885">
        <w:rPr>
          <w:spacing w:val="-2"/>
          <w:lang w:eastAsia="en-GB"/>
        </w:rPr>
        <w:t>v</w:t>
      </w:r>
      <w:r w:rsidRPr="00CE0885">
        <w:rPr>
          <w:spacing w:val="1"/>
          <w:lang w:eastAsia="en-GB"/>
        </w:rPr>
        <w:t>an</w:t>
      </w:r>
      <w:r w:rsidRPr="00CE0885">
        <w:rPr>
          <w:lang w:eastAsia="en-GB"/>
        </w:rPr>
        <w:t>t s</w:t>
      </w:r>
      <w:r w:rsidRPr="00CE0885">
        <w:rPr>
          <w:spacing w:val="1"/>
          <w:lang w:eastAsia="en-GB"/>
        </w:rPr>
        <w:t>e</w:t>
      </w:r>
      <w:r w:rsidRPr="00CE0885">
        <w:rPr>
          <w:lang w:eastAsia="en-GB"/>
        </w:rPr>
        <w:t>c</w:t>
      </w:r>
      <w:r w:rsidRPr="00CE0885">
        <w:rPr>
          <w:spacing w:val="1"/>
          <w:lang w:eastAsia="en-GB"/>
        </w:rPr>
        <w:t>t</w:t>
      </w:r>
      <w:r w:rsidRPr="00CE0885">
        <w:rPr>
          <w:lang w:eastAsia="en-GB"/>
        </w:rPr>
        <w:t>i</w:t>
      </w:r>
      <w:r w:rsidRPr="00CE0885">
        <w:rPr>
          <w:spacing w:val="1"/>
          <w:lang w:eastAsia="en-GB"/>
        </w:rPr>
        <w:t>o</w:t>
      </w:r>
      <w:r w:rsidRPr="00CE0885">
        <w:rPr>
          <w:lang w:eastAsia="en-GB"/>
        </w:rPr>
        <w:t>n</w:t>
      </w:r>
      <w:r w:rsidRPr="00CE0885">
        <w:rPr>
          <w:spacing w:val="-9"/>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spacing w:val="-2"/>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2"/>
          <w:lang w:eastAsia="en-GB"/>
        </w:rPr>
        <w:t>c</w:t>
      </w:r>
      <w:r w:rsidRPr="00CE0885">
        <w:rPr>
          <w:spacing w:val="1"/>
          <w:lang w:eastAsia="en-GB"/>
        </w:rPr>
        <w:t>ont</w:t>
      </w:r>
      <w:r w:rsidRPr="00CE0885">
        <w:rPr>
          <w:spacing w:val="-1"/>
          <w:lang w:eastAsia="en-GB"/>
        </w:rPr>
        <w:t>r</w:t>
      </w:r>
      <w:r w:rsidRPr="00CE0885">
        <w:rPr>
          <w:spacing w:val="1"/>
          <w:lang w:eastAsia="en-GB"/>
        </w:rPr>
        <w:t>a</w:t>
      </w:r>
      <w:r w:rsidRPr="00CE0885">
        <w:rPr>
          <w:spacing w:val="-2"/>
          <w:lang w:eastAsia="en-GB"/>
        </w:rPr>
        <w:t>c</w:t>
      </w:r>
      <w:r w:rsidRPr="00CE0885">
        <w:rPr>
          <w:lang w:eastAsia="en-GB"/>
        </w:rPr>
        <w:t>t</w:t>
      </w:r>
      <w:r w:rsidRPr="00CE0885">
        <w:rPr>
          <w:spacing w:val="-10"/>
          <w:lang w:eastAsia="en-GB"/>
        </w:rPr>
        <w:t>.</w:t>
      </w:r>
      <w:bookmarkEnd w:id="870"/>
    </w:p>
    <w:p w14:paraId="4EB12A06" w14:textId="77777777" w:rsidR="00977693" w:rsidRPr="00CE0885" w:rsidRDefault="00977693" w:rsidP="00E47A71">
      <w:pPr>
        <w:pStyle w:val="Heading3"/>
        <w:rPr>
          <w:lang w:eastAsia="en-GB"/>
        </w:rPr>
      </w:pPr>
      <w:bookmarkStart w:id="871" w:name="_Toc440982025"/>
      <w:r w:rsidRPr="00CE0885">
        <w:rPr>
          <w:lang w:eastAsia="en-GB"/>
        </w:rPr>
        <w:t>The Commissioner should follow the same process for PMS contractors. For APMS arrangements, the Commissioner should review the contract to determine whether it contains any relevant provisions.</w:t>
      </w:r>
      <w:bookmarkEnd w:id="871"/>
      <w:r w:rsidRPr="00CE0885">
        <w:rPr>
          <w:lang w:eastAsia="en-GB"/>
        </w:rPr>
        <w:t xml:space="preserve"> </w:t>
      </w:r>
    </w:p>
    <w:p w14:paraId="7DA60649" w14:textId="77777777" w:rsidR="00977693" w:rsidRPr="00CE0885" w:rsidRDefault="00977693" w:rsidP="00977693">
      <w:pPr>
        <w:widowControl w:val="0"/>
        <w:spacing w:line="360" w:lineRule="auto"/>
        <w:ind w:left="1414"/>
        <w:jc w:val="both"/>
        <w:rPr>
          <w:rFonts w:cs="Arial"/>
          <w:bCs w:val="0"/>
          <w:szCs w:val="24"/>
          <w:lang w:eastAsia="en-GB"/>
        </w:rPr>
      </w:pPr>
    </w:p>
    <w:p w14:paraId="654C241D" w14:textId="77777777" w:rsidR="00977693" w:rsidRPr="00CE0885" w:rsidRDefault="00977693" w:rsidP="00202DD3">
      <w:pPr>
        <w:pStyle w:val="Heading2"/>
        <w:rPr>
          <w:lang w:eastAsia="en-GB"/>
        </w:rPr>
      </w:pPr>
      <w:bookmarkStart w:id="872" w:name="_Toc440982026"/>
      <w:bookmarkStart w:id="873" w:name="_Toc498495402"/>
      <w:r w:rsidRPr="00CE0885">
        <w:rPr>
          <w:lang w:eastAsia="en-GB"/>
        </w:rPr>
        <w:t>Financial Changes – Statement of Financial Entitlements</w:t>
      </w:r>
      <w:bookmarkEnd w:id="872"/>
      <w:bookmarkEnd w:id="873"/>
    </w:p>
    <w:p w14:paraId="351267A5" w14:textId="77777777" w:rsidR="00977693" w:rsidRPr="00CE0885" w:rsidRDefault="00977693" w:rsidP="00E47A71">
      <w:pPr>
        <w:pStyle w:val="Heading3"/>
        <w:rPr>
          <w:lang w:eastAsia="en-GB"/>
        </w:rPr>
      </w:pPr>
      <w:bookmarkStart w:id="874" w:name="_Toc440982027"/>
      <w:r w:rsidRPr="00CE0885">
        <w:rPr>
          <w:lang w:eastAsia="en-GB"/>
        </w:rPr>
        <w:t>The</w:t>
      </w:r>
      <w:r w:rsidRPr="00CE0885">
        <w:rPr>
          <w:spacing w:val="-4"/>
          <w:lang w:eastAsia="en-GB"/>
        </w:rPr>
        <w:t xml:space="preserve"> </w:t>
      </w:r>
      <w:r w:rsidRPr="00CE0885">
        <w:rPr>
          <w:lang w:eastAsia="en-GB"/>
        </w:rPr>
        <w:t>co</w:t>
      </w:r>
      <w:r w:rsidRPr="00CE0885">
        <w:rPr>
          <w:spacing w:val="-1"/>
          <w:lang w:eastAsia="en-GB"/>
        </w:rPr>
        <w:t>n</w:t>
      </w:r>
      <w:r w:rsidRPr="00CE0885">
        <w:rPr>
          <w:lang w:eastAsia="en-GB"/>
        </w:rPr>
        <w:t>t</w:t>
      </w:r>
      <w:r w:rsidRPr="00CE0885">
        <w:rPr>
          <w:spacing w:val="-1"/>
          <w:lang w:eastAsia="en-GB"/>
        </w:rPr>
        <w:t>r</w:t>
      </w:r>
      <w:r w:rsidRPr="00CE0885">
        <w:rPr>
          <w:lang w:eastAsia="en-GB"/>
        </w:rPr>
        <w:t>act</w:t>
      </w:r>
      <w:r w:rsidRPr="00CE0885">
        <w:rPr>
          <w:spacing w:val="-20"/>
          <w:lang w:eastAsia="en-GB"/>
        </w:rPr>
        <w:t xml:space="preserve"> </w:t>
      </w:r>
      <w:r w:rsidRPr="00CE0885">
        <w:rPr>
          <w:spacing w:val="-3"/>
          <w:lang w:eastAsia="en-GB"/>
        </w:rPr>
        <w:t>w</w:t>
      </w:r>
      <w:r w:rsidRPr="00CE0885">
        <w:rPr>
          <w:lang w:eastAsia="en-GB"/>
        </w:rPr>
        <w:t>ill</w:t>
      </w:r>
      <w:r w:rsidRPr="00CE0885">
        <w:rPr>
          <w:spacing w:val="-3"/>
          <w:lang w:eastAsia="en-GB"/>
        </w:rPr>
        <w:t xml:space="preserve"> </w:t>
      </w:r>
      <w:r w:rsidRPr="00CE0885">
        <w:rPr>
          <w:lang w:eastAsia="en-GB"/>
        </w:rPr>
        <w:t>contain</w:t>
      </w:r>
      <w:r w:rsidRPr="00CE0885">
        <w:rPr>
          <w:spacing w:val="-6"/>
          <w:lang w:eastAsia="en-GB"/>
        </w:rPr>
        <w:t xml:space="preserve"> </w:t>
      </w:r>
      <w:r w:rsidRPr="00CE0885">
        <w:rPr>
          <w:spacing w:val="-2"/>
          <w:lang w:eastAsia="en-GB"/>
        </w:rPr>
        <w:t>t</w:t>
      </w:r>
      <w:r w:rsidRPr="00CE0885">
        <w:rPr>
          <w:lang w:eastAsia="en-GB"/>
        </w:rPr>
        <w:t>he</w:t>
      </w:r>
      <w:r w:rsidRPr="00CE0885">
        <w:rPr>
          <w:spacing w:val="-1"/>
          <w:lang w:eastAsia="en-GB"/>
        </w:rPr>
        <w:t xml:space="preserve"> </w:t>
      </w:r>
      <w:r w:rsidRPr="00CE0885">
        <w:rPr>
          <w:spacing w:val="-2"/>
          <w:lang w:eastAsia="en-GB"/>
        </w:rPr>
        <w:t>t</w:t>
      </w:r>
      <w:r w:rsidRPr="00CE0885">
        <w:rPr>
          <w:spacing w:val="-1"/>
          <w:lang w:eastAsia="en-GB"/>
        </w:rPr>
        <w:t>er</w:t>
      </w:r>
      <w:r w:rsidRPr="00CE0885">
        <w:rPr>
          <w:spacing w:val="2"/>
          <w:lang w:eastAsia="en-GB"/>
        </w:rPr>
        <w:t>m</w:t>
      </w:r>
      <w:r w:rsidRPr="00CE0885">
        <w:rPr>
          <w:lang w:eastAsia="en-GB"/>
        </w:rPr>
        <w:t>s</w:t>
      </w:r>
      <w:r w:rsidRPr="00CE0885">
        <w:rPr>
          <w:spacing w:val="-6"/>
          <w:lang w:eastAsia="en-GB"/>
        </w:rPr>
        <w:t xml:space="preserve"> </w:t>
      </w:r>
      <w:r w:rsidRPr="00CE0885">
        <w:rPr>
          <w:spacing w:val="-1"/>
          <w:lang w:eastAsia="en-GB"/>
        </w:rPr>
        <w:t>o</w:t>
      </w:r>
      <w:r w:rsidRPr="00CE0885">
        <w:rPr>
          <w:lang w:eastAsia="en-GB"/>
        </w:rPr>
        <w:t>f</w:t>
      </w:r>
      <w:r w:rsidRPr="00CE0885">
        <w:rPr>
          <w:spacing w:val="-1"/>
          <w:lang w:eastAsia="en-GB"/>
        </w:rPr>
        <w:t xml:space="preserve"> </w:t>
      </w:r>
      <w:r w:rsidRPr="00CE0885">
        <w:rPr>
          <w:lang w:eastAsia="en-GB"/>
        </w:rPr>
        <w:t>any</w:t>
      </w:r>
      <w:r w:rsidRPr="00CE0885">
        <w:rPr>
          <w:spacing w:val="-6"/>
          <w:lang w:eastAsia="en-GB"/>
        </w:rPr>
        <w:t xml:space="preserve"> </w:t>
      </w:r>
      <w:r w:rsidRPr="00CE0885">
        <w:rPr>
          <w:lang w:eastAsia="en-GB"/>
        </w:rPr>
        <w:t>pa</w:t>
      </w:r>
      <w:r w:rsidRPr="00CE0885">
        <w:rPr>
          <w:spacing w:val="-2"/>
          <w:lang w:eastAsia="en-GB"/>
        </w:rPr>
        <w:t>y</w:t>
      </w:r>
      <w:r w:rsidRPr="00CE0885">
        <w:rPr>
          <w:spacing w:val="2"/>
          <w:lang w:eastAsia="en-GB"/>
        </w:rPr>
        <w:t>m</w:t>
      </w:r>
      <w:r w:rsidRPr="00CE0885">
        <w:rPr>
          <w:spacing w:val="-1"/>
          <w:lang w:eastAsia="en-GB"/>
        </w:rPr>
        <w:t>e</w:t>
      </w:r>
      <w:r w:rsidRPr="00CE0885">
        <w:rPr>
          <w:lang w:eastAsia="en-GB"/>
        </w:rPr>
        <w:t>nts</w:t>
      </w:r>
      <w:r w:rsidRPr="00CE0885">
        <w:rPr>
          <w:spacing w:val="-10"/>
          <w:lang w:eastAsia="en-GB"/>
        </w:rPr>
        <w:t xml:space="preserve"> </w:t>
      </w:r>
      <w:r w:rsidRPr="00CE0885">
        <w:rPr>
          <w:spacing w:val="-1"/>
          <w:lang w:eastAsia="en-GB"/>
        </w:rPr>
        <w:t>d</w:t>
      </w:r>
      <w:r w:rsidRPr="00CE0885">
        <w:rPr>
          <w:lang w:eastAsia="en-GB"/>
        </w:rPr>
        <w:t>ue.</w:t>
      </w:r>
      <w:r w:rsidRPr="00CE0885">
        <w:rPr>
          <w:spacing w:val="-10"/>
          <w:lang w:eastAsia="en-GB"/>
        </w:rPr>
        <w:t xml:space="preserve"> </w:t>
      </w:r>
      <w:r w:rsidRPr="00CE0885">
        <w:rPr>
          <w:lang w:eastAsia="en-GB"/>
        </w:rPr>
        <w:t>Any</w:t>
      </w:r>
      <w:r w:rsidRPr="00CE0885">
        <w:rPr>
          <w:spacing w:val="-6"/>
          <w:lang w:eastAsia="en-GB"/>
        </w:rPr>
        <w:t xml:space="preserve"> </w:t>
      </w:r>
      <w:r w:rsidRPr="00CE0885">
        <w:rPr>
          <w:lang w:eastAsia="en-GB"/>
        </w:rPr>
        <w:t>chan</w:t>
      </w:r>
      <w:r w:rsidRPr="00CE0885">
        <w:rPr>
          <w:spacing w:val="-1"/>
          <w:lang w:eastAsia="en-GB"/>
        </w:rPr>
        <w:t>g</w:t>
      </w:r>
      <w:r w:rsidRPr="00CE0885">
        <w:rPr>
          <w:lang w:eastAsia="en-GB"/>
        </w:rPr>
        <w:t>e</w:t>
      </w:r>
      <w:r w:rsidRPr="00CE0885">
        <w:rPr>
          <w:spacing w:val="-9"/>
          <w:lang w:eastAsia="en-GB"/>
        </w:rPr>
        <w:t xml:space="preserve"> </w:t>
      </w:r>
      <w:r w:rsidRPr="00CE0885">
        <w:rPr>
          <w:lang w:eastAsia="en-GB"/>
        </w:rPr>
        <w:t xml:space="preserve">to </w:t>
      </w:r>
      <w:r w:rsidRPr="00CE0885">
        <w:rPr>
          <w:spacing w:val="-2"/>
          <w:lang w:eastAsia="en-GB"/>
        </w:rPr>
        <w:t>t</w:t>
      </w:r>
      <w:r w:rsidRPr="00CE0885">
        <w:rPr>
          <w:lang w:eastAsia="en-GB"/>
        </w:rPr>
        <w:t>hose</w:t>
      </w:r>
      <w:r w:rsidRPr="00CE0885">
        <w:rPr>
          <w:spacing w:val="-7"/>
          <w:lang w:eastAsia="en-GB"/>
        </w:rPr>
        <w:t xml:space="preserve"> </w:t>
      </w:r>
      <w:r w:rsidRPr="00CE0885">
        <w:rPr>
          <w:lang w:eastAsia="en-GB"/>
        </w:rPr>
        <w:t>te</w:t>
      </w:r>
      <w:r w:rsidRPr="00CE0885">
        <w:rPr>
          <w:spacing w:val="-3"/>
          <w:lang w:eastAsia="en-GB"/>
        </w:rPr>
        <w:t>r</w:t>
      </w:r>
      <w:r w:rsidRPr="00CE0885">
        <w:rPr>
          <w:spacing w:val="2"/>
          <w:lang w:eastAsia="en-GB"/>
        </w:rPr>
        <w:t>m</w:t>
      </w:r>
      <w:r w:rsidRPr="00CE0885">
        <w:rPr>
          <w:lang w:eastAsia="en-GB"/>
        </w:rPr>
        <w:t>s</w:t>
      </w:r>
      <w:r w:rsidRPr="00CE0885">
        <w:rPr>
          <w:spacing w:val="-8"/>
          <w:lang w:eastAsia="en-GB"/>
        </w:rPr>
        <w:t xml:space="preserve"> </w:t>
      </w:r>
      <w:r w:rsidRPr="00CE0885">
        <w:rPr>
          <w:spacing w:val="-3"/>
          <w:lang w:eastAsia="en-GB"/>
        </w:rPr>
        <w:t>w</w:t>
      </w:r>
      <w:r w:rsidRPr="00CE0885">
        <w:rPr>
          <w:lang w:eastAsia="en-GB"/>
        </w:rPr>
        <w:t>i</w:t>
      </w:r>
      <w:r w:rsidRPr="00CE0885">
        <w:rPr>
          <w:spacing w:val="2"/>
          <w:lang w:eastAsia="en-GB"/>
        </w:rPr>
        <w:t>l</w:t>
      </w:r>
      <w:r w:rsidRPr="00CE0885">
        <w:rPr>
          <w:lang w:eastAsia="en-GB"/>
        </w:rPr>
        <w:t>l</w:t>
      </w:r>
      <w:r w:rsidRPr="00CE0885">
        <w:rPr>
          <w:spacing w:val="-3"/>
          <w:lang w:eastAsia="en-GB"/>
        </w:rPr>
        <w:t xml:space="preserve"> </w:t>
      </w:r>
      <w:r w:rsidRPr="00CE0885">
        <w:rPr>
          <w:spacing w:val="-1"/>
          <w:lang w:eastAsia="en-GB"/>
        </w:rPr>
        <w:t>r</w:t>
      </w:r>
      <w:r w:rsidRPr="00CE0885">
        <w:rPr>
          <w:lang w:eastAsia="en-GB"/>
        </w:rPr>
        <w:t>e</w:t>
      </w:r>
      <w:r w:rsidRPr="00CE0885">
        <w:rPr>
          <w:spacing w:val="-1"/>
          <w:lang w:eastAsia="en-GB"/>
        </w:rPr>
        <w:t>q</w:t>
      </w:r>
      <w:r w:rsidRPr="00CE0885">
        <w:rPr>
          <w:lang w:eastAsia="en-GB"/>
        </w:rPr>
        <w:t>ui</w:t>
      </w:r>
      <w:r w:rsidRPr="00CE0885">
        <w:rPr>
          <w:spacing w:val="-1"/>
          <w:lang w:eastAsia="en-GB"/>
        </w:rPr>
        <w:t>r</w:t>
      </w:r>
      <w:r w:rsidRPr="00CE0885">
        <w:rPr>
          <w:lang w:eastAsia="en-GB"/>
        </w:rPr>
        <w:t>e</w:t>
      </w:r>
      <w:r w:rsidRPr="00CE0885">
        <w:rPr>
          <w:spacing w:val="-5"/>
          <w:lang w:eastAsia="en-GB"/>
        </w:rPr>
        <w:t xml:space="preserve"> </w:t>
      </w:r>
      <w:r w:rsidRPr="00CE0885">
        <w:rPr>
          <w:lang w:eastAsia="en-GB"/>
        </w:rPr>
        <w:t>a notice</w:t>
      </w:r>
      <w:r w:rsidRPr="00CE0885">
        <w:rPr>
          <w:spacing w:val="-7"/>
          <w:lang w:eastAsia="en-GB"/>
        </w:rPr>
        <w:t xml:space="preserve"> </w:t>
      </w:r>
      <w:r w:rsidRPr="00CE0885">
        <w:rPr>
          <w:spacing w:val="-1"/>
          <w:lang w:eastAsia="en-GB"/>
        </w:rPr>
        <w:t>o</w:t>
      </w:r>
      <w:r w:rsidRPr="00CE0885">
        <w:rPr>
          <w:lang w:eastAsia="en-GB"/>
        </w:rPr>
        <w:t xml:space="preserve">f </w:t>
      </w:r>
      <w:r w:rsidRPr="00CE0885">
        <w:rPr>
          <w:spacing w:val="-2"/>
          <w:lang w:eastAsia="en-GB"/>
        </w:rPr>
        <w:t>v</w:t>
      </w:r>
      <w:r w:rsidRPr="00CE0885">
        <w:rPr>
          <w:lang w:eastAsia="en-GB"/>
        </w:rPr>
        <w:t>a</w:t>
      </w:r>
      <w:r w:rsidRPr="00CE0885">
        <w:rPr>
          <w:spacing w:val="-1"/>
          <w:lang w:eastAsia="en-GB"/>
        </w:rPr>
        <w:t>r</w:t>
      </w:r>
      <w:r w:rsidRPr="00CE0885">
        <w:rPr>
          <w:lang w:eastAsia="en-GB"/>
        </w:rPr>
        <w:t>iation</w:t>
      </w:r>
      <w:r w:rsidRPr="00CE0885">
        <w:rPr>
          <w:spacing w:val="-9"/>
          <w:lang w:eastAsia="en-GB"/>
        </w:rPr>
        <w:t xml:space="preserve"> </w:t>
      </w:r>
      <w:r w:rsidRPr="00CE0885">
        <w:rPr>
          <w:spacing w:val="-3"/>
          <w:lang w:eastAsia="en-GB"/>
        </w:rPr>
        <w:t>w</w:t>
      </w:r>
      <w:r w:rsidRPr="00CE0885">
        <w:rPr>
          <w:lang w:eastAsia="en-GB"/>
        </w:rPr>
        <w:t>hich</w:t>
      </w:r>
      <w:r w:rsidRPr="00CE0885">
        <w:rPr>
          <w:spacing w:val="-4"/>
          <w:lang w:eastAsia="en-GB"/>
        </w:rPr>
        <w:t xml:space="preserve"> </w:t>
      </w:r>
      <w:r w:rsidRPr="00CE0885">
        <w:rPr>
          <w:lang w:eastAsia="en-GB"/>
        </w:rPr>
        <w:t>should</w:t>
      </w:r>
      <w:r w:rsidRPr="00CE0885">
        <w:rPr>
          <w:spacing w:val="-8"/>
          <w:lang w:eastAsia="en-GB"/>
        </w:rPr>
        <w:t xml:space="preserve"> </w:t>
      </w:r>
      <w:r w:rsidRPr="00CE0885">
        <w:rPr>
          <w:lang w:eastAsia="en-GB"/>
        </w:rPr>
        <w:t>be</w:t>
      </w:r>
      <w:r w:rsidRPr="00CE0885">
        <w:rPr>
          <w:spacing w:val="-1"/>
          <w:lang w:eastAsia="en-GB"/>
        </w:rPr>
        <w:t xml:space="preserve"> provided no </w:t>
      </w:r>
      <w:r w:rsidRPr="00CE0885">
        <w:rPr>
          <w:spacing w:val="-3"/>
          <w:lang w:eastAsia="en-GB"/>
        </w:rPr>
        <w:t>l</w:t>
      </w:r>
      <w:r w:rsidRPr="00CE0885">
        <w:rPr>
          <w:lang w:eastAsia="en-GB"/>
        </w:rPr>
        <w:t>ess</w:t>
      </w:r>
      <w:r w:rsidRPr="00CE0885">
        <w:rPr>
          <w:spacing w:val="-4"/>
          <w:lang w:eastAsia="en-GB"/>
        </w:rPr>
        <w:t xml:space="preserve"> </w:t>
      </w:r>
      <w:r w:rsidRPr="00CE0885">
        <w:rPr>
          <w:lang w:eastAsia="en-GB"/>
        </w:rPr>
        <w:t>t</w:t>
      </w:r>
      <w:r w:rsidRPr="00CE0885">
        <w:rPr>
          <w:spacing w:val="-1"/>
          <w:lang w:eastAsia="en-GB"/>
        </w:rPr>
        <w:t>h</w:t>
      </w:r>
      <w:r w:rsidRPr="00CE0885">
        <w:rPr>
          <w:lang w:eastAsia="en-GB"/>
        </w:rPr>
        <w:t>an</w:t>
      </w:r>
      <w:r w:rsidRPr="00CE0885">
        <w:rPr>
          <w:spacing w:val="-6"/>
          <w:lang w:eastAsia="en-GB"/>
        </w:rPr>
        <w:t xml:space="preserve"> </w:t>
      </w:r>
      <w:r w:rsidRPr="00CE0885">
        <w:rPr>
          <w:lang w:eastAsia="en-GB"/>
        </w:rPr>
        <w:t>28</w:t>
      </w:r>
      <w:r w:rsidRPr="00CE0885">
        <w:rPr>
          <w:spacing w:val="-4"/>
          <w:lang w:eastAsia="en-GB"/>
        </w:rPr>
        <w:t xml:space="preserve"> </w:t>
      </w:r>
      <w:r w:rsidRPr="00CE0885">
        <w:rPr>
          <w:lang w:eastAsia="en-GB"/>
        </w:rPr>
        <w:t>d</w:t>
      </w:r>
      <w:r w:rsidRPr="00CE0885">
        <w:rPr>
          <w:spacing w:val="-1"/>
          <w:lang w:eastAsia="en-GB"/>
        </w:rPr>
        <w:t>a</w:t>
      </w:r>
      <w:r w:rsidRPr="00CE0885">
        <w:rPr>
          <w:spacing w:val="-2"/>
          <w:lang w:eastAsia="en-GB"/>
        </w:rPr>
        <w:t>y</w:t>
      </w:r>
      <w:r w:rsidRPr="00CE0885">
        <w:rPr>
          <w:lang w:eastAsia="en-GB"/>
        </w:rPr>
        <w:t>s</w:t>
      </w:r>
      <w:r w:rsidRPr="00CE0885">
        <w:rPr>
          <w:spacing w:val="-5"/>
          <w:lang w:eastAsia="en-GB"/>
        </w:rPr>
        <w:t xml:space="preserve"> </w:t>
      </w:r>
      <w:r w:rsidRPr="00CE0885">
        <w:rPr>
          <w:lang w:eastAsia="en-GB"/>
        </w:rPr>
        <w:t>befo</w:t>
      </w:r>
      <w:r w:rsidRPr="00CE0885">
        <w:rPr>
          <w:spacing w:val="-1"/>
          <w:lang w:eastAsia="en-GB"/>
        </w:rPr>
        <w:t>r</w:t>
      </w:r>
      <w:r w:rsidRPr="00CE0885">
        <w:rPr>
          <w:lang w:eastAsia="en-GB"/>
        </w:rPr>
        <w:t>e</w:t>
      </w:r>
      <w:r w:rsidRPr="00CE0885">
        <w:rPr>
          <w:spacing w:val="-5"/>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lang w:eastAsia="en-GB"/>
        </w:rPr>
        <w:t>p</w:t>
      </w:r>
      <w:r w:rsidRPr="00CE0885">
        <w:rPr>
          <w:spacing w:val="-3"/>
          <w:lang w:eastAsia="en-GB"/>
        </w:rPr>
        <w:t>r</w:t>
      </w:r>
      <w:r w:rsidRPr="00CE0885">
        <w:rPr>
          <w:lang w:eastAsia="en-GB"/>
        </w:rPr>
        <w:t>opo</w:t>
      </w:r>
      <w:r w:rsidRPr="00CE0885">
        <w:rPr>
          <w:spacing w:val="-2"/>
          <w:lang w:eastAsia="en-GB"/>
        </w:rPr>
        <w:t>s</w:t>
      </w:r>
      <w:r w:rsidRPr="00CE0885">
        <w:rPr>
          <w:lang w:eastAsia="en-GB"/>
        </w:rPr>
        <w:t>ed variation takes effect.</w:t>
      </w:r>
      <w:bookmarkEnd w:id="874"/>
    </w:p>
    <w:p w14:paraId="1E1EE921" w14:textId="77777777" w:rsidR="00977693" w:rsidRPr="00CE0885" w:rsidRDefault="00977693" w:rsidP="00E47A71">
      <w:pPr>
        <w:pStyle w:val="Heading3"/>
        <w:rPr>
          <w:lang w:eastAsia="en-GB"/>
        </w:rPr>
      </w:pPr>
      <w:bookmarkStart w:id="875" w:name="_Toc440982028"/>
      <w:r w:rsidRPr="00CE0885">
        <w:rPr>
          <w:lang w:eastAsia="en-GB"/>
        </w:rPr>
        <w:t>For</w:t>
      </w:r>
      <w:r w:rsidRPr="00CE0885">
        <w:rPr>
          <w:spacing w:val="-4"/>
          <w:lang w:eastAsia="en-GB"/>
        </w:rPr>
        <w:t xml:space="preserve"> </w:t>
      </w:r>
      <w:r w:rsidRPr="00CE0885">
        <w:rPr>
          <w:lang w:eastAsia="en-GB"/>
        </w:rPr>
        <w:t>G</w:t>
      </w:r>
      <w:r w:rsidRPr="00CE0885">
        <w:rPr>
          <w:spacing w:val="-1"/>
          <w:lang w:eastAsia="en-GB"/>
        </w:rPr>
        <w:t>M</w:t>
      </w:r>
      <w:r w:rsidRPr="00CE0885">
        <w:rPr>
          <w:lang w:eastAsia="en-GB"/>
        </w:rPr>
        <w:t>S</w:t>
      </w:r>
      <w:r w:rsidRPr="00CE0885">
        <w:rPr>
          <w:spacing w:val="-4"/>
          <w:lang w:eastAsia="en-GB"/>
        </w:rPr>
        <w:t xml:space="preserve"> </w:t>
      </w:r>
      <w:r w:rsidRPr="00CE0885">
        <w:rPr>
          <w:lang w:eastAsia="en-GB"/>
        </w:rPr>
        <w:t>co</w:t>
      </w:r>
      <w:r w:rsidRPr="00CE0885">
        <w:rPr>
          <w:spacing w:val="-1"/>
          <w:lang w:eastAsia="en-GB"/>
        </w:rPr>
        <w:t>n</w:t>
      </w:r>
      <w:r w:rsidRPr="00CE0885">
        <w:rPr>
          <w:lang w:eastAsia="en-GB"/>
        </w:rPr>
        <w:t>t</w:t>
      </w:r>
      <w:r w:rsidRPr="00CE0885">
        <w:rPr>
          <w:spacing w:val="-1"/>
          <w:lang w:eastAsia="en-GB"/>
        </w:rPr>
        <w:t>r</w:t>
      </w:r>
      <w:r w:rsidRPr="00CE0885">
        <w:rPr>
          <w:lang w:eastAsia="en-GB"/>
        </w:rPr>
        <w:t>acts,</w:t>
      </w:r>
      <w:r w:rsidRPr="00CE0885">
        <w:rPr>
          <w:spacing w:val="-11"/>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4"/>
          <w:lang w:eastAsia="en-GB"/>
        </w:rPr>
        <w:t xml:space="preserve"> </w:t>
      </w:r>
      <w:r w:rsidRPr="00CE0885">
        <w:rPr>
          <w:spacing w:val="3"/>
          <w:lang w:eastAsia="en-GB"/>
        </w:rPr>
        <w:t>f</w:t>
      </w:r>
      <w:r w:rsidRPr="00CE0885">
        <w:rPr>
          <w:lang w:eastAsia="en-GB"/>
        </w:rPr>
        <w:t>in</w:t>
      </w:r>
      <w:r w:rsidRPr="00CE0885">
        <w:rPr>
          <w:spacing w:val="-1"/>
          <w:lang w:eastAsia="en-GB"/>
        </w:rPr>
        <w:t>a</w:t>
      </w:r>
      <w:r w:rsidRPr="00CE0885">
        <w:rPr>
          <w:lang w:eastAsia="en-GB"/>
        </w:rPr>
        <w:t>ncial</w:t>
      </w:r>
      <w:r w:rsidRPr="00CE0885">
        <w:rPr>
          <w:spacing w:val="-9"/>
          <w:lang w:eastAsia="en-GB"/>
        </w:rPr>
        <w:t xml:space="preserve"> </w:t>
      </w:r>
      <w:r w:rsidRPr="00CE0885">
        <w:rPr>
          <w:lang w:eastAsia="en-GB"/>
        </w:rPr>
        <w:t>te</w:t>
      </w:r>
      <w:r w:rsidRPr="00CE0885">
        <w:rPr>
          <w:spacing w:val="-3"/>
          <w:lang w:eastAsia="en-GB"/>
        </w:rPr>
        <w:t>r</w:t>
      </w:r>
      <w:r w:rsidRPr="00CE0885">
        <w:rPr>
          <w:spacing w:val="2"/>
          <w:lang w:eastAsia="en-GB"/>
        </w:rPr>
        <w:t>m</w:t>
      </w:r>
      <w:r w:rsidRPr="00CE0885">
        <w:rPr>
          <w:lang w:eastAsia="en-GB"/>
        </w:rPr>
        <w:t>s</w:t>
      </w:r>
      <w:r w:rsidRPr="00CE0885">
        <w:rPr>
          <w:spacing w:val="-8"/>
          <w:lang w:eastAsia="en-GB"/>
        </w:rPr>
        <w:t xml:space="preserve"> </w:t>
      </w:r>
      <w:r w:rsidRPr="00CE0885">
        <w:rPr>
          <w:spacing w:val="2"/>
          <w:lang w:eastAsia="en-GB"/>
        </w:rPr>
        <w:t>m</w:t>
      </w:r>
      <w:r w:rsidRPr="00CE0885">
        <w:rPr>
          <w:lang w:eastAsia="en-GB"/>
        </w:rPr>
        <w:t>ust</w:t>
      </w:r>
      <w:r w:rsidRPr="00CE0885">
        <w:rPr>
          <w:spacing w:val="-9"/>
          <w:lang w:eastAsia="en-GB"/>
        </w:rPr>
        <w:t xml:space="preserve"> </w:t>
      </w:r>
      <w:r w:rsidRPr="00CE0885">
        <w:rPr>
          <w:spacing w:val="-1"/>
          <w:lang w:eastAsia="en-GB"/>
        </w:rPr>
        <w:t>r</w:t>
      </w:r>
      <w:r w:rsidRPr="00CE0885">
        <w:rPr>
          <w:lang w:eastAsia="en-GB"/>
        </w:rPr>
        <w:t>e</w:t>
      </w:r>
      <w:r w:rsidRPr="00CE0885">
        <w:rPr>
          <w:spacing w:val="3"/>
          <w:lang w:eastAsia="en-GB"/>
        </w:rPr>
        <w:t>f</w:t>
      </w:r>
      <w:r w:rsidRPr="00CE0885">
        <w:rPr>
          <w:lang w:eastAsia="en-GB"/>
        </w:rPr>
        <w:t>le</w:t>
      </w:r>
      <w:r w:rsidRPr="00CE0885">
        <w:rPr>
          <w:spacing w:val="-2"/>
          <w:lang w:eastAsia="en-GB"/>
        </w:rPr>
        <w:t>c</w:t>
      </w:r>
      <w:r w:rsidRPr="00CE0885">
        <w:rPr>
          <w:lang w:eastAsia="en-GB"/>
        </w:rPr>
        <w:t>t</w:t>
      </w:r>
      <w:r w:rsidRPr="00CE0885">
        <w:rPr>
          <w:spacing w:val="-6"/>
          <w:lang w:eastAsia="en-GB"/>
        </w:rPr>
        <w:t xml:space="preserve"> </w:t>
      </w:r>
      <w:r w:rsidRPr="00CE0885">
        <w:rPr>
          <w:lang w:eastAsia="en-GB"/>
        </w:rPr>
        <w:t>t</w:t>
      </w:r>
      <w:r w:rsidRPr="00CE0885">
        <w:rPr>
          <w:spacing w:val="-1"/>
          <w:lang w:eastAsia="en-GB"/>
        </w:rPr>
        <w:t>h</w:t>
      </w:r>
      <w:r w:rsidRPr="00CE0885">
        <w:rPr>
          <w:lang w:eastAsia="en-GB"/>
        </w:rPr>
        <w:t>ose</w:t>
      </w:r>
      <w:r w:rsidRPr="00CE0885">
        <w:rPr>
          <w:spacing w:val="-4"/>
          <w:lang w:eastAsia="en-GB"/>
        </w:rPr>
        <w:t xml:space="preserve"> </w:t>
      </w:r>
      <w:r w:rsidRPr="00CE0885">
        <w:rPr>
          <w:spacing w:val="-2"/>
          <w:lang w:eastAsia="en-GB"/>
        </w:rPr>
        <w:t>s</w:t>
      </w:r>
      <w:r w:rsidRPr="00CE0885">
        <w:rPr>
          <w:lang w:eastAsia="en-GB"/>
        </w:rPr>
        <w:t>et</w:t>
      </w:r>
      <w:r w:rsidRPr="00CE0885">
        <w:rPr>
          <w:spacing w:val="-4"/>
          <w:lang w:eastAsia="en-GB"/>
        </w:rPr>
        <w:t xml:space="preserve"> </w:t>
      </w:r>
      <w:r w:rsidRPr="00CE0885">
        <w:rPr>
          <w:lang w:eastAsia="en-GB"/>
        </w:rPr>
        <w:t>out</w:t>
      </w:r>
      <w:r w:rsidRPr="00CE0885">
        <w:rPr>
          <w:spacing w:val="-2"/>
          <w:lang w:eastAsia="en-GB"/>
        </w:rPr>
        <w:t xml:space="preserve"> </w:t>
      </w:r>
      <w:r w:rsidRPr="00CE0885">
        <w:rPr>
          <w:spacing w:val="-3"/>
          <w:lang w:eastAsia="en-GB"/>
        </w:rPr>
        <w:t>i</w:t>
      </w:r>
      <w:r w:rsidRPr="00CE0885">
        <w:rPr>
          <w:lang w:eastAsia="en-GB"/>
        </w:rPr>
        <w:t>n the</w:t>
      </w:r>
      <w:r w:rsidRPr="00CE0885">
        <w:rPr>
          <w:spacing w:val="-1"/>
          <w:lang w:eastAsia="en-GB"/>
        </w:rPr>
        <w:t xml:space="preserve"> </w:t>
      </w:r>
      <w:r w:rsidRPr="00CE0885">
        <w:rPr>
          <w:spacing w:val="-2"/>
          <w:lang w:eastAsia="en-GB"/>
        </w:rPr>
        <w:t>GMS SFE</w:t>
      </w:r>
      <w:r w:rsidRPr="00CE0885">
        <w:rPr>
          <w:lang w:eastAsia="en-GB"/>
        </w:rPr>
        <w:t>.</w:t>
      </w:r>
      <w:r w:rsidRPr="00CE0885">
        <w:rPr>
          <w:spacing w:val="-13"/>
          <w:lang w:eastAsia="en-GB"/>
        </w:rPr>
        <w:t xml:space="preserve"> </w:t>
      </w:r>
      <w:r w:rsidRPr="00CE0885">
        <w:rPr>
          <w:lang w:eastAsia="en-GB"/>
        </w:rPr>
        <w:t>The</w:t>
      </w:r>
      <w:r w:rsidRPr="00CE0885">
        <w:rPr>
          <w:spacing w:val="-1"/>
          <w:lang w:eastAsia="en-GB"/>
        </w:rPr>
        <w:t>r</w:t>
      </w:r>
      <w:r w:rsidRPr="00CE0885">
        <w:rPr>
          <w:lang w:eastAsia="en-GB"/>
        </w:rPr>
        <w:t>e</w:t>
      </w:r>
      <w:r w:rsidRPr="00CE0885">
        <w:rPr>
          <w:spacing w:val="-3"/>
          <w:lang w:eastAsia="en-GB"/>
        </w:rPr>
        <w:t xml:space="preserve"> </w:t>
      </w:r>
      <w:r w:rsidRPr="00CE0885">
        <w:rPr>
          <w:lang w:eastAsia="en-GB"/>
        </w:rPr>
        <w:t>is</w:t>
      </w:r>
      <w:r w:rsidRPr="00CE0885">
        <w:rPr>
          <w:spacing w:val="-4"/>
          <w:lang w:eastAsia="en-GB"/>
        </w:rPr>
        <w:t xml:space="preserve"> </w:t>
      </w:r>
      <w:r w:rsidRPr="00CE0885">
        <w:rPr>
          <w:lang w:eastAsia="en-GB"/>
        </w:rPr>
        <w:t>no</w:t>
      </w:r>
      <w:r w:rsidRPr="00CE0885">
        <w:rPr>
          <w:spacing w:val="-1"/>
          <w:lang w:eastAsia="en-GB"/>
        </w:rPr>
        <w:t xml:space="preserve"> </w:t>
      </w:r>
      <w:r w:rsidRPr="00CE0885">
        <w:rPr>
          <w:lang w:eastAsia="en-GB"/>
        </w:rPr>
        <w:t>su</w:t>
      </w:r>
      <w:r w:rsidRPr="00CE0885">
        <w:rPr>
          <w:spacing w:val="-2"/>
          <w:lang w:eastAsia="en-GB"/>
        </w:rPr>
        <w:t>c</w:t>
      </w:r>
      <w:r w:rsidRPr="00CE0885">
        <w:rPr>
          <w:lang w:eastAsia="en-GB"/>
        </w:rPr>
        <w:t xml:space="preserve">h </w:t>
      </w:r>
      <w:r w:rsidRPr="00CE0885">
        <w:rPr>
          <w:spacing w:val="-1"/>
          <w:lang w:eastAsia="en-GB"/>
        </w:rPr>
        <w:t>r</w:t>
      </w:r>
      <w:r w:rsidRPr="00CE0885">
        <w:rPr>
          <w:lang w:eastAsia="en-GB"/>
        </w:rPr>
        <w:t>e</w:t>
      </w:r>
      <w:r w:rsidRPr="00CE0885">
        <w:rPr>
          <w:spacing w:val="-1"/>
          <w:lang w:eastAsia="en-GB"/>
        </w:rPr>
        <w:t>q</w:t>
      </w:r>
      <w:r w:rsidRPr="00CE0885">
        <w:rPr>
          <w:lang w:eastAsia="en-GB"/>
        </w:rPr>
        <w:t>ui</w:t>
      </w:r>
      <w:r w:rsidRPr="00CE0885">
        <w:rPr>
          <w:spacing w:val="-1"/>
          <w:lang w:eastAsia="en-GB"/>
        </w:rPr>
        <w:t>r</w:t>
      </w:r>
      <w:r w:rsidRPr="00CE0885">
        <w:rPr>
          <w:lang w:eastAsia="en-GB"/>
        </w:rPr>
        <w:t>e</w:t>
      </w:r>
      <w:r w:rsidRPr="00CE0885">
        <w:rPr>
          <w:spacing w:val="2"/>
          <w:lang w:eastAsia="en-GB"/>
        </w:rPr>
        <w:t>m</w:t>
      </w:r>
      <w:r w:rsidRPr="00CE0885">
        <w:rPr>
          <w:lang w:eastAsia="en-GB"/>
        </w:rPr>
        <w:t>ent</w:t>
      </w:r>
      <w:r w:rsidRPr="00CE0885">
        <w:rPr>
          <w:spacing w:val="-14"/>
          <w:lang w:eastAsia="en-GB"/>
        </w:rPr>
        <w:t xml:space="preserve"> </w:t>
      </w:r>
      <w:r w:rsidRPr="00CE0885">
        <w:rPr>
          <w:lang w:eastAsia="en-GB"/>
        </w:rPr>
        <w:t>u</w:t>
      </w:r>
      <w:r w:rsidRPr="00CE0885">
        <w:rPr>
          <w:spacing w:val="-1"/>
          <w:lang w:eastAsia="en-GB"/>
        </w:rPr>
        <w:t>n</w:t>
      </w:r>
      <w:r w:rsidRPr="00CE0885">
        <w:rPr>
          <w:lang w:eastAsia="en-GB"/>
        </w:rPr>
        <w:t>der</w:t>
      </w:r>
      <w:r w:rsidRPr="00CE0885">
        <w:rPr>
          <w:spacing w:val="-6"/>
          <w:lang w:eastAsia="en-GB"/>
        </w:rPr>
        <w:t xml:space="preserve"> </w:t>
      </w:r>
      <w:r w:rsidRPr="00CE0885">
        <w:rPr>
          <w:lang w:eastAsia="en-GB"/>
        </w:rPr>
        <w:t>P</w:t>
      </w:r>
      <w:r w:rsidRPr="00CE0885">
        <w:rPr>
          <w:spacing w:val="-3"/>
          <w:lang w:eastAsia="en-GB"/>
        </w:rPr>
        <w:t>M</w:t>
      </w:r>
      <w:r w:rsidRPr="00CE0885">
        <w:rPr>
          <w:lang w:eastAsia="en-GB"/>
        </w:rPr>
        <w:t>S</w:t>
      </w:r>
      <w:r w:rsidRPr="00CE0885">
        <w:rPr>
          <w:spacing w:val="-4"/>
          <w:lang w:eastAsia="en-GB"/>
        </w:rPr>
        <w:t xml:space="preserve"> </w:t>
      </w:r>
      <w:r w:rsidRPr="00CE0885">
        <w:rPr>
          <w:lang w:eastAsia="en-GB"/>
        </w:rPr>
        <w:t>or</w:t>
      </w:r>
      <w:r w:rsidRPr="00CE0885">
        <w:rPr>
          <w:spacing w:val="-2"/>
          <w:lang w:eastAsia="en-GB"/>
        </w:rPr>
        <w:t xml:space="preserve"> </w:t>
      </w:r>
      <w:r w:rsidRPr="00CE0885">
        <w:rPr>
          <w:lang w:eastAsia="en-GB"/>
        </w:rPr>
        <w:t>AP</w:t>
      </w:r>
      <w:r w:rsidRPr="00CE0885">
        <w:rPr>
          <w:spacing w:val="-1"/>
          <w:lang w:eastAsia="en-GB"/>
        </w:rPr>
        <w:t>M</w:t>
      </w:r>
      <w:r w:rsidRPr="00CE0885">
        <w:rPr>
          <w:lang w:eastAsia="en-GB"/>
        </w:rPr>
        <w:t>S</w:t>
      </w:r>
      <w:r w:rsidRPr="00CE0885">
        <w:rPr>
          <w:spacing w:val="-8"/>
          <w:lang w:eastAsia="en-GB"/>
        </w:rPr>
        <w:t xml:space="preserve"> </w:t>
      </w:r>
      <w:r w:rsidRPr="00CE0885">
        <w:rPr>
          <w:lang w:eastAsia="en-GB"/>
        </w:rPr>
        <w:t>contracts which ha</w:t>
      </w:r>
      <w:r w:rsidRPr="00CE0885">
        <w:rPr>
          <w:spacing w:val="-2"/>
          <w:lang w:eastAsia="en-GB"/>
        </w:rPr>
        <w:t>v</w:t>
      </w:r>
      <w:r w:rsidRPr="00CE0885">
        <w:rPr>
          <w:lang w:eastAsia="en-GB"/>
        </w:rPr>
        <w:t>e</w:t>
      </w:r>
      <w:r w:rsidRPr="00CE0885">
        <w:rPr>
          <w:spacing w:val="-3"/>
          <w:lang w:eastAsia="en-GB"/>
        </w:rPr>
        <w:t xml:space="preserve"> </w:t>
      </w:r>
      <w:r w:rsidRPr="00CE0885">
        <w:rPr>
          <w:lang w:eastAsia="en-GB"/>
        </w:rPr>
        <w:t>be</w:t>
      </w:r>
      <w:r w:rsidRPr="00CE0885">
        <w:rPr>
          <w:spacing w:val="-1"/>
          <w:lang w:eastAsia="en-GB"/>
        </w:rPr>
        <w:t>e</w:t>
      </w:r>
      <w:r w:rsidRPr="00CE0885">
        <w:rPr>
          <w:lang w:eastAsia="en-GB"/>
        </w:rPr>
        <w:t>n locally</w:t>
      </w:r>
      <w:r w:rsidRPr="00CE0885">
        <w:rPr>
          <w:spacing w:val="-9"/>
          <w:lang w:eastAsia="en-GB"/>
        </w:rPr>
        <w:t xml:space="preserve"> </w:t>
      </w:r>
      <w:r w:rsidRPr="00CE0885">
        <w:rPr>
          <w:lang w:eastAsia="en-GB"/>
        </w:rPr>
        <w:t>a</w:t>
      </w:r>
      <w:r w:rsidRPr="00CE0885">
        <w:rPr>
          <w:spacing w:val="-1"/>
          <w:lang w:eastAsia="en-GB"/>
        </w:rPr>
        <w:t>gr</w:t>
      </w:r>
      <w:r w:rsidRPr="00CE0885">
        <w:rPr>
          <w:lang w:eastAsia="en-GB"/>
        </w:rPr>
        <w:t xml:space="preserve">eed. </w:t>
      </w:r>
      <w:r w:rsidRPr="00CE0885">
        <w:rPr>
          <w:spacing w:val="-5"/>
          <w:lang w:eastAsia="en-GB"/>
        </w:rPr>
        <w:t xml:space="preserve"> </w:t>
      </w:r>
      <w:r w:rsidRPr="00CE0885">
        <w:rPr>
          <w:lang w:eastAsia="en-GB"/>
        </w:rPr>
        <w:t>Any</w:t>
      </w:r>
      <w:r w:rsidRPr="00CE0885">
        <w:rPr>
          <w:spacing w:val="-6"/>
          <w:lang w:eastAsia="en-GB"/>
        </w:rPr>
        <w:t xml:space="preserve"> </w:t>
      </w:r>
      <w:r w:rsidRPr="00CE0885">
        <w:rPr>
          <w:lang w:eastAsia="en-GB"/>
        </w:rPr>
        <w:t>chan</w:t>
      </w:r>
      <w:r w:rsidRPr="00CE0885">
        <w:rPr>
          <w:spacing w:val="-1"/>
          <w:lang w:eastAsia="en-GB"/>
        </w:rPr>
        <w:t>g</w:t>
      </w:r>
      <w:r w:rsidRPr="00CE0885">
        <w:rPr>
          <w:lang w:eastAsia="en-GB"/>
        </w:rPr>
        <w:t>es</w:t>
      </w:r>
      <w:r w:rsidRPr="00CE0885">
        <w:rPr>
          <w:spacing w:val="-11"/>
          <w:lang w:eastAsia="en-GB"/>
        </w:rPr>
        <w:t xml:space="preserve"> </w:t>
      </w:r>
      <w:r w:rsidRPr="00CE0885">
        <w:rPr>
          <w:lang w:eastAsia="en-GB"/>
        </w:rPr>
        <w:t>u</w:t>
      </w:r>
      <w:r w:rsidRPr="00CE0885">
        <w:rPr>
          <w:spacing w:val="-1"/>
          <w:lang w:eastAsia="en-GB"/>
        </w:rPr>
        <w:t>n</w:t>
      </w:r>
      <w:r w:rsidRPr="00CE0885">
        <w:rPr>
          <w:lang w:eastAsia="en-GB"/>
        </w:rPr>
        <w:t>der</w:t>
      </w:r>
      <w:r w:rsidRPr="00CE0885">
        <w:rPr>
          <w:spacing w:val="-6"/>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GMS </w:t>
      </w:r>
      <w:r w:rsidRPr="00CE0885">
        <w:rPr>
          <w:lang w:eastAsia="en-GB"/>
        </w:rPr>
        <w:t>SFE</w:t>
      </w:r>
      <w:r w:rsidRPr="00CE0885">
        <w:rPr>
          <w:spacing w:val="-6"/>
          <w:lang w:eastAsia="en-GB"/>
        </w:rPr>
        <w:t xml:space="preserve"> </w:t>
      </w:r>
      <w:r w:rsidRPr="00CE0885">
        <w:rPr>
          <w:lang w:eastAsia="en-GB"/>
        </w:rPr>
        <w:t>sh</w:t>
      </w:r>
      <w:r w:rsidRPr="00CE0885">
        <w:rPr>
          <w:spacing w:val="-1"/>
          <w:lang w:eastAsia="en-GB"/>
        </w:rPr>
        <w:t>o</w:t>
      </w:r>
      <w:r w:rsidRPr="00CE0885">
        <w:rPr>
          <w:lang w:eastAsia="en-GB"/>
        </w:rPr>
        <w:t>uld</w:t>
      </w:r>
      <w:r w:rsidRPr="00CE0885">
        <w:rPr>
          <w:spacing w:val="-5"/>
          <w:lang w:eastAsia="en-GB"/>
        </w:rPr>
        <w:t xml:space="preserve"> </w:t>
      </w:r>
      <w:r w:rsidRPr="00CE0885">
        <w:rPr>
          <w:spacing w:val="-1"/>
          <w:lang w:eastAsia="en-GB"/>
        </w:rPr>
        <w:t>b</w:t>
      </w:r>
      <w:r w:rsidRPr="00CE0885">
        <w:rPr>
          <w:lang w:eastAsia="en-GB"/>
        </w:rPr>
        <w:t xml:space="preserve">e </w:t>
      </w:r>
      <w:r w:rsidRPr="00CE0885">
        <w:rPr>
          <w:spacing w:val="-1"/>
          <w:lang w:eastAsia="en-GB"/>
        </w:rPr>
        <w:t>r</w:t>
      </w:r>
      <w:r w:rsidRPr="00CE0885">
        <w:rPr>
          <w:lang w:eastAsia="en-GB"/>
        </w:rPr>
        <w:t>e</w:t>
      </w:r>
      <w:r w:rsidRPr="00CE0885">
        <w:rPr>
          <w:spacing w:val="-2"/>
          <w:lang w:eastAsia="en-GB"/>
        </w:rPr>
        <w:t>v</w:t>
      </w:r>
      <w:r w:rsidRPr="00CE0885">
        <w:rPr>
          <w:lang w:eastAsia="en-GB"/>
        </w:rPr>
        <w:t>i</w:t>
      </w:r>
      <w:r w:rsidRPr="00CE0885">
        <w:rPr>
          <w:spacing w:val="3"/>
          <w:lang w:eastAsia="en-GB"/>
        </w:rPr>
        <w:t>e</w:t>
      </w:r>
      <w:r w:rsidRPr="00CE0885">
        <w:rPr>
          <w:spacing w:val="-3"/>
          <w:lang w:eastAsia="en-GB"/>
        </w:rPr>
        <w:t>w</w:t>
      </w:r>
      <w:r w:rsidRPr="00CE0885">
        <w:rPr>
          <w:lang w:eastAsia="en-GB"/>
        </w:rPr>
        <w:t>ed</w:t>
      </w:r>
      <w:r w:rsidRPr="00CE0885">
        <w:rPr>
          <w:spacing w:val="-8"/>
          <w:lang w:eastAsia="en-GB"/>
        </w:rPr>
        <w:t xml:space="preserve"> </w:t>
      </w:r>
      <w:r w:rsidRPr="00CE0885">
        <w:rPr>
          <w:lang w:eastAsia="en-GB"/>
        </w:rPr>
        <w:t>a</w:t>
      </w:r>
      <w:r w:rsidRPr="00CE0885">
        <w:rPr>
          <w:spacing w:val="-1"/>
          <w:lang w:eastAsia="en-GB"/>
        </w:rPr>
        <w:t>g</w:t>
      </w:r>
      <w:r w:rsidRPr="00CE0885">
        <w:rPr>
          <w:lang w:eastAsia="en-GB"/>
        </w:rPr>
        <w:t>ainst</w:t>
      </w:r>
      <w:r w:rsidRPr="00CE0885">
        <w:rPr>
          <w:spacing w:val="-7"/>
          <w:lang w:eastAsia="en-GB"/>
        </w:rPr>
        <w:t xml:space="preserve"> </w:t>
      </w:r>
      <w:r w:rsidRPr="00CE0885">
        <w:rPr>
          <w:lang w:eastAsia="en-GB"/>
        </w:rPr>
        <w:t>t</w:t>
      </w:r>
      <w:r w:rsidRPr="00CE0885">
        <w:rPr>
          <w:spacing w:val="-1"/>
          <w:lang w:eastAsia="en-GB"/>
        </w:rPr>
        <w:t>h</w:t>
      </w:r>
      <w:r w:rsidRPr="00CE0885">
        <w:rPr>
          <w:lang w:eastAsia="en-GB"/>
        </w:rPr>
        <w:t>e</w:t>
      </w:r>
      <w:r w:rsidRPr="00CE0885">
        <w:rPr>
          <w:spacing w:val="-1"/>
          <w:lang w:eastAsia="en-GB"/>
        </w:rPr>
        <w:t xml:space="preserve"> </w:t>
      </w:r>
      <w:r w:rsidRPr="00CE0885">
        <w:rPr>
          <w:spacing w:val="-2"/>
          <w:lang w:eastAsia="en-GB"/>
        </w:rPr>
        <w:t>t</w:t>
      </w:r>
      <w:r w:rsidRPr="00CE0885">
        <w:rPr>
          <w:lang w:eastAsia="en-GB"/>
        </w:rPr>
        <w:t>e</w:t>
      </w:r>
      <w:r w:rsidRPr="00CE0885">
        <w:rPr>
          <w:spacing w:val="-1"/>
          <w:lang w:eastAsia="en-GB"/>
        </w:rPr>
        <w:t>r</w:t>
      </w:r>
      <w:r w:rsidRPr="00CE0885">
        <w:rPr>
          <w:spacing w:val="2"/>
          <w:lang w:eastAsia="en-GB"/>
        </w:rPr>
        <w:t>m</w:t>
      </w:r>
      <w:r w:rsidRPr="00CE0885">
        <w:rPr>
          <w:lang w:eastAsia="en-GB"/>
        </w:rPr>
        <w:t>s</w:t>
      </w:r>
      <w:r w:rsidRPr="00CE0885">
        <w:rPr>
          <w:spacing w:val="-6"/>
          <w:lang w:eastAsia="en-GB"/>
        </w:rPr>
        <w:t xml:space="preserve"> </w:t>
      </w:r>
      <w:r w:rsidRPr="00CE0885">
        <w:rPr>
          <w:spacing w:val="-1"/>
          <w:lang w:eastAsia="en-GB"/>
        </w:rPr>
        <w:t>o</w:t>
      </w:r>
      <w:r w:rsidRPr="00CE0885">
        <w:rPr>
          <w:lang w:eastAsia="en-GB"/>
        </w:rPr>
        <w:t>f</w:t>
      </w:r>
      <w:r w:rsidRPr="00CE0885">
        <w:rPr>
          <w:spacing w:val="-1"/>
          <w:lang w:eastAsia="en-GB"/>
        </w:rPr>
        <w:t xml:space="preserve"> e</w:t>
      </w:r>
      <w:r w:rsidRPr="00CE0885">
        <w:rPr>
          <w:lang w:eastAsia="en-GB"/>
        </w:rPr>
        <w:t>ach</w:t>
      </w:r>
      <w:r w:rsidRPr="00CE0885">
        <w:rPr>
          <w:spacing w:val="-6"/>
          <w:lang w:eastAsia="en-GB"/>
        </w:rPr>
        <w:t xml:space="preserve"> </w:t>
      </w:r>
      <w:r w:rsidRPr="00CE0885">
        <w:rPr>
          <w:spacing w:val="-1"/>
          <w:lang w:eastAsia="en-GB"/>
        </w:rPr>
        <w:t>o</w:t>
      </w:r>
      <w:r w:rsidRPr="00CE0885">
        <w:rPr>
          <w:lang w:eastAsia="en-GB"/>
        </w:rPr>
        <w:t xml:space="preserve">f </w:t>
      </w:r>
      <w:r w:rsidRPr="00CE0885">
        <w:rPr>
          <w:spacing w:val="-2"/>
          <w:lang w:eastAsia="en-GB"/>
        </w:rPr>
        <w:t>t</w:t>
      </w:r>
      <w:r w:rsidRPr="00CE0885">
        <w:rPr>
          <w:lang w:eastAsia="en-GB"/>
        </w:rPr>
        <w:t>he</w:t>
      </w:r>
      <w:r w:rsidRPr="00CE0885">
        <w:rPr>
          <w:spacing w:val="-1"/>
          <w:lang w:eastAsia="en-GB"/>
        </w:rPr>
        <w:t xml:space="preserve"> </w:t>
      </w:r>
      <w:r w:rsidRPr="00CE0885">
        <w:rPr>
          <w:lang w:eastAsia="en-GB"/>
        </w:rPr>
        <w:t>i</w:t>
      </w:r>
      <w:r w:rsidRPr="00CE0885">
        <w:rPr>
          <w:spacing w:val="-1"/>
          <w:lang w:eastAsia="en-GB"/>
        </w:rPr>
        <w:t>nd</w:t>
      </w:r>
      <w:r w:rsidRPr="00CE0885">
        <w:rPr>
          <w:lang w:eastAsia="en-GB"/>
        </w:rPr>
        <w:t>i</w:t>
      </w:r>
      <w:r w:rsidRPr="00CE0885">
        <w:rPr>
          <w:spacing w:val="-2"/>
          <w:lang w:eastAsia="en-GB"/>
        </w:rPr>
        <w:t>v</w:t>
      </w:r>
      <w:r w:rsidRPr="00CE0885">
        <w:rPr>
          <w:lang w:eastAsia="en-GB"/>
        </w:rPr>
        <w:t>idual</w:t>
      </w:r>
      <w:r w:rsidRPr="00CE0885">
        <w:rPr>
          <w:spacing w:val="-10"/>
          <w:lang w:eastAsia="en-GB"/>
        </w:rPr>
        <w:t xml:space="preserve"> </w:t>
      </w:r>
      <w:r w:rsidRPr="00CE0885">
        <w:rPr>
          <w:lang w:eastAsia="en-GB"/>
        </w:rPr>
        <w:t>contracts</w:t>
      </w:r>
      <w:r w:rsidRPr="00CE0885">
        <w:rPr>
          <w:spacing w:val="-13"/>
          <w:lang w:eastAsia="en-GB"/>
        </w:rPr>
        <w:t xml:space="preserve"> </w:t>
      </w:r>
      <w:r w:rsidRPr="00CE0885">
        <w:rPr>
          <w:lang w:eastAsia="en-GB"/>
        </w:rPr>
        <w:t>to asce</w:t>
      </w:r>
      <w:r w:rsidRPr="00CE0885">
        <w:rPr>
          <w:spacing w:val="-1"/>
          <w:lang w:eastAsia="en-GB"/>
        </w:rPr>
        <w:t>r</w:t>
      </w:r>
      <w:r w:rsidRPr="00CE0885">
        <w:rPr>
          <w:lang w:eastAsia="en-GB"/>
        </w:rPr>
        <w:t>tain</w:t>
      </w:r>
      <w:r w:rsidRPr="00CE0885">
        <w:rPr>
          <w:spacing w:val="-8"/>
          <w:lang w:eastAsia="en-GB"/>
        </w:rPr>
        <w:t xml:space="preserve"> </w:t>
      </w:r>
      <w:r w:rsidRPr="00CE0885">
        <w:rPr>
          <w:spacing w:val="-3"/>
          <w:lang w:eastAsia="en-GB"/>
        </w:rPr>
        <w:t>w</w:t>
      </w:r>
      <w:r w:rsidRPr="00CE0885">
        <w:rPr>
          <w:lang w:eastAsia="en-GB"/>
        </w:rPr>
        <w:t>hat,</w:t>
      </w:r>
      <w:r w:rsidRPr="00CE0885">
        <w:rPr>
          <w:spacing w:val="-7"/>
          <w:lang w:eastAsia="en-GB"/>
        </w:rPr>
        <w:t xml:space="preserve"> </w:t>
      </w:r>
      <w:r w:rsidRPr="00CE0885">
        <w:rPr>
          <w:spacing w:val="-3"/>
          <w:lang w:eastAsia="en-GB"/>
        </w:rPr>
        <w:t>i</w:t>
      </w:r>
      <w:r w:rsidRPr="00CE0885">
        <w:rPr>
          <w:lang w:eastAsia="en-GB"/>
        </w:rPr>
        <w:t>f</w:t>
      </w:r>
      <w:r w:rsidRPr="00CE0885">
        <w:rPr>
          <w:spacing w:val="2"/>
          <w:lang w:eastAsia="en-GB"/>
        </w:rPr>
        <w:t xml:space="preserve"> </w:t>
      </w:r>
      <w:r w:rsidRPr="00CE0885">
        <w:rPr>
          <w:spacing w:val="-1"/>
          <w:lang w:eastAsia="en-GB"/>
        </w:rPr>
        <w:t>a</w:t>
      </w:r>
      <w:r w:rsidRPr="00CE0885">
        <w:rPr>
          <w:lang w:eastAsia="en-GB"/>
        </w:rPr>
        <w:t>n</w:t>
      </w:r>
      <w:r w:rsidRPr="00CE0885">
        <w:rPr>
          <w:spacing w:val="-2"/>
          <w:lang w:eastAsia="en-GB"/>
        </w:rPr>
        <w:t>y</w:t>
      </w:r>
      <w:r w:rsidRPr="00CE0885">
        <w:rPr>
          <w:lang w:eastAsia="en-GB"/>
        </w:rPr>
        <w:t>,</w:t>
      </w:r>
      <w:r w:rsidRPr="00CE0885">
        <w:rPr>
          <w:spacing w:val="-4"/>
          <w:lang w:eastAsia="en-GB"/>
        </w:rPr>
        <w:t xml:space="preserve"> </w:t>
      </w:r>
      <w:r w:rsidRPr="00CE0885">
        <w:rPr>
          <w:spacing w:val="-1"/>
          <w:lang w:eastAsia="en-GB"/>
        </w:rPr>
        <w:t>a</w:t>
      </w:r>
      <w:r w:rsidRPr="00CE0885">
        <w:rPr>
          <w:lang w:eastAsia="en-GB"/>
        </w:rPr>
        <w:t>f</w:t>
      </w:r>
      <w:r w:rsidRPr="00CE0885">
        <w:rPr>
          <w:spacing w:val="3"/>
          <w:lang w:eastAsia="en-GB"/>
        </w:rPr>
        <w:t>f</w:t>
      </w:r>
      <w:r w:rsidRPr="00CE0885">
        <w:rPr>
          <w:lang w:eastAsia="en-GB"/>
        </w:rPr>
        <w:t>ect</w:t>
      </w:r>
      <w:r w:rsidRPr="00CE0885">
        <w:rPr>
          <w:spacing w:val="-7"/>
          <w:lang w:eastAsia="en-GB"/>
        </w:rPr>
        <w:t xml:space="preserve"> </w:t>
      </w:r>
      <w:r w:rsidRPr="00CE0885">
        <w:rPr>
          <w:lang w:eastAsia="en-GB"/>
        </w:rPr>
        <w:t>t</w:t>
      </w:r>
      <w:r w:rsidRPr="00CE0885">
        <w:rPr>
          <w:spacing w:val="-1"/>
          <w:lang w:eastAsia="en-GB"/>
        </w:rPr>
        <w:t>h</w:t>
      </w:r>
      <w:r w:rsidRPr="00CE0885">
        <w:rPr>
          <w:lang w:eastAsia="en-GB"/>
        </w:rPr>
        <w:t>ose</w:t>
      </w:r>
      <w:r w:rsidRPr="00CE0885">
        <w:rPr>
          <w:spacing w:val="-4"/>
          <w:lang w:eastAsia="en-GB"/>
        </w:rPr>
        <w:t xml:space="preserve"> </w:t>
      </w:r>
      <w:r w:rsidRPr="00CE0885">
        <w:rPr>
          <w:spacing w:val="-2"/>
          <w:lang w:eastAsia="en-GB"/>
        </w:rPr>
        <w:t>c</w:t>
      </w:r>
      <w:r w:rsidRPr="00CE0885">
        <w:rPr>
          <w:lang w:eastAsia="en-GB"/>
        </w:rPr>
        <w:t>han</w:t>
      </w:r>
      <w:r w:rsidRPr="00CE0885">
        <w:rPr>
          <w:spacing w:val="-1"/>
          <w:lang w:eastAsia="en-GB"/>
        </w:rPr>
        <w:t>g</w:t>
      </w:r>
      <w:r w:rsidRPr="00CE0885">
        <w:rPr>
          <w:lang w:eastAsia="en-GB"/>
        </w:rPr>
        <w:t>es</w:t>
      </w:r>
      <w:r w:rsidRPr="00CE0885">
        <w:rPr>
          <w:spacing w:val="-11"/>
          <w:lang w:eastAsia="en-GB"/>
        </w:rPr>
        <w:t xml:space="preserve"> </w:t>
      </w:r>
      <w:r w:rsidRPr="00CE0885">
        <w:rPr>
          <w:spacing w:val="-1"/>
          <w:lang w:eastAsia="en-GB"/>
        </w:rPr>
        <w:t>h</w:t>
      </w:r>
      <w:r w:rsidRPr="00CE0885">
        <w:rPr>
          <w:lang w:eastAsia="en-GB"/>
        </w:rPr>
        <w:t>a</w:t>
      </w:r>
      <w:r w:rsidRPr="00CE0885">
        <w:rPr>
          <w:spacing w:val="-2"/>
          <w:lang w:eastAsia="en-GB"/>
        </w:rPr>
        <w:t>v</w:t>
      </w:r>
      <w:r w:rsidRPr="00CE0885">
        <w:rPr>
          <w:lang w:eastAsia="en-GB"/>
        </w:rPr>
        <w:t>e</w:t>
      </w:r>
      <w:r w:rsidRPr="00CE0885">
        <w:rPr>
          <w:spacing w:val="-3"/>
          <w:lang w:eastAsia="en-GB"/>
        </w:rPr>
        <w:t xml:space="preserve"> </w:t>
      </w:r>
      <w:r w:rsidRPr="00CE0885">
        <w:rPr>
          <w:lang w:eastAsia="en-GB"/>
        </w:rPr>
        <w:t>on</w:t>
      </w:r>
      <w:r w:rsidRPr="00CE0885">
        <w:rPr>
          <w:spacing w:val="-1"/>
          <w:lang w:eastAsia="en-GB"/>
        </w:rPr>
        <w:t xml:space="preserve"> </w:t>
      </w:r>
      <w:r w:rsidRPr="00CE0885">
        <w:rPr>
          <w:lang w:eastAsia="en-GB"/>
        </w:rPr>
        <w:t>local</w:t>
      </w:r>
      <w:r w:rsidRPr="00CE0885">
        <w:rPr>
          <w:spacing w:val="-7"/>
          <w:lang w:eastAsia="en-GB"/>
        </w:rPr>
        <w:t xml:space="preserve"> </w:t>
      </w:r>
      <w:r w:rsidRPr="00CE0885">
        <w:rPr>
          <w:spacing w:val="3"/>
          <w:lang w:eastAsia="en-GB"/>
        </w:rPr>
        <w:t>f</w:t>
      </w:r>
      <w:r w:rsidRPr="00CE0885">
        <w:rPr>
          <w:spacing w:val="-3"/>
          <w:lang w:eastAsia="en-GB"/>
        </w:rPr>
        <w:t>i</w:t>
      </w:r>
      <w:r w:rsidRPr="00CE0885">
        <w:rPr>
          <w:lang w:eastAsia="en-GB"/>
        </w:rPr>
        <w:t>n</w:t>
      </w:r>
      <w:r w:rsidRPr="00CE0885">
        <w:rPr>
          <w:spacing w:val="-1"/>
          <w:lang w:eastAsia="en-GB"/>
        </w:rPr>
        <w:t>a</w:t>
      </w:r>
      <w:r w:rsidRPr="00CE0885">
        <w:rPr>
          <w:lang w:eastAsia="en-GB"/>
        </w:rPr>
        <w:t>ncial te</w:t>
      </w:r>
      <w:r w:rsidRPr="00CE0885">
        <w:rPr>
          <w:spacing w:val="-1"/>
          <w:lang w:eastAsia="en-GB"/>
        </w:rPr>
        <w:t>r</w:t>
      </w:r>
      <w:r w:rsidRPr="00CE0885">
        <w:rPr>
          <w:spacing w:val="2"/>
          <w:lang w:eastAsia="en-GB"/>
        </w:rPr>
        <w:t>m</w:t>
      </w:r>
      <w:r w:rsidRPr="00CE0885">
        <w:rPr>
          <w:lang w:eastAsia="en-GB"/>
        </w:rPr>
        <w:t>s.</w:t>
      </w:r>
      <w:bookmarkEnd w:id="875"/>
    </w:p>
    <w:p w14:paraId="22E255B5" w14:textId="77777777" w:rsidR="00977693" w:rsidRPr="00CE0885" w:rsidRDefault="00977693" w:rsidP="00977693">
      <w:pPr>
        <w:widowControl w:val="0"/>
        <w:autoSpaceDE w:val="0"/>
        <w:autoSpaceDN w:val="0"/>
        <w:adjustRightInd w:val="0"/>
        <w:spacing w:line="360" w:lineRule="auto"/>
        <w:jc w:val="both"/>
        <w:rPr>
          <w:rFonts w:cs="Arial"/>
          <w:bCs w:val="0"/>
          <w:szCs w:val="24"/>
          <w:lang w:eastAsia="en-GB"/>
        </w:rPr>
      </w:pPr>
    </w:p>
    <w:p w14:paraId="5FFEB580" w14:textId="77777777" w:rsidR="00977693" w:rsidRPr="00CE0885" w:rsidRDefault="00977693" w:rsidP="00977693">
      <w:pPr>
        <w:widowControl w:val="0"/>
        <w:tabs>
          <w:tab w:val="left" w:pos="9072"/>
        </w:tabs>
        <w:autoSpaceDE w:val="0"/>
        <w:autoSpaceDN w:val="0"/>
        <w:adjustRightInd w:val="0"/>
        <w:spacing w:line="360" w:lineRule="auto"/>
        <w:ind w:right="-2"/>
        <w:rPr>
          <w:rFonts w:cs="Arial"/>
          <w:bCs w:val="0"/>
          <w:szCs w:val="24"/>
          <w:lang w:eastAsia="en-GB"/>
        </w:rPr>
      </w:pPr>
      <w:r w:rsidRPr="00CE0885">
        <w:rPr>
          <w:rFonts w:cs="Arial"/>
          <w:b/>
          <w:spacing w:val="-5"/>
          <w:szCs w:val="24"/>
          <w:lang w:eastAsia="en-GB"/>
        </w:rPr>
        <w:br w:type="page"/>
      </w:r>
    </w:p>
    <w:p w14:paraId="4985EAE8" w14:textId="77777777" w:rsidR="00977693" w:rsidRPr="00CE0885" w:rsidRDefault="00977693" w:rsidP="00977693">
      <w:pPr>
        <w:widowControl w:val="0"/>
        <w:tabs>
          <w:tab w:val="left" w:pos="9072"/>
        </w:tabs>
        <w:autoSpaceDE w:val="0"/>
        <w:autoSpaceDN w:val="0"/>
        <w:adjustRightInd w:val="0"/>
        <w:spacing w:line="360" w:lineRule="auto"/>
        <w:ind w:right="-2"/>
        <w:rPr>
          <w:rFonts w:cs="Arial"/>
          <w:bCs w:val="0"/>
          <w:szCs w:val="24"/>
          <w:lang w:eastAsia="en-GB"/>
        </w:rPr>
      </w:pPr>
      <w:r w:rsidRPr="00CE0885">
        <w:rPr>
          <w:rFonts w:cs="Arial"/>
          <w:b/>
          <w:bCs w:val="0"/>
          <w:szCs w:val="24"/>
          <w:lang w:eastAsia="en-GB"/>
        </w:rPr>
        <w:t>Annex 1</w:t>
      </w:r>
      <w:r w:rsidRPr="00CE0885">
        <w:rPr>
          <w:rFonts w:cs="Arial"/>
          <w:bCs w:val="0"/>
          <w:szCs w:val="24"/>
          <w:lang w:eastAsia="en-GB"/>
        </w:rPr>
        <w:t xml:space="preserve"> - Template Variation Notice for Legislation / Regulatory Change – GMS Contracts</w:t>
      </w:r>
    </w:p>
    <w:bookmarkStart w:id="876" w:name="_1556543465"/>
    <w:bookmarkEnd w:id="876"/>
    <w:p w14:paraId="62844F31" w14:textId="0CAD0209" w:rsidR="004B4770" w:rsidRDefault="002306F3" w:rsidP="004B4770">
      <w:pPr>
        <w:pStyle w:val="ListParagraph"/>
        <w:numPr>
          <w:ilvl w:val="0"/>
          <w:numId w:val="154"/>
        </w:numPr>
      </w:pPr>
      <w:r>
        <w:fldChar w:fldCharType="begin"/>
      </w:r>
      <w:r>
        <w:instrText xml:space="preserve"> HYPERLINK "https://www.england.nhs.uk/publication/primary-medical-care-policy-and-guidance-manual-financial-changes-statement-of-financial-entitlements-annexes/" </w:instrText>
      </w:r>
      <w:r>
        <w:fldChar w:fldCharType="separate"/>
      </w:r>
      <w:r w:rsidR="004B4770">
        <w:rPr>
          <w:rStyle w:val="Hyperlink"/>
        </w:rPr>
        <w:t>Template Variation Notice for Legislation / Regualtory Change – GMS Contracts</w:t>
      </w:r>
      <w:r>
        <w:rPr>
          <w:rStyle w:val="Hyperlink"/>
        </w:rPr>
        <w:fldChar w:fldCharType="end"/>
      </w:r>
    </w:p>
    <w:p w14:paraId="4C50F21C" w14:textId="77777777" w:rsidR="004B4770" w:rsidRPr="005A7DDA" w:rsidRDefault="004B4770" w:rsidP="004B4770">
      <w:pPr>
        <w:pStyle w:val="ListParagraph"/>
      </w:pPr>
    </w:p>
    <w:p w14:paraId="3191A657" w14:textId="448D05D3" w:rsidR="00977693" w:rsidRPr="00CE0885" w:rsidRDefault="00977693" w:rsidP="00977693">
      <w:pPr>
        <w:widowControl w:val="0"/>
        <w:tabs>
          <w:tab w:val="left" w:pos="9072"/>
        </w:tabs>
        <w:autoSpaceDE w:val="0"/>
        <w:autoSpaceDN w:val="0"/>
        <w:adjustRightInd w:val="0"/>
        <w:spacing w:line="360" w:lineRule="auto"/>
        <w:ind w:right="-2"/>
        <w:rPr>
          <w:rFonts w:cs="Arial"/>
          <w:bCs w:val="0"/>
          <w:szCs w:val="24"/>
          <w:lang w:eastAsia="en-GB"/>
        </w:rPr>
      </w:pPr>
    </w:p>
    <w:p w14:paraId="3BA72C33" w14:textId="77777777" w:rsidR="00977693" w:rsidRPr="00CE0885" w:rsidRDefault="00977693" w:rsidP="00977693">
      <w:pPr>
        <w:widowControl w:val="0"/>
        <w:tabs>
          <w:tab w:val="left" w:pos="9072"/>
        </w:tabs>
        <w:autoSpaceDE w:val="0"/>
        <w:autoSpaceDN w:val="0"/>
        <w:adjustRightInd w:val="0"/>
        <w:spacing w:line="360" w:lineRule="auto"/>
        <w:ind w:right="-2"/>
        <w:rPr>
          <w:rFonts w:cs="Arial"/>
          <w:bCs w:val="0"/>
          <w:szCs w:val="24"/>
          <w:lang w:eastAsia="en-GB"/>
        </w:rPr>
      </w:pPr>
      <w:r w:rsidRPr="00CE0885">
        <w:rPr>
          <w:rFonts w:cs="Arial"/>
          <w:b/>
          <w:bCs w:val="0"/>
          <w:szCs w:val="24"/>
          <w:lang w:eastAsia="en-GB"/>
        </w:rPr>
        <w:t>Annex 2</w:t>
      </w:r>
      <w:r w:rsidRPr="00CE0885">
        <w:rPr>
          <w:rFonts w:cs="Arial"/>
          <w:bCs w:val="0"/>
          <w:szCs w:val="24"/>
          <w:lang w:eastAsia="en-GB"/>
        </w:rPr>
        <w:t xml:space="preserve"> Template Variation Notice for Legislation / Regulatory Change – PMS/APMS Contracts</w:t>
      </w:r>
    </w:p>
    <w:bookmarkStart w:id="877" w:name="_1556543616"/>
    <w:bookmarkEnd w:id="877"/>
    <w:p w14:paraId="3FEE5EE4" w14:textId="235CE92D" w:rsidR="004B4770" w:rsidRDefault="002306F3" w:rsidP="004B4770">
      <w:pPr>
        <w:pStyle w:val="ListParagraph"/>
        <w:numPr>
          <w:ilvl w:val="0"/>
          <w:numId w:val="154"/>
        </w:numPr>
      </w:pPr>
      <w:r>
        <w:fldChar w:fldCharType="begin"/>
      </w:r>
      <w:r>
        <w:instrText xml:space="preserve"> HYPERLINK "https://www.england.nhs.uk/publication/primary-medical-care-policy-and-guidance-manual-financial-changes-statement-of-financial-entitlements-annexes/" </w:instrText>
      </w:r>
      <w:r>
        <w:fldChar w:fldCharType="separate"/>
      </w:r>
      <w:r w:rsidR="004B4770">
        <w:rPr>
          <w:rStyle w:val="Hyperlink"/>
        </w:rPr>
        <w:t>Template Variation Notice for Legislation / Regualtory Change – PMS/APMS Contracts</w:t>
      </w:r>
      <w:r>
        <w:rPr>
          <w:rStyle w:val="Hyperlink"/>
        </w:rPr>
        <w:fldChar w:fldCharType="end"/>
      </w:r>
    </w:p>
    <w:p w14:paraId="4058A1F6" w14:textId="77777777" w:rsidR="004B4770" w:rsidRPr="005A7DDA" w:rsidRDefault="004B4770" w:rsidP="002306F3">
      <w:pPr>
        <w:pStyle w:val="ListParagraph"/>
      </w:pPr>
    </w:p>
    <w:p w14:paraId="1268950A" w14:textId="77777777" w:rsidR="00977693" w:rsidRPr="00D2123D" w:rsidRDefault="00977693" w:rsidP="00D2123D">
      <w:pPr>
        <w:widowControl w:val="0"/>
        <w:tabs>
          <w:tab w:val="left" w:pos="9072"/>
        </w:tabs>
        <w:autoSpaceDE w:val="0"/>
        <w:autoSpaceDN w:val="0"/>
        <w:adjustRightInd w:val="0"/>
        <w:spacing w:line="360" w:lineRule="auto"/>
        <w:ind w:right="-2"/>
        <w:rPr>
          <w:rFonts w:cs="Arial"/>
          <w:b/>
          <w:bCs w:val="0"/>
          <w:szCs w:val="24"/>
          <w:lang w:eastAsia="en-GB"/>
        </w:rPr>
      </w:pPr>
      <w:r w:rsidRPr="00D2123D">
        <w:rPr>
          <w:rFonts w:cs="Arial"/>
          <w:b/>
          <w:bCs w:val="0"/>
          <w:szCs w:val="24"/>
          <w:lang w:eastAsia="en-GB"/>
        </w:rPr>
        <w:t xml:space="preserve">Annexes 3 - 6 </w:t>
      </w:r>
      <w:r w:rsidRPr="00D2123D">
        <w:rPr>
          <w:rFonts w:cs="Arial"/>
          <w:bCs w:val="0"/>
          <w:szCs w:val="24"/>
          <w:lang w:eastAsia="en-GB"/>
        </w:rPr>
        <w:t>Requests for Information – Changes to the Contracting Partie</w:t>
      </w:r>
      <w:r w:rsidRPr="002306F3">
        <w:t>s</w:t>
      </w:r>
    </w:p>
    <w:p w14:paraId="512A54A2" w14:textId="77777777" w:rsidR="00977693" w:rsidRPr="00CE0885" w:rsidRDefault="00977693" w:rsidP="00977693">
      <w:pPr>
        <w:widowControl w:val="0"/>
        <w:autoSpaceDE w:val="0"/>
        <w:autoSpaceDN w:val="0"/>
        <w:adjustRightInd w:val="0"/>
        <w:spacing w:line="360" w:lineRule="auto"/>
        <w:ind w:right="-2"/>
        <w:jc w:val="both"/>
        <w:rPr>
          <w:rFonts w:cs="Arial"/>
          <w:bCs w:val="0"/>
          <w:spacing w:val="2"/>
          <w:szCs w:val="24"/>
          <w:lang w:eastAsia="en-GB"/>
        </w:rPr>
      </w:pPr>
    </w:p>
    <w:p w14:paraId="5FFDA6F0" w14:textId="77777777" w:rsidR="00977693" w:rsidRDefault="00977693" w:rsidP="00977693">
      <w:pPr>
        <w:widowControl w:val="0"/>
        <w:autoSpaceDE w:val="0"/>
        <w:autoSpaceDN w:val="0"/>
        <w:adjustRightInd w:val="0"/>
        <w:spacing w:line="360" w:lineRule="auto"/>
        <w:ind w:right="-2"/>
        <w:jc w:val="both"/>
        <w:rPr>
          <w:rFonts w:cs="Arial"/>
          <w:bCs w:val="0"/>
          <w:spacing w:val="-2"/>
          <w:szCs w:val="24"/>
          <w:lang w:eastAsia="en-GB"/>
        </w:rPr>
      </w:pPr>
      <w:r w:rsidRPr="00CE0885">
        <w:rPr>
          <w:rFonts w:cs="Arial"/>
          <w:bCs w:val="0"/>
          <w:spacing w:val="2"/>
          <w:szCs w:val="24"/>
          <w:lang w:eastAsia="en-GB"/>
        </w:rPr>
        <w:t xml:space="preserve">The following </w:t>
      </w:r>
      <w:r w:rsidRPr="00CE0885">
        <w:rPr>
          <w:rFonts w:cs="Arial"/>
          <w:bCs w:val="0"/>
          <w:spacing w:val="-8"/>
          <w:szCs w:val="24"/>
          <w:lang w:eastAsia="en-GB"/>
        </w:rPr>
        <w:t xml:space="preserve">Annexes contain </w:t>
      </w:r>
      <w:r w:rsidRPr="00CE0885">
        <w:rPr>
          <w:rFonts w:cs="Arial"/>
          <w:bCs w:val="0"/>
          <w:spacing w:val="1"/>
          <w:szCs w:val="24"/>
          <w:lang w:eastAsia="en-GB"/>
        </w:rPr>
        <w:t>requests for information to be sent to</w:t>
      </w:r>
      <w:r w:rsidRPr="00CE0885">
        <w:rPr>
          <w:rFonts w:cs="Arial"/>
          <w:bCs w:val="0"/>
          <w:spacing w:val="-5"/>
          <w:szCs w:val="24"/>
          <w:lang w:eastAsia="en-GB"/>
        </w:rPr>
        <w:t xml:space="preserve"> </w:t>
      </w:r>
      <w:r w:rsidRPr="00CE0885">
        <w:rPr>
          <w:rFonts w:cs="Arial"/>
          <w:bCs w:val="0"/>
          <w:spacing w:val="1"/>
          <w:szCs w:val="24"/>
          <w:lang w:eastAsia="en-GB"/>
        </w:rPr>
        <w:t>th</w:t>
      </w:r>
      <w:r w:rsidRPr="00CE0885">
        <w:rPr>
          <w:rFonts w:cs="Arial"/>
          <w:bCs w:val="0"/>
          <w:szCs w:val="24"/>
          <w:lang w:eastAsia="en-GB"/>
        </w:rPr>
        <w:t>e</w:t>
      </w:r>
      <w:r w:rsidRPr="00CE0885">
        <w:rPr>
          <w:rFonts w:cs="Arial"/>
          <w:bCs w:val="0"/>
          <w:spacing w:val="-1"/>
          <w:szCs w:val="24"/>
          <w:lang w:eastAsia="en-GB"/>
        </w:rPr>
        <w:t xml:space="preserve"> </w:t>
      </w:r>
      <w:r w:rsidRPr="00CE0885">
        <w:rPr>
          <w:rFonts w:cs="Arial"/>
          <w:bCs w:val="0"/>
          <w:szCs w:val="24"/>
          <w:lang w:eastAsia="en-GB"/>
        </w:rPr>
        <w:t>c</w:t>
      </w:r>
      <w:r w:rsidRPr="00CE0885">
        <w:rPr>
          <w:rFonts w:cs="Arial"/>
          <w:bCs w:val="0"/>
          <w:spacing w:val="1"/>
          <w:szCs w:val="24"/>
          <w:lang w:eastAsia="en-GB"/>
        </w:rPr>
        <w:t>ont</w:t>
      </w:r>
      <w:r w:rsidRPr="00CE0885">
        <w:rPr>
          <w:rFonts w:cs="Arial"/>
          <w:bCs w:val="0"/>
          <w:spacing w:val="-1"/>
          <w:szCs w:val="24"/>
          <w:lang w:eastAsia="en-GB"/>
        </w:rPr>
        <w:t>r</w:t>
      </w:r>
      <w:r w:rsidRPr="00CE0885">
        <w:rPr>
          <w:rFonts w:cs="Arial"/>
          <w:bCs w:val="0"/>
          <w:spacing w:val="1"/>
          <w:szCs w:val="24"/>
          <w:lang w:eastAsia="en-GB"/>
        </w:rPr>
        <w:t>a</w:t>
      </w:r>
      <w:r w:rsidRPr="00CE0885">
        <w:rPr>
          <w:rFonts w:cs="Arial"/>
          <w:bCs w:val="0"/>
          <w:szCs w:val="24"/>
          <w:lang w:eastAsia="en-GB"/>
        </w:rPr>
        <w:t>c</w:t>
      </w:r>
      <w:r w:rsidRPr="00CE0885">
        <w:rPr>
          <w:rFonts w:cs="Arial"/>
          <w:bCs w:val="0"/>
          <w:spacing w:val="-2"/>
          <w:szCs w:val="24"/>
          <w:lang w:eastAsia="en-GB"/>
        </w:rPr>
        <w:t>t</w:t>
      </w:r>
      <w:r w:rsidRPr="00CE0885">
        <w:rPr>
          <w:rFonts w:cs="Arial"/>
          <w:bCs w:val="0"/>
          <w:spacing w:val="1"/>
          <w:szCs w:val="24"/>
          <w:lang w:eastAsia="en-GB"/>
        </w:rPr>
        <w:t>o</w:t>
      </w:r>
      <w:r w:rsidRPr="00CE0885">
        <w:rPr>
          <w:rFonts w:cs="Arial"/>
          <w:bCs w:val="0"/>
          <w:szCs w:val="24"/>
          <w:lang w:eastAsia="en-GB"/>
        </w:rPr>
        <w:t xml:space="preserve">r and corresponding </w:t>
      </w:r>
      <w:r w:rsidRPr="00CE0885">
        <w:rPr>
          <w:rFonts w:cs="Arial"/>
          <w:bCs w:val="0"/>
          <w:spacing w:val="-11"/>
          <w:szCs w:val="24"/>
          <w:lang w:eastAsia="en-GB"/>
        </w:rPr>
        <w:t xml:space="preserve">acknowledgements for completion by </w:t>
      </w:r>
      <w:r w:rsidRPr="00CE0885">
        <w:rPr>
          <w:rFonts w:cs="Arial"/>
          <w:bCs w:val="0"/>
          <w:szCs w:val="24"/>
          <w:lang w:eastAsia="en-GB"/>
        </w:rPr>
        <w:t>t</w:t>
      </w:r>
      <w:r w:rsidRPr="00CE0885">
        <w:rPr>
          <w:rFonts w:cs="Arial"/>
          <w:bCs w:val="0"/>
          <w:spacing w:val="1"/>
          <w:szCs w:val="24"/>
          <w:lang w:eastAsia="en-GB"/>
        </w:rPr>
        <w:t>h</w:t>
      </w:r>
      <w:r w:rsidRPr="00CE0885">
        <w:rPr>
          <w:rFonts w:cs="Arial"/>
          <w:bCs w:val="0"/>
          <w:szCs w:val="24"/>
          <w:lang w:eastAsia="en-GB"/>
        </w:rPr>
        <w:t>e</w:t>
      </w:r>
      <w:r w:rsidRPr="00CE0885">
        <w:rPr>
          <w:rFonts w:cs="Arial"/>
          <w:bCs w:val="0"/>
          <w:spacing w:val="-5"/>
          <w:szCs w:val="24"/>
          <w:lang w:eastAsia="en-GB"/>
        </w:rPr>
        <w:t xml:space="preserve"> </w:t>
      </w:r>
      <w:r w:rsidRPr="00CE0885">
        <w:rPr>
          <w:rFonts w:cs="Arial"/>
          <w:bCs w:val="0"/>
          <w:spacing w:val="-2"/>
          <w:szCs w:val="24"/>
          <w:lang w:eastAsia="en-GB"/>
        </w:rPr>
        <w:t>Commissioner. The Annexes include:</w:t>
      </w:r>
    </w:p>
    <w:p w14:paraId="0070BA9F" w14:textId="77777777" w:rsidR="00E47A71" w:rsidRPr="00CE0885" w:rsidRDefault="00E47A71" w:rsidP="00977693">
      <w:pPr>
        <w:widowControl w:val="0"/>
        <w:autoSpaceDE w:val="0"/>
        <w:autoSpaceDN w:val="0"/>
        <w:adjustRightInd w:val="0"/>
        <w:spacing w:line="360" w:lineRule="auto"/>
        <w:ind w:right="-2"/>
        <w:jc w:val="both"/>
        <w:rPr>
          <w:rFonts w:cs="Arial"/>
          <w:bCs w:val="0"/>
          <w:spacing w:val="-2"/>
          <w:szCs w:val="24"/>
          <w:lang w:eastAsia="en-GB"/>
        </w:rPr>
      </w:pPr>
    </w:p>
    <w:p w14:paraId="20FA2818" w14:textId="77777777" w:rsidR="00977693" w:rsidRPr="00CE0885" w:rsidRDefault="00977693" w:rsidP="00977693">
      <w:pPr>
        <w:widowControl w:val="0"/>
        <w:tabs>
          <w:tab w:val="left" w:pos="9072"/>
        </w:tabs>
        <w:autoSpaceDE w:val="0"/>
        <w:autoSpaceDN w:val="0"/>
        <w:adjustRightInd w:val="0"/>
        <w:spacing w:line="360" w:lineRule="auto"/>
        <w:ind w:right="-2"/>
        <w:rPr>
          <w:rFonts w:cs="Arial"/>
          <w:bCs w:val="0"/>
          <w:szCs w:val="24"/>
          <w:lang w:eastAsia="en-GB"/>
        </w:rPr>
      </w:pPr>
      <w:r w:rsidRPr="00CE0885">
        <w:rPr>
          <w:rFonts w:cs="Arial"/>
          <w:b/>
          <w:bCs w:val="0"/>
          <w:szCs w:val="24"/>
          <w:lang w:eastAsia="en-GB"/>
        </w:rPr>
        <w:t>Annex 3A</w:t>
      </w:r>
      <w:r w:rsidRPr="00CE0885">
        <w:rPr>
          <w:rFonts w:cs="Arial"/>
          <w:bCs w:val="0"/>
          <w:szCs w:val="24"/>
          <w:lang w:eastAsia="en-GB"/>
        </w:rPr>
        <w:t xml:space="preserve"> – Request for information relating to change from individual to partnership – GMS contracts</w:t>
      </w:r>
    </w:p>
    <w:bookmarkStart w:id="878" w:name="_1556548388"/>
    <w:bookmarkEnd w:id="878"/>
    <w:p w14:paraId="205AC432" w14:textId="7ABACB52" w:rsidR="004B4770" w:rsidRDefault="002306F3" w:rsidP="004B4770">
      <w:pPr>
        <w:pStyle w:val="ListParagraph"/>
        <w:numPr>
          <w:ilvl w:val="0"/>
          <w:numId w:val="154"/>
        </w:numPr>
      </w:pPr>
      <w:r>
        <w:fldChar w:fldCharType="begin"/>
      </w:r>
      <w:r>
        <w:instrText xml:space="preserve"> HYPERLINK "https://www.england.nhs.uk/publication/primary-medical-care-policy-and-guidance-manual-financial-changes-statement-of-financial-entitlements-annexes/" </w:instrText>
      </w:r>
      <w:r>
        <w:fldChar w:fldCharType="separate"/>
      </w:r>
      <w:r w:rsidR="004B4770">
        <w:rPr>
          <w:rStyle w:val="Hyperlink"/>
        </w:rPr>
        <w:t>Request for information relating to change from indivdual to partnership – GMS contracts</w:t>
      </w:r>
      <w:r>
        <w:rPr>
          <w:rStyle w:val="Hyperlink"/>
        </w:rPr>
        <w:fldChar w:fldCharType="end"/>
      </w:r>
    </w:p>
    <w:p w14:paraId="37E0F191" w14:textId="04D9533B" w:rsidR="00977693" w:rsidRPr="005A7DDA" w:rsidRDefault="005A7DDA" w:rsidP="004B4770">
      <w:pPr>
        <w:pStyle w:val="ListParagraph"/>
      </w:pPr>
      <w:r>
        <w:br/>
      </w:r>
    </w:p>
    <w:p w14:paraId="4BA02124" w14:textId="77777777" w:rsidR="00977693" w:rsidRPr="00CE0885" w:rsidRDefault="00977693" w:rsidP="00977693">
      <w:pPr>
        <w:widowControl w:val="0"/>
        <w:tabs>
          <w:tab w:val="left" w:pos="9072"/>
        </w:tabs>
        <w:autoSpaceDE w:val="0"/>
        <w:autoSpaceDN w:val="0"/>
        <w:adjustRightInd w:val="0"/>
        <w:spacing w:line="360" w:lineRule="auto"/>
        <w:ind w:right="-2"/>
        <w:rPr>
          <w:rFonts w:cs="Arial"/>
          <w:bCs w:val="0"/>
          <w:szCs w:val="24"/>
          <w:lang w:eastAsia="en-GB"/>
        </w:rPr>
      </w:pPr>
      <w:r w:rsidRPr="00CE0885">
        <w:rPr>
          <w:rFonts w:cs="Arial"/>
          <w:b/>
          <w:bCs w:val="0"/>
          <w:szCs w:val="24"/>
          <w:lang w:eastAsia="en-GB"/>
        </w:rPr>
        <w:t>Annex 3B</w:t>
      </w:r>
      <w:r w:rsidRPr="00CE0885">
        <w:rPr>
          <w:rFonts w:cs="Arial"/>
          <w:bCs w:val="0"/>
          <w:szCs w:val="24"/>
          <w:lang w:eastAsia="en-GB"/>
        </w:rPr>
        <w:t xml:space="preserve"> – Acknowledgement of information relating to change from individual to partnership – GMS contracts</w:t>
      </w:r>
    </w:p>
    <w:bookmarkStart w:id="879" w:name="_1556548406"/>
    <w:bookmarkEnd w:id="879"/>
    <w:p w14:paraId="31233272" w14:textId="75B98E90" w:rsidR="004B4770" w:rsidRDefault="002306F3" w:rsidP="004B4770">
      <w:pPr>
        <w:pStyle w:val="ListParagraph"/>
        <w:numPr>
          <w:ilvl w:val="0"/>
          <w:numId w:val="154"/>
        </w:numPr>
      </w:pPr>
      <w:r>
        <w:fldChar w:fldCharType="begin"/>
      </w:r>
      <w:r>
        <w:instrText xml:space="preserve"> HYPERLINK "https://www.england.nhs.uk/publication/primary-medical-care-policy-and-guidance-manual-financial-changes-statement-of-financial-entitlements-annexes/" </w:instrText>
      </w:r>
      <w:r>
        <w:fldChar w:fldCharType="separate"/>
      </w:r>
      <w:r w:rsidR="004B4770">
        <w:rPr>
          <w:rStyle w:val="Hyperlink"/>
        </w:rPr>
        <w:t>Acknowledgement of information relating to changes from indivdual to partnership – GMS contracts</w:t>
      </w:r>
      <w:r>
        <w:rPr>
          <w:rStyle w:val="Hyperlink"/>
        </w:rPr>
        <w:fldChar w:fldCharType="end"/>
      </w:r>
    </w:p>
    <w:p w14:paraId="59243745" w14:textId="3DA9AB73" w:rsidR="00977693" w:rsidRPr="005A7DDA" w:rsidRDefault="005A7DDA" w:rsidP="004B4770">
      <w:pPr>
        <w:pStyle w:val="ListParagraph"/>
      </w:pPr>
      <w:r>
        <w:br/>
      </w:r>
    </w:p>
    <w:p w14:paraId="5D69400F" w14:textId="77777777" w:rsidR="00977693" w:rsidRPr="00CE0885" w:rsidRDefault="00977693" w:rsidP="00977693">
      <w:pPr>
        <w:widowControl w:val="0"/>
        <w:tabs>
          <w:tab w:val="left" w:pos="9072"/>
        </w:tabs>
        <w:autoSpaceDE w:val="0"/>
        <w:autoSpaceDN w:val="0"/>
        <w:adjustRightInd w:val="0"/>
        <w:spacing w:line="360" w:lineRule="auto"/>
        <w:ind w:right="-2"/>
        <w:rPr>
          <w:rFonts w:cs="Arial"/>
          <w:bCs w:val="0"/>
          <w:szCs w:val="24"/>
          <w:lang w:eastAsia="en-GB"/>
        </w:rPr>
      </w:pPr>
      <w:r w:rsidRPr="00CE0885">
        <w:rPr>
          <w:rFonts w:cs="Arial"/>
          <w:b/>
          <w:bCs w:val="0"/>
          <w:szCs w:val="24"/>
          <w:lang w:eastAsia="en-GB"/>
        </w:rPr>
        <w:t>Annex 4A</w:t>
      </w:r>
      <w:r w:rsidRPr="00CE0885">
        <w:rPr>
          <w:rFonts w:cs="Arial"/>
          <w:bCs w:val="0"/>
          <w:szCs w:val="24"/>
          <w:lang w:eastAsia="en-GB"/>
        </w:rPr>
        <w:t xml:space="preserve"> – Request for information relating to change from individual to more than one individual – PMS agreements</w:t>
      </w:r>
    </w:p>
    <w:bookmarkStart w:id="880" w:name="_1556548423"/>
    <w:bookmarkEnd w:id="880"/>
    <w:p w14:paraId="63661EFD" w14:textId="79EE1819" w:rsidR="004B4770" w:rsidRDefault="002306F3" w:rsidP="004B4770">
      <w:pPr>
        <w:pStyle w:val="ListParagraph"/>
        <w:numPr>
          <w:ilvl w:val="0"/>
          <w:numId w:val="154"/>
        </w:numPr>
      </w:pPr>
      <w:r>
        <w:fldChar w:fldCharType="begin"/>
      </w:r>
      <w:r>
        <w:instrText xml:space="preserve"> HYPERLINK "https://www.england.nhs.uk/publication/primary-medical-care-policy-and-guidance-manual-financial-changes-statement-of-financial-entitlements-annexes/" </w:instrText>
      </w:r>
      <w:r>
        <w:fldChar w:fldCharType="separate"/>
      </w:r>
      <w:r w:rsidR="004B4770">
        <w:rPr>
          <w:rStyle w:val="Hyperlink"/>
        </w:rPr>
        <w:t>Request for information relating to change from indivdual to more than one indivdual – PMS contracts</w:t>
      </w:r>
      <w:r>
        <w:rPr>
          <w:rStyle w:val="Hyperlink"/>
        </w:rPr>
        <w:fldChar w:fldCharType="end"/>
      </w:r>
    </w:p>
    <w:p w14:paraId="29CB722B" w14:textId="5AC56FFD" w:rsidR="00977693" w:rsidRPr="005A7DDA" w:rsidRDefault="005A7DDA" w:rsidP="004B4770">
      <w:pPr>
        <w:pStyle w:val="ListParagraph"/>
      </w:pPr>
      <w:r>
        <w:br/>
      </w:r>
    </w:p>
    <w:p w14:paraId="7CE7929D" w14:textId="77777777" w:rsidR="00977693" w:rsidRPr="00CE0885" w:rsidRDefault="00977693" w:rsidP="00977693">
      <w:pPr>
        <w:widowControl w:val="0"/>
        <w:tabs>
          <w:tab w:val="left" w:pos="9072"/>
        </w:tabs>
        <w:autoSpaceDE w:val="0"/>
        <w:autoSpaceDN w:val="0"/>
        <w:adjustRightInd w:val="0"/>
        <w:spacing w:line="360" w:lineRule="auto"/>
        <w:ind w:right="-2"/>
        <w:rPr>
          <w:rFonts w:cs="Arial"/>
          <w:bCs w:val="0"/>
          <w:szCs w:val="24"/>
          <w:lang w:eastAsia="en-GB"/>
        </w:rPr>
      </w:pPr>
      <w:r w:rsidRPr="00CE0885">
        <w:rPr>
          <w:rFonts w:cs="Arial"/>
          <w:b/>
          <w:bCs w:val="0"/>
          <w:szCs w:val="24"/>
          <w:lang w:eastAsia="en-GB"/>
        </w:rPr>
        <w:t>Annex 4B</w:t>
      </w:r>
      <w:r w:rsidRPr="00CE0885">
        <w:rPr>
          <w:rFonts w:cs="Arial"/>
          <w:bCs w:val="0"/>
          <w:szCs w:val="24"/>
          <w:lang w:eastAsia="en-GB"/>
        </w:rPr>
        <w:t xml:space="preserve"> – Acknowledgement of information relating to change from individual to more than one individual – PMS agreements</w:t>
      </w:r>
    </w:p>
    <w:bookmarkStart w:id="881" w:name="_1556548481"/>
    <w:bookmarkEnd w:id="881"/>
    <w:p w14:paraId="17AADA8D" w14:textId="6AA555C8" w:rsidR="004B4770" w:rsidRDefault="002306F3" w:rsidP="004B4770">
      <w:pPr>
        <w:pStyle w:val="ListParagraph"/>
        <w:numPr>
          <w:ilvl w:val="0"/>
          <w:numId w:val="154"/>
        </w:numPr>
      </w:pPr>
      <w:r>
        <w:fldChar w:fldCharType="begin"/>
      </w:r>
      <w:r>
        <w:instrText xml:space="preserve"> HYPERLINK "https://www.england.nhs.uk/publication/primary-medical-care-policy-and-guidance-manual-financial-changes-statement-of-financial-entitlements-annexes/" </w:instrText>
      </w:r>
      <w:r>
        <w:fldChar w:fldCharType="separate"/>
      </w:r>
      <w:r w:rsidR="004B4770">
        <w:rPr>
          <w:rStyle w:val="Hyperlink"/>
        </w:rPr>
        <w:t>Acknolwedgement of information relating to change from indivdual to more than one indivdual – PMS contracts</w:t>
      </w:r>
      <w:r>
        <w:rPr>
          <w:rStyle w:val="Hyperlink"/>
        </w:rPr>
        <w:fldChar w:fldCharType="end"/>
      </w:r>
    </w:p>
    <w:p w14:paraId="5AF09DAD" w14:textId="0193A197" w:rsidR="00977693" w:rsidRPr="005A7DDA" w:rsidRDefault="005A7DDA" w:rsidP="004B4770">
      <w:pPr>
        <w:pStyle w:val="ListParagraph"/>
      </w:pPr>
      <w:r>
        <w:br/>
      </w:r>
    </w:p>
    <w:p w14:paraId="5BDDCD70" w14:textId="77777777" w:rsidR="00977693" w:rsidRPr="00CE0885" w:rsidRDefault="00977693" w:rsidP="00977693">
      <w:pPr>
        <w:widowControl w:val="0"/>
        <w:tabs>
          <w:tab w:val="left" w:pos="9072"/>
        </w:tabs>
        <w:autoSpaceDE w:val="0"/>
        <w:autoSpaceDN w:val="0"/>
        <w:adjustRightInd w:val="0"/>
        <w:spacing w:line="360" w:lineRule="auto"/>
        <w:ind w:right="-2"/>
        <w:rPr>
          <w:rFonts w:cs="Arial"/>
          <w:bCs w:val="0"/>
          <w:szCs w:val="24"/>
          <w:lang w:eastAsia="en-GB"/>
        </w:rPr>
      </w:pPr>
      <w:r w:rsidRPr="00CE0885">
        <w:rPr>
          <w:rFonts w:cs="Arial"/>
          <w:b/>
          <w:bCs w:val="0"/>
          <w:szCs w:val="24"/>
          <w:lang w:eastAsia="en-GB"/>
        </w:rPr>
        <w:t>Annex 5A</w:t>
      </w:r>
      <w:r w:rsidRPr="00CE0885">
        <w:rPr>
          <w:rFonts w:cs="Arial"/>
          <w:bCs w:val="0"/>
          <w:szCs w:val="24"/>
          <w:lang w:eastAsia="en-GB"/>
        </w:rPr>
        <w:t xml:space="preserve"> – Request for information relating to change from partnership to individual – GMS contract</w:t>
      </w:r>
    </w:p>
    <w:bookmarkStart w:id="882" w:name="_1556548498"/>
    <w:bookmarkEnd w:id="882"/>
    <w:p w14:paraId="5C807F59" w14:textId="634F7353" w:rsidR="004B4770" w:rsidRPr="005A7DDA" w:rsidRDefault="002306F3" w:rsidP="004B4770">
      <w:pPr>
        <w:pStyle w:val="ListParagraph"/>
        <w:numPr>
          <w:ilvl w:val="0"/>
          <w:numId w:val="154"/>
        </w:numPr>
      </w:pPr>
      <w:r>
        <w:fldChar w:fldCharType="begin"/>
      </w:r>
      <w:r>
        <w:instrText xml:space="preserve"> HYPERLINK "https://www.england.nhs.uk/publication/primary-medical-care-policy-and-guidance-manual-financial-changes-statement-of-financial-entitlements-annexes/" </w:instrText>
      </w:r>
      <w:r>
        <w:fldChar w:fldCharType="separate"/>
      </w:r>
      <w:r w:rsidR="004B4770">
        <w:rPr>
          <w:rStyle w:val="Hyperlink"/>
        </w:rPr>
        <w:t>Request for information relating to change from partnership to indivdual – GMS contracts</w:t>
      </w:r>
      <w:r>
        <w:rPr>
          <w:rStyle w:val="Hyperlink"/>
        </w:rPr>
        <w:fldChar w:fldCharType="end"/>
      </w:r>
    </w:p>
    <w:p w14:paraId="671F287D" w14:textId="58E0166E" w:rsidR="00977693" w:rsidRPr="00CE0885" w:rsidRDefault="00977693" w:rsidP="00977693">
      <w:pPr>
        <w:widowControl w:val="0"/>
        <w:tabs>
          <w:tab w:val="left" w:pos="9072"/>
        </w:tabs>
        <w:autoSpaceDE w:val="0"/>
        <w:autoSpaceDN w:val="0"/>
        <w:adjustRightInd w:val="0"/>
        <w:spacing w:line="360" w:lineRule="auto"/>
        <w:ind w:right="-2"/>
        <w:rPr>
          <w:rFonts w:cs="Arial"/>
          <w:bCs w:val="0"/>
          <w:szCs w:val="24"/>
          <w:lang w:eastAsia="en-GB"/>
        </w:rPr>
      </w:pPr>
    </w:p>
    <w:p w14:paraId="31612558" w14:textId="77777777" w:rsidR="00977693" w:rsidRPr="00CE0885" w:rsidRDefault="00977693" w:rsidP="00977693">
      <w:pPr>
        <w:widowControl w:val="0"/>
        <w:tabs>
          <w:tab w:val="left" w:pos="9072"/>
        </w:tabs>
        <w:autoSpaceDE w:val="0"/>
        <w:autoSpaceDN w:val="0"/>
        <w:adjustRightInd w:val="0"/>
        <w:spacing w:line="360" w:lineRule="auto"/>
        <w:ind w:right="-2"/>
        <w:rPr>
          <w:rFonts w:cs="Arial"/>
          <w:bCs w:val="0"/>
          <w:szCs w:val="24"/>
          <w:lang w:eastAsia="en-GB"/>
        </w:rPr>
      </w:pPr>
      <w:r w:rsidRPr="00CE0885">
        <w:rPr>
          <w:rFonts w:cs="Arial"/>
          <w:b/>
          <w:bCs w:val="0"/>
          <w:szCs w:val="24"/>
          <w:lang w:eastAsia="en-GB"/>
        </w:rPr>
        <w:t>Annex 5B</w:t>
      </w:r>
      <w:r w:rsidRPr="00CE0885">
        <w:rPr>
          <w:rFonts w:cs="Arial"/>
          <w:bCs w:val="0"/>
          <w:szCs w:val="24"/>
          <w:lang w:eastAsia="en-GB"/>
        </w:rPr>
        <w:t xml:space="preserve"> – Acknowledgement of information relating to change from partnership to individual – GMS contract</w:t>
      </w:r>
    </w:p>
    <w:bookmarkStart w:id="883" w:name="_1556548516"/>
    <w:bookmarkEnd w:id="883"/>
    <w:p w14:paraId="7B3DF72C" w14:textId="54360B7C" w:rsidR="004B4770" w:rsidRPr="005A7DDA" w:rsidRDefault="002306F3" w:rsidP="004B4770">
      <w:pPr>
        <w:pStyle w:val="ListParagraph"/>
        <w:numPr>
          <w:ilvl w:val="0"/>
          <w:numId w:val="154"/>
        </w:numPr>
      </w:pPr>
      <w:r>
        <w:fldChar w:fldCharType="begin"/>
      </w:r>
      <w:r>
        <w:instrText xml:space="preserve"> HYPERLINK "https://www.england.nhs.uk/publication/primary-medical-care-policy-and-guidance-manual-financial-changes-statement-of-financial-entitlements-annexes/" </w:instrText>
      </w:r>
      <w:r>
        <w:fldChar w:fldCharType="separate"/>
      </w:r>
      <w:r w:rsidR="004B4770">
        <w:rPr>
          <w:rStyle w:val="Hyperlink"/>
        </w:rPr>
        <w:t>Acknowledgement of information relating to change from partnership to indivdual – GMS contracts</w:t>
      </w:r>
      <w:r>
        <w:rPr>
          <w:rStyle w:val="Hyperlink"/>
        </w:rPr>
        <w:fldChar w:fldCharType="end"/>
      </w:r>
    </w:p>
    <w:p w14:paraId="22A05086" w14:textId="77777777" w:rsidR="004B4770" w:rsidRDefault="004B4770" w:rsidP="004B4770">
      <w:pPr>
        <w:pStyle w:val="ListParagraph"/>
      </w:pPr>
    </w:p>
    <w:p w14:paraId="2DBE3491" w14:textId="77777777" w:rsidR="005A7DDA" w:rsidRPr="005A7DDA" w:rsidRDefault="005A7DDA" w:rsidP="002306F3">
      <w:pPr>
        <w:pStyle w:val="ListParagraph"/>
      </w:pPr>
    </w:p>
    <w:p w14:paraId="66217050" w14:textId="77777777" w:rsidR="00977693" w:rsidRPr="00CE0885" w:rsidRDefault="00977693" w:rsidP="00977693">
      <w:pPr>
        <w:widowControl w:val="0"/>
        <w:tabs>
          <w:tab w:val="left" w:pos="9072"/>
        </w:tabs>
        <w:autoSpaceDE w:val="0"/>
        <w:autoSpaceDN w:val="0"/>
        <w:adjustRightInd w:val="0"/>
        <w:spacing w:line="360" w:lineRule="auto"/>
        <w:ind w:right="-2"/>
        <w:rPr>
          <w:rFonts w:cs="Arial"/>
          <w:bCs w:val="0"/>
          <w:szCs w:val="24"/>
          <w:lang w:eastAsia="en-GB"/>
        </w:rPr>
      </w:pPr>
      <w:r w:rsidRPr="00CE0885">
        <w:rPr>
          <w:rFonts w:cs="Arial"/>
          <w:b/>
          <w:bCs w:val="0"/>
          <w:szCs w:val="24"/>
          <w:lang w:eastAsia="en-GB"/>
        </w:rPr>
        <w:t>Annex 6A</w:t>
      </w:r>
      <w:r w:rsidRPr="00CE0885">
        <w:rPr>
          <w:rFonts w:cs="Arial"/>
          <w:bCs w:val="0"/>
          <w:szCs w:val="24"/>
          <w:lang w:eastAsia="en-GB"/>
        </w:rPr>
        <w:t xml:space="preserve"> – Request for information relating to change from more than one individual to an individual - PMS agreement</w:t>
      </w:r>
    </w:p>
    <w:bookmarkStart w:id="884" w:name="_1556548540"/>
    <w:bookmarkEnd w:id="884"/>
    <w:p w14:paraId="6DA36853" w14:textId="7E098238" w:rsidR="004B4770" w:rsidRDefault="002306F3" w:rsidP="004B4770">
      <w:pPr>
        <w:pStyle w:val="ListParagraph"/>
        <w:numPr>
          <w:ilvl w:val="0"/>
          <w:numId w:val="154"/>
        </w:numPr>
      </w:pPr>
      <w:r>
        <w:fldChar w:fldCharType="begin"/>
      </w:r>
      <w:r>
        <w:instrText xml:space="preserve"> HYPERLINK "https://www.england.nhs.uk/publication/primary-medical-care-policy-and-guidance-manual-financial-changes-statement-of-financial-entitlements-annexes/" </w:instrText>
      </w:r>
      <w:r>
        <w:fldChar w:fldCharType="separate"/>
      </w:r>
      <w:r w:rsidR="004B4770">
        <w:rPr>
          <w:rStyle w:val="Hyperlink"/>
        </w:rPr>
        <w:t>Request for information relating to change from more than one indivdual to an individual – PMS contracts</w:t>
      </w:r>
      <w:r>
        <w:rPr>
          <w:rStyle w:val="Hyperlink"/>
        </w:rPr>
        <w:fldChar w:fldCharType="end"/>
      </w:r>
    </w:p>
    <w:p w14:paraId="6BADEDB0" w14:textId="77777777" w:rsidR="005A7DDA" w:rsidRPr="002306F3" w:rsidRDefault="005A7DDA" w:rsidP="00977693">
      <w:pPr>
        <w:widowControl w:val="0"/>
        <w:tabs>
          <w:tab w:val="left" w:pos="9072"/>
        </w:tabs>
        <w:autoSpaceDE w:val="0"/>
        <w:autoSpaceDN w:val="0"/>
        <w:adjustRightInd w:val="0"/>
        <w:spacing w:line="360" w:lineRule="auto"/>
        <w:ind w:right="-2"/>
        <w:rPr>
          <w:b/>
        </w:rPr>
      </w:pPr>
    </w:p>
    <w:p w14:paraId="173FABAC" w14:textId="77777777" w:rsidR="00977693" w:rsidRPr="005A7DDA" w:rsidRDefault="00977693" w:rsidP="002306F3">
      <w:r w:rsidRPr="00CE0885">
        <w:rPr>
          <w:b/>
          <w:lang w:eastAsia="en-GB"/>
        </w:rPr>
        <w:t>Annex 6B</w:t>
      </w:r>
      <w:r w:rsidRPr="00CE0885">
        <w:rPr>
          <w:lang w:eastAsia="en-GB"/>
        </w:rPr>
        <w:t xml:space="preserve"> – Acknowledgement of information relating to change from more than one </w:t>
      </w:r>
      <w:r w:rsidRPr="005A7DDA">
        <w:t>individual to an individual - PMS agreement</w:t>
      </w:r>
    </w:p>
    <w:bookmarkStart w:id="885" w:name="_1556548606"/>
    <w:bookmarkEnd w:id="885"/>
    <w:p w14:paraId="3737A546" w14:textId="63260A92" w:rsidR="004B4770" w:rsidRPr="005A7DDA" w:rsidRDefault="002306F3" w:rsidP="004B4770">
      <w:pPr>
        <w:pStyle w:val="ListParagraph"/>
        <w:numPr>
          <w:ilvl w:val="0"/>
          <w:numId w:val="154"/>
        </w:numPr>
      </w:pPr>
      <w:r>
        <w:fldChar w:fldCharType="begin"/>
      </w:r>
      <w:r>
        <w:instrText xml:space="preserve"> HYPERLINK "https://www.england.nhs.uk/publication/primary-medical-care-policy-and-guidance-manual-financial-changes-statement-of-financial-entitlements-annexes/" </w:instrText>
      </w:r>
      <w:r>
        <w:fldChar w:fldCharType="separate"/>
      </w:r>
      <w:r w:rsidR="004B4770">
        <w:rPr>
          <w:rStyle w:val="Hyperlink"/>
        </w:rPr>
        <w:t>Acknowledement of information relating to change from more than one indivdual to an individual – PMS agreements</w:t>
      </w:r>
      <w:r>
        <w:rPr>
          <w:rStyle w:val="Hyperlink"/>
        </w:rPr>
        <w:fldChar w:fldCharType="end"/>
      </w:r>
    </w:p>
    <w:p w14:paraId="00A9AD0C" w14:textId="6F6956E6" w:rsidR="00977693" w:rsidRPr="005A7DDA" w:rsidRDefault="005A7DDA" w:rsidP="004B4770">
      <w:pPr>
        <w:pStyle w:val="ListParagraph"/>
      </w:pPr>
      <w:r w:rsidRPr="005A7DDA">
        <w:br/>
      </w:r>
    </w:p>
    <w:p w14:paraId="08604462" w14:textId="77777777" w:rsidR="00977693" w:rsidRPr="00CE0885" w:rsidRDefault="00977693" w:rsidP="00977693">
      <w:pPr>
        <w:widowControl w:val="0"/>
        <w:tabs>
          <w:tab w:val="left" w:pos="9072"/>
        </w:tabs>
        <w:autoSpaceDE w:val="0"/>
        <w:autoSpaceDN w:val="0"/>
        <w:adjustRightInd w:val="0"/>
        <w:spacing w:line="360" w:lineRule="auto"/>
        <w:ind w:right="-2"/>
        <w:rPr>
          <w:rFonts w:cs="Arial"/>
          <w:bCs w:val="0"/>
          <w:szCs w:val="24"/>
          <w:lang w:eastAsia="en-GB"/>
        </w:rPr>
      </w:pPr>
      <w:r w:rsidRPr="00CE0885">
        <w:rPr>
          <w:rFonts w:cs="Arial"/>
          <w:b/>
          <w:bCs w:val="0"/>
          <w:szCs w:val="24"/>
          <w:lang w:eastAsia="en-GB"/>
        </w:rPr>
        <w:t>Annex 7</w:t>
      </w:r>
      <w:r w:rsidRPr="00CE0885">
        <w:rPr>
          <w:rFonts w:cs="Arial"/>
          <w:bCs w:val="0"/>
          <w:szCs w:val="24"/>
          <w:lang w:eastAsia="en-GB"/>
        </w:rPr>
        <w:t xml:space="preserve"> Acknowledgement of Request to Incorporate and Medical Incorporation Assessment Template</w:t>
      </w:r>
    </w:p>
    <w:bookmarkStart w:id="886" w:name="_1556548623"/>
    <w:bookmarkEnd w:id="886"/>
    <w:p w14:paraId="7BD4E904" w14:textId="54FDB4D7" w:rsidR="004B4770" w:rsidRPr="005A7DDA" w:rsidRDefault="002306F3" w:rsidP="004B4770">
      <w:pPr>
        <w:pStyle w:val="ListParagraph"/>
        <w:numPr>
          <w:ilvl w:val="0"/>
          <w:numId w:val="154"/>
        </w:numPr>
      </w:pPr>
      <w:r>
        <w:fldChar w:fldCharType="begin"/>
      </w:r>
      <w:r>
        <w:instrText xml:space="preserve"> HYPERLINK "https://www.england.nhs.uk/publication/primary-medical-care-policy-and-guidance-manual-financial-changes-statement-of-financial-entitlements-annexes/" </w:instrText>
      </w:r>
      <w:r>
        <w:fldChar w:fldCharType="separate"/>
      </w:r>
      <w:r w:rsidR="004B4770">
        <w:rPr>
          <w:rStyle w:val="Hyperlink"/>
        </w:rPr>
        <w:t>Acknowledement of request to incorporate and medical incorparation assessment template</w:t>
      </w:r>
      <w:r>
        <w:rPr>
          <w:rStyle w:val="Hyperlink"/>
        </w:rPr>
        <w:fldChar w:fldCharType="end"/>
      </w:r>
    </w:p>
    <w:p w14:paraId="702C1EB8" w14:textId="58C90DE2" w:rsidR="00977693" w:rsidRPr="00CE0885" w:rsidRDefault="00977693" w:rsidP="00977693">
      <w:pPr>
        <w:widowControl w:val="0"/>
        <w:tabs>
          <w:tab w:val="left" w:pos="9072"/>
        </w:tabs>
        <w:autoSpaceDE w:val="0"/>
        <w:autoSpaceDN w:val="0"/>
        <w:adjustRightInd w:val="0"/>
        <w:spacing w:line="360" w:lineRule="auto"/>
        <w:ind w:right="-2"/>
        <w:rPr>
          <w:rFonts w:cs="Arial"/>
          <w:bCs w:val="0"/>
          <w:szCs w:val="24"/>
          <w:lang w:eastAsia="en-GB"/>
        </w:rPr>
      </w:pPr>
    </w:p>
    <w:p w14:paraId="67A36A3F" w14:textId="77777777" w:rsidR="00977693" w:rsidRPr="00CE0885" w:rsidRDefault="00977693" w:rsidP="00977693">
      <w:pPr>
        <w:widowControl w:val="0"/>
        <w:tabs>
          <w:tab w:val="left" w:pos="9072"/>
        </w:tabs>
        <w:autoSpaceDE w:val="0"/>
        <w:autoSpaceDN w:val="0"/>
        <w:adjustRightInd w:val="0"/>
        <w:spacing w:line="360" w:lineRule="auto"/>
        <w:ind w:right="-2"/>
        <w:rPr>
          <w:rFonts w:cs="Arial"/>
          <w:bCs w:val="0"/>
          <w:szCs w:val="24"/>
          <w:lang w:eastAsia="en-GB"/>
        </w:rPr>
      </w:pPr>
      <w:r w:rsidRPr="00CE0885">
        <w:rPr>
          <w:rFonts w:cs="Arial"/>
          <w:b/>
          <w:bCs w:val="0"/>
          <w:szCs w:val="24"/>
          <w:lang w:eastAsia="en-GB"/>
        </w:rPr>
        <w:t>Annex 8</w:t>
      </w:r>
      <w:r w:rsidRPr="00CE0885">
        <w:rPr>
          <w:rFonts w:cs="Arial"/>
          <w:bCs w:val="0"/>
          <w:szCs w:val="24"/>
          <w:lang w:eastAsia="en-GB"/>
        </w:rPr>
        <w:t xml:space="preserve"> – Assessment Template for Incorporation for Commissioner</w:t>
      </w:r>
    </w:p>
    <w:bookmarkStart w:id="887" w:name="_1556548643"/>
    <w:bookmarkEnd w:id="887"/>
    <w:p w14:paraId="551E0C70" w14:textId="5C96B794" w:rsidR="004B4770" w:rsidRPr="005A7DDA" w:rsidRDefault="002306F3" w:rsidP="004B4770">
      <w:pPr>
        <w:pStyle w:val="ListParagraph"/>
        <w:numPr>
          <w:ilvl w:val="0"/>
          <w:numId w:val="154"/>
        </w:numPr>
      </w:pPr>
      <w:r>
        <w:fldChar w:fldCharType="begin"/>
      </w:r>
      <w:r>
        <w:instrText xml:space="preserve"> HYPERLINK "https://www.england.nhs.uk/publication/primary-medical-care-policy-and-guidance-manual-financial-changes-statement-of-financial-entitlements-annexes/" </w:instrText>
      </w:r>
      <w:r>
        <w:fldChar w:fldCharType="separate"/>
      </w:r>
      <w:r w:rsidR="004B4770">
        <w:rPr>
          <w:rStyle w:val="Hyperlink"/>
        </w:rPr>
        <w:t>Assessment template for Incorporation for Commissioner</w:t>
      </w:r>
      <w:r>
        <w:rPr>
          <w:rStyle w:val="Hyperlink"/>
        </w:rPr>
        <w:fldChar w:fldCharType="end"/>
      </w:r>
    </w:p>
    <w:p w14:paraId="032FDC9D" w14:textId="4A2DABA1" w:rsidR="00977693" w:rsidRPr="005A7DDA" w:rsidRDefault="005A7DDA" w:rsidP="004B4770">
      <w:pPr>
        <w:pStyle w:val="ListParagraph"/>
      </w:pPr>
      <w:r>
        <w:br/>
      </w:r>
    </w:p>
    <w:p w14:paraId="5E2F31D3" w14:textId="77777777" w:rsidR="00977693" w:rsidRPr="00CE0885" w:rsidRDefault="00977693" w:rsidP="00977693">
      <w:pPr>
        <w:widowControl w:val="0"/>
        <w:spacing w:line="360" w:lineRule="auto"/>
        <w:rPr>
          <w:rFonts w:cs="Arial"/>
          <w:bCs w:val="0"/>
          <w:szCs w:val="24"/>
        </w:rPr>
      </w:pPr>
      <w:r w:rsidRPr="00CE0885">
        <w:rPr>
          <w:rFonts w:cs="Arial"/>
          <w:b/>
          <w:bCs w:val="0"/>
          <w:szCs w:val="24"/>
          <w:lang w:eastAsia="en-GB"/>
        </w:rPr>
        <w:t>Annex 9</w:t>
      </w:r>
      <w:r w:rsidRPr="00CE0885">
        <w:rPr>
          <w:rFonts w:cs="Arial"/>
          <w:bCs w:val="0"/>
          <w:szCs w:val="24"/>
          <w:lang w:eastAsia="en-GB"/>
        </w:rPr>
        <w:t xml:space="preserve"> – </w:t>
      </w:r>
      <w:r w:rsidRPr="00CE0885">
        <w:rPr>
          <w:rFonts w:cs="Arial"/>
          <w:bCs w:val="0"/>
          <w:szCs w:val="24"/>
        </w:rPr>
        <w:t>Acknowledgement of Request to Dis-incorporate and Medical Dis-incorporation Assessment Template</w:t>
      </w:r>
    </w:p>
    <w:bookmarkStart w:id="888" w:name="_1556548663"/>
    <w:bookmarkEnd w:id="888"/>
    <w:p w14:paraId="376DFEA0" w14:textId="25B38FB9" w:rsidR="004B4770" w:rsidRPr="005A7DDA" w:rsidRDefault="002306F3" w:rsidP="004B4770">
      <w:pPr>
        <w:pStyle w:val="ListParagraph"/>
        <w:numPr>
          <w:ilvl w:val="0"/>
          <w:numId w:val="154"/>
        </w:numPr>
      </w:pPr>
      <w:r>
        <w:fldChar w:fldCharType="begin"/>
      </w:r>
      <w:r>
        <w:instrText xml:space="preserve"> HYPERLINK "https://www.england.nhs.uk/publication/primary-medical-care-policy-and-guidance-manual-financial-changes-statement-of-financial-entitlements-annexes/" </w:instrText>
      </w:r>
      <w:r>
        <w:fldChar w:fldCharType="separate"/>
      </w:r>
      <w:r w:rsidR="004B4770">
        <w:rPr>
          <w:rStyle w:val="Hyperlink"/>
        </w:rPr>
        <w:t>Acknowledement of request to Dis-incorparate and Medical Dis0incorporation assessment template</w:t>
      </w:r>
      <w:r>
        <w:rPr>
          <w:rStyle w:val="Hyperlink"/>
        </w:rPr>
        <w:fldChar w:fldCharType="end"/>
      </w:r>
    </w:p>
    <w:p w14:paraId="53974DBC" w14:textId="2F4FA1EF" w:rsidR="00977693" w:rsidRPr="00CE0885" w:rsidRDefault="00977693" w:rsidP="00977693">
      <w:pPr>
        <w:widowControl w:val="0"/>
        <w:spacing w:line="360" w:lineRule="auto"/>
        <w:rPr>
          <w:rFonts w:cs="Arial"/>
          <w:bCs w:val="0"/>
          <w:szCs w:val="24"/>
        </w:rPr>
      </w:pPr>
    </w:p>
    <w:p w14:paraId="6E8E0D38" w14:textId="77777777" w:rsidR="00977693" w:rsidRPr="00CE0885" w:rsidRDefault="00977693" w:rsidP="00977693">
      <w:pPr>
        <w:widowControl w:val="0"/>
        <w:autoSpaceDE w:val="0"/>
        <w:autoSpaceDN w:val="0"/>
        <w:adjustRightInd w:val="0"/>
        <w:spacing w:line="360" w:lineRule="auto"/>
        <w:ind w:right="-20"/>
        <w:rPr>
          <w:rFonts w:cs="Arial"/>
          <w:bCs w:val="0"/>
          <w:szCs w:val="24"/>
        </w:rPr>
      </w:pPr>
      <w:r w:rsidRPr="00CE0885">
        <w:rPr>
          <w:rFonts w:cs="Arial"/>
          <w:b/>
          <w:bCs w:val="0"/>
          <w:szCs w:val="24"/>
          <w:lang w:eastAsia="en-GB"/>
        </w:rPr>
        <w:t>Annex 10</w:t>
      </w:r>
      <w:r w:rsidRPr="00CE0885">
        <w:rPr>
          <w:rFonts w:cs="Arial"/>
          <w:bCs w:val="0"/>
          <w:szCs w:val="24"/>
          <w:lang w:eastAsia="en-GB"/>
        </w:rPr>
        <w:t xml:space="preserve"> – </w:t>
      </w:r>
      <w:r w:rsidRPr="00CE0885">
        <w:rPr>
          <w:rFonts w:cs="Arial"/>
          <w:bCs w:val="0"/>
          <w:szCs w:val="24"/>
        </w:rPr>
        <w:t>Refusal of Request to [Incorporate / Become a Company Limited by Shares / Qualifying Body]</w:t>
      </w:r>
    </w:p>
    <w:bookmarkStart w:id="889" w:name="_1556548682"/>
    <w:bookmarkEnd w:id="889"/>
    <w:p w14:paraId="5544248C" w14:textId="0D8B22E4" w:rsidR="004B4770" w:rsidRPr="005A7DDA" w:rsidRDefault="002306F3" w:rsidP="004B4770">
      <w:pPr>
        <w:pStyle w:val="ListParagraph"/>
        <w:numPr>
          <w:ilvl w:val="0"/>
          <w:numId w:val="154"/>
        </w:numPr>
      </w:pPr>
      <w:r>
        <w:fldChar w:fldCharType="begin"/>
      </w:r>
      <w:r>
        <w:instrText xml:space="preserve"> HYPERLINK "https://www.england.nhs.uk/publication/primary-medical-care-policy-and-guidance-manual-financial-changes-statement-of-financial-entitlements-annexes/" </w:instrText>
      </w:r>
      <w:r>
        <w:fldChar w:fldCharType="separate"/>
      </w:r>
      <w:r w:rsidR="004B4770">
        <w:rPr>
          <w:rStyle w:val="Hyperlink"/>
        </w:rPr>
        <w:t>Refusal of Request to [Incorporate/Become a Company Limited by Shares/Qualifying Body</w:t>
      </w:r>
      <w:r w:rsidR="00DD20E2">
        <w:rPr>
          <w:rStyle w:val="Hyperlink"/>
        </w:rPr>
        <w:t>]</w:t>
      </w:r>
      <w:r>
        <w:rPr>
          <w:rStyle w:val="Hyperlink"/>
        </w:rPr>
        <w:fldChar w:fldCharType="end"/>
      </w:r>
    </w:p>
    <w:p w14:paraId="163B8933" w14:textId="77777777" w:rsidR="006C3892" w:rsidRDefault="006C3892" w:rsidP="005A7DDA"/>
    <w:p w14:paraId="775BBFB3" w14:textId="77777777" w:rsidR="005A7DDA" w:rsidRPr="005A7DDA" w:rsidRDefault="005A7DDA" w:rsidP="002306F3"/>
    <w:p w14:paraId="7E8179F2" w14:textId="77777777" w:rsidR="00977693" w:rsidRPr="00CE0885" w:rsidRDefault="00977693" w:rsidP="00977693">
      <w:pPr>
        <w:widowControl w:val="0"/>
        <w:tabs>
          <w:tab w:val="left" w:pos="426"/>
        </w:tabs>
        <w:autoSpaceDE w:val="0"/>
        <w:autoSpaceDN w:val="0"/>
        <w:adjustRightInd w:val="0"/>
        <w:spacing w:line="360" w:lineRule="auto"/>
        <w:ind w:right="-20"/>
        <w:rPr>
          <w:rFonts w:cs="Arial"/>
          <w:bCs w:val="0"/>
          <w:szCs w:val="24"/>
        </w:rPr>
      </w:pPr>
      <w:r w:rsidRPr="00CE0885">
        <w:rPr>
          <w:rFonts w:cs="Arial"/>
          <w:b/>
          <w:bCs w:val="0"/>
          <w:szCs w:val="24"/>
          <w:lang w:eastAsia="en-GB"/>
        </w:rPr>
        <w:t>Annex 11</w:t>
      </w:r>
      <w:r w:rsidRPr="00CE0885">
        <w:rPr>
          <w:rFonts w:cs="Arial"/>
          <w:bCs w:val="0"/>
          <w:szCs w:val="24"/>
          <w:lang w:eastAsia="en-GB"/>
        </w:rPr>
        <w:t xml:space="preserve"> – </w:t>
      </w:r>
      <w:r w:rsidRPr="00CE0885">
        <w:rPr>
          <w:rFonts w:cs="Arial"/>
          <w:bCs w:val="0"/>
          <w:szCs w:val="24"/>
        </w:rPr>
        <w:t>Refusal of Request to Dis-incorporate</w:t>
      </w:r>
    </w:p>
    <w:bookmarkStart w:id="890" w:name="_1556548700"/>
    <w:bookmarkEnd w:id="890"/>
    <w:p w14:paraId="48303525" w14:textId="458E6CE5" w:rsidR="00977693" w:rsidRPr="00DD20E2" w:rsidRDefault="002306F3" w:rsidP="00977693">
      <w:pPr>
        <w:pStyle w:val="ListParagraph"/>
        <w:widowControl w:val="0"/>
        <w:numPr>
          <w:ilvl w:val="0"/>
          <w:numId w:val="154"/>
        </w:numPr>
        <w:autoSpaceDE w:val="0"/>
        <w:autoSpaceDN w:val="0"/>
        <w:adjustRightInd w:val="0"/>
        <w:spacing w:line="360" w:lineRule="auto"/>
        <w:ind w:right="-20"/>
        <w:rPr>
          <w:rFonts w:cs="Arial"/>
          <w:bCs w:val="0"/>
          <w:szCs w:val="24"/>
        </w:rPr>
      </w:pPr>
      <w:r>
        <w:fldChar w:fldCharType="begin"/>
      </w:r>
      <w:r>
        <w:instrText xml:space="preserve"> HYPERLINK "https://www.england.nhs.uk/publication/primary-medical-care-policy-and-guidance-manual-financial-changes-statement-of-financial-entitlements-annexes/" </w:instrText>
      </w:r>
      <w:r>
        <w:fldChar w:fldCharType="separate"/>
      </w:r>
      <w:r w:rsidR="00DD20E2">
        <w:rPr>
          <w:rStyle w:val="Hyperlink"/>
        </w:rPr>
        <w:t>Refusal of Request to Dis-incorporate</w:t>
      </w:r>
      <w:r>
        <w:rPr>
          <w:rStyle w:val="Hyperlink"/>
        </w:rPr>
        <w:fldChar w:fldCharType="end"/>
      </w:r>
      <w:r w:rsidR="006C3892" w:rsidRPr="00DD20E2">
        <w:rPr>
          <w:rFonts w:cs="Arial"/>
          <w:bCs w:val="0"/>
          <w:szCs w:val="24"/>
        </w:rPr>
        <w:br/>
      </w:r>
    </w:p>
    <w:p w14:paraId="7C73AC92" w14:textId="77777777" w:rsidR="00977693" w:rsidRPr="00CE0885" w:rsidRDefault="00977693" w:rsidP="00977693">
      <w:pPr>
        <w:widowControl w:val="0"/>
        <w:autoSpaceDE w:val="0"/>
        <w:autoSpaceDN w:val="0"/>
        <w:adjustRightInd w:val="0"/>
        <w:spacing w:line="360" w:lineRule="auto"/>
        <w:ind w:right="-20"/>
        <w:rPr>
          <w:rFonts w:cs="Arial"/>
          <w:bCs w:val="0"/>
          <w:szCs w:val="24"/>
        </w:rPr>
      </w:pPr>
      <w:r w:rsidRPr="00CE0885">
        <w:rPr>
          <w:rFonts w:cs="Arial"/>
          <w:b/>
          <w:bCs w:val="0"/>
          <w:szCs w:val="24"/>
          <w:lang w:eastAsia="en-GB"/>
        </w:rPr>
        <w:t>Annex 12</w:t>
      </w:r>
      <w:r w:rsidRPr="00CE0885">
        <w:rPr>
          <w:rFonts w:cs="Arial"/>
          <w:bCs w:val="0"/>
          <w:szCs w:val="24"/>
          <w:lang w:eastAsia="en-GB"/>
        </w:rPr>
        <w:t xml:space="preserve"> – </w:t>
      </w:r>
      <w:r w:rsidRPr="00CE0885">
        <w:rPr>
          <w:rFonts w:cs="Arial"/>
          <w:bCs w:val="0"/>
          <w:szCs w:val="24"/>
        </w:rPr>
        <w:t xml:space="preserve">Template Agreement Letter </w:t>
      </w:r>
    </w:p>
    <w:bookmarkStart w:id="891" w:name="_1556548718"/>
    <w:bookmarkEnd w:id="891"/>
    <w:p w14:paraId="7CB05EF6" w14:textId="18D63281" w:rsidR="00977693" w:rsidRPr="00DD20E2" w:rsidRDefault="002306F3" w:rsidP="00DD20E2">
      <w:pPr>
        <w:pStyle w:val="ListParagraph"/>
        <w:numPr>
          <w:ilvl w:val="0"/>
          <w:numId w:val="154"/>
        </w:numPr>
      </w:pPr>
      <w:r>
        <w:fldChar w:fldCharType="begin"/>
      </w:r>
      <w:r>
        <w:instrText xml:space="preserve"> HYPERLINK "https://www.england.nhs.uk/publication/primary-medical-care-policy-and-guidance-manual-financial-changes-statement-of-financial-entitlements-annexes/" </w:instrText>
      </w:r>
      <w:r>
        <w:fldChar w:fldCharType="separate"/>
      </w:r>
      <w:r w:rsidR="00DD20E2">
        <w:rPr>
          <w:rStyle w:val="Hyperlink"/>
        </w:rPr>
        <w:t>Template Agreement Letter</w:t>
      </w:r>
      <w:r>
        <w:rPr>
          <w:rStyle w:val="Hyperlink"/>
        </w:rPr>
        <w:fldChar w:fldCharType="end"/>
      </w:r>
      <w:r w:rsidR="006C3892" w:rsidRPr="00DD20E2">
        <w:rPr>
          <w:rFonts w:cs="Arial"/>
          <w:bCs w:val="0"/>
          <w:szCs w:val="24"/>
        </w:rPr>
        <w:br/>
      </w:r>
    </w:p>
    <w:p w14:paraId="15380260" w14:textId="77777777" w:rsidR="00977693" w:rsidRPr="00CE0885" w:rsidRDefault="00977693" w:rsidP="00977693">
      <w:pPr>
        <w:widowControl w:val="0"/>
        <w:autoSpaceDE w:val="0"/>
        <w:autoSpaceDN w:val="0"/>
        <w:adjustRightInd w:val="0"/>
        <w:spacing w:line="360" w:lineRule="auto"/>
        <w:ind w:right="-23"/>
        <w:rPr>
          <w:rFonts w:cs="Arial"/>
          <w:bCs w:val="0"/>
          <w:szCs w:val="24"/>
          <w:lang w:eastAsia="en-GB"/>
        </w:rPr>
      </w:pPr>
      <w:r w:rsidRPr="00CE0885">
        <w:rPr>
          <w:rFonts w:cs="Arial"/>
          <w:b/>
          <w:bCs w:val="0"/>
          <w:szCs w:val="24"/>
          <w:lang w:eastAsia="en-GB"/>
        </w:rPr>
        <w:t>Annex 13A</w:t>
      </w:r>
      <w:r w:rsidRPr="00CE0885">
        <w:rPr>
          <w:rFonts w:cs="Arial"/>
          <w:bCs w:val="0"/>
          <w:szCs w:val="24"/>
          <w:lang w:eastAsia="en-GB"/>
        </w:rPr>
        <w:t xml:space="preserve"> – Template Application Notice to Change the Practice Area</w:t>
      </w:r>
    </w:p>
    <w:bookmarkStart w:id="892" w:name="_1556548734"/>
    <w:bookmarkEnd w:id="892"/>
    <w:p w14:paraId="655E3543" w14:textId="268CAD7D" w:rsidR="00DD20E2" w:rsidRPr="006C3892" w:rsidRDefault="002306F3" w:rsidP="006C3892">
      <w:pPr>
        <w:pStyle w:val="ListParagraph"/>
        <w:widowControl w:val="0"/>
        <w:numPr>
          <w:ilvl w:val="0"/>
          <w:numId w:val="154"/>
        </w:numPr>
        <w:autoSpaceDE w:val="0"/>
        <w:autoSpaceDN w:val="0"/>
        <w:adjustRightInd w:val="0"/>
        <w:spacing w:line="360" w:lineRule="auto"/>
        <w:ind w:right="-23"/>
        <w:rPr>
          <w:rFonts w:cs="Arial"/>
          <w:bCs w:val="0"/>
          <w:szCs w:val="24"/>
          <w:lang w:eastAsia="en-GB"/>
        </w:rPr>
      </w:pPr>
      <w:r>
        <w:fldChar w:fldCharType="begin"/>
      </w:r>
      <w:r>
        <w:instrText xml:space="preserve"> HYPERLINK "https://www.england.nhs.uk/publication/primary-medical-care-policy-and-guidance-manual-financial-changes-statement-of-financial-entitlements-annexes/" </w:instrText>
      </w:r>
      <w:r>
        <w:fldChar w:fldCharType="separate"/>
      </w:r>
      <w:r w:rsidR="00DD20E2">
        <w:rPr>
          <w:rStyle w:val="Hyperlink"/>
        </w:rPr>
        <w:t>Template Application Notice to Change the Practice Area</w:t>
      </w:r>
      <w:r>
        <w:rPr>
          <w:rStyle w:val="Hyperlink"/>
        </w:rPr>
        <w:fldChar w:fldCharType="end"/>
      </w:r>
    </w:p>
    <w:p w14:paraId="20BFCBDB" w14:textId="016F1F97" w:rsidR="00977693" w:rsidRPr="00CE0885" w:rsidRDefault="00977693" w:rsidP="00977693">
      <w:pPr>
        <w:widowControl w:val="0"/>
        <w:autoSpaceDE w:val="0"/>
        <w:autoSpaceDN w:val="0"/>
        <w:adjustRightInd w:val="0"/>
        <w:spacing w:line="360" w:lineRule="auto"/>
        <w:ind w:right="-23"/>
        <w:rPr>
          <w:rFonts w:cs="Arial"/>
          <w:bCs w:val="0"/>
          <w:szCs w:val="24"/>
          <w:lang w:eastAsia="en-GB"/>
        </w:rPr>
      </w:pPr>
    </w:p>
    <w:p w14:paraId="78FC6620" w14:textId="77777777" w:rsidR="00977693" w:rsidRPr="00CE0885" w:rsidRDefault="00977693" w:rsidP="00977693">
      <w:pPr>
        <w:widowControl w:val="0"/>
        <w:autoSpaceDE w:val="0"/>
        <w:autoSpaceDN w:val="0"/>
        <w:adjustRightInd w:val="0"/>
        <w:spacing w:line="360" w:lineRule="auto"/>
        <w:ind w:right="-23"/>
        <w:rPr>
          <w:rFonts w:cs="Arial"/>
          <w:bCs w:val="0"/>
          <w:szCs w:val="24"/>
          <w:lang w:eastAsia="en-GB"/>
        </w:rPr>
      </w:pPr>
      <w:r w:rsidRPr="00CE0885">
        <w:rPr>
          <w:rFonts w:cs="Arial"/>
          <w:b/>
          <w:bCs w:val="0"/>
          <w:szCs w:val="24"/>
          <w:lang w:eastAsia="en-GB"/>
        </w:rPr>
        <w:t>Annex 13B</w:t>
      </w:r>
      <w:r w:rsidRPr="00CE0885">
        <w:rPr>
          <w:rFonts w:cs="Arial"/>
          <w:bCs w:val="0"/>
          <w:szCs w:val="24"/>
          <w:lang w:eastAsia="en-GB"/>
        </w:rPr>
        <w:t xml:space="preserve"> – Acknowledgement of Application to Change the Practice Area</w:t>
      </w:r>
    </w:p>
    <w:bookmarkStart w:id="893" w:name="_1556548749"/>
    <w:bookmarkEnd w:id="893"/>
    <w:p w14:paraId="05E6C41A" w14:textId="7C003439" w:rsidR="00977693" w:rsidRPr="00DD20E2" w:rsidRDefault="002306F3" w:rsidP="006C3892">
      <w:pPr>
        <w:pStyle w:val="ListParagraph"/>
        <w:widowControl w:val="0"/>
        <w:numPr>
          <w:ilvl w:val="0"/>
          <w:numId w:val="154"/>
        </w:numPr>
        <w:autoSpaceDE w:val="0"/>
        <w:autoSpaceDN w:val="0"/>
        <w:adjustRightInd w:val="0"/>
        <w:spacing w:line="360" w:lineRule="auto"/>
        <w:ind w:right="-23"/>
        <w:rPr>
          <w:rFonts w:cs="Arial"/>
          <w:bCs w:val="0"/>
          <w:szCs w:val="24"/>
          <w:lang w:eastAsia="en-GB"/>
        </w:rPr>
      </w:pPr>
      <w:r>
        <w:fldChar w:fldCharType="begin"/>
      </w:r>
      <w:r>
        <w:instrText xml:space="preserve"> HYPERLINK "https://www.england.nhs.uk/publication/primary-medical-care-policy-and-guidance-manual-financial-changes-statement-of-financial-entitlements-annexes/" </w:instrText>
      </w:r>
      <w:r>
        <w:fldChar w:fldCharType="separate"/>
      </w:r>
      <w:r w:rsidR="00DD20E2">
        <w:rPr>
          <w:rStyle w:val="Hyperlink"/>
        </w:rPr>
        <w:t>Acknowledgment of Application to Change the Practice Area</w:t>
      </w:r>
      <w:r>
        <w:rPr>
          <w:rStyle w:val="Hyperlink"/>
        </w:rPr>
        <w:fldChar w:fldCharType="end"/>
      </w:r>
      <w:r w:rsidR="006C3892" w:rsidRPr="00DD20E2">
        <w:rPr>
          <w:rFonts w:cs="Arial"/>
          <w:bCs w:val="0"/>
          <w:szCs w:val="24"/>
          <w:lang w:eastAsia="en-GB"/>
        </w:rPr>
        <w:br/>
      </w:r>
    </w:p>
    <w:p w14:paraId="00FDD145" w14:textId="77777777" w:rsidR="00977693" w:rsidRPr="00CE0885" w:rsidRDefault="00977693" w:rsidP="00977693">
      <w:pPr>
        <w:widowControl w:val="0"/>
        <w:autoSpaceDE w:val="0"/>
        <w:autoSpaceDN w:val="0"/>
        <w:adjustRightInd w:val="0"/>
        <w:spacing w:line="360" w:lineRule="auto"/>
        <w:ind w:right="-23"/>
        <w:rPr>
          <w:rFonts w:cs="Arial"/>
          <w:bCs w:val="0"/>
          <w:szCs w:val="24"/>
          <w:lang w:eastAsia="en-GB"/>
        </w:rPr>
      </w:pPr>
      <w:r w:rsidRPr="00CE0885">
        <w:rPr>
          <w:rFonts w:cs="Arial"/>
          <w:b/>
          <w:bCs w:val="0"/>
          <w:szCs w:val="24"/>
          <w:lang w:eastAsia="en-GB"/>
        </w:rPr>
        <w:t>Annex 14A</w:t>
      </w:r>
      <w:r w:rsidRPr="00CE0885">
        <w:rPr>
          <w:rFonts w:cs="Arial"/>
          <w:bCs w:val="0"/>
          <w:szCs w:val="24"/>
          <w:lang w:eastAsia="en-GB"/>
        </w:rPr>
        <w:t xml:space="preserve"> – Template Application Notice to Close Branch Premises</w:t>
      </w:r>
    </w:p>
    <w:bookmarkStart w:id="894" w:name="_1556548765"/>
    <w:bookmarkEnd w:id="894"/>
    <w:p w14:paraId="245203E8" w14:textId="313A9096" w:rsidR="00977693" w:rsidRPr="006C3892" w:rsidRDefault="002306F3" w:rsidP="006C3892">
      <w:pPr>
        <w:pStyle w:val="ListParagraph"/>
        <w:widowControl w:val="0"/>
        <w:numPr>
          <w:ilvl w:val="0"/>
          <w:numId w:val="154"/>
        </w:numPr>
        <w:autoSpaceDE w:val="0"/>
        <w:autoSpaceDN w:val="0"/>
        <w:adjustRightInd w:val="0"/>
        <w:spacing w:line="360" w:lineRule="auto"/>
        <w:ind w:right="-23"/>
        <w:rPr>
          <w:rFonts w:cs="Arial"/>
          <w:bCs w:val="0"/>
          <w:szCs w:val="24"/>
          <w:lang w:eastAsia="en-GB"/>
        </w:rPr>
      </w:pPr>
      <w:r>
        <w:fldChar w:fldCharType="begin"/>
      </w:r>
      <w:r>
        <w:instrText xml:space="preserve"> HYPERLINK "https://www.england.nhs.uk/publication/primary-medical-care-policy-and-guidance-manual-financial-changes-statement-of-financial-entitlements-annexes/" </w:instrText>
      </w:r>
      <w:r>
        <w:fldChar w:fldCharType="separate"/>
      </w:r>
      <w:r w:rsidR="00DD20E2">
        <w:rPr>
          <w:rStyle w:val="Hyperlink"/>
        </w:rPr>
        <w:t>Template Application Notice to Close Branch Premises</w:t>
      </w:r>
      <w:r>
        <w:rPr>
          <w:rStyle w:val="Hyperlink"/>
        </w:rPr>
        <w:fldChar w:fldCharType="end"/>
      </w:r>
      <w:r w:rsidR="006C3892">
        <w:rPr>
          <w:rFonts w:cs="Arial"/>
          <w:bCs w:val="0"/>
          <w:szCs w:val="24"/>
          <w:lang w:eastAsia="en-GB"/>
        </w:rPr>
        <w:br/>
      </w:r>
    </w:p>
    <w:p w14:paraId="796CABD4" w14:textId="77777777" w:rsidR="00977693" w:rsidRPr="00CE0885" w:rsidRDefault="00977693" w:rsidP="00977693">
      <w:pPr>
        <w:widowControl w:val="0"/>
        <w:autoSpaceDE w:val="0"/>
        <w:autoSpaceDN w:val="0"/>
        <w:adjustRightInd w:val="0"/>
        <w:spacing w:line="360" w:lineRule="auto"/>
        <w:ind w:right="-23"/>
        <w:rPr>
          <w:rFonts w:cs="Arial"/>
          <w:bCs w:val="0"/>
          <w:szCs w:val="24"/>
          <w:lang w:eastAsia="en-GB"/>
        </w:rPr>
      </w:pPr>
      <w:r w:rsidRPr="00CE0885">
        <w:rPr>
          <w:rFonts w:cs="Arial"/>
          <w:b/>
          <w:bCs w:val="0"/>
          <w:szCs w:val="24"/>
          <w:lang w:eastAsia="en-GB"/>
        </w:rPr>
        <w:t xml:space="preserve">Annex 14B – </w:t>
      </w:r>
      <w:r w:rsidRPr="00CE0885">
        <w:rPr>
          <w:rFonts w:cs="Arial"/>
          <w:bCs w:val="0"/>
          <w:szCs w:val="24"/>
          <w:lang w:eastAsia="en-GB"/>
        </w:rPr>
        <w:t>Acknowledgement of Application to Close Branch Premises</w:t>
      </w:r>
    </w:p>
    <w:bookmarkStart w:id="895" w:name="_1556548780"/>
    <w:bookmarkEnd w:id="895"/>
    <w:p w14:paraId="5908D378" w14:textId="4E0642D9" w:rsidR="00977693" w:rsidRPr="006C3892" w:rsidRDefault="002306F3" w:rsidP="006C3892">
      <w:pPr>
        <w:pStyle w:val="ListParagraph"/>
        <w:widowControl w:val="0"/>
        <w:numPr>
          <w:ilvl w:val="0"/>
          <w:numId w:val="154"/>
        </w:numPr>
        <w:autoSpaceDE w:val="0"/>
        <w:autoSpaceDN w:val="0"/>
        <w:adjustRightInd w:val="0"/>
        <w:spacing w:line="360" w:lineRule="auto"/>
        <w:ind w:right="-23"/>
        <w:rPr>
          <w:rFonts w:cs="Arial"/>
          <w:bCs w:val="0"/>
          <w:szCs w:val="24"/>
          <w:lang w:eastAsia="en-GB"/>
        </w:rPr>
      </w:pPr>
      <w:r>
        <w:fldChar w:fldCharType="begin"/>
      </w:r>
      <w:r>
        <w:instrText xml:space="preserve"> HYPERLINK "https://www.england.nhs.uk/publication/primary-medical-care-policy-and-guidance-manual-financial-changes-statement-of-financial-entitlements-annexes/" </w:instrText>
      </w:r>
      <w:r>
        <w:fldChar w:fldCharType="separate"/>
      </w:r>
      <w:r w:rsidR="00DD20E2">
        <w:rPr>
          <w:rStyle w:val="Hyperlink"/>
        </w:rPr>
        <w:t>Acknowledgment of Application to Close Branch Premises</w:t>
      </w:r>
      <w:r>
        <w:rPr>
          <w:rStyle w:val="Hyperlink"/>
        </w:rPr>
        <w:fldChar w:fldCharType="end"/>
      </w:r>
      <w:r w:rsidR="006C3892">
        <w:rPr>
          <w:rFonts w:cs="Arial"/>
          <w:bCs w:val="0"/>
          <w:szCs w:val="24"/>
          <w:lang w:eastAsia="en-GB"/>
        </w:rPr>
        <w:br/>
      </w:r>
    </w:p>
    <w:p w14:paraId="42A596F5" w14:textId="77777777" w:rsidR="00977693" w:rsidRPr="00CE0885" w:rsidRDefault="00977693" w:rsidP="00977693">
      <w:pPr>
        <w:widowControl w:val="0"/>
        <w:autoSpaceDE w:val="0"/>
        <w:autoSpaceDN w:val="0"/>
        <w:adjustRightInd w:val="0"/>
        <w:spacing w:line="360" w:lineRule="auto"/>
        <w:ind w:right="-23"/>
        <w:rPr>
          <w:rFonts w:cs="Arial"/>
          <w:bCs w:val="0"/>
          <w:szCs w:val="24"/>
          <w:lang w:eastAsia="en-GB"/>
        </w:rPr>
      </w:pPr>
      <w:r w:rsidRPr="00CE0885">
        <w:rPr>
          <w:rFonts w:cs="Arial"/>
          <w:b/>
          <w:bCs w:val="0"/>
          <w:szCs w:val="24"/>
          <w:lang w:eastAsia="en-GB"/>
        </w:rPr>
        <w:t>Annex 15</w:t>
      </w:r>
      <w:r w:rsidRPr="00CE0885">
        <w:rPr>
          <w:rFonts w:cs="Arial"/>
          <w:bCs w:val="0"/>
          <w:szCs w:val="24"/>
          <w:lang w:eastAsia="en-GB"/>
        </w:rPr>
        <w:t xml:space="preserve"> – Records Management: NHS Code of Practice</w:t>
      </w:r>
    </w:p>
    <w:bookmarkStart w:id="896" w:name="_1556548823"/>
    <w:bookmarkEnd w:id="896"/>
    <w:p w14:paraId="5FDA3FD2" w14:textId="57717B3F" w:rsidR="00DD20E2" w:rsidRPr="006C3892" w:rsidRDefault="002306F3" w:rsidP="006C3892">
      <w:pPr>
        <w:pStyle w:val="ListParagraph"/>
        <w:widowControl w:val="0"/>
        <w:numPr>
          <w:ilvl w:val="0"/>
          <w:numId w:val="154"/>
        </w:numPr>
        <w:autoSpaceDE w:val="0"/>
        <w:autoSpaceDN w:val="0"/>
        <w:adjustRightInd w:val="0"/>
        <w:spacing w:line="360" w:lineRule="auto"/>
        <w:ind w:right="-23"/>
        <w:rPr>
          <w:rFonts w:cs="Arial"/>
          <w:bCs w:val="0"/>
          <w:szCs w:val="24"/>
          <w:lang w:eastAsia="en-GB"/>
        </w:rPr>
      </w:pPr>
      <w:r>
        <w:fldChar w:fldCharType="begin"/>
      </w:r>
      <w:r>
        <w:instrText xml:space="preserve"> HYPERLINK "https://www.england.nhs.uk/publication/primary-medical-care-policy-and-guidance-manual-financial-changes-statement-of-financial-entitlements-annexes/" </w:instrText>
      </w:r>
      <w:r>
        <w:fldChar w:fldCharType="separate"/>
      </w:r>
      <w:r w:rsidR="00DD20E2">
        <w:rPr>
          <w:rStyle w:val="Hyperlink"/>
        </w:rPr>
        <w:t>Records Management: NHS Code of Practice</w:t>
      </w:r>
      <w:r>
        <w:rPr>
          <w:rStyle w:val="Hyperlink"/>
        </w:rPr>
        <w:fldChar w:fldCharType="end"/>
      </w:r>
    </w:p>
    <w:p w14:paraId="659D1236" w14:textId="4EB9C81C" w:rsidR="00977693" w:rsidRPr="00CE0885" w:rsidRDefault="00977693" w:rsidP="00977693">
      <w:pPr>
        <w:widowControl w:val="0"/>
        <w:autoSpaceDE w:val="0"/>
        <w:autoSpaceDN w:val="0"/>
        <w:adjustRightInd w:val="0"/>
        <w:spacing w:line="360" w:lineRule="auto"/>
        <w:ind w:right="-23"/>
        <w:rPr>
          <w:rFonts w:cs="Arial"/>
          <w:bCs w:val="0"/>
          <w:szCs w:val="24"/>
          <w:lang w:eastAsia="en-GB"/>
        </w:rPr>
      </w:pPr>
    </w:p>
    <w:p w14:paraId="55D0A052" w14:textId="77777777" w:rsidR="00977693" w:rsidRPr="00CE0885" w:rsidRDefault="00977693" w:rsidP="00977693">
      <w:pPr>
        <w:widowControl w:val="0"/>
        <w:spacing w:line="360" w:lineRule="auto"/>
        <w:jc w:val="both"/>
        <w:rPr>
          <w:rFonts w:cs="Arial"/>
          <w:bCs w:val="0"/>
          <w:szCs w:val="24"/>
          <w:lang w:eastAsia="en-GB"/>
        </w:rPr>
      </w:pPr>
    </w:p>
    <w:p w14:paraId="5EBB63FD" w14:textId="3C7231AF" w:rsidR="0015247B" w:rsidRPr="00446DA6" w:rsidRDefault="00850B0E" w:rsidP="00446DA6">
      <w:pPr>
        <w:pStyle w:val="Heading1"/>
      </w:pPr>
      <w:r>
        <w:br w:type="page"/>
      </w:r>
      <w:bookmarkStart w:id="897" w:name="_Toc498495403"/>
      <w:r w:rsidR="0015247B" w:rsidRPr="00446DA6">
        <w:t>Managing a PMS Contractor’s Right to a GMS Contract</w:t>
      </w:r>
      <w:bookmarkEnd w:id="897"/>
    </w:p>
    <w:p w14:paraId="7D946D56" w14:textId="77777777" w:rsidR="0015247B" w:rsidRDefault="0015247B" w:rsidP="0015247B">
      <w:pPr>
        <w:rPr>
          <w:lang w:eastAsia="en-GB"/>
        </w:rPr>
      </w:pPr>
    </w:p>
    <w:p w14:paraId="72B03F5C" w14:textId="77777777" w:rsidR="00977693" w:rsidRPr="00CE0885" w:rsidRDefault="00977693" w:rsidP="00E47A71">
      <w:pPr>
        <w:pStyle w:val="Heading2"/>
        <w:rPr>
          <w:lang w:eastAsia="en-GB"/>
        </w:rPr>
      </w:pPr>
      <w:bookmarkStart w:id="898" w:name="_Toc440982444"/>
      <w:bookmarkStart w:id="899" w:name="_Toc498495404"/>
      <w:r w:rsidRPr="00CE0885">
        <w:rPr>
          <w:lang w:eastAsia="en-GB"/>
        </w:rPr>
        <w:t>Introduction</w:t>
      </w:r>
      <w:bookmarkEnd w:id="898"/>
      <w:bookmarkEnd w:id="899"/>
    </w:p>
    <w:p w14:paraId="6E7BA6DB" w14:textId="77777777" w:rsidR="00977693" w:rsidRPr="00CE0885" w:rsidRDefault="00977693" w:rsidP="00E47A71">
      <w:pPr>
        <w:pStyle w:val="Heading3"/>
        <w:rPr>
          <w:lang w:eastAsia="en-GB"/>
        </w:rPr>
      </w:pPr>
      <w:bookmarkStart w:id="900" w:name="_Toc440982445"/>
      <w:r w:rsidRPr="00CE0885">
        <w:rPr>
          <w:lang w:eastAsia="en-GB"/>
        </w:rPr>
        <w:t>The aim of this policy is to ensure that all parties to the contract understand the process and procedures that must be followed when a contractor requests a transfer from a PMS agreement to a GMS contract.</w:t>
      </w:r>
      <w:bookmarkEnd w:id="900"/>
    </w:p>
    <w:p w14:paraId="18BCFF8B" w14:textId="77777777" w:rsidR="00977693" w:rsidRPr="00CE0885" w:rsidRDefault="00977693" w:rsidP="00E47A71">
      <w:pPr>
        <w:pStyle w:val="Heading3"/>
        <w:rPr>
          <w:lang w:eastAsia="en-GB"/>
        </w:rPr>
      </w:pPr>
      <w:bookmarkStart w:id="901" w:name="_Toc440982446"/>
      <w:r w:rsidRPr="00CE0885">
        <w:rPr>
          <w:lang w:eastAsia="en-GB"/>
        </w:rPr>
        <w:t>Subject to the contractor's eligibility to hold a GMS contract and the requirement to provide essential services, then there should be no variation in the application of this policy.</w:t>
      </w:r>
      <w:bookmarkEnd w:id="901"/>
    </w:p>
    <w:p w14:paraId="25A44533" w14:textId="77777777" w:rsidR="00977693" w:rsidRPr="009055A7" w:rsidRDefault="00977693" w:rsidP="00977693">
      <w:pPr>
        <w:widowControl w:val="0"/>
        <w:spacing w:line="360" w:lineRule="auto"/>
        <w:ind w:left="1414"/>
        <w:jc w:val="both"/>
        <w:rPr>
          <w:rFonts w:cs="Arial"/>
          <w:bCs w:val="0"/>
          <w:sz w:val="20"/>
          <w:szCs w:val="20"/>
          <w:lang w:eastAsia="en-GB"/>
        </w:rPr>
      </w:pPr>
    </w:p>
    <w:p w14:paraId="29FF76DE" w14:textId="77777777" w:rsidR="00977693" w:rsidRPr="00CE0885" w:rsidRDefault="00977693" w:rsidP="00E47A71">
      <w:pPr>
        <w:pStyle w:val="Heading2"/>
      </w:pPr>
      <w:bookmarkStart w:id="902" w:name="_Toc440982447"/>
      <w:bookmarkStart w:id="903" w:name="_Toc498495405"/>
      <w:r w:rsidRPr="00CE0885">
        <w:t>Roles and Responsibilities</w:t>
      </w:r>
      <w:bookmarkEnd w:id="902"/>
      <w:bookmarkEnd w:id="903"/>
    </w:p>
    <w:p w14:paraId="487FE51C" w14:textId="77777777" w:rsidR="00977693" w:rsidRPr="00CE0885" w:rsidRDefault="00977693" w:rsidP="00E47A71">
      <w:pPr>
        <w:pStyle w:val="Heading3"/>
        <w:rPr>
          <w:lang w:eastAsia="en-GB"/>
        </w:rPr>
      </w:pPr>
      <w:bookmarkStart w:id="904" w:name="_Toc440982448"/>
      <w:r w:rsidRPr="00CE0885">
        <w:rPr>
          <w:lang w:eastAsia="en-GB"/>
        </w:rPr>
        <w:t>Commissioners will need to ensure that the finance department and relevant persons are made aware of the change to the contracting arrangements as there will be long term financial implications. A GMS contract is not time limited and exists in perpetuity. Anyone with delegated authority can sign off the transfer.</w:t>
      </w:r>
      <w:bookmarkEnd w:id="904"/>
    </w:p>
    <w:p w14:paraId="6D85416E" w14:textId="77777777" w:rsidR="00977693" w:rsidRPr="00CE0885" w:rsidRDefault="00977693" w:rsidP="00E47A71">
      <w:pPr>
        <w:pStyle w:val="Heading3"/>
        <w:rPr>
          <w:lang w:eastAsia="en-GB"/>
        </w:rPr>
      </w:pPr>
      <w:bookmarkStart w:id="905" w:name="_Toc440982449"/>
      <w:r w:rsidRPr="00CE0885">
        <w:rPr>
          <w:lang w:eastAsia="en-GB"/>
        </w:rPr>
        <w:t>The payment and contract management system must be updated by the officer managing the transfer.</w:t>
      </w:r>
      <w:bookmarkEnd w:id="905"/>
    </w:p>
    <w:p w14:paraId="2C2C0622" w14:textId="77777777" w:rsidR="00977693" w:rsidRPr="009055A7" w:rsidRDefault="00977693" w:rsidP="00977693">
      <w:pPr>
        <w:widowControl w:val="0"/>
        <w:spacing w:line="360" w:lineRule="auto"/>
        <w:ind w:left="1414"/>
        <w:jc w:val="both"/>
        <w:rPr>
          <w:rFonts w:cs="Arial"/>
          <w:bCs w:val="0"/>
          <w:sz w:val="20"/>
          <w:szCs w:val="20"/>
          <w:lang w:eastAsia="en-GB"/>
        </w:rPr>
      </w:pPr>
    </w:p>
    <w:p w14:paraId="2FF412DB" w14:textId="77777777" w:rsidR="00977693" w:rsidRPr="00CE0885" w:rsidRDefault="00977693" w:rsidP="00E47A71">
      <w:pPr>
        <w:pStyle w:val="Heading2"/>
        <w:rPr>
          <w:lang w:eastAsia="en-GB"/>
        </w:rPr>
      </w:pPr>
      <w:bookmarkStart w:id="906" w:name="_Toc440982450"/>
      <w:bookmarkStart w:id="907" w:name="_Toc498495406"/>
      <w:r w:rsidRPr="00CE0885">
        <w:rPr>
          <w:lang w:eastAsia="en-GB"/>
        </w:rPr>
        <w:t>Background</w:t>
      </w:r>
      <w:bookmarkEnd w:id="906"/>
      <w:bookmarkEnd w:id="907"/>
    </w:p>
    <w:p w14:paraId="4184207E" w14:textId="77777777" w:rsidR="00977693" w:rsidRPr="00CE0885" w:rsidRDefault="00977693" w:rsidP="00E47A71">
      <w:pPr>
        <w:pStyle w:val="Heading3"/>
        <w:rPr>
          <w:lang w:eastAsia="en-GB"/>
        </w:rPr>
      </w:pPr>
      <w:bookmarkStart w:id="908" w:name="_Toc440982451"/>
      <w:r w:rsidRPr="00CE0885">
        <w:rPr>
          <w:lang w:eastAsia="en-GB"/>
        </w:rPr>
        <w:t>A contractor holding a PMS agreement which is providing essential services, has the right to a GMS contract in accordance with Regulation 19 of the PMS Regulations which states:</w:t>
      </w:r>
      <w:bookmarkEnd w:id="908"/>
    </w:p>
    <w:p w14:paraId="04DF5FD0" w14:textId="77777777" w:rsidR="00977693" w:rsidRPr="00CE0885" w:rsidRDefault="00977693" w:rsidP="00E47A71">
      <w:pPr>
        <w:pStyle w:val="Heading3"/>
        <w:rPr>
          <w:lang w:eastAsia="en-GB"/>
        </w:rPr>
      </w:pPr>
      <w:r w:rsidRPr="00CE0885">
        <w:rPr>
          <w:lang w:eastAsia="en-GB"/>
        </w:rPr>
        <w:t>"A contractor which is providing essential services and which wishes a general medical services contract to be entered into pursuant to this regulation shall notify [the Commissioner] in writing at least three months before the date on which it wishes the general medical services contract to be entered into."</w:t>
      </w:r>
    </w:p>
    <w:p w14:paraId="086B6078" w14:textId="77777777" w:rsidR="00977693" w:rsidRPr="00CE0885" w:rsidRDefault="00977693" w:rsidP="00E47A71">
      <w:pPr>
        <w:pStyle w:val="Heading3"/>
        <w:rPr>
          <w:lang w:eastAsia="en-GB"/>
        </w:rPr>
      </w:pPr>
      <w:bookmarkStart w:id="909" w:name="_Toc440982452"/>
      <w:r w:rsidRPr="00CE0885">
        <w:rPr>
          <w:lang w:eastAsia="en-GB"/>
        </w:rPr>
        <w:t>This policy sets out the decision making process that the Commissioner will follow, together with refusal (where eligibility is not satisfied), appeal processes and discussions regarding any actions that are required.</w:t>
      </w:r>
      <w:bookmarkEnd w:id="909"/>
      <w:r w:rsidRPr="00CE0885">
        <w:rPr>
          <w:lang w:eastAsia="en-GB"/>
        </w:rPr>
        <w:t xml:space="preserve"> </w:t>
      </w:r>
    </w:p>
    <w:p w14:paraId="1A608E06" w14:textId="77777777" w:rsidR="00977693" w:rsidRPr="009055A7" w:rsidRDefault="00977693" w:rsidP="00977693">
      <w:pPr>
        <w:widowControl w:val="0"/>
        <w:spacing w:line="360" w:lineRule="auto"/>
        <w:ind w:left="1414"/>
        <w:jc w:val="both"/>
        <w:rPr>
          <w:rFonts w:cs="Arial"/>
          <w:bCs w:val="0"/>
          <w:sz w:val="20"/>
          <w:szCs w:val="20"/>
          <w:lang w:eastAsia="en-GB"/>
        </w:rPr>
      </w:pPr>
    </w:p>
    <w:p w14:paraId="05353906" w14:textId="77777777" w:rsidR="00977693" w:rsidRPr="00CE0885" w:rsidRDefault="00977693" w:rsidP="00E47A71">
      <w:pPr>
        <w:pStyle w:val="Heading2"/>
        <w:rPr>
          <w:lang w:eastAsia="en-GB"/>
        </w:rPr>
      </w:pPr>
      <w:bookmarkStart w:id="910" w:name="_Toc440982453"/>
      <w:bookmarkStart w:id="911" w:name="_Toc498495407"/>
      <w:r w:rsidRPr="00CE0885">
        <w:rPr>
          <w:lang w:eastAsia="en-GB"/>
        </w:rPr>
        <w:t>Notification from a Contractor</w:t>
      </w:r>
      <w:bookmarkEnd w:id="910"/>
      <w:bookmarkEnd w:id="911"/>
    </w:p>
    <w:p w14:paraId="65D96189" w14:textId="77777777" w:rsidR="00977693" w:rsidRPr="00CE0885" w:rsidRDefault="00977693" w:rsidP="00E47A71">
      <w:pPr>
        <w:pStyle w:val="Heading3"/>
        <w:rPr>
          <w:lang w:eastAsia="en-GB"/>
        </w:rPr>
      </w:pPr>
      <w:bookmarkStart w:id="912" w:name="_Toc440982454"/>
      <w:r w:rsidRPr="00CE0885">
        <w:rPr>
          <w:lang w:eastAsia="en-GB"/>
        </w:rPr>
        <w:t>The Commissioner should receive at least three months' notice in writing from the contractor requesting a GMS contract.</w:t>
      </w:r>
      <w:bookmarkEnd w:id="912"/>
      <w:r w:rsidRPr="00CE0885">
        <w:rPr>
          <w:lang w:eastAsia="en-GB"/>
        </w:rPr>
        <w:t xml:space="preserve"> </w:t>
      </w:r>
    </w:p>
    <w:p w14:paraId="5F7FB41D" w14:textId="77777777" w:rsidR="00977693" w:rsidRPr="00CE0885" w:rsidRDefault="00977693" w:rsidP="00E47A71">
      <w:pPr>
        <w:pStyle w:val="Heading3"/>
        <w:rPr>
          <w:lang w:eastAsia="en-GB"/>
        </w:rPr>
      </w:pPr>
      <w:bookmarkStart w:id="913" w:name="_Toc440982455"/>
      <w:r w:rsidRPr="00CE0885">
        <w:rPr>
          <w:lang w:eastAsia="en-GB"/>
        </w:rPr>
        <w:t>The contractor's notice must:</w:t>
      </w:r>
      <w:bookmarkEnd w:id="913"/>
    </w:p>
    <w:p w14:paraId="412D933A" w14:textId="77777777" w:rsidR="00977693" w:rsidRPr="00E47A71" w:rsidRDefault="00977693" w:rsidP="005A7DDA">
      <w:pPr>
        <w:pStyle w:val="ListParagraph"/>
        <w:widowControl w:val="0"/>
        <w:numPr>
          <w:ilvl w:val="0"/>
          <w:numId w:val="112"/>
        </w:numPr>
        <w:spacing w:line="360" w:lineRule="auto"/>
        <w:jc w:val="both"/>
        <w:outlineLvl w:val="2"/>
        <w:rPr>
          <w:rFonts w:cs="Arial"/>
          <w:bCs w:val="0"/>
          <w:szCs w:val="24"/>
          <w:lang w:eastAsia="en-GB"/>
        </w:rPr>
      </w:pPr>
      <w:bookmarkStart w:id="914" w:name="_Toc440982456"/>
      <w:r w:rsidRPr="00E47A71">
        <w:rPr>
          <w:rFonts w:cs="Arial"/>
          <w:bCs w:val="0"/>
          <w:szCs w:val="24"/>
          <w:lang w:eastAsia="en-GB"/>
        </w:rPr>
        <w:t>state that the contractor wishes to terminate the PMS agreement;</w:t>
      </w:r>
      <w:bookmarkEnd w:id="914"/>
    </w:p>
    <w:p w14:paraId="0C75F7FB" w14:textId="77777777" w:rsidR="00977693" w:rsidRPr="00E47A71" w:rsidRDefault="00977693" w:rsidP="005A7DDA">
      <w:pPr>
        <w:pStyle w:val="ListParagraph"/>
        <w:widowControl w:val="0"/>
        <w:numPr>
          <w:ilvl w:val="0"/>
          <w:numId w:val="112"/>
        </w:numPr>
        <w:spacing w:line="360" w:lineRule="auto"/>
        <w:jc w:val="both"/>
        <w:outlineLvl w:val="2"/>
        <w:rPr>
          <w:rFonts w:cs="Arial"/>
          <w:bCs w:val="0"/>
          <w:szCs w:val="24"/>
          <w:lang w:eastAsia="en-GB"/>
        </w:rPr>
      </w:pPr>
      <w:bookmarkStart w:id="915" w:name="_Toc440982457"/>
      <w:r w:rsidRPr="00E47A71">
        <w:rPr>
          <w:rFonts w:cs="Arial"/>
          <w:bCs w:val="0"/>
          <w:szCs w:val="24"/>
          <w:lang w:eastAsia="en-GB"/>
        </w:rPr>
        <w:t>state the date on which the contractor wishes the PMS agreement to terminate which must be at least three months after the date of service of the notice;</w:t>
      </w:r>
      <w:bookmarkEnd w:id="915"/>
    </w:p>
    <w:p w14:paraId="24B71ED8" w14:textId="77777777" w:rsidR="00977693" w:rsidRPr="00E47A71" w:rsidRDefault="00977693" w:rsidP="005A7DDA">
      <w:pPr>
        <w:pStyle w:val="ListParagraph"/>
        <w:widowControl w:val="0"/>
        <w:numPr>
          <w:ilvl w:val="0"/>
          <w:numId w:val="112"/>
        </w:numPr>
        <w:spacing w:line="360" w:lineRule="auto"/>
        <w:jc w:val="both"/>
        <w:outlineLvl w:val="2"/>
        <w:rPr>
          <w:rFonts w:cs="Arial"/>
          <w:bCs w:val="0"/>
          <w:szCs w:val="24"/>
          <w:lang w:eastAsia="en-GB"/>
        </w:rPr>
      </w:pPr>
      <w:bookmarkStart w:id="916" w:name="_Toc440982458"/>
      <w:r w:rsidRPr="00E47A71">
        <w:rPr>
          <w:rFonts w:cs="Arial"/>
          <w:bCs w:val="0"/>
          <w:szCs w:val="24"/>
          <w:lang w:eastAsia="en-GB"/>
        </w:rPr>
        <w:t>give the name of the person(s) with whom the contractor wishes the Commissioner to enter into a GMS contract (a person's name may only be given in a notice if that person is a party to the PMS agreement); and</w:t>
      </w:r>
      <w:bookmarkEnd w:id="916"/>
    </w:p>
    <w:p w14:paraId="202702F6" w14:textId="77777777" w:rsidR="00977693" w:rsidRPr="00E47A71" w:rsidRDefault="00977693" w:rsidP="005A7DDA">
      <w:pPr>
        <w:pStyle w:val="ListParagraph"/>
        <w:widowControl w:val="0"/>
        <w:numPr>
          <w:ilvl w:val="0"/>
          <w:numId w:val="112"/>
        </w:numPr>
        <w:spacing w:line="360" w:lineRule="auto"/>
        <w:jc w:val="both"/>
        <w:outlineLvl w:val="2"/>
        <w:rPr>
          <w:rFonts w:cs="Arial"/>
          <w:bCs w:val="0"/>
          <w:szCs w:val="24"/>
          <w:lang w:eastAsia="en-GB"/>
        </w:rPr>
      </w:pPr>
      <w:bookmarkStart w:id="917" w:name="_Toc440982459"/>
      <w:r w:rsidRPr="00E47A71">
        <w:rPr>
          <w:rFonts w:cs="Arial"/>
          <w:bCs w:val="0"/>
          <w:szCs w:val="24"/>
          <w:lang w:eastAsia="en-GB"/>
        </w:rPr>
        <w:t>confirm that the person(s) named meet the conditions set out in section 86 of the NHS Act (persons eligible to enter into GMS contracts) and regulations 4 and 5 (where applicable) of the GMS Regulations or, where the contractor is not able to confirm, the reason why it is not able to do so and confirmation that the person(s) immediately prior to entering into the GMS contract will meet those conditions.</w:t>
      </w:r>
      <w:bookmarkEnd w:id="917"/>
    </w:p>
    <w:p w14:paraId="13A95D94" w14:textId="77777777" w:rsidR="00977693" w:rsidRPr="009055A7" w:rsidRDefault="00977693" w:rsidP="00977693">
      <w:pPr>
        <w:widowControl w:val="0"/>
        <w:spacing w:line="360" w:lineRule="auto"/>
        <w:ind w:left="2268"/>
        <w:jc w:val="both"/>
        <w:rPr>
          <w:rFonts w:cs="Arial"/>
          <w:bCs w:val="0"/>
          <w:sz w:val="20"/>
          <w:szCs w:val="20"/>
          <w:lang w:eastAsia="en-GB"/>
        </w:rPr>
      </w:pPr>
    </w:p>
    <w:p w14:paraId="6377B1CF" w14:textId="77777777" w:rsidR="00977693" w:rsidRPr="00CE0885" w:rsidRDefault="00977693" w:rsidP="00E47A71">
      <w:pPr>
        <w:pStyle w:val="Heading2"/>
        <w:rPr>
          <w:lang w:eastAsia="en-GB"/>
        </w:rPr>
      </w:pPr>
      <w:bookmarkStart w:id="918" w:name="_Toc440982460"/>
      <w:bookmarkStart w:id="919" w:name="_Toc498495408"/>
      <w:r w:rsidRPr="00CE0885">
        <w:rPr>
          <w:lang w:eastAsia="en-GB"/>
        </w:rPr>
        <w:t>Process for PMS Agreements</w:t>
      </w:r>
      <w:bookmarkEnd w:id="918"/>
      <w:bookmarkEnd w:id="919"/>
    </w:p>
    <w:p w14:paraId="01ED3123" w14:textId="77777777" w:rsidR="00977693" w:rsidRPr="00CE0885" w:rsidRDefault="00977693" w:rsidP="00E47A71">
      <w:pPr>
        <w:pStyle w:val="Heading3"/>
        <w:rPr>
          <w:lang w:eastAsia="en-GB"/>
        </w:rPr>
      </w:pPr>
      <w:bookmarkStart w:id="920" w:name="_Toc440982461"/>
      <w:r w:rsidRPr="00CE0885">
        <w:rPr>
          <w:lang w:eastAsia="en-GB"/>
        </w:rPr>
        <w:t>The Commissioner must acknowledge receipt of the notice within seven days beginning on the day it received the notice.</w:t>
      </w:r>
      <w:bookmarkEnd w:id="920"/>
      <w:r w:rsidRPr="00CE0885">
        <w:rPr>
          <w:lang w:eastAsia="en-GB"/>
        </w:rPr>
        <w:t xml:space="preserve"> </w:t>
      </w:r>
    </w:p>
    <w:p w14:paraId="0382C484" w14:textId="77777777" w:rsidR="00977693" w:rsidRPr="00CE0885" w:rsidRDefault="00977693" w:rsidP="00E47A71">
      <w:pPr>
        <w:pStyle w:val="Heading3"/>
        <w:rPr>
          <w:lang w:eastAsia="en-GB"/>
        </w:rPr>
      </w:pPr>
      <w:bookmarkStart w:id="921" w:name="_Toc440982462"/>
      <w:r w:rsidRPr="00CE0885">
        <w:rPr>
          <w:lang w:eastAsia="en-GB"/>
        </w:rPr>
        <w:t xml:space="preserve">While it is not a requirement of the PMS Regulations, when the Commissioner receives such a notice it should discuss the full implications of this action with the contractor to ensure the contractor has fully understood the necessary changes to the contractual income streams (see paragraph </w:t>
      </w:r>
      <w:r w:rsidRPr="00CE0885">
        <w:rPr>
          <w:lang w:eastAsia="en-GB"/>
        </w:rPr>
        <w:fldChar w:fldCharType="begin"/>
      </w:r>
      <w:r w:rsidRPr="00CE0885">
        <w:rPr>
          <w:lang w:eastAsia="en-GB"/>
        </w:rPr>
        <w:instrText xml:space="preserve"> REF _Ref411025802 \r \h  \* MERGEFORMAT </w:instrText>
      </w:r>
      <w:r w:rsidRPr="00CE0885">
        <w:rPr>
          <w:lang w:eastAsia="en-GB"/>
        </w:rPr>
      </w:r>
      <w:r w:rsidRPr="00CE0885">
        <w:rPr>
          <w:lang w:eastAsia="en-GB"/>
        </w:rPr>
        <w:fldChar w:fldCharType="separate"/>
      </w:r>
      <w:r w:rsidR="00622FF2">
        <w:rPr>
          <w:lang w:eastAsia="en-GB"/>
        </w:rPr>
        <w:t>8.5.4</w:t>
      </w:r>
      <w:r w:rsidRPr="00CE0885">
        <w:rPr>
          <w:lang w:eastAsia="en-GB"/>
        </w:rPr>
        <w:fldChar w:fldCharType="end"/>
      </w:r>
      <w:r w:rsidRPr="00CE0885">
        <w:rPr>
          <w:lang w:eastAsia="en-GB"/>
        </w:rPr>
        <w:t>) and should advise the contractor to seek their own independent advice.</w:t>
      </w:r>
      <w:bookmarkEnd w:id="921"/>
    </w:p>
    <w:p w14:paraId="4AB9A34B" w14:textId="45035232" w:rsidR="00977693" w:rsidRPr="00CE0885" w:rsidRDefault="00977693" w:rsidP="00E47A71">
      <w:pPr>
        <w:pStyle w:val="Heading3"/>
        <w:rPr>
          <w:lang w:eastAsia="en-GB"/>
        </w:rPr>
      </w:pPr>
      <w:bookmarkStart w:id="922" w:name="_Toc440982463"/>
      <w:r w:rsidRPr="00CE0885">
        <w:rPr>
          <w:lang w:eastAsia="en-GB"/>
        </w:rPr>
        <w:t xml:space="preserve">The Commissioner will check that all necessary information has been provided in the contractor's notice and undertake a review of the PMS agreement to establish if the contractor provides essential services; and if they are eligible to hold a GMS contract (as set out in section 86 of the NHS Act (persons eligible to enter into GMS contracts) and regulations 4 and 5 of the GMS Regulations. This information can also be found in </w:t>
      </w:r>
      <w:r w:rsidR="00A114DF">
        <w:rPr>
          <w:lang w:eastAsia="en-GB"/>
        </w:rPr>
        <w:t xml:space="preserve">the ‘Contracts Described’ </w:t>
      </w:r>
      <w:r w:rsidR="00BC5F9C">
        <w:rPr>
          <w:lang w:eastAsia="en-GB"/>
        </w:rPr>
        <w:t>chapter</w:t>
      </w:r>
      <w:r w:rsidRPr="00CE0885">
        <w:rPr>
          <w:b/>
          <w:lang w:eastAsia="en-GB"/>
        </w:rPr>
        <w:t>.</w:t>
      </w:r>
      <w:bookmarkEnd w:id="922"/>
    </w:p>
    <w:p w14:paraId="4EBA4C94" w14:textId="77777777" w:rsidR="00977693" w:rsidRPr="00CE0885" w:rsidRDefault="00977693" w:rsidP="00E47A71">
      <w:pPr>
        <w:pStyle w:val="Heading3"/>
        <w:rPr>
          <w:lang w:eastAsia="en-GB"/>
        </w:rPr>
      </w:pPr>
      <w:bookmarkStart w:id="923" w:name="_Ref411025802"/>
      <w:bookmarkStart w:id="924" w:name="_Toc440982464"/>
      <w:r w:rsidRPr="00CE0885">
        <w:rPr>
          <w:lang w:eastAsia="en-GB"/>
        </w:rPr>
        <w:t>The Commissioner must apply the GMS SFE on first setting up a GMS contract and calculating the global sum monthly payment.  Whilst a PMS contractor has the right to a GMS contract, there is no entitlement for the contractor to carry the same funding arrangements it had under the PMS agreement into that GMS contract. GMS contracts are funded according to terms set out in the GMS SFE while PMS agreements are funded through local agreement. There is the discretion to agree additional payments under GMS arrangements outwith the GMS SFE which are not necessarily payable under the GMS SFE. It is essential that the Commissioner has ascertained the financial impact of this decision of the contractor to move to a GMS contract.</w:t>
      </w:r>
      <w:bookmarkEnd w:id="923"/>
      <w:bookmarkEnd w:id="924"/>
    </w:p>
    <w:p w14:paraId="5C189A3D" w14:textId="77777777" w:rsidR="00977693" w:rsidRPr="00CE0885" w:rsidRDefault="00977693" w:rsidP="00E47A71">
      <w:pPr>
        <w:pStyle w:val="Heading3"/>
        <w:rPr>
          <w:lang w:eastAsia="en-GB"/>
        </w:rPr>
      </w:pPr>
      <w:bookmarkStart w:id="925" w:name="_Toc440982465"/>
      <w:r w:rsidRPr="00CE0885">
        <w:rPr>
          <w:lang w:eastAsia="en-GB"/>
        </w:rPr>
        <w:t>If the contractor does not provide essential services, the Commissioner must notify the contractor that they are not entitled to transfer to a GMS contract. A template letter is provided in Annex 1.</w:t>
      </w:r>
      <w:bookmarkEnd w:id="925"/>
      <w:r w:rsidRPr="00CE0885">
        <w:rPr>
          <w:lang w:eastAsia="en-GB"/>
        </w:rPr>
        <w:t xml:space="preserve">  </w:t>
      </w:r>
    </w:p>
    <w:p w14:paraId="36E1F326" w14:textId="77777777" w:rsidR="00977693" w:rsidRPr="00CE0885" w:rsidRDefault="00977693" w:rsidP="00E47A71">
      <w:pPr>
        <w:pStyle w:val="Heading3"/>
        <w:rPr>
          <w:lang w:eastAsia="en-GB"/>
        </w:rPr>
      </w:pPr>
      <w:bookmarkStart w:id="926" w:name="_Toc440982466"/>
      <w:r w:rsidRPr="00CE0885">
        <w:rPr>
          <w:lang w:eastAsia="en-GB"/>
        </w:rPr>
        <w:t>If the contractor is not eligible to hold a GMS contract the Commissioner must refuse to enter into a GMS contract. A template letter is provided in Annex 2.</w:t>
      </w:r>
      <w:bookmarkEnd w:id="926"/>
    </w:p>
    <w:p w14:paraId="1539BC3E" w14:textId="77777777" w:rsidR="00977693" w:rsidRPr="00CE0885" w:rsidRDefault="00977693" w:rsidP="00E47A71">
      <w:pPr>
        <w:pStyle w:val="Heading3"/>
        <w:rPr>
          <w:lang w:eastAsia="en-GB"/>
        </w:rPr>
      </w:pPr>
      <w:bookmarkStart w:id="927" w:name="_Toc440982467"/>
      <w:r w:rsidRPr="00CE0885">
        <w:rPr>
          <w:lang w:eastAsia="en-GB"/>
        </w:rPr>
        <w:t>If the Commissioner confirms that the contractor provides essential services and is eligible to hold a GMS contract under section 86 of the NHS Act and regulations 4 and 5 of the GMS Regulations, the Commissioner will acknowledge receipt of the notice and outline the next steps within seven days of receipt of the notice. A template letter is provided in Annex 3.</w:t>
      </w:r>
      <w:bookmarkEnd w:id="927"/>
    </w:p>
    <w:p w14:paraId="62F75C48" w14:textId="77777777" w:rsidR="00977693" w:rsidRPr="00CE0885" w:rsidRDefault="00977693" w:rsidP="00E47A71">
      <w:pPr>
        <w:pStyle w:val="Heading3"/>
        <w:rPr>
          <w:lang w:eastAsia="en-GB"/>
        </w:rPr>
      </w:pPr>
      <w:bookmarkStart w:id="928" w:name="_Toc440982468"/>
      <w:r w:rsidRPr="00CE0885">
        <w:rPr>
          <w:lang w:eastAsia="en-GB"/>
        </w:rPr>
        <w:t>The GMS contract will start immediately after the termination of the PMS agreement. The GMS contract start date should be the date set out in the notice to the Commissioner unless a different date is agreed by the parties. The GMS contract will include all the terms required by the GMS Regulations.</w:t>
      </w:r>
      <w:bookmarkEnd w:id="928"/>
      <w:r w:rsidRPr="00CE0885">
        <w:rPr>
          <w:lang w:eastAsia="en-GB"/>
        </w:rPr>
        <w:t xml:space="preserve"> </w:t>
      </w:r>
    </w:p>
    <w:p w14:paraId="469C141E" w14:textId="77777777" w:rsidR="00977693" w:rsidRPr="00CE0885" w:rsidRDefault="00977693" w:rsidP="00E47A71">
      <w:pPr>
        <w:pStyle w:val="Heading3"/>
        <w:rPr>
          <w:lang w:eastAsia="en-GB"/>
        </w:rPr>
      </w:pPr>
      <w:bookmarkStart w:id="929" w:name="_Toc440982469"/>
      <w:r w:rsidRPr="00CE0885">
        <w:rPr>
          <w:lang w:eastAsia="en-GB"/>
        </w:rPr>
        <w:t>The new GMS contract must require the provision of the same services that were commissioned by NHS England (or a CCG under co-commissioning arrangements) under the PMS agreement and were provided by the contractor immediately prior to the PMS agreement terminating, unless the parties otherwise agree.</w:t>
      </w:r>
      <w:bookmarkEnd w:id="929"/>
      <w:r w:rsidRPr="00CE0885">
        <w:rPr>
          <w:lang w:eastAsia="en-GB"/>
        </w:rPr>
        <w:t xml:space="preserve"> </w:t>
      </w:r>
    </w:p>
    <w:p w14:paraId="6CBC9431" w14:textId="77777777" w:rsidR="00977693" w:rsidRPr="00CE0885" w:rsidRDefault="00977693" w:rsidP="00E47A71">
      <w:pPr>
        <w:pStyle w:val="Heading3"/>
        <w:rPr>
          <w:lang w:eastAsia="en-GB"/>
        </w:rPr>
      </w:pPr>
      <w:bookmarkStart w:id="930" w:name="_Toc440982470"/>
      <w:r w:rsidRPr="00CE0885">
        <w:rPr>
          <w:lang w:eastAsia="en-GB"/>
        </w:rPr>
        <w:t>The names of the patients included in the contractor's list of patients immediately before the PMS agreement termination must be included in the first list of patients prepared and maintained by the Commissioner.</w:t>
      </w:r>
      <w:bookmarkEnd w:id="930"/>
      <w:r w:rsidRPr="00CE0885">
        <w:rPr>
          <w:lang w:eastAsia="en-GB"/>
        </w:rPr>
        <w:t xml:space="preserve"> </w:t>
      </w:r>
    </w:p>
    <w:p w14:paraId="198E1F14" w14:textId="77777777" w:rsidR="00977693" w:rsidRPr="00CE0885" w:rsidRDefault="00977693" w:rsidP="00E47A71">
      <w:pPr>
        <w:pStyle w:val="Heading3"/>
        <w:rPr>
          <w:lang w:eastAsia="en-GB"/>
        </w:rPr>
      </w:pPr>
      <w:bookmarkStart w:id="931" w:name="_Toc440982471"/>
      <w:r w:rsidRPr="00CE0885">
        <w:rPr>
          <w:lang w:eastAsia="en-GB"/>
        </w:rPr>
        <w:t>The out of hours services must be the same as were provided under the PMS agreement before it terminated.</w:t>
      </w:r>
      <w:bookmarkEnd w:id="931"/>
    </w:p>
    <w:p w14:paraId="7C4AFEBB" w14:textId="77777777" w:rsidR="00977693" w:rsidRPr="00CE0885" w:rsidRDefault="00977693" w:rsidP="00E47A71">
      <w:pPr>
        <w:pStyle w:val="Heading3"/>
        <w:rPr>
          <w:lang w:eastAsia="en-GB"/>
        </w:rPr>
      </w:pPr>
      <w:bookmarkStart w:id="932" w:name="_Toc440982472"/>
      <w:r w:rsidRPr="00CE0885">
        <w:rPr>
          <w:lang w:eastAsia="en-GB"/>
        </w:rPr>
        <w:t>The Commissioner must use the current standard GMS contract ensuring that it is amended to the specific contractor.</w:t>
      </w:r>
      <w:bookmarkEnd w:id="932"/>
      <w:r w:rsidRPr="00CE0885">
        <w:rPr>
          <w:lang w:eastAsia="en-GB"/>
        </w:rPr>
        <w:t xml:space="preserve"> </w:t>
      </w:r>
    </w:p>
    <w:p w14:paraId="641B3C2D" w14:textId="77777777" w:rsidR="00977693" w:rsidRPr="00CE0885" w:rsidRDefault="00977693" w:rsidP="00E47A71">
      <w:pPr>
        <w:pStyle w:val="Heading3"/>
        <w:rPr>
          <w:lang w:eastAsia="en-GB"/>
        </w:rPr>
      </w:pPr>
      <w:bookmarkStart w:id="933" w:name="_Toc440982473"/>
      <w:r w:rsidRPr="00CE0885">
        <w:rPr>
          <w:lang w:eastAsia="en-GB"/>
        </w:rPr>
        <w:t>Once a GMS contract is agreed and entered into and the PMS agreement has terminated, the Commissioner must ensure all nationally held records of the contractor’s status are adjusted appropriately. This must include, but not be limited to, changing the contractor’s status on QMAS/CQRS, from PMS to GMS, to ensure that the correct quality and outcomes framework calculations are completed at year end and any contractual payment systems used, (i.e. Exeter).</w:t>
      </w:r>
      <w:bookmarkEnd w:id="933"/>
    </w:p>
    <w:p w14:paraId="03E06816" w14:textId="77777777" w:rsidR="00977693" w:rsidRPr="00CE0885" w:rsidRDefault="00977693" w:rsidP="00E47A71">
      <w:pPr>
        <w:pStyle w:val="Heading3"/>
        <w:rPr>
          <w:lang w:eastAsia="en-GB"/>
        </w:rPr>
      </w:pPr>
      <w:bookmarkStart w:id="934" w:name="_Toc440982474"/>
      <w:r w:rsidRPr="00CE0885">
        <w:rPr>
          <w:lang w:eastAsia="en-GB"/>
        </w:rPr>
        <w:t>The calculation of the contractor's first Initial Global Sum Monthly Payment must be made in accordance with Part 1 of the GMS SFE.</w:t>
      </w:r>
      <w:bookmarkEnd w:id="934"/>
    </w:p>
    <w:p w14:paraId="5305D062" w14:textId="77777777" w:rsidR="00977693" w:rsidRPr="009055A7" w:rsidRDefault="00977693" w:rsidP="00977693">
      <w:pPr>
        <w:widowControl w:val="0"/>
        <w:spacing w:line="360" w:lineRule="auto"/>
        <w:ind w:left="1414"/>
        <w:jc w:val="both"/>
        <w:rPr>
          <w:rFonts w:cs="Arial"/>
          <w:bCs w:val="0"/>
          <w:sz w:val="20"/>
          <w:szCs w:val="20"/>
          <w:lang w:eastAsia="en-GB"/>
        </w:rPr>
      </w:pPr>
    </w:p>
    <w:p w14:paraId="211828E1" w14:textId="77777777" w:rsidR="00977693" w:rsidRPr="00CE0885" w:rsidRDefault="00977693" w:rsidP="00E47A71">
      <w:pPr>
        <w:pStyle w:val="Heading2"/>
        <w:rPr>
          <w:lang w:eastAsia="en-GB"/>
        </w:rPr>
      </w:pPr>
      <w:bookmarkStart w:id="935" w:name="_Toc440982475"/>
      <w:bookmarkStart w:id="936" w:name="_Toc498495409"/>
      <w:r w:rsidRPr="00CE0885">
        <w:rPr>
          <w:lang w:eastAsia="en-GB"/>
        </w:rPr>
        <w:t>Disputes</w:t>
      </w:r>
      <w:bookmarkEnd w:id="935"/>
      <w:bookmarkEnd w:id="936"/>
    </w:p>
    <w:p w14:paraId="36E4FB15" w14:textId="77777777" w:rsidR="00977693" w:rsidRPr="00CE0885" w:rsidRDefault="00977693" w:rsidP="00E47A71">
      <w:pPr>
        <w:pStyle w:val="Heading3"/>
        <w:rPr>
          <w:lang w:eastAsia="en-GB"/>
        </w:rPr>
      </w:pPr>
      <w:bookmarkStart w:id="937" w:name="_Toc440982476"/>
      <w:r w:rsidRPr="00CE0885">
        <w:rPr>
          <w:lang w:eastAsia="en-GB"/>
        </w:rPr>
        <w:t>Where there is a dispute about whether or not a person satisfies the conditions set out in section 86 of the NHS Act or regulations 4 and 5 of the GMS Regulations, the contractor may appeal to the First-Tier Tribunal.</w:t>
      </w:r>
      <w:bookmarkEnd w:id="937"/>
      <w:r w:rsidRPr="00CE0885">
        <w:rPr>
          <w:lang w:eastAsia="en-GB"/>
        </w:rPr>
        <w:t xml:space="preserve"> </w:t>
      </w:r>
    </w:p>
    <w:p w14:paraId="09812914" w14:textId="77777777" w:rsidR="00977693" w:rsidRPr="00CE0885" w:rsidRDefault="00977693" w:rsidP="00E47A71">
      <w:pPr>
        <w:pStyle w:val="Heading3"/>
        <w:rPr>
          <w:lang w:eastAsia="en-GB"/>
        </w:rPr>
      </w:pPr>
      <w:bookmarkStart w:id="938" w:name="_Toc440982477"/>
      <w:r w:rsidRPr="00CE0885">
        <w:rPr>
          <w:lang w:eastAsia="en-GB"/>
        </w:rPr>
        <w:t>Any other dispute about the GMS contract shall be determined by the Secretary of State (the FHSAU) in accordance with regulation 9(2) and (3) of the GMS Regulations (pre-contract disputes).</w:t>
      </w:r>
      <w:bookmarkEnd w:id="938"/>
      <w:r w:rsidRPr="00CE0885">
        <w:rPr>
          <w:lang w:eastAsia="en-GB"/>
        </w:rPr>
        <w:t xml:space="preserve"> </w:t>
      </w:r>
    </w:p>
    <w:p w14:paraId="3B118C94" w14:textId="77777777" w:rsidR="00977693" w:rsidRPr="00CE0885" w:rsidRDefault="00977693" w:rsidP="00E47A71">
      <w:pPr>
        <w:pStyle w:val="Heading3"/>
        <w:rPr>
          <w:lang w:eastAsia="en-GB"/>
        </w:rPr>
      </w:pPr>
      <w:bookmarkStart w:id="939" w:name="_Toc440982478"/>
      <w:r w:rsidRPr="00CE0885">
        <w:rPr>
          <w:lang w:eastAsia="en-GB"/>
        </w:rPr>
        <w:t>The Commissioner can identify whether the contract is an NHS contract or not by reviewing the agreement. This will enable the Commissioner to identify whether they can apply for NHS dispute resolution (with or without the need for the written consent of the contractor) if appropriate.</w:t>
      </w:r>
      <w:bookmarkEnd w:id="939"/>
    </w:p>
    <w:p w14:paraId="2B4AD8F7" w14:textId="77777777" w:rsidR="00977693" w:rsidRPr="00CE0885" w:rsidRDefault="00977693" w:rsidP="00977693">
      <w:pPr>
        <w:widowControl w:val="0"/>
        <w:spacing w:line="360" w:lineRule="auto"/>
        <w:jc w:val="both"/>
        <w:rPr>
          <w:rFonts w:cs="Arial"/>
          <w:bCs w:val="0"/>
          <w:szCs w:val="24"/>
          <w:lang w:eastAsia="en-GB"/>
        </w:rPr>
      </w:pPr>
    </w:p>
    <w:p w14:paraId="71725558" w14:textId="77777777" w:rsidR="00977693" w:rsidRPr="00CE0885" w:rsidRDefault="00977693" w:rsidP="00977693">
      <w:pPr>
        <w:widowControl w:val="0"/>
        <w:spacing w:line="360" w:lineRule="auto"/>
        <w:jc w:val="both"/>
        <w:rPr>
          <w:rFonts w:cs="Arial"/>
          <w:bCs w:val="0"/>
          <w:szCs w:val="24"/>
          <w:lang w:eastAsia="en-GB"/>
        </w:rPr>
      </w:pPr>
    </w:p>
    <w:p w14:paraId="4A40F419" w14:textId="77777777" w:rsidR="00977693" w:rsidRPr="00CE0885" w:rsidRDefault="00977693" w:rsidP="00977693">
      <w:pPr>
        <w:widowControl w:val="0"/>
        <w:spacing w:line="360" w:lineRule="auto"/>
        <w:jc w:val="both"/>
        <w:rPr>
          <w:rFonts w:cs="Arial"/>
          <w:bCs w:val="0"/>
          <w:szCs w:val="24"/>
          <w:lang w:eastAsia="en-GB"/>
        </w:rPr>
      </w:pPr>
      <w:r w:rsidRPr="00CE0885">
        <w:rPr>
          <w:rFonts w:cs="Arial"/>
          <w:bCs w:val="0"/>
          <w:szCs w:val="24"/>
          <w:lang w:eastAsia="en-GB"/>
        </w:rPr>
        <w:br w:type="page"/>
      </w:r>
    </w:p>
    <w:p w14:paraId="38E148E9" w14:textId="77777777" w:rsidR="00977693" w:rsidRPr="00CE0885" w:rsidRDefault="00977693" w:rsidP="00977693">
      <w:pPr>
        <w:widowControl w:val="0"/>
        <w:autoSpaceDE w:val="0"/>
        <w:autoSpaceDN w:val="0"/>
        <w:adjustRightInd w:val="0"/>
        <w:spacing w:line="360" w:lineRule="auto"/>
        <w:ind w:right="-23"/>
        <w:rPr>
          <w:rFonts w:cs="Arial"/>
          <w:b/>
          <w:bCs w:val="0"/>
          <w:szCs w:val="24"/>
          <w:lang w:eastAsia="en-GB"/>
        </w:rPr>
      </w:pPr>
      <w:r w:rsidRPr="00CE0885">
        <w:rPr>
          <w:rFonts w:cs="Arial"/>
          <w:b/>
          <w:bCs w:val="0"/>
          <w:szCs w:val="24"/>
          <w:lang w:eastAsia="en-GB"/>
        </w:rPr>
        <w:t>Annex 1 - PMS Agreement Transfer to GMS Contract – Template Letter (Essential Services)</w:t>
      </w:r>
    </w:p>
    <w:bookmarkStart w:id="940" w:name="_1557220944"/>
    <w:bookmarkEnd w:id="940"/>
    <w:p w14:paraId="35B6E6B7" w14:textId="415D7474" w:rsidR="00977693" w:rsidRPr="004C2A75" w:rsidRDefault="002306F3" w:rsidP="004C2A75">
      <w:pPr>
        <w:pStyle w:val="ListParagraph"/>
        <w:widowControl w:val="0"/>
        <w:numPr>
          <w:ilvl w:val="0"/>
          <w:numId w:val="155"/>
        </w:numPr>
        <w:tabs>
          <w:tab w:val="left" w:pos="9072"/>
        </w:tabs>
        <w:autoSpaceDE w:val="0"/>
        <w:autoSpaceDN w:val="0"/>
        <w:adjustRightInd w:val="0"/>
        <w:spacing w:line="360" w:lineRule="auto"/>
        <w:ind w:right="-2"/>
        <w:rPr>
          <w:rFonts w:cs="Arial"/>
          <w:bCs w:val="0"/>
          <w:szCs w:val="24"/>
          <w:lang w:eastAsia="en-GB"/>
        </w:rPr>
      </w:pPr>
      <w:r>
        <w:fldChar w:fldCharType="begin"/>
      </w:r>
      <w:r>
        <w:instrText xml:space="preserve"> HYPERLINK "https://www.england.nhs.uk/publication/primary-medical-care-policy-and-guidance-manual-disputes-annexes/" </w:instrText>
      </w:r>
      <w:r>
        <w:fldChar w:fldCharType="separate"/>
      </w:r>
      <w:r w:rsidR="004C2A75">
        <w:rPr>
          <w:rStyle w:val="Hyperlink"/>
          <w:rFonts w:cs="Arial"/>
          <w:bCs w:val="0"/>
          <w:szCs w:val="24"/>
          <w:lang w:eastAsia="en-GB"/>
        </w:rPr>
        <w:t>PMS Agreement Transfer to GMS Contract – Template Letter (Essential Services)</w:t>
      </w:r>
      <w:r>
        <w:rPr>
          <w:rStyle w:val="Hyperlink"/>
          <w:rFonts w:cs="Arial"/>
          <w:bCs w:val="0"/>
          <w:szCs w:val="24"/>
          <w:lang w:eastAsia="en-GB"/>
        </w:rPr>
        <w:fldChar w:fldCharType="end"/>
      </w:r>
      <w:r w:rsidR="006C3892" w:rsidRPr="004C2A75">
        <w:rPr>
          <w:rFonts w:cs="Arial"/>
          <w:bCs w:val="0"/>
          <w:szCs w:val="24"/>
          <w:lang w:eastAsia="en-GB"/>
        </w:rPr>
        <w:br/>
      </w:r>
    </w:p>
    <w:p w14:paraId="44BDCCAD" w14:textId="2975FAF6" w:rsidR="00977693" w:rsidRPr="00CE0885" w:rsidRDefault="00977693" w:rsidP="00977693">
      <w:pPr>
        <w:widowControl w:val="0"/>
        <w:tabs>
          <w:tab w:val="left" w:pos="9072"/>
        </w:tabs>
        <w:autoSpaceDE w:val="0"/>
        <w:autoSpaceDN w:val="0"/>
        <w:adjustRightInd w:val="0"/>
        <w:spacing w:line="360" w:lineRule="auto"/>
        <w:ind w:right="-2"/>
        <w:rPr>
          <w:rFonts w:cs="Arial"/>
          <w:b/>
          <w:bCs w:val="0"/>
          <w:szCs w:val="24"/>
          <w:lang w:eastAsia="en-GB"/>
        </w:rPr>
      </w:pPr>
      <w:r w:rsidRPr="00CE0885">
        <w:rPr>
          <w:rFonts w:cs="Arial"/>
          <w:b/>
          <w:bCs w:val="0"/>
          <w:szCs w:val="24"/>
          <w:lang w:eastAsia="en-GB"/>
        </w:rPr>
        <w:t xml:space="preserve">Annex 2 </w:t>
      </w:r>
      <w:r w:rsidR="006C3892">
        <w:rPr>
          <w:rFonts w:cs="Arial"/>
          <w:b/>
          <w:bCs w:val="0"/>
          <w:szCs w:val="24"/>
          <w:lang w:eastAsia="en-GB"/>
        </w:rPr>
        <w:t xml:space="preserve">- </w:t>
      </w:r>
      <w:r w:rsidRPr="00CE0885">
        <w:rPr>
          <w:rFonts w:cs="Arial"/>
          <w:b/>
          <w:bCs w:val="0"/>
          <w:szCs w:val="24"/>
          <w:lang w:eastAsia="en-GB"/>
        </w:rPr>
        <w:t>PMS Agreement Transfer to GMS Contract – Template Letter (Eligible Persons)</w:t>
      </w:r>
    </w:p>
    <w:bookmarkStart w:id="941" w:name="_1557220964"/>
    <w:bookmarkEnd w:id="941"/>
    <w:p w14:paraId="6E84D320" w14:textId="434DF990" w:rsidR="004C2A75" w:rsidRPr="006C3892" w:rsidRDefault="002306F3" w:rsidP="006C3892">
      <w:pPr>
        <w:pStyle w:val="ListParagraph"/>
        <w:widowControl w:val="0"/>
        <w:numPr>
          <w:ilvl w:val="0"/>
          <w:numId w:val="155"/>
        </w:numPr>
        <w:tabs>
          <w:tab w:val="left" w:pos="9072"/>
        </w:tabs>
        <w:autoSpaceDE w:val="0"/>
        <w:autoSpaceDN w:val="0"/>
        <w:adjustRightInd w:val="0"/>
        <w:spacing w:line="360" w:lineRule="auto"/>
        <w:ind w:right="-2"/>
        <w:rPr>
          <w:rFonts w:cs="Arial"/>
          <w:bCs w:val="0"/>
          <w:szCs w:val="24"/>
          <w:lang w:eastAsia="en-GB"/>
        </w:rPr>
      </w:pPr>
      <w:r>
        <w:fldChar w:fldCharType="begin"/>
      </w:r>
      <w:r>
        <w:instrText xml:space="preserve"> HYPERLINK "https://www.england.nhs.uk/publication/primary-medical-care-policy-and-guidance-manual-disputes-annexes/" </w:instrText>
      </w:r>
      <w:r>
        <w:fldChar w:fldCharType="separate"/>
      </w:r>
      <w:r w:rsidR="004C2A75">
        <w:rPr>
          <w:rStyle w:val="Hyperlink"/>
          <w:rFonts w:cs="Arial"/>
          <w:bCs w:val="0"/>
          <w:szCs w:val="24"/>
          <w:lang w:eastAsia="en-GB"/>
        </w:rPr>
        <w:t>PMS Agreement Transfer to GMS Contract – Template Letter (Eligible Person)</w:t>
      </w:r>
      <w:r>
        <w:rPr>
          <w:rStyle w:val="Hyperlink"/>
          <w:rFonts w:cs="Arial"/>
          <w:bCs w:val="0"/>
          <w:szCs w:val="24"/>
          <w:lang w:eastAsia="en-GB"/>
        </w:rPr>
        <w:fldChar w:fldCharType="end"/>
      </w:r>
    </w:p>
    <w:p w14:paraId="4061ECA7" w14:textId="30E776EF" w:rsidR="00977693" w:rsidRPr="00CE0885" w:rsidRDefault="00977693" w:rsidP="00977693">
      <w:pPr>
        <w:widowControl w:val="0"/>
        <w:tabs>
          <w:tab w:val="left" w:pos="9072"/>
        </w:tabs>
        <w:autoSpaceDE w:val="0"/>
        <w:autoSpaceDN w:val="0"/>
        <w:adjustRightInd w:val="0"/>
        <w:spacing w:line="360" w:lineRule="auto"/>
        <w:ind w:right="-2"/>
        <w:rPr>
          <w:rFonts w:cs="Arial"/>
          <w:b/>
          <w:bCs w:val="0"/>
          <w:szCs w:val="24"/>
          <w:lang w:eastAsia="en-GB"/>
        </w:rPr>
      </w:pPr>
    </w:p>
    <w:p w14:paraId="07C09A6A" w14:textId="7A3DA1D2" w:rsidR="00977693" w:rsidRPr="00CE0885" w:rsidRDefault="006C3892" w:rsidP="00977693">
      <w:pPr>
        <w:widowControl w:val="0"/>
        <w:tabs>
          <w:tab w:val="left" w:pos="9072"/>
        </w:tabs>
        <w:autoSpaceDE w:val="0"/>
        <w:autoSpaceDN w:val="0"/>
        <w:adjustRightInd w:val="0"/>
        <w:spacing w:line="360" w:lineRule="auto"/>
        <w:ind w:right="-2"/>
        <w:rPr>
          <w:rFonts w:cs="Arial"/>
          <w:b/>
          <w:bCs w:val="0"/>
          <w:szCs w:val="24"/>
          <w:lang w:eastAsia="en-GB"/>
        </w:rPr>
      </w:pPr>
      <w:r>
        <w:rPr>
          <w:rFonts w:cs="Arial"/>
          <w:b/>
          <w:bCs w:val="0"/>
          <w:szCs w:val="24"/>
          <w:lang w:eastAsia="en-GB"/>
        </w:rPr>
        <w:t xml:space="preserve">Annex 3 - </w:t>
      </w:r>
      <w:r w:rsidR="00977693" w:rsidRPr="00CE0885">
        <w:rPr>
          <w:rFonts w:cs="Arial"/>
          <w:b/>
          <w:bCs w:val="0"/>
          <w:szCs w:val="24"/>
          <w:lang w:eastAsia="en-GB"/>
        </w:rPr>
        <w:t>PMS Agreement Transfer to GMS Contract – Template Letter</w:t>
      </w:r>
    </w:p>
    <w:p w14:paraId="216BE57A" w14:textId="06060A18" w:rsidR="004C2A75" w:rsidRPr="006C3892" w:rsidRDefault="000E7846" w:rsidP="006C3892">
      <w:pPr>
        <w:pStyle w:val="ListParagraph"/>
        <w:widowControl w:val="0"/>
        <w:numPr>
          <w:ilvl w:val="0"/>
          <w:numId w:val="155"/>
        </w:numPr>
        <w:tabs>
          <w:tab w:val="left" w:pos="9072"/>
        </w:tabs>
        <w:autoSpaceDE w:val="0"/>
        <w:autoSpaceDN w:val="0"/>
        <w:adjustRightInd w:val="0"/>
        <w:spacing w:line="360" w:lineRule="auto"/>
        <w:ind w:right="-2"/>
        <w:rPr>
          <w:rFonts w:cs="Arial"/>
          <w:bCs w:val="0"/>
          <w:szCs w:val="24"/>
          <w:lang w:eastAsia="en-GB"/>
        </w:rPr>
      </w:pPr>
      <w:hyperlink r:id="rId96" w:history="1">
        <w:r w:rsidR="004C2A75">
          <w:rPr>
            <w:rStyle w:val="Hyperlink"/>
            <w:rFonts w:cs="Arial"/>
            <w:bCs w:val="0"/>
            <w:szCs w:val="24"/>
            <w:lang w:eastAsia="en-GB"/>
          </w:rPr>
          <w:t>PMS Agreement Transfer to GMS Contract – Template Letter</w:t>
        </w:r>
      </w:hyperlink>
    </w:p>
    <w:p w14:paraId="02F07C86" w14:textId="0AC684D3" w:rsidR="00977693" w:rsidRPr="00CE0885" w:rsidRDefault="00977693" w:rsidP="00977693">
      <w:pPr>
        <w:widowControl w:val="0"/>
        <w:spacing w:line="360" w:lineRule="auto"/>
        <w:jc w:val="both"/>
        <w:rPr>
          <w:rFonts w:eastAsia="MS Mincho" w:cs="Arial"/>
          <w:b/>
          <w:bCs w:val="0"/>
          <w:szCs w:val="24"/>
          <w:lang w:eastAsia="en-GB"/>
        </w:rPr>
      </w:pPr>
      <w:bookmarkStart w:id="942" w:name="_1557221025"/>
      <w:bookmarkEnd w:id="942"/>
    </w:p>
    <w:p w14:paraId="5EE5D401" w14:textId="77777777" w:rsidR="00977693" w:rsidRPr="009055A7" w:rsidRDefault="00977693" w:rsidP="00977693">
      <w:pPr>
        <w:spacing w:line="360" w:lineRule="auto"/>
        <w:rPr>
          <w:rFonts w:cs="Arial"/>
        </w:rPr>
      </w:pPr>
    </w:p>
    <w:p w14:paraId="32031477" w14:textId="77777777" w:rsidR="00977693" w:rsidRPr="00CE0885" w:rsidRDefault="00977693" w:rsidP="00977693">
      <w:pPr>
        <w:spacing w:line="360" w:lineRule="auto"/>
        <w:rPr>
          <w:rFonts w:cs="Arial"/>
        </w:rPr>
      </w:pPr>
    </w:p>
    <w:p w14:paraId="36529C93" w14:textId="77777777" w:rsidR="00977693" w:rsidRPr="0015247B" w:rsidRDefault="00977693" w:rsidP="0015247B">
      <w:pPr>
        <w:rPr>
          <w:lang w:eastAsia="en-GB"/>
        </w:rPr>
      </w:pPr>
    </w:p>
    <w:p w14:paraId="1CD25D45" w14:textId="681B4D23" w:rsidR="00A51F6F" w:rsidRPr="00446DA6" w:rsidRDefault="00850B0E" w:rsidP="00A37E23">
      <w:pPr>
        <w:pStyle w:val="Heading1"/>
        <w:numPr>
          <w:ilvl w:val="0"/>
          <w:numId w:val="0"/>
        </w:numPr>
        <w:ind w:left="432"/>
      </w:pPr>
      <w:r>
        <w:br w:type="page"/>
      </w:r>
    </w:p>
    <w:p w14:paraId="5C930183" w14:textId="46086421" w:rsidR="0015247B" w:rsidRDefault="0015247B" w:rsidP="005215BD">
      <w:pPr>
        <w:pStyle w:val="Heading1"/>
        <w:ind w:left="0" w:firstLine="0"/>
        <w:rPr>
          <w:lang w:eastAsia="en-GB"/>
        </w:rPr>
      </w:pPr>
      <w:bookmarkStart w:id="943" w:name="_Toc498495410"/>
      <w:r w:rsidRPr="00446DA6">
        <w:t>Practice Closedown (Planned / Scheduled)</w:t>
      </w:r>
      <w:bookmarkEnd w:id="943"/>
      <w:r w:rsidR="005215BD">
        <w:rPr>
          <w:lang w:eastAsia="en-GB"/>
        </w:rPr>
        <w:t xml:space="preserve"> </w:t>
      </w:r>
    </w:p>
    <w:p w14:paraId="0EADE0D4" w14:textId="77777777" w:rsidR="0015247B" w:rsidRDefault="0015247B" w:rsidP="005215BD">
      <w:pPr>
        <w:rPr>
          <w:lang w:eastAsia="en-GB"/>
        </w:rPr>
      </w:pPr>
    </w:p>
    <w:p w14:paraId="09CB1C30" w14:textId="77777777" w:rsidR="00213D9D" w:rsidRPr="00CE0885" w:rsidRDefault="00213D9D" w:rsidP="005215BD">
      <w:pPr>
        <w:pStyle w:val="Heading2"/>
        <w:ind w:left="0" w:firstLine="0"/>
        <w:rPr>
          <w:lang w:eastAsia="en-GB"/>
        </w:rPr>
      </w:pPr>
      <w:bookmarkStart w:id="944" w:name="_Toc440982858"/>
      <w:bookmarkStart w:id="945" w:name="_Toc498495411"/>
      <w:r w:rsidRPr="00CE0885">
        <w:rPr>
          <w:lang w:eastAsia="en-GB"/>
        </w:rPr>
        <w:t>Introduction</w:t>
      </w:r>
      <w:bookmarkEnd w:id="944"/>
      <w:bookmarkEnd w:id="945"/>
    </w:p>
    <w:p w14:paraId="5005207F" w14:textId="34E6AC58" w:rsidR="00213D9D" w:rsidRPr="00CE0885" w:rsidRDefault="00213D9D" w:rsidP="005215BD">
      <w:pPr>
        <w:pStyle w:val="Heading3"/>
        <w:rPr>
          <w:lang w:eastAsia="en-GB"/>
        </w:rPr>
      </w:pPr>
      <w:r w:rsidRPr="00CE0885">
        <w:rPr>
          <w:lang w:eastAsia="en-GB"/>
        </w:rPr>
        <w:t>This policy outlines the approach to be taken when a time-limited primary medical services contract is coming to an end. Where an urgent contract needs to be put in place</w:t>
      </w:r>
      <w:r w:rsidR="00A114DF">
        <w:rPr>
          <w:lang w:eastAsia="en-GB"/>
        </w:rPr>
        <w:t xml:space="preserve"> </w:t>
      </w:r>
      <w:r w:rsidR="00A114DF">
        <w:rPr>
          <w:spacing w:val="2"/>
          <w:lang w:eastAsia="en-GB"/>
        </w:rPr>
        <w:t>(p</w:t>
      </w:r>
      <w:r w:rsidR="00A114DF" w:rsidRPr="00CE0885">
        <w:rPr>
          <w:lang w:eastAsia="en-GB"/>
        </w:rPr>
        <w:t xml:space="preserve">lease refer to </w:t>
      </w:r>
      <w:r w:rsidR="00A114DF">
        <w:rPr>
          <w:lang w:eastAsia="en-GB"/>
        </w:rPr>
        <w:t>the ‘Contracts Described’ chapter for further information</w:t>
      </w:r>
      <w:r w:rsidR="00A114DF" w:rsidRPr="00CE0885">
        <w:rPr>
          <w:spacing w:val="2"/>
          <w:lang w:eastAsia="en-GB"/>
        </w:rPr>
        <w:t>).</w:t>
      </w:r>
    </w:p>
    <w:p w14:paraId="6FBC97C7" w14:textId="77777777" w:rsidR="00213D9D" w:rsidRPr="00CE0885" w:rsidRDefault="00213D9D" w:rsidP="005215BD">
      <w:pPr>
        <w:widowControl w:val="0"/>
        <w:spacing w:line="360" w:lineRule="auto"/>
        <w:jc w:val="both"/>
        <w:rPr>
          <w:rFonts w:cs="Arial"/>
          <w:bCs w:val="0"/>
          <w:szCs w:val="24"/>
          <w:lang w:eastAsia="en-GB"/>
        </w:rPr>
      </w:pPr>
    </w:p>
    <w:p w14:paraId="31179FDC" w14:textId="77777777" w:rsidR="00213D9D" w:rsidRPr="00CE0885" w:rsidRDefault="00213D9D" w:rsidP="005215BD">
      <w:pPr>
        <w:pStyle w:val="Heading2"/>
        <w:ind w:left="0" w:firstLine="0"/>
        <w:rPr>
          <w:lang w:eastAsia="en-GB"/>
        </w:rPr>
      </w:pPr>
      <w:bookmarkStart w:id="946" w:name="_Toc440982859"/>
      <w:bookmarkStart w:id="947" w:name="_Toc498495412"/>
      <w:r w:rsidRPr="00CE0885">
        <w:rPr>
          <w:lang w:eastAsia="en-GB"/>
        </w:rPr>
        <w:t>Scope</w:t>
      </w:r>
      <w:bookmarkEnd w:id="946"/>
      <w:bookmarkEnd w:id="947"/>
      <w:r w:rsidRPr="00CE0885">
        <w:rPr>
          <w:lang w:eastAsia="en-GB"/>
        </w:rPr>
        <w:t xml:space="preserve"> </w:t>
      </w:r>
    </w:p>
    <w:p w14:paraId="725C8A6B" w14:textId="77777777" w:rsidR="00213D9D" w:rsidRPr="00CE0885" w:rsidRDefault="00213D9D" w:rsidP="005215BD">
      <w:pPr>
        <w:pStyle w:val="Heading3"/>
        <w:rPr>
          <w:lang w:eastAsia="en-GB"/>
        </w:rPr>
      </w:pPr>
      <w:bookmarkStart w:id="948" w:name="_Toc440982860"/>
      <w:r w:rsidRPr="00CE0885">
        <w:rPr>
          <w:lang w:eastAsia="en-GB"/>
        </w:rPr>
        <w:t>Time-limited contracts can be in place regarding GMS, PMS, APMS and where appropriate MCP/PACS contract types. GMS contracts, however, do not usually have an end date but it is possible for a temporary GMS contract to be put in place for a period not exceeding 12 months, for the provision of services to the former patients of a contractor following the termination of that contractor’s contract.</w:t>
      </w:r>
      <w:bookmarkEnd w:id="948"/>
    </w:p>
    <w:p w14:paraId="6337205B" w14:textId="77777777" w:rsidR="00213D9D" w:rsidRPr="00CE0885" w:rsidRDefault="00213D9D" w:rsidP="005215BD">
      <w:pPr>
        <w:pStyle w:val="Heading3"/>
        <w:rPr>
          <w:lang w:eastAsia="en-GB"/>
        </w:rPr>
      </w:pPr>
      <w:bookmarkStart w:id="949" w:name="_Toc440982861"/>
      <w:r w:rsidRPr="00CE0885">
        <w:rPr>
          <w:lang w:eastAsia="en-GB"/>
        </w:rPr>
        <w:t>PMS agreements may be</w:t>
      </w:r>
      <w:r w:rsidRPr="00CE0885">
        <w:rPr>
          <w:b/>
          <w:lang w:eastAsia="en-GB"/>
        </w:rPr>
        <w:t xml:space="preserve"> </w:t>
      </w:r>
      <w:r w:rsidRPr="00CE0885">
        <w:rPr>
          <w:lang w:eastAsia="en-GB"/>
        </w:rPr>
        <w:t>in perpetuity or for a time limited period. Commissioners should review the relevant PMS agreement to establish if there is a defined end-date.</w:t>
      </w:r>
      <w:bookmarkEnd w:id="949"/>
    </w:p>
    <w:p w14:paraId="54E13C11" w14:textId="77777777" w:rsidR="00213D9D" w:rsidRPr="00CE0885" w:rsidRDefault="00213D9D" w:rsidP="005215BD">
      <w:pPr>
        <w:pStyle w:val="Heading3"/>
        <w:rPr>
          <w:lang w:eastAsia="en-GB"/>
        </w:rPr>
      </w:pPr>
      <w:bookmarkStart w:id="950" w:name="_Toc440982862"/>
      <w:r w:rsidRPr="00CE0885">
        <w:rPr>
          <w:lang w:eastAsia="en-GB"/>
        </w:rPr>
        <w:t>APMS contracts tend to be for a fixed-term period of three to five years, often with an option to extend for a maximum of a further two years. The main purpose for time limiting these contracts was to provide commissioners the scope for testing the market and ensuring value for money.</w:t>
      </w:r>
      <w:bookmarkEnd w:id="950"/>
    </w:p>
    <w:p w14:paraId="5FCA3F6D" w14:textId="77777777" w:rsidR="00213D9D" w:rsidRPr="00CE0885" w:rsidRDefault="00213D9D" w:rsidP="005215BD">
      <w:pPr>
        <w:pStyle w:val="Heading3"/>
        <w:rPr>
          <w:lang w:eastAsia="en-GB"/>
        </w:rPr>
      </w:pPr>
      <w:bookmarkStart w:id="951" w:name="_Toc440982863"/>
      <w:r w:rsidRPr="00CE0885">
        <w:rPr>
          <w:lang w:eastAsia="en-GB"/>
        </w:rPr>
        <w:t>In each of the cases above there are generic principles that will apply and individual circumstances that will need to be considered. This policy covers the steps to be taken in advance of the end of any contract and will support the Commissioner in planning procurement cycles and future service provision.</w:t>
      </w:r>
      <w:bookmarkEnd w:id="951"/>
    </w:p>
    <w:p w14:paraId="6CF01DF9" w14:textId="77777777" w:rsidR="00213D9D" w:rsidRPr="00CE0885" w:rsidRDefault="00213D9D" w:rsidP="005215BD">
      <w:pPr>
        <w:pStyle w:val="Heading3"/>
        <w:rPr>
          <w:lang w:eastAsia="en-GB"/>
        </w:rPr>
      </w:pPr>
      <w:bookmarkStart w:id="952" w:name="_Toc440982864"/>
      <w:r w:rsidRPr="00CE0885">
        <w:rPr>
          <w:lang w:eastAsia="en-GB"/>
        </w:rPr>
        <w:t>The Commissioner must consider whether the expiring contract contains provisions relating to the end of the contract that impact on any practice closedown actions. The NHS England Standard GMS Contract 2014/15 and the NHS England Standard APMS Contract 2014/15 contain provisions relating to the consequences of termination including a requirement that the contractor co-operates with the Commissioner and arrangements for a financial reconciliation exercise.</w:t>
      </w:r>
      <w:bookmarkEnd w:id="952"/>
    </w:p>
    <w:p w14:paraId="52BAD071" w14:textId="77777777" w:rsidR="00213D9D" w:rsidRPr="00CE0885" w:rsidRDefault="00213D9D" w:rsidP="005215BD">
      <w:pPr>
        <w:pStyle w:val="Heading3"/>
        <w:rPr>
          <w:lang w:eastAsia="en-GB"/>
        </w:rPr>
      </w:pPr>
      <w:bookmarkStart w:id="953" w:name="_Toc440982865"/>
      <w:r w:rsidRPr="00CE0885">
        <w:rPr>
          <w:lang w:eastAsia="en-GB"/>
        </w:rPr>
        <w:t>Contracts may come to an end by reasons other than by expiry including by:</w:t>
      </w:r>
      <w:bookmarkEnd w:id="953"/>
    </w:p>
    <w:p w14:paraId="63DB69F9" w14:textId="474E9994" w:rsidR="00213D9D" w:rsidRPr="00CE0885" w:rsidRDefault="00213D9D" w:rsidP="00572F87">
      <w:pPr>
        <w:pStyle w:val="Heading4"/>
      </w:pPr>
      <w:bookmarkStart w:id="954" w:name="_Toc440982866"/>
      <w:r w:rsidRPr="00CE0885">
        <w:t xml:space="preserve">being terminated by either the Commissioner or the contractor (in which case refer to the </w:t>
      </w:r>
      <w:r w:rsidR="00C5615F">
        <w:t>chapter</w:t>
      </w:r>
      <w:r w:rsidRPr="00CE0885">
        <w:t xml:space="preserve"> on contract breaches</w:t>
      </w:r>
      <w:r w:rsidR="00C5615F">
        <w:t>, sanctions</w:t>
      </w:r>
      <w:r w:rsidRPr="00CE0885">
        <w:t xml:space="preserve"> and termination</w:t>
      </w:r>
      <w:r w:rsidR="00C5615F">
        <w:t>s</w:t>
      </w:r>
      <w:r w:rsidRPr="00CE0885">
        <w:t>);</w:t>
      </w:r>
      <w:bookmarkEnd w:id="954"/>
    </w:p>
    <w:p w14:paraId="737D5703" w14:textId="12076026" w:rsidR="00213D9D" w:rsidRPr="00CE0885" w:rsidRDefault="00213D9D" w:rsidP="00572F87">
      <w:pPr>
        <w:pStyle w:val="Heading4"/>
      </w:pPr>
      <w:bookmarkStart w:id="955" w:name="_Toc440982867"/>
      <w:r w:rsidRPr="00CE0885">
        <w:t xml:space="preserve">an adverse event (in which case refer to the </w:t>
      </w:r>
      <w:r w:rsidR="00C5615F">
        <w:t>chapter</w:t>
      </w:r>
      <w:r w:rsidRPr="00CE0885">
        <w:t xml:space="preserve"> on adverse events);</w:t>
      </w:r>
      <w:bookmarkEnd w:id="955"/>
    </w:p>
    <w:p w14:paraId="2A7FFAF6" w14:textId="5C60F9B0" w:rsidR="00213D9D" w:rsidRPr="00CE0885" w:rsidRDefault="00213D9D" w:rsidP="00572F87">
      <w:pPr>
        <w:pStyle w:val="Heading4"/>
      </w:pPr>
      <w:bookmarkStart w:id="956" w:name="_Toc440982868"/>
      <w:r w:rsidRPr="00CE0885">
        <w:t xml:space="preserve">the death of the contractor (in which case refer to the </w:t>
      </w:r>
      <w:r w:rsidR="00C5615F">
        <w:t>chapter</w:t>
      </w:r>
      <w:r w:rsidRPr="00CE0885">
        <w:t xml:space="preserve"> on the death o</w:t>
      </w:r>
      <w:r w:rsidR="00C5615F">
        <w:t>f a contractor</w:t>
      </w:r>
      <w:r w:rsidRPr="00CE0885">
        <w:t>); or</w:t>
      </w:r>
      <w:bookmarkEnd w:id="956"/>
    </w:p>
    <w:p w14:paraId="0ACB865D" w14:textId="0B8E6A46" w:rsidR="00213D9D" w:rsidRPr="00CE0885" w:rsidRDefault="00213D9D" w:rsidP="00572F87">
      <w:pPr>
        <w:pStyle w:val="Heading4"/>
      </w:pPr>
      <w:bookmarkStart w:id="957" w:name="_Toc440982869"/>
      <w:r w:rsidRPr="00CE0885">
        <w:t xml:space="preserve">retirement of the contractor (in which case refer to the </w:t>
      </w:r>
      <w:r w:rsidR="00C5615F">
        <w:t>chapter on contract variations</w:t>
      </w:r>
      <w:r w:rsidRPr="00CE0885">
        <w:t>).</w:t>
      </w:r>
      <w:bookmarkEnd w:id="957"/>
    </w:p>
    <w:p w14:paraId="3CEE4CD7" w14:textId="77777777" w:rsidR="00213D9D" w:rsidRPr="009055A7" w:rsidRDefault="00213D9D" w:rsidP="005215BD">
      <w:pPr>
        <w:widowControl w:val="0"/>
        <w:spacing w:line="360" w:lineRule="auto"/>
        <w:jc w:val="both"/>
        <w:rPr>
          <w:rFonts w:cs="Arial"/>
          <w:bCs w:val="0"/>
          <w:sz w:val="20"/>
          <w:szCs w:val="20"/>
          <w:lang w:eastAsia="en-GB"/>
        </w:rPr>
      </w:pPr>
    </w:p>
    <w:p w14:paraId="1D06B0A5" w14:textId="77777777" w:rsidR="00213D9D" w:rsidRPr="00CE0885" w:rsidRDefault="00213D9D" w:rsidP="005215BD">
      <w:pPr>
        <w:pStyle w:val="Heading2"/>
        <w:ind w:left="0" w:firstLine="0"/>
        <w:rPr>
          <w:lang w:eastAsia="en-GB"/>
        </w:rPr>
      </w:pPr>
      <w:bookmarkStart w:id="958" w:name="_Toc440982870"/>
      <w:bookmarkStart w:id="959" w:name="_Toc498495413"/>
      <w:r w:rsidRPr="00CE0885">
        <w:rPr>
          <w:lang w:eastAsia="en-GB"/>
        </w:rPr>
        <w:t>Timetable for Managing Contracts Coming to an End</w:t>
      </w:r>
      <w:bookmarkEnd w:id="958"/>
      <w:bookmarkEnd w:id="959"/>
    </w:p>
    <w:p w14:paraId="24B369EF" w14:textId="77777777" w:rsidR="00213D9D" w:rsidRPr="00CE0885" w:rsidRDefault="00213D9D" w:rsidP="005215BD">
      <w:pPr>
        <w:pStyle w:val="Heading3"/>
        <w:rPr>
          <w:lang w:eastAsia="en-GB"/>
        </w:rPr>
      </w:pPr>
      <w:bookmarkStart w:id="960" w:name="_Toc440982871"/>
      <w:r w:rsidRPr="00CE0885">
        <w:rPr>
          <w:lang w:eastAsia="en-GB"/>
        </w:rPr>
        <w:t>The Commissioner needs to be aware of the end dates of all contracts held so that advance planning can be undertaken to ensure both capacity and timescales can be aligned with the key stages outlined below.</w:t>
      </w:r>
      <w:bookmarkEnd w:id="960"/>
    </w:p>
    <w:p w14:paraId="11F3ADF3" w14:textId="77777777" w:rsidR="00213D9D" w:rsidRPr="00CE0885" w:rsidRDefault="00213D9D" w:rsidP="005215BD">
      <w:pPr>
        <w:pStyle w:val="Heading3"/>
        <w:rPr>
          <w:lang w:eastAsia="en-GB"/>
        </w:rPr>
      </w:pPr>
      <w:bookmarkStart w:id="961" w:name="_Toc440982872"/>
      <w:r w:rsidRPr="00CE0885">
        <w:rPr>
          <w:lang w:eastAsia="en-GB"/>
        </w:rPr>
        <w:t>It is essential that the Commissioner ensures continued communication with contractors throughout the stages to enable them to have a clear understanding of the processes, expectations and obligations. Outlined in Annexes 1 and 2 are guides to communications with contractors and a proposed checklist for documentation recording.</w:t>
      </w:r>
      <w:bookmarkEnd w:id="961"/>
    </w:p>
    <w:p w14:paraId="4C64F8A0" w14:textId="77777777" w:rsidR="00213D9D" w:rsidRPr="00CE0885" w:rsidRDefault="00213D9D" w:rsidP="005215BD">
      <w:pPr>
        <w:pStyle w:val="Heading3"/>
        <w:rPr>
          <w:lang w:eastAsia="en-GB"/>
        </w:rPr>
      </w:pPr>
      <w:bookmarkStart w:id="962" w:name="_Toc440982873"/>
      <w:r w:rsidRPr="00CE0885">
        <w:rPr>
          <w:lang w:eastAsia="en-GB"/>
        </w:rPr>
        <w:t>In each of the stages below there are a range of activities that may need to be undertaken, depending on the Commissioner’s preferred route, and the Commissioner may usually discuss with the appropriate LMC throughout.</w:t>
      </w:r>
      <w:bookmarkEnd w:id="962"/>
    </w:p>
    <w:p w14:paraId="58A2F88D" w14:textId="77777777" w:rsidR="00213D9D" w:rsidRPr="009055A7" w:rsidRDefault="00213D9D" w:rsidP="005215BD">
      <w:pPr>
        <w:widowControl w:val="0"/>
        <w:spacing w:line="360" w:lineRule="auto"/>
        <w:jc w:val="both"/>
        <w:rPr>
          <w:rFonts w:cs="Arial"/>
          <w:bCs w:val="0"/>
          <w:sz w:val="20"/>
          <w:szCs w:val="20"/>
          <w:lang w:eastAsia="en-GB"/>
        </w:rPr>
      </w:pPr>
    </w:p>
    <w:p w14:paraId="7F261EAC" w14:textId="77777777" w:rsidR="00213D9D" w:rsidRPr="00CE0885" w:rsidRDefault="00213D9D" w:rsidP="005215BD">
      <w:pPr>
        <w:pStyle w:val="Heading2"/>
        <w:ind w:left="0" w:firstLine="0"/>
        <w:rPr>
          <w:lang w:eastAsia="en-GB"/>
        </w:rPr>
      </w:pPr>
      <w:bookmarkStart w:id="963" w:name="_Toc440982874"/>
      <w:bookmarkStart w:id="964" w:name="_Toc498495414"/>
      <w:r w:rsidRPr="00CE0885">
        <w:rPr>
          <w:lang w:eastAsia="en-GB"/>
        </w:rPr>
        <w:t>Summary of Key Stages</w:t>
      </w:r>
      <w:bookmarkEnd w:id="963"/>
      <w:bookmarkEnd w:id="964"/>
    </w:p>
    <w:p w14:paraId="7473AA70" w14:textId="77777777" w:rsidR="00213D9D" w:rsidRPr="00CE0885" w:rsidRDefault="00213D9D" w:rsidP="00A51F6F">
      <w:pPr>
        <w:pStyle w:val="Heading3"/>
        <w:rPr>
          <w:lang w:eastAsia="en-GB"/>
        </w:rPr>
      </w:pPr>
      <w:bookmarkStart w:id="965" w:name="_Toc440982875"/>
      <w:r w:rsidRPr="00CE0885">
        <w:rPr>
          <w:lang w:eastAsia="en-GB"/>
        </w:rPr>
        <w:t>There are three key stages:</w:t>
      </w:r>
      <w:bookmarkEnd w:id="965"/>
    </w:p>
    <w:p w14:paraId="145E7191" w14:textId="77777777" w:rsidR="00213D9D" w:rsidRPr="00A51F6F" w:rsidRDefault="00213D9D" w:rsidP="00A51F6F">
      <w:pPr>
        <w:pStyle w:val="Heading3"/>
        <w:rPr>
          <w:rFonts w:cs="Arial"/>
          <w:b/>
          <w:szCs w:val="24"/>
          <w:lang w:eastAsia="en-GB"/>
        </w:rPr>
      </w:pPr>
      <w:bookmarkStart w:id="966" w:name="_Toc440982876"/>
      <w:r w:rsidRPr="00A51F6F">
        <w:rPr>
          <w:b/>
        </w:rPr>
        <w:t>Stage 1 – minimum 9 to 15 months before contract end (all</w:t>
      </w:r>
      <w:r w:rsidRPr="00A51F6F">
        <w:rPr>
          <w:rFonts w:cs="Arial"/>
          <w:b/>
          <w:szCs w:val="24"/>
          <w:lang w:eastAsia="en-GB"/>
        </w:rPr>
        <w:t xml:space="preserve"> essential):</w:t>
      </w:r>
      <w:bookmarkEnd w:id="966"/>
    </w:p>
    <w:p w14:paraId="06378A4A" w14:textId="77777777" w:rsidR="00213D9D" w:rsidRPr="00A51F6F" w:rsidRDefault="00213D9D" w:rsidP="00A51F6F">
      <w:pPr>
        <w:pStyle w:val="Heading3"/>
        <w:rPr>
          <w:lang w:eastAsia="en-GB"/>
        </w:rPr>
      </w:pPr>
      <w:r w:rsidRPr="00A51F6F">
        <w:rPr>
          <w:lang w:eastAsia="en-GB"/>
        </w:rPr>
        <w:t>Needs assessment;</w:t>
      </w:r>
    </w:p>
    <w:p w14:paraId="1BC0FEB8" w14:textId="77777777" w:rsidR="00213D9D" w:rsidRPr="00A51F6F" w:rsidRDefault="00213D9D" w:rsidP="00A51F6F">
      <w:pPr>
        <w:pStyle w:val="Heading3"/>
        <w:rPr>
          <w:lang w:eastAsia="en-GB"/>
        </w:rPr>
      </w:pPr>
      <w:r w:rsidRPr="00A51F6F">
        <w:rPr>
          <w:lang w:eastAsia="en-GB"/>
        </w:rPr>
        <w:t>Impact; and</w:t>
      </w:r>
    </w:p>
    <w:p w14:paraId="55F89768" w14:textId="77777777" w:rsidR="00213D9D" w:rsidRPr="00A51F6F" w:rsidRDefault="00213D9D" w:rsidP="00A51F6F">
      <w:pPr>
        <w:pStyle w:val="Heading3"/>
        <w:rPr>
          <w:lang w:eastAsia="en-GB"/>
        </w:rPr>
      </w:pPr>
      <w:r w:rsidRPr="00A51F6F">
        <w:rPr>
          <w:lang w:eastAsia="en-GB"/>
        </w:rPr>
        <w:t>Engagement proposal.</w:t>
      </w:r>
    </w:p>
    <w:p w14:paraId="3CD56452" w14:textId="77777777" w:rsidR="00213D9D" w:rsidRPr="00A51F6F" w:rsidRDefault="00213D9D" w:rsidP="00A51F6F">
      <w:pPr>
        <w:pStyle w:val="Heading3"/>
        <w:rPr>
          <w:b/>
        </w:rPr>
      </w:pPr>
      <w:bookmarkStart w:id="967" w:name="_Toc440982877"/>
      <w:r w:rsidRPr="00A51F6F">
        <w:rPr>
          <w:b/>
        </w:rPr>
        <w:t>Stage 2 – 12 months before contract end:</w:t>
      </w:r>
      <w:bookmarkEnd w:id="967"/>
    </w:p>
    <w:p w14:paraId="61767B13" w14:textId="77777777" w:rsidR="00213D9D" w:rsidRPr="00CE0885" w:rsidRDefault="00213D9D" w:rsidP="00A51F6F">
      <w:pPr>
        <w:pStyle w:val="Heading3"/>
      </w:pPr>
      <w:r w:rsidRPr="00CE0885">
        <w:t>Notice period – exit plan;</w:t>
      </w:r>
    </w:p>
    <w:p w14:paraId="195C6737" w14:textId="77777777" w:rsidR="00213D9D" w:rsidRPr="00CE0885" w:rsidRDefault="00213D9D" w:rsidP="00A51F6F">
      <w:pPr>
        <w:pStyle w:val="Heading3"/>
      </w:pPr>
      <w:r w:rsidRPr="00CE0885">
        <w:t>Commence procurement and either:</w:t>
      </w:r>
    </w:p>
    <w:p w14:paraId="08F05E42" w14:textId="77777777" w:rsidR="00213D9D" w:rsidRPr="00A51F6F" w:rsidRDefault="00213D9D" w:rsidP="00A51F6F">
      <w:pPr>
        <w:pStyle w:val="Heading3"/>
        <w:rPr>
          <w:lang w:eastAsia="en-GB"/>
        </w:rPr>
      </w:pPr>
      <w:r w:rsidRPr="00A51F6F">
        <w:rPr>
          <w:lang w:eastAsia="en-GB"/>
        </w:rPr>
        <w:t>Begin negotiations for continuation with contractor; and</w:t>
      </w:r>
    </w:p>
    <w:p w14:paraId="085CC313" w14:textId="77777777" w:rsidR="00213D9D" w:rsidRPr="00A51F6F" w:rsidRDefault="00213D9D" w:rsidP="00A51F6F">
      <w:pPr>
        <w:pStyle w:val="Heading3"/>
        <w:rPr>
          <w:lang w:eastAsia="en-GB"/>
        </w:rPr>
      </w:pPr>
      <w:r w:rsidRPr="00A51F6F">
        <w:rPr>
          <w:lang w:eastAsia="en-GB"/>
        </w:rPr>
        <w:t>Begin exit arrangements of incumbent provider and mobilisation of any new provider.</w:t>
      </w:r>
    </w:p>
    <w:p w14:paraId="69B4731C" w14:textId="77777777" w:rsidR="00213D9D" w:rsidRPr="00A51F6F" w:rsidRDefault="00213D9D" w:rsidP="00A51F6F">
      <w:pPr>
        <w:pStyle w:val="Heading3"/>
        <w:rPr>
          <w:b/>
          <w:lang w:eastAsia="en-GB"/>
        </w:rPr>
      </w:pPr>
      <w:bookmarkStart w:id="968" w:name="_Toc440982878"/>
      <w:r w:rsidRPr="00A51F6F">
        <w:rPr>
          <w:b/>
          <w:lang w:eastAsia="en-GB"/>
        </w:rPr>
        <w:t>Stage 3 – at contract end:</w:t>
      </w:r>
      <w:bookmarkEnd w:id="968"/>
    </w:p>
    <w:p w14:paraId="4AB0F6C0" w14:textId="77777777" w:rsidR="00213D9D" w:rsidRPr="00CE0885" w:rsidRDefault="00213D9D" w:rsidP="00A51F6F">
      <w:pPr>
        <w:pStyle w:val="Heading3"/>
        <w:rPr>
          <w:rFonts w:cs="Arial"/>
          <w:szCs w:val="24"/>
          <w:lang w:eastAsia="en-GB"/>
        </w:rPr>
      </w:pPr>
      <w:r w:rsidRPr="00CE0885">
        <w:rPr>
          <w:rFonts w:cs="Arial"/>
          <w:szCs w:val="24"/>
          <w:lang w:eastAsia="en-GB"/>
        </w:rPr>
        <w:t>Contract end – possible dispersal of patient list:</w:t>
      </w:r>
    </w:p>
    <w:p w14:paraId="01F70E14" w14:textId="77777777" w:rsidR="00213D9D" w:rsidRPr="00CE0885" w:rsidRDefault="00213D9D" w:rsidP="00A51F6F">
      <w:pPr>
        <w:pStyle w:val="Heading3"/>
        <w:rPr>
          <w:rFonts w:cs="Arial"/>
          <w:szCs w:val="24"/>
          <w:lang w:eastAsia="en-GB"/>
        </w:rPr>
      </w:pPr>
      <w:r w:rsidRPr="00CE0885">
        <w:rPr>
          <w:rFonts w:cs="Arial"/>
          <w:szCs w:val="24"/>
          <w:lang w:eastAsia="en-GB"/>
        </w:rPr>
        <w:t>Variation to contract/extension: and</w:t>
      </w:r>
    </w:p>
    <w:p w14:paraId="7DE3BF12" w14:textId="77777777" w:rsidR="00213D9D" w:rsidRPr="00CE0885" w:rsidRDefault="00213D9D" w:rsidP="00A51F6F">
      <w:pPr>
        <w:pStyle w:val="Heading3"/>
        <w:rPr>
          <w:rFonts w:cs="Arial"/>
          <w:szCs w:val="24"/>
          <w:lang w:eastAsia="en-GB"/>
        </w:rPr>
      </w:pPr>
      <w:r w:rsidRPr="00CE0885">
        <w:rPr>
          <w:rFonts w:cs="Arial"/>
          <w:szCs w:val="24"/>
          <w:lang w:eastAsia="en-GB"/>
        </w:rPr>
        <w:t>Commencement of new provider.</w:t>
      </w:r>
    </w:p>
    <w:p w14:paraId="25262362" w14:textId="77777777" w:rsidR="00213D9D" w:rsidRPr="009055A7" w:rsidRDefault="00213D9D" w:rsidP="005215BD">
      <w:pPr>
        <w:widowControl w:val="0"/>
        <w:spacing w:line="360" w:lineRule="auto"/>
        <w:jc w:val="both"/>
        <w:rPr>
          <w:rFonts w:cs="Arial"/>
          <w:bCs w:val="0"/>
          <w:sz w:val="20"/>
          <w:szCs w:val="20"/>
          <w:lang w:eastAsia="en-GB"/>
        </w:rPr>
      </w:pPr>
    </w:p>
    <w:p w14:paraId="43282B29" w14:textId="77777777" w:rsidR="00213D9D" w:rsidRPr="00CE0885" w:rsidRDefault="00213D9D" w:rsidP="005215BD">
      <w:pPr>
        <w:pStyle w:val="Heading2"/>
        <w:ind w:left="0" w:firstLine="0"/>
        <w:rPr>
          <w:lang w:eastAsia="en-GB"/>
        </w:rPr>
      </w:pPr>
      <w:bookmarkStart w:id="969" w:name="_Toc440982879"/>
      <w:bookmarkStart w:id="970" w:name="_Toc498495415"/>
      <w:r w:rsidRPr="00CE0885">
        <w:rPr>
          <w:lang w:eastAsia="en-GB"/>
        </w:rPr>
        <w:t>Stage 1 – 9 – 15 Months before Contract End</w:t>
      </w:r>
      <w:bookmarkEnd w:id="969"/>
      <w:bookmarkEnd w:id="970"/>
    </w:p>
    <w:p w14:paraId="770CA573" w14:textId="77777777" w:rsidR="00213D9D" w:rsidRPr="00CE0885" w:rsidRDefault="00213D9D" w:rsidP="005215BD">
      <w:pPr>
        <w:pStyle w:val="Heading3"/>
        <w:rPr>
          <w:lang w:eastAsia="en-GB"/>
        </w:rPr>
      </w:pPr>
      <w:bookmarkStart w:id="971" w:name="_Toc440982880"/>
      <w:r w:rsidRPr="00CE0885">
        <w:rPr>
          <w:lang w:eastAsia="en-GB"/>
        </w:rPr>
        <w:t>The considerations that should be given when completing each action are provided below. This list is not exhaustive but does provide a platform for commissioners to fully assess the existing and future service needs of its population. Commissioners should ensure that all appropriate stakeholders are given the opportunity to input into the needs assessment for their population, including but not limited to public health.</w:t>
      </w:r>
      <w:bookmarkEnd w:id="971"/>
    </w:p>
    <w:p w14:paraId="3B3419A6" w14:textId="0204B798" w:rsidR="00213D9D" w:rsidRPr="00CE0885" w:rsidRDefault="00213D9D" w:rsidP="005215BD">
      <w:pPr>
        <w:pStyle w:val="Heading3"/>
        <w:rPr>
          <w:lang w:eastAsia="en-GB"/>
        </w:rPr>
      </w:pPr>
      <w:bookmarkStart w:id="972" w:name="_Toc440982881"/>
      <w:r w:rsidRPr="00CE0885">
        <w:rPr>
          <w:lang w:eastAsia="en-GB"/>
        </w:rPr>
        <w:t>Needs assessment</w:t>
      </w:r>
      <w:bookmarkEnd w:id="972"/>
      <w:r w:rsidR="00620C63">
        <w:rPr>
          <w:lang w:eastAsia="en-GB"/>
        </w:rPr>
        <w:t xml:space="preserve">  </w:t>
      </w:r>
    </w:p>
    <w:p w14:paraId="58C8CC4C" w14:textId="77777777" w:rsidR="00213D9D" w:rsidRPr="00CE0885" w:rsidRDefault="00213D9D" w:rsidP="005215BD">
      <w:pPr>
        <w:pStyle w:val="Heading3"/>
        <w:rPr>
          <w:lang w:eastAsia="en-GB"/>
        </w:rPr>
      </w:pPr>
      <w:bookmarkStart w:id="973" w:name="_Toc440982882"/>
      <w:r w:rsidRPr="00CE0885">
        <w:rPr>
          <w:lang w:eastAsia="en-GB"/>
        </w:rPr>
        <w:t>Is there still a demand for this service in this locality and a requirement for it to continue?  For example to reduce inequalities in access or health outcomes</w:t>
      </w:r>
      <w:bookmarkEnd w:id="973"/>
    </w:p>
    <w:p w14:paraId="2A525507" w14:textId="77777777" w:rsidR="00213D9D" w:rsidRPr="00CE0885" w:rsidRDefault="00213D9D" w:rsidP="005215BD">
      <w:pPr>
        <w:pStyle w:val="Heading3"/>
        <w:rPr>
          <w:lang w:eastAsia="en-GB"/>
        </w:rPr>
      </w:pPr>
      <w:bookmarkStart w:id="974" w:name="_Toc440982883"/>
      <w:r w:rsidRPr="00CE0885">
        <w:rPr>
          <w:lang w:eastAsia="en-GB"/>
        </w:rPr>
        <w:t>Does the contract specification still address current local priorities?</w:t>
      </w:r>
      <w:bookmarkEnd w:id="974"/>
    </w:p>
    <w:p w14:paraId="3394CA15" w14:textId="77777777" w:rsidR="00213D9D" w:rsidRPr="00CE0885" w:rsidRDefault="00213D9D" w:rsidP="005215BD">
      <w:pPr>
        <w:pStyle w:val="Heading3"/>
        <w:rPr>
          <w:lang w:eastAsia="en-GB"/>
        </w:rPr>
      </w:pPr>
      <w:bookmarkStart w:id="975" w:name="_Toc440982884"/>
      <w:r w:rsidRPr="00CE0885">
        <w:rPr>
          <w:lang w:eastAsia="en-GB"/>
        </w:rPr>
        <w:t>Has the contract delivered on the expected outcomes?</w:t>
      </w:r>
      <w:bookmarkEnd w:id="975"/>
    </w:p>
    <w:p w14:paraId="6E19479D" w14:textId="77777777" w:rsidR="00213D9D" w:rsidRPr="00CE0885" w:rsidRDefault="00213D9D" w:rsidP="005215BD">
      <w:pPr>
        <w:pStyle w:val="Heading3"/>
        <w:rPr>
          <w:lang w:eastAsia="en-GB"/>
        </w:rPr>
      </w:pPr>
      <w:bookmarkStart w:id="976" w:name="_Toc440982885"/>
      <w:r w:rsidRPr="00CE0885">
        <w:rPr>
          <w:lang w:eastAsia="en-GB"/>
        </w:rPr>
        <w:t>Has it provided added value to the local population and service provision?</w:t>
      </w:r>
      <w:bookmarkEnd w:id="976"/>
    </w:p>
    <w:p w14:paraId="5ADD56E2" w14:textId="77777777" w:rsidR="00213D9D" w:rsidRPr="00CE0885" w:rsidRDefault="00213D9D" w:rsidP="005215BD">
      <w:pPr>
        <w:pStyle w:val="Heading3"/>
        <w:rPr>
          <w:lang w:eastAsia="en-GB"/>
        </w:rPr>
      </w:pPr>
      <w:bookmarkStart w:id="977" w:name="_Toc440982886"/>
      <w:r w:rsidRPr="00CE0885">
        <w:rPr>
          <w:lang w:eastAsia="en-GB"/>
        </w:rPr>
        <w:t>Have you assessed the potential service needs for any forthcoming new developments?</w:t>
      </w:r>
      <w:bookmarkEnd w:id="977"/>
    </w:p>
    <w:p w14:paraId="785AF7E3" w14:textId="77777777" w:rsidR="00213D9D" w:rsidRPr="00CE0885" w:rsidRDefault="00213D9D" w:rsidP="005215BD">
      <w:pPr>
        <w:pStyle w:val="Heading3"/>
        <w:rPr>
          <w:lang w:eastAsia="en-GB"/>
        </w:rPr>
      </w:pPr>
      <w:bookmarkStart w:id="978" w:name="_Toc440982887"/>
      <w:r w:rsidRPr="00CE0885">
        <w:rPr>
          <w:lang w:eastAsia="en-GB"/>
        </w:rPr>
        <w:t>What is the capacity of other local providers and the market for other providers to deliver services?</w:t>
      </w:r>
      <w:bookmarkEnd w:id="978"/>
    </w:p>
    <w:p w14:paraId="54E4ACDC" w14:textId="77777777" w:rsidR="00213D9D" w:rsidRPr="00CE0885" w:rsidRDefault="00213D9D" w:rsidP="005215BD">
      <w:pPr>
        <w:pStyle w:val="Heading3"/>
        <w:rPr>
          <w:lang w:eastAsia="en-GB"/>
        </w:rPr>
      </w:pPr>
      <w:bookmarkStart w:id="979" w:name="_Toc440982888"/>
      <w:r w:rsidRPr="00CE0885">
        <w:rPr>
          <w:lang w:eastAsia="en-GB"/>
        </w:rPr>
        <w:t>Have you given consideration to any specialist services needs in the locality?</w:t>
      </w:r>
      <w:bookmarkEnd w:id="979"/>
    </w:p>
    <w:p w14:paraId="63C85540" w14:textId="77777777" w:rsidR="00213D9D" w:rsidRPr="00CE0885" w:rsidRDefault="00213D9D" w:rsidP="005215BD">
      <w:pPr>
        <w:pStyle w:val="Heading3"/>
        <w:rPr>
          <w:lang w:eastAsia="en-GB"/>
        </w:rPr>
      </w:pPr>
      <w:bookmarkStart w:id="980" w:name="_Toc440982889"/>
      <w:r w:rsidRPr="00CE0885">
        <w:rPr>
          <w:lang w:eastAsia="en-GB"/>
        </w:rPr>
        <w:t>Are there any needs which are not met by the contract, which could be delivered?</w:t>
      </w:r>
      <w:bookmarkEnd w:id="980"/>
    </w:p>
    <w:p w14:paraId="177B7695" w14:textId="77777777" w:rsidR="00213D9D" w:rsidRPr="00CE0885" w:rsidRDefault="00213D9D" w:rsidP="005215BD">
      <w:pPr>
        <w:pStyle w:val="Heading3"/>
        <w:rPr>
          <w:lang w:eastAsia="en-GB"/>
        </w:rPr>
      </w:pPr>
      <w:bookmarkStart w:id="981" w:name="_Toc440982890"/>
      <w:r w:rsidRPr="00CE0885">
        <w:rPr>
          <w:lang w:eastAsia="en-GB"/>
        </w:rPr>
        <w:t>Impact</w:t>
      </w:r>
      <w:bookmarkEnd w:id="981"/>
      <w:r w:rsidRPr="00CE0885">
        <w:rPr>
          <w:lang w:eastAsia="en-GB"/>
        </w:rPr>
        <w:t xml:space="preserve"> </w:t>
      </w:r>
    </w:p>
    <w:p w14:paraId="7680EF0B" w14:textId="77777777" w:rsidR="00213D9D" w:rsidRPr="00CE0885" w:rsidRDefault="00213D9D" w:rsidP="005215BD">
      <w:pPr>
        <w:pStyle w:val="Heading3"/>
        <w:rPr>
          <w:lang w:eastAsia="en-GB"/>
        </w:rPr>
      </w:pPr>
      <w:bookmarkStart w:id="982" w:name="_Toc440982891"/>
      <w:r w:rsidRPr="00CE0885">
        <w:rPr>
          <w:lang w:eastAsia="en-GB"/>
        </w:rPr>
        <w:t>Have you considered available outcome and delivery data held nationally and locally, regarding the current service and impact on other providers?</w:t>
      </w:r>
      <w:bookmarkEnd w:id="982"/>
    </w:p>
    <w:p w14:paraId="4B5F6CAF" w14:textId="77777777" w:rsidR="00213D9D" w:rsidRPr="00CE0885" w:rsidRDefault="00213D9D" w:rsidP="005215BD">
      <w:pPr>
        <w:pStyle w:val="Heading3"/>
        <w:rPr>
          <w:lang w:eastAsia="en-GB"/>
        </w:rPr>
      </w:pPr>
      <w:bookmarkStart w:id="983" w:name="_Toc440982892"/>
      <w:r w:rsidRPr="00CE0885">
        <w:rPr>
          <w:lang w:eastAsia="en-GB"/>
        </w:rPr>
        <w:t>Have you compared the cost of the current service against other providers i.e. cost per head of population whilst taking into account any differences in the scope of the services provided?</w:t>
      </w:r>
      <w:bookmarkEnd w:id="983"/>
    </w:p>
    <w:p w14:paraId="26D960CC" w14:textId="77777777" w:rsidR="00213D9D" w:rsidRPr="00CE0885" w:rsidRDefault="00213D9D" w:rsidP="005215BD">
      <w:pPr>
        <w:pStyle w:val="Heading3"/>
        <w:rPr>
          <w:lang w:eastAsia="en-GB"/>
        </w:rPr>
      </w:pPr>
      <w:bookmarkStart w:id="984" w:name="_Toc440982893"/>
      <w:r w:rsidRPr="00CE0885">
        <w:rPr>
          <w:lang w:eastAsia="en-GB"/>
        </w:rPr>
        <w:t>Is the current service still affordable within projected future budgets?</w:t>
      </w:r>
      <w:bookmarkEnd w:id="984"/>
    </w:p>
    <w:p w14:paraId="7C63492C" w14:textId="77777777" w:rsidR="00213D9D" w:rsidRPr="00CE0885" w:rsidRDefault="00213D9D" w:rsidP="005215BD">
      <w:pPr>
        <w:pStyle w:val="Heading3"/>
        <w:rPr>
          <w:lang w:eastAsia="en-GB"/>
        </w:rPr>
      </w:pPr>
      <w:bookmarkStart w:id="985" w:name="_Toc440982894"/>
      <w:r w:rsidRPr="00CE0885">
        <w:rPr>
          <w:lang w:eastAsia="en-GB"/>
        </w:rPr>
        <w:t>Has the contract delivered on the expected financial outcomes?</w:t>
      </w:r>
      <w:bookmarkEnd w:id="985"/>
    </w:p>
    <w:p w14:paraId="07FB1FBD" w14:textId="77777777" w:rsidR="00213D9D" w:rsidRPr="00CE0885" w:rsidRDefault="00213D9D" w:rsidP="005215BD">
      <w:pPr>
        <w:pStyle w:val="Heading3"/>
        <w:rPr>
          <w:lang w:eastAsia="en-GB"/>
        </w:rPr>
      </w:pPr>
      <w:bookmarkStart w:id="986" w:name="_Toc440982895"/>
      <w:r w:rsidRPr="00CE0885">
        <w:rPr>
          <w:lang w:eastAsia="en-GB"/>
        </w:rPr>
        <w:t>What other objectives might be set within the existing budget?</w:t>
      </w:r>
      <w:bookmarkEnd w:id="986"/>
    </w:p>
    <w:p w14:paraId="47FD47C9" w14:textId="77777777" w:rsidR="00213D9D" w:rsidRPr="00CE0885" w:rsidRDefault="00213D9D" w:rsidP="005215BD">
      <w:pPr>
        <w:pStyle w:val="Heading3"/>
        <w:rPr>
          <w:lang w:eastAsia="en-GB"/>
        </w:rPr>
      </w:pPr>
      <w:bookmarkStart w:id="987" w:name="_Toc440982896"/>
      <w:r w:rsidRPr="00CE0885">
        <w:rPr>
          <w:lang w:eastAsia="en-GB"/>
        </w:rPr>
        <w:t>Have you considered the potential impact on service users/patients?</w:t>
      </w:r>
      <w:bookmarkEnd w:id="987"/>
    </w:p>
    <w:p w14:paraId="5AB7D7B7" w14:textId="77777777" w:rsidR="00213D9D" w:rsidRPr="00CE0885" w:rsidRDefault="00213D9D" w:rsidP="005215BD">
      <w:pPr>
        <w:pStyle w:val="Heading3"/>
        <w:rPr>
          <w:lang w:eastAsia="en-GB"/>
        </w:rPr>
      </w:pPr>
      <w:bookmarkStart w:id="988" w:name="_Toc440982897"/>
      <w:r w:rsidRPr="00CE0885">
        <w:rPr>
          <w:lang w:eastAsia="en-GB"/>
        </w:rPr>
        <w:t>Have you considered the potential impact on other service providers, e.g. GPs, pharmacy, local trust, out of hours, community services?</w:t>
      </w:r>
      <w:bookmarkEnd w:id="988"/>
    </w:p>
    <w:p w14:paraId="59DB5E52" w14:textId="77777777" w:rsidR="00213D9D" w:rsidRPr="00CE0885" w:rsidRDefault="00213D9D" w:rsidP="005215BD">
      <w:pPr>
        <w:pStyle w:val="Heading3"/>
        <w:rPr>
          <w:lang w:eastAsia="en-GB"/>
        </w:rPr>
      </w:pPr>
      <w:bookmarkStart w:id="989" w:name="_Toc440982898"/>
      <w:r w:rsidRPr="00CE0885">
        <w:rPr>
          <w:lang w:eastAsia="en-GB"/>
        </w:rPr>
        <w:t>Have you considered the potential impact on the current provider, i.e. continued viability within the locality?</w:t>
      </w:r>
      <w:bookmarkEnd w:id="989"/>
    </w:p>
    <w:p w14:paraId="4FBE5DA2" w14:textId="77777777" w:rsidR="00213D9D" w:rsidRPr="00CE0885" w:rsidRDefault="00213D9D" w:rsidP="005215BD">
      <w:pPr>
        <w:pStyle w:val="Heading3"/>
        <w:rPr>
          <w:lang w:eastAsia="en-GB"/>
        </w:rPr>
      </w:pPr>
      <w:bookmarkStart w:id="990" w:name="_Toc440982899"/>
      <w:r w:rsidRPr="00CE0885">
        <w:rPr>
          <w:lang w:eastAsia="en-GB"/>
        </w:rPr>
        <w:t>Have you considered patient choice and equality?</w:t>
      </w:r>
      <w:bookmarkEnd w:id="990"/>
    </w:p>
    <w:p w14:paraId="551AF4A1" w14:textId="77777777" w:rsidR="00213D9D" w:rsidRPr="00CE0885" w:rsidRDefault="00213D9D" w:rsidP="005215BD">
      <w:pPr>
        <w:pStyle w:val="Heading3"/>
        <w:rPr>
          <w:lang w:eastAsia="en-GB"/>
        </w:rPr>
      </w:pPr>
      <w:bookmarkStart w:id="991" w:name="_Toc440982900"/>
      <w:r w:rsidRPr="00CE0885">
        <w:rPr>
          <w:lang w:eastAsia="en-GB"/>
        </w:rPr>
        <w:t>Have you considered the potential risks i.e. reputational (adverse publicity, Commissioner/provider relationship), market testing, timescales and financial?</w:t>
      </w:r>
      <w:bookmarkEnd w:id="991"/>
    </w:p>
    <w:p w14:paraId="0627AA18" w14:textId="759585BC" w:rsidR="00213D9D" w:rsidRPr="00CE0885" w:rsidRDefault="00213D9D" w:rsidP="005215BD">
      <w:pPr>
        <w:pStyle w:val="Heading3"/>
        <w:rPr>
          <w:lang w:eastAsia="en-GB"/>
        </w:rPr>
      </w:pPr>
      <w:bookmarkStart w:id="992" w:name="_Toc440982901"/>
      <w:r w:rsidRPr="00CE0885">
        <w:rPr>
          <w:lang w:eastAsia="en-GB"/>
        </w:rPr>
        <w:t xml:space="preserve">Have you considered how the expiry of the contract affects compliance with the general duties? For further information, please refer to </w:t>
      </w:r>
      <w:r w:rsidR="00CF37FA">
        <w:rPr>
          <w:lang w:eastAsia="en-GB"/>
        </w:rPr>
        <w:t xml:space="preserve">the chapter covering </w:t>
      </w:r>
      <w:r w:rsidRPr="00CE0885">
        <w:rPr>
          <w:lang w:eastAsia="en-GB"/>
        </w:rPr>
        <w:t>General duties of NHS England.</w:t>
      </w:r>
      <w:bookmarkEnd w:id="992"/>
      <w:r w:rsidRPr="00CE0885">
        <w:rPr>
          <w:lang w:eastAsia="en-GB"/>
        </w:rPr>
        <w:t xml:space="preserve"> </w:t>
      </w:r>
    </w:p>
    <w:p w14:paraId="3AB519E2" w14:textId="77777777" w:rsidR="00213D9D" w:rsidRPr="00CE0885" w:rsidRDefault="00213D9D" w:rsidP="005215BD">
      <w:pPr>
        <w:pStyle w:val="Heading3"/>
        <w:rPr>
          <w:lang w:eastAsia="en-GB"/>
        </w:rPr>
      </w:pPr>
      <w:bookmarkStart w:id="993" w:name="_Toc440982902"/>
      <w:r w:rsidRPr="00CE0885">
        <w:rPr>
          <w:lang w:eastAsia="en-GB"/>
        </w:rPr>
        <w:t>Engagement proposal</w:t>
      </w:r>
      <w:bookmarkEnd w:id="993"/>
    </w:p>
    <w:p w14:paraId="50AED1A9" w14:textId="77777777" w:rsidR="00213D9D" w:rsidRPr="00CE0885" w:rsidRDefault="00213D9D" w:rsidP="005215BD">
      <w:pPr>
        <w:pStyle w:val="Heading3"/>
        <w:rPr>
          <w:lang w:eastAsia="en-GB"/>
        </w:rPr>
      </w:pPr>
      <w:bookmarkStart w:id="994" w:name="_Toc440982903"/>
      <w:r w:rsidRPr="00CE0885">
        <w:rPr>
          <w:lang w:eastAsia="en-GB"/>
        </w:rPr>
        <w:t>Each situation will need to be managed regarding each individual circumstance and the nature of the procurement process to be followed, if at all. However, where it has been deemed appropriate to complete a form of engagement before taking action, the Commissioner should consider:</w:t>
      </w:r>
      <w:bookmarkEnd w:id="994"/>
    </w:p>
    <w:p w14:paraId="5DAE2313" w14:textId="018CDAB8" w:rsidR="00213D9D" w:rsidRPr="00CE0885" w:rsidRDefault="00213D9D" w:rsidP="005215BD">
      <w:pPr>
        <w:pStyle w:val="Heading3"/>
        <w:rPr>
          <w:lang w:eastAsia="en-GB"/>
        </w:rPr>
      </w:pPr>
      <w:bookmarkStart w:id="995" w:name="_Toc440982904"/>
      <w:r w:rsidRPr="00CE0885">
        <w:rPr>
          <w:lang w:eastAsia="en-GB"/>
        </w:rPr>
        <w:t xml:space="preserve">have arrangements been  made for involvement of patients and the public (please refer to </w:t>
      </w:r>
      <w:r w:rsidR="00CF37FA">
        <w:rPr>
          <w:lang w:eastAsia="en-GB"/>
        </w:rPr>
        <w:t xml:space="preserve">the </w:t>
      </w:r>
      <w:r w:rsidRPr="00CE0885">
        <w:rPr>
          <w:lang w:eastAsia="en-GB"/>
        </w:rPr>
        <w:t xml:space="preserve">chapter </w:t>
      </w:r>
      <w:r w:rsidR="00CF37FA">
        <w:rPr>
          <w:lang w:eastAsia="en-GB"/>
        </w:rPr>
        <w:t xml:space="preserve">covering </w:t>
      </w:r>
      <w:r w:rsidRPr="00CE0885">
        <w:rPr>
          <w:lang w:eastAsia="en-GB"/>
        </w:rPr>
        <w:t xml:space="preserve">General </w:t>
      </w:r>
      <w:r w:rsidR="00CF37FA">
        <w:rPr>
          <w:lang w:eastAsia="en-GB"/>
        </w:rPr>
        <w:t>duties of NHS England)</w:t>
      </w:r>
      <w:r w:rsidRPr="00CE0885">
        <w:rPr>
          <w:lang w:eastAsia="en-GB"/>
        </w:rPr>
        <w:t xml:space="preserve"> for more information on this requirement)?</w:t>
      </w:r>
      <w:bookmarkEnd w:id="995"/>
    </w:p>
    <w:p w14:paraId="7C847234" w14:textId="77777777" w:rsidR="00213D9D" w:rsidRPr="00CE0885" w:rsidRDefault="00213D9D" w:rsidP="005215BD">
      <w:pPr>
        <w:pStyle w:val="Heading3"/>
        <w:rPr>
          <w:lang w:eastAsia="en-GB"/>
        </w:rPr>
      </w:pPr>
      <w:bookmarkStart w:id="996" w:name="_Toc440982905"/>
      <w:r w:rsidRPr="00CE0885">
        <w:rPr>
          <w:lang w:eastAsia="en-GB"/>
        </w:rPr>
        <w:t>have other local providers and other interested parties i.e. LMC, local members of parliament, review and scrutiny committee, etc been engaged?</w:t>
      </w:r>
      <w:bookmarkEnd w:id="996"/>
    </w:p>
    <w:p w14:paraId="001E4116" w14:textId="77777777" w:rsidR="00213D9D" w:rsidRPr="00CE0885" w:rsidRDefault="00213D9D" w:rsidP="005215BD">
      <w:pPr>
        <w:pStyle w:val="Heading3"/>
        <w:rPr>
          <w:lang w:eastAsia="en-GB"/>
        </w:rPr>
      </w:pPr>
      <w:bookmarkStart w:id="997" w:name="_Toc440982906"/>
      <w:r w:rsidRPr="00CE0885">
        <w:rPr>
          <w:lang w:eastAsia="en-GB"/>
        </w:rPr>
        <w:t>have the local CCGs been engaged?</w:t>
      </w:r>
      <w:bookmarkEnd w:id="997"/>
    </w:p>
    <w:p w14:paraId="23B396C7" w14:textId="77777777" w:rsidR="00213D9D" w:rsidRPr="00CE0885" w:rsidRDefault="00213D9D" w:rsidP="005215BD">
      <w:pPr>
        <w:pStyle w:val="Heading3"/>
        <w:rPr>
          <w:lang w:eastAsia="en-GB"/>
        </w:rPr>
      </w:pPr>
      <w:bookmarkStart w:id="998" w:name="_Toc440982907"/>
      <w:r w:rsidRPr="00CE0885">
        <w:rPr>
          <w:lang w:eastAsia="en-GB"/>
        </w:rPr>
        <w:t>If the answer is ‘no’ regarding any of the above, the Commissioner should be able to identify the grounds under which they felt engagement was unnecessary and these should be included in the report defined below.</w:t>
      </w:r>
      <w:bookmarkEnd w:id="998"/>
      <w:r w:rsidRPr="00CE0885">
        <w:rPr>
          <w:lang w:eastAsia="en-GB"/>
        </w:rPr>
        <w:t xml:space="preserve"> </w:t>
      </w:r>
    </w:p>
    <w:p w14:paraId="3BAC0319" w14:textId="77777777" w:rsidR="00213D9D" w:rsidRPr="00CE0885" w:rsidRDefault="00213D9D" w:rsidP="005215BD">
      <w:pPr>
        <w:pStyle w:val="Heading3"/>
        <w:rPr>
          <w:lang w:eastAsia="en-GB"/>
        </w:rPr>
      </w:pPr>
      <w:bookmarkStart w:id="999" w:name="_Toc440982908"/>
      <w:r w:rsidRPr="00CE0885">
        <w:rPr>
          <w:lang w:eastAsia="en-GB"/>
        </w:rPr>
        <w:t>Completion of Stage 1</w:t>
      </w:r>
      <w:bookmarkEnd w:id="999"/>
    </w:p>
    <w:p w14:paraId="50FF9DCA" w14:textId="77777777" w:rsidR="00213D9D" w:rsidRPr="00CE0885" w:rsidRDefault="00213D9D" w:rsidP="005215BD">
      <w:pPr>
        <w:pStyle w:val="Heading3"/>
        <w:rPr>
          <w:lang w:eastAsia="en-GB"/>
        </w:rPr>
      </w:pPr>
      <w:bookmarkStart w:id="1000" w:name="_Toc440982909"/>
      <w:r w:rsidRPr="00CE0885">
        <w:rPr>
          <w:lang w:eastAsia="en-GB"/>
        </w:rPr>
        <w:t>Completion of stage 1 will provide all the information required to enable the Commissioner to make an informed commissioning decision on whether to re commission, procure or allow the service to end. At this stage, the Commissioner should develop a detailed report</w:t>
      </w:r>
      <w:r w:rsidRPr="00CE0885">
        <w:rPr>
          <w:b/>
          <w:lang w:eastAsia="en-GB"/>
        </w:rPr>
        <w:t xml:space="preserve"> </w:t>
      </w:r>
      <w:r w:rsidRPr="00CE0885">
        <w:rPr>
          <w:lang w:eastAsia="en-GB"/>
        </w:rPr>
        <w:t>(a template is provided in Annex 3) about the investigations undertaken, engagement and outcomes. This report shall demonstrate that the Commissioner has considered all possible options and the rationale behind the decision taken.</w:t>
      </w:r>
      <w:bookmarkEnd w:id="1000"/>
    </w:p>
    <w:p w14:paraId="795521B3" w14:textId="77777777" w:rsidR="00213D9D" w:rsidRPr="009055A7" w:rsidRDefault="00213D9D" w:rsidP="005215BD">
      <w:pPr>
        <w:widowControl w:val="0"/>
        <w:spacing w:line="360" w:lineRule="auto"/>
        <w:jc w:val="both"/>
        <w:rPr>
          <w:rFonts w:cs="Arial"/>
          <w:bCs w:val="0"/>
          <w:sz w:val="20"/>
          <w:szCs w:val="20"/>
          <w:lang w:eastAsia="en-GB"/>
        </w:rPr>
      </w:pPr>
    </w:p>
    <w:p w14:paraId="51FACFA1" w14:textId="77777777" w:rsidR="00213D9D" w:rsidRPr="00CE0885" w:rsidRDefault="00213D9D" w:rsidP="005215BD">
      <w:pPr>
        <w:pStyle w:val="Heading2"/>
        <w:ind w:left="0" w:firstLine="0"/>
        <w:rPr>
          <w:lang w:eastAsia="en-GB"/>
        </w:rPr>
      </w:pPr>
      <w:bookmarkStart w:id="1001" w:name="_Toc440982910"/>
      <w:bookmarkStart w:id="1002" w:name="_Toc498495416"/>
      <w:r w:rsidRPr="00CE0885">
        <w:rPr>
          <w:lang w:eastAsia="en-GB"/>
        </w:rPr>
        <w:t>Stage 2 - 12 Months before Contract End</w:t>
      </w:r>
      <w:bookmarkEnd w:id="1001"/>
      <w:bookmarkEnd w:id="1002"/>
    </w:p>
    <w:p w14:paraId="1DFC3A38" w14:textId="77777777" w:rsidR="00213D9D" w:rsidRPr="00CE0885" w:rsidRDefault="00213D9D" w:rsidP="005215BD">
      <w:pPr>
        <w:pStyle w:val="Heading3"/>
        <w:rPr>
          <w:lang w:eastAsia="en-GB"/>
        </w:rPr>
      </w:pPr>
      <w:bookmarkStart w:id="1003" w:name="_Toc440982911"/>
      <w:r w:rsidRPr="00CE0885">
        <w:rPr>
          <w:lang w:eastAsia="en-GB"/>
        </w:rPr>
        <w:t>Below are the potential next stages following stage 1 based upon the Commissioner's decision regarding the proposed way forward. It is important to note that where a contract has a duration or an end date specified, and the intention is to allow the contract to naturally expire, there is no requirement to issue a formal termination notice. It would be best practice to issue a formal letter of notice detailing the Commissioner’s intentions and the obligations on the contractor throughout the remainder of the contract period.</w:t>
      </w:r>
      <w:bookmarkEnd w:id="1003"/>
    </w:p>
    <w:p w14:paraId="2D691F9F" w14:textId="77777777" w:rsidR="005215BD" w:rsidRDefault="005215BD" w:rsidP="003331F2">
      <w:pPr>
        <w:pStyle w:val="BodyText"/>
      </w:pPr>
      <w:bookmarkStart w:id="1004" w:name="_Toc440982912"/>
    </w:p>
    <w:p w14:paraId="70522AF1" w14:textId="77777777" w:rsidR="00213D9D" w:rsidRPr="00552572" w:rsidRDefault="00213D9D" w:rsidP="00552572">
      <w:pPr>
        <w:pStyle w:val="BodyText"/>
        <w:rPr>
          <w:b/>
          <w:sz w:val="24"/>
          <w:szCs w:val="24"/>
        </w:rPr>
      </w:pPr>
      <w:r w:rsidRPr="00552572">
        <w:rPr>
          <w:b/>
          <w:sz w:val="24"/>
          <w:szCs w:val="24"/>
        </w:rPr>
        <w:t>Notice period – exit plan</w:t>
      </w:r>
      <w:bookmarkEnd w:id="1004"/>
    </w:p>
    <w:p w14:paraId="1B464D06" w14:textId="77777777" w:rsidR="00213D9D" w:rsidRPr="00CE0885" w:rsidRDefault="00213D9D" w:rsidP="005215BD">
      <w:pPr>
        <w:pStyle w:val="Heading3"/>
        <w:rPr>
          <w:lang w:eastAsia="en-GB"/>
        </w:rPr>
      </w:pPr>
      <w:bookmarkStart w:id="1005" w:name="_Toc440982913"/>
      <w:r w:rsidRPr="00CE0885">
        <w:rPr>
          <w:lang w:eastAsia="en-GB"/>
        </w:rPr>
        <w:t>Issue a letter of notice of intentions.</w:t>
      </w:r>
      <w:bookmarkEnd w:id="1005"/>
    </w:p>
    <w:p w14:paraId="7305A130" w14:textId="77777777" w:rsidR="00213D9D" w:rsidRPr="00CE0885" w:rsidRDefault="00213D9D" w:rsidP="005215BD">
      <w:pPr>
        <w:pStyle w:val="Heading3"/>
        <w:rPr>
          <w:lang w:eastAsia="en-GB"/>
        </w:rPr>
      </w:pPr>
      <w:bookmarkStart w:id="1006" w:name="_Toc440982914"/>
      <w:r w:rsidRPr="00CE0885">
        <w:rPr>
          <w:lang w:eastAsia="en-GB"/>
        </w:rPr>
        <w:t>Develop an exit plan (a template is provided in Annex 4) with the contractor with clearly defined Commissioner/contractor responsibilities. This should be developed whether the contract is to cease or transfer to a new provider. Commissioner should review the contract and ensure any exit arrangements detailed in the contract are followed.</w:t>
      </w:r>
      <w:bookmarkEnd w:id="1006"/>
      <w:r w:rsidRPr="00CE0885">
        <w:rPr>
          <w:lang w:eastAsia="en-GB"/>
        </w:rPr>
        <w:t xml:space="preserve"> </w:t>
      </w:r>
    </w:p>
    <w:p w14:paraId="3A05AF9D" w14:textId="77777777" w:rsidR="00213D9D" w:rsidRPr="00CE0885" w:rsidRDefault="00213D9D" w:rsidP="005215BD">
      <w:pPr>
        <w:pStyle w:val="Heading3"/>
        <w:rPr>
          <w:lang w:eastAsia="en-GB"/>
        </w:rPr>
      </w:pPr>
      <w:bookmarkStart w:id="1007" w:name="_Toc440982915"/>
      <w:r w:rsidRPr="00CE0885">
        <w:rPr>
          <w:lang w:eastAsia="en-GB"/>
        </w:rPr>
        <w:t>Procurement</w:t>
      </w:r>
      <w:bookmarkEnd w:id="1007"/>
    </w:p>
    <w:p w14:paraId="072EF993" w14:textId="77777777" w:rsidR="00213D9D" w:rsidRPr="00CE0885" w:rsidRDefault="00213D9D" w:rsidP="005215BD">
      <w:pPr>
        <w:pStyle w:val="Heading3"/>
        <w:rPr>
          <w:lang w:eastAsia="en-GB"/>
        </w:rPr>
      </w:pPr>
      <w:bookmarkStart w:id="1008" w:name="_Toc440982916"/>
      <w:r w:rsidRPr="00CE0885">
        <w:rPr>
          <w:lang w:eastAsia="en-GB"/>
        </w:rPr>
        <w:t>Ensure any new contract is procured in accordance with procurement law. commissioners must also act in accordance with any procurement protocol issued by NHS England.</w:t>
      </w:r>
      <w:bookmarkEnd w:id="1008"/>
    </w:p>
    <w:p w14:paraId="30292038" w14:textId="77777777" w:rsidR="00213D9D" w:rsidRPr="00CE0885" w:rsidRDefault="00213D9D" w:rsidP="005215BD">
      <w:pPr>
        <w:pStyle w:val="Heading3"/>
        <w:rPr>
          <w:lang w:eastAsia="en-GB"/>
        </w:rPr>
      </w:pPr>
      <w:bookmarkStart w:id="1009" w:name="_Toc440982917"/>
      <w:r w:rsidRPr="00CE0885">
        <w:rPr>
          <w:lang w:eastAsia="en-GB"/>
        </w:rPr>
        <w:t>Once a preferred provider is established, agree an operational management plan (a template is provided in Annex 5 – this template should only be used where the contract does not contain exit arrangements as any such arrangements take precedence over the template).</w:t>
      </w:r>
      <w:bookmarkEnd w:id="1009"/>
    </w:p>
    <w:p w14:paraId="34C5D771" w14:textId="77777777" w:rsidR="00213D9D" w:rsidRPr="00CE0885" w:rsidRDefault="00213D9D" w:rsidP="005215BD">
      <w:pPr>
        <w:pStyle w:val="Heading3"/>
        <w:rPr>
          <w:lang w:eastAsia="en-GB"/>
        </w:rPr>
      </w:pPr>
      <w:bookmarkStart w:id="1010" w:name="_Toc440982918"/>
      <w:r w:rsidRPr="00CE0885">
        <w:rPr>
          <w:lang w:eastAsia="en-GB"/>
        </w:rPr>
        <w:t>Begin negotiations for continuation of the contract with the existing contractor, if appropriate.</w:t>
      </w:r>
      <w:bookmarkEnd w:id="1010"/>
    </w:p>
    <w:p w14:paraId="24E6CE63" w14:textId="77777777" w:rsidR="00213D9D" w:rsidRPr="00CE0885" w:rsidRDefault="00213D9D" w:rsidP="005215BD">
      <w:pPr>
        <w:pStyle w:val="Heading3"/>
        <w:rPr>
          <w:lang w:eastAsia="en-GB"/>
        </w:rPr>
      </w:pPr>
      <w:bookmarkStart w:id="1011" w:name="_Toc440982919"/>
      <w:r w:rsidRPr="00CE0885">
        <w:rPr>
          <w:lang w:eastAsia="en-GB"/>
        </w:rPr>
        <w:t>Extending any contract beyond a previously agreed end date could be considered a material change to the terms of that contract which could lead to a procurement challenge.</w:t>
      </w:r>
      <w:bookmarkEnd w:id="1011"/>
    </w:p>
    <w:p w14:paraId="4588789E" w14:textId="77777777" w:rsidR="00213D9D" w:rsidRPr="00CE0885" w:rsidRDefault="00213D9D" w:rsidP="005215BD">
      <w:pPr>
        <w:pStyle w:val="Heading3"/>
        <w:rPr>
          <w:lang w:eastAsia="en-GB"/>
        </w:rPr>
      </w:pPr>
      <w:bookmarkStart w:id="1012" w:name="_Toc440982920"/>
      <w:r w:rsidRPr="00CE0885">
        <w:rPr>
          <w:lang w:eastAsia="en-GB"/>
        </w:rPr>
        <w:t>If there is no extension period already included in the contract, the Commissioner will need to consider carefully whether such an extension should instead be subject to a full procurement process to ensure best value and mitigate the risk of challenge from previous and/or potential alternative service providers. If the Commissioner's decision is that no procurement process is necessary then it must ensure it is aware of the necessary steps which must be taken to satisfy procurement law and any procurement protocol issued by NHS England.</w:t>
      </w:r>
      <w:bookmarkEnd w:id="1012"/>
    </w:p>
    <w:p w14:paraId="1F881845" w14:textId="77777777" w:rsidR="00213D9D" w:rsidRPr="00CE0885" w:rsidRDefault="00213D9D" w:rsidP="005215BD">
      <w:pPr>
        <w:pStyle w:val="Heading3"/>
        <w:rPr>
          <w:lang w:eastAsia="en-GB"/>
        </w:rPr>
      </w:pPr>
      <w:bookmarkStart w:id="1013" w:name="_Toc440982921"/>
      <w:r w:rsidRPr="00CE0885">
        <w:rPr>
          <w:lang w:eastAsia="en-GB"/>
        </w:rPr>
        <w:t>Once the decision to extend has been reached and all correct processes have been followed the Commissioner will need to consider:</w:t>
      </w:r>
      <w:bookmarkEnd w:id="1013"/>
    </w:p>
    <w:p w14:paraId="4317E4DC" w14:textId="77777777" w:rsidR="00213D9D" w:rsidRPr="005215BD" w:rsidRDefault="00213D9D" w:rsidP="005A7DDA">
      <w:pPr>
        <w:pStyle w:val="ListParagraph"/>
        <w:widowControl w:val="0"/>
        <w:numPr>
          <w:ilvl w:val="0"/>
          <w:numId w:val="115"/>
        </w:numPr>
        <w:spacing w:line="360" w:lineRule="auto"/>
        <w:jc w:val="both"/>
        <w:outlineLvl w:val="2"/>
        <w:rPr>
          <w:rFonts w:cs="Arial"/>
          <w:bCs w:val="0"/>
          <w:szCs w:val="24"/>
          <w:lang w:eastAsia="en-GB"/>
        </w:rPr>
      </w:pPr>
      <w:bookmarkStart w:id="1014" w:name="_Toc440982922"/>
      <w:r w:rsidRPr="005215BD">
        <w:rPr>
          <w:rFonts w:cs="Arial"/>
          <w:bCs w:val="0"/>
          <w:szCs w:val="24"/>
          <w:lang w:eastAsia="en-GB"/>
        </w:rPr>
        <w:t>the length of extension;</w:t>
      </w:r>
      <w:bookmarkEnd w:id="1014"/>
    </w:p>
    <w:p w14:paraId="06B3A4F1" w14:textId="77777777" w:rsidR="00213D9D" w:rsidRPr="005215BD" w:rsidRDefault="00213D9D" w:rsidP="005A7DDA">
      <w:pPr>
        <w:pStyle w:val="ListParagraph"/>
        <w:widowControl w:val="0"/>
        <w:numPr>
          <w:ilvl w:val="0"/>
          <w:numId w:val="115"/>
        </w:numPr>
        <w:spacing w:line="360" w:lineRule="auto"/>
        <w:jc w:val="both"/>
        <w:outlineLvl w:val="2"/>
        <w:rPr>
          <w:rFonts w:cs="Arial"/>
          <w:bCs w:val="0"/>
          <w:szCs w:val="24"/>
          <w:lang w:eastAsia="en-GB"/>
        </w:rPr>
      </w:pPr>
      <w:bookmarkStart w:id="1015" w:name="_Toc440982923"/>
      <w:r w:rsidRPr="005215BD">
        <w:rPr>
          <w:rFonts w:cs="Arial"/>
          <w:bCs w:val="0"/>
          <w:szCs w:val="24"/>
          <w:lang w:eastAsia="en-GB"/>
        </w:rPr>
        <w:t>any alterations to the existing contract (including the financial arrangements); and</w:t>
      </w:r>
      <w:bookmarkEnd w:id="1015"/>
    </w:p>
    <w:p w14:paraId="34CB5CEF" w14:textId="77777777" w:rsidR="00213D9D" w:rsidRPr="005215BD" w:rsidRDefault="00213D9D" w:rsidP="005A7DDA">
      <w:pPr>
        <w:pStyle w:val="ListParagraph"/>
        <w:widowControl w:val="0"/>
        <w:numPr>
          <w:ilvl w:val="0"/>
          <w:numId w:val="115"/>
        </w:numPr>
        <w:spacing w:line="360" w:lineRule="auto"/>
        <w:jc w:val="both"/>
        <w:outlineLvl w:val="2"/>
        <w:rPr>
          <w:rFonts w:cs="Arial"/>
          <w:bCs w:val="0"/>
          <w:szCs w:val="24"/>
          <w:lang w:eastAsia="en-GB"/>
        </w:rPr>
      </w:pPr>
      <w:bookmarkStart w:id="1016" w:name="_Toc440982924"/>
      <w:r w:rsidRPr="005215BD">
        <w:rPr>
          <w:rFonts w:cs="Arial"/>
          <w:bCs w:val="0"/>
          <w:szCs w:val="24"/>
          <w:lang w:eastAsia="en-GB"/>
        </w:rPr>
        <w:t>any agreement of new key performance indicators.</w:t>
      </w:r>
      <w:bookmarkEnd w:id="1016"/>
    </w:p>
    <w:p w14:paraId="78B91D2E" w14:textId="77777777" w:rsidR="00213D9D" w:rsidRPr="0008784C" w:rsidRDefault="00213D9D" w:rsidP="0008784C">
      <w:pPr>
        <w:pStyle w:val="BodyText"/>
        <w:rPr>
          <w:b/>
          <w:sz w:val="24"/>
          <w:szCs w:val="24"/>
        </w:rPr>
      </w:pPr>
      <w:bookmarkStart w:id="1017" w:name="_Toc440982925"/>
      <w:r w:rsidRPr="0008784C">
        <w:rPr>
          <w:b/>
          <w:sz w:val="24"/>
          <w:szCs w:val="24"/>
        </w:rPr>
        <w:t>Completion of stage 2</w:t>
      </w:r>
      <w:bookmarkEnd w:id="1017"/>
    </w:p>
    <w:p w14:paraId="70A15E2D" w14:textId="77777777" w:rsidR="00213D9D" w:rsidRPr="00CE0885" w:rsidRDefault="00213D9D" w:rsidP="005215BD">
      <w:pPr>
        <w:pStyle w:val="Heading3"/>
        <w:rPr>
          <w:lang w:eastAsia="en-GB"/>
        </w:rPr>
      </w:pPr>
      <w:bookmarkStart w:id="1018" w:name="_Toc440982926"/>
      <w:r w:rsidRPr="00CE0885">
        <w:rPr>
          <w:lang w:eastAsia="en-GB"/>
        </w:rPr>
        <w:t>Completion of stage 2 will provide the Commissioner with the firm foundations and detailed preparations ready to manage the end of the contract.</w:t>
      </w:r>
      <w:bookmarkEnd w:id="1018"/>
    </w:p>
    <w:p w14:paraId="79A6D6E9" w14:textId="77777777" w:rsidR="00213D9D" w:rsidRPr="009055A7" w:rsidRDefault="00213D9D" w:rsidP="005215BD">
      <w:pPr>
        <w:widowControl w:val="0"/>
        <w:spacing w:line="360" w:lineRule="auto"/>
        <w:jc w:val="both"/>
        <w:rPr>
          <w:rFonts w:cs="Arial"/>
          <w:bCs w:val="0"/>
          <w:sz w:val="20"/>
          <w:szCs w:val="20"/>
          <w:lang w:eastAsia="en-GB"/>
        </w:rPr>
      </w:pPr>
    </w:p>
    <w:p w14:paraId="108F9E83" w14:textId="77777777" w:rsidR="00213D9D" w:rsidRPr="00CE0885" w:rsidRDefault="00213D9D" w:rsidP="005215BD">
      <w:pPr>
        <w:pStyle w:val="Heading2"/>
        <w:ind w:left="0" w:firstLine="0"/>
        <w:rPr>
          <w:lang w:eastAsia="en-GB"/>
        </w:rPr>
      </w:pPr>
      <w:bookmarkStart w:id="1019" w:name="_Toc440982927"/>
      <w:bookmarkStart w:id="1020" w:name="_Toc498495417"/>
      <w:r w:rsidRPr="00CE0885">
        <w:rPr>
          <w:lang w:eastAsia="en-GB"/>
        </w:rPr>
        <w:t>Stage 3 – At Contract End</w:t>
      </w:r>
      <w:bookmarkEnd w:id="1019"/>
      <w:bookmarkEnd w:id="1020"/>
    </w:p>
    <w:p w14:paraId="70C0B06C" w14:textId="77777777" w:rsidR="00213D9D" w:rsidRPr="00CE0885" w:rsidRDefault="00213D9D" w:rsidP="005215BD">
      <w:pPr>
        <w:pStyle w:val="Heading3"/>
        <w:rPr>
          <w:lang w:eastAsia="en-GB"/>
        </w:rPr>
      </w:pPr>
      <w:bookmarkStart w:id="1021" w:name="_Toc440982928"/>
      <w:r w:rsidRPr="00CE0885">
        <w:rPr>
          <w:lang w:eastAsia="en-GB"/>
        </w:rPr>
        <w:t>Below are the possible outcomes culminating from stages 1 and 2.</w:t>
      </w:r>
      <w:bookmarkEnd w:id="1021"/>
    </w:p>
    <w:p w14:paraId="2B3D1F37" w14:textId="77777777" w:rsidR="00213D9D" w:rsidRPr="00CE0885" w:rsidRDefault="00213D9D" w:rsidP="005215BD">
      <w:pPr>
        <w:pStyle w:val="Heading3"/>
        <w:rPr>
          <w:lang w:eastAsia="en-GB"/>
        </w:rPr>
      </w:pPr>
      <w:bookmarkStart w:id="1022" w:name="_Toc440982929"/>
      <w:r w:rsidRPr="00CE0885">
        <w:rPr>
          <w:lang w:eastAsia="en-GB"/>
        </w:rPr>
        <w:t>Contract end</w:t>
      </w:r>
      <w:bookmarkEnd w:id="1022"/>
    </w:p>
    <w:p w14:paraId="62E33DBF" w14:textId="77777777" w:rsidR="00213D9D" w:rsidRPr="00CE0885" w:rsidRDefault="00213D9D" w:rsidP="005215BD">
      <w:pPr>
        <w:pStyle w:val="Heading3"/>
        <w:rPr>
          <w:lang w:eastAsia="en-GB"/>
        </w:rPr>
      </w:pPr>
      <w:bookmarkStart w:id="1023" w:name="_Toc440982930"/>
      <w:r w:rsidRPr="00CE0885">
        <w:rPr>
          <w:lang w:eastAsia="en-GB"/>
        </w:rPr>
        <w:t>Service ceases.</w:t>
      </w:r>
      <w:bookmarkEnd w:id="1023"/>
    </w:p>
    <w:p w14:paraId="42C4AE24" w14:textId="1863A4DE" w:rsidR="00213D9D" w:rsidRPr="00CE0885" w:rsidRDefault="00213D9D" w:rsidP="005215BD">
      <w:pPr>
        <w:pStyle w:val="Heading3"/>
        <w:rPr>
          <w:lang w:eastAsia="en-GB"/>
        </w:rPr>
      </w:pPr>
      <w:bookmarkStart w:id="1024" w:name="_Toc440982931"/>
      <w:r w:rsidRPr="00CE0885">
        <w:rPr>
          <w:lang w:eastAsia="en-GB"/>
        </w:rPr>
        <w:t xml:space="preserve">Dispersal of list if applicable (please refer to comments on managing patient lists in the termination section of the </w:t>
      </w:r>
      <w:r w:rsidR="00CF37FA">
        <w:rPr>
          <w:lang w:eastAsia="en-GB"/>
        </w:rPr>
        <w:t xml:space="preserve">chapter </w:t>
      </w:r>
      <w:r w:rsidRPr="00CE0885">
        <w:rPr>
          <w:lang w:eastAsia="en-GB"/>
        </w:rPr>
        <w:t>on contract breaches</w:t>
      </w:r>
      <w:r w:rsidR="00CF37FA">
        <w:rPr>
          <w:lang w:eastAsia="en-GB"/>
        </w:rPr>
        <w:t>, sanctions</w:t>
      </w:r>
      <w:r w:rsidRPr="00CE0885">
        <w:rPr>
          <w:lang w:eastAsia="en-GB"/>
        </w:rPr>
        <w:t xml:space="preserve"> and termination</w:t>
      </w:r>
      <w:r w:rsidR="00CF37FA">
        <w:rPr>
          <w:lang w:eastAsia="en-GB"/>
        </w:rPr>
        <w:t>s</w:t>
      </w:r>
      <w:r w:rsidR="001B14F9">
        <w:rPr>
          <w:lang w:eastAsia="en-GB"/>
        </w:rPr>
        <w:t xml:space="preserve"> and </w:t>
      </w:r>
      <w:bookmarkEnd w:id="1024"/>
      <w:r w:rsidR="001B14F9">
        <w:rPr>
          <w:lang w:eastAsia="en-GB"/>
        </w:rPr>
        <w:t xml:space="preserve">section 2.5 of the unplanned closures chapter regarding orphan </w:t>
      </w:r>
      <w:r w:rsidR="00F6537D">
        <w:rPr>
          <w:lang w:eastAsia="en-GB"/>
        </w:rPr>
        <w:t>data</w:t>
      </w:r>
      <w:r w:rsidR="001B14F9">
        <w:rPr>
          <w:lang w:eastAsia="en-GB"/>
        </w:rPr>
        <w:t>.</w:t>
      </w:r>
    </w:p>
    <w:p w14:paraId="0E59682F" w14:textId="77777777" w:rsidR="00213D9D" w:rsidRPr="00CE0885" w:rsidRDefault="00213D9D" w:rsidP="005215BD">
      <w:pPr>
        <w:pStyle w:val="Heading3"/>
        <w:rPr>
          <w:lang w:eastAsia="en-GB"/>
        </w:rPr>
      </w:pPr>
      <w:bookmarkStart w:id="1025" w:name="_Toc440982932"/>
      <w:r w:rsidRPr="00CE0885">
        <w:rPr>
          <w:lang w:eastAsia="en-GB"/>
        </w:rPr>
        <w:t>Communication to be sent out to all those parties involved e.g. management of patient communication working with provider, management of the press, notification of contract end to relevant stakeholders.</w:t>
      </w:r>
      <w:bookmarkEnd w:id="1025"/>
    </w:p>
    <w:p w14:paraId="16FE8308" w14:textId="77777777" w:rsidR="00213D9D" w:rsidRPr="00CE0885" w:rsidRDefault="00213D9D" w:rsidP="005215BD">
      <w:pPr>
        <w:pStyle w:val="Heading3"/>
        <w:rPr>
          <w:lang w:eastAsia="en-GB"/>
        </w:rPr>
      </w:pPr>
      <w:bookmarkStart w:id="1026" w:name="_Toc440982933"/>
      <w:r w:rsidRPr="00CE0885">
        <w:rPr>
          <w:lang w:eastAsia="en-GB"/>
        </w:rPr>
        <w:t>Variation to contract – extension</w:t>
      </w:r>
      <w:bookmarkEnd w:id="1026"/>
    </w:p>
    <w:p w14:paraId="3CF586F9" w14:textId="77777777" w:rsidR="00213D9D" w:rsidRPr="00CE0885" w:rsidRDefault="00213D9D" w:rsidP="005215BD">
      <w:pPr>
        <w:pStyle w:val="Heading3"/>
        <w:rPr>
          <w:lang w:eastAsia="en-GB"/>
        </w:rPr>
      </w:pPr>
      <w:bookmarkStart w:id="1027" w:name="_Toc440982934"/>
      <w:r w:rsidRPr="00CE0885">
        <w:rPr>
          <w:lang w:eastAsia="en-GB"/>
        </w:rPr>
        <w:t>Contract variation issued and signed off by both parties.</w:t>
      </w:r>
      <w:bookmarkEnd w:id="1027"/>
    </w:p>
    <w:p w14:paraId="3247D9B9" w14:textId="77777777" w:rsidR="00213D9D" w:rsidRPr="00CE0885" w:rsidRDefault="00213D9D" w:rsidP="005215BD">
      <w:pPr>
        <w:pStyle w:val="Heading3"/>
        <w:rPr>
          <w:lang w:eastAsia="en-GB"/>
        </w:rPr>
      </w:pPr>
      <w:bookmarkStart w:id="1028" w:name="_Toc440982935"/>
      <w:r w:rsidRPr="00CE0885">
        <w:rPr>
          <w:lang w:eastAsia="en-GB"/>
        </w:rPr>
        <w:t>Commencement of new provider</w:t>
      </w:r>
      <w:bookmarkEnd w:id="1028"/>
    </w:p>
    <w:p w14:paraId="09784AD4" w14:textId="77777777" w:rsidR="00213D9D" w:rsidRPr="00CE0885" w:rsidRDefault="00213D9D" w:rsidP="005215BD">
      <w:pPr>
        <w:pStyle w:val="Heading3"/>
        <w:rPr>
          <w:lang w:eastAsia="en-GB"/>
        </w:rPr>
      </w:pPr>
      <w:bookmarkStart w:id="1029" w:name="_Toc440982936"/>
      <w:r w:rsidRPr="00CE0885">
        <w:rPr>
          <w:lang w:eastAsia="en-GB"/>
        </w:rPr>
        <w:t>Issue of new contract.</w:t>
      </w:r>
      <w:bookmarkEnd w:id="1029"/>
    </w:p>
    <w:p w14:paraId="66DB5877" w14:textId="77777777" w:rsidR="00213D9D" w:rsidRPr="00CE0885" w:rsidRDefault="00213D9D" w:rsidP="005215BD">
      <w:pPr>
        <w:pStyle w:val="Heading3"/>
        <w:rPr>
          <w:lang w:eastAsia="en-GB"/>
        </w:rPr>
      </w:pPr>
      <w:bookmarkStart w:id="1030" w:name="_Toc440982937"/>
      <w:r w:rsidRPr="00CE0885">
        <w:rPr>
          <w:lang w:eastAsia="en-GB"/>
        </w:rPr>
        <w:t>Operational management plan implemented.</w:t>
      </w:r>
      <w:bookmarkEnd w:id="1030"/>
    </w:p>
    <w:p w14:paraId="07DDC8F1" w14:textId="77777777" w:rsidR="00213D9D" w:rsidRPr="00CE0885" w:rsidRDefault="00213D9D" w:rsidP="005215BD">
      <w:pPr>
        <w:pStyle w:val="Heading3"/>
        <w:rPr>
          <w:lang w:eastAsia="en-GB"/>
        </w:rPr>
      </w:pPr>
      <w:bookmarkStart w:id="1031" w:name="_Toc440982938"/>
      <w:r w:rsidRPr="00CE0885">
        <w:rPr>
          <w:lang w:eastAsia="en-GB"/>
        </w:rPr>
        <w:t>Relevant communications undertaken, internally and externally.</w:t>
      </w:r>
      <w:bookmarkEnd w:id="1031"/>
    </w:p>
    <w:p w14:paraId="627274C1" w14:textId="77777777" w:rsidR="00213D9D" w:rsidRPr="00CE0885" w:rsidRDefault="00213D9D" w:rsidP="005215BD">
      <w:pPr>
        <w:pStyle w:val="Heading3"/>
        <w:rPr>
          <w:lang w:eastAsia="en-GB"/>
        </w:rPr>
      </w:pPr>
      <w:bookmarkStart w:id="1032" w:name="_Toc440982939"/>
      <w:r w:rsidRPr="00CE0885">
        <w:rPr>
          <w:lang w:eastAsia="en-GB"/>
        </w:rPr>
        <w:t>On completion of stage 3, the Commissioner will have reached an agreed, structured outcome about the management of contract end.</w:t>
      </w:r>
      <w:bookmarkEnd w:id="1032"/>
    </w:p>
    <w:p w14:paraId="403238B9" w14:textId="1540A947" w:rsidR="006C3892" w:rsidRPr="002306F3" w:rsidRDefault="00213D9D" w:rsidP="00213D9D">
      <w:pPr>
        <w:widowControl w:val="0"/>
        <w:autoSpaceDE w:val="0"/>
        <w:autoSpaceDN w:val="0"/>
        <w:adjustRightInd w:val="0"/>
        <w:spacing w:line="360" w:lineRule="auto"/>
        <w:ind w:right="-23"/>
        <w:jc w:val="center"/>
      </w:pPr>
      <w:r w:rsidRPr="00CE0885">
        <w:rPr>
          <w:rFonts w:cs="Arial"/>
          <w:bCs w:val="0"/>
          <w:szCs w:val="24"/>
          <w:lang w:eastAsia="en-GB"/>
        </w:rPr>
        <w:br w:type="page"/>
      </w:r>
    </w:p>
    <w:p w14:paraId="069B2A9B" w14:textId="49B48DBF" w:rsidR="00213D9D" w:rsidRPr="006C3892" w:rsidRDefault="00213D9D" w:rsidP="00213D9D">
      <w:pPr>
        <w:widowControl w:val="0"/>
        <w:autoSpaceDE w:val="0"/>
        <w:autoSpaceDN w:val="0"/>
        <w:adjustRightInd w:val="0"/>
        <w:spacing w:line="360" w:lineRule="auto"/>
        <w:ind w:right="-23"/>
        <w:rPr>
          <w:rFonts w:cs="Arial"/>
          <w:b/>
          <w:bCs w:val="0"/>
          <w:szCs w:val="24"/>
          <w:lang w:eastAsia="en-GB"/>
        </w:rPr>
      </w:pPr>
      <w:r w:rsidRPr="006C3892">
        <w:rPr>
          <w:rFonts w:cs="Arial"/>
          <w:b/>
          <w:bCs w:val="0"/>
          <w:szCs w:val="24"/>
          <w:lang w:eastAsia="en-GB"/>
        </w:rPr>
        <w:t>Annex 1</w:t>
      </w:r>
      <w:r w:rsidR="006C3892" w:rsidRPr="006C3892">
        <w:rPr>
          <w:rFonts w:cs="Arial"/>
          <w:b/>
          <w:bCs w:val="0"/>
          <w:sz w:val="28"/>
          <w:szCs w:val="28"/>
          <w:lang w:eastAsia="en-GB"/>
        </w:rPr>
        <w:t xml:space="preserve"> </w:t>
      </w:r>
      <w:r w:rsidRPr="006C3892">
        <w:rPr>
          <w:rFonts w:cs="Arial"/>
          <w:b/>
          <w:bCs w:val="0"/>
          <w:szCs w:val="24"/>
          <w:lang w:eastAsia="en-GB"/>
        </w:rPr>
        <w:t xml:space="preserve">Guide to Communication with Contractors </w:t>
      </w:r>
    </w:p>
    <w:bookmarkStart w:id="1033" w:name="_1557370796"/>
    <w:bookmarkEnd w:id="1033"/>
    <w:p w14:paraId="45BC7FEA" w14:textId="695ED931" w:rsidR="00593024" w:rsidRPr="00593024" w:rsidRDefault="002306F3" w:rsidP="00593024">
      <w:pPr>
        <w:pStyle w:val="ListParagraph"/>
        <w:widowControl w:val="0"/>
        <w:numPr>
          <w:ilvl w:val="0"/>
          <w:numId w:val="156"/>
        </w:numPr>
        <w:autoSpaceDE w:val="0"/>
        <w:autoSpaceDN w:val="0"/>
        <w:adjustRightInd w:val="0"/>
        <w:spacing w:line="360" w:lineRule="auto"/>
        <w:ind w:right="-23"/>
        <w:rPr>
          <w:rFonts w:cs="Arial"/>
          <w:bCs w:val="0"/>
          <w:szCs w:val="24"/>
          <w:lang w:eastAsia="en-GB"/>
        </w:rPr>
      </w:pPr>
      <w:r>
        <w:fldChar w:fldCharType="begin"/>
      </w:r>
      <w:r>
        <w:instrText xml:space="preserve"> HYPERLINK "https://www.england.nhs.uk/publication/primary-medical-care-policy-and-guidance-manual-stage-3-at-contract-end-annexes/" </w:instrText>
      </w:r>
      <w:r>
        <w:fldChar w:fldCharType="separate"/>
      </w:r>
      <w:r w:rsidR="00593024">
        <w:rPr>
          <w:rStyle w:val="Hyperlink"/>
          <w:rFonts w:cs="Arial"/>
          <w:bCs w:val="0"/>
          <w:szCs w:val="24"/>
          <w:lang w:eastAsia="en-GB"/>
        </w:rPr>
        <w:t>Guide to Communication with Contractors</w:t>
      </w:r>
      <w:r>
        <w:rPr>
          <w:rStyle w:val="Hyperlink"/>
          <w:rFonts w:cs="Arial"/>
          <w:bCs w:val="0"/>
          <w:szCs w:val="24"/>
          <w:lang w:eastAsia="en-GB"/>
        </w:rPr>
        <w:fldChar w:fldCharType="end"/>
      </w:r>
    </w:p>
    <w:p w14:paraId="09BE352F" w14:textId="34702ACA" w:rsidR="00213D9D" w:rsidRPr="00CE0885" w:rsidRDefault="00213D9D" w:rsidP="00213D9D">
      <w:pPr>
        <w:widowControl w:val="0"/>
        <w:spacing w:line="360" w:lineRule="auto"/>
        <w:jc w:val="both"/>
        <w:rPr>
          <w:rFonts w:cs="Arial"/>
          <w:bCs w:val="0"/>
          <w:szCs w:val="24"/>
        </w:rPr>
      </w:pPr>
    </w:p>
    <w:p w14:paraId="610AFA61" w14:textId="5AC65386" w:rsidR="00213D9D" w:rsidRPr="00CE0885" w:rsidRDefault="00213D9D" w:rsidP="00213D9D">
      <w:pPr>
        <w:widowControl w:val="0"/>
        <w:autoSpaceDE w:val="0"/>
        <w:autoSpaceDN w:val="0"/>
        <w:adjustRightInd w:val="0"/>
        <w:spacing w:line="360" w:lineRule="auto"/>
        <w:ind w:right="-23"/>
        <w:rPr>
          <w:rFonts w:cs="Arial"/>
          <w:b/>
          <w:bCs w:val="0"/>
          <w:szCs w:val="24"/>
          <w:lang w:eastAsia="en-GB"/>
        </w:rPr>
      </w:pPr>
      <w:r w:rsidRPr="00CE0885">
        <w:rPr>
          <w:rFonts w:cs="Arial"/>
          <w:b/>
          <w:bCs w:val="0"/>
          <w:szCs w:val="24"/>
          <w:lang w:eastAsia="en-GB"/>
        </w:rPr>
        <w:t>Annex 2 Checklist for Documentation Recording when Contract Ends</w:t>
      </w:r>
    </w:p>
    <w:bookmarkStart w:id="1034" w:name="_1557371357"/>
    <w:bookmarkEnd w:id="1034"/>
    <w:p w14:paraId="7D343ED1" w14:textId="7D9845A5" w:rsidR="00213D9D" w:rsidRPr="00593024" w:rsidRDefault="002306F3" w:rsidP="00593024">
      <w:pPr>
        <w:pStyle w:val="ListParagraph"/>
        <w:widowControl w:val="0"/>
        <w:numPr>
          <w:ilvl w:val="0"/>
          <w:numId w:val="156"/>
        </w:numPr>
        <w:autoSpaceDE w:val="0"/>
        <w:autoSpaceDN w:val="0"/>
        <w:adjustRightInd w:val="0"/>
        <w:spacing w:line="360" w:lineRule="auto"/>
        <w:ind w:right="-23"/>
        <w:rPr>
          <w:rFonts w:cs="Arial"/>
          <w:bCs w:val="0"/>
          <w:szCs w:val="24"/>
          <w:lang w:eastAsia="en-GB"/>
        </w:rPr>
      </w:pPr>
      <w:r>
        <w:fldChar w:fldCharType="begin"/>
      </w:r>
      <w:r>
        <w:instrText xml:space="preserve"> HYPERLINK "https://www.england.nhs.uk/publication/primary-medical-care-policy-and-guidance-manual-stage-3-at-contract-end-annexes/" </w:instrText>
      </w:r>
      <w:r>
        <w:fldChar w:fldCharType="separate"/>
      </w:r>
      <w:r w:rsidR="00593024">
        <w:rPr>
          <w:rStyle w:val="Hyperlink"/>
          <w:rFonts w:cs="Arial"/>
          <w:bCs w:val="0"/>
          <w:szCs w:val="24"/>
          <w:lang w:eastAsia="en-GB"/>
        </w:rPr>
        <w:t>Checklist for Documentation Recording when Contract Ends</w:t>
      </w:r>
      <w:r>
        <w:rPr>
          <w:rStyle w:val="Hyperlink"/>
          <w:rFonts w:cs="Arial"/>
          <w:bCs w:val="0"/>
          <w:szCs w:val="24"/>
          <w:lang w:eastAsia="en-GB"/>
        </w:rPr>
        <w:fldChar w:fldCharType="end"/>
      </w:r>
      <w:r w:rsidR="006C3892" w:rsidRPr="00593024">
        <w:rPr>
          <w:rFonts w:cs="Arial"/>
          <w:bCs w:val="0"/>
          <w:szCs w:val="24"/>
          <w:lang w:eastAsia="en-GB"/>
        </w:rPr>
        <w:br/>
      </w:r>
    </w:p>
    <w:p w14:paraId="585AC120" w14:textId="77777777" w:rsidR="00213D9D" w:rsidRDefault="00213D9D" w:rsidP="00213D9D">
      <w:pPr>
        <w:widowControl w:val="0"/>
        <w:autoSpaceDE w:val="0"/>
        <w:autoSpaceDN w:val="0"/>
        <w:adjustRightInd w:val="0"/>
        <w:spacing w:line="360" w:lineRule="auto"/>
        <w:ind w:right="-23"/>
        <w:rPr>
          <w:rFonts w:cs="Arial"/>
          <w:b/>
          <w:bCs w:val="0"/>
          <w:szCs w:val="24"/>
          <w:lang w:eastAsia="en-GB"/>
        </w:rPr>
      </w:pPr>
      <w:r w:rsidRPr="00CE0885">
        <w:rPr>
          <w:rFonts w:cs="Arial"/>
          <w:b/>
          <w:bCs w:val="0"/>
          <w:szCs w:val="24"/>
          <w:lang w:eastAsia="en-GB"/>
        </w:rPr>
        <w:t>Annex 3 Template Detailed Report</w:t>
      </w:r>
    </w:p>
    <w:bookmarkStart w:id="1035" w:name="_1557371382"/>
    <w:bookmarkEnd w:id="1035"/>
    <w:p w14:paraId="2E3BF524" w14:textId="7FD46910" w:rsidR="00593024" w:rsidRPr="00593024" w:rsidRDefault="002306F3" w:rsidP="00593024">
      <w:pPr>
        <w:pStyle w:val="ListParagraph"/>
        <w:widowControl w:val="0"/>
        <w:numPr>
          <w:ilvl w:val="0"/>
          <w:numId w:val="156"/>
        </w:numPr>
        <w:autoSpaceDE w:val="0"/>
        <w:autoSpaceDN w:val="0"/>
        <w:adjustRightInd w:val="0"/>
        <w:spacing w:line="360" w:lineRule="auto"/>
        <w:ind w:right="-23"/>
        <w:rPr>
          <w:rFonts w:cs="Arial"/>
          <w:bCs w:val="0"/>
          <w:szCs w:val="24"/>
          <w:lang w:eastAsia="en-GB"/>
        </w:rPr>
      </w:pPr>
      <w:r>
        <w:fldChar w:fldCharType="begin"/>
      </w:r>
      <w:r>
        <w:instrText xml:space="preserve"> HYPERLINK "https://www.england.nhs.uk/publication/primary-medical-care-policy-and-guidance-manual-stage-3-at-contract-end-annexes/" </w:instrText>
      </w:r>
      <w:r>
        <w:fldChar w:fldCharType="separate"/>
      </w:r>
      <w:r w:rsidR="00593024">
        <w:rPr>
          <w:rStyle w:val="Hyperlink"/>
          <w:rFonts w:cs="Arial"/>
          <w:bCs w:val="0"/>
          <w:szCs w:val="24"/>
          <w:lang w:eastAsia="en-GB"/>
        </w:rPr>
        <w:t>Template Detailed Report</w:t>
      </w:r>
      <w:r>
        <w:rPr>
          <w:rStyle w:val="Hyperlink"/>
          <w:rFonts w:cs="Arial"/>
          <w:bCs w:val="0"/>
          <w:szCs w:val="24"/>
          <w:lang w:eastAsia="en-GB"/>
        </w:rPr>
        <w:fldChar w:fldCharType="end"/>
      </w:r>
    </w:p>
    <w:p w14:paraId="2CAFC35D" w14:textId="60F95245" w:rsidR="00213D9D" w:rsidRPr="00CE0885" w:rsidRDefault="00213D9D" w:rsidP="00213D9D">
      <w:pPr>
        <w:widowControl w:val="0"/>
        <w:spacing w:line="360" w:lineRule="auto"/>
        <w:jc w:val="both"/>
        <w:rPr>
          <w:rFonts w:cs="Arial"/>
          <w:bCs w:val="0"/>
          <w:szCs w:val="24"/>
        </w:rPr>
      </w:pPr>
    </w:p>
    <w:p w14:paraId="6DE69F59" w14:textId="77777777" w:rsidR="00213D9D" w:rsidRPr="00CE0885" w:rsidRDefault="00213D9D" w:rsidP="00213D9D">
      <w:pPr>
        <w:widowControl w:val="0"/>
        <w:autoSpaceDE w:val="0"/>
        <w:autoSpaceDN w:val="0"/>
        <w:adjustRightInd w:val="0"/>
        <w:spacing w:line="360" w:lineRule="auto"/>
        <w:ind w:right="-23"/>
        <w:rPr>
          <w:rFonts w:cs="Arial"/>
          <w:b/>
          <w:bCs w:val="0"/>
          <w:szCs w:val="24"/>
          <w:lang w:eastAsia="en-GB"/>
        </w:rPr>
      </w:pPr>
      <w:r w:rsidRPr="00CE0885">
        <w:rPr>
          <w:rFonts w:cs="Arial"/>
          <w:b/>
          <w:bCs w:val="0"/>
          <w:szCs w:val="24"/>
          <w:lang w:eastAsia="en-GB"/>
        </w:rPr>
        <w:t xml:space="preserve">Annex 4 Template Exit Plan </w:t>
      </w:r>
    </w:p>
    <w:bookmarkStart w:id="1036" w:name="_1557371398"/>
    <w:bookmarkEnd w:id="1036"/>
    <w:p w14:paraId="437C0DFF" w14:textId="156EF094" w:rsidR="00213D9D" w:rsidRPr="00593024" w:rsidRDefault="002306F3" w:rsidP="00593024">
      <w:pPr>
        <w:pStyle w:val="ListParagraph"/>
        <w:widowControl w:val="0"/>
        <w:numPr>
          <w:ilvl w:val="0"/>
          <w:numId w:val="156"/>
        </w:numPr>
        <w:autoSpaceDE w:val="0"/>
        <w:autoSpaceDN w:val="0"/>
        <w:adjustRightInd w:val="0"/>
        <w:spacing w:line="360" w:lineRule="auto"/>
        <w:ind w:right="-23"/>
        <w:rPr>
          <w:rFonts w:cs="Arial"/>
          <w:bCs w:val="0"/>
          <w:szCs w:val="24"/>
          <w:lang w:eastAsia="en-GB"/>
        </w:rPr>
      </w:pPr>
      <w:r>
        <w:fldChar w:fldCharType="begin"/>
      </w:r>
      <w:r>
        <w:instrText xml:space="preserve"> HYPERLINK "https://www.england.nhs.uk/publication/primary-medical-care-policy-and-guidance-manual-stage-3-at-contract-end-annexes/" </w:instrText>
      </w:r>
      <w:r>
        <w:fldChar w:fldCharType="separate"/>
      </w:r>
      <w:r w:rsidR="00593024">
        <w:rPr>
          <w:rStyle w:val="Hyperlink"/>
          <w:rFonts w:cs="Arial"/>
          <w:bCs w:val="0"/>
          <w:szCs w:val="24"/>
          <w:lang w:eastAsia="en-GB"/>
        </w:rPr>
        <w:t>Template Exit Plan</w:t>
      </w:r>
      <w:r>
        <w:rPr>
          <w:rStyle w:val="Hyperlink"/>
          <w:rFonts w:cs="Arial"/>
          <w:bCs w:val="0"/>
          <w:szCs w:val="24"/>
          <w:lang w:eastAsia="en-GB"/>
        </w:rPr>
        <w:fldChar w:fldCharType="end"/>
      </w:r>
      <w:r w:rsidR="006C3892" w:rsidRPr="00593024">
        <w:rPr>
          <w:rFonts w:cs="Arial"/>
          <w:bCs w:val="0"/>
          <w:szCs w:val="24"/>
          <w:lang w:eastAsia="en-GB"/>
        </w:rPr>
        <w:br/>
      </w:r>
    </w:p>
    <w:p w14:paraId="0931C270" w14:textId="77777777" w:rsidR="00213D9D" w:rsidRPr="00CE0885" w:rsidRDefault="00213D9D" w:rsidP="00213D9D">
      <w:pPr>
        <w:widowControl w:val="0"/>
        <w:autoSpaceDE w:val="0"/>
        <w:autoSpaceDN w:val="0"/>
        <w:adjustRightInd w:val="0"/>
        <w:spacing w:line="360" w:lineRule="auto"/>
        <w:ind w:right="-23"/>
        <w:rPr>
          <w:rFonts w:cs="Arial"/>
          <w:b/>
          <w:bCs w:val="0"/>
          <w:szCs w:val="24"/>
          <w:lang w:eastAsia="en-GB"/>
        </w:rPr>
      </w:pPr>
      <w:r w:rsidRPr="00CE0885">
        <w:rPr>
          <w:rFonts w:cs="Arial"/>
          <w:b/>
          <w:bCs w:val="0"/>
          <w:szCs w:val="24"/>
          <w:lang w:eastAsia="en-GB"/>
        </w:rPr>
        <w:t xml:space="preserve">Annex 5 Template Operational Management Plan </w:t>
      </w:r>
    </w:p>
    <w:bookmarkStart w:id="1037" w:name="_1557371414"/>
    <w:bookmarkEnd w:id="1037"/>
    <w:p w14:paraId="6D0DA227" w14:textId="129DB754" w:rsidR="00593024" w:rsidRPr="006C3892" w:rsidRDefault="002306F3" w:rsidP="002306F3">
      <w:pPr>
        <w:pStyle w:val="ListParagraph"/>
        <w:widowControl w:val="0"/>
        <w:numPr>
          <w:ilvl w:val="0"/>
          <w:numId w:val="156"/>
        </w:numPr>
        <w:spacing w:line="360" w:lineRule="auto"/>
        <w:jc w:val="both"/>
        <w:rPr>
          <w:rFonts w:cs="Arial"/>
          <w:bCs w:val="0"/>
          <w:szCs w:val="24"/>
          <w:lang w:eastAsia="en-GB"/>
        </w:rPr>
      </w:pPr>
      <w:r>
        <w:fldChar w:fldCharType="begin"/>
      </w:r>
      <w:r>
        <w:instrText xml:space="preserve"> HYPERLINK "https://www.england.nhs.uk/publication/primary-medical-care-policy-and-guidance-manual-stage-3-at-contract-end-annexes/" </w:instrText>
      </w:r>
      <w:r>
        <w:fldChar w:fldCharType="separate"/>
      </w:r>
      <w:r w:rsidR="00593024">
        <w:rPr>
          <w:rStyle w:val="Hyperlink"/>
          <w:rFonts w:cs="Arial"/>
          <w:bCs w:val="0"/>
          <w:szCs w:val="24"/>
          <w:lang w:eastAsia="en-GB"/>
        </w:rPr>
        <w:t>Template Operational Management Plan</w:t>
      </w:r>
      <w:r>
        <w:rPr>
          <w:rStyle w:val="Hyperlink"/>
          <w:rFonts w:cs="Arial"/>
          <w:bCs w:val="0"/>
          <w:szCs w:val="24"/>
          <w:lang w:eastAsia="en-GB"/>
        </w:rPr>
        <w:fldChar w:fldCharType="end"/>
      </w:r>
    </w:p>
    <w:p w14:paraId="1EEFA63E" w14:textId="05D5EDF2" w:rsidR="00213D9D" w:rsidRPr="0015247B" w:rsidRDefault="00213D9D" w:rsidP="00213D9D">
      <w:pPr>
        <w:rPr>
          <w:lang w:eastAsia="en-GB"/>
        </w:rPr>
      </w:pPr>
      <w:r w:rsidRPr="00CE0885">
        <w:rPr>
          <w:rFonts w:cs="Arial"/>
        </w:rPr>
        <w:br w:type="page"/>
      </w:r>
    </w:p>
    <w:p w14:paraId="44AADAC5" w14:textId="77777777" w:rsidR="00472858" w:rsidRPr="00446DA6" w:rsidRDefault="0015247B" w:rsidP="00472858">
      <w:pPr>
        <w:pStyle w:val="Heading1"/>
      </w:pPr>
      <w:r>
        <w:rPr>
          <w:lang w:eastAsia="en-GB"/>
        </w:rPr>
        <w:t> </w:t>
      </w:r>
      <w:bookmarkStart w:id="1038" w:name="_Toc498495418"/>
      <w:r w:rsidR="00472858" w:rsidRPr="00446DA6">
        <w:t>Discretionary Payments (made under Section 96</w:t>
      </w:r>
      <w:bookmarkEnd w:id="1038"/>
    </w:p>
    <w:p w14:paraId="6997802B" w14:textId="77777777" w:rsidR="00472858" w:rsidRDefault="00472858" w:rsidP="00472858">
      <w:pPr>
        <w:rPr>
          <w:lang w:eastAsia="en-GB"/>
        </w:rPr>
      </w:pPr>
    </w:p>
    <w:p w14:paraId="741CF232" w14:textId="77777777" w:rsidR="00472858" w:rsidRPr="00FA603E" w:rsidRDefault="00472858" w:rsidP="00472858">
      <w:pPr>
        <w:pStyle w:val="Heading2"/>
      </w:pPr>
      <w:bookmarkStart w:id="1039" w:name="_Toc493938684"/>
      <w:bookmarkStart w:id="1040" w:name="_Toc493938777"/>
      <w:bookmarkStart w:id="1041" w:name="_Toc493939126"/>
      <w:bookmarkStart w:id="1042" w:name="_Toc498495419"/>
      <w:r w:rsidRPr="00FA603E">
        <w:t>Introduction</w:t>
      </w:r>
      <w:bookmarkEnd w:id="1039"/>
      <w:bookmarkEnd w:id="1040"/>
      <w:bookmarkEnd w:id="1041"/>
      <w:bookmarkEnd w:id="1042"/>
    </w:p>
    <w:p w14:paraId="15845CAE" w14:textId="77777777" w:rsidR="00472858" w:rsidRPr="00FA603E" w:rsidRDefault="000E7846" w:rsidP="00472858">
      <w:pPr>
        <w:spacing w:before="60" w:after="60"/>
        <w:jc w:val="right"/>
        <w:rPr>
          <w:rFonts w:cs="Arial"/>
          <w:sz w:val="16"/>
          <w:szCs w:val="16"/>
        </w:rPr>
      </w:pPr>
      <w:hyperlink w:anchor="_top" w:history="1">
        <w:r w:rsidR="00472858" w:rsidRPr="00FA603E">
          <w:rPr>
            <w:rStyle w:val="Hyperlink"/>
            <w:rFonts w:cs="Arial"/>
            <w:sz w:val="16"/>
            <w:szCs w:val="16"/>
          </w:rPr>
          <w:t>(return to contents page)</w:t>
        </w:r>
      </w:hyperlink>
    </w:p>
    <w:p w14:paraId="11E44413" w14:textId="77777777" w:rsidR="00472858" w:rsidRPr="00BC6461" w:rsidRDefault="00472858" w:rsidP="00472858">
      <w:pPr>
        <w:pStyle w:val="Heading3"/>
      </w:pPr>
      <w:r w:rsidRPr="00BC6461">
        <w:t xml:space="preserve">Section 96 of the NHS Act (2006) </w:t>
      </w:r>
      <w:r>
        <w:t xml:space="preserve">(as amended) </w:t>
      </w:r>
      <w:r w:rsidRPr="00BC6461">
        <w:t xml:space="preserve">makes provisions for commissioners to provide assistance and support to primary medical services contractors, including financial support:  </w:t>
      </w:r>
    </w:p>
    <w:p w14:paraId="7D143D9A" w14:textId="77777777" w:rsidR="00472858" w:rsidRPr="00BC6461" w:rsidRDefault="00472858" w:rsidP="00472858">
      <w:pPr>
        <w:spacing w:before="60" w:after="60"/>
        <w:ind w:left="720"/>
        <w:rPr>
          <w:rFonts w:cs="Arial"/>
          <w:i/>
          <w:szCs w:val="24"/>
        </w:rPr>
      </w:pPr>
      <w:r w:rsidRPr="00BC6461">
        <w:rPr>
          <w:rFonts w:cs="Arial"/>
          <w:i/>
          <w:szCs w:val="24"/>
        </w:rPr>
        <w:t>96 Assistance and support: primary medical services</w:t>
      </w:r>
    </w:p>
    <w:p w14:paraId="0C8C3FB3" w14:textId="77777777" w:rsidR="00472858" w:rsidRPr="00BC6461" w:rsidRDefault="00472858" w:rsidP="00472858">
      <w:pPr>
        <w:spacing w:before="60" w:after="60"/>
        <w:ind w:left="1440"/>
        <w:rPr>
          <w:rFonts w:cs="Arial"/>
          <w:i/>
          <w:szCs w:val="24"/>
        </w:rPr>
      </w:pPr>
      <w:r w:rsidRPr="00BC6461">
        <w:rPr>
          <w:rFonts w:cs="Arial"/>
          <w:i/>
          <w:szCs w:val="24"/>
        </w:rPr>
        <w:t>(1) The Board may provide assistance or support to any person providing or proposing to provide–</w:t>
      </w:r>
    </w:p>
    <w:p w14:paraId="7B746827" w14:textId="77777777" w:rsidR="00472858" w:rsidRPr="00BC6461" w:rsidRDefault="00472858" w:rsidP="005A7DDA">
      <w:pPr>
        <w:pStyle w:val="ListParagraph"/>
        <w:numPr>
          <w:ilvl w:val="0"/>
          <w:numId w:val="84"/>
        </w:numPr>
        <w:spacing w:before="60" w:after="60" w:line="276" w:lineRule="auto"/>
        <w:ind w:left="2520"/>
        <w:rPr>
          <w:rFonts w:cs="Arial"/>
          <w:i/>
          <w:szCs w:val="24"/>
        </w:rPr>
      </w:pPr>
      <w:r w:rsidRPr="00BC6461">
        <w:rPr>
          <w:rFonts w:cs="Arial"/>
          <w:i/>
          <w:szCs w:val="24"/>
        </w:rPr>
        <w:t xml:space="preserve">primary medical services pursuant to section 83(2), </w:t>
      </w:r>
    </w:p>
    <w:p w14:paraId="3BCC8DDD" w14:textId="77777777" w:rsidR="00472858" w:rsidRPr="00BC6461" w:rsidRDefault="00472858" w:rsidP="005A7DDA">
      <w:pPr>
        <w:pStyle w:val="ListParagraph"/>
        <w:numPr>
          <w:ilvl w:val="0"/>
          <w:numId w:val="84"/>
        </w:numPr>
        <w:spacing w:before="60" w:after="60" w:line="276" w:lineRule="auto"/>
        <w:ind w:left="2520"/>
        <w:rPr>
          <w:rFonts w:cs="Arial"/>
          <w:i/>
          <w:szCs w:val="24"/>
        </w:rPr>
      </w:pPr>
      <w:r w:rsidRPr="00BC6461">
        <w:rPr>
          <w:rFonts w:cs="Arial"/>
          <w:i/>
          <w:szCs w:val="24"/>
        </w:rPr>
        <w:t>primary medical services under a general medical services contract, or</w:t>
      </w:r>
    </w:p>
    <w:p w14:paraId="316B2E21" w14:textId="77777777" w:rsidR="00472858" w:rsidRPr="00BC6461" w:rsidRDefault="00472858" w:rsidP="005A7DDA">
      <w:pPr>
        <w:pStyle w:val="ListParagraph"/>
        <w:numPr>
          <w:ilvl w:val="0"/>
          <w:numId w:val="84"/>
        </w:numPr>
        <w:spacing w:before="60" w:after="60" w:line="276" w:lineRule="auto"/>
        <w:ind w:left="2520"/>
        <w:rPr>
          <w:rFonts w:cs="Arial"/>
          <w:i/>
          <w:szCs w:val="24"/>
        </w:rPr>
      </w:pPr>
      <w:r w:rsidRPr="00BC6461">
        <w:rPr>
          <w:rFonts w:cs="Arial"/>
          <w:i/>
          <w:szCs w:val="24"/>
        </w:rPr>
        <w:t>primary medical services in accordance with section 92 arrangements.</w:t>
      </w:r>
    </w:p>
    <w:p w14:paraId="77D56F77" w14:textId="77777777" w:rsidR="00472858" w:rsidRPr="00BC6461" w:rsidRDefault="00472858" w:rsidP="00472858">
      <w:pPr>
        <w:spacing w:before="60" w:after="60"/>
        <w:ind w:left="1440"/>
        <w:rPr>
          <w:rFonts w:cs="Arial"/>
          <w:i/>
          <w:szCs w:val="24"/>
        </w:rPr>
      </w:pPr>
      <w:r w:rsidRPr="00BC6461">
        <w:rPr>
          <w:rFonts w:cs="Arial"/>
          <w:i/>
          <w:szCs w:val="24"/>
        </w:rPr>
        <w:t>(2) Assistance or support provided by the Board under subsection (1) is provided on such terms, including terms as to payment, as the Board  considers appropriate.</w:t>
      </w:r>
    </w:p>
    <w:p w14:paraId="5222335F" w14:textId="77777777" w:rsidR="00472858" w:rsidRPr="00BC6461" w:rsidRDefault="00472858" w:rsidP="00472858">
      <w:pPr>
        <w:spacing w:before="60" w:after="60"/>
        <w:ind w:left="1440"/>
        <w:rPr>
          <w:rFonts w:cs="Arial"/>
          <w:i/>
          <w:szCs w:val="24"/>
        </w:rPr>
      </w:pPr>
      <w:r w:rsidRPr="00BC6461">
        <w:rPr>
          <w:rFonts w:cs="Arial"/>
          <w:i/>
          <w:szCs w:val="24"/>
        </w:rPr>
        <w:t>(3) “Assistance” includes financial assistance.</w:t>
      </w:r>
    </w:p>
    <w:p w14:paraId="0519A931" w14:textId="77777777" w:rsidR="00472858" w:rsidRPr="00BC6461" w:rsidRDefault="00472858" w:rsidP="00472858">
      <w:pPr>
        <w:spacing w:before="60" w:after="60"/>
        <w:ind w:left="1440"/>
        <w:rPr>
          <w:rFonts w:cs="Arial"/>
          <w:szCs w:val="24"/>
        </w:rPr>
      </w:pPr>
    </w:p>
    <w:p w14:paraId="447C82EF" w14:textId="77777777" w:rsidR="00472858" w:rsidRPr="00BC6461" w:rsidRDefault="00472858" w:rsidP="00472858">
      <w:pPr>
        <w:pStyle w:val="ListParagraph"/>
        <w:spacing w:before="60" w:after="60"/>
        <w:jc w:val="both"/>
        <w:rPr>
          <w:rFonts w:cs="Arial"/>
          <w:szCs w:val="24"/>
        </w:rPr>
      </w:pPr>
      <w:r w:rsidRPr="00BC6461">
        <w:rPr>
          <w:rFonts w:cs="Arial"/>
          <w:szCs w:val="24"/>
        </w:rPr>
        <w:t xml:space="preserve">Full details of Sections 83, 93 and 96 of the National Health Service Act 2006 can be found at </w:t>
      </w:r>
      <w:hyperlink w:anchor="_Appendix_2_–" w:history="1">
        <w:r w:rsidRPr="00BC6461">
          <w:rPr>
            <w:rStyle w:val="Hyperlink"/>
            <w:rFonts w:cs="Arial"/>
            <w:szCs w:val="24"/>
          </w:rPr>
          <w:t xml:space="preserve">appendix </w:t>
        </w:r>
        <w:r>
          <w:rPr>
            <w:rStyle w:val="Hyperlink"/>
            <w:rFonts w:cs="Arial"/>
            <w:szCs w:val="24"/>
          </w:rPr>
          <w:t>1</w:t>
        </w:r>
      </w:hyperlink>
    </w:p>
    <w:p w14:paraId="77B7E542" w14:textId="77777777" w:rsidR="00472858" w:rsidRPr="00BC6461" w:rsidRDefault="00472858" w:rsidP="00472858">
      <w:pPr>
        <w:pStyle w:val="ListParagraph"/>
        <w:spacing w:before="60" w:after="60"/>
        <w:jc w:val="both"/>
        <w:rPr>
          <w:rFonts w:cs="Arial"/>
          <w:szCs w:val="24"/>
        </w:rPr>
      </w:pPr>
    </w:p>
    <w:p w14:paraId="64E31E65" w14:textId="77777777" w:rsidR="00472858" w:rsidRDefault="00472858" w:rsidP="00472858">
      <w:pPr>
        <w:pStyle w:val="Heading3"/>
      </w:pPr>
      <w:r w:rsidRPr="00BC6461">
        <w:t xml:space="preserve">Section 96 expressly states that NHS England may provide financial assistance, on terms as it considers appropriate.  As a result, NHS England has discretion as to the </w:t>
      </w:r>
      <w:r>
        <w:t xml:space="preserve">type and </w:t>
      </w:r>
      <w:r w:rsidRPr="00BC6461">
        <w:t xml:space="preserve">level of financial assistance and the payment mechanism that it may choose to employ.  </w:t>
      </w:r>
    </w:p>
    <w:p w14:paraId="7811E779" w14:textId="77777777" w:rsidR="00472858" w:rsidRPr="00BC6461" w:rsidRDefault="00472858" w:rsidP="003331F2">
      <w:pPr>
        <w:pStyle w:val="BodyText"/>
      </w:pPr>
    </w:p>
    <w:p w14:paraId="61EA048A" w14:textId="77777777" w:rsidR="00472858" w:rsidRDefault="00472858" w:rsidP="00472858">
      <w:pPr>
        <w:pStyle w:val="Heading3"/>
      </w:pPr>
      <w:r w:rsidRPr="00BC6461">
        <w:t xml:space="preserve">However, NHS England is increasingly being expected to demonstrate publicly what it is spending its money on, what it is getting for its money and of that funding that is allocated to support initiatives that this is done fairly and in the best interests of the organisation and public funds.  As such when providing any financial assistance you must be able to demonstrate that you have acted with propriety, that you have understood </w:t>
      </w:r>
      <w:r>
        <w:t xml:space="preserve">any wider financial </w:t>
      </w:r>
      <w:r w:rsidRPr="00BC6461">
        <w:t>requirements as set out in the latest NHS England Standing Financial Instructions, that you have followed all steps to provide best value for money and that you have followed requirements in relation to public sector bodies as stipulated in Managing Public Money (January 2015), available at:</w:t>
      </w:r>
    </w:p>
    <w:p w14:paraId="69BD1E70" w14:textId="77777777" w:rsidR="00472858" w:rsidRPr="00BC6461" w:rsidRDefault="00472858" w:rsidP="00472858">
      <w:pPr>
        <w:pStyle w:val="ListParagraph"/>
        <w:spacing w:before="60" w:after="60"/>
        <w:jc w:val="both"/>
        <w:rPr>
          <w:rFonts w:cs="Arial"/>
          <w:szCs w:val="24"/>
        </w:rPr>
      </w:pPr>
    </w:p>
    <w:p w14:paraId="174595A4" w14:textId="77777777" w:rsidR="00472858" w:rsidRPr="00BC6461" w:rsidRDefault="000E7846" w:rsidP="00472858">
      <w:pPr>
        <w:pStyle w:val="ListParagraph"/>
        <w:spacing w:before="60" w:after="60"/>
        <w:jc w:val="both"/>
        <w:rPr>
          <w:rFonts w:cs="Arial"/>
          <w:color w:val="0000FF"/>
          <w:szCs w:val="24"/>
          <w:u w:val="single"/>
        </w:rPr>
      </w:pPr>
      <w:hyperlink r:id="rId97" w:history="1">
        <w:r w:rsidR="00472858" w:rsidRPr="00BC6461">
          <w:rPr>
            <w:rFonts w:cs="Arial"/>
            <w:color w:val="0000FF"/>
            <w:szCs w:val="24"/>
            <w:u w:val="single"/>
          </w:rPr>
          <w:t>https://www.gov.uk/government/publications/managing-public-money</w:t>
        </w:r>
      </w:hyperlink>
      <w:r w:rsidR="00472858" w:rsidRPr="00BC6461">
        <w:rPr>
          <w:rFonts w:cs="Arial"/>
          <w:color w:val="0000FF"/>
          <w:szCs w:val="24"/>
          <w:u w:val="single"/>
        </w:rPr>
        <w:t xml:space="preserve"> </w:t>
      </w:r>
    </w:p>
    <w:p w14:paraId="638A7E15" w14:textId="77777777" w:rsidR="00472858" w:rsidRPr="00BC6461" w:rsidRDefault="00472858" w:rsidP="00472858">
      <w:pPr>
        <w:spacing w:before="60" w:after="60"/>
        <w:rPr>
          <w:rFonts w:cs="Arial"/>
          <w:szCs w:val="24"/>
        </w:rPr>
      </w:pPr>
    </w:p>
    <w:p w14:paraId="5313CCBC" w14:textId="77777777" w:rsidR="00472858" w:rsidRPr="00BC6461" w:rsidRDefault="00472858" w:rsidP="00472858">
      <w:pPr>
        <w:spacing w:before="60" w:after="60"/>
        <w:rPr>
          <w:rFonts w:cs="Arial"/>
          <w:b/>
          <w:bCs w:val="0"/>
          <w:color w:val="0072C6"/>
          <w:kern w:val="32"/>
          <w:szCs w:val="24"/>
        </w:rPr>
      </w:pPr>
      <w:r w:rsidRPr="00BC6461">
        <w:rPr>
          <w:szCs w:val="24"/>
        </w:rPr>
        <w:br w:type="page"/>
      </w:r>
    </w:p>
    <w:p w14:paraId="39A231B9" w14:textId="77777777" w:rsidR="00472858" w:rsidRPr="00110449" w:rsidRDefault="00472858" w:rsidP="00472858">
      <w:pPr>
        <w:pStyle w:val="Heading2"/>
      </w:pPr>
      <w:bookmarkStart w:id="1043" w:name="_Toc493938685"/>
      <w:bookmarkStart w:id="1044" w:name="_Toc493938778"/>
      <w:bookmarkStart w:id="1045" w:name="_Toc493939127"/>
      <w:bookmarkStart w:id="1046" w:name="_Toc498495420"/>
      <w:r w:rsidRPr="00110449">
        <w:t>Key Principles</w:t>
      </w:r>
      <w:bookmarkEnd w:id="1043"/>
      <w:bookmarkEnd w:id="1044"/>
      <w:bookmarkEnd w:id="1045"/>
      <w:bookmarkEnd w:id="1046"/>
    </w:p>
    <w:p w14:paraId="1E5A4F7D" w14:textId="77777777" w:rsidR="00472858" w:rsidRPr="005E4DE2" w:rsidRDefault="000E7846" w:rsidP="00472858">
      <w:pPr>
        <w:spacing w:before="60" w:after="60"/>
        <w:jc w:val="right"/>
        <w:rPr>
          <w:rFonts w:cs="Arial"/>
          <w:sz w:val="16"/>
          <w:szCs w:val="16"/>
        </w:rPr>
      </w:pPr>
      <w:hyperlink w:anchor="_top" w:history="1">
        <w:r w:rsidR="00472858" w:rsidRPr="005E4DE2">
          <w:rPr>
            <w:rStyle w:val="Hyperlink"/>
            <w:rFonts w:cs="Arial"/>
            <w:sz w:val="16"/>
            <w:szCs w:val="16"/>
          </w:rPr>
          <w:t>(return to contents page)</w:t>
        </w:r>
      </w:hyperlink>
    </w:p>
    <w:p w14:paraId="09A83A9E" w14:textId="77777777" w:rsidR="00472858" w:rsidRPr="00BC6461" w:rsidRDefault="00472858" w:rsidP="00472858">
      <w:pPr>
        <w:pStyle w:val="Heading3"/>
      </w:pPr>
      <w:r w:rsidRPr="00BC6461">
        <w:t>All financial assistance must be provided within the principles of openness, fairness, probity and accountability.</w:t>
      </w:r>
    </w:p>
    <w:p w14:paraId="15DD6876" w14:textId="77777777" w:rsidR="00472858" w:rsidRPr="00BC6461" w:rsidRDefault="00472858" w:rsidP="00472858">
      <w:pPr>
        <w:pStyle w:val="Heading3"/>
      </w:pPr>
      <w:r w:rsidRPr="00BC6461">
        <w:t xml:space="preserve">The provision of financial assistance should not conflict with UK or EU policies and actions including the rules on </w:t>
      </w:r>
      <w:r>
        <w:t>bribery, corruption,</w:t>
      </w:r>
      <w:r w:rsidRPr="00BC6461">
        <w:t xml:space="preserve"> competition, state aid</w:t>
      </w:r>
      <w:r>
        <w:t>,</w:t>
      </w:r>
      <w:r w:rsidRPr="00BC6461">
        <w:t xml:space="preserve"> </w:t>
      </w:r>
      <w:r>
        <w:t xml:space="preserve">or </w:t>
      </w:r>
      <w:r w:rsidRPr="00BC6461">
        <w:t>and other equality duties.</w:t>
      </w:r>
    </w:p>
    <w:p w14:paraId="69FD3F05" w14:textId="77777777" w:rsidR="00472858" w:rsidRPr="00BC6461" w:rsidRDefault="00472858" w:rsidP="00472858">
      <w:pPr>
        <w:pStyle w:val="Heading3"/>
      </w:pPr>
      <w:r>
        <w:t xml:space="preserve">It </w:t>
      </w:r>
      <w:r w:rsidRPr="00BC6461">
        <w:t xml:space="preserve">must </w:t>
      </w:r>
      <w:r>
        <w:t xml:space="preserve">be </w:t>
      </w:r>
      <w:r w:rsidRPr="00BC6461">
        <w:t>demonstrate</w:t>
      </w:r>
      <w:r>
        <w:t>d</w:t>
      </w:r>
      <w:r w:rsidRPr="00BC6461">
        <w:t xml:space="preserve"> how the financial assistance supports NHS England functions and strategic objectives of NHS England as well as any policy objectives</w:t>
      </w:r>
    </w:p>
    <w:p w14:paraId="33679FF3" w14:textId="77777777" w:rsidR="00472858" w:rsidRPr="00BC6461" w:rsidRDefault="00472858" w:rsidP="00472858">
      <w:pPr>
        <w:pStyle w:val="Heading3"/>
      </w:pPr>
      <w:r w:rsidRPr="00BC6461">
        <w:t>Financial Assistance must demonstrate value for money and be in the best interests of NHS England and the patients.</w:t>
      </w:r>
    </w:p>
    <w:p w14:paraId="296FEDCB" w14:textId="77777777" w:rsidR="00472858" w:rsidRPr="00BC6461" w:rsidRDefault="00472858" w:rsidP="00472858">
      <w:pPr>
        <w:pStyle w:val="Heading3"/>
      </w:pPr>
      <w:r w:rsidRPr="00BC6461">
        <w:t xml:space="preserve">Financial Assistance must be proportionate to the identified need and represent better value for the taxpayer than alternative solutions. </w:t>
      </w:r>
    </w:p>
    <w:p w14:paraId="46024748" w14:textId="77777777" w:rsidR="00472858" w:rsidRPr="00BC6461" w:rsidRDefault="00472858" w:rsidP="00472858">
      <w:pPr>
        <w:pStyle w:val="Heading3"/>
      </w:pPr>
      <w:r w:rsidRPr="00BC6461">
        <w:t>Financial Assistance will only be made available in exceptional circumstances.</w:t>
      </w:r>
    </w:p>
    <w:p w14:paraId="60757A62" w14:textId="77777777" w:rsidR="00472858" w:rsidRPr="00654FE5" w:rsidRDefault="00472858" w:rsidP="00472858">
      <w:pPr>
        <w:spacing w:before="60" w:after="60"/>
        <w:rPr>
          <w:rFonts w:cs="Arial"/>
        </w:rPr>
      </w:pPr>
    </w:p>
    <w:p w14:paraId="15E4EAA7" w14:textId="77777777" w:rsidR="00472858" w:rsidRPr="00FA603E" w:rsidRDefault="00472858" w:rsidP="00472858">
      <w:pPr>
        <w:pStyle w:val="Heading2"/>
      </w:pPr>
      <w:bookmarkStart w:id="1047" w:name="_Toc493938686"/>
      <w:bookmarkStart w:id="1048" w:name="_Toc493938779"/>
      <w:bookmarkStart w:id="1049" w:name="_Toc493939128"/>
      <w:bookmarkStart w:id="1050" w:name="_Toc498495421"/>
      <w:r w:rsidRPr="00404E8C">
        <w:t>Programme and Non Programme Financial Assistance</w:t>
      </w:r>
      <w:bookmarkEnd w:id="1047"/>
      <w:bookmarkEnd w:id="1048"/>
      <w:bookmarkEnd w:id="1049"/>
      <w:bookmarkEnd w:id="1050"/>
    </w:p>
    <w:p w14:paraId="0A0AD579" w14:textId="77777777" w:rsidR="00472858" w:rsidRDefault="00472858" w:rsidP="00472858">
      <w:pPr>
        <w:pStyle w:val="ListParagraph"/>
        <w:spacing w:before="60" w:after="60"/>
        <w:jc w:val="both"/>
        <w:rPr>
          <w:rFonts w:cs="Arial"/>
          <w:szCs w:val="24"/>
          <w:lang w:eastAsia="en-GB"/>
        </w:rPr>
      </w:pPr>
    </w:p>
    <w:p w14:paraId="5CAC3D66" w14:textId="77777777" w:rsidR="00472858" w:rsidRPr="00BC6461" w:rsidRDefault="00472858" w:rsidP="00472858">
      <w:pPr>
        <w:pStyle w:val="Heading3"/>
        <w:rPr>
          <w:lang w:eastAsia="en-GB"/>
        </w:rPr>
      </w:pPr>
      <w:r w:rsidRPr="00BC6461">
        <w:rPr>
          <w:lang w:eastAsia="en-GB"/>
        </w:rPr>
        <w:t xml:space="preserve">S.96 exceptional discretionary funding is intended to be used to safeguard patients’ interests by providing additional funding to support practices facing a crisis situation. </w:t>
      </w:r>
    </w:p>
    <w:p w14:paraId="56BC65F8" w14:textId="77777777" w:rsidR="00472858" w:rsidRPr="00BC6461" w:rsidRDefault="00472858" w:rsidP="00472858">
      <w:pPr>
        <w:pStyle w:val="ListParagraph"/>
        <w:spacing w:before="60" w:after="60"/>
        <w:jc w:val="both"/>
        <w:rPr>
          <w:rFonts w:cs="Arial"/>
          <w:szCs w:val="24"/>
          <w:lang w:eastAsia="en-GB"/>
        </w:rPr>
      </w:pPr>
    </w:p>
    <w:p w14:paraId="14A0B4DC" w14:textId="77777777" w:rsidR="00472858" w:rsidRPr="00BC6461" w:rsidRDefault="00472858" w:rsidP="00472858">
      <w:pPr>
        <w:pStyle w:val="Heading3"/>
        <w:rPr>
          <w:lang w:eastAsia="en-GB"/>
        </w:rPr>
      </w:pPr>
      <w:r w:rsidRPr="00BC6461">
        <w:rPr>
          <w:lang w:eastAsia="en-GB"/>
        </w:rPr>
        <w:t xml:space="preserve">Often financial assistance </w:t>
      </w:r>
      <w:r>
        <w:rPr>
          <w:lang w:eastAsia="en-GB"/>
        </w:rPr>
        <w:t xml:space="preserve">is </w:t>
      </w:r>
      <w:r w:rsidRPr="00BC6461">
        <w:rPr>
          <w:lang w:eastAsia="en-GB"/>
        </w:rPr>
        <w:t xml:space="preserve">made available through formal programmes such as the </w:t>
      </w:r>
      <w:hyperlink r:id="rId98" w:history="1">
        <w:r w:rsidRPr="00BC6461">
          <w:rPr>
            <w:rStyle w:val="Hyperlink"/>
            <w:rFonts w:cs="Arial"/>
            <w:szCs w:val="24"/>
            <w:lang w:eastAsia="en-GB"/>
          </w:rPr>
          <w:t>General Practice Resilience Programme (GPRP)</w:t>
        </w:r>
      </w:hyperlink>
      <w:r w:rsidRPr="00BC6461">
        <w:rPr>
          <w:lang w:eastAsia="en-GB"/>
        </w:rPr>
        <w:t xml:space="preserve"> and</w:t>
      </w:r>
      <w:r>
        <w:rPr>
          <w:lang w:eastAsia="en-GB"/>
        </w:rPr>
        <w:t xml:space="preserve"> previously</w:t>
      </w:r>
      <w:r w:rsidRPr="00BC6461">
        <w:rPr>
          <w:lang w:eastAsia="en-GB"/>
        </w:rPr>
        <w:t xml:space="preserve"> </w:t>
      </w:r>
      <w:hyperlink r:id="rId99" w:history="1">
        <w:r w:rsidRPr="00BC6461">
          <w:rPr>
            <w:rStyle w:val="Hyperlink"/>
            <w:rFonts w:cs="Arial"/>
            <w:szCs w:val="24"/>
            <w:lang w:eastAsia="en-GB"/>
          </w:rPr>
          <w:t>the Vulnerable Practices Programme</w:t>
        </w:r>
      </w:hyperlink>
      <w:r>
        <w:rPr>
          <w:lang w:eastAsia="en-GB"/>
        </w:rPr>
        <w:t>.</w:t>
      </w:r>
      <w:r w:rsidRPr="00BC6461">
        <w:rPr>
          <w:lang w:eastAsia="en-GB"/>
        </w:rPr>
        <w:t xml:space="preserve"> The GPRP programme has provided a systematic approach to identifying and supporting practices in difficulty, backed by £40m of programme funding, and uses Section 96 as a vehicle to deliver support.</w:t>
      </w:r>
    </w:p>
    <w:p w14:paraId="7447269F" w14:textId="77777777" w:rsidR="00472858" w:rsidRPr="00BC6461" w:rsidRDefault="00472858" w:rsidP="00472858">
      <w:pPr>
        <w:pStyle w:val="ListParagraph"/>
        <w:spacing w:before="60" w:after="60"/>
        <w:jc w:val="both"/>
        <w:rPr>
          <w:rFonts w:cs="Arial"/>
          <w:szCs w:val="24"/>
          <w:lang w:eastAsia="en-GB"/>
        </w:rPr>
      </w:pPr>
    </w:p>
    <w:p w14:paraId="68A1A5A2" w14:textId="77777777" w:rsidR="00472858" w:rsidRPr="00BC6461" w:rsidRDefault="00472858" w:rsidP="00472858">
      <w:pPr>
        <w:pStyle w:val="Heading3"/>
        <w:rPr>
          <w:lang w:eastAsia="en-GB"/>
        </w:rPr>
      </w:pPr>
      <w:r w:rsidRPr="00BC6461">
        <w:rPr>
          <w:lang w:eastAsia="en-GB"/>
        </w:rPr>
        <w:t>However, the GPRP does not cover or replace all circumstances where there is a need for support and agreement on eligibility for funding support from local primary care budgets. Their proposed use - and the amount provided - will still generally need to be managed by individual local commissioners.</w:t>
      </w:r>
    </w:p>
    <w:p w14:paraId="1C5C2C11" w14:textId="77777777" w:rsidR="00472858" w:rsidRPr="00BC6461" w:rsidRDefault="00472858" w:rsidP="00472858">
      <w:pPr>
        <w:pStyle w:val="ListParagraph"/>
        <w:spacing w:before="60" w:after="60"/>
        <w:jc w:val="both"/>
        <w:rPr>
          <w:rFonts w:cs="Arial"/>
          <w:szCs w:val="24"/>
          <w:lang w:eastAsia="en-GB"/>
        </w:rPr>
      </w:pPr>
    </w:p>
    <w:p w14:paraId="17135774" w14:textId="77777777" w:rsidR="00472858" w:rsidRPr="00BC6461" w:rsidRDefault="00472858" w:rsidP="00472858">
      <w:pPr>
        <w:pStyle w:val="Heading3"/>
        <w:rPr>
          <w:lang w:eastAsia="en-GB"/>
        </w:rPr>
      </w:pPr>
      <w:r w:rsidRPr="00BC6461">
        <w:rPr>
          <w:lang w:eastAsia="en-GB"/>
        </w:rPr>
        <w:t xml:space="preserve">The pressures on general practice mean that requests for support are being received more frequently with a consequent need to have a more structured approach to considering and approving such expenditure outside of formal programmes. </w:t>
      </w:r>
    </w:p>
    <w:p w14:paraId="5C0EB75C" w14:textId="77777777" w:rsidR="00472858" w:rsidRPr="00BC6461" w:rsidRDefault="00472858" w:rsidP="00472858">
      <w:pPr>
        <w:pStyle w:val="ListParagraph"/>
        <w:spacing w:before="60" w:after="60"/>
        <w:jc w:val="both"/>
        <w:rPr>
          <w:rFonts w:cs="Arial"/>
          <w:szCs w:val="24"/>
          <w:lang w:eastAsia="en-GB"/>
        </w:rPr>
      </w:pPr>
    </w:p>
    <w:p w14:paraId="3B9D236E" w14:textId="77777777" w:rsidR="00472858" w:rsidRDefault="00472858" w:rsidP="00472858">
      <w:pPr>
        <w:pStyle w:val="Heading3"/>
        <w:rPr>
          <w:lang w:eastAsia="en-GB"/>
        </w:rPr>
      </w:pPr>
      <w:r w:rsidRPr="00BC6461">
        <w:rPr>
          <w:lang w:eastAsia="en-GB"/>
        </w:rPr>
        <w:t>It is also important to ensure that ad hoc requests are minimised through pro-active work with practices via appropriate programmes of support, such as those provided under the General Practice Forward View.</w:t>
      </w:r>
    </w:p>
    <w:p w14:paraId="16651917" w14:textId="77777777" w:rsidR="00472858" w:rsidRPr="00110449" w:rsidRDefault="00472858" w:rsidP="00472858">
      <w:pPr>
        <w:pStyle w:val="ListParagraph"/>
        <w:rPr>
          <w:rFonts w:cs="Arial"/>
          <w:szCs w:val="24"/>
          <w:lang w:eastAsia="en-GB"/>
        </w:rPr>
      </w:pPr>
    </w:p>
    <w:p w14:paraId="3F8050EF" w14:textId="77777777" w:rsidR="00472858" w:rsidRPr="00BC6461" w:rsidRDefault="00472858" w:rsidP="00472858">
      <w:pPr>
        <w:pStyle w:val="ListParagraph"/>
        <w:spacing w:before="60" w:after="60"/>
        <w:jc w:val="both"/>
        <w:rPr>
          <w:rFonts w:cs="Arial"/>
          <w:szCs w:val="24"/>
          <w:lang w:eastAsia="en-GB"/>
        </w:rPr>
      </w:pPr>
    </w:p>
    <w:p w14:paraId="38ADC8E6" w14:textId="77777777" w:rsidR="00472858" w:rsidRPr="00110449" w:rsidRDefault="000E7846" w:rsidP="00472858">
      <w:pPr>
        <w:spacing w:before="60" w:after="60"/>
        <w:jc w:val="right"/>
        <w:rPr>
          <w:rFonts w:cs="Arial"/>
          <w:sz w:val="16"/>
          <w:szCs w:val="16"/>
        </w:rPr>
      </w:pPr>
      <w:hyperlink w:anchor="_top" w:history="1">
        <w:r w:rsidR="00472858" w:rsidRPr="00110449">
          <w:rPr>
            <w:rStyle w:val="Hyperlink"/>
            <w:rFonts w:cs="Arial"/>
            <w:sz w:val="16"/>
            <w:szCs w:val="16"/>
          </w:rPr>
          <w:t>(return to contents page)</w:t>
        </w:r>
      </w:hyperlink>
    </w:p>
    <w:p w14:paraId="7E0104DB" w14:textId="77777777" w:rsidR="00472858" w:rsidRDefault="00472858" w:rsidP="00472858">
      <w:pPr>
        <w:spacing w:before="60" w:after="60"/>
        <w:rPr>
          <w:rFonts w:cs="Arial"/>
          <w:b/>
          <w:bCs w:val="0"/>
          <w:color w:val="0072C6"/>
          <w:kern w:val="32"/>
          <w:sz w:val="32"/>
          <w:szCs w:val="32"/>
        </w:rPr>
      </w:pPr>
      <w:r>
        <w:br w:type="page"/>
      </w:r>
    </w:p>
    <w:p w14:paraId="08243595" w14:textId="77777777" w:rsidR="00472858" w:rsidRPr="00404E8C" w:rsidRDefault="00472858" w:rsidP="00472858">
      <w:pPr>
        <w:pStyle w:val="Heading2"/>
      </w:pPr>
      <w:bookmarkStart w:id="1051" w:name="_Toc493938687"/>
      <w:bookmarkStart w:id="1052" w:name="_Toc493938780"/>
      <w:bookmarkStart w:id="1053" w:name="_Toc493939129"/>
      <w:bookmarkStart w:id="1054" w:name="_Toc498495422"/>
      <w:r w:rsidRPr="00404E8C">
        <w:t>Process for Financial Assistance for individual Provider Financial Assistance</w:t>
      </w:r>
      <w:bookmarkEnd w:id="1051"/>
      <w:bookmarkEnd w:id="1052"/>
      <w:bookmarkEnd w:id="1053"/>
      <w:bookmarkEnd w:id="1054"/>
      <w:r w:rsidRPr="00404E8C">
        <w:t xml:space="preserve"> </w:t>
      </w:r>
    </w:p>
    <w:p w14:paraId="70283785" w14:textId="77777777" w:rsidR="00472858" w:rsidRPr="005E4DE2" w:rsidRDefault="000E7846" w:rsidP="00472858">
      <w:pPr>
        <w:spacing w:before="60" w:after="60"/>
        <w:jc w:val="right"/>
        <w:rPr>
          <w:rFonts w:cs="Arial"/>
          <w:sz w:val="16"/>
          <w:szCs w:val="16"/>
        </w:rPr>
      </w:pPr>
      <w:hyperlink w:anchor="_top" w:history="1">
        <w:r w:rsidR="00472858" w:rsidRPr="005E4DE2">
          <w:rPr>
            <w:rStyle w:val="Hyperlink"/>
            <w:rFonts w:cs="Arial"/>
            <w:sz w:val="16"/>
            <w:szCs w:val="16"/>
          </w:rPr>
          <w:t>(return to contents page)</w:t>
        </w:r>
      </w:hyperlink>
    </w:p>
    <w:tbl>
      <w:tblPr>
        <w:tblStyle w:val="TableGrid"/>
        <w:tblW w:w="0" w:type="auto"/>
        <w:tblLook w:val="04A0" w:firstRow="1" w:lastRow="0" w:firstColumn="1" w:lastColumn="0" w:noHBand="0" w:noVBand="1"/>
        <w:tblCaption w:val="a text box"/>
        <w:tblDescription w:val="a text box"/>
      </w:tblPr>
      <w:tblGrid>
        <w:gridCol w:w="870"/>
        <w:gridCol w:w="4886"/>
        <w:gridCol w:w="2757"/>
      </w:tblGrid>
      <w:tr w:rsidR="00472858" w:rsidRPr="00BC6461" w14:paraId="78CBEC2A" w14:textId="77777777" w:rsidTr="00371D3A">
        <w:trPr>
          <w:tblHeader/>
        </w:trPr>
        <w:tc>
          <w:tcPr>
            <w:tcW w:w="870" w:type="dxa"/>
            <w:shd w:val="clear" w:color="auto" w:fill="BFBFBF" w:themeFill="background1" w:themeFillShade="BF"/>
            <w:vAlign w:val="center"/>
          </w:tcPr>
          <w:p w14:paraId="51E6D177" w14:textId="77777777" w:rsidR="00472858" w:rsidRPr="00BC6461" w:rsidRDefault="00472858" w:rsidP="00472858">
            <w:pPr>
              <w:spacing w:before="60" w:after="60" w:line="276" w:lineRule="auto"/>
              <w:jc w:val="center"/>
              <w:rPr>
                <w:rFonts w:cs="Arial"/>
                <w:b/>
                <w:szCs w:val="24"/>
              </w:rPr>
            </w:pPr>
          </w:p>
          <w:p w14:paraId="1EFEAE81" w14:textId="77777777" w:rsidR="00472858" w:rsidRPr="00BC6461" w:rsidRDefault="00472858" w:rsidP="00472858">
            <w:pPr>
              <w:spacing w:before="60" w:after="60" w:line="276" w:lineRule="auto"/>
              <w:jc w:val="center"/>
              <w:rPr>
                <w:rFonts w:cs="Arial"/>
                <w:b/>
                <w:szCs w:val="24"/>
              </w:rPr>
            </w:pPr>
          </w:p>
          <w:p w14:paraId="2B795066" w14:textId="77777777" w:rsidR="00472858" w:rsidRPr="00BC6461" w:rsidRDefault="00472858" w:rsidP="00472858">
            <w:pPr>
              <w:spacing w:before="60" w:after="60" w:line="276" w:lineRule="auto"/>
              <w:jc w:val="center"/>
              <w:rPr>
                <w:rFonts w:cs="Arial"/>
                <w:b/>
                <w:szCs w:val="24"/>
              </w:rPr>
            </w:pPr>
            <w:r w:rsidRPr="00BC6461">
              <w:rPr>
                <w:rFonts w:cs="Arial"/>
                <w:b/>
                <w:szCs w:val="24"/>
              </w:rPr>
              <w:t>Stage</w:t>
            </w:r>
          </w:p>
        </w:tc>
        <w:tc>
          <w:tcPr>
            <w:tcW w:w="4886" w:type="dxa"/>
            <w:shd w:val="clear" w:color="auto" w:fill="BFBFBF" w:themeFill="background1" w:themeFillShade="BF"/>
            <w:vAlign w:val="center"/>
          </w:tcPr>
          <w:p w14:paraId="680E221C" w14:textId="77777777" w:rsidR="00472858" w:rsidRPr="00BC6461" w:rsidRDefault="00472858" w:rsidP="00472858">
            <w:pPr>
              <w:spacing w:before="60" w:after="60" w:line="276" w:lineRule="auto"/>
              <w:rPr>
                <w:rFonts w:cs="Arial"/>
                <w:b/>
                <w:szCs w:val="24"/>
              </w:rPr>
            </w:pPr>
          </w:p>
        </w:tc>
        <w:tc>
          <w:tcPr>
            <w:tcW w:w="2757" w:type="dxa"/>
            <w:shd w:val="clear" w:color="auto" w:fill="BFBFBF" w:themeFill="background1" w:themeFillShade="BF"/>
            <w:vAlign w:val="center"/>
          </w:tcPr>
          <w:p w14:paraId="013F69D6" w14:textId="77777777" w:rsidR="00472858" w:rsidRPr="00BC6461" w:rsidRDefault="00472858" w:rsidP="00472858">
            <w:pPr>
              <w:spacing w:before="60" w:after="60" w:line="276" w:lineRule="auto"/>
              <w:rPr>
                <w:rFonts w:cs="Arial"/>
                <w:b/>
                <w:szCs w:val="24"/>
              </w:rPr>
            </w:pPr>
            <w:r w:rsidRPr="00BC6461">
              <w:rPr>
                <w:rFonts w:cs="Arial"/>
                <w:b/>
                <w:szCs w:val="24"/>
              </w:rPr>
              <w:t>Action</w:t>
            </w:r>
          </w:p>
        </w:tc>
      </w:tr>
      <w:tr w:rsidR="00472858" w:rsidRPr="00BC6461" w14:paraId="6FBCA12C" w14:textId="77777777" w:rsidTr="00472858">
        <w:tc>
          <w:tcPr>
            <w:tcW w:w="870" w:type="dxa"/>
            <w:vAlign w:val="center"/>
          </w:tcPr>
          <w:p w14:paraId="422FF4A8" w14:textId="77777777" w:rsidR="00472858" w:rsidRPr="00BC6461" w:rsidRDefault="00472858" w:rsidP="00472858">
            <w:pPr>
              <w:spacing w:before="60" w:after="60" w:line="276" w:lineRule="auto"/>
              <w:jc w:val="center"/>
              <w:rPr>
                <w:rFonts w:cs="Arial"/>
                <w:b/>
                <w:szCs w:val="24"/>
              </w:rPr>
            </w:pPr>
            <w:r w:rsidRPr="00BC6461">
              <w:rPr>
                <w:rFonts w:cs="Arial"/>
                <w:b/>
                <w:szCs w:val="24"/>
              </w:rPr>
              <w:t>1</w:t>
            </w:r>
          </w:p>
        </w:tc>
        <w:tc>
          <w:tcPr>
            <w:tcW w:w="4886" w:type="dxa"/>
            <w:vAlign w:val="center"/>
          </w:tcPr>
          <w:p w14:paraId="44C9978A" w14:textId="77777777" w:rsidR="00472858" w:rsidRPr="00BC6461" w:rsidRDefault="00472858" w:rsidP="00472858">
            <w:pPr>
              <w:spacing w:before="60" w:after="60" w:line="276" w:lineRule="auto"/>
              <w:rPr>
                <w:rFonts w:cs="Arial"/>
                <w:szCs w:val="24"/>
              </w:rPr>
            </w:pPr>
            <w:r w:rsidRPr="00BC6461">
              <w:rPr>
                <w:rFonts w:cs="Arial"/>
                <w:szCs w:val="24"/>
              </w:rPr>
              <w:t>Practice raises its sustainability issue with its CCG and NHSE Contract Officer to discuss issues. Verify contract payments are correct.</w:t>
            </w:r>
          </w:p>
        </w:tc>
        <w:tc>
          <w:tcPr>
            <w:tcW w:w="2757" w:type="dxa"/>
            <w:vAlign w:val="center"/>
          </w:tcPr>
          <w:p w14:paraId="04C7600E" w14:textId="77777777" w:rsidR="00472858" w:rsidRPr="00BC6461" w:rsidRDefault="00472858" w:rsidP="00472858">
            <w:pPr>
              <w:spacing w:before="60" w:after="60" w:line="276" w:lineRule="auto"/>
              <w:rPr>
                <w:rFonts w:cs="Arial"/>
                <w:szCs w:val="24"/>
              </w:rPr>
            </w:pPr>
            <w:r w:rsidRPr="00BC6461">
              <w:rPr>
                <w:rFonts w:cs="Arial"/>
                <w:szCs w:val="24"/>
              </w:rPr>
              <w:t>Practice, CCG, Commissioning</w:t>
            </w:r>
          </w:p>
        </w:tc>
      </w:tr>
      <w:tr w:rsidR="00472858" w:rsidRPr="00BC6461" w14:paraId="2D4B402D" w14:textId="77777777" w:rsidTr="00472858">
        <w:tc>
          <w:tcPr>
            <w:tcW w:w="870" w:type="dxa"/>
            <w:vAlign w:val="center"/>
          </w:tcPr>
          <w:p w14:paraId="327FF5A5" w14:textId="77777777" w:rsidR="00472858" w:rsidRPr="00BC6461" w:rsidRDefault="00472858" w:rsidP="00472858">
            <w:pPr>
              <w:spacing w:before="60" w:after="60" w:line="276" w:lineRule="auto"/>
              <w:jc w:val="center"/>
              <w:rPr>
                <w:rFonts w:cs="Arial"/>
                <w:b/>
                <w:szCs w:val="24"/>
              </w:rPr>
            </w:pPr>
            <w:r w:rsidRPr="00BC6461">
              <w:rPr>
                <w:rFonts w:cs="Arial"/>
                <w:b/>
                <w:szCs w:val="24"/>
              </w:rPr>
              <w:t>2</w:t>
            </w:r>
          </w:p>
        </w:tc>
        <w:tc>
          <w:tcPr>
            <w:tcW w:w="4886" w:type="dxa"/>
            <w:vAlign w:val="center"/>
          </w:tcPr>
          <w:p w14:paraId="71FF7A8E" w14:textId="77777777" w:rsidR="00472858" w:rsidRPr="00BC6461" w:rsidRDefault="00472858" w:rsidP="00472858">
            <w:pPr>
              <w:spacing w:before="60" w:after="60" w:line="276" w:lineRule="auto"/>
              <w:rPr>
                <w:rFonts w:cs="Arial"/>
                <w:b/>
                <w:szCs w:val="24"/>
              </w:rPr>
            </w:pPr>
            <w:r w:rsidRPr="00BC6461">
              <w:rPr>
                <w:rFonts w:cs="Arial"/>
                <w:szCs w:val="24"/>
              </w:rPr>
              <w:t>Practice submits Section 96 application (</w:t>
            </w:r>
            <w:hyperlink w:anchor="_Appendix_1_–" w:history="1">
              <w:r w:rsidRPr="00BC6461">
                <w:rPr>
                  <w:rStyle w:val="Hyperlink"/>
                  <w:rFonts w:cs="Arial"/>
                  <w:szCs w:val="24"/>
                </w:rPr>
                <w:t>Appendix 1</w:t>
              </w:r>
            </w:hyperlink>
            <w:r w:rsidRPr="00BC6461">
              <w:rPr>
                <w:rFonts w:cs="Arial"/>
                <w:szCs w:val="24"/>
              </w:rPr>
              <w:t>) accompanied with level of support requested, for what period, and for type of expenditure with evidence provided to support application and CCG support</w:t>
            </w:r>
          </w:p>
        </w:tc>
        <w:tc>
          <w:tcPr>
            <w:tcW w:w="2757" w:type="dxa"/>
            <w:vAlign w:val="center"/>
          </w:tcPr>
          <w:p w14:paraId="710D7B97" w14:textId="77777777" w:rsidR="00472858" w:rsidRPr="00BC6461" w:rsidRDefault="00472858" w:rsidP="00472858">
            <w:pPr>
              <w:spacing w:before="60" w:after="60" w:line="276" w:lineRule="auto"/>
              <w:rPr>
                <w:rFonts w:cs="Arial"/>
                <w:szCs w:val="24"/>
              </w:rPr>
            </w:pPr>
            <w:r w:rsidRPr="00BC6461">
              <w:rPr>
                <w:rFonts w:cs="Arial"/>
                <w:szCs w:val="24"/>
              </w:rPr>
              <w:t>Practice &amp; CCG</w:t>
            </w:r>
          </w:p>
        </w:tc>
      </w:tr>
      <w:tr w:rsidR="00472858" w:rsidRPr="00BC6461" w14:paraId="5F80A9EB" w14:textId="77777777" w:rsidTr="00472858">
        <w:tc>
          <w:tcPr>
            <w:tcW w:w="870" w:type="dxa"/>
            <w:vAlign w:val="center"/>
          </w:tcPr>
          <w:p w14:paraId="3AE9BC9D" w14:textId="77777777" w:rsidR="00472858" w:rsidRPr="00BC6461" w:rsidRDefault="00472858" w:rsidP="00472858">
            <w:pPr>
              <w:spacing w:before="60" w:after="60" w:line="276" w:lineRule="auto"/>
              <w:jc w:val="center"/>
              <w:rPr>
                <w:rFonts w:cs="Arial"/>
                <w:b/>
                <w:szCs w:val="24"/>
              </w:rPr>
            </w:pPr>
            <w:r w:rsidRPr="00BC6461">
              <w:rPr>
                <w:rFonts w:cs="Arial"/>
                <w:b/>
                <w:szCs w:val="24"/>
              </w:rPr>
              <w:t>3</w:t>
            </w:r>
          </w:p>
        </w:tc>
        <w:tc>
          <w:tcPr>
            <w:tcW w:w="4886" w:type="dxa"/>
            <w:vAlign w:val="center"/>
          </w:tcPr>
          <w:p w14:paraId="33F5AAB4" w14:textId="77777777" w:rsidR="00472858" w:rsidRPr="00BC6461" w:rsidRDefault="00472858" w:rsidP="00472858">
            <w:pPr>
              <w:spacing w:before="60" w:after="60" w:line="276" w:lineRule="auto"/>
              <w:rPr>
                <w:rFonts w:cs="Arial"/>
                <w:b/>
                <w:szCs w:val="24"/>
              </w:rPr>
            </w:pPr>
            <w:r w:rsidRPr="00BC6461">
              <w:rPr>
                <w:rFonts w:cs="Arial"/>
                <w:szCs w:val="24"/>
              </w:rPr>
              <w:t>Primary Care team review submission and if necessary request for further information / supporting documentation</w:t>
            </w:r>
          </w:p>
        </w:tc>
        <w:tc>
          <w:tcPr>
            <w:tcW w:w="2757" w:type="dxa"/>
            <w:vAlign w:val="center"/>
          </w:tcPr>
          <w:p w14:paraId="72A282CB" w14:textId="77777777" w:rsidR="00472858" w:rsidRPr="00BC6461" w:rsidRDefault="00472858" w:rsidP="00472858">
            <w:pPr>
              <w:spacing w:before="60" w:after="60" w:line="276" w:lineRule="auto"/>
              <w:rPr>
                <w:rFonts w:cs="Arial"/>
                <w:szCs w:val="24"/>
              </w:rPr>
            </w:pPr>
            <w:r w:rsidRPr="00BC6461">
              <w:rPr>
                <w:rFonts w:cs="Arial"/>
                <w:szCs w:val="24"/>
              </w:rPr>
              <w:t>Commissioning</w:t>
            </w:r>
          </w:p>
        </w:tc>
      </w:tr>
      <w:tr w:rsidR="00472858" w:rsidRPr="00BC6461" w14:paraId="00D671D6" w14:textId="77777777" w:rsidTr="00472858">
        <w:tc>
          <w:tcPr>
            <w:tcW w:w="870" w:type="dxa"/>
            <w:vAlign w:val="center"/>
          </w:tcPr>
          <w:p w14:paraId="66038618" w14:textId="77777777" w:rsidR="00472858" w:rsidRPr="00BC6461" w:rsidRDefault="00472858" w:rsidP="00472858">
            <w:pPr>
              <w:spacing w:before="60" w:after="60" w:line="276" w:lineRule="auto"/>
              <w:jc w:val="center"/>
              <w:rPr>
                <w:rFonts w:cs="Arial"/>
                <w:b/>
                <w:szCs w:val="24"/>
              </w:rPr>
            </w:pPr>
            <w:r w:rsidRPr="00BC6461">
              <w:rPr>
                <w:rFonts w:cs="Arial"/>
                <w:b/>
                <w:szCs w:val="24"/>
              </w:rPr>
              <w:t>4</w:t>
            </w:r>
          </w:p>
        </w:tc>
        <w:tc>
          <w:tcPr>
            <w:tcW w:w="4886" w:type="dxa"/>
            <w:vAlign w:val="center"/>
          </w:tcPr>
          <w:p w14:paraId="303C2BE0" w14:textId="77777777" w:rsidR="00472858" w:rsidRPr="00BC6461" w:rsidRDefault="00472858" w:rsidP="00472858">
            <w:pPr>
              <w:spacing w:before="60" w:after="60" w:line="276" w:lineRule="auto"/>
              <w:rPr>
                <w:rFonts w:cs="Arial"/>
                <w:szCs w:val="24"/>
              </w:rPr>
            </w:pPr>
            <w:r w:rsidRPr="00BC6461">
              <w:rPr>
                <w:rFonts w:cs="Arial"/>
                <w:szCs w:val="24"/>
              </w:rPr>
              <w:t>Review and validation of practice information. Ensuring that:</w:t>
            </w:r>
          </w:p>
          <w:p w14:paraId="0F6BEC19" w14:textId="77777777" w:rsidR="00472858" w:rsidRPr="00BC6461" w:rsidRDefault="00472858" w:rsidP="005A7DDA">
            <w:pPr>
              <w:pStyle w:val="ListParagraph"/>
              <w:numPr>
                <w:ilvl w:val="0"/>
                <w:numId w:val="85"/>
              </w:numPr>
              <w:spacing w:before="60" w:after="60" w:line="276" w:lineRule="auto"/>
              <w:rPr>
                <w:rFonts w:cs="Arial"/>
                <w:szCs w:val="24"/>
              </w:rPr>
            </w:pPr>
            <w:r w:rsidRPr="00BC6461">
              <w:rPr>
                <w:rFonts w:cs="Arial"/>
                <w:szCs w:val="24"/>
              </w:rPr>
              <w:t>The practice need is confirmed;</w:t>
            </w:r>
          </w:p>
          <w:p w14:paraId="3A4D25A4" w14:textId="77777777" w:rsidR="00472858" w:rsidRPr="00BC6461" w:rsidRDefault="00472858" w:rsidP="005A7DDA">
            <w:pPr>
              <w:pStyle w:val="ListParagraph"/>
              <w:numPr>
                <w:ilvl w:val="0"/>
                <w:numId w:val="85"/>
              </w:numPr>
              <w:spacing w:before="60" w:after="60" w:line="276" w:lineRule="auto"/>
              <w:rPr>
                <w:rFonts w:cs="Arial"/>
                <w:szCs w:val="24"/>
              </w:rPr>
            </w:pPr>
            <w:r w:rsidRPr="00BC6461">
              <w:rPr>
                <w:rFonts w:cs="Arial"/>
                <w:szCs w:val="24"/>
              </w:rPr>
              <w:t>The practice agrees to receiving the support and any conditions placed on the support;</w:t>
            </w:r>
          </w:p>
          <w:p w14:paraId="3CA9E503" w14:textId="77777777" w:rsidR="00472858" w:rsidRPr="00BC6461" w:rsidRDefault="00472858" w:rsidP="005A7DDA">
            <w:pPr>
              <w:pStyle w:val="ListParagraph"/>
              <w:numPr>
                <w:ilvl w:val="0"/>
                <w:numId w:val="85"/>
              </w:numPr>
              <w:spacing w:before="60" w:after="60" w:line="276" w:lineRule="auto"/>
              <w:rPr>
                <w:rFonts w:cs="Arial"/>
                <w:szCs w:val="24"/>
              </w:rPr>
            </w:pPr>
            <w:r w:rsidRPr="00BC6461">
              <w:rPr>
                <w:rFonts w:cs="Arial"/>
                <w:szCs w:val="24"/>
              </w:rPr>
              <w:t>The  support is non recurrent i.e. practice has provided details of its plan to recover the position and demonstrate that the short term support will deliver a sustainable solution in the long term.</w:t>
            </w:r>
          </w:p>
          <w:p w14:paraId="5CC37529" w14:textId="77777777" w:rsidR="00472858" w:rsidRPr="00BC6461" w:rsidRDefault="00472858" w:rsidP="005A7DDA">
            <w:pPr>
              <w:pStyle w:val="ListParagraph"/>
              <w:numPr>
                <w:ilvl w:val="0"/>
                <w:numId w:val="85"/>
              </w:numPr>
              <w:spacing w:before="60" w:after="60" w:line="276" w:lineRule="auto"/>
              <w:rPr>
                <w:rFonts w:cs="Arial"/>
                <w:szCs w:val="24"/>
              </w:rPr>
            </w:pPr>
            <w:r w:rsidRPr="00BC6461">
              <w:rPr>
                <w:rFonts w:cs="Arial"/>
                <w:szCs w:val="24"/>
              </w:rPr>
              <w:t>Performance Management arrangements in respect of the financial assistance</w:t>
            </w:r>
          </w:p>
          <w:p w14:paraId="51729443" w14:textId="77777777" w:rsidR="00472858" w:rsidRPr="00BC6461" w:rsidRDefault="00472858" w:rsidP="005A7DDA">
            <w:pPr>
              <w:pStyle w:val="ListParagraph"/>
              <w:numPr>
                <w:ilvl w:val="0"/>
                <w:numId w:val="85"/>
              </w:numPr>
              <w:spacing w:before="60" w:after="60" w:line="276" w:lineRule="auto"/>
              <w:rPr>
                <w:rFonts w:cs="Arial"/>
                <w:szCs w:val="24"/>
              </w:rPr>
            </w:pPr>
            <w:r w:rsidRPr="00BC6461">
              <w:rPr>
                <w:rFonts w:cs="Arial"/>
                <w:szCs w:val="24"/>
              </w:rPr>
              <w:t>The case represents value for money;</w:t>
            </w:r>
          </w:p>
          <w:p w14:paraId="33AEBD89" w14:textId="77777777" w:rsidR="00472858" w:rsidRPr="00BC6461" w:rsidRDefault="00472858" w:rsidP="005A7DDA">
            <w:pPr>
              <w:pStyle w:val="ListParagraph"/>
              <w:numPr>
                <w:ilvl w:val="0"/>
                <w:numId w:val="85"/>
              </w:numPr>
              <w:spacing w:before="60" w:after="60" w:line="276" w:lineRule="auto"/>
              <w:rPr>
                <w:rFonts w:cs="Arial"/>
                <w:b/>
                <w:szCs w:val="24"/>
              </w:rPr>
            </w:pPr>
            <w:r w:rsidRPr="00BC6461">
              <w:rPr>
                <w:rFonts w:cs="Arial"/>
                <w:szCs w:val="24"/>
              </w:rPr>
              <w:t>Financial assistance is a better option than any alternatives</w:t>
            </w:r>
          </w:p>
        </w:tc>
        <w:tc>
          <w:tcPr>
            <w:tcW w:w="2757" w:type="dxa"/>
            <w:vAlign w:val="center"/>
          </w:tcPr>
          <w:p w14:paraId="51A9F986" w14:textId="77777777" w:rsidR="00472858" w:rsidRPr="00BC6461" w:rsidRDefault="00472858" w:rsidP="00472858">
            <w:pPr>
              <w:spacing w:before="60" w:after="60" w:line="276" w:lineRule="auto"/>
              <w:rPr>
                <w:rFonts w:cs="Arial"/>
                <w:szCs w:val="24"/>
              </w:rPr>
            </w:pPr>
            <w:r w:rsidRPr="00BC6461">
              <w:rPr>
                <w:rFonts w:cs="Arial"/>
                <w:szCs w:val="24"/>
              </w:rPr>
              <w:t>Commissioning</w:t>
            </w:r>
          </w:p>
        </w:tc>
      </w:tr>
      <w:tr w:rsidR="00472858" w:rsidRPr="00BC6461" w14:paraId="1A8F1E16" w14:textId="77777777" w:rsidTr="00472858">
        <w:tc>
          <w:tcPr>
            <w:tcW w:w="870" w:type="dxa"/>
            <w:vAlign w:val="center"/>
          </w:tcPr>
          <w:p w14:paraId="3DD9BE4A" w14:textId="77777777" w:rsidR="00472858" w:rsidRPr="00BC6461" w:rsidRDefault="00472858" w:rsidP="00472858">
            <w:pPr>
              <w:spacing w:before="60" w:after="60" w:line="276" w:lineRule="auto"/>
              <w:jc w:val="center"/>
              <w:rPr>
                <w:rFonts w:cs="Arial"/>
                <w:b/>
                <w:szCs w:val="24"/>
              </w:rPr>
            </w:pPr>
            <w:r w:rsidRPr="00BC6461">
              <w:rPr>
                <w:rFonts w:cs="Arial"/>
                <w:b/>
                <w:szCs w:val="24"/>
              </w:rPr>
              <w:t>5</w:t>
            </w:r>
          </w:p>
        </w:tc>
        <w:tc>
          <w:tcPr>
            <w:tcW w:w="4886" w:type="dxa"/>
            <w:vAlign w:val="center"/>
          </w:tcPr>
          <w:p w14:paraId="6565E26A" w14:textId="77777777" w:rsidR="00472858" w:rsidRPr="00BC6461" w:rsidRDefault="00472858" w:rsidP="00472858">
            <w:pPr>
              <w:spacing w:before="60" w:after="60" w:line="276" w:lineRule="auto"/>
              <w:rPr>
                <w:rFonts w:cs="Arial"/>
                <w:szCs w:val="24"/>
              </w:rPr>
            </w:pPr>
            <w:r w:rsidRPr="00BC6461">
              <w:rPr>
                <w:rFonts w:cs="Arial"/>
                <w:szCs w:val="24"/>
              </w:rPr>
              <w:t>Review of financial evidence</w:t>
            </w:r>
            <w:r>
              <w:rPr>
                <w:rFonts w:cs="Arial"/>
                <w:szCs w:val="24"/>
              </w:rPr>
              <w:t xml:space="preserve"> including certified accounts for the previous year and management</w:t>
            </w:r>
            <w:r w:rsidRPr="00BC6461">
              <w:rPr>
                <w:rFonts w:cs="Arial"/>
                <w:szCs w:val="24"/>
              </w:rPr>
              <w:t xml:space="preserve"> accounts</w:t>
            </w:r>
            <w:r>
              <w:rPr>
                <w:rFonts w:cs="Arial"/>
                <w:szCs w:val="24"/>
              </w:rPr>
              <w:t xml:space="preserve"> for the current year</w:t>
            </w:r>
            <w:r w:rsidRPr="00BC6461">
              <w:rPr>
                <w:rFonts w:cs="Arial"/>
                <w:szCs w:val="24"/>
              </w:rPr>
              <w:t>, cash flow, declared earnings etc.</w:t>
            </w:r>
          </w:p>
          <w:p w14:paraId="10ABF765" w14:textId="77777777" w:rsidR="00472858" w:rsidRPr="00BC6461" w:rsidRDefault="00472858" w:rsidP="00472858">
            <w:pPr>
              <w:spacing w:before="60" w:after="60" w:line="276" w:lineRule="auto"/>
              <w:rPr>
                <w:rFonts w:cs="Arial"/>
                <w:szCs w:val="24"/>
              </w:rPr>
            </w:pPr>
            <w:r w:rsidRPr="00BC6461">
              <w:rPr>
                <w:rFonts w:cs="Arial"/>
                <w:szCs w:val="24"/>
              </w:rPr>
              <w:t>Consideration whether the financial assistance will be sufficient to achieve the objectives.</w:t>
            </w:r>
          </w:p>
          <w:p w14:paraId="303E8CF9" w14:textId="77777777" w:rsidR="00472858" w:rsidRPr="00BC6461" w:rsidRDefault="00472858" w:rsidP="00472858">
            <w:pPr>
              <w:spacing w:before="60" w:after="60" w:line="276" w:lineRule="auto"/>
              <w:rPr>
                <w:rFonts w:cs="Arial"/>
                <w:szCs w:val="24"/>
              </w:rPr>
            </w:pPr>
            <w:r w:rsidRPr="00BC6461">
              <w:rPr>
                <w:rFonts w:cs="Arial"/>
                <w:szCs w:val="24"/>
              </w:rPr>
              <w:t xml:space="preserve">Consideration of value for money vs alternatives </w:t>
            </w:r>
          </w:p>
          <w:p w14:paraId="6AB2F788" w14:textId="77777777" w:rsidR="00472858" w:rsidRPr="00BC6461" w:rsidRDefault="00472858" w:rsidP="00472858">
            <w:pPr>
              <w:spacing w:before="60" w:after="60" w:line="276" w:lineRule="auto"/>
              <w:rPr>
                <w:rFonts w:cs="Arial"/>
                <w:szCs w:val="24"/>
              </w:rPr>
            </w:pPr>
            <w:r w:rsidRPr="00BC6461">
              <w:rPr>
                <w:rFonts w:cs="Arial"/>
                <w:szCs w:val="24"/>
              </w:rPr>
              <w:t>Total likely overall financial risk to NHS England.</w:t>
            </w:r>
          </w:p>
        </w:tc>
        <w:tc>
          <w:tcPr>
            <w:tcW w:w="2757" w:type="dxa"/>
            <w:vAlign w:val="center"/>
          </w:tcPr>
          <w:p w14:paraId="6ECF1CC2" w14:textId="77777777" w:rsidR="00472858" w:rsidRPr="00BC6461" w:rsidRDefault="00472858" w:rsidP="00472858">
            <w:pPr>
              <w:spacing w:before="60" w:after="60" w:line="276" w:lineRule="auto"/>
              <w:rPr>
                <w:rFonts w:cs="Arial"/>
                <w:szCs w:val="24"/>
              </w:rPr>
            </w:pPr>
            <w:r w:rsidRPr="00BC6461">
              <w:rPr>
                <w:rFonts w:cs="Arial"/>
                <w:szCs w:val="24"/>
              </w:rPr>
              <w:t>Finance</w:t>
            </w:r>
          </w:p>
        </w:tc>
      </w:tr>
      <w:tr w:rsidR="00472858" w:rsidRPr="00BC6461" w14:paraId="2AF0873E" w14:textId="77777777" w:rsidTr="00472858">
        <w:tc>
          <w:tcPr>
            <w:tcW w:w="870" w:type="dxa"/>
            <w:vAlign w:val="center"/>
          </w:tcPr>
          <w:p w14:paraId="7F820323" w14:textId="77777777" w:rsidR="00472858" w:rsidRPr="00BC6461" w:rsidRDefault="00472858" w:rsidP="00472858">
            <w:pPr>
              <w:spacing w:before="60" w:after="60" w:line="276" w:lineRule="auto"/>
              <w:jc w:val="center"/>
              <w:rPr>
                <w:rFonts w:cs="Arial"/>
                <w:b/>
                <w:szCs w:val="24"/>
              </w:rPr>
            </w:pPr>
            <w:r w:rsidRPr="00BC6461">
              <w:rPr>
                <w:rFonts w:cs="Arial"/>
                <w:b/>
                <w:szCs w:val="24"/>
              </w:rPr>
              <w:t>6</w:t>
            </w:r>
          </w:p>
        </w:tc>
        <w:tc>
          <w:tcPr>
            <w:tcW w:w="4886" w:type="dxa"/>
            <w:vAlign w:val="center"/>
          </w:tcPr>
          <w:p w14:paraId="39BF4B0E" w14:textId="77777777" w:rsidR="00472858" w:rsidRPr="00BC6461" w:rsidRDefault="00472858" w:rsidP="00472858">
            <w:pPr>
              <w:spacing w:before="60" w:after="60" w:line="276" w:lineRule="auto"/>
              <w:rPr>
                <w:rFonts w:cs="Arial"/>
                <w:szCs w:val="24"/>
              </w:rPr>
            </w:pPr>
            <w:r w:rsidRPr="00BC6461">
              <w:rPr>
                <w:rFonts w:cs="Arial"/>
                <w:szCs w:val="24"/>
              </w:rPr>
              <w:t>All Financial Assistance provided must be in compliance with NHS England SFIs.  As such any Application for financial assistance must have the authorisations set out below.</w:t>
            </w:r>
          </w:p>
        </w:tc>
        <w:tc>
          <w:tcPr>
            <w:tcW w:w="2757" w:type="dxa"/>
            <w:vAlign w:val="center"/>
          </w:tcPr>
          <w:p w14:paraId="7AAF1CCB" w14:textId="77777777" w:rsidR="00472858" w:rsidRPr="00BC6461" w:rsidRDefault="00472858" w:rsidP="00472858">
            <w:pPr>
              <w:spacing w:before="60" w:after="60" w:line="276" w:lineRule="auto"/>
              <w:rPr>
                <w:rFonts w:cs="Arial"/>
                <w:szCs w:val="24"/>
              </w:rPr>
            </w:pPr>
          </w:p>
        </w:tc>
      </w:tr>
      <w:tr w:rsidR="00472858" w:rsidRPr="00BC6461" w14:paraId="36F2EC9C" w14:textId="77777777" w:rsidTr="00472858">
        <w:tc>
          <w:tcPr>
            <w:tcW w:w="870" w:type="dxa"/>
            <w:vAlign w:val="center"/>
          </w:tcPr>
          <w:p w14:paraId="688113C9" w14:textId="77777777" w:rsidR="00472858" w:rsidRPr="00BC6461" w:rsidRDefault="00472858" w:rsidP="00472858">
            <w:pPr>
              <w:spacing w:before="60" w:after="60" w:line="276" w:lineRule="auto"/>
              <w:jc w:val="center"/>
              <w:rPr>
                <w:rFonts w:cs="Arial"/>
                <w:b/>
                <w:szCs w:val="24"/>
              </w:rPr>
            </w:pPr>
            <w:r w:rsidRPr="00BC6461">
              <w:rPr>
                <w:rFonts w:cs="Arial"/>
                <w:b/>
                <w:szCs w:val="24"/>
              </w:rPr>
              <w:t>7</w:t>
            </w:r>
          </w:p>
        </w:tc>
        <w:tc>
          <w:tcPr>
            <w:tcW w:w="4886" w:type="dxa"/>
            <w:vAlign w:val="center"/>
          </w:tcPr>
          <w:p w14:paraId="3AE1040D" w14:textId="77777777" w:rsidR="00472858" w:rsidRPr="00BC6461" w:rsidRDefault="00472858" w:rsidP="00472858">
            <w:pPr>
              <w:spacing w:before="60" w:after="60" w:line="276" w:lineRule="auto"/>
              <w:rPr>
                <w:rFonts w:cs="Arial"/>
                <w:szCs w:val="24"/>
                <w:highlight w:val="lightGray"/>
              </w:rPr>
            </w:pPr>
            <w:r w:rsidRPr="00BC6461">
              <w:rPr>
                <w:rFonts w:cs="Arial"/>
                <w:szCs w:val="24"/>
                <w:highlight w:val="lightGray"/>
              </w:rPr>
              <w:t xml:space="preserve">Application from the Provider along with Commissioner business case containing operational and financial reviews set out above presented for authorisation and sign off as set out in the paragraph below. </w:t>
            </w:r>
          </w:p>
          <w:p w14:paraId="65652E21" w14:textId="77777777" w:rsidR="00472858" w:rsidRPr="00BC6461" w:rsidRDefault="00472858" w:rsidP="00472858">
            <w:pPr>
              <w:spacing w:before="60" w:after="60" w:line="276" w:lineRule="auto"/>
              <w:rPr>
                <w:rFonts w:cs="Arial"/>
                <w:szCs w:val="24"/>
                <w:highlight w:val="lightGray"/>
              </w:rPr>
            </w:pPr>
          </w:p>
          <w:p w14:paraId="75A785CC" w14:textId="77777777" w:rsidR="00472858" w:rsidRPr="00BC6461" w:rsidRDefault="00472858" w:rsidP="00472858">
            <w:pPr>
              <w:spacing w:before="60" w:after="60" w:line="276" w:lineRule="auto"/>
              <w:rPr>
                <w:rFonts w:cs="Arial"/>
                <w:b/>
                <w:szCs w:val="24"/>
                <w:highlight w:val="lightGray"/>
              </w:rPr>
            </w:pPr>
            <w:r>
              <w:rPr>
                <w:rFonts w:cs="Arial"/>
                <w:szCs w:val="24"/>
                <w:highlight w:val="lightGray"/>
              </w:rPr>
              <w:t>A local</w:t>
            </w:r>
            <w:r w:rsidRPr="00BC6461">
              <w:rPr>
                <w:rFonts w:cs="Arial"/>
                <w:szCs w:val="24"/>
                <w:highlight w:val="lightGray"/>
              </w:rPr>
              <w:t xml:space="preserve"> Primary Care Delivery &amp; Oversight Group </w:t>
            </w:r>
            <w:r>
              <w:rPr>
                <w:rFonts w:cs="Arial"/>
                <w:szCs w:val="24"/>
                <w:highlight w:val="lightGray"/>
              </w:rPr>
              <w:t xml:space="preserve">(LPCDOG) </w:t>
            </w:r>
            <w:r w:rsidRPr="00BC6461">
              <w:rPr>
                <w:rFonts w:cs="Arial"/>
                <w:szCs w:val="24"/>
                <w:highlight w:val="lightGray"/>
              </w:rPr>
              <w:t>with recommendation for consideration and decision</w:t>
            </w:r>
          </w:p>
        </w:tc>
        <w:tc>
          <w:tcPr>
            <w:tcW w:w="2757" w:type="dxa"/>
            <w:vAlign w:val="center"/>
          </w:tcPr>
          <w:p w14:paraId="36C4CCD6" w14:textId="77777777" w:rsidR="00472858" w:rsidRPr="00BC6461" w:rsidRDefault="00472858" w:rsidP="00472858">
            <w:pPr>
              <w:spacing w:before="60" w:after="60" w:line="276" w:lineRule="auto"/>
              <w:rPr>
                <w:rFonts w:cs="Arial"/>
                <w:szCs w:val="24"/>
                <w:highlight w:val="lightGray"/>
              </w:rPr>
            </w:pPr>
            <w:r>
              <w:rPr>
                <w:rFonts w:cs="Arial"/>
                <w:szCs w:val="24"/>
                <w:highlight w:val="lightGray"/>
              </w:rPr>
              <w:t xml:space="preserve">LPCDOG </w:t>
            </w:r>
          </w:p>
        </w:tc>
      </w:tr>
      <w:tr w:rsidR="00472858" w:rsidRPr="00BC6461" w14:paraId="27BB9581" w14:textId="77777777" w:rsidTr="00472858">
        <w:tc>
          <w:tcPr>
            <w:tcW w:w="870" w:type="dxa"/>
            <w:vAlign w:val="center"/>
          </w:tcPr>
          <w:p w14:paraId="206BDF5C" w14:textId="77777777" w:rsidR="00472858" w:rsidRPr="00BC6461" w:rsidRDefault="00472858" w:rsidP="00472858">
            <w:pPr>
              <w:spacing w:before="60" w:after="60" w:line="276" w:lineRule="auto"/>
              <w:jc w:val="center"/>
              <w:rPr>
                <w:rFonts w:cs="Arial"/>
                <w:b/>
                <w:szCs w:val="24"/>
              </w:rPr>
            </w:pPr>
            <w:r w:rsidRPr="00BC6461">
              <w:rPr>
                <w:rFonts w:cs="Arial"/>
                <w:b/>
                <w:szCs w:val="24"/>
              </w:rPr>
              <w:t>8</w:t>
            </w:r>
          </w:p>
        </w:tc>
        <w:tc>
          <w:tcPr>
            <w:tcW w:w="4886" w:type="dxa"/>
            <w:vAlign w:val="center"/>
          </w:tcPr>
          <w:p w14:paraId="65649939" w14:textId="77777777" w:rsidR="00472858" w:rsidRPr="00BC6461" w:rsidRDefault="00472858" w:rsidP="00472858">
            <w:pPr>
              <w:spacing w:before="60" w:after="60" w:line="276" w:lineRule="auto"/>
              <w:rPr>
                <w:rFonts w:cs="Arial"/>
                <w:szCs w:val="24"/>
                <w:highlight w:val="lightGray"/>
              </w:rPr>
            </w:pPr>
            <w:r w:rsidRPr="00BC6461">
              <w:rPr>
                <w:rFonts w:cs="Arial"/>
                <w:color w:val="FF0000"/>
                <w:szCs w:val="24"/>
                <w:highlight w:val="lightGray"/>
              </w:rPr>
              <w:t>Recommendation passed to MTM for decision where Director of Commissioning SFI sign-off limit is exceeded</w:t>
            </w:r>
          </w:p>
        </w:tc>
        <w:tc>
          <w:tcPr>
            <w:tcW w:w="2757" w:type="dxa"/>
            <w:vAlign w:val="center"/>
          </w:tcPr>
          <w:p w14:paraId="5F570083" w14:textId="77777777" w:rsidR="00472858" w:rsidRPr="00BC6461" w:rsidRDefault="00472858" w:rsidP="00472858">
            <w:pPr>
              <w:spacing w:before="60" w:after="60" w:line="276" w:lineRule="auto"/>
              <w:rPr>
                <w:rFonts w:cs="Arial"/>
                <w:szCs w:val="24"/>
                <w:highlight w:val="lightGray"/>
              </w:rPr>
            </w:pPr>
            <w:r w:rsidRPr="00BC6461">
              <w:rPr>
                <w:rFonts w:cs="Arial"/>
                <w:szCs w:val="24"/>
                <w:highlight w:val="lightGray"/>
              </w:rPr>
              <w:t>Commissioning</w:t>
            </w:r>
          </w:p>
        </w:tc>
      </w:tr>
      <w:tr w:rsidR="00472858" w:rsidRPr="00BC6461" w14:paraId="767219E9" w14:textId="77777777" w:rsidTr="00472858">
        <w:tc>
          <w:tcPr>
            <w:tcW w:w="870" w:type="dxa"/>
            <w:vAlign w:val="center"/>
          </w:tcPr>
          <w:p w14:paraId="62634FA0" w14:textId="77777777" w:rsidR="00472858" w:rsidRPr="00BC6461" w:rsidRDefault="00472858" w:rsidP="00472858">
            <w:pPr>
              <w:spacing w:before="60" w:after="60" w:line="276" w:lineRule="auto"/>
              <w:jc w:val="center"/>
              <w:rPr>
                <w:rFonts w:cs="Arial"/>
                <w:b/>
                <w:szCs w:val="24"/>
              </w:rPr>
            </w:pPr>
            <w:r w:rsidRPr="00BC6461">
              <w:rPr>
                <w:rFonts w:cs="Arial"/>
                <w:b/>
                <w:szCs w:val="24"/>
              </w:rPr>
              <w:t>9</w:t>
            </w:r>
          </w:p>
        </w:tc>
        <w:tc>
          <w:tcPr>
            <w:tcW w:w="4886" w:type="dxa"/>
            <w:vAlign w:val="center"/>
          </w:tcPr>
          <w:p w14:paraId="16F29E32" w14:textId="77777777" w:rsidR="00472858" w:rsidRPr="00BC6461" w:rsidRDefault="00472858" w:rsidP="00472858">
            <w:pPr>
              <w:spacing w:before="60" w:after="60" w:line="276" w:lineRule="auto"/>
              <w:rPr>
                <w:rFonts w:cs="Arial"/>
                <w:b/>
                <w:szCs w:val="24"/>
              </w:rPr>
            </w:pPr>
            <w:r w:rsidRPr="00BC6461">
              <w:rPr>
                <w:rFonts w:cs="Arial"/>
                <w:szCs w:val="24"/>
              </w:rPr>
              <w:t>All decisions reported as set out below and logged for central reporting and consistency checking</w:t>
            </w:r>
          </w:p>
        </w:tc>
        <w:tc>
          <w:tcPr>
            <w:tcW w:w="2757" w:type="dxa"/>
            <w:vAlign w:val="center"/>
          </w:tcPr>
          <w:p w14:paraId="74AB9B4F" w14:textId="77777777" w:rsidR="00472858" w:rsidRPr="00BC6461" w:rsidRDefault="00472858" w:rsidP="00472858">
            <w:pPr>
              <w:spacing w:before="60" w:after="60" w:line="276" w:lineRule="auto"/>
              <w:rPr>
                <w:rFonts w:cs="Arial"/>
                <w:szCs w:val="24"/>
              </w:rPr>
            </w:pPr>
            <w:r w:rsidRPr="00BC6461">
              <w:rPr>
                <w:rFonts w:cs="Arial"/>
                <w:szCs w:val="24"/>
              </w:rPr>
              <w:t>Commissioning</w:t>
            </w:r>
          </w:p>
        </w:tc>
      </w:tr>
      <w:tr w:rsidR="00472858" w:rsidRPr="00BC6461" w14:paraId="66315057" w14:textId="77777777" w:rsidTr="00472858">
        <w:tc>
          <w:tcPr>
            <w:tcW w:w="870" w:type="dxa"/>
            <w:vAlign w:val="center"/>
          </w:tcPr>
          <w:p w14:paraId="1258F55C" w14:textId="77777777" w:rsidR="00472858" w:rsidRPr="00BC6461" w:rsidRDefault="00472858" w:rsidP="00472858">
            <w:pPr>
              <w:spacing w:before="60" w:after="60" w:line="276" w:lineRule="auto"/>
              <w:jc w:val="center"/>
              <w:rPr>
                <w:rFonts w:cs="Arial"/>
                <w:b/>
                <w:szCs w:val="24"/>
              </w:rPr>
            </w:pPr>
            <w:r w:rsidRPr="00BC6461">
              <w:rPr>
                <w:rFonts w:cs="Arial"/>
                <w:b/>
                <w:szCs w:val="24"/>
              </w:rPr>
              <w:t>10</w:t>
            </w:r>
          </w:p>
        </w:tc>
        <w:tc>
          <w:tcPr>
            <w:tcW w:w="4886" w:type="dxa"/>
            <w:vAlign w:val="center"/>
          </w:tcPr>
          <w:p w14:paraId="79C98BAE" w14:textId="77777777" w:rsidR="00472858" w:rsidRPr="00BC6461" w:rsidRDefault="00472858" w:rsidP="00472858">
            <w:pPr>
              <w:spacing w:before="60" w:after="60" w:line="276" w:lineRule="auto"/>
              <w:rPr>
                <w:rFonts w:cs="Arial"/>
                <w:szCs w:val="24"/>
              </w:rPr>
            </w:pPr>
            <w:r w:rsidRPr="00BC6461">
              <w:rPr>
                <w:rFonts w:cs="Arial"/>
                <w:szCs w:val="24"/>
              </w:rPr>
              <w:t>Practice &amp; CCG advised of outcome</w:t>
            </w:r>
          </w:p>
        </w:tc>
        <w:tc>
          <w:tcPr>
            <w:tcW w:w="2757" w:type="dxa"/>
            <w:vAlign w:val="center"/>
          </w:tcPr>
          <w:p w14:paraId="44009A6E" w14:textId="77777777" w:rsidR="00472858" w:rsidRPr="00BC6461" w:rsidRDefault="00472858" w:rsidP="00472858">
            <w:pPr>
              <w:spacing w:before="60" w:after="60" w:line="276" w:lineRule="auto"/>
              <w:rPr>
                <w:rFonts w:cs="Arial"/>
                <w:szCs w:val="24"/>
              </w:rPr>
            </w:pPr>
            <w:r w:rsidRPr="00BC6461">
              <w:rPr>
                <w:rFonts w:cs="Arial"/>
                <w:szCs w:val="24"/>
              </w:rPr>
              <w:t>Commissioning</w:t>
            </w:r>
          </w:p>
        </w:tc>
      </w:tr>
      <w:tr w:rsidR="00472858" w:rsidRPr="00BC6461" w14:paraId="6E335020" w14:textId="77777777" w:rsidTr="00472858">
        <w:tc>
          <w:tcPr>
            <w:tcW w:w="870" w:type="dxa"/>
            <w:vAlign w:val="center"/>
          </w:tcPr>
          <w:p w14:paraId="0CE40668" w14:textId="77777777" w:rsidR="00472858" w:rsidRPr="00BC6461" w:rsidRDefault="00472858" w:rsidP="00472858">
            <w:pPr>
              <w:spacing w:before="60" w:after="60" w:line="276" w:lineRule="auto"/>
              <w:jc w:val="center"/>
              <w:rPr>
                <w:rFonts w:cs="Arial"/>
                <w:b/>
                <w:szCs w:val="24"/>
              </w:rPr>
            </w:pPr>
            <w:r w:rsidRPr="00BC6461">
              <w:rPr>
                <w:rFonts w:cs="Arial"/>
                <w:b/>
                <w:szCs w:val="24"/>
              </w:rPr>
              <w:t>11</w:t>
            </w:r>
          </w:p>
        </w:tc>
        <w:tc>
          <w:tcPr>
            <w:tcW w:w="4886" w:type="dxa"/>
            <w:vAlign w:val="center"/>
          </w:tcPr>
          <w:p w14:paraId="22D66D5E" w14:textId="77777777" w:rsidR="00472858" w:rsidRPr="00BC6461" w:rsidRDefault="00472858" w:rsidP="00472858">
            <w:pPr>
              <w:spacing w:before="60" w:after="60" w:line="276" w:lineRule="auto"/>
              <w:rPr>
                <w:rFonts w:cs="Arial"/>
                <w:szCs w:val="24"/>
              </w:rPr>
            </w:pPr>
            <w:r w:rsidRPr="00BC6461">
              <w:rPr>
                <w:rFonts w:cs="Arial"/>
                <w:szCs w:val="24"/>
              </w:rPr>
              <w:t>MOU populated and signed by practice, CCG and NHSE</w:t>
            </w:r>
          </w:p>
        </w:tc>
        <w:tc>
          <w:tcPr>
            <w:tcW w:w="2757" w:type="dxa"/>
            <w:vAlign w:val="center"/>
          </w:tcPr>
          <w:p w14:paraId="172E81B9" w14:textId="77777777" w:rsidR="00472858" w:rsidRPr="00BC6461" w:rsidRDefault="00472858" w:rsidP="00472858">
            <w:pPr>
              <w:spacing w:before="60" w:after="60" w:line="276" w:lineRule="auto"/>
              <w:rPr>
                <w:rFonts w:cs="Arial"/>
                <w:szCs w:val="24"/>
              </w:rPr>
            </w:pPr>
            <w:r w:rsidRPr="00BC6461">
              <w:rPr>
                <w:rFonts w:cs="Arial"/>
                <w:szCs w:val="24"/>
              </w:rPr>
              <w:t>Practice, CCG, Commissioning</w:t>
            </w:r>
          </w:p>
        </w:tc>
      </w:tr>
      <w:tr w:rsidR="00472858" w:rsidRPr="00BC6461" w14:paraId="6A41394D" w14:textId="77777777" w:rsidTr="00472858">
        <w:tc>
          <w:tcPr>
            <w:tcW w:w="870" w:type="dxa"/>
            <w:vAlign w:val="center"/>
          </w:tcPr>
          <w:p w14:paraId="4195C520" w14:textId="77777777" w:rsidR="00472858" w:rsidRPr="00BC6461" w:rsidRDefault="00472858" w:rsidP="00472858">
            <w:pPr>
              <w:spacing w:before="60" w:after="60" w:line="276" w:lineRule="auto"/>
              <w:jc w:val="center"/>
              <w:rPr>
                <w:rFonts w:cs="Arial"/>
                <w:b/>
                <w:szCs w:val="24"/>
              </w:rPr>
            </w:pPr>
            <w:r w:rsidRPr="00BC6461">
              <w:rPr>
                <w:rFonts w:cs="Arial"/>
                <w:b/>
                <w:szCs w:val="24"/>
              </w:rPr>
              <w:t>12</w:t>
            </w:r>
          </w:p>
        </w:tc>
        <w:tc>
          <w:tcPr>
            <w:tcW w:w="4886" w:type="dxa"/>
            <w:vAlign w:val="center"/>
          </w:tcPr>
          <w:p w14:paraId="29B82CE0" w14:textId="77777777" w:rsidR="00472858" w:rsidRPr="00BC6461" w:rsidRDefault="00472858" w:rsidP="00472858">
            <w:pPr>
              <w:spacing w:before="60" w:after="60" w:line="276" w:lineRule="auto"/>
              <w:rPr>
                <w:rFonts w:cs="Arial"/>
                <w:szCs w:val="24"/>
              </w:rPr>
            </w:pPr>
            <w:r w:rsidRPr="00BC6461">
              <w:rPr>
                <w:rFonts w:cs="Arial"/>
                <w:szCs w:val="24"/>
              </w:rPr>
              <w:t>Payment set-up on a non-recurrent basis</w:t>
            </w:r>
          </w:p>
        </w:tc>
        <w:tc>
          <w:tcPr>
            <w:tcW w:w="2757" w:type="dxa"/>
            <w:vAlign w:val="center"/>
          </w:tcPr>
          <w:p w14:paraId="199E5575" w14:textId="77777777" w:rsidR="00472858" w:rsidRPr="00BC6461" w:rsidRDefault="00472858" w:rsidP="00472858">
            <w:pPr>
              <w:spacing w:before="60" w:after="60" w:line="276" w:lineRule="auto"/>
              <w:rPr>
                <w:rFonts w:cs="Arial"/>
                <w:szCs w:val="24"/>
              </w:rPr>
            </w:pPr>
            <w:r w:rsidRPr="00BC6461">
              <w:rPr>
                <w:rFonts w:cs="Arial"/>
                <w:szCs w:val="24"/>
              </w:rPr>
              <w:t>Finance</w:t>
            </w:r>
          </w:p>
        </w:tc>
      </w:tr>
      <w:tr w:rsidR="00472858" w:rsidRPr="00BC6461" w14:paraId="0083F61A" w14:textId="77777777" w:rsidTr="00472858">
        <w:tc>
          <w:tcPr>
            <w:tcW w:w="870" w:type="dxa"/>
            <w:vAlign w:val="center"/>
          </w:tcPr>
          <w:p w14:paraId="634029F8" w14:textId="77777777" w:rsidR="00472858" w:rsidRPr="00BC6461" w:rsidRDefault="00472858" w:rsidP="00472858">
            <w:pPr>
              <w:spacing w:before="60" w:after="60" w:line="276" w:lineRule="auto"/>
              <w:jc w:val="center"/>
              <w:rPr>
                <w:rFonts w:cs="Arial"/>
                <w:b/>
                <w:szCs w:val="24"/>
              </w:rPr>
            </w:pPr>
            <w:r w:rsidRPr="00BC6461">
              <w:rPr>
                <w:rFonts w:cs="Arial"/>
                <w:b/>
                <w:szCs w:val="24"/>
              </w:rPr>
              <w:t>13</w:t>
            </w:r>
          </w:p>
        </w:tc>
        <w:tc>
          <w:tcPr>
            <w:tcW w:w="4886" w:type="dxa"/>
            <w:vAlign w:val="center"/>
          </w:tcPr>
          <w:p w14:paraId="2F96F79F" w14:textId="77777777" w:rsidR="00472858" w:rsidRPr="00BC6461" w:rsidRDefault="00472858" w:rsidP="00472858">
            <w:pPr>
              <w:spacing w:before="60" w:after="60" w:line="276" w:lineRule="auto"/>
              <w:rPr>
                <w:rFonts w:cs="Arial"/>
                <w:szCs w:val="24"/>
              </w:rPr>
            </w:pPr>
            <w:r w:rsidRPr="00BC6461">
              <w:rPr>
                <w:rFonts w:cs="Arial"/>
                <w:szCs w:val="24"/>
              </w:rPr>
              <w:t>Review of MOU objectives mid-way through period of support</w:t>
            </w:r>
          </w:p>
        </w:tc>
        <w:tc>
          <w:tcPr>
            <w:tcW w:w="2757" w:type="dxa"/>
            <w:vAlign w:val="center"/>
          </w:tcPr>
          <w:p w14:paraId="4DA65126" w14:textId="77777777" w:rsidR="00472858" w:rsidRPr="00BC6461" w:rsidRDefault="00472858" w:rsidP="00472858">
            <w:pPr>
              <w:spacing w:before="60" w:after="60" w:line="276" w:lineRule="auto"/>
              <w:rPr>
                <w:rFonts w:cs="Arial"/>
                <w:szCs w:val="24"/>
              </w:rPr>
            </w:pPr>
            <w:r w:rsidRPr="00BC6461">
              <w:rPr>
                <w:rFonts w:cs="Arial"/>
                <w:szCs w:val="24"/>
              </w:rPr>
              <w:t>Practice, CCG, Commissioning</w:t>
            </w:r>
          </w:p>
        </w:tc>
      </w:tr>
      <w:tr w:rsidR="00472858" w:rsidRPr="00BC6461" w14:paraId="2497E213" w14:textId="77777777" w:rsidTr="00472858">
        <w:tc>
          <w:tcPr>
            <w:tcW w:w="870" w:type="dxa"/>
            <w:vAlign w:val="center"/>
          </w:tcPr>
          <w:p w14:paraId="6184E802" w14:textId="77777777" w:rsidR="00472858" w:rsidRPr="00BC6461" w:rsidRDefault="00472858" w:rsidP="00472858">
            <w:pPr>
              <w:spacing w:before="60" w:after="60" w:line="276" w:lineRule="auto"/>
              <w:jc w:val="center"/>
              <w:rPr>
                <w:rFonts w:cs="Arial"/>
                <w:b/>
                <w:szCs w:val="24"/>
              </w:rPr>
            </w:pPr>
            <w:r w:rsidRPr="00BC6461">
              <w:rPr>
                <w:rFonts w:cs="Arial"/>
                <w:b/>
                <w:szCs w:val="24"/>
              </w:rPr>
              <w:t>14</w:t>
            </w:r>
          </w:p>
        </w:tc>
        <w:tc>
          <w:tcPr>
            <w:tcW w:w="4886" w:type="dxa"/>
            <w:vAlign w:val="center"/>
          </w:tcPr>
          <w:p w14:paraId="42C58725" w14:textId="77777777" w:rsidR="00472858" w:rsidRPr="00BC6461" w:rsidRDefault="00472858" w:rsidP="00472858">
            <w:pPr>
              <w:spacing w:before="60" w:after="60" w:line="276" w:lineRule="auto"/>
              <w:rPr>
                <w:rFonts w:cs="Arial"/>
                <w:szCs w:val="24"/>
                <w:highlight w:val="cyan"/>
              </w:rPr>
            </w:pPr>
            <w:r w:rsidRPr="00BC6461">
              <w:rPr>
                <w:rFonts w:cs="Arial"/>
                <w:szCs w:val="24"/>
                <w:highlight w:val="cyan"/>
              </w:rPr>
              <w:t xml:space="preserve">Routine reporting via the Primary Care Activity Report (PCAR) and/or </w:t>
            </w:r>
            <w:r>
              <w:rPr>
                <w:rFonts w:cs="Arial"/>
                <w:szCs w:val="24"/>
                <w:highlight w:val="cyan"/>
              </w:rPr>
              <w:t xml:space="preserve">National </w:t>
            </w:r>
            <w:r w:rsidRPr="00BC6461">
              <w:rPr>
                <w:rFonts w:cs="Arial"/>
                <w:szCs w:val="24"/>
                <w:highlight w:val="cyan"/>
              </w:rPr>
              <w:t>Primary Care Delivery Oversight Group (PCDOG) (see section 7 below)</w:t>
            </w:r>
          </w:p>
        </w:tc>
        <w:tc>
          <w:tcPr>
            <w:tcW w:w="2757" w:type="dxa"/>
            <w:vAlign w:val="center"/>
          </w:tcPr>
          <w:p w14:paraId="2EDE6365" w14:textId="77777777" w:rsidR="00472858" w:rsidRPr="00BC6461" w:rsidRDefault="00472858" w:rsidP="00472858">
            <w:pPr>
              <w:spacing w:before="60" w:after="60" w:line="276" w:lineRule="auto"/>
              <w:rPr>
                <w:rFonts w:cs="Arial"/>
                <w:szCs w:val="24"/>
              </w:rPr>
            </w:pPr>
            <w:r w:rsidRPr="00BC6461">
              <w:rPr>
                <w:rFonts w:cs="Arial"/>
                <w:szCs w:val="24"/>
                <w:highlight w:val="cyan"/>
              </w:rPr>
              <w:t>Commissioning</w:t>
            </w:r>
          </w:p>
        </w:tc>
      </w:tr>
      <w:tr w:rsidR="00472858" w:rsidRPr="00BC6461" w14:paraId="0FF9D3C2" w14:textId="77777777" w:rsidTr="00472858">
        <w:tc>
          <w:tcPr>
            <w:tcW w:w="870" w:type="dxa"/>
            <w:vAlign w:val="center"/>
          </w:tcPr>
          <w:p w14:paraId="71C8B835" w14:textId="77777777" w:rsidR="00472858" w:rsidRPr="00BC6461" w:rsidRDefault="00472858" w:rsidP="00472858">
            <w:pPr>
              <w:spacing w:before="60" w:after="60" w:line="276" w:lineRule="auto"/>
              <w:jc w:val="center"/>
              <w:rPr>
                <w:rFonts w:cs="Arial"/>
                <w:b/>
                <w:szCs w:val="24"/>
              </w:rPr>
            </w:pPr>
            <w:r w:rsidRPr="00BC6461">
              <w:rPr>
                <w:rFonts w:cs="Arial"/>
                <w:b/>
                <w:szCs w:val="24"/>
              </w:rPr>
              <w:t>15</w:t>
            </w:r>
          </w:p>
        </w:tc>
        <w:tc>
          <w:tcPr>
            <w:tcW w:w="4886" w:type="dxa"/>
            <w:vAlign w:val="center"/>
          </w:tcPr>
          <w:p w14:paraId="3C4FCA22" w14:textId="77777777" w:rsidR="00472858" w:rsidRPr="00BC6461" w:rsidRDefault="00472858" w:rsidP="00472858">
            <w:pPr>
              <w:spacing w:before="60" w:after="60" w:line="276" w:lineRule="auto"/>
              <w:rPr>
                <w:rFonts w:cs="Arial"/>
                <w:szCs w:val="24"/>
              </w:rPr>
            </w:pPr>
            <w:r w:rsidRPr="00BC6461">
              <w:rPr>
                <w:rFonts w:cs="Arial"/>
                <w:szCs w:val="24"/>
              </w:rPr>
              <w:t>Advise practice of continuation or further review of support depending on MOU progress</w:t>
            </w:r>
          </w:p>
        </w:tc>
        <w:tc>
          <w:tcPr>
            <w:tcW w:w="2757" w:type="dxa"/>
            <w:vAlign w:val="center"/>
          </w:tcPr>
          <w:p w14:paraId="5C0A3E03" w14:textId="77777777" w:rsidR="00472858" w:rsidRPr="00BC6461" w:rsidRDefault="00472858" w:rsidP="00472858">
            <w:pPr>
              <w:spacing w:before="60" w:after="60" w:line="276" w:lineRule="auto"/>
              <w:rPr>
                <w:rFonts w:cs="Arial"/>
                <w:szCs w:val="24"/>
              </w:rPr>
            </w:pPr>
            <w:r w:rsidRPr="00BC6461">
              <w:rPr>
                <w:rFonts w:cs="Arial"/>
                <w:szCs w:val="24"/>
              </w:rPr>
              <w:t>Commissioning</w:t>
            </w:r>
          </w:p>
        </w:tc>
      </w:tr>
      <w:tr w:rsidR="00472858" w:rsidRPr="00BC6461" w14:paraId="1CD08610" w14:textId="77777777" w:rsidTr="00472858">
        <w:tc>
          <w:tcPr>
            <w:tcW w:w="870" w:type="dxa"/>
            <w:vAlign w:val="center"/>
          </w:tcPr>
          <w:p w14:paraId="7E3D64B5" w14:textId="77777777" w:rsidR="00472858" w:rsidRPr="00BC6461" w:rsidRDefault="00472858" w:rsidP="00472858">
            <w:pPr>
              <w:spacing w:before="60" w:after="60" w:line="276" w:lineRule="auto"/>
              <w:jc w:val="center"/>
              <w:rPr>
                <w:rFonts w:cs="Arial"/>
                <w:b/>
                <w:szCs w:val="24"/>
              </w:rPr>
            </w:pPr>
            <w:r w:rsidRPr="00BC6461">
              <w:rPr>
                <w:rFonts w:cs="Arial"/>
                <w:b/>
                <w:szCs w:val="24"/>
              </w:rPr>
              <w:t>16</w:t>
            </w:r>
          </w:p>
        </w:tc>
        <w:tc>
          <w:tcPr>
            <w:tcW w:w="4886" w:type="dxa"/>
            <w:vAlign w:val="center"/>
          </w:tcPr>
          <w:p w14:paraId="144D6C8B" w14:textId="77777777" w:rsidR="00472858" w:rsidRPr="00BC6461" w:rsidRDefault="00472858" w:rsidP="00472858">
            <w:pPr>
              <w:spacing w:before="60" w:after="60" w:line="276" w:lineRule="auto"/>
              <w:rPr>
                <w:rFonts w:cs="Arial"/>
                <w:szCs w:val="24"/>
              </w:rPr>
            </w:pPr>
            <w:r w:rsidRPr="00BC6461">
              <w:rPr>
                <w:rFonts w:cs="Arial"/>
                <w:szCs w:val="24"/>
              </w:rPr>
              <w:t xml:space="preserve">Final Review and reporting </w:t>
            </w:r>
            <w:r w:rsidRPr="00BC6461">
              <w:rPr>
                <w:rFonts w:cs="Arial"/>
                <w:szCs w:val="24"/>
                <w:highlight w:val="yellow"/>
              </w:rPr>
              <w:t>to</w:t>
            </w:r>
            <w:r>
              <w:rPr>
                <w:rFonts w:cs="Arial"/>
                <w:szCs w:val="24"/>
                <w:highlight w:val="yellow"/>
              </w:rPr>
              <w:t xml:space="preserve"> Local </w:t>
            </w:r>
            <w:r w:rsidRPr="00BC6461">
              <w:rPr>
                <w:rFonts w:cs="Arial"/>
                <w:szCs w:val="24"/>
                <w:highlight w:val="yellow"/>
              </w:rPr>
              <w:t>PCDOG</w:t>
            </w:r>
            <w:r w:rsidRPr="00BC6461">
              <w:rPr>
                <w:rFonts w:cs="Arial"/>
                <w:szCs w:val="24"/>
              </w:rPr>
              <w:t xml:space="preserve"> </w:t>
            </w:r>
            <w:r>
              <w:rPr>
                <w:rFonts w:cs="Arial"/>
                <w:szCs w:val="24"/>
              </w:rPr>
              <w:t>(</w:t>
            </w:r>
            <w:r w:rsidRPr="00BC6461">
              <w:rPr>
                <w:rFonts w:cs="Arial"/>
                <w:szCs w:val="24"/>
                <w:highlight w:val="cyan"/>
              </w:rPr>
              <w:t>as required</w:t>
            </w:r>
            <w:r>
              <w:rPr>
                <w:rFonts w:cs="Arial"/>
                <w:szCs w:val="24"/>
              </w:rPr>
              <w:t>)</w:t>
            </w:r>
          </w:p>
        </w:tc>
        <w:tc>
          <w:tcPr>
            <w:tcW w:w="2757" w:type="dxa"/>
            <w:vAlign w:val="center"/>
          </w:tcPr>
          <w:p w14:paraId="7949BC7A" w14:textId="77777777" w:rsidR="00472858" w:rsidRPr="00BC6461" w:rsidRDefault="00472858" w:rsidP="00472858">
            <w:pPr>
              <w:spacing w:before="60" w:after="60" w:line="276" w:lineRule="auto"/>
              <w:rPr>
                <w:rFonts w:cs="Arial"/>
                <w:szCs w:val="24"/>
              </w:rPr>
            </w:pPr>
            <w:r w:rsidRPr="00BC6461">
              <w:rPr>
                <w:rFonts w:cs="Arial"/>
                <w:szCs w:val="24"/>
              </w:rPr>
              <w:t>Commissioning</w:t>
            </w:r>
          </w:p>
        </w:tc>
      </w:tr>
    </w:tbl>
    <w:p w14:paraId="06B3E351" w14:textId="77777777" w:rsidR="00472858" w:rsidRPr="00654FE5" w:rsidRDefault="00472858" w:rsidP="00472858">
      <w:pPr>
        <w:spacing w:before="60" w:after="60"/>
        <w:rPr>
          <w:rFonts w:cs="Arial"/>
          <w:b/>
        </w:rPr>
      </w:pPr>
    </w:p>
    <w:bookmarkStart w:id="1055" w:name="_Toc493938108"/>
    <w:bookmarkEnd w:id="1055"/>
    <w:p w14:paraId="3E244330" w14:textId="77777777" w:rsidR="00472858" w:rsidRPr="005E4DE2" w:rsidRDefault="00472858" w:rsidP="00472858">
      <w:pPr>
        <w:spacing w:before="60" w:after="60"/>
        <w:jc w:val="right"/>
        <w:rPr>
          <w:rFonts w:cs="Arial"/>
          <w:sz w:val="16"/>
          <w:szCs w:val="16"/>
        </w:rPr>
      </w:pPr>
      <w:r w:rsidRPr="005E4DE2">
        <w:rPr>
          <w:rFonts w:cs="Arial"/>
          <w:sz w:val="16"/>
          <w:szCs w:val="16"/>
        </w:rPr>
        <w:fldChar w:fldCharType="begin"/>
      </w:r>
      <w:r w:rsidRPr="005E4DE2">
        <w:rPr>
          <w:rFonts w:cs="Arial"/>
          <w:sz w:val="16"/>
          <w:szCs w:val="16"/>
        </w:rPr>
        <w:instrText xml:space="preserve"> HYPERLINK  \l "_top" </w:instrText>
      </w:r>
      <w:r w:rsidRPr="005E4DE2">
        <w:rPr>
          <w:rFonts w:cs="Arial"/>
          <w:sz w:val="16"/>
          <w:szCs w:val="16"/>
        </w:rPr>
        <w:fldChar w:fldCharType="separate"/>
      </w:r>
      <w:r w:rsidRPr="005E4DE2">
        <w:rPr>
          <w:rStyle w:val="Hyperlink"/>
          <w:rFonts w:cs="Arial"/>
          <w:sz w:val="16"/>
          <w:szCs w:val="16"/>
        </w:rPr>
        <w:t>(return to contents page)</w:t>
      </w:r>
      <w:r w:rsidRPr="005E4DE2">
        <w:rPr>
          <w:rFonts w:cs="Arial"/>
          <w:sz w:val="16"/>
          <w:szCs w:val="16"/>
        </w:rPr>
        <w:fldChar w:fldCharType="end"/>
      </w:r>
    </w:p>
    <w:p w14:paraId="10325B16" w14:textId="77777777" w:rsidR="00472858" w:rsidRDefault="00472858" w:rsidP="00472858">
      <w:pPr>
        <w:spacing w:before="60" w:after="60"/>
        <w:rPr>
          <w:rFonts w:cs="Arial"/>
          <w:bCs w:val="0"/>
          <w:color w:val="0072C6"/>
          <w:kern w:val="32"/>
          <w:sz w:val="32"/>
          <w:szCs w:val="32"/>
        </w:rPr>
      </w:pPr>
      <w:r>
        <w:rPr>
          <w:b/>
        </w:rPr>
        <w:br w:type="page"/>
      </w:r>
    </w:p>
    <w:p w14:paraId="76DD1BE1" w14:textId="77777777" w:rsidR="00472858" w:rsidRPr="00404E8C" w:rsidRDefault="00472858" w:rsidP="00472858">
      <w:pPr>
        <w:pStyle w:val="Heading2"/>
      </w:pPr>
      <w:bookmarkStart w:id="1056" w:name="_Toc493938204"/>
      <w:bookmarkStart w:id="1057" w:name="_Toc493938267"/>
      <w:bookmarkStart w:id="1058" w:name="_Toc493938688"/>
      <w:bookmarkStart w:id="1059" w:name="_Toc493938781"/>
      <w:bookmarkStart w:id="1060" w:name="_Toc493939130"/>
      <w:bookmarkStart w:id="1061" w:name="_Toc493938689"/>
      <w:bookmarkStart w:id="1062" w:name="_Toc493938782"/>
      <w:bookmarkStart w:id="1063" w:name="_Toc493939131"/>
      <w:bookmarkStart w:id="1064" w:name="_Toc498495423"/>
      <w:bookmarkEnd w:id="1056"/>
      <w:bookmarkEnd w:id="1057"/>
      <w:bookmarkEnd w:id="1058"/>
      <w:bookmarkEnd w:id="1059"/>
      <w:bookmarkEnd w:id="1060"/>
      <w:r w:rsidRPr="00404E8C">
        <w:t>Process for CCG and NHS England Proposed Financial Assistance Programmes</w:t>
      </w:r>
      <w:bookmarkEnd w:id="1061"/>
      <w:bookmarkEnd w:id="1062"/>
      <w:bookmarkEnd w:id="1063"/>
      <w:bookmarkEnd w:id="1064"/>
    </w:p>
    <w:p w14:paraId="1B836C1E" w14:textId="77777777" w:rsidR="00472858" w:rsidRPr="005E4DE2" w:rsidRDefault="000E7846" w:rsidP="00472858">
      <w:pPr>
        <w:spacing w:before="60" w:after="60"/>
        <w:jc w:val="right"/>
        <w:rPr>
          <w:rFonts w:cs="Arial"/>
          <w:sz w:val="16"/>
          <w:szCs w:val="16"/>
        </w:rPr>
      </w:pPr>
      <w:hyperlink w:anchor="_top" w:history="1">
        <w:r w:rsidR="00472858" w:rsidRPr="005E4DE2">
          <w:rPr>
            <w:rStyle w:val="Hyperlink"/>
            <w:rFonts w:cs="Arial"/>
            <w:sz w:val="16"/>
            <w:szCs w:val="16"/>
          </w:rPr>
          <w:t>(return to contents page)</w:t>
        </w:r>
      </w:hyperlink>
    </w:p>
    <w:p w14:paraId="1BD78B99" w14:textId="77777777" w:rsidR="00472858" w:rsidRPr="005215BD" w:rsidRDefault="00472858" w:rsidP="00472858">
      <w:pPr>
        <w:pStyle w:val="Heading3"/>
      </w:pPr>
      <w:r w:rsidRPr="005215BD">
        <w:t>Business case for the proposed financial assistance must be completed setting out the financial assistance.  This must set out:</w:t>
      </w:r>
    </w:p>
    <w:p w14:paraId="3713381C" w14:textId="77777777" w:rsidR="00472858" w:rsidRPr="00BC6461" w:rsidRDefault="00472858" w:rsidP="00472858">
      <w:pPr>
        <w:pStyle w:val="ListParagraph"/>
        <w:spacing w:before="60" w:after="60"/>
        <w:rPr>
          <w:rStyle w:val="Heading2Char"/>
          <w:rFonts w:eastAsiaTheme="minorHAnsi" w:cs="Arial"/>
          <w:szCs w:val="24"/>
        </w:rPr>
      </w:pPr>
    </w:p>
    <w:p w14:paraId="775C679B" w14:textId="77777777" w:rsidR="00472858" w:rsidRPr="005215BD" w:rsidRDefault="00472858" w:rsidP="005A7DDA">
      <w:pPr>
        <w:pStyle w:val="ListParagraph"/>
        <w:numPr>
          <w:ilvl w:val="0"/>
          <w:numId w:val="113"/>
        </w:numPr>
        <w:spacing w:before="60" w:after="60" w:line="276" w:lineRule="auto"/>
        <w:rPr>
          <w:rFonts w:cs="Arial"/>
          <w:szCs w:val="24"/>
        </w:rPr>
      </w:pPr>
      <w:r w:rsidRPr="005215BD">
        <w:rPr>
          <w:rFonts w:cs="Arial"/>
          <w:szCs w:val="24"/>
        </w:rPr>
        <w:t xml:space="preserve">The level of financial assistance </w:t>
      </w:r>
    </w:p>
    <w:p w14:paraId="2EFF928E" w14:textId="77777777" w:rsidR="00472858" w:rsidRPr="005215BD" w:rsidRDefault="00472858" w:rsidP="005A7DDA">
      <w:pPr>
        <w:pStyle w:val="ListParagraph"/>
        <w:numPr>
          <w:ilvl w:val="0"/>
          <w:numId w:val="113"/>
        </w:numPr>
        <w:spacing w:before="60" w:after="60" w:line="276" w:lineRule="auto"/>
        <w:rPr>
          <w:rFonts w:cs="Arial"/>
          <w:szCs w:val="24"/>
        </w:rPr>
      </w:pPr>
      <w:r w:rsidRPr="005215BD">
        <w:rPr>
          <w:rFonts w:cs="Arial"/>
          <w:szCs w:val="24"/>
        </w:rPr>
        <w:t>How the financial assistance will be divided</w:t>
      </w:r>
    </w:p>
    <w:p w14:paraId="1DA624FC" w14:textId="77777777" w:rsidR="00472858" w:rsidRPr="005215BD" w:rsidRDefault="00472858" w:rsidP="005A7DDA">
      <w:pPr>
        <w:pStyle w:val="ListParagraph"/>
        <w:numPr>
          <w:ilvl w:val="0"/>
          <w:numId w:val="113"/>
        </w:numPr>
        <w:spacing w:before="60" w:after="60" w:line="276" w:lineRule="auto"/>
        <w:rPr>
          <w:rFonts w:cs="Arial"/>
          <w:szCs w:val="24"/>
        </w:rPr>
      </w:pPr>
      <w:r w:rsidRPr="005215BD">
        <w:rPr>
          <w:rFonts w:cs="Arial"/>
          <w:szCs w:val="24"/>
        </w:rPr>
        <w:t>How the financial assistance will be paid out – directly or allocation to CCG</w:t>
      </w:r>
    </w:p>
    <w:p w14:paraId="09E59165" w14:textId="77777777" w:rsidR="00472858" w:rsidRPr="005215BD" w:rsidRDefault="00472858" w:rsidP="005A7DDA">
      <w:pPr>
        <w:pStyle w:val="ListParagraph"/>
        <w:numPr>
          <w:ilvl w:val="0"/>
          <w:numId w:val="113"/>
        </w:numPr>
        <w:spacing w:before="60" w:after="60" w:line="276" w:lineRule="auto"/>
        <w:rPr>
          <w:rFonts w:cs="Arial"/>
          <w:szCs w:val="24"/>
        </w:rPr>
      </w:pPr>
      <w:r w:rsidRPr="005215BD">
        <w:rPr>
          <w:rFonts w:cs="Arial"/>
          <w:szCs w:val="24"/>
        </w:rPr>
        <w:t>Justification as to why the financial assistance is value for money</w:t>
      </w:r>
    </w:p>
    <w:p w14:paraId="47078BDC" w14:textId="77777777" w:rsidR="00472858" w:rsidRPr="00BC6461" w:rsidRDefault="00472858" w:rsidP="005A7DDA">
      <w:pPr>
        <w:pStyle w:val="ListParagraph"/>
        <w:numPr>
          <w:ilvl w:val="0"/>
          <w:numId w:val="86"/>
        </w:numPr>
        <w:spacing w:before="60" w:after="60" w:line="276" w:lineRule="auto"/>
        <w:rPr>
          <w:rFonts w:cs="Arial"/>
          <w:szCs w:val="24"/>
        </w:rPr>
      </w:pPr>
    </w:p>
    <w:p w14:paraId="078D4B4B" w14:textId="77777777" w:rsidR="00472858" w:rsidRPr="00BC6461" w:rsidRDefault="00472858" w:rsidP="00472858">
      <w:pPr>
        <w:pStyle w:val="Heading3"/>
      </w:pPr>
      <w:r w:rsidRPr="005215BD">
        <w:rPr>
          <w:highlight w:val="cyan"/>
        </w:rPr>
        <w:t>[Where it is above [£X]]</w:t>
      </w:r>
      <w:r w:rsidRPr="00BC6461">
        <w:t xml:space="preserve"> the business case must be endorsed by:</w:t>
      </w:r>
    </w:p>
    <w:p w14:paraId="528E43F4" w14:textId="77777777" w:rsidR="00472858" w:rsidRPr="00BC6461" w:rsidRDefault="00472858" w:rsidP="005A7DDA">
      <w:pPr>
        <w:pStyle w:val="Heading4"/>
        <w:numPr>
          <w:ilvl w:val="0"/>
          <w:numId w:val="114"/>
        </w:numPr>
      </w:pPr>
      <w:r w:rsidRPr="00BC6461">
        <w:t>The Management accounts team for availability of budget</w:t>
      </w:r>
    </w:p>
    <w:p w14:paraId="36D1BAF6" w14:textId="77777777" w:rsidR="00472858" w:rsidRPr="00BC6461" w:rsidRDefault="00472858" w:rsidP="005A7DDA">
      <w:pPr>
        <w:pStyle w:val="Heading4"/>
        <w:numPr>
          <w:ilvl w:val="0"/>
          <w:numId w:val="114"/>
        </w:numPr>
      </w:pPr>
      <w:r w:rsidRPr="00BC6461">
        <w:t xml:space="preserve">Budget holders for confirmation of use of this financial assistance, and </w:t>
      </w:r>
    </w:p>
    <w:p w14:paraId="26FE489C" w14:textId="77777777" w:rsidR="00472858" w:rsidRDefault="00472858" w:rsidP="005A7DDA">
      <w:pPr>
        <w:pStyle w:val="Heading4"/>
        <w:numPr>
          <w:ilvl w:val="0"/>
          <w:numId w:val="114"/>
        </w:numPr>
      </w:pPr>
      <w:r w:rsidRPr="00BC6461">
        <w:t>Legal team to confirm correct use of Financial Assistance power.</w:t>
      </w:r>
    </w:p>
    <w:p w14:paraId="043448F7" w14:textId="77777777" w:rsidR="00472858" w:rsidRPr="00BC6461" w:rsidRDefault="00472858" w:rsidP="00472858">
      <w:pPr>
        <w:pStyle w:val="ListParagraph"/>
        <w:spacing w:before="60" w:after="60"/>
        <w:ind w:left="1440"/>
        <w:rPr>
          <w:rFonts w:cs="Arial"/>
          <w:szCs w:val="24"/>
        </w:rPr>
      </w:pPr>
    </w:p>
    <w:p w14:paraId="64DFD95C" w14:textId="77777777" w:rsidR="00472858" w:rsidRPr="00FA603E" w:rsidRDefault="000E7846" w:rsidP="00472858">
      <w:pPr>
        <w:spacing w:before="60" w:after="60"/>
        <w:ind w:left="720"/>
        <w:jc w:val="right"/>
        <w:rPr>
          <w:rFonts w:cs="Arial"/>
          <w:sz w:val="16"/>
          <w:szCs w:val="16"/>
        </w:rPr>
      </w:pPr>
      <w:hyperlink w:anchor="_top" w:history="1">
        <w:r w:rsidR="00472858" w:rsidRPr="00FA603E">
          <w:rPr>
            <w:rStyle w:val="Hyperlink"/>
            <w:rFonts w:cs="Arial"/>
            <w:sz w:val="16"/>
            <w:szCs w:val="16"/>
          </w:rPr>
          <w:t>(return to contents page)</w:t>
        </w:r>
      </w:hyperlink>
    </w:p>
    <w:p w14:paraId="7AA29003" w14:textId="77777777" w:rsidR="00472858" w:rsidRPr="00BC6461" w:rsidRDefault="00472858" w:rsidP="00472858">
      <w:pPr>
        <w:spacing w:before="60" w:after="60"/>
        <w:rPr>
          <w:rFonts w:cs="Arial"/>
          <w:b/>
          <w:szCs w:val="24"/>
        </w:rPr>
      </w:pPr>
      <w:r w:rsidRPr="00BC6461">
        <w:rPr>
          <w:rFonts w:cs="Arial"/>
          <w:b/>
          <w:szCs w:val="24"/>
        </w:rPr>
        <w:br w:type="page"/>
      </w:r>
    </w:p>
    <w:p w14:paraId="497BAB04" w14:textId="77777777" w:rsidR="00472858" w:rsidRPr="00404E8C" w:rsidRDefault="00472858" w:rsidP="00472858">
      <w:pPr>
        <w:pStyle w:val="Heading2"/>
      </w:pPr>
      <w:bookmarkStart w:id="1065" w:name="_Authorisations_and_Sign"/>
      <w:bookmarkStart w:id="1066" w:name="_Toc493938690"/>
      <w:bookmarkStart w:id="1067" w:name="_Toc493938783"/>
      <w:bookmarkStart w:id="1068" w:name="_Toc493939132"/>
      <w:bookmarkStart w:id="1069" w:name="_Toc498495424"/>
      <w:bookmarkEnd w:id="1065"/>
      <w:r w:rsidRPr="00404E8C">
        <w:t>Authorisations and Sign Off</w:t>
      </w:r>
      <w:bookmarkEnd w:id="1066"/>
      <w:bookmarkEnd w:id="1067"/>
      <w:bookmarkEnd w:id="1068"/>
      <w:bookmarkEnd w:id="1069"/>
    </w:p>
    <w:p w14:paraId="285C8FE5" w14:textId="77777777" w:rsidR="00472858" w:rsidRPr="005E4DE2" w:rsidRDefault="000E7846" w:rsidP="00472858">
      <w:pPr>
        <w:spacing w:before="60" w:after="60"/>
        <w:jc w:val="right"/>
        <w:rPr>
          <w:rFonts w:cs="Arial"/>
          <w:sz w:val="16"/>
          <w:szCs w:val="16"/>
        </w:rPr>
      </w:pPr>
      <w:hyperlink w:anchor="_top" w:history="1">
        <w:r w:rsidR="00472858" w:rsidRPr="005E4DE2">
          <w:rPr>
            <w:rStyle w:val="Hyperlink"/>
            <w:rFonts w:cs="Arial"/>
            <w:sz w:val="16"/>
            <w:szCs w:val="16"/>
          </w:rPr>
          <w:t>(return to contents page)</w:t>
        </w:r>
      </w:hyperlink>
    </w:p>
    <w:p w14:paraId="02091D0F" w14:textId="77777777" w:rsidR="00472858" w:rsidRPr="00BC6461" w:rsidRDefault="00472858" w:rsidP="00472858">
      <w:pPr>
        <w:pStyle w:val="Heading3"/>
      </w:pPr>
      <w:r w:rsidRPr="00BC6461">
        <w:t>Once you have decided that the financial assistance is appropriate then before you proceed you will need to obtain the necessary authorisations:</w:t>
      </w:r>
    </w:p>
    <w:p w14:paraId="32AC8C43" w14:textId="77777777" w:rsidR="00472858" w:rsidRPr="00590EB7" w:rsidRDefault="00472858" w:rsidP="00472858">
      <w:pPr>
        <w:pStyle w:val="ListParagraph"/>
        <w:spacing w:before="60" w:after="60"/>
        <w:rPr>
          <w:rFonts w:cs="Arial"/>
        </w:rPr>
      </w:pPr>
    </w:p>
    <w:tbl>
      <w:tblPr>
        <w:tblW w:w="0" w:type="auto"/>
        <w:tblCellMar>
          <w:left w:w="0" w:type="dxa"/>
          <w:right w:w="0" w:type="dxa"/>
        </w:tblCellMar>
        <w:tblLook w:val="04A0" w:firstRow="1" w:lastRow="0" w:firstColumn="1" w:lastColumn="0" w:noHBand="0" w:noVBand="1"/>
      </w:tblPr>
      <w:tblGrid>
        <w:gridCol w:w="5637"/>
        <w:gridCol w:w="3605"/>
      </w:tblGrid>
      <w:tr w:rsidR="00472858" w:rsidRPr="00590EB7" w14:paraId="272293BB" w14:textId="77777777" w:rsidTr="00472858">
        <w:tc>
          <w:tcPr>
            <w:tcW w:w="563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08DA895" w14:textId="77777777" w:rsidR="00472858" w:rsidRPr="00590EB7" w:rsidRDefault="00472858" w:rsidP="005A7DDA">
            <w:pPr>
              <w:pStyle w:val="ListParagraph"/>
              <w:numPr>
                <w:ilvl w:val="0"/>
                <w:numId w:val="87"/>
              </w:numPr>
              <w:spacing w:before="60" w:after="60" w:line="276" w:lineRule="auto"/>
              <w:rPr>
                <w:rFonts w:cstheme="minorHAnsi"/>
                <w:lang w:eastAsia="en-GB"/>
              </w:rPr>
            </w:pPr>
            <w:r w:rsidRPr="00590EB7">
              <w:rPr>
                <w:rFonts w:cstheme="minorHAnsi"/>
                <w:lang w:eastAsia="en-GB"/>
              </w:rPr>
              <w:t>Name and reference code of practice for whom discretionary payment request is being made</w:t>
            </w:r>
          </w:p>
        </w:tc>
        <w:tc>
          <w:tcPr>
            <w:tcW w:w="360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589161F" w14:textId="77777777" w:rsidR="00472858" w:rsidRPr="00590EB7" w:rsidRDefault="00472858" w:rsidP="00472858">
            <w:pPr>
              <w:spacing w:before="60" w:after="60"/>
              <w:rPr>
                <w:rFonts w:cstheme="minorHAnsi"/>
                <w:lang w:eastAsia="en-GB"/>
              </w:rPr>
            </w:pPr>
            <w:r w:rsidRPr="00590EB7">
              <w:rPr>
                <w:rFonts w:cstheme="minorHAnsi"/>
                <w:lang w:eastAsia="en-GB"/>
              </w:rPr>
              <w:t> </w:t>
            </w:r>
          </w:p>
        </w:tc>
      </w:tr>
      <w:tr w:rsidR="00472858" w:rsidRPr="00590EB7" w14:paraId="7D1B830E" w14:textId="77777777" w:rsidTr="00472858">
        <w:tc>
          <w:tcPr>
            <w:tcW w:w="56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8A3922" w14:textId="77777777" w:rsidR="00472858" w:rsidRPr="00590EB7" w:rsidRDefault="00472858" w:rsidP="005A7DDA">
            <w:pPr>
              <w:pStyle w:val="ListParagraph"/>
              <w:numPr>
                <w:ilvl w:val="0"/>
                <w:numId w:val="87"/>
              </w:numPr>
              <w:spacing w:before="60" w:after="60" w:line="276" w:lineRule="auto"/>
              <w:rPr>
                <w:rFonts w:cstheme="minorHAnsi"/>
                <w:lang w:eastAsia="en-GB"/>
              </w:rPr>
            </w:pPr>
            <w:r w:rsidRPr="00590EB7">
              <w:rPr>
                <w:rFonts w:cstheme="minorHAnsi"/>
                <w:lang w:eastAsia="en-GB"/>
              </w:rPr>
              <w:t>Is practice already identified under any national or local programme providing support? If so, please provide the name of that programme.</w:t>
            </w:r>
          </w:p>
          <w:p w14:paraId="75BEC323" w14:textId="77777777" w:rsidR="00472858" w:rsidRPr="00590EB7" w:rsidRDefault="00472858" w:rsidP="00472858">
            <w:pPr>
              <w:spacing w:before="60" w:after="60"/>
              <w:rPr>
                <w:rFonts w:cstheme="minorHAnsi"/>
                <w:lang w:eastAsia="en-GB"/>
              </w:rPr>
            </w:pPr>
          </w:p>
          <w:p w14:paraId="3251043C" w14:textId="77777777" w:rsidR="00472858" w:rsidRPr="00590EB7" w:rsidRDefault="00472858" w:rsidP="00472858">
            <w:pPr>
              <w:pStyle w:val="ListParagraph"/>
              <w:spacing w:before="60" w:after="60"/>
              <w:rPr>
                <w:rFonts w:cstheme="minorHAnsi"/>
                <w:lang w:eastAsia="en-GB"/>
              </w:rPr>
            </w:pPr>
            <w:r w:rsidRPr="00590EB7">
              <w:rPr>
                <w:rFonts w:cstheme="minorHAnsi"/>
                <w:lang w:eastAsia="en-GB"/>
              </w:rPr>
              <w:t>(bullet point summary if practice known to be in difficulty and any support provided previously or current)</w:t>
            </w:r>
          </w:p>
        </w:tc>
        <w:tc>
          <w:tcPr>
            <w:tcW w:w="3605" w:type="dxa"/>
            <w:tcBorders>
              <w:top w:val="nil"/>
              <w:left w:val="nil"/>
              <w:bottom w:val="single" w:sz="8" w:space="0" w:color="auto"/>
              <w:right w:val="single" w:sz="8" w:space="0" w:color="auto"/>
            </w:tcBorders>
            <w:tcMar>
              <w:top w:w="0" w:type="dxa"/>
              <w:left w:w="108" w:type="dxa"/>
              <w:bottom w:w="0" w:type="dxa"/>
              <w:right w:w="108" w:type="dxa"/>
            </w:tcMar>
            <w:hideMark/>
          </w:tcPr>
          <w:p w14:paraId="691C48A3" w14:textId="77777777" w:rsidR="00472858" w:rsidRPr="00590EB7" w:rsidRDefault="00472858" w:rsidP="00472858">
            <w:pPr>
              <w:spacing w:before="60" w:after="60"/>
              <w:rPr>
                <w:rFonts w:cstheme="minorHAnsi"/>
                <w:lang w:eastAsia="en-GB"/>
              </w:rPr>
            </w:pPr>
            <w:r w:rsidRPr="00590EB7">
              <w:rPr>
                <w:rFonts w:cstheme="minorHAnsi"/>
                <w:lang w:eastAsia="en-GB"/>
              </w:rPr>
              <w:t> </w:t>
            </w:r>
          </w:p>
        </w:tc>
      </w:tr>
      <w:tr w:rsidR="00472858" w:rsidRPr="00590EB7" w14:paraId="64C82530" w14:textId="77777777" w:rsidTr="00472858">
        <w:tc>
          <w:tcPr>
            <w:tcW w:w="56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37FBB3B" w14:textId="77777777" w:rsidR="00472858" w:rsidRPr="00590EB7" w:rsidRDefault="00472858" w:rsidP="005A7DDA">
            <w:pPr>
              <w:pStyle w:val="ListParagraph"/>
              <w:numPr>
                <w:ilvl w:val="0"/>
                <w:numId w:val="87"/>
              </w:numPr>
              <w:spacing w:before="60" w:after="60" w:line="276" w:lineRule="auto"/>
              <w:rPr>
                <w:rFonts w:cstheme="minorHAnsi"/>
                <w:lang w:eastAsia="en-GB"/>
              </w:rPr>
            </w:pPr>
            <w:r w:rsidRPr="00590EB7">
              <w:rPr>
                <w:rFonts w:cstheme="minorHAnsi"/>
                <w:lang w:eastAsia="en-GB"/>
              </w:rPr>
              <w:t xml:space="preserve">What has precipitated the request for urgent discretionary funding? </w:t>
            </w:r>
          </w:p>
          <w:p w14:paraId="763E85BF" w14:textId="77777777" w:rsidR="00472858" w:rsidRPr="00590EB7" w:rsidRDefault="00472858" w:rsidP="00472858">
            <w:pPr>
              <w:pStyle w:val="ListParagraph"/>
              <w:spacing w:before="60" w:after="60"/>
              <w:rPr>
                <w:rFonts w:cstheme="minorHAnsi"/>
                <w:lang w:eastAsia="en-GB"/>
              </w:rPr>
            </w:pPr>
          </w:p>
          <w:p w14:paraId="579DDCE2" w14:textId="77777777" w:rsidR="00472858" w:rsidRPr="00590EB7" w:rsidRDefault="00472858" w:rsidP="00472858">
            <w:pPr>
              <w:pStyle w:val="ListParagraph"/>
              <w:spacing w:before="60" w:after="60"/>
              <w:rPr>
                <w:rFonts w:cstheme="minorHAnsi"/>
                <w:lang w:eastAsia="en-GB"/>
              </w:rPr>
            </w:pPr>
            <w:r w:rsidRPr="00590EB7">
              <w:rPr>
                <w:rFonts w:cstheme="minorHAnsi"/>
                <w:lang w:eastAsia="en-GB"/>
              </w:rPr>
              <w:t>(bullet point summary of issues to be provided)</w:t>
            </w:r>
          </w:p>
        </w:tc>
        <w:tc>
          <w:tcPr>
            <w:tcW w:w="3605" w:type="dxa"/>
            <w:tcBorders>
              <w:top w:val="nil"/>
              <w:left w:val="nil"/>
              <w:bottom w:val="single" w:sz="8" w:space="0" w:color="auto"/>
              <w:right w:val="single" w:sz="8" w:space="0" w:color="auto"/>
            </w:tcBorders>
            <w:tcMar>
              <w:top w:w="0" w:type="dxa"/>
              <w:left w:w="108" w:type="dxa"/>
              <w:bottom w:w="0" w:type="dxa"/>
              <w:right w:w="108" w:type="dxa"/>
            </w:tcMar>
            <w:hideMark/>
          </w:tcPr>
          <w:p w14:paraId="5E2FA48A" w14:textId="77777777" w:rsidR="00472858" w:rsidRPr="00590EB7" w:rsidRDefault="00472858" w:rsidP="00472858">
            <w:pPr>
              <w:spacing w:before="60" w:after="60"/>
              <w:rPr>
                <w:rFonts w:cstheme="minorHAnsi"/>
                <w:lang w:eastAsia="en-GB"/>
              </w:rPr>
            </w:pPr>
            <w:r w:rsidRPr="00590EB7">
              <w:rPr>
                <w:rFonts w:cstheme="minorHAnsi"/>
                <w:lang w:eastAsia="en-GB"/>
              </w:rPr>
              <w:t> </w:t>
            </w:r>
          </w:p>
        </w:tc>
      </w:tr>
      <w:tr w:rsidR="00472858" w:rsidRPr="00590EB7" w14:paraId="6DDBCE71" w14:textId="77777777" w:rsidTr="00472858">
        <w:tc>
          <w:tcPr>
            <w:tcW w:w="56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D478138" w14:textId="77777777" w:rsidR="00472858" w:rsidRPr="00590EB7" w:rsidRDefault="00472858" w:rsidP="005A7DDA">
            <w:pPr>
              <w:pStyle w:val="ListParagraph"/>
              <w:numPr>
                <w:ilvl w:val="0"/>
                <w:numId w:val="87"/>
              </w:numPr>
              <w:spacing w:before="60" w:after="60" w:line="276" w:lineRule="auto"/>
              <w:rPr>
                <w:rFonts w:cstheme="minorHAnsi"/>
                <w:lang w:eastAsia="en-GB"/>
              </w:rPr>
            </w:pPr>
            <w:r w:rsidRPr="00590EB7">
              <w:rPr>
                <w:rFonts w:cstheme="minorHAnsi"/>
                <w:lang w:eastAsia="en-GB"/>
              </w:rPr>
              <w:t xml:space="preserve">What practical and financial support has the </w:t>
            </w:r>
            <w:r w:rsidRPr="00590EB7">
              <w:rPr>
                <w:rFonts w:cstheme="minorHAnsi"/>
                <w:u w:val="single"/>
                <w:lang w:eastAsia="en-GB"/>
              </w:rPr>
              <w:t>practice</w:t>
            </w:r>
            <w:r w:rsidRPr="00590EB7">
              <w:rPr>
                <w:rFonts w:cstheme="minorHAnsi"/>
                <w:lang w:eastAsia="en-GB"/>
              </w:rPr>
              <w:t xml:space="preserve"> already invested to resolve these issues?</w:t>
            </w:r>
          </w:p>
          <w:p w14:paraId="6B3538ED" w14:textId="77777777" w:rsidR="00472858" w:rsidRPr="00590EB7" w:rsidRDefault="00472858" w:rsidP="00472858">
            <w:pPr>
              <w:pStyle w:val="ListParagraph"/>
              <w:spacing w:before="60" w:after="60"/>
              <w:rPr>
                <w:rFonts w:cstheme="minorHAnsi"/>
                <w:lang w:eastAsia="en-GB"/>
              </w:rPr>
            </w:pPr>
            <w:r w:rsidRPr="00590EB7">
              <w:rPr>
                <w:rFonts w:cstheme="minorHAnsi"/>
                <w:lang w:eastAsia="en-GB"/>
              </w:rPr>
              <w:t>(bullet point summary of support invested in)</w:t>
            </w:r>
          </w:p>
        </w:tc>
        <w:tc>
          <w:tcPr>
            <w:tcW w:w="3605" w:type="dxa"/>
            <w:tcBorders>
              <w:top w:val="nil"/>
              <w:left w:val="nil"/>
              <w:bottom w:val="single" w:sz="8" w:space="0" w:color="auto"/>
              <w:right w:val="single" w:sz="8" w:space="0" w:color="auto"/>
            </w:tcBorders>
            <w:tcMar>
              <w:top w:w="0" w:type="dxa"/>
              <w:left w:w="108" w:type="dxa"/>
              <w:bottom w:w="0" w:type="dxa"/>
              <w:right w:w="108" w:type="dxa"/>
            </w:tcMar>
            <w:hideMark/>
          </w:tcPr>
          <w:p w14:paraId="73D5D867" w14:textId="77777777" w:rsidR="00472858" w:rsidRPr="00590EB7" w:rsidRDefault="00472858" w:rsidP="00472858">
            <w:pPr>
              <w:spacing w:before="60" w:after="60"/>
              <w:rPr>
                <w:rFonts w:cstheme="minorHAnsi"/>
                <w:lang w:eastAsia="en-GB"/>
              </w:rPr>
            </w:pPr>
            <w:r w:rsidRPr="00590EB7">
              <w:rPr>
                <w:rFonts w:cstheme="minorHAnsi"/>
                <w:lang w:eastAsia="en-GB"/>
              </w:rPr>
              <w:t> </w:t>
            </w:r>
          </w:p>
        </w:tc>
      </w:tr>
      <w:tr w:rsidR="00472858" w:rsidRPr="00590EB7" w14:paraId="3E99FF56" w14:textId="77777777" w:rsidTr="00472858">
        <w:tc>
          <w:tcPr>
            <w:tcW w:w="56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48BBBF7" w14:textId="77777777" w:rsidR="00472858" w:rsidRPr="00590EB7" w:rsidRDefault="00472858" w:rsidP="005A7DDA">
            <w:pPr>
              <w:pStyle w:val="ListParagraph"/>
              <w:numPr>
                <w:ilvl w:val="0"/>
                <w:numId w:val="87"/>
              </w:numPr>
              <w:spacing w:before="60" w:after="60" w:line="276" w:lineRule="auto"/>
              <w:rPr>
                <w:rFonts w:cstheme="minorHAnsi"/>
                <w:lang w:eastAsia="en-GB"/>
              </w:rPr>
            </w:pPr>
            <w:r w:rsidRPr="00590EB7">
              <w:rPr>
                <w:rFonts w:cstheme="minorHAnsi"/>
                <w:lang w:eastAsia="en-GB"/>
              </w:rPr>
              <w:t>What help and support is being requested – bullet point descriptions and cost of each form of support</w:t>
            </w:r>
          </w:p>
        </w:tc>
        <w:tc>
          <w:tcPr>
            <w:tcW w:w="3605" w:type="dxa"/>
            <w:tcBorders>
              <w:top w:val="nil"/>
              <w:left w:val="nil"/>
              <w:bottom w:val="single" w:sz="8" w:space="0" w:color="auto"/>
              <w:right w:val="single" w:sz="8" w:space="0" w:color="auto"/>
            </w:tcBorders>
            <w:tcMar>
              <w:top w:w="0" w:type="dxa"/>
              <w:left w:w="108" w:type="dxa"/>
              <w:bottom w:w="0" w:type="dxa"/>
              <w:right w:w="108" w:type="dxa"/>
            </w:tcMar>
            <w:hideMark/>
          </w:tcPr>
          <w:p w14:paraId="1FB6B066" w14:textId="77777777" w:rsidR="00472858" w:rsidRPr="00590EB7" w:rsidRDefault="00472858" w:rsidP="00472858">
            <w:pPr>
              <w:spacing w:before="60" w:after="60"/>
              <w:rPr>
                <w:rFonts w:cstheme="minorHAnsi"/>
                <w:lang w:eastAsia="en-GB"/>
              </w:rPr>
            </w:pPr>
            <w:r w:rsidRPr="00590EB7">
              <w:rPr>
                <w:rFonts w:cstheme="minorHAnsi"/>
                <w:lang w:eastAsia="en-GB"/>
              </w:rPr>
              <w:t> </w:t>
            </w:r>
          </w:p>
        </w:tc>
      </w:tr>
      <w:tr w:rsidR="00472858" w:rsidRPr="00590EB7" w14:paraId="5FE3BD26" w14:textId="77777777" w:rsidTr="00472858">
        <w:tc>
          <w:tcPr>
            <w:tcW w:w="56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4E56E9E" w14:textId="77777777" w:rsidR="00472858" w:rsidRPr="00590EB7" w:rsidRDefault="00472858" w:rsidP="005A7DDA">
            <w:pPr>
              <w:pStyle w:val="ListParagraph"/>
              <w:numPr>
                <w:ilvl w:val="0"/>
                <w:numId w:val="87"/>
              </w:numPr>
              <w:spacing w:before="60" w:after="60" w:line="276" w:lineRule="auto"/>
              <w:rPr>
                <w:rFonts w:cstheme="minorHAnsi"/>
                <w:lang w:eastAsia="en-GB"/>
              </w:rPr>
            </w:pPr>
            <w:r w:rsidRPr="00590EB7">
              <w:rPr>
                <w:rFonts w:cstheme="minorHAnsi"/>
                <w:lang w:eastAsia="en-GB"/>
              </w:rPr>
              <w:t>How long is the urgent support anticipated to be needed (either to achieve a resolution or to prepare a business case for longer term support) – maximum  £200,000 or 3 months funding can be considered.</w:t>
            </w:r>
          </w:p>
        </w:tc>
        <w:tc>
          <w:tcPr>
            <w:tcW w:w="3605" w:type="dxa"/>
            <w:tcBorders>
              <w:top w:val="nil"/>
              <w:left w:val="nil"/>
              <w:bottom w:val="single" w:sz="8" w:space="0" w:color="auto"/>
              <w:right w:val="single" w:sz="8" w:space="0" w:color="auto"/>
            </w:tcBorders>
            <w:tcMar>
              <w:top w:w="0" w:type="dxa"/>
              <w:left w:w="108" w:type="dxa"/>
              <w:bottom w:w="0" w:type="dxa"/>
              <w:right w:w="108" w:type="dxa"/>
            </w:tcMar>
            <w:hideMark/>
          </w:tcPr>
          <w:p w14:paraId="60D17E36" w14:textId="77777777" w:rsidR="00472858" w:rsidRPr="00590EB7" w:rsidRDefault="00472858" w:rsidP="00472858">
            <w:pPr>
              <w:spacing w:before="60" w:after="60"/>
              <w:rPr>
                <w:rFonts w:cstheme="minorHAnsi"/>
                <w:lang w:eastAsia="en-GB"/>
              </w:rPr>
            </w:pPr>
            <w:r w:rsidRPr="00590EB7">
              <w:rPr>
                <w:rFonts w:cstheme="minorHAnsi"/>
                <w:lang w:eastAsia="en-GB"/>
              </w:rPr>
              <w:t> </w:t>
            </w:r>
          </w:p>
        </w:tc>
      </w:tr>
      <w:tr w:rsidR="00472858" w:rsidRPr="00590EB7" w14:paraId="490A084C" w14:textId="77777777" w:rsidTr="00472858">
        <w:tc>
          <w:tcPr>
            <w:tcW w:w="56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DC4B59" w14:textId="77777777" w:rsidR="00472858" w:rsidRPr="00590EB7" w:rsidRDefault="00472858" w:rsidP="005A7DDA">
            <w:pPr>
              <w:pStyle w:val="ListParagraph"/>
              <w:numPr>
                <w:ilvl w:val="0"/>
                <w:numId w:val="87"/>
              </w:numPr>
              <w:spacing w:before="60" w:after="60" w:line="276" w:lineRule="auto"/>
              <w:rPr>
                <w:rFonts w:cstheme="minorHAnsi"/>
                <w:lang w:eastAsia="en-GB"/>
              </w:rPr>
            </w:pPr>
            <w:r w:rsidRPr="00590EB7">
              <w:rPr>
                <w:rFonts w:cstheme="minorHAnsi"/>
                <w:lang w:eastAsia="en-GB"/>
              </w:rPr>
              <w:t>Confirmation that this request for urgent funding is likely to represent better value for money than contract hand-back/the need for step in arrangements</w:t>
            </w:r>
          </w:p>
        </w:tc>
        <w:tc>
          <w:tcPr>
            <w:tcW w:w="3605" w:type="dxa"/>
            <w:tcBorders>
              <w:top w:val="nil"/>
              <w:left w:val="nil"/>
              <w:bottom w:val="single" w:sz="8" w:space="0" w:color="auto"/>
              <w:right w:val="single" w:sz="8" w:space="0" w:color="auto"/>
            </w:tcBorders>
            <w:tcMar>
              <w:top w:w="0" w:type="dxa"/>
              <w:left w:w="108" w:type="dxa"/>
              <w:bottom w:w="0" w:type="dxa"/>
              <w:right w:w="108" w:type="dxa"/>
            </w:tcMar>
            <w:hideMark/>
          </w:tcPr>
          <w:p w14:paraId="2443686E" w14:textId="77777777" w:rsidR="00472858" w:rsidRPr="00590EB7" w:rsidRDefault="00472858" w:rsidP="00472858">
            <w:pPr>
              <w:spacing w:before="60" w:after="60"/>
              <w:rPr>
                <w:rFonts w:cstheme="minorHAnsi"/>
                <w:lang w:eastAsia="en-GB"/>
              </w:rPr>
            </w:pPr>
            <w:r w:rsidRPr="00590EB7">
              <w:rPr>
                <w:rFonts w:cstheme="minorHAnsi"/>
                <w:lang w:eastAsia="en-GB"/>
              </w:rPr>
              <w:t> </w:t>
            </w:r>
          </w:p>
        </w:tc>
      </w:tr>
      <w:tr w:rsidR="00472858" w:rsidRPr="00590EB7" w14:paraId="24110E6A" w14:textId="77777777" w:rsidTr="00472858">
        <w:tc>
          <w:tcPr>
            <w:tcW w:w="56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0ED1843" w14:textId="77777777" w:rsidR="00472858" w:rsidRPr="00590EB7" w:rsidRDefault="00472858" w:rsidP="005A7DDA">
            <w:pPr>
              <w:pStyle w:val="ListParagraph"/>
              <w:numPr>
                <w:ilvl w:val="0"/>
                <w:numId w:val="87"/>
              </w:numPr>
              <w:spacing w:before="60" w:after="60" w:line="276" w:lineRule="auto"/>
              <w:rPr>
                <w:rFonts w:cstheme="minorHAnsi"/>
                <w:lang w:eastAsia="en-GB"/>
              </w:rPr>
            </w:pPr>
            <w:r w:rsidRPr="00590EB7">
              <w:rPr>
                <w:rFonts w:cstheme="minorHAnsi"/>
                <w:lang w:eastAsia="en-GB"/>
              </w:rPr>
              <w:t>Prepared by:</w:t>
            </w:r>
          </w:p>
        </w:tc>
        <w:tc>
          <w:tcPr>
            <w:tcW w:w="3605" w:type="dxa"/>
            <w:tcBorders>
              <w:top w:val="nil"/>
              <w:left w:val="nil"/>
              <w:bottom w:val="single" w:sz="8" w:space="0" w:color="auto"/>
              <w:right w:val="single" w:sz="8" w:space="0" w:color="auto"/>
            </w:tcBorders>
            <w:tcMar>
              <w:top w:w="0" w:type="dxa"/>
              <w:left w:w="108" w:type="dxa"/>
              <w:bottom w:w="0" w:type="dxa"/>
              <w:right w:w="108" w:type="dxa"/>
            </w:tcMar>
            <w:hideMark/>
          </w:tcPr>
          <w:p w14:paraId="42C89536" w14:textId="77777777" w:rsidR="00472858" w:rsidRPr="00590EB7" w:rsidRDefault="00472858" w:rsidP="00472858">
            <w:pPr>
              <w:spacing w:before="60" w:after="60"/>
              <w:rPr>
                <w:rFonts w:cstheme="minorHAnsi"/>
                <w:lang w:eastAsia="en-GB"/>
              </w:rPr>
            </w:pPr>
            <w:r w:rsidRPr="00590EB7">
              <w:rPr>
                <w:rFonts w:cstheme="minorHAnsi"/>
                <w:lang w:eastAsia="en-GB"/>
              </w:rPr>
              <w:t> </w:t>
            </w:r>
          </w:p>
        </w:tc>
      </w:tr>
      <w:tr w:rsidR="00472858" w:rsidRPr="00590EB7" w14:paraId="363A5228" w14:textId="77777777" w:rsidTr="00472858">
        <w:tc>
          <w:tcPr>
            <w:tcW w:w="56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62AB29" w14:textId="77777777" w:rsidR="00472858" w:rsidRPr="00590EB7" w:rsidRDefault="00472858" w:rsidP="005A7DDA">
            <w:pPr>
              <w:pStyle w:val="ListParagraph"/>
              <w:numPr>
                <w:ilvl w:val="0"/>
                <w:numId w:val="87"/>
              </w:numPr>
              <w:spacing w:before="60" w:after="60" w:line="276" w:lineRule="auto"/>
              <w:rPr>
                <w:rFonts w:cstheme="minorHAnsi"/>
                <w:lang w:eastAsia="en-GB"/>
              </w:rPr>
            </w:pPr>
            <w:r w:rsidRPr="00590EB7">
              <w:rPr>
                <w:rFonts w:cstheme="minorHAnsi"/>
                <w:lang w:eastAsia="en-GB"/>
              </w:rPr>
              <w:t>Authorised for payment by:</w:t>
            </w:r>
          </w:p>
          <w:p w14:paraId="0D4D15A5" w14:textId="77777777" w:rsidR="00472858" w:rsidRPr="00590EB7" w:rsidRDefault="00472858" w:rsidP="00472858">
            <w:pPr>
              <w:pStyle w:val="ListParagraph"/>
              <w:spacing w:before="60" w:after="60"/>
              <w:rPr>
                <w:rFonts w:cstheme="minorHAnsi"/>
                <w:lang w:eastAsia="en-GB"/>
              </w:rPr>
            </w:pPr>
          </w:p>
          <w:p w14:paraId="614414EF" w14:textId="77777777" w:rsidR="00472858" w:rsidRPr="00590EB7" w:rsidRDefault="00472858" w:rsidP="00472858">
            <w:pPr>
              <w:pStyle w:val="ListParagraph"/>
              <w:spacing w:before="60" w:after="60"/>
              <w:rPr>
                <w:rFonts w:cstheme="minorHAnsi"/>
                <w:lang w:eastAsia="en-GB"/>
              </w:rPr>
            </w:pPr>
            <w:r w:rsidRPr="00590EB7">
              <w:rPr>
                <w:rFonts w:cstheme="minorHAnsi"/>
                <w:lang w:eastAsia="en-GB"/>
              </w:rPr>
              <w:t>Primary Care Lead (Band 9/VSM) &lt;£50,000</w:t>
            </w:r>
          </w:p>
          <w:p w14:paraId="0BE4054C" w14:textId="77777777" w:rsidR="00472858" w:rsidRPr="00590EB7" w:rsidRDefault="00472858" w:rsidP="00472858">
            <w:pPr>
              <w:pStyle w:val="ListParagraph"/>
              <w:spacing w:before="60" w:after="60"/>
              <w:rPr>
                <w:rFonts w:cstheme="minorHAnsi"/>
                <w:lang w:eastAsia="en-GB"/>
              </w:rPr>
            </w:pPr>
          </w:p>
          <w:p w14:paraId="45ABDA60" w14:textId="77777777" w:rsidR="00472858" w:rsidRPr="00590EB7" w:rsidRDefault="00472858" w:rsidP="00472858">
            <w:pPr>
              <w:pStyle w:val="ListParagraph"/>
              <w:spacing w:before="60" w:after="60"/>
              <w:rPr>
                <w:rFonts w:cstheme="minorHAnsi"/>
                <w:lang w:eastAsia="en-GB"/>
              </w:rPr>
            </w:pPr>
            <w:r w:rsidRPr="00590EB7">
              <w:rPr>
                <w:rFonts w:cstheme="minorHAnsi"/>
                <w:lang w:eastAsia="en-GB"/>
              </w:rPr>
              <w:t>Director &lt;£200,000</w:t>
            </w:r>
          </w:p>
        </w:tc>
        <w:tc>
          <w:tcPr>
            <w:tcW w:w="3605" w:type="dxa"/>
            <w:tcBorders>
              <w:top w:val="nil"/>
              <w:left w:val="nil"/>
              <w:bottom w:val="single" w:sz="8" w:space="0" w:color="auto"/>
              <w:right w:val="single" w:sz="8" w:space="0" w:color="auto"/>
            </w:tcBorders>
            <w:tcMar>
              <w:top w:w="0" w:type="dxa"/>
              <w:left w:w="108" w:type="dxa"/>
              <w:bottom w:w="0" w:type="dxa"/>
              <w:right w:w="108" w:type="dxa"/>
            </w:tcMar>
            <w:hideMark/>
          </w:tcPr>
          <w:p w14:paraId="6CE55D54" w14:textId="77777777" w:rsidR="00472858" w:rsidRPr="00590EB7" w:rsidRDefault="00472858" w:rsidP="00472858">
            <w:pPr>
              <w:spacing w:before="60" w:after="60"/>
              <w:rPr>
                <w:rFonts w:cstheme="minorHAnsi"/>
                <w:lang w:eastAsia="en-GB"/>
              </w:rPr>
            </w:pPr>
            <w:r w:rsidRPr="00590EB7">
              <w:rPr>
                <w:rFonts w:cstheme="minorHAnsi"/>
                <w:lang w:eastAsia="en-GB"/>
              </w:rPr>
              <w:t> </w:t>
            </w:r>
          </w:p>
        </w:tc>
      </w:tr>
      <w:tr w:rsidR="00472858" w:rsidRPr="00590EB7" w14:paraId="2FCC257F" w14:textId="77777777" w:rsidTr="00472858">
        <w:tc>
          <w:tcPr>
            <w:tcW w:w="563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66E9EEC" w14:textId="77777777" w:rsidR="00472858" w:rsidRPr="00590EB7" w:rsidRDefault="00472858" w:rsidP="005A7DDA">
            <w:pPr>
              <w:pStyle w:val="ListParagraph"/>
              <w:numPr>
                <w:ilvl w:val="0"/>
                <w:numId w:val="87"/>
              </w:numPr>
              <w:spacing w:before="60" w:after="60" w:line="276" w:lineRule="auto"/>
              <w:rPr>
                <w:rFonts w:cstheme="minorHAnsi"/>
                <w:lang w:eastAsia="en-GB"/>
              </w:rPr>
            </w:pPr>
            <w:r w:rsidRPr="00590EB7">
              <w:rPr>
                <w:rFonts w:cstheme="minorHAnsi"/>
                <w:lang w:eastAsia="en-GB"/>
              </w:rPr>
              <w:t>Reported to /involvement of CCG?</w:t>
            </w:r>
          </w:p>
        </w:tc>
        <w:tc>
          <w:tcPr>
            <w:tcW w:w="3605" w:type="dxa"/>
            <w:tcBorders>
              <w:top w:val="nil"/>
              <w:left w:val="nil"/>
              <w:bottom w:val="single" w:sz="8" w:space="0" w:color="auto"/>
              <w:right w:val="single" w:sz="8" w:space="0" w:color="auto"/>
            </w:tcBorders>
            <w:tcMar>
              <w:top w:w="0" w:type="dxa"/>
              <w:left w:w="108" w:type="dxa"/>
              <w:bottom w:w="0" w:type="dxa"/>
              <w:right w:w="108" w:type="dxa"/>
            </w:tcMar>
            <w:hideMark/>
          </w:tcPr>
          <w:p w14:paraId="0CD3AE23" w14:textId="77777777" w:rsidR="00472858" w:rsidRPr="00590EB7" w:rsidRDefault="00472858" w:rsidP="00472858">
            <w:pPr>
              <w:spacing w:before="60" w:after="60"/>
              <w:rPr>
                <w:rFonts w:cstheme="minorHAnsi"/>
                <w:lang w:eastAsia="en-GB"/>
              </w:rPr>
            </w:pPr>
            <w:r w:rsidRPr="00590EB7">
              <w:rPr>
                <w:rFonts w:cstheme="minorHAnsi"/>
                <w:lang w:eastAsia="en-GB"/>
              </w:rPr>
              <w:t> </w:t>
            </w:r>
          </w:p>
        </w:tc>
      </w:tr>
    </w:tbl>
    <w:p w14:paraId="45C73621" w14:textId="77777777" w:rsidR="00472858" w:rsidRDefault="00472858" w:rsidP="00472858">
      <w:pPr>
        <w:spacing w:before="60" w:after="60"/>
        <w:rPr>
          <w:rFonts w:cs="Arial"/>
        </w:rPr>
      </w:pPr>
    </w:p>
    <w:p w14:paraId="06746449" w14:textId="77777777" w:rsidR="00472858" w:rsidRPr="008F526B" w:rsidRDefault="00472858" w:rsidP="00472858">
      <w:pPr>
        <w:spacing w:before="60" w:after="60"/>
        <w:rPr>
          <w:rFonts w:cs="Arial"/>
        </w:rPr>
      </w:pPr>
    </w:p>
    <w:p w14:paraId="3A380542" w14:textId="77777777" w:rsidR="00472858" w:rsidRPr="00BC6461" w:rsidRDefault="00472858" w:rsidP="00472858">
      <w:pPr>
        <w:pStyle w:val="Heading3"/>
      </w:pPr>
      <w:r w:rsidRPr="00BC6461">
        <w:t>NHS England and CCGs under delegated authority may only enter into contracts within the statutory powers delegated to it by the Secretary of State for Health and must comply with the following:</w:t>
      </w:r>
    </w:p>
    <w:p w14:paraId="122E8C6C" w14:textId="77777777" w:rsidR="00472858" w:rsidRPr="00BC6461" w:rsidRDefault="00472858" w:rsidP="00472858">
      <w:pPr>
        <w:pStyle w:val="ListParagraph"/>
        <w:spacing w:before="60" w:after="60"/>
        <w:rPr>
          <w:rFonts w:cs="Arial"/>
          <w:szCs w:val="24"/>
        </w:rPr>
      </w:pPr>
    </w:p>
    <w:p w14:paraId="1ECDBDBD" w14:textId="77777777" w:rsidR="00472858" w:rsidRPr="00BC6461" w:rsidRDefault="00472858" w:rsidP="005A7DDA">
      <w:pPr>
        <w:pStyle w:val="ListParagraph"/>
        <w:numPr>
          <w:ilvl w:val="0"/>
          <w:numId w:val="88"/>
        </w:numPr>
        <w:spacing w:before="60" w:after="60" w:line="276" w:lineRule="auto"/>
        <w:rPr>
          <w:rFonts w:cs="Arial"/>
          <w:szCs w:val="24"/>
        </w:rPr>
      </w:pPr>
      <w:r w:rsidRPr="00BC6461">
        <w:rPr>
          <w:rFonts w:cs="Arial"/>
          <w:szCs w:val="24"/>
        </w:rPr>
        <w:t>NHS England Scheme of Delegation and Standing Financial Instructions; and</w:t>
      </w:r>
    </w:p>
    <w:p w14:paraId="55F4BF78" w14:textId="77777777" w:rsidR="00472858" w:rsidRPr="00BC6461" w:rsidRDefault="00472858" w:rsidP="005A7DDA">
      <w:pPr>
        <w:pStyle w:val="ListParagraph"/>
        <w:numPr>
          <w:ilvl w:val="0"/>
          <w:numId w:val="88"/>
        </w:numPr>
        <w:spacing w:before="60" w:after="60" w:line="276" w:lineRule="auto"/>
        <w:rPr>
          <w:rFonts w:cs="Arial"/>
          <w:szCs w:val="24"/>
        </w:rPr>
      </w:pPr>
      <w:r w:rsidRPr="00BC6461">
        <w:rPr>
          <w:rFonts w:cs="Arial"/>
          <w:szCs w:val="24"/>
        </w:rPr>
        <w:t>EU Directives and other statutory provisions</w:t>
      </w:r>
    </w:p>
    <w:p w14:paraId="29624732" w14:textId="77777777" w:rsidR="00472858" w:rsidRPr="008F526B" w:rsidRDefault="00472858" w:rsidP="00472858">
      <w:pPr>
        <w:spacing w:before="60" w:after="60"/>
        <w:rPr>
          <w:rFonts w:cs="Arial"/>
        </w:rPr>
      </w:pPr>
    </w:p>
    <w:p w14:paraId="3A521285" w14:textId="77777777" w:rsidR="00472858" w:rsidRPr="00404E8C" w:rsidRDefault="00472858" w:rsidP="00472858">
      <w:pPr>
        <w:pStyle w:val="Heading2"/>
      </w:pPr>
      <w:bookmarkStart w:id="1070" w:name="_Toc493938691"/>
      <w:bookmarkStart w:id="1071" w:name="_Toc493938784"/>
      <w:bookmarkStart w:id="1072" w:name="_Toc493939133"/>
      <w:bookmarkStart w:id="1073" w:name="_Toc498495425"/>
      <w:r w:rsidRPr="00404E8C">
        <w:t>Reporting</w:t>
      </w:r>
      <w:bookmarkEnd w:id="1070"/>
      <w:bookmarkEnd w:id="1071"/>
      <w:bookmarkEnd w:id="1072"/>
      <w:bookmarkEnd w:id="1073"/>
    </w:p>
    <w:p w14:paraId="799D4B7C" w14:textId="77777777" w:rsidR="00472858" w:rsidRPr="005E4DE2" w:rsidRDefault="000E7846" w:rsidP="00472858">
      <w:pPr>
        <w:spacing w:before="60" w:after="60"/>
        <w:jc w:val="right"/>
        <w:rPr>
          <w:rFonts w:cs="Arial"/>
          <w:sz w:val="16"/>
          <w:szCs w:val="16"/>
        </w:rPr>
      </w:pPr>
      <w:hyperlink w:anchor="_top" w:history="1">
        <w:r w:rsidR="00472858" w:rsidRPr="005E4DE2">
          <w:rPr>
            <w:rStyle w:val="Hyperlink"/>
            <w:rFonts w:cs="Arial"/>
            <w:sz w:val="16"/>
            <w:szCs w:val="16"/>
          </w:rPr>
          <w:t>(return to contents page)</w:t>
        </w:r>
      </w:hyperlink>
    </w:p>
    <w:p w14:paraId="2265C5B7" w14:textId="77777777" w:rsidR="00472858" w:rsidRDefault="00472858" w:rsidP="00472858">
      <w:pPr>
        <w:pStyle w:val="Heading3"/>
      </w:pPr>
      <w:bookmarkStart w:id="1074" w:name="_Toc493938692"/>
      <w:bookmarkStart w:id="1075" w:name="_Toc493938785"/>
      <w:bookmarkStart w:id="1076" w:name="_Toc493939134"/>
      <w:r>
        <w:t>The Primary Care Activity Report</w:t>
      </w:r>
      <w:bookmarkEnd w:id="1074"/>
      <w:bookmarkEnd w:id="1075"/>
      <w:bookmarkEnd w:id="1076"/>
    </w:p>
    <w:p w14:paraId="355EC616" w14:textId="77777777" w:rsidR="00472858" w:rsidRPr="00BB662E" w:rsidRDefault="00472858" w:rsidP="00472858">
      <w:pPr>
        <w:spacing w:before="60" w:after="60"/>
      </w:pPr>
    </w:p>
    <w:p w14:paraId="0FE21436" w14:textId="77777777" w:rsidR="00472858" w:rsidRPr="00BC6461" w:rsidRDefault="00472858" w:rsidP="00472858">
      <w:pPr>
        <w:pStyle w:val="Heading3"/>
      </w:pPr>
      <w:r w:rsidRPr="00BC6461">
        <w:t xml:space="preserve">A primary care commissioning activity report (PCAR) was introduced in 2016/17 as a new bi-annual collection to support greater assurance and oversight of NHS England’s primary care commissioning responsibilities. It seeks to replace what have often been variable and ad hoc requests for information with a more systematic approach. </w:t>
      </w:r>
    </w:p>
    <w:p w14:paraId="6F2E0367" w14:textId="77777777" w:rsidR="00472858" w:rsidRPr="00BC6461" w:rsidRDefault="00472858" w:rsidP="00472858">
      <w:pPr>
        <w:pStyle w:val="Heading3"/>
      </w:pPr>
    </w:p>
    <w:p w14:paraId="53457191" w14:textId="77777777" w:rsidR="00472858" w:rsidRPr="00BC6461" w:rsidRDefault="00472858" w:rsidP="00472858">
      <w:pPr>
        <w:pStyle w:val="Heading3"/>
      </w:pPr>
      <w:r w:rsidRPr="00BC6461">
        <w:t>The report is managed through UNIFY2 and focuses on key operational areas for commissioned general practice services.  It collects information on local commissioning activity regardless of the commissioning route (e.g. NHS England or CCGs with delegated authority) including Financial assistance to providers covered under the section of PCAR ‘Equitable funding’‘</w:t>
      </w:r>
    </w:p>
    <w:p w14:paraId="2A2297C7" w14:textId="77777777" w:rsidR="00472858" w:rsidRPr="00117E40" w:rsidRDefault="00472858" w:rsidP="00472858">
      <w:pPr>
        <w:pStyle w:val="ListParagraph"/>
        <w:rPr>
          <w:rFonts w:cs="Arial"/>
        </w:rPr>
      </w:pPr>
    </w:p>
    <w:p w14:paraId="0C256771" w14:textId="77777777" w:rsidR="00472858" w:rsidRDefault="00472858" w:rsidP="00472858">
      <w:pPr>
        <w:pStyle w:val="Heading3"/>
      </w:pPr>
      <w:bookmarkStart w:id="1077" w:name="_Toc493938693"/>
      <w:bookmarkStart w:id="1078" w:name="_Toc493938786"/>
      <w:bookmarkStart w:id="1079" w:name="_Toc493939135"/>
      <w:r w:rsidRPr="00BB662E">
        <w:t>PCAR – Equitable funding</w:t>
      </w:r>
      <w:bookmarkEnd w:id="1077"/>
      <w:bookmarkEnd w:id="1078"/>
      <w:bookmarkEnd w:id="1079"/>
    </w:p>
    <w:p w14:paraId="11FE0BBB" w14:textId="77777777" w:rsidR="00472858" w:rsidRDefault="000E7846" w:rsidP="00472858">
      <w:pPr>
        <w:spacing w:before="60" w:after="60"/>
        <w:jc w:val="right"/>
        <w:rPr>
          <w:rFonts w:cs="Arial"/>
          <w:sz w:val="16"/>
          <w:szCs w:val="16"/>
        </w:rPr>
      </w:pPr>
      <w:hyperlink w:anchor="_top" w:history="1">
        <w:r w:rsidR="00472858" w:rsidRPr="005E4DE2">
          <w:rPr>
            <w:rStyle w:val="Hyperlink"/>
            <w:rFonts w:cs="Arial"/>
            <w:sz w:val="16"/>
            <w:szCs w:val="16"/>
          </w:rPr>
          <w:t>(return to contents page)</w:t>
        </w:r>
      </w:hyperlink>
    </w:p>
    <w:p w14:paraId="5A14C8D1" w14:textId="77777777" w:rsidR="00472858" w:rsidRPr="005E4DE2" w:rsidRDefault="00472858" w:rsidP="00472858">
      <w:pPr>
        <w:spacing w:before="60" w:after="60"/>
        <w:jc w:val="right"/>
        <w:rPr>
          <w:rFonts w:cs="Arial"/>
          <w:sz w:val="16"/>
          <w:szCs w:val="16"/>
        </w:rPr>
      </w:pPr>
    </w:p>
    <w:p w14:paraId="6A68E97E" w14:textId="77777777" w:rsidR="00472858" w:rsidRPr="00BC6461" w:rsidRDefault="00472858" w:rsidP="00472858">
      <w:pPr>
        <w:pStyle w:val="Heading3"/>
      </w:pPr>
      <w:r w:rsidRPr="00BC6461">
        <w:t xml:space="preserve">Section 96 payments (sometimes referred to as discretionary payments or funding locally) are a legacy from the NHS Act 2006, which provided PCTs with the facility to support (including financially) GP practices outside of standard contractual arrangements.  This regulation still stands and was transferred to the NHS Commissioning Board (NHS England) ‘the Board’ under the Health and Social Care Act 2012 and subsequent amendments.  </w:t>
      </w:r>
    </w:p>
    <w:p w14:paraId="55D2725F" w14:textId="77777777" w:rsidR="00472858" w:rsidRPr="00BC6461" w:rsidRDefault="00472858" w:rsidP="00472858">
      <w:pPr>
        <w:pStyle w:val="ListParagraph"/>
        <w:spacing w:before="60" w:after="60"/>
        <w:rPr>
          <w:rFonts w:cs="Arial"/>
          <w:szCs w:val="24"/>
        </w:rPr>
      </w:pPr>
    </w:p>
    <w:p w14:paraId="057A7A10" w14:textId="77777777" w:rsidR="00472858" w:rsidRPr="00BC6461" w:rsidRDefault="00472858" w:rsidP="00472858">
      <w:pPr>
        <w:pStyle w:val="Heading3"/>
      </w:pPr>
      <w:r w:rsidRPr="00BC6461">
        <w:t>When providing a value for this question please consider all payments that are not covered under standard arrangements such as the global sum, a DES or other enhanced services (ES). Support funded from the Vulnerable Practice Programme and the General Practice Resilience Programme has sometimes been covered under this umbrella by some DCOs (i.e. in previous PCAR return).  However, It is essential that DCO’s DO NOT include payments funded from either fund in their returns as we want to measure genuine discretionary spend by local commissioners .If you are unsure as to whether a payment should be included, CCGs should contact their NHS England local team and DCOs should contact the national team.</w:t>
      </w:r>
    </w:p>
    <w:p w14:paraId="46A9593B" w14:textId="77777777" w:rsidR="00472858" w:rsidRPr="00117E40" w:rsidRDefault="00472858" w:rsidP="00472858">
      <w:pPr>
        <w:pStyle w:val="ListParagraph"/>
        <w:rPr>
          <w:rFonts w:cs="Arial"/>
        </w:rPr>
      </w:pPr>
    </w:p>
    <w:p w14:paraId="69D106B8" w14:textId="77777777" w:rsidR="00472858" w:rsidRDefault="00472858" w:rsidP="00472858">
      <w:pPr>
        <w:pStyle w:val="Heading2"/>
        <w:spacing w:before="60" w:after="60" w:line="276" w:lineRule="auto"/>
      </w:pPr>
      <w:bookmarkStart w:id="1080" w:name="_Toc493938694"/>
      <w:bookmarkStart w:id="1081" w:name="_Toc493938787"/>
      <w:bookmarkStart w:id="1082" w:name="_Toc493939136"/>
      <w:bookmarkStart w:id="1083" w:name="_Toc498495426"/>
      <w:r>
        <w:t>Maintaining Records</w:t>
      </w:r>
      <w:bookmarkEnd w:id="1080"/>
      <w:bookmarkEnd w:id="1081"/>
      <w:bookmarkEnd w:id="1082"/>
      <w:bookmarkEnd w:id="1083"/>
    </w:p>
    <w:p w14:paraId="12FBBC54" w14:textId="77777777" w:rsidR="00472858" w:rsidRDefault="000E7846" w:rsidP="00472858">
      <w:pPr>
        <w:spacing w:before="60" w:after="60"/>
        <w:jc w:val="right"/>
        <w:rPr>
          <w:rFonts w:cs="Arial"/>
          <w:sz w:val="16"/>
          <w:szCs w:val="16"/>
        </w:rPr>
      </w:pPr>
      <w:hyperlink w:anchor="_top" w:history="1">
        <w:r w:rsidR="00472858" w:rsidRPr="005E4DE2">
          <w:rPr>
            <w:rStyle w:val="Hyperlink"/>
            <w:rFonts w:cs="Arial"/>
            <w:sz w:val="16"/>
            <w:szCs w:val="16"/>
          </w:rPr>
          <w:t>(return to contents page)</w:t>
        </w:r>
      </w:hyperlink>
    </w:p>
    <w:p w14:paraId="5E74A32D" w14:textId="77777777" w:rsidR="00472858" w:rsidRPr="005E4DE2" w:rsidRDefault="00472858" w:rsidP="00472858">
      <w:pPr>
        <w:spacing w:before="60" w:after="60"/>
        <w:jc w:val="right"/>
        <w:rPr>
          <w:rFonts w:cs="Arial"/>
          <w:sz w:val="16"/>
          <w:szCs w:val="16"/>
        </w:rPr>
      </w:pPr>
    </w:p>
    <w:p w14:paraId="3BA4EC2F" w14:textId="069104F0" w:rsidR="00472858" w:rsidRPr="00BC6461" w:rsidRDefault="00472858" w:rsidP="00472858">
      <w:pPr>
        <w:pStyle w:val="Heading3"/>
      </w:pPr>
      <w:r w:rsidRPr="00BC6461">
        <w:t xml:space="preserve">A clear audit trail of all financial assistance authorised, along with any expenditure incurred under this arrangement, must be maintained and reported.  Summary information will be collected biannually via PCAR but you should also maintain adequate records such that you are able to respond to any other routine financial reporting arrangements.  Please refer to </w:t>
      </w:r>
      <w:hyperlink w:anchor="_Authorisations_and_Sign" w:history="1">
        <w:r w:rsidRPr="005215BD">
          <w:rPr>
            <w:rStyle w:val="Hyperlink"/>
            <w:rFonts w:cs="Arial"/>
            <w:szCs w:val="24"/>
          </w:rPr>
          <w:t xml:space="preserve">section </w:t>
        </w:r>
        <w:r w:rsidR="00965C81">
          <w:rPr>
            <w:rStyle w:val="Hyperlink"/>
            <w:rFonts w:cs="Arial"/>
            <w:szCs w:val="24"/>
          </w:rPr>
          <w:t>10.</w:t>
        </w:r>
        <w:r w:rsidRPr="005215BD">
          <w:rPr>
            <w:rStyle w:val="Hyperlink"/>
            <w:rFonts w:cs="Arial"/>
            <w:szCs w:val="24"/>
          </w:rPr>
          <w:t>6</w:t>
        </w:r>
      </w:hyperlink>
      <w:r w:rsidRPr="00BC6461">
        <w:t xml:space="preserve"> for authorising and recording individual applications. </w:t>
      </w:r>
    </w:p>
    <w:p w14:paraId="4105A40F" w14:textId="25BBF49D" w:rsidR="00472858" w:rsidRPr="00BC6461" w:rsidRDefault="00472858" w:rsidP="00472858">
      <w:pPr>
        <w:pStyle w:val="Heading3"/>
      </w:pPr>
      <w:r w:rsidRPr="00BC6461">
        <w:t>All applications for financial assistance should be recorded using the application (</w:t>
      </w:r>
      <w:hyperlink w:anchor="_Appendix_1_–" w:history="1">
        <w:r w:rsidRPr="00BC6461">
          <w:rPr>
            <w:rStyle w:val="Hyperlink"/>
            <w:rFonts w:cs="Arial"/>
            <w:szCs w:val="24"/>
          </w:rPr>
          <w:t>Appendix 1</w:t>
        </w:r>
      </w:hyperlink>
      <w:r w:rsidRPr="00BC6461">
        <w:t xml:space="preserve">) and authorisation process outlines in </w:t>
      </w:r>
      <w:hyperlink w:anchor="_Authorisations_and_Sign" w:history="1">
        <w:r w:rsidRPr="00BC6461">
          <w:rPr>
            <w:rStyle w:val="Hyperlink"/>
            <w:rFonts w:cs="Arial"/>
            <w:szCs w:val="24"/>
          </w:rPr>
          <w:t xml:space="preserve">section </w:t>
        </w:r>
        <w:r w:rsidR="00965C81">
          <w:rPr>
            <w:rStyle w:val="Hyperlink"/>
            <w:rFonts w:cs="Arial"/>
            <w:szCs w:val="24"/>
          </w:rPr>
          <w:t>10.</w:t>
        </w:r>
        <w:r w:rsidRPr="00BC6461">
          <w:rPr>
            <w:rStyle w:val="Hyperlink"/>
            <w:rFonts w:cs="Arial"/>
            <w:szCs w:val="24"/>
          </w:rPr>
          <w:t>6</w:t>
        </w:r>
      </w:hyperlink>
      <w:r w:rsidRPr="00BC6461">
        <w:t>.</w:t>
      </w:r>
    </w:p>
    <w:p w14:paraId="1073BD40" w14:textId="77777777" w:rsidR="00472858" w:rsidRDefault="00472858" w:rsidP="00472858">
      <w:pPr>
        <w:spacing w:before="60" w:after="60"/>
        <w:rPr>
          <w:rFonts w:cs="Arial"/>
        </w:rPr>
      </w:pPr>
    </w:p>
    <w:p w14:paraId="43300602" w14:textId="77777777" w:rsidR="00472858" w:rsidRDefault="00472858" w:rsidP="00472858">
      <w:pPr>
        <w:pStyle w:val="Heading2"/>
      </w:pPr>
      <w:r>
        <w:rPr>
          <w:rFonts w:cs="Arial"/>
        </w:rPr>
        <w:br w:type="page"/>
      </w:r>
      <w:bookmarkStart w:id="1084" w:name="_Toc498495427"/>
      <w:r>
        <w:t>Addendums</w:t>
      </w:r>
      <w:bookmarkEnd w:id="1084"/>
    </w:p>
    <w:p w14:paraId="246358B0" w14:textId="77777777" w:rsidR="00472858" w:rsidRPr="005E4DE2" w:rsidRDefault="000E7846" w:rsidP="00472858">
      <w:pPr>
        <w:spacing w:before="60" w:after="60"/>
        <w:jc w:val="right"/>
        <w:rPr>
          <w:rFonts w:cs="Arial"/>
          <w:sz w:val="16"/>
          <w:szCs w:val="16"/>
        </w:rPr>
      </w:pPr>
      <w:hyperlink w:anchor="_top" w:history="1">
        <w:r w:rsidR="00472858" w:rsidRPr="005E4DE2">
          <w:rPr>
            <w:rStyle w:val="Hyperlink"/>
            <w:rFonts w:cs="Arial"/>
            <w:sz w:val="16"/>
            <w:szCs w:val="16"/>
          </w:rPr>
          <w:t>(return to contents page)</w:t>
        </w:r>
      </w:hyperlink>
    </w:p>
    <w:p w14:paraId="5B90BFB5" w14:textId="56DAF0E7" w:rsidR="00472858" w:rsidRPr="00DD3F68" w:rsidRDefault="00472858" w:rsidP="00DD3F68">
      <w:pPr>
        <w:pStyle w:val="Heading3"/>
      </w:pPr>
      <w:bookmarkStart w:id="1085" w:name="_Appendix_1_–"/>
      <w:bookmarkStart w:id="1086" w:name="_Toc493938696"/>
      <w:bookmarkStart w:id="1087" w:name="_Toc493938789"/>
      <w:bookmarkStart w:id="1088" w:name="_Toc493939138"/>
      <w:bookmarkEnd w:id="1085"/>
      <w:r>
        <w:t>Annex 1 – S.96 Application</w:t>
      </w:r>
      <w:bookmarkEnd w:id="1086"/>
      <w:bookmarkEnd w:id="1087"/>
      <w:bookmarkEnd w:id="1088"/>
    </w:p>
    <w:p w14:paraId="61C345EA" w14:textId="4A86975B" w:rsidR="00DD3F68" w:rsidRDefault="000E7846" w:rsidP="00DD3F68">
      <w:pPr>
        <w:pStyle w:val="ListParagraph"/>
        <w:numPr>
          <w:ilvl w:val="0"/>
          <w:numId w:val="157"/>
        </w:numPr>
        <w:spacing w:before="60" w:after="60"/>
        <w:rPr>
          <w:rFonts w:cs="Arial"/>
        </w:rPr>
      </w:pPr>
      <w:hyperlink r:id="rId100" w:history="1">
        <w:r w:rsidR="00DD3F68">
          <w:rPr>
            <w:rStyle w:val="Hyperlink"/>
            <w:rFonts w:cs="Arial"/>
          </w:rPr>
          <w:t>Functional Excel Template Application</w:t>
        </w:r>
      </w:hyperlink>
    </w:p>
    <w:p w14:paraId="7A8552FA" w14:textId="77777777" w:rsidR="00DD3F68" w:rsidRPr="00A97ABC" w:rsidRDefault="00DD3F68" w:rsidP="00DD3F68">
      <w:pPr>
        <w:pStyle w:val="ListParagraph"/>
        <w:spacing w:before="60" w:after="60"/>
        <w:rPr>
          <w:rFonts w:cs="Arial"/>
        </w:rPr>
      </w:pPr>
    </w:p>
    <w:p w14:paraId="58F21B19" w14:textId="31A6FD19" w:rsidR="00472858" w:rsidRDefault="00472858" w:rsidP="00472858">
      <w:pPr>
        <w:spacing w:before="60" w:after="60"/>
        <w:rPr>
          <w:rFonts w:cs="Arial"/>
        </w:rPr>
      </w:pPr>
    </w:p>
    <w:p w14:paraId="5B0662E6" w14:textId="77777777" w:rsidR="00472858" w:rsidRDefault="00472858" w:rsidP="00472858">
      <w:pPr>
        <w:rPr>
          <w:rFonts w:cs="Arial"/>
        </w:rPr>
      </w:pPr>
      <w:r>
        <w:rPr>
          <w:rFonts w:cs="Arial"/>
        </w:rPr>
        <w:br w:type="page"/>
      </w:r>
    </w:p>
    <w:p w14:paraId="1F0D0313" w14:textId="77777777" w:rsidR="00472858" w:rsidRDefault="00472858" w:rsidP="00472858">
      <w:pPr>
        <w:spacing w:before="60" w:after="60"/>
        <w:rPr>
          <w:rFonts w:cs="Arial"/>
        </w:rPr>
        <w:sectPr w:rsidR="00472858" w:rsidSect="000A529F">
          <w:headerReference w:type="default" r:id="rId101"/>
          <w:footerReference w:type="default" r:id="rId102"/>
          <w:pgSz w:w="11906" w:h="16838"/>
          <w:pgMar w:top="1440" w:right="1440" w:bottom="1440" w:left="1440" w:header="709" w:footer="709" w:gutter="0"/>
          <w:cols w:space="708"/>
          <w:docGrid w:linePitch="360"/>
        </w:sectPr>
      </w:pPr>
    </w:p>
    <w:p w14:paraId="513BAA7F" w14:textId="77777777" w:rsidR="00472858" w:rsidRDefault="00472858" w:rsidP="00472858">
      <w:pPr>
        <w:spacing w:before="60" w:after="60"/>
        <w:rPr>
          <w:rFonts w:cs="Arial"/>
        </w:rPr>
      </w:pPr>
      <w:r>
        <w:rPr>
          <w:rFonts w:cs="Arial"/>
        </w:rPr>
        <w:t>Hard Copy of Template Application</w:t>
      </w:r>
    </w:p>
    <w:tbl>
      <w:tblPr>
        <w:tblW w:w="14972" w:type="dxa"/>
        <w:tblInd w:w="93" w:type="dxa"/>
        <w:tblLook w:val="04A0" w:firstRow="1" w:lastRow="0" w:firstColumn="1" w:lastColumn="0" w:noHBand="0" w:noVBand="1"/>
      </w:tblPr>
      <w:tblGrid>
        <w:gridCol w:w="642"/>
        <w:gridCol w:w="6342"/>
        <w:gridCol w:w="2915"/>
        <w:gridCol w:w="547"/>
        <w:gridCol w:w="1765"/>
        <w:gridCol w:w="2824"/>
      </w:tblGrid>
      <w:tr w:rsidR="00472858" w:rsidRPr="00BB662E" w14:paraId="723FF7C1" w14:textId="77777777" w:rsidTr="00472858">
        <w:trPr>
          <w:trHeight w:val="375"/>
        </w:trPr>
        <w:tc>
          <w:tcPr>
            <w:tcW w:w="6949" w:type="dxa"/>
            <w:gridSpan w:val="2"/>
            <w:tcBorders>
              <w:top w:val="single" w:sz="8" w:space="0" w:color="auto"/>
              <w:left w:val="single" w:sz="8" w:space="0" w:color="auto"/>
              <w:bottom w:val="single" w:sz="8" w:space="0" w:color="auto"/>
              <w:right w:val="single" w:sz="8" w:space="0" w:color="000000"/>
            </w:tcBorders>
            <w:shd w:val="clear" w:color="000000" w:fill="00B050"/>
            <w:vAlign w:val="bottom"/>
            <w:hideMark/>
          </w:tcPr>
          <w:p w14:paraId="7908A59F" w14:textId="77777777" w:rsidR="00472858" w:rsidRPr="00BB662E" w:rsidRDefault="00472858" w:rsidP="00472858">
            <w:pPr>
              <w:spacing w:before="60" w:after="60"/>
              <w:rPr>
                <w:rFonts w:ascii="Calibri" w:hAnsi="Calibri"/>
                <w:b/>
                <w:bCs w:val="0"/>
                <w:color w:val="000000"/>
                <w:sz w:val="28"/>
                <w:szCs w:val="28"/>
                <w:lang w:eastAsia="en-GB"/>
              </w:rPr>
            </w:pPr>
            <w:bookmarkStart w:id="1089" w:name="RANGE!A1:F78"/>
            <w:r w:rsidRPr="00BB662E">
              <w:rPr>
                <w:rFonts w:ascii="Calibri" w:hAnsi="Calibri"/>
                <w:b/>
                <w:color w:val="000000"/>
                <w:sz w:val="28"/>
                <w:szCs w:val="28"/>
                <w:lang w:eastAsia="en-GB"/>
              </w:rPr>
              <w:t xml:space="preserve">FORM REF:                                     </w:t>
            </w:r>
            <w:r w:rsidRPr="00BB662E">
              <w:rPr>
                <w:rFonts w:ascii="Calibri" w:hAnsi="Calibri"/>
                <w:b/>
                <w:color w:val="000000"/>
                <w:sz w:val="20"/>
                <w:szCs w:val="20"/>
                <w:lang w:eastAsia="en-GB"/>
              </w:rPr>
              <w:t>(NHSE use)</w:t>
            </w:r>
            <w:bookmarkEnd w:id="1089"/>
          </w:p>
        </w:tc>
        <w:tc>
          <w:tcPr>
            <w:tcW w:w="8023" w:type="dxa"/>
            <w:gridSpan w:val="4"/>
            <w:tcBorders>
              <w:top w:val="nil"/>
              <w:left w:val="nil"/>
              <w:bottom w:val="nil"/>
              <w:right w:val="nil"/>
            </w:tcBorders>
            <w:shd w:val="clear" w:color="auto" w:fill="auto"/>
            <w:vAlign w:val="bottom"/>
            <w:hideMark/>
          </w:tcPr>
          <w:p w14:paraId="5BC6BCA5" w14:textId="77777777" w:rsidR="00472858" w:rsidRPr="00BB662E" w:rsidRDefault="00472858" w:rsidP="00472858">
            <w:pPr>
              <w:spacing w:before="60" w:after="60"/>
              <w:jc w:val="center"/>
              <w:rPr>
                <w:rFonts w:ascii="Calibri" w:hAnsi="Calibri"/>
                <w:b/>
                <w:bCs w:val="0"/>
                <w:color w:val="000000"/>
                <w:sz w:val="28"/>
                <w:szCs w:val="28"/>
                <w:lang w:eastAsia="en-GB"/>
              </w:rPr>
            </w:pPr>
            <w:r w:rsidRPr="00BB662E">
              <w:rPr>
                <w:rFonts w:ascii="Calibri" w:hAnsi="Calibri"/>
                <w:b/>
                <w:color w:val="000000"/>
                <w:sz w:val="28"/>
                <w:szCs w:val="28"/>
                <w:lang w:eastAsia="en-GB"/>
              </w:rPr>
              <w:t xml:space="preserve">Commissioner:  </w:t>
            </w:r>
            <w:r w:rsidRPr="00BB662E">
              <w:rPr>
                <w:rFonts w:ascii="Calibri" w:hAnsi="Calibri"/>
                <w:b/>
                <w:color w:val="FF0000"/>
                <w:sz w:val="28"/>
                <w:szCs w:val="28"/>
                <w:lang w:eastAsia="en-GB"/>
              </w:rPr>
              <w:t>Insert NHS England DCO / or Delegated CCG</w:t>
            </w:r>
          </w:p>
        </w:tc>
      </w:tr>
      <w:tr w:rsidR="00472858" w:rsidRPr="00BB662E" w14:paraId="697D1B64" w14:textId="77777777" w:rsidTr="00472858">
        <w:trPr>
          <w:trHeight w:val="375"/>
        </w:trPr>
        <w:tc>
          <w:tcPr>
            <w:tcW w:w="607" w:type="dxa"/>
            <w:tcBorders>
              <w:top w:val="nil"/>
              <w:left w:val="nil"/>
              <w:bottom w:val="nil"/>
              <w:right w:val="nil"/>
            </w:tcBorders>
            <w:shd w:val="clear" w:color="auto" w:fill="auto"/>
            <w:noWrap/>
            <w:hideMark/>
          </w:tcPr>
          <w:p w14:paraId="1B10A3F2" w14:textId="77777777" w:rsidR="00472858" w:rsidRPr="00BB662E" w:rsidRDefault="00472858" w:rsidP="00472858">
            <w:pPr>
              <w:spacing w:before="60" w:after="60"/>
              <w:jc w:val="center"/>
              <w:rPr>
                <w:rFonts w:ascii="Calibri" w:hAnsi="Calibri"/>
                <w:color w:val="000000"/>
                <w:lang w:eastAsia="en-GB"/>
              </w:rPr>
            </w:pPr>
          </w:p>
        </w:tc>
        <w:tc>
          <w:tcPr>
            <w:tcW w:w="14365" w:type="dxa"/>
            <w:gridSpan w:val="5"/>
            <w:tcBorders>
              <w:top w:val="nil"/>
              <w:left w:val="nil"/>
              <w:bottom w:val="nil"/>
              <w:right w:val="nil"/>
            </w:tcBorders>
            <w:shd w:val="clear" w:color="000000" w:fill="FFFF00"/>
            <w:vAlign w:val="bottom"/>
            <w:hideMark/>
          </w:tcPr>
          <w:p w14:paraId="686E45EA" w14:textId="77777777" w:rsidR="00472858" w:rsidRPr="00BB662E" w:rsidRDefault="00472858" w:rsidP="00472858">
            <w:pPr>
              <w:spacing w:before="60" w:after="60"/>
              <w:jc w:val="center"/>
              <w:rPr>
                <w:rFonts w:ascii="Calibri" w:hAnsi="Calibri"/>
                <w:b/>
                <w:bCs w:val="0"/>
                <w:color w:val="000000"/>
                <w:sz w:val="28"/>
                <w:szCs w:val="28"/>
                <w:lang w:eastAsia="en-GB"/>
              </w:rPr>
            </w:pPr>
            <w:r w:rsidRPr="00BB662E">
              <w:rPr>
                <w:rFonts w:ascii="Calibri" w:hAnsi="Calibri"/>
                <w:b/>
                <w:color w:val="000000"/>
                <w:sz w:val="28"/>
                <w:szCs w:val="28"/>
                <w:lang w:eastAsia="en-GB"/>
              </w:rPr>
              <w:t>GP Practice Application for Discretionary Funding Support (Section 96 NHS Act 2006)</w:t>
            </w:r>
          </w:p>
        </w:tc>
      </w:tr>
      <w:tr w:rsidR="00472858" w:rsidRPr="00BB662E" w14:paraId="347C7E09" w14:textId="77777777" w:rsidTr="00472858">
        <w:trPr>
          <w:trHeight w:val="180"/>
        </w:trPr>
        <w:tc>
          <w:tcPr>
            <w:tcW w:w="607" w:type="dxa"/>
            <w:tcBorders>
              <w:top w:val="nil"/>
              <w:left w:val="nil"/>
              <w:bottom w:val="nil"/>
              <w:right w:val="nil"/>
            </w:tcBorders>
            <w:shd w:val="clear" w:color="auto" w:fill="auto"/>
            <w:noWrap/>
            <w:hideMark/>
          </w:tcPr>
          <w:p w14:paraId="7F90AF0E" w14:textId="77777777" w:rsidR="00472858" w:rsidRPr="00BB662E" w:rsidRDefault="00472858" w:rsidP="00472858">
            <w:pPr>
              <w:spacing w:before="60" w:after="60"/>
              <w:jc w:val="center"/>
              <w:rPr>
                <w:rFonts w:ascii="Calibri" w:hAnsi="Calibri"/>
                <w:color w:val="000000"/>
                <w:lang w:eastAsia="en-GB"/>
              </w:rPr>
            </w:pPr>
          </w:p>
        </w:tc>
        <w:tc>
          <w:tcPr>
            <w:tcW w:w="6342" w:type="dxa"/>
            <w:tcBorders>
              <w:top w:val="nil"/>
              <w:left w:val="nil"/>
              <w:bottom w:val="nil"/>
              <w:right w:val="nil"/>
            </w:tcBorders>
            <w:shd w:val="clear" w:color="auto" w:fill="auto"/>
            <w:vAlign w:val="bottom"/>
            <w:hideMark/>
          </w:tcPr>
          <w:p w14:paraId="6C98A338" w14:textId="77777777" w:rsidR="00472858" w:rsidRPr="00BB662E" w:rsidRDefault="00472858" w:rsidP="00472858">
            <w:pPr>
              <w:spacing w:before="60" w:after="60"/>
              <w:rPr>
                <w:rFonts w:ascii="Calibri" w:hAnsi="Calibri"/>
                <w:b/>
                <w:bCs w:val="0"/>
                <w:color w:val="000000"/>
                <w:lang w:eastAsia="en-GB"/>
              </w:rPr>
            </w:pPr>
          </w:p>
        </w:tc>
        <w:tc>
          <w:tcPr>
            <w:tcW w:w="2915" w:type="dxa"/>
            <w:tcBorders>
              <w:top w:val="nil"/>
              <w:left w:val="nil"/>
              <w:bottom w:val="nil"/>
              <w:right w:val="nil"/>
            </w:tcBorders>
            <w:shd w:val="clear" w:color="auto" w:fill="auto"/>
            <w:vAlign w:val="bottom"/>
            <w:hideMark/>
          </w:tcPr>
          <w:p w14:paraId="36BA9434" w14:textId="77777777" w:rsidR="00472858" w:rsidRPr="00BB662E" w:rsidRDefault="00472858" w:rsidP="00472858">
            <w:pPr>
              <w:spacing w:before="60" w:after="60"/>
              <w:rPr>
                <w:rFonts w:ascii="Calibri" w:hAnsi="Calibri"/>
                <w:b/>
                <w:bCs w:val="0"/>
                <w:color w:val="000000"/>
                <w:lang w:eastAsia="en-GB"/>
              </w:rPr>
            </w:pPr>
          </w:p>
        </w:tc>
        <w:tc>
          <w:tcPr>
            <w:tcW w:w="519" w:type="dxa"/>
            <w:tcBorders>
              <w:top w:val="nil"/>
              <w:left w:val="nil"/>
              <w:bottom w:val="nil"/>
              <w:right w:val="nil"/>
            </w:tcBorders>
            <w:shd w:val="clear" w:color="auto" w:fill="auto"/>
            <w:vAlign w:val="bottom"/>
            <w:hideMark/>
          </w:tcPr>
          <w:p w14:paraId="2ED46848" w14:textId="77777777" w:rsidR="00472858" w:rsidRPr="00BB662E" w:rsidRDefault="00472858" w:rsidP="00472858">
            <w:pPr>
              <w:spacing w:before="60" w:after="60"/>
              <w:rPr>
                <w:rFonts w:ascii="Calibri" w:hAnsi="Calibri"/>
                <w:b/>
                <w:bCs w:val="0"/>
                <w:color w:val="000000"/>
                <w:lang w:eastAsia="en-GB"/>
              </w:rPr>
            </w:pPr>
          </w:p>
        </w:tc>
        <w:tc>
          <w:tcPr>
            <w:tcW w:w="1765" w:type="dxa"/>
            <w:tcBorders>
              <w:top w:val="nil"/>
              <w:left w:val="nil"/>
              <w:bottom w:val="nil"/>
              <w:right w:val="nil"/>
            </w:tcBorders>
            <w:shd w:val="clear" w:color="auto" w:fill="auto"/>
            <w:vAlign w:val="bottom"/>
            <w:hideMark/>
          </w:tcPr>
          <w:p w14:paraId="25B16062" w14:textId="77777777" w:rsidR="00472858" w:rsidRPr="00BB662E" w:rsidRDefault="00472858" w:rsidP="00472858">
            <w:pPr>
              <w:spacing w:before="60" w:after="60"/>
              <w:rPr>
                <w:rFonts w:ascii="Calibri" w:hAnsi="Calibri"/>
                <w:b/>
                <w:bCs w:val="0"/>
                <w:color w:val="000000"/>
                <w:lang w:eastAsia="en-GB"/>
              </w:rPr>
            </w:pPr>
          </w:p>
        </w:tc>
        <w:tc>
          <w:tcPr>
            <w:tcW w:w="2824" w:type="dxa"/>
            <w:tcBorders>
              <w:top w:val="nil"/>
              <w:left w:val="nil"/>
              <w:bottom w:val="nil"/>
              <w:right w:val="nil"/>
            </w:tcBorders>
            <w:shd w:val="clear" w:color="auto" w:fill="auto"/>
            <w:noWrap/>
            <w:vAlign w:val="bottom"/>
            <w:hideMark/>
          </w:tcPr>
          <w:p w14:paraId="20CB5B5B" w14:textId="77777777" w:rsidR="00472858" w:rsidRPr="00BB662E" w:rsidRDefault="00472858" w:rsidP="00472858">
            <w:pPr>
              <w:spacing w:before="60" w:after="60"/>
              <w:rPr>
                <w:rFonts w:ascii="Calibri" w:hAnsi="Calibri"/>
                <w:color w:val="000000"/>
                <w:lang w:eastAsia="en-GB"/>
              </w:rPr>
            </w:pPr>
          </w:p>
        </w:tc>
      </w:tr>
      <w:tr w:rsidR="00472858" w:rsidRPr="00BB662E" w14:paraId="21FFAA80" w14:textId="77777777" w:rsidTr="00472858">
        <w:trPr>
          <w:trHeight w:val="300"/>
        </w:trPr>
        <w:tc>
          <w:tcPr>
            <w:tcW w:w="607" w:type="dxa"/>
            <w:tcBorders>
              <w:top w:val="single" w:sz="4" w:space="0" w:color="auto"/>
              <w:left w:val="single" w:sz="4" w:space="0" w:color="auto"/>
              <w:bottom w:val="single" w:sz="4" w:space="0" w:color="auto"/>
              <w:right w:val="single" w:sz="4" w:space="0" w:color="auto"/>
            </w:tcBorders>
            <w:shd w:val="clear" w:color="auto" w:fill="auto"/>
            <w:noWrap/>
            <w:hideMark/>
          </w:tcPr>
          <w:p w14:paraId="26FC0027"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1</w:t>
            </w:r>
          </w:p>
        </w:tc>
        <w:tc>
          <w:tcPr>
            <w:tcW w:w="6342" w:type="dxa"/>
            <w:tcBorders>
              <w:top w:val="single" w:sz="4" w:space="0" w:color="auto"/>
              <w:left w:val="nil"/>
              <w:bottom w:val="single" w:sz="4" w:space="0" w:color="auto"/>
              <w:right w:val="nil"/>
            </w:tcBorders>
            <w:shd w:val="clear" w:color="000000" w:fill="D9D9D9"/>
            <w:vAlign w:val="bottom"/>
            <w:hideMark/>
          </w:tcPr>
          <w:p w14:paraId="2C9EACB0"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Date of application:</w:t>
            </w:r>
          </w:p>
        </w:tc>
        <w:tc>
          <w:tcPr>
            <w:tcW w:w="2915" w:type="dxa"/>
            <w:tcBorders>
              <w:top w:val="single" w:sz="4" w:space="0" w:color="auto"/>
              <w:left w:val="single" w:sz="4" w:space="0" w:color="auto"/>
              <w:bottom w:val="single" w:sz="4" w:space="0" w:color="auto"/>
              <w:right w:val="single" w:sz="4" w:space="0" w:color="auto"/>
            </w:tcBorders>
            <w:shd w:val="clear" w:color="000000" w:fill="F2DCDB"/>
            <w:vAlign w:val="bottom"/>
            <w:hideMark/>
          </w:tcPr>
          <w:p w14:paraId="5E53B194"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w:t>
            </w:r>
          </w:p>
        </w:tc>
        <w:tc>
          <w:tcPr>
            <w:tcW w:w="519" w:type="dxa"/>
            <w:tcBorders>
              <w:top w:val="nil"/>
              <w:left w:val="nil"/>
              <w:bottom w:val="nil"/>
              <w:right w:val="nil"/>
            </w:tcBorders>
            <w:shd w:val="clear" w:color="auto" w:fill="auto"/>
            <w:vAlign w:val="bottom"/>
            <w:hideMark/>
          </w:tcPr>
          <w:p w14:paraId="4BD06C35" w14:textId="77777777" w:rsidR="00472858" w:rsidRPr="00BB662E" w:rsidRDefault="00472858" w:rsidP="00472858">
            <w:pPr>
              <w:spacing w:before="60" w:after="60"/>
              <w:rPr>
                <w:rFonts w:ascii="Calibri" w:hAnsi="Calibri"/>
                <w:b/>
                <w:bCs w:val="0"/>
                <w:color w:val="000000"/>
                <w:lang w:eastAsia="en-GB"/>
              </w:rPr>
            </w:pPr>
          </w:p>
        </w:tc>
        <w:tc>
          <w:tcPr>
            <w:tcW w:w="1765" w:type="dxa"/>
            <w:tcBorders>
              <w:top w:val="nil"/>
              <w:left w:val="nil"/>
              <w:bottom w:val="nil"/>
              <w:right w:val="nil"/>
            </w:tcBorders>
            <w:shd w:val="clear" w:color="auto" w:fill="auto"/>
            <w:vAlign w:val="bottom"/>
            <w:hideMark/>
          </w:tcPr>
          <w:p w14:paraId="15D4073F" w14:textId="77777777" w:rsidR="00472858" w:rsidRPr="00BB662E" w:rsidRDefault="00472858" w:rsidP="00472858">
            <w:pPr>
              <w:spacing w:before="60" w:after="60"/>
              <w:rPr>
                <w:rFonts w:ascii="Calibri" w:hAnsi="Calibri"/>
                <w:b/>
                <w:bCs w:val="0"/>
                <w:color w:val="000000"/>
                <w:lang w:eastAsia="en-GB"/>
              </w:rPr>
            </w:pPr>
          </w:p>
        </w:tc>
        <w:tc>
          <w:tcPr>
            <w:tcW w:w="2824" w:type="dxa"/>
            <w:tcBorders>
              <w:top w:val="nil"/>
              <w:left w:val="nil"/>
              <w:bottom w:val="nil"/>
              <w:right w:val="nil"/>
            </w:tcBorders>
            <w:shd w:val="clear" w:color="auto" w:fill="auto"/>
            <w:noWrap/>
            <w:vAlign w:val="bottom"/>
            <w:hideMark/>
          </w:tcPr>
          <w:p w14:paraId="0226B523" w14:textId="77777777" w:rsidR="00472858" w:rsidRPr="00BB662E" w:rsidRDefault="00472858" w:rsidP="00472858">
            <w:pPr>
              <w:spacing w:before="60" w:after="60"/>
              <w:rPr>
                <w:rFonts w:ascii="Calibri" w:hAnsi="Calibri"/>
                <w:color w:val="000000"/>
                <w:lang w:eastAsia="en-GB"/>
              </w:rPr>
            </w:pPr>
          </w:p>
        </w:tc>
      </w:tr>
      <w:tr w:rsidR="00472858" w:rsidRPr="00BB662E" w14:paraId="175DB669" w14:textId="77777777" w:rsidTr="00472858">
        <w:trPr>
          <w:trHeight w:val="375"/>
        </w:trPr>
        <w:tc>
          <w:tcPr>
            <w:tcW w:w="607" w:type="dxa"/>
            <w:tcBorders>
              <w:top w:val="nil"/>
              <w:left w:val="single" w:sz="4" w:space="0" w:color="auto"/>
              <w:bottom w:val="single" w:sz="4" w:space="0" w:color="auto"/>
              <w:right w:val="single" w:sz="4" w:space="0" w:color="auto"/>
            </w:tcBorders>
            <w:shd w:val="clear" w:color="auto" w:fill="auto"/>
            <w:noWrap/>
            <w:hideMark/>
          </w:tcPr>
          <w:p w14:paraId="683CBF7A"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2</w:t>
            </w:r>
          </w:p>
        </w:tc>
        <w:tc>
          <w:tcPr>
            <w:tcW w:w="6342" w:type="dxa"/>
            <w:tcBorders>
              <w:top w:val="nil"/>
              <w:left w:val="nil"/>
              <w:bottom w:val="single" w:sz="4" w:space="0" w:color="auto"/>
              <w:right w:val="nil"/>
            </w:tcBorders>
            <w:shd w:val="clear" w:color="000000" w:fill="D9D9D9"/>
            <w:vAlign w:val="bottom"/>
            <w:hideMark/>
          </w:tcPr>
          <w:p w14:paraId="7D8A8707"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Practice Name:</w:t>
            </w:r>
          </w:p>
        </w:tc>
        <w:tc>
          <w:tcPr>
            <w:tcW w:w="8023" w:type="dxa"/>
            <w:gridSpan w:val="4"/>
            <w:tcBorders>
              <w:top w:val="single" w:sz="4" w:space="0" w:color="auto"/>
              <w:left w:val="single" w:sz="4" w:space="0" w:color="auto"/>
              <w:bottom w:val="single" w:sz="4" w:space="0" w:color="auto"/>
              <w:right w:val="single" w:sz="4" w:space="0" w:color="000000"/>
            </w:tcBorders>
            <w:shd w:val="clear" w:color="000000" w:fill="D9D9D9"/>
            <w:vAlign w:val="bottom"/>
            <w:hideMark/>
          </w:tcPr>
          <w:p w14:paraId="466B2455" w14:textId="77777777" w:rsidR="00472858" w:rsidRPr="00BB662E" w:rsidRDefault="00472858" w:rsidP="00472858">
            <w:pPr>
              <w:spacing w:before="60" w:after="60"/>
              <w:jc w:val="center"/>
              <w:rPr>
                <w:rFonts w:ascii="Calibri" w:hAnsi="Calibri"/>
                <w:b/>
                <w:bCs w:val="0"/>
                <w:color w:val="000000"/>
                <w:szCs w:val="24"/>
                <w:lang w:eastAsia="en-GB"/>
              </w:rPr>
            </w:pPr>
            <w:r w:rsidRPr="00BB662E">
              <w:rPr>
                <w:rFonts w:ascii="Calibri" w:hAnsi="Calibri"/>
                <w:b/>
                <w:color w:val="000000"/>
                <w:szCs w:val="24"/>
                <w:lang w:eastAsia="en-GB"/>
              </w:rPr>
              <w:t>ABC practice</w:t>
            </w:r>
          </w:p>
        </w:tc>
      </w:tr>
      <w:tr w:rsidR="00472858" w:rsidRPr="00BB662E" w14:paraId="39C395BB" w14:textId="77777777" w:rsidTr="00472858">
        <w:trPr>
          <w:trHeight w:val="360"/>
        </w:trPr>
        <w:tc>
          <w:tcPr>
            <w:tcW w:w="607" w:type="dxa"/>
            <w:tcBorders>
              <w:top w:val="nil"/>
              <w:left w:val="single" w:sz="4" w:space="0" w:color="auto"/>
              <w:bottom w:val="single" w:sz="4" w:space="0" w:color="auto"/>
              <w:right w:val="single" w:sz="4" w:space="0" w:color="auto"/>
            </w:tcBorders>
            <w:shd w:val="clear" w:color="auto" w:fill="auto"/>
            <w:noWrap/>
            <w:hideMark/>
          </w:tcPr>
          <w:p w14:paraId="012B9258"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3</w:t>
            </w:r>
          </w:p>
        </w:tc>
        <w:tc>
          <w:tcPr>
            <w:tcW w:w="6342" w:type="dxa"/>
            <w:tcBorders>
              <w:top w:val="nil"/>
              <w:left w:val="nil"/>
              <w:bottom w:val="single" w:sz="4" w:space="0" w:color="auto"/>
              <w:right w:val="nil"/>
            </w:tcBorders>
            <w:shd w:val="clear" w:color="000000" w:fill="D9D9D9"/>
            <w:vAlign w:val="bottom"/>
            <w:hideMark/>
          </w:tcPr>
          <w:p w14:paraId="7F99F648"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Practice Identifier Code:</w:t>
            </w:r>
          </w:p>
        </w:tc>
        <w:tc>
          <w:tcPr>
            <w:tcW w:w="2915" w:type="dxa"/>
            <w:tcBorders>
              <w:top w:val="nil"/>
              <w:left w:val="single" w:sz="4" w:space="0" w:color="auto"/>
              <w:bottom w:val="single" w:sz="4" w:space="0" w:color="auto"/>
              <w:right w:val="single" w:sz="4" w:space="0" w:color="auto"/>
            </w:tcBorders>
            <w:shd w:val="clear" w:color="000000" w:fill="F2DCDB"/>
            <w:vAlign w:val="bottom"/>
            <w:hideMark/>
          </w:tcPr>
          <w:p w14:paraId="508A30D3"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w:t>
            </w:r>
          </w:p>
        </w:tc>
        <w:tc>
          <w:tcPr>
            <w:tcW w:w="519" w:type="dxa"/>
            <w:tcBorders>
              <w:top w:val="nil"/>
              <w:left w:val="nil"/>
              <w:bottom w:val="nil"/>
              <w:right w:val="nil"/>
            </w:tcBorders>
            <w:shd w:val="clear" w:color="auto" w:fill="auto"/>
            <w:vAlign w:val="bottom"/>
            <w:hideMark/>
          </w:tcPr>
          <w:p w14:paraId="60800004" w14:textId="77777777" w:rsidR="00472858" w:rsidRPr="00BB662E" w:rsidRDefault="00472858" w:rsidP="00472858">
            <w:pPr>
              <w:spacing w:before="60" w:after="60"/>
              <w:rPr>
                <w:rFonts w:ascii="Calibri" w:hAnsi="Calibri"/>
                <w:b/>
                <w:bCs w:val="0"/>
                <w:color w:val="000000"/>
                <w:lang w:eastAsia="en-GB"/>
              </w:rPr>
            </w:pPr>
          </w:p>
        </w:tc>
        <w:tc>
          <w:tcPr>
            <w:tcW w:w="1765" w:type="dxa"/>
            <w:tcBorders>
              <w:top w:val="nil"/>
              <w:left w:val="nil"/>
              <w:bottom w:val="nil"/>
              <w:right w:val="nil"/>
            </w:tcBorders>
            <w:shd w:val="clear" w:color="auto" w:fill="auto"/>
            <w:vAlign w:val="bottom"/>
            <w:hideMark/>
          </w:tcPr>
          <w:p w14:paraId="298D92D7" w14:textId="77777777" w:rsidR="00472858" w:rsidRPr="00BB662E" w:rsidRDefault="00472858" w:rsidP="00472858">
            <w:pPr>
              <w:spacing w:before="60" w:after="60"/>
              <w:rPr>
                <w:rFonts w:ascii="Calibri" w:hAnsi="Calibri"/>
                <w:b/>
                <w:bCs w:val="0"/>
                <w:color w:val="000000"/>
                <w:lang w:eastAsia="en-GB"/>
              </w:rPr>
            </w:pPr>
          </w:p>
        </w:tc>
        <w:tc>
          <w:tcPr>
            <w:tcW w:w="2824" w:type="dxa"/>
            <w:tcBorders>
              <w:top w:val="nil"/>
              <w:left w:val="nil"/>
              <w:bottom w:val="nil"/>
              <w:right w:val="nil"/>
            </w:tcBorders>
            <w:shd w:val="clear" w:color="auto" w:fill="auto"/>
            <w:noWrap/>
            <w:vAlign w:val="bottom"/>
            <w:hideMark/>
          </w:tcPr>
          <w:p w14:paraId="3746FF79" w14:textId="77777777" w:rsidR="00472858" w:rsidRPr="00BB662E" w:rsidRDefault="00472858" w:rsidP="00472858">
            <w:pPr>
              <w:spacing w:before="60" w:after="60"/>
              <w:rPr>
                <w:rFonts w:ascii="Calibri" w:hAnsi="Calibri"/>
                <w:color w:val="000000"/>
                <w:lang w:eastAsia="en-GB"/>
              </w:rPr>
            </w:pPr>
          </w:p>
        </w:tc>
      </w:tr>
      <w:tr w:rsidR="00472858" w:rsidRPr="00BB662E" w14:paraId="0FE0BCA7" w14:textId="77777777" w:rsidTr="00472858">
        <w:trPr>
          <w:trHeight w:val="360"/>
        </w:trPr>
        <w:tc>
          <w:tcPr>
            <w:tcW w:w="607" w:type="dxa"/>
            <w:tcBorders>
              <w:top w:val="nil"/>
              <w:left w:val="single" w:sz="4" w:space="0" w:color="auto"/>
              <w:bottom w:val="single" w:sz="4" w:space="0" w:color="auto"/>
              <w:right w:val="single" w:sz="4" w:space="0" w:color="auto"/>
            </w:tcBorders>
            <w:shd w:val="clear" w:color="auto" w:fill="auto"/>
            <w:noWrap/>
            <w:hideMark/>
          </w:tcPr>
          <w:p w14:paraId="1F53F96F"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4</w:t>
            </w:r>
          </w:p>
        </w:tc>
        <w:tc>
          <w:tcPr>
            <w:tcW w:w="6342" w:type="dxa"/>
            <w:tcBorders>
              <w:top w:val="nil"/>
              <w:left w:val="nil"/>
              <w:bottom w:val="single" w:sz="4" w:space="0" w:color="auto"/>
              <w:right w:val="nil"/>
            </w:tcBorders>
            <w:shd w:val="clear" w:color="000000" w:fill="D9D9D9"/>
            <w:vAlign w:val="bottom"/>
            <w:hideMark/>
          </w:tcPr>
          <w:p w14:paraId="7394CA46"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Contract type: GMS/PMS/APMS</w:t>
            </w:r>
          </w:p>
        </w:tc>
        <w:tc>
          <w:tcPr>
            <w:tcW w:w="2915" w:type="dxa"/>
            <w:tcBorders>
              <w:top w:val="nil"/>
              <w:left w:val="single" w:sz="4" w:space="0" w:color="auto"/>
              <w:bottom w:val="single" w:sz="4" w:space="0" w:color="auto"/>
              <w:right w:val="single" w:sz="4" w:space="0" w:color="auto"/>
            </w:tcBorders>
            <w:shd w:val="clear" w:color="000000" w:fill="F2DCDB"/>
            <w:vAlign w:val="bottom"/>
            <w:hideMark/>
          </w:tcPr>
          <w:p w14:paraId="2E20CD0D"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w:t>
            </w:r>
          </w:p>
        </w:tc>
        <w:tc>
          <w:tcPr>
            <w:tcW w:w="519" w:type="dxa"/>
            <w:tcBorders>
              <w:top w:val="nil"/>
              <w:left w:val="nil"/>
              <w:bottom w:val="nil"/>
              <w:right w:val="nil"/>
            </w:tcBorders>
            <w:shd w:val="clear" w:color="auto" w:fill="auto"/>
            <w:vAlign w:val="bottom"/>
            <w:hideMark/>
          </w:tcPr>
          <w:p w14:paraId="3B673BAC" w14:textId="77777777" w:rsidR="00472858" w:rsidRPr="00BB662E" w:rsidRDefault="00472858" w:rsidP="00472858">
            <w:pPr>
              <w:spacing w:before="60" w:after="60"/>
              <w:rPr>
                <w:rFonts w:ascii="Calibri" w:hAnsi="Calibri"/>
                <w:b/>
                <w:bCs w:val="0"/>
                <w:color w:val="000000"/>
                <w:lang w:eastAsia="en-GB"/>
              </w:rPr>
            </w:pPr>
          </w:p>
        </w:tc>
        <w:tc>
          <w:tcPr>
            <w:tcW w:w="1765" w:type="dxa"/>
            <w:tcBorders>
              <w:top w:val="nil"/>
              <w:left w:val="nil"/>
              <w:bottom w:val="nil"/>
              <w:right w:val="nil"/>
            </w:tcBorders>
            <w:shd w:val="clear" w:color="auto" w:fill="auto"/>
            <w:vAlign w:val="bottom"/>
            <w:hideMark/>
          </w:tcPr>
          <w:p w14:paraId="0269080F" w14:textId="77777777" w:rsidR="00472858" w:rsidRPr="00BB662E" w:rsidRDefault="00472858" w:rsidP="00472858">
            <w:pPr>
              <w:spacing w:before="60" w:after="60"/>
              <w:rPr>
                <w:rFonts w:ascii="Calibri" w:hAnsi="Calibri"/>
                <w:b/>
                <w:bCs w:val="0"/>
                <w:color w:val="000000"/>
                <w:lang w:eastAsia="en-GB"/>
              </w:rPr>
            </w:pPr>
          </w:p>
        </w:tc>
        <w:tc>
          <w:tcPr>
            <w:tcW w:w="2824" w:type="dxa"/>
            <w:tcBorders>
              <w:top w:val="nil"/>
              <w:left w:val="nil"/>
              <w:bottom w:val="nil"/>
              <w:right w:val="nil"/>
            </w:tcBorders>
            <w:shd w:val="clear" w:color="auto" w:fill="auto"/>
            <w:noWrap/>
            <w:vAlign w:val="bottom"/>
            <w:hideMark/>
          </w:tcPr>
          <w:p w14:paraId="1266E15F" w14:textId="77777777" w:rsidR="00472858" w:rsidRPr="00BB662E" w:rsidRDefault="00472858" w:rsidP="00472858">
            <w:pPr>
              <w:spacing w:before="60" w:after="60"/>
              <w:rPr>
                <w:rFonts w:ascii="Calibri" w:hAnsi="Calibri"/>
                <w:color w:val="000000"/>
                <w:lang w:eastAsia="en-GB"/>
              </w:rPr>
            </w:pPr>
          </w:p>
        </w:tc>
      </w:tr>
      <w:tr w:rsidR="00472858" w:rsidRPr="00BB662E" w14:paraId="61EF0D94" w14:textId="77777777" w:rsidTr="00472858">
        <w:trPr>
          <w:trHeight w:val="360"/>
        </w:trPr>
        <w:tc>
          <w:tcPr>
            <w:tcW w:w="607" w:type="dxa"/>
            <w:tcBorders>
              <w:top w:val="nil"/>
              <w:left w:val="single" w:sz="4" w:space="0" w:color="auto"/>
              <w:bottom w:val="single" w:sz="4" w:space="0" w:color="auto"/>
              <w:right w:val="single" w:sz="4" w:space="0" w:color="auto"/>
            </w:tcBorders>
            <w:shd w:val="clear" w:color="auto" w:fill="auto"/>
            <w:noWrap/>
            <w:hideMark/>
          </w:tcPr>
          <w:p w14:paraId="3BB2138E"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5</w:t>
            </w:r>
          </w:p>
        </w:tc>
        <w:tc>
          <w:tcPr>
            <w:tcW w:w="6342" w:type="dxa"/>
            <w:tcBorders>
              <w:top w:val="nil"/>
              <w:left w:val="nil"/>
              <w:bottom w:val="single" w:sz="4" w:space="0" w:color="auto"/>
              <w:right w:val="nil"/>
            </w:tcBorders>
            <w:shd w:val="clear" w:color="000000" w:fill="D9D9D9"/>
            <w:vAlign w:val="bottom"/>
            <w:hideMark/>
          </w:tcPr>
          <w:p w14:paraId="39A513F7"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Member of GP Federation (formal/informal?)</w:t>
            </w:r>
          </w:p>
        </w:tc>
        <w:tc>
          <w:tcPr>
            <w:tcW w:w="2915" w:type="dxa"/>
            <w:tcBorders>
              <w:top w:val="nil"/>
              <w:left w:val="single" w:sz="4" w:space="0" w:color="auto"/>
              <w:bottom w:val="single" w:sz="4" w:space="0" w:color="auto"/>
              <w:right w:val="nil"/>
            </w:tcBorders>
            <w:shd w:val="clear" w:color="000000" w:fill="F2DCDB"/>
            <w:vAlign w:val="bottom"/>
            <w:hideMark/>
          </w:tcPr>
          <w:p w14:paraId="0CFBBB5B"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Yes   /  No</w:t>
            </w:r>
          </w:p>
        </w:tc>
        <w:tc>
          <w:tcPr>
            <w:tcW w:w="519" w:type="dxa"/>
            <w:tcBorders>
              <w:top w:val="single" w:sz="4" w:space="0" w:color="auto"/>
              <w:left w:val="single" w:sz="4" w:space="0" w:color="auto"/>
              <w:bottom w:val="single" w:sz="4" w:space="0" w:color="auto"/>
              <w:right w:val="nil"/>
            </w:tcBorders>
            <w:shd w:val="clear" w:color="000000" w:fill="D9D9D9"/>
            <w:noWrap/>
            <w:vAlign w:val="bottom"/>
            <w:hideMark/>
          </w:tcPr>
          <w:p w14:paraId="304F569F"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 </w:t>
            </w:r>
          </w:p>
        </w:tc>
        <w:tc>
          <w:tcPr>
            <w:tcW w:w="1765" w:type="dxa"/>
            <w:tcBorders>
              <w:top w:val="single" w:sz="4" w:space="0" w:color="auto"/>
              <w:left w:val="nil"/>
              <w:bottom w:val="single" w:sz="4" w:space="0" w:color="auto"/>
              <w:right w:val="single" w:sz="4" w:space="0" w:color="auto"/>
            </w:tcBorders>
            <w:shd w:val="clear" w:color="000000" w:fill="D9D9D9"/>
            <w:noWrap/>
            <w:vAlign w:val="bottom"/>
            <w:hideMark/>
          </w:tcPr>
          <w:p w14:paraId="6EBACCF4" w14:textId="77777777" w:rsidR="00472858" w:rsidRPr="00BB662E" w:rsidRDefault="00472858" w:rsidP="00472858">
            <w:pPr>
              <w:spacing w:before="60" w:after="60"/>
              <w:jc w:val="right"/>
              <w:rPr>
                <w:rFonts w:ascii="Calibri" w:hAnsi="Calibri"/>
                <w:b/>
                <w:bCs w:val="0"/>
                <w:color w:val="000000"/>
                <w:lang w:eastAsia="en-GB"/>
              </w:rPr>
            </w:pPr>
            <w:r w:rsidRPr="00BB662E">
              <w:rPr>
                <w:rFonts w:ascii="Calibri" w:hAnsi="Calibri"/>
                <w:b/>
                <w:color w:val="000000"/>
                <w:lang w:eastAsia="en-GB"/>
              </w:rPr>
              <w:t>Name:</w:t>
            </w:r>
          </w:p>
        </w:tc>
        <w:tc>
          <w:tcPr>
            <w:tcW w:w="2824" w:type="dxa"/>
            <w:tcBorders>
              <w:top w:val="single" w:sz="4" w:space="0" w:color="auto"/>
              <w:left w:val="nil"/>
              <w:bottom w:val="single" w:sz="4" w:space="0" w:color="auto"/>
              <w:right w:val="single" w:sz="4" w:space="0" w:color="auto"/>
            </w:tcBorders>
            <w:shd w:val="clear" w:color="000000" w:fill="F2DCDB"/>
            <w:noWrap/>
            <w:vAlign w:val="bottom"/>
            <w:hideMark/>
          </w:tcPr>
          <w:p w14:paraId="0F559984"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 </w:t>
            </w:r>
          </w:p>
        </w:tc>
      </w:tr>
      <w:tr w:rsidR="00472858" w:rsidRPr="00BB662E" w14:paraId="594ACD6D" w14:textId="77777777" w:rsidTr="00472858">
        <w:trPr>
          <w:trHeight w:val="300"/>
        </w:trPr>
        <w:tc>
          <w:tcPr>
            <w:tcW w:w="607" w:type="dxa"/>
            <w:tcBorders>
              <w:top w:val="nil"/>
              <w:left w:val="single" w:sz="4" w:space="0" w:color="auto"/>
              <w:bottom w:val="single" w:sz="4" w:space="0" w:color="auto"/>
              <w:right w:val="single" w:sz="4" w:space="0" w:color="auto"/>
            </w:tcBorders>
            <w:shd w:val="clear" w:color="auto" w:fill="auto"/>
            <w:noWrap/>
            <w:hideMark/>
          </w:tcPr>
          <w:p w14:paraId="2AE8E28C"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6</w:t>
            </w:r>
          </w:p>
        </w:tc>
        <w:tc>
          <w:tcPr>
            <w:tcW w:w="6342" w:type="dxa"/>
            <w:tcBorders>
              <w:top w:val="nil"/>
              <w:left w:val="nil"/>
              <w:bottom w:val="single" w:sz="4" w:space="0" w:color="auto"/>
              <w:right w:val="nil"/>
            </w:tcBorders>
            <w:shd w:val="clear" w:color="000000" w:fill="D9D9D9"/>
            <w:vAlign w:val="bottom"/>
            <w:hideMark/>
          </w:tcPr>
          <w:p w14:paraId="4347F165"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CCG Name:</w:t>
            </w:r>
          </w:p>
        </w:tc>
        <w:tc>
          <w:tcPr>
            <w:tcW w:w="2915" w:type="dxa"/>
            <w:tcBorders>
              <w:top w:val="nil"/>
              <w:left w:val="single" w:sz="4" w:space="0" w:color="auto"/>
              <w:bottom w:val="single" w:sz="4" w:space="0" w:color="auto"/>
              <w:right w:val="nil"/>
            </w:tcBorders>
            <w:shd w:val="clear" w:color="000000" w:fill="F2DCDB"/>
            <w:vAlign w:val="bottom"/>
            <w:hideMark/>
          </w:tcPr>
          <w:p w14:paraId="3A04960B"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w:t>
            </w:r>
          </w:p>
        </w:tc>
        <w:tc>
          <w:tcPr>
            <w:tcW w:w="519" w:type="dxa"/>
            <w:tcBorders>
              <w:top w:val="nil"/>
              <w:left w:val="nil"/>
              <w:bottom w:val="single" w:sz="4" w:space="0" w:color="auto"/>
              <w:right w:val="nil"/>
            </w:tcBorders>
            <w:shd w:val="clear" w:color="000000" w:fill="F2DCDB"/>
            <w:vAlign w:val="bottom"/>
            <w:hideMark/>
          </w:tcPr>
          <w:p w14:paraId="5CFD027B"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w:t>
            </w:r>
          </w:p>
        </w:tc>
        <w:tc>
          <w:tcPr>
            <w:tcW w:w="1765" w:type="dxa"/>
            <w:tcBorders>
              <w:top w:val="nil"/>
              <w:left w:val="nil"/>
              <w:bottom w:val="single" w:sz="4" w:space="0" w:color="auto"/>
              <w:right w:val="nil"/>
            </w:tcBorders>
            <w:shd w:val="clear" w:color="000000" w:fill="F2DCDB"/>
            <w:vAlign w:val="bottom"/>
            <w:hideMark/>
          </w:tcPr>
          <w:p w14:paraId="71550465"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w:t>
            </w:r>
          </w:p>
        </w:tc>
        <w:tc>
          <w:tcPr>
            <w:tcW w:w="2824" w:type="dxa"/>
            <w:tcBorders>
              <w:top w:val="nil"/>
              <w:left w:val="nil"/>
              <w:bottom w:val="single" w:sz="4" w:space="0" w:color="auto"/>
              <w:right w:val="single" w:sz="4" w:space="0" w:color="auto"/>
            </w:tcBorders>
            <w:shd w:val="clear" w:color="000000" w:fill="F2DCDB"/>
            <w:noWrap/>
            <w:vAlign w:val="bottom"/>
            <w:hideMark/>
          </w:tcPr>
          <w:p w14:paraId="65967D1E"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w:t>
            </w:r>
          </w:p>
        </w:tc>
      </w:tr>
      <w:tr w:rsidR="00472858" w:rsidRPr="00BB662E" w14:paraId="1FE8C4EB" w14:textId="77777777" w:rsidTr="00472858">
        <w:trPr>
          <w:trHeight w:val="300"/>
        </w:trPr>
        <w:tc>
          <w:tcPr>
            <w:tcW w:w="607" w:type="dxa"/>
            <w:tcBorders>
              <w:top w:val="nil"/>
              <w:left w:val="single" w:sz="4" w:space="0" w:color="auto"/>
              <w:bottom w:val="single" w:sz="4" w:space="0" w:color="auto"/>
              <w:right w:val="single" w:sz="4" w:space="0" w:color="auto"/>
            </w:tcBorders>
            <w:shd w:val="clear" w:color="auto" w:fill="auto"/>
            <w:noWrap/>
            <w:hideMark/>
          </w:tcPr>
          <w:p w14:paraId="25B7AD29"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7</w:t>
            </w:r>
          </w:p>
        </w:tc>
        <w:tc>
          <w:tcPr>
            <w:tcW w:w="6342" w:type="dxa"/>
            <w:tcBorders>
              <w:top w:val="nil"/>
              <w:left w:val="nil"/>
              <w:bottom w:val="single" w:sz="4" w:space="0" w:color="auto"/>
              <w:right w:val="nil"/>
            </w:tcBorders>
            <w:shd w:val="clear" w:color="000000" w:fill="D9D9D9"/>
            <w:vAlign w:val="bottom"/>
            <w:hideMark/>
          </w:tcPr>
          <w:p w14:paraId="127ABA37"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Practice Address (of all contract sites)</w:t>
            </w:r>
          </w:p>
        </w:tc>
        <w:tc>
          <w:tcPr>
            <w:tcW w:w="2915" w:type="dxa"/>
            <w:tcBorders>
              <w:top w:val="nil"/>
              <w:left w:val="single" w:sz="4" w:space="0" w:color="auto"/>
              <w:bottom w:val="single" w:sz="4" w:space="0" w:color="auto"/>
              <w:right w:val="nil"/>
            </w:tcBorders>
            <w:shd w:val="clear" w:color="000000" w:fill="F2DCDB"/>
            <w:vAlign w:val="bottom"/>
            <w:hideMark/>
          </w:tcPr>
          <w:p w14:paraId="09468BED"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1</w:t>
            </w:r>
          </w:p>
        </w:tc>
        <w:tc>
          <w:tcPr>
            <w:tcW w:w="519" w:type="dxa"/>
            <w:tcBorders>
              <w:top w:val="nil"/>
              <w:left w:val="nil"/>
              <w:bottom w:val="single" w:sz="4" w:space="0" w:color="auto"/>
              <w:right w:val="nil"/>
            </w:tcBorders>
            <w:shd w:val="clear" w:color="000000" w:fill="F2DCDB"/>
            <w:vAlign w:val="bottom"/>
            <w:hideMark/>
          </w:tcPr>
          <w:p w14:paraId="7272C28F"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 </w:t>
            </w:r>
          </w:p>
        </w:tc>
        <w:tc>
          <w:tcPr>
            <w:tcW w:w="1765" w:type="dxa"/>
            <w:tcBorders>
              <w:top w:val="nil"/>
              <w:left w:val="nil"/>
              <w:bottom w:val="single" w:sz="4" w:space="0" w:color="auto"/>
              <w:right w:val="nil"/>
            </w:tcBorders>
            <w:shd w:val="clear" w:color="000000" w:fill="F2DCDB"/>
            <w:vAlign w:val="bottom"/>
            <w:hideMark/>
          </w:tcPr>
          <w:p w14:paraId="379EE262"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 </w:t>
            </w:r>
          </w:p>
        </w:tc>
        <w:tc>
          <w:tcPr>
            <w:tcW w:w="2824" w:type="dxa"/>
            <w:tcBorders>
              <w:top w:val="nil"/>
              <w:left w:val="nil"/>
              <w:bottom w:val="single" w:sz="4" w:space="0" w:color="auto"/>
              <w:right w:val="single" w:sz="4" w:space="0" w:color="auto"/>
            </w:tcBorders>
            <w:shd w:val="clear" w:color="000000" w:fill="F2DCDB"/>
            <w:noWrap/>
            <w:vAlign w:val="bottom"/>
            <w:hideMark/>
          </w:tcPr>
          <w:p w14:paraId="655F9BCC"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 </w:t>
            </w:r>
          </w:p>
        </w:tc>
      </w:tr>
      <w:tr w:rsidR="00472858" w:rsidRPr="00BB662E" w14:paraId="2D5D571D" w14:textId="77777777" w:rsidTr="00472858">
        <w:trPr>
          <w:trHeight w:val="300"/>
        </w:trPr>
        <w:tc>
          <w:tcPr>
            <w:tcW w:w="607" w:type="dxa"/>
            <w:tcBorders>
              <w:top w:val="nil"/>
              <w:left w:val="single" w:sz="4" w:space="0" w:color="auto"/>
              <w:bottom w:val="single" w:sz="4" w:space="0" w:color="auto"/>
              <w:right w:val="single" w:sz="4" w:space="0" w:color="auto"/>
            </w:tcBorders>
            <w:shd w:val="clear" w:color="auto" w:fill="auto"/>
            <w:noWrap/>
            <w:hideMark/>
          </w:tcPr>
          <w:p w14:paraId="3FD71CC0"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 </w:t>
            </w:r>
          </w:p>
        </w:tc>
        <w:tc>
          <w:tcPr>
            <w:tcW w:w="6342" w:type="dxa"/>
            <w:tcBorders>
              <w:top w:val="nil"/>
              <w:left w:val="nil"/>
              <w:bottom w:val="single" w:sz="4" w:space="0" w:color="auto"/>
              <w:right w:val="nil"/>
            </w:tcBorders>
            <w:shd w:val="clear" w:color="auto" w:fill="auto"/>
            <w:vAlign w:val="bottom"/>
            <w:hideMark/>
          </w:tcPr>
          <w:p w14:paraId="3A76C020"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 </w:t>
            </w:r>
          </w:p>
        </w:tc>
        <w:tc>
          <w:tcPr>
            <w:tcW w:w="2915" w:type="dxa"/>
            <w:tcBorders>
              <w:top w:val="nil"/>
              <w:left w:val="single" w:sz="4" w:space="0" w:color="auto"/>
              <w:bottom w:val="single" w:sz="4" w:space="0" w:color="auto"/>
              <w:right w:val="nil"/>
            </w:tcBorders>
            <w:shd w:val="clear" w:color="000000" w:fill="F2DCDB"/>
            <w:vAlign w:val="bottom"/>
            <w:hideMark/>
          </w:tcPr>
          <w:p w14:paraId="78B56550"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2</w:t>
            </w:r>
          </w:p>
        </w:tc>
        <w:tc>
          <w:tcPr>
            <w:tcW w:w="519" w:type="dxa"/>
            <w:tcBorders>
              <w:top w:val="nil"/>
              <w:left w:val="nil"/>
              <w:bottom w:val="single" w:sz="4" w:space="0" w:color="auto"/>
              <w:right w:val="nil"/>
            </w:tcBorders>
            <w:shd w:val="clear" w:color="000000" w:fill="F2DCDB"/>
            <w:vAlign w:val="bottom"/>
            <w:hideMark/>
          </w:tcPr>
          <w:p w14:paraId="61FC9829"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 </w:t>
            </w:r>
          </w:p>
        </w:tc>
        <w:tc>
          <w:tcPr>
            <w:tcW w:w="1765" w:type="dxa"/>
            <w:tcBorders>
              <w:top w:val="nil"/>
              <w:left w:val="nil"/>
              <w:bottom w:val="single" w:sz="4" w:space="0" w:color="auto"/>
              <w:right w:val="nil"/>
            </w:tcBorders>
            <w:shd w:val="clear" w:color="000000" w:fill="F2DCDB"/>
            <w:vAlign w:val="bottom"/>
            <w:hideMark/>
          </w:tcPr>
          <w:p w14:paraId="32663E87"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 </w:t>
            </w:r>
          </w:p>
        </w:tc>
        <w:tc>
          <w:tcPr>
            <w:tcW w:w="2824" w:type="dxa"/>
            <w:tcBorders>
              <w:top w:val="nil"/>
              <w:left w:val="nil"/>
              <w:bottom w:val="single" w:sz="4" w:space="0" w:color="auto"/>
              <w:right w:val="single" w:sz="4" w:space="0" w:color="auto"/>
            </w:tcBorders>
            <w:shd w:val="clear" w:color="000000" w:fill="F2DCDB"/>
            <w:noWrap/>
            <w:vAlign w:val="bottom"/>
            <w:hideMark/>
          </w:tcPr>
          <w:p w14:paraId="17798E86"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 </w:t>
            </w:r>
          </w:p>
        </w:tc>
      </w:tr>
      <w:tr w:rsidR="00472858" w:rsidRPr="00BB662E" w14:paraId="47195161" w14:textId="77777777" w:rsidTr="00472858">
        <w:trPr>
          <w:trHeight w:val="300"/>
        </w:trPr>
        <w:tc>
          <w:tcPr>
            <w:tcW w:w="607" w:type="dxa"/>
            <w:tcBorders>
              <w:top w:val="nil"/>
              <w:left w:val="single" w:sz="4" w:space="0" w:color="auto"/>
              <w:bottom w:val="single" w:sz="4" w:space="0" w:color="auto"/>
              <w:right w:val="single" w:sz="4" w:space="0" w:color="auto"/>
            </w:tcBorders>
            <w:shd w:val="clear" w:color="auto" w:fill="auto"/>
            <w:noWrap/>
            <w:hideMark/>
          </w:tcPr>
          <w:p w14:paraId="70E3C25B"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 </w:t>
            </w:r>
          </w:p>
        </w:tc>
        <w:tc>
          <w:tcPr>
            <w:tcW w:w="6342" w:type="dxa"/>
            <w:tcBorders>
              <w:top w:val="nil"/>
              <w:left w:val="nil"/>
              <w:bottom w:val="single" w:sz="4" w:space="0" w:color="auto"/>
              <w:right w:val="nil"/>
            </w:tcBorders>
            <w:shd w:val="clear" w:color="auto" w:fill="auto"/>
            <w:vAlign w:val="bottom"/>
            <w:hideMark/>
          </w:tcPr>
          <w:p w14:paraId="6CA4208E"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 </w:t>
            </w:r>
          </w:p>
        </w:tc>
        <w:tc>
          <w:tcPr>
            <w:tcW w:w="2915" w:type="dxa"/>
            <w:tcBorders>
              <w:top w:val="nil"/>
              <w:left w:val="single" w:sz="4" w:space="0" w:color="auto"/>
              <w:bottom w:val="single" w:sz="4" w:space="0" w:color="auto"/>
              <w:right w:val="nil"/>
            </w:tcBorders>
            <w:shd w:val="clear" w:color="000000" w:fill="F2DCDB"/>
            <w:vAlign w:val="bottom"/>
            <w:hideMark/>
          </w:tcPr>
          <w:p w14:paraId="6F81DF65"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3</w:t>
            </w:r>
          </w:p>
        </w:tc>
        <w:tc>
          <w:tcPr>
            <w:tcW w:w="519" w:type="dxa"/>
            <w:tcBorders>
              <w:top w:val="nil"/>
              <w:left w:val="nil"/>
              <w:bottom w:val="single" w:sz="4" w:space="0" w:color="auto"/>
              <w:right w:val="nil"/>
            </w:tcBorders>
            <w:shd w:val="clear" w:color="000000" w:fill="F2DCDB"/>
            <w:vAlign w:val="bottom"/>
            <w:hideMark/>
          </w:tcPr>
          <w:p w14:paraId="6464109D"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 </w:t>
            </w:r>
          </w:p>
        </w:tc>
        <w:tc>
          <w:tcPr>
            <w:tcW w:w="1765" w:type="dxa"/>
            <w:tcBorders>
              <w:top w:val="nil"/>
              <w:left w:val="nil"/>
              <w:bottom w:val="single" w:sz="4" w:space="0" w:color="auto"/>
              <w:right w:val="nil"/>
            </w:tcBorders>
            <w:shd w:val="clear" w:color="000000" w:fill="F2DCDB"/>
            <w:vAlign w:val="bottom"/>
            <w:hideMark/>
          </w:tcPr>
          <w:p w14:paraId="6DDE38AA"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 </w:t>
            </w:r>
          </w:p>
        </w:tc>
        <w:tc>
          <w:tcPr>
            <w:tcW w:w="2824" w:type="dxa"/>
            <w:tcBorders>
              <w:top w:val="nil"/>
              <w:left w:val="nil"/>
              <w:bottom w:val="single" w:sz="4" w:space="0" w:color="auto"/>
              <w:right w:val="single" w:sz="4" w:space="0" w:color="auto"/>
            </w:tcBorders>
            <w:shd w:val="clear" w:color="000000" w:fill="F2DCDB"/>
            <w:noWrap/>
            <w:vAlign w:val="bottom"/>
            <w:hideMark/>
          </w:tcPr>
          <w:p w14:paraId="0130C59A"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 </w:t>
            </w:r>
          </w:p>
        </w:tc>
      </w:tr>
      <w:tr w:rsidR="00472858" w:rsidRPr="00BB662E" w14:paraId="3BF69062" w14:textId="77777777" w:rsidTr="00472858">
        <w:trPr>
          <w:trHeight w:val="300"/>
        </w:trPr>
        <w:tc>
          <w:tcPr>
            <w:tcW w:w="607" w:type="dxa"/>
            <w:tcBorders>
              <w:top w:val="nil"/>
              <w:left w:val="single" w:sz="4" w:space="0" w:color="auto"/>
              <w:bottom w:val="single" w:sz="4" w:space="0" w:color="auto"/>
              <w:right w:val="single" w:sz="4" w:space="0" w:color="auto"/>
            </w:tcBorders>
            <w:shd w:val="clear" w:color="auto" w:fill="auto"/>
            <w:noWrap/>
            <w:hideMark/>
          </w:tcPr>
          <w:p w14:paraId="3153C511"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8</w:t>
            </w:r>
          </w:p>
        </w:tc>
        <w:tc>
          <w:tcPr>
            <w:tcW w:w="6342" w:type="dxa"/>
            <w:tcBorders>
              <w:top w:val="nil"/>
              <w:left w:val="nil"/>
              <w:bottom w:val="single" w:sz="4" w:space="0" w:color="auto"/>
              <w:right w:val="single" w:sz="4" w:space="0" w:color="auto"/>
            </w:tcBorders>
            <w:shd w:val="clear" w:color="000000" w:fill="D9D9D9"/>
            <w:vAlign w:val="bottom"/>
            <w:hideMark/>
          </w:tcPr>
          <w:p w14:paraId="75BBDF69" w14:textId="77777777" w:rsidR="00472858" w:rsidRPr="00BB662E" w:rsidRDefault="00472858" w:rsidP="00472858">
            <w:pPr>
              <w:spacing w:before="60" w:after="60"/>
              <w:jc w:val="right"/>
              <w:rPr>
                <w:rFonts w:ascii="Calibri" w:hAnsi="Calibri"/>
                <w:b/>
                <w:bCs w:val="0"/>
                <w:color w:val="000000"/>
                <w:lang w:eastAsia="en-GB"/>
              </w:rPr>
            </w:pPr>
            <w:r w:rsidRPr="00BB662E">
              <w:rPr>
                <w:rFonts w:ascii="Calibri" w:hAnsi="Calibri"/>
                <w:b/>
                <w:color w:val="000000"/>
                <w:lang w:eastAsia="en-GB"/>
              </w:rPr>
              <w:t>Practice Raw List Size - Last Quarter</w:t>
            </w:r>
          </w:p>
        </w:tc>
        <w:tc>
          <w:tcPr>
            <w:tcW w:w="2915" w:type="dxa"/>
            <w:tcBorders>
              <w:top w:val="nil"/>
              <w:left w:val="nil"/>
              <w:bottom w:val="single" w:sz="4" w:space="0" w:color="auto"/>
              <w:right w:val="single" w:sz="4" w:space="0" w:color="auto"/>
            </w:tcBorders>
            <w:shd w:val="clear" w:color="000000" w:fill="F2DCDB"/>
            <w:vAlign w:val="bottom"/>
            <w:hideMark/>
          </w:tcPr>
          <w:p w14:paraId="4376AEDD"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w:t>
            </w:r>
          </w:p>
        </w:tc>
        <w:tc>
          <w:tcPr>
            <w:tcW w:w="519" w:type="dxa"/>
            <w:tcBorders>
              <w:top w:val="nil"/>
              <w:left w:val="nil"/>
              <w:bottom w:val="nil"/>
              <w:right w:val="nil"/>
            </w:tcBorders>
            <w:shd w:val="clear" w:color="auto" w:fill="auto"/>
            <w:vAlign w:val="bottom"/>
            <w:hideMark/>
          </w:tcPr>
          <w:p w14:paraId="3B1F2788" w14:textId="77777777" w:rsidR="00472858" w:rsidRPr="00BB662E" w:rsidRDefault="00472858" w:rsidP="00472858">
            <w:pPr>
              <w:spacing w:before="60" w:after="60"/>
              <w:rPr>
                <w:rFonts w:ascii="Calibri" w:hAnsi="Calibri"/>
                <w:b/>
                <w:bCs w:val="0"/>
                <w:color w:val="000000"/>
                <w:lang w:eastAsia="en-GB"/>
              </w:rPr>
            </w:pPr>
          </w:p>
        </w:tc>
        <w:tc>
          <w:tcPr>
            <w:tcW w:w="1765" w:type="dxa"/>
            <w:tcBorders>
              <w:top w:val="nil"/>
              <w:left w:val="nil"/>
              <w:bottom w:val="nil"/>
              <w:right w:val="nil"/>
            </w:tcBorders>
            <w:shd w:val="clear" w:color="auto" w:fill="auto"/>
            <w:vAlign w:val="bottom"/>
            <w:hideMark/>
          </w:tcPr>
          <w:p w14:paraId="353C5EAE" w14:textId="77777777" w:rsidR="00472858" w:rsidRPr="00BB662E" w:rsidRDefault="00472858" w:rsidP="00472858">
            <w:pPr>
              <w:spacing w:before="60" w:after="60"/>
              <w:rPr>
                <w:rFonts w:ascii="Calibri" w:hAnsi="Calibri"/>
                <w:b/>
                <w:bCs w:val="0"/>
                <w:color w:val="000000"/>
                <w:lang w:eastAsia="en-GB"/>
              </w:rPr>
            </w:pPr>
          </w:p>
        </w:tc>
        <w:tc>
          <w:tcPr>
            <w:tcW w:w="2824" w:type="dxa"/>
            <w:tcBorders>
              <w:top w:val="nil"/>
              <w:left w:val="nil"/>
              <w:bottom w:val="nil"/>
              <w:right w:val="nil"/>
            </w:tcBorders>
            <w:shd w:val="clear" w:color="auto" w:fill="auto"/>
            <w:noWrap/>
            <w:vAlign w:val="bottom"/>
            <w:hideMark/>
          </w:tcPr>
          <w:p w14:paraId="6808FD9E" w14:textId="77777777" w:rsidR="00472858" w:rsidRPr="00BB662E" w:rsidRDefault="00472858" w:rsidP="00472858">
            <w:pPr>
              <w:spacing w:before="60" w:after="60"/>
              <w:rPr>
                <w:rFonts w:ascii="Calibri" w:hAnsi="Calibri"/>
                <w:color w:val="000000"/>
                <w:lang w:eastAsia="en-GB"/>
              </w:rPr>
            </w:pPr>
          </w:p>
        </w:tc>
      </w:tr>
      <w:tr w:rsidR="00472858" w:rsidRPr="00BB662E" w14:paraId="7E8EFD6B" w14:textId="77777777" w:rsidTr="00472858">
        <w:trPr>
          <w:trHeight w:val="300"/>
        </w:trPr>
        <w:tc>
          <w:tcPr>
            <w:tcW w:w="607" w:type="dxa"/>
            <w:tcBorders>
              <w:top w:val="nil"/>
              <w:left w:val="single" w:sz="4" w:space="0" w:color="auto"/>
              <w:bottom w:val="single" w:sz="4" w:space="0" w:color="auto"/>
              <w:right w:val="single" w:sz="4" w:space="0" w:color="auto"/>
            </w:tcBorders>
            <w:shd w:val="clear" w:color="auto" w:fill="auto"/>
            <w:noWrap/>
            <w:hideMark/>
          </w:tcPr>
          <w:p w14:paraId="7D0DCE59"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9</w:t>
            </w:r>
          </w:p>
        </w:tc>
        <w:tc>
          <w:tcPr>
            <w:tcW w:w="6342" w:type="dxa"/>
            <w:tcBorders>
              <w:top w:val="nil"/>
              <w:left w:val="nil"/>
              <w:bottom w:val="single" w:sz="4" w:space="0" w:color="auto"/>
              <w:right w:val="single" w:sz="4" w:space="0" w:color="auto"/>
            </w:tcBorders>
            <w:shd w:val="clear" w:color="000000" w:fill="D9D9D9"/>
            <w:vAlign w:val="bottom"/>
            <w:hideMark/>
          </w:tcPr>
          <w:p w14:paraId="15B228DE" w14:textId="77777777" w:rsidR="00472858" w:rsidRPr="00BB662E" w:rsidRDefault="00472858" w:rsidP="00472858">
            <w:pPr>
              <w:spacing w:before="60" w:after="60"/>
              <w:jc w:val="right"/>
              <w:rPr>
                <w:rFonts w:ascii="Calibri" w:hAnsi="Calibri"/>
                <w:b/>
                <w:bCs w:val="0"/>
                <w:color w:val="000000"/>
                <w:lang w:eastAsia="en-GB"/>
              </w:rPr>
            </w:pPr>
            <w:r w:rsidRPr="00BB662E">
              <w:rPr>
                <w:rFonts w:ascii="Calibri" w:hAnsi="Calibri"/>
                <w:b/>
                <w:color w:val="000000"/>
                <w:lang w:eastAsia="en-GB"/>
              </w:rPr>
              <w:t>Practice Weighted List Size - Last Quarter</w:t>
            </w:r>
          </w:p>
        </w:tc>
        <w:tc>
          <w:tcPr>
            <w:tcW w:w="2915" w:type="dxa"/>
            <w:tcBorders>
              <w:top w:val="nil"/>
              <w:left w:val="nil"/>
              <w:bottom w:val="single" w:sz="4" w:space="0" w:color="auto"/>
              <w:right w:val="single" w:sz="4" w:space="0" w:color="auto"/>
            </w:tcBorders>
            <w:shd w:val="clear" w:color="000000" w:fill="F2DCDB"/>
            <w:vAlign w:val="bottom"/>
            <w:hideMark/>
          </w:tcPr>
          <w:p w14:paraId="6ED67BC7"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w:t>
            </w:r>
          </w:p>
        </w:tc>
        <w:tc>
          <w:tcPr>
            <w:tcW w:w="519" w:type="dxa"/>
            <w:tcBorders>
              <w:top w:val="nil"/>
              <w:left w:val="nil"/>
              <w:bottom w:val="nil"/>
              <w:right w:val="nil"/>
            </w:tcBorders>
            <w:shd w:val="clear" w:color="auto" w:fill="auto"/>
            <w:vAlign w:val="bottom"/>
            <w:hideMark/>
          </w:tcPr>
          <w:p w14:paraId="355764CC" w14:textId="77777777" w:rsidR="00472858" w:rsidRPr="00BB662E" w:rsidRDefault="00472858" w:rsidP="00472858">
            <w:pPr>
              <w:spacing w:before="60" w:after="60"/>
              <w:rPr>
                <w:rFonts w:ascii="Calibri" w:hAnsi="Calibri"/>
                <w:b/>
                <w:bCs w:val="0"/>
                <w:color w:val="000000"/>
                <w:lang w:eastAsia="en-GB"/>
              </w:rPr>
            </w:pPr>
          </w:p>
        </w:tc>
        <w:tc>
          <w:tcPr>
            <w:tcW w:w="1765" w:type="dxa"/>
            <w:tcBorders>
              <w:top w:val="nil"/>
              <w:left w:val="nil"/>
              <w:bottom w:val="nil"/>
              <w:right w:val="nil"/>
            </w:tcBorders>
            <w:shd w:val="clear" w:color="auto" w:fill="auto"/>
            <w:vAlign w:val="bottom"/>
            <w:hideMark/>
          </w:tcPr>
          <w:p w14:paraId="74C2C856" w14:textId="77777777" w:rsidR="00472858" w:rsidRPr="00BB662E" w:rsidRDefault="00472858" w:rsidP="00472858">
            <w:pPr>
              <w:spacing w:before="60" w:after="60"/>
              <w:rPr>
                <w:rFonts w:ascii="Calibri" w:hAnsi="Calibri"/>
                <w:b/>
                <w:bCs w:val="0"/>
                <w:color w:val="000000"/>
                <w:lang w:eastAsia="en-GB"/>
              </w:rPr>
            </w:pPr>
          </w:p>
        </w:tc>
        <w:tc>
          <w:tcPr>
            <w:tcW w:w="2824" w:type="dxa"/>
            <w:tcBorders>
              <w:top w:val="nil"/>
              <w:left w:val="nil"/>
              <w:bottom w:val="nil"/>
              <w:right w:val="nil"/>
            </w:tcBorders>
            <w:shd w:val="clear" w:color="auto" w:fill="auto"/>
            <w:noWrap/>
            <w:vAlign w:val="bottom"/>
            <w:hideMark/>
          </w:tcPr>
          <w:p w14:paraId="6F8C9076" w14:textId="77777777" w:rsidR="00472858" w:rsidRPr="00BB662E" w:rsidRDefault="00472858" w:rsidP="00472858">
            <w:pPr>
              <w:spacing w:before="60" w:after="60"/>
              <w:rPr>
                <w:rFonts w:ascii="Calibri" w:hAnsi="Calibri"/>
                <w:color w:val="000000"/>
                <w:lang w:eastAsia="en-GB"/>
              </w:rPr>
            </w:pPr>
          </w:p>
        </w:tc>
      </w:tr>
      <w:tr w:rsidR="00472858" w:rsidRPr="00BB662E" w14:paraId="1783CEA3" w14:textId="77777777" w:rsidTr="00472858">
        <w:trPr>
          <w:trHeight w:val="210"/>
        </w:trPr>
        <w:tc>
          <w:tcPr>
            <w:tcW w:w="607" w:type="dxa"/>
            <w:tcBorders>
              <w:top w:val="nil"/>
              <w:left w:val="nil"/>
              <w:bottom w:val="nil"/>
              <w:right w:val="nil"/>
            </w:tcBorders>
            <w:shd w:val="clear" w:color="auto" w:fill="auto"/>
            <w:noWrap/>
            <w:hideMark/>
          </w:tcPr>
          <w:p w14:paraId="4E9CEA21" w14:textId="77777777" w:rsidR="00472858" w:rsidRPr="00BB662E" w:rsidRDefault="00472858" w:rsidP="00472858">
            <w:pPr>
              <w:spacing w:before="60" w:after="60"/>
              <w:jc w:val="center"/>
              <w:rPr>
                <w:rFonts w:ascii="Calibri" w:hAnsi="Calibri"/>
                <w:color w:val="000000"/>
                <w:lang w:eastAsia="en-GB"/>
              </w:rPr>
            </w:pPr>
          </w:p>
        </w:tc>
        <w:tc>
          <w:tcPr>
            <w:tcW w:w="6342" w:type="dxa"/>
            <w:tcBorders>
              <w:top w:val="nil"/>
              <w:left w:val="nil"/>
              <w:bottom w:val="nil"/>
              <w:right w:val="nil"/>
            </w:tcBorders>
            <w:shd w:val="clear" w:color="auto" w:fill="auto"/>
            <w:vAlign w:val="bottom"/>
            <w:hideMark/>
          </w:tcPr>
          <w:p w14:paraId="74CEE25B" w14:textId="77777777" w:rsidR="00472858" w:rsidRPr="00BB662E" w:rsidRDefault="00472858" w:rsidP="00472858">
            <w:pPr>
              <w:spacing w:before="60" w:after="60"/>
              <w:rPr>
                <w:rFonts w:ascii="Calibri" w:hAnsi="Calibri"/>
                <w:b/>
                <w:bCs w:val="0"/>
                <w:color w:val="000000"/>
                <w:lang w:eastAsia="en-GB"/>
              </w:rPr>
            </w:pPr>
          </w:p>
        </w:tc>
        <w:tc>
          <w:tcPr>
            <w:tcW w:w="2915" w:type="dxa"/>
            <w:tcBorders>
              <w:top w:val="nil"/>
              <w:left w:val="nil"/>
              <w:bottom w:val="nil"/>
              <w:right w:val="nil"/>
            </w:tcBorders>
            <w:shd w:val="clear" w:color="auto" w:fill="auto"/>
            <w:vAlign w:val="bottom"/>
            <w:hideMark/>
          </w:tcPr>
          <w:p w14:paraId="3FCEAC41" w14:textId="77777777" w:rsidR="00472858" w:rsidRPr="00BB662E" w:rsidRDefault="00472858" w:rsidP="00472858">
            <w:pPr>
              <w:spacing w:before="60" w:after="60"/>
              <w:rPr>
                <w:rFonts w:ascii="Calibri" w:hAnsi="Calibri"/>
                <w:b/>
                <w:bCs w:val="0"/>
                <w:color w:val="000000"/>
                <w:lang w:eastAsia="en-GB"/>
              </w:rPr>
            </w:pPr>
          </w:p>
        </w:tc>
        <w:tc>
          <w:tcPr>
            <w:tcW w:w="519" w:type="dxa"/>
            <w:tcBorders>
              <w:top w:val="nil"/>
              <w:left w:val="nil"/>
              <w:bottom w:val="nil"/>
              <w:right w:val="nil"/>
            </w:tcBorders>
            <w:shd w:val="clear" w:color="auto" w:fill="auto"/>
            <w:vAlign w:val="bottom"/>
            <w:hideMark/>
          </w:tcPr>
          <w:p w14:paraId="76B3025E" w14:textId="77777777" w:rsidR="00472858" w:rsidRPr="00BB662E" w:rsidRDefault="00472858" w:rsidP="00472858">
            <w:pPr>
              <w:spacing w:before="60" w:after="60"/>
              <w:rPr>
                <w:rFonts w:ascii="Calibri" w:hAnsi="Calibri"/>
                <w:b/>
                <w:bCs w:val="0"/>
                <w:color w:val="000000"/>
                <w:lang w:eastAsia="en-GB"/>
              </w:rPr>
            </w:pPr>
          </w:p>
        </w:tc>
        <w:tc>
          <w:tcPr>
            <w:tcW w:w="1765" w:type="dxa"/>
            <w:tcBorders>
              <w:top w:val="nil"/>
              <w:left w:val="nil"/>
              <w:bottom w:val="nil"/>
              <w:right w:val="nil"/>
            </w:tcBorders>
            <w:shd w:val="clear" w:color="auto" w:fill="auto"/>
            <w:vAlign w:val="bottom"/>
            <w:hideMark/>
          </w:tcPr>
          <w:p w14:paraId="4C6EB84C" w14:textId="77777777" w:rsidR="00472858" w:rsidRPr="00BB662E" w:rsidRDefault="00472858" w:rsidP="00472858">
            <w:pPr>
              <w:spacing w:before="60" w:after="60"/>
              <w:rPr>
                <w:rFonts w:ascii="Calibri" w:hAnsi="Calibri"/>
                <w:b/>
                <w:bCs w:val="0"/>
                <w:color w:val="000000"/>
                <w:lang w:eastAsia="en-GB"/>
              </w:rPr>
            </w:pPr>
          </w:p>
        </w:tc>
        <w:tc>
          <w:tcPr>
            <w:tcW w:w="2824" w:type="dxa"/>
            <w:tcBorders>
              <w:top w:val="nil"/>
              <w:left w:val="nil"/>
              <w:bottom w:val="nil"/>
              <w:right w:val="nil"/>
            </w:tcBorders>
            <w:shd w:val="clear" w:color="auto" w:fill="auto"/>
            <w:noWrap/>
            <w:vAlign w:val="bottom"/>
            <w:hideMark/>
          </w:tcPr>
          <w:p w14:paraId="4EA127E1" w14:textId="77777777" w:rsidR="00472858" w:rsidRPr="00BB662E" w:rsidRDefault="00472858" w:rsidP="00472858">
            <w:pPr>
              <w:spacing w:before="60" w:after="60"/>
              <w:rPr>
                <w:rFonts w:ascii="Calibri" w:hAnsi="Calibri"/>
                <w:color w:val="000000"/>
                <w:lang w:eastAsia="en-GB"/>
              </w:rPr>
            </w:pPr>
          </w:p>
        </w:tc>
      </w:tr>
      <w:tr w:rsidR="00472858" w:rsidRPr="00BB662E" w14:paraId="2FE70B5C" w14:textId="77777777" w:rsidTr="00472858">
        <w:trPr>
          <w:trHeight w:val="300"/>
        </w:trPr>
        <w:tc>
          <w:tcPr>
            <w:tcW w:w="607" w:type="dxa"/>
            <w:tcBorders>
              <w:top w:val="single" w:sz="4" w:space="0" w:color="auto"/>
              <w:left w:val="single" w:sz="4" w:space="0" w:color="auto"/>
              <w:bottom w:val="single" w:sz="4" w:space="0" w:color="auto"/>
              <w:right w:val="single" w:sz="4" w:space="0" w:color="auto"/>
            </w:tcBorders>
            <w:shd w:val="clear" w:color="auto" w:fill="auto"/>
            <w:noWrap/>
            <w:hideMark/>
          </w:tcPr>
          <w:p w14:paraId="369B0C45"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10</w:t>
            </w:r>
          </w:p>
        </w:tc>
        <w:tc>
          <w:tcPr>
            <w:tcW w:w="14365" w:type="dxa"/>
            <w:gridSpan w:val="5"/>
            <w:tcBorders>
              <w:top w:val="single" w:sz="4" w:space="0" w:color="auto"/>
              <w:left w:val="nil"/>
              <w:bottom w:val="single" w:sz="4" w:space="0" w:color="auto"/>
              <w:right w:val="single" w:sz="4" w:space="0" w:color="000000"/>
            </w:tcBorders>
            <w:shd w:val="clear" w:color="000000" w:fill="D9D9D9"/>
            <w:noWrap/>
            <w:hideMark/>
          </w:tcPr>
          <w:p w14:paraId="753290B9"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Reason for application (describe the issues to be resolved)</w:t>
            </w:r>
          </w:p>
        </w:tc>
      </w:tr>
      <w:tr w:rsidR="00472858" w:rsidRPr="00BB662E" w14:paraId="369C01D0" w14:textId="77777777" w:rsidTr="00472858">
        <w:trPr>
          <w:trHeight w:val="1290"/>
        </w:trPr>
        <w:tc>
          <w:tcPr>
            <w:tcW w:w="607" w:type="dxa"/>
            <w:tcBorders>
              <w:top w:val="nil"/>
              <w:left w:val="single" w:sz="4" w:space="0" w:color="auto"/>
              <w:bottom w:val="single" w:sz="4" w:space="0" w:color="auto"/>
              <w:right w:val="single" w:sz="4" w:space="0" w:color="auto"/>
            </w:tcBorders>
            <w:shd w:val="clear" w:color="auto" w:fill="auto"/>
            <w:noWrap/>
            <w:hideMark/>
          </w:tcPr>
          <w:p w14:paraId="4DAB8F87"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 </w:t>
            </w:r>
          </w:p>
        </w:tc>
        <w:tc>
          <w:tcPr>
            <w:tcW w:w="14365" w:type="dxa"/>
            <w:gridSpan w:val="5"/>
            <w:tcBorders>
              <w:top w:val="single" w:sz="4" w:space="0" w:color="auto"/>
              <w:left w:val="nil"/>
              <w:bottom w:val="single" w:sz="4" w:space="0" w:color="auto"/>
              <w:right w:val="single" w:sz="4" w:space="0" w:color="000000"/>
            </w:tcBorders>
            <w:shd w:val="clear" w:color="000000" w:fill="F2DCDB"/>
            <w:hideMark/>
          </w:tcPr>
          <w:p w14:paraId="49AE1658" w14:textId="77777777" w:rsidR="00472858" w:rsidRPr="00BB662E" w:rsidRDefault="00472858" w:rsidP="00472858">
            <w:pPr>
              <w:spacing w:before="60" w:after="60"/>
              <w:rPr>
                <w:rFonts w:ascii="Calibri" w:hAnsi="Calibri"/>
                <w:i/>
                <w:iCs/>
                <w:color w:val="000000"/>
                <w:lang w:eastAsia="en-GB"/>
              </w:rPr>
            </w:pPr>
            <w:r w:rsidRPr="00BB662E">
              <w:rPr>
                <w:rFonts w:ascii="Calibri" w:hAnsi="Calibri"/>
                <w:i/>
                <w:iCs/>
                <w:color w:val="000000"/>
                <w:lang w:eastAsia="en-GB"/>
              </w:rPr>
              <w:t xml:space="preserve">e.g. May be a GP recruitment issue - IMPACT is high cost of locum support - What are the circumstances that led to the situation? e.g. retirement, partnership split etc. How long has the vacancy existed? Describe recruitment attempts with dates and salary offered. </w:t>
            </w:r>
            <w:r w:rsidRPr="00BB662E">
              <w:rPr>
                <w:rFonts w:ascii="Calibri" w:hAnsi="Calibri"/>
                <w:i/>
                <w:iCs/>
                <w:color w:val="000000"/>
                <w:lang w:eastAsia="en-GB"/>
              </w:rPr>
              <w:br/>
              <w:t>CONSEQUENCES:  describe effect on practice staff, patient services &amp; access</w:t>
            </w:r>
          </w:p>
        </w:tc>
      </w:tr>
      <w:tr w:rsidR="00472858" w:rsidRPr="00BB662E" w14:paraId="69170A6B" w14:textId="77777777" w:rsidTr="00472858">
        <w:trPr>
          <w:trHeight w:val="300"/>
        </w:trPr>
        <w:tc>
          <w:tcPr>
            <w:tcW w:w="607" w:type="dxa"/>
            <w:tcBorders>
              <w:top w:val="nil"/>
              <w:left w:val="single" w:sz="4" w:space="0" w:color="auto"/>
              <w:bottom w:val="single" w:sz="4" w:space="0" w:color="auto"/>
              <w:right w:val="single" w:sz="4" w:space="0" w:color="auto"/>
            </w:tcBorders>
            <w:shd w:val="clear" w:color="auto" w:fill="auto"/>
            <w:noWrap/>
            <w:hideMark/>
          </w:tcPr>
          <w:p w14:paraId="19FE6C38"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11</w:t>
            </w:r>
          </w:p>
        </w:tc>
        <w:tc>
          <w:tcPr>
            <w:tcW w:w="14365" w:type="dxa"/>
            <w:gridSpan w:val="5"/>
            <w:tcBorders>
              <w:top w:val="nil"/>
              <w:left w:val="nil"/>
              <w:bottom w:val="nil"/>
              <w:right w:val="nil"/>
            </w:tcBorders>
            <w:shd w:val="clear" w:color="000000" w:fill="D9D9D9"/>
            <w:noWrap/>
            <w:vAlign w:val="bottom"/>
            <w:hideMark/>
          </w:tcPr>
          <w:p w14:paraId="508A6A26"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Purpose of support requested and itemised value (non-recurrent) - above the practice budgeted level</w:t>
            </w:r>
          </w:p>
        </w:tc>
      </w:tr>
      <w:tr w:rsidR="00472858" w:rsidRPr="00BB662E" w14:paraId="5376EF1A" w14:textId="77777777" w:rsidTr="00472858">
        <w:trPr>
          <w:trHeight w:val="1065"/>
        </w:trPr>
        <w:tc>
          <w:tcPr>
            <w:tcW w:w="607" w:type="dxa"/>
            <w:tcBorders>
              <w:top w:val="nil"/>
              <w:left w:val="single" w:sz="4" w:space="0" w:color="auto"/>
              <w:bottom w:val="single" w:sz="4" w:space="0" w:color="auto"/>
              <w:right w:val="single" w:sz="4" w:space="0" w:color="auto"/>
            </w:tcBorders>
            <w:shd w:val="clear" w:color="auto" w:fill="auto"/>
            <w:noWrap/>
            <w:hideMark/>
          </w:tcPr>
          <w:p w14:paraId="33F7AA2D"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 </w:t>
            </w:r>
          </w:p>
        </w:tc>
        <w:tc>
          <w:tcPr>
            <w:tcW w:w="14365" w:type="dxa"/>
            <w:gridSpan w:val="5"/>
            <w:tcBorders>
              <w:top w:val="single" w:sz="4" w:space="0" w:color="auto"/>
              <w:left w:val="nil"/>
              <w:bottom w:val="single" w:sz="4" w:space="0" w:color="auto"/>
              <w:right w:val="single" w:sz="4" w:space="0" w:color="000000"/>
            </w:tcBorders>
            <w:shd w:val="clear" w:color="000000" w:fill="F2DCDB"/>
            <w:hideMark/>
          </w:tcPr>
          <w:p w14:paraId="3F484B20" w14:textId="77777777" w:rsidR="00472858" w:rsidRPr="00BB662E" w:rsidRDefault="00472858" w:rsidP="00472858">
            <w:pPr>
              <w:spacing w:before="60" w:after="60"/>
              <w:rPr>
                <w:rFonts w:ascii="Calibri" w:hAnsi="Calibri"/>
                <w:i/>
                <w:iCs/>
                <w:color w:val="000000"/>
                <w:lang w:eastAsia="en-GB"/>
              </w:rPr>
            </w:pPr>
            <w:r w:rsidRPr="00BB662E">
              <w:rPr>
                <w:rFonts w:ascii="Calibri" w:hAnsi="Calibri"/>
                <w:i/>
                <w:iCs/>
                <w:color w:val="000000"/>
                <w:lang w:eastAsia="en-GB"/>
              </w:rPr>
              <w:t xml:space="preserve">e.g. Support with cost of locums whilst further recruitment is attempted: eg Need X sessions per week covered with a premium of £X per week above budgeted cost of £Y per week. Difference of £Z for X weeks sought initially, TOTAL £X. </w:t>
            </w:r>
            <w:r w:rsidRPr="00BB662E">
              <w:rPr>
                <w:rFonts w:ascii="Calibri" w:hAnsi="Calibri"/>
                <w:i/>
                <w:iCs/>
                <w:color w:val="000000"/>
                <w:lang w:eastAsia="en-GB"/>
              </w:rPr>
              <w:br/>
              <w:t>(Practice has funded X weeks but cannot cover this cost much longer and may need to reduce service provision)</w:t>
            </w:r>
          </w:p>
        </w:tc>
      </w:tr>
      <w:tr w:rsidR="00472858" w:rsidRPr="00BB662E" w14:paraId="37659DCD" w14:textId="77777777" w:rsidTr="00472858">
        <w:trPr>
          <w:trHeight w:val="390"/>
        </w:trPr>
        <w:tc>
          <w:tcPr>
            <w:tcW w:w="607" w:type="dxa"/>
            <w:tcBorders>
              <w:top w:val="nil"/>
              <w:left w:val="single" w:sz="4" w:space="0" w:color="auto"/>
              <w:bottom w:val="single" w:sz="4" w:space="0" w:color="auto"/>
              <w:right w:val="single" w:sz="4" w:space="0" w:color="auto"/>
            </w:tcBorders>
            <w:shd w:val="clear" w:color="auto" w:fill="auto"/>
            <w:noWrap/>
            <w:hideMark/>
          </w:tcPr>
          <w:p w14:paraId="14BFA88A"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12</w:t>
            </w:r>
          </w:p>
        </w:tc>
        <w:tc>
          <w:tcPr>
            <w:tcW w:w="6342" w:type="dxa"/>
            <w:tcBorders>
              <w:top w:val="nil"/>
              <w:left w:val="nil"/>
              <w:bottom w:val="single" w:sz="4" w:space="0" w:color="auto"/>
              <w:right w:val="nil"/>
            </w:tcBorders>
            <w:shd w:val="clear" w:color="000000" w:fill="D9D9D9"/>
            <w:vAlign w:val="bottom"/>
            <w:hideMark/>
          </w:tcPr>
          <w:p w14:paraId="17B185C9"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Period of support and profile of costs (taper-off)</w:t>
            </w:r>
          </w:p>
        </w:tc>
        <w:tc>
          <w:tcPr>
            <w:tcW w:w="2915" w:type="dxa"/>
            <w:tcBorders>
              <w:top w:val="nil"/>
              <w:left w:val="single" w:sz="4" w:space="0" w:color="auto"/>
              <w:bottom w:val="single" w:sz="4" w:space="0" w:color="auto"/>
              <w:right w:val="nil"/>
            </w:tcBorders>
            <w:shd w:val="clear" w:color="000000" w:fill="F2DCDB"/>
            <w:noWrap/>
            <w:vAlign w:val="bottom"/>
            <w:hideMark/>
          </w:tcPr>
          <w:p w14:paraId="106626B8" w14:textId="77777777" w:rsidR="00472858" w:rsidRPr="00BB662E" w:rsidRDefault="00472858" w:rsidP="00472858">
            <w:pPr>
              <w:spacing w:before="60" w:after="60"/>
              <w:ind w:firstLineChars="100" w:firstLine="240"/>
              <w:rPr>
                <w:rFonts w:ascii="Calibri" w:hAnsi="Calibri"/>
                <w:color w:val="000000"/>
                <w:lang w:eastAsia="en-GB"/>
              </w:rPr>
            </w:pPr>
            <w:r w:rsidRPr="00BB662E">
              <w:rPr>
                <w:rFonts w:ascii="Calibri" w:hAnsi="Calibri"/>
                <w:color w:val="000000"/>
                <w:lang w:eastAsia="en-GB"/>
              </w:rPr>
              <w:t>Period 1</w:t>
            </w:r>
          </w:p>
        </w:tc>
        <w:tc>
          <w:tcPr>
            <w:tcW w:w="2284" w:type="dxa"/>
            <w:gridSpan w:val="2"/>
            <w:tcBorders>
              <w:top w:val="single" w:sz="4" w:space="0" w:color="auto"/>
              <w:left w:val="nil"/>
              <w:bottom w:val="single" w:sz="4" w:space="0" w:color="auto"/>
              <w:right w:val="nil"/>
            </w:tcBorders>
            <w:shd w:val="clear" w:color="000000" w:fill="F2DCDB"/>
            <w:noWrap/>
            <w:vAlign w:val="bottom"/>
            <w:hideMark/>
          </w:tcPr>
          <w:p w14:paraId="39E82B40" w14:textId="77777777" w:rsidR="00472858" w:rsidRPr="00BB662E" w:rsidRDefault="00472858" w:rsidP="00472858">
            <w:pPr>
              <w:spacing w:before="60" w:after="60"/>
              <w:rPr>
                <w:rFonts w:ascii="Calibri" w:hAnsi="Calibri"/>
                <w:i/>
                <w:iCs/>
                <w:color w:val="000000"/>
                <w:lang w:eastAsia="en-GB"/>
              </w:rPr>
            </w:pPr>
            <w:r w:rsidRPr="00BB662E">
              <w:rPr>
                <w:rFonts w:ascii="Calibri" w:hAnsi="Calibri"/>
                <w:i/>
                <w:iCs/>
                <w:color w:val="000000"/>
                <w:lang w:eastAsia="en-GB"/>
              </w:rPr>
              <w:t>insert dates</w:t>
            </w:r>
          </w:p>
        </w:tc>
        <w:tc>
          <w:tcPr>
            <w:tcW w:w="2824" w:type="dxa"/>
            <w:tcBorders>
              <w:top w:val="nil"/>
              <w:left w:val="nil"/>
              <w:bottom w:val="single" w:sz="4" w:space="0" w:color="auto"/>
              <w:right w:val="single" w:sz="4" w:space="0" w:color="auto"/>
            </w:tcBorders>
            <w:shd w:val="clear" w:color="000000" w:fill="F2DCDB"/>
            <w:vAlign w:val="bottom"/>
            <w:hideMark/>
          </w:tcPr>
          <w:p w14:paraId="1ACFF7E4" w14:textId="77777777" w:rsidR="00472858" w:rsidRPr="00BB662E" w:rsidRDefault="00472858" w:rsidP="00472858">
            <w:pPr>
              <w:spacing w:before="60" w:after="60"/>
              <w:ind w:firstLineChars="300" w:firstLine="720"/>
              <w:rPr>
                <w:rFonts w:ascii="Calibri" w:hAnsi="Calibri"/>
                <w:i/>
                <w:iCs/>
                <w:color w:val="000000"/>
                <w:lang w:eastAsia="en-GB"/>
              </w:rPr>
            </w:pPr>
            <w:r w:rsidRPr="00BB662E">
              <w:rPr>
                <w:rFonts w:ascii="Calibri" w:hAnsi="Calibri"/>
                <w:i/>
                <w:iCs/>
                <w:color w:val="000000"/>
                <w:lang w:eastAsia="en-GB"/>
              </w:rPr>
              <w:t>insert £</w:t>
            </w:r>
          </w:p>
        </w:tc>
      </w:tr>
      <w:tr w:rsidR="00472858" w:rsidRPr="00BB662E" w14:paraId="47B16A21" w14:textId="77777777" w:rsidTr="00472858">
        <w:trPr>
          <w:trHeight w:val="300"/>
        </w:trPr>
        <w:tc>
          <w:tcPr>
            <w:tcW w:w="607" w:type="dxa"/>
            <w:tcBorders>
              <w:top w:val="nil"/>
              <w:left w:val="nil"/>
              <w:bottom w:val="nil"/>
              <w:right w:val="nil"/>
            </w:tcBorders>
            <w:shd w:val="clear" w:color="auto" w:fill="auto"/>
            <w:noWrap/>
            <w:hideMark/>
          </w:tcPr>
          <w:p w14:paraId="50638F3F" w14:textId="77777777" w:rsidR="00472858" w:rsidRPr="00BB662E" w:rsidRDefault="00472858" w:rsidP="00472858">
            <w:pPr>
              <w:spacing w:before="60" w:after="60"/>
              <w:jc w:val="center"/>
              <w:rPr>
                <w:rFonts w:ascii="Calibri" w:hAnsi="Calibri"/>
                <w:color w:val="000000"/>
                <w:lang w:eastAsia="en-GB"/>
              </w:rPr>
            </w:pPr>
          </w:p>
        </w:tc>
        <w:tc>
          <w:tcPr>
            <w:tcW w:w="6342" w:type="dxa"/>
            <w:tcBorders>
              <w:top w:val="nil"/>
              <w:left w:val="nil"/>
              <w:bottom w:val="nil"/>
              <w:right w:val="nil"/>
            </w:tcBorders>
            <w:shd w:val="clear" w:color="auto" w:fill="auto"/>
            <w:vAlign w:val="bottom"/>
            <w:hideMark/>
          </w:tcPr>
          <w:p w14:paraId="167B528F" w14:textId="77777777" w:rsidR="00472858" w:rsidRPr="00BB662E" w:rsidRDefault="00472858" w:rsidP="00472858">
            <w:pPr>
              <w:spacing w:before="60" w:after="60"/>
              <w:rPr>
                <w:rFonts w:ascii="Calibri" w:hAnsi="Calibri"/>
                <w:b/>
                <w:bCs w:val="0"/>
                <w:color w:val="000000"/>
                <w:lang w:eastAsia="en-GB"/>
              </w:rPr>
            </w:pPr>
          </w:p>
        </w:tc>
        <w:tc>
          <w:tcPr>
            <w:tcW w:w="2915" w:type="dxa"/>
            <w:tcBorders>
              <w:top w:val="nil"/>
              <w:left w:val="single" w:sz="4" w:space="0" w:color="auto"/>
              <w:bottom w:val="single" w:sz="4" w:space="0" w:color="auto"/>
              <w:right w:val="nil"/>
            </w:tcBorders>
            <w:shd w:val="clear" w:color="000000" w:fill="F2DCDB"/>
            <w:vAlign w:val="bottom"/>
            <w:hideMark/>
          </w:tcPr>
          <w:p w14:paraId="141AF64B" w14:textId="77777777" w:rsidR="00472858" w:rsidRPr="00BB662E" w:rsidRDefault="00472858" w:rsidP="00472858">
            <w:pPr>
              <w:spacing w:before="60" w:after="60"/>
              <w:ind w:firstLineChars="100" w:firstLine="240"/>
              <w:rPr>
                <w:rFonts w:ascii="Calibri" w:hAnsi="Calibri"/>
                <w:color w:val="000000"/>
                <w:lang w:eastAsia="en-GB"/>
              </w:rPr>
            </w:pPr>
            <w:r w:rsidRPr="00BB662E">
              <w:rPr>
                <w:rFonts w:ascii="Calibri" w:hAnsi="Calibri"/>
                <w:color w:val="000000"/>
                <w:lang w:eastAsia="en-GB"/>
              </w:rPr>
              <w:t>Period 2</w:t>
            </w:r>
          </w:p>
        </w:tc>
        <w:tc>
          <w:tcPr>
            <w:tcW w:w="2284" w:type="dxa"/>
            <w:gridSpan w:val="2"/>
            <w:tcBorders>
              <w:top w:val="single" w:sz="4" w:space="0" w:color="auto"/>
              <w:left w:val="nil"/>
              <w:bottom w:val="single" w:sz="4" w:space="0" w:color="auto"/>
              <w:right w:val="nil"/>
            </w:tcBorders>
            <w:shd w:val="clear" w:color="000000" w:fill="F2DCDB"/>
            <w:noWrap/>
            <w:vAlign w:val="bottom"/>
            <w:hideMark/>
          </w:tcPr>
          <w:p w14:paraId="69675384" w14:textId="77777777" w:rsidR="00472858" w:rsidRPr="00BB662E" w:rsidRDefault="00472858" w:rsidP="00472858">
            <w:pPr>
              <w:spacing w:before="60" w:after="60"/>
              <w:rPr>
                <w:rFonts w:ascii="Calibri" w:hAnsi="Calibri"/>
                <w:i/>
                <w:iCs/>
                <w:color w:val="000000"/>
                <w:lang w:eastAsia="en-GB"/>
              </w:rPr>
            </w:pPr>
            <w:r w:rsidRPr="00BB662E">
              <w:rPr>
                <w:rFonts w:ascii="Calibri" w:hAnsi="Calibri"/>
                <w:i/>
                <w:iCs/>
                <w:color w:val="000000"/>
                <w:lang w:eastAsia="en-GB"/>
              </w:rPr>
              <w:t>insert dates</w:t>
            </w:r>
          </w:p>
        </w:tc>
        <w:tc>
          <w:tcPr>
            <w:tcW w:w="2824" w:type="dxa"/>
            <w:tcBorders>
              <w:top w:val="nil"/>
              <w:left w:val="nil"/>
              <w:bottom w:val="single" w:sz="4" w:space="0" w:color="auto"/>
              <w:right w:val="single" w:sz="4" w:space="0" w:color="auto"/>
            </w:tcBorders>
            <w:shd w:val="clear" w:color="000000" w:fill="F2DCDB"/>
            <w:vAlign w:val="bottom"/>
            <w:hideMark/>
          </w:tcPr>
          <w:p w14:paraId="3BFBD89A" w14:textId="77777777" w:rsidR="00472858" w:rsidRPr="00BB662E" w:rsidRDefault="00472858" w:rsidP="00472858">
            <w:pPr>
              <w:spacing w:before="60" w:after="60"/>
              <w:ind w:firstLineChars="300" w:firstLine="720"/>
              <w:rPr>
                <w:rFonts w:ascii="Calibri" w:hAnsi="Calibri"/>
                <w:i/>
                <w:iCs/>
                <w:color w:val="000000"/>
                <w:lang w:eastAsia="en-GB"/>
              </w:rPr>
            </w:pPr>
            <w:r w:rsidRPr="00BB662E">
              <w:rPr>
                <w:rFonts w:ascii="Calibri" w:hAnsi="Calibri"/>
                <w:i/>
                <w:iCs/>
                <w:color w:val="000000"/>
                <w:lang w:eastAsia="en-GB"/>
              </w:rPr>
              <w:t>insert £</w:t>
            </w:r>
          </w:p>
        </w:tc>
      </w:tr>
      <w:tr w:rsidR="00472858" w:rsidRPr="00BB662E" w14:paraId="308C8BED" w14:textId="77777777" w:rsidTr="00472858">
        <w:trPr>
          <w:trHeight w:val="300"/>
        </w:trPr>
        <w:tc>
          <w:tcPr>
            <w:tcW w:w="607" w:type="dxa"/>
            <w:tcBorders>
              <w:top w:val="nil"/>
              <w:left w:val="nil"/>
              <w:bottom w:val="nil"/>
              <w:right w:val="nil"/>
            </w:tcBorders>
            <w:shd w:val="clear" w:color="auto" w:fill="auto"/>
            <w:noWrap/>
            <w:hideMark/>
          </w:tcPr>
          <w:p w14:paraId="7C415A30" w14:textId="77777777" w:rsidR="00472858" w:rsidRPr="00BB662E" w:rsidRDefault="00472858" w:rsidP="00472858">
            <w:pPr>
              <w:spacing w:before="60" w:after="60"/>
              <w:jc w:val="center"/>
              <w:rPr>
                <w:rFonts w:ascii="Calibri" w:hAnsi="Calibri"/>
                <w:color w:val="000000"/>
                <w:lang w:eastAsia="en-GB"/>
              </w:rPr>
            </w:pPr>
          </w:p>
        </w:tc>
        <w:tc>
          <w:tcPr>
            <w:tcW w:w="6342" w:type="dxa"/>
            <w:tcBorders>
              <w:top w:val="nil"/>
              <w:left w:val="nil"/>
              <w:bottom w:val="nil"/>
              <w:right w:val="nil"/>
            </w:tcBorders>
            <w:shd w:val="clear" w:color="auto" w:fill="auto"/>
            <w:vAlign w:val="bottom"/>
            <w:hideMark/>
          </w:tcPr>
          <w:p w14:paraId="722DDA59" w14:textId="77777777" w:rsidR="00472858" w:rsidRPr="00BB662E" w:rsidRDefault="00472858" w:rsidP="00472858">
            <w:pPr>
              <w:spacing w:before="60" w:after="60"/>
              <w:rPr>
                <w:rFonts w:ascii="Calibri" w:hAnsi="Calibri"/>
                <w:b/>
                <w:bCs w:val="0"/>
                <w:color w:val="000000"/>
                <w:lang w:eastAsia="en-GB"/>
              </w:rPr>
            </w:pPr>
          </w:p>
        </w:tc>
        <w:tc>
          <w:tcPr>
            <w:tcW w:w="2915" w:type="dxa"/>
            <w:tcBorders>
              <w:top w:val="nil"/>
              <w:left w:val="single" w:sz="4" w:space="0" w:color="auto"/>
              <w:bottom w:val="single" w:sz="4" w:space="0" w:color="auto"/>
              <w:right w:val="nil"/>
            </w:tcBorders>
            <w:shd w:val="clear" w:color="000000" w:fill="F2DCDB"/>
            <w:vAlign w:val="bottom"/>
            <w:hideMark/>
          </w:tcPr>
          <w:p w14:paraId="641E6C5C" w14:textId="77777777" w:rsidR="00472858" w:rsidRPr="00BB662E" w:rsidRDefault="00472858" w:rsidP="00472858">
            <w:pPr>
              <w:spacing w:before="60" w:after="60"/>
              <w:ind w:firstLineChars="100" w:firstLine="240"/>
              <w:rPr>
                <w:rFonts w:ascii="Calibri" w:hAnsi="Calibri"/>
                <w:color w:val="000000"/>
                <w:lang w:eastAsia="en-GB"/>
              </w:rPr>
            </w:pPr>
            <w:r w:rsidRPr="00BB662E">
              <w:rPr>
                <w:rFonts w:ascii="Calibri" w:hAnsi="Calibri"/>
                <w:color w:val="000000"/>
                <w:lang w:eastAsia="en-GB"/>
              </w:rPr>
              <w:t>Period 3</w:t>
            </w:r>
          </w:p>
        </w:tc>
        <w:tc>
          <w:tcPr>
            <w:tcW w:w="2284" w:type="dxa"/>
            <w:gridSpan w:val="2"/>
            <w:tcBorders>
              <w:top w:val="single" w:sz="4" w:space="0" w:color="auto"/>
              <w:left w:val="nil"/>
              <w:bottom w:val="single" w:sz="4" w:space="0" w:color="auto"/>
              <w:right w:val="nil"/>
            </w:tcBorders>
            <w:shd w:val="clear" w:color="000000" w:fill="F2DCDB"/>
            <w:noWrap/>
            <w:vAlign w:val="bottom"/>
            <w:hideMark/>
          </w:tcPr>
          <w:p w14:paraId="7E2FF224" w14:textId="77777777" w:rsidR="00472858" w:rsidRPr="00BB662E" w:rsidRDefault="00472858" w:rsidP="00472858">
            <w:pPr>
              <w:spacing w:before="60" w:after="60"/>
              <w:rPr>
                <w:rFonts w:ascii="Calibri" w:hAnsi="Calibri"/>
                <w:i/>
                <w:iCs/>
                <w:color w:val="000000"/>
                <w:lang w:eastAsia="en-GB"/>
              </w:rPr>
            </w:pPr>
            <w:r w:rsidRPr="00BB662E">
              <w:rPr>
                <w:rFonts w:ascii="Calibri" w:hAnsi="Calibri"/>
                <w:i/>
                <w:iCs/>
                <w:color w:val="000000"/>
                <w:lang w:eastAsia="en-GB"/>
              </w:rPr>
              <w:t>insert dates</w:t>
            </w:r>
          </w:p>
        </w:tc>
        <w:tc>
          <w:tcPr>
            <w:tcW w:w="2824" w:type="dxa"/>
            <w:tcBorders>
              <w:top w:val="nil"/>
              <w:left w:val="nil"/>
              <w:bottom w:val="single" w:sz="4" w:space="0" w:color="auto"/>
              <w:right w:val="single" w:sz="4" w:space="0" w:color="auto"/>
            </w:tcBorders>
            <w:shd w:val="clear" w:color="000000" w:fill="F2DCDB"/>
            <w:vAlign w:val="bottom"/>
            <w:hideMark/>
          </w:tcPr>
          <w:p w14:paraId="10693E6D" w14:textId="77777777" w:rsidR="00472858" w:rsidRPr="00BB662E" w:rsidRDefault="00472858" w:rsidP="00472858">
            <w:pPr>
              <w:spacing w:before="60" w:after="60"/>
              <w:ind w:firstLineChars="300" w:firstLine="720"/>
              <w:rPr>
                <w:rFonts w:ascii="Calibri" w:hAnsi="Calibri"/>
                <w:i/>
                <w:iCs/>
                <w:color w:val="000000"/>
                <w:lang w:eastAsia="en-GB"/>
              </w:rPr>
            </w:pPr>
            <w:r w:rsidRPr="00BB662E">
              <w:rPr>
                <w:rFonts w:ascii="Calibri" w:hAnsi="Calibri"/>
                <w:i/>
                <w:iCs/>
                <w:color w:val="000000"/>
                <w:lang w:eastAsia="en-GB"/>
              </w:rPr>
              <w:t>insert £</w:t>
            </w:r>
          </w:p>
        </w:tc>
      </w:tr>
      <w:tr w:rsidR="00472858" w:rsidRPr="00BB662E" w14:paraId="6543EA9D" w14:textId="77777777" w:rsidTr="00472858">
        <w:trPr>
          <w:trHeight w:val="300"/>
        </w:trPr>
        <w:tc>
          <w:tcPr>
            <w:tcW w:w="607" w:type="dxa"/>
            <w:tcBorders>
              <w:top w:val="nil"/>
              <w:left w:val="nil"/>
              <w:bottom w:val="nil"/>
              <w:right w:val="nil"/>
            </w:tcBorders>
            <w:shd w:val="clear" w:color="auto" w:fill="auto"/>
            <w:noWrap/>
            <w:hideMark/>
          </w:tcPr>
          <w:p w14:paraId="1AE0E302" w14:textId="77777777" w:rsidR="00472858" w:rsidRPr="00BB662E" w:rsidRDefault="00472858" w:rsidP="00472858">
            <w:pPr>
              <w:spacing w:before="60" w:after="60"/>
              <w:jc w:val="center"/>
              <w:rPr>
                <w:rFonts w:ascii="Calibri" w:hAnsi="Calibri"/>
                <w:color w:val="000000"/>
                <w:lang w:eastAsia="en-GB"/>
              </w:rPr>
            </w:pPr>
          </w:p>
        </w:tc>
        <w:tc>
          <w:tcPr>
            <w:tcW w:w="6342" w:type="dxa"/>
            <w:tcBorders>
              <w:top w:val="nil"/>
              <w:left w:val="nil"/>
              <w:bottom w:val="nil"/>
              <w:right w:val="nil"/>
            </w:tcBorders>
            <w:shd w:val="clear" w:color="auto" w:fill="auto"/>
            <w:vAlign w:val="bottom"/>
            <w:hideMark/>
          </w:tcPr>
          <w:p w14:paraId="40718A62" w14:textId="77777777" w:rsidR="00472858" w:rsidRPr="00BB662E" w:rsidRDefault="00472858" w:rsidP="00472858">
            <w:pPr>
              <w:spacing w:before="60" w:after="60"/>
              <w:rPr>
                <w:rFonts w:ascii="Calibri" w:hAnsi="Calibri"/>
                <w:b/>
                <w:bCs w:val="0"/>
                <w:color w:val="000000"/>
                <w:lang w:eastAsia="en-GB"/>
              </w:rPr>
            </w:pPr>
          </w:p>
        </w:tc>
        <w:tc>
          <w:tcPr>
            <w:tcW w:w="2915" w:type="dxa"/>
            <w:tcBorders>
              <w:top w:val="nil"/>
              <w:left w:val="single" w:sz="4" w:space="0" w:color="auto"/>
              <w:bottom w:val="single" w:sz="4" w:space="0" w:color="auto"/>
              <w:right w:val="nil"/>
            </w:tcBorders>
            <w:shd w:val="clear" w:color="000000" w:fill="F2DCDB"/>
            <w:vAlign w:val="bottom"/>
            <w:hideMark/>
          </w:tcPr>
          <w:p w14:paraId="5ED6B674" w14:textId="77777777" w:rsidR="00472858" w:rsidRPr="00BB662E" w:rsidRDefault="00472858" w:rsidP="00472858">
            <w:pPr>
              <w:spacing w:before="60" w:after="60"/>
              <w:ind w:firstLineChars="100" w:firstLine="240"/>
              <w:rPr>
                <w:rFonts w:ascii="Calibri" w:hAnsi="Calibri"/>
                <w:color w:val="000000"/>
                <w:lang w:eastAsia="en-GB"/>
              </w:rPr>
            </w:pPr>
            <w:r w:rsidRPr="00BB662E">
              <w:rPr>
                <w:rFonts w:ascii="Calibri" w:hAnsi="Calibri"/>
                <w:color w:val="000000"/>
                <w:lang w:eastAsia="en-GB"/>
              </w:rPr>
              <w:t>Period 4</w:t>
            </w:r>
          </w:p>
        </w:tc>
        <w:tc>
          <w:tcPr>
            <w:tcW w:w="2284" w:type="dxa"/>
            <w:gridSpan w:val="2"/>
            <w:tcBorders>
              <w:top w:val="single" w:sz="4" w:space="0" w:color="auto"/>
              <w:left w:val="nil"/>
              <w:bottom w:val="single" w:sz="4" w:space="0" w:color="auto"/>
              <w:right w:val="nil"/>
            </w:tcBorders>
            <w:shd w:val="clear" w:color="000000" w:fill="F2DCDB"/>
            <w:noWrap/>
            <w:vAlign w:val="bottom"/>
            <w:hideMark/>
          </w:tcPr>
          <w:p w14:paraId="6E226CB6" w14:textId="77777777" w:rsidR="00472858" w:rsidRPr="00BB662E" w:rsidRDefault="00472858" w:rsidP="00472858">
            <w:pPr>
              <w:spacing w:before="60" w:after="60"/>
              <w:rPr>
                <w:rFonts w:ascii="Calibri" w:hAnsi="Calibri"/>
                <w:i/>
                <w:iCs/>
                <w:color w:val="000000"/>
                <w:lang w:eastAsia="en-GB"/>
              </w:rPr>
            </w:pPr>
            <w:r w:rsidRPr="00BB662E">
              <w:rPr>
                <w:rFonts w:ascii="Calibri" w:hAnsi="Calibri"/>
                <w:i/>
                <w:iCs/>
                <w:color w:val="000000"/>
                <w:lang w:eastAsia="en-GB"/>
              </w:rPr>
              <w:t>insert dates</w:t>
            </w:r>
          </w:p>
        </w:tc>
        <w:tc>
          <w:tcPr>
            <w:tcW w:w="2824" w:type="dxa"/>
            <w:tcBorders>
              <w:top w:val="nil"/>
              <w:left w:val="nil"/>
              <w:bottom w:val="single" w:sz="4" w:space="0" w:color="auto"/>
              <w:right w:val="single" w:sz="4" w:space="0" w:color="auto"/>
            </w:tcBorders>
            <w:shd w:val="clear" w:color="000000" w:fill="F2DCDB"/>
            <w:vAlign w:val="bottom"/>
            <w:hideMark/>
          </w:tcPr>
          <w:p w14:paraId="39B16386" w14:textId="77777777" w:rsidR="00472858" w:rsidRPr="00BB662E" w:rsidRDefault="00472858" w:rsidP="00472858">
            <w:pPr>
              <w:spacing w:before="60" w:after="60"/>
              <w:ind w:firstLineChars="300" w:firstLine="720"/>
              <w:rPr>
                <w:rFonts w:ascii="Calibri" w:hAnsi="Calibri"/>
                <w:i/>
                <w:iCs/>
                <w:color w:val="000000"/>
                <w:lang w:eastAsia="en-GB"/>
              </w:rPr>
            </w:pPr>
            <w:r w:rsidRPr="00BB662E">
              <w:rPr>
                <w:rFonts w:ascii="Calibri" w:hAnsi="Calibri"/>
                <w:i/>
                <w:iCs/>
                <w:color w:val="000000"/>
                <w:lang w:eastAsia="en-GB"/>
              </w:rPr>
              <w:t>insert £</w:t>
            </w:r>
          </w:p>
        </w:tc>
      </w:tr>
      <w:tr w:rsidR="00472858" w:rsidRPr="00BB662E" w14:paraId="28D8DCF1" w14:textId="77777777" w:rsidTr="00472858">
        <w:trPr>
          <w:trHeight w:val="300"/>
        </w:trPr>
        <w:tc>
          <w:tcPr>
            <w:tcW w:w="607" w:type="dxa"/>
            <w:tcBorders>
              <w:top w:val="nil"/>
              <w:left w:val="nil"/>
              <w:bottom w:val="nil"/>
              <w:right w:val="nil"/>
            </w:tcBorders>
            <w:shd w:val="clear" w:color="auto" w:fill="auto"/>
            <w:noWrap/>
            <w:hideMark/>
          </w:tcPr>
          <w:p w14:paraId="798C6831" w14:textId="77777777" w:rsidR="00472858" w:rsidRPr="00BB662E" w:rsidRDefault="00472858" w:rsidP="00472858">
            <w:pPr>
              <w:spacing w:before="60" w:after="60"/>
              <w:jc w:val="center"/>
              <w:rPr>
                <w:rFonts w:ascii="Calibri" w:hAnsi="Calibri"/>
                <w:color w:val="000000"/>
                <w:lang w:eastAsia="en-GB"/>
              </w:rPr>
            </w:pPr>
          </w:p>
        </w:tc>
        <w:tc>
          <w:tcPr>
            <w:tcW w:w="6342" w:type="dxa"/>
            <w:tcBorders>
              <w:top w:val="nil"/>
              <w:left w:val="nil"/>
              <w:bottom w:val="nil"/>
              <w:right w:val="nil"/>
            </w:tcBorders>
            <w:shd w:val="clear" w:color="auto" w:fill="auto"/>
            <w:vAlign w:val="bottom"/>
            <w:hideMark/>
          </w:tcPr>
          <w:p w14:paraId="1A8613DE" w14:textId="77777777" w:rsidR="00472858" w:rsidRPr="00BB662E" w:rsidRDefault="00472858" w:rsidP="00472858">
            <w:pPr>
              <w:spacing w:before="60" w:after="60"/>
              <w:rPr>
                <w:rFonts w:ascii="Calibri" w:hAnsi="Calibri"/>
                <w:b/>
                <w:bCs w:val="0"/>
                <w:color w:val="000000"/>
                <w:lang w:eastAsia="en-GB"/>
              </w:rPr>
            </w:pPr>
          </w:p>
        </w:tc>
        <w:tc>
          <w:tcPr>
            <w:tcW w:w="2915" w:type="dxa"/>
            <w:tcBorders>
              <w:top w:val="nil"/>
              <w:left w:val="single" w:sz="4" w:space="0" w:color="auto"/>
              <w:bottom w:val="single" w:sz="4" w:space="0" w:color="auto"/>
              <w:right w:val="nil"/>
            </w:tcBorders>
            <w:shd w:val="clear" w:color="000000" w:fill="F2DCDB"/>
            <w:vAlign w:val="bottom"/>
            <w:hideMark/>
          </w:tcPr>
          <w:p w14:paraId="24B4ED10" w14:textId="77777777" w:rsidR="00472858" w:rsidRPr="00BB662E" w:rsidRDefault="00472858" w:rsidP="00472858">
            <w:pPr>
              <w:spacing w:before="60" w:after="60"/>
              <w:ind w:firstLineChars="100" w:firstLine="240"/>
              <w:rPr>
                <w:rFonts w:ascii="Calibri" w:hAnsi="Calibri"/>
                <w:color w:val="000000"/>
                <w:lang w:eastAsia="en-GB"/>
              </w:rPr>
            </w:pPr>
            <w:r w:rsidRPr="00BB662E">
              <w:rPr>
                <w:rFonts w:ascii="Calibri" w:hAnsi="Calibri"/>
                <w:color w:val="000000"/>
                <w:lang w:eastAsia="en-GB"/>
              </w:rPr>
              <w:t>Period 5</w:t>
            </w:r>
          </w:p>
        </w:tc>
        <w:tc>
          <w:tcPr>
            <w:tcW w:w="2284" w:type="dxa"/>
            <w:gridSpan w:val="2"/>
            <w:tcBorders>
              <w:top w:val="single" w:sz="4" w:space="0" w:color="auto"/>
              <w:left w:val="nil"/>
              <w:bottom w:val="single" w:sz="4" w:space="0" w:color="auto"/>
              <w:right w:val="nil"/>
            </w:tcBorders>
            <w:shd w:val="clear" w:color="000000" w:fill="F2DCDB"/>
            <w:noWrap/>
            <w:vAlign w:val="bottom"/>
            <w:hideMark/>
          </w:tcPr>
          <w:p w14:paraId="4BF7483E" w14:textId="77777777" w:rsidR="00472858" w:rsidRPr="00BB662E" w:rsidRDefault="00472858" w:rsidP="00472858">
            <w:pPr>
              <w:spacing w:before="60" w:after="60"/>
              <w:rPr>
                <w:rFonts w:ascii="Calibri" w:hAnsi="Calibri"/>
                <w:i/>
                <w:iCs/>
                <w:color w:val="000000"/>
                <w:lang w:eastAsia="en-GB"/>
              </w:rPr>
            </w:pPr>
            <w:r w:rsidRPr="00BB662E">
              <w:rPr>
                <w:rFonts w:ascii="Calibri" w:hAnsi="Calibri"/>
                <w:i/>
                <w:iCs/>
                <w:color w:val="000000"/>
                <w:lang w:eastAsia="en-GB"/>
              </w:rPr>
              <w:t>insert dates</w:t>
            </w:r>
          </w:p>
        </w:tc>
        <w:tc>
          <w:tcPr>
            <w:tcW w:w="2824" w:type="dxa"/>
            <w:tcBorders>
              <w:top w:val="nil"/>
              <w:left w:val="nil"/>
              <w:bottom w:val="single" w:sz="4" w:space="0" w:color="auto"/>
              <w:right w:val="single" w:sz="4" w:space="0" w:color="auto"/>
            </w:tcBorders>
            <w:shd w:val="clear" w:color="000000" w:fill="F2DCDB"/>
            <w:vAlign w:val="bottom"/>
            <w:hideMark/>
          </w:tcPr>
          <w:p w14:paraId="689B4CA9" w14:textId="77777777" w:rsidR="00472858" w:rsidRPr="00BB662E" w:rsidRDefault="00472858" w:rsidP="00472858">
            <w:pPr>
              <w:spacing w:before="60" w:after="60"/>
              <w:ind w:firstLineChars="300" w:firstLine="720"/>
              <w:rPr>
                <w:rFonts w:ascii="Calibri" w:hAnsi="Calibri"/>
                <w:i/>
                <w:iCs/>
                <w:color w:val="000000"/>
                <w:lang w:eastAsia="en-GB"/>
              </w:rPr>
            </w:pPr>
            <w:r w:rsidRPr="00BB662E">
              <w:rPr>
                <w:rFonts w:ascii="Calibri" w:hAnsi="Calibri"/>
                <w:i/>
                <w:iCs/>
                <w:color w:val="000000"/>
                <w:lang w:eastAsia="en-GB"/>
              </w:rPr>
              <w:t>insert £</w:t>
            </w:r>
          </w:p>
        </w:tc>
      </w:tr>
      <w:tr w:rsidR="00472858" w:rsidRPr="00BB662E" w14:paraId="1AFCD7BB" w14:textId="77777777" w:rsidTr="00472858">
        <w:trPr>
          <w:trHeight w:val="300"/>
        </w:trPr>
        <w:tc>
          <w:tcPr>
            <w:tcW w:w="607" w:type="dxa"/>
            <w:tcBorders>
              <w:top w:val="nil"/>
              <w:left w:val="nil"/>
              <w:bottom w:val="nil"/>
              <w:right w:val="nil"/>
            </w:tcBorders>
            <w:shd w:val="clear" w:color="auto" w:fill="auto"/>
            <w:noWrap/>
            <w:hideMark/>
          </w:tcPr>
          <w:p w14:paraId="22A0D275" w14:textId="77777777" w:rsidR="00472858" w:rsidRPr="00BB662E" w:rsidRDefault="00472858" w:rsidP="00472858">
            <w:pPr>
              <w:spacing w:before="60" w:after="60"/>
              <w:jc w:val="center"/>
              <w:rPr>
                <w:rFonts w:ascii="Calibri" w:hAnsi="Calibri"/>
                <w:color w:val="000000"/>
                <w:lang w:eastAsia="en-GB"/>
              </w:rPr>
            </w:pPr>
          </w:p>
        </w:tc>
        <w:tc>
          <w:tcPr>
            <w:tcW w:w="6342" w:type="dxa"/>
            <w:tcBorders>
              <w:top w:val="nil"/>
              <w:left w:val="nil"/>
              <w:bottom w:val="nil"/>
              <w:right w:val="nil"/>
            </w:tcBorders>
            <w:shd w:val="clear" w:color="auto" w:fill="auto"/>
            <w:vAlign w:val="bottom"/>
            <w:hideMark/>
          </w:tcPr>
          <w:p w14:paraId="0EB6A23B" w14:textId="77777777" w:rsidR="00472858" w:rsidRPr="00BB662E" w:rsidRDefault="00472858" w:rsidP="00472858">
            <w:pPr>
              <w:spacing w:before="60" w:after="60"/>
              <w:rPr>
                <w:rFonts w:ascii="Calibri" w:hAnsi="Calibri"/>
                <w:b/>
                <w:bCs w:val="0"/>
                <w:color w:val="000000"/>
                <w:lang w:eastAsia="en-GB"/>
              </w:rPr>
            </w:pPr>
          </w:p>
        </w:tc>
        <w:tc>
          <w:tcPr>
            <w:tcW w:w="2915" w:type="dxa"/>
            <w:tcBorders>
              <w:top w:val="nil"/>
              <w:left w:val="single" w:sz="4" w:space="0" w:color="auto"/>
              <w:bottom w:val="single" w:sz="4" w:space="0" w:color="auto"/>
              <w:right w:val="nil"/>
            </w:tcBorders>
            <w:shd w:val="clear" w:color="000000" w:fill="F2DCDB"/>
            <w:vAlign w:val="bottom"/>
            <w:hideMark/>
          </w:tcPr>
          <w:p w14:paraId="0F7A6F1A" w14:textId="77777777" w:rsidR="00472858" w:rsidRPr="00BB662E" w:rsidRDefault="00472858" w:rsidP="00472858">
            <w:pPr>
              <w:spacing w:before="60" w:after="60"/>
              <w:ind w:firstLineChars="100" w:firstLine="240"/>
              <w:rPr>
                <w:rFonts w:ascii="Calibri" w:hAnsi="Calibri"/>
                <w:color w:val="000000"/>
                <w:lang w:eastAsia="en-GB"/>
              </w:rPr>
            </w:pPr>
            <w:r w:rsidRPr="00BB662E">
              <w:rPr>
                <w:rFonts w:ascii="Calibri" w:hAnsi="Calibri"/>
                <w:color w:val="000000"/>
                <w:lang w:eastAsia="en-GB"/>
              </w:rPr>
              <w:t>Period 6</w:t>
            </w:r>
          </w:p>
        </w:tc>
        <w:tc>
          <w:tcPr>
            <w:tcW w:w="2284" w:type="dxa"/>
            <w:gridSpan w:val="2"/>
            <w:tcBorders>
              <w:top w:val="single" w:sz="4" w:space="0" w:color="auto"/>
              <w:left w:val="nil"/>
              <w:bottom w:val="single" w:sz="4" w:space="0" w:color="auto"/>
              <w:right w:val="nil"/>
            </w:tcBorders>
            <w:shd w:val="clear" w:color="000000" w:fill="F2DCDB"/>
            <w:noWrap/>
            <w:vAlign w:val="bottom"/>
            <w:hideMark/>
          </w:tcPr>
          <w:p w14:paraId="6704FEBA" w14:textId="77777777" w:rsidR="00472858" w:rsidRPr="00BB662E" w:rsidRDefault="00472858" w:rsidP="00472858">
            <w:pPr>
              <w:spacing w:before="60" w:after="60"/>
              <w:rPr>
                <w:rFonts w:ascii="Calibri" w:hAnsi="Calibri"/>
                <w:i/>
                <w:iCs/>
                <w:color w:val="000000"/>
                <w:lang w:eastAsia="en-GB"/>
              </w:rPr>
            </w:pPr>
            <w:r w:rsidRPr="00BB662E">
              <w:rPr>
                <w:rFonts w:ascii="Calibri" w:hAnsi="Calibri"/>
                <w:i/>
                <w:iCs/>
                <w:color w:val="000000"/>
                <w:lang w:eastAsia="en-GB"/>
              </w:rPr>
              <w:t>insert dates</w:t>
            </w:r>
          </w:p>
        </w:tc>
        <w:tc>
          <w:tcPr>
            <w:tcW w:w="2824" w:type="dxa"/>
            <w:tcBorders>
              <w:top w:val="nil"/>
              <w:left w:val="nil"/>
              <w:bottom w:val="single" w:sz="4" w:space="0" w:color="auto"/>
              <w:right w:val="single" w:sz="4" w:space="0" w:color="auto"/>
            </w:tcBorders>
            <w:shd w:val="clear" w:color="000000" w:fill="F2DCDB"/>
            <w:vAlign w:val="bottom"/>
            <w:hideMark/>
          </w:tcPr>
          <w:p w14:paraId="45AD0DF2" w14:textId="77777777" w:rsidR="00472858" w:rsidRPr="00BB662E" w:rsidRDefault="00472858" w:rsidP="00472858">
            <w:pPr>
              <w:spacing w:before="60" w:after="60"/>
              <w:ind w:firstLineChars="300" w:firstLine="720"/>
              <w:rPr>
                <w:rFonts w:ascii="Calibri" w:hAnsi="Calibri"/>
                <w:i/>
                <w:iCs/>
                <w:color w:val="000000"/>
                <w:lang w:eastAsia="en-GB"/>
              </w:rPr>
            </w:pPr>
            <w:r w:rsidRPr="00BB662E">
              <w:rPr>
                <w:rFonts w:ascii="Calibri" w:hAnsi="Calibri"/>
                <w:i/>
                <w:iCs/>
                <w:color w:val="000000"/>
                <w:lang w:eastAsia="en-GB"/>
              </w:rPr>
              <w:t>insert £</w:t>
            </w:r>
          </w:p>
        </w:tc>
      </w:tr>
      <w:tr w:rsidR="00472858" w:rsidRPr="00BB662E" w14:paraId="303F223D" w14:textId="77777777" w:rsidTr="00472858">
        <w:trPr>
          <w:trHeight w:val="315"/>
        </w:trPr>
        <w:tc>
          <w:tcPr>
            <w:tcW w:w="607" w:type="dxa"/>
            <w:tcBorders>
              <w:top w:val="nil"/>
              <w:left w:val="nil"/>
              <w:bottom w:val="nil"/>
              <w:right w:val="nil"/>
            </w:tcBorders>
            <w:shd w:val="clear" w:color="auto" w:fill="auto"/>
            <w:noWrap/>
            <w:hideMark/>
          </w:tcPr>
          <w:p w14:paraId="70ECDA1A" w14:textId="77777777" w:rsidR="00472858" w:rsidRPr="00BB662E" w:rsidRDefault="00472858" w:rsidP="00472858">
            <w:pPr>
              <w:spacing w:before="60" w:after="60"/>
              <w:jc w:val="center"/>
              <w:rPr>
                <w:rFonts w:ascii="Calibri" w:hAnsi="Calibri"/>
                <w:color w:val="000000"/>
                <w:lang w:eastAsia="en-GB"/>
              </w:rPr>
            </w:pPr>
          </w:p>
        </w:tc>
        <w:tc>
          <w:tcPr>
            <w:tcW w:w="6342" w:type="dxa"/>
            <w:tcBorders>
              <w:top w:val="nil"/>
              <w:left w:val="nil"/>
              <w:bottom w:val="nil"/>
              <w:right w:val="nil"/>
            </w:tcBorders>
            <w:shd w:val="clear" w:color="auto" w:fill="auto"/>
            <w:vAlign w:val="bottom"/>
            <w:hideMark/>
          </w:tcPr>
          <w:p w14:paraId="497807FD" w14:textId="77777777" w:rsidR="00472858" w:rsidRPr="00BB662E" w:rsidRDefault="00472858" w:rsidP="00472858">
            <w:pPr>
              <w:spacing w:before="60" w:after="60"/>
              <w:rPr>
                <w:rFonts w:ascii="Calibri" w:hAnsi="Calibri"/>
                <w:b/>
                <w:bCs w:val="0"/>
                <w:color w:val="000000"/>
                <w:lang w:eastAsia="en-GB"/>
              </w:rPr>
            </w:pPr>
          </w:p>
        </w:tc>
        <w:tc>
          <w:tcPr>
            <w:tcW w:w="2915" w:type="dxa"/>
            <w:tcBorders>
              <w:top w:val="nil"/>
              <w:left w:val="nil"/>
              <w:bottom w:val="nil"/>
              <w:right w:val="nil"/>
            </w:tcBorders>
            <w:shd w:val="clear" w:color="auto" w:fill="auto"/>
            <w:vAlign w:val="bottom"/>
            <w:hideMark/>
          </w:tcPr>
          <w:p w14:paraId="1CD74802" w14:textId="77777777" w:rsidR="00472858" w:rsidRPr="00BB662E" w:rsidRDefault="00472858" w:rsidP="00472858">
            <w:pPr>
              <w:spacing w:before="60" w:after="60"/>
              <w:rPr>
                <w:rFonts w:ascii="Calibri" w:hAnsi="Calibri"/>
                <w:b/>
                <w:bCs w:val="0"/>
                <w:color w:val="000000"/>
                <w:lang w:eastAsia="en-GB"/>
              </w:rPr>
            </w:pPr>
          </w:p>
        </w:tc>
        <w:tc>
          <w:tcPr>
            <w:tcW w:w="519" w:type="dxa"/>
            <w:tcBorders>
              <w:top w:val="nil"/>
              <w:left w:val="nil"/>
              <w:bottom w:val="nil"/>
              <w:right w:val="nil"/>
            </w:tcBorders>
            <w:shd w:val="clear" w:color="auto" w:fill="auto"/>
            <w:vAlign w:val="bottom"/>
            <w:hideMark/>
          </w:tcPr>
          <w:p w14:paraId="09F23911" w14:textId="77777777" w:rsidR="00472858" w:rsidRPr="00BB662E" w:rsidRDefault="00472858" w:rsidP="00472858">
            <w:pPr>
              <w:spacing w:before="60" w:after="60"/>
              <w:rPr>
                <w:rFonts w:ascii="Calibri" w:hAnsi="Calibri"/>
                <w:b/>
                <w:bCs w:val="0"/>
                <w:color w:val="000000"/>
                <w:lang w:eastAsia="en-GB"/>
              </w:rPr>
            </w:pPr>
          </w:p>
        </w:tc>
        <w:tc>
          <w:tcPr>
            <w:tcW w:w="1765" w:type="dxa"/>
            <w:tcBorders>
              <w:top w:val="nil"/>
              <w:left w:val="nil"/>
              <w:bottom w:val="nil"/>
              <w:right w:val="nil"/>
            </w:tcBorders>
            <w:shd w:val="clear" w:color="auto" w:fill="auto"/>
            <w:noWrap/>
            <w:vAlign w:val="bottom"/>
            <w:hideMark/>
          </w:tcPr>
          <w:p w14:paraId="2C83E777" w14:textId="77777777" w:rsidR="00472858" w:rsidRPr="00BB662E" w:rsidRDefault="00472858" w:rsidP="00472858">
            <w:pPr>
              <w:spacing w:before="60" w:after="60"/>
              <w:jc w:val="right"/>
              <w:rPr>
                <w:rFonts w:ascii="Calibri" w:hAnsi="Calibri"/>
                <w:b/>
                <w:bCs w:val="0"/>
                <w:color w:val="000000"/>
                <w:lang w:eastAsia="en-GB"/>
              </w:rPr>
            </w:pPr>
            <w:r w:rsidRPr="00BB662E">
              <w:rPr>
                <w:rFonts w:ascii="Calibri" w:hAnsi="Calibri"/>
                <w:b/>
                <w:color w:val="000000"/>
                <w:lang w:eastAsia="en-GB"/>
              </w:rPr>
              <w:t>TOTAL REQUESTED</w:t>
            </w:r>
          </w:p>
        </w:tc>
        <w:tc>
          <w:tcPr>
            <w:tcW w:w="2824" w:type="dxa"/>
            <w:tcBorders>
              <w:top w:val="nil"/>
              <w:left w:val="single" w:sz="8" w:space="0" w:color="auto"/>
              <w:bottom w:val="nil"/>
              <w:right w:val="single" w:sz="8" w:space="0" w:color="auto"/>
            </w:tcBorders>
            <w:shd w:val="clear" w:color="000000" w:fill="F2DCDB"/>
            <w:vAlign w:val="bottom"/>
            <w:hideMark/>
          </w:tcPr>
          <w:p w14:paraId="5B53931A" w14:textId="77777777" w:rsidR="00472858" w:rsidRPr="00BB662E" w:rsidRDefault="00472858" w:rsidP="00472858">
            <w:pPr>
              <w:spacing w:before="60" w:after="60"/>
              <w:ind w:firstLineChars="300" w:firstLine="723"/>
              <w:rPr>
                <w:rFonts w:ascii="Calibri" w:hAnsi="Calibri"/>
                <w:b/>
                <w:bCs w:val="0"/>
                <w:color w:val="000000"/>
                <w:lang w:eastAsia="en-GB"/>
              </w:rPr>
            </w:pPr>
            <w:r w:rsidRPr="00BB662E">
              <w:rPr>
                <w:rFonts w:ascii="Calibri" w:hAnsi="Calibri"/>
                <w:b/>
                <w:color w:val="000000"/>
                <w:lang w:eastAsia="en-GB"/>
              </w:rPr>
              <w:t>£0</w:t>
            </w:r>
          </w:p>
        </w:tc>
      </w:tr>
      <w:tr w:rsidR="00472858" w:rsidRPr="00BB662E" w14:paraId="69DF7B2F" w14:textId="77777777" w:rsidTr="00472858">
        <w:trPr>
          <w:trHeight w:val="300"/>
        </w:trPr>
        <w:tc>
          <w:tcPr>
            <w:tcW w:w="607" w:type="dxa"/>
            <w:tcBorders>
              <w:top w:val="single" w:sz="8" w:space="0" w:color="auto"/>
              <w:left w:val="single" w:sz="8" w:space="0" w:color="auto"/>
              <w:bottom w:val="single" w:sz="4" w:space="0" w:color="auto"/>
              <w:right w:val="nil"/>
            </w:tcBorders>
            <w:shd w:val="clear" w:color="auto" w:fill="auto"/>
            <w:noWrap/>
            <w:hideMark/>
          </w:tcPr>
          <w:p w14:paraId="0111572E"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13</w:t>
            </w:r>
          </w:p>
        </w:tc>
        <w:tc>
          <w:tcPr>
            <w:tcW w:w="9257" w:type="dxa"/>
            <w:gridSpan w:val="2"/>
            <w:tcBorders>
              <w:top w:val="single" w:sz="8" w:space="0" w:color="auto"/>
              <w:left w:val="single" w:sz="4" w:space="0" w:color="auto"/>
              <w:bottom w:val="single" w:sz="4" w:space="0" w:color="auto"/>
              <w:right w:val="single" w:sz="4" w:space="0" w:color="000000"/>
            </w:tcBorders>
            <w:shd w:val="clear" w:color="000000" w:fill="00B0F0"/>
            <w:noWrap/>
            <w:vAlign w:val="bottom"/>
            <w:hideMark/>
          </w:tcPr>
          <w:p w14:paraId="114A2B19"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Supporting information - required for ALL applications at the outset</w:t>
            </w:r>
          </w:p>
        </w:tc>
        <w:tc>
          <w:tcPr>
            <w:tcW w:w="519" w:type="dxa"/>
            <w:tcBorders>
              <w:top w:val="single" w:sz="8" w:space="0" w:color="auto"/>
              <w:left w:val="nil"/>
              <w:bottom w:val="nil"/>
              <w:right w:val="nil"/>
            </w:tcBorders>
            <w:shd w:val="clear" w:color="auto" w:fill="auto"/>
            <w:vAlign w:val="bottom"/>
            <w:hideMark/>
          </w:tcPr>
          <w:p w14:paraId="65641813"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 </w:t>
            </w:r>
          </w:p>
        </w:tc>
        <w:tc>
          <w:tcPr>
            <w:tcW w:w="1765" w:type="dxa"/>
            <w:tcBorders>
              <w:top w:val="single" w:sz="8" w:space="0" w:color="auto"/>
              <w:left w:val="nil"/>
              <w:bottom w:val="nil"/>
              <w:right w:val="nil"/>
            </w:tcBorders>
            <w:shd w:val="clear" w:color="auto" w:fill="auto"/>
            <w:vAlign w:val="bottom"/>
            <w:hideMark/>
          </w:tcPr>
          <w:p w14:paraId="4BFC8CDF"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 </w:t>
            </w:r>
          </w:p>
        </w:tc>
        <w:tc>
          <w:tcPr>
            <w:tcW w:w="2824" w:type="dxa"/>
            <w:tcBorders>
              <w:top w:val="single" w:sz="8" w:space="0" w:color="auto"/>
              <w:left w:val="nil"/>
              <w:bottom w:val="nil"/>
              <w:right w:val="single" w:sz="8" w:space="0" w:color="auto"/>
            </w:tcBorders>
            <w:shd w:val="clear" w:color="auto" w:fill="auto"/>
            <w:noWrap/>
            <w:vAlign w:val="bottom"/>
            <w:hideMark/>
          </w:tcPr>
          <w:p w14:paraId="32B521D3"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w:t>
            </w:r>
          </w:p>
        </w:tc>
      </w:tr>
      <w:tr w:rsidR="00472858" w:rsidRPr="00BB662E" w14:paraId="0EBAED4B" w14:textId="77777777" w:rsidTr="00472858">
        <w:trPr>
          <w:trHeight w:val="300"/>
        </w:trPr>
        <w:tc>
          <w:tcPr>
            <w:tcW w:w="607" w:type="dxa"/>
            <w:tcBorders>
              <w:top w:val="nil"/>
              <w:left w:val="single" w:sz="8" w:space="0" w:color="auto"/>
              <w:bottom w:val="single" w:sz="4" w:space="0" w:color="auto"/>
              <w:right w:val="nil"/>
            </w:tcBorders>
            <w:shd w:val="clear" w:color="auto" w:fill="auto"/>
            <w:noWrap/>
            <w:hideMark/>
          </w:tcPr>
          <w:p w14:paraId="3D85AA9E"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13.1</w:t>
            </w:r>
          </w:p>
        </w:tc>
        <w:tc>
          <w:tcPr>
            <w:tcW w:w="9257" w:type="dxa"/>
            <w:gridSpan w:val="2"/>
            <w:tcBorders>
              <w:top w:val="single" w:sz="4" w:space="0" w:color="auto"/>
              <w:left w:val="single" w:sz="4" w:space="0" w:color="auto"/>
              <w:bottom w:val="single" w:sz="4" w:space="0" w:color="auto"/>
              <w:right w:val="single" w:sz="4" w:space="0" w:color="000000"/>
            </w:tcBorders>
            <w:shd w:val="clear" w:color="000000" w:fill="00B0F0"/>
            <w:vAlign w:val="bottom"/>
            <w:hideMark/>
          </w:tcPr>
          <w:p w14:paraId="4BEF427E"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Practice Recovery Plan (with actions and milestones to track success)</w:t>
            </w:r>
          </w:p>
        </w:tc>
        <w:tc>
          <w:tcPr>
            <w:tcW w:w="519" w:type="dxa"/>
            <w:tcBorders>
              <w:top w:val="single" w:sz="4" w:space="0" w:color="auto"/>
              <w:left w:val="nil"/>
              <w:bottom w:val="single" w:sz="4" w:space="0" w:color="auto"/>
              <w:right w:val="single" w:sz="4" w:space="0" w:color="auto"/>
            </w:tcBorders>
            <w:shd w:val="clear" w:color="000000" w:fill="F2DCDB"/>
            <w:hideMark/>
          </w:tcPr>
          <w:p w14:paraId="34D6C679"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Yes</w:t>
            </w:r>
          </w:p>
        </w:tc>
        <w:tc>
          <w:tcPr>
            <w:tcW w:w="1765" w:type="dxa"/>
            <w:tcBorders>
              <w:top w:val="single" w:sz="4" w:space="0" w:color="auto"/>
              <w:left w:val="nil"/>
              <w:bottom w:val="single" w:sz="4" w:space="0" w:color="auto"/>
              <w:right w:val="single" w:sz="4" w:space="0" w:color="auto"/>
            </w:tcBorders>
            <w:shd w:val="clear" w:color="000000" w:fill="F2DCDB"/>
            <w:hideMark/>
          </w:tcPr>
          <w:p w14:paraId="2E88DC9C"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No</w:t>
            </w:r>
          </w:p>
        </w:tc>
        <w:tc>
          <w:tcPr>
            <w:tcW w:w="2824" w:type="dxa"/>
            <w:tcBorders>
              <w:top w:val="nil"/>
              <w:left w:val="nil"/>
              <w:bottom w:val="nil"/>
              <w:right w:val="single" w:sz="8" w:space="0" w:color="auto"/>
            </w:tcBorders>
            <w:shd w:val="clear" w:color="auto" w:fill="auto"/>
            <w:vAlign w:val="bottom"/>
            <w:hideMark/>
          </w:tcPr>
          <w:p w14:paraId="53841F8B"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An MOU will detail agreed actions</w:t>
            </w:r>
          </w:p>
        </w:tc>
      </w:tr>
      <w:tr w:rsidR="00472858" w:rsidRPr="00BB662E" w14:paraId="737AD12C" w14:textId="77777777" w:rsidTr="00472858">
        <w:trPr>
          <w:trHeight w:val="300"/>
        </w:trPr>
        <w:tc>
          <w:tcPr>
            <w:tcW w:w="607" w:type="dxa"/>
            <w:tcBorders>
              <w:top w:val="nil"/>
              <w:left w:val="single" w:sz="8" w:space="0" w:color="auto"/>
              <w:bottom w:val="single" w:sz="4" w:space="0" w:color="auto"/>
              <w:right w:val="nil"/>
            </w:tcBorders>
            <w:shd w:val="clear" w:color="auto" w:fill="auto"/>
            <w:noWrap/>
            <w:hideMark/>
          </w:tcPr>
          <w:p w14:paraId="342E08E6"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13.2</w:t>
            </w:r>
          </w:p>
        </w:tc>
        <w:tc>
          <w:tcPr>
            <w:tcW w:w="9257" w:type="dxa"/>
            <w:gridSpan w:val="2"/>
            <w:tcBorders>
              <w:top w:val="single" w:sz="4" w:space="0" w:color="auto"/>
              <w:left w:val="single" w:sz="4" w:space="0" w:color="auto"/>
              <w:bottom w:val="single" w:sz="4" w:space="0" w:color="auto"/>
              <w:right w:val="single" w:sz="4" w:space="0" w:color="000000"/>
            </w:tcBorders>
            <w:shd w:val="clear" w:color="000000" w:fill="00B0F0"/>
            <w:vAlign w:val="bottom"/>
            <w:hideMark/>
          </w:tcPr>
          <w:p w14:paraId="6518314D"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Current AND proposed staff establishment - budgeted with salary &amp; WTE</w:t>
            </w:r>
          </w:p>
        </w:tc>
        <w:tc>
          <w:tcPr>
            <w:tcW w:w="519" w:type="dxa"/>
            <w:tcBorders>
              <w:top w:val="nil"/>
              <w:left w:val="nil"/>
              <w:bottom w:val="single" w:sz="4" w:space="0" w:color="auto"/>
              <w:right w:val="single" w:sz="4" w:space="0" w:color="auto"/>
            </w:tcBorders>
            <w:shd w:val="clear" w:color="000000" w:fill="F2DCDB"/>
            <w:hideMark/>
          </w:tcPr>
          <w:p w14:paraId="6C283754"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Yes</w:t>
            </w:r>
          </w:p>
        </w:tc>
        <w:tc>
          <w:tcPr>
            <w:tcW w:w="1765" w:type="dxa"/>
            <w:tcBorders>
              <w:top w:val="nil"/>
              <w:left w:val="nil"/>
              <w:bottom w:val="single" w:sz="4" w:space="0" w:color="auto"/>
              <w:right w:val="single" w:sz="4" w:space="0" w:color="auto"/>
            </w:tcBorders>
            <w:shd w:val="clear" w:color="000000" w:fill="F2DCDB"/>
            <w:hideMark/>
          </w:tcPr>
          <w:p w14:paraId="5DDF81FB"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No</w:t>
            </w:r>
          </w:p>
        </w:tc>
        <w:tc>
          <w:tcPr>
            <w:tcW w:w="2824" w:type="dxa"/>
            <w:tcBorders>
              <w:top w:val="nil"/>
              <w:left w:val="nil"/>
              <w:bottom w:val="nil"/>
              <w:right w:val="single" w:sz="8" w:space="0" w:color="auto"/>
            </w:tcBorders>
            <w:shd w:val="clear" w:color="auto" w:fill="auto"/>
            <w:noWrap/>
            <w:vAlign w:val="bottom"/>
            <w:hideMark/>
          </w:tcPr>
          <w:p w14:paraId="628A6CBF"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State drawings for partners</w:t>
            </w:r>
          </w:p>
        </w:tc>
      </w:tr>
      <w:tr w:rsidR="00472858" w:rsidRPr="00BB662E" w14:paraId="3E2B2863" w14:textId="77777777" w:rsidTr="00472858">
        <w:trPr>
          <w:trHeight w:val="300"/>
        </w:trPr>
        <w:tc>
          <w:tcPr>
            <w:tcW w:w="607" w:type="dxa"/>
            <w:tcBorders>
              <w:top w:val="nil"/>
              <w:left w:val="single" w:sz="8" w:space="0" w:color="auto"/>
              <w:bottom w:val="single" w:sz="4" w:space="0" w:color="auto"/>
              <w:right w:val="nil"/>
            </w:tcBorders>
            <w:shd w:val="clear" w:color="auto" w:fill="auto"/>
            <w:noWrap/>
            <w:hideMark/>
          </w:tcPr>
          <w:p w14:paraId="49B77381"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13.3</w:t>
            </w:r>
          </w:p>
        </w:tc>
        <w:tc>
          <w:tcPr>
            <w:tcW w:w="6342" w:type="dxa"/>
            <w:tcBorders>
              <w:top w:val="nil"/>
              <w:left w:val="single" w:sz="4" w:space="0" w:color="auto"/>
              <w:bottom w:val="single" w:sz="4" w:space="0" w:color="auto"/>
              <w:right w:val="nil"/>
            </w:tcBorders>
            <w:shd w:val="clear" w:color="000000" w:fill="00B0F0"/>
            <w:noWrap/>
            <w:vAlign w:val="bottom"/>
            <w:hideMark/>
          </w:tcPr>
          <w:p w14:paraId="1DD6F2B5"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Evidence of recruitment attempts</w:t>
            </w:r>
          </w:p>
        </w:tc>
        <w:tc>
          <w:tcPr>
            <w:tcW w:w="2915" w:type="dxa"/>
            <w:tcBorders>
              <w:top w:val="nil"/>
              <w:left w:val="nil"/>
              <w:bottom w:val="single" w:sz="4" w:space="0" w:color="auto"/>
              <w:right w:val="single" w:sz="4" w:space="0" w:color="auto"/>
            </w:tcBorders>
            <w:shd w:val="clear" w:color="000000" w:fill="00B0F0"/>
            <w:vAlign w:val="bottom"/>
            <w:hideMark/>
          </w:tcPr>
          <w:p w14:paraId="5A29D13C"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w:t>
            </w:r>
          </w:p>
        </w:tc>
        <w:tc>
          <w:tcPr>
            <w:tcW w:w="519" w:type="dxa"/>
            <w:tcBorders>
              <w:top w:val="nil"/>
              <w:left w:val="nil"/>
              <w:bottom w:val="single" w:sz="4" w:space="0" w:color="auto"/>
              <w:right w:val="single" w:sz="4" w:space="0" w:color="auto"/>
            </w:tcBorders>
            <w:shd w:val="clear" w:color="000000" w:fill="F2DCDB"/>
            <w:hideMark/>
          </w:tcPr>
          <w:p w14:paraId="114CCF94"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Yes</w:t>
            </w:r>
          </w:p>
        </w:tc>
        <w:tc>
          <w:tcPr>
            <w:tcW w:w="1765" w:type="dxa"/>
            <w:tcBorders>
              <w:top w:val="nil"/>
              <w:left w:val="nil"/>
              <w:bottom w:val="single" w:sz="4" w:space="0" w:color="auto"/>
              <w:right w:val="single" w:sz="4" w:space="0" w:color="auto"/>
            </w:tcBorders>
            <w:shd w:val="clear" w:color="000000" w:fill="F2DCDB"/>
            <w:hideMark/>
          </w:tcPr>
          <w:p w14:paraId="4AC42001"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No</w:t>
            </w:r>
          </w:p>
        </w:tc>
        <w:tc>
          <w:tcPr>
            <w:tcW w:w="2824" w:type="dxa"/>
            <w:tcBorders>
              <w:top w:val="nil"/>
              <w:left w:val="nil"/>
              <w:bottom w:val="nil"/>
              <w:right w:val="single" w:sz="8" w:space="0" w:color="auto"/>
            </w:tcBorders>
            <w:shd w:val="clear" w:color="auto" w:fill="auto"/>
            <w:noWrap/>
            <w:vAlign w:val="bottom"/>
            <w:hideMark/>
          </w:tcPr>
          <w:p w14:paraId="610CABE4"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e.g. advertisement invoices</w:t>
            </w:r>
          </w:p>
        </w:tc>
      </w:tr>
      <w:tr w:rsidR="00472858" w:rsidRPr="00BB662E" w14:paraId="60F6BDAD" w14:textId="77777777" w:rsidTr="00472858">
        <w:trPr>
          <w:trHeight w:val="300"/>
        </w:trPr>
        <w:tc>
          <w:tcPr>
            <w:tcW w:w="607" w:type="dxa"/>
            <w:tcBorders>
              <w:top w:val="nil"/>
              <w:left w:val="single" w:sz="8" w:space="0" w:color="auto"/>
              <w:bottom w:val="single" w:sz="4" w:space="0" w:color="auto"/>
              <w:right w:val="nil"/>
            </w:tcBorders>
            <w:shd w:val="clear" w:color="auto" w:fill="auto"/>
            <w:noWrap/>
            <w:hideMark/>
          </w:tcPr>
          <w:p w14:paraId="18B940A6"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13.4</w:t>
            </w:r>
          </w:p>
        </w:tc>
        <w:tc>
          <w:tcPr>
            <w:tcW w:w="9257" w:type="dxa"/>
            <w:gridSpan w:val="2"/>
            <w:tcBorders>
              <w:top w:val="single" w:sz="4" w:space="0" w:color="auto"/>
              <w:left w:val="single" w:sz="4" w:space="0" w:color="auto"/>
              <w:bottom w:val="single" w:sz="4" w:space="0" w:color="auto"/>
              <w:right w:val="single" w:sz="4" w:space="0" w:color="000000"/>
            </w:tcBorders>
            <w:shd w:val="clear" w:color="000000" w:fill="00B0F0"/>
            <w:noWrap/>
            <w:vAlign w:val="bottom"/>
            <w:hideMark/>
          </w:tcPr>
          <w:p w14:paraId="15F1DC40"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Annual income (all sources) &amp; expenditure analysis OR Practice Accounts</w:t>
            </w:r>
          </w:p>
        </w:tc>
        <w:tc>
          <w:tcPr>
            <w:tcW w:w="519" w:type="dxa"/>
            <w:tcBorders>
              <w:top w:val="nil"/>
              <w:left w:val="nil"/>
              <w:bottom w:val="single" w:sz="4" w:space="0" w:color="auto"/>
              <w:right w:val="single" w:sz="4" w:space="0" w:color="auto"/>
            </w:tcBorders>
            <w:shd w:val="clear" w:color="000000" w:fill="F2DCDB"/>
            <w:hideMark/>
          </w:tcPr>
          <w:p w14:paraId="7A9B42B6"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Yes</w:t>
            </w:r>
          </w:p>
        </w:tc>
        <w:tc>
          <w:tcPr>
            <w:tcW w:w="1765" w:type="dxa"/>
            <w:tcBorders>
              <w:top w:val="nil"/>
              <w:left w:val="nil"/>
              <w:bottom w:val="single" w:sz="4" w:space="0" w:color="auto"/>
              <w:right w:val="single" w:sz="4" w:space="0" w:color="auto"/>
            </w:tcBorders>
            <w:shd w:val="clear" w:color="000000" w:fill="F2DCDB"/>
            <w:hideMark/>
          </w:tcPr>
          <w:p w14:paraId="315B3A8D"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No</w:t>
            </w:r>
          </w:p>
        </w:tc>
        <w:tc>
          <w:tcPr>
            <w:tcW w:w="2824" w:type="dxa"/>
            <w:tcBorders>
              <w:top w:val="nil"/>
              <w:left w:val="nil"/>
              <w:bottom w:val="nil"/>
              <w:right w:val="single" w:sz="8" w:space="0" w:color="auto"/>
            </w:tcBorders>
            <w:shd w:val="clear" w:color="auto" w:fill="auto"/>
            <w:noWrap/>
            <w:vAlign w:val="bottom"/>
            <w:hideMark/>
          </w:tcPr>
          <w:p w14:paraId="13E2056C"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to validate sustainability issue</w:t>
            </w:r>
          </w:p>
        </w:tc>
      </w:tr>
      <w:tr w:rsidR="00472858" w:rsidRPr="00BB662E" w14:paraId="6FC6EC1B" w14:textId="77777777" w:rsidTr="00472858">
        <w:trPr>
          <w:trHeight w:val="315"/>
        </w:trPr>
        <w:tc>
          <w:tcPr>
            <w:tcW w:w="607" w:type="dxa"/>
            <w:tcBorders>
              <w:top w:val="nil"/>
              <w:left w:val="single" w:sz="8" w:space="0" w:color="auto"/>
              <w:bottom w:val="single" w:sz="8" w:space="0" w:color="auto"/>
              <w:right w:val="nil"/>
            </w:tcBorders>
            <w:shd w:val="clear" w:color="auto" w:fill="auto"/>
            <w:noWrap/>
            <w:hideMark/>
          </w:tcPr>
          <w:p w14:paraId="74D76D96"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13.5</w:t>
            </w:r>
          </w:p>
        </w:tc>
        <w:tc>
          <w:tcPr>
            <w:tcW w:w="6342" w:type="dxa"/>
            <w:tcBorders>
              <w:top w:val="nil"/>
              <w:left w:val="single" w:sz="4" w:space="0" w:color="auto"/>
              <w:bottom w:val="single" w:sz="8" w:space="0" w:color="auto"/>
              <w:right w:val="nil"/>
            </w:tcBorders>
            <w:shd w:val="clear" w:color="000000" w:fill="00B0F0"/>
            <w:vAlign w:val="bottom"/>
            <w:hideMark/>
          </w:tcPr>
          <w:p w14:paraId="0794083C"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Cash flow forecast 12 months ahead</w:t>
            </w:r>
          </w:p>
        </w:tc>
        <w:tc>
          <w:tcPr>
            <w:tcW w:w="2915" w:type="dxa"/>
            <w:tcBorders>
              <w:top w:val="nil"/>
              <w:left w:val="nil"/>
              <w:bottom w:val="single" w:sz="8" w:space="0" w:color="auto"/>
              <w:right w:val="single" w:sz="4" w:space="0" w:color="auto"/>
            </w:tcBorders>
            <w:shd w:val="clear" w:color="000000" w:fill="00B0F0"/>
            <w:vAlign w:val="bottom"/>
            <w:hideMark/>
          </w:tcPr>
          <w:p w14:paraId="550C991F"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w:t>
            </w:r>
          </w:p>
        </w:tc>
        <w:tc>
          <w:tcPr>
            <w:tcW w:w="519" w:type="dxa"/>
            <w:tcBorders>
              <w:top w:val="nil"/>
              <w:left w:val="nil"/>
              <w:bottom w:val="single" w:sz="8" w:space="0" w:color="auto"/>
              <w:right w:val="single" w:sz="4" w:space="0" w:color="auto"/>
            </w:tcBorders>
            <w:shd w:val="clear" w:color="000000" w:fill="F2DCDB"/>
            <w:hideMark/>
          </w:tcPr>
          <w:p w14:paraId="5F5B245C"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Yes</w:t>
            </w:r>
          </w:p>
        </w:tc>
        <w:tc>
          <w:tcPr>
            <w:tcW w:w="1765" w:type="dxa"/>
            <w:tcBorders>
              <w:top w:val="nil"/>
              <w:left w:val="nil"/>
              <w:bottom w:val="single" w:sz="8" w:space="0" w:color="auto"/>
              <w:right w:val="single" w:sz="4" w:space="0" w:color="auto"/>
            </w:tcBorders>
            <w:shd w:val="clear" w:color="000000" w:fill="F2DCDB"/>
            <w:hideMark/>
          </w:tcPr>
          <w:p w14:paraId="468EBF0E"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No</w:t>
            </w:r>
          </w:p>
        </w:tc>
        <w:tc>
          <w:tcPr>
            <w:tcW w:w="2824" w:type="dxa"/>
            <w:tcBorders>
              <w:top w:val="nil"/>
              <w:left w:val="nil"/>
              <w:bottom w:val="single" w:sz="8" w:space="0" w:color="auto"/>
              <w:right w:val="single" w:sz="8" w:space="0" w:color="auto"/>
            </w:tcBorders>
            <w:shd w:val="clear" w:color="auto" w:fill="auto"/>
            <w:noWrap/>
            <w:vAlign w:val="bottom"/>
            <w:hideMark/>
          </w:tcPr>
          <w:p w14:paraId="6D44498F"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to understand predicted trend</w:t>
            </w:r>
          </w:p>
        </w:tc>
      </w:tr>
      <w:tr w:rsidR="00472858" w:rsidRPr="00BB662E" w14:paraId="686F4A10" w14:textId="77777777" w:rsidTr="00472858">
        <w:trPr>
          <w:trHeight w:val="240"/>
        </w:trPr>
        <w:tc>
          <w:tcPr>
            <w:tcW w:w="607" w:type="dxa"/>
            <w:tcBorders>
              <w:top w:val="nil"/>
              <w:left w:val="nil"/>
              <w:bottom w:val="nil"/>
              <w:right w:val="nil"/>
            </w:tcBorders>
            <w:shd w:val="clear" w:color="auto" w:fill="auto"/>
            <w:noWrap/>
            <w:hideMark/>
          </w:tcPr>
          <w:p w14:paraId="3D5CBD12" w14:textId="77777777" w:rsidR="00472858" w:rsidRPr="00BB662E" w:rsidRDefault="00472858" w:rsidP="00472858">
            <w:pPr>
              <w:spacing w:before="60" w:after="60"/>
              <w:jc w:val="center"/>
              <w:rPr>
                <w:rFonts w:ascii="Calibri" w:hAnsi="Calibri"/>
                <w:color w:val="000000"/>
                <w:lang w:eastAsia="en-GB"/>
              </w:rPr>
            </w:pPr>
          </w:p>
        </w:tc>
        <w:tc>
          <w:tcPr>
            <w:tcW w:w="14365" w:type="dxa"/>
            <w:gridSpan w:val="5"/>
            <w:tcBorders>
              <w:top w:val="nil"/>
              <w:left w:val="nil"/>
              <w:bottom w:val="nil"/>
              <w:right w:val="nil"/>
            </w:tcBorders>
            <w:shd w:val="clear" w:color="auto" w:fill="auto"/>
            <w:vAlign w:val="bottom"/>
            <w:hideMark/>
          </w:tcPr>
          <w:p w14:paraId="29CE3FB8" w14:textId="77777777" w:rsidR="00472858" w:rsidRPr="00BB662E" w:rsidRDefault="00472858" w:rsidP="00472858">
            <w:pPr>
              <w:spacing w:before="60" w:after="60"/>
              <w:jc w:val="center"/>
              <w:rPr>
                <w:rFonts w:ascii="Calibri" w:hAnsi="Calibri"/>
                <w:b/>
                <w:bCs w:val="0"/>
                <w:color w:val="000000"/>
                <w:sz w:val="28"/>
                <w:szCs w:val="28"/>
                <w:lang w:eastAsia="en-GB"/>
              </w:rPr>
            </w:pPr>
          </w:p>
        </w:tc>
      </w:tr>
      <w:tr w:rsidR="00472858" w:rsidRPr="00BB662E" w14:paraId="2593EE67" w14:textId="77777777" w:rsidTr="00472858">
        <w:trPr>
          <w:trHeight w:val="315"/>
        </w:trPr>
        <w:tc>
          <w:tcPr>
            <w:tcW w:w="607" w:type="dxa"/>
            <w:tcBorders>
              <w:top w:val="single" w:sz="4" w:space="0" w:color="auto"/>
              <w:left w:val="single" w:sz="4" w:space="0" w:color="auto"/>
              <w:bottom w:val="single" w:sz="4" w:space="0" w:color="auto"/>
              <w:right w:val="single" w:sz="4" w:space="0" w:color="auto"/>
            </w:tcBorders>
            <w:shd w:val="clear" w:color="000000" w:fill="FFC000"/>
            <w:noWrap/>
            <w:hideMark/>
          </w:tcPr>
          <w:p w14:paraId="107927F3" w14:textId="77777777" w:rsidR="00472858" w:rsidRPr="00BB662E" w:rsidRDefault="00472858" w:rsidP="00472858">
            <w:pPr>
              <w:spacing w:before="60" w:after="60"/>
              <w:jc w:val="center"/>
              <w:rPr>
                <w:rFonts w:ascii="Calibri" w:hAnsi="Calibri"/>
                <w:b/>
                <w:bCs w:val="0"/>
                <w:color w:val="000000"/>
                <w:szCs w:val="24"/>
                <w:lang w:eastAsia="en-GB"/>
              </w:rPr>
            </w:pPr>
            <w:r w:rsidRPr="00BB662E">
              <w:rPr>
                <w:rFonts w:ascii="Calibri" w:hAnsi="Calibri"/>
                <w:b/>
                <w:color w:val="000000"/>
                <w:szCs w:val="24"/>
                <w:lang w:eastAsia="en-GB"/>
              </w:rPr>
              <w:t> </w:t>
            </w:r>
          </w:p>
        </w:tc>
        <w:tc>
          <w:tcPr>
            <w:tcW w:w="6342" w:type="dxa"/>
            <w:tcBorders>
              <w:top w:val="single" w:sz="4" w:space="0" w:color="auto"/>
              <w:left w:val="nil"/>
              <w:bottom w:val="single" w:sz="4" w:space="0" w:color="auto"/>
              <w:right w:val="single" w:sz="4" w:space="0" w:color="auto"/>
            </w:tcBorders>
            <w:shd w:val="clear" w:color="000000" w:fill="FFC000"/>
            <w:vAlign w:val="bottom"/>
            <w:hideMark/>
          </w:tcPr>
          <w:p w14:paraId="12FE4A7B"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Sustainability analysis</w:t>
            </w:r>
          </w:p>
        </w:tc>
        <w:tc>
          <w:tcPr>
            <w:tcW w:w="2915" w:type="dxa"/>
            <w:tcBorders>
              <w:top w:val="single" w:sz="4" w:space="0" w:color="auto"/>
              <w:left w:val="nil"/>
              <w:bottom w:val="single" w:sz="4" w:space="0" w:color="auto"/>
              <w:right w:val="single" w:sz="4" w:space="0" w:color="auto"/>
            </w:tcBorders>
            <w:shd w:val="clear" w:color="000000" w:fill="FFC000"/>
            <w:vAlign w:val="bottom"/>
            <w:hideMark/>
          </w:tcPr>
          <w:p w14:paraId="407C02D0"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Support Rationale</w:t>
            </w:r>
          </w:p>
        </w:tc>
        <w:tc>
          <w:tcPr>
            <w:tcW w:w="519" w:type="dxa"/>
            <w:tcBorders>
              <w:top w:val="single" w:sz="4" w:space="0" w:color="auto"/>
              <w:left w:val="nil"/>
              <w:bottom w:val="single" w:sz="4" w:space="0" w:color="auto"/>
              <w:right w:val="single" w:sz="4" w:space="0" w:color="auto"/>
            </w:tcBorders>
            <w:shd w:val="clear" w:color="000000" w:fill="FFC000"/>
            <w:vAlign w:val="bottom"/>
            <w:hideMark/>
          </w:tcPr>
          <w:p w14:paraId="7084ACE4" w14:textId="77777777" w:rsidR="00472858" w:rsidRPr="00BB662E" w:rsidRDefault="00472858" w:rsidP="00472858">
            <w:pPr>
              <w:spacing w:before="60" w:after="60"/>
              <w:jc w:val="center"/>
              <w:rPr>
                <w:rFonts w:ascii="Calibri" w:hAnsi="Calibri"/>
                <w:b/>
                <w:bCs w:val="0"/>
                <w:color w:val="000000"/>
                <w:lang w:eastAsia="en-GB"/>
              </w:rPr>
            </w:pPr>
            <w:r w:rsidRPr="00BB662E">
              <w:rPr>
                <w:rFonts w:ascii="Calibri" w:hAnsi="Calibri"/>
                <w:b/>
                <w:color w:val="000000"/>
                <w:lang w:eastAsia="en-GB"/>
              </w:rPr>
              <w:t> </w:t>
            </w:r>
          </w:p>
        </w:tc>
        <w:tc>
          <w:tcPr>
            <w:tcW w:w="1765" w:type="dxa"/>
            <w:tcBorders>
              <w:top w:val="single" w:sz="4" w:space="0" w:color="auto"/>
              <w:left w:val="nil"/>
              <w:bottom w:val="single" w:sz="4" w:space="0" w:color="auto"/>
              <w:right w:val="single" w:sz="4" w:space="0" w:color="auto"/>
            </w:tcBorders>
            <w:shd w:val="clear" w:color="000000" w:fill="FFC000"/>
            <w:vAlign w:val="bottom"/>
            <w:hideMark/>
          </w:tcPr>
          <w:p w14:paraId="2CE9A409" w14:textId="77777777" w:rsidR="00472858" w:rsidRPr="00BB662E" w:rsidRDefault="00472858" w:rsidP="00472858">
            <w:pPr>
              <w:spacing w:before="60" w:after="60"/>
              <w:jc w:val="center"/>
              <w:rPr>
                <w:rFonts w:ascii="Calibri" w:hAnsi="Calibri"/>
                <w:b/>
                <w:bCs w:val="0"/>
                <w:color w:val="000000"/>
                <w:lang w:eastAsia="en-GB"/>
              </w:rPr>
            </w:pPr>
            <w:r w:rsidRPr="00BB662E">
              <w:rPr>
                <w:rFonts w:ascii="Calibri" w:hAnsi="Calibri"/>
                <w:b/>
                <w:color w:val="000000"/>
                <w:lang w:eastAsia="en-GB"/>
              </w:rPr>
              <w:t> </w:t>
            </w:r>
          </w:p>
        </w:tc>
        <w:tc>
          <w:tcPr>
            <w:tcW w:w="2824" w:type="dxa"/>
            <w:tcBorders>
              <w:top w:val="single" w:sz="4" w:space="0" w:color="auto"/>
              <w:left w:val="nil"/>
              <w:bottom w:val="single" w:sz="4" w:space="0" w:color="auto"/>
              <w:right w:val="single" w:sz="4" w:space="0" w:color="auto"/>
            </w:tcBorders>
            <w:shd w:val="clear" w:color="000000" w:fill="FFC000"/>
            <w:noWrap/>
            <w:vAlign w:val="bottom"/>
            <w:hideMark/>
          </w:tcPr>
          <w:p w14:paraId="1A46B4D4" w14:textId="77777777" w:rsidR="00472858" w:rsidRPr="00BB662E" w:rsidRDefault="00472858" w:rsidP="00472858">
            <w:pPr>
              <w:spacing w:before="60" w:after="60"/>
              <w:jc w:val="center"/>
              <w:rPr>
                <w:rFonts w:ascii="Calibri" w:hAnsi="Calibri"/>
                <w:b/>
                <w:bCs w:val="0"/>
                <w:color w:val="000000"/>
                <w:lang w:eastAsia="en-GB"/>
              </w:rPr>
            </w:pPr>
            <w:r w:rsidRPr="00BB662E">
              <w:rPr>
                <w:rFonts w:ascii="Calibri" w:hAnsi="Calibri"/>
                <w:b/>
                <w:color w:val="000000"/>
                <w:lang w:eastAsia="en-GB"/>
              </w:rPr>
              <w:t>Practice Response</w:t>
            </w:r>
          </w:p>
        </w:tc>
      </w:tr>
      <w:tr w:rsidR="00472858" w:rsidRPr="00BB662E" w14:paraId="140AE692" w14:textId="77777777" w:rsidTr="00472858">
        <w:trPr>
          <w:trHeight w:val="375"/>
        </w:trPr>
        <w:tc>
          <w:tcPr>
            <w:tcW w:w="607" w:type="dxa"/>
            <w:vMerge w:val="restart"/>
            <w:tcBorders>
              <w:top w:val="nil"/>
              <w:left w:val="single" w:sz="4" w:space="0" w:color="auto"/>
              <w:bottom w:val="single" w:sz="4" w:space="0" w:color="000000"/>
              <w:right w:val="single" w:sz="4" w:space="0" w:color="auto"/>
            </w:tcBorders>
            <w:shd w:val="clear" w:color="auto" w:fill="auto"/>
            <w:noWrap/>
            <w:hideMark/>
          </w:tcPr>
          <w:p w14:paraId="372DA08A"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14</w:t>
            </w:r>
          </w:p>
        </w:tc>
        <w:tc>
          <w:tcPr>
            <w:tcW w:w="6342" w:type="dxa"/>
            <w:vMerge w:val="restart"/>
            <w:tcBorders>
              <w:top w:val="nil"/>
              <w:left w:val="single" w:sz="4" w:space="0" w:color="auto"/>
              <w:bottom w:val="single" w:sz="4" w:space="0" w:color="000000"/>
              <w:right w:val="single" w:sz="4" w:space="0" w:color="auto"/>
            </w:tcBorders>
            <w:shd w:val="clear" w:color="000000" w:fill="D9D9D9"/>
            <w:hideMark/>
          </w:tcPr>
          <w:p w14:paraId="6C748DAB"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Negative impact of Carr-Hill formula? (</w:t>
            </w:r>
            <w:r w:rsidRPr="00BB662E">
              <w:rPr>
                <w:rFonts w:ascii="Calibri" w:hAnsi="Calibri"/>
                <w:b/>
                <w:color w:val="000000"/>
                <w:lang w:eastAsia="en-GB"/>
              </w:rPr>
              <w:t>weighted list vs raw list)</w:t>
            </w:r>
          </w:p>
        </w:tc>
        <w:tc>
          <w:tcPr>
            <w:tcW w:w="2915" w:type="dxa"/>
            <w:vMerge w:val="restart"/>
            <w:tcBorders>
              <w:top w:val="nil"/>
              <w:left w:val="single" w:sz="4" w:space="0" w:color="auto"/>
              <w:bottom w:val="single" w:sz="4" w:space="0" w:color="000000"/>
              <w:right w:val="single" w:sz="4" w:space="0" w:color="auto"/>
            </w:tcBorders>
            <w:shd w:val="clear" w:color="auto" w:fill="auto"/>
            <w:vAlign w:val="bottom"/>
            <w:hideMark/>
          </w:tcPr>
          <w:p w14:paraId="4E6BDA86" w14:textId="77777777" w:rsidR="00472858" w:rsidRPr="00BB662E" w:rsidRDefault="00472858" w:rsidP="00472858">
            <w:pPr>
              <w:spacing w:before="60" w:after="60"/>
              <w:rPr>
                <w:rFonts w:ascii="Calibri" w:hAnsi="Calibri"/>
                <w:color w:val="000000"/>
                <w:sz w:val="20"/>
                <w:szCs w:val="20"/>
                <w:lang w:eastAsia="en-GB"/>
              </w:rPr>
            </w:pPr>
            <w:r w:rsidRPr="00BB662E">
              <w:rPr>
                <w:rFonts w:ascii="Calibri" w:hAnsi="Calibri"/>
                <w:color w:val="000000"/>
                <w:sz w:val="20"/>
                <w:szCs w:val="20"/>
                <w:lang w:eastAsia="en-GB"/>
              </w:rPr>
              <w:t>Atypical population: adverse impact of Carr-Hill</w:t>
            </w:r>
          </w:p>
        </w:tc>
        <w:tc>
          <w:tcPr>
            <w:tcW w:w="519" w:type="dxa"/>
            <w:vMerge w:val="restart"/>
            <w:tcBorders>
              <w:top w:val="nil"/>
              <w:left w:val="single" w:sz="4" w:space="0" w:color="auto"/>
              <w:bottom w:val="single" w:sz="4" w:space="0" w:color="000000"/>
              <w:right w:val="single" w:sz="4" w:space="0" w:color="auto"/>
            </w:tcBorders>
            <w:shd w:val="clear" w:color="000000" w:fill="F2DCDB"/>
            <w:hideMark/>
          </w:tcPr>
          <w:p w14:paraId="1AAB14D5"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Yes</w:t>
            </w:r>
          </w:p>
        </w:tc>
        <w:tc>
          <w:tcPr>
            <w:tcW w:w="1765" w:type="dxa"/>
            <w:vMerge w:val="restart"/>
            <w:tcBorders>
              <w:top w:val="nil"/>
              <w:left w:val="single" w:sz="4" w:space="0" w:color="auto"/>
              <w:bottom w:val="single" w:sz="4" w:space="0" w:color="000000"/>
              <w:right w:val="single" w:sz="4" w:space="0" w:color="auto"/>
            </w:tcBorders>
            <w:shd w:val="clear" w:color="000000" w:fill="F2DCDB"/>
            <w:hideMark/>
          </w:tcPr>
          <w:p w14:paraId="304AF42A"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No</w:t>
            </w:r>
          </w:p>
        </w:tc>
        <w:tc>
          <w:tcPr>
            <w:tcW w:w="2824" w:type="dxa"/>
            <w:vMerge w:val="restart"/>
            <w:tcBorders>
              <w:top w:val="nil"/>
              <w:left w:val="single" w:sz="4" w:space="0" w:color="auto"/>
              <w:bottom w:val="single" w:sz="4" w:space="0" w:color="000000"/>
              <w:right w:val="single" w:sz="4" w:space="0" w:color="auto"/>
            </w:tcBorders>
            <w:shd w:val="clear" w:color="000000" w:fill="F2DCDB"/>
            <w:vAlign w:val="bottom"/>
            <w:hideMark/>
          </w:tcPr>
          <w:p w14:paraId="4685BF5B" w14:textId="77777777" w:rsidR="00472858" w:rsidRPr="00BB662E" w:rsidRDefault="00472858" w:rsidP="00472858">
            <w:pPr>
              <w:spacing w:before="60" w:after="60"/>
              <w:rPr>
                <w:rFonts w:ascii="Calibri" w:hAnsi="Calibri"/>
                <w:i/>
                <w:iCs/>
                <w:color w:val="000000"/>
                <w:lang w:eastAsia="en-GB"/>
              </w:rPr>
            </w:pPr>
            <w:r w:rsidRPr="00BB662E">
              <w:rPr>
                <w:rFonts w:ascii="Calibri" w:hAnsi="Calibri"/>
                <w:i/>
                <w:iCs/>
                <w:color w:val="000000"/>
                <w:lang w:eastAsia="en-GB"/>
              </w:rPr>
              <w:t>insert any comments</w:t>
            </w:r>
          </w:p>
        </w:tc>
      </w:tr>
      <w:tr w:rsidR="00472858" w:rsidRPr="00BB662E" w14:paraId="33FB9274" w14:textId="77777777" w:rsidTr="00472858">
        <w:trPr>
          <w:trHeight w:val="435"/>
        </w:trPr>
        <w:tc>
          <w:tcPr>
            <w:tcW w:w="607" w:type="dxa"/>
            <w:vMerge/>
            <w:tcBorders>
              <w:top w:val="nil"/>
              <w:left w:val="single" w:sz="4" w:space="0" w:color="auto"/>
              <w:bottom w:val="single" w:sz="4" w:space="0" w:color="000000"/>
              <w:right w:val="single" w:sz="4" w:space="0" w:color="auto"/>
            </w:tcBorders>
            <w:vAlign w:val="center"/>
            <w:hideMark/>
          </w:tcPr>
          <w:p w14:paraId="013C20B8" w14:textId="77777777" w:rsidR="00472858" w:rsidRPr="00BB662E" w:rsidRDefault="00472858" w:rsidP="00472858">
            <w:pPr>
              <w:spacing w:before="60" w:after="60"/>
              <w:rPr>
                <w:rFonts w:ascii="Calibri" w:hAnsi="Calibri"/>
                <w:color w:val="000000"/>
                <w:lang w:eastAsia="en-GB"/>
              </w:rPr>
            </w:pPr>
          </w:p>
        </w:tc>
        <w:tc>
          <w:tcPr>
            <w:tcW w:w="6342" w:type="dxa"/>
            <w:vMerge/>
            <w:tcBorders>
              <w:top w:val="nil"/>
              <w:left w:val="single" w:sz="4" w:space="0" w:color="auto"/>
              <w:bottom w:val="single" w:sz="4" w:space="0" w:color="000000"/>
              <w:right w:val="single" w:sz="4" w:space="0" w:color="auto"/>
            </w:tcBorders>
            <w:vAlign w:val="center"/>
            <w:hideMark/>
          </w:tcPr>
          <w:p w14:paraId="7ABFF6BA" w14:textId="77777777" w:rsidR="00472858" w:rsidRPr="00BB662E" w:rsidRDefault="00472858" w:rsidP="00472858">
            <w:pPr>
              <w:spacing w:before="60" w:after="60"/>
              <w:rPr>
                <w:rFonts w:ascii="Calibri" w:hAnsi="Calibri"/>
                <w:color w:val="000000"/>
                <w:lang w:eastAsia="en-GB"/>
              </w:rPr>
            </w:pPr>
          </w:p>
        </w:tc>
        <w:tc>
          <w:tcPr>
            <w:tcW w:w="2915" w:type="dxa"/>
            <w:vMerge/>
            <w:tcBorders>
              <w:top w:val="nil"/>
              <w:left w:val="single" w:sz="4" w:space="0" w:color="auto"/>
              <w:bottom w:val="single" w:sz="4" w:space="0" w:color="000000"/>
              <w:right w:val="single" w:sz="4" w:space="0" w:color="auto"/>
            </w:tcBorders>
            <w:vAlign w:val="center"/>
            <w:hideMark/>
          </w:tcPr>
          <w:p w14:paraId="31692D24" w14:textId="77777777" w:rsidR="00472858" w:rsidRPr="00BB662E" w:rsidRDefault="00472858" w:rsidP="00472858">
            <w:pPr>
              <w:spacing w:before="60" w:after="60"/>
              <w:rPr>
                <w:rFonts w:ascii="Calibri" w:hAnsi="Calibri"/>
                <w:color w:val="000000"/>
                <w:sz w:val="20"/>
                <w:szCs w:val="20"/>
                <w:lang w:eastAsia="en-GB"/>
              </w:rPr>
            </w:pPr>
          </w:p>
        </w:tc>
        <w:tc>
          <w:tcPr>
            <w:tcW w:w="519" w:type="dxa"/>
            <w:vMerge/>
            <w:tcBorders>
              <w:top w:val="nil"/>
              <w:left w:val="single" w:sz="4" w:space="0" w:color="auto"/>
              <w:bottom w:val="single" w:sz="4" w:space="0" w:color="000000"/>
              <w:right w:val="single" w:sz="4" w:space="0" w:color="auto"/>
            </w:tcBorders>
            <w:vAlign w:val="center"/>
            <w:hideMark/>
          </w:tcPr>
          <w:p w14:paraId="2AF58EC7" w14:textId="77777777" w:rsidR="00472858" w:rsidRPr="00BB662E" w:rsidRDefault="00472858" w:rsidP="00472858">
            <w:pPr>
              <w:spacing w:before="60" w:after="60"/>
              <w:rPr>
                <w:rFonts w:ascii="Calibri" w:hAnsi="Calibri"/>
                <w:color w:val="000000"/>
                <w:lang w:eastAsia="en-GB"/>
              </w:rPr>
            </w:pPr>
          </w:p>
        </w:tc>
        <w:tc>
          <w:tcPr>
            <w:tcW w:w="1765" w:type="dxa"/>
            <w:vMerge/>
            <w:tcBorders>
              <w:top w:val="nil"/>
              <w:left w:val="single" w:sz="4" w:space="0" w:color="auto"/>
              <w:bottom w:val="single" w:sz="4" w:space="0" w:color="000000"/>
              <w:right w:val="single" w:sz="4" w:space="0" w:color="auto"/>
            </w:tcBorders>
            <w:vAlign w:val="center"/>
            <w:hideMark/>
          </w:tcPr>
          <w:p w14:paraId="297333D3" w14:textId="77777777" w:rsidR="00472858" w:rsidRPr="00BB662E" w:rsidRDefault="00472858" w:rsidP="00472858">
            <w:pPr>
              <w:spacing w:before="60" w:after="60"/>
              <w:rPr>
                <w:rFonts w:ascii="Calibri" w:hAnsi="Calibri"/>
                <w:color w:val="000000"/>
                <w:lang w:eastAsia="en-GB"/>
              </w:rPr>
            </w:pPr>
          </w:p>
        </w:tc>
        <w:tc>
          <w:tcPr>
            <w:tcW w:w="2824" w:type="dxa"/>
            <w:vMerge/>
            <w:tcBorders>
              <w:top w:val="nil"/>
              <w:left w:val="single" w:sz="4" w:space="0" w:color="auto"/>
              <w:bottom w:val="single" w:sz="4" w:space="0" w:color="000000"/>
              <w:right w:val="single" w:sz="4" w:space="0" w:color="auto"/>
            </w:tcBorders>
            <w:vAlign w:val="center"/>
            <w:hideMark/>
          </w:tcPr>
          <w:p w14:paraId="4397DCBA" w14:textId="77777777" w:rsidR="00472858" w:rsidRPr="00BB662E" w:rsidRDefault="00472858" w:rsidP="00472858">
            <w:pPr>
              <w:spacing w:before="60" w:after="60"/>
              <w:rPr>
                <w:rFonts w:ascii="Calibri" w:hAnsi="Calibri"/>
                <w:i/>
                <w:iCs/>
                <w:color w:val="000000"/>
                <w:lang w:eastAsia="en-GB"/>
              </w:rPr>
            </w:pPr>
          </w:p>
        </w:tc>
      </w:tr>
      <w:tr w:rsidR="00472858" w:rsidRPr="00BB662E" w14:paraId="1CA52059" w14:textId="77777777" w:rsidTr="00472858">
        <w:trPr>
          <w:trHeight w:val="1290"/>
        </w:trPr>
        <w:tc>
          <w:tcPr>
            <w:tcW w:w="607" w:type="dxa"/>
            <w:tcBorders>
              <w:top w:val="nil"/>
              <w:left w:val="single" w:sz="4" w:space="0" w:color="auto"/>
              <w:bottom w:val="single" w:sz="8" w:space="0" w:color="auto"/>
              <w:right w:val="single" w:sz="4" w:space="0" w:color="auto"/>
            </w:tcBorders>
            <w:shd w:val="clear" w:color="auto" w:fill="auto"/>
            <w:noWrap/>
            <w:hideMark/>
          </w:tcPr>
          <w:p w14:paraId="552E3F89"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15</w:t>
            </w:r>
          </w:p>
        </w:tc>
        <w:tc>
          <w:tcPr>
            <w:tcW w:w="6342" w:type="dxa"/>
            <w:tcBorders>
              <w:top w:val="nil"/>
              <w:left w:val="nil"/>
              <w:bottom w:val="single" w:sz="8" w:space="0" w:color="auto"/>
              <w:right w:val="single" w:sz="4" w:space="0" w:color="auto"/>
            </w:tcBorders>
            <w:shd w:val="clear" w:color="000000" w:fill="D9D9D9"/>
            <w:hideMark/>
          </w:tcPr>
          <w:p w14:paraId="6A484AFA"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Does the practice have an</w:t>
            </w:r>
            <w:r w:rsidRPr="00BB662E">
              <w:rPr>
                <w:rFonts w:ascii="Calibri" w:hAnsi="Calibri"/>
                <w:b/>
                <w:color w:val="000000"/>
                <w:lang w:eastAsia="en-GB"/>
              </w:rPr>
              <w:t xml:space="preserve"> 'atypical'</w:t>
            </w:r>
            <w:r w:rsidRPr="00BB662E">
              <w:rPr>
                <w:rFonts w:ascii="Calibri" w:hAnsi="Calibri"/>
                <w:color w:val="000000"/>
                <w:lang w:eastAsia="en-GB"/>
              </w:rPr>
              <w:t xml:space="preserve"> population e.g. university, rural or new town which is not adequately reflected in the contract payment? </w:t>
            </w:r>
            <w:r w:rsidRPr="00BB662E">
              <w:rPr>
                <w:rFonts w:ascii="Calibri" w:hAnsi="Calibri"/>
                <w:color w:val="000000"/>
                <w:lang w:eastAsia="en-GB"/>
              </w:rPr>
              <w:br/>
              <w:t>Please explain:</w:t>
            </w:r>
          </w:p>
        </w:tc>
        <w:tc>
          <w:tcPr>
            <w:tcW w:w="2915" w:type="dxa"/>
            <w:tcBorders>
              <w:top w:val="nil"/>
              <w:left w:val="nil"/>
              <w:bottom w:val="single" w:sz="8" w:space="0" w:color="auto"/>
              <w:right w:val="single" w:sz="4" w:space="0" w:color="auto"/>
            </w:tcBorders>
            <w:shd w:val="clear" w:color="auto" w:fill="auto"/>
            <w:hideMark/>
          </w:tcPr>
          <w:p w14:paraId="72713B59" w14:textId="77777777" w:rsidR="00472858" w:rsidRPr="00BB662E" w:rsidRDefault="00472858" w:rsidP="00472858">
            <w:pPr>
              <w:spacing w:before="60" w:after="60"/>
              <w:rPr>
                <w:rFonts w:ascii="Calibri" w:hAnsi="Calibri"/>
                <w:color w:val="000000"/>
                <w:sz w:val="20"/>
                <w:szCs w:val="20"/>
                <w:lang w:eastAsia="en-GB"/>
              </w:rPr>
            </w:pPr>
            <w:r w:rsidRPr="00BB662E">
              <w:rPr>
                <w:rFonts w:ascii="Calibri" w:hAnsi="Calibri"/>
                <w:color w:val="000000"/>
                <w:sz w:val="20"/>
                <w:szCs w:val="20"/>
                <w:lang w:eastAsia="en-GB"/>
              </w:rPr>
              <w:t>'Atypical' criteria:</w:t>
            </w:r>
            <w:r w:rsidRPr="00BB662E">
              <w:rPr>
                <w:rFonts w:ascii="Calibri" w:hAnsi="Calibri"/>
                <w:color w:val="000000"/>
                <w:sz w:val="20"/>
                <w:szCs w:val="20"/>
                <w:lang w:eastAsia="en-GB"/>
              </w:rPr>
              <w:br/>
              <w:t>Must evidence that local demographics dictate workload is not adequately reflected in Carr-Hill</w:t>
            </w:r>
          </w:p>
        </w:tc>
        <w:tc>
          <w:tcPr>
            <w:tcW w:w="519" w:type="dxa"/>
            <w:tcBorders>
              <w:top w:val="nil"/>
              <w:left w:val="nil"/>
              <w:bottom w:val="single" w:sz="8" w:space="0" w:color="auto"/>
              <w:right w:val="single" w:sz="4" w:space="0" w:color="auto"/>
            </w:tcBorders>
            <w:shd w:val="clear" w:color="000000" w:fill="F2DCDB"/>
            <w:hideMark/>
          </w:tcPr>
          <w:p w14:paraId="7CFEC010"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Yes</w:t>
            </w:r>
          </w:p>
        </w:tc>
        <w:tc>
          <w:tcPr>
            <w:tcW w:w="1765" w:type="dxa"/>
            <w:tcBorders>
              <w:top w:val="nil"/>
              <w:left w:val="nil"/>
              <w:bottom w:val="single" w:sz="8" w:space="0" w:color="auto"/>
              <w:right w:val="single" w:sz="4" w:space="0" w:color="auto"/>
            </w:tcBorders>
            <w:shd w:val="clear" w:color="000000" w:fill="F2DCDB"/>
            <w:hideMark/>
          </w:tcPr>
          <w:p w14:paraId="541B13E2"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No</w:t>
            </w:r>
          </w:p>
        </w:tc>
        <w:tc>
          <w:tcPr>
            <w:tcW w:w="2824" w:type="dxa"/>
            <w:tcBorders>
              <w:top w:val="nil"/>
              <w:left w:val="nil"/>
              <w:bottom w:val="single" w:sz="8" w:space="0" w:color="auto"/>
              <w:right w:val="single" w:sz="4" w:space="0" w:color="auto"/>
            </w:tcBorders>
            <w:shd w:val="clear" w:color="000000" w:fill="F2DCDB"/>
            <w:hideMark/>
          </w:tcPr>
          <w:p w14:paraId="2DD69880"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Details required:</w:t>
            </w:r>
          </w:p>
        </w:tc>
      </w:tr>
      <w:tr w:rsidR="00472858" w:rsidRPr="00BB662E" w14:paraId="19B3DF61" w14:textId="77777777" w:rsidTr="00472858">
        <w:trPr>
          <w:trHeight w:val="900"/>
        </w:trPr>
        <w:tc>
          <w:tcPr>
            <w:tcW w:w="607" w:type="dxa"/>
            <w:tcBorders>
              <w:top w:val="single" w:sz="4" w:space="0" w:color="auto"/>
              <w:left w:val="single" w:sz="4" w:space="0" w:color="auto"/>
              <w:bottom w:val="single" w:sz="4" w:space="0" w:color="auto"/>
              <w:right w:val="single" w:sz="4" w:space="0" w:color="auto"/>
            </w:tcBorders>
            <w:shd w:val="clear" w:color="auto" w:fill="auto"/>
            <w:noWrap/>
            <w:hideMark/>
          </w:tcPr>
          <w:p w14:paraId="05D6B281"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16</w:t>
            </w:r>
          </w:p>
        </w:tc>
        <w:tc>
          <w:tcPr>
            <w:tcW w:w="6342" w:type="dxa"/>
            <w:tcBorders>
              <w:top w:val="single" w:sz="4" w:space="0" w:color="auto"/>
              <w:left w:val="nil"/>
              <w:bottom w:val="single" w:sz="4" w:space="0" w:color="auto"/>
              <w:right w:val="single" w:sz="4" w:space="0" w:color="auto"/>
            </w:tcBorders>
            <w:shd w:val="clear" w:color="000000" w:fill="D9D9D9"/>
            <w:hideMark/>
          </w:tcPr>
          <w:p w14:paraId="188AACDF"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xml:space="preserve">Are </w:t>
            </w:r>
            <w:r w:rsidRPr="00BB662E">
              <w:rPr>
                <w:rFonts w:ascii="Calibri" w:hAnsi="Calibri"/>
                <w:b/>
                <w:color w:val="000000"/>
                <w:lang w:eastAsia="en-GB"/>
              </w:rPr>
              <w:t>practice expenses greater than 65%</w:t>
            </w:r>
            <w:r w:rsidRPr="00BB662E">
              <w:rPr>
                <w:rFonts w:ascii="Calibri" w:hAnsi="Calibri"/>
                <w:color w:val="000000"/>
                <w:lang w:eastAsia="en-GB"/>
              </w:rPr>
              <w:t xml:space="preserve"> of primary medical services (including Local Authority/CCG and NHS England) income?</w:t>
            </w:r>
          </w:p>
        </w:tc>
        <w:tc>
          <w:tcPr>
            <w:tcW w:w="2915" w:type="dxa"/>
            <w:tcBorders>
              <w:top w:val="single" w:sz="4" w:space="0" w:color="auto"/>
              <w:left w:val="nil"/>
              <w:bottom w:val="single" w:sz="4" w:space="0" w:color="auto"/>
              <w:right w:val="single" w:sz="4" w:space="0" w:color="auto"/>
            </w:tcBorders>
            <w:shd w:val="clear" w:color="auto" w:fill="auto"/>
            <w:vAlign w:val="bottom"/>
            <w:hideMark/>
          </w:tcPr>
          <w:p w14:paraId="1B16AEB8" w14:textId="77777777" w:rsidR="00472858" w:rsidRPr="00BB662E" w:rsidRDefault="00472858" w:rsidP="00472858">
            <w:pPr>
              <w:spacing w:before="60" w:after="60"/>
              <w:rPr>
                <w:rFonts w:ascii="Calibri" w:hAnsi="Calibri"/>
                <w:color w:val="000000"/>
                <w:sz w:val="20"/>
                <w:szCs w:val="20"/>
                <w:lang w:eastAsia="en-GB"/>
              </w:rPr>
            </w:pPr>
            <w:r w:rsidRPr="00BB662E">
              <w:rPr>
                <w:rFonts w:ascii="Calibri" w:hAnsi="Calibri"/>
                <w:color w:val="000000"/>
                <w:sz w:val="20"/>
                <w:szCs w:val="20"/>
                <w:lang w:eastAsia="en-GB"/>
              </w:rPr>
              <w:t>South East average ratio of expenses</w:t>
            </w:r>
            <w:r>
              <w:rPr>
                <w:rFonts w:ascii="Calibri" w:hAnsi="Calibri"/>
                <w:color w:val="000000"/>
                <w:sz w:val="20"/>
                <w:szCs w:val="20"/>
                <w:lang w:eastAsia="en-GB"/>
              </w:rPr>
              <w:t xml:space="preserve"> </w:t>
            </w:r>
            <w:r w:rsidRPr="00BB662E">
              <w:rPr>
                <w:rFonts w:ascii="Calibri" w:hAnsi="Calibri"/>
                <w:color w:val="000000"/>
                <w:sz w:val="20"/>
                <w:szCs w:val="20"/>
                <w:lang w:eastAsia="en-GB"/>
              </w:rPr>
              <w:t>:</w:t>
            </w:r>
            <w:r>
              <w:rPr>
                <w:rFonts w:ascii="Calibri" w:hAnsi="Calibri"/>
                <w:color w:val="000000"/>
                <w:sz w:val="20"/>
                <w:szCs w:val="20"/>
                <w:lang w:eastAsia="en-GB"/>
              </w:rPr>
              <w:t xml:space="preserve"> </w:t>
            </w:r>
            <w:r w:rsidRPr="00BB662E">
              <w:rPr>
                <w:rFonts w:ascii="Calibri" w:hAnsi="Calibri"/>
                <w:color w:val="000000"/>
                <w:sz w:val="20"/>
                <w:szCs w:val="20"/>
                <w:lang w:eastAsia="en-GB"/>
              </w:rPr>
              <w:t>earnings is 65:35</w:t>
            </w:r>
          </w:p>
        </w:tc>
        <w:tc>
          <w:tcPr>
            <w:tcW w:w="519" w:type="dxa"/>
            <w:tcBorders>
              <w:top w:val="single" w:sz="4" w:space="0" w:color="auto"/>
              <w:left w:val="nil"/>
              <w:bottom w:val="single" w:sz="4" w:space="0" w:color="auto"/>
              <w:right w:val="single" w:sz="4" w:space="0" w:color="auto"/>
            </w:tcBorders>
            <w:shd w:val="clear" w:color="000000" w:fill="F2DCDB"/>
            <w:hideMark/>
          </w:tcPr>
          <w:p w14:paraId="50399C2A"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Yes</w:t>
            </w:r>
          </w:p>
        </w:tc>
        <w:tc>
          <w:tcPr>
            <w:tcW w:w="1765" w:type="dxa"/>
            <w:tcBorders>
              <w:top w:val="single" w:sz="4" w:space="0" w:color="auto"/>
              <w:left w:val="nil"/>
              <w:bottom w:val="single" w:sz="4" w:space="0" w:color="auto"/>
              <w:right w:val="single" w:sz="4" w:space="0" w:color="auto"/>
            </w:tcBorders>
            <w:shd w:val="clear" w:color="000000" w:fill="F2DCDB"/>
            <w:hideMark/>
          </w:tcPr>
          <w:p w14:paraId="4D28D07F"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No</w:t>
            </w:r>
          </w:p>
        </w:tc>
        <w:tc>
          <w:tcPr>
            <w:tcW w:w="2824" w:type="dxa"/>
            <w:tcBorders>
              <w:top w:val="single" w:sz="4" w:space="0" w:color="auto"/>
              <w:left w:val="nil"/>
              <w:bottom w:val="single" w:sz="4" w:space="0" w:color="auto"/>
              <w:right w:val="single" w:sz="4" w:space="0" w:color="auto"/>
            </w:tcBorders>
            <w:shd w:val="clear" w:color="000000" w:fill="F2DCDB"/>
            <w:vAlign w:val="center"/>
            <w:hideMark/>
          </w:tcPr>
          <w:p w14:paraId="31D37ECA"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xml:space="preserve">Please state expenses: .................% </w:t>
            </w:r>
          </w:p>
        </w:tc>
      </w:tr>
      <w:tr w:rsidR="00472858" w:rsidRPr="00BB662E" w14:paraId="466E4BF8" w14:textId="77777777" w:rsidTr="00472858">
        <w:trPr>
          <w:trHeight w:val="390"/>
        </w:trPr>
        <w:tc>
          <w:tcPr>
            <w:tcW w:w="607" w:type="dxa"/>
            <w:tcBorders>
              <w:top w:val="nil"/>
              <w:left w:val="single" w:sz="4" w:space="0" w:color="auto"/>
              <w:bottom w:val="single" w:sz="4" w:space="0" w:color="auto"/>
              <w:right w:val="single" w:sz="4" w:space="0" w:color="auto"/>
            </w:tcBorders>
            <w:shd w:val="clear" w:color="auto" w:fill="auto"/>
            <w:noWrap/>
            <w:hideMark/>
          </w:tcPr>
          <w:p w14:paraId="248D5778"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16b</w:t>
            </w:r>
          </w:p>
        </w:tc>
        <w:tc>
          <w:tcPr>
            <w:tcW w:w="6342" w:type="dxa"/>
            <w:tcBorders>
              <w:top w:val="nil"/>
              <w:left w:val="nil"/>
              <w:bottom w:val="single" w:sz="4" w:space="0" w:color="auto"/>
              <w:right w:val="single" w:sz="4" w:space="0" w:color="auto"/>
            </w:tcBorders>
            <w:shd w:val="clear" w:color="000000" w:fill="D9D9D9"/>
            <w:hideMark/>
          </w:tcPr>
          <w:p w14:paraId="5D615828"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If yes, can this be sufficiently evidenced?</w:t>
            </w:r>
          </w:p>
        </w:tc>
        <w:tc>
          <w:tcPr>
            <w:tcW w:w="2915" w:type="dxa"/>
            <w:tcBorders>
              <w:top w:val="nil"/>
              <w:left w:val="nil"/>
              <w:bottom w:val="single" w:sz="4" w:space="0" w:color="auto"/>
              <w:right w:val="single" w:sz="4" w:space="0" w:color="auto"/>
            </w:tcBorders>
            <w:shd w:val="clear" w:color="auto" w:fill="auto"/>
            <w:vAlign w:val="center"/>
            <w:hideMark/>
          </w:tcPr>
          <w:p w14:paraId="7A7FCDE5"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w:t>
            </w:r>
          </w:p>
        </w:tc>
        <w:tc>
          <w:tcPr>
            <w:tcW w:w="519" w:type="dxa"/>
            <w:tcBorders>
              <w:top w:val="nil"/>
              <w:left w:val="nil"/>
              <w:bottom w:val="single" w:sz="4" w:space="0" w:color="auto"/>
              <w:right w:val="single" w:sz="4" w:space="0" w:color="auto"/>
            </w:tcBorders>
            <w:shd w:val="clear" w:color="000000" w:fill="F2DCDB"/>
            <w:hideMark/>
          </w:tcPr>
          <w:p w14:paraId="140AC274"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Yes</w:t>
            </w:r>
          </w:p>
        </w:tc>
        <w:tc>
          <w:tcPr>
            <w:tcW w:w="1765" w:type="dxa"/>
            <w:tcBorders>
              <w:top w:val="nil"/>
              <w:left w:val="nil"/>
              <w:bottom w:val="single" w:sz="4" w:space="0" w:color="auto"/>
              <w:right w:val="single" w:sz="4" w:space="0" w:color="auto"/>
            </w:tcBorders>
            <w:shd w:val="clear" w:color="000000" w:fill="F2DCDB"/>
            <w:hideMark/>
          </w:tcPr>
          <w:p w14:paraId="7BD2A425"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No</w:t>
            </w:r>
          </w:p>
        </w:tc>
        <w:tc>
          <w:tcPr>
            <w:tcW w:w="2824" w:type="dxa"/>
            <w:tcBorders>
              <w:top w:val="nil"/>
              <w:left w:val="nil"/>
              <w:bottom w:val="single" w:sz="4" w:space="0" w:color="auto"/>
              <w:right w:val="single" w:sz="4" w:space="0" w:color="auto"/>
            </w:tcBorders>
            <w:shd w:val="clear" w:color="000000" w:fill="F2DCDB"/>
            <w:vAlign w:val="bottom"/>
            <w:hideMark/>
          </w:tcPr>
          <w:p w14:paraId="5AF00EA2" w14:textId="77777777" w:rsidR="00472858" w:rsidRPr="00BB662E" w:rsidRDefault="00472858" w:rsidP="00472858">
            <w:pPr>
              <w:spacing w:before="60" w:after="60"/>
              <w:rPr>
                <w:rFonts w:ascii="Calibri" w:hAnsi="Calibri"/>
                <w:i/>
                <w:iCs/>
                <w:color w:val="000000"/>
                <w:lang w:eastAsia="en-GB"/>
              </w:rPr>
            </w:pPr>
            <w:r w:rsidRPr="00BB662E">
              <w:rPr>
                <w:rFonts w:ascii="Calibri" w:hAnsi="Calibri"/>
                <w:i/>
                <w:iCs/>
                <w:color w:val="000000"/>
                <w:lang w:eastAsia="en-GB"/>
              </w:rPr>
              <w:t>insert any comments</w:t>
            </w:r>
          </w:p>
        </w:tc>
      </w:tr>
      <w:tr w:rsidR="00472858" w:rsidRPr="00BB662E" w14:paraId="1A005B66" w14:textId="77777777" w:rsidTr="00472858">
        <w:trPr>
          <w:trHeight w:val="300"/>
        </w:trPr>
        <w:tc>
          <w:tcPr>
            <w:tcW w:w="607" w:type="dxa"/>
            <w:vMerge w:val="restart"/>
            <w:tcBorders>
              <w:top w:val="nil"/>
              <w:left w:val="single" w:sz="4" w:space="0" w:color="auto"/>
              <w:bottom w:val="single" w:sz="4" w:space="0" w:color="000000"/>
              <w:right w:val="single" w:sz="4" w:space="0" w:color="auto"/>
            </w:tcBorders>
            <w:shd w:val="clear" w:color="auto" w:fill="auto"/>
            <w:noWrap/>
            <w:hideMark/>
          </w:tcPr>
          <w:p w14:paraId="1065513F"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17</w:t>
            </w:r>
          </w:p>
        </w:tc>
        <w:tc>
          <w:tcPr>
            <w:tcW w:w="6342" w:type="dxa"/>
            <w:vMerge w:val="restart"/>
            <w:tcBorders>
              <w:top w:val="nil"/>
              <w:left w:val="single" w:sz="4" w:space="0" w:color="auto"/>
              <w:bottom w:val="single" w:sz="4" w:space="0" w:color="000000"/>
              <w:right w:val="single" w:sz="4" w:space="0" w:color="auto"/>
            </w:tcBorders>
            <w:shd w:val="clear" w:color="000000" w:fill="D9D9D9"/>
            <w:hideMark/>
          </w:tcPr>
          <w:p w14:paraId="19EAA3CC"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xml:space="preserve">Please state </w:t>
            </w:r>
            <w:r w:rsidRPr="00BB662E">
              <w:rPr>
                <w:rFonts w:ascii="Calibri" w:hAnsi="Calibri"/>
                <w:b/>
                <w:color w:val="000000"/>
                <w:lang w:eastAsia="en-GB"/>
              </w:rPr>
              <w:t xml:space="preserve">individually declared pensionable earnings per GP </w:t>
            </w:r>
            <w:r w:rsidRPr="00BB662E">
              <w:rPr>
                <w:rFonts w:ascii="Calibri" w:hAnsi="Calibri"/>
                <w:color w:val="000000"/>
                <w:lang w:eastAsia="en-GB"/>
              </w:rPr>
              <w:t xml:space="preserve">within the practice </w:t>
            </w:r>
            <w:r w:rsidRPr="00BB662E">
              <w:rPr>
                <w:rFonts w:ascii="Calibri" w:hAnsi="Calibri"/>
                <w:color w:val="FF0000"/>
                <w:lang w:eastAsia="en-GB"/>
              </w:rPr>
              <w:t xml:space="preserve">(pro-rata'd for part time) </w:t>
            </w:r>
            <w:r w:rsidRPr="00BB662E">
              <w:rPr>
                <w:rFonts w:ascii="Calibri" w:hAnsi="Calibri"/>
                <w:b/>
                <w:lang w:eastAsia="en-GB"/>
              </w:rPr>
              <w:t xml:space="preserve">for the YEAR </w:t>
            </w:r>
            <w:r w:rsidRPr="00BB662E">
              <w:rPr>
                <w:rFonts w:ascii="Calibri" w:hAnsi="Calibri"/>
                <w:b/>
                <w:sz w:val="32"/>
                <w:szCs w:val="32"/>
                <w:u w:val="single"/>
                <w:lang w:eastAsia="en-GB"/>
              </w:rPr>
              <w:t>[INSERT YEAR]</w:t>
            </w:r>
            <w:r w:rsidRPr="00BB662E">
              <w:rPr>
                <w:rFonts w:ascii="Calibri" w:hAnsi="Calibri"/>
                <w:color w:val="FF0000"/>
                <w:lang w:eastAsia="en-GB"/>
              </w:rPr>
              <w:br/>
            </w:r>
            <w:r w:rsidRPr="00BB662E">
              <w:rPr>
                <w:rFonts w:ascii="Calibri" w:hAnsi="Calibri"/>
                <w:lang w:eastAsia="en-GB"/>
              </w:rPr>
              <w:t>(It is noted this may include non-GMS/PMS/APMS income &amp; 'non-NHS' income.)</w:t>
            </w:r>
            <w:r w:rsidRPr="00BB662E">
              <w:rPr>
                <w:rFonts w:ascii="Calibri" w:hAnsi="Calibri"/>
                <w:lang w:eastAsia="en-GB"/>
              </w:rPr>
              <w:br/>
            </w:r>
            <w:r w:rsidRPr="00BB662E">
              <w:rPr>
                <w:rFonts w:ascii="Calibri" w:hAnsi="Calibri"/>
                <w:color w:val="FF0000"/>
                <w:lang w:eastAsia="en-GB"/>
              </w:rPr>
              <w:br/>
            </w:r>
            <w:r w:rsidRPr="00BB662E">
              <w:rPr>
                <w:rFonts w:ascii="Calibri" w:hAnsi="Calibri"/>
                <w:color w:val="FF0000"/>
                <w:sz w:val="18"/>
                <w:szCs w:val="18"/>
                <w:lang w:eastAsia="en-GB"/>
              </w:rPr>
              <w:t>(£112k / £96k figure derived from HSCIC 2013/14- South East GPMS Contractor/salaried averages plus 1%/yr)</w:t>
            </w:r>
          </w:p>
        </w:tc>
        <w:tc>
          <w:tcPr>
            <w:tcW w:w="3434" w:type="dxa"/>
            <w:gridSpan w:val="2"/>
            <w:vMerge w:val="restart"/>
            <w:tcBorders>
              <w:top w:val="single" w:sz="4" w:space="0" w:color="auto"/>
              <w:left w:val="single" w:sz="4" w:space="0" w:color="auto"/>
              <w:bottom w:val="single" w:sz="4" w:space="0" w:color="000000"/>
              <w:right w:val="single" w:sz="4" w:space="0" w:color="000000"/>
            </w:tcBorders>
            <w:shd w:val="clear" w:color="auto" w:fill="auto"/>
            <w:hideMark/>
          </w:tcPr>
          <w:p w14:paraId="599A8EA4" w14:textId="77777777" w:rsidR="00472858" w:rsidRPr="00BB662E" w:rsidRDefault="00472858" w:rsidP="00472858">
            <w:pPr>
              <w:spacing w:before="60" w:after="60"/>
              <w:rPr>
                <w:rFonts w:ascii="Calibri" w:hAnsi="Calibri"/>
                <w:color w:val="000000"/>
                <w:sz w:val="20"/>
                <w:szCs w:val="20"/>
                <w:lang w:eastAsia="en-GB"/>
              </w:rPr>
            </w:pPr>
            <w:r w:rsidRPr="00BB662E">
              <w:rPr>
                <w:rFonts w:ascii="Calibri" w:hAnsi="Calibri"/>
                <w:color w:val="000000"/>
                <w:sz w:val="20"/>
                <w:szCs w:val="20"/>
                <w:lang w:eastAsia="en-GB"/>
              </w:rPr>
              <w:t xml:space="preserve">No doctor in the practice should have declared pensionable earnings in excess of </w:t>
            </w:r>
            <w:r w:rsidRPr="00BB662E">
              <w:rPr>
                <w:rFonts w:ascii="Calibri" w:hAnsi="Calibri"/>
                <w:color w:val="000000"/>
                <w:sz w:val="20"/>
                <w:szCs w:val="20"/>
                <w:lang w:eastAsia="en-GB"/>
              </w:rPr>
              <w:br/>
              <w:t xml:space="preserve">Contractor = </w:t>
            </w:r>
            <w:r w:rsidRPr="00BB662E">
              <w:rPr>
                <w:rFonts w:ascii="Calibri" w:hAnsi="Calibri"/>
                <w:b/>
                <w:color w:val="FF0000"/>
                <w:sz w:val="20"/>
                <w:szCs w:val="20"/>
                <w:lang w:eastAsia="en-GB"/>
              </w:rPr>
              <w:t>£112k</w:t>
            </w:r>
            <w:r w:rsidRPr="00BB662E">
              <w:rPr>
                <w:rFonts w:ascii="Calibri" w:hAnsi="Calibri"/>
                <w:color w:val="FF0000"/>
                <w:sz w:val="20"/>
                <w:szCs w:val="20"/>
                <w:lang w:eastAsia="en-GB"/>
              </w:rPr>
              <w:t>.</w:t>
            </w:r>
            <w:r w:rsidRPr="00BB662E">
              <w:rPr>
                <w:rFonts w:ascii="Calibri" w:hAnsi="Calibri"/>
                <w:color w:val="FF0000"/>
                <w:sz w:val="20"/>
                <w:szCs w:val="20"/>
                <w:lang w:eastAsia="en-GB"/>
              </w:rPr>
              <w:br/>
              <w:t>Or combined contractor &amp; Salaried GP average not in excess of = £96k</w:t>
            </w:r>
            <w:r w:rsidRPr="00BB662E">
              <w:rPr>
                <w:rFonts w:ascii="Calibri" w:hAnsi="Calibri"/>
                <w:color w:val="FF0000"/>
                <w:sz w:val="20"/>
                <w:szCs w:val="20"/>
                <w:lang w:eastAsia="en-GB"/>
              </w:rPr>
              <w:br/>
            </w:r>
            <w:r w:rsidRPr="00BB662E">
              <w:rPr>
                <w:rFonts w:ascii="Calibri" w:hAnsi="Calibri"/>
                <w:color w:val="000000"/>
                <w:sz w:val="20"/>
                <w:szCs w:val="20"/>
                <w:lang w:eastAsia="en-GB"/>
              </w:rPr>
              <w:t>Support not designed to increase pensionable income.</w:t>
            </w:r>
          </w:p>
        </w:tc>
        <w:tc>
          <w:tcPr>
            <w:tcW w:w="1765" w:type="dxa"/>
            <w:tcBorders>
              <w:top w:val="nil"/>
              <w:left w:val="nil"/>
              <w:bottom w:val="single" w:sz="4" w:space="0" w:color="auto"/>
              <w:right w:val="single" w:sz="4" w:space="0" w:color="auto"/>
            </w:tcBorders>
            <w:shd w:val="clear" w:color="000000" w:fill="F2DCDB"/>
            <w:hideMark/>
          </w:tcPr>
          <w:p w14:paraId="195F1900"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1</w:t>
            </w:r>
          </w:p>
        </w:tc>
        <w:tc>
          <w:tcPr>
            <w:tcW w:w="2824" w:type="dxa"/>
            <w:tcBorders>
              <w:top w:val="nil"/>
              <w:left w:val="nil"/>
              <w:bottom w:val="single" w:sz="4" w:space="0" w:color="auto"/>
              <w:right w:val="single" w:sz="4" w:space="0" w:color="auto"/>
            </w:tcBorders>
            <w:shd w:val="clear" w:color="000000" w:fill="F2DCDB"/>
            <w:vAlign w:val="bottom"/>
            <w:hideMark/>
          </w:tcPr>
          <w:p w14:paraId="704ECC4B" w14:textId="77777777" w:rsidR="00472858" w:rsidRPr="00BB662E" w:rsidRDefault="00472858" w:rsidP="00472858">
            <w:pPr>
              <w:spacing w:before="60" w:after="60"/>
              <w:ind w:firstLineChars="200" w:firstLine="480"/>
              <w:rPr>
                <w:rFonts w:ascii="Calibri" w:hAnsi="Calibri"/>
                <w:i/>
                <w:iCs/>
                <w:color w:val="000000"/>
                <w:lang w:eastAsia="en-GB"/>
              </w:rPr>
            </w:pPr>
            <w:r w:rsidRPr="00BB662E">
              <w:rPr>
                <w:rFonts w:ascii="Calibri" w:hAnsi="Calibri"/>
                <w:i/>
                <w:iCs/>
                <w:color w:val="000000"/>
                <w:lang w:eastAsia="en-GB"/>
              </w:rPr>
              <w:t>insert £</w:t>
            </w:r>
          </w:p>
        </w:tc>
      </w:tr>
      <w:tr w:rsidR="00472858" w:rsidRPr="00BB662E" w14:paraId="63C9FB66" w14:textId="77777777" w:rsidTr="00472858">
        <w:trPr>
          <w:trHeight w:val="300"/>
        </w:trPr>
        <w:tc>
          <w:tcPr>
            <w:tcW w:w="607" w:type="dxa"/>
            <w:vMerge/>
            <w:tcBorders>
              <w:top w:val="nil"/>
              <w:left w:val="single" w:sz="4" w:space="0" w:color="auto"/>
              <w:bottom w:val="single" w:sz="4" w:space="0" w:color="000000"/>
              <w:right w:val="single" w:sz="4" w:space="0" w:color="auto"/>
            </w:tcBorders>
            <w:vAlign w:val="center"/>
            <w:hideMark/>
          </w:tcPr>
          <w:p w14:paraId="1ABF1F2A" w14:textId="77777777" w:rsidR="00472858" w:rsidRPr="00BB662E" w:rsidRDefault="00472858" w:rsidP="00472858">
            <w:pPr>
              <w:spacing w:before="60" w:after="60"/>
              <w:rPr>
                <w:rFonts w:ascii="Calibri" w:hAnsi="Calibri"/>
                <w:color w:val="000000"/>
                <w:lang w:eastAsia="en-GB"/>
              </w:rPr>
            </w:pPr>
          </w:p>
        </w:tc>
        <w:tc>
          <w:tcPr>
            <w:tcW w:w="6342" w:type="dxa"/>
            <w:vMerge/>
            <w:tcBorders>
              <w:top w:val="nil"/>
              <w:left w:val="single" w:sz="4" w:space="0" w:color="auto"/>
              <w:bottom w:val="single" w:sz="4" w:space="0" w:color="000000"/>
              <w:right w:val="single" w:sz="4" w:space="0" w:color="auto"/>
            </w:tcBorders>
            <w:vAlign w:val="center"/>
            <w:hideMark/>
          </w:tcPr>
          <w:p w14:paraId="311B5032" w14:textId="77777777" w:rsidR="00472858" w:rsidRPr="00BB662E" w:rsidRDefault="00472858" w:rsidP="00472858">
            <w:pPr>
              <w:spacing w:before="60" w:after="60"/>
              <w:rPr>
                <w:rFonts w:ascii="Calibri" w:hAnsi="Calibri"/>
                <w:color w:val="000000"/>
                <w:lang w:eastAsia="en-GB"/>
              </w:rPr>
            </w:pPr>
          </w:p>
        </w:tc>
        <w:tc>
          <w:tcPr>
            <w:tcW w:w="3434" w:type="dxa"/>
            <w:gridSpan w:val="2"/>
            <w:vMerge/>
            <w:tcBorders>
              <w:top w:val="single" w:sz="4" w:space="0" w:color="auto"/>
              <w:left w:val="single" w:sz="4" w:space="0" w:color="auto"/>
              <w:bottom w:val="single" w:sz="4" w:space="0" w:color="000000"/>
              <w:right w:val="single" w:sz="4" w:space="0" w:color="000000"/>
            </w:tcBorders>
            <w:vAlign w:val="center"/>
            <w:hideMark/>
          </w:tcPr>
          <w:p w14:paraId="7FE06201" w14:textId="77777777" w:rsidR="00472858" w:rsidRPr="00BB662E" w:rsidRDefault="00472858" w:rsidP="00472858">
            <w:pPr>
              <w:spacing w:before="60" w:after="60"/>
              <w:rPr>
                <w:rFonts w:ascii="Calibri" w:hAnsi="Calibri"/>
                <w:color w:val="000000"/>
                <w:sz w:val="20"/>
                <w:szCs w:val="20"/>
                <w:lang w:eastAsia="en-GB"/>
              </w:rPr>
            </w:pPr>
          </w:p>
        </w:tc>
        <w:tc>
          <w:tcPr>
            <w:tcW w:w="1765" w:type="dxa"/>
            <w:tcBorders>
              <w:top w:val="nil"/>
              <w:left w:val="nil"/>
              <w:bottom w:val="single" w:sz="4" w:space="0" w:color="auto"/>
              <w:right w:val="single" w:sz="4" w:space="0" w:color="auto"/>
            </w:tcBorders>
            <w:shd w:val="clear" w:color="000000" w:fill="F2DCDB"/>
            <w:hideMark/>
          </w:tcPr>
          <w:p w14:paraId="5E1CCA61"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2</w:t>
            </w:r>
          </w:p>
        </w:tc>
        <w:tc>
          <w:tcPr>
            <w:tcW w:w="2824" w:type="dxa"/>
            <w:tcBorders>
              <w:top w:val="nil"/>
              <w:left w:val="nil"/>
              <w:bottom w:val="single" w:sz="4" w:space="0" w:color="auto"/>
              <w:right w:val="single" w:sz="4" w:space="0" w:color="auto"/>
            </w:tcBorders>
            <w:shd w:val="clear" w:color="000000" w:fill="F2DCDB"/>
            <w:vAlign w:val="bottom"/>
            <w:hideMark/>
          </w:tcPr>
          <w:p w14:paraId="118CDB69" w14:textId="77777777" w:rsidR="00472858" w:rsidRPr="00BB662E" w:rsidRDefault="00472858" w:rsidP="00472858">
            <w:pPr>
              <w:spacing w:before="60" w:after="60"/>
              <w:ind w:firstLineChars="200" w:firstLine="480"/>
              <w:rPr>
                <w:rFonts w:ascii="Calibri" w:hAnsi="Calibri"/>
                <w:i/>
                <w:iCs/>
                <w:color w:val="000000"/>
                <w:lang w:eastAsia="en-GB"/>
              </w:rPr>
            </w:pPr>
            <w:r w:rsidRPr="00BB662E">
              <w:rPr>
                <w:rFonts w:ascii="Calibri" w:hAnsi="Calibri"/>
                <w:i/>
                <w:iCs/>
                <w:color w:val="000000"/>
                <w:lang w:eastAsia="en-GB"/>
              </w:rPr>
              <w:t>insert £</w:t>
            </w:r>
          </w:p>
        </w:tc>
      </w:tr>
      <w:tr w:rsidR="00472858" w:rsidRPr="00BB662E" w14:paraId="598CCF21" w14:textId="77777777" w:rsidTr="00472858">
        <w:trPr>
          <w:trHeight w:val="300"/>
        </w:trPr>
        <w:tc>
          <w:tcPr>
            <w:tcW w:w="607" w:type="dxa"/>
            <w:vMerge/>
            <w:tcBorders>
              <w:top w:val="nil"/>
              <w:left w:val="single" w:sz="4" w:space="0" w:color="auto"/>
              <w:bottom w:val="single" w:sz="4" w:space="0" w:color="000000"/>
              <w:right w:val="single" w:sz="4" w:space="0" w:color="auto"/>
            </w:tcBorders>
            <w:vAlign w:val="center"/>
            <w:hideMark/>
          </w:tcPr>
          <w:p w14:paraId="56BE50FE" w14:textId="77777777" w:rsidR="00472858" w:rsidRPr="00BB662E" w:rsidRDefault="00472858" w:rsidP="00472858">
            <w:pPr>
              <w:spacing w:before="60" w:after="60"/>
              <w:rPr>
                <w:rFonts w:ascii="Calibri" w:hAnsi="Calibri"/>
                <w:color w:val="000000"/>
                <w:lang w:eastAsia="en-GB"/>
              </w:rPr>
            </w:pPr>
          </w:p>
        </w:tc>
        <w:tc>
          <w:tcPr>
            <w:tcW w:w="6342" w:type="dxa"/>
            <w:vMerge/>
            <w:tcBorders>
              <w:top w:val="nil"/>
              <w:left w:val="single" w:sz="4" w:space="0" w:color="auto"/>
              <w:bottom w:val="single" w:sz="4" w:space="0" w:color="000000"/>
              <w:right w:val="single" w:sz="4" w:space="0" w:color="auto"/>
            </w:tcBorders>
            <w:vAlign w:val="center"/>
            <w:hideMark/>
          </w:tcPr>
          <w:p w14:paraId="5E36116A" w14:textId="77777777" w:rsidR="00472858" w:rsidRPr="00BB662E" w:rsidRDefault="00472858" w:rsidP="00472858">
            <w:pPr>
              <w:spacing w:before="60" w:after="60"/>
              <w:rPr>
                <w:rFonts w:ascii="Calibri" w:hAnsi="Calibri"/>
                <w:color w:val="000000"/>
                <w:lang w:eastAsia="en-GB"/>
              </w:rPr>
            </w:pPr>
          </w:p>
        </w:tc>
        <w:tc>
          <w:tcPr>
            <w:tcW w:w="3434" w:type="dxa"/>
            <w:gridSpan w:val="2"/>
            <w:vMerge/>
            <w:tcBorders>
              <w:top w:val="single" w:sz="4" w:space="0" w:color="auto"/>
              <w:left w:val="single" w:sz="4" w:space="0" w:color="auto"/>
              <w:bottom w:val="single" w:sz="4" w:space="0" w:color="000000"/>
              <w:right w:val="single" w:sz="4" w:space="0" w:color="000000"/>
            </w:tcBorders>
            <w:vAlign w:val="center"/>
            <w:hideMark/>
          </w:tcPr>
          <w:p w14:paraId="5B46F3FC" w14:textId="77777777" w:rsidR="00472858" w:rsidRPr="00BB662E" w:rsidRDefault="00472858" w:rsidP="00472858">
            <w:pPr>
              <w:spacing w:before="60" w:after="60"/>
              <w:rPr>
                <w:rFonts w:ascii="Calibri" w:hAnsi="Calibri"/>
                <w:color w:val="000000"/>
                <w:sz w:val="20"/>
                <w:szCs w:val="20"/>
                <w:lang w:eastAsia="en-GB"/>
              </w:rPr>
            </w:pPr>
          </w:p>
        </w:tc>
        <w:tc>
          <w:tcPr>
            <w:tcW w:w="1765" w:type="dxa"/>
            <w:tcBorders>
              <w:top w:val="nil"/>
              <w:left w:val="nil"/>
              <w:bottom w:val="single" w:sz="4" w:space="0" w:color="auto"/>
              <w:right w:val="single" w:sz="4" w:space="0" w:color="auto"/>
            </w:tcBorders>
            <w:shd w:val="clear" w:color="000000" w:fill="F2DCDB"/>
            <w:hideMark/>
          </w:tcPr>
          <w:p w14:paraId="4C0AFAA4"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3</w:t>
            </w:r>
          </w:p>
        </w:tc>
        <w:tc>
          <w:tcPr>
            <w:tcW w:w="2824" w:type="dxa"/>
            <w:tcBorders>
              <w:top w:val="nil"/>
              <w:left w:val="nil"/>
              <w:bottom w:val="single" w:sz="4" w:space="0" w:color="auto"/>
              <w:right w:val="single" w:sz="4" w:space="0" w:color="auto"/>
            </w:tcBorders>
            <w:shd w:val="clear" w:color="000000" w:fill="F2DCDB"/>
            <w:vAlign w:val="bottom"/>
            <w:hideMark/>
          </w:tcPr>
          <w:p w14:paraId="5C3E353A" w14:textId="77777777" w:rsidR="00472858" w:rsidRPr="00BB662E" w:rsidRDefault="00472858" w:rsidP="00472858">
            <w:pPr>
              <w:spacing w:before="60" w:after="60"/>
              <w:ind w:firstLineChars="200" w:firstLine="480"/>
              <w:rPr>
                <w:rFonts w:ascii="Calibri" w:hAnsi="Calibri"/>
                <w:i/>
                <w:iCs/>
                <w:color w:val="000000"/>
                <w:lang w:eastAsia="en-GB"/>
              </w:rPr>
            </w:pPr>
            <w:r w:rsidRPr="00BB662E">
              <w:rPr>
                <w:rFonts w:ascii="Calibri" w:hAnsi="Calibri"/>
                <w:i/>
                <w:iCs/>
                <w:color w:val="000000"/>
                <w:lang w:eastAsia="en-GB"/>
              </w:rPr>
              <w:t>insert £</w:t>
            </w:r>
          </w:p>
        </w:tc>
      </w:tr>
      <w:tr w:rsidR="00472858" w:rsidRPr="00BB662E" w14:paraId="18C988A5" w14:textId="77777777" w:rsidTr="00472858">
        <w:trPr>
          <w:trHeight w:val="300"/>
        </w:trPr>
        <w:tc>
          <w:tcPr>
            <w:tcW w:w="607" w:type="dxa"/>
            <w:vMerge/>
            <w:tcBorders>
              <w:top w:val="nil"/>
              <w:left w:val="single" w:sz="4" w:space="0" w:color="auto"/>
              <w:bottom w:val="single" w:sz="4" w:space="0" w:color="000000"/>
              <w:right w:val="single" w:sz="4" w:space="0" w:color="auto"/>
            </w:tcBorders>
            <w:vAlign w:val="center"/>
            <w:hideMark/>
          </w:tcPr>
          <w:p w14:paraId="09F315C2" w14:textId="77777777" w:rsidR="00472858" w:rsidRPr="00BB662E" w:rsidRDefault="00472858" w:rsidP="00472858">
            <w:pPr>
              <w:spacing w:before="60" w:after="60"/>
              <w:rPr>
                <w:rFonts w:ascii="Calibri" w:hAnsi="Calibri"/>
                <w:color w:val="000000"/>
                <w:lang w:eastAsia="en-GB"/>
              </w:rPr>
            </w:pPr>
          </w:p>
        </w:tc>
        <w:tc>
          <w:tcPr>
            <w:tcW w:w="6342" w:type="dxa"/>
            <w:vMerge/>
            <w:tcBorders>
              <w:top w:val="nil"/>
              <w:left w:val="single" w:sz="4" w:space="0" w:color="auto"/>
              <w:bottom w:val="single" w:sz="4" w:space="0" w:color="000000"/>
              <w:right w:val="single" w:sz="4" w:space="0" w:color="auto"/>
            </w:tcBorders>
            <w:vAlign w:val="center"/>
            <w:hideMark/>
          </w:tcPr>
          <w:p w14:paraId="4D96751D" w14:textId="77777777" w:rsidR="00472858" w:rsidRPr="00BB662E" w:rsidRDefault="00472858" w:rsidP="00472858">
            <w:pPr>
              <w:spacing w:before="60" w:after="60"/>
              <w:rPr>
                <w:rFonts w:ascii="Calibri" w:hAnsi="Calibri"/>
                <w:color w:val="000000"/>
                <w:lang w:eastAsia="en-GB"/>
              </w:rPr>
            </w:pPr>
          </w:p>
        </w:tc>
        <w:tc>
          <w:tcPr>
            <w:tcW w:w="3434" w:type="dxa"/>
            <w:gridSpan w:val="2"/>
            <w:vMerge/>
            <w:tcBorders>
              <w:top w:val="single" w:sz="4" w:space="0" w:color="auto"/>
              <w:left w:val="single" w:sz="4" w:space="0" w:color="auto"/>
              <w:bottom w:val="single" w:sz="4" w:space="0" w:color="000000"/>
              <w:right w:val="single" w:sz="4" w:space="0" w:color="000000"/>
            </w:tcBorders>
            <w:vAlign w:val="center"/>
            <w:hideMark/>
          </w:tcPr>
          <w:p w14:paraId="2017B7DF" w14:textId="77777777" w:rsidR="00472858" w:rsidRPr="00BB662E" w:rsidRDefault="00472858" w:rsidP="00472858">
            <w:pPr>
              <w:spacing w:before="60" w:after="60"/>
              <w:rPr>
                <w:rFonts w:ascii="Calibri" w:hAnsi="Calibri"/>
                <w:color w:val="000000"/>
                <w:sz w:val="20"/>
                <w:szCs w:val="20"/>
                <w:lang w:eastAsia="en-GB"/>
              </w:rPr>
            </w:pPr>
          </w:p>
        </w:tc>
        <w:tc>
          <w:tcPr>
            <w:tcW w:w="1765" w:type="dxa"/>
            <w:tcBorders>
              <w:top w:val="nil"/>
              <w:left w:val="nil"/>
              <w:bottom w:val="single" w:sz="4" w:space="0" w:color="auto"/>
              <w:right w:val="single" w:sz="4" w:space="0" w:color="auto"/>
            </w:tcBorders>
            <w:shd w:val="clear" w:color="000000" w:fill="F2DCDB"/>
            <w:hideMark/>
          </w:tcPr>
          <w:p w14:paraId="48F5B3C9"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4</w:t>
            </w:r>
          </w:p>
        </w:tc>
        <w:tc>
          <w:tcPr>
            <w:tcW w:w="2824" w:type="dxa"/>
            <w:tcBorders>
              <w:top w:val="nil"/>
              <w:left w:val="nil"/>
              <w:bottom w:val="single" w:sz="4" w:space="0" w:color="auto"/>
              <w:right w:val="single" w:sz="4" w:space="0" w:color="auto"/>
            </w:tcBorders>
            <w:shd w:val="clear" w:color="000000" w:fill="F2DCDB"/>
            <w:vAlign w:val="bottom"/>
            <w:hideMark/>
          </w:tcPr>
          <w:p w14:paraId="14FF14B1" w14:textId="77777777" w:rsidR="00472858" w:rsidRPr="00BB662E" w:rsidRDefault="00472858" w:rsidP="00472858">
            <w:pPr>
              <w:spacing w:before="60" w:after="60"/>
              <w:ind w:firstLineChars="200" w:firstLine="480"/>
              <w:rPr>
                <w:rFonts w:ascii="Calibri" w:hAnsi="Calibri"/>
                <w:i/>
                <w:iCs/>
                <w:color w:val="000000"/>
                <w:lang w:eastAsia="en-GB"/>
              </w:rPr>
            </w:pPr>
            <w:r w:rsidRPr="00BB662E">
              <w:rPr>
                <w:rFonts w:ascii="Calibri" w:hAnsi="Calibri"/>
                <w:i/>
                <w:iCs/>
                <w:color w:val="000000"/>
                <w:lang w:eastAsia="en-GB"/>
              </w:rPr>
              <w:t>insert £</w:t>
            </w:r>
          </w:p>
        </w:tc>
      </w:tr>
      <w:tr w:rsidR="00472858" w:rsidRPr="00BB662E" w14:paraId="70D5D726" w14:textId="77777777" w:rsidTr="00472858">
        <w:trPr>
          <w:trHeight w:val="300"/>
        </w:trPr>
        <w:tc>
          <w:tcPr>
            <w:tcW w:w="607" w:type="dxa"/>
            <w:vMerge/>
            <w:tcBorders>
              <w:top w:val="nil"/>
              <w:left w:val="single" w:sz="4" w:space="0" w:color="auto"/>
              <w:bottom w:val="single" w:sz="4" w:space="0" w:color="000000"/>
              <w:right w:val="single" w:sz="4" w:space="0" w:color="auto"/>
            </w:tcBorders>
            <w:vAlign w:val="center"/>
            <w:hideMark/>
          </w:tcPr>
          <w:p w14:paraId="068BDA37" w14:textId="77777777" w:rsidR="00472858" w:rsidRPr="00BB662E" w:rsidRDefault="00472858" w:rsidP="00472858">
            <w:pPr>
              <w:spacing w:before="60" w:after="60"/>
              <w:rPr>
                <w:rFonts w:ascii="Calibri" w:hAnsi="Calibri"/>
                <w:color w:val="000000"/>
                <w:lang w:eastAsia="en-GB"/>
              </w:rPr>
            </w:pPr>
          </w:p>
        </w:tc>
        <w:tc>
          <w:tcPr>
            <w:tcW w:w="6342" w:type="dxa"/>
            <w:vMerge/>
            <w:tcBorders>
              <w:top w:val="nil"/>
              <w:left w:val="single" w:sz="4" w:space="0" w:color="auto"/>
              <w:bottom w:val="single" w:sz="4" w:space="0" w:color="000000"/>
              <w:right w:val="single" w:sz="4" w:space="0" w:color="auto"/>
            </w:tcBorders>
            <w:vAlign w:val="center"/>
            <w:hideMark/>
          </w:tcPr>
          <w:p w14:paraId="3E3F3344" w14:textId="77777777" w:rsidR="00472858" w:rsidRPr="00BB662E" w:rsidRDefault="00472858" w:rsidP="00472858">
            <w:pPr>
              <w:spacing w:before="60" w:after="60"/>
              <w:rPr>
                <w:rFonts w:ascii="Calibri" w:hAnsi="Calibri"/>
                <w:color w:val="000000"/>
                <w:lang w:eastAsia="en-GB"/>
              </w:rPr>
            </w:pPr>
          </w:p>
        </w:tc>
        <w:tc>
          <w:tcPr>
            <w:tcW w:w="3434" w:type="dxa"/>
            <w:gridSpan w:val="2"/>
            <w:vMerge/>
            <w:tcBorders>
              <w:top w:val="single" w:sz="4" w:space="0" w:color="auto"/>
              <w:left w:val="single" w:sz="4" w:space="0" w:color="auto"/>
              <w:bottom w:val="single" w:sz="4" w:space="0" w:color="000000"/>
              <w:right w:val="single" w:sz="4" w:space="0" w:color="000000"/>
            </w:tcBorders>
            <w:vAlign w:val="center"/>
            <w:hideMark/>
          </w:tcPr>
          <w:p w14:paraId="199E95E4" w14:textId="77777777" w:rsidR="00472858" w:rsidRPr="00BB662E" w:rsidRDefault="00472858" w:rsidP="00472858">
            <w:pPr>
              <w:spacing w:before="60" w:after="60"/>
              <w:rPr>
                <w:rFonts w:ascii="Calibri" w:hAnsi="Calibri"/>
                <w:color w:val="000000"/>
                <w:sz w:val="20"/>
                <w:szCs w:val="20"/>
                <w:lang w:eastAsia="en-GB"/>
              </w:rPr>
            </w:pPr>
          </w:p>
        </w:tc>
        <w:tc>
          <w:tcPr>
            <w:tcW w:w="1765" w:type="dxa"/>
            <w:tcBorders>
              <w:top w:val="nil"/>
              <w:left w:val="nil"/>
              <w:bottom w:val="single" w:sz="4" w:space="0" w:color="auto"/>
              <w:right w:val="single" w:sz="4" w:space="0" w:color="auto"/>
            </w:tcBorders>
            <w:shd w:val="clear" w:color="000000" w:fill="F2DCDB"/>
            <w:hideMark/>
          </w:tcPr>
          <w:p w14:paraId="73E90BAA"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5</w:t>
            </w:r>
          </w:p>
        </w:tc>
        <w:tc>
          <w:tcPr>
            <w:tcW w:w="2824" w:type="dxa"/>
            <w:tcBorders>
              <w:top w:val="nil"/>
              <w:left w:val="nil"/>
              <w:bottom w:val="single" w:sz="4" w:space="0" w:color="auto"/>
              <w:right w:val="single" w:sz="4" w:space="0" w:color="auto"/>
            </w:tcBorders>
            <w:shd w:val="clear" w:color="000000" w:fill="F2DCDB"/>
            <w:vAlign w:val="bottom"/>
            <w:hideMark/>
          </w:tcPr>
          <w:p w14:paraId="4E716FAB" w14:textId="77777777" w:rsidR="00472858" w:rsidRPr="00BB662E" w:rsidRDefault="00472858" w:rsidP="00472858">
            <w:pPr>
              <w:spacing w:before="60" w:after="60"/>
              <w:ind w:firstLineChars="200" w:firstLine="480"/>
              <w:rPr>
                <w:rFonts w:ascii="Calibri" w:hAnsi="Calibri"/>
                <w:i/>
                <w:iCs/>
                <w:color w:val="000000"/>
                <w:lang w:eastAsia="en-GB"/>
              </w:rPr>
            </w:pPr>
            <w:r w:rsidRPr="00BB662E">
              <w:rPr>
                <w:rFonts w:ascii="Calibri" w:hAnsi="Calibri"/>
                <w:i/>
                <w:iCs/>
                <w:color w:val="000000"/>
                <w:lang w:eastAsia="en-GB"/>
              </w:rPr>
              <w:t>insert £</w:t>
            </w:r>
          </w:p>
        </w:tc>
      </w:tr>
      <w:tr w:rsidR="00472858" w:rsidRPr="00BB662E" w14:paraId="4E100146" w14:textId="77777777" w:rsidTr="00472858">
        <w:trPr>
          <w:trHeight w:val="300"/>
        </w:trPr>
        <w:tc>
          <w:tcPr>
            <w:tcW w:w="607" w:type="dxa"/>
            <w:vMerge/>
            <w:tcBorders>
              <w:top w:val="nil"/>
              <w:left w:val="single" w:sz="4" w:space="0" w:color="auto"/>
              <w:bottom w:val="single" w:sz="4" w:space="0" w:color="000000"/>
              <w:right w:val="single" w:sz="4" w:space="0" w:color="auto"/>
            </w:tcBorders>
            <w:vAlign w:val="center"/>
            <w:hideMark/>
          </w:tcPr>
          <w:p w14:paraId="56ABB973" w14:textId="77777777" w:rsidR="00472858" w:rsidRPr="00BB662E" w:rsidRDefault="00472858" w:rsidP="00472858">
            <w:pPr>
              <w:spacing w:before="60" w:after="60"/>
              <w:rPr>
                <w:rFonts w:ascii="Calibri" w:hAnsi="Calibri"/>
                <w:color w:val="000000"/>
                <w:lang w:eastAsia="en-GB"/>
              </w:rPr>
            </w:pPr>
          </w:p>
        </w:tc>
        <w:tc>
          <w:tcPr>
            <w:tcW w:w="6342" w:type="dxa"/>
            <w:vMerge/>
            <w:tcBorders>
              <w:top w:val="nil"/>
              <w:left w:val="single" w:sz="4" w:space="0" w:color="auto"/>
              <w:bottom w:val="single" w:sz="4" w:space="0" w:color="000000"/>
              <w:right w:val="single" w:sz="4" w:space="0" w:color="auto"/>
            </w:tcBorders>
            <w:vAlign w:val="center"/>
            <w:hideMark/>
          </w:tcPr>
          <w:p w14:paraId="14F65928" w14:textId="77777777" w:rsidR="00472858" w:rsidRPr="00BB662E" w:rsidRDefault="00472858" w:rsidP="00472858">
            <w:pPr>
              <w:spacing w:before="60" w:after="60"/>
              <w:rPr>
                <w:rFonts w:ascii="Calibri" w:hAnsi="Calibri"/>
                <w:color w:val="000000"/>
                <w:lang w:eastAsia="en-GB"/>
              </w:rPr>
            </w:pPr>
          </w:p>
        </w:tc>
        <w:tc>
          <w:tcPr>
            <w:tcW w:w="3434" w:type="dxa"/>
            <w:gridSpan w:val="2"/>
            <w:vMerge/>
            <w:tcBorders>
              <w:top w:val="single" w:sz="4" w:space="0" w:color="auto"/>
              <w:left w:val="single" w:sz="4" w:space="0" w:color="auto"/>
              <w:bottom w:val="single" w:sz="4" w:space="0" w:color="000000"/>
              <w:right w:val="single" w:sz="4" w:space="0" w:color="000000"/>
            </w:tcBorders>
            <w:vAlign w:val="center"/>
            <w:hideMark/>
          </w:tcPr>
          <w:p w14:paraId="49C707FB" w14:textId="77777777" w:rsidR="00472858" w:rsidRPr="00BB662E" w:rsidRDefault="00472858" w:rsidP="00472858">
            <w:pPr>
              <w:spacing w:before="60" w:after="60"/>
              <w:rPr>
                <w:rFonts w:ascii="Calibri" w:hAnsi="Calibri"/>
                <w:color w:val="000000"/>
                <w:sz w:val="20"/>
                <w:szCs w:val="20"/>
                <w:lang w:eastAsia="en-GB"/>
              </w:rPr>
            </w:pPr>
          </w:p>
        </w:tc>
        <w:tc>
          <w:tcPr>
            <w:tcW w:w="1765" w:type="dxa"/>
            <w:tcBorders>
              <w:top w:val="nil"/>
              <w:left w:val="nil"/>
              <w:bottom w:val="single" w:sz="4" w:space="0" w:color="auto"/>
              <w:right w:val="single" w:sz="4" w:space="0" w:color="auto"/>
            </w:tcBorders>
            <w:shd w:val="clear" w:color="000000" w:fill="F2DCDB"/>
            <w:hideMark/>
          </w:tcPr>
          <w:p w14:paraId="738A07B7"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6</w:t>
            </w:r>
          </w:p>
        </w:tc>
        <w:tc>
          <w:tcPr>
            <w:tcW w:w="2824" w:type="dxa"/>
            <w:tcBorders>
              <w:top w:val="nil"/>
              <w:left w:val="nil"/>
              <w:bottom w:val="single" w:sz="4" w:space="0" w:color="auto"/>
              <w:right w:val="single" w:sz="4" w:space="0" w:color="auto"/>
            </w:tcBorders>
            <w:shd w:val="clear" w:color="000000" w:fill="F2DCDB"/>
            <w:vAlign w:val="bottom"/>
            <w:hideMark/>
          </w:tcPr>
          <w:p w14:paraId="1156E807" w14:textId="77777777" w:rsidR="00472858" w:rsidRPr="00BB662E" w:rsidRDefault="00472858" w:rsidP="00472858">
            <w:pPr>
              <w:spacing w:before="60" w:after="60"/>
              <w:ind w:firstLineChars="200" w:firstLine="480"/>
              <w:rPr>
                <w:rFonts w:ascii="Calibri" w:hAnsi="Calibri"/>
                <w:i/>
                <w:iCs/>
                <w:color w:val="000000"/>
                <w:lang w:eastAsia="en-GB"/>
              </w:rPr>
            </w:pPr>
            <w:r w:rsidRPr="00BB662E">
              <w:rPr>
                <w:rFonts w:ascii="Calibri" w:hAnsi="Calibri"/>
                <w:i/>
                <w:iCs/>
                <w:color w:val="000000"/>
                <w:lang w:eastAsia="en-GB"/>
              </w:rPr>
              <w:t>insert £</w:t>
            </w:r>
          </w:p>
        </w:tc>
      </w:tr>
      <w:tr w:rsidR="00472858" w:rsidRPr="00BB662E" w14:paraId="333552D5" w14:textId="77777777" w:rsidTr="00472858">
        <w:trPr>
          <w:trHeight w:val="300"/>
        </w:trPr>
        <w:tc>
          <w:tcPr>
            <w:tcW w:w="607" w:type="dxa"/>
            <w:vMerge/>
            <w:tcBorders>
              <w:top w:val="nil"/>
              <w:left w:val="single" w:sz="4" w:space="0" w:color="auto"/>
              <w:bottom w:val="single" w:sz="4" w:space="0" w:color="000000"/>
              <w:right w:val="single" w:sz="4" w:space="0" w:color="auto"/>
            </w:tcBorders>
            <w:vAlign w:val="center"/>
            <w:hideMark/>
          </w:tcPr>
          <w:p w14:paraId="570DC520" w14:textId="77777777" w:rsidR="00472858" w:rsidRPr="00BB662E" w:rsidRDefault="00472858" w:rsidP="00472858">
            <w:pPr>
              <w:spacing w:before="60" w:after="60"/>
              <w:rPr>
                <w:rFonts w:ascii="Calibri" w:hAnsi="Calibri"/>
                <w:color w:val="000000"/>
                <w:lang w:eastAsia="en-GB"/>
              </w:rPr>
            </w:pPr>
          </w:p>
        </w:tc>
        <w:tc>
          <w:tcPr>
            <w:tcW w:w="6342" w:type="dxa"/>
            <w:vMerge/>
            <w:tcBorders>
              <w:top w:val="nil"/>
              <w:left w:val="single" w:sz="4" w:space="0" w:color="auto"/>
              <w:bottom w:val="single" w:sz="4" w:space="0" w:color="000000"/>
              <w:right w:val="single" w:sz="4" w:space="0" w:color="auto"/>
            </w:tcBorders>
            <w:vAlign w:val="center"/>
            <w:hideMark/>
          </w:tcPr>
          <w:p w14:paraId="46504FA4" w14:textId="77777777" w:rsidR="00472858" w:rsidRPr="00BB662E" w:rsidRDefault="00472858" w:rsidP="00472858">
            <w:pPr>
              <w:spacing w:before="60" w:after="60"/>
              <w:rPr>
                <w:rFonts w:ascii="Calibri" w:hAnsi="Calibri"/>
                <w:color w:val="000000"/>
                <w:lang w:eastAsia="en-GB"/>
              </w:rPr>
            </w:pPr>
          </w:p>
        </w:tc>
        <w:tc>
          <w:tcPr>
            <w:tcW w:w="3434" w:type="dxa"/>
            <w:gridSpan w:val="2"/>
            <w:vMerge/>
            <w:tcBorders>
              <w:top w:val="single" w:sz="4" w:space="0" w:color="auto"/>
              <w:left w:val="single" w:sz="4" w:space="0" w:color="auto"/>
              <w:bottom w:val="single" w:sz="4" w:space="0" w:color="000000"/>
              <w:right w:val="single" w:sz="4" w:space="0" w:color="000000"/>
            </w:tcBorders>
            <w:vAlign w:val="center"/>
            <w:hideMark/>
          </w:tcPr>
          <w:p w14:paraId="120C1974" w14:textId="77777777" w:rsidR="00472858" w:rsidRPr="00BB662E" w:rsidRDefault="00472858" w:rsidP="00472858">
            <w:pPr>
              <w:spacing w:before="60" w:after="60"/>
              <w:rPr>
                <w:rFonts w:ascii="Calibri" w:hAnsi="Calibri"/>
                <w:color w:val="000000"/>
                <w:sz w:val="20"/>
                <w:szCs w:val="20"/>
                <w:lang w:eastAsia="en-GB"/>
              </w:rPr>
            </w:pPr>
          </w:p>
        </w:tc>
        <w:tc>
          <w:tcPr>
            <w:tcW w:w="1765" w:type="dxa"/>
            <w:tcBorders>
              <w:top w:val="nil"/>
              <w:left w:val="nil"/>
              <w:bottom w:val="single" w:sz="4" w:space="0" w:color="auto"/>
              <w:right w:val="single" w:sz="4" w:space="0" w:color="auto"/>
            </w:tcBorders>
            <w:shd w:val="clear" w:color="000000" w:fill="F2DCDB"/>
            <w:hideMark/>
          </w:tcPr>
          <w:p w14:paraId="75392691"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7</w:t>
            </w:r>
          </w:p>
        </w:tc>
        <w:tc>
          <w:tcPr>
            <w:tcW w:w="2824" w:type="dxa"/>
            <w:tcBorders>
              <w:top w:val="nil"/>
              <w:left w:val="nil"/>
              <w:bottom w:val="single" w:sz="4" w:space="0" w:color="auto"/>
              <w:right w:val="single" w:sz="4" w:space="0" w:color="auto"/>
            </w:tcBorders>
            <w:shd w:val="clear" w:color="000000" w:fill="F2DCDB"/>
            <w:vAlign w:val="bottom"/>
            <w:hideMark/>
          </w:tcPr>
          <w:p w14:paraId="2C89880E" w14:textId="77777777" w:rsidR="00472858" w:rsidRPr="00BB662E" w:rsidRDefault="00472858" w:rsidP="00472858">
            <w:pPr>
              <w:spacing w:before="60" w:after="60"/>
              <w:ind w:firstLineChars="200" w:firstLine="480"/>
              <w:rPr>
                <w:rFonts w:ascii="Calibri" w:hAnsi="Calibri"/>
                <w:i/>
                <w:iCs/>
                <w:color w:val="000000"/>
                <w:lang w:eastAsia="en-GB"/>
              </w:rPr>
            </w:pPr>
            <w:r w:rsidRPr="00BB662E">
              <w:rPr>
                <w:rFonts w:ascii="Calibri" w:hAnsi="Calibri"/>
                <w:i/>
                <w:iCs/>
                <w:color w:val="000000"/>
                <w:lang w:eastAsia="en-GB"/>
              </w:rPr>
              <w:t>insert £</w:t>
            </w:r>
          </w:p>
        </w:tc>
      </w:tr>
      <w:tr w:rsidR="00472858" w:rsidRPr="00BB662E" w14:paraId="324968B6" w14:textId="77777777" w:rsidTr="00472858">
        <w:trPr>
          <w:trHeight w:val="300"/>
        </w:trPr>
        <w:tc>
          <w:tcPr>
            <w:tcW w:w="607" w:type="dxa"/>
            <w:vMerge/>
            <w:tcBorders>
              <w:top w:val="nil"/>
              <w:left w:val="single" w:sz="4" w:space="0" w:color="auto"/>
              <w:bottom w:val="single" w:sz="4" w:space="0" w:color="000000"/>
              <w:right w:val="single" w:sz="4" w:space="0" w:color="auto"/>
            </w:tcBorders>
            <w:vAlign w:val="center"/>
            <w:hideMark/>
          </w:tcPr>
          <w:p w14:paraId="1FB795BD" w14:textId="77777777" w:rsidR="00472858" w:rsidRPr="00BB662E" w:rsidRDefault="00472858" w:rsidP="00472858">
            <w:pPr>
              <w:spacing w:before="60" w:after="60"/>
              <w:rPr>
                <w:rFonts w:ascii="Calibri" w:hAnsi="Calibri"/>
                <w:color w:val="000000"/>
                <w:lang w:eastAsia="en-GB"/>
              </w:rPr>
            </w:pPr>
          </w:p>
        </w:tc>
        <w:tc>
          <w:tcPr>
            <w:tcW w:w="6342" w:type="dxa"/>
            <w:vMerge/>
            <w:tcBorders>
              <w:top w:val="nil"/>
              <w:left w:val="single" w:sz="4" w:space="0" w:color="auto"/>
              <w:bottom w:val="single" w:sz="4" w:space="0" w:color="000000"/>
              <w:right w:val="single" w:sz="4" w:space="0" w:color="auto"/>
            </w:tcBorders>
            <w:vAlign w:val="center"/>
            <w:hideMark/>
          </w:tcPr>
          <w:p w14:paraId="60F83DC3" w14:textId="77777777" w:rsidR="00472858" w:rsidRPr="00BB662E" w:rsidRDefault="00472858" w:rsidP="00472858">
            <w:pPr>
              <w:spacing w:before="60" w:after="60"/>
              <w:rPr>
                <w:rFonts w:ascii="Calibri" w:hAnsi="Calibri"/>
                <w:color w:val="000000"/>
                <w:lang w:eastAsia="en-GB"/>
              </w:rPr>
            </w:pPr>
          </w:p>
        </w:tc>
        <w:tc>
          <w:tcPr>
            <w:tcW w:w="3434" w:type="dxa"/>
            <w:gridSpan w:val="2"/>
            <w:vMerge/>
            <w:tcBorders>
              <w:top w:val="single" w:sz="4" w:space="0" w:color="auto"/>
              <w:left w:val="single" w:sz="4" w:space="0" w:color="auto"/>
              <w:bottom w:val="single" w:sz="4" w:space="0" w:color="000000"/>
              <w:right w:val="single" w:sz="4" w:space="0" w:color="000000"/>
            </w:tcBorders>
            <w:vAlign w:val="center"/>
            <w:hideMark/>
          </w:tcPr>
          <w:p w14:paraId="2E665455" w14:textId="77777777" w:rsidR="00472858" w:rsidRPr="00BB662E" w:rsidRDefault="00472858" w:rsidP="00472858">
            <w:pPr>
              <w:spacing w:before="60" w:after="60"/>
              <w:rPr>
                <w:rFonts w:ascii="Calibri" w:hAnsi="Calibri"/>
                <w:color w:val="000000"/>
                <w:sz w:val="20"/>
                <w:szCs w:val="20"/>
                <w:lang w:eastAsia="en-GB"/>
              </w:rPr>
            </w:pPr>
          </w:p>
        </w:tc>
        <w:tc>
          <w:tcPr>
            <w:tcW w:w="1765" w:type="dxa"/>
            <w:tcBorders>
              <w:top w:val="nil"/>
              <w:left w:val="nil"/>
              <w:bottom w:val="single" w:sz="4" w:space="0" w:color="auto"/>
              <w:right w:val="single" w:sz="4" w:space="0" w:color="auto"/>
            </w:tcBorders>
            <w:shd w:val="clear" w:color="000000" w:fill="F2DCDB"/>
            <w:hideMark/>
          </w:tcPr>
          <w:p w14:paraId="26BE0956"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8</w:t>
            </w:r>
          </w:p>
        </w:tc>
        <w:tc>
          <w:tcPr>
            <w:tcW w:w="2824" w:type="dxa"/>
            <w:tcBorders>
              <w:top w:val="nil"/>
              <w:left w:val="nil"/>
              <w:bottom w:val="single" w:sz="4" w:space="0" w:color="auto"/>
              <w:right w:val="single" w:sz="4" w:space="0" w:color="auto"/>
            </w:tcBorders>
            <w:shd w:val="clear" w:color="000000" w:fill="F2DCDB"/>
            <w:vAlign w:val="bottom"/>
            <w:hideMark/>
          </w:tcPr>
          <w:p w14:paraId="6378F484" w14:textId="77777777" w:rsidR="00472858" w:rsidRPr="00BB662E" w:rsidRDefault="00472858" w:rsidP="00472858">
            <w:pPr>
              <w:spacing w:before="60" w:after="60"/>
              <w:ind w:firstLineChars="200" w:firstLine="480"/>
              <w:rPr>
                <w:rFonts w:ascii="Calibri" w:hAnsi="Calibri"/>
                <w:i/>
                <w:iCs/>
                <w:color w:val="000000"/>
                <w:lang w:eastAsia="en-GB"/>
              </w:rPr>
            </w:pPr>
            <w:r w:rsidRPr="00BB662E">
              <w:rPr>
                <w:rFonts w:ascii="Calibri" w:hAnsi="Calibri"/>
                <w:i/>
                <w:iCs/>
                <w:color w:val="000000"/>
                <w:lang w:eastAsia="en-GB"/>
              </w:rPr>
              <w:t>insert £</w:t>
            </w:r>
          </w:p>
        </w:tc>
      </w:tr>
      <w:tr w:rsidR="00472858" w:rsidRPr="00BB662E" w14:paraId="2FEC910C" w14:textId="77777777" w:rsidTr="00472858">
        <w:trPr>
          <w:trHeight w:val="300"/>
        </w:trPr>
        <w:tc>
          <w:tcPr>
            <w:tcW w:w="607" w:type="dxa"/>
            <w:vMerge/>
            <w:tcBorders>
              <w:top w:val="nil"/>
              <w:left w:val="single" w:sz="4" w:space="0" w:color="auto"/>
              <w:bottom w:val="single" w:sz="4" w:space="0" w:color="000000"/>
              <w:right w:val="single" w:sz="4" w:space="0" w:color="auto"/>
            </w:tcBorders>
            <w:vAlign w:val="center"/>
            <w:hideMark/>
          </w:tcPr>
          <w:p w14:paraId="4542D227" w14:textId="77777777" w:rsidR="00472858" w:rsidRPr="00BB662E" w:rsidRDefault="00472858" w:rsidP="00472858">
            <w:pPr>
              <w:spacing w:before="60" w:after="60"/>
              <w:rPr>
                <w:rFonts w:ascii="Calibri" w:hAnsi="Calibri"/>
                <w:color w:val="000000"/>
                <w:lang w:eastAsia="en-GB"/>
              </w:rPr>
            </w:pPr>
          </w:p>
        </w:tc>
        <w:tc>
          <w:tcPr>
            <w:tcW w:w="6342" w:type="dxa"/>
            <w:vMerge/>
            <w:tcBorders>
              <w:top w:val="nil"/>
              <w:left w:val="single" w:sz="4" w:space="0" w:color="auto"/>
              <w:bottom w:val="single" w:sz="4" w:space="0" w:color="000000"/>
              <w:right w:val="single" w:sz="4" w:space="0" w:color="auto"/>
            </w:tcBorders>
            <w:vAlign w:val="center"/>
            <w:hideMark/>
          </w:tcPr>
          <w:p w14:paraId="2F84F950" w14:textId="77777777" w:rsidR="00472858" w:rsidRPr="00BB662E" w:rsidRDefault="00472858" w:rsidP="00472858">
            <w:pPr>
              <w:spacing w:before="60" w:after="60"/>
              <w:rPr>
                <w:rFonts w:ascii="Calibri" w:hAnsi="Calibri"/>
                <w:color w:val="000000"/>
                <w:lang w:eastAsia="en-GB"/>
              </w:rPr>
            </w:pPr>
          </w:p>
        </w:tc>
        <w:tc>
          <w:tcPr>
            <w:tcW w:w="3434" w:type="dxa"/>
            <w:gridSpan w:val="2"/>
            <w:vMerge/>
            <w:tcBorders>
              <w:top w:val="single" w:sz="4" w:space="0" w:color="auto"/>
              <w:left w:val="single" w:sz="4" w:space="0" w:color="auto"/>
              <w:bottom w:val="single" w:sz="4" w:space="0" w:color="000000"/>
              <w:right w:val="single" w:sz="4" w:space="0" w:color="000000"/>
            </w:tcBorders>
            <w:vAlign w:val="center"/>
            <w:hideMark/>
          </w:tcPr>
          <w:p w14:paraId="1B5D2F0F" w14:textId="77777777" w:rsidR="00472858" w:rsidRPr="00BB662E" w:rsidRDefault="00472858" w:rsidP="00472858">
            <w:pPr>
              <w:spacing w:before="60" w:after="60"/>
              <w:rPr>
                <w:rFonts w:ascii="Calibri" w:hAnsi="Calibri"/>
                <w:color w:val="000000"/>
                <w:sz w:val="20"/>
                <w:szCs w:val="20"/>
                <w:lang w:eastAsia="en-GB"/>
              </w:rPr>
            </w:pPr>
          </w:p>
        </w:tc>
        <w:tc>
          <w:tcPr>
            <w:tcW w:w="1765" w:type="dxa"/>
            <w:tcBorders>
              <w:top w:val="nil"/>
              <w:left w:val="nil"/>
              <w:bottom w:val="single" w:sz="4" w:space="0" w:color="auto"/>
              <w:right w:val="single" w:sz="4" w:space="0" w:color="auto"/>
            </w:tcBorders>
            <w:shd w:val="clear" w:color="000000" w:fill="F2DCDB"/>
            <w:hideMark/>
          </w:tcPr>
          <w:p w14:paraId="60E30061"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9</w:t>
            </w:r>
          </w:p>
        </w:tc>
        <w:tc>
          <w:tcPr>
            <w:tcW w:w="2824" w:type="dxa"/>
            <w:tcBorders>
              <w:top w:val="nil"/>
              <w:left w:val="nil"/>
              <w:bottom w:val="single" w:sz="4" w:space="0" w:color="auto"/>
              <w:right w:val="single" w:sz="4" w:space="0" w:color="auto"/>
            </w:tcBorders>
            <w:shd w:val="clear" w:color="000000" w:fill="F2DCDB"/>
            <w:vAlign w:val="bottom"/>
            <w:hideMark/>
          </w:tcPr>
          <w:p w14:paraId="7F927056" w14:textId="77777777" w:rsidR="00472858" w:rsidRPr="00BB662E" w:rsidRDefault="00472858" w:rsidP="00472858">
            <w:pPr>
              <w:spacing w:before="60" w:after="60"/>
              <w:ind w:firstLineChars="200" w:firstLine="480"/>
              <w:rPr>
                <w:rFonts w:ascii="Calibri" w:hAnsi="Calibri"/>
                <w:i/>
                <w:iCs/>
                <w:color w:val="000000"/>
                <w:lang w:eastAsia="en-GB"/>
              </w:rPr>
            </w:pPr>
            <w:r w:rsidRPr="00BB662E">
              <w:rPr>
                <w:rFonts w:ascii="Calibri" w:hAnsi="Calibri"/>
                <w:i/>
                <w:iCs/>
                <w:color w:val="000000"/>
                <w:lang w:eastAsia="en-GB"/>
              </w:rPr>
              <w:t>insert £</w:t>
            </w:r>
          </w:p>
        </w:tc>
      </w:tr>
      <w:tr w:rsidR="00472858" w:rsidRPr="00BB662E" w14:paraId="5DFA763E" w14:textId="77777777" w:rsidTr="00472858">
        <w:trPr>
          <w:trHeight w:val="315"/>
        </w:trPr>
        <w:tc>
          <w:tcPr>
            <w:tcW w:w="607" w:type="dxa"/>
            <w:tcBorders>
              <w:top w:val="nil"/>
              <w:left w:val="single" w:sz="4" w:space="0" w:color="auto"/>
              <w:bottom w:val="single" w:sz="4" w:space="0" w:color="auto"/>
              <w:right w:val="single" w:sz="4" w:space="0" w:color="auto"/>
            </w:tcBorders>
            <w:shd w:val="clear" w:color="000000" w:fill="FFC000"/>
            <w:noWrap/>
            <w:hideMark/>
          </w:tcPr>
          <w:p w14:paraId="2185524D" w14:textId="77777777" w:rsidR="00472858" w:rsidRPr="00BB662E" w:rsidRDefault="00472858" w:rsidP="00472858">
            <w:pPr>
              <w:spacing w:before="60" w:after="60"/>
              <w:jc w:val="center"/>
              <w:rPr>
                <w:rFonts w:ascii="Calibri" w:hAnsi="Calibri"/>
                <w:b/>
                <w:bCs w:val="0"/>
                <w:color w:val="000000"/>
                <w:szCs w:val="24"/>
                <w:lang w:eastAsia="en-GB"/>
              </w:rPr>
            </w:pPr>
            <w:r w:rsidRPr="00BB662E">
              <w:rPr>
                <w:rFonts w:ascii="Calibri" w:hAnsi="Calibri"/>
                <w:b/>
                <w:color w:val="000000"/>
                <w:szCs w:val="24"/>
                <w:lang w:eastAsia="en-GB"/>
              </w:rPr>
              <w:t> </w:t>
            </w:r>
          </w:p>
        </w:tc>
        <w:tc>
          <w:tcPr>
            <w:tcW w:w="6342" w:type="dxa"/>
            <w:tcBorders>
              <w:top w:val="nil"/>
              <w:left w:val="nil"/>
              <w:bottom w:val="single" w:sz="4" w:space="0" w:color="auto"/>
              <w:right w:val="single" w:sz="4" w:space="0" w:color="auto"/>
            </w:tcBorders>
            <w:shd w:val="clear" w:color="000000" w:fill="FFC000"/>
            <w:hideMark/>
          </w:tcPr>
          <w:p w14:paraId="12B31EC1"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Local Context Information</w:t>
            </w:r>
          </w:p>
        </w:tc>
        <w:tc>
          <w:tcPr>
            <w:tcW w:w="2915" w:type="dxa"/>
            <w:tcBorders>
              <w:top w:val="nil"/>
              <w:left w:val="nil"/>
              <w:bottom w:val="single" w:sz="4" w:space="0" w:color="auto"/>
              <w:right w:val="single" w:sz="4" w:space="0" w:color="auto"/>
            </w:tcBorders>
            <w:shd w:val="clear" w:color="000000" w:fill="FFC000"/>
            <w:vAlign w:val="bottom"/>
            <w:hideMark/>
          </w:tcPr>
          <w:p w14:paraId="7CAF903A"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Practice to complete</w:t>
            </w:r>
          </w:p>
        </w:tc>
        <w:tc>
          <w:tcPr>
            <w:tcW w:w="519" w:type="dxa"/>
            <w:tcBorders>
              <w:top w:val="nil"/>
              <w:left w:val="nil"/>
              <w:bottom w:val="single" w:sz="4" w:space="0" w:color="auto"/>
              <w:right w:val="single" w:sz="4" w:space="0" w:color="auto"/>
            </w:tcBorders>
            <w:shd w:val="clear" w:color="000000" w:fill="FFC000"/>
            <w:vAlign w:val="bottom"/>
            <w:hideMark/>
          </w:tcPr>
          <w:p w14:paraId="763CF129"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 </w:t>
            </w:r>
          </w:p>
        </w:tc>
        <w:tc>
          <w:tcPr>
            <w:tcW w:w="1765" w:type="dxa"/>
            <w:tcBorders>
              <w:top w:val="nil"/>
              <w:left w:val="nil"/>
              <w:bottom w:val="single" w:sz="4" w:space="0" w:color="auto"/>
              <w:right w:val="single" w:sz="4" w:space="0" w:color="auto"/>
            </w:tcBorders>
            <w:shd w:val="clear" w:color="000000" w:fill="FFC000"/>
            <w:vAlign w:val="bottom"/>
            <w:hideMark/>
          </w:tcPr>
          <w:p w14:paraId="1AFCA7E9"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 </w:t>
            </w:r>
          </w:p>
        </w:tc>
        <w:tc>
          <w:tcPr>
            <w:tcW w:w="2824" w:type="dxa"/>
            <w:tcBorders>
              <w:top w:val="nil"/>
              <w:left w:val="nil"/>
              <w:bottom w:val="single" w:sz="4" w:space="0" w:color="auto"/>
              <w:right w:val="single" w:sz="4" w:space="0" w:color="auto"/>
            </w:tcBorders>
            <w:shd w:val="clear" w:color="000000" w:fill="FFC000"/>
            <w:vAlign w:val="bottom"/>
            <w:hideMark/>
          </w:tcPr>
          <w:p w14:paraId="69C24C6A"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Practice to complete</w:t>
            </w:r>
          </w:p>
        </w:tc>
      </w:tr>
      <w:tr w:rsidR="00472858" w:rsidRPr="00BB662E" w14:paraId="56E8E074" w14:textId="77777777" w:rsidTr="00472858">
        <w:trPr>
          <w:trHeight w:val="435"/>
        </w:trPr>
        <w:tc>
          <w:tcPr>
            <w:tcW w:w="607" w:type="dxa"/>
            <w:tcBorders>
              <w:top w:val="nil"/>
              <w:left w:val="single" w:sz="4" w:space="0" w:color="auto"/>
              <w:bottom w:val="single" w:sz="4" w:space="0" w:color="auto"/>
              <w:right w:val="single" w:sz="4" w:space="0" w:color="auto"/>
            </w:tcBorders>
            <w:shd w:val="clear" w:color="auto" w:fill="auto"/>
            <w:noWrap/>
            <w:hideMark/>
          </w:tcPr>
          <w:p w14:paraId="6C970C67"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18</w:t>
            </w:r>
          </w:p>
        </w:tc>
        <w:tc>
          <w:tcPr>
            <w:tcW w:w="6342" w:type="dxa"/>
            <w:tcBorders>
              <w:top w:val="nil"/>
              <w:left w:val="nil"/>
              <w:bottom w:val="single" w:sz="4" w:space="0" w:color="auto"/>
              <w:right w:val="single" w:sz="4" w:space="0" w:color="auto"/>
            </w:tcBorders>
            <w:shd w:val="clear" w:color="000000" w:fill="D9D9D9"/>
            <w:hideMark/>
          </w:tcPr>
          <w:p w14:paraId="79C3AA20" w14:textId="77777777" w:rsidR="00472858" w:rsidRPr="00BB662E" w:rsidRDefault="00472858" w:rsidP="00472858">
            <w:pPr>
              <w:spacing w:before="60" w:after="60"/>
              <w:rPr>
                <w:rFonts w:ascii="Calibri" w:hAnsi="Calibri"/>
                <w:color w:val="000000"/>
                <w:lang w:eastAsia="en-GB"/>
              </w:rPr>
            </w:pPr>
            <w:r w:rsidRPr="00BB662E">
              <w:rPr>
                <w:rFonts w:ascii="Calibri" w:hAnsi="Calibri"/>
                <w:b/>
                <w:color w:val="000000"/>
                <w:lang w:eastAsia="en-GB"/>
              </w:rPr>
              <w:t xml:space="preserve">Practice Total </w:t>
            </w:r>
            <w:r w:rsidRPr="00BB662E">
              <w:rPr>
                <w:rFonts w:ascii="Calibri" w:hAnsi="Calibri"/>
                <w:color w:val="000000"/>
                <w:lang w:eastAsia="en-GB"/>
              </w:rPr>
              <w:t xml:space="preserve">number of </w:t>
            </w:r>
            <w:r w:rsidRPr="00BB662E">
              <w:rPr>
                <w:rFonts w:ascii="Calibri" w:hAnsi="Calibri"/>
                <w:b/>
                <w:color w:val="000000"/>
                <w:lang w:eastAsia="en-GB"/>
              </w:rPr>
              <w:t>GP sessions</w:t>
            </w:r>
            <w:r w:rsidRPr="00BB662E">
              <w:rPr>
                <w:rFonts w:ascii="Calibri" w:hAnsi="Calibri"/>
                <w:color w:val="000000"/>
                <w:lang w:eastAsia="en-GB"/>
              </w:rPr>
              <w:t xml:space="preserve"> worked/week?</w:t>
            </w:r>
          </w:p>
        </w:tc>
        <w:tc>
          <w:tcPr>
            <w:tcW w:w="2915" w:type="dxa"/>
            <w:tcBorders>
              <w:top w:val="nil"/>
              <w:left w:val="nil"/>
              <w:bottom w:val="single" w:sz="4" w:space="0" w:color="auto"/>
              <w:right w:val="single" w:sz="4" w:space="0" w:color="auto"/>
            </w:tcBorders>
            <w:shd w:val="clear" w:color="auto" w:fill="auto"/>
            <w:vAlign w:val="center"/>
            <w:hideMark/>
          </w:tcPr>
          <w:p w14:paraId="62627E3E" w14:textId="77777777" w:rsidR="00472858" w:rsidRPr="00BB662E" w:rsidRDefault="00472858" w:rsidP="00472858">
            <w:pPr>
              <w:spacing w:before="60" w:after="60"/>
              <w:rPr>
                <w:rFonts w:ascii="Calibri" w:hAnsi="Calibri"/>
                <w:color w:val="000000"/>
                <w:sz w:val="20"/>
                <w:szCs w:val="20"/>
                <w:lang w:eastAsia="en-GB"/>
              </w:rPr>
            </w:pPr>
            <w:r w:rsidRPr="00BB662E">
              <w:rPr>
                <w:rFonts w:ascii="Calibri" w:hAnsi="Calibri"/>
                <w:color w:val="000000"/>
                <w:sz w:val="20"/>
                <w:szCs w:val="20"/>
                <w:lang w:eastAsia="en-GB"/>
              </w:rPr>
              <w:t>Understand GP access</w:t>
            </w:r>
          </w:p>
        </w:tc>
        <w:tc>
          <w:tcPr>
            <w:tcW w:w="2284" w:type="dxa"/>
            <w:gridSpan w:val="2"/>
            <w:tcBorders>
              <w:top w:val="single" w:sz="4" w:space="0" w:color="auto"/>
              <w:left w:val="nil"/>
              <w:bottom w:val="single" w:sz="4" w:space="0" w:color="auto"/>
              <w:right w:val="single" w:sz="4" w:space="0" w:color="000000"/>
            </w:tcBorders>
            <w:shd w:val="clear" w:color="auto" w:fill="auto"/>
            <w:vAlign w:val="center"/>
            <w:hideMark/>
          </w:tcPr>
          <w:p w14:paraId="7791EAA9" w14:textId="77777777" w:rsidR="00472858" w:rsidRPr="00BB662E" w:rsidRDefault="00472858" w:rsidP="00472858">
            <w:pPr>
              <w:spacing w:before="60" w:after="60"/>
              <w:rPr>
                <w:rFonts w:ascii="Calibri" w:hAnsi="Calibri"/>
                <w:color w:val="000000"/>
                <w:sz w:val="20"/>
                <w:szCs w:val="20"/>
                <w:lang w:eastAsia="en-GB"/>
              </w:rPr>
            </w:pPr>
            <w:r w:rsidRPr="00BB662E">
              <w:rPr>
                <w:rFonts w:ascii="Calibri" w:hAnsi="Calibri"/>
                <w:color w:val="000000"/>
                <w:sz w:val="20"/>
                <w:szCs w:val="20"/>
                <w:lang w:eastAsia="en-GB"/>
              </w:rPr>
              <w:t>GP sessions</w:t>
            </w:r>
          </w:p>
        </w:tc>
        <w:tc>
          <w:tcPr>
            <w:tcW w:w="2824" w:type="dxa"/>
            <w:tcBorders>
              <w:top w:val="nil"/>
              <w:left w:val="nil"/>
              <w:bottom w:val="single" w:sz="4" w:space="0" w:color="auto"/>
              <w:right w:val="single" w:sz="4" w:space="0" w:color="auto"/>
            </w:tcBorders>
            <w:shd w:val="clear" w:color="000000" w:fill="F2DCDB"/>
            <w:vAlign w:val="bottom"/>
            <w:hideMark/>
          </w:tcPr>
          <w:p w14:paraId="33E442F1" w14:textId="77777777" w:rsidR="00472858" w:rsidRPr="00BB662E" w:rsidRDefault="00472858" w:rsidP="00472858">
            <w:pPr>
              <w:spacing w:before="60" w:after="60"/>
              <w:jc w:val="right"/>
              <w:rPr>
                <w:rFonts w:ascii="Calibri" w:hAnsi="Calibri"/>
                <w:color w:val="000000"/>
                <w:lang w:eastAsia="en-GB"/>
              </w:rPr>
            </w:pPr>
            <w:r w:rsidRPr="00BB662E">
              <w:rPr>
                <w:rFonts w:ascii="Calibri" w:hAnsi="Calibri"/>
                <w:color w:val="000000"/>
                <w:lang w:eastAsia="en-GB"/>
              </w:rPr>
              <w:t>X sessions/week</w:t>
            </w:r>
          </w:p>
        </w:tc>
      </w:tr>
      <w:tr w:rsidR="00472858" w:rsidRPr="00BB662E" w14:paraId="5D56381A" w14:textId="77777777" w:rsidTr="00472858">
        <w:trPr>
          <w:trHeight w:val="435"/>
        </w:trPr>
        <w:tc>
          <w:tcPr>
            <w:tcW w:w="607" w:type="dxa"/>
            <w:tcBorders>
              <w:top w:val="nil"/>
              <w:left w:val="single" w:sz="4" w:space="0" w:color="auto"/>
              <w:bottom w:val="single" w:sz="4" w:space="0" w:color="auto"/>
              <w:right w:val="single" w:sz="4" w:space="0" w:color="auto"/>
            </w:tcBorders>
            <w:shd w:val="clear" w:color="auto" w:fill="auto"/>
            <w:noWrap/>
            <w:hideMark/>
          </w:tcPr>
          <w:p w14:paraId="3EF7B83A"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19</w:t>
            </w:r>
          </w:p>
        </w:tc>
        <w:tc>
          <w:tcPr>
            <w:tcW w:w="6342" w:type="dxa"/>
            <w:tcBorders>
              <w:top w:val="nil"/>
              <w:left w:val="nil"/>
              <w:bottom w:val="single" w:sz="4" w:space="0" w:color="auto"/>
              <w:right w:val="single" w:sz="4" w:space="0" w:color="auto"/>
            </w:tcBorders>
            <w:shd w:val="clear" w:color="000000" w:fill="D9D9D9"/>
            <w:hideMark/>
          </w:tcPr>
          <w:p w14:paraId="40636D1A"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xml:space="preserve">Number of </w:t>
            </w:r>
            <w:r w:rsidRPr="00BB662E">
              <w:rPr>
                <w:rFonts w:ascii="Calibri" w:hAnsi="Calibri"/>
                <w:b/>
                <w:color w:val="000000"/>
                <w:lang w:eastAsia="en-GB"/>
              </w:rPr>
              <w:t>patients per WTE GP</w:t>
            </w:r>
          </w:p>
        </w:tc>
        <w:tc>
          <w:tcPr>
            <w:tcW w:w="2915" w:type="dxa"/>
            <w:tcBorders>
              <w:top w:val="nil"/>
              <w:left w:val="nil"/>
              <w:bottom w:val="single" w:sz="4" w:space="0" w:color="auto"/>
              <w:right w:val="single" w:sz="4" w:space="0" w:color="auto"/>
            </w:tcBorders>
            <w:shd w:val="clear" w:color="auto" w:fill="auto"/>
            <w:vAlign w:val="center"/>
            <w:hideMark/>
          </w:tcPr>
          <w:p w14:paraId="415D44BA" w14:textId="77777777" w:rsidR="00472858" w:rsidRPr="00BB662E" w:rsidRDefault="00472858" w:rsidP="00472858">
            <w:pPr>
              <w:spacing w:before="60" w:after="60"/>
              <w:rPr>
                <w:rFonts w:ascii="Calibri" w:hAnsi="Calibri"/>
                <w:color w:val="000000"/>
                <w:sz w:val="20"/>
                <w:szCs w:val="20"/>
                <w:lang w:eastAsia="en-GB"/>
              </w:rPr>
            </w:pPr>
            <w:r w:rsidRPr="00BB662E">
              <w:rPr>
                <w:rFonts w:ascii="Calibri" w:hAnsi="Calibri"/>
                <w:color w:val="000000"/>
                <w:sz w:val="20"/>
                <w:szCs w:val="20"/>
                <w:lang w:eastAsia="en-GB"/>
              </w:rPr>
              <w:t>Understand GP access</w:t>
            </w:r>
          </w:p>
        </w:tc>
        <w:tc>
          <w:tcPr>
            <w:tcW w:w="2284" w:type="dxa"/>
            <w:gridSpan w:val="2"/>
            <w:tcBorders>
              <w:top w:val="single" w:sz="4" w:space="0" w:color="auto"/>
              <w:left w:val="nil"/>
              <w:bottom w:val="single" w:sz="4" w:space="0" w:color="auto"/>
              <w:right w:val="single" w:sz="4" w:space="0" w:color="000000"/>
            </w:tcBorders>
            <w:shd w:val="clear" w:color="auto" w:fill="auto"/>
            <w:vAlign w:val="center"/>
            <w:hideMark/>
          </w:tcPr>
          <w:p w14:paraId="32227BF2" w14:textId="77777777" w:rsidR="00472858" w:rsidRPr="00BB662E" w:rsidRDefault="00472858" w:rsidP="00472858">
            <w:pPr>
              <w:spacing w:before="60" w:after="60"/>
              <w:rPr>
                <w:rFonts w:ascii="Calibri" w:hAnsi="Calibri"/>
                <w:color w:val="000000"/>
                <w:sz w:val="20"/>
                <w:szCs w:val="20"/>
                <w:lang w:eastAsia="en-GB"/>
              </w:rPr>
            </w:pPr>
            <w:r w:rsidRPr="00BB662E">
              <w:rPr>
                <w:rFonts w:ascii="Calibri" w:hAnsi="Calibri"/>
                <w:color w:val="000000"/>
                <w:sz w:val="20"/>
                <w:szCs w:val="20"/>
                <w:lang w:eastAsia="en-GB"/>
              </w:rPr>
              <w:t>Patients/GP</w:t>
            </w:r>
          </w:p>
        </w:tc>
        <w:tc>
          <w:tcPr>
            <w:tcW w:w="2824" w:type="dxa"/>
            <w:tcBorders>
              <w:top w:val="nil"/>
              <w:left w:val="nil"/>
              <w:bottom w:val="single" w:sz="4" w:space="0" w:color="auto"/>
              <w:right w:val="single" w:sz="4" w:space="0" w:color="auto"/>
            </w:tcBorders>
            <w:shd w:val="clear" w:color="000000" w:fill="F2DCDB"/>
            <w:vAlign w:val="bottom"/>
            <w:hideMark/>
          </w:tcPr>
          <w:p w14:paraId="6FF9CDB9" w14:textId="77777777" w:rsidR="00472858" w:rsidRPr="00BB662E" w:rsidRDefault="00472858" w:rsidP="00472858">
            <w:pPr>
              <w:spacing w:before="60" w:after="60"/>
              <w:jc w:val="right"/>
              <w:rPr>
                <w:rFonts w:ascii="Calibri" w:hAnsi="Calibri"/>
                <w:color w:val="000000"/>
                <w:lang w:eastAsia="en-GB"/>
              </w:rPr>
            </w:pPr>
            <w:r w:rsidRPr="00BB662E">
              <w:rPr>
                <w:rFonts w:ascii="Calibri" w:hAnsi="Calibri"/>
                <w:color w:val="000000"/>
                <w:lang w:eastAsia="en-GB"/>
              </w:rPr>
              <w:t>XXXX patients/WTE GP</w:t>
            </w:r>
          </w:p>
        </w:tc>
      </w:tr>
      <w:tr w:rsidR="00472858" w:rsidRPr="00BB662E" w14:paraId="014F9326" w14:textId="77777777" w:rsidTr="00472858">
        <w:trPr>
          <w:trHeight w:val="300"/>
        </w:trPr>
        <w:tc>
          <w:tcPr>
            <w:tcW w:w="607" w:type="dxa"/>
            <w:vMerge w:val="restart"/>
            <w:tcBorders>
              <w:top w:val="nil"/>
              <w:left w:val="single" w:sz="4" w:space="0" w:color="auto"/>
              <w:bottom w:val="single" w:sz="4" w:space="0" w:color="000000"/>
              <w:right w:val="single" w:sz="4" w:space="0" w:color="auto"/>
            </w:tcBorders>
            <w:shd w:val="clear" w:color="auto" w:fill="auto"/>
            <w:noWrap/>
            <w:hideMark/>
          </w:tcPr>
          <w:p w14:paraId="4FB32E10"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20</w:t>
            </w:r>
          </w:p>
        </w:tc>
        <w:tc>
          <w:tcPr>
            <w:tcW w:w="6342" w:type="dxa"/>
            <w:vMerge w:val="restart"/>
            <w:tcBorders>
              <w:top w:val="nil"/>
              <w:left w:val="single" w:sz="4" w:space="0" w:color="auto"/>
              <w:bottom w:val="single" w:sz="4" w:space="0" w:color="000000"/>
              <w:right w:val="single" w:sz="4" w:space="0" w:color="auto"/>
            </w:tcBorders>
            <w:shd w:val="clear" w:color="000000" w:fill="D9D9D9"/>
            <w:hideMark/>
          </w:tcPr>
          <w:p w14:paraId="27FAF5E1"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xml:space="preserve">Total no. of clinical </w:t>
            </w:r>
            <w:r w:rsidRPr="00BB662E">
              <w:rPr>
                <w:rFonts w:ascii="Calibri" w:hAnsi="Calibri"/>
                <w:b/>
                <w:color w:val="000000"/>
                <w:lang w:eastAsia="en-GB"/>
              </w:rPr>
              <w:t>(GP &amp; Qualified Nursing)</w:t>
            </w:r>
            <w:r w:rsidRPr="00BB662E">
              <w:rPr>
                <w:rFonts w:ascii="Calibri" w:hAnsi="Calibri"/>
                <w:color w:val="000000"/>
                <w:lang w:eastAsia="en-GB"/>
              </w:rPr>
              <w:t xml:space="preserve"> hours offered per week (incl. concurrent hours)</w:t>
            </w:r>
          </w:p>
        </w:tc>
        <w:tc>
          <w:tcPr>
            <w:tcW w:w="2915" w:type="dxa"/>
            <w:vMerge w:val="restart"/>
            <w:tcBorders>
              <w:top w:val="nil"/>
              <w:left w:val="single" w:sz="4" w:space="0" w:color="auto"/>
              <w:bottom w:val="single" w:sz="4" w:space="0" w:color="000000"/>
              <w:right w:val="single" w:sz="4" w:space="0" w:color="auto"/>
            </w:tcBorders>
            <w:shd w:val="clear" w:color="auto" w:fill="auto"/>
            <w:vAlign w:val="center"/>
            <w:hideMark/>
          </w:tcPr>
          <w:p w14:paraId="61B778F3" w14:textId="77777777" w:rsidR="00472858" w:rsidRPr="00BB662E" w:rsidRDefault="00472858" w:rsidP="00472858">
            <w:pPr>
              <w:spacing w:before="60" w:after="60"/>
              <w:rPr>
                <w:rFonts w:ascii="Calibri" w:hAnsi="Calibri"/>
                <w:color w:val="000000"/>
                <w:sz w:val="20"/>
                <w:szCs w:val="20"/>
                <w:lang w:eastAsia="en-GB"/>
              </w:rPr>
            </w:pPr>
            <w:r w:rsidRPr="00BB662E">
              <w:rPr>
                <w:rFonts w:ascii="Calibri" w:hAnsi="Calibri"/>
                <w:color w:val="000000"/>
                <w:sz w:val="20"/>
                <w:szCs w:val="20"/>
                <w:lang w:eastAsia="en-GB"/>
              </w:rPr>
              <w:t>Understand total clinical access</w:t>
            </w:r>
          </w:p>
        </w:tc>
        <w:tc>
          <w:tcPr>
            <w:tcW w:w="2284" w:type="dxa"/>
            <w:gridSpan w:val="2"/>
            <w:tcBorders>
              <w:top w:val="single" w:sz="4" w:space="0" w:color="auto"/>
              <w:left w:val="nil"/>
              <w:bottom w:val="single" w:sz="4" w:space="0" w:color="auto"/>
              <w:right w:val="single" w:sz="4" w:space="0" w:color="000000"/>
            </w:tcBorders>
            <w:shd w:val="clear" w:color="auto" w:fill="auto"/>
            <w:vAlign w:val="center"/>
            <w:hideMark/>
          </w:tcPr>
          <w:p w14:paraId="56A7F5AA"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a) GP</w:t>
            </w:r>
          </w:p>
        </w:tc>
        <w:tc>
          <w:tcPr>
            <w:tcW w:w="2824" w:type="dxa"/>
            <w:tcBorders>
              <w:top w:val="nil"/>
              <w:left w:val="nil"/>
              <w:bottom w:val="single" w:sz="4" w:space="0" w:color="auto"/>
              <w:right w:val="single" w:sz="4" w:space="0" w:color="auto"/>
            </w:tcBorders>
            <w:shd w:val="clear" w:color="000000" w:fill="F2DCDB"/>
            <w:vAlign w:val="bottom"/>
            <w:hideMark/>
          </w:tcPr>
          <w:p w14:paraId="04887079" w14:textId="77777777" w:rsidR="00472858" w:rsidRPr="00BB662E" w:rsidRDefault="00472858" w:rsidP="00472858">
            <w:pPr>
              <w:spacing w:before="60" w:after="60"/>
              <w:jc w:val="right"/>
              <w:rPr>
                <w:rFonts w:ascii="Calibri" w:hAnsi="Calibri"/>
                <w:color w:val="000000"/>
                <w:lang w:eastAsia="en-GB"/>
              </w:rPr>
            </w:pPr>
            <w:r w:rsidRPr="00BB662E">
              <w:rPr>
                <w:rFonts w:ascii="Calibri" w:hAnsi="Calibri"/>
                <w:color w:val="000000"/>
                <w:lang w:eastAsia="en-GB"/>
              </w:rPr>
              <w:t>hrs/week</w:t>
            </w:r>
          </w:p>
        </w:tc>
      </w:tr>
      <w:tr w:rsidR="00472858" w:rsidRPr="00BB662E" w14:paraId="241D8B60" w14:textId="77777777" w:rsidTr="00472858">
        <w:trPr>
          <w:trHeight w:val="300"/>
        </w:trPr>
        <w:tc>
          <w:tcPr>
            <w:tcW w:w="607" w:type="dxa"/>
            <w:vMerge/>
            <w:tcBorders>
              <w:top w:val="nil"/>
              <w:left w:val="single" w:sz="4" w:space="0" w:color="auto"/>
              <w:bottom w:val="single" w:sz="4" w:space="0" w:color="000000"/>
              <w:right w:val="single" w:sz="4" w:space="0" w:color="auto"/>
            </w:tcBorders>
            <w:vAlign w:val="center"/>
            <w:hideMark/>
          </w:tcPr>
          <w:p w14:paraId="64CCCD54" w14:textId="77777777" w:rsidR="00472858" w:rsidRPr="00BB662E" w:rsidRDefault="00472858" w:rsidP="00472858">
            <w:pPr>
              <w:spacing w:before="60" w:after="60"/>
              <w:rPr>
                <w:rFonts w:ascii="Calibri" w:hAnsi="Calibri"/>
                <w:color w:val="000000"/>
                <w:lang w:eastAsia="en-GB"/>
              </w:rPr>
            </w:pPr>
          </w:p>
        </w:tc>
        <w:tc>
          <w:tcPr>
            <w:tcW w:w="6342" w:type="dxa"/>
            <w:vMerge/>
            <w:tcBorders>
              <w:top w:val="nil"/>
              <w:left w:val="single" w:sz="4" w:space="0" w:color="auto"/>
              <w:bottom w:val="single" w:sz="4" w:space="0" w:color="000000"/>
              <w:right w:val="single" w:sz="4" w:space="0" w:color="auto"/>
            </w:tcBorders>
            <w:vAlign w:val="center"/>
            <w:hideMark/>
          </w:tcPr>
          <w:p w14:paraId="1FEDF605" w14:textId="77777777" w:rsidR="00472858" w:rsidRPr="00BB662E" w:rsidRDefault="00472858" w:rsidP="00472858">
            <w:pPr>
              <w:spacing w:before="60" w:after="60"/>
              <w:rPr>
                <w:rFonts w:ascii="Calibri" w:hAnsi="Calibri"/>
                <w:color w:val="000000"/>
                <w:lang w:eastAsia="en-GB"/>
              </w:rPr>
            </w:pPr>
          </w:p>
        </w:tc>
        <w:tc>
          <w:tcPr>
            <w:tcW w:w="2915" w:type="dxa"/>
            <w:vMerge/>
            <w:tcBorders>
              <w:top w:val="nil"/>
              <w:left w:val="single" w:sz="4" w:space="0" w:color="auto"/>
              <w:bottom w:val="single" w:sz="4" w:space="0" w:color="000000"/>
              <w:right w:val="single" w:sz="4" w:space="0" w:color="auto"/>
            </w:tcBorders>
            <w:vAlign w:val="center"/>
            <w:hideMark/>
          </w:tcPr>
          <w:p w14:paraId="0703EF58" w14:textId="77777777" w:rsidR="00472858" w:rsidRPr="00BB662E" w:rsidRDefault="00472858" w:rsidP="00472858">
            <w:pPr>
              <w:spacing w:before="60" w:after="60"/>
              <w:rPr>
                <w:rFonts w:ascii="Calibri" w:hAnsi="Calibri"/>
                <w:color w:val="000000"/>
                <w:sz w:val="20"/>
                <w:szCs w:val="20"/>
                <w:lang w:eastAsia="en-GB"/>
              </w:rPr>
            </w:pPr>
          </w:p>
        </w:tc>
        <w:tc>
          <w:tcPr>
            <w:tcW w:w="2284" w:type="dxa"/>
            <w:gridSpan w:val="2"/>
            <w:tcBorders>
              <w:top w:val="single" w:sz="4" w:space="0" w:color="auto"/>
              <w:left w:val="nil"/>
              <w:bottom w:val="single" w:sz="4" w:space="0" w:color="auto"/>
              <w:right w:val="single" w:sz="4" w:space="0" w:color="000000"/>
            </w:tcBorders>
            <w:shd w:val="clear" w:color="auto" w:fill="auto"/>
            <w:vAlign w:val="center"/>
            <w:hideMark/>
          </w:tcPr>
          <w:p w14:paraId="3D01A80F"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b) Nurse</w:t>
            </w:r>
          </w:p>
        </w:tc>
        <w:tc>
          <w:tcPr>
            <w:tcW w:w="2824" w:type="dxa"/>
            <w:tcBorders>
              <w:top w:val="nil"/>
              <w:left w:val="nil"/>
              <w:bottom w:val="single" w:sz="4" w:space="0" w:color="auto"/>
              <w:right w:val="single" w:sz="4" w:space="0" w:color="auto"/>
            </w:tcBorders>
            <w:shd w:val="clear" w:color="000000" w:fill="F2DCDB"/>
            <w:vAlign w:val="bottom"/>
            <w:hideMark/>
          </w:tcPr>
          <w:p w14:paraId="03991DEC" w14:textId="77777777" w:rsidR="00472858" w:rsidRPr="00BB662E" w:rsidRDefault="00472858" w:rsidP="00472858">
            <w:pPr>
              <w:spacing w:before="60" w:after="60"/>
              <w:jc w:val="right"/>
              <w:rPr>
                <w:rFonts w:ascii="Calibri" w:hAnsi="Calibri"/>
                <w:color w:val="000000"/>
                <w:lang w:eastAsia="en-GB"/>
              </w:rPr>
            </w:pPr>
            <w:r w:rsidRPr="00BB662E">
              <w:rPr>
                <w:rFonts w:ascii="Calibri" w:hAnsi="Calibri"/>
                <w:color w:val="000000"/>
                <w:lang w:eastAsia="en-GB"/>
              </w:rPr>
              <w:t>hrs/week</w:t>
            </w:r>
          </w:p>
        </w:tc>
      </w:tr>
      <w:tr w:rsidR="00472858" w:rsidRPr="00BB662E" w14:paraId="340458F0" w14:textId="77777777" w:rsidTr="00472858">
        <w:trPr>
          <w:trHeight w:val="300"/>
        </w:trPr>
        <w:tc>
          <w:tcPr>
            <w:tcW w:w="607" w:type="dxa"/>
            <w:vMerge/>
            <w:tcBorders>
              <w:top w:val="nil"/>
              <w:left w:val="single" w:sz="4" w:space="0" w:color="auto"/>
              <w:bottom w:val="single" w:sz="4" w:space="0" w:color="000000"/>
              <w:right w:val="single" w:sz="4" w:space="0" w:color="auto"/>
            </w:tcBorders>
            <w:vAlign w:val="center"/>
            <w:hideMark/>
          </w:tcPr>
          <w:p w14:paraId="1C78B4E6" w14:textId="77777777" w:rsidR="00472858" w:rsidRPr="00BB662E" w:rsidRDefault="00472858" w:rsidP="00472858">
            <w:pPr>
              <w:spacing w:before="60" w:after="60"/>
              <w:rPr>
                <w:rFonts w:ascii="Calibri" w:hAnsi="Calibri"/>
                <w:color w:val="000000"/>
                <w:lang w:eastAsia="en-GB"/>
              </w:rPr>
            </w:pPr>
          </w:p>
        </w:tc>
        <w:tc>
          <w:tcPr>
            <w:tcW w:w="6342" w:type="dxa"/>
            <w:vMerge/>
            <w:tcBorders>
              <w:top w:val="nil"/>
              <w:left w:val="single" w:sz="4" w:space="0" w:color="auto"/>
              <w:bottom w:val="single" w:sz="4" w:space="0" w:color="000000"/>
              <w:right w:val="single" w:sz="4" w:space="0" w:color="auto"/>
            </w:tcBorders>
            <w:vAlign w:val="center"/>
            <w:hideMark/>
          </w:tcPr>
          <w:p w14:paraId="5DC098EB" w14:textId="77777777" w:rsidR="00472858" w:rsidRPr="00BB662E" w:rsidRDefault="00472858" w:rsidP="00472858">
            <w:pPr>
              <w:spacing w:before="60" w:after="60"/>
              <w:rPr>
                <w:rFonts w:ascii="Calibri" w:hAnsi="Calibri"/>
                <w:color w:val="000000"/>
                <w:lang w:eastAsia="en-GB"/>
              </w:rPr>
            </w:pPr>
          </w:p>
        </w:tc>
        <w:tc>
          <w:tcPr>
            <w:tcW w:w="2915" w:type="dxa"/>
            <w:vMerge/>
            <w:tcBorders>
              <w:top w:val="nil"/>
              <w:left w:val="single" w:sz="4" w:space="0" w:color="auto"/>
              <w:bottom w:val="single" w:sz="4" w:space="0" w:color="000000"/>
              <w:right w:val="single" w:sz="4" w:space="0" w:color="auto"/>
            </w:tcBorders>
            <w:vAlign w:val="center"/>
            <w:hideMark/>
          </w:tcPr>
          <w:p w14:paraId="40B76682" w14:textId="77777777" w:rsidR="00472858" w:rsidRPr="00BB662E" w:rsidRDefault="00472858" w:rsidP="00472858">
            <w:pPr>
              <w:spacing w:before="60" w:after="60"/>
              <w:rPr>
                <w:rFonts w:ascii="Calibri" w:hAnsi="Calibri"/>
                <w:color w:val="000000"/>
                <w:sz w:val="20"/>
                <w:szCs w:val="20"/>
                <w:lang w:eastAsia="en-GB"/>
              </w:rPr>
            </w:pPr>
          </w:p>
        </w:tc>
        <w:tc>
          <w:tcPr>
            <w:tcW w:w="2284" w:type="dxa"/>
            <w:gridSpan w:val="2"/>
            <w:tcBorders>
              <w:top w:val="single" w:sz="4" w:space="0" w:color="auto"/>
              <w:left w:val="nil"/>
              <w:bottom w:val="single" w:sz="4" w:space="0" w:color="auto"/>
              <w:right w:val="single" w:sz="4" w:space="0" w:color="000000"/>
            </w:tcBorders>
            <w:shd w:val="clear" w:color="auto" w:fill="auto"/>
            <w:vAlign w:val="center"/>
            <w:hideMark/>
          </w:tcPr>
          <w:p w14:paraId="56E45BB9"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c) Other</w:t>
            </w:r>
          </w:p>
        </w:tc>
        <w:tc>
          <w:tcPr>
            <w:tcW w:w="2824" w:type="dxa"/>
            <w:tcBorders>
              <w:top w:val="nil"/>
              <w:left w:val="nil"/>
              <w:bottom w:val="single" w:sz="4" w:space="0" w:color="auto"/>
              <w:right w:val="single" w:sz="4" w:space="0" w:color="auto"/>
            </w:tcBorders>
            <w:shd w:val="clear" w:color="000000" w:fill="F2DCDB"/>
            <w:vAlign w:val="bottom"/>
            <w:hideMark/>
          </w:tcPr>
          <w:p w14:paraId="119FA186"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state e</w:t>
            </w:r>
            <w:r>
              <w:rPr>
                <w:rFonts w:ascii="Calibri" w:hAnsi="Calibri"/>
                <w:color w:val="000000"/>
                <w:lang w:eastAsia="en-GB"/>
              </w:rPr>
              <w:t>.</w:t>
            </w:r>
            <w:r w:rsidRPr="00BB662E">
              <w:rPr>
                <w:rFonts w:ascii="Calibri" w:hAnsi="Calibri"/>
                <w:color w:val="000000"/>
                <w:lang w:eastAsia="en-GB"/>
              </w:rPr>
              <w:t>g</w:t>
            </w:r>
            <w:r>
              <w:rPr>
                <w:rFonts w:ascii="Calibri" w:hAnsi="Calibri"/>
                <w:color w:val="000000"/>
                <w:lang w:eastAsia="en-GB"/>
              </w:rPr>
              <w:t>.</w:t>
            </w:r>
            <w:r w:rsidRPr="00BB662E">
              <w:rPr>
                <w:rFonts w:ascii="Calibri" w:hAnsi="Calibri"/>
                <w:color w:val="000000"/>
                <w:lang w:eastAsia="en-GB"/>
              </w:rPr>
              <w:t xml:space="preserve"> Pharmacist hours/week</w:t>
            </w:r>
          </w:p>
        </w:tc>
      </w:tr>
      <w:tr w:rsidR="00472858" w:rsidRPr="00BB662E" w14:paraId="739F51CC" w14:textId="77777777" w:rsidTr="00472858">
        <w:trPr>
          <w:trHeight w:val="300"/>
        </w:trPr>
        <w:tc>
          <w:tcPr>
            <w:tcW w:w="607" w:type="dxa"/>
            <w:vMerge/>
            <w:tcBorders>
              <w:top w:val="nil"/>
              <w:left w:val="single" w:sz="4" w:space="0" w:color="auto"/>
              <w:bottom w:val="single" w:sz="4" w:space="0" w:color="000000"/>
              <w:right w:val="single" w:sz="4" w:space="0" w:color="auto"/>
            </w:tcBorders>
            <w:vAlign w:val="center"/>
            <w:hideMark/>
          </w:tcPr>
          <w:p w14:paraId="25D4BF10" w14:textId="77777777" w:rsidR="00472858" w:rsidRPr="00BB662E" w:rsidRDefault="00472858" w:rsidP="00472858">
            <w:pPr>
              <w:spacing w:before="60" w:after="60"/>
              <w:rPr>
                <w:rFonts w:ascii="Calibri" w:hAnsi="Calibri"/>
                <w:color w:val="000000"/>
                <w:lang w:eastAsia="en-GB"/>
              </w:rPr>
            </w:pPr>
          </w:p>
        </w:tc>
        <w:tc>
          <w:tcPr>
            <w:tcW w:w="6342" w:type="dxa"/>
            <w:vMerge/>
            <w:tcBorders>
              <w:top w:val="nil"/>
              <w:left w:val="single" w:sz="4" w:space="0" w:color="auto"/>
              <w:bottom w:val="single" w:sz="4" w:space="0" w:color="000000"/>
              <w:right w:val="single" w:sz="4" w:space="0" w:color="auto"/>
            </w:tcBorders>
            <w:vAlign w:val="center"/>
            <w:hideMark/>
          </w:tcPr>
          <w:p w14:paraId="6DB2946A" w14:textId="77777777" w:rsidR="00472858" w:rsidRPr="00BB662E" w:rsidRDefault="00472858" w:rsidP="00472858">
            <w:pPr>
              <w:spacing w:before="60" w:after="60"/>
              <w:rPr>
                <w:rFonts w:ascii="Calibri" w:hAnsi="Calibri"/>
                <w:color w:val="000000"/>
                <w:lang w:eastAsia="en-GB"/>
              </w:rPr>
            </w:pPr>
          </w:p>
        </w:tc>
        <w:tc>
          <w:tcPr>
            <w:tcW w:w="2915" w:type="dxa"/>
            <w:vMerge/>
            <w:tcBorders>
              <w:top w:val="nil"/>
              <w:left w:val="single" w:sz="4" w:space="0" w:color="auto"/>
              <w:bottom w:val="single" w:sz="4" w:space="0" w:color="000000"/>
              <w:right w:val="single" w:sz="4" w:space="0" w:color="auto"/>
            </w:tcBorders>
            <w:vAlign w:val="center"/>
            <w:hideMark/>
          </w:tcPr>
          <w:p w14:paraId="76F48AE9" w14:textId="77777777" w:rsidR="00472858" w:rsidRPr="00BB662E" w:rsidRDefault="00472858" w:rsidP="00472858">
            <w:pPr>
              <w:spacing w:before="60" w:after="60"/>
              <w:rPr>
                <w:rFonts w:ascii="Calibri" w:hAnsi="Calibri"/>
                <w:color w:val="000000"/>
                <w:sz w:val="20"/>
                <w:szCs w:val="20"/>
                <w:lang w:eastAsia="en-GB"/>
              </w:rPr>
            </w:pPr>
          </w:p>
        </w:tc>
        <w:tc>
          <w:tcPr>
            <w:tcW w:w="2284" w:type="dxa"/>
            <w:gridSpan w:val="2"/>
            <w:tcBorders>
              <w:top w:val="single" w:sz="4" w:space="0" w:color="auto"/>
              <w:left w:val="nil"/>
              <w:bottom w:val="single" w:sz="4" w:space="0" w:color="auto"/>
              <w:right w:val="single" w:sz="4" w:space="0" w:color="000000"/>
            </w:tcBorders>
            <w:shd w:val="clear" w:color="auto" w:fill="auto"/>
            <w:vAlign w:val="center"/>
            <w:hideMark/>
          </w:tcPr>
          <w:p w14:paraId="1E81F5C5"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Total</w:t>
            </w:r>
          </w:p>
        </w:tc>
        <w:tc>
          <w:tcPr>
            <w:tcW w:w="2824" w:type="dxa"/>
            <w:tcBorders>
              <w:top w:val="nil"/>
              <w:left w:val="nil"/>
              <w:bottom w:val="single" w:sz="4" w:space="0" w:color="auto"/>
              <w:right w:val="single" w:sz="4" w:space="0" w:color="auto"/>
            </w:tcBorders>
            <w:shd w:val="clear" w:color="000000" w:fill="F2DCDB"/>
            <w:vAlign w:val="bottom"/>
            <w:hideMark/>
          </w:tcPr>
          <w:p w14:paraId="7ABE5A68" w14:textId="77777777" w:rsidR="00472858" w:rsidRPr="00BB662E" w:rsidRDefault="00472858" w:rsidP="00472858">
            <w:pPr>
              <w:spacing w:before="60" w:after="60"/>
              <w:jc w:val="right"/>
              <w:rPr>
                <w:rFonts w:ascii="Calibri" w:hAnsi="Calibri"/>
                <w:color w:val="000000"/>
                <w:lang w:eastAsia="en-GB"/>
              </w:rPr>
            </w:pPr>
            <w:r w:rsidRPr="00BB662E">
              <w:rPr>
                <w:rFonts w:ascii="Calibri" w:hAnsi="Calibri"/>
                <w:color w:val="000000"/>
                <w:lang w:eastAsia="en-GB"/>
              </w:rPr>
              <w:t>hrs/week</w:t>
            </w:r>
          </w:p>
        </w:tc>
      </w:tr>
      <w:tr w:rsidR="00472858" w:rsidRPr="00BB662E" w14:paraId="08A398EA" w14:textId="77777777" w:rsidTr="00472858">
        <w:trPr>
          <w:trHeight w:val="600"/>
        </w:trPr>
        <w:tc>
          <w:tcPr>
            <w:tcW w:w="607" w:type="dxa"/>
            <w:tcBorders>
              <w:top w:val="nil"/>
              <w:left w:val="single" w:sz="4" w:space="0" w:color="auto"/>
              <w:bottom w:val="single" w:sz="4" w:space="0" w:color="auto"/>
              <w:right w:val="single" w:sz="4" w:space="0" w:color="auto"/>
            </w:tcBorders>
            <w:shd w:val="clear" w:color="auto" w:fill="auto"/>
            <w:noWrap/>
            <w:hideMark/>
          </w:tcPr>
          <w:p w14:paraId="4211EF47"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21</w:t>
            </w:r>
          </w:p>
        </w:tc>
        <w:tc>
          <w:tcPr>
            <w:tcW w:w="6342" w:type="dxa"/>
            <w:tcBorders>
              <w:top w:val="nil"/>
              <w:left w:val="nil"/>
              <w:bottom w:val="single" w:sz="4" w:space="0" w:color="auto"/>
              <w:right w:val="single" w:sz="4" w:space="0" w:color="auto"/>
            </w:tcBorders>
            <w:shd w:val="clear" w:color="000000" w:fill="D9D9D9"/>
            <w:hideMark/>
          </w:tcPr>
          <w:p w14:paraId="45154D7C"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xml:space="preserve">Has the practice received any </w:t>
            </w:r>
            <w:r w:rsidRPr="00BB662E">
              <w:rPr>
                <w:rFonts w:ascii="Calibri" w:hAnsi="Calibri"/>
                <w:b/>
                <w:color w:val="000000"/>
                <w:lang w:eastAsia="en-GB"/>
              </w:rPr>
              <w:t xml:space="preserve">contract breaches </w:t>
            </w:r>
            <w:r w:rsidRPr="00BB662E">
              <w:rPr>
                <w:rFonts w:ascii="Calibri" w:hAnsi="Calibri"/>
                <w:color w:val="000000"/>
                <w:lang w:eastAsia="en-GB"/>
              </w:rPr>
              <w:t>since 1 April 2013?</w:t>
            </w:r>
          </w:p>
        </w:tc>
        <w:tc>
          <w:tcPr>
            <w:tcW w:w="2915" w:type="dxa"/>
            <w:tcBorders>
              <w:top w:val="nil"/>
              <w:left w:val="nil"/>
              <w:bottom w:val="single" w:sz="4" w:space="0" w:color="auto"/>
              <w:right w:val="single" w:sz="4" w:space="0" w:color="auto"/>
            </w:tcBorders>
            <w:shd w:val="clear" w:color="auto" w:fill="auto"/>
            <w:vAlign w:val="bottom"/>
            <w:hideMark/>
          </w:tcPr>
          <w:p w14:paraId="5D4A6DF4" w14:textId="77777777" w:rsidR="00472858" w:rsidRPr="00BB662E" w:rsidRDefault="00472858" w:rsidP="00472858">
            <w:pPr>
              <w:spacing w:before="60" w:after="60"/>
              <w:rPr>
                <w:rFonts w:ascii="Calibri" w:hAnsi="Calibri"/>
                <w:color w:val="000000"/>
                <w:sz w:val="20"/>
                <w:szCs w:val="20"/>
                <w:lang w:eastAsia="en-GB"/>
              </w:rPr>
            </w:pPr>
            <w:r w:rsidRPr="00BB662E">
              <w:rPr>
                <w:rFonts w:ascii="Calibri" w:hAnsi="Calibri"/>
                <w:color w:val="000000"/>
                <w:sz w:val="20"/>
                <w:szCs w:val="20"/>
                <w:lang w:eastAsia="en-GB"/>
              </w:rPr>
              <w:t>Potential marker of poorer quality practice</w:t>
            </w:r>
          </w:p>
        </w:tc>
        <w:tc>
          <w:tcPr>
            <w:tcW w:w="519" w:type="dxa"/>
            <w:tcBorders>
              <w:top w:val="nil"/>
              <w:left w:val="nil"/>
              <w:bottom w:val="single" w:sz="4" w:space="0" w:color="auto"/>
              <w:right w:val="single" w:sz="4" w:space="0" w:color="auto"/>
            </w:tcBorders>
            <w:shd w:val="clear" w:color="000000" w:fill="F2DCDB"/>
            <w:hideMark/>
          </w:tcPr>
          <w:p w14:paraId="0B6916AA"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Yes</w:t>
            </w:r>
          </w:p>
        </w:tc>
        <w:tc>
          <w:tcPr>
            <w:tcW w:w="1765" w:type="dxa"/>
            <w:tcBorders>
              <w:top w:val="nil"/>
              <w:left w:val="nil"/>
              <w:bottom w:val="single" w:sz="4" w:space="0" w:color="auto"/>
              <w:right w:val="single" w:sz="4" w:space="0" w:color="auto"/>
            </w:tcBorders>
            <w:shd w:val="clear" w:color="000000" w:fill="F2DCDB"/>
            <w:hideMark/>
          </w:tcPr>
          <w:p w14:paraId="5997363F"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No</w:t>
            </w:r>
          </w:p>
        </w:tc>
        <w:tc>
          <w:tcPr>
            <w:tcW w:w="2824" w:type="dxa"/>
            <w:tcBorders>
              <w:top w:val="nil"/>
              <w:left w:val="nil"/>
              <w:bottom w:val="single" w:sz="4" w:space="0" w:color="auto"/>
              <w:right w:val="single" w:sz="4" w:space="0" w:color="auto"/>
            </w:tcBorders>
            <w:shd w:val="clear" w:color="auto" w:fill="auto"/>
            <w:vAlign w:val="bottom"/>
            <w:hideMark/>
          </w:tcPr>
          <w:p w14:paraId="1908FB76" w14:textId="77777777" w:rsidR="00472858" w:rsidRPr="00BB662E" w:rsidRDefault="00472858" w:rsidP="00472858">
            <w:pPr>
              <w:spacing w:before="60" w:after="60"/>
              <w:rPr>
                <w:rFonts w:ascii="Calibri" w:hAnsi="Calibri"/>
                <w:i/>
                <w:iCs/>
                <w:color w:val="000000"/>
                <w:lang w:eastAsia="en-GB"/>
              </w:rPr>
            </w:pPr>
            <w:r w:rsidRPr="00BB662E">
              <w:rPr>
                <w:rFonts w:ascii="Calibri" w:hAnsi="Calibri"/>
                <w:i/>
                <w:iCs/>
                <w:color w:val="000000"/>
                <w:lang w:eastAsia="en-GB"/>
              </w:rPr>
              <w:t>Details not required</w:t>
            </w:r>
          </w:p>
        </w:tc>
      </w:tr>
      <w:tr w:rsidR="00472858" w:rsidRPr="00BB662E" w14:paraId="6A647ADB" w14:textId="77777777" w:rsidTr="00472858">
        <w:trPr>
          <w:trHeight w:val="630"/>
        </w:trPr>
        <w:tc>
          <w:tcPr>
            <w:tcW w:w="607" w:type="dxa"/>
            <w:tcBorders>
              <w:top w:val="nil"/>
              <w:left w:val="single" w:sz="4" w:space="0" w:color="auto"/>
              <w:bottom w:val="single" w:sz="4" w:space="0" w:color="auto"/>
              <w:right w:val="single" w:sz="4" w:space="0" w:color="auto"/>
            </w:tcBorders>
            <w:shd w:val="clear" w:color="auto" w:fill="auto"/>
            <w:noWrap/>
            <w:hideMark/>
          </w:tcPr>
          <w:p w14:paraId="072E0195"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22</w:t>
            </w:r>
          </w:p>
        </w:tc>
        <w:tc>
          <w:tcPr>
            <w:tcW w:w="6342" w:type="dxa"/>
            <w:tcBorders>
              <w:top w:val="nil"/>
              <w:left w:val="nil"/>
              <w:bottom w:val="single" w:sz="4" w:space="0" w:color="auto"/>
              <w:right w:val="single" w:sz="4" w:space="0" w:color="auto"/>
            </w:tcBorders>
            <w:shd w:val="clear" w:color="000000" w:fill="D9D9D9"/>
            <w:hideMark/>
          </w:tcPr>
          <w:p w14:paraId="0AFF69EE"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xml:space="preserve">Are any of the </w:t>
            </w:r>
            <w:r w:rsidRPr="00BB662E">
              <w:rPr>
                <w:rFonts w:ascii="Calibri" w:hAnsi="Calibri"/>
                <w:b/>
                <w:color w:val="000000"/>
                <w:lang w:eastAsia="en-GB"/>
              </w:rPr>
              <w:t xml:space="preserve">GP performers </w:t>
            </w:r>
            <w:r w:rsidRPr="00BB662E">
              <w:rPr>
                <w:rFonts w:ascii="Calibri" w:hAnsi="Calibri"/>
                <w:color w:val="000000"/>
                <w:lang w:eastAsia="en-GB"/>
              </w:rPr>
              <w:t>being investigated by NHS England Medical Directorate or GMC?</w:t>
            </w:r>
          </w:p>
        </w:tc>
        <w:tc>
          <w:tcPr>
            <w:tcW w:w="2915" w:type="dxa"/>
            <w:tcBorders>
              <w:top w:val="nil"/>
              <w:left w:val="nil"/>
              <w:bottom w:val="single" w:sz="4" w:space="0" w:color="auto"/>
              <w:right w:val="single" w:sz="4" w:space="0" w:color="auto"/>
            </w:tcBorders>
            <w:shd w:val="clear" w:color="auto" w:fill="auto"/>
            <w:vAlign w:val="bottom"/>
            <w:hideMark/>
          </w:tcPr>
          <w:p w14:paraId="038F76CD" w14:textId="77777777" w:rsidR="00472858" w:rsidRPr="00BB662E" w:rsidRDefault="00472858" w:rsidP="00472858">
            <w:pPr>
              <w:spacing w:before="60" w:after="60"/>
              <w:rPr>
                <w:rFonts w:ascii="Calibri" w:hAnsi="Calibri"/>
                <w:color w:val="000000"/>
                <w:sz w:val="20"/>
                <w:szCs w:val="20"/>
                <w:lang w:eastAsia="en-GB"/>
              </w:rPr>
            </w:pPr>
            <w:r w:rsidRPr="00BB662E">
              <w:rPr>
                <w:rFonts w:ascii="Calibri" w:hAnsi="Calibri"/>
                <w:color w:val="000000"/>
                <w:sz w:val="20"/>
                <w:szCs w:val="20"/>
                <w:lang w:eastAsia="en-GB"/>
              </w:rPr>
              <w:t>Potential marker of poorer quality practice</w:t>
            </w:r>
          </w:p>
        </w:tc>
        <w:tc>
          <w:tcPr>
            <w:tcW w:w="519" w:type="dxa"/>
            <w:tcBorders>
              <w:top w:val="nil"/>
              <w:left w:val="nil"/>
              <w:bottom w:val="single" w:sz="4" w:space="0" w:color="auto"/>
              <w:right w:val="single" w:sz="4" w:space="0" w:color="auto"/>
            </w:tcBorders>
            <w:shd w:val="clear" w:color="000000" w:fill="F2DCDB"/>
            <w:hideMark/>
          </w:tcPr>
          <w:p w14:paraId="31CD57D0"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Yes</w:t>
            </w:r>
          </w:p>
        </w:tc>
        <w:tc>
          <w:tcPr>
            <w:tcW w:w="1765" w:type="dxa"/>
            <w:tcBorders>
              <w:top w:val="nil"/>
              <w:left w:val="nil"/>
              <w:bottom w:val="single" w:sz="4" w:space="0" w:color="auto"/>
              <w:right w:val="single" w:sz="4" w:space="0" w:color="auto"/>
            </w:tcBorders>
            <w:shd w:val="clear" w:color="000000" w:fill="F2DCDB"/>
            <w:hideMark/>
          </w:tcPr>
          <w:p w14:paraId="2DAE8906"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No</w:t>
            </w:r>
          </w:p>
        </w:tc>
        <w:tc>
          <w:tcPr>
            <w:tcW w:w="2824" w:type="dxa"/>
            <w:tcBorders>
              <w:top w:val="nil"/>
              <w:left w:val="nil"/>
              <w:bottom w:val="single" w:sz="4" w:space="0" w:color="auto"/>
              <w:right w:val="single" w:sz="4" w:space="0" w:color="auto"/>
            </w:tcBorders>
            <w:shd w:val="clear" w:color="auto" w:fill="auto"/>
            <w:vAlign w:val="bottom"/>
            <w:hideMark/>
          </w:tcPr>
          <w:p w14:paraId="1BCB8971" w14:textId="77777777" w:rsidR="00472858" w:rsidRPr="00BB662E" w:rsidRDefault="00472858" w:rsidP="00472858">
            <w:pPr>
              <w:spacing w:before="60" w:after="60"/>
              <w:rPr>
                <w:rFonts w:ascii="Calibri" w:hAnsi="Calibri"/>
                <w:i/>
                <w:iCs/>
                <w:color w:val="000000"/>
                <w:lang w:eastAsia="en-GB"/>
              </w:rPr>
            </w:pPr>
            <w:r w:rsidRPr="00BB662E">
              <w:rPr>
                <w:rFonts w:ascii="Calibri" w:hAnsi="Calibri"/>
                <w:i/>
                <w:iCs/>
                <w:color w:val="000000"/>
                <w:lang w:eastAsia="en-GB"/>
              </w:rPr>
              <w:t>Details not required</w:t>
            </w:r>
          </w:p>
        </w:tc>
      </w:tr>
      <w:tr w:rsidR="00472858" w:rsidRPr="00BB662E" w14:paraId="0F3DF4A7" w14:textId="77777777" w:rsidTr="00472858">
        <w:trPr>
          <w:trHeight w:val="675"/>
        </w:trPr>
        <w:tc>
          <w:tcPr>
            <w:tcW w:w="607" w:type="dxa"/>
            <w:tcBorders>
              <w:top w:val="nil"/>
              <w:left w:val="single" w:sz="4" w:space="0" w:color="auto"/>
              <w:bottom w:val="single" w:sz="4" w:space="0" w:color="auto"/>
              <w:right w:val="single" w:sz="4" w:space="0" w:color="auto"/>
            </w:tcBorders>
            <w:shd w:val="clear" w:color="auto" w:fill="auto"/>
            <w:noWrap/>
            <w:hideMark/>
          </w:tcPr>
          <w:p w14:paraId="2BCA165A"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23</w:t>
            </w:r>
          </w:p>
        </w:tc>
        <w:tc>
          <w:tcPr>
            <w:tcW w:w="6342" w:type="dxa"/>
            <w:tcBorders>
              <w:top w:val="nil"/>
              <w:left w:val="nil"/>
              <w:bottom w:val="single" w:sz="4" w:space="0" w:color="auto"/>
              <w:right w:val="single" w:sz="4" w:space="0" w:color="auto"/>
            </w:tcBorders>
            <w:shd w:val="clear" w:color="000000" w:fill="D9D9D9"/>
            <w:hideMark/>
          </w:tcPr>
          <w:p w14:paraId="02C838AA"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xml:space="preserve">What was the Practices published </w:t>
            </w:r>
            <w:r w:rsidRPr="00BB662E">
              <w:rPr>
                <w:rFonts w:ascii="Calibri" w:hAnsi="Calibri"/>
                <w:b/>
                <w:color w:val="000000"/>
                <w:lang w:eastAsia="en-GB"/>
              </w:rPr>
              <w:t>CQC overall rating</w:t>
            </w:r>
            <w:r w:rsidRPr="00BB662E">
              <w:rPr>
                <w:rFonts w:ascii="Calibri" w:hAnsi="Calibri"/>
                <w:color w:val="000000"/>
                <w:lang w:eastAsia="en-GB"/>
              </w:rPr>
              <w:t>?</w:t>
            </w:r>
          </w:p>
        </w:tc>
        <w:tc>
          <w:tcPr>
            <w:tcW w:w="2915" w:type="dxa"/>
            <w:tcBorders>
              <w:top w:val="nil"/>
              <w:left w:val="nil"/>
              <w:bottom w:val="single" w:sz="4" w:space="0" w:color="auto"/>
              <w:right w:val="single" w:sz="4" w:space="0" w:color="auto"/>
            </w:tcBorders>
            <w:shd w:val="clear" w:color="auto" w:fill="auto"/>
            <w:vAlign w:val="center"/>
            <w:hideMark/>
          </w:tcPr>
          <w:p w14:paraId="56328D8D" w14:textId="77777777" w:rsidR="00472858" w:rsidRPr="00BB662E" w:rsidRDefault="00472858" w:rsidP="00472858">
            <w:pPr>
              <w:spacing w:before="60" w:after="60"/>
              <w:rPr>
                <w:rFonts w:ascii="Calibri" w:hAnsi="Calibri"/>
                <w:color w:val="000000"/>
                <w:sz w:val="20"/>
                <w:szCs w:val="20"/>
                <w:lang w:eastAsia="en-GB"/>
              </w:rPr>
            </w:pPr>
            <w:r w:rsidRPr="00BB662E">
              <w:rPr>
                <w:rFonts w:ascii="Calibri" w:hAnsi="Calibri"/>
                <w:color w:val="000000"/>
                <w:sz w:val="20"/>
                <w:szCs w:val="20"/>
                <w:lang w:eastAsia="en-GB"/>
              </w:rPr>
              <w:t>Understanding of practice quality issues</w:t>
            </w:r>
          </w:p>
        </w:tc>
        <w:tc>
          <w:tcPr>
            <w:tcW w:w="2284" w:type="dxa"/>
            <w:gridSpan w:val="2"/>
            <w:tcBorders>
              <w:top w:val="single" w:sz="4" w:space="0" w:color="auto"/>
              <w:left w:val="nil"/>
              <w:bottom w:val="single" w:sz="4" w:space="0" w:color="auto"/>
              <w:right w:val="single" w:sz="4" w:space="0" w:color="000000"/>
            </w:tcBorders>
            <w:shd w:val="clear" w:color="auto" w:fill="auto"/>
            <w:vAlign w:val="center"/>
            <w:hideMark/>
          </w:tcPr>
          <w:p w14:paraId="6C6D321D"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Please state</w:t>
            </w:r>
          </w:p>
        </w:tc>
        <w:tc>
          <w:tcPr>
            <w:tcW w:w="2824" w:type="dxa"/>
            <w:tcBorders>
              <w:top w:val="nil"/>
              <w:left w:val="nil"/>
              <w:bottom w:val="single" w:sz="4" w:space="0" w:color="auto"/>
              <w:right w:val="single" w:sz="4" w:space="0" w:color="auto"/>
            </w:tcBorders>
            <w:shd w:val="clear" w:color="000000" w:fill="F2DCDB"/>
            <w:vAlign w:val="center"/>
            <w:hideMark/>
          </w:tcPr>
          <w:p w14:paraId="342875DA"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Outstanding  /  Good  /  Requires Improvement  /  Inadequate?</w:t>
            </w:r>
          </w:p>
        </w:tc>
      </w:tr>
      <w:tr w:rsidR="00472858" w:rsidRPr="00BB662E" w14:paraId="1B7526E1" w14:textId="77777777" w:rsidTr="00472858">
        <w:trPr>
          <w:trHeight w:val="660"/>
        </w:trPr>
        <w:tc>
          <w:tcPr>
            <w:tcW w:w="607" w:type="dxa"/>
            <w:tcBorders>
              <w:top w:val="nil"/>
              <w:left w:val="single" w:sz="4" w:space="0" w:color="auto"/>
              <w:bottom w:val="single" w:sz="4" w:space="0" w:color="auto"/>
              <w:right w:val="single" w:sz="4" w:space="0" w:color="auto"/>
            </w:tcBorders>
            <w:shd w:val="clear" w:color="auto" w:fill="auto"/>
            <w:noWrap/>
            <w:hideMark/>
          </w:tcPr>
          <w:p w14:paraId="56DF76F2"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24</w:t>
            </w:r>
          </w:p>
        </w:tc>
        <w:tc>
          <w:tcPr>
            <w:tcW w:w="6342" w:type="dxa"/>
            <w:tcBorders>
              <w:top w:val="nil"/>
              <w:left w:val="nil"/>
              <w:bottom w:val="single" w:sz="4" w:space="0" w:color="auto"/>
              <w:right w:val="single" w:sz="4" w:space="0" w:color="auto"/>
            </w:tcBorders>
            <w:shd w:val="clear" w:color="000000" w:fill="D9D9D9"/>
            <w:hideMark/>
          </w:tcPr>
          <w:p w14:paraId="55E2F84E"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Has the practice applied for a</w:t>
            </w:r>
            <w:r w:rsidRPr="00BB662E">
              <w:rPr>
                <w:rFonts w:ascii="Calibri" w:hAnsi="Calibri"/>
                <w:b/>
                <w:color w:val="000000"/>
                <w:lang w:eastAsia="en-GB"/>
              </w:rPr>
              <w:t xml:space="preserve"> formal</w:t>
            </w:r>
            <w:r w:rsidRPr="00BB662E">
              <w:rPr>
                <w:rFonts w:ascii="Calibri" w:hAnsi="Calibri"/>
                <w:color w:val="000000"/>
                <w:lang w:eastAsia="en-GB"/>
              </w:rPr>
              <w:t xml:space="preserve"> </w:t>
            </w:r>
            <w:r w:rsidRPr="00BB662E">
              <w:rPr>
                <w:rFonts w:ascii="Calibri" w:hAnsi="Calibri"/>
                <w:b/>
                <w:color w:val="000000"/>
                <w:lang w:eastAsia="en-GB"/>
              </w:rPr>
              <w:t xml:space="preserve">list closure </w:t>
            </w:r>
            <w:r w:rsidRPr="00BB662E">
              <w:rPr>
                <w:rFonts w:ascii="Calibri" w:hAnsi="Calibri"/>
                <w:color w:val="000000"/>
                <w:lang w:eastAsia="en-GB"/>
              </w:rPr>
              <w:t>at any point since 1 April 2013?</w:t>
            </w:r>
          </w:p>
        </w:tc>
        <w:tc>
          <w:tcPr>
            <w:tcW w:w="2915" w:type="dxa"/>
            <w:tcBorders>
              <w:top w:val="nil"/>
              <w:left w:val="nil"/>
              <w:bottom w:val="single" w:sz="4" w:space="0" w:color="auto"/>
              <w:right w:val="single" w:sz="4" w:space="0" w:color="auto"/>
            </w:tcBorders>
            <w:shd w:val="clear" w:color="auto" w:fill="auto"/>
            <w:vAlign w:val="bottom"/>
            <w:hideMark/>
          </w:tcPr>
          <w:p w14:paraId="7F5CB2BB" w14:textId="77777777" w:rsidR="00472858" w:rsidRPr="00BB662E" w:rsidRDefault="00472858" w:rsidP="00472858">
            <w:pPr>
              <w:spacing w:before="60" w:after="60"/>
              <w:rPr>
                <w:rFonts w:ascii="Calibri" w:hAnsi="Calibri"/>
                <w:color w:val="000000"/>
                <w:sz w:val="20"/>
                <w:szCs w:val="20"/>
                <w:lang w:eastAsia="en-GB"/>
              </w:rPr>
            </w:pPr>
            <w:r w:rsidRPr="00BB662E">
              <w:rPr>
                <w:rFonts w:ascii="Calibri" w:hAnsi="Calibri"/>
                <w:color w:val="000000"/>
                <w:sz w:val="20"/>
                <w:szCs w:val="20"/>
                <w:lang w:eastAsia="en-GB"/>
              </w:rPr>
              <w:t>Marker of demand/practice issues</w:t>
            </w:r>
          </w:p>
        </w:tc>
        <w:tc>
          <w:tcPr>
            <w:tcW w:w="519" w:type="dxa"/>
            <w:tcBorders>
              <w:top w:val="nil"/>
              <w:left w:val="nil"/>
              <w:bottom w:val="single" w:sz="4" w:space="0" w:color="auto"/>
              <w:right w:val="single" w:sz="4" w:space="0" w:color="auto"/>
            </w:tcBorders>
            <w:shd w:val="clear" w:color="000000" w:fill="F2DCDB"/>
            <w:hideMark/>
          </w:tcPr>
          <w:p w14:paraId="2241AD71"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Yes</w:t>
            </w:r>
          </w:p>
        </w:tc>
        <w:tc>
          <w:tcPr>
            <w:tcW w:w="1765" w:type="dxa"/>
            <w:tcBorders>
              <w:top w:val="nil"/>
              <w:left w:val="nil"/>
              <w:bottom w:val="single" w:sz="4" w:space="0" w:color="auto"/>
              <w:right w:val="single" w:sz="4" w:space="0" w:color="auto"/>
            </w:tcBorders>
            <w:shd w:val="clear" w:color="000000" w:fill="F2DCDB"/>
            <w:hideMark/>
          </w:tcPr>
          <w:p w14:paraId="4CA7851E"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No</w:t>
            </w:r>
          </w:p>
        </w:tc>
        <w:tc>
          <w:tcPr>
            <w:tcW w:w="2824" w:type="dxa"/>
            <w:tcBorders>
              <w:top w:val="nil"/>
              <w:left w:val="nil"/>
              <w:bottom w:val="single" w:sz="4" w:space="0" w:color="auto"/>
              <w:right w:val="single" w:sz="4" w:space="0" w:color="auto"/>
            </w:tcBorders>
            <w:shd w:val="clear" w:color="auto" w:fill="auto"/>
            <w:vAlign w:val="bottom"/>
            <w:hideMark/>
          </w:tcPr>
          <w:p w14:paraId="51AAAB29"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Details not required</w:t>
            </w:r>
          </w:p>
        </w:tc>
      </w:tr>
      <w:tr w:rsidR="00472858" w:rsidRPr="00BB662E" w14:paraId="04D1E1D2" w14:textId="77777777" w:rsidTr="00472858">
        <w:trPr>
          <w:trHeight w:val="375"/>
        </w:trPr>
        <w:tc>
          <w:tcPr>
            <w:tcW w:w="607" w:type="dxa"/>
            <w:tcBorders>
              <w:top w:val="nil"/>
              <w:left w:val="single" w:sz="4" w:space="0" w:color="auto"/>
              <w:bottom w:val="single" w:sz="4" w:space="0" w:color="auto"/>
              <w:right w:val="single" w:sz="4" w:space="0" w:color="auto"/>
            </w:tcBorders>
            <w:shd w:val="clear" w:color="auto" w:fill="auto"/>
            <w:noWrap/>
            <w:hideMark/>
          </w:tcPr>
          <w:p w14:paraId="78613730"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24b</w:t>
            </w:r>
          </w:p>
        </w:tc>
        <w:tc>
          <w:tcPr>
            <w:tcW w:w="6342" w:type="dxa"/>
            <w:tcBorders>
              <w:top w:val="nil"/>
              <w:left w:val="nil"/>
              <w:bottom w:val="single" w:sz="4" w:space="0" w:color="auto"/>
              <w:right w:val="single" w:sz="4" w:space="0" w:color="auto"/>
            </w:tcBorders>
            <w:shd w:val="clear" w:color="000000" w:fill="D9D9D9"/>
            <w:hideMark/>
          </w:tcPr>
          <w:p w14:paraId="448F2825"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xml:space="preserve">If yes, was this granted?  </w:t>
            </w:r>
          </w:p>
        </w:tc>
        <w:tc>
          <w:tcPr>
            <w:tcW w:w="2915" w:type="dxa"/>
            <w:tcBorders>
              <w:top w:val="nil"/>
              <w:left w:val="nil"/>
              <w:bottom w:val="single" w:sz="4" w:space="0" w:color="auto"/>
              <w:right w:val="single" w:sz="4" w:space="0" w:color="auto"/>
            </w:tcBorders>
            <w:shd w:val="clear" w:color="auto" w:fill="auto"/>
            <w:vAlign w:val="bottom"/>
            <w:hideMark/>
          </w:tcPr>
          <w:p w14:paraId="4303E916"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w:t>
            </w:r>
          </w:p>
        </w:tc>
        <w:tc>
          <w:tcPr>
            <w:tcW w:w="519" w:type="dxa"/>
            <w:tcBorders>
              <w:top w:val="nil"/>
              <w:left w:val="nil"/>
              <w:bottom w:val="single" w:sz="4" w:space="0" w:color="auto"/>
              <w:right w:val="single" w:sz="4" w:space="0" w:color="auto"/>
            </w:tcBorders>
            <w:shd w:val="clear" w:color="000000" w:fill="F2DCDB"/>
            <w:hideMark/>
          </w:tcPr>
          <w:p w14:paraId="0811BC13"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Yes</w:t>
            </w:r>
          </w:p>
        </w:tc>
        <w:tc>
          <w:tcPr>
            <w:tcW w:w="1765" w:type="dxa"/>
            <w:tcBorders>
              <w:top w:val="nil"/>
              <w:left w:val="nil"/>
              <w:bottom w:val="single" w:sz="4" w:space="0" w:color="auto"/>
              <w:right w:val="single" w:sz="4" w:space="0" w:color="auto"/>
            </w:tcBorders>
            <w:shd w:val="clear" w:color="000000" w:fill="F2DCDB"/>
            <w:hideMark/>
          </w:tcPr>
          <w:p w14:paraId="2B68D888"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No</w:t>
            </w:r>
          </w:p>
        </w:tc>
        <w:tc>
          <w:tcPr>
            <w:tcW w:w="2824" w:type="dxa"/>
            <w:tcBorders>
              <w:top w:val="nil"/>
              <w:left w:val="nil"/>
              <w:bottom w:val="single" w:sz="4" w:space="0" w:color="auto"/>
              <w:right w:val="single" w:sz="4" w:space="0" w:color="auto"/>
            </w:tcBorders>
            <w:shd w:val="clear" w:color="auto" w:fill="auto"/>
            <w:vAlign w:val="center"/>
            <w:hideMark/>
          </w:tcPr>
          <w:p w14:paraId="704792A6"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 </w:t>
            </w:r>
          </w:p>
        </w:tc>
      </w:tr>
      <w:tr w:rsidR="00472858" w:rsidRPr="00BB662E" w14:paraId="61D6BC5D" w14:textId="77777777" w:rsidTr="00472858">
        <w:trPr>
          <w:trHeight w:val="600"/>
        </w:trPr>
        <w:tc>
          <w:tcPr>
            <w:tcW w:w="607" w:type="dxa"/>
            <w:tcBorders>
              <w:top w:val="nil"/>
              <w:left w:val="single" w:sz="4" w:space="0" w:color="auto"/>
              <w:bottom w:val="single" w:sz="4" w:space="0" w:color="auto"/>
              <w:right w:val="single" w:sz="4" w:space="0" w:color="auto"/>
            </w:tcBorders>
            <w:shd w:val="clear" w:color="auto" w:fill="auto"/>
            <w:noWrap/>
            <w:hideMark/>
          </w:tcPr>
          <w:p w14:paraId="02D0DDFB"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24c</w:t>
            </w:r>
          </w:p>
        </w:tc>
        <w:tc>
          <w:tcPr>
            <w:tcW w:w="6342" w:type="dxa"/>
            <w:tcBorders>
              <w:top w:val="nil"/>
              <w:left w:val="nil"/>
              <w:bottom w:val="single" w:sz="4" w:space="0" w:color="auto"/>
              <w:right w:val="single" w:sz="4" w:space="0" w:color="auto"/>
            </w:tcBorders>
            <w:shd w:val="clear" w:color="000000" w:fill="D9D9D9"/>
            <w:hideMark/>
          </w:tcPr>
          <w:p w14:paraId="21E08B80"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If application was approved how long was the list closed in total?</w:t>
            </w:r>
          </w:p>
        </w:tc>
        <w:tc>
          <w:tcPr>
            <w:tcW w:w="2915" w:type="dxa"/>
            <w:tcBorders>
              <w:top w:val="nil"/>
              <w:left w:val="nil"/>
              <w:bottom w:val="single" w:sz="4" w:space="0" w:color="auto"/>
              <w:right w:val="single" w:sz="4" w:space="0" w:color="auto"/>
            </w:tcBorders>
            <w:shd w:val="clear" w:color="auto" w:fill="auto"/>
            <w:vAlign w:val="bottom"/>
            <w:hideMark/>
          </w:tcPr>
          <w:p w14:paraId="3E547283"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w:t>
            </w:r>
          </w:p>
        </w:tc>
        <w:tc>
          <w:tcPr>
            <w:tcW w:w="2284" w:type="dxa"/>
            <w:gridSpan w:val="2"/>
            <w:tcBorders>
              <w:top w:val="single" w:sz="4" w:space="0" w:color="auto"/>
              <w:left w:val="nil"/>
              <w:bottom w:val="single" w:sz="4" w:space="0" w:color="auto"/>
              <w:right w:val="single" w:sz="4" w:space="0" w:color="000000"/>
            </w:tcBorders>
            <w:shd w:val="clear" w:color="auto" w:fill="auto"/>
            <w:vAlign w:val="center"/>
            <w:hideMark/>
          </w:tcPr>
          <w:p w14:paraId="48B9E13C"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Please state</w:t>
            </w:r>
          </w:p>
        </w:tc>
        <w:tc>
          <w:tcPr>
            <w:tcW w:w="2824" w:type="dxa"/>
            <w:tcBorders>
              <w:top w:val="nil"/>
              <w:left w:val="nil"/>
              <w:bottom w:val="single" w:sz="4" w:space="0" w:color="auto"/>
              <w:right w:val="single" w:sz="4" w:space="0" w:color="auto"/>
            </w:tcBorders>
            <w:shd w:val="clear" w:color="000000" w:fill="F2DCDB"/>
            <w:vAlign w:val="bottom"/>
            <w:hideMark/>
          </w:tcPr>
          <w:p w14:paraId="1E0285E1"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3 months  /  6 months  /  9 months  /  12 months</w:t>
            </w:r>
          </w:p>
        </w:tc>
      </w:tr>
      <w:tr w:rsidR="00472858" w:rsidRPr="00BB662E" w14:paraId="2541F0C4" w14:textId="77777777" w:rsidTr="00472858">
        <w:trPr>
          <w:trHeight w:val="600"/>
        </w:trPr>
        <w:tc>
          <w:tcPr>
            <w:tcW w:w="607" w:type="dxa"/>
            <w:tcBorders>
              <w:top w:val="nil"/>
              <w:left w:val="single" w:sz="4" w:space="0" w:color="auto"/>
              <w:bottom w:val="single" w:sz="4" w:space="0" w:color="auto"/>
              <w:right w:val="single" w:sz="4" w:space="0" w:color="auto"/>
            </w:tcBorders>
            <w:shd w:val="clear" w:color="auto" w:fill="auto"/>
            <w:noWrap/>
            <w:hideMark/>
          </w:tcPr>
          <w:p w14:paraId="06051B66"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25</w:t>
            </w:r>
          </w:p>
        </w:tc>
        <w:tc>
          <w:tcPr>
            <w:tcW w:w="6342" w:type="dxa"/>
            <w:tcBorders>
              <w:top w:val="nil"/>
              <w:left w:val="nil"/>
              <w:bottom w:val="single" w:sz="4" w:space="0" w:color="auto"/>
              <w:right w:val="single" w:sz="4" w:space="0" w:color="auto"/>
            </w:tcBorders>
            <w:shd w:val="clear" w:color="000000" w:fill="D9D9D9"/>
            <w:hideMark/>
          </w:tcPr>
          <w:p w14:paraId="0CF8C2D8"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Number of practices within a 1-mile radius of practice</w:t>
            </w:r>
          </w:p>
        </w:tc>
        <w:tc>
          <w:tcPr>
            <w:tcW w:w="2915" w:type="dxa"/>
            <w:tcBorders>
              <w:top w:val="nil"/>
              <w:left w:val="nil"/>
              <w:bottom w:val="single" w:sz="4" w:space="0" w:color="auto"/>
              <w:right w:val="single" w:sz="4" w:space="0" w:color="auto"/>
            </w:tcBorders>
            <w:shd w:val="clear" w:color="000000" w:fill="F2DCDB"/>
            <w:vAlign w:val="bottom"/>
            <w:hideMark/>
          </w:tcPr>
          <w:p w14:paraId="3E578115"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insert number</w:t>
            </w:r>
          </w:p>
        </w:tc>
        <w:tc>
          <w:tcPr>
            <w:tcW w:w="519" w:type="dxa"/>
            <w:tcBorders>
              <w:top w:val="nil"/>
              <w:left w:val="nil"/>
              <w:bottom w:val="nil"/>
              <w:right w:val="nil"/>
            </w:tcBorders>
            <w:shd w:val="clear" w:color="auto" w:fill="auto"/>
            <w:vAlign w:val="center"/>
            <w:hideMark/>
          </w:tcPr>
          <w:p w14:paraId="3DFFC757" w14:textId="77777777" w:rsidR="00472858" w:rsidRPr="00BB662E" w:rsidRDefault="00472858" w:rsidP="00472858">
            <w:pPr>
              <w:spacing w:before="60" w:after="60"/>
              <w:rPr>
                <w:rFonts w:ascii="Calibri" w:hAnsi="Calibri"/>
                <w:color w:val="000000"/>
                <w:lang w:eastAsia="en-GB"/>
              </w:rPr>
            </w:pPr>
          </w:p>
        </w:tc>
        <w:tc>
          <w:tcPr>
            <w:tcW w:w="1765" w:type="dxa"/>
            <w:tcBorders>
              <w:top w:val="nil"/>
              <w:left w:val="nil"/>
              <w:bottom w:val="nil"/>
              <w:right w:val="nil"/>
            </w:tcBorders>
            <w:shd w:val="clear" w:color="auto" w:fill="auto"/>
            <w:vAlign w:val="center"/>
            <w:hideMark/>
          </w:tcPr>
          <w:p w14:paraId="188F1DBD" w14:textId="77777777" w:rsidR="00472858" w:rsidRPr="00BB662E" w:rsidRDefault="00472858" w:rsidP="00472858">
            <w:pPr>
              <w:spacing w:before="60" w:after="60"/>
              <w:rPr>
                <w:rFonts w:ascii="Calibri" w:hAnsi="Calibri"/>
                <w:color w:val="000000"/>
                <w:lang w:eastAsia="en-GB"/>
              </w:rPr>
            </w:pPr>
          </w:p>
        </w:tc>
        <w:tc>
          <w:tcPr>
            <w:tcW w:w="2824" w:type="dxa"/>
            <w:tcBorders>
              <w:top w:val="nil"/>
              <w:left w:val="nil"/>
              <w:bottom w:val="nil"/>
              <w:right w:val="nil"/>
            </w:tcBorders>
            <w:shd w:val="clear" w:color="auto" w:fill="auto"/>
            <w:noWrap/>
            <w:vAlign w:val="bottom"/>
            <w:hideMark/>
          </w:tcPr>
          <w:p w14:paraId="457499ED" w14:textId="77777777" w:rsidR="00472858" w:rsidRPr="00BB662E" w:rsidRDefault="00472858" w:rsidP="00472858">
            <w:pPr>
              <w:spacing w:before="60" w:after="60"/>
              <w:rPr>
                <w:rFonts w:ascii="Calibri" w:hAnsi="Calibri"/>
                <w:color w:val="000000"/>
                <w:lang w:eastAsia="en-GB"/>
              </w:rPr>
            </w:pPr>
          </w:p>
        </w:tc>
      </w:tr>
      <w:tr w:rsidR="00472858" w:rsidRPr="00BB662E" w14:paraId="298A9453" w14:textId="77777777" w:rsidTr="00472858">
        <w:trPr>
          <w:trHeight w:val="300"/>
        </w:trPr>
        <w:tc>
          <w:tcPr>
            <w:tcW w:w="607" w:type="dxa"/>
            <w:tcBorders>
              <w:top w:val="nil"/>
              <w:left w:val="nil"/>
              <w:bottom w:val="nil"/>
              <w:right w:val="nil"/>
            </w:tcBorders>
            <w:shd w:val="clear" w:color="auto" w:fill="auto"/>
            <w:noWrap/>
            <w:hideMark/>
          </w:tcPr>
          <w:p w14:paraId="6DBE569B" w14:textId="77777777" w:rsidR="00472858" w:rsidRPr="00BB662E" w:rsidRDefault="00472858" w:rsidP="00472858">
            <w:pPr>
              <w:spacing w:before="60" w:after="60"/>
              <w:jc w:val="center"/>
              <w:rPr>
                <w:rFonts w:ascii="Calibri" w:hAnsi="Calibri"/>
                <w:color w:val="000000"/>
                <w:lang w:eastAsia="en-GB"/>
              </w:rPr>
            </w:pPr>
          </w:p>
        </w:tc>
        <w:tc>
          <w:tcPr>
            <w:tcW w:w="6342" w:type="dxa"/>
            <w:tcBorders>
              <w:top w:val="nil"/>
              <w:left w:val="nil"/>
              <w:bottom w:val="nil"/>
              <w:right w:val="nil"/>
            </w:tcBorders>
            <w:shd w:val="clear" w:color="auto" w:fill="auto"/>
            <w:vAlign w:val="bottom"/>
            <w:hideMark/>
          </w:tcPr>
          <w:p w14:paraId="3A0D7C7C" w14:textId="77777777" w:rsidR="00472858" w:rsidRPr="00BB662E" w:rsidRDefault="00472858" w:rsidP="00472858">
            <w:pPr>
              <w:spacing w:before="60" w:after="60"/>
              <w:rPr>
                <w:rFonts w:ascii="Calibri" w:hAnsi="Calibri"/>
                <w:color w:val="000000"/>
                <w:lang w:eastAsia="en-GB"/>
              </w:rPr>
            </w:pPr>
          </w:p>
        </w:tc>
        <w:tc>
          <w:tcPr>
            <w:tcW w:w="2915" w:type="dxa"/>
            <w:tcBorders>
              <w:top w:val="nil"/>
              <w:left w:val="nil"/>
              <w:bottom w:val="nil"/>
              <w:right w:val="nil"/>
            </w:tcBorders>
            <w:shd w:val="clear" w:color="auto" w:fill="auto"/>
            <w:vAlign w:val="bottom"/>
            <w:hideMark/>
          </w:tcPr>
          <w:p w14:paraId="326D6469" w14:textId="77777777" w:rsidR="00472858" w:rsidRPr="00BB662E" w:rsidRDefault="00472858" w:rsidP="00472858">
            <w:pPr>
              <w:spacing w:before="60" w:after="60"/>
              <w:rPr>
                <w:rFonts w:ascii="Calibri" w:hAnsi="Calibri"/>
                <w:color w:val="000000"/>
                <w:lang w:eastAsia="en-GB"/>
              </w:rPr>
            </w:pPr>
          </w:p>
        </w:tc>
        <w:tc>
          <w:tcPr>
            <w:tcW w:w="519" w:type="dxa"/>
            <w:tcBorders>
              <w:top w:val="nil"/>
              <w:left w:val="nil"/>
              <w:bottom w:val="nil"/>
              <w:right w:val="nil"/>
            </w:tcBorders>
            <w:shd w:val="clear" w:color="auto" w:fill="auto"/>
            <w:vAlign w:val="bottom"/>
            <w:hideMark/>
          </w:tcPr>
          <w:p w14:paraId="29B1CEF0" w14:textId="77777777" w:rsidR="00472858" w:rsidRPr="00BB662E" w:rsidRDefault="00472858" w:rsidP="00472858">
            <w:pPr>
              <w:spacing w:before="60" w:after="60"/>
              <w:rPr>
                <w:rFonts w:ascii="Calibri" w:hAnsi="Calibri"/>
                <w:color w:val="000000"/>
                <w:lang w:eastAsia="en-GB"/>
              </w:rPr>
            </w:pPr>
          </w:p>
        </w:tc>
        <w:tc>
          <w:tcPr>
            <w:tcW w:w="1765" w:type="dxa"/>
            <w:tcBorders>
              <w:top w:val="nil"/>
              <w:left w:val="nil"/>
              <w:bottom w:val="nil"/>
              <w:right w:val="nil"/>
            </w:tcBorders>
            <w:shd w:val="clear" w:color="auto" w:fill="auto"/>
            <w:vAlign w:val="bottom"/>
            <w:hideMark/>
          </w:tcPr>
          <w:p w14:paraId="255C88E8" w14:textId="77777777" w:rsidR="00472858" w:rsidRPr="00BB662E" w:rsidRDefault="00472858" w:rsidP="00472858">
            <w:pPr>
              <w:spacing w:before="60" w:after="60"/>
              <w:rPr>
                <w:rFonts w:ascii="Calibri" w:hAnsi="Calibri"/>
                <w:color w:val="000000"/>
                <w:lang w:eastAsia="en-GB"/>
              </w:rPr>
            </w:pPr>
          </w:p>
        </w:tc>
        <w:tc>
          <w:tcPr>
            <w:tcW w:w="2824" w:type="dxa"/>
            <w:tcBorders>
              <w:top w:val="nil"/>
              <w:left w:val="nil"/>
              <w:bottom w:val="nil"/>
              <w:right w:val="nil"/>
            </w:tcBorders>
            <w:shd w:val="clear" w:color="auto" w:fill="auto"/>
            <w:noWrap/>
            <w:vAlign w:val="bottom"/>
            <w:hideMark/>
          </w:tcPr>
          <w:p w14:paraId="69FCFD34" w14:textId="77777777" w:rsidR="00472858" w:rsidRPr="00BB662E" w:rsidRDefault="00472858" w:rsidP="00472858">
            <w:pPr>
              <w:spacing w:before="60" w:after="60"/>
              <w:rPr>
                <w:rFonts w:ascii="Calibri" w:hAnsi="Calibri"/>
                <w:color w:val="000000"/>
                <w:lang w:eastAsia="en-GB"/>
              </w:rPr>
            </w:pPr>
          </w:p>
        </w:tc>
      </w:tr>
      <w:tr w:rsidR="00472858" w:rsidRPr="00BB662E" w14:paraId="1BF8AA19" w14:textId="77777777" w:rsidTr="00472858">
        <w:trPr>
          <w:trHeight w:val="375"/>
        </w:trPr>
        <w:tc>
          <w:tcPr>
            <w:tcW w:w="607" w:type="dxa"/>
            <w:tcBorders>
              <w:top w:val="nil"/>
              <w:left w:val="nil"/>
              <w:bottom w:val="nil"/>
              <w:right w:val="nil"/>
            </w:tcBorders>
            <w:shd w:val="clear" w:color="000000" w:fill="00B0F0"/>
            <w:noWrap/>
            <w:hideMark/>
          </w:tcPr>
          <w:p w14:paraId="4469053A"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 </w:t>
            </w:r>
          </w:p>
        </w:tc>
        <w:tc>
          <w:tcPr>
            <w:tcW w:w="14365" w:type="dxa"/>
            <w:gridSpan w:val="5"/>
            <w:tcBorders>
              <w:top w:val="nil"/>
              <w:left w:val="nil"/>
              <w:bottom w:val="nil"/>
              <w:right w:val="nil"/>
            </w:tcBorders>
            <w:shd w:val="clear" w:color="000000" w:fill="00B0F0"/>
            <w:vAlign w:val="bottom"/>
            <w:hideMark/>
          </w:tcPr>
          <w:p w14:paraId="0BFA4A14" w14:textId="77777777" w:rsidR="00472858" w:rsidRPr="00BB662E" w:rsidRDefault="00472858" w:rsidP="00472858">
            <w:pPr>
              <w:spacing w:before="60" w:after="60"/>
              <w:jc w:val="center"/>
              <w:rPr>
                <w:rFonts w:ascii="Calibri" w:hAnsi="Calibri"/>
                <w:b/>
                <w:bCs w:val="0"/>
                <w:color w:val="000000"/>
                <w:sz w:val="28"/>
                <w:szCs w:val="28"/>
                <w:lang w:eastAsia="en-GB"/>
              </w:rPr>
            </w:pPr>
            <w:r w:rsidRPr="00BB662E">
              <w:rPr>
                <w:rFonts w:ascii="Calibri" w:hAnsi="Calibri"/>
                <w:b/>
                <w:color w:val="000000"/>
                <w:sz w:val="28"/>
                <w:szCs w:val="28"/>
                <w:lang w:eastAsia="en-GB"/>
              </w:rPr>
              <w:t>To be completed by Commissioner - NHS England</w:t>
            </w:r>
          </w:p>
        </w:tc>
      </w:tr>
      <w:tr w:rsidR="00472858" w:rsidRPr="00BB662E" w14:paraId="38AE8614" w14:textId="77777777" w:rsidTr="00472858">
        <w:trPr>
          <w:trHeight w:val="315"/>
        </w:trPr>
        <w:tc>
          <w:tcPr>
            <w:tcW w:w="607" w:type="dxa"/>
            <w:tcBorders>
              <w:top w:val="single" w:sz="4" w:space="0" w:color="auto"/>
              <w:left w:val="single" w:sz="4" w:space="0" w:color="auto"/>
              <w:bottom w:val="single" w:sz="4" w:space="0" w:color="auto"/>
              <w:right w:val="single" w:sz="4" w:space="0" w:color="auto"/>
            </w:tcBorders>
            <w:shd w:val="clear" w:color="000000" w:fill="BFBFBF"/>
            <w:noWrap/>
            <w:hideMark/>
          </w:tcPr>
          <w:p w14:paraId="2DA249D7" w14:textId="77777777" w:rsidR="00472858" w:rsidRPr="00BB662E" w:rsidRDefault="00472858" w:rsidP="00472858">
            <w:pPr>
              <w:spacing w:before="60" w:after="60"/>
              <w:jc w:val="center"/>
              <w:rPr>
                <w:rFonts w:ascii="Calibri" w:hAnsi="Calibri"/>
                <w:b/>
                <w:bCs w:val="0"/>
                <w:color w:val="000000"/>
                <w:szCs w:val="24"/>
                <w:lang w:eastAsia="en-GB"/>
              </w:rPr>
            </w:pPr>
            <w:r w:rsidRPr="00BB662E">
              <w:rPr>
                <w:rFonts w:ascii="Calibri" w:hAnsi="Calibri"/>
                <w:b/>
                <w:color w:val="000000"/>
                <w:szCs w:val="24"/>
                <w:lang w:eastAsia="en-GB"/>
              </w:rPr>
              <w:t> </w:t>
            </w:r>
          </w:p>
        </w:tc>
        <w:tc>
          <w:tcPr>
            <w:tcW w:w="6342" w:type="dxa"/>
            <w:tcBorders>
              <w:top w:val="single" w:sz="4" w:space="0" w:color="auto"/>
              <w:left w:val="nil"/>
              <w:bottom w:val="single" w:sz="4" w:space="0" w:color="auto"/>
              <w:right w:val="single" w:sz="4" w:space="0" w:color="auto"/>
            </w:tcBorders>
            <w:shd w:val="clear" w:color="000000" w:fill="BFBFBF"/>
            <w:hideMark/>
          </w:tcPr>
          <w:p w14:paraId="45F77EE4"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Local Context Information</w:t>
            </w:r>
          </w:p>
        </w:tc>
        <w:tc>
          <w:tcPr>
            <w:tcW w:w="2915" w:type="dxa"/>
            <w:tcBorders>
              <w:top w:val="single" w:sz="4" w:space="0" w:color="auto"/>
              <w:left w:val="nil"/>
              <w:bottom w:val="single" w:sz="4" w:space="0" w:color="auto"/>
              <w:right w:val="single" w:sz="4" w:space="0" w:color="auto"/>
            </w:tcBorders>
            <w:shd w:val="clear" w:color="000000" w:fill="BFBFBF"/>
            <w:vAlign w:val="bottom"/>
            <w:hideMark/>
          </w:tcPr>
          <w:p w14:paraId="42CBDD1A"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NHS England complete</w:t>
            </w:r>
          </w:p>
        </w:tc>
        <w:tc>
          <w:tcPr>
            <w:tcW w:w="519" w:type="dxa"/>
            <w:tcBorders>
              <w:top w:val="single" w:sz="4" w:space="0" w:color="auto"/>
              <w:left w:val="nil"/>
              <w:bottom w:val="single" w:sz="4" w:space="0" w:color="auto"/>
              <w:right w:val="single" w:sz="4" w:space="0" w:color="auto"/>
            </w:tcBorders>
            <w:shd w:val="clear" w:color="000000" w:fill="BFBFBF"/>
            <w:vAlign w:val="bottom"/>
            <w:hideMark/>
          </w:tcPr>
          <w:p w14:paraId="21EDF3FB" w14:textId="77777777" w:rsidR="00472858" w:rsidRPr="00BB662E" w:rsidRDefault="00472858" w:rsidP="00472858">
            <w:pPr>
              <w:spacing w:before="60" w:after="60"/>
              <w:jc w:val="center"/>
              <w:rPr>
                <w:rFonts w:ascii="Calibri" w:hAnsi="Calibri"/>
                <w:b/>
                <w:bCs w:val="0"/>
                <w:color w:val="000000"/>
                <w:lang w:eastAsia="en-GB"/>
              </w:rPr>
            </w:pPr>
            <w:r w:rsidRPr="00BB662E">
              <w:rPr>
                <w:rFonts w:ascii="Calibri" w:hAnsi="Calibri"/>
                <w:b/>
                <w:color w:val="000000"/>
                <w:lang w:eastAsia="en-GB"/>
              </w:rPr>
              <w:t> </w:t>
            </w:r>
          </w:p>
        </w:tc>
        <w:tc>
          <w:tcPr>
            <w:tcW w:w="1765" w:type="dxa"/>
            <w:tcBorders>
              <w:top w:val="single" w:sz="4" w:space="0" w:color="auto"/>
              <w:left w:val="nil"/>
              <w:bottom w:val="single" w:sz="4" w:space="0" w:color="auto"/>
              <w:right w:val="single" w:sz="4" w:space="0" w:color="auto"/>
            </w:tcBorders>
            <w:shd w:val="clear" w:color="000000" w:fill="BFBFBF"/>
            <w:vAlign w:val="bottom"/>
            <w:hideMark/>
          </w:tcPr>
          <w:p w14:paraId="40B5AD3D" w14:textId="77777777" w:rsidR="00472858" w:rsidRPr="00BB662E" w:rsidRDefault="00472858" w:rsidP="00472858">
            <w:pPr>
              <w:spacing w:before="60" w:after="60"/>
              <w:jc w:val="center"/>
              <w:rPr>
                <w:rFonts w:ascii="Calibri" w:hAnsi="Calibri"/>
                <w:b/>
                <w:bCs w:val="0"/>
                <w:color w:val="000000"/>
                <w:lang w:eastAsia="en-GB"/>
              </w:rPr>
            </w:pPr>
            <w:r w:rsidRPr="00BB662E">
              <w:rPr>
                <w:rFonts w:ascii="Calibri" w:hAnsi="Calibri"/>
                <w:b/>
                <w:color w:val="000000"/>
                <w:lang w:eastAsia="en-GB"/>
              </w:rPr>
              <w:t> </w:t>
            </w:r>
          </w:p>
        </w:tc>
        <w:tc>
          <w:tcPr>
            <w:tcW w:w="2824" w:type="dxa"/>
            <w:tcBorders>
              <w:top w:val="single" w:sz="4" w:space="0" w:color="auto"/>
              <w:left w:val="nil"/>
              <w:bottom w:val="single" w:sz="4" w:space="0" w:color="auto"/>
              <w:right w:val="single" w:sz="4" w:space="0" w:color="auto"/>
            </w:tcBorders>
            <w:shd w:val="clear" w:color="000000" w:fill="BFBFBF"/>
            <w:vAlign w:val="bottom"/>
            <w:hideMark/>
          </w:tcPr>
          <w:p w14:paraId="14C3DAD3"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NHS England complete</w:t>
            </w:r>
          </w:p>
        </w:tc>
      </w:tr>
      <w:tr w:rsidR="00472858" w:rsidRPr="00BB662E" w14:paraId="541EC31D" w14:textId="77777777" w:rsidTr="00472858">
        <w:trPr>
          <w:trHeight w:val="315"/>
        </w:trPr>
        <w:tc>
          <w:tcPr>
            <w:tcW w:w="607" w:type="dxa"/>
            <w:tcBorders>
              <w:top w:val="nil"/>
              <w:left w:val="single" w:sz="4" w:space="0" w:color="auto"/>
              <w:bottom w:val="single" w:sz="4" w:space="0" w:color="auto"/>
              <w:right w:val="single" w:sz="4" w:space="0" w:color="auto"/>
            </w:tcBorders>
            <w:shd w:val="clear" w:color="auto" w:fill="auto"/>
            <w:noWrap/>
            <w:hideMark/>
          </w:tcPr>
          <w:p w14:paraId="1A5A744D"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26</w:t>
            </w:r>
          </w:p>
        </w:tc>
        <w:tc>
          <w:tcPr>
            <w:tcW w:w="6342" w:type="dxa"/>
            <w:tcBorders>
              <w:top w:val="nil"/>
              <w:left w:val="nil"/>
              <w:bottom w:val="single" w:sz="4" w:space="0" w:color="auto"/>
              <w:right w:val="single" w:sz="4" w:space="0" w:color="auto"/>
            </w:tcBorders>
            <w:shd w:val="clear" w:color="auto" w:fill="auto"/>
            <w:hideMark/>
          </w:tcPr>
          <w:p w14:paraId="1B2C68F2" w14:textId="77777777" w:rsidR="00472858" w:rsidRPr="00BB662E" w:rsidRDefault="00472858" w:rsidP="00472858">
            <w:pPr>
              <w:spacing w:before="60" w:after="60"/>
              <w:rPr>
                <w:rFonts w:ascii="Calibri" w:hAnsi="Calibri"/>
                <w:color w:val="000000"/>
                <w:szCs w:val="24"/>
                <w:lang w:eastAsia="en-GB"/>
              </w:rPr>
            </w:pPr>
            <w:r w:rsidRPr="00BB662E">
              <w:rPr>
                <w:rFonts w:ascii="Calibri" w:hAnsi="Calibri"/>
                <w:color w:val="000000"/>
                <w:szCs w:val="24"/>
                <w:lang w:eastAsia="en-GB"/>
              </w:rPr>
              <w:t>Any previous S96 support received?</w:t>
            </w:r>
          </w:p>
        </w:tc>
        <w:tc>
          <w:tcPr>
            <w:tcW w:w="2915" w:type="dxa"/>
            <w:tcBorders>
              <w:top w:val="nil"/>
              <w:left w:val="nil"/>
              <w:bottom w:val="single" w:sz="4" w:space="0" w:color="auto"/>
              <w:right w:val="single" w:sz="4" w:space="0" w:color="auto"/>
            </w:tcBorders>
            <w:shd w:val="clear" w:color="auto" w:fill="auto"/>
            <w:vAlign w:val="bottom"/>
            <w:hideMark/>
          </w:tcPr>
          <w:p w14:paraId="11C2BD85"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 </w:t>
            </w:r>
          </w:p>
        </w:tc>
        <w:tc>
          <w:tcPr>
            <w:tcW w:w="519" w:type="dxa"/>
            <w:tcBorders>
              <w:top w:val="nil"/>
              <w:left w:val="nil"/>
              <w:bottom w:val="single" w:sz="4" w:space="0" w:color="auto"/>
              <w:right w:val="single" w:sz="4" w:space="0" w:color="auto"/>
            </w:tcBorders>
            <w:shd w:val="clear" w:color="000000" w:fill="F2DCDB"/>
            <w:hideMark/>
          </w:tcPr>
          <w:p w14:paraId="76ED543B"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Yes</w:t>
            </w:r>
          </w:p>
        </w:tc>
        <w:tc>
          <w:tcPr>
            <w:tcW w:w="1765" w:type="dxa"/>
            <w:tcBorders>
              <w:top w:val="nil"/>
              <w:left w:val="nil"/>
              <w:bottom w:val="single" w:sz="4" w:space="0" w:color="auto"/>
              <w:right w:val="single" w:sz="4" w:space="0" w:color="auto"/>
            </w:tcBorders>
            <w:shd w:val="clear" w:color="000000" w:fill="F2DCDB"/>
            <w:hideMark/>
          </w:tcPr>
          <w:p w14:paraId="09C54F20"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No</w:t>
            </w:r>
          </w:p>
        </w:tc>
        <w:tc>
          <w:tcPr>
            <w:tcW w:w="2824" w:type="dxa"/>
            <w:tcBorders>
              <w:top w:val="nil"/>
              <w:left w:val="nil"/>
              <w:bottom w:val="single" w:sz="4" w:space="0" w:color="auto"/>
              <w:right w:val="single" w:sz="4" w:space="0" w:color="auto"/>
            </w:tcBorders>
            <w:shd w:val="clear" w:color="000000" w:fill="F2DCDB"/>
            <w:vAlign w:val="bottom"/>
            <w:hideMark/>
          </w:tcPr>
          <w:p w14:paraId="7179437B"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Detail..</w:t>
            </w:r>
          </w:p>
        </w:tc>
      </w:tr>
      <w:tr w:rsidR="00472858" w:rsidRPr="00BB662E" w14:paraId="32C377E0" w14:textId="77777777" w:rsidTr="00472858">
        <w:trPr>
          <w:trHeight w:val="315"/>
        </w:trPr>
        <w:tc>
          <w:tcPr>
            <w:tcW w:w="607" w:type="dxa"/>
            <w:tcBorders>
              <w:top w:val="nil"/>
              <w:left w:val="single" w:sz="4" w:space="0" w:color="auto"/>
              <w:bottom w:val="single" w:sz="4" w:space="0" w:color="auto"/>
              <w:right w:val="single" w:sz="4" w:space="0" w:color="auto"/>
            </w:tcBorders>
            <w:shd w:val="clear" w:color="auto" w:fill="auto"/>
            <w:noWrap/>
            <w:hideMark/>
          </w:tcPr>
          <w:p w14:paraId="3B300BEC"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27</w:t>
            </w:r>
          </w:p>
        </w:tc>
        <w:tc>
          <w:tcPr>
            <w:tcW w:w="6342" w:type="dxa"/>
            <w:tcBorders>
              <w:top w:val="nil"/>
              <w:left w:val="nil"/>
              <w:bottom w:val="single" w:sz="4" w:space="0" w:color="auto"/>
              <w:right w:val="single" w:sz="4" w:space="0" w:color="auto"/>
            </w:tcBorders>
            <w:shd w:val="clear" w:color="auto" w:fill="auto"/>
            <w:hideMark/>
          </w:tcPr>
          <w:p w14:paraId="3D463526" w14:textId="77777777" w:rsidR="00472858" w:rsidRPr="00BB662E" w:rsidRDefault="00472858" w:rsidP="00472858">
            <w:pPr>
              <w:spacing w:before="60" w:after="60"/>
              <w:rPr>
                <w:rFonts w:ascii="Calibri" w:hAnsi="Calibri"/>
                <w:color w:val="000000"/>
                <w:szCs w:val="24"/>
                <w:lang w:eastAsia="en-GB"/>
              </w:rPr>
            </w:pPr>
            <w:r w:rsidRPr="00BB662E">
              <w:rPr>
                <w:rFonts w:ascii="Calibri" w:hAnsi="Calibri"/>
                <w:color w:val="000000"/>
                <w:szCs w:val="24"/>
                <w:lang w:eastAsia="en-GB"/>
              </w:rPr>
              <w:t>Any GP Resilience funding received?</w:t>
            </w:r>
          </w:p>
        </w:tc>
        <w:tc>
          <w:tcPr>
            <w:tcW w:w="2915" w:type="dxa"/>
            <w:tcBorders>
              <w:top w:val="nil"/>
              <w:left w:val="nil"/>
              <w:bottom w:val="single" w:sz="4" w:space="0" w:color="auto"/>
              <w:right w:val="single" w:sz="4" w:space="0" w:color="auto"/>
            </w:tcBorders>
            <w:shd w:val="clear" w:color="auto" w:fill="auto"/>
            <w:vAlign w:val="bottom"/>
            <w:hideMark/>
          </w:tcPr>
          <w:p w14:paraId="4971D988"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 </w:t>
            </w:r>
          </w:p>
        </w:tc>
        <w:tc>
          <w:tcPr>
            <w:tcW w:w="519" w:type="dxa"/>
            <w:tcBorders>
              <w:top w:val="nil"/>
              <w:left w:val="nil"/>
              <w:bottom w:val="single" w:sz="4" w:space="0" w:color="auto"/>
              <w:right w:val="single" w:sz="4" w:space="0" w:color="auto"/>
            </w:tcBorders>
            <w:shd w:val="clear" w:color="000000" w:fill="F2DCDB"/>
            <w:hideMark/>
          </w:tcPr>
          <w:p w14:paraId="2FB3115F"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Yes</w:t>
            </w:r>
          </w:p>
        </w:tc>
        <w:tc>
          <w:tcPr>
            <w:tcW w:w="1765" w:type="dxa"/>
            <w:tcBorders>
              <w:top w:val="nil"/>
              <w:left w:val="nil"/>
              <w:bottom w:val="single" w:sz="4" w:space="0" w:color="auto"/>
              <w:right w:val="single" w:sz="4" w:space="0" w:color="auto"/>
            </w:tcBorders>
            <w:shd w:val="clear" w:color="000000" w:fill="F2DCDB"/>
            <w:hideMark/>
          </w:tcPr>
          <w:p w14:paraId="03AE309F"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No</w:t>
            </w:r>
          </w:p>
        </w:tc>
        <w:tc>
          <w:tcPr>
            <w:tcW w:w="2824" w:type="dxa"/>
            <w:tcBorders>
              <w:top w:val="nil"/>
              <w:left w:val="nil"/>
              <w:bottom w:val="single" w:sz="4" w:space="0" w:color="auto"/>
              <w:right w:val="single" w:sz="4" w:space="0" w:color="auto"/>
            </w:tcBorders>
            <w:shd w:val="clear" w:color="000000" w:fill="F2DCDB"/>
            <w:vAlign w:val="bottom"/>
            <w:hideMark/>
          </w:tcPr>
          <w:p w14:paraId="4C8C05B3"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Detail..</w:t>
            </w:r>
          </w:p>
        </w:tc>
      </w:tr>
      <w:tr w:rsidR="00472858" w:rsidRPr="00BB662E" w14:paraId="5FEAF8C4" w14:textId="77777777" w:rsidTr="00472858">
        <w:trPr>
          <w:trHeight w:val="1185"/>
        </w:trPr>
        <w:tc>
          <w:tcPr>
            <w:tcW w:w="607" w:type="dxa"/>
            <w:tcBorders>
              <w:top w:val="nil"/>
              <w:left w:val="single" w:sz="4" w:space="0" w:color="auto"/>
              <w:bottom w:val="single" w:sz="4" w:space="0" w:color="auto"/>
              <w:right w:val="single" w:sz="4" w:space="0" w:color="auto"/>
            </w:tcBorders>
            <w:shd w:val="clear" w:color="auto" w:fill="auto"/>
            <w:noWrap/>
            <w:hideMark/>
          </w:tcPr>
          <w:p w14:paraId="0FDA89AB"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28</w:t>
            </w:r>
          </w:p>
        </w:tc>
        <w:tc>
          <w:tcPr>
            <w:tcW w:w="6342" w:type="dxa"/>
            <w:tcBorders>
              <w:top w:val="nil"/>
              <w:left w:val="nil"/>
              <w:bottom w:val="single" w:sz="4" w:space="0" w:color="auto"/>
              <w:right w:val="single" w:sz="4" w:space="0" w:color="auto"/>
            </w:tcBorders>
            <w:shd w:val="clear" w:color="auto" w:fill="auto"/>
            <w:hideMark/>
          </w:tcPr>
          <w:p w14:paraId="4DE02EED"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Overview of deprivation - IMD Score?</w:t>
            </w:r>
          </w:p>
        </w:tc>
        <w:tc>
          <w:tcPr>
            <w:tcW w:w="2915" w:type="dxa"/>
            <w:tcBorders>
              <w:top w:val="nil"/>
              <w:left w:val="nil"/>
              <w:bottom w:val="single" w:sz="4" w:space="0" w:color="auto"/>
              <w:right w:val="single" w:sz="4" w:space="0" w:color="auto"/>
            </w:tcBorders>
            <w:shd w:val="clear" w:color="auto" w:fill="auto"/>
            <w:vAlign w:val="center"/>
            <w:hideMark/>
          </w:tcPr>
          <w:p w14:paraId="2C7510B7"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IMD is a marker of deprivation with consequential impact on workload</w:t>
            </w:r>
          </w:p>
        </w:tc>
        <w:tc>
          <w:tcPr>
            <w:tcW w:w="519" w:type="dxa"/>
            <w:tcBorders>
              <w:top w:val="nil"/>
              <w:left w:val="nil"/>
              <w:bottom w:val="single" w:sz="4" w:space="0" w:color="auto"/>
              <w:right w:val="single" w:sz="4" w:space="0" w:color="auto"/>
            </w:tcBorders>
            <w:shd w:val="clear" w:color="auto" w:fill="auto"/>
            <w:vAlign w:val="center"/>
            <w:hideMark/>
          </w:tcPr>
          <w:p w14:paraId="220F156C"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w:t>
            </w:r>
          </w:p>
        </w:tc>
        <w:tc>
          <w:tcPr>
            <w:tcW w:w="1765" w:type="dxa"/>
            <w:tcBorders>
              <w:top w:val="nil"/>
              <w:left w:val="nil"/>
              <w:bottom w:val="single" w:sz="4" w:space="0" w:color="auto"/>
              <w:right w:val="single" w:sz="4" w:space="0" w:color="auto"/>
            </w:tcBorders>
            <w:shd w:val="clear" w:color="auto" w:fill="auto"/>
            <w:vAlign w:val="center"/>
            <w:hideMark/>
          </w:tcPr>
          <w:p w14:paraId="37B59B03"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w:t>
            </w:r>
          </w:p>
        </w:tc>
        <w:tc>
          <w:tcPr>
            <w:tcW w:w="2824" w:type="dxa"/>
            <w:tcBorders>
              <w:top w:val="nil"/>
              <w:left w:val="nil"/>
              <w:bottom w:val="single" w:sz="4" w:space="0" w:color="auto"/>
              <w:right w:val="single" w:sz="4" w:space="0" w:color="auto"/>
            </w:tcBorders>
            <w:shd w:val="clear" w:color="000000" w:fill="F2DCDB"/>
            <w:vAlign w:val="center"/>
            <w:hideMark/>
          </w:tcPr>
          <w:p w14:paraId="4D08A691"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Practice Area:</w:t>
            </w:r>
            <w:r w:rsidRPr="00BB662E">
              <w:rPr>
                <w:rFonts w:ascii="Calibri" w:hAnsi="Calibri"/>
                <w:color w:val="000000"/>
                <w:lang w:eastAsia="en-GB"/>
              </w:rPr>
              <w:br/>
              <w:t>CCG Area:</w:t>
            </w:r>
            <w:r w:rsidRPr="00BB662E">
              <w:rPr>
                <w:rFonts w:ascii="Calibri" w:hAnsi="Calibri"/>
                <w:color w:val="000000"/>
                <w:lang w:eastAsia="en-GB"/>
              </w:rPr>
              <w:br/>
              <w:t>County Average:</w:t>
            </w:r>
            <w:r w:rsidRPr="00BB662E">
              <w:rPr>
                <w:rFonts w:ascii="Calibri" w:hAnsi="Calibri"/>
                <w:color w:val="000000"/>
                <w:lang w:eastAsia="en-GB"/>
              </w:rPr>
              <w:br/>
              <w:t>England Average:</w:t>
            </w:r>
          </w:p>
        </w:tc>
      </w:tr>
      <w:tr w:rsidR="00472858" w:rsidRPr="00BB662E" w14:paraId="2F4B1C66" w14:textId="77777777" w:rsidTr="00472858">
        <w:trPr>
          <w:trHeight w:val="630"/>
        </w:trPr>
        <w:tc>
          <w:tcPr>
            <w:tcW w:w="607" w:type="dxa"/>
            <w:tcBorders>
              <w:top w:val="nil"/>
              <w:left w:val="single" w:sz="4" w:space="0" w:color="auto"/>
              <w:bottom w:val="single" w:sz="4" w:space="0" w:color="auto"/>
              <w:right w:val="single" w:sz="4" w:space="0" w:color="auto"/>
            </w:tcBorders>
            <w:shd w:val="clear" w:color="auto" w:fill="auto"/>
            <w:noWrap/>
            <w:hideMark/>
          </w:tcPr>
          <w:p w14:paraId="54566D37"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29</w:t>
            </w:r>
          </w:p>
        </w:tc>
        <w:tc>
          <w:tcPr>
            <w:tcW w:w="6342" w:type="dxa"/>
            <w:tcBorders>
              <w:top w:val="nil"/>
              <w:left w:val="nil"/>
              <w:bottom w:val="single" w:sz="4" w:space="0" w:color="auto"/>
              <w:right w:val="single" w:sz="4" w:space="0" w:color="auto"/>
            </w:tcBorders>
            <w:shd w:val="clear" w:color="auto" w:fill="auto"/>
            <w:hideMark/>
          </w:tcPr>
          <w:p w14:paraId="12A8B40B"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Outlying Areas on Primary Care Web Toolkit - fewer than 5 outliers on the GPHLI summary?</w:t>
            </w:r>
          </w:p>
        </w:tc>
        <w:tc>
          <w:tcPr>
            <w:tcW w:w="2915" w:type="dxa"/>
            <w:tcBorders>
              <w:top w:val="nil"/>
              <w:left w:val="nil"/>
              <w:bottom w:val="single" w:sz="4" w:space="0" w:color="auto"/>
              <w:right w:val="single" w:sz="4" w:space="0" w:color="auto"/>
            </w:tcBorders>
            <w:shd w:val="clear" w:color="auto" w:fill="auto"/>
            <w:vAlign w:val="bottom"/>
            <w:hideMark/>
          </w:tcPr>
          <w:p w14:paraId="6D0FD466"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Potential marker of poorer quality practice</w:t>
            </w:r>
          </w:p>
        </w:tc>
        <w:tc>
          <w:tcPr>
            <w:tcW w:w="519" w:type="dxa"/>
            <w:tcBorders>
              <w:top w:val="nil"/>
              <w:left w:val="nil"/>
              <w:bottom w:val="single" w:sz="4" w:space="0" w:color="auto"/>
              <w:right w:val="single" w:sz="4" w:space="0" w:color="auto"/>
            </w:tcBorders>
            <w:shd w:val="clear" w:color="000000" w:fill="F2DCDB"/>
            <w:hideMark/>
          </w:tcPr>
          <w:p w14:paraId="1354350F"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Yes</w:t>
            </w:r>
          </w:p>
        </w:tc>
        <w:tc>
          <w:tcPr>
            <w:tcW w:w="1765" w:type="dxa"/>
            <w:tcBorders>
              <w:top w:val="nil"/>
              <w:left w:val="nil"/>
              <w:bottom w:val="single" w:sz="4" w:space="0" w:color="auto"/>
              <w:right w:val="single" w:sz="4" w:space="0" w:color="auto"/>
            </w:tcBorders>
            <w:shd w:val="clear" w:color="000000" w:fill="F2DCDB"/>
            <w:hideMark/>
          </w:tcPr>
          <w:p w14:paraId="2084386C"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No</w:t>
            </w:r>
          </w:p>
        </w:tc>
        <w:tc>
          <w:tcPr>
            <w:tcW w:w="2824" w:type="dxa"/>
            <w:tcBorders>
              <w:top w:val="nil"/>
              <w:left w:val="nil"/>
              <w:bottom w:val="single" w:sz="4" w:space="0" w:color="auto"/>
              <w:right w:val="single" w:sz="4" w:space="0" w:color="auto"/>
            </w:tcBorders>
            <w:shd w:val="clear" w:color="auto" w:fill="auto"/>
            <w:vAlign w:val="bottom"/>
            <w:hideMark/>
          </w:tcPr>
          <w:p w14:paraId="0B755503"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w:t>
            </w:r>
          </w:p>
        </w:tc>
      </w:tr>
      <w:tr w:rsidR="00472858" w:rsidRPr="00BB662E" w14:paraId="6D970B29" w14:textId="77777777" w:rsidTr="00472858">
        <w:trPr>
          <w:trHeight w:val="600"/>
        </w:trPr>
        <w:tc>
          <w:tcPr>
            <w:tcW w:w="607" w:type="dxa"/>
            <w:tcBorders>
              <w:top w:val="nil"/>
              <w:left w:val="single" w:sz="4" w:space="0" w:color="auto"/>
              <w:bottom w:val="single" w:sz="4" w:space="0" w:color="auto"/>
              <w:right w:val="single" w:sz="4" w:space="0" w:color="auto"/>
            </w:tcBorders>
            <w:shd w:val="clear" w:color="auto" w:fill="auto"/>
            <w:noWrap/>
            <w:hideMark/>
          </w:tcPr>
          <w:p w14:paraId="6F8D3364"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30</w:t>
            </w:r>
          </w:p>
        </w:tc>
        <w:tc>
          <w:tcPr>
            <w:tcW w:w="6342" w:type="dxa"/>
            <w:tcBorders>
              <w:top w:val="nil"/>
              <w:left w:val="nil"/>
              <w:bottom w:val="single" w:sz="4" w:space="0" w:color="auto"/>
              <w:right w:val="single" w:sz="4" w:space="0" w:color="auto"/>
            </w:tcBorders>
            <w:shd w:val="clear" w:color="auto" w:fill="auto"/>
            <w:hideMark/>
          </w:tcPr>
          <w:p w14:paraId="16F98854"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Annual contractual 'e-declaration' - non-compliance issues?</w:t>
            </w:r>
          </w:p>
        </w:tc>
        <w:tc>
          <w:tcPr>
            <w:tcW w:w="2915" w:type="dxa"/>
            <w:tcBorders>
              <w:top w:val="nil"/>
              <w:left w:val="nil"/>
              <w:bottom w:val="single" w:sz="4" w:space="0" w:color="auto"/>
              <w:right w:val="single" w:sz="4" w:space="0" w:color="auto"/>
            </w:tcBorders>
            <w:shd w:val="clear" w:color="auto" w:fill="auto"/>
            <w:vAlign w:val="bottom"/>
            <w:hideMark/>
          </w:tcPr>
          <w:p w14:paraId="7DEFC1DF"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Potential marker of poorer quality practice</w:t>
            </w:r>
          </w:p>
        </w:tc>
        <w:tc>
          <w:tcPr>
            <w:tcW w:w="519" w:type="dxa"/>
            <w:tcBorders>
              <w:top w:val="nil"/>
              <w:left w:val="nil"/>
              <w:bottom w:val="single" w:sz="4" w:space="0" w:color="auto"/>
              <w:right w:val="single" w:sz="4" w:space="0" w:color="auto"/>
            </w:tcBorders>
            <w:shd w:val="clear" w:color="000000" w:fill="F2DCDB"/>
            <w:hideMark/>
          </w:tcPr>
          <w:p w14:paraId="71ED9387"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Yes</w:t>
            </w:r>
          </w:p>
        </w:tc>
        <w:tc>
          <w:tcPr>
            <w:tcW w:w="1765" w:type="dxa"/>
            <w:tcBorders>
              <w:top w:val="nil"/>
              <w:left w:val="nil"/>
              <w:bottom w:val="single" w:sz="4" w:space="0" w:color="auto"/>
              <w:right w:val="single" w:sz="4" w:space="0" w:color="auto"/>
            </w:tcBorders>
            <w:shd w:val="clear" w:color="000000" w:fill="F2DCDB"/>
            <w:hideMark/>
          </w:tcPr>
          <w:p w14:paraId="42418420"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No</w:t>
            </w:r>
          </w:p>
        </w:tc>
        <w:tc>
          <w:tcPr>
            <w:tcW w:w="2824" w:type="dxa"/>
            <w:tcBorders>
              <w:top w:val="nil"/>
              <w:left w:val="nil"/>
              <w:bottom w:val="single" w:sz="4" w:space="0" w:color="auto"/>
              <w:right w:val="single" w:sz="4" w:space="0" w:color="auto"/>
            </w:tcBorders>
            <w:shd w:val="clear" w:color="auto" w:fill="auto"/>
            <w:vAlign w:val="bottom"/>
            <w:hideMark/>
          </w:tcPr>
          <w:p w14:paraId="6676909F"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w:t>
            </w:r>
          </w:p>
        </w:tc>
      </w:tr>
      <w:tr w:rsidR="00472858" w:rsidRPr="00BB662E" w14:paraId="44837F53" w14:textId="77777777" w:rsidTr="00472858">
        <w:trPr>
          <w:trHeight w:val="720"/>
        </w:trPr>
        <w:tc>
          <w:tcPr>
            <w:tcW w:w="607" w:type="dxa"/>
            <w:tcBorders>
              <w:top w:val="nil"/>
              <w:left w:val="single" w:sz="4" w:space="0" w:color="auto"/>
              <w:bottom w:val="single" w:sz="4" w:space="0" w:color="auto"/>
              <w:right w:val="single" w:sz="4" w:space="0" w:color="auto"/>
            </w:tcBorders>
            <w:shd w:val="clear" w:color="auto" w:fill="auto"/>
            <w:noWrap/>
            <w:hideMark/>
          </w:tcPr>
          <w:p w14:paraId="56941735"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31</w:t>
            </w:r>
          </w:p>
        </w:tc>
        <w:tc>
          <w:tcPr>
            <w:tcW w:w="6342" w:type="dxa"/>
            <w:tcBorders>
              <w:top w:val="nil"/>
              <w:left w:val="nil"/>
              <w:bottom w:val="single" w:sz="4" w:space="0" w:color="auto"/>
              <w:right w:val="single" w:sz="4" w:space="0" w:color="auto"/>
            </w:tcBorders>
            <w:shd w:val="clear" w:color="auto" w:fill="auto"/>
            <w:hideMark/>
          </w:tcPr>
          <w:p w14:paraId="0A4B3B14"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Patient satisfaction survey - outlier areas?</w:t>
            </w:r>
          </w:p>
        </w:tc>
        <w:tc>
          <w:tcPr>
            <w:tcW w:w="2915" w:type="dxa"/>
            <w:tcBorders>
              <w:top w:val="nil"/>
              <w:left w:val="nil"/>
              <w:bottom w:val="single" w:sz="4" w:space="0" w:color="auto"/>
              <w:right w:val="single" w:sz="4" w:space="0" w:color="auto"/>
            </w:tcBorders>
            <w:shd w:val="clear" w:color="auto" w:fill="auto"/>
            <w:vAlign w:val="bottom"/>
            <w:hideMark/>
          </w:tcPr>
          <w:p w14:paraId="0326142F"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Potential marker of poorer quality practice</w:t>
            </w:r>
          </w:p>
        </w:tc>
        <w:tc>
          <w:tcPr>
            <w:tcW w:w="519" w:type="dxa"/>
            <w:tcBorders>
              <w:top w:val="nil"/>
              <w:left w:val="nil"/>
              <w:bottom w:val="single" w:sz="4" w:space="0" w:color="auto"/>
              <w:right w:val="single" w:sz="4" w:space="0" w:color="auto"/>
            </w:tcBorders>
            <w:shd w:val="clear" w:color="000000" w:fill="F2DCDB"/>
            <w:hideMark/>
          </w:tcPr>
          <w:p w14:paraId="66E0FF1A"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Yes</w:t>
            </w:r>
          </w:p>
        </w:tc>
        <w:tc>
          <w:tcPr>
            <w:tcW w:w="1765" w:type="dxa"/>
            <w:tcBorders>
              <w:top w:val="nil"/>
              <w:left w:val="nil"/>
              <w:bottom w:val="single" w:sz="4" w:space="0" w:color="auto"/>
              <w:right w:val="single" w:sz="4" w:space="0" w:color="auto"/>
            </w:tcBorders>
            <w:shd w:val="clear" w:color="000000" w:fill="F2DCDB"/>
            <w:hideMark/>
          </w:tcPr>
          <w:p w14:paraId="60A772D8"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No</w:t>
            </w:r>
          </w:p>
        </w:tc>
        <w:tc>
          <w:tcPr>
            <w:tcW w:w="2824" w:type="dxa"/>
            <w:tcBorders>
              <w:top w:val="nil"/>
              <w:left w:val="nil"/>
              <w:bottom w:val="single" w:sz="4" w:space="0" w:color="auto"/>
              <w:right w:val="single" w:sz="4" w:space="0" w:color="auto"/>
            </w:tcBorders>
            <w:shd w:val="clear" w:color="auto" w:fill="auto"/>
            <w:vAlign w:val="bottom"/>
            <w:hideMark/>
          </w:tcPr>
          <w:p w14:paraId="12EDB69E"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Detail issues:</w:t>
            </w:r>
          </w:p>
        </w:tc>
      </w:tr>
      <w:tr w:rsidR="00472858" w:rsidRPr="00BB662E" w14:paraId="009CED0D" w14:textId="77777777" w:rsidTr="00472858">
        <w:trPr>
          <w:trHeight w:val="465"/>
        </w:trPr>
        <w:tc>
          <w:tcPr>
            <w:tcW w:w="607" w:type="dxa"/>
            <w:tcBorders>
              <w:top w:val="nil"/>
              <w:left w:val="nil"/>
              <w:bottom w:val="nil"/>
              <w:right w:val="nil"/>
            </w:tcBorders>
            <w:shd w:val="clear" w:color="000000" w:fill="D9D9D9"/>
            <w:noWrap/>
            <w:hideMark/>
          </w:tcPr>
          <w:p w14:paraId="03B86846"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 </w:t>
            </w:r>
          </w:p>
        </w:tc>
        <w:tc>
          <w:tcPr>
            <w:tcW w:w="9257" w:type="dxa"/>
            <w:gridSpan w:val="2"/>
            <w:tcBorders>
              <w:top w:val="single" w:sz="4" w:space="0" w:color="auto"/>
              <w:left w:val="nil"/>
              <w:bottom w:val="nil"/>
              <w:right w:val="nil"/>
            </w:tcBorders>
            <w:shd w:val="clear" w:color="000000" w:fill="D9D9D9"/>
            <w:noWrap/>
            <w:vAlign w:val="bottom"/>
            <w:hideMark/>
          </w:tcPr>
          <w:p w14:paraId="54850618" w14:textId="64DAE7E3" w:rsidR="00472858" w:rsidRPr="00BB662E" w:rsidRDefault="00472858" w:rsidP="00BC5F9C">
            <w:pPr>
              <w:spacing w:before="60" w:after="60"/>
              <w:rPr>
                <w:rFonts w:ascii="Calibri" w:hAnsi="Calibri"/>
                <w:b/>
                <w:bCs w:val="0"/>
                <w:color w:val="000000"/>
                <w:szCs w:val="24"/>
                <w:lang w:eastAsia="en-GB"/>
              </w:rPr>
            </w:pPr>
            <w:r w:rsidRPr="00BB662E">
              <w:rPr>
                <w:rFonts w:ascii="Calibri" w:hAnsi="Calibri"/>
                <w:b/>
                <w:color w:val="000000"/>
                <w:szCs w:val="24"/>
                <w:lang w:eastAsia="en-GB"/>
              </w:rPr>
              <w:t xml:space="preserve">Please return to: </w:t>
            </w:r>
            <w:r w:rsidR="00BC5F9C" w:rsidRPr="00975B2C">
              <w:rPr>
                <w:rFonts w:ascii="Calibri" w:hAnsi="Calibri"/>
                <w:b/>
                <w:color w:val="000000"/>
                <w:szCs w:val="24"/>
                <w:highlight w:val="yellow"/>
                <w:lang w:eastAsia="en-GB"/>
              </w:rPr>
              <w:t xml:space="preserve">&lt;insert </w:t>
            </w:r>
            <w:r w:rsidR="00975B2C" w:rsidRPr="00975B2C">
              <w:rPr>
                <w:rFonts w:ascii="Calibri" w:hAnsi="Calibri"/>
                <w:b/>
                <w:color w:val="000000"/>
                <w:szCs w:val="24"/>
                <w:highlight w:val="yellow"/>
                <w:lang w:eastAsia="en-GB"/>
              </w:rPr>
              <w:t>local email&gt;</w:t>
            </w:r>
            <w:r w:rsidRPr="00BB662E">
              <w:rPr>
                <w:rFonts w:ascii="Calibri" w:hAnsi="Calibri"/>
                <w:b/>
                <w:color w:val="000000"/>
                <w:szCs w:val="24"/>
                <w:lang w:eastAsia="en-GB"/>
              </w:rPr>
              <w:t xml:space="preserve"> @nhs.net  (ALL INFORMATION WILL BE HELD SECURELY)</w:t>
            </w:r>
          </w:p>
        </w:tc>
        <w:tc>
          <w:tcPr>
            <w:tcW w:w="519" w:type="dxa"/>
            <w:tcBorders>
              <w:top w:val="nil"/>
              <w:left w:val="nil"/>
              <w:bottom w:val="nil"/>
              <w:right w:val="nil"/>
            </w:tcBorders>
            <w:shd w:val="clear" w:color="000000" w:fill="D9D9D9"/>
            <w:vAlign w:val="bottom"/>
            <w:hideMark/>
          </w:tcPr>
          <w:p w14:paraId="0E479732" w14:textId="77777777" w:rsidR="00472858" w:rsidRPr="00BB662E" w:rsidRDefault="00472858" w:rsidP="00472858">
            <w:pPr>
              <w:spacing w:before="60" w:after="60"/>
              <w:jc w:val="center"/>
              <w:rPr>
                <w:rFonts w:ascii="Calibri" w:hAnsi="Calibri"/>
                <w:b/>
                <w:bCs w:val="0"/>
                <w:color w:val="000000"/>
                <w:szCs w:val="24"/>
                <w:lang w:eastAsia="en-GB"/>
              </w:rPr>
            </w:pPr>
            <w:r w:rsidRPr="00BB662E">
              <w:rPr>
                <w:rFonts w:ascii="Calibri" w:hAnsi="Calibri"/>
                <w:b/>
                <w:color w:val="000000"/>
                <w:szCs w:val="24"/>
                <w:lang w:eastAsia="en-GB"/>
              </w:rPr>
              <w:t> </w:t>
            </w:r>
          </w:p>
        </w:tc>
        <w:tc>
          <w:tcPr>
            <w:tcW w:w="1765" w:type="dxa"/>
            <w:tcBorders>
              <w:top w:val="nil"/>
              <w:left w:val="nil"/>
              <w:bottom w:val="nil"/>
              <w:right w:val="nil"/>
            </w:tcBorders>
            <w:shd w:val="clear" w:color="000000" w:fill="D9D9D9"/>
            <w:vAlign w:val="bottom"/>
            <w:hideMark/>
          </w:tcPr>
          <w:p w14:paraId="6B800FC9" w14:textId="77777777" w:rsidR="00472858" w:rsidRPr="00BB662E" w:rsidRDefault="00472858" w:rsidP="00472858">
            <w:pPr>
              <w:spacing w:before="60" w:after="60"/>
              <w:jc w:val="center"/>
              <w:rPr>
                <w:rFonts w:ascii="Calibri" w:hAnsi="Calibri"/>
                <w:b/>
                <w:bCs w:val="0"/>
                <w:color w:val="000000"/>
                <w:szCs w:val="24"/>
                <w:lang w:eastAsia="en-GB"/>
              </w:rPr>
            </w:pPr>
            <w:r w:rsidRPr="00BB662E">
              <w:rPr>
                <w:rFonts w:ascii="Calibri" w:hAnsi="Calibri"/>
                <w:b/>
                <w:color w:val="000000"/>
                <w:szCs w:val="24"/>
                <w:lang w:eastAsia="en-GB"/>
              </w:rPr>
              <w:t> </w:t>
            </w:r>
          </w:p>
        </w:tc>
        <w:tc>
          <w:tcPr>
            <w:tcW w:w="2824" w:type="dxa"/>
            <w:tcBorders>
              <w:top w:val="nil"/>
              <w:left w:val="nil"/>
              <w:bottom w:val="nil"/>
              <w:right w:val="nil"/>
            </w:tcBorders>
            <w:shd w:val="clear" w:color="000000" w:fill="D9D9D9"/>
            <w:noWrap/>
            <w:vAlign w:val="center"/>
            <w:hideMark/>
          </w:tcPr>
          <w:p w14:paraId="2AEA7BD2" w14:textId="77777777" w:rsidR="00472858" w:rsidRPr="00BB662E" w:rsidRDefault="00472858" w:rsidP="00472858">
            <w:pPr>
              <w:spacing w:before="60" w:after="60"/>
              <w:rPr>
                <w:rFonts w:ascii="Calibri" w:hAnsi="Calibri"/>
                <w:b/>
                <w:bCs w:val="0"/>
                <w:color w:val="000000"/>
                <w:szCs w:val="24"/>
                <w:lang w:eastAsia="en-GB"/>
              </w:rPr>
            </w:pPr>
            <w:r w:rsidRPr="00BB662E">
              <w:rPr>
                <w:rFonts w:ascii="Calibri" w:hAnsi="Calibri"/>
                <w:b/>
                <w:color w:val="000000"/>
                <w:szCs w:val="24"/>
                <w:lang w:eastAsia="en-GB"/>
              </w:rPr>
              <w:t> </w:t>
            </w:r>
          </w:p>
        </w:tc>
      </w:tr>
      <w:tr w:rsidR="00472858" w:rsidRPr="00BB662E" w14:paraId="5A58B7F6" w14:textId="77777777" w:rsidTr="00472858">
        <w:trPr>
          <w:trHeight w:val="315"/>
        </w:trPr>
        <w:tc>
          <w:tcPr>
            <w:tcW w:w="607" w:type="dxa"/>
            <w:tcBorders>
              <w:top w:val="nil"/>
              <w:left w:val="nil"/>
              <w:bottom w:val="nil"/>
              <w:right w:val="nil"/>
            </w:tcBorders>
            <w:shd w:val="clear" w:color="auto" w:fill="auto"/>
            <w:noWrap/>
            <w:hideMark/>
          </w:tcPr>
          <w:p w14:paraId="1F3EC352" w14:textId="77777777" w:rsidR="00472858" w:rsidRPr="00BB662E" w:rsidRDefault="00472858" w:rsidP="00472858">
            <w:pPr>
              <w:spacing w:before="60" w:after="60"/>
              <w:jc w:val="center"/>
              <w:rPr>
                <w:rFonts w:ascii="Calibri" w:hAnsi="Calibri"/>
                <w:color w:val="000000"/>
                <w:lang w:eastAsia="en-GB"/>
              </w:rPr>
            </w:pPr>
          </w:p>
        </w:tc>
        <w:tc>
          <w:tcPr>
            <w:tcW w:w="6342" w:type="dxa"/>
            <w:tcBorders>
              <w:top w:val="nil"/>
              <w:left w:val="nil"/>
              <w:bottom w:val="nil"/>
              <w:right w:val="nil"/>
            </w:tcBorders>
            <w:shd w:val="clear" w:color="auto" w:fill="auto"/>
            <w:vAlign w:val="bottom"/>
            <w:hideMark/>
          </w:tcPr>
          <w:p w14:paraId="45D7F216" w14:textId="77777777" w:rsidR="00472858" w:rsidRPr="00BB662E" w:rsidRDefault="00472858" w:rsidP="00472858">
            <w:pPr>
              <w:spacing w:before="60" w:after="60"/>
              <w:rPr>
                <w:rFonts w:ascii="Calibri" w:hAnsi="Calibri"/>
                <w:color w:val="000000"/>
                <w:lang w:eastAsia="en-GB"/>
              </w:rPr>
            </w:pPr>
          </w:p>
        </w:tc>
        <w:tc>
          <w:tcPr>
            <w:tcW w:w="2915" w:type="dxa"/>
            <w:tcBorders>
              <w:top w:val="nil"/>
              <w:left w:val="nil"/>
              <w:bottom w:val="nil"/>
              <w:right w:val="nil"/>
            </w:tcBorders>
            <w:shd w:val="clear" w:color="auto" w:fill="auto"/>
            <w:vAlign w:val="bottom"/>
            <w:hideMark/>
          </w:tcPr>
          <w:p w14:paraId="086F1E69" w14:textId="77777777" w:rsidR="00472858" w:rsidRPr="00BB662E" w:rsidRDefault="00472858" w:rsidP="00472858">
            <w:pPr>
              <w:spacing w:before="60" w:after="60"/>
              <w:rPr>
                <w:rFonts w:ascii="Calibri" w:hAnsi="Calibri"/>
                <w:color w:val="000000"/>
                <w:lang w:eastAsia="en-GB"/>
              </w:rPr>
            </w:pPr>
          </w:p>
        </w:tc>
        <w:tc>
          <w:tcPr>
            <w:tcW w:w="519" w:type="dxa"/>
            <w:tcBorders>
              <w:top w:val="nil"/>
              <w:left w:val="nil"/>
              <w:bottom w:val="nil"/>
              <w:right w:val="nil"/>
            </w:tcBorders>
            <w:shd w:val="clear" w:color="auto" w:fill="auto"/>
            <w:vAlign w:val="bottom"/>
            <w:hideMark/>
          </w:tcPr>
          <w:p w14:paraId="29EE46F0" w14:textId="77777777" w:rsidR="00472858" w:rsidRPr="00BB662E" w:rsidRDefault="00472858" w:rsidP="00472858">
            <w:pPr>
              <w:spacing w:before="60" w:after="60"/>
              <w:rPr>
                <w:rFonts w:ascii="Calibri" w:hAnsi="Calibri"/>
                <w:color w:val="000000"/>
                <w:lang w:eastAsia="en-GB"/>
              </w:rPr>
            </w:pPr>
          </w:p>
        </w:tc>
        <w:tc>
          <w:tcPr>
            <w:tcW w:w="1765" w:type="dxa"/>
            <w:tcBorders>
              <w:top w:val="nil"/>
              <w:left w:val="nil"/>
              <w:bottom w:val="nil"/>
              <w:right w:val="nil"/>
            </w:tcBorders>
            <w:shd w:val="clear" w:color="auto" w:fill="auto"/>
            <w:vAlign w:val="bottom"/>
            <w:hideMark/>
          </w:tcPr>
          <w:p w14:paraId="35241FC8" w14:textId="77777777" w:rsidR="00472858" w:rsidRPr="00BB662E" w:rsidRDefault="00472858" w:rsidP="00472858">
            <w:pPr>
              <w:spacing w:before="60" w:after="60"/>
              <w:rPr>
                <w:rFonts w:ascii="Calibri" w:hAnsi="Calibri"/>
                <w:color w:val="000000"/>
                <w:lang w:eastAsia="en-GB"/>
              </w:rPr>
            </w:pPr>
          </w:p>
        </w:tc>
        <w:tc>
          <w:tcPr>
            <w:tcW w:w="2824" w:type="dxa"/>
            <w:tcBorders>
              <w:top w:val="nil"/>
              <w:left w:val="nil"/>
              <w:bottom w:val="nil"/>
              <w:right w:val="nil"/>
            </w:tcBorders>
            <w:shd w:val="clear" w:color="auto" w:fill="auto"/>
            <w:noWrap/>
            <w:vAlign w:val="bottom"/>
            <w:hideMark/>
          </w:tcPr>
          <w:p w14:paraId="45E41725" w14:textId="77777777" w:rsidR="00472858" w:rsidRPr="00BB662E" w:rsidRDefault="00472858" w:rsidP="00472858">
            <w:pPr>
              <w:spacing w:before="60" w:after="60"/>
              <w:rPr>
                <w:rFonts w:ascii="Calibri" w:hAnsi="Calibri"/>
                <w:color w:val="000000"/>
                <w:lang w:eastAsia="en-GB"/>
              </w:rPr>
            </w:pPr>
          </w:p>
        </w:tc>
      </w:tr>
      <w:tr w:rsidR="00472858" w:rsidRPr="00BB662E" w14:paraId="4353D50C" w14:textId="77777777" w:rsidTr="00472858">
        <w:trPr>
          <w:trHeight w:val="300"/>
        </w:trPr>
        <w:tc>
          <w:tcPr>
            <w:tcW w:w="607" w:type="dxa"/>
            <w:tcBorders>
              <w:top w:val="single" w:sz="8" w:space="0" w:color="auto"/>
              <w:left w:val="single" w:sz="8" w:space="0" w:color="auto"/>
              <w:bottom w:val="nil"/>
              <w:right w:val="nil"/>
            </w:tcBorders>
            <w:shd w:val="clear" w:color="auto" w:fill="auto"/>
            <w:noWrap/>
            <w:hideMark/>
          </w:tcPr>
          <w:p w14:paraId="18964A30"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 </w:t>
            </w:r>
          </w:p>
        </w:tc>
        <w:tc>
          <w:tcPr>
            <w:tcW w:w="6342" w:type="dxa"/>
            <w:tcBorders>
              <w:top w:val="single" w:sz="8" w:space="0" w:color="auto"/>
              <w:left w:val="nil"/>
              <w:bottom w:val="nil"/>
              <w:right w:val="nil"/>
            </w:tcBorders>
            <w:shd w:val="clear" w:color="auto" w:fill="auto"/>
            <w:vAlign w:val="bottom"/>
            <w:hideMark/>
          </w:tcPr>
          <w:p w14:paraId="58A8C38A" w14:textId="77777777" w:rsidR="00472858" w:rsidRPr="00BB662E" w:rsidRDefault="00472858" w:rsidP="00472858">
            <w:pPr>
              <w:spacing w:before="60" w:after="60"/>
              <w:jc w:val="right"/>
              <w:rPr>
                <w:rFonts w:ascii="Calibri" w:hAnsi="Calibri"/>
                <w:b/>
                <w:bCs w:val="0"/>
                <w:color w:val="000000"/>
                <w:lang w:eastAsia="en-GB"/>
              </w:rPr>
            </w:pPr>
            <w:r w:rsidRPr="00BB662E">
              <w:rPr>
                <w:rFonts w:ascii="Calibri" w:hAnsi="Calibri"/>
                <w:b/>
                <w:color w:val="000000"/>
                <w:lang w:eastAsia="en-GB"/>
              </w:rPr>
              <w:t>Contractor name</w:t>
            </w:r>
          </w:p>
        </w:tc>
        <w:tc>
          <w:tcPr>
            <w:tcW w:w="2915" w:type="dxa"/>
            <w:tcBorders>
              <w:top w:val="single" w:sz="8" w:space="0" w:color="auto"/>
              <w:left w:val="nil"/>
              <w:bottom w:val="nil"/>
              <w:right w:val="nil"/>
            </w:tcBorders>
            <w:shd w:val="clear" w:color="000000" w:fill="E6B8B7"/>
            <w:vAlign w:val="bottom"/>
            <w:hideMark/>
          </w:tcPr>
          <w:p w14:paraId="5D62767F"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w:t>
            </w:r>
          </w:p>
        </w:tc>
        <w:tc>
          <w:tcPr>
            <w:tcW w:w="5108" w:type="dxa"/>
            <w:gridSpan w:val="3"/>
            <w:tcBorders>
              <w:top w:val="single" w:sz="8" w:space="0" w:color="auto"/>
              <w:left w:val="nil"/>
              <w:bottom w:val="nil"/>
              <w:right w:val="single" w:sz="8" w:space="0" w:color="000000"/>
            </w:tcBorders>
            <w:shd w:val="clear" w:color="auto" w:fill="auto"/>
            <w:noWrap/>
            <w:vAlign w:val="bottom"/>
            <w:hideMark/>
          </w:tcPr>
          <w:p w14:paraId="2568DF86"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Practice signature (Contractor):</w:t>
            </w:r>
          </w:p>
        </w:tc>
      </w:tr>
      <w:tr w:rsidR="00472858" w:rsidRPr="00BB662E" w14:paraId="601D67A8" w14:textId="77777777" w:rsidTr="00472858">
        <w:trPr>
          <w:trHeight w:val="480"/>
        </w:trPr>
        <w:tc>
          <w:tcPr>
            <w:tcW w:w="607" w:type="dxa"/>
            <w:tcBorders>
              <w:top w:val="nil"/>
              <w:left w:val="single" w:sz="8" w:space="0" w:color="auto"/>
              <w:bottom w:val="nil"/>
              <w:right w:val="nil"/>
            </w:tcBorders>
            <w:shd w:val="clear" w:color="auto" w:fill="auto"/>
            <w:noWrap/>
            <w:hideMark/>
          </w:tcPr>
          <w:p w14:paraId="0220FE23"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 </w:t>
            </w:r>
          </w:p>
        </w:tc>
        <w:tc>
          <w:tcPr>
            <w:tcW w:w="6342" w:type="dxa"/>
            <w:tcBorders>
              <w:top w:val="nil"/>
              <w:left w:val="nil"/>
              <w:bottom w:val="nil"/>
              <w:right w:val="nil"/>
            </w:tcBorders>
            <w:shd w:val="clear" w:color="auto" w:fill="auto"/>
            <w:vAlign w:val="bottom"/>
            <w:hideMark/>
          </w:tcPr>
          <w:p w14:paraId="46C230D9" w14:textId="77777777" w:rsidR="00472858" w:rsidRPr="00BB662E" w:rsidRDefault="00472858" w:rsidP="00472858">
            <w:pPr>
              <w:spacing w:before="60" w:after="60"/>
              <w:rPr>
                <w:rFonts w:ascii="Calibri" w:hAnsi="Calibri"/>
                <w:color w:val="000000"/>
                <w:lang w:eastAsia="en-GB"/>
              </w:rPr>
            </w:pPr>
          </w:p>
        </w:tc>
        <w:tc>
          <w:tcPr>
            <w:tcW w:w="2915" w:type="dxa"/>
            <w:tcBorders>
              <w:top w:val="nil"/>
              <w:left w:val="nil"/>
              <w:bottom w:val="nil"/>
              <w:right w:val="nil"/>
            </w:tcBorders>
            <w:shd w:val="clear" w:color="000000" w:fill="E6B8B7"/>
            <w:vAlign w:val="bottom"/>
            <w:hideMark/>
          </w:tcPr>
          <w:p w14:paraId="22D8CE27"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insert</w:t>
            </w:r>
          </w:p>
        </w:tc>
        <w:tc>
          <w:tcPr>
            <w:tcW w:w="519" w:type="dxa"/>
            <w:tcBorders>
              <w:top w:val="nil"/>
              <w:left w:val="nil"/>
              <w:bottom w:val="nil"/>
              <w:right w:val="nil"/>
            </w:tcBorders>
            <w:shd w:val="clear" w:color="000000" w:fill="E6B8B7"/>
            <w:vAlign w:val="bottom"/>
            <w:hideMark/>
          </w:tcPr>
          <w:p w14:paraId="72696610"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w:t>
            </w:r>
          </w:p>
        </w:tc>
        <w:tc>
          <w:tcPr>
            <w:tcW w:w="1765" w:type="dxa"/>
            <w:tcBorders>
              <w:top w:val="nil"/>
              <w:left w:val="nil"/>
              <w:bottom w:val="nil"/>
              <w:right w:val="nil"/>
            </w:tcBorders>
            <w:shd w:val="clear" w:color="000000" w:fill="E6B8B7"/>
            <w:vAlign w:val="bottom"/>
            <w:hideMark/>
          </w:tcPr>
          <w:p w14:paraId="507D60FB"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w:t>
            </w:r>
          </w:p>
        </w:tc>
        <w:tc>
          <w:tcPr>
            <w:tcW w:w="2824" w:type="dxa"/>
            <w:tcBorders>
              <w:top w:val="nil"/>
              <w:left w:val="nil"/>
              <w:bottom w:val="nil"/>
              <w:right w:val="single" w:sz="8" w:space="0" w:color="auto"/>
            </w:tcBorders>
            <w:shd w:val="clear" w:color="000000" w:fill="E6B8B7"/>
            <w:noWrap/>
            <w:vAlign w:val="bottom"/>
            <w:hideMark/>
          </w:tcPr>
          <w:p w14:paraId="74FE700C"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w:t>
            </w:r>
          </w:p>
        </w:tc>
      </w:tr>
      <w:tr w:rsidR="00472858" w:rsidRPr="00BB662E" w14:paraId="5FB65FAC" w14:textId="77777777" w:rsidTr="00472858">
        <w:trPr>
          <w:trHeight w:val="300"/>
        </w:trPr>
        <w:tc>
          <w:tcPr>
            <w:tcW w:w="607" w:type="dxa"/>
            <w:tcBorders>
              <w:top w:val="nil"/>
              <w:left w:val="single" w:sz="8" w:space="0" w:color="auto"/>
              <w:bottom w:val="nil"/>
              <w:right w:val="nil"/>
            </w:tcBorders>
            <w:shd w:val="clear" w:color="auto" w:fill="auto"/>
            <w:noWrap/>
            <w:hideMark/>
          </w:tcPr>
          <w:p w14:paraId="631E7610"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 </w:t>
            </w:r>
          </w:p>
        </w:tc>
        <w:tc>
          <w:tcPr>
            <w:tcW w:w="6342" w:type="dxa"/>
            <w:tcBorders>
              <w:top w:val="nil"/>
              <w:left w:val="nil"/>
              <w:bottom w:val="nil"/>
              <w:right w:val="nil"/>
            </w:tcBorders>
            <w:shd w:val="clear" w:color="auto" w:fill="auto"/>
            <w:vAlign w:val="bottom"/>
            <w:hideMark/>
          </w:tcPr>
          <w:p w14:paraId="22A44272" w14:textId="77777777" w:rsidR="00472858" w:rsidRPr="00BB662E" w:rsidRDefault="00472858" w:rsidP="00472858">
            <w:pPr>
              <w:spacing w:before="60" w:after="60"/>
              <w:rPr>
                <w:rFonts w:ascii="Calibri" w:hAnsi="Calibri"/>
                <w:b/>
                <w:bCs w:val="0"/>
                <w:color w:val="000000"/>
                <w:lang w:eastAsia="en-GB"/>
              </w:rPr>
            </w:pPr>
            <w:r w:rsidRPr="00BB662E">
              <w:rPr>
                <w:rFonts w:ascii="Calibri" w:hAnsi="Calibri"/>
                <w:b/>
                <w:color w:val="000000"/>
                <w:lang w:eastAsia="en-GB"/>
              </w:rPr>
              <w:t>CCG Support required in all cases:</w:t>
            </w:r>
          </w:p>
        </w:tc>
        <w:tc>
          <w:tcPr>
            <w:tcW w:w="2915" w:type="dxa"/>
            <w:tcBorders>
              <w:top w:val="nil"/>
              <w:left w:val="nil"/>
              <w:bottom w:val="nil"/>
              <w:right w:val="nil"/>
            </w:tcBorders>
            <w:shd w:val="clear" w:color="auto" w:fill="auto"/>
            <w:vAlign w:val="bottom"/>
            <w:hideMark/>
          </w:tcPr>
          <w:p w14:paraId="1295C1D8" w14:textId="77777777" w:rsidR="00472858" w:rsidRPr="00BB662E" w:rsidRDefault="00472858" w:rsidP="00472858">
            <w:pPr>
              <w:spacing w:before="60" w:after="60"/>
              <w:rPr>
                <w:rFonts w:ascii="Calibri" w:hAnsi="Calibri"/>
                <w:color w:val="000000"/>
                <w:lang w:eastAsia="en-GB"/>
              </w:rPr>
            </w:pPr>
          </w:p>
        </w:tc>
        <w:tc>
          <w:tcPr>
            <w:tcW w:w="519" w:type="dxa"/>
            <w:tcBorders>
              <w:top w:val="nil"/>
              <w:left w:val="nil"/>
              <w:bottom w:val="nil"/>
              <w:right w:val="nil"/>
            </w:tcBorders>
            <w:shd w:val="clear" w:color="auto" w:fill="auto"/>
            <w:vAlign w:val="bottom"/>
            <w:hideMark/>
          </w:tcPr>
          <w:p w14:paraId="163A3850" w14:textId="77777777" w:rsidR="00472858" w:rsidRPr="00BB662E" w:rsidRDefault="00472858" w:rsidP="00472858">
            <w:pPr>
              <w:spacing w:before="60" w:after="60"/>
              <w:rPr>
                <w:rFonts w:ascii="Calibri" w:hAnsi="Calibri"/>
                <w:color w:val="000000"/>
                <w:lang w:eastAsia="en-GB"/>
              </w:rPr>
            </w:pPr>
          </w:p>
        </w:tc>
        <w:tc>
          <w:tcPr>
            <w:tcW w:w="1765" w:type="dxa"/>
            <w:tcBorders>
              <w:top w:val="nil"/>
              <w:left w:val="nil"/>
              <w:bottom w:val="nil"/>
              <w:right w:val="nil"/>
            </w:tcBorders>
            <w:shd w:val="clear" w:color="auto" w:fill="auto"/>
            <w:vAlign w:val="bottom"/>
            <w:hideMark/>
          </w:tcPr>
          <w:p w14:paraId="528F1B6B" w14:textId="77777777" w:rsidR="00472858" w:rsidRPr="00BB662E" w:rsidRDefault="00472858" w:rsidP="00472858">
            <w:pPr>
              <w:spacing w:before="60" w:after="60"/>
              <w:rPr>
                <w:rFonts w:ascii="Calibri" w:hAnsi="Calibri"/>
                <w:color w:val="000000"/>
                <w:lang w:eastAsia="en-GB"/>
              </w:rPr>
            </w:pPr>
          </w:p>
        </w:tc>
        <w:tc>
          <w:tcPr>
            <w:tcW w:w="2824" w:type="dxa"/>
            <w:tcBorders>
              <w:top w:val="nil"/>
              <w:left w:val="nil"/>
              <w:bottom w:val="nil"/>
              <w:right w:val="single" w:sz="8" w:space="0" w:color="auto"/>
            </w:tcBorders>
            <w:shd w:val="clear" w:color="auto" w:fill="auto"/>
            <w:noWrap/>
            <w:vAlign w:val="bottom"/>
            <w:hideMark/>
          </w:tcPr>
          <w:p w14:paraId="571BC737"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w:t>
            </w:r>
          </w:p>
        </w:tc>
      </w:tr>
      <w:tr w:rsidR="00472858" w:rsidRPr="00BB662E" w14:paraId="35EC1879" w14:textId="77777777" w:rsidTr="00472858">
        <w:trPr>
          <w:trHeight w:val="480"/>
        </w:trPr>
        <w:tc>
          <w:tcPr>
            <w:tcW w:w="607" w:type="dxa"/>
            <w:tcBorders>
              <w:top w:val="nil"/>
              <w:left w:val="single" w:sz="8" w:space="0" w:color="auto"/>
              <w:bottom w:val="single" w:sz="4" w:space="0" w:color="auto"/>
              <w:right w:val="nil"/>
            </w:tcBorders>
            <w:shd w:val="clear" w:color="auto" w:fill="auto"/>
            <w:noWrap/>
            <w:hideMark/>
          </w:tcPr>
          <w:p w14:paraId="72812964"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 </w:t>
            </w:r>
          </w:p>
        </w:tc>
        <w:tc>
          <w:tcPr>
            <w:tcW w:w="6342" w:type="dxa"/>
            <w:tcBorders>
              <w:top w:val="nil"/>
              <w:left w:val="nil"/>
              <w:bottom w:val="single" w:sz="4" w:space="0" w:color="auto"/>
              <w:right w:val="nil"/>
            </w:tcBorders>
            <w:shd w:val="clear" w:color="auto" w:fill="auto"/>
            <w:vAlign w:val="bottom"/>
            <w:hideMark/>
          </w:tcPr>
          <w:p w14:paraId="601DCE59" w14:textId="77777777" w:rsidR="00472858" w:rsidRPr="00BB662E" w:rsidRDefault="00472858" w:rsidP="00472858">
            <w:pPr>
              <w:spacing w:before="60" w:after="60"/>
              <w:jc w:val="right"/>
              <w:rPr>
                <w:rFonts w:ascii="Calibri" w:hAnsi="Calibri"/>
                <w:b/>
                <w:bCs w:val="0"/>
                <w:color w:val="000000"/>
                <w:sz w:val="20"/>
                <w:szCs w:val="20"/>
                <w:lang w:eastAsia="en-GB"/>
              </w:rPr>
            </w:pPr>
            <w:r w:rsidRPr="00BB662E">
              <w:rPr>
                <w:rFonts w:ascii="Calibri" w:hAnsi="Calibri"/>
                <w:b/>
                <w:color w:val="000000"/>
                <w:sz w:val="20"/>
                <w:szCs w:val="20"/>
                <w:lang w:eastAsia="en-GB"/>
              </w:rPr>
              <w:t>CCG Lead Name</w:t>
            </w:r>
          </w:p>
        </w:tc>
        <w:tc>
          <w:tcPr>
            <w:tcW w:w="2915" w:type="dxa"/>
            <w:tcBorders>
              <w:top w:val="nil"/>
              <w:left w:val="nil"/>
              <w:bottom w:val="single" w:sz="4" w:space="0" w:color="auto"/>
              <w:right w:val="nil"/>
            </w:tcBorders>
            <w:shd w:val="clear" w:color="000000" w:fill="E6B8B7"/>
            <w:vAlign w:val="bottom"/>
            <w:hideMark/>
          </w:tcPr>
          <w:p w14:paraId="72821142"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insert</w:t>
            </w:r>
          </w:p>
        </w:tc>
        <w:tc>
          <w:tcPr>
            <w:tcW w:w="2284" w:type="dxa"/>
            <w:gridSpan w:val="2"/>
            <w:tcBorders>
              <w:top w:val="nil"/>
              <w:left w:val="nil"/>
              <w:bottom w:val="single" w:sz="4" w:space="0" w:color="auto"/>
              <w:right w:val="nil"/>
            </w:tcBorders>
            <w:shd w:val="clear" w:color="auto" w:fill="auto"/>
            <w:noWrap/>
            <w:vAlign w:val="bottom"/>
            <w:hideMark/>
          </w:tcPr>
          <w:p w14:paraId="02DD0485" w14:textId="77777777" w:rsidR="00472858" w:rsidRPr="00BB662E" w:rsidRDefault="00472858" w:rsidP="00472858">
            <w:pPr>
              <w:spacing w:before="60" w:after="60"/>
              <w:rPr>
                <w:rFonts w:ascii="Calibri" w:hAnsi="Calibri"/>
                <w:b/>
                <w:bCs w:val="0"/>
                <w:color w:val="000000"/>
                <w:sz w:val="20"/>
                <w:szCs w:val="20"/>
                <w:lang w:eastAsia="en-GB"/>
              </w:rPr>
            </w:pPr>
            <w:r w:rsidRPr="00BB662E">
              <w:rPr>
                <w:rFonts w:ascii="Calibri" w:hAnsi="Calibri"/>
                <w:b/>
                <w:color w:val="000000"/>
                <w:sz w:val="20"/>
                <w:szCs w:val="20"/>
                <w:lang w:eastAsia="en-GB"/>
              </w:rPr>
              <w:t>CCG signature</w:t>
            </w:r>
          </w:p>
        </w:tc>
        <w:tc>
          <w:tcPr>
            <w:tcW w:w="2824" w:type="dxa"/>
            <w:tcBorders>
              <w:top w:val="nil"/>
              <w:left w:val="nil"/>
              <w:bottom w:val="single" w:sz="4" w:space="0" w:color="auto"/>
              <w:right w:val="single" w:sz="8" w:space="0" w:color="auto"/>
            </w:tcBorders>
            <w:shd w:val="clear" w:color="000000" w:fill="E6B8B7"/>
            <w:noWrap/>
            <w:vAlign w:val="bottom"/>
            <w:hideMark/>
          </w:tcPr>
          <w:p w14:paraId="7403193C" w14:textId="77777777" w:rsidR="00472858" w:rsidRPr="00BB662E" w:rsidRDefault="00472858" w:rsidP="00472858">
            <w:pPr>
              <w:spacing w:before="60" w:after="60"/>
              <w:rPr>
                <w:rFonts w:ascii="Calibri" w:hAnsi="Calibri"/>
                <w:i/>
                <w:iCs/>
                <w:color w:val="000000"/>
                <w:lang w:eastAsia="en-GB"/>
              </w:rPr>
            </w:pPr>
            <w:r w:rsidRPr="00BB662E">
              <w:rPr>
                <w:rFonts w:ascii="Calibri" w:hAnsi="Calibri"/>
                <w:i/>
                <w:iCs/>
                <w:color w:val="000000"/>
                <w:lang w:eastAsia="en-GB"/>
              </w:rPr>
              <w:t xml:space="preserve"> or attach CCG email of support</w:t>
            </w:r>
          </w:p>
        </w:tc>
      </w:tr>
      <w:tr w:rsidR="00472858" w:rsidRPr="00BB662E" w14:paraId="2670BB0F" w14:textId="77777777" w:rsidTr="00472858">
        <w:trPr>
          <w:trHeight w:val="540"/>
        </w:trPr>
        <w:tc>
          <w:tcPr>
            <w:tcW w:w="607" w:type="dxa"/>
            <w:tcBorders>
              <w:top w:val="nil"/>
              <w:left w:val="single" w:sz="8" w:space="0" w:color="auto"/>
              <w:bottom w:val="single" w:sz="8" w:space="0" w:color="auto"/>
              <w:right w:val="nil"/>
            </w:tcBorders>
            <w:shd w:val="clear" w:color="auto" w:fill="auto"/>
            <w:noWrap/>
            <w:hideMark/>
          </w:tcPr>
          <w:p w14:paraId="3D73A629" w14:textId="77777777" w:rsidR="00472858" w:rsidRPr="00BB662E" w:rsidRDefault="00472858" w:rsidP="00472858">
            <w:pPr>
              <w:spacing w:before="60" w:after="60"/>
              <w:jc w:val="center"/>
              <w:rPr>
                <w:rFonts w:ascii="Calibri" w:hAnsi="Calibri"/>
                <w:color w:val="000000"/>
                <w:lang w:eastAsia="en-GB"/>
              </w:rPr>
            </w:pPr>
            <w:r w:rsidRPr="00BB662E">
              <w:rPr>
                <w:rFonts w:ascii="Calibri" w:hAnsi="Calibri"/>
                <w:color w:val="000000"/>
                <w:lang w:eastAsia="en-GB"/>
              </w:rPr>
              <w:t> </w:t>
            </w:r>
          </w:p>
        </w:tc>
        <w:tc>
          <w:tcPr>
            <w:tcW w:w="6342" w:type="dxa"/>
            <w:tcBorders>
              <w:top w:val="nil"/>
              <w:left w:val="nil"/>
              <w:bottom w:val="single" w:sz="8" w:space="0" w:color="auto"/>
              <w:right w:val="nil"/>
            </w:tcBorders>
            <w:shd w:val="clear" w:color="auto" w:fill="auto"/>
            <w:vAlign w:val="bottom"/>
            <w:hideMark/>
          </w:tcPr>
          <w:p w14:paraId="18BA4252" w14:textId="77777777" w:rsidR="00472858" w:rsidRPr="00BB662E" w:rsidRDefault="00472858" w:rsidP="00472858">
            <w:pPr>
              <w:spacing w:before="60" w:after="60"/>
              <w:rPr>
                <w:rFonts w:ascii="Calibri" w:hAnsi="Calibri"/>
                <w:b/>
                <w:bCs w:val="0"/>
                <w:color w:val="000000"/>
                <w:sz w:val="20"/>
                <w:szCs w:val="20"/>
                <w:lang w:eastAsia="en-GB"/>
              </w:rPr>
            </w:pPr>
            <w:r w:rsidRPr="00BB662E">
              <w:rPr>
                <w:rFonts w:ascii="Calibri" w:hAnsi="Calibri"/>
                <w:b/>
                <w:color w:val="000000"/>
                <w:sz w:val="20"/>
                <w:szCs w:val="20"/>
                <w:lang w:eastAsia="en-GB"/>
              </w:rPr>
              <w:t>NHS England Contract Officer reviewer - NHSE insert name</w:t>
            </w:r>
          </w:p>
        </w:tc>
        <w:tc>
          <w:tcPr>
            <w:tcW w:w="2915" w:type="dxa"/>
            <w:tcBorders>
              <w:top w:val="nil"/>
              <w:left w:val="nil"/>
              <w:bottom w:val="nil"/>
              <w:right w:val="nil"/>
            </w:tcBorders>
            <w:shd w:val="clear" w:color="000000" w:fill="E6B8B7"/>
            <w:vAlign w:val="bottom"/>
            <w:hideMark/>
          </w:tcPr>
          <w:p w14:paraId="3C8F0BF2"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insert</w:t>
            </w:r>
          </w:p>
        </w:tc>
        <w:tc>
          <w:tcPr>
            <w:tcW w:w="519" w:type="dxa"/>
            <w:tcBorders>
              <w:top w:val="nil"/>
              <w:left w:val="nil"/>
              <w:bottom w:val="single" w:sz="8" w:space="0" w:color="auto"/>
              <w:right w:val="nil"/>
            </w:tcBorders>
            <w:shd w:val="clear" w:color="auto" w:fill="auto"/>
            <w:vAlign w:val="bottom"/>
            <w:hideMark/>
          </w:tcPr>
          <w:p w14:paraId="56CA19AE"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w:t>
            </w:r>
          </w:p>
        </w:tc>
        <w:tc>
          <w:tcPr>
            <w:tcW w:w="1765" w:type="dxa"/>
            <w:tcBorders>
              <w:top w:val="nil"/>
              <w:left w:val="nil"/>
              <w:bottom w:val="single" w:sz="8" w:space="0" w:color="auto"/>
              <w:right w:val="nil"/>
            </w:tcBorders>
            <w:shd w:val="clear" w:color="auto" w:fill="auto"/>
            <w:vAlign w:val="bottom"/>
            <w:hideMark/>
          </w:tcPr>
          <w:p w14:paraId="22480F17"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w:t>
            </w:r>
          </w:p>
        </w:tc>
        <w:tc>
          <w:tcPr>
            <w:tcW w:w="2824" w:type="dxa"/>
            <w:tcBorders>
              <w:top w:val="nil"/>
              <w:left w:val="nil"/>
              <w:bottom w:val="single" w:sz="8" w:space="0" w:color="auto"/>
              <w:right w:val="single" w:sz="8" w:space="0" w:color="auto"/>
            </w:tcBorders>
            <w:shd w:val="clear" w:color="000000" w:fill="E6B8B7"/>
            <w:noWrap/>
            <w:vAlign w:val="bottom"/>
            <w:hideMark/>
          </w:tcPr>
          <w:p w14:paraId="4177A7E4" w14:textId="77777777" w:rsidR="00472858" w:rsidRPr="00BB662E" w:rsidRDefault="00472858" w:rsidP="00472858">
            <w:pPr>
              <w:spacing w:before="60" w:after="60"/>
              <w:rPr>
                <w:rFonts w:ascii="Calibri" w:hAnsi="Calibri"/>
                <w:color w:val="000000"/>
                <w:lang w:eastAsia="en-GB"/>
              </w:rPr>
            </w:pPr>
            <w:r w:rsidRPr="00BB662E">
              <w:rPr>
                <w:rFonts w:ascii="Calibri" w:hAnsi="Calibri"/>
                <w:color w:val="000000"/>
                <w:lang w:eastAsia="en-GB"/>
              </w:rPr>
              <w:t> </w:t>
            </w:r>
          </w:p>
        </w:tc>
      </w:tr>
    </w:tbl>
    <w:p w14:paraId="4DC4F123" w14:textId="77777777" w:rsidR="00472858" w:rsidRDefault="00472858" w:rsidP="00472858">
      <w:pPr>
        <w:spacing w:before="60" w:after="60"/>
        <w:rPr>
          <w:rFonts w:cs="Arial"/>
        </w:rPr>
      </w:pPr>
    </w:p>
    <w:p w14:paraId="17639885" w14:textId="77777777" w:rsidR="00472858" w:rsidRDefault="00472858" w:rsidP="00472858">
      <w:pPr>
        <w:spacing w:before="60" w:after="60"/>
        <w:rPr>
          <w:rFonts w:cs="Arial"/>
        </w:rPr>
      </w:pPr>
      <w:r>
        <w:rPr>
          <w:rFonts w:cs="Arial"/>
        </w:rPr>
        <w:br w:type="page"/>
      </w:r>
    </w:p>
    <w:p w14:paraId="62DEE0C2" w14:textId="77777777" w:rsidR="00472858" w:rsidRDefault="00472858" w:rsidP="00472858">
      <w:pPr>
        <w:spacing w:before="60" w:after="60"/>
        <w:rPr>
          <w:rFonts w:cs="Arial"/>
        </w:rPr>
        <w:sectPr w:rsidR="00472858" w:rsidSect="005215BD">
          <w:pgSz w:w="16838" w:h="11906" w:orient="landscape"/>
          <w:pgMar w:top="1440" w:right="1440" w:bottom="1440" w:left="1440" w:header="709" w:footer="709" w:gutter="0"/>
          <w:cols w:space="708"/>
          <w:docGrid w:linePitch="360"/>
        </w:sectPr>
      </w:pPr>
    </w:p>
    <w:p w14:paraId="1B616665" w14:textId="77777777" w:rsidR="00472858" w:rsidRDefault="00472858" w:rsidP="00472858">
      <w:pPr>
        <w:pStyle w:val="Heading3"/>
      </w:pPr>
      <w:bookmarkStart w:id="1090" w:name="_Appendix_2_–"/>
      <w:bookmarkStart w:id="1091" w:name="_Toc493938697"/>
      <w:bookmarkStart w:id="1092" w:name="_Toc493938790"/>
      <w:bookmarkStart w:id="1093" w:name="_Toc493939139"/>
      <w:bookmarkEnd w:id="1090"/>
      <w:r>
        <w:t xml:space="preserve">Appendix 1 – </w:t>
      </w:r>
      <w:r w:rsidRPr="00DC0536">
        <w:t>Sections 83, 93 and 96 of the National Health Service Act 2006</w:t>
      </w:r>
      <w:bookmarkEnd w:id="1091"/>
      <w:bookmarkEnd w:id="1092"/>
      <w:bookmarkEnd w:id="1093"/>
    </w:p>
    <w:p w14:paraId="62CAFE8B" w14:textId="34F0D8CA" w:rsidR="00526CB2" w:rsidRDefault="000E7846" w:rsidP="00526CB2">
      <w:pPr>
        <w:pStyle w:val="ListParagraph"/>
        <w:numPr>
          <w:ilvl w:val="0"/>
          <w:numId w:val="157"/>
        </w:numPr>
      </w:pPr>
      <w:hyperlink r:id="rId103" w:history="1">
        <w:r w:rsidR="00526CB2">
          <w:rPr>
            <w:rStyle w:val="Hyperlink"/>
          </w:rPr>
          <w:t>Sections 83, 93 and 96 of the National Health Service Act 2006</w:t>
        </w:r>
      </w:hyperlink>
    </w:p>
    <w:p w14:paraId="0E477160" w14:textId="77777777" w:rsidR="00526CB2" w:rsidRPr="00526CB2" w:rsidRDefault="00526CB2" w:rsidP="00526CB2"/>
    <w:p w14:paraId="6A085F92" w14:textId="77777777" w:rsidR="00C209C0" w:rsidRPr="00C209C0" w:rsidRDefault="000E7846" w:rsidP="00C209C0">
      <w:pPr>
        <w:spacing w:before="60" w:after="60"/>
        <w:jc w:val="right"/>
        <w:rPr>
          <w:rFonts w:cs="Arial"/>
          <w:sz w:val="16"/>
          <w:szCs w:val="16"/>
        </w:rPr>
      </w:pPr>
      <w:hyperlink w:anchor="_top" w:history="1">
        <w:r w:rsidR="00C209C0" w:rsidRPr="00C209C0">
          <w:rPr>
            <w:rStyle w:val="Hyperlink"/>
            <w:rFonts w:cs="Arial"/>
            <w:sz w:val="16"/>
            <w:szCs w:val="16"/>
          </w:rPr>
          <w:t>(return to contents page)</w:t>
        </w:r>
      </w:hyperlink>
    </w:p>
    <w:p w14:paraId="79A92BF5" w14:textId="77777777" w:rsidR="00C209C0" w:rsidRPr="00C209C0" w:rsidRDefault="00C209C0" w:rsidP="002306F3"/>
    <w:p w14:paraId="113307C0" w14:textId="2D264EB7" w:rsidR="00472858" w:rsidRDefault="00472858" w:rsidP="00472858">
      <w:pPr>
        <w:spacing w:before="60" w:after="60"/>
        <w:rPr>
          <w:rFonts w:cs="Arial"/>
        </w:rPr>
      </w:pPr>
      <w:bookmarkStart w:id="1094" w:name="_1567679825"/>
      <w:bookmarkEnd w:id="1094"/>
    </w:p>
    <w:p w14:paraId="6DBD0F3D" w14:textId="77777777" w:rsidR="00472858" w:rsidRDefault="00472858" w:rsidP="00472858">
      <w:pPr>
        <w:rPr>
          <w:lang w:eastAsia="en-GB"/>
        </w:rPr>
      </w:pPr>
    </w:p>
    <w:p w14:paraId="08FE83BC" w14:textId="77777777" w:rsidR="00472858" w:rsidRPr="0015247B" w:rsidRDefault="00472858" w:rsidP="00472858">
      <w:pPr>
        <w:rPr>
          <w:lang w:eastAsia="en-GB"/>
        </w:rPr>
      </w:pPr>
    </w:p>
    <w:p w14:paraId="302F5469" w14:textId="27107E6B" w:rsidR="0015247B" w:rsidRDefault="00472858" w:rsidP="00472858">
      <w:pPr>
        <w:rPr>
          <w:lang w:eastAsia="en-GB"/>
        </w:rPr>
      </w:pPr>
      <w:r>
        <w:br w:type="page"/>
      </w:r>
    </w:p>
    <w:p w14:paraId="22C61A23" w14:textId="0B0554E5" w:rsidR="0015247B" w:rsidRPr="00FB5221" w:rsidRDefault="0015247B" w:rsidP="00FB5221">
      <w:pPr>
        <w:pStyle w:val="Heading1"/>
        <w:numPr>
          <w:ilvl w:val="0"/>
          <w:numId w:val="0"/>
        </w:numPr>
        <w:ind w:left="432"/>
        <w:rPr>
          <w:sz w:val="96"/>
          <w:szCs w:val="96"/>
          <w:lang w:eastAsia="en-GB"/>
        </w:rPr>
      </w:pPr>
      <w:bookmarkStart w:id="1095" w:name="_Toc498495428"/>
      <w:r w:rsidRPr="00FB5221">
        <w:rPr>
          <w:sz w:val="96"/>
          <w:szCs w:val="96"/>
          <w:lang w:eastAsia="en-GB"/>
        </w:rPr>
        <w:t>Part C – When things go wrong</w:t>
      </w:r>
      <w:bookmarkEnd w:id="1095"/>
    </w:p>
    <w:p w14:paraId="24E569F6" w14:textId="77777777" w:rsidR="0015247B" w:rsidRDefault="0015247B" w:rsidP="0015247B">
      <w:pPr>
        <w:rPr>
          <w:lang w:eastAsia="en-GB"/>
        </w:rPr>
      </w:pPr>
      <w:r>
        <w:rPr>
          <w:lang w:eastAsia="en-GB"/>
        </w:rPr>
        <w:t> </w:t>
      </w:r>
    </w:p>
    <w:p w14:paraId="101ED385" w14:textId="433D2548" w:rsidR="0015247B" w:rsidRDefault="00FB5221" w:rsidP="003331F2">
      <w:pPr>
        <w:pStyle w:val="Heading1"/>
        <w:numPr>
          <w:ilvl w:val="0"/>
          <w:numId w:val="4"/>
        </w:numPr>
        <w:rPr>
          <w:lang w:eastAsia="en-GB"/>
        </w:rPr>
      </w:pPr>
      <w:r>
        <w:rPr>
          <w:lang w:eastAsia="en-GB"/>
        </w:rPr>
        <w:br w:type="page"/>
      </w:r>
      <w:bookmarkStart w:id="1096" w:name="_Toc498495429"/>
      <w:r w:rsidR="0015247B">
        <w:rPr>
          <w:lang w:eastAsia="en-GB"/>
        </w:rPr>
        <w:t>Contract Breaches</w:t>
      </w:r>
      <w:r w:rsidR="00DD7D4A">
        <w:rPr>
          <w:lang w:eastAsia="en-GB"/>
        </w:rPr>
        <w:t>,</w:t>
      </w:r>
      <w:r w:rsidR="0015247B">
        <w:rPr>
          <w:lang w:eastAsia="en-GB"/>
        </w:rPr>
        <w:t xml:space="preserve"> </w:t>
      </w:r>
      <w:r w:rsidR="00DD7D4A">
        <w:rPr>
          <w:lang w:eastAsia="en-GB"/>
        </w:rPr>
        <w:t xml:space="preserve">Sanctions </w:t>
      </w:r>
      <w:r w:rsidR="0015247B">
        <w:rPr>
          <w:lang w:eastAsia="en-GB"/>
        </w:rPr>
        <w:t>and Termination</w:t>
      </w:r>
      <w:r w:rsidR="00DD7D4A">
        <w:rPr>
          <w:lang w:eastAsia="en-GB"/>
        </w:rPr>
        <w:t>s</w:t>
      </w:r>
      <w:bookmarkEnd w:id="1096"/>
    </w:p>
    <w:p w14:paraId="35817645" w14:textId="77777777" w:rsidR="00445ECA" w:rsidRPr="00445ECA" w:rsidRDefault="00445ECA" w:rsidP="00445ECA">
      <w:pPr>
        <w:rPr>
          <w:lang w:eastAsia="en-GB"/>
        </w:rPr>
      </w:pPr>
    </w:p>
    <w:p w14:paraId="53DE2729" w14:textId="77777777" w:rsidR="00144CDA" w:rsidRPr="003C18BC" w:rsidRDefault="00144CDA" w:rsidP="00144CDA">
      <w:pPr>
        <w:pStyle w:val="Heading2"/>
      </w:pPr>
      <w:bookmarkStart w:id="1097" w:name="_Toc440982155"/>
      <w:bookmarkStart w:id="1098" w:name="_Toc498495430"/>
      <w:r w:rsidRPr="003C18BC">
        <w:t>Introduction</w:t>
      </w:r>
      <w:bookmarkEnd w:id="1097"/>
      <w:bookmarkEnd w:id="1098"/>
    </w:p>
    <w:p w14:paraId="0C912996" w14:textId="77777777" w:rsidR="00144CDA" w:rsidRPr="003C18BC" w:rsidRDefault="00144CDA" w:rsidP="00445ECA">
      <w:pPr>
        <w:pStyle w:val="Heading3"/>
      </w:pPr>
      <w:bookmarkStart w:id="1099" w:name="_Toc440982156"/>
      <w:r w:rsidRPr="003C18BC">
        <w:t>This policy chapter outlines the approach to be taken by the Commissioner when a contract is considered to have been breached. Where processes differ with regards GMS, PMS and APMS contracts, these are highlighted.</w:t>
      </w:r>
      <w:bookmarkEnd w:id="1099"/>
    </w:p>
    <w:p w14:paraId="37F5233A" w14:textId="77777777" w:rsidR="00144CDA" w:rsidRPr="003C18BC" w:rsidRDefault="00144CDA" w:rsidP="00445ECA">
      <w:pPr>
        <w:pStyle w:val="Heading3"/>
      </w:pPr>
      <w:bookmarkStart w:id="1100" w:name="_Toc440982157"/>
      <w:r w:rsidRPr="003C18BC">
        <w:t>Given that any decision to issue a Breach or Remedial Notice, apply sanctions or terminate a contract or agreement can be challenged by the contractor under appeal, it is essential that the Commissioner follows, and can demonstrate that it has followed, due process in investigating, communicating and implementing actions in this respect and that the Commissioner has acted fairly and reasonably throughout.</w:t>
      </w:r>
      <w:bookmarkEnd w:id="1100"/>
      <w:r w:rsidRPr="003C18BC">
        <w:t xml:space="preserve"> </w:t>
      </w:r>
    </w:p>
    <w:p w14:paraId="525549B3" w14:textId="77777777" w:rsidR="00144CDA" w:rsidRPr="003C18BC" w:rsidRDefault="00144CDA" w:rsidP="00445ECA">
      <w:pPr>
        <w:pStyle w:val="Heading3"/>
      </w:pPr>
      <w:bookmarkStart w:id="1101" w:name="_Toc440982158"/>
      <w:r w:rsidRPr="003C18BC">
        <w:t>It is essential that the Commissioner maintains thorough and accurate records of all communications and discussions in respect of all notices under this policy.</w:t>
      </w:r>
      <w:bookmarkEnd w:id="1101"/>
    </w:p>
    <w:p w14:paraId="2CF94BDE" w14:textId="77777777" w:rsidR="00144CDA" w:rsidRPr="003C18BC" w:rsidRDefault="00144CDA" w:rsidP="00445ECA">
      <w:pPr>
        <w:pStyle w:val="Heading3"/>
      </w:pPr>
      <w:r w:rsidRPr="003C18BC">
        <w:t>Commissioners should maintain accurate records of all breaches sanctions and terminations and will be required to demonstrate if requested, evidence of compliance, or otherwise support oversight of primary medical care commissioning arrangements. This may be for example, via NHS England’s Primary Care Activity Report (PCAR) or internal and external audit functions.</w:t>
      </w:r>
    </w:p>
    <w:p w14:paraId="72E05671" w14:textId="77777777" w:rsidR="00144CDA" w:rsidRPr="003C18BC" w:rsidRDefault="00144CDA" w:rsidP="00144CDA">
      <w:pPr>
        <w:pStyle w:val="Heading2"/>
      </w:pPr>
      <w:bookmarkStart w:id="1102" w:name="_Toc440982159"/>
      <w:bookmarkStart w:id="1103" w:name="_Toc498495431"/>
      <w:r w:rsidRPr="003C18BC">
        <w:t>Contract Breaches</w:t>
      </w:r>
      <w:bookmarkEnd w:id="1102"/>
      <w:bookmarkEnd w:id="1103"/>
      <w:r w:rsidRPr="003C18BC">
        <w:t xml:space="preserve"> </w:t>
      </w:r>
    </w:p>
    <w:p w14:paraId="2361223E" w14:textId="77777777" w:rsidR="00144CDA" w:rsidRPr="003C18BC" w:rsidRDefault="00144CDA" w:rsidP="00445ECA">
      <w:pPr>
        <w:pStyle w:val="Heading3"/>
      </w:pPr>
      <w:bookmarkStart w:id="1104" w:name="_Toc440982160"/>
      <w:r w:rsidRPr="003C18BC">
        <w:t>Where the Commissioner considers that a breach has occurred, there are a number of options on how to proceed. The Commissioner can:</w:t>
      </w:r>
      <w:bookmarkEnd w:id="1104"/>
    </w:p>
    <w:p w14:paraId="606B5B4B" w14:textId="77777777" w:rsidR="00144CDA" w:rsidRPr="003C18BC" w:rsidRDefault="00144CDA" w:rsidP="005A7DDA">
      <w:pPr>
        <w:pStyle w:val="Heading3"/>
        <w:numPr>
          <w:ilvl w:val="0"/>
          <w:numId w:val="58"/>
        </w:numPr>
        <w:spacing w:before="120" w:after="120" w:line="276" w:lineRule="auto"/>
        <w:ind w:left="720"/>
        <w:jc w:val="both"/>
        <w:rPr>
          <w:rFonts w:cs="Arial"/>
          <w:szCs w:val="24"/>
        </w:rPr>
      </w:pPr>
      <w:bookmarkStart w:id="1105" w:name="_Toc440982161"/>
      <w:r w:rsidRPr="003C18BC">
        <w:rPr>
          <w:rFonts w:cs="Arial"/>
          <w:szCs w:val="24"/>
        </w:rPr>
        <w:t>take no action;</w:t>
      </w:r>
      <w:bookmarkEnd w:id="1105"/>
    </w:p>
    <w:p w14:paraId="119A43FC" w14:textId="77777777" w:rsidR="00144CDA" w:rsidRPr="003C18BC" w:rsidRDefault="00144CDA" w:rsidP="005A7DDA">
      <w:pPr>
        <w:pStyle w:val="Heading3"/>
        <w:numPr>
          <w:ilvl w:val="0"/>
          <w:numId w:val="58"/>
        </w:numPr>
        <w:spacing w:before="120" w:after="120" w:line="276" w:lineRule="auto"/>
        <w:ind w:left="720"/>
        <w:jc w:val="both"/>
        <w:rPr>
          <w:rFonts w:cs="Arial"/>
          <w:szCs w:val="24"/>
        </w:rPr>
      </w:pPr>
      <w:bookmarkStart w:id="1106" w:name="_Toc440982162"/>
      <w:r w:rsidRPr="003C18BC">
        <w:rPr>
          <w:rFonts w:cs="Arial"/>
          <w:szCs w:val="24"/>
        </w:rPr>
        <w:t>agree an action with the contractor;</w:t>
      </w:r>
      <w:bookmarkEnd w:id="1106"/>
    </w:p>
    <w:p w14:paraId="662ED810" w14:textId="77777777" w:rsidR="00144CDA" w:rsidRPr="003C18BC" w:rsidRDefault="00144CDA" w:rsidP="005A7DDA">
      <w:pPr>
        <w:pStyle w:val="Heading3"/>
        <w:numPr>
          <w:ilvl w:val="0"/>
          <w:numId w:val="58"/>
        </w:numPr>
        <w:spacing w:before="120" w:after="120" w:line="276" w:lineRule="auto"/>
        <w:ind w:left="720"/>
        <w:jc w:val="both"/>
        <w:rPr>
          <w:rFonts w:cs="Arial"/>
          <w:szCs w:val="24"/>
        </w:rPr>
      </w:pPr>
      <w:bookmarkStart w:id="1107" w:name="_Toc440982163"/>
      <w:r w:rsidRPr="003C18BC">
        <w:rPr>
          <w:rFonts w:cs="Arial"/>
          <w:szCs w:val="24"/>
        </w:rPr>
        <w:t>issue a Remedial Notice;</w:t>
      </w:r>
      <w:bookmarkEnd w:id="1107"/>
    </w:p>
    <w:p w14:paraId="2E23BC86" w14:textId="77777777" w:rsidR="00144CDA" w:rsidRPr="003C18BC" w:rsidRDefault="00144CDA" w:rsidP="005A7DDA">
      <w:pPr>
        <w:pStyle w:val="Heading3"/>
        <w:numPr>
          <w:ilvl w:val="0"/>
          <w:numId w:val="58"/>
        </w:numPr>
        <w:spacing w:before="120" w:after="120" w:line="276" w:lineRule="auto"/>
        <w:ind w:left="720"/>
        <w:jc w:val="both"/>
        <w:rPr>
          <w:rFonts w:cs="Arial"/>
          <w:szCs w:val="24"/>
        </w:rPr>
      </w:pPr>
      <w:bookmarkStart w:id="1108" w:name="_Toc440982164"/>
      <w:r w:rsidRPr="003C18BC">
        <w:rPr>
          <w:rFonts w:cs="Arial"/>
          <w:szCs w:val="24"/>
        </w:rPr>
        <w:t>issue a Breach Notice;</w:t>
      </w:r>
      <w:bookmarkEnd w:id="1108"/>
    </w:p>
    <w:p w14:paraId="2C042AEF" w14:textId="77777777" w:rsidR="00144CDA" w:rsidRPr="003C18BC" w:rsidRDefault="00144CDA" w:rsidP="005A7DDA">
      <w:pPr>
        <w:pStyle w:val="Heading3"/>
        <w:numPr>
          <w:ilvl w:val="0"/>
          <w:numId w:val="58"/>
        </w:numPr>
        <w:spacing w:before="120" w:after="120" w:line="276" w:lineRule="auto"/>
        <w:ind w:left="720"/>
        <w:jc w:val="both"/>
        <w:rPr>
          <w:rFonts w:cs="Arial"/>
          <w:szCs w:val="24"/>
        </w:rPr>
      </w:pPr>
      <w:bookmarkStart w:id="1109" w:name="_Toc440982165"/>
      <w:r w:rsidRPr="003C18BC">
        <w:rPr>
          <w:rFonts w:cs="Arial"/>
          <w:szCs w:val="24"/>
        </w:rPr>
        <w:t>apply a Contract Sanction; or</w:t>
      </w:r>
      <w:bookmarkEnd w:id="1109"/>
    </w:p>
    <w:p w14:paraId="36EFECE4" w14:textId="77777777" w:rsidR="00144CDA" w:rsidRPr="003C18BC" w:rsidRDefault="00144CDA" w:rsidP="005A7DDA">
      <w:pPr>
        <w:pStyle w:val="Heading3"/>
        <w:numPr>
          <w:ilvl w:val="0"/>
          <w:numId w:val="58"/>
        </w:numPr>
        <w:spacing w:before="120" w:after="120" w:line="276" w:lineRule="auto"/>
        <w:ind w:left="720"/>
        <w:jc w:val="both"/>
        <w:rPr>
          <w:rFonts w:cs="Arial"/>
          <w:szCs w:val="24"/>
        </w:rPr>
      </w:pPr>
      <w:bookmarkStart w:id="1110" w:name="_Toc440982166"/>
      <w:r w:rsidRPr="003C18BC">
        <w:rPr>
          <w:rFonts w:cs="Arial"/>
          <w:szCs w:val="24"/>
        </w:rPr>
        <w:t>terminate the contract.</w:t>
      </w:r>
      <w:bookmarkEnd w:id="1110"/>
    </w:p>
    <w:p w14:paraId="2D5FA70B" w14:textId="77777777" w:rsidR="00144CDA" w:rsidRPr="003C18BC" w:rsidRDefault="00144CDA" w:rsidP="00445ECA">
      <w:pPr>
        <w:pStyle w:val="Heading3"/>
      </w:pPr>
      <w:bookmarkStart w:id="1111" w:name="_Toc440982167"/>
      <w:r w:rsidRPr="003C18BC">
        <w:t>Doing nothing and agreeing an action with the contractor are options that are always available to the Commissioner. The remaining options may only be applied in specific situations as envisaged by the contract.</w:t>
      </w:r>
      <w:bookmarkEnd w:id="1111"/>
      <w:r w:rsidRPr="003C18BC">
        <w:t xml:space="preserve"> </w:t>
      </w:r>
    </w:p>
    <w:p w14:paraId="49981E06" w14:textId="77777777" w:rsidR="00144CDA" w:rsidRPr="003C18BC" w:rsidRDefault="00144CDA" w:rsidP="00445ECA">
      <w:pPr>
        <w:pStyle w:val="Heading3"/>
      </w:pPr>
      <w:bookmarkStart w:id="1112" w:name="_Toc440982168"/>
      <w:r w:rsidRPr="003C18BC">
        <w:t>The following paragraphs set out the circumstances in which a Remedial Notice or a Breach Notice may be issued, a Contract Sanction may be applied or the contract may be terminated with an explanation of the relevant process that the Commissioner must follow.</w:t>
      </w:r>
      <w:bookmarkEnd w:id="1112"/>
      <w:r w:rsidRPr="003C18BC">
        <w:t xml:space="preserve"> </w:t>
      </w:r>
    </w:p>
    <w:p w14:paraId="6BC49B87" w14:textId="77777777" w:rsidR="00144CDA" w:rsidRPr="003C18BC" w:rsidRDefault="00144CDA" w:rsidP="00445ECA">
      <w:pPr>
        <w:pStyle w:val="Heading3"/>
      </w:pPr>
      <w:bookmarkStart w:id="1113" w:name="_Toc440982169"/>
      <w:r w:rsidRPr="003C18BC">
        <w:t>The Commissioner must ensure that, when issuing a Remedial or Breach Notice, applying a Contract Sanction or terminating a contract, it follows the proper internal processes around approval of the action, compliance with any standing orders and due consideration of all relevant factors in the decision making process.</w:t>
      </w:r>
      <w:bookmarkEnd w:id="1113"/>
    </w:p>
    <w:p w14:paraId="708F7197" w14:textId="77777777" w:rsidR="00144CDA" w:rsidRPr="003C18BC" w:rsidRDefault="00144CDA" w:rsidP="003331F2">
      <w:pPr>
        <w:pStyle w:val="BodyText"/>
      </w:pPr>
    </w:p>
    <w:tbl>
      <w:tblPr>
        <w:tblStyle w:val="TableGrid"/>
        <w:tblW w:w="0" w:type="auto"/>
        <w:tblInd w:w="1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C6CB4"/>
        <w:tblCellMar>
          <w:top w:w="227" w:type="dxa"/>
          <w:left w:w="227" w:type="dxa"/>
          <w:bottom w:w="227" w:type="dxa"/>
          <w:right w:w="227" w:type="dxa"/>
        </w:tblCellMar>
        <w:tblLook w:val="04A0" w:firstRow="1" w:lastRow="0" w:firstColumn="1" w:lastColumn="0" w:noHBand="0" w:noVBand="1"/>
        <w:tblCaption w:val="a text box"/>
        <w:tblDescription w:val="a text box"/>
      </w:tblPr>
      <w:tblGrid>
        <w:gridCol w:w="7654"/>
      </w:tblGrid>
      <w:tr w:rsidR="00552572" w:rsidRPr="00552572" w14:paraId="7F15269E" w14:textId="77777777" w:rsidTr="00371D3A">
        <w:trPr>
          <w:tblHeader/>
        </w:trPr>
        <w:tc>
          <w:tcPr>
            <w:tcW w:w="7654" w:type="dxa"/>
            <w:shd w:val="clear" w:color="auto" w:fill="1C6CB4"/>
          </w:tcPr>
          <w:p w14:paraId="4A05AF1B" w14:textId="77777777" w:rsidR="00144CDA" w:rsidRPr="00552572" w:rsidRDefault="00144CDA" w:rsidP="00552572">
            <w:pPr>
              <w:pStyle w:val="BodyText"/>
              <w:rPr>
                <w:color w:val="FFFFFF" w:themeColor="background1"/>
                <w:sz w:val="24"/>
                <w:szCs w:val="24"/>
              </w:rPr>
            </w:pPr>
            <w:bookmarkStart w:id="1114" w:name="_Toc440982170"/>
            <w:r w:rsidRPr="00552572">
              <w:rPr>
                <w:color w:val="FFFFFF" w:themeColor="background1"/>
                <w:sz w:val="24"/>
                <w:szCs w:val="24"/>
              </w:rPr>
              <w:t>Co-commissioning - delegated commissioning arrangements</w:t>
            </w:r>
            <w:bookmarkEnd w:id="1114"/>
          </w:p>
          <w:p w14:paraId="571B8562" w14:textId="77777777" w:rsidR="00144CDA" w:rsidRPr="00552572" w:rsidRDefault="00144CDA" w:rsidP="00552572">
            <w:pPr>
              <w:pStyle w:val="BodyText"/>
              <w:rPr>
                <w:b/>
                <w:color w:val="FFFFFF" w:themeColor="background1"/>
                <w:sz w:val="24"/>
                <w:szCs w:val="24"/>
              </w:rPr>
            </w:pPr>
            <w:r w:rsidRPr="00552572">
              <w:rPr>
                <w:color w:val="FFFFFF" w:themeColor="background1"/>
                <w:sz w:val="24"/>
                <w:szCs w:val="24"/>
              </w:rPr>
              <w:t xml:space="preserve">A CCG that has delegated commissioning arrangements will have entered into a Delegation Agreement with NHS England setting out the scope of those arrangements. </w:t>
            </w:r>
          </w:p>
          <w:p w14:paraId="55D8F3FD" w14:textId="77777777" w:rsidR="00144CDA" w:rsidRPr="00552572" w:rsidRDefault="00144CDA" w:rsidP="00552572">
            <w:pPr>
              <w:pStyle w:val="BodyText"/>
              <w:rPr>
                <w:color w:val="FFFFFF" w:themeColor="background1"/>
              </w:rPr>
            </w:pPr>
            <w:bookmarkStart w:id="1115" w:name="_Toc440982171"/>
            <w:r w:rsidRPr="00552572">
              <w:rPr>
                <w:color w:val="FFFFFF" w:themeColor="background1"/>
                <w:sz w:val="24"/>
                <w:szCs w:val="24"/>
              </w:rPr>
              <w:t>The Delegation Agreement reserves primary medical services functions that relate to performers lists to NHS England. Circumstances that may result in the issue of a Breach Notice, a Remedial Notice, a Contract Sanction or may lead the Commissioner to consider termination may relate to or include reference to performers lists matters. Where this is the case, the Delegation Agreement requires the CCG to work collaboratively with NHS England and support and assist NHS England to carry out its performers lists functions.</w:t>
            </w:r>
            <w:bookmarkEnd w:id="1115"/>
          </w:p>
        </w:tc>
      </w:tr>
    </w:tbl>
    <w:p w14:paraId="6977894F" w14:textId="77777777" w:rsidR="00144CDA" w:rsidRPr="003C18BC" w:rsidRDefault="00144CDA" w:rsidP="00144CDA">
      <w:pPr>
        <w:pStyle w:val="Body3"/>
        <w:spacing w:before="120" w:after="120" w:line="276" w:lineRule="auto"/>
        <w:ind w:left="0"/>
        <w:rPr>
          <w:rFonts w:cs="Arial"/>
          <w:sz w:val="24"/>
          <w:szCs w:val="24"/>
        </w:rPr>
      </w:pPr>
    </w:p>
    <w:p w14:paraId="29DB9CF4" w14:textId="77777777" w:rsidR="00144CDA" w:rsidRPr="003C18BC" w:rsidRDefault="00144CDA" w:rsidP="00144CDA">
      <w:pPr>
        <w:pStyle w:val="Heading2"/>
      </w:pPr>
      <w:bookmarkStart w:id="1116" w:name="_Toc440982172"/>
      <w:bookmarkStart w:id="1117" w:name="_Toc498495432"/>
      <w:r w:rsidRPr="003C18BC">
        <w:t>Remedial Notices and Breach Notices</w:t>
      </w:r>
      <w:bookmarkEnd w:id="1116"/>
      <w:bookmarkEnd w:id="1117"/>
    </w:p>
    <w:p w14:paraId="6920FCC7" w14:textId="77777777" w:rsidR="00144CDA" w:rsidRPr="003C18BC" w:rsidRDefault="00144CDA" w:rsidP="00445ECA">
      <w:pPr>
        <w:pStyle w:val="Heading3"/>
      </w:pPr>
      <w:bookmarkStart w:id="1118" w:name="_Toc440982173"/>
      <w:r w:rsidRPr="003C18BC">
        <w:t>The GMS Regulations, the PMS Regulations and the APMS Directions make a clear distinction between the process to be followed where a breach is capable of remedy and the process where a breach is not capable of remedy.</w:t>
      </w:r>
      <w:bookmarkEnd w:id="1118"/>
    </w:p>
    <w:p w14:paraId="318E4AB7" w14:textId="77777777" w:rsidR="00144CDA" w:rsidRPr="003C18BC" w:rsidRDefault="00144CDA" w:rsidP="00445ECA">
      <w:pPr>
        <w:pStyle w:val="Heading3"/>
        <w:rPr>
          <w:b/>
        </w:rPr>
      </w:pPr>
      <w:bookmarkStart w:id="1119" w:name="_Toc440982174"/>
      <w:r w:rsidRPr="003C18BC">
        <w:rPr>
          <w:b/>
        </w:rPr>
        <w:t>GMS/PMS</w:t>
      </w:r>
      <w:r w:rsidRPr="003C18BC">
        <w:t xml:space="preserve"> - Where a breach is capable of remedy, a Remedial Notice must be issued before the Commissioner takes any other action under the contract (such as termination). Where a breach is not capable of remedy, a Breach Notice must be issued before the Commissioner takes any other action under the contract (such as termination).</w:t>
      </w:r>
      <w:bookmarkEnd w:id="1119"/>
      <w:r w:rsidRPr="003C18BC">
        <w:rPr>
          <w:b/>
        </w:rPr>
        <w:t xml:space="preserve"> </w:t>
      </w:r>
    </w:p>
    <w:p w14:paraId="3AD521F4" w14:textId="77777777" w:rsidR="00144CDA" w:rsidRPr="003C18BC" w:rsidRDefault="00144CDA" w:rsidP="00445ECA">
      <w:pPr>
        <w:pStyle w:val="Heading3"/>
      </w:pPr>
      <w:bookmarkStart w:id="1120" w:name="_Toc440982175"/>
      <w:r w:rsidRPr="003C18BC">
        <w:rPr>
          <w:b/>
        </w:rPr>
        <w:t>APMS</w:t>
      </w:r>
      <w:r w:rsidRPr="003C18BC">
        <w:t xml:space="preserve"> - Contracts are not required to contain provisions relating to Remedial or Breach Notices. The NHS England Standard Alternative Provider Medical Services Contract 2014/15 does, however, contain these provisions. Where there is a potential breach of an APMS contract, the Commissioner should always review the actual wording of the contract to ensure the right process is followed.</w:t>
      </w:r>
      <w:bookmarkEnd w:id="1120"/>
      <w:r w:rsidRPr="003C18BC">
        <w:t xml:space="preserve"> </w:t>
      </w:r>
    </w:p>
    <w:p w14:paraId="1D844E75" w14:textId="77777777" w:rsidR="00144CDA" w:rsidRPr="003C18BC" w:rsidRDefault="00144CDA" w:rsidP="00144CDA">
      <w:pPr>
        <w:pStyle w:val="Body1"/>
        <w:spacing w:before="120" w:after="120" w:line="276" w:lineRule="auto"/>
        <w:rPr>
          <w:rFonts w:cs="Arial"/>
          <w:sz w:val="24"/>
          <w:szCs w:val="24"/>
        </w:rPr>
      </w:pPr>
      <w:r w:rsidRPr="003C18BC">
        <w:rPr>
          <w:rFonts w:cs="Arial"/>
          <w:sz w:val="24"/>
          <w:szCs w:val="24"/>
        </w:rPr>
        <w:br/>
        <w:t>Remedial Notice</w:t>
      </w:r>
    </w:p>
    <w:p w14:paraId="77C2968C" w14:textId="77777777" w:rsidR="00144CDA" w:rsidRPr="003C18BC" w:rsidRDefault="00144CDA" w:rsidP="00445ECA">
      <w:pPr>
        <w:pStyle w:val="Heading3"/>
      </w:pPr>
      <w:bookmarkStart w:id="1121" w:name="_Toc440982176"/>
      <w:r w:rsidRPr="003C18BC">
        <w:t>Where a contractor has breached the contract and the breach is determined to be capable of remedy, the Commissioner may issue a Remedial Notice to the contractor setting out the actions that must be taken to remedy the breach.</w:t>
      </w:r>
      <w:bookmarkEnd w:id="1121"/>
    </w:p>
    <w:p w14:paraId="7F1673F7" w14:textId="77777777" w:rsidR="00144CDA" w:rsidRPr="003C18BC" w:rsidRDefault="00144CDA" w:rsidP="00445ECA">
      <w:pPr>
        <w:pStyle w:val="Heading3"/>
      </w:pPr>
      <w:bookmarkStart w:id="1122" w:name="_Toc440982177"/>
      <w:r w:rsidRPr="003C18BC">
        <w:t>A flowchart highlighting the main steps that the Commissioner should take when issuing a Remedial Notice is set out in Annex 1.</w:t>
      </w:r>
      <w:bookmarkEnd w:id="1122"/>
    </w:p>
    <w:p w14:paraId="1B6BB55B" w14:textId="77777777" w:rsidR="00144CDA" w:rsidRPr="003C18BC" w:rsidRDefault="00144CDA" w:rsidP="00445ECA">
      <w:pPr>
        <w:pStyle w:val="Heading3"/>
      </w:pPr>
      <w:bookmarkStart w:id="1123" w:name="_Toc440982178"/>
      <w:r w:rsidRPr="003C18BC">
        <w:t xml:space="preserve">The Commissioner must issue a Remedial Notice before it takes any other action it is entitled to take under the contract, except where the breach relates to the rights of termination set out below. This is because the Commissioner has a right to terminate the contract immediately for a breach of any of the circumstances set out below. These rights of termination are explained in more detail in paragraph </w:t>
      </w:r>
      <w:r w:rsidRPr="003C18BC">
        <w:fldChar w:fldCharType="begin"/>
      </w:r>
      <w:r w:rsidRPr="003C18BC">
        <w:instrText xml:space="preserve"> REF _Ref409600317 \r \h  \* MERGEFORMAT </w:instrText>
      </w:r>
      <w:r w:rsidRPr="003C18BC">
        <w:fldChar w:fldCharType="separate"/>
      </w:r>
      <w:r w:rsidR="00622FF2">
        <w:t>1.7</w:t>
      </w:r>
      <w:r w:rsidRPr="003C18BC">
        <w:fldChar w:fldCharType="end"/>
      </w:r>
      <w:r w:rsidRPr="003C18BC">
        <w:t xml:space="preserve"> of this policy:</w:t>
      </w:r>
      <w:bookmarkEnd w:id="1123"/>
    </w:p>
    <w:p w14:paraId="0E1929D2" w14:textId="77777777" w:rsidR="00144CDA" w:rsidRPr="003C18BC" w:rsidRDefault="00144CDA" w:rsidP="005A7DDA">
      <w:pPr>
        <w:pStyle w:val="Heading3"/>
        <w:numPr>
          <w:ilvl w:val="0"/>
          <w:numId w:val="58"/>
        </w:numPr>
        <w:spacing w:before="120" w:after="120" w:line="276" w:lineRule="auto"/>
        <w:ind w:left="720"/>
        <w:jc w:val="both"/>
        <w:rPr>
          <w:rFonts w:cs="Arial"/>
          <w:szCs w:val="24"/>
        </w:rPr>
      </w:pPr>
      <w:bookmarkStart w:id="1124" w:name="_Toc440982179"/>
      <w:r w:rsidRPr="003C18BC">
        <w:rPr>
          <w:rFonts w:cs="Arial"/>
          <w:szCs w:val="24"/>
        </w:rPr>
        <w:t>provision of untrue information;</w:t>
      </w:r>
      <w:bookmarkEnd w:id="1124"/>
    </w:p>
    <w:p w14:paraId="766614E2" w14:textId="41B8A6CD" w:rsidR="00144CDA" w:rsidRPr="003C18BC" w:rsidRDefault="00144CDA" w:rsidP="005A7DDA">
      <w:pPr>
        <w:pStyle w:val="Heading3"/>
        <w:numPr>
          <w:ilvl w:val="0"/>
          <w:numId w:val="58"/>
        </w:numPr>
        <w:spacing w:before="120" w:after="120" w:line="276" w:lineRule="auto"/>
        <w:ind w:left="720"/>
        <w:jc w:val="both"/>
        <w:rPr>
          <w:rFonts w:cs="Arial"/>
          <w:szCs w:val="24"/>
        </w:rPr>
      </w:pPr>
      <w:bookmarkStart w:id="1125" w:name="_Toc440982180"/>
      <w:r w:rsidRPr="003C18BC">
        <w:rPr>
          <w:rFonts w:cs="Arial"/>
          <w:szCs w:val="24"/>
        </w:rPr>
        <w:t>fitness to practi</w:t>
      </w:r>
      <w:r w:rsidR="001B14F9">
        <w:rPr>
          <w:rFonts w:cs="Arial"/>
          <w:szCs w:val="24"/>
        </w:rPr>
        <w:t>s</w:t>
      </w:r>
      <w:r w:rsidRPr="003C18BC">
        <w:rPr>
          <w:rFonts w:cs="Arial"/>
          <w:szCs w:val="24"/>
        </w:rPr>
        <w:t>e matters;</w:t>
      </w:r>
      <w:bookmarkEnd w:id="1125"/>
    </w:p>
    <w:p w14:paraId="453C19C3" w14:textId="77777777" w:rsidR="00144CDA" w:rsidRPr="003C18BC" w:rsidRDefault="00144CDA" w:rsidP="005A7DDA">
      <w:pPr>
        <w:pStyle w:val="Heading3"/>
        <w:numPr>
          <w:ilvl w:val="0"/>
          <w:numId w:val="58"/>
        </w:numPr>
        <w:spacing w:before="120" w:after="120" w:line="276" w:lineRule="auto"/>
        <w:ind w:left="720"/>
        <w:jc w:val="both"/>
        <w:rPr>
          <w:rFonts w:cs="Arial"/>
          <w:szCs w:val="24"/>
        </w:rPr>
      </w:pPr>
      <w:bookmarkStart w:id="1126" w:name="_Toc440982181"/>
      <w:r w:rsidRPr="003C18BC">
        <w:rPr>
          <w:rFonts w:cs="Arial"/>
          <w:szCs w:val="24"/>
        </w:rPr>
        <w:t>a serious risk to patient safety or risk of financial loss to NHS England;</w:t>
      </w:r>
      <w:bookmarkEnd w:id="1126"/>
    </w:p>
    <w:p w14:paraId="2DB52AD4" w14:textId="77777777" w:rsidR="00144CDA" w:rsidRPr="003C18BC" w:rsidRDefault="00144CDA" w:rsidP="005A7DDA">
      <w:pPr>
        <w:pStyle w:val="Heading3"/>
        <w:numPr>
          <w:ilvl w:val="0"/>
          <w:numId w:val="58"/>
        </w:numPr>
        <w:spacing w:before="120" w:after="120" w:line="276" w:lineRule="auto"/>
        <w:ind w:left="720"/>
        <w:jc w:val="both"/>
        <w:rPr>
          <w:rFonts w:cs="Arial"/>
          <w:szCs w:val="24"/>
        </w:rPr>
      </w:pPr>
      <w:bookmarkStart w:id="1127" w:name="_Toc440982182"/>
      <w:r w:rsidRPr="003C18BC">
        <w:rPr>
          <w:rFonts w:cs="Arial"/>
          <w:szCs w:val="24"/>
        </w:rPr>
        <w:t>unlawful sub-contracting; and</w:t>
      </w:r>
      <w:bookmarkEnd w:id="1127"/>
    </w:p>
    <w:p w14:paraId="1A38CA74" w14:textId="77777777" w:rsidR="00144CDA" w:rsidRPr="003C18BC" w:rsidRDefault="00144CDA" w:rsidP="005A7DDA">
      <w:pPr>
        <w:pStyle w:val="Heading3"/>
        <w:numPr>
          <w:ilvl w:val="0"/>
          <w:numId w:val="58"/>
        </w:numPr>
        <w:spacing w:before="120" w:after="120" w:line="276" w:lineRule="auto"/>
        <w:ind w:left="720"/>
        <w:jc w:val="both"/>
        <w:rPr>
          <w:rFonts w:cs="Arial"/>
          <w:szCs w:val="24"/>
        </w:rPr>
      </w:pPr>
      <w:bookmarkStart w:id="1128" w:name="_Toc440982183"/>
      <w:r w:rsidRPr="003C18BC">
        <w:rPr>
          <w:rFonts w:cs="Arial"/>
          <w:szCs w:val="24"/>
        </w:rPr>
        <w:t>in the case of a GMS contract, issues relating to the contractor's eligibility to hold the contract.</w:t>
      </w:r>
      <w:bookmarkEnd w:id="1128"/>
    </w:p>
    <w:p w14:paraId="0FBB89E7" w14:textId="77777777" w:rsidR="00144CDA" w:rsidRPr="003C18BC" w:rsidRDefault="00144CDA" w:rsidP="00445ECA">
      <w:pPr>
        <w:pStyle w:val="Heading3"/>
        <w:ind w:left="1080"/>
      </w:pPr>
      <w:bookmarkStart w:id="1129" w:name="_Toc440982184"/>
      <w:r w:rsidRPr="003C18BC">
        <w:t>A breach capable of remedy is where the breach continues but the contractor could take action to stop the breach. Examples of breaches that may be capable of remedy include:</w:t>
      </w:r>
      <w:bookmarkEnd w:id="1129"/>
    </w:p>
    <w:p w14:paraId="28A61A84" w14:textId="77777777" w:rsidR="00144CDA" w:rsidRPr="003C18BC" w:rsidRDefault="00144CDA" w:rsidP="005A7DDA">
      <w:pPr>
        <w:pStyle w:val="Heading3"/>
        <w:numPr>
          <w:ilvl w:val="0"/>
          <w:numId w:val="58"/>
        </w:numPr>
        <w:spacing w:before="120" w:after="120" w:line="276" w:lineRule="auto"/>
        <w:ind w:left="720"/>
        <w:jc w:val="both"/>
        <w:rPr>
          <w:rFonts w:cs="Arial"/>
          <w:szCs w:val="24"/>
        </w:rPr>
      </w:pPr>
      <w:bookmarkStart w:id="1130" w:name="_Toc440982185"/>
      <w:r w:rsidRPr="003C18BC">
        <w:rPr>
          <w:rFonts w:cs="Arial"/>
          <w:szCs w:val="24"/>
        </w:rPr>
        <w:t>failure to compile a practice leaflet; or</w:t>
      </w:r>
      <w:bookmarkEnd w:id="1130"/>
    </w:p>
    <w:p w14:paraId="07540B41" w14:textId="77777777" w:rsidR="00144CDA" w:rsidRPr="003C18BC" w:rsidRDefault="00144CDA" w:rsidP="005A7DDA">
      <w:pPr>
        <w:pStyle w:val="Heading3"/>
        <w:numPr>
          <w:ilvl w:val="0"/>
          <w:numId w:val="58"/>
        </w:numPr>
        <w:spacing w:before="120" w:after="120" w:line="276" w:lineRule="auto"/>
        <w:ind w:left="720"/>
        <w:jc w:val="both"/>
        <w:rPr>
          <w:rFonts w:cs="Arial"/>
          <w:szCs w:val="24"/>
        </w:rPr>
      </w:pPr>
      <w:bookmarkStart w:id="1131" w:name="_Toc440982186"/>
      <w:r w:rsidRPr="003C18BC">
        <w:rPr>
          <w:rFonts w:cs="Arial"/>
          <w:szCs w:val="24"/>
        </w:rPr>
        <w:t>failure to provide information to the Commissioner.</w:t>
      </w:r>
      <w:bookmarkEnd w:id="1131"/>
    </w:p>
    <w:p w14:paraId="3E407329" w14:textId="63E3CB41" w:rsidR="00144CDA" w:rsidRPr="003C18BC" w:rsidRDefault="00144CDA" w:rsidP="00445ECA">
      <w:pPr>
        <w:pStyle w:val="Heading3"/>
      </w:pPr>
      <w:bookmarkStart w:id="1132" w:name="_Toc440982187"/>
      <w:r w:rsidRPr="003C18BC">
        <w:t xml:space="preserve">Where the breach creates a serious risk to patient safety, the Commissioner can take more immediate action, regardless of whether the breach is capable of remedy or not. For further information on this, please refer to paragraph </w:t>
      </w:r>
      <w:r w:rsidR="008D23C2">
        <w:t>1.7.32</w:t>
      </w:r>
      <w:r w:rsidRPr="003C18BC">
        <w:t xml:space="preserve"> of this policy.</w:t>
      </w:r>
      <w:bookmarkEnd w:id="1132"/>
    </w:p>
    <w:p w14:paraId="71FAE950" w14:textId="77777777" w:rsidR="00BA5AD7" w:rsidRPr="00BA5AD7" w:rsidRDefault="00BA5AD7" w:rsidP="00BA5AD7">
      <w:pPr>
        <w:pStyle w:val="Heading3"/>
      </w:pPr>
      <w:bookmarkStart w:id="1133" w:name="_Toc440982188"/>
      <w:bookmarkStart w:id="1134" w:name="_Ref409796260"/>
      <w:bookmarkStart w:id="1135" w:name="_Toc440982194"/>
      <w:r w:rsidRPr="00BA5AD7">
        <w:t>Where the Commissioner has determined that a breach is capable of remedy, the Commissioner may, depending on the nature and circumstances of a breach take the following steps.  These steps do not prejudice or delay a Commissioners right to issue a Remedial Notice at any point before or during any of these steps being taken where the Commissioner reasonably considers it is appropriate to do so:</w:t>
      </w:r>
      <w:bookmarkEnd w:id="1133"/>
    </w:p>
    <w:p w14:paraId="41D5A8B5" w14:textId="77777777" w:rsidR="00BA5AD7" w:rsidRPr="003C18BC" w:rsidRDefault="00BA5AD7" w:rsidP="00BA5AD7">
      <w:pPr>
        <w:pStyle w:val="Heading4"/>
      </w:pPr>
      <w:bookmarkStart w:id="1136" w:name="_Toc440982189"/>
      <w:r>
        <w:t>T</w:t>
      </w:r>
      <w:r w:rsidRPr="003C18BC">
        <w:t>he Commissioner should contact the contractor to discuss the breach and the action that they may be entitled to take, i.e. the issue of a Remedial Notice.</w:t>
      </w:r>
      <w:bookmarkEnd w:id="1136"/>
      <w:r>
        <w:t xml:space="preserve">  .</w:t>
      </w:r>
    </w:p>
    <w:p w14:paraId="3CB61154" w14:textId="77777777" w:rsidR="00BA5AD7" w:rsidRPr="003C18BC" w:rsidRDefault="00BA5AD7" w:rsidP="00BA5AD7">
      <w:pPr>
        <w:pStyle w:val="Heading4"/>
      </w:pPr>
      <w:bookmarkStart w:id="1137" w:name="_Toc440982190"/>
      <w:r>
        <w:t xml:space="preserve">This discussion should provide the contractor with an </w:t>
      </w:r>
      <w:r w:rsidRPr="00183DE1">
        <w:t>opportunity to provide an explanation as to the circumstances that led to the breach</w:t>
      </w:r>
      <w:r>
        <w:t>.  An accurate minute of any discussions should be retained</w:t>
      </w:r>
      <w:r w:rsidRPr="00183DE1" w:rsidDel="00BE75CD">
        <w:t xml:space="preserve"> </w:t>
      </w:r>
      <w:bookmarkEnd w:id="1137"/>
      <w:r>
        <w:t>.</w:t>
      </w:r>
    </w:p>
    <w:p w14:paraId="2FC39ABC" w14:textId="77777777" w:rsidR="00BA5AD7" w:rsidRPr="007C5009" w:rsidRDefault="00BA5AD7" w:rsidP="00BA5AD7">
      <w:pPr>
        <w:pStyle w:val="Heading4"/>
        <w:rPr>
          <w:rFonts w:cs="Times New Roman"/>
          <w:sz w:val="20"/>
          <w:szCs w:val="20"/>
        </w:rPr>
      </w:pPr>
      <w:bookmarkStart w:id="1138" w:name="_Toc440982191"/>
      <w:r w:rsidRPr="00183DE1">
        <w:t xml:space="preserve">The Commissioner should </w:t>
      </w:r>
      <w:r>
        <w:t xml:space="preserve"> review the evidence related to the breach including any information received during the discussion or in representations </w:t>
      </w:r>
      <w:bookmarkEnd w:id="1138"/>
      <w:r>
        <w:t>.</w:t>
      </w:r>
    </w:p>
    <w:p w14:paraId="7E13E241" w14:textId="77777777" w:rsidR="00BA5AD7" w:rsidRPr="00183DE1" w:rsidRDefault="00BA5AD7" w:rsidP="00BA5AD7">
      <w:pPr>
        <w:pStyle w:val="Heading4"/>
      </w:pPr>
      <w:bookmarkStart w:id="1139" w:name="_Toc440982192"/>
      <w:r w:rsidRPr="00183DE1">
        <w:t>If the Commissioner is satisfied that the matter is a breach which is capable of remedy, then the Commissioner may issue a Remedial Notice to the contractor, requiring the contractor to remedy the breach.</w:t>
      </w:r>
      <w:bookmarkEnd w:id="1139"/>
    </w:p>
    <w:p w14:paraId="5BDBCE26" w14:textId="77777777" w:rsidR="00BA5AD7" w:rsidRPr="003C18BC" w:rsidRDefault="00BA5AD7" w:rsidP="00BA5AD7">
      <w:pPr>
        <w:pStyle w:val="Heading4"/>
      </w:pPr>
      <w:bookmarkStart w:id="1140" w:name="_Toc440982193"/>
      <w:r w:rsidRPr="003C18BC">
        <w:t>It is important that when the steps above are undertaken, this is completed as quickly as is reasonably possible as long delays between the breach occurring, or the Commissioner becoming aware of the breach, and the Remedial Notice being issued, could lead to an argument that the Commissioner has accepted the breach and waived its right to take action.</w:t>
      </w:r>
      <w:bookmarkEnd w:id="1140"/>
      <w:r>
        <w:t xml:space="preserve"> The Commissioner will need to decide what action it considers would be reasonable to take before issuing a Remedial Notice taking into account the circumstances of an individual breach. </w:t>
      </w:r>
    </w:p>
    <w:p w14:paraId="17D32A24" w14:textId="77777777" w:rsidR="00144CDA" w:rsidRPr="003C18BC" w:rsidRDefault="00144CDA" w:rsidP="00445ECA">
      <w:pPr>
        <w:pStyle w:val="Heading3"/>
      </w:pPr>
      <w:r w:rsidRPr="003C18BC">
        <w:t>A Remedial Notice must specify:</w:t>
      </w:r>
      <w:bookmarkEnd w:id="1134"/>
      <w:bookmarkEnd w:id="1135"/>
    </w:p>
    <w:p w14:paraId="1B04789A" w14:textId="77777777" w:rsidR="00144CDA" w:rsidRPr="003C18BC" w:rsidRDefault="00144CDA" w:rsidP="00836ECF">
      <w:pPr>
        <w:pStyle w:val="Heading3"/>
        <w:numPr>
          <w:ilvl w:val="2"/>
          <w:numId w:val="34"/>
        </w:numPr>
        <w:tabs>
          <w:tab w:val="clear" w:pos="0"/>
          <w:tab w:val="num" w:pos="2393"/>
        </w:tabs>
        <w:spacing w:before="120" w:after="120" w:line="276" w:lineRule="auto"/>
        <w:ind w:left="2393" w:hanging="953"/>
        <w:jc w:val="both"/>
        <w:rPr>
          <w:rFonts w:cs="Arial"/>
          <w:szCs w:val="24"/>
        </w:rPr>
      </w:pPr>
      <w:bookmarkStart w:id="1141" w:name="_Toc440982195"/>
      <w:r w:rsidRPr="003C18BC">
        <w:rPr>
          <w:rFonts w:cs="Arial"/>
          <w:szCs w:val="24"/>
        </w:rPr>
        <w:t>details of the breach, which led to the Remedial Notice being issued and any evidence gathered in respect of the breach;</w:t>
      </w:r>
      <w:bookmarkEnd w:id="1141"/>
    </w:p>
    <w:p w14:paraId="15937767" w14:textId="77777777" w:rsidR="00144CDA" w:rsidRPr="003C18BC" w:rsidRDefault="00144CDA" w:rsidP="00836ECF">
      <w:pPr>
        <w:pStyle w:val="Heading3"/>
        <w:numPr>
          <w:ilvl w:val="2"/>
          <w:numId w:val="34"/>
        </w:numPr>
        <w:tabs>
          <w:tab w:val="clear" w:pos="0"/>
          <w:tab w:val="num" w:pos="2393"/>
        </w:tabs>
        <w:spacing w:before="120" w:after="120" w:line="276" w:lineRule="auto"/>
        <w:ind w:left="2393" w:hanging="953"/>
        <w:jc w:val="both"/>
        <w:rPr>
          <w:rFonts w:cs="Arial"/>
          <w:szCs w:val="24"/>
        </w:rPr>
      </w:pPr>
      <w:bookmarkStart w:id="1142" w:name="_Toc440982196"/>
      <w:r w:rsidRPr="003C18BC">
        <w:rPr>
          <w:rFonts w:cs="Arial"/>
          <w:szCs w:val="24"/>
        </w:rPr>
        <w:t>the steps the contractor must take in order to remedy the breach to the Commissioner's satisfaction;</w:t>
      </w:r>
      <w:bookmarkEnd w:id="1142"/>
    </w:p>
    <w:p w14:paraId="55585A85" w14:textId="77777777" w:rsidR="00144CDA" w:rsidRPr="003C18BC" w:rsidRDefault="00144CDA" w:rsidP="00836ECF">
      <w:pPr>
        <w:pStyle w:val="Heading3"/>
        <w:numPr>
          <w:ilvl w:val="2"/>
          <w:numId w:val="34"/>
        </w:numPr>
        <w:tabs>
          <w:tab w:val="clear" w:pos="0"/>
          <w:tab w:val="num" w:pos="2393"/>
        </w:tabs>
        <w:spacing w:before="120" w:after="120" w:line="276" w:lineRule="auto"/>
        <w:ind w:left="2393" w:hanging="953"/>
        <w:jc w:val="both"/>
        <w:rPr>
          <w:rFonts w:cs="Arial"/>
          <w:szCs w:val="24"/>
        </w:rPr>
      </w:pPr>
      <w:bookmarkStart w:id="1143" w:name="_Toc440982197"/>
      <w:r w:rsidRPr="003C18BC">
        <w:rPr>
          <w:rFonts w:cs="Arial"/>
          <w:szCs w:val="24"/>
        </w:rPr>
        <w:t>the period in which the steps must be taken;</w:t>
      </w:r>
      <w:bookmarkEnd w:id="1143"/>
    </w:p>
    <w:p w14:paraId="399591AF" w14:textId="77777777" w:rsidR="00144CDA" w:rsidRPr="003C18BC" w:rsidRDefault="00144CDA" w:rsidP="00836ECF">
      <w:pPr>
        <w:pStyle w:val="Heading3"/>
        <w:numPr>
          <w:ilvl w:val="2"/>
          <w:numId w:val="34"/>
        </w:numPr>
        <w:tabs>
          <w:tab w:val="clear" w:pos="0"/>
          <w:tab w:val="num" w:pos="2393"/>
        </w:tabs>
        <w:spacing w:before="120" w:after="120" w:line="276" w:lineRule="auto"/>
        <w:ind w:left="2393" w:hanging="953"/>
        <w:jc w:val="both"/>
        <w:rPr>
          <w:rFonts w:cs="Arial"/>
          <w:szCs w:val="24"/>
        </w:rPr>
      </w:pPr>
      <w:bookmarkStart w:id="1144" w:name="_Toc440982198"/>
      <w:r w:rsidRPr="003C18BC">
        <w:rPr>
          <w:rFonts w:cs="Arial"/>
          <w:szCs w:val="24"/>
        </w:rPr>
        <w:t>any arrangements for reviewing the matter to ensure that the requirements of the Remedial Notice have been met; and</w:t>
      </w:r>
      <w:bookmarkEnd w:id="1144"/>
    </w:p>
    <w:p w14:paraId="3A02B998" w14:textId="77777777" w:rsidR="00144CDA" w:rsidRPr="003C18BC" w:rsidRDefault="00144CDA" w:rsidP="00836ECF">
      <w:pPr>
        <w:pStyle w:val="Heading3"/>
        <w:numPr>
          <w:ilvl w:val="2"/>
          <w:numId w:val="34"/>
        </w:numPr>
        <w:tabs>
          <w:tab w:val="clear" w:pos="0"/>
          <w:tab w:val="num" w:pos="2393"/>
        </w:tabs>
        <w:spacing w:before="120" w:after="120" w:line="276" w:lineRule="auto"/>
        <w:ind w:left="2393" w:hanging="953"/>
        <w:jc w:val="both"/>
        <w:rPr>
          <w:rFonts w:cs="Arial"/>
          <w:szCs w:val="24"/>
        </w:rPr>
      </w:pPr>
      <w:bookmarkStart w:id="1145" w:name="_Toc440982199"/>
      <w:r w:rsidRPr="003C18BC">
        <w:rPr>
          <w:rFonts w:cs="Arial"/>
          <w:szCs w:val="24"/>
        </w:rPr>
        <w:t>the actions that the Commissioner shall take if the contractor fails to satisfactorily remedy the breach.</w:t>
      </w:r>
      <w:bookmarkEnd w:id="1145"/>
    </w:p>
    <w:p w14:paraId="1596DFF4" w14:textId="77777777" w:rsidR="00144CDA" w:rsidRPr="003C18BC" w:rsidRDefault="00144CDA" w:rsidP="00445ECA">
      <w:pPr>
        <w:pStyle w:val="Heading3"/>
      </w:pPr>
      <w:bookmarkStart w:id="1146" w:name="_Toc440982200"/>
      <w:r w:rsidRPr="003C18BC">
        <w:t>The Commissioner may wish to include in the Remedial Notice how the contractor may appeal against the decision to issue a Remedial Notice.</w:t>
      </w:r>
      <w:bookmarkEnd w:id="1146"/>
      <w:r w:rsidRPr="003C18BC">
        <w:t xml:space="preserve"> </w:t>
      </w:r>
    </w:p>
    <w:p w14:paraId="581A3E0D" w14:textId="00D199F7" w:rsidR="00144CDA" w:rsidRPr="003C18BC" w:rsidRDefault="00144CDA" w:rsidP="00445ECA">
      <w:pPr>
        <w:pStyle w:val="Heading3"/>
      </w:pPr>
      <w:bookmarkStart w:id="1147" w:name="_Toc440982201"/>
      <w:r w:rsidRPr="003C18BC">
        <w:t xml:space="preserve">A template Remedial Notice is provided in Annex 2. Where NHS England is the Commissioner, the finalised Remedial Notice should be signed off by the Head of Commissioning or their nominated deputy. Where the Commissioner is a CCG operating under delegated commissioning arrangements, the CCG should ensure the finalised Remedial Notice is signed off by </w:t>
      </w:r>
      <w:r w:rsidR="0078150C">
        <w:t xml:space="preserve">the Chief Operating Officer (COO) or </w:t>
      </w:r>
      <w:r w:rsidRPr="003C18BC">
        <w:t>an individual</w:t>
      </w:r>
      <w:r w:rsidR="0078150C">
        <w:t xml:space="preserve"> </w:t>
      </w:r>
      <w:r w:rsidR="0078150C" w:rsidRPr="003C18BC">
        <w:t>authorised</w:t>
      </w:r>
      <w:r w:rsidR="0078150C">
        <w:t xml:space="preserve"> by the COO</w:t>
      </w:r>
      <w:r w:rsidRPr="003C18BC">
        <w:t>.</w:t>
      </w:r>
      <w:bookmarkEnd w:id="1147"/>
    </w:p>
    <w:p w14:paraId="01CB4B39" w14:textId="77777777" w:rsidR="00144CDA" w:rsidRPr="003C18BC" w:rsidRDefault="00144CDA" w:rsidP="00445ECA">
      <w:pPr>
        <w:pStyle w:val="Heading3"/>
      </w:pPr>
      <w:bookmarkStart w:id="1148" w:name="_Toc440982202"/>
      <w:r w:rsidRPr="003C18BC">
        <w:t>The period during which the steps to remedy the breach must be taken must not be less than 28 days from the date that notice is given, unless the Commissioner is satisfied that a shorter period is necessary to protect the safety of the contractor's patients or protect NHS England from material financial loss.</w:t>
      </w:r>
      <w:bookmarkEnd w:id="1148"/>
      <w:r w:rsidRPr="003C18BC">
        <w:t xml:space="preserve"> </w:t>
      </w:r>
    </w:p>
    <w:p w14:paraId="6F117CA8" w14:textId="77777777" w:rsidR="00144CDA" w:rsidRPr="003C18BC" w:rsidRDefault="00144CDA" w:rsidP="00445ECA">
      <w:pPr>
        <w:pStyle w:val="Heading3"/>
      </w:pPr>
      <w:bookmarkStart w:id="1149" w:name="_Toc440982203"/>
      <w:r w:rsidRPr="003C18BC">
        <w:t>The Remedial Notice must be delivered to the contractor in accordance with the notice provisions of the contract. This usually requires hand delivery or postal delivery (first class or registered post). Delivery of a notice by fax or email may be permissible. The Commissioner should review the relevant provisions to the contract to ensure proper delivery. Where the notice is hand delivered, the template Receipt Notice in Annex 3 can be used.</w:t>
      </w:r>
      <w:bookmarkEnd w:id="1149"/>
      <w:r w:rsidRPr="003C18BC">
        <w:t xml:space="preserve"> </w:t>
      </w:r>
    </w:p>
    <w:p w14:paraId="0CE826A8" w14:textId="77777777" w:rsidR="00144CDA" w:rsidRPr="003C18BC" w:rsidRDefault="00144CDA" w:rsidP="00445ECA">
      <w:pPr>
        <w:pStyle w:val="Heading3"/>
      </w:pPr>
      <w:bookmarkStart w:id="1150" w:name="_Toc440982204"/>
      <w:r w:rsidRPr="003C18BC">
        <w:t>The Commissioner should ensure that arrangements are in place to follow up a Remedial Notice appropriately and in a timely fashion.</w:t>
      </w:r>
      <w:bookmarkEnd w:id="1150"/>
    </w:p>
    <w:p w14:paraId="411FBB8B" w14:textId="77777777" w:rsidR="00144CDA" w:rsidRPr="003C18BC" w:rsidRDefault="00144CDA" w:rsidP="00445ECA">
      <w:pPr>
        <w:pStyle w:val="Heading3"/>
      </w:pPr>
      <w:bookmarkStart w:id="1151" w:name="_Toc440982205"/>
      <w:r w:rsidRPr="003C18BC">
        <w:t>Where the Commissioner is satisfied that the contractor has taken the required steps to remedy the breach within the required period, a letter should be issued to the contractor informing them that the terms of the Remedial Notice have been satisfied and that no further action will be taken at this stage. A template Remedial Notice Satisfaction letter is provided in Annex 4.</w:t>
      </w:r>
      <w:bookmarkEnd w:id="1151"/>
    </w:p>
    <w:p w14:paraId="796AAC64" w14:textId="77777777" w:rsidR="00144CDA" w:rsidRPr="003C18BC" w:rsidRDefault="00144CDA" w:rsidP="00445ECA">
      <w:pPr>
        <w:pStyle w:val="Heading3"/>
      </w:pPr>
      <w:bookmarkStart w:id="1152" w:name="_Toc440982206"/>
      <w:r w:rsidRPr="003C18BC">
        <w:t>Where the Commissioner is satisfied that the contractor has not taken the required steps to remedy the breach by the end of the required notice period, the Commissioner may inform the contractor that they have failed to meet the terms of the Remedial Notice and that the Commissioner may terminate the contract with effect from such date as the Commissioner may specify in a further notice to the contractor.</w:t>
      </w:r>
      <w:bookmarkEnd w:id="1152"/>
    </w:p>
    <w:p w14:paraId="0C6483EC" w14:textId="48123953" w:rsidR="00144CDA" w:rsidRPr="003C18BC" w:rsidRDefault="00144CDA" w:rsidP="00445ECA">
      <w:pPr>
        <w:pStyle w:val="Heading3"/>
      </w:pPr>
      <w:bookmarkStart w:id="1153" w:name="_Toc440982207"/>
      <w:r w:rsidRPr="003C18BC">
        <w:t xml:space="preserve">Where the Commissioner intends to terminate the contract, please refer to paragraphs </w:t>
      </w:r>
      <w:r w:rsidR="00C279FA">
        <w:t xml:space="preserve">1.5 to 1.7 </w:t>
      </w:r>
      <w:r w:rsidRPr="003C18BC">
        <w:t>of this policy.</w:t>
      </w:r>
      <w:bookmarkEnd w:id="1153"/>
    </w:p>
    <w:p w14:paraId="0725B780" w14:textId="77777777" w:rsidR="00144CDA" w:rsidRPr="003C18BC" w:rsidRDefault="00144CDA" w:rsidP="00445ECA">
      <w:pPr>
        <w:pStyle w:val="Heading3"/>
      </w:pPr>
      <w:bookmarkStart w:id="1154" w:name="_Ref409601152"/>
      <w:bookmarkStart w:id="1155" w:name="_Toc440982208"/>
      <w:r w:rsidRPr="003C18BC">
        <w:t>If, following the issue of a Remedial Notice, a contractor either repeats a breach that was the subject of a Remedial Notice or otherwise breaches the contract that results in a further Remedial Notice or a Breach Notice, then the Commissioner has the right to terminate the contract by serving notice on the contractor.</w:t>
      </w:r>
      <w:bookmarkEnd w:id="1154"/>
      <w:bookmarkEnd w:id="1155"/>
      <w:r w:rsidRPr="003C18BC">
        <w:t xml:space="preserve"> </w:t>
      </w:r>
    </w:p>
    <w:p w14:paraId="4CFD56E8" w14:textId="7E2DEE5B" w:rsidR="00144CDA" w:rsidRPr="003C18BC" w:rsidRDefault="00144CDA" w:rsidP="00445ECA">
      <w:pPr>
        <w:pStyle w:val="Heading3"/>
      </w:pPr>
      <w:bookmarkStart w:id="1156" w:name="_Toc440982209"/>
      <w:r w:rsidRPr="003C18BC">
        <w:t xml:space="preserve">The right to terminate in paragraph </w:t>
      </w:r>
      <w:r w:rsidRPr="003C18BC">
        <w:fldChar w:fldCharType="begin"/>
      </w:r>
      <w:r w:rsidRPr="003C18BC">
        <w:instrText xml:space="preserve"> REF _Ref409601152 \r \h  \* MERGEFORMAT </w:instrText>
      </w:r>
      <w:r w:rsidRPr="003C18BC">
        <w:fldChar w:fldCharType="separate"/>
      </w:r>
      <w:r w:rsidR="00622FF2">
        <w:t>1.3.19</w:t>
      </w:r>
      <w:r w:rsidRPr="003C18BC">
        <w:fldChar w:fldCharType="end"/>
      </w:r>
      <w:r w:rsidRPr="003C18BC">
        <w:t xml:space="preserve"> above must only be used where the Commissioner is satisfied that the cumulative effect of the breaches is such that the Commissioner considers that to allow the contract to continue would be prejudicial to the efficiency of the services to be provided under the contract. Where the Commissioner intends to terminate the contract under this right, please refer to paragraph </w:t>
      </w:r>
      <w:r w:rsidR="008D23C2">
        <w:t>1.7.46</w:t>
      </w:r>
      <w:r w:rsidRPr="003C18BC">
        <w:t xml:space="preserve"> of this policy.</w:t>
      </w:r>
      <w:bookmarkEnd w:id="1156"/>
    </w:p>
    <w:p w14:paraId="2DFBDEF8" w14:textId="77777777" w:rsidR="00144CDA" w:rsidRPr="003C18BC" w:rsidRDefault="00144CDA" w:rsidP="00445ECA">
      <w:pPr>
        <w:pStyle w:val="Heading3"/>
      </w:pPr>
      <w:bookmarkStart w:id="1157" w:name="_Toc440982210"/>
      <w:r w:rsidRPr="003C18BC">
        <w:t>If the contractor is in breach of any obligation and a Remedial Notice in respect of that default has been given to the contractor, the Commissioner may withhold or deduct monies which would otherwise be payable under the contract in respect of that obligation which is the subject of the default.</w:t>
      </w:r>
      <w:bookmarkEnd w:id="1157"/>
    </w:p>
    <w:p w14:paraId="32A59E05" w14:textId="77777777" w:rsidR="00144CDA" w:rsidRPr="003C18BC" w:rsidRDefault="00144CDA" w:rsidP="00445ECA">
      <w:pPr>
        <w:pStyle w:val="Heading3"/>
      </w:pPr>
      <w:bookmarkStart w:id="1158" w:name="_Toc440982211"/>
      <w:r w:rsidRPr="003C18BC">
        <w:t>Where a Remedial Notice is issued, the Commissioner should submit a Notice Return to the NHS England primary care inbox (</w:t>
      </w:r>
      <w:hyperlink r:id="rId104" w:history="1">
        <w:r w:rsidRPr="003C18BC">
          <w:rPr>
            <w:rStyle w:val="Hyperlink"/>
            <w:rFonts w:cs="Arial"/>
            <w:szCs w:val="24"/>
          </w:rPr>
          <w:t>england.primarycareops@nhs.net</w:t>
        </w:r>
      </w:hyperlink>
      <w:r w:rsidRPr="003C18BC">
        <w:t>) as soon as practicable after issue. A template Notice Return is set out Annex 13.</w:t>
      </w:r>
      <w:bookmarkEnd w:id="1158"/>
    </w:p>
    <w:p w14:paraId="16ABFC10" w14:textId="77777777" w:rsidR="00144CDA" w:rsidRDefault="00144CDA" w:rsidP="00D75573">
      <w:pPr>
        <w:pStyle w:val="BodyText"/>
        <w:ind w:left="720"/>
        <w:rPr>
          <w:b/>
          <w:color w:val="0070C0"/>
          <w:sz w:val="24"/>
          <w:szCs w:val="24"/>
        </w:rPr>
      </w:pPr>
      <w:r w:rsidRPr="003C18BC">
        <w:br/>
      </w:r>
      <w:bookmarkStart w:id="1159" w:name="_Toc440982212"/>
      <w:r w:rsidRPr="00D75573">
        <w:rPr>
          <w:b/>
          <w:color w:val="0070C0"/>
          <w:sz w:val="24"/>
          <w:szCs w:val="24"/>
        </w:rPr>
        <w:t>Breach Notice</w:t>
      </w:r>
      <w:bookmarkEnd w:id="1159"/>
    </w:p>
    <w:p w14:paraId="662D9637" w14:textId="77777777" w:rsidR="00D75573" w:rsidRPr="00D75573" w:rsidRDefault="00D75573" w:rsidP="00D75573">
      <w:pPr>
        <w:pStyle w:val="BodyText"/>
        <w:ind w:left="720"/>
        <w:rPr>
          <w:b/>
          <w:color w:val="0070C0"/>
          <w:sz w:val="24"/>
          <w:szCs w:val="24"/>
        </w:rPr>
      </w:pPr>
    </w:p>
    <w:p w14:paraId="5EF1A7E9" w14:textId="77777777" w:rsidR="00144CDA" w:rsidRPr="003C18BC" w:rsidRDefault="00144CDA" w:rsidP="00445ECA">
      <w:pPr>
        <w:pStyle w:val="Heading3"/>
      </w:pPr>
      <w:bookmarkStart w:id="1160" w:name="_Toc440982213"/>
      <w:r w:rsidRPr="003C18BC">
        <w:t>Where the contractor has breached the contract and that breach is not capable of remedy, the Commissioner may serve a Breach Notice on the contractor requiring the contractor not to repeat the breach.</w:t>
      </w:r>
      <w:bookmarkEnd w:id="1160"/>
    </w:p>
    <w:p w14:paraId="77C37506" w14:textId="77777777" w:rsidR="00144CDA" w:rsidRPr="003C18BC" w:rsidRDefault="00144CDA" w:rsidP="00445ECA">
      <w:pPr>
        <w:pStyle w:val="Heading3"/>
      </w:pPr>
      <w:bookmarkStart w:id="1161" w:name="_Toc440982214"/>
      <w:r w:rsidRPr="003C18BC">
        <w:t>A flowchart highlighting the main steps that the Commissioner should take when issuing a Breach Notice is set out in Annex 5.</w:t>
      </w:r>
      <w:bookmarkEnd w:id="1161"/>
    </w:p>
    <w:p w14:paraId="206D7027" w14:textId="77777777" w:rsidR="00144CDA" w:rsidRPr="003C18BC" w:rsidRDefault="00144CDA" w:rsidP="00445ECA">
      <w:pPr>
        <w:pStyle w:val="Heading3"/>
      </w:pPr>
      <w:bookmarkStart w:id="1162" w:name="_Toc440982215"/>
      <w:r w:rsidRPr="003C18BC">
        <w:t>Breach Notices cannot be issued where the breach relates to the following rights of termination:</w:t>
      </w:r>
      <w:bookmarkEnd w:id="1162"/>
    </w:p>
    <w:p w14:paraId="21743D25" w14:textId="77777777" w:rsidR="00144CDA" w:rsidRPr="003C18BC" w:rsidRDefault="00144CDA" w:rsidP="005A7DDA">
      <w:pPr>
        <w:pStyle w:val="Heading3"/>
        <w:numPr>
          <w:ilvl w:val="0"/>
          <w:numId w:val="103"/>
        </w:numPr>
        <w:spacing w:before="120" w:after="120"/>
        <w:jc w:val="both"/>
        <w:rPr>
          <w:rFonts w:cs="Arial"/>
          <w:szCs w:val="24"/>
        </w:rPr>
      </w:pPr>
      <w:bookmarkStart w:id="1163" w:name="_Toc440982216"/>
      <w:r w:rsidRPr="003C18BC">
        <w:rPr>
          <w:rFonts w:cs="Arial"/>
          <w:szCs w:val="24"/>
        </w:rPr>
        <w:t>provision of untrue information;</w:t>
      </w:r>
      <w:bookmarkEnd w:id="1163"/>
    </w:p>
    <w:p w14:paraId="035A7808" w14:textId="77777777" w:rsidR="00144CDA" w:rsidRPr="003C18BC" w:rsidRDefault="00144CDA" w:rsidP="005A7DDA">
      <w:pPr>
        <w:pStyle w:val="Heading3"/>
        <w:numPr>
          <w:ilvl w:val="0"/>
          <w:numId w:val="103"/>
        </w:numPr>
        <w:spacing w:before="120" w:after="120"/>
        <w:jc w:val="both"/>
        <w:rPr>
          <w:rFonts w:cs="Arial"/>
          <w:szCs w:val="24"/>
        </w:rPr>
      </w:pPr>
      <w:bookmarkStart w:id="1164" w:name="_Toc440982217"/>
      <w:r w:rsidRPr="003C18BC">
        <w:rPr>
          <w:rFonts w:cs="Arial"/>
          <w:szCs w:val="24"/>
        </w:rPr>
        <w:t>fitness to practice matters;</w:t>
      </w:r>
      <w:bookmarkEnd w:id="1164"/>
    </w:p>
    <w:p w14:paraId="40BB783D" w14:textId="77777777" w:rsidR="00144CDA" w:rsidRPr="003C18BC" w:rsidRDefault="00144CDA" w:rsidP="005A7DDA">
      <w:pPr>
        <w:pStyle w:val="Heading3"/>
        <w:numPr>
          <w:ilvl w:val="0"/>
          <w:numId w:val="103"/>
        </w:numPr>
        <w:spacing w:before="120" w:after="120"/>
        <w:jc w:val="both"/>
        <w:rPr>
          <w:rFonts w:cs="Arial"/>
          <w:szCs w:val="24"/>
        </w:rPr>
      </w:pPr>
      <w:bookmarkStart w:id="1165" w:name="_Toc440982218"/>
      <w:r w:rsidRPr="003C18BC">
        <w:rPr>
          <w:rFonts w:cs="Arial"/>
          <w:szCs w:val="24"/>
        </w:rPr>
        <w:t>a serious risk to patient safety or risk of financial loss to NHS England;</w:t>
      </w:r>
      <w:bookmarkEnd w:id="1165"/>
    </w:p>
    <w:p w14:paraId="730091E0" w14:textId="77777777" w:rsidR="00144CDA" w:rsidRPr="003C18BC" w:rsidRDefault="00144CDA" w:rsidP="005A7DDA">
      <w:pPr>
        <w:pStyle w:val="Heading3"/>
        <w:numPr>
          <w:ilvl w:val="0"/>
          <w:numId w:val="103"/>
        </w:numPr>
        <w:spacing w:before="120" w:after="120"/>
        <w:jc w:val="both"/>
        <w:rPr>
          <w:rFonts w:cs="Arial"/>
          <w:szCs w:val="24"/>
        </w:rPr>
      </w:pPr>
      <w:bookmarkStart w:id="1166" w:name="_Toc440982219"/>
      <w:r w:rsidRPr="003C18BC">
        <w:rPr>
          <w:rFonts w:cs="Arial"/>
          <w:szCs w:val="24"/>
        </w:rPr>
        <w:t>unlawful sub-contracting; and</w:t>
      </w:r>
      <w:bookmarkEnd w:id="1166"/>
    </w:p>
    <w:p w14:paraId="77E936C8" w14:textId="77777777" w:rsidR="00144CDA" w:rsidRPr="003C18BC" w:rsidRDefault="00144CDA" w:rsidP="005A7DDA">
      <w:pPr>
        <w:pStyle w:val="Heading3"/>
        <w:numPr>
          <w:ilvl w:val="0"/>
          <w:numId w:val="103"/>
        </w:numPr>
        <w:spacing w:before="120" w:after="120"/>
        <w:jc w:val="both"/>
        <w:rPr>
          <w:rFonts w:cs="Arial"/>
          <w:szCs w:val="24"/>
        </w:rPr>
      </w:pPr>
      <w:bookmarkStart w:id="1167" w:name="_Toc440982220"/>
      <w:r w:rsidRPr="003C18BC">
        <w:rPr>
          <w:rFonts w:cs="Arial"/>
          <w:szCs w:val="24"/>
        </w:rPr>
        <w:t>in the case of a GMS contract, issues relating to the contractor's eligibility to hold the contract.</w:t>
      </w:r>
      <w:bookmarkEnd w:id="1167"/>
    </w:p>
    <w:p w14:paraId="48E792F6" w14:textId="431E04A8" w:rsidR="00144CDA" w:rsidRDefault="00144CDA" w:rsidP="00445ECA">
      <w:pPr>
        <w:pStyle w:val="Heading3"/>
        <w:numPr>
          <w:ilvl w:val="0"/>
          <w:numId w:val="0"/>
        </w:numPr>
        <w:spacing w:before="120" w:after="120" w:line="276" w:lineRule="auto"/>
        <w:ind w:left="720"/>
      </w:pPr>
      <w:bookmarkStart w:id="1168" w:name="_Toc440982221"/>
      <w:r w:rsidRPr="003C18BC">
        <w:rPr>
          <w:rFonts w:cs="Arial"/>
          <w:szCs w:val="24"/>
        </w:rPr>
        <w:t xml:space="preserve">For further information on these rights of termination, please refer to </w:t>
      </w:r>
      <w:r w:rsidRPr="00445ECA">
        <w:t xml:space="preserve">paragraph </w:t>
      </w:r>
      <w:r w:rsidR="008D23C2">
        <w:t>1.7</w:t>
      </w:r>
      <w:r w:rsidRPr="00445ECA">
        <w:t>.</w:t>
      </w:r>
      <w:bookmarkEnd w:id="1168"/>
    </w:p>
    <w:p w14:paraId="5BBB24D9" w14:textId="77777777" w:rsidR="00445ECA" w:rsidRPr="00445ECA" w:rsidRDefault="00445ECA" w:rsidP="00445ECA"/>
    <w:p w14:paraId="76FDCE64" w14:textId="77777777" w:rsidR="00144CDA" w:rsidRPr="003C18BC" w:rsidRDefault="00144CDA" w:rsidP="00445ECA">
      <w:pPr>
        <w:pStyle w:val="Heading3"/>
      </w:pPr>
      <w:bookmarkStart w:id="1169" w:name="_Toc440982222"/>
      <w:r w:rsidRPr="003C18BC">
        <w:t>A breach that is not capable of remedy is where a breach occurs but either does not continue prior to a notice being issued or there is no action that can be taken to remedy the breach.</w:t>
      </w:r>
      <w:bookmarkEnd w:id="1169"/>
    </w:p>
    <w:p w14:paraId="01E3C92B" w14:textId="77777777" w:rsidR="00144CDA" w:rsidRPr="003C18BC" w:rsidRDefault="00144CDA" w:rsidP="00445ECA">
      <w:pPr>
        <w:pStyle w:val="Heading3"/>
      </w:pPr>
      <w:bookmarkStart w:id="1170" w:name="_Toc440982223"/>
      <w:r w:rsidRPr="003C18BC">
        <w:t>Examples of breaches that are not capable of remedy include:</w:t>
      </w:r>
      <w:bookmarkEnd w:id="1170"/>
    </w:p>
    <w:p w14:paraId="1AA92D3F" w14:textId="77777777" w:rsidR="00144CDA" w:rsidRPr="003C18BC" w:rsidRDefault="00144CDA" w:rsidP="005A7DDA">
      <w:pPr>
        <w:pStyle w:val="Heading3"/>
        <w:numPr>
          <w:ilvl w:val="0"/>
          <w:numId w:val="103"/>
        </w:numPr>
        <w:spacing w:before="120" w:after="120"/>
        <w:jc w:val="both"/>
        <w:rPr>
          <w:rFonts w:cs="Arial"/>
          <w:szCs w:val="24"/>
        </w:rPr>
      </w:pPr>
      <w:bookmarkStart w:id="1171" w:name="_Toc440982224"/>
      <w:r w:rsidRPr="003C18BC">
        <w:rPr>
          <w:rFonts w:cs="Arial"/>
          <w:szCs w:val="24"/>
        </w:rPr>
        <w:t>a practice closing during its contracted opening times in the previous week with no access for the contractor's registered patients to access essential services; or</w:t>
      </w:r>
      <w:bookmarkEnd w:id="1171"/>
    </w:p>
    <w:p w14:paraId="67398D53" w14:textId="77777777" w:rsidR="00144CDA" w:rsidRPr="003C18BC" w:rsidRDefault="00144CDA" w:rsidP="005A7DDA">
      <w:pPr>
        <w:pStyle w:val="Heading3"/>
        <w:numPr>
          <w:ilvl w:val="0"/>
          <w:numId w:val="103"/>
        </w:numPr>
        <w:spacing w:before="120" w:after="120"/>
        <w:jc w:val="both"/>
        <w:rPr>
          <w:rFonts w:cs="Arial"/>
          <w:szCs w:val="24"/>
        </w:rPr>
      </w:pPr>
      <w:bookmarkStart w:id="1172" w:name="_Toc440982225"/>
      <w:r w:rsidRPr="003C18BC">
        <w:rPr>
          <w:rFonts w:cs="Arial"/>
          <w:szCs w:val="24"/>
        </w:rPr>
        <w:t>failure to store vaccines correctly and such vaccines have already been provided to patients.</w:t>
      </w:r>
      <w:bookmarkEnd w:id="1172"/>
      <w:r w:rsidRPr="003C18BC">
        <w:rPr>
          <w:rFonts w:cs="Arial"/>
          <w:szCs w:val="24"/>
        </w:rPr>
        <w:t xml:space="preserve"> </w:t>
      </w:r>
    </w:p>
    <w:p w14:paraId="25EF85EA" w14:textId="71A57493" w:rsidR="00144CDA" w:rsidRPr="003C18BC" w:rsidRDefault="00144CDA" w:rsidP="00445ECA">
      <w:pPr>
        <w:pStyle w:val="Heading3"/>
      </w:pPr>
      <w:bookmarkStart w:id="1173" w:name="_Toc440982226"/>
      <w:r w:rsidRPr="003C18BC">
        <w:t xml:space="preserve">Where the breach creates a serious risk to patient safety, the Commissioner can take more immediate action, regardless of whether the breach is capable of remedy or not. For further information on this, please refer to paragraph </w:t>
      </w:r>
      <w:r w:rsidR="008D23C2">
        <w:t>1.7.32</w:t>
      </w:r>
      <w:r w:rsidRPr="003C18BC">
        <w:t xml:space="preserve"> of this policy.</w:t>
      </w:r>
      <w:bookmarkEnd w:id="1173"/>
    </w:p>
    <w:p w14:paraId="5FE5A0F1" w14:textId="77777777" w:rsidR="00BA5AD7" w:rsidRPr="00BA5AD7" w:rsidRDefault="00BA5AD7" w:rsidP="00BA5AD7">
      <w:pPr>
        <w:pStyle w:val="Heading3"/>
      </w:pPr>
      <w:bookmarkStart w:id="1174" w:name="_Toc440982227"/>
      <w:r w:rsidRPr="00BA5AD7">
        <w:t>Where the Commissioner has determined that a breach is not capable of remedy, the Commissioner may, depending on the nature and circumstances of a breach take the following steps.  These steps do not prejudice or delay a Commissioners right to issue a Breach notice at any point before or during any of these steps being taken where the Commissioner reasonably considers it is appropriate to do so:</w:t>
      </w:r>
      <w:bookmarkEnd w:id="1174"/>
    </w:p>
    <w:p w14:paraId="075C2F39" w14:textId="77777777" w:rsidR="00BA5AD7" w:rsidRPr="003C18BC" w:rsidRDefault="00BA5AD7" w:rsidP="00BA5AD7">
      <w:pPr>
        <w:pStyle w:val="Heading4"/>
      </w:pPr>
      <w:bookmarkStart w:id="1175" w:name="_Toc440982228"/>
      <w:r w:rsidRPr="003C18BC">
        <w:t>Initially the Commissioner should contact the contractor to discuss the breach and the action that they may be entitled to take, i.e. the issue of a Breach Notice.</w:t>
      </w:r>
      <w:bookmarkEnd w:id="1175"/>
      <w:r w:rsidRPr="003C18BC">
        <w:t xml:space="preserve"> This does not prejudice or delay a Commissioners right to issue a </w:t>
      </w:r>
      <w:r>
        <w:t>B</w:t>
      </w:r>
      <w:r w:rsidRPr="003C18BC">
        <w:t>reach notice</w:t>
      </w:r>
      <w:r>
        <w:t>.</w:t>
      </w:r>
    </w:p>
    <w:p w14:paraId="768C3FDF" w14:textId="77777777" w:rsidR="00BA5AD7" w:rsidRPr="003C18BC" w:rsidRDefault="00BA5AD7" w:rsidP="00BA5AD7">
      <w:pPr>
        <w:pStyle w:val="Heading4"/>
      </w:pPr>
      <w:bookmarkStart w:id="1176" w:name="_Toc440982229"/>
      <w:r>
        <w:t>The discussion will afford the</w:t>
      </w:r>
      <w:r w:rsidRPr="003C18BC">
        <w:t xml:space="preserve"> contractor  the opportunity to provide an explanation as to the circumstances that led to the breach and this discussion should be recorded accurately in writing.</w:t>
      </w:r>
      <w:bookmarkEnd w:id="1176"/>
      <w:r w:rsidRPr="003C18BC">
        <w:t xml:space="preserve"> </w:t>
      </w:r>
    </w:p>
    <w:p w14:paraId="7D7B479E" w14:textId="77777777" w:rsidR="00BA5AD7" w:rsidRPr="003C18BC" w:rsidRDefault="00BA5AD7" w:rsidP="00BA5AD7">
      <w:pPr>
        <w:pStyle w:val="Heading4"/>
      </w:pPr>
      <w:bookmarkStart w:id="1177" w:name="_Toc440982230"/>
      <w:r w:rsidRPr="003C18BC">
        <w:t xml:space="preserve">The Commissioner should </w:t>
      </w:r>
      <w:r>
        <w:t xml:space="preserve">review the evidence related to the breach including any information received during the discussion or in representations  </w:t>
      </w:r>
      <w:bookmarkEnd w:id="1177"/>
      <w:r w:rsidRPr="003C18BC">
        <w:t>e</w:t>
      </w:r>
      <w:r>
        <w:t>.</w:t>
      </w:r>
    </w:p>
    <w:p w14:paraId="7D77711B" w14:textId="77777777" w:rsidR="00BA5AD7" w:rsidRPr="003C18BC" w:rsidRDefault="00BA5AD7" w:rsidP="00BA5AD7">
      <w:pPr>
        <w:pStyle w:val="Heading4"/>
      </w:pPr>
      <w:bookmarkStart w:id="1178" w:name="_Toc440982231"/>
      <w:r w:rsidRPr="003C18BC">
        <w:t>If the Commissioner is satisfied that the matter is a breach which is not capable of remedy, then the Commissioner may issue a Breach Notice to the contractor, requiring the contractor not to repeat the breach.</w:t>
      </w:r>
      <w:bookmarkEnd w:id="1178"/>
    </w:p>
    <w:p w14:paraId="5CF970F5" w14:textId="77777777" w:rsidR="00445ECA" w:rsidRPr="00445ECA" w:rsidRDefault="00445ECA" w:rsidP="00445ECA"/>
    <w:p w14:paraId="1F0AE2F8" w14:textId="77777777" w:rsidR="00144CDA" w:rsidRPr="003C18BC" w:rsidRDefault="00144CDA" w:rsidP="00445ECA">
      <w:pPr>
        <w:pStyle w:val="Heading3"/>
      </w:pPr>
      <w:bookmarkStart w:id="1179" w:name="_Ref409796294"/>
      <w:bookmarkStart w:id="1180" w:name="_Toc440982232"/>
      <w:r w:rsidRPr="003C18BC">
        <w:t>The Breach Notice must specify:</w:t>
      </w:r>
      <w:bookmarkEnd w:id="1179"/>
      <w:bookmarkEnd w:id="1180"/>
    </w:p>
    <w:p w14:paraId="7FB1F684" w14:textId="77777777" w:rsidR="00144CDA" w:rsidRPr="003C18BC" w:rsidRDefault="00144CDA" w:rsidP="005A7DDA">
      <w:pPr>
        <w:pStyle w:val="Heading3"/>
        <w:numPr>
          <w:ilvl w:val="0"/>
          <w:numId w:val="103"/>
        </w:numPr>
        <w:spacing w:before="120" w:after="120"/>
        <w:jc w:val="both"/>
        <w:rPr>
          <w:rFonts w:cs="Arial"/>
          <w:szCs w:val="24"/>
        </w:rPr>
      </w:pPr>
      <w:bookmarkStart w:id="1181" w:name="_Toc440982233"/>
      <w:r w:rsidRPr="003C18BC">
        <w:rPr>
          <w:rFonts w:cs="Arial"/>
          <w:szCs w:val="24"/>
        </w:rPr>
        <w:t>details of the breach;</w:t>
      </w:r>
      <w:bookmarkEnd w:id="1181"/>
    </w:p>
    <w:p w14:paraId="694B2F85" w14:textId="77777777" w:rsidR="00144CDA" w:rsidRPr="003C18BC" w:rsidRDefault="00144CDA" w:rsidP="005A7DDA">
      <w:pPr>
        <w:pStyle w:val="Heading3"/>
        <w:numPr>
          <w:ilvl w:val="0"/>
          <w:numId w:val="103"/>
        </w:numPr>
        <w:spacing w:before="120" w:after="120"/>
        <w:jc w:val="both"/>
        <w:rPr>
          <w:rFonts w:cs="Arial"/>
          <w:szCs w:val="24"/>
        </w:rPr>
      </w:pPr>
      <w:bookmarkStart w:id="1182" w:name="_Toc440982234"/>
      <w:r w:rsidRPr="003C18BC">
        <w:rPr>
          <w:rFonts w:cs="Arial"/>
          <w:szCs w:val="24"/>
        </w:rPr>
        <w:t>the requirement that the contractor must not repeat the breach again; and</w:t>
      </w:r>
      <w:bookmarkEnd w:id="1182"/>
    </w:p>
    <w:p w14:paraId="046AEE0B" w14:textId="77777777" w:rsidR="00144CDA" w:rsidRPr="003C18BC" w:rsidRDefault="00144CDA" w:rsidP="005A7DDA">
      <w:pPr>
        <w:pStyle w:val="Heading3"/>
        <w:numPr>
          <w:ilvl w:val="0"/>
          <w:numId w:val="103"/>
        </w:numPr>
        <w:spacing w:before="120" w:after="120"/>
        <w:jc w:val="both"/>
        <w:rPr>
          <w:rFonts w:cs="Arial"/>
          <w:szCs w:val="24"/>
        </w:rPr>
      </w:pPr>
      <w:bookmarkStart w:id="1183" w:name="_Toc440982235"/>
      <w:r w:rsidRPr="003C18BC">
        <w:rPr>
          <w:rFonts w:cs="Arial"/>
          <w:szCs w:val="24"/>
        </w:rPr>
        <w:t>the consequences of the contractor further breaching the contract;</w:t>
      </w:r>
      <w:bookmarkEnd w:id="1183"/>
      <w:r w:rsidRPr="003C18BC">
        <w:rPr>
          <w:rFonts w:cs="Arial"/>
          <w:szCs w:val="24"/>
        </w:rPr>
        <w:t xml:space="preserve"> </w:t>
      </w:r>
    </w:p>
    <w:p w14:paraId="153ABE9E" w14:textId="6573C537" w:rsidR="00144CDA" w:rsidRPr="003C18BC" w:rsidRDefault="00144CDA" w:rsidP="0078150C">
      <w:pPr>
        <w:pStyle w:val="Heading3"/>
      </w:pPr>
      <w:bookmarkStart w:id="1184" w:name="_Toc440982236"/>
      <w:r w:rsidRPr="003C18BC">
        <w:t xml:space="preserve">A template Breach Notice is provided in Annex 6. Where NHS England is the Commissioner, the finalised Breach Notice should be signed off by the Head of Commissioning or their nominated deputy. </w:t>
      </w:r>
      <w:bookmarkEnd w:id="1184"/>
      <w:r w:rsidR="0078150C" w:rsidRPr="0078150C">
        <w:t>Where the Commissioner is a CCG operating under delegated commissioning arrangements, the CCG should ensure the finalised Remedial Notice is signed off by the Chief Operating Officer (COO) or an individual authorised by the COO.</w:t>
      </w:r>
    </w:p>
    <w:p w14:paraId="09AF63BB" w14:textId="77777777" w:rsidR="00144CDA" w:rsidRPr="003C18BC" w:rsidRDefault="00144CDA" w:rsidP="00445ECA">
      <w:pPr>
        <w:pStyle w:val="Heading3"/>
      </w:pPr>
      <w:bookmarkStart w:id="1185" w:name="_Toc440982237"/>
      <w:r w:rsidRPr="003C18BC">
        <w:t>The Breach Notice must be delivered to the contractor in accordance with the notice provisions of the contract. This usually requires hand delivery or postal delivery (first class or registered post). Delivery of a notice by fax or email may be permissible. The Commissioner should review the relevant provisions to the contract to ensure proper delivery. Where the notice is hand delivered, the template Receipt Notice in Annex 3 can be used.</w:t>
      </w:r>
      <w:bookmarkEnd w:id="1185"/>
      <w:r w:rsidRPr="003C18BC">
        <w:t xml:space="preserve"> </w:t>
      </w:r>
    </w:p>
    <w:p w14:paraId="2891B67B" w14:textId="77777777" w:rsidR="00144CDA" w:rsidRPr="003C18BC" w:rsidRDefault="00144CDA" w:rsidP="00445ECA">
      <w:pPr>
        <w:pStyle w:val="Heading3"/>
      </w:pPr>
      <w:bookmarkStart w:id="1186" w:name="_Toc440982238"/>
      <w:r w:rsidRPr="003C18BC">
        <w:t>If, following the issue of a Breach Notice, a contractor either repeats a breach that was the subject of a Breach Notice or otherwise breaches the contract that results in a further Remedial Notice or a Breach Notice, then the Commissioner has the right to terminate the contract by serving notice on the contractor.</w:t>
      </w:r>
      <w:bookmarkEnd w:id="1186"/>
      <w:r w:rsidRPr="003C18BC">
        <w:t xml:space="preserve"> </w:t>
      </w:r>
    </w:p>
    <w:p w14:paraId="79125356" w14:textId="7376198B" w:rsidR="00144CDA" w:rsidRPr="003C18BC" w:rsidRDefault="00144CDA" w:rsidP="00445ECA">
      <w:pPr>
        <w:pStyle w:val="Heading3"/>
      </w:pPr>
      <w:bookmarkStart w:id="1187" w:name="_Toc440982239"/>
      <w:r w:rsidRPr="003C18BC">
        <w:t xml:space="preserve">This right to terminate can only be used where the Commissioner is satisfied that the cumulative effect of the breaches is such that the Commissioner considers that to allow the contract to continue would be prejudicial to the efficiency of the services to be provided under the contract. Where the Commissioner intends to terminate the contract under this right, please refer to paragraph </w:t>
      </w:r>
      <w:r w:rsidR="008D23C2">
        <w:t>1.7.46</w:t>
      </w:r>
      <w:r w:rsidRPr="003C18BC">
        <w:t xml:space="preserve"> of this policy.</w:t>
      </w:r>
      <w:bookmarkEnd w:id="1187"/>
    </w:p>
    <w:p w14:paraId="4F141575" w14:textId="77777777" w:rsidR="00144CDA" w:rsidRPr="003C18BC" w:rsidRDefault="00144CDA" w:rsidP="00445ECA">
      <w:pPr>
        <w:pStyle w:val="Heading3"/>
      </w:pPr>
      <w:bookmarkStart w:id="1188" w:name="_Toc440982240"/>
      <w:r w:rsidRPr="003C18BC">
        <w:t>If the contractor is in breach of any obligation and a Breach Notice has been issued, the Commissioner may withhold or deduct monies which would otherwise be payable under the contract in respect of that obligation.</w:t>
      </w:r>
      <w:bookmarkEnd w:id="1188"/>
    </w:p>
    <w:p w14:paraId="50881613" w14:textId="77777777" w:rsidR="00144CDA" w:rsidRPr="003C18BC" w:rsidRDefault="00144CDA" w:rsidP="00445ECA">
      <w:pPr>
        <w:pStyle w:val="Heading3"/>
      </w:pPr>
      <w:bookmarkStart w:id="1189" w:name="_Toc440982241"/>
      <w:r w:rsidRPr="003C18BC">
        <w:t>Where a Breach Notice is issued, the Commissioner should submit a Notice Return to the NHS England primary care inbox (</w:t>
      </w:r>
      <w:hyperlink r:id="rId105" w:history="1">
        <w:r w:rsidRPr="003C18BC">
          <w:rPr>
            <w:rStyle w:val="Hyperlink"/>
            <w:rFonts w:cs="Arial"/>
            <w:szCs w:val="24"/>
          </w:rPr>
          <w:t>england.primarycareops@nhs.net</w:t>
        </w:r>
      </w:hyperlink>
      <w:r w:rsidRPr="003C18BC">
        <w:t>) as soon as practicable after issue. A template Notice Return is set out Annex 13 (s</w:t>
      </w:r>
      <w:bookmarkEnd w:id="1189"/>
      <w:r w:rsidRPr="003C18BC">
        <w:t>ee also 1.4)</w:t>
      </w:r>
    </w:p>
    <w:p w14:paraId="0FC3B850" w14:textId="77777777" w:rsidR="00144CDA" w:rsidRPr="007C30BA" w:rsidRDefault="00144CDA" w:rsidP="00144CDA">
      <w:pPr>
        <w:pStyle w:val="Body2"/>
        <w:spacing w:before="120" w:after="120" w:line="276" w:lineRule="auto"/>
        <w:rPr>
          <w:rFonts w:cs="Arial"/>
        </w:rPr>
      </w:pPr>
    </w:p>
    <w:p w14:paraId="62828DA2" w14:textId="77777777" w:rsidR="00144CDA" w:rsidRPr="003C18BC" w:rsidRDefault="00144CDA" w:rsidP="00144CDA">
      <w:pPr>
        <w:pStyle w:val="Heading2"/>
      </w:pPr>
      <w:bookmarkStart w:id="1190" w:name="_Ref421255928"/>
      <w:bookmarkStart w:id="1191" w:name="_Toc440982242"/>
      <w:bookmarkStart w:id="1192" w:name="_Toc498495433"/>
      <w:r w:rsidRPr="003C18BC">
        <w:t>Contract sanctions</w:t>
      </w:r>
      <w:bookmarkEnd w:id="1190"/>
      <w:bookmarkEnd w:id="1191"/>
      <w:bookmarkEnd w:id="1192"/>
    </w:p>
    <w:p w14:paraId="45805F03" w14:textId="77777777" w:rsidR="00144CDA" w:rsidRPr="003C18BC" w:rsidRDefault="00144CDA" w:rsidP="00445ECA">
      <w:pPr>
        <w:pStyle w:val="Heading3"/>
      </w:pPr>
      <w:bookmarkStart w:id="1193" w:name="_Toc440982243"/>
      <w:r w:rsidRPr="003C18BC">
        <w:rPr>
          <w:b/>
        </w:rPr>
        <w:t>GMS / PMS</w:t>
      </w:r>
      <w:r w:rsidRPr="003C18BC">
        <w:t xml:space="preserve"> - The Commissioner must follow the process set out in this section. PMS agreements refer to "agreement sanctions" rather than Contract Sanctions. Reference to Contract Sanctions in this policy should be read as including reference to agreement sanctions.</w:t>
      </w:r>
      <w:bookmarkEnd w:id="1193"/>
    </w:p>
    <w:p w14:paraId="68C9C3CA" w14:textId="77777777" w:rsidR="00144CDA" w:rsidRPr="003C18BC" w:rsidRDefault="00144CDA" w:rsidP="00445ECA">
      <w:pPr>
        <w:pStyle w:val="Heading3"/>
      </w:pPr>
      <w:bookmarkStart w:id="1194" w:name="_Toc440982244"/>
      <w:r w:rsidRPr="003C18BC">
        <w:rPr>
          <w:b/>
        </w:rPr>
        <w:t>APMS</w:t>
      </w:r>
      <w:r w:rsidRPr="003C18BC">
        <w:t xml:space="preserve"> – APMS contracts are not required to contain provisions relating to Contract Sanctions. The NHS England Standard Alternative Provider Medical Services Contract 2014/15 does not contain references to Contract Sanctions. The Commissioner must check the relevant contract to determine whether Contract Sanctions can be applied.</w:t>
      </w:r>
      <w:bookmarkEnd w:id="1194"/>
    </w:p>
    <w:p w14:paraId="1F690416" w14:textId="77777777" w:rsidR="00144CDA" w:rsidRPr="003C18BC" w:rsidRDefault="00144CDA" w:rsidP="00445ECA">
      <w:pPr>
        <w:pStyle w:val="Heading3"/>
      </w:pPr>
      <w:bookmarkStart w:id="1195" w:name="_Toc440982245"/>
      <w:r w:rsidRPr="003C18BC">
        <w:t>Contract Sanctions must not be applied to a contract unless the Commissioner is in a position to move to terminate. Where Contract Sanctions are applied, this is an alternative to terminating the contract. The Commissioner cannot apply Contract Sanctions and later decide to terminate the contract in the same circumstances.</w:t>
      </w:r>
      <w:bookmarkEnd w:id="1195"/>
      <w:r w:rsidRPr="003C18BC">
        <w:t xml:space="preserve"> </w:t>
      </w:r>
    </w:p>
    <w:p w14:paraId="1ACE8275" w14:textId="77777777" w:rsidR="00144CDA" w:rsidRPr="003C18BC" w:rsidRDefault="00144CDA" w:rsidP="00445ECA">
      <w:pPr>
        <w:pStyle w:val="Heading3"/>
      </w:pPr>
      <w:bookmarkStart w:id="1196" w:name="_Toc440982246"/>
      <w:r w:rsidRPr="003C18BC">
        <w:t xml:space="preserve">The circumstances in which the Commissioner may apply Contract Sanctions are those circumstances set out below where a right of termination arises. Please refer to the relevant right of termination in paragraph </w:t>
      </w:r>
      <w:r w:rsidRPr="003C18BC">
        <w:fldChar w:fldCharType="begin"/>
      </w:r>
      <w:r w:rsidRPr="003C18BC">
        <w:instrText xml:space="preserve"> REF _Ref409600317 \r \h  \* MERGEFORMAT </w:instrText>
      </w:r>
      <w:r w:rsidRPr="003C18BC">
        <w:fldChar w:fldCharType="separate"/>
      </w:r>
      <w:r w:rsidR="00622FF2">
        <w:t>1.7</w:t>
      </w:r>
      <w:r w:rsidRPr="003C18BC">
        <w:fldChar w:fldCharType="end"/>
      </w:r>
      <w:r w:rsidRPr="003C18BC">
        <w:t xml:space="preserve"> for further information on how these rights of termination arise:</w:t>
      </w:r>
      <w:bookmarkEnd w:id="1196"/>
    </w:p>
    <w:p w14:paraId="7F6F7A66" w14:textId="77777777" w:rsidR="00144CDA" w:rsidRPr="003C18BC" w:rsidRDefault="00144CDA" w:rsidP="005A7DDA">
      <w:pPr>
        <w:pStyle w:val="Heading3"/>
        <w:numPr>
          <w:ilvl w:val="0"/>
          <w:numId w:val="103"/>
        </w:numPr>
        <w:spacing w:before="120" w:after="120"/>
        <w:jc w:val="both"/>
        <w:rPr>
          <w:rFonts w:cs="Arial"/>
          <w:szCs w:val="24"/>
        </w:rPr>
      </w:pPr>
      <w:bookmarkStart w:id="1197" w:name="_Toc440982247"/>
      <w:r w:rsidRPr="003C18BC">
        <w:rPr>
          <w:rFonts w:cs="Arial"/>
          <w:szCs w:val="24"/>
        </w:rPr>
        <w:t>provision of untrue information;</w:t>
      </w:r>
      <w:bookmarkEnd w:id="1197"/>
    </w:p>
    <w:p w14:paraId="72B78839" w14:textId="77777777" w:rsidR="00144CDA" w:rsidRPr="003C18BC" w:rsidRDefault="00144CDA" w:rsidP="005A7DDA">
      <w:pPr>
        <w:pStyle w:val="Heading3"/>
        <w:numPr>
          <w:ilvl w:val="0"/>
          <w:numId w:val="103"/>
        </w:numPr>
        <w:spacing w:before="120" w:after="120"/>
        <w:jc w:val="both"/>
        <w:rPr>
          <w:rFonts w:cs="Arial"/>
          <w:szCs w:val="24"/>
        </w:rPr>
      </w:pPr>
      <w:bookmarkStart w:id="1198" w:name="_Toc440982248"/>
      <w:r w:rsidRPr="003C18BC">
        <w:rPr>
          <w:rFonts w:cs="Arial"/>
          <w:szCs w:val="24"/>
        </w:rPr>
        <w:t>fitness to practice matters;</w:t>
      </w:r>
      <w:bookmarkEnd w:id="1198"/>
    </w:p>
    <w:p w14:paraId="05F1E593" w14:textId="77777777" w:rsidR="00144CDA" w:rsidRPr="003C18BC" w:rsidRDefault="00144CDA" w:rsidP="005A7DDA">
      <w:pPr>
        <w:pStyle w:val="Heading3"/>
        <w:numPr>
          <w:ilvl w:val="0"/>
          <w:numId w:val="103"/>
        </w:numPr>
        <w:spacing w:before="120" w:after="120"/>
        <w:jc w:val="both"/>
        <w:rPr>
          <w:rFonts w:cs="Arial"/>
          <w:szCs w:val="24"/>
        </w:rPr>
      </w:pPr>
      <w:bookmarkStart w:id="1199" w:name="_Toc440982249"/>
      <w:r w:rsidRPr="003C18BC">
        <w:rPr>
          <w:rFonts w:cs="Arial"/>
          <w:szCs w:val="24"/>
        </w:rPr>
        <w:t>where there is a serious risk to patient safety or NHS England is at risk of material financial loss;</w:t>
      </w:r>
      <w:bookmarkEnd w:id="1199"/>
      <w:r w:rsidRPr="003C18BC">
        <w:rPr>
          <w:rFonts w:cs="Arial"/>
          <w:szCs w:val="24"/>
        </w:rPr>
        <w:t xml:space="preserve"> </w:t>
      </w:r>
    </w:p>
    <w:p w14:paraId="2C00FD6A" w14:textId="77777777" w:rsidR="00144CDA" w:rsidRPr="003C18BC" w:rsidRDefault="00144CDA" w:rsidP="005A7DDA">
      <w:pPr>
        <w:pStyle w:val="Heading3"/>
        <w:numPr>
          <w:ilvl w:val="0"/>
          <w:numId w:val="103"/>
        </w:numPr>
        <w:spacing w:before="120" w:after="120"/>
        <w:jc w:val="both"/>
        <w:rPr>
          <w:rFonts w:cs="Arial"/>
          <w:szCs w:val="24"/>
        </w:rPr>
      </w:pPr>
      <w:bookmarkStart w:id="1200" w:name="_Toc440982250"/>
      <w:r w:rsidRPr="003C18BC">
        <w:rPr>
          <w:rFonts w:cs="Arial"/>
          <w:szCs w:val="24"/>
        </w:rPr>
        <w:t>where the Commissioner is satisfied that the contractor has not taken the steps required by a Remedial Notice to remedy a breach within the required period;</w:t>
      </w:r>
      <w:bookmarkEnd w:id="1200"/>
    </w:p>
    <w:p w14:paraId="3D068A26" w14:textId="77777777" w:rsidR="00144CDA" w:rsidRPr="003C18BC" w:rsidRDefault="00144CDA" w:rsidP="005A7DDA">
      <w:pPr>
        <w:pStyle w:val="Heading3"/>
        <w:numPr>
          <w:ilvl w:val="0"/>
          <w:numId w:val="103"/>
        </w:numPr>
        <w:spacing w:before="120" w:after="120"/>
        <w:jc w:val="both"/>
        <w:rPr>
          <w:rFonts w:cs="Arial"/>
          <w:szCs w:val="24"/>
        </w:rPr>
      </w:pPr>
      <w:bookmarkStart w:id="1201" w:name="_Toc440982251"/>
      <w:r w:rsidRPr="003C18BC">
        <w:rPr>
          <w:rFonts w:cs="Arial"/>
          <w:szCs w:val="24"/>
        </w:rPr>
        <w:t>where, after a Remedial Notice or Breach Notice has been issued, the contractor:</w:t>
      </w:r>
      <w:bookmarkEnd w:id="1201"/>
    </w:p>
    <w:p w14:paraId="3EEEA7F3" w14:textId="77777777" w:rsidR="00144CDA" w:rsidRPr="003C18BC" w:rsidRDefault="00144CDA" w:rsidP="005A7DDA">
      <w:pPr>
        <w:pStyle w:val="Heading4"/>
        <w:keepNext w:val="0"/>
        <w:keepLines w:val="0"/>
        <w:numPr>
          <w:ilvl w:val="1"/>
          <w:numId w:val="103"/>
        </w:numPr>
        <w:spacing w:before="120" w:after="120"/>
        <w:jc w:val="both"/>
        <w:rPr>
          <w:rFonts w:cs="Arial"/>
          <w:szCs w:val="24"/>
        </w:rPr>
      </w:pPr>
      <w:r w:rsidRPr="003C18BC">
        <w:rPr>
          <w:rFonts w:cs="Arial"/>
          <w:szCs w:val="24"/>
        </w:rPr>
        <w:t xml:space="preserve">repeats a breach that was the subject of a Remedial </w:t>
      </w:r>
      <w:r w:rsidRPr="003C18BC">
        <w:rPr>
          <w:rFonts w:cs="Arial"/>
          <w:szCs w:val="24"/>
        </w:rPr>
        <w:tab/>
        <w:t>Notice or a Breach Notice; or</w:t>
      </w:r>
    </w:p>
    <w:p w14:paraId="64ADEE71" w14:textId="77777777" w:rsidR="00144CDA" w:rsidRPr="003C18BC" w:rsidRDefault="00144CDA" w:rsidP="005A7DDA">
      <w:pPr>
        <w:pStyle w:val="Heading4"/>
        <w:keepNext w:val="0"/>
        <w:keepLines w:val="0"/>
        <w:numPr>
          <w:ilvl w:val="1"/>
          <w:numId w:val="103"/>
        </w:numPr>
        <w:spacing w:before="120" w:after="120"/>
        <w:jc w:val="both"/>
        <w:rPr>
          <w:rFonts w:cs="Arial"/>
          <w:szCs w:val="24"/>
        </w:rPr>
      </w:pPr>
      <w:r w:rsidRPr="003C18BC">
        <w:rPr>
          <w:rFonts w:cs="Arial"/>
          <w:szCs w:val="24"/>
        </w:rPr>
        <w:t xml:space="preserve">otherwise breaches the contract resulting in a further </w:t>
      </w:r>
      <w:r w:rsidRPr="003C18BC">
        <w:rPr>
          <w:rFonts w:cs="Arial"/>
          <w:szCs w:val="24"/>
        </w:rPr>
        <w:tab/>
        <w:t xml:space="preserve">Remedial Notice or Breach Notice. </w:t>
      </w:r>
    </w:p>
    <w:p w14:paraId="7FA144BB" w14:textId="77777777" w:rsidR="00144CDA" w:rsidRPr="003C18BC" w:rsidRDefault="00144CDA" w:rsidP="005A7DDA">
      <w:pPr>
        <w:pStyle w:val="Heading3"/>
        <w:numPr>
          <w:ilvl w:val="0"/>
          <w:numId w:val="103"/>
        </w:numPr>
        <w:spacing w:before="120" w:after="120"/>
        <w:jc w:val="both"/>
        <w:rPr>
          <w:rFonts w:cs="Arial"/>
          <w:szCs w:val="24"/>
        </w:rPr>
      </w:pPr>
      <w:bookmarkStart w:id="1202" w:name="_Toc440982252"/>
      <w:r w:rsidRPr="003C18BC">
        <w:rPr>
          <w:rFonts w:cs="Arial"/>
          <w:szCs w:val="24"/>
        </w:rPr>
        <w:t>where the contractor carries on business detrimental to the contract; and/or</w:t>
      </w:r>
      <w:bookmarkEnd w:id="1202"/>
    </w:p>
    <w:p w14:paraId="68D6B869" w14:textId="77777777" w:rsidR="00144CDA" w:rsidRPr="003C18BC" w:rsidRDefault="00144CDA" w:rsidP="005A7DDA">
      <w:pPr>
        <w:pStyle w:val="Heading3"/>
        <w:numPr>
          <w:ilvl w:val="0"/>
          <w:numId w:val="103"/>
        </w:numPr>
        <w:spacing w:before="120" w:after="120"/>
        <w:jc w:val="both"/>
        <w:rPr>
          <w:rFonts w:cs="Arial"/>
          <w:szCs w:val="24"/>
        </w:rPr>
      </w:pPr>
      <w:bookmarkStart w:id="1203" w:name="_Toc440982253"/>
      <w:r w:rsidRPr="003C18BC">
        <w:rPr>
          <w:rFonts w:cs="Arial"/>
          <w:szCs w:val="24"/>
        </w:rPr>
        <w:t>for GMS contracts only, where changes in membership of the partnership is likely to have a serious adverse impact on the ability of the contractor or the Commissioner to perform obligations under the contract.</w:t>
      </w:r>
      <w:bookmarkEnd w:id="1203"/>
    </w:p>
    <w:p w14:paraId="106D855D" w14:textId="77777777" w:rsidR="00144CDA" w:rsidRPr="003C18BC" w:rsidRDefault="00144CDA" w:rsidP="00445ECA">
      <w:pPr>
        <w:pStyle w:val="Heading3"/>
      </w:pPr>
      <w:bookmarkStart w:id="1204" w:name="_Toc440982254"/>
      <w:r w:rsidRPr="003C18BC">
        <w:t>Contract Sanctions must not be applied if they terminate or suspend any obligation that relates to essential services.</w:t>
      </w:r>
      <w:bookmarkEnd w:id="1204"/>
      <w:r w:rsidRPr="003C18BC">
        <w:t xml:space="preserve"> </w:t>
      </w:r>
    </w:p>
    <w:p w14:paraId="54A205DE" w14:textId="77777777" w:rsidR="00144CDA" w:rsidRPr="003C18BC" w:rsidRDefault="00144CDA" w:rsidP="00445ECA">
      <w:pPr>
        <w:pStyle w:val="Heading3"/>
      </w:pPr>
      <w:bookmarkStart w:id="1205" w:name="_Toc440982255"/>
      <w:r w:rsidRPr="003C18BC">
        <w:t>Contract Sanctions may involve:</w:t>
      </w:r>
      <w:bookmarkEnd w:id="1205"/>
    </w:p>
    <w:p w14:paraId="66C8019E" w14:textId="77777777" w:rsidR="00144CDA" w:rsidRPr="003C18BC" w:rsidRDefault="00144CDA" w:rsidP="005A7DDA">
      <w:pPr>
        <w:pStyle w:val="Heading3"/>
        <w:numPr>
          <w:ilvl w:val="0"/>
          <w:numId w:val="103"/>
        </w:numPr>
        <w:spacing w:before="120" w:after="120"/>
        <w:jc w:val="both"/>
        <w:rPr>
          <w:rFonts w:cs="Arial"/>
          <w:szCs w:val="24"/>
        </w:rPr>
      </w:pPr>
      <w:bookmarkStart w:id="1206" w:name="_Toc440982256"/>
      <w:r w:rsidRPr="003C18BC">
        <w:rPr>
          <w:rFonts w:cs="Arial"/>
          <w:szCs w:val="24"/>
        </w:rPr>
        <w:t>termination of specified reciprocal obligations;</w:t>
      </w:r>
      <w:bookmarkEnd w:id="1206"/>
    </w:p>
    <w:p w14:paraId="21F300CA" w14:textId="77777777" w:rsidR="00144CDA" w:rsidRPr="003C18BC" w:rsidRDefault="00144CDA" w:rsidP="005A7DDA">
      <w:pPr>
        <w:pStyle w:val="Heading3"/>
        <w:numPr>
          <w:ilvl w:val="0"/>
          <w:numId w:val="103"/>
        </w:numPr>
        <w:spacing w:before="120" w:after="120"/>
        <w:jc w:val="both"/>
        <w:rPr>
          <w:rFonts w:cs="Arial"/>
          <w:szCs w:val="24"/>
        </w:rPr>
      </w:pPr>
      <w:bookmarkStart w:id="1207" w:name="_Toc440982257"/>
      <w:r w:rsidRPr="003C18BC">
        <w:rPr>
          <w:rFonts w:cs="Arial"/>
          <w:szCs w:val="24"/>
        </w:rPr>
        <w:t>suspension of specified reciprocal obligations for a period of up to six months; or</w:t>
      </w:r>
      <w:bookmarkEnd w:id="1207"/>
    </w:p>
    <w:p w14:paraId="0271F890" w14:textId="77777777" w:rsidR="00144CDA" w:rsidRPr="003C18BC" w:rsidRDefault="00144CDA" w:rsidP="005A7DDA">
      <w:pPr>
        <w:pStyle w:val="Heading3"/>
        <w:numPr>
          <w:ilvl w:val="0"/>
          <w:numId w:val="103"/>
        </w:numPr>
        <w:spacing w:before="120" w:after="120"/>
        <w:jc w:val="both"/>
        <w:rPr>
          <w:rFonts w:cs="Arial"/>
          <w:szCs w:val="24"/>
        </w:rPr>
      </w:pPr>
      <w:bookmarkStart w:id="1208" w:name="_Toc440982258"/>
      <w:r w:rsidRPr="003C18BC">
        <w:rPr>
          <w:rFonts w:cs="Arial"/>
          <w:szCs w:val="24"/>
        </w:rPr>
        <w:t>withholding or deducting monies otherwise payable under the contract.</w:t>
      </w:r>
      <w:bookmarkEnd w:id="1208"/>
    </w:p>
    <w:p w14:paraId="6959621C" w14:textId="77777777" w:rsidR="00144CDA" w:rsidRPr="003C18BC" w:rsidRDefault="00144CDA" w:rsidP="00445ECA">
      <w:pPr>
        <w:pStyle w:val="Heading3"/>
      </w:pPr>
      <w:bookmarkStart w:id="1209" w:name="_Toc440982259"/>
      <w:r w:rsidRPr="003C18BC">
        <w:t>The choice of which Contract Sanction to use would ordinarily depend on the nature of the breach, or cumulative effect, and what is felt to be the most appropriate and proportionate action in those circumstances. For example, if the breaches have occurred in relation to a specific service element under the contract, it might be most appropriate to move to terminate that specific service, such as an additional service.</w:t>
      </w:r>
      <w:bookmarkEnd w:id="1209"/>
    </w:p>
    <w:p w14:paraId="2515B60D" w14:textId="77777777" w:rsidR="00144CDA" w:rsidRPr="003C18BC" w:rsidRDefault="00144CDA" w:rsidP="00445ECA">
      <w:pPr>
        <w:pStyle w:val="Heading3"/>
      </w:pPr>
      <w:bookmarkStart w:id="1210" w:name="_Toc440982260"/>
      <w:r w:rsidRPr="003C18BC">
        <w:t>Where the Commissioner is considering imposing a Contract Sanction and the contractor has a GMS contract, it is a statutory requirement that the Commissioner consults the relevant LMC before it imposes the Contract Sanction, where it is reasonably practicable to do so. There is no such statutory requirement in respect of PMS or APMS contracts and the Commissioner should ensure it considers any relevant wording in the contract.</w:t>
      </w:r>
      <w:bookmarkEnd w:id="1210"/>
      <w:r w:rsidRPr="003C18BC">
        <w:t xml:space="preserve"> </w:t>
      </w:r>
    </w:p>
    <w:p w14:paraId="4CF5CE17" w14:textId="77777777" w:rsidR="00144CDA" w:rsidRPr="003C18BC" w:rsidRDefault="00144CDA" w:rsidP="00445ECA">
      <w:pPr>
        <w:pStyle w:val="Heading3"/>
      </w:pPr>
      <w:bookmarkStart w:id="1211" w:name="_Toc440982261"/>
      <w:r w:rsidRPr="003C18BC">
        <w:t>Where the Commissioner decides that the most appropriate sanction would be to withhold or deduct monies, this must be calculated in order to establish a consistent, fair and measured approach. Annex 7 provides further information on calculating a financial Contract Sanction.</w:t>
      </w:r>
      <w:bookmarkEnd w:id="1211"/>
    </w:p>
    <w:p w14:paraId="0CF01922" w14:textId="77777777" w:rsidR="00144CDA" w:rsidRPr="003C18BC" w:rsidRDefault="00144CDA" w:rsidP="00445ECA">
      <w:pPr>
        <w:pStyle w:val="Heading3"/>
      </w:pPr>
      <w:bookmarkStart w:id="1212" w:name="_Toc440982262"/>
      <w:r w:rsidRPr="003C18BC">
        <w:t>Where the Commissioner decides to impose a Contract Sanction, the Commissioner must issue a notice of its intent to apply a sanction to the contractor which must include:</w:t>
      </w:r>
      <w:bookmarkEnd w:id="1212"/>
    </w:p>
    <w:p w14:paraId="7200D97B" w14:textId="77777777" w:rsidR="00144CDA" w:rsidRPr="003C18BC" w:rsidRDefault="00144CDA" w:rsidP="005A7DDA">
      <w:pPr>
        <w:pStyle w:val="Heading3"/>
        <w:numPr>
          <w:ilvl w:val="0"/>
          <w:numId w:val="103"/>
        </w:numPr>
        <w:spacing w:before="120" w:after="120"/>
        <w:jc w:val="both"/>
        <w:rPr>
          <w:rFonts w:cs="Arial"/>
          <w:szCs w:val="24"/>
        </w:rPr>
      </w:pPr>
      <w:bookmarkStart w:id="1213" w:name="_Toc440982263"/>
      <w:r w:rsidRPr="003C18BC">
        <w:rPr>
          <w:rFonts w:cs="Arial"/>
          <w:szCs w:val="24"/>
        </w:rPr>
        <w:t>the nature of the sanction to be applied;</w:t>
      </w:r>
      <w:bookmarkEnd w:id="1213"/>
    </w:p>
    <w:p w14:paraId="25A4435D" w14:textId="77777777" w:rsidR="00144CDA" w:rsidRPr="003C18BC" w:rsidRDefault="00144CDA" w:rsidP="005A7DDA">
      <w:pPr>
        <w:pStyle w:val="Heading3"/>
        <w:numPr>
          <w:ilvl w:val="0"/>
          <w:numId w:val="103"/>
        </w:numPr>
        <w:spacing w:before="120" w:after="120"/>
        <w:jc w:val="both"/>
        <w:rPr>
          <w:rFonts w:cs="Arial"/>
          <w:szCs w:val="24"/>
        </w:rPr>
      </w:pPr>
      <w:bookmarkStart w:id="1214" w:name="_Toc440982264"/>
      <w:r w:rsidRPr="003C18BC">
        <w:rPr>
          <w:rFonts w:cs="Arial"/>
          <w:szCs w:val="24"/>
        </w:rPr>
        <w:t>if withholding or deducting monies, how this has been calculated and the duration of any such sanction;</w:t>
      </w:r>
      <w:bookmarkEnd w:id="1214"/>
    </w:p>
    <w:p w14:paraId="29B90E0B" w14:textId="77777777" w:rsidR="00144CDA" w:rsidRPr="003C18BC" w:rsidRDefault="00144CDA" w:rsidP="005A7DDA">
      <w:pPr>
        <w:pStyle w:val="Heading3"/>
        <w:numPr>
          <w:ilvl w:val="0"/>
          <w:numId w:val="103"/>
        </w:numPr>
        <w:spacing w:before="120" w:after="120"/>
        <w:jc w:val="both"/>
        <w:rPr>
          <w:rFonts w:cs="Arial"/>
          <w:szCs w:val="24"/>
        </w:rPr>
      </w:pPr>
      <w:bookmarkStart w:id="1215" w:name="_Toc440982265"/>
      <w:r w:rsidRPr="003C18BC">
        <w:rPr>
          <w:rFonts w:cs="Arial"/>
          <w:szCs w:val="24"/>
        </w:rPr>
        <w:t>if services are to be terminated, which services and from what date;</w:t>
      </w:r>
      <w:bookmarkEnd w:id="1215"/>
    </w:p>
    <w:p w14:paraId="3B5C8BDF" w14:textId="77777777" w:rsidR="00144CDA" w:rsidRPr="003C18BC" w:rsidRDefault="00144CDA" w:rsidP="005A7DDA">
      <w:pPr>
        <w:pStyle w:val="Heading3"/>
        <w:numPr>
          <w:ilvl w:val="0"/>
          <w:numId w:val="103"/>
        </w:numPr>
        <w:spacing w:before="120" w:after="120"/>
        <w:jc w:val="both"/>
        <w:rPr>
          <w:rFonts w:cs="Arial"/>
          <w:szCs w:val="24"/>
        </w:rPr>
      </w:pPr>
      <w:bookmarkStart w:id="1216" w:name="_Toc440982266"/>
      <w:r w:rsidRPr="003C18BC">
        <w:rPr>
          <w:rFonts w:cs="Arial"/>
          <w:szCs w:val="24"/>
        </w:rPr>
        <w:t>if suspension of specified reciprocal obligations under the contract or agreement, the period of that suspension and its end date;</w:t>
      </w:r>
      <w:bookmarkEnd w:id="1216"/>
    </w:p>
    <w:p w14:paraId="686EB59D" w14:textId="77777777" w:rsidR="00144CDA" w:rsidRPr="003C18BC" w:rsidRDefault="00144CDA" w:rsidP="005A7DDA">
      <w:pPr>
        <w:pStyle w:val="Heading3"/>
        <w:numPr>
          <w:ilvl w:val="0"/>
          <w:numId w:val="103"/>
        </w:numPr>
        <w:spacing w:before="120" w:after="120"/>
        <w:jc w:val="both"/>
        <w:rPr>
          <w:rFonts w:cs="Arial"/>
          <w:szCs w:val="24"/>
        </w:rPr>
      </w:pPr>
      <w:bookmarkStart w:id="1217" w:name="_Toc440982267"/>
      <w:r w:rsidRPr="003C18BC">
        <w:rPr>
          <w:rFonts w:cs="Arial"/>
          <w:szCs w:val="24"/>
        </w:rPr>
        <w:t>an explanation of the effect of the imposition of the Contract Sanction; and</w:t>
      </w:r>
      <w:bookmarkEnd w:id="1217"/>
    </w:p>
    <w:p w14:paraId="7A3A2C70" w14:textId="77777777" w:rsidR="00144CDA" w:rsidRPr="003C18BC" w:rsidRDefault="00144CDA" w:rsidP="005A7DDA">
      <w:pPr>
        <w:pStyle w:val="Heading3"/>
        <w:numPr>
          <w:ilvl w:val="0"/>
          <w:numId w:val="103"/>
        </w:numPr>
        <w:spacing w:before="120" w:after="120"/>
        <w:jc w:val="both"/>
        <w:rPr>
          <w:rFonts w:cs="Arial"/>
          <w:szCs w:val="24"/>
        </w:rPr>
      </w:pPr>
      <w:bookmarkStart w:id="1218" w:name="_Toc440982268"/>
      <w:r w:rsidRPr="003C18BC">
        <w:rPr>
          <w:rFonts w:cs="Arial"/>
          <w:szCs w:val="24"/>
        </w:rPr>
        <w:t>the contractor's right to appeal the decision to apply a Contract Sanction.</w:t>
      </w:r>
      <w:bookmarkEnd w:id="1218"/>
    </w:p>
    <w:p w14:paraId="24C7ADD0" w14:textId="0C1A8625" w:rsidR="00144CDA" w:rsidRPr="003C18BC" w:rsidRDefault="00144CDA" w:rsidP="00E874B3">
      <w:pPr>
        <w:pStyle w:val="Heading3"/>
      </w:pPr>
      <w:bookmarkStart w:id="1219" w:name="_Toc440982269"/>
      <w:r w:rsidRPr="003C18BC">
        <w:t>A template Contract Sanctions notice is provided in Annex 8.</w:t>
      </w:r>
      <w:r w:rsidRPr="007C30BA">
        <w:t xml:space="preserve"> </w:t>
      </w:r>
      <w:r w:rsidRPr="003C18BC">
        <w:t xml:space="preserve">Where NHS England is the Commissioner, the finalised Contract Sanction notice should be signed off by the Head of Commissioning or their nominated deputy. </w:t>
      </w:r>
      <w:bookmarkEnd w:id="1219"/>
      <w:r w:rsidR="00E874B3" w:rsidRPr="00E874B3">
        <w:t>Where the Commissioner is a CCG operating under delegated commissioning arrangements, the CCG should ensure the finalised Remedial Notice is signed off by the Chief Operating Officer (COO) or an individual authorised by the COO.</w:t>
      </w:r>
    </w:p>
    <w:p w14:paraId="1B63D869" w14:textId="77777777" w:rsidR="00144CDA" w:rsidRPr="003C18BC" w:rsidRDefault="00144CDA" w:rsidP="00445ECA">
      <w:pPr>
        <w:pStyle w:val="Heading3"/>
      </w:pPr>
      <w:bookmarkStart w:id="1220" w:name="_Toc440982270"/>
      <w:r w:rsidRPr="003C18BC">
        <w:t>The date that the Contract Sanction takes effect must not be until at least 28 days after the notice was served unless the Commissioner is satisfied that it is necessary to impose the Contract Sanction to protect the safety of patients or protect NHS England from material financial loss.</w:t>
      </w:r>
      <w:bookmarkEnd w:id="1220"/>
      <w:r w:rsidRPr="003C18BC">
        <w:t xml:space="preserve"> </w:t>
      </w:r>
    </w:p>
    <w:p w14:paraId="6071F16F" w14:textId="77777777" w:rsidR="00144CDA" w:rsidRPr="003C18BC" w:rsidRDefault="00144CDA" w:rsidP="00445ECA">
      <w:pPr>
        <w:pStyle w:val="Heading3"/>
      </w:pPr>
      <w:bookmarkStart w:id="1221" w:name="_Toc440982271"/>
      <w:r w:rsidRPr="003C18BC">
        <w:t>Where a Contract Sanction is imposed, the Commissioner can charge the contractor reasonable administration costs of imposing the Contract Sanction.</w:t>
      </w:r>
      <w:bookmarkEnd w:id="1221"/>
    </w:p>
    <w:p w14:paraId="0E481F7F" w14:textId="77777777" w:rsidR="00144CDA" w:rsidRPr="003C18BC" w:rsidRDefault="00144CDA" w:rsidP="00445ECA">
      <w:pPr>
        <w:pStyle w:val="Heading3"/>
      </w:pPr>
      <w:bookmarkStart w:id="1222" w:name="_Toc440982272"/>
      <w:r w:rsidRPr="003C18BC">
        <w:t>After imposing the Contract Sanction on a contractor with a GMS contract, it is a statutory requirement for the Commissioner to, as soon as reasonably practicable, notify the relevant LMC in writing of the Contract Sanction imposed. There is no such statutory requirement in respect of PMS or APMS contracts and the Commissioner should ensure it considers any relevant wording in the contract.</w:t>
      </w:r>
      <w:bookmarkEnd w:id="1222"/>
    </w:p>
    <w:p w14:paraId="7FECFB63" w14:textId="77777777" w:rsidR="00144CDA" w:rsidRPr="003C18BC" w:rsidRDefault="00144CDA" w:rsidP="00445ECA">
      <w:pPr>
        <w:pStyle w:val="Heading3"/>
      </w:pPr>
      <w:bookmarkStart w:id="1223" w:name="_Toc440982273"/>
      <w:r w:rsidRPr="003C18BC">
        <w:t>If the contractor disputes the imposition of a Contract Sanction, the Commissioner must not impose the Contract Sanction until the dispute has been determined unless the Contract Sanction is necessary to protect the safety of patients or protect NHS England from material financial loss.</w:t>
      </w:r>
      <w:bookmarkEnd w:id="1223"/>
    </w:p>
    <w:p w14:paraId="41750445" w14:textId="60066069" w:rsidR="00144CDA" w:rsidRPr="003C18BC" w:rsidRDefault="00144CDA" w:rsidP="00445ECA">
      <w:pPr>
        <w:pStyle w:val="Heading3"/>
      </w:pPr>
      <w:bookmarkStart w:id="1224" w:name="_Toc440982274"/>
      <w:r w:rsidRPr="003C18BC">
        <w:t xml:space="preserve">Where a dispute arises in relation to the imposition of Contract Sanctions, please refer to </w:t>
      </w:r>
      <w:r w:rsidR="00965C81">
        <w:t>the chapter on</w:t>
      </w:r>
      <w:r w:rsidRPr="003C18BC">
        <w:t xml:space="preserve"> managing disputes.</w:t>
      </w:r>
      <w:bookmarkEnd w:id="1224"/>
    </w:p>
    <w:p w14:paraId="413195EC" w14:textId="77777777" w:rsidR="00144CDA" w:rsidRPr="003C18BC" w:rsidRDefault="00144CDA" w:rsidP="00445ECA">
      <w:pPr>
        <w:pStyle w:val="Heading3"/>
      </w:pPr>
      <w:bookmarkStart w:id="1225" w:name="_Toc440982275"/>
      <w:r w:rsidRPr="003C18BC">
        <w:t>The Commissioner should ensure that arrangements are in place to monitor the contractor's compliance with a Contract Sanction notice.</w:t>
      </w:r>
      <w:bookmarkEnd w:id="1225"/>
    </w:p>
    <w:p w14:paraId="265143D2" w14:textId="77777777" w:rsidR="00144CDA" w:rsidRPr="003C18BC" w:rsidRDefault="00144CDA" w:rsidP="00445ECA">
      <w:pPr>
        <w:pStyle w:val="Heading3"/>
      </w:pPr>
      <w:bookmarkStart w:id="1226" w:name="_Toc440982276"/>
      <w:r w:rsidRPr="003C18BC">
        <w:t>Where a Contract Sanction notice is issued, the Commissioner should submit a Notice Return to the NHS England primary care inbox (</w:t>
      </w:r>
      <w:hyperlink r:id="rId106" w:history="1">
        <w:r w:rsidRPr="003C18BC">
          <w:rPr>
            <w:rStyle w:val="Hyperlink"/>
            <w:rFonts w:cs="Arial"/>
            <w:szCs w:val="24"/>
          </w:rPr>
          <w:t>england.primarycareops@nhs.net</w:t>
        </w:r>
      </w:hyperlink>
      <w:r w:rsidRPr="003C18BC">
        <w:t>) as soon as practicable after issue. A template Notice Return is set out Annex 13 (see also 1.4).</w:t>
      </w:r>
      <w:bookmarkEnd w:id="1226"/>
    </w:p>
    <w:p w14:paraId="16A394E6" w14:textId="77777777" w:rsidR="00144CDA" w:rsidRPr="007C30BA" w:rsidRDefault="00144CDA" w:rsidP="00144CDA">
      <w:pPr>
        <w:pStyle w:val="Body2"/>
        <w:spacing w:before="120" w:after="120" w:line="276" w:lineRule="auto"/>
        <w:rPr>
          <w:rFonts w:cs="Arial"/>
        </w:rPr>
      </w:pPr>
    </w:p>
    <w:p w14:paraId="1C940B95" w14:textId="77777777" w:rsidR="00144CDA" w:rsidRPr="003C18BC" w:rsidRDefault="00144CDA" w:rsidP="00144CDA">
      <w:pPr>
        <w:pStyle w:val="Heading2"/>
      </w:pPr>
      <w:bookmarkStart w:id="1227" w:name="_Ref409600303"/>
      <w:bookmarkStart w:id="1228" w:name="_Toc440982277"/>
      <w:bookmarkStart w:id="1229" w:name="_Toc498495434"/>
      <w:r w:rsidRPr="003C18BC">
        <w:t>Termination</w:t>
      </w:r>
      <w:bookmarkEnd w:id="1227"/>
      <w:bookmarkEnd w:id="1228"/>
      <w:bookmarkEnd w:id="1229"/>
      <w:r w:rsidRPr="003C18BC">
        <w:t xml:space="preserve"> </w:t>
      </w:r>
    </w:p>
    <w:p w14:paraId="768D064D" w14:textId="77777777" w:rsidR="00144CDA" w:rsidRPr="003C18BC" w:rsidRDefault="00144CDA" w:rsidP="00445ECA">
      <w:pPr>
        <w:pStyle w:val="Heading3"/>
      </w:pPr>
      <w:bookmarkStart w:id="1230" w:name="_Toc440982278"/>
      <w:r w:rsidRPr="003C18BC">
        <w:t xml:space="preserve">Termination is a very significant action to take both on the part of the Commissioner and the contractor and is an area of high risk for both parties in respect of financial impact and continuity of services. </w:t>
      </w:r>
      <w:r w:rsidRPr="003C18BC">
        <w:rPr>
          <w:iCs/>
        </w:rPr>
        <w:t>Where the Commissioner considers that a Termination Notice may be issued, the Commissioner should liaise with the NHS England Legal team early in the process to confirm the appropriateness and lawfulness of taking such a step</w:t>
      </w:r>
      <w:r w:rsidRPr="003C18BC">
        <w:t>. It is essential that the Commissioner maintains thorough and accurate records of all communications and discussions in respect of all notices.</w:t>
      </w:r>
      <w:bookmarkEnd w:id="1230"/>
    </w:p>
    <w:p w14:paraId="1B37BA80" w14:textId="77777777" w:rsidR="00144CDA" w:rsidRPr="003C18BC" w:rsidRDefault="00144CDA" w:rsidP="00445ECA">
      <w:pPr>
        <w:pStyle w:val="Heading3"/>
      </w:pPr>
      <w:bookmarkStart w:id="1231" w:name="_Toc440982279"/>
      <w:r w:rsidRPr="003C18BC">
        <w:t>Contractors have the right to appeal so it is essential that the Commissioner follows, and can demonstrate that they have followed due process in investigating, communicating and implementing actions leading to termination.</w:t>
      </w:r>
      <w:bookmarkEnd w:id="1231"/>
    </w:p>
    <w:p w14:paraId="43FA8403" w14:textId="77777777" w:rsidR="00144CDA" w:rsidRPr="003C18BC" w:rsidRDefault="00144CDA" w:rsidP="00445ECA">
      <w:pPr>
        <w:pStyle w:val="Heading3"/>
      </w:pPr>
      <w:bookmarkStart w:id="1232" w:name="_Toc440982280"/>
      <w:r w:rsidRPr="003C18BC">
        <w:t>It is essential that prior to moving to terminate a contract, the Commissioner is satisfied that they are fully within their rights to do so.</w:t>
      </w:r>
      <w:bookmarkEnd w:id="1232"/>
    </w:p>
    <w:p w14:paraId="7CA733D0" w14:textId="77777777" w:rsidR="00144CDA" w:rsidRPr="003C18BC" w:rsidRDefault="00144CDA" w:rsidP="00445ECA">
      <w:pPr>
        <w:pStyle w:val="Heading3"/>
      </w:pPr>
      <w:bookmarkStart w:id="1233" w:name="_Toc440982281"/>
      <w:r w:rsidRPr="003C18BC">
        <w:t xml:space="preserve">Legislation sets out certain rights of termination that are required to be in each type of primary medical contract. These mandatory termination rights are set out below and explained more fully in paragraph </w:t>
      </w:r>
      <w:r w:rsidRPr="003C18BC">
        <w:fldChar w:fldCharType="begin"/>
      </w:r>
      <w:r w:rsidRPr="003C18BC">
        <w:instrText xml:space="preserve"> REF _Ref409600317 \r \h  \* MERGEFORMAT </w:instrText>
      </w:r>
      <w:r w:rsidRPr="003C18BC">
        <w:fldChar w:fldCharType="separate"/>
      </w:r>
      <w:r w:rsidR="00622FF2">
        <w:t>1.7</w:t>
      </w:r>
      <w:r w:rsidRPr="003C18BC">
        <w:fldChar w:fldCharType="end"/>
      </w:r>
      <w:r w:rsidRPr="003C18BC">
        <w:t>. Where the termination relates to a matter that is contained within an alternative policy, this is highlighted.</w:t>
      </w:r>
      <w:bookmarkEnd w:id="1233"/>
      <w:r w:rsidRPr="003C18BC">
        <w:t xml:space="preserve"> </w:t>
      </w:r>
    </w:p>
    <w:p w14:paraId="357BB2C4" w14:textId="77777777" w:rsidR="00144CDA" w:rsidRPr="003C18BC" w:rsidRDefault="00144CDA" w:rsidP="00445ECA">
      <w:pPr>
        <w:pStyle w:val="Heading3"/>
      </w:pPr>
      <w:bookmarkStart w:id="1234" w:name="_Toc440982282"/>
      <w:r w:rsidRPr="003C18BC">
        <w:t>The contract may contain additional termination rights. The Commissioner should consider the relevant contract to ensure it is fully aware of all termination rights.</w:t>
      </w:r>
      <w:bookmarkEnd w:id="1234"/>
      <w:r w:rsidRPr="003C18BC">
        <w:t xml:space="preserve"> </w:t>
      </w:r>
    </w:p>
    <w:p w14:paraId="6585DAF3" w14:textId="77777777" w:rsidR="00144CDA" w:rsidRPr="003C18BC" w:rsidRDefault="00144CDA" w:rsidP="00445ECA">
      <w:pPr>
        <w:pStyle w:val="Heading3"/>
      </w:pPr>
      <w:bookmarkStart w:id="1235" w:name="_Toc440982283"/>
      <w:r w:rsidRPr="003C18BC">
        <w:rPr>
          <w:b/>
        </w:rPr>
        <w:t>GMS / PMS</w:t>
      </w:r>
      <w:r w:rsidRPr="003C18BC">
        <w:t xml:space="preserve"> - The following circumstances relating to rights of termination are required to be in GMS and PMS contracts:</w:t>
      </w:r>
      <w:bookmarkEnd w:id="1235"/>
    </w:p>
    <w:p w14:paraId="5B2D7CA2" w14:textId="77777777" w:rsidR="00144CDA" w:rsidRPr="003C18BC" w:rsidRDefault="00144CDA" w:rsidP="005A7DDA">
      <w:pPr>
        <w:pStyle w:val="Heading3"/>
        <w:numPr>
          <w:ilvl w:val="0"/>
          <w:numId w:val="103"/>
        </w:numPr>
        <w:spacing w:before="120" w:after="120"/>
        <w:jc w:val="both"/>
        <w:rPr>
          <w:rFonts w:cs="Arial"/>
          <w:szCs w:val="24"/>
        </w:rPr>
      </w:pPr>
      <w:bookmarkStart w:id="1236" w:name="_Toc440982284"/>
      <w:r w:rsidRPr="003C18BC">
        <w:rPr>
          <w:rFonts w:cs="Arial"/>
          <w:szCs w:val="24"/>
        </w:rPr>
        <w:t>death of a contractor;</w:t>
      </w:r>
      <w:bookmarkEnd w:id="1236"/>
    </w:p>
    <w:p w14:paraId="7B134351" w14:textId="77777777" w:rsidR="00144CDA" w:rsidRPr="003C18BC" w:rsidRDefault="00144CDA" w:rsidP="005A7DDA">
      <w:pPr>
        <w:pStyle w:val="Heading3"/>
        <w:numPr>
          <w:ilvl w:val="0"/>
          <w:numId w:val="103"/>
        </w:numPr>
        <w:spacing w:before="120" w:after="120"/>
        <w:jc w:val="both"/>
        <w:rPr>
          <w:rFonts w:cs="Arial"/>
          <w:szCs w:val="24"/>
        </w:rPr>
      </w:pPr>
      <w:bookmarkStart w:id="1237" w:name="_Toc440982285"/>
      <w:r w:rsidRPr="003C18BC">
        <w:rPr>
          <w:rFonts w:cs="Arial"/>
          <w:szCs w:val="24"/>
        </w:rPr>
        <w:t>contractor serving notice;</w:t>
      </w:r>
      <w:bookmarkEnd w:id="1237"/>
    </w:p>
    <w:p w14:paraId="2D0A6CEB" w14:textId="77777777" w:rsidR="00144CDA" w:rsidRPr="003C18BC" w:rsidRDefault="00144CDA" w:rsidP="005A7DDA">
      <w:pPr>
        <w:pStyle w:val="Heading3"/>
        <w:numPr>
          <w:ilvl w:val="0"/>
          <w:numId w:val="103"/>
        </w:numPr>
        <w:spacing w:before="120" w:after="120"/>
        <w:jc w:val="both"/>
        <w:rPr>
          <w:rFonts w:cs="Arial"/>
          <w:szCs w:val="24"/>
        </w:rPr>
      </w:pPr>
      <w:bookmarkStart w:id="1238" w:name="_Toc440982286"/>
      <w:r w:rsidRPr="003C18BC">
        <w:rPr>
          <w:rFonts w:cs="Arial"/>
          <w:szCs w:val="24"/>
        </w:rPr>
        <w:t>late payment;</w:t>
      </w:r>
      <w:bookmarkEnd w:id="1238"/>
    </w:p>
    <w:p w14:paraId="04013BD5" w14:textId="77777777" w:rsidR="00144CDA" w:rsidRPr="003C18BC" w:rsidRDefault="00144CDA" w:rsidP="005A7DDA">
      <w:pPr>
        <w:pStyle w:val="Heading3"/>
        <w:numPr>
          <w:ilvl w:val="0"/>
          <w:numId w:val="103"/>
        </w:numPr>
        <w:spacing w:before="120" w:after="120"/>
        <w:jc w:val="both"/>
        <w:rPr>
          <w:rFonts w:cs="Arial"/>
          <w:szCs w:val="24"/>
        </w:rPr>
      </w:pPr>
      <w:bookmarkStart w:id="1239" w:name="_Toc440982287"/>
      <w:r w:rsidRPr="003C18BC">
        <w:rPr>
          <w:rFonts w:cs="Arial"/>
          <w:szCs w:val="24"/>
        </w:rPr>
        <w:t>provision of untrue information;</w:t>
      </w:r>
      <w:bookmarkEnd w:id="1239"/>
    </w:p>
    <w:p w14:paraId="3E61004B" w14:textId="77777777" w:rsidR="00144CDA" w:rsidRPr="003C18BC" w:rsidRDefault="00144CDA" w:rsidP="005A7DDA">
      <w:pPr>
        <w:pStyle w:val="Heading3"/>
        <w:numPr>
          <w:ilvl w:val="0"/>
          <w:numId w:val="103"/>
        </w:numPr>
        <w:spacing w:before="120" w:after="120"/>
        <w:jc w:val="both"/>
        <w:rPr>
          <w:rFonts w:cs="Arial"/>
          <w:szCs w:val="24"/>
        </w:rPr>
      </w:pPr>
      <w:bookmarkStart w:id="1240" w:name="_Toc440982288"/>
      <w:r w:rsidRPr="003C18BC">
        <w:rPr>
          <w:rFonts w:cs="Arial"/>
          <w:szCs w:val="24"/>
        </w:rPr>
        <w:t>fitness to practice issues;</w:t>
      </w:r>
      <w:bookmarkEnd w:id="1240"/>
    </w:p>
    <w:p w14:paraId="2A5513A4" w14:textId="77777777" w:rsidR="00144CDA" w:rsidRPr="003C18BC" w:rsidRDefault="00144CDA" w:rsidP="005A7DDA">
      <w:pPr>
        <w:pStyle w:val="Heading3"/>
        <w:numPr>
          <w:ilvl w:val="0"/>
          <w:numId w:val="103"/>
        </w:numPr>
        <w:spacing w:before="120" w:after="120"/>
        <w:jc w:val="both"/>
        <w:rPr>
          <w:rFonts w:cs="Arial"/>
          <w:szCs w:val="24"/>
        </w:rPr>
      </w:pPr>
      <w:bookmarkStart w:id="1241" w:name="_Toc440982289"/>
      <w:r w:rsidRPr="003C18BC">
        <w:rPr>
          <w:rFonts w:cs="Arial"/>
          <w:szCs w:val="24"/>
        </w:rPr>
        <w:t>patient safety;</w:t>
      </w:r>
      <w:bookmarkEnd w:id="1241"/>
    </w:p>
    <w:p w14:paraId="1CDF3E9E" w14:textId="77777777" w:rsidR="00144CDA" w:rsidRPr="003C18BC" w:rsidRDefault="00144CDA" w:rsidP="005A7DDA">
      <w:pPr>
        <w:pStyle w:val="Heading3"/>
        <w:numPr>
          <w:ilvl w:val="0"/>
          <w:numId w:val="103"/>
        </w:numPr>
        <w:spacing w:before="120" w:after="120"/>
        <w:jc w:val="both"/>
        <w:rPr>
          <w:rFonts w:cs="Arial"/>
          <w:szCs w:val="24"/>
        </w:rPr>
      </w:pPr>
      <w:bookmarkStart w:id="1242" w:name="_Toc440982290"/>
      <w:r w:rsidRPr="003C18BC">
        <w:rPr>
          <w:rFonts w:cs="Arial"/>
          <w:szCs w:val="24"/>
        </w:rPr>
        <w:t>material financial loss;</w:t>
      </w:r>
      <w:bookmarkEnd w:id="1242"/>
    </w:p>
    <w:p w14:paraId="3B71E42D" w14:textId="77777777" w:rsidR="00144CDA" w:rsidRPr="003C18BC" w:rsidRDefault="00144CDA" w:rsidP="005A7DDA">
      <w:pPr>
        <w:pStyle w:val="Heading3"/>
        <w:numPr>
          <w:ilvl w:val="0"/>
          <w:numId w:val="103"/>
        </w:numPr>
        <w:spacing w:before="120" w:after="120"/>
        <w:jc w:val="both"/>
        <w:rPr>
          <w:rFonts w:cs="Arial"/>
          <w:szCs w:val="24"/>
        </w:rPr>
      </w:pPr>
      <w:bookmarkStart w:id="1243" w:name="_Toc440982291"/>
      <w:r w:rsidRPr="003C18BC">
        <w:rPr>
          <w:rFonts w:cs="Arial"/>
          <w:szCs w:val="24"/>
        </w:rPr>
        <w:t>unlawful sub-contracting;</w:t>
      </w:r>
      <w:bookmarkEnd w:id="1243"/>
    </w:p>
    <w:p w14:paraId="1B4B75B5" w14:textId="77777777" w:rsidR="00144CDA" w:rsidRPr="003C18BC" w:rsidRDefault="00144CDA" w:rsidP="005A7DDA">
      <w:pPr>
        <w:pStyle w:val="Heading3"/>
        <w:numPr>
          <w:ilvl w:val="0"/>
          <w:numId w:val="103"/>
        </w:numPr>
        <w:spacing w:before="120" w:after="120"/>
        <w:jc w:val="both"/>
        <w:rPr>
          <w:rFonts w:cs="Arial"/>
          <w:szCs w:val="24"/>
        </w:rPr>
      </w:pPr>
      <w:bookmarkStart w:id="1244" w:name="_Toc440982292"/>
      <w:r w:rsidRPr="003C18BC">
        <w:rPr>
          <w:rFonts w:cs="Arial"/>
          <w:szCs w:val="24"/>
        </w:rPr>
        <w:t>remedial Notices and Breach Notices; and</w:t>
      </w:r>
      <w:bookmarkEnd w:id="1244"/>
    </w:p>
    <w:p w14:paraId="38EF4EB0" w14:textId="77777777" w:rsidR="00144CDA" w:rsidRPr="003C18BC" w:rsidRDefault="00144CDA" w:rsidP="005A7DDA">
      <w:pPr>
        <w:pStyle w:val="Heading3"/>
        <w:numPr>
          <w:ilvl w:val="0"/>
          <w:numId w:val="103"/>
        </w:numPr>
        <w:spacing w:before="120" w:after="120"/>
        <w:jc w:val="both"/>
        <w:rPr>
          <w:rFonts w:cs="Arial"/>
          <w:szCs w:val="24"/>
        </w:rPr>
      </w:pPr>
      <w:bookmarkStart w:id="1245" w:name="_Toc440982293"/>
      <w:r w:rsidRPr="003C18BC">
        <w:rPr>
          <w:rFonts w:cs="Arial"/>
          <w:szCs w:val="24"/>
        </w:rPr>
        <w:t>carrying on business detrimental to the contract.</w:t>
      </w:r>
      <w:bookmarkEnd w:id="1245"/>
    </w:p>
    <w:p w14:paraId="4FAA76AD" w14:textId="77777777" w:rsidR="00144CDA" w:rsidRPr="003C18BC" w:rsidRDefault="00144CDA" w:rsidP="00445ECA">
      <w:pPr>
        <w:pStyle w:val="Heading3"/>
      </w:pPr>
      <w:bookmarkStart w:id="1246" w:name="_Toc440982294"/>
      <w:r w:rsidRPr="003C18BC">
        <w:rPr>
          <w:b/>
        </w:rPr>
        <w:t>GMS</w:t>
      </w:r>
      <w:r w:rsidRPr="003C18BC">
        <w:t xml:space="preserve"> - GMS contracts are required to contain additional rights of termination relating to:</w:t>
      </w:r>
      <w:bookmarkEnd w:id="1246"/>
    </w:p>
    <w:p w14:paraId="5997A24A" w14:textId="77777777" w:rsidR="00144CDA" w:rsidRPr="003C18BC" w:rsidRDefault="00144CDA" w:rsidP="005A7DDA">
      <w:pPr>
        <w:pStyle w:val="Heading3"/>
        <w:numPr>
          <w:ilvl w:val="0"/>
          <w:numId w:val="103"/>
        </w:numPr>
        <w:spacing w:before="120" w:after="120"/>
        <w:jc w:val="both"/>
        <w:rPr>
          <w:rFonts w:cs="Arial"/>
          <w:szCs w:val="24"/>
        </w:rPr>
      </w:pPr>
      <w:bookmarkStart w:id="1247" w:name="_Toc440982295"/>
      <w:r w:rsidRPr="003C18BC">
        <w:rPr>
          <w:rFonts w:cs="Arial"/>
          <w:szCs w:val="24"/>
        </w:rPr>
        <w:t>breach of Regulation 4 (Conditions relating solely to medical practitioners) of the GMS Regulations; and</w:t>
      </w:r>
      <w:bookmarkEnd w:id="1247"/>
    </w:p>
    <w:p w14:paraId="2939C9C0" w14:textId="77777777" w:rsidR="00144CDA" w:rsidRPr="003C18BC" w:rsidRDefault="00144CDA" w:rsidP="005A7DDA">
      <w:pPr>
        <w:pStyle w:val="Heading3"/>
        <w:numPr>
          <w:ilvl w:val="0"/>
          <w:numId w:val="103"/>
        </w:numPr>
        <w:spacing w:before="120" w:after="120"/>
        <w:jc w:val="both"/>
        <w:rPr>
          <w:rFonts w:cs="Arial"/>
          <w:szCs w:val="24"/>
        </w:rPr>
      </w:pPr>
      <w:bookmarkStart w:id="1248" w:name="_Toc440982296"/>
      <w:r w:rsidRPr="003C18BC">
        <w:rPr>
          <w:rFonts w:cs="Arial"/>
          <w:szCs w:val="24"/>
        </w:rPr>
        <w:t>certain partnership matters.</w:t>
      </w:r>
      <w:bookmarkEnd w:id="1248"/>
    </w:p>
    <w:p w14:paraId="28FD8E90" w14:textId="77777777" w:rsidR="00144CDA" w:rsidRPr="003C18BC" w:rsidRDefault="00144CDA" w:rsidP="00445ECA">
      <w:pPr>
        <w:pStyle w:val="Heading3"/>
      </w:pPr>
      <w:bookmarkStart w:id="1249" w:name="_Toc440982297"/>
      <w:r w:rsidRPr="003C18BC">
        <w:rPr>
          <w:b/>
        </w:rPr>
        <w:t>PMS</w:t>
      </w:r>
      <w:r w:rsidRPr="003C18BC">
        <w:t xml:space="preserve"> - PMS agreements are required to contain additional rights of termination relating to:</w:t>
      </w:r>
      <w:bookmarkEnd w:id="1249"/>
    </w:p>
    <w:p w14:paraId="2252EC8D" w14:textId="77777777" w:rsidR="00144CDA" w:rsidRPr="003C18BC" w:rsidRDefault="00144CDA" w:rsidP="005A7DDA">
      <w:pPr>
        <w:pStyle w:val="Heading3"/>
        <w:numPr>
          <w:ilvl w:val="0"/>
          <w:numId w:val="103"/>
        </w:numPr>
        <w:spacing w:before="120" w:after="120"/>
        <w:jc w:val="both"/>
        <w:rPr>
          <w:rFonts w:cs="Arial"/>
          <w:szCs w:val="24"/>
        </w:rPr>
      </w:pPr>
      <w:bookmarkStart w:id="1250" w:name="_Toc440982298"/>
      <w:r w:rsidRPr="003C18BC">
        <w:rPr>
          <w:rFonts w:cs="Arial"/>
          <w:szCs w:val="24"/>
        </w:rPr>
        <w:t>commissioner serving notice;</w:t>
      </w:r>
      <w:bookmarkEnd w:id="1250"/>
      <w:r w:rsidRPr="003C18BC">
        <w:rPr>
          <w:rFonts w:cs="Arial"/>
          <w:szCs w:val="24"/>
        </w:rPr>
        <w:t xml:space="preserve"> </w:t>
      </w:r>
    </w:p>
    <w:p w14:paraId="6249A693" w14:textId="77777777" w:rsidR="00144CDA" w:rsidRPr="003C18BC" w:rsidRDefault="00144CDA" w:rsidP="005A7DDA">
      <w:pPr>
        <w:pStyle w:val="Heading3"/>
        <w:numPr>
          <w:ilvl w:val="0"/>
          <w:numId w:val="103"/>
        </w:numPr>
        <w:spacing w:before="120" w:after="120"/>
        <w:jc w:val="both"/>
        <w:rPr>
          <w:rFonts w:cs="Arial"/>
          <w:szCs w:val="24"/>
        </w:rPr>
      </w:pPr>
      <w:bookmarkStart w:id="1251" w:name="_Toc440982299"/>
      <w:r w:rsidRPr="003C18BC">
        <w:rPr>
          <w:rFonts w:cs="Arial"/>
          <w:szCs w:val="24"/>
        </w:rPr>
        <w:t>contractor's exercise of the right to a GMS contract; and</w:t>
      </w:r>
      <w:bookmarkEnd w:id="1251"/>
    </w:p>
    <w:p w14:paraId="3E884EF0" w14:textId="77777777" w:rsidR="00144CDA" w:rsidRPr="003C18BC" w:rsidRDefault="00144CDA" w:rsidP="005A7DDA">
      <w:pPr>
        <w:pStyle w:val="Heading3"/>
        <w:numPr>
          <w:ilvl w:val="0"/>
          <w:numId w:val="103"/>
        </w:numPr>
        <w:spacing w:before="120" w:after="120"/>
        <w:jc w:val="both"/>
        <w:rPr>
          <w:rFonts w:cs="Arial"/>
          <w:szCs w:val="24"/>
        </w:rPr>
      </w:pPr>
      <w:bookmarkStart w:id="1252" w:name="_Toc440982300"/>
      <w:r w:rsidRPr="003C18BC">
        <w:rPr>
          <w:rFonts w:cs="Arial"/>
          <w:szCs w:val="24"/>
        </w:rPr>
        <w:t>agreement of the parties.</w:t>
      </w:r>
      <w:bookmarkEnd w:id="1252"/>
    </w:p>
    <w:p w14:paraId="0E49187E" w14:textId="77777777" w:rsidR="00144CDA" w:rsidRPr="003C18BC" w:rsidRDefault="00144CDA" w:rsidP="00445ECA">
      <w:pPr>
        <w:pStyle w:val="Heading3"/>
      </w:pPr>
      <w:bookmarkStart w:id="1253" w:name="_Ref409614913"/>
      <w:bookmarkStart w:id="1254" w:name="_Toc440982301"/>
      <w:r w:rsidRPr="003C18BC">
        <w:rPr>
          <w:b/>
        </w:rPr>
        <w:t>APMS</w:t>
      </w:r>
      <w:r w:rsidRPr="003C18BC">
        <w:t xml:space="preserve"> - The following circumstances relating to rights of termination are required to be in APMS contracts:</w:t>
      </w:r>
      <w:bookmarkEnd w:id="1253"/>
      <w:bookmarkEnd w:id="1254"/>
    </w:p>
    <w:p w14:paraId="253D624E" w14:textId="77777777" w:rsidR="00144CDA" w:rsidRPr="003C18BC" w:rsidRDefault="00144CDA" w:rsidP="005A7DDA">
      <w:pPr>
        <w:pStyle w:val="Heading3"/>
        <w:numPr>
          <w:ilvl w:val="0"/>
          <w:numId w:val="103"/>
        </w:numPr>
        <w:spacing w:before="120" w:after="120"/>
        <w:jc w:val="both"/>
        <w:rPr>
          <w:rFonts w:cs="Arial"/>
          <w:szCs w:val="24"/>
        </w:rPr>
      </w:pPr>
      <w:bookmarkStart w:id="1255" w:name="_Toc440982302"/>
      <w:r w:rsidRPr="003C18BC">
        <w:rPr>
          <w:rFonts w:cs="Arial"/>
          <w:szCs w:val="24"/>
        </w:rPr>
        <w:t>death of a contractor;</w:t>
      </w:r>
      <w:bookmarkEnd w:id="1255"/>
    </w:p>
    <w:p w14:paraId="3EF11D95" w14:textId="77777777" w:rsidR="00144CDA" w:rsidRPr="003C18BC" w:rsidRDefault="00144CDA" w:rsidP="005A7DDA">
      <w:pPr>
        <w:pStyle w:val="Heading3"/>
        <w:numPr>
          <w:ilvl w:val="0"/>
          <w:numId w:val="103"/>
        </w:numPr>
        <w:spacing w:before="120" w:after="120"/>
        <w:jc w:val="both"/>
        <w:rPr>
          <w:rFonts w:cs="Arial"/>
          <w:szCs w:val="24"/>
        </w:rPr>
      </w:pPr>
      <w:bookmarkStart w:id="1256" w:name="_Toc440982303"/>
      <w:r w:rsidRPr="003C18BC">
        <w:rPr>
          <w:rFonts w:cs="Arial"/>
          <w:szCs w:val="24"/>
        </w:rPr>
        <w:t>provision of untrue information;</w:t>
      </w:r>
      <w:bookmarkEnd w:id="1256"/>
    </w:p>
    <w:p w14:paraId="4308AF66" w14:textId="77777777" w:rsidR="00144CDA" w:rsidRPr="003C18BC" w:rsidRDefault="00144CDA" w:rsidP="005A7DDA">
      <w:pPr>
        <w:pStyle w:val="Heading3"/>
        <w:numPr>
          <w:ilvl w:val="0"/>
          <w:numId w:val="103"/>
        </w:numPr>
        <w:spacing w:before="120" w:after="120"/>
        <w:jc w:val="both"/>
        <w:rPr>
          <w:rFonts w:cs="Arial"/>
          <w:szCs w:val="24"/>
        </w:rPr>
      </w:pPr>
      <w:bookmarkStart w:id="1257" w:name="_Toc440982304"/>
      <w:r w:rsidRPr="003C18BC">
        <w:rPr>
          <w:rFonts w:cs="Arial"/>
          <w:szCs w:val="24"/>
        </w:rPr>
        <w:t>fitness to practice issues;</w:t>
      </w:r>
      <w:bookmarkEnd w:id="1257"/>
    </w:p>
    <w:p w14:paraId="3F3DC6D4" w14:textId="77777777" w:rsidR="00144CDA" w:rsidRPr="003C18BC" w:rsidRDefault="00144CDA" w:rsidP="005A7DDA">
      <w:pPr>
        <w:pStyle w:val="Heading3"/>
        <w:numPr>
          <w:ilvl w:val="0"/>
          <w:numId w:val="103"/>
        </w:numPr>
        <w:spacing w:before="120" w:after="120"/>
        <w:jc w:val="both"/>
        <w:rPr>
          <w:rFonts w:cs="Arial"/>
          <w:szCs w:val="24"/>
        </w:rPr>
      </w:pPr>
      <w:bookmarkStart w:id="1258" w:name="_Toc440982305"/>
      <w:r w:rsidRPr="003C18BC">
        <w:rPr>
          <w:rFonts w:cs="Arial"/>
          <w:szCs w:val="24"/>
        </w:rPr>
        <w:t>patient safety;</w:t>
      </w:r>
      <w:bookmarkEnd w:id="1258"/>
    </w:p>
    <w:p w14:paraId="400186A3" w14:textId="77777777" w:rsidR="00144CDA" w:rsidRPr="003C18BC" w:rsidRDefault="00144CDA" w:rsidP="005A7DDA">
      <w:pPr>
        <w:pStyle w:val="Heading3"/>
        <w:numPr>
          <w:ilvl w:val="0"/>
          <w:numId w:val="103"/>
        </w:numPr>
        <w:spacing w:before="120" w:after="120"/>
        <w:jc w:val="both"/>
        <w:rPr>
          <w:rFonts w:cs="Arial"/>
          <w:szCs w:val="24"/>
        </w:rPr>
      </w:pPr>
      <w:bookmarkStart w:id="1259" w:name="_Toc440982306"/>
      <w:r w:rsidRPr="003C18BC">
        <w:rPr>
          <w:rFonts w:cs="Arial"/>
          <w:szCs w:val="24"/>
        </w:rPr>
        <w:t>material financial loss; and</w:t>
      </w:r>
      <w:bookmarkEnd w:id="1259"/>
    </w:p>
    <w:p w14:paraId="1596E9F8" w14:textId="77777777" w:rsidR="00144CDA" w:rsidRPr="003C18BC" w:rsidRDefault="00144CDA" w:rsidP="005A7DDA">
      <w:pPr>
        <w:pStyle w:val="Heading3"/>
        <w:numPr>
          <w:ilvl w:val="0"/>
          <w:numId w:val="103"/>
        </w:numPr>
        <w:spacing w:before="120" w:after="120"/>
        <w:jc w:val="both"/>
        <w:rPr>
          <w:rFonts w:cs="Arial"/>
          <w:szCs w:val="24"/>
        </w:rPr>
      </w:pPr>
      <w:bookmarkStart w:id="1260" w:name="_Toc440982307"/>
      <w:r w:rsidRPr="003C18BC">
        <w:rPr>
          <w:rFonts w:cs="Arial"/>
          <w:szCs w:val="24"/>
        </w:rPr>
        <w:t>unlawful sub-contracting.</w:t>
      </w:r>
      <w:bookmarkEnd w:id="1260"/>
    </w:p>
    <w:p w14:paraId="599A7EE6" w14:textId="77777777" w:rsidR="00144CDA" w:rsidRPr="003C18BC" w:rsidRDefault="00144CDA" w:rsidP="00445ECA">
      <w:pPr>
        <w:pStyle w:val="Heading3"/>
      </w:pPr>
      <w:bookmarkStart w:id="1261" w:name="_Toc440982308"/>
      <w:r w:rsidRPr="003C18BC">
        <w:rPr>
          <w:b/>
        </w:rPr>
        <w:t>APMS</w:t>
      </w:r>
      <w:r w:rsidRPr="003C18BC">
        <w:t xml:space="preserve"> - APMS contract are likely to have further rights of termination. Where the Commissioner wishes to terminate for a reason other than those set out in paragraph </w:t>
      </w:r>
      <w:r w:rsidRPr="003C18BC">
        <w:fldChar w:fldCharType="begin"/>
      </w:r>
      <w:r w:rsidRPr="003C18BC">
        <w:instrText xml:space="preserve"> REF _Ref409614913 \r \h  \* MERGEFORMAT </w:instrText>
      </w:r>
      <w:r w:rsidRPr="003C18BC">
        <w:fldChar w:fldCharType="separate"/>
      </w:r>
      <w:r w:rsidR="00622FF2">
        <w:t>1.5.9</w:t>
      </w:r>
      <w:r w:rsidRPr="003C18BC">
        <w:fldChar w:fldCharType="end"/>
      </w:r>
      <w:r w:rsidRPr="003C18BC">
        <w:t xml:space="preserve"> above, the Commissioner must review the contract to determine if any further rights of termination apply.</w:t>
      </w:r>
      <w:bookmarkEnd w:id="1261"/>
    </w:p>
    <w:p w14:paraId="1703130D" w14:textId="77777777" w:rsidR="00144CDA" w:rsidRPr="003C18BC" w:rsidRDefault="00144CDA" w:rsidP="00445ECA">
      <w:pPr>
        <w:pStyle w:val="Heading3"/>
      </w:pPr>
      <w:bookmarkStart w:id="1262" w:name="_Toc440982309"/>
      <w:r w:rsidRPr="003C18BC">
        <w:t>Contracts may also terminate by:</w:t>
      </w:r>
      <w:bookmarkEnd w:id="1262"/>
    </w:p>
    <w:p w14:paraId="6BFE96DD" w14:textId="36C38646" w:rsidR="00144CDA" w:rsidRPr="003C18BC" w:rsidRDefault="00144CDA" w:rsidP="005A7DDA">
      <w:pPr>
        <w:pStyle w:val="Heading3"/>
        <w:numPr>
          <w:ilvl w:val="0"/>
          <w:numId w:val="103"/>
        </w:numPr>
        <w:spacing w:before="120" w:after="120"/>
        <w:jc w:val="both"/>
        <w:rPr>
          <w:rFonts w:cs="Arial"/>
          <w:szCs w:val="24"/>
        </w:rPr>
      </w:pPr>
      <w:bookmarkStart w:id="1263" w:name="_Toc440982310"/>
      <w:r w:rsidRPr="003C18BC">
        <w:rPr>
          <w:rFonts w:cs="Arial"/>
          <w:szCs w:val="24"/>
        </w:rPr>
        <w:t xml:space="preserve">reaching their natural end dates (in which case, please refer to the </w:t>
      </w:r>
      <w:r w:rsidR="00965C81">
        <w:rPr>
          <w:rFonts w:cs="Arial"/>
          <w:szCs w:val="24"/>
        </w:rPr>
        <w:t xml:space="preserve">chapter </w:t>
      </w:r>
      <w:r w:rsidRPr="003C18BC">
        <w:rPr>
          <w:rFonts w:cs="Arial"/>
          <w:szCs w:val="24"/>
        </w:rPr>
        <w:t>on practice closedown for more information); or</w:t>
      </w:r>
      <w:bookmarkEnd w:id="1263"/>
    </w:p>
    <w:p w14:paraId="20EE7E85" w14:textId="399B2005" w:rsidR="00144CDA" w:rsidRPr="003C18BC" w:rsidRDefault="00144CDA" w:rsidP="005A7DDA">
      <w:pPr>
        <w:pStyle w:val="Heading3"/>
        <w:numPr>
          <w:ilvl w:val="0"/>
          <w:numId w:val="103"/>
        </w:numPr>
        <w:spacing w:before="120" w:after="120"/>
        <w:jc w:val="both"/>
        <w:rPr>
          <w:rFonts w:cs="Arial"/>
          <w:szCs w:val="24"/>
        </w:rPr>
      </w:pPr>
      <w:bookmarkStart w:id="1264" w:name="_Toc440982311"/>
      <w:r w:rsidRPr="003C18BC">
        <w:rPr>
          <w:rFonts w:cs="Arial"/>
          <w:szCs w:val="24"/>
        </w:rPr>
        <w:t xml:space="preserve">retirement of the contractor (in which case, please refer to the </w:t>
      </w:r>
      <w:r w:rsidR="00965C81">
        <w:rPr>
          <w:rFonts w:cs="Arial"/>
          <w:szCs w:val="24"/>
        </w:rPr>
        <w:t xml:space="preserve">chapter </w:t>
      </w:r>
      <w:r w:rsidRPr="003C18BC">
        <w:rPr>
          <w:rFonts w:cs="Arial"/>
          <w:szCs w:val="24"/>
        </w:rPr>
        <w:t>on contract variation).</w:t>
      </w:r>
      <w:bookmarkEnd w:id="1264"/>
    </w:p>
    <w:p w14:paraId="78786CE2" w14:textId="77777777" w:rsidR="00144CDA" w:rsidRPr="003C18BC" w:rsidRDefault="00144CDA" w:rsidP="00445ECA">
      <w:pPr>
        <w:pStyle w:val="Heading3"/>
      </w:pPr>
      <w:bookmarkStart w:id="1265" w:name="_Toc440982312"/>
      <w:r w:rsidRPr="003C18BC">
        <w:t>Where the Commissioner has considered all the relevant factors and has decided to proceed with termination, it must send a Termination Notice to the contractor.</w:t>
      </w:r>
      <w:bookmarkEnd w:id="1265"/>
      <w:r w:rsidRPr="003C18BC">
        <w:t xml:space="preserve"> </w:t>
      </w:r>
    </w:p>
    <w:p w14:paraId="3EF61FA0" w14:textId="10AFFAE4" w:rsidR="00144CDA" w:rsidRPr="003C18BC" w:rsidRDefault="00144CDA" w:rsidP="00E874B3">
      <w:pPr>
        <w:pStyle w:val="Heading3"/>
      </w:pPr>
      <w:bookmarkStart w:id="1266" w:name="_Toc440982313"/>
      <w:r w:rsidRPr="003C18BC">
        <w:t>A template Termination Notice is provided in Annex 9.</w:t>
      </w:r>
      <w:r w:rsidRPr="007C30BA">
        <w:t xml:space="preserve"> </w:t>
      </w:r>
      <w:r w:rsidRPr="003C18BC">
        <w:t xml:space="preserve">Where NHS England is the Commissioner, the finalised Termination Notice should be signed off by the Director of Commissioning Operations or their nominated deputy. </w:t>
      </w:r>
      <w:bookmarkEnd w:id="1266"/>
      <w:r w:rsidR="00E874B3" w:rsidRPr="00E874B3">
        <w:t>Where the Commissioner is a CCG operating under delegated commissioning arrangements, the CCG should ensure the finalised Remedial Notice is signed off by the Chief Operating Officer (COO) or an individual authorised by the COO.</w:t>
      </w:r>
    </w:p>
    <w:p w14:paraId="03280AD4" w14:textId="77777777" w:rsidR="00144CDA" w:rsidRPr="003C18BC" w:rsidRDefault="00144CDA" w:rsidP="00445ECA">
      <w:pPr>
        <w:pStyle w:val="Heading3"/>
      </w:pPr>
      <w:bookmarkStart w:id="1267" w:name="_Toc440982314"/>
      <w:r w:rsidRPr="003C18BC">
        <w:t>Where the termination relates to:</w:t>
      </w:r>
      <w:bookmarkEnd w:id="1267"/>
    </w:p>
    <w:p w14:paraId="3234285B" w14:textId="77777777" w:rsidR="00144CDA" w:rsidRPr="003C18BC" w:rsidRDefault="00144CDA" w:rsidP="005A7DDA">
      <w:pPr>
        <w:pStyle w:val="Heading3"/>
        <w:numPr>
          <w:ilvl w:val="0"/>
          <w:numId w:val="103"/>
        </w:numPr>
        <w:spacing w:before="120" w:after="120"/>
        <w:jc w:val="both"/>
        <w:rPr>
          <w:rFonts w:cs="Arial"/>
          <w:szCs w:val="24"/>
        </w:rPr>
      </w:pPr>
      <w:bookmarkStart w:id="1268" w:name="_Toc440982315"/>
      <w:r w:rsidRPr="003C18BC">
        <w:rPr>
          <w:rFonts w:cs="Arial"/>
          <w:szCs w:val="24"/>
        </w:rPr>
        <w:t>for GMS and PMS contracts:</w:t>
      </w:r>
      <w:bookmarkEnd w:id="1268"/>
    </w:p>
    <w:p w14:paraId="15FCED86" w14:textId="77777777" w:rsidR="00144CDA" w:rsidRPr="003C18BC" w:rsidRDefault="00144CDA" w:rsidP="005A7DDA">
      <w:pPr>
        <w:pStyle w:val="Heading4"/>
        <w:keepNext w:val="0"/>
        <w:keepLines w:val="0"/>
        <w:numPr>
          <w:ilvl w:val="0"/>
          <w:numId w:val="103"/>
        </w:numPr>
        <w:spacing w:before="120" w:after="120" w:line="276" w:lineRule="auto"/>
        <w:jc w:val="both"/>
        <w:rPr>
          <w:rFonts w:cs="Arial"/>
          <w:szCs w:val="24"/>
        </w:rPr>
      </w:pPr>
      <w:r w:rsidRPr="003C18BC">
        <w:rPr>
          <w:rFonts w:cs="Arial"/>
          <w:szCs w:val="24"/>
        </w:rPr>
        <w:t>provision of untrue information;</w:t>
      </w:r>
    </w:p>
    <w:p w14:paraId="2330FC95" w14:textId="77777777" w:rsidR="00144CDA" w:rsidRPr="003C18BC" w:rsidRDefault="00144CDA" w:rsidP="005A7DDA">
      <w:pPr>
        <w:pStyle w:val="Heading4"/>
        <w:keepNext w:val="0"/>
        <w:keepLines w:val="0"/>
        <w:numPr>
          <w:ilvl w:val="0"/>
          <w:numId w:val="103"/>
        </w:numPr>
        <w:spacing w:before="120" w:after="120" w:line="276" w:lineRule="auto"/>
        <w:jc w:val="both"/>
        <w:rPr>
          <w:rFonts w:cs="Arial"/>
          <w:szCs w:val="24"/>
        </w:rPr>
      </w:pPr>
      <w:r w:rsidRPr="003C18BC">
        <w:rPr>
          <w:rFonts w:cs="Arial"/>
          <w:szCs w:val="24"/>
        </w:rPr>
        <w:t>fitness to practice issues;</w:t>
      </w:r>
    </w:p>
    <w:p w14:paraId="29569DDF" w14:textId="77777777" w:rsidR="00144CDA" w:rsidRPr="003C18BC" w:rsidRDefault="00144CDA" w:rsidP="005A7DDA">
      <w:pPr>
        <w:pStyle w:val="Heading4"/>
        <w:keepNext w:val="0"/>
        <w:keepLines w:val="0"/>
        <w:numPr>
          <w:ilvl w:val="0"/>
          <w:numId w:val="103"/>
        </w:numPr>
        <w:spacing w:before="120" w:after="120" w:line="276" w:lineRule="auto"/>
        <w:jc w:val="both"/>
        <w:rPr>
          <w:rFonts w:cs="Arial"/>
          <w:szCs w:val="24"/>
        </w:rPr>
      </w:pPr>
      <w:r w:rsidRPr="003C18BC">
        <w:rPr>
          <w:rFonts w:cs="Arial"/>
          <w:szCs w:val="24"/>
        </w:rPr>
        <w:t>patient safety;</w:t>
      </w:r>
    </w:p>
    <w:p w14:paraId="7AF34142" w14:textId="77777777" w:rsidR="00144CDA" w:rsidRPr="003C18BC" w:rsidRDefault="00144CDA" w:rsidP="005A7DDA">
      <w:pPr>
        <w:pStyle w:val="Heading4"/>
        <w:keepNext w:val="0"/>
        <w:keepLines w:val="0"/>
        <w:numPr>
          <w:ilvl w:val="0"/>
          <w:numId w:val="103"/>
        </w:numPr>
        <w:spacing w:before="120" w:after="120" w:line="276" w:lineRule="auto"/>
        <w:jc w:val="both"/>
        <w:rPr>
          <w:rFonts w:cs="Arial"/>
          <w:szCs w:val="24"/>
        </w:rPr>
      </w:pPr>
      <w:r w:rsidRPr="003C18BC">
        <w:rPr>
          <w:rFonts w:cs="Arial"/>
          <w:szCs w:val="24"/>
        </w:rPr>
        <w:t>material financial loss; or</w:t>
      </w:r>
    </w:p>
    <w:p w14:paraId="611B8B98" w14:textId="77777777" w:rsidR="00144CDA" w:rsidRPr="003C18BC" w:rsidRDefault="00144CDA" w:rsidP="005A7DDA">
      <w:pPr>
        <w:pStyle w:val="Heading4"/>
        <w:keepNext w:val="0"/>
        <w:keepLines w:val="0"/>
        <w:numPr>
          <w:ilvl w:val="0"/>
          <w:numId w:val="103"/>
        </w:numPr>
        <w:spacing w:before="120" w:after="120" w:line="276" w:lineRule="auto"/>
        <w:jc w:val="both"/>
        <w:rPr>
          <w:rFonts w:cs="Arial"/>
          <w:szCs w:val="24"/>
        </w:rPr>
      </w:pPr>
      <w:r w:rsidRPr="003C18BC">
        <w:rPr>
          <w:rFonts w:cs="Arial"/>
          <w:szCs w:val="24"/>
        </w:rPr>
        <w:t xml:space="preserve">remedial Notices and Breach Notices; </w:t>
      </w:r>
    </w:p>
    <w:p w14:paraId="78C72167" w14:textId="77777777" w:rsidR="00144CDA" w:rsidRPr="003C18BC" w:rsidRDefault="00144CDA" w:rsidP="005A7DDA">
      <w:pPr>
        <w:pStyle w:val="Heading3"/>
        <w:numPr>
          <w:ilvl w:val="0"/>
          <w:numId w:val="103"/>
        </w:numPr>
        <w:spacing w:before="120" w:after="120"/>
        <w:jc w:val="both"/>
        <w:rPr>
          <w:rFonts w:cs="Arial"/>
          <w:szCs w:val="24"/>
        </w:rPr>
      </w:pPr>
      <w:bookmarkStart w:id="1269" w:name="_Toc440982316"/>
      <w:r w:rsidRPr="003C18BC">
        <w:rPr>
          <w:rFonts w:cs="Arial"/>
          <w:szCs w:val="24"/>
        </w:rPr>
        <w:t>for GMS agreements:</w:t>
      </w:r>
      <w:bookmarkEnd w:id="1269"/>
    </w:p>
    <w:p w14:paraId="0A596ECC" w14:textId="77777777" w:rsidR="00144CDA" w:rsidRPr="003C18BC" w:rsidRDefault="00144CDA" w:rsidP="005A7DDA">
      <w:pPr>
        <w:pStyle w:val="Heading4"/>
        <w:keepNext w:val="0"/>
        <w:keepLines w:val="0"/>
        <w:numPr>
          <w:ilvl w:val="0"/>
          <w:numId w:val="103"/>
        </w:numPr>
        <w:spacing w:before="120" w:after="120" w:line="276" w:lineRule="auto"/>
        <w:jc w:val="both"/>
        <w:rPr>
          <w:rFonts w:cs="Arial"/>
          <w:szCs w:val="24"/>
        </w:rPr>
      </w:pPr>
      <w:r w:rsidRPr="003C18BC">
        <w:rPr>
          <w:rFonts w:cs="Arial"/>
          <w:szCs w:val="24"/>
        </w:rPr>
        <w:t>certain partnership matters;</w:t>
      </w:r>
    </w:p>
    <w:p w14:paraId="23FC3DAF" w14:textId="77777777" w:rsidR="00144CDA" w:rsidRPr="003C18BC" w:rsidRDefault="00144CDA" w:rsidP="005A7DDA">
      <w:pPr>
        <w:pStyle w:val="Heading3"/>
        <w:numPr>
          <w:ilvl w:val="0"/>
          <w:numId w:val="103"/>
        </w:numPr>
        <w:spacing w:before="120" w:after="120"/>
        <w:jc w:val="both"/>
        <w:rPr>
          <w:rFonts w:cs="Arial"/>
          <w:szCs w:val="24"/>
        </w:rPr>
      </w:pPr>
      <w:bookmarkStart w:id="1270" w:name="_Toc440982317"/>
      <w:r w:rsidRPr="003C18BC">
        <w:rPr>
          <w:rFonts w:cs="Arial"/>
          <w:szCs w:val="24"/>
        </w:rPr>
        <w:t>for PMS agreements:</w:t>
      </w:r>
      <w:bookmarkEnd w:id="1270"/>
    </w:p>
    <w:p w14:paraId="1ED7378C" w14:textId="77777777" w:rsidR="00144CDA" w:rsidRDefault="00144CDA" w:rsidP="005A7DDA">
      <w:pPr>
        <w:pStyle w:val="Heading4"/>
        <w:keepNext w:val="0"/>
        <w:keepLines w:val="0"/>
        <w:numPr>
          <w:ilvl w:val="0"/>
          <w:numId w:val="103"/>
        </w:numPr>
        <w:spacing w:before="120" w:after="120" w:line="276" w:lineRule="auto"/>
        <w:jc w:val="both"/>
        <w:rPr>
          <w:rFonts w:cs="Arial"/>
          <w:szCs w:val="24"/>
        </w:rPr>
      </w:pPr>
      <w:r w:rsidRPr="003C18BC">
        <w:rPr>
          <w:rFonts w:cs="Arial"/>
          <w:szCs w:val="24"/>
        </w:rPr>
        <w:t>carrying on business detrimental to the agreement,</w:t>
      </w:r>
    </w:p>
    <w:p w14:paraId="1C9EB135" w14:textId="77777777" w:rsidR="00445ECA" w:rsidRPr="00445ECA" w:rsidRDefault="00445ECA" w:rsidP="00445ECA">
      <w:pPr>
        <w:rPr>
          <w:lang w:eastAsia="en-GB"/>
        </w:rPr>
      </w:pPr>
    </w:p>
    <w:p w14:paraId="417AA896" w14:textId="77777777" w:rsidR="00144CDA" w:rsidRPr="00445ECA" w:rsidRDefault="00144CDA" w:rsidP="00445ECA">
      <w:pPr>
        <w:pStyle w:val="Heading3"/>
        <w:numPr>
          <w:ilvl w:val="0"/>
          <w:numId w:val="0"/>
        </w:numPr>
        <w:ind w:left="720"/>
      </w:pPr>
      <w:bookmarkStart w:id="1271" w:name="_Toc440982318"/>
      <w:r w:rsidRPr="00445ECA">
        <w:t>the notice must specify a date on which the contract terminates that is not less than 28 days after the date on which the Commissioner has served the notice on the contractor. The Commissioner may state a date less than 28 days where this is necessary to protect the safety of the contractor's patients or protect NHS England from material financial loss. APMS contracts are not required to contain any such provisions and the Commissioner should consider the wording of the particular APMS contract.</w:t>
      </w:r>
      <w:bookmarkEnd w:id="1271"/>
      <w:r w:rsidRPr="00445ECA">
        <w:t xml:space="preserve"> </w:t>
      </w:r>
    </w:p>
    <w:p w14:paraId="19A25B36" w14:textId="13FC81EF" w:rsidR="00144CDA" w:rsidRPr="003C18BC" w:rsidRDefault="00144CDA" w:rsidP="00445ECA">
      <w:pPr>
        <w:pStyle w:val="Heading3"/>
      </w:pPr>
      <w:bookmarkStart w:id="1272" w:name="_Toc440982319"/>
      <w:r w:rsidRPr="003C18BC">
        <w:t xml:space="preserve">Where the contractor disputes the Commissioner's decision to terminate the contract, the contractor may invoke the NHS dispute resolution procedure. In such circumstances, the Commissioner should refer to the </w:t>
      </w:r>
      <w:r w:rsidR="00965C81">
        <w:t xml:space="preserve">chapter </w:t>
      </w:r>
      <w:r w:rsidRPr="003C18BC">
        <w:t>on managing disputes.</w:t>
      </w:r>
      <w:bookmarkEnd w:id="1272"/>
      <w:r w:rsidRPr="003C18BC">
        <w:t xml:space="preserve"> </w:t>
      </w:r>
    </w:p>
    <w:p w14:paraId="0491DC7F" w14:textId="77777777" w:rsidR="00144CDA" w:rsidRPr="003C18BC" w:rsidRDefault="00144CDA" w:rsidP="00445ECA">
      <w:pPr>
        <w:pStyle w:val="Heading3"/>
      </w:pPr>
      <w:bookmarkStart w:id="1273" w:name="_Toc440982320"/>
      <w:r w:rsidRPr="003C18BC">
        <w:t>Where a Termination Notice is issued, the Commissioner should submit a Notice Return to the NHS England primary care inbox (</w:t>
      </w:r>
      <w:hyperlink r:id="rId107" w:history="1">
        <w:r w:rsidRPr="003C18BC">
          <w:rPr>
            <w:rStyle w:val="Hyperlink"/>
            <w:rFonts w:cs="Arial"/>
            <w:szCs w:val="24"/>
          </w:rPr>
          <w:t>england.primarycareops@nhs.net</w:t>
        </w:r>
      </w:hyperlink>
      <w:r w:rsidRPr="003C18BC">
        <w:t>) as soon as practicable after issue. A template Notice Return is set out Annex 13 (see also 1.4).</w:t>
      </w:r>
      <w:bookmarkEnd w:id="1273"/>
    </w:p>
    <w:p w14:paraId="6AC49840" w14:textId="77777777" w:rsidR="00144CDA" w:rsidRPr="007C30BA" w:rsidRDefault="00144CDA" w:rsidP="00144CDA">
      <w:pPr>
        <w:pStyle w:val="Body2"/>
        <w:spacing w:before="120" w:after="120" w:line="276" w:lineRule="auto"/>
        <w:ind w:left="0"/>
        <w:rPr>
          <w:rFonts w:cs="Arial"/>
        </w:rPr>
      </w:pPr>
    </w:p>
    <w:p w14:paraId="1311BE39" w14:textId="77777777" w:rsidR="00144CDA" w:rsidRPr="003C18BC" w:rsidRDefault="00144CDA" w:rsidP="00144CDA">
      <w:pPr>
        <w:pStyle w:val="Heading2"/>
      </w:pPr>
      <w:bookmarkStart w:id="1274" w:name="_Toc440982321"/>
      <w:bookmarkStart w:id="1275" w:name="_Toc498495435"/>
      <w:r w:rsidRPr="003C18BC">
        <w:t>Key Considerations on Termination</w:t>
      </w:r>
      <w:bookmarkEnd w:id="1274"/>
      <w:bookmarkEnd w:id="1275"/>
    </w:p>
    <w:p w14:paraId="2ABB44A2" w14:textId="77777777" w:rsidR="00144CDA" w:rsidRPr="003C18BC" w:rsidRDefault="00144CDA" w:rsidP="00445ECA">
      <w:pPr>
        <w:pStyle w:val="Heading3"/>
      </w:pPr>
      <w:bookmarkStart w:id="1276" w:name="_Toc440982322"/>
      <w:r w:rsidRPr="003C18BC">
        <w:t>The Commissioner must establish that grounds exist under the terms of the contract to terminate. The Commissioner must follow due process and investigation of the facts and provide the contactor with the opportunity to provide a response to allegations, wherever possible.</w:t>
      </w:r>
      <w:bookmarkEnd w:id="1276"/>
      <w:r w:rsidRPr="003C18BC">
        <w:t xml:space="preserve"> </w:t>
      </w:r>
    </w:p>
    <w:p w14:paraId="6D44CFF8" w14:textId="77777777" w:rsidR="00144CDA" w:rsidRPr="003C18BC" w:rsidRDefault="00144CDA" w:rsidP="00445ECA">
      <w:pPr>
        <w:pStyle w:val="Heading3"/>
      </w:pPr>
      <w:bookmarkStart w:id="1277" w:name="_Toc440982323"/>
      <w:r w:rsidRPr="003C18BC">
        <w:t>A flowchart highlighting the main steps that the Commissioner should take when issuing a termination notice is set out in Annex 10.</w:t>
      </w:r>
      <w:bookmarkEnd w:id="1277"/>
    </w:p>
    <w:p w14:paraId="03EB4420" w14:textId="77777777" w:rsidR="00144CDA" w:rsidRPr="003C18BC" w:rsidRDefault="00144CDA" w:rsidP="00445ECA">
      <w:pPr>
        <w:pStyle w:val="Heading3"/>
      </w:pPr>
      <w:bookmarkStart w:id="1278" w:name="_Toc440982324"/>
      <w:r w:rsidRPr="003C18BC">
        <w:t>The Commissioner must consider all relevant information available and decide on the appropriate course of action and whether the contract should be terminated.</w:t>
      </w:r>
      <w:bookmarkEnd w:id="1278"/>
      <w:r w:rsidRPr="003C18BC">
        <w:t xml:space="preserve"> </w:t>
      </w:r>
    </w:p>
    <w:p w14:paraId="73A129CF" w14:textId="77777777" w:rsidR="00144CDA" w:rsidRPr="003C18BC" w:rsidRDefault="00144CDA" w:rsidP="00445ECA">
      <w:pPr>
        <w:pStyle w:val="Heading3"/>
      </w:pPr>
      <w:bookmarkStart w:id="1279" w:name="_Toc440982325"/>
      <w:r w:rsidRPr="003C18BC">
        <w:t>Apart from considerations regarding whether the right to terminate arises, there are a number of common factors that the Commissioner should consider when termination is a proposed course of action. These factors are set out below.</w:t>
      </w:r>
      <w:bookmarkEnd w:id="1279"/>
    </w:p>
    <w:p w14:paraId="08CDCE28" w14:textId="46F698A9" w:rsidR="00144CDA" w:rsidRPr="003C18BC" w:rsidRDefault="00144CDA" w:rsidP="00445ECA">
      <w:pPr>
        <w:pStyle w:val="Heading3"/>
      </w:pPr>
      <w:bookmarkStart w:id="1280" w:name="_Toc440982326"/>
      <w:r w:rsidRPr="003C18BC">
        <w:t xml:space="preserve">This list is not exhaustive and there are likely to be other issues that need due consideration under these provisions. These considerations will also apply following the sudden death of a contractor (see the </w:t>
      </w:r>
      <w:r w:rsidR="00965C81">
        <w:t xml:space="preserve">chapter </w:t>
      </w:r>
      <w:r w:rsidRPr="003C18BC">
        <w:t xml:space="preserve">on the death of a contractor) and in some part on the closure of a branch surgery (see the </w:t>
      </w:r>
      <w:r w:rsidR="00965C81">
        <w:t xml:space="preserve">chapter </w:t>
      </w:r>
      <w:r w:rsidRPr="003C18BC">
        <w:t>on contract variations).</w:t>
      </w:r>
      <w:bookmarkEnd w:id="1280"/>
      <w:r w:rsidRPr="003C18BC">
        <w:t xml:space="preserve"> </w:t>
      </w:r>
    </w:p>
    <w:p w14:paraId="5A6A93D8" w14:textId="77777777" w:rsidR="00144CDA" w:rsidRPr="003C18BC" w:rsidRDefault="00144CDA" w:rsidP="00144CDA">
      <w:pPr>
        <w:spacing w:before="120" w:after="120" w:line="276" w:lineRule="auto"/>
        <w:ind w:firstLine="720"/>
        <w:rPr>
          <w:rFonts w:cs="Arial"/>
          <w:szCs w:val="24"/>
        </w:rPr>
      </w:pPr>
    </w:p>
    <w:p w14:paraId="45B6B1F7" w14:textId="77777777" w:rsidR="00144CDA" w:rsidRPr="00044E85" w:rsidRDefault="00144CDA" w:rsidP="00044E85">
      <w:pPr>
        <w:pStyle w:val="Heading3"/>
        <w:rPr>
          <w:b/>
        </w:rPr>
      </w:pPr>
      <w:r w:rsidRPr="00044E85">
        <w:rPr>
          <w:b/>
        </w:rPr>
        <w:t>Continuity of service provision</w:t>
      </w:r>
    </w:p>
    <w:p w14:paraId="0CD62B2C" w14:textId="77777777" w:rsidR="00144CDA" w:rsidRPr="003C18BC" w:rsidRDefault="00144CDA" w:rsidP="00445ECA">
      <w:pPr>
        <w:pStyle w:val="Heading3"/>
      </w:pPr>
      <w:bookmarkStart w:id="1281" w:name="_Toc440982327"/>
      <w:r w:rsidRPr="003C18BC">
        <w:t>NHS England has a statutory duty to ensure continuity of provision of primary care services. Termination of existing service provision may result in some persons not being able to access primary care services. The Commissioner must therefore consider how this duty will be discharged if it decides to terminate the contract.</w:t>
      </w:r>
      <w:bookmarkEnd w:id="1281"/>
      <w:r w:rsidRPr="003C18BC">
        <w:t xml:space="preserve"> </w:t>
      </w:r>
    </w:p>
    <w:p w14:paraId="0F42F3AE" w14:textId="77777777" w:rsidR="00144CDA" w:rsidRPr="003C18BC" w:rsidRDefault="00144CDA" w:rsidP="00445ECA">
      <w:pPr>
        <w:pStyle w:val="Heading3"/>
      </w:pPr>
      <w:bookmarkStart w:id="1282" w:name="_Toc440982328"/>
      <w:r w:rsidRPr="003C18BC">
        <w:t>If the Commissioner envisages that a new contract will be entered into with a provider, the Commissioner must consider how to procure that contract and to ensure it is in accordance with procurement law and any procurement protocol issued by NHS England.</w:t>
      </w:r>
      <w:bookmarkEnd w:id="1282"/>
      <w:r w:rsidRPr="003C18BC">
        <w:t xml:space="preserve">  </w:t>
      </w:r>
    </w:p>
    <w:p w14:paraId="168B12A3" w14:textId="77777777" w:rsidR="00144CDA" w:rsidRPr="003C18BC" w:rsidRDefault="00144CDA" w:rsidP="00144CDA">
      <w:pPr>
        <w:pStyle w:val="Body2"/>
        <w:spacing w:before="120" w:after="120" w:line="276" w:lineRule="auto"/>
        <w:ind w:left="0" w:firstLine="720"/>
        <w:rPr>
          <w:rFonts w:cs="Arial"/>
          <w:sz w:val="24"/>
          <w:szCs w:val="24"/>
        </w:rPr>
      </w:pPr>
    </w:p>
    <w:p w14:paraId="7056A212" w14:textId="77777777" w:rsidR="00144CDA" w:rsidRPr="00044E85" w:rsidRDefault="00144CDA" w:rsidP="00044E85">
      <w:pPr>
        <w:pStyle w:val="Heading3"/>
        <w:rPr>
          <w:b/>
        </w:rPr>
      </w:pPr>
      <w:r w:rsidRPr="00044E85">
        <w:rPr>
          <w:b/>
        </w:rPr>
        <w:t xml:space="preserve">PMS to GMS </w:t>
      </w:r>
    </w:p>
    <w:p w14:paraId="469488D8" w14:textId="77777777" w:rsidR="00144CDA" w:rsidRPr="003C18BC" w:rsidRDefault="00144CDA" w:rsidP="00445ECA">
      <w:pPr>
        <w:pStyle w:val="Heading3"/>
      </w:pPr>
      <w:bookmarkStart w:id="1283" w:name="_Toc440982329"/>
      <w:r w:rsidRPr="003C18BC">
        <w:t>PMS agreements provide a right for the contractor to request to enter into a GMS contract. Such a request can only be refused where the contractor fails to meet the conditions set out in the PMS Regulations.</w:t>
      </w:r>
      <w:bookmarkEnd w:id="1283"/>
      <w:r w:rsidRPr="003C18BC">
        <w:t xml:space="preserve"> </w:t>
      </w:r>
    </w:p>
    <w:p w14:paraId="4B52AD7F" w14:textId="527A0952" w:rsidR="00144CDA" w:rsidRPr="003C18BC" w:rsidRDefault="00144CDA" w:rsidP="00445ECA">
      <w:pPr>
        <w:pStyle w:val="Heading3"/>
      </w:pPr>
      <w:bookmarkStart w:id="1284" w:name="_Toc440982330"/>
      <w:r w:rsidRPr="003C18BC">
        <w:t xml:space="preserve">For further information on this, please refer to the </w:t>
      </w:r>
      <w:r w:rsidR="00965C81">
        <w:t xml:space="preserve">chapter </w:t>
      </w:r>
      <w:r w:rsidRPr="003C18BC">
        <w:t>on managing a PMS contractor's right to a GMS contract.</w:t>
      </w:r>
      <w:bookmarkEnd w:id="1284"/>
    </w:p>
    <w:p w14:paraId="3DD6B19C" w14:textId="77777777" w:rsidR="00144CDA" w:rsidRPr="003C18BC" w:rsidRDefault="00144CDA" w:rsidP="003331F2">
      <w:pPr>
        <w:pStyle w:val="BodyText"/>
      </w:pPr>
    </w:p>
    <w:p w14:paraId="70688AA8" w14:textId="77777777" w:rsidR="00144CDA" w:rsidRPr="0008784C" w:rsidRDefault="00144CDA" w:rsidP="0008784C">
      <w:pPr>
        <w:pStyle w:val="BodyText"/>
        <w:rPr>
          <w:b/>
          <w:sz w:val="24"/>
          <w:szCs w:val="24"/>
        </w:rPr>
      </w:pPr>
      <w:bookmarkStart w:id="1285" w:name="_Toc440982331"/>
      <w:r w:rsidRPr="0008784C">
        <w:rPr>
          <w:b/>
          <w:sz w:val="24"/>
          <w:szCs w:val="24"/>
        </w:rPr>
        <w:t>General duties</w:t>
      </w:r>
      <w:bookmarkEnd w:id="1285"/>
    </w:p>
    <w:p w14:paraId="692ED5CF" w14:textId="621C71BC" w:rsidR="00EF04D7" w:rsidRPr="00EF04D7" w:rsidRDefault="00144CDA" w:rsidP="00EF04D7">
      <w:pPr>
        <w:pStyle w:val="Heading3"/>
      </w:pPr>
      <w:bookmarkStart w:id="1286" w:name="_Ref414222785"/>
      <w:bookmarkStart w:id="1287" w:name="_Toc440982332"/>
      <w:r w:rsidRPr="003C18BC">
        <w:t xml:space="preserve">NHS England has a number of statutory duties relating to the exercise of its functions including reducing health inequalities and public involvement. The Commissioner must ensure that its actions in terminating a contract and any consequential actions ensure compliance with these duties. </w:t>
      </w:r>
      <w:bookmarkEnd w:id="1286"/>
      <w:r w:rsidRPr="003C18BC">
        <w:t>In an urgent situation, it may be necessary to balance the duty to involve with the public interest in maintaining continuity of care and protecting the health, safety and welfare of patients or staff.</w:t>
      </w:r>
      <w:r w:rsidR="00EF04D7">
        <w:t xml:space="preserve"> Please refer to the full chapter on general duties for further information.</w:t>
      </w:r>
    </w:p>
    <w:p w14:paraId="053D0924" w14:textId="77777777" w:rsidR="00144CDA" w:rsidRPr="003C18BC" w:rsidRDefault="00144CDA" w:rsidP="00445ECA">
      <w:pPr>
        <w:pStyle w:val="Heading3"/>
      </w:pPr>
      <w:r w:rsidRPr="003C18BC">
        <w:t xml:space="preserve">NHS England has set out its plans as to how it intends to involve the public in the following publications: </w:t>
      </w:r>
    </w:p>
    <w:p w14:paraId="119461C1" w14:textId="77777777" w:rsidR="00144CDA" w:rsidRPr="0012067F" w:rsidRDefault="000E7846" w:rsidP="005A7DDA">
      <w:pPr>
        <w:pStyle w:val="ListParagraph"/>
        <w:widowControl w:val="0"/>
        <w:numPr>
          <w:ilvl w:val="2"/>
          <w:numId w:val="94"/>
        </w:numPr>
        <w:tabs>
          <w:tab w:val="left" w:pos="1179"/>
        </w:tabs>
        <w:spacing w:before="120" w:after="120" w:line="276" w:lineRule="auto"/>
        <w:ind w:right="114"/>
        <w:jc w:val="both"/>
        <w:rPr>
          <w:rFonts w:cs="Arial"/>
          <w:iCs/>
          <w:szCs w:val="24"/>
        </w:rPr>
      </w:pPr>
      <w:hyperlink r:id="rId108" w:history="1">
        <w:r w:rsidR="00144CDA" w:rsidRPr="0012067F">
          <w:rPr>
            <w:rFonts w:cs="Arial"/>
            <w:iCs/>
            <w:color w:val="0000FF"/>
            <w:szCs w:val="24"/>
            <w:u w:val="single"/>
          </w:rPr>
          <w:t>The Patient and Public Participation Policy</w:t>
        </w:r>
      </w:hyperlink>
    </w:p>
    <w:p w14:paraId="0476DB05" w14:textId="77777777" w:rsidR="00144CDA" w:rsidRPr="0012067F" w:rsidRDefault="000E7846" w:rsidP="005A7DDA">
      <w:pPr>
        <w:pStyle w:val="ListParagraph"/>
        <w:widowControl w:val="0"/>
        <w:numPr>
          <w:ilvl w:val="2"/>
          <w:numId w:val="94"/>
        </w:numPr>
        <w:tabs>
          <w:tab w:val="left" w:pos="1179"/>
        </w:tabs>
        <w:spacing w:before="120" w:after="120" w:line="276" w:lineRule="auto"/>
        <w:ind w:right="114"/>
        <w:jc w:val="both"/>
        <w:rPr>
          <w:rFonts w:cs="Arial"/>
          <w:iCs/>
          <w:szCs w:val="24"/>
        </w:rPr>
      </w:pPr>
      <w:hyperlink r:id="rId109" w:history="1">
        <w:r w:rsidR="00144CDA" w:rsidRPr="0012067F">
          <w:rPr>
            <w:rFonts w:cs="Arial"/>
            <w:iCs/>
            <w:color w:val="0000FF"/>
            <w:szCs w:val="24"/>
            <w:u w:val="single"/>
          </w:rPr>
          <w:t>The Statement of Arrangements &amp; Guidance on Patient and Public Participation in Commissioning.</w:t>
        </w:r>
      </w:hyperlink>
      <w:r w:rsidR="00144CDA" w:rsidRPr="0012067F">
        <w:rPr>
          <w:rFonts w:cs="Arial"/>
          <w:iCs/>
          <w:szCs w:val="24"/>
        </w:rPr>
        <w:t xml:space="preserve"> </w:t>
      </w:r>
    </w:p>
    <w:p w14:paraId="5EBD013E" w14:textId="77777777" w:rsidR="00144CDA" w:rsidRPr="003C18BC" w:rsidRDefault="000E7846" w:rsidP="005A7DDA">
      <w:pPr>
        <w:pStyle w:val="ListParagraph"/>
        <w:widowControl w:val="0"/>
        <w:numPr>
          <w:ilvl w:val="2"/>
          <w:numId w:val="94"/>
        </w:numPr>
        <w:tabs>
          <w:tab w:val="left" w:pos="1179"/>
        </w:tabs>
        <w:spacing w:before="120" w:after="120" w:line="276" w:lineRule="auto"/>
        <w:ind w:right="114"/>
        <w:jc w:val="both"/>
        <w:rPr>
          <w:rFonts w:cs="Arial"/>
          <w:szCs w:val="24"/>
        </w:rPr>
      </w:pPr>
      <w:hyperlink r:id="rId110" w:history="1">
        <w:r w:rsidR="00144CDA" w:rsidRPr="003C18BC">
          <w:rPr>
            <w:rFonts w:cs="Arial"/>
            <w:iCs/>
            <w:color w:val="0000FF"/>
            <w:szCs w:val="24"/>
            <w:u w:val="single"/>
          </w:rPr>
          <w:t>The Framework for Patient and Public Participation in Primary Care Commissioning</w:t>
        </w:r>
      </w:hyperlink>
      <w:r w:rsidR="00144CDA" w:rsidRPr="003C18BC">
        <w:rPr>
          <w:rFonts w:cs="Arial"/>
          <w:szCs w:val="24"/>
        </w:rPr>
        <w:t>.</w:t>
      </w:r>
      <w:bookmarkEnd w:id="1287"/>
    </w:p>
    <w:p w14:paraId="13E58ABB" w14:textId="77777777" w:rsidR="00144CDA" w:rsidRPr="003C18BC" w:rsidRDefault="00144CDA" w:rsidP="00144CDA">
      <w:pPr>
        <w:spacing w:before="120" w:after="120" w:line="276" w:lineRule="auto"/>
        <w:ind w:firstLine="720"/>
        <w:rPr>
          <w:rFonts w:cs="Arial"/>
          <w:szCs w:val="24"/>
        </w:rPr>
      </w:pPr>
    </w:p>
    <w:p w14:paraId="6807EE4A" w14:textId="77777777" w:rsidR="00144CDA" w:rsidRPr="00044E85" w:rsidRDefault="00144CDA" w:rsidP="00044E85">
      <w:pPr>
        <w:pStyle w:val="Heading3"/>
        <w:rPr>
          <w:b/>
        </w:rPr>
      </w:pPr>
      <w:r w:rsidRPr="00044E85">
        <w:rPr>
          <w:b/>
        </w:rPr>
        <w:t>LMC consultation</w:t>
      </w:r>
    </w:p>
    <w:p w14:paraId="134D7C3B" w14:textId="77777777" w:rsidR="00144CDA" w:rsidRPr="003C18BC" w:rsidRDefault="00144CDA" w:rsidP="00445ECA">
      <w:pPr>
        <w:pStyle w:val="Heading3"/>
      </w:pPr>
      <w:bookmarkStart w:id="1288" w:name="_Ref409794106"/>
      <w:bookmarkStart w:id="1289" w:name="_Toc440982333"/>
      <w:r w:rsidRPr="003C18BC">
        <w:t>The Commissioner must consult the LMC for the area in which the contractor provides services where the Commissioner is considering:</w:t>
      </w:r>
      <w:bookmarkEnd w:id="1288"/>
      <w:bookmarkEnd w:id="1289"/>
    </w:p>
    <w:p w14:paraId="1EA393C4" w14:textId="77777777" w:rsidR="00144CDA" w:rsidRPr="003C18BC" w:rsidRDefault="00144CDA" w:rsidP="005A7DDA">
      <w:pPr>
        <w:pStyle w:val="Heading3"/>
        <w:numPr>
          <w:ilvl w:val="0"/>
          <w:numId w:val="103"/>
        </w:numPr>
        <w:spacing w:before="120" w:after="120"/>
        <w:jc w:val="both"/>
        <w:rPr>
          <w:rFonts w:cs="Arial"/>
          <w:szCs w:val="24"/>
        </w:rPr>
      </w:pPr>
      <w:bookmarkStart w:id="1290" w:name="_Toc440982334"/>
      <w:r w:rsidRPr="003C18BC">
        <w:rPr>
          <w:rFonts w:cs="Arial"/>
          <w:szCs w:val="24"/>
        </w:rPr>
        <w:t>terminating the contract;</w:t>
      </w:r>
      <w:bookmarkEnd w:id="1290"/>
    </w:p>
    <w:p w14:paraId="04687FC1" w14:textId="77777777" w:rsidR="00144CDA" w:rsidRPr="003C18BC" w:rsidRDefault="00144CDA" w:rsidP="005A7DDA">
      <w:pPr>
        <w:pStyle w:val="Heading3"/>
        <w:numPr>
          <w:ilvl w:val="0"/>
          <w:numId w:val="103"/>
        </w:numPr>
        <w:spacing w:before="120" w:after="120"/>
        <w:jc w:val="both"/>
        <w:rPr>
          <w:rFonts w:cs="Arial"/>
          <w:szCs w:val="24"/>
        </w:rPr>
      </w:pPr>
      <w:bookmarkStart w:id="1291" w:name="_Toc440982335"/>
      <w:r w:rsidRPr="003C18BC">
        <w:rPr>
          <w:rFonts w:cs="Arial"/>
          <w:szCs w:val="24"/>
        </w:rPr>
        <w:t>which alternative notice to issue where there is a right to terminate for unlawful sub-contracting; or</w:t>
      </w:r>
      <w:bookmarkEnd w:id="1291"/>
    </w:p>
    <w:p w14:paraId="37F9AF68" w14:textId="77777777" w:rsidR="00144CDA" w:rsidRPr="003C18BC" w:rsidRDefault="00144CDA" w:rsidP="005A7DDA">
      <w:pPr>
        <w:pStyle w:val="Heading3"/>
        <w:numPr>
          <w:ilvl w:val="0"/>
          <w:numId w:val="103"/>
        </w:numPr>
        <w:spacing w:before="120" w:after="120"/>
        <w:jc w:val="both"/>
        <w:rPr>
          <w:rFonts w:cs="Arial"/>
          <w:szCs w:val="24"/>
        </w:rPr>
      </w:pPr>
      <w:bookmarkStart w:id="1292" w:name="_Toc440982336"/>
      <w:r w:rsidRPr="003C18BC">
        <w:rPr>
          <w:rFonts w:cs="Arial"/>
          <w:szCs w:val="24"/>
        </w:rPr>
        <w:t>imposing a contract sanction.</w:t>
      </w:r>
      <w:bookmarkEnd w:id="1292"/>
    </w:p>
    <w:p w14:paraId="00CB0DA4" w14:textId="77777777" w:rsidR="00144CDA" w:rsidRPr="003C18BC" w:rsidRDefault="00144CDA" w:rsidP="00445ECA">
      <w:pPr>
        <w:pStyle w:val="Heading3"/>
      </w:pPr>
      <w:bookmarkStart w:id="1293" w:name="_Toc440982337"/>
      <w:r w:rsidRPr="003C18BC">
        <w:t>Whether or not the LMC has been consulted, whenever the Commissioner imposes a Contract Sanction or terminates a contract, the Commissioner must as soon as reasonably practicable, notify the relevant LMC in writing of the sanction or termination.</w:t>
      </w:r>
      <w:bookmarkEnd w:id="1293"/>
    </w:p>
    <w:p w14:paraId="08D6EC6D" w14:textId="77777777" w:rsidR="00144CDA" w:rsidRPr="003C18BC" w:rsidRDefault="00144CDA" w:rsidP="00144CDA">
      <w:pPr>
        <w:spacing w:before="120" w:after="120" w:line="276" w:lineRule="auto"/>
        <w:ind w:firstLine="720"/>
        <w:rPr>
          <w:rFonts w:cs="Arial"/>
          <w:szCs w:val="24"/>
        </w:rPr>
      </w:pPr>
    </w:p>
    <w:p w14:paraId="3838CCA5" w14:textId="77777777" w:rsidR="00144CDA" w:rsidRPr="00044E85" w:rsidRDefault="00144CDA" w:rsidP="00044E85">
      <w:pPr>
        <w:pStyle w:val="Heading3"/>
        <w:rPr>
          <w:b/>
        </w:rPr>
      </w:pPr>
      <w:r w:rsidRPr="00044E85">
        <w:rPr>
          <w:b/>
        </w:rPr>
        <w:t>Premises</w:t>
      </w:r>
    </w:p>
    <w:p w14:paraId="760F9A03" w14:textId="134F281F" w:rsidR="00144CDA" w:rsidRPr="003C18BC" w:rsidRDefault="00144CDA" w:rsidP="00445ECA">
      <w:pPr>
        <w:pStyle w:val="Heading3"/>
      </w:pPr>
      <w:bookmarkStart w:id="1294" w:name="_Toc440982338"/>
      <w:r w:rsidRPr="003C18BC">
        <w:t>The Commissioner should ascertain who owns the premises and what arrangements apply to the premises. Where the outgoing contractor owns the premises, a future service provider may not be able to use those premises for delivery of services. The Commissioner should consider what arrangements need to be put in place to ensure continued service provision.</w:t>
      </w:r>
      <w:bookmarkEnd w:id="1294"/>
      <w:r w:rsidRPr="003C18BC">
        <w:t xml:space="preserve"> </w:t>
      </w:r>
      <w:r w:rsidR="00CF37FA">
        <w:t>Commissioner should also ensure they consider any Premises Cost Directions or guidance published by NHS England in relation to Premises.</w:t>
      </w:r>
    </w:p>
    <w:p w14:paraId="4F9452EF" w14:textId="77777777" w:rsidR="00144CDA" w:rsidRPr="003C18BC" w:rsidRDefault="00144CDA" w:rsidP="00144CDA">
      <w:pPr>
        <w:spacing w:before="120" w:after="120" w:line="276" w:lineRule="auto"/>
        <w:ind w:left="720"/>
        <w:rPr>
          <w:rFonts w:cs="Arial"/>
          <w:szCs w:val="24"/>
        </w:rPr>
      </w:pPr>
    </w:p>
    <w:p w14:paraId="083E7F9B" w14:textId="77777777" w:rsidR="00144CDA" w:rsidRPr="00044E85" w:rsidRDefault="00144CDA" w:rsidP="00044E85">
      <w:pPr>
        <w:pStyle w:val="Heading3"/>
        <w:rPr>
          <w:b/>
        </w:rPr>
      </w:pPr>
      <w:r w:rsidRPr="00044E85">
        <w:rPr>
          <w:b/>
        </w:rPr>
        <w:t>TUPE</w:t>
      </w:r>
    </w:p>
    <w:p w14:paraId="60B21C8C" w14:textId="77777777" w:rsidR="00144CDA" w:rsidRPr="003C18BC" w:rsidRDefault="00144CDA" w:rsidP="00445ECA">
      <w:pPr>
        <w:pStyle w:val="Heading3"/>
      </w:pPr>
      <w:bookmarkStart w:id="1295" w:name="_Toc440982339"/>
      <w:r w:rsidRPr="003C18BC">
        <w:t>The Commissioner should consider the impact of termination on the staff currently employed under the terminating contract. Where a new contract is entered into with a new provider, TUPE may apply to transfer the staff to the new provider.</w:t>
      </w:r>
      <w:bookmarkEnd w:id="1295"/>
      <w:r w:rsidRPr="003C18BC">
        <w:t xml:space="preserve"> </w:t>
      </w:r>
    </w:p>
    <w:p w14:paraId="2BFE0C64" w14:textId="77777777" w:rsidR="00144CDA" w:rsidRPr="003C18BC" w:rsidRDefault="00144CDA" w:rsidP="00445ECA">
      <w:pPr>
        <w:pStyle w:val="Heading3"/>
      </w:pPr>
      <w:bookmarkStart w:id="1296" w:name="_Toc440982340"/>
      <w:r w:rsidRPr="003C18BC">
        <w:t>TUPE can be complex, risky and time consuming for any incoming provider and is likely to have a financial impact on the cost of any service. The Commissioner should consider whether the potential for TUPE to apply may be considered a significant risk to any incoming provider.</w:t>
      </w:r>
      <w:bookmarkEnd w:id="1296"/>
    </w:p>
    <w:p w14:paraId="4C2E1086" w14:textId="77777777" w:rsidR="00144CDA" w:rsidRPr="003C18BC" w:rsidRDefault="00144CDA" w:rsidP="00144CDA">
      <w:pPr>
        <w:spacing w:before="120" w:after="120" w:line="276" w:lineRule="auto"/>
        <w:ind w:left="720"/>
        <w:rPr>
          <w:rFonts w:cs="Arial"/>
          <w:szCs w:val="24"/>
        </w:rPr>
      </w:pPr>
    </w:p>
    <w:p w14:paraId="1E3CC75D" w14:textId="77777777" w:rsidR="00144CDA" w:rsidRPr="003C18BC" w:rsidRDefault="00144CDA" w:rsidP="00144CDA">
      <w:pPr>
        <w:spacing w:before="120" w:after="120" w:line="276" w:lineRule="auto"/>
        <w:ind w:left="720"/>
        <w:rPr>
          <w:rFonts w:cs="Arial"/>
          <w:szCs w:val="24"/>
        </w:rPr>
      </w:pPr>
    </w:p>
    <w:p w14:paraId="1CB8F6BB" w14:textId="77777777" w:rsidR="00144CDA" w:rsidRPr="00044E85" w:rsidRDefault="00144CDA" w:rsidP="00044E85">
      <w:pPr>
        <w:pStyle w:val="Heading3"/>
        <w:rPr>
          <w:b/>
        </w:rPr>
      </w:pPr>
      <w:r w:rsidRPr="00044E85">
        <w:rPr>
          <w:b/>
        </w:rPr>
        <w:t>Equipment</w:t>
      </w:r>
    </w:p>
    <w:p w14:paraId="7EDE2365" w14:textId="77777777" w:rsidR="00144CDA" w:rsidRPr="003C18BC" w:rsidRDefault="00144CDA" w:rsidP="00445ECA">
      <w:pPr>
        <w:pStyle w:val="Heading3"/>
      </w:pPr>
      <w:bookmarkStart w:id="1297" w:name="_Toc440982341"/>
      <w:r w:rsidRPr="003C18BC">
        <w:t>Some equipment, such as IT, may be owned by the Commissioner. Arrangements may need to be put in place to retrieve this equipment to ensure it is available to a future service provider.</w:t>
      </w:r>
      <w:bookmarkEnd w:id="1297"/>
      <w:r w:rsidRPr="003C18BC">
        <w:t xml:space="preserve"> </w:t>
      </w:r>
    </w:p>
    <w:p w14:paraId="2B00D420" w14:textId="77777777" w:rsidR="00144CDA" w:rsidRPr="003C18BC" w:rsidRDefault="00144CDA" w:rsidP="00144CDA">
      <w:pPr>
        <w:spacing w:before="120" w:after="120" w:line="276" w:lineRule="auto"/>
        <w:ind w:left="720"/>
        <w:rPr>
          <w:rFonts w:cs="Arial"/>
          <w:szCs w:val="24"/>
        </w:rPr>
      </w:pPr>
    </w:p>
    <w:p w14:paraId="59D6A1D2" w14:textId="77777777" w:rsidR="00144CDA" w:rsidRPr="00044E85" w:rsidRDefault="00144CDA" w:rsidP="00044E85">
      <w:pPr>
        <w:pStyle w:val="Heading3"/>
        <w:rPr>
          <w:b/>
        </w:rPr>
      </w:pPr>
      <w:r w:rsidRPr="00044E85">
        <w:rPr>
          <w:b/>
        </w:rPr>
        <w:t>Patient lists</w:t>
      </w:r>
    </w:p>
    <w:p w14:paraId="1A0AD919" w14:textId="77777777" w:rsidR="00144CDA" w:rsidRPr="003C18BC" w:rsidRDefault="00144CDA" w:rsidP="00445ECA">
      <w:pPr>
        <w:pStyle w:val="Heading3"/>
      </w:pPr>
      <w:bookmarkStart w:id="1298" w:name="_Toc440982342"/>
      <w:r w:rsidRPr="003C18BC">
        <w:t>Patients have a right of choice meaning the Commissioner must not routinely transfer all of the registered patients to an alternative provider . Patients should be provided with a detailed list of other local practices that are currently accepting new patients and offered the opportunity to register with one of them.</w:t>
      </w:r>
      <w:bookmarkEnd w:id="1298"/>
    </w:p>
    <w:p w14:paraId="2D374576" w14:textId="77777777" w:rsidR="00144CDA" w:rsidRPr="003C18BC" w:rsidRDefault="00144CDA" w:rsidP="00445ECA">
      <w:pPr>
        <w:pStyle w:val="Heading3"/>
      </w:pPr>
      <w:bookmarkStart w:id="1299" w:name="_Toc440982343"/>
      <w:r w:rsidRPr="003C18BC">
        <w:t>The Commissioner should consider what steps will be taken in regard to patients who have not registered elsewhere at the end of the contract. It is often the case that the majority will voluntarily seek alternative registration; however, there are usually a number of patients who do not, some of whom may no longer be resident in the UK or simply moved within the UK and not changed their address details at the practice and others who have not yet chosen an alternative provider. Some may have died. In these circumstances the Commissioner must be clear on the process of dispersal or allocation that they will follow in order to avoid the risk of challenge from other local providers.</w:t>
      </w:r>
      <w:bookmarkEnd w:id="1299"/>
      <w:r w:rsidRPr="003C18BC">
        <w:t xml:space="preserve"> Please refer to the chapters on planned and unplanned closure for more information.</w:t>
      </w:r>
    </w:p>
    <w:p w14:paraId="3C708E3E" w14:textId="77777777" w:rsidR="00144CDA" w:rsidRPr="003C18BC" w:rsidRDefault="00144CDA" w:rsidP="00144CDA">
      <w:pPr>
        <w:spacing w:before="120" w:after="120" w:line="276" w:lineRule="auto"/>
        <w:ind w:left="720"/>
        <w:rPr>
          <w:rFonts w:cs="Arial"/>
          <w:szCs w:val="24"/>
        </w:rPr>
      </w:pPr>
    </w:p>
    <w:p w14:paraId="450DBA36" w14:textId="77777777" w:rsidR="00144CDA" w:rsidRPr="00044E85" w:rsidRDefault="00144CDA" w:rsidP="00044E85">
      <w:pPr>
        <w:pStyle w:val="Heading3"/>
        <w:rPr>
          <w:b/>
        </w:rPr>
      </w:pPr>
      <w:r w:rsidRPr="00044E85">
        <w:rPr>
          <w:b/>
        </w:rPr>
        <w:t>Patient records</w:t>
      </w:r>
    </w:p>
    <w:p w14:paraId="3AAD93B7" w14:textId="77777777" w:rsidR="00144CDA" w:rsidRPr="003C18BC" w:rsidRDefault="00144CDA" w:rsidP="00445ECA">
      <w:pPr>
        <w:pStyle w:val="Heading3"/>
      </w:pPr>
      <w:bookmarkStart w:id="1300" w:name="_Toc440982344"/>
      <w:r w:rsidRPr="003C18BC">
        <w:t>The Commissioner should consider management of NHS patient paper records (Lloyd George notes) and any subsequent clinical mail – it is very likely that the contractor has retained a significant number of patient paper records both in the reception area and often stored elsewhere in the practice premises, including loft spaces and store cupboards. The Commissioner must be able to securely retrieve these records and communications, having full regard of data protection and confidentiality in order that these can be distributed accordingly to any providers or retuned to central storage. The contractor (or their representative) is responsible for any non NHS patient or client record, though agreement may be reached with the Commissioner to manage (dispose of) any confidential information on their behalf.</w:t>
      </w:r>
      <w:bookmarkEnd w:id="1300"/>
      <w:r w:rsidRPr="003C18BC">
        <w:t xml:space="preserve"> Please refer to the chapters on planned and unplanned closure for more information.</w:t>
      </w:r>
    </w:p>
    <w:p w14:paraId="3008B51D" w14:textId="77777777" w:rsidR="00144CDA" w:rsidRPr="003C18BC" w:rsidRDefault="00144CDA" w:rsidP="00144CDA">
      <w:pPr>
        <w:spacing w:before="120" w:after="120" w:line="276" w:lineRule="auto"/>
        <w:ind w:left="720"/>
        <w:rPr>
          <w:rFonts w:cs="Arial"/>
          <w:szCs w:val="24"/>
        </w:rPr>
      </w:pPr>
    </w:p>
    <w:p w14:paraId="5918E703" w14:textId="77777777" w:rsidR="00144CDA" w:rsidRPr="00044E85" w:rsidRDefault="00144CDA" w:rsidP="00044E85">
      <w:pPr>
        <w:pStyle w:val="Heading3"/>
        <w:rPr>
          <w:b/>
        </w:rPr>
      </w:pPr>
      <w:r w:rsidRPr="00044E85">
        <w:rPr>
          <w:b/>
        </w:rPr>
        <w:t xml:space="preserve">Prescriptions </w:t>
      </w:r>
    </w:p>
    <w:p w14:paraId="2B6330E3" w14:textId="77777777" w:rsidR="00144CDA" w:rsidRPr="003C18BC" w:rsidRDefault="00144CDA" w:rsidP="00445ECA">
      <w:pPr>
        <w:pStyle w:val="Heading3"/>
      </w:pPr>
      <w:bookmarkStart w:id="1301" w:name="_Toc440982345"/>
      <w:r w:rsidRPr="003C18BC">
        <w:t>The Commissioner should consider prescription pads, electronic prescriptions and any uncollected completed prescriptions – these will also need to be retrieved and dealt with accordingly. The Commissioner may wish to decide on a specified age of a current prescription (such as one month) and make appropriate arrangements for the handling of these and disposal of any that are older.</w:t>
      </w:r>
      <w:bookmarkEnd w:id="1301"/>
    </w:p>
    <w:p w14:paraId="1757434B" w14:textId="77777777" w:rsidR="00144CDA" w:rsidRPr="003C18BC" w:rsidRDefault="00144CDA" w:rsidP="00144CDA">
      <w:pPr>
        <w:spacing w:before="120" w:after="120" w:line="276" w:lineRule="auto"/>
        <w:ind w:left="720"/>
        <w:rPr>
          <w:rFonts w:cs="Arial"/>
          <w:szCs w:val="24"/>
        </w:rPr>
      </w:pPr>
    </w:p>
    <w:p w14:paraId="09BD4B06" w14:textId="77777777" w:rsidR="00144CDA" w:rsidRPr="00044E85" w:rsidRDefault="00144CDA" w:rsidP="00044E85">
      <w:pPr>
        <w:pStyle w:val="Heading3"/>
        <w:rPr>
          <w:b/>
        </w:rPr>
      </w:pPr>
      <w:r w:rsidRPr="00044E85">
        <w:rPr>
          <w:b/>
        </w:rPr>
        <w:t>Drugs and medicines</w:t>
      </w:r>
    </w:p>
    <w:p w14:paraId="3DF3D030" w14:textId="77777777" w:rsidR="00144CDA" w:rsidRPr="003C18BC" w:rsidRDefault="00144CDA" w:rsidP="00445ECA">
      <w:pPr>
        <w:pStyle w:val="Heading3"/>
      </w:pPr>
      <w:bookmarkStart w:id="1302" w:name="_Toc440982346"/>
      <w:r w:rsidRPr="003C18BC">
        <w:t>The Commissioner should consider practice held drugs – these will need to be disposed of but are technically likely to be owned by the contractor whose contract is terminating. The Commissioner should seek assurances about the safe and effective disposal of such drugs.</w:t>
      </w:r>
      <w:bookmarkEnd w:id="1302"/>
    </w:p>
    <w:p w14:paraId="4D86A551" w14:textId="77777777" w:rsidR="00144CDA" w:rsidRPr="007C30BA" w:rsidRDefault="00144CDA" w:rsidP="00144CDA">
      <w:pPr>
        <w:pStyle w:val="Body2"/>
        <w:spacing w:before="120" w:after="120" w:line="276" w:lineRule="auto"/>
        <w:rPr>
          <w:rFonts w:cs="Arial"/>
        </w:rPr>
      </w:pPr>
    </w:p>
    <w:p w14:paraId="4180F323" w14:textId="77777777" w:rsidR="00144CDA" w:rsidRPr="003C18BC" w:rsidRDefault="00144CDA" w:rsidP="00144CDA">
      <w:pPr>
        <w:pStyle w:val="Heading2"/>
      </w:pPr>
      <w:bookmarkStart w:id="1303" w:name="_Ref409600317"/>
      <w:bookmarkStart w:id="1304" w:name="_Toc440982347"/>
      <w:bookmarkStart w:id="1305" w:name="_Toc498495436"/>
      <w:r w:rsidRPr="003C18BC">
        <w:t>Rights of Termination</w:t>
      </w:r>
      <w:bookmarkEnd w:id="1303"/>
      <w:bookmarkEnd w:id="1304"/>
      <w:bookmarkEnd w:id="1305"/>
    </w:p>
    <w:p w14:paraId="0AFC4FF9" w14:textId="77777777" w:rsidR="00144CDA" w:rsidRPr="00044E85" w:rsidRDefault="00144CDA" w:rsidP="00044E85">
      <w:pPr>
        <w:pStyle w:val="Heading3"/>
        <w:rPr>
          <w:b/>
        </w:rPr>
      </w:pPr>
      <w:bookmarkStart w:id="1306" w:name="_Toc440982348"/>
      <w:r w:rsidRPr="00044E85">
        <w:rPr>
          <w:b/>
        </w:rPr>
        <w:t>Death of a contractor</w:t>
      </w:r>
      <w:bookmarkEnd w:id="1306"/>
    </w:p>
    <w:p w14:paraId="30425FC3" w14:textId="36DA19A0" w:rsidR="008D23C2" w:rsidRDefault="00144CDA" w:rsidP="008D23C2">
      <w:pPr>
        <w:pStyle w:val="Heading3"/>
        <w:rPr>
          <w:b/>
        </w:rPr>
      </w:pPr>
      <w:bookmarkStart w:id="1307" w:name="_Toc440982349"/>
      <w:r w:rsidRPr="003C18BC">
        <w:t xml:space="preserve">Please refer to the </w:t>
      </w:r>
      <w:r w:rsidR="00965C81">
        <w:t xml:space="preserve">chapter </w:t>
      </w:r>
      <w:r w:rsidRPr="003C18BC">
        <w:t>on the death of a contractor  for further information.</w:t>
      </w:r>
      <w:bookmarkEnd w:id="1307"/>
    </w:p>
    <w:p w14:paraId="4043601C" w14:textId="6815D601" w:rsidR="00144CDA" w:rsidRPr="008D23C2" w:rsidRDefault="00144CDA" w:rsidP="008D23C2">
      <w:pPr>
        <w:pStyle w:val="Heading3"/>
        <w:rPr>
          <w:b/>
        </w:rPr>
      </w:pPr>
      <w:bookmarkStart w:id="1308" w:name="_Toc440982350"/>
      <w:r w:rsidRPr="008D23C2">
        <w:rPr>
          <w:b/>
        </w:rPr>
        <w:t>Termination where both parties agree</w:t>
      </w:r>
      <w:bookmarkEnd w:id="1308"/>
    </w:p>
    <w:p w14:paraId="73CADF32" w14:textId="77777777" w:rsidR="00144CDA" w:rsidRPr="003C18BC" w:rsidRDefault="00144CDA" w:rsidP="00445ECA">
      <w:pPr>
        <w:pStyle w:val="Heading3"/>
      </w:pPr>
      <w:bookmarkStart w:id="1309" w:name="_Ref409619714"/>
      <w:bookmarkStart w:id="1310" w:name="_Toc440982351"/>
      <w:r w:rsidRPr="003C18BC">
        <w:t>PMS agreements are required to contain a provision stating that both parties may agree to terminate a contract. Although GMS or APMS contracts are not required to contain such a provision, all types of contract may be terminated where both parties agree.</w:t>
      </w:r>
      <w:bookmarkEnd w:id="1309"/>
      <w:bookmarkEnd w:id="1310"/>
      <w:r w:rsidRPr="003C18BC">
        <w:t xml:space="preserve"> </w:t>
      </w:r>
    </w:p>
    <w:p w14:paraId="48E176E0" w14:textId="77777777" w:rsidR="00144CDA" w:rsidRPr="003C18BC" w:rsidRDefault="00144CDA" w:rsidP="00445ECA">
      <w:pPr>
        <w:pStyle w:val="Heading3"/>
      </w:pPr>
      <w:bookmarkStart w:id="1311" w:name="_Toc440982352"/>
      <w:r w:rsidRPr="003C18BC">
        <w:t>Where the parties agree to terminate, the parties must agree the date from which termination will take place and any further terms relating to the termination. Before agreeing the termination date, the Commissioner should ensure any proposed timescale allows the Commissioner to consider any other factors or actions that may be required prior to termination.</w:t>
      </w:r>
      <w:bookmarkEnd w:id="1311"/>
      <w:r w:rsidRPr="003C18BC">
        <w:t xml:space="preserve"> </w:t>
      </w:r>
    </w:p>
    <w:p w14:paraId="0C9A5701" w14:textId="77777777" w:rsidR="00144CDA" w:rsidRPr="003C18BC" w:rsidRDefault="00144CDA" w:rsidP="00445ECA">
      <w:pPr>
        <w:pStyle w:val="Heading3"/>
      </w:pPr>
      <w:bookmarkStart w:id="1312" w:name="_Toc440982353"/>
      <w:r w:rsidRPr="003C18BC">
        <w:t>The contractor party may be composed of more than one person. The Commissioner must agree the same termination arrangements with all persons that constitute the contractor.</w:t>
      </w:r>
      <w:bookmarkEnd w:id="1312"/>
      <w:r w:rsidRPr="003C18BC">
        <w:t xml:space="preserve"> </w:t>
      </w:r>
    </w:p>
    <w:p w14:paraId="18087CDC" w14:textId="4347B1B8" w:rsidR="00144CDA" w:rsidRPr="003C18BC" w:rsidRDefault="00144CDA" w:rsidP="00445ECA">
      <w:pPr>
        <w:pStyle w:val="Heading3"/>
      </w:pPr>
      <w:bookmarkStart w:id="1313" w:name="_Toc440982354"/>
      <w:r w:rsidRPr="003C18BC">
        <w:t xml:space="preserve">NHS England's general duties may be triggered by termination in these circumstances. For further information, please refer to </w:t>
      </w:r>
      <w:bookmarkEnd w:id="1313"/>
      <w:r w:rsidR="00CF37FA">
        <w:t>the chapter covering General Duties of NHS England</w:t>
      </w:r>
    </w:p>
    <w:p w14:paraId="18AABFF1" w14:textId="77777777" w:rsidR="00144CDA" w:rsidRPr="003C18BC" w:rsidRDefault="00144CDA" w:rsidP="003331F2">
      <w:pPr>
        <w:pStyle w:val="BodyText"/>
      </w:pPr>
    </w:p>
    <w:p w14:paraId="699246FB" w14:textId="77777777" w:rsidR="00144CDA" w:rsidRPr="00044E85" w:rsidRDefault="00144CDA" w:rsidP="00044E85">
      <w:pPr>
        <w:pStyle w:val="Heading3"/>
        <w:rPr>
          <w:b/>
        </w:rPr>
      </w:pPr>
      <w:bookmarkStart w:id="1314" w:name="_Toc440982355"/>
      <w:r w:rsidRPr="00044E85">
        <w:rPr>
          <w:b/>
        </w:rPr>
        <w:t>Termination where the contractor serves notice</w:t>
      </w:r>
      <w:bookmarkEnd w:id="1314"/>
    </w:p>
    <w:p w14:paraId="2BBA017F" w14:textId="77777777" w:rsidR="00144CDA" w:rsidRPr="003C18BC" w:rsidRDefault="00144CDA" w:rsidP="00445ECA">
      <w:pPr>
        <w:pStyle w:val="Heading3"/>
      </w:pPr>
      <w:bookmarkStart w:id="1315" w:name="_Toc440982356"/>
      <w:r w:rsidRPr="003C18BC">
        <w:t>GMS and PMS contracts can be terminated by the contractor by serving notice in writing at any time. APMS contracts may also contain this right of termination.</w:t>
      </w:r>
      <w:bookmarkEnd w:id="1315"/>
      <w:r w:rsidRPr="003C18BC">
        <w:t xml:space="preserve"> </w:t>
      </w:r>
    </w:p>
    <w:p w14:paraId="19D837B6" w14:textId="77777777" w:rsidR="00144CDA" w:rsidRPr="003C18BC" w:rsidRDefault="00144CDA" w:rsidP="00445ECA">
      <w:pPr>
        <w:pStyle w:val="Heading3"/>
      </w:pPr>
      <w:bookmarkStart w:id="1316" w:name="_Toc440982357"/>
      <w:r w:rsidRPr="003C18BC">
        <w:t>Where a contractor serves notice to terminate a GMS contract, it shall terminate six months after the date on which the notice is served, except where the contractor is an individual medical practitioner in which case the contract shall terminate three months after the date on which the notice is served.</w:t>
      </w:r>
      <w:bookmarkEnd w:id="1316"/>
      <w:r w:rsidRPr="003C18BC">
        <w:t xml:space="preserve">  </w:t>
      </w:r>
    </w:p>
    <w:p w14:paraId="16DDFB0A" w14:textId="77777777" w:rsidR="00144CDA" w:rsidRPr="003C18BC" w:rsidRDefault="00144CDA" w:rsidP="00445ECA">
      <w:pPr>
        <w:pStyle w:val="Heading3"/>
      </w:pPr>
      <w:bookmarkStart w:id="1317" w:name="_Toc440982358"/>
      <w:r w:rsidRPr="003C18BC">
        <w:t>If the date on which the GMS contract will terminate is not the last calendar day of a month, the contract shall instead terminate on the last calendar day of the month in which the termination date falls.</w:t>
      </w:r>
      <w:bookmarkEnd w:id="1317"/>
      <w:r w:rsidRPr="003C18BC">
        <w:t xml:space="preserve"> </w:t>
      </w:r>
    </w:p>
    <w:p w14:paraId="5CF471C4" w14:textId="28BFDE20" w:rsidR="00144CDA" w:rsidRPr="003C18BC" w:rsidRDefault="00144CDA" w:rsidP="00445ECA">
      <w:pPr>
        <w:pStyle w:val="Heading3"/>
      </w:pPr>
      <w:bookmarkStart w:id="1318" w:name="_Toc440982359"/>
      <w:r w:rsidRPr="003C18BC">
        <w:t xml:space="preserve">Where a contractor serves notice to terminate a PMS agreement, the period of notice shall not be less than six months (unless both parties agree in which case please refer to paragraph </w:t>
      </w:r>
      <w:r w:rsidR="008D23C2">
        <w:t>1.7.3</w:t>
      </w:r>
      <w:r w:rsidRPr="003C18BC">
        <w:t xml:space="preserve"> – termination where both parties agree).</w:t>
      </w:r>
      <w:bookmarkEnd w:id="1318"/>
    </w:p>
    <w:p w14:paraId="28BD62D1" w14:textId="79BE1A2C" w:rsidR="00144CDA" w:rsidRPr="003C18BC" w:rsidRDefault="00144CDA" w:rsidP="00445ECA">
      <w:pPr>
        <w:pStyle w:val="Heading3"/>
      </w:pPr>
      <w:bookmarkStart w:id="1319" w:name="_Toc440982360"/>
      <w:r w:rsidRPr="003C18BC">
        <w:t xml:space="preserve">NHS England's general duties may be triggered by termination in these circumstances. For further information, please refer to paragraph </w:t>
      </w:r>
      <w:r w:rsidR="001E20EC">
        <w:t>1.</w:t>
      </w:r>
      <w:r w:rsidRPr="003C18BC">
        <w:rPr>
          <w:highlight w:val="yellow"/>
        </w:rPr>
        <w:fldChar w:fldCharType="begin"/>
      </w:r>
      <w:r w:rsidRPr="003C18BC">
        <w:instrText xml:space="preserve"> REF _Ref414222785 \r \h </w:instrText>
      </w:r>
      <w:r w:rsidRPr="003C18BC">
        <w:rPr>
          <w:highlight w:val="yellow"/>
        </w:rPr>
        <w:instrText xml:space="preserve"> \* MERGEFORMAT </w:instrText>
      </w:r>
      <w:r w:rsidRPr="003C18BC">
        <w:rPr>
          <w:highlight w:val="yellow"/>
        </w:rPr>
      </w:r>
      <w:r w:rsidRPr="003C18BC">
        <w:rPr>
          <w:highlight w:val="yellow"/>
        </w:rPr>
        <w:fldChar w:fldCharType="separate"/>
      </w:r>
      <w:r w:rsidR="00622FF2">
        <w:t>1.6.12</w:t>
      </w:r>
      <w:r w:rsidRPr="003C18BC">
        <w:rPr>
          <w:highlight w:val="yellow"/>
        </w:rPr>
        <w:fldChar w:fldCharType="end"/>
      </w:r>
      <w:r w:rsidRPr="003C18BC">
        <w:t>.</w:t>
      </w:r>
      <w:bookmarkEnd w:id="1319"/>
    </w:p>
    <w:p w14:paraId="0484B403" w14:textId="77777777" w:rsidR="00144CDA" w:rsidRPr="003C18BC" w:rsidRDefault="00144CDA" w:rsidP="003331F2">
      <w:pPr>
        <w:pStyle w:val="BodyText"/>
      </w:pPr>
    </w:p>
    <w:p w14:paraId="71FA8086" w14:textId="77777777" w:rsidR="00144CDA" w:rsidRPr="00044E85" w:rsidRDefault="00144CDA" w:rsidP="00044E85">
      <w:pPr>
        <w:pStyle w:val="Heading3"/>
        <w:rPr>
          <w:b/>
        </w:rPr>
      </w:pPr>
      <w:bookmarkStart w:id="1320" w:name="_Toc440982361"/>
      <w:r w:rsidRPr="00044E85">
        <w:rPr>
          <w:b/>
        </w:rPr>
        <w:t>Termination where the Commissioner serves notice</w:t>
      </w:r>
      <w:bookmarkEnd w:id="1320"/>
    </w:p>
    <w:p w14:paraId="32217FAE" w14:textId="77777777" w:rsidR="00144CDA" w:rsidRPr="003C18BC" w:rsidRDefault="00144CDA" w:rsidP="00445ECA">
      <w:pPr>
        <w:pStyle w:val="Heading3"/>
      </w:pPr>
      <w:bookmarkStart w:id="1321" w:name="_Toc440982362"/>
      <w:r w:rsidRPr="003C18BC">
        <w:t>PMS agreements can be terminated by the Commissioner by serving notice in writing at any time. APMS contracts may also contain this right of termination. .</w:t>
      </w:r>
      <w:bookmarkEnd w:id="1321"/>
      <w:r w:rsidRPr="003C18BC">
        <w:t xml:space="preserve"> </w:t>
      </w:r>
    </w:p>
    <w:p w14:paraId="4A2BF85F" w14:textId="63B92B78" w:rsidR="00144CDA" w:rsidRPr="003C18BC" w:rsidRDefault="00144CDA" w:rsidP="00445ECA">
      <w:pPr>
        <w:pStyle w:val="Heading3"/>
      </w:pPr>
      <w:bookmarkStart w:id="1322" w:name="_Toc440982363"/>
      <w:r w:rsidRPr="003C18BC">
        <w:t xml:space="preserve">Where the Commissioner serves notice to terminate a PMS agreement, the period of notice shall not be less than six months (unless both parties agree in which case please refer to paragraph </w:t>
      </w:r>
      <w:r w:rsidR="008D23C2">
        <w:t>1.7.3</w:t>
      </w:r>
      <w:r w:rsidRPr="003C18BC">
        <w:t xml:space="preserve"> – termination where both parties agree).</w:t>
      </w:r>
      <w:bookmarkEnd w:id="1322"/>
      <w:r w:rsidRPr="003C18BC">
        <w:t xml:space="preserve"> </w:t>
      </w:r>
    </w:p>
    <w:p w14:paraId="13E43D44" w14:textId="77777777" w:rsidR="00144CDA" w:rsidRPr="003C18BC" w:rsidRDefault="00144CDA" w:rsidP="00445ECA">
      <w:pPr>
        <w:pStyle w:val="Heading3"/>
      </w:pPr>
      <w:bookmarkStart w:id="1323" w:name="_Toc440982364"/>
      <w:r w:rsidRPr="003C18BC">
        <w:t xml:space="preserve">NHS England's general duties may be triggered by termination in these circumstances. For further information, please refer to </w:t>
      </w:r>
      <w:r w:rsidRPr="003C18BC">
        <w:rPr>
          <w:highlight w:val="yellow"/>
        </w:rPr>
        <w:fldChar w:fldCharType="begin"/>
      </w:r>
      <w:r w:rsidRPr="003C18BC">
        <w:instrText xml:space="preserve"> REF _Ref414222785 \r \h </w:instrText>
      </w:r>
      <w:r w:rsidRPr="003C18BC">
        <w:rPr>
          <w:highlight w:val="yellow"/>
        </w:rPr>
        <w:instrText xml:space="preserve"> \* MERGEFORMAT </w:instrText>
      </w:r>
      <w:r w:rsidRPr="003C18BC">
        <w:rPr>
          <w:highlight w:val="yellow"/>
        </w:rPr>
      </w:r>
      <w:r w:rsidRPr="003C18BC">
        <w:rPr>
          <w:highlight w:val="yellow"/>
        </w:rPr>
        <w:fldChar w:fldCharType="separate"/>
      </w:r>
      <w:r w:rsidR="00622FF2">
        <w:t>1.6.12</w:t>
      </w:r>
      <w:r w:rsidRPr="003C18BC">
        <w:rPr>
          <w:highlight w:val="yellow"/>
        </w:rPr>
        <w:fldChar w:fldCharType="end"/>
      </w:r>
      <w:r w:rsidRPr="003C18BC">
        <w:t>.</w:t>
      </w:r>
      <w:bookmarkEnd w:id="1323"/>
    </w:p>
    <w:p w14:paraId="360F0AA2" w14:textId="77777777" w:rsidR="00144CDA" w:rsidRPr="003C18BC" w:rsidRDefault="00144CDA" w:rsidP="00445ECA">
      <w:pPr>
        <w:pStyle w:val="Heading3"/>
      </w:pPr>
      <w:bookmarkStart w:id="1324" w:name="_Toc440982365"/>
      <w:r w:rsidRPr="003C18BC">
        <w:t>GMS contracts are usually contracts in perpetuity without any right for the Commissioner to terminate on notice.</w:t>
      </w:r>
      <w:bookmarkEnd w:id="1324"/>
      <w:r w:rsidRPr="003C18BC">
        <w:t xml:space="preserve"> </w:t>
      </w:r>
    </w:p>
    <w:p w14:paraId="7A17B3C7" w14:textId="77777777" w:rsidR="00144CDA" w:rsidRPr="003C18BC" w:rsidRDefault="00144CDA" w:rsidP="003331F2">
      <w:pPr>
        <w:pStyle w:val="BodyText"/>
      </w:pPr>
    </w:p>
    <w:p w14:paraId="7A58CBB5" w14:textId="77777777" w:rsidR="00144CDA" w:rsidRPr="00044E85" w:rsidRDefault="00144CDA" w:rsidP="00044E85">
      <w:pPr>
        <w:pStyle w:val="Heading3"/>
        <w:rPr>
          <w:b/>
        </w:rPr>
      </w:pPr>
      <w:bookmarkStart w:id="1325" w:name="_Toc440982366"/>
      <w:r w:rsidRPr="00044E85">
        <w:rPr>
          <w:b/>
        </w:rPr>
        <w:t>Termination where the contractor exercises the right to a GMS contract</w:t>
      </w:r>
      <w:bookmarkEnd w:id="1325"/>
    </w:p>
    <w:p w14:paraId="3B8BC6AE" w14:textId="205E08FF" w:rsidR="00144CDA" w:rsidRPr="003C18BC" w:rsidRDefault="00144CDA" w:rsidP="00445ECA">
      <w:pPr>
        <w:pStyle w:val="Heading3"/>
      </w:pPr>
      <w:bookmarkStart w:id="1326" w:name="_Toc440982367"/>
      <w:r w:rsidRPr="003C18BC">
        <w:t xml:space="preserve">Please refer to the </w:t>
      </w:r>
      <w:r w:rsidR="00965C81">
        <w:t xml:space="preserve">chapter </w:t>
      </w:r>
      <w:r w:rsidRPr="003C18BC">
        <w:t>on managing a PMS contractor's right to a GMS contract  for further information.</w:t>
      </w:r>
      <w:bookmarkEnd w:id="1326"/>
    </w:p>
    <w:p w14:paraId="7C51D8A6" w14:textId="77777777" w:rsidR="00144CDA" w:rsidRPr="003C18BC" w:rsidRDefault="00144CDA" w:rsidP="003331F2">
      <w:pPr>
        <w:pStyle w:val="BodyText"/>
      </w:pPr>
    </w:p>
    <w:p w14:paraId="6AF15788" w14:textId="77777777" w:rsidR="00144CDA" w:rsidRPr="00044E85" w:rsidRDefault="00144CDA" w:rsidP="00044E85">
      <w:pPr>
        <w:pStyle w:val="Heading3"/>
        <w:rPr>
          <w:b/>
        </w:rPr>
      </w:pPr>
      <w:bookmarkStart w:id="1327" w:name="_Toc440982368"/>
      <w:r w:rsidRPr="00044E85">
        <w:rPr>
          <w:b/>
        </w:rPr>
        <w:t>Termination due to late payment</w:t>
      </w:r>
      <w:bookmarkEnd w:id="1327"/>
    </w:p>
    <w:p w14:paraId="47B7E694" w14:textId="77777777" w:rsidR="00144CDA" w:rsidRPr="003C18BC" w:rsidRDefault="00144CDA" w:rsidP="00445ECA">
      <w:pPr>
        <w:pStyle w:val="Heading3"/>
      </w:pPr>
      <w:bookmarkStart w:id="1328" w:name="_Toc440982369"/>
      <w:r w:rsidRPr="003C18BC">
        <w:t>The contractor may give notice in writing to the Commissioner if the Commissioner has failed to make any payment due to the contractor under the contract. If the Commissioner has failed to make any such payment within 28 days of the notice, the contractor may terminate the contract by a further written notice.</w:t>
      </w:r>
      <w:bookmarkEnd w:id="1328"/>
    </w:p>
    <w:p w14:paraId="7515A470" w14:textId="77777777" w:rsidR="00144CDA" w:rsidRPr="003C18BC" w:rsidRDefault="00144CDA" w:rsidP="00445ECA">
      <w:pPr>
        <w:pStyle w:val="Heading3"/>
      </w:pPr>
      <w:bookmarkStart w:id="1329" w:name="_Toc440982370"/>
      <w:r w:rsidRPr="003C18BC">
        <w:t>Where the NHS dispute resolution procedure has been invoked by the Commissioner, within 28 days of the initial notice, the contractor may not terminate the contract until either the NHS dispute resolution determination allows termination or the Commissioner ceases to pursue the NHS dispute resolution process.</w:t>
      </w:r>
      <w:bookmarkEnd w:id="1329"/>
      <w:r w:rsidRPr="003C18BC">
        <w:t xml:space="preserve"> </w:t>
      </w:r>
    </w:p>
    <w:p w14:paraId="5A52535F" w14:textId="5C10914A" w:rsidR="00144CDA" w:rsidRPr="003C18BC" w:rsidRDefault="00144CDA" w:rsidP="00445ECA">
      <w:pPr>
        <w:pStyle w:val="Heading3"/>
      </w:pPr>
      <w:bookmarkStart w:id="1330" w:name="_Toc440982371"/>
      <w:r w:rsidRPr="003C18BC">
        <w:t xml:space="preserve">For further information on the NHS dispute resolution process, please refer to the </w:t>
      </w:r>
      <w:r w:rsidR="00965C81">
        <w:t xml:space="preserve">chapter </w:t>
      </w:r>
      <w:r w:rsidRPr="003C18BC">
        <w:t>on managing disputes.</w:t>
      </w:r>
      <w:bookmarkEnd w:id="1330"/>
    </w:p>
    <w:p w14:paraId="235558ED" w14:textId="337294EA" w:rsidR="00144CDA" w:rsidRPr="003C18BC" w:rsidRDefault="00144CDA" w:rsidP="00C279FA">
      <w:pPr>
        <w:pStyle w:val="Heading3"/>
      </w:pPr>
      <w:bookmarkStart w:id="1331" w:name="_Toc440982372"/>
      <w:r w:rsidRPr="003C18BC">
        <w:t xml:space="preserve">NHS England's general duties may be triggered by termination in these circumstances. For further information, </w:t>
      </w:r>
      <w:r w:rsidR="00C279FA">
        <w:t>refer to paragraph 1.6.12 of this chapter and also the full chapter on General Duties of NHS England</w:t>
      </w:r>
      <w:r w:rsidRPr="003C18BC">
        <w:t>.</w:t>
      </w:r>
      <w:bookmarkEnd w:id="1331"/>
    </w:p>
    <w:p w14:paraId="1C4147C7" w14:textId="77777777" w:rsidR="00144CDA" w:rsidRPr="003C18BC" w:rsidRDefault="00144CDA" w:rsidP="003331F2">
      <w:pPr>
        <w:pStyle w:val="BodyText"/>
      </w:pPr>
    </w:p>
    <w:p w14:paraId="0F6B624E" w14:textId="77777777" w:rsidR="00144CDA" w:rsidRPr="00044E85" w:rsidRDefault="00144CDA" w:rsidP="00044E85">
      <w:pPr>
        <w:pStyle w:val="Heading3"/>
        <w:rPr>
          <w:b/>
        </w:rPr>
      </w:pPr>
      <w:bookmarkStart w:id="1332" w:name="_Toc440982373"/>
      <w:r w:rsidRPr="00044E85">
        <w:rPr>
          <w:b/>
        </w:rPr>
        <w:t>Termination for provision of untrue information</w:t>
      </w:r>
      <w:bookmarkEnd w:id="1332"/>
    </w:p>
    <w:p w14:paraId="25A708FA" w14:textId="77777777" w:rsidR="00144CDA" w:rsidRPr="003C18BC" w:rsidRDefault="00144CDA" w:rsidP="00445ECA">
      <w:pPr>
        <w:pStyle w:val="Heading3"/>
      </w:pPr>
      <w:bookmarkStart w:id="1333" w:name="_Toc440982374"/>
      <w:r w:rsidRPr="003C18BC">
        <w:t>The Commissioner may serve notice to terminate the contract immediately (or from any date set out in the notice) if, after the contract has been entered into, it comes to the attention of the Commissioner that written information provided to the Commissioner:</w:t>
      </w:r>
      <w:bookmarkEnd w:id="1333"/>
    </w:p>
    <w:p w14:paraId="141032F8" w14:textId="77777777" w:rsidR="00144CDA" w:rsidRPr="003C18BC" w:rsidRDefault="00144CDA" w:rsidP="005A7DDA">
      <w:pPr>
        <w:pStyle w:val="Heading3"/>
        <w:numPr>
          <w:ilvl w:val="0"/>
          <w:numId w:val="103"/>
        </w:numPr>
        <w:spacing w:before="120" w:after="120"/>
        <w:jc w:val="both"/>
        <w:rPr>
          <w:rFonts w:cs="Arial"/>
          <w:szCs w:val="24"/>
        </w:rPr>
      </w:pPr>
      <w:bookmarkStart w:id="1334" w:name="_Toc440982375"/>
      <w:r w:rsidRPr="003C18BC">
        <w:rPr>
          <w:rFonts w:cs="Arial"/>
          <w:szCs w:val="24"/>
        </w:rPr>
        <w:t>before the contract was entered into; or</w:t>
      </w:r>
      <w:bookmarkEnd w:id="1334"/>
    </w:p>
    <w:p w14:paraId="4C8006E5" w14:textId="77777777" w:rsidR="00144CDA" w:rsidRPr="003C18BC" w:rsidRDefault="00144CDA" w:rsidP="005A7DDA">
      <w:pPr>
        <w:pStyle w:val="Heading3"/>
        <w:numPr>
          <w:ilvl w:val="0"/>
          <w:numId w:val="103"/>
        </w:numPr>
        <w:spacing w:before="120" w:after="120"/>
        <w:jc w:val="both"/>
        <w:rPr>
          <w:rFonts w:cs="Arial"/>
          <w:szCs w:val="24"/>
        </w:rPr>
      </w:pPr>
      <w:bookmarkStart w:id="1335" w:name="_Toc440982376"/>
      <w:r w:rsidRPr="003C18BC">
        <w:rPr>
          <w:rFonts w:cs="Arial"/>
          <w:szCs w:val="24"/>
        </w:rPr>
        <w:t>for GMS contracts, pursuant to paragraph 85(2) or (3) or 86(2) of Schedule 6 of the GMS Regulations; or</w:t>
      </w:r>
      <w:bookmarkEnd w:id="1335"/>
    </w:p>
    <w:p w14:paraId="66955EDF" w14:textId="77777777" w:rsidR="00144CDA" w:rsidRPr="003C18BC" w:rsidRDefault="00144CDA" w:rsidP="005A7DDA">
      <w:pPr>
        <w:pStyle w:val="Heading3"/>
        <w:numPr>
          <w:ilvl w:val="0"/>
          <w:numId w:val="103"/>
        </w:numPr>
        <w:spacing w:before="120" w:after="120"/>
        <w:jc w:val="both"/>
        <w:rPr>
          <w:rFonts w:cs="Arial"/>
          <w:szCs w:val="24"/>
        </w:rPr>
      </w:pPr>
      <w:bookmarkStart w:id="1336" w:name="_Toc440982377"/>
      <w:r w:rsidRPr="003C18BC">
        <w:rPr>
          <w:rFonts w:cs="Arial"/>
          <w:szCs w:val="24"/>
        </w:rPr>
        <w:t>for PMS agreements, pursuant to paragraph 80(2) or (3) of Schedule 5 of the PMS Regulations,</w:t>
      </w:r>
      <w:bookmarkEnd w:id="1336"/>
    </w:p>
    <w:p w14:paraId="0B658F7F" w14:textId="77777777" w:rsidR="00144CDA" w:rsidRPr="00144CDA" w:rsidRDefault="00144CDA" w:rsidP="005A7DDA">
      <w:pPr>
        <w:pStyle w:val="ListParagraph"/>
        <w:numPr>
          <w:ilvl w:val="0"/>
          <w:numId w:val="103"/>
        </w:numPr>
        <w:spacing w:before="120" w:after="120" w:line="360" w:lineRule="auto"/>
        <w:rPr>
          <w:rFonts w:cs="Arial"/>
          <w:szCs w:val="24"/>
        </w:rPr>
      </w:pPr>
      <w:r w:rsidRPr="00144CDA">
        <w:rPr>
          <w:rFonts w:cs="Arial"/>
          <w:szCs w:val="24"/>
        </w:rPr>
        <w:t>in relation to:</w:t>
      </w:r>
    </w:p>
    <w:p w14:paraId="523E9FA0" w14:textId="77777777" w:rsidR="00144CDA" w:rsidRPr="003C18BC" w:rsidRDefault="00144CDA" w:rsidP="005A7DDA">
      <w:pPr>
        <w:pStyle w:val="Heading3"/>
        <w:numPr>
          <w:ilvl w:val="0"/>
          <w:numId w:val="103"/>
        </w:numPr>
        <w:spacing w:before="120" w:after="120"/>
        <w:jc w:val="both"/>
        <w:rPr>
          <w:rFonts w:cs="Arial"/>
          <w:szCs w:val="24"/>
        </w:rPr>
      </w:pPr>
      <w:bookmarkStart w:id="1337" w:name="_Toc440982378"/>
      <w:r w:rsidRPr="003C18BC">
        <w:rPr>
          <w:rFonts w:cs="Arial"/>
          <w:szCs w:val="24"/>
        </w:rPr>
        <w:t>for GMS contracts, Regulations 4 and 5 of the GMS Regulations</w:t>
      </w:r>
      <w:bookmarkEnd w:id="1337"/>
    </w:p>
    <w:p w14:paraId="477EA892" w14:textId="77777777" w:rsidR="00144CDA" w:rsidRPr="003C18BC" w:rsidRDefault="00144CDA" w:rsidP="005A7DDA">
      <w:pPr>
        <w:pStyle w:val="Heading3"/>
        <w:numPr>
          <w:ilvl w:val="0"/>
          <w:numId w:val="103"/>
        </w:numPr>
        <w:spacing w:before="120" w:after="120"/>
        <w:jc w:val="both"/>
        <w:rPr>
          <w:rFonts w:cs="Arial"/>
          <w:szCs w:val="24"/>
        </w:rPr>
      </w:pPr>
      <w:bookmarkStart w:id="1338" w:name="_Toc440982379"/>
      <w:r w:rsidRPr="003C18BC">
        <w:rPr>
          <w:rFonts w:cs="Arial"/>
          <w:szCs w:val="24"/>
        </w:rPr>
        <w:t>for PMS agreements, Regulation 5 of the PMS Regulations; and</w:t>
      </w:r>
      <w:bookmarkEnd w:id="1338"/>
    </w:p>
    <w:p w14:paraId="6115D502" w14:textId="77777777" w:rsidR="00144CDA" w:rsidRPr="003C18BC" w:rsidRDefault="00144CDA" w:rsidP="005A7DDA">
      <w:pPr>
        <w:pStyle w:val="Heading3"/>
        <w:numPr>
          <w:ilvl w:val="0"/>
          <w:numId w:val="103"/>
        </w:numPr>
        <w:spacing w:before="120" w:after="120"/>
        <w:jc w:val="both"/>
        <w:rPr>
          <w:rFonts w:cs="Arial"/>
          <w:szCs w:val="24"/>
        </w:rPr>
      </w:pPr>
      <w:bookmarkStart w:id="1339" w:name="_Toc440982380"/>
      <w:r w:rsidRPr="003C18BC">
        <w:rPr>
          <w:rFonts w:cs="Arial"/>
          <w:szCs w:val="24"/>
        </w:rPr>
        <w:t>for APMS contracts, Direction 4 of the APMS Directions,</w:t>
      </w:r>
      <w:bookmarkEnd w:id="1339"/>
    </w:p>
    <w:p w14:paraId="1D99A41E" w14:textId="77777777" w:rsidR="00144CDA" w:rsidRPr="00144CDA" w:rsidRDefault="00144CDA" w:rsidP="005A7DDA">
      <w:pPr>
        <w:pStyle w:val="ListParagraph"/>
        <w:numPr>
          <w:ilvl w:val="0"/>
          <w:numId w:val="103"/>
        </w:numPr>
        <w:spacing w:before="120" w:after="120" w:line="360" w:lineRule="auto"/>
        <w:rPr>
          <w:rFonts w:cs="Arial"/>
          <w:szCs w:val="24"/>
        </w:rPr>
      </w:pPr>
      <w:r w:rsidRPr="00144CDA">
        <w:rPr>
          <w:rFonts w:cs="Arial"/>
          <w:szCs w:val="24"/>
        </w:rPr>
        <w:t xml:space="preserve">was, when given, untrue or inaccurate in a material respect. </w:t>
      </w:r>
    </w:p>
    <w:p w14:paraId="2A39C613" w14:textId="7FAB6D97" w:rsidR="00144CDA" w:rsidRPr="003C18BC" w:rsidRDefault="00144CDA" w:rsidP="00C279FA">
      <w:pPr>
        <w:pStyle w:val="Heading3"/>
      </w:pPr>
      <w:bookmarkStart w:id="1340" w:name="_Toc440982381"/>
      <w:r w:rsidRPr="003C18BC">
        <w:t xml:space="preserve">NHS England's general duties may be triggered by termination in these circumstances. For further information, </w:t>
      </w:r>
      <w:r w:rsidR="00C279FA">
        <w:t>refer to paragraph 1.6.12 of this chapter and also the full chapter on General Duties of NHS England</w:t>
      </w:r>
      <w:r w:rsidRPr="003C18BC">
        <w:t>.</w:t>
      </w:r>
      <w:bookmarkEnd w:id="1340"/>
    </w:p>
    <w:p w14:paraId="0570A311" w14:textId="77777777" w:rsidR="00144CDA" w:rsidRPr="003C18BC" w:rsidRDefault="00144CDA" w:rsidP="003331F2">
      <w:pPr>
        <w:pStyle w:val="BodyText"/>
      </w:pPr>
    </w:p>
    <w:p w14:paraId="4D2C86B0" w14:textId="77777777" w:rsidR="00144CDA" w:rsidRPr="00044E85" w:rsidRDefault="00144CDA" w:rsidP="00044E85">
      <w:pPr>
        <w:pStyle w:val="Heading3"/>
        <w:rPr>
          <w:b/>
        </w:rPr>
      </w:pPr>
      <w:bookmarkStart w:id="1341" w:name="_Toc440982382"/>
      <w:r w:rsidRPr="00044E85">
        <w:rPr>
          <w:b/>
        </w:rPr>
        <w:t>Termination due to fitness to practice issues</w:t>
      </w:r>
      <w:bookmarkEnd w:id="1341"/>
    </w:p>
    <w:p w14:paraId="4037DAAA" w14:textId="77777777" w:rsidR="00144CDA" w:rsidRPr="003C18BC" w:rsidRDefault="00144CDA" w:rsidP="00445ECA">
      <w:pPr>
        <w:pStyle w:val="Heading3"/>
      </w:pPr>
      <w:bookmarkStart w:id="1342" w:name="_Toc440982383"/>
      <w:r w:rsidRPr="003C18BC">
        <w:t>The Commissioner may serve notice in writing on the contractor terminating the contract immediately (or from any date set out in the notice) where a person connected with the contract (such as a medical practitioner, a partnership, a company or a director) falls within any circumstances set out in the relevant regulations / directions. Those circumstances include where the person:</w:t>
      </w:r>
      <w:bookmarkEnd w:id="1342"/>
    </w:p>
    <w:p w14:paraId="39CC8599" w14:textId="77777777" w:rsidR="00144CDA" w:rsidRPr="003C18BC" w:rsidRDefault="00144CDA" w:rsidP="005A7DDA">
      <w:pPr>
        <w:pStyle w:val="Heading3"/>
        <w:numPr>
          <w:ilvl w:val="0"/>
          <w:numId w:val="103"/>
        </w:numPr>
        <w:spacing w:before="120" w:after="120"/>
        <w:jc w:val="both"/>
        <w:rPr>
          <w:rFonts w:cs="Arial"/>
          <w:szCs w:val="24"/>
        </w:rPr>
      </w:pPr>
      <w:bookmarkStart w:id="1343" w:name="_Toc440982384"/>
      <w:r w:rsidRPr="003C18BC">
        <w:rPr>
          <w:rFonts w:cs="Arial"/>
          <w:szCs w:val="24"/>
        </w:rPr>
        <w:t>is disqualified from practising by a licensing body;</w:t>
      </w:r>
      <w:bookmarkEnd w:id="1343"/>
    </w:p>
    <w:p w14:paraId="762E1040" w14:textId="77777777" w:rsidR="00144CDA" w:rsidRPr="003C18BC" w:rsidRDefault="00144CDA" w:rsidP="005A7DDA">
      <w:pPr>
        <w:pStyle w:val="Heading3"/>
        <w:numPr>
          <w:ilvl w:val="0"/>
          <w:numId w:val="103"/>
        </w:numPr>
        <w:spacing w:before="120" w:after="120"/>
        <w:jc w:val="both"/>
        <w:rPr>
          <w:rFonts w:cs="Arial"/>
          <w:szCs w:val="24"/>
        </w:rPr>
      </w:pPr>
      <w:bookmarkStart w:id="1344" w:name="_Toc440982385"/>
      <w:r w:rsidRPr="003C18BC">
        <w:rPr>
          <w:rFonts w:cs="Arial"/>
          <w:szCs w:val="24"/>
        </w:rPr>
        <w:t>has been convicted of certain offences;</w:t>
      </w:r>
      <w:bookmarkEnd w:id="1344"/>
    </w:p>
    <w:p w14:paraId="60326700" w14:textId="77777777" w:rsidR="00144CDA" w:rsidRPr="003C18BC" w:rsidRDefault="00144CDA" w:rsidP="005A7DDA">
      <w:pPr>
        <w:pStyle w:val="Heading3"/>
        <w:numPr>
          <w:ilvl w:val="0"/>
          <w:numId w:val="103"/>
        </w:numPr>
        <w:spacing w:before="120" w:after="120"/>
        <w:jc w:val="both"/>
        <w:rPr>
          <w:rFonts w:cs="Arial"/>
          <w:szCs w:val="24"/>
        </w:rPr>
      </w:pPr>
      <w:bookmarkStart w:id="1345" w:name="_Toc440982386"/>
      <w:r w:rsidRPr="003C18BC">
        <w:rPr>
          <w:rFonts w:cs="Arial"/>
          <w:szCs w:val="24"/>
        </w:rPr>
        <w:t>has been adjudged bankrupt; or</w:t>
      </w:r>
      <w:bookmarkEnd w:id="1345"/>
    </w:p>
    <w:p w14:paraId="08A65FAB" w14:textId="77777777" w:rsidR="00144CDA" w:rsidRPr="003C18BC" w:rsidRDefault="00144CDA" w:rsidP="005A7DDA">
      <w:pPr>
        <w:pStyle w:val="Heading3"/>
        <w:numPr>
          <w:ilvl w:val="0"/>
          <w:numId w:val="103"/>
        </w:numPr>
        <w:spacing w:before="120" w:after="120"/>
        <w:jc w:val="both"/>
        <w:rPr>
          <w:rFonts w:cs="Arial"/>
          <w:szCs w:val="24"/>
        </w:rPr>
      </w:pPr>
      <w:bookmarkStart w:id="1346" w:name="_Toc440982387"/>
      <w:r w:rsidRPr="003C18BC">
        <w:rPr>
          <w:rFonts w:cs="Arial"/>
          <w:szCs w:val="24"/>
        </w:rPr>
        <w:t>has been subject to a disqualification under the Company Director Disqualification Act 1986.</w:t>
      </w:r>
      <w:bookmarkEnd w:id="1346"/>
    </w:p>
    <w:p w14:paraId="71B0CF7A" w14:textId="77777777" w:rsidR="00144CDA" w:rsidRPr="003C18BC" w:rsidRDefault="00144CDA" w:rsidP="00144CDA">
      <w:pPr>
        <w:pStyle w:val="Heading3"/>
        <w:numPr>
          <w:ilvl w:val="0"/>
          <w:numId w:val="0"/>
        </w:numPr>
        <w:spacing w:before="120" w:after="120" w:line="276" w:lineRule="auto"/>
        <w:ind w:left="1440"/>
        <w:rPr>
          <w:rFonts w:cs="Arial"/>
          <w:szCs w:val="24"/>
        </w:rPr>
      </w:pPr>
      <w:bookmarkStart w:id="1347" w:name="_Toc440982388"/>
      <w:r w:rsidRPr="003C18BC">
        <w:rPr>
          <w:rFonts w:cs="Arial"/>
          <w:szCs w:val="24"/>
        </w:rPr>
        <w:t>The full list of circumstances is set out in Annex 11. Part A of Annex 11 refers to GMS contracts, Part B of Annex 11 refers to PMS agreements and Part C of Annex 11 refers to APMS contracts.</w:t>
      </w:r>
      <w:bookmarkEnd w:id="1347"/>
      <w:r w:rsidRPr="003C18BC">
        <w:rPr>
          <w:rFonts w:cs="Arial"/>
          <w:szCs w:val="24"/>
        </w:rPr>
        <w:t xml:space="preserve"> </w:t>
      </w:r>
    </w:p>
    <w:p w14:paraId="2714698B" w14:textId="61B8BA9B" w:rsidR="00144CDA" w:rsidRPr="003C18BC" w:rsidRDefault="00144CDA" w:rsidP="00C279FA">
      <w:pPr>
        <w:pStyle w:val="Heading3"/>
      </w:pPr>
      <w:bookmarkStart w:id="1348" w:name="_Toc440982389"/>
      <w:r w:rsidRPr="003C18BC">
        <w:t xml:space="preserve">NHS England's general duties may be triggered by termination in these circumstances. For further information, </w:t>
      </w:r>
      <w:r w:rsidR="00C279FA">
        <w:t>refer to paragraph 1.6.12 of this chapter and also the full chapter on General Duties of NHS England</w:t>
      </w:r>
      <w:r w:rsidRPr="003C18BC">
        <w:t>.</w:t>
      </w:r>
      <w:bookmarkEnd w:id="1348"/>
    </w:p>
    <w:p w14:paraId="5521B477" w14:textId="77777777" w:rsidR="00144CDA" w:rsidRPr="003C18BC" w:rsidRDefault="00144CDA" w:rsidP="003331F2">
      <w:pPr>
        <w:pStyle w:val="BodyText"/>
      </w:pPr>
    </w:p>
    <w:p w14:paraId="09151133" w14:textId="77777777" w:rsidR="00144CDA" w:rsidRPr="00044E85" w:rsidRDefault="00144CDA" w:rsidP="00044E85">
      <w:pPr>
        <w:pStyle w:val="Heading3"/>
        <w:rPr>
          <w:b/>
        </w:rPr>
      </w:pPr>
      <w:bookmarkStart w:id="1349" w:name="_Toc440982390"/>
      <w:r w:rsidRPr="00044E85">
        <w:rPr>
          <w:b/>
        </w:rPr>
        <w:t>Termination where there is a serious risk of patient safety</w:t>
      </w:r>
      <w:bookmarkEnd w:id="1349"/>
      <w:r w:rsidRPr="00044E85">
        <w:rPr>
          <w:b/>
        </w:rPr>
        <w:t xml:space="preserve"> </w:t>
      </w:r>
    </w:p>
    <w:p w14:paraId="08418E73" w14:textId="77777777" w:rsidR="00144CDA" w:rsidRPr="003C18BC" w:rsidRDefault="00144CDA" w:rsidP="00445ECA">
      <w:pPr>
        <w:pStyle w:val="Heading3"/>
      </w:pPr>
      <w:bookmarkStart w:id="1350" w:name="_Ref409600453"/>
      <w:bookmarkStart w:id="1351" w:name="_Toc440982391"/>
      <w:r w:rsidRPr="003C18BC">
        <w:t>The Commissioner may serve notice in writing on the contractor terminating the contract immediately (or from such date set out in the notice) where the contractor has breached the contract and, as a result of that breach, the safety of the contractor's patients is at serious risk if the contract is not terminated.</w:t>
      </w:r>
      <w:bookmarkEnd w:id="1350"/>
      <w:bookmarkEnd w:id="1351"/>
      <w:r w:rsidRPr="003C18BC">
        <w:t xml:space="preserve"> </w:t>
      </w:r>
    </w:p>
    <w:p w14:paraId="560278BD" w14:textId="06DBAC25" w:rsidR="00144CDA" w:rsidRPr="003C18BC" w:rsidRDefault="00144CDA" w:rsidP="00445ECA">
      <w:pPr>
        <w:pStyle w:val="Heading3"/>
      </w:pPr>
      <w:bookmarkStart w:id="1352" w:name="_Toc440982392"/>
      <w:r w:rsidRPr="003C18BC">
        <w:t xml:space="preserve">NHS England's general duties may be triggered by termination in these circumstances. For further information, please </w:t>
      </w:r>
      <w:r w:rsidR="00C279FA">
        <w:t>refer to paragraph 1.6.12 of this chapter and also the full chapter on General Duties of NHS England</w:t>
      </w:r>
      <w:r w:rsidRPr="003C18BC">
        <w:t>.</w:t>
      </w:r>
      <w:bookmarkEnd w:id="1352"/>
    </w:p>
    <w:p w14:paraId="37DED5E2" w14:textId="77777777" w:rsidR="00144CDA" w:rsidRPr="003C18BC" w:rsidRDefault="00144CDA" w:rsidP="003331F2">
      <w:pPr>
        <w:pStyle w:val="BodyText"/>
      </w:pPr>
    </w:p>
    <w:p w14:paraId="7AC0162A" w14:textId="77777777" w:rsidR="00144CDA" w:rsidRPr="00044E85" w:rsidRDefault="00144CDA" w:rsidP="00044E85">
      <w:pPr>
        <w:pStyle w:val="Heading3"/>
        <w:rPr>
          <w:b/>
        </w:rPr>
      </w:pPr>
      <w:bookmarkStart w:id="1353" w:name="_Toc440982393"/>
      <w:r w:rsidRPr="00044E85">
        <w:rPr>
          <w:b/>
        </w:rPr>
        <w:t>Termination where there is a material financial loss</w:t>
      </w:r>
      <w:bookmarkEnd w:id="1353"/>
    </w:p>
    <w:p w14:paraId="361F4C02" w14:textId="77777777" w:rsidR="00144CDA" w:rsidRPr="003C18BC" w:rsidRDefault="00144CDA" w:rsidP="00445ECA">
      <w:pPr>
        <w:pStyle w:val="Heading3"/>
      </w:pPr>
      <w:bookmarkStart w:id="1354" w:name="_Toc440982394"/>
      <w:r w:rsidRPr="003C18BC">
        <w:t>The Commissioner may serve notice in writing on the contractor terminating the contract immediately (or from such date set out in the notice) where the contractor's financial situation is such that the Commissioner considers that NHS England is at risk of material financial loss.</w:t>
      </w:r>
      <w:bookmarkEnd w:id="1354"/>
    </w:p>
    <w:p w14:paraId="69B3C137" w14:textId="3467C722" w:rsidR="00144CDA" w:rsidRPr="003C18BC" w:rsidRDefault="00144CDA" w:rsidP="00445ECA">
      <w:pPr>
        <w:pStyle w:val="Heading3"/>
      </w:pPr>
      <w:bookmarkStart w:id="1355" w:name="_Toc440982395"/>
      <w:r w:rsidRPr="003C18BC">
        <w:t xml:space="preserve">NHS England's general duties may be triggered by termination in these circumstances. For further information, please </w:t>
      </w:r>
      <w:r w:rsidR="00C279FA">
        <w:t>refer to paragraph 1.6.12 of this chapter and also the full chapter on General Duties of NHS England</w:t>
      </w:r>
      <w:r w:rsidRPr="003C18BC">
        <w:t>.</w:t>
      </w:r>
      <w:bookmarkEnd w:id="1355"/>
    </w:p>
    <w:p w14:paraId="300848AD" w14:textId="77777777" w:rsidR="00144CDA" w:rsidRPr="003C18BC" w:rsidRDefault="00144CDA" w:rsidP="003331F2">
      <w:pPr>
        <w:pStyle w:val="BodyText"/>
      </w:pPr>
    </w:p>
    <w:p w14:paraId="48D8EBB0" w14:textId="77777777" w:rsidR="00144CDA" w:rsidRPr="00044E85" w:rsidRDefault="00144CDA" w:rsidP="00044E85">
      <w:pPr>
        <w:pStyle w:val="Heading3"/>
        <w:rPr>
          <w:b/>
        </w:rPr>
      </w:pPr>
      <w:bookmarkStart w:id="1356" w:name="_Toc440982396"/>
      <w:r w:rsidRPr="00044E85">
        <w:rPr>
          <w:b/>
        </w:rPr>
        <w:t>Termination due to unlawful sub-contracting</w:t>
      </w:r>
      <w:bookmarkEnd w:id="1356"/>
    </w:p>
    <w:p w14:paraId="44D6ACC8" w14:textId="77777777" w:rsidR="00144CDA" w:rsidRPr="003C18BC" w:rsidRDefault="00144CDA" w:rsidP="00445ECA">
      <w:pPr>
        <w:pStyle w:val="Heading3"/>
      </w:pPr>
      <w:bookmarkStart w:id="1357" w:name="_Toc440982397"/>
      <w:r w:rsidRPr="003C18BC">
        <w:t>The Commissioner will have a right of termination where it comes to the Commissioner's attention that the contractor has sub-contracted any of its rights or duties under the agreement in relation to the provision of essential services to a company or firm:</w:t>
      </w:r>
      <w:bookmarkEnd w:id="1357"/>
    </w:p>
    <w:p w14:paraId="7AAF596E" w14:textId="77777777" w:rsidR="00144CDA" w:rsidRPr="003C18BC" w:rsidRDefault="00144CDA" w:rsidP="005A7DDA">
      <w:pPr>
        <w:pStyle w:val="Heading3"/>
        <w:numPr>
          <w:ilvl w:val="0"/>
          <w:numId w:val="103"/>
        </w:numPr>
        <w:spacing w:before="120" w:after="120"/>
        <w:jc w:val="both"/>
        <w:rPr>
          <w:rFonts w:cs="Arial"/>
          <w:szCs w:val="24"/>
        </w:rPr>
      </w:pPr>
      <w:bookmarkStart w:id="1358" w:name="_Toc440982398"/>
      <w:r w:rsidRPr="003C18BC">
        <w:rPr>
          <w:rFonts w:cs="Arial"/>
          <w:szCs w:val="24"/>
        </w:rPr>
        <w:t>owned wholly or partly by the contractor, or by any former or current employee of, or partner or shareholder in, the contractor;</w:t>
      </w:r>
      <w:bookmarkEnd w:id="1358"/>
    </w:p>
    <w:p w14:paraId="3406DCEE" w14:textId="77777777" w:rsidR="00144CDA" w:rsidRPr="003C18BC" w:rsidRDefault="00144CDA" w:rsidP="005A7DDA">
      <w:pPr>
        <w:pStyle w:val="Heading3"/>
        <w:numPr>
          <w:ilvl w:val="0"/>
          <w:numId w:val="103"/>
        </w:numPr>
        <w:spacing w:before="120" w:after="120"/>
        <w:jc w:val="both"/>
        <w:rPr>
          <w:rFonts w:cs="Arial"/>
          <w:szCs w:val="24"/>
        </w:rPr>
      </w:pPr>
      <w:bookmarkStart w:id="1359" w:name="_Toc440982399"/>
      <w:r w:rsidRPr="003C18BC">
        <w:rPr>
          <w:rFonts w:cs="Arial"/>
          <w:szCs w:val="24"/>
        </w:rPr>
        <w:t>formed by or on behalf of the contractor, or from which it derives or may derive a pecuniary benefit; or</w:t>
      </w:r>
      <w:bookmarkEnd w:id="1359"/>
    </w:p>
    <w:p w14:paraId="065655A1" w14:textId="77777777" w:rsidR="00144CDA" w:rsidRPr="003C18BC" w:rsidRDefault="00144CDA" w:rsidP="005A7DDA">
      <w:pPr>
        <w:pStyle w:val="Heading3"/>
        <w:numPr>
          <w:ilvl w:val="0"/>
          <w:numId w:val="103"/>
        </w:numPr>
        <w:spacing w:before="120" w:after="120"/>
        <w:jc w:val="both"/>
        <w:rPr>
          <w:rFonts w:cs="Arial"/>
          <w:szCs w:val="24"/>
        </w:rPr>
      </w:pPr>
      <w:bookmarkStart w:id="1360" w:name="_Toc440982400"/>
      <w:r w:rsidRPr="003C18BC">
        <w:rPr>
          <w:rFonts w:cs="Arial"/>
          <w:szCs w:val="24"/>
        </w:rPr>
        <w:t>formed by or on behalf of a former or current employee of, or partner or shareholder in, the contractor, or from which such a person derives or may derive a pecuniary benefit,</w:t>
      </w:r>
      <w:bookmarkEnd w:id="1360"/>
    </w:p>
    <w:p w14:paraId="391FB9AF" w14:textId="77777777" w:rsidR="00144CDA" w:rsidRPr="003C18BC" w:rsidRDefault="00144CDA" w:rsidP="00144CDA">
      <w:pPr>
        <w:spacing w:before="120" w:after="120" w:line="276" w:lineRule="auto"/>
        <w:ind w:left="1440"/>
        <w:rPr>
          <w:rFonts w:cs="Arial"/>
          <w:szCs w:val="24"/>
        </w:rPr>
      </w:pPr>
      <w:r w:rsidRPr="003C18BC">
        <w:rPr>
          <w:rFonts w:cs="Arial"/>
          <w:szCs w:val="24"/>
        </w:rPr>
        <w:t>where that company or firm is or was formed wholly or partly for the purpose of avoiding the restrictions on the sale of the goodwill of a medical practice in section 54 of the NHS Act or any regulations made wholly or partly under that section.</w:t>
      </w:r>
    </w:p>
    <w:p w14:paraId="11235142" w14:textId="77777777" w:rsidR="00144CDA" w:rsidRPr="003C18BC" w:rsidRDefault="00144CDA" w:rsidP="00445ECA">
      <w:pPr>
        <w:pStyle w:val="Heading3"/>
        <w:rPr>
          <w:b/>
        </w:rPr>
      </w:pPr>
      <w:bookmarkStart w:id="1361" w:name="_Toc440982401"/>
      <w:r w:rsidRPr="003C18BC">
        <w:t>Where this occurs, the Commissioner</w:t>
      </w:r>
      <w:r w:rsidRPr="003C18BC">
        <w:rPr>
          <w:b/>
        </w:rPr>
        <w:t xml:space="preserve"> </w:t>
      </w:r>
      <w:r w:rsidRPr="003C18BC">
        <w:t>may service notice in writing on the contractor terminating the contract immediately or instructing the contractor to terminate the relevant sub-contract.</w:t>
      </w:r>
      <w:bookmarkEnd w:id="1361"/>
      <w:r w:rsidRPr="003C18BC">
        <w:t xml:space="preserve"> </w:t>
      </w:r>
    </w:p>
    <w:p w14:paraId="12F10CEC" w14:textId="77777777" w:rsidR="00144CDA" w:rsidRPr="003C18BC" w:rsidRDefault="00144CDA" w:rsidP="00445ECA">
      <w:pPr>
        <w:pStyle w:val="Heading3"/>
        <w:rPr>
          <w:b/>
        </w:rPr>
      </w:pPr>
      <w:bookmarkStart w:id="1362" w:name="_Toc440982402"/>
      <w:r w:rsidRPr="003C18BC">
        <w:t xml:space="preserve">It is a requirement under GMS contracts that, whenever reasonably practicable to do so, the Commissioner must consult with the relevant LMC when considering which alternative notice to issue (for further information on LMC consultation requirements, refer to paragraph </w:t>
      </w:r>
      <w:r w:rsidRPr="003C18BC">
        <w:fldChar w:fldCharType="begin"/>
      </w:r>
      <w:r w:rsidRPr="003C18BC">
        <w:instrText xml:space="preserve"> REF _Ref409794106 \r \h  \* MERGEFORMAT </w:instrText>
      </w:r>
      <w:r w:rsidRPr="003C18BC">
        <w:fldChar w:fldCharType="separate"/>
      </w:r>
      <w:r w:rsidR="00622FF2">
        <w:t>1.6.15</w:t>
      </w:r>
      <w:r w:rsidRPr="003C18BC">
        <w:fldChar w:fldCharType="end"/>
      </w:r>
      <w:r w:rsidRPr="003C18BC">
        <w:t>). PMS and APMS contracts are not required to contain such provisions, The Commissioner should review the relevant contract to determine whether any requirement has been included.</w:t>
      </w:r>
      <w:bookmarkEnd w:id="1362"/>
      <w:r w:rsidRPr="003C18BC">
        <w:t xml:space="preserve"> </w:t>
      </w:r>
    </w:p>
    <w:p w14:paraId="44897933" w14:textId="77777777" w:rsidR="00144CDA" w:rsidRPr="003C18BC" w:rsidRDefault="00144CDA" w:rsidP="00445ECA">
      <w:pPr>
        <w:pStyle w:val="Heading3"/>
      </w:pPr>
      <w:bookmarkStart w:id="1363" w:name="_Toc440982403"/>
      <w:r w:rsidRPr="003C18BC">
        <w:t>If the contractor fails to terminate the sub-contract, the Commissioner may serve a notice in writing on the contractor terminating the contract immediately.</w:t>
      </w:r>
      <w:bookmarkEnd w:id="1363"/>
      <w:r w:rsidRPr="003C18BC">
        <w:t xml:space="preserve">  </w:t>
      </w:r>
    </w:p>
    <w:p w14:paraId="68FB6D98" w14:textId="0C4F25F7" w:rsidR="00144CDA" w:rsidRPr="003C18BC" w:rsidRDefault="00144CDA" w:rsidP="00445ECA">
      <w:pPr>
        <w:pStyle w:val="Heading3"/>
      </w:pPr>
      <w:bookmarkStart w:id="1364" w:name="_Toc440982404"/>
      <w:r w:rsidRPr="003C18BC">
        <w:t xml:space="preserve">NHS England's general duties may be triggered by termination in these circumstances. For further information, please </w:t>
      </w:r>
      <w:r w:rsidR="00C279FA">
        <w:t>refer to paragraph 1.6.12 of this chapter and also the full chapter on General Duties of NHS England</w:t>
      </w:r>
      <w:r w:rsidRPr="003C18BC">
        <w:t>.</w:t>
      </w:r>
      <w:bookmarkEnd w:id="1364"/>
    </w:p>
    <w:p w14:paraId="10A858C8" w14:textId="77777777" w:rsidR="00144CDA" w:rsidRPr="003C18BC" w:rsidRDefault="00144CDA" w:rsidP="003331F2">
      <w:pPr>
        <w:pStyle w:val="BodyText"/>
      </w:pPr>
    </w:p>
    <w:p w14:paraId="2562AE19" w14:textId="77777777" w:rsidR="00144CDA" w:rsidRPr="00044E85" w:rsidRDefault="00144CDA" w:rsidP="00044E85">
      <w:pPr>
        <w:pStyle w:val="Heading3"/>
        <w:rPr>
          <w:b/>
        </w:rPr>
      </w:pPr>
      <w:bookmarkStart w:id="1365" w:name="_Toc440982405"/>
      <w:r w:rsidRPr="00044E85">
        <w:rPr>
          <w:b/>
        </w:rPr>
        <w:t>Termination relating to Remedial Notices and Breach Notices</w:t>
      </w:r>
      <w:bookmarkEnd w:id="1365"/>
    </w:p>
    <w:p w14:paraId="55BDCCD2" w14:textId="77777777" w:rsidR="00144CDA" w:rsidRPr="003C18BC" w:rsidRDefault="00144CDA" w:rsidP="00445ECA">
      <w:pPr>
        <w:pStyle w:val="Heading3"/>
      </w:pPr>
      <w:bookmarkStart w:id="1366" w:name="_Toc440982406"/>
      <w:r w:rsidRPr="003C18BC">
        <w:t>The Commissioner has a right to terminate the contract where the Commissioner is satisfied that the contractor has not taken the required steps to remedy the breach by the end of the required period as stated in the Remedial Notice.</w:t>
      </w:r>
      <w:bookmarkEnd w:id="1366"/>
      <w:r w:rsidRPr="003C18BC">
        <w:t xml:space="preserve"> </w:t>
      </w:r>
    </w:p>
    <w:p w14:paraId="6D678906" w14:textId="77777777" w:rsidR="00144CDA" w:rsidRPr="003C18BC" w:rsidRDefault="00144CDA" w:rsidP="00445ECA">
      <w:pPr>
        <w:pStyle w:val="Heading3"/>
      </w:pPr>
      <w:bookmarkStart w:id="1367" w:name="_Ref409601293"/>
      <w:bookmarkStart w:id="1368" w:name="_Toc440982407"/>
      <w:r w:rsidRPr="003C18BC">
        <w:t>The Commissioner has a further right of termination where, following the issue of a Remedial Notice or Breach Notice, a contractor:</w:t>
      </w:r>
      <w:bookmarkEnd w:id="1367"/>
      <w:bookmarkEnd w:id="1368"/>
    </w:p>
    <w:p w14:paraId="3800AB3C" w14:textId="77777777" w:rsidR="00144CDA" w:rsidRPr="003C18BC" w:rsidRDefault="00144CDA" w:rsidP="005A7DDA">
      <w:pPr>
        <w:pStyle w:val="Heading3"/>
        <w:numPr>
          <w:ilvl w:val="0"/>
          <w:numId w:val="103"/>
        </w:numPr>
        <w:spacing w:before="120" w:after="120"/>
        <w:jc w:val="both"/>
        <w:rPr>
          <w:rFonts w:cs="Arial"/>
          <w:szCs w:val="24"/>
        </w:rPr>
      </w:pPr>
      <w:bookmarkStart w:id="1369" w:name="_Toc440982408"/>
      <w:r w:rsidRPr="003C18BC">
        <w:rPr>
          <w:rFonts w:cs="Arial"/>
          <w:szCs w:val="24"/>
        </w:rPr>
        <w:t>repeats a breach that was the subject of a Remedial Notice or Breach Notice; or</w:t>
      </w:r>
      <w:bookmarkEnd w:id="1369"/>
    </w:p>
    <w:p w14:paraId="0CB5E09C" w14:textId="77777777" w:rsidR="00144CDA" w:rsidRPr="003C18BC" w:rsidRDefault="00144CDA" w:rsidP="005A7DDA">
      <w:pPr>
        <w:pStyle w:val="Heading3"/>
        <w:numPr>
          <w:ilvl w:val="0"/>
          <w:numId w:val="103"/>
        </w:numPr>
        <w:spacing w:before="120" w:after="120"/>
        <w:jc w:val="both"/>
        <w:rPr>
          <w:rFonts w:cs="Arial"/>
          <w:szCs w:val="24"/>
        </w:rPr>
      </w:pPr>
      <w:bookmarkStart w:id="1370" w:name="_Toc440982409"/>
      <w:r w:rsidRPr="003C18BC">
        <w:rPr>
          <w:rFonts w:cs="Arial"/>
          <w:szCs w:val="24"/>
        </w:rPr>
        <w:t>otherwise breaches the contract that results in a further Remedial Notice or Breach Notice.</w:t>
      </w:r>
      <w:bookmarkEnd w:id="1370"/>
    </w:p>
    <w:p w14:paraId="387682E9" w14:textId="77777777" w:rsidR="00144CDA" w:rsidRPr="003C18BC" w:rsidRDefault="00144CDA" w:rsidP="00445ECA">
      <w:pPr>
        <w:pStyle w:val="Heading3"/>
      </w:pPr>
      <w:bookmarkStart w:id="1371" w:name="_Toc440982410"/>
      <w:r w:rsidRPr="003C18BC">
        <w:t>The further breach must have occurred after the breach which was the subject of the Remedial Notice or Breach Notice. The Commissioner may intend to issue a further Remedial Notice or Breach Notice for a breach that occurred prior to the original breach with the need to investigate or gather information delaying the issue of the notice.  In these circumstances, the Commissioner cannot then rely on this right of termination as the further breach did not occur following the issue of the original Remedial Notice or Breach Notice.</w:t>
      </w:r>
      <w:bookmarkEnd w:id="1371"/>
      <w:r w:rsidRPr="003C18BC">
        <w:t xml:space="preserve"> </w:t>
      </w:r>
    </w:p>
    <w:p w14:paraId="3588EE00" w14:textId="77777777" w:rsidR="00144CDA" w:rsidRPr="003C18BC" w:rsidRDefault="00144CDA" w:rsidP="00445ECA">
      <w:pPr>
        <w:pStyle w:val="Heading3"/>
      </w:pPr>
      <w:bookmarkStart w:id="1372" w:name="_Toc440982411"/>
      <w:r w:rsidRPr="003C18BC">
        <w:t>This further right to terminate can only be used where the Commissioner is satisfied that the cumulative effect of the breaches is such that the Commissioner considers that to allow the contract to continue would be prejudicial to the efficiency of the services to be provided under the contract.</w:t>
      </w:r>
      <w:bookmarkEnd w:id="1372"/>
    </w:p>
    <w:p w14:paraId="611F492B" w14:textId="53703A90" w:rsidR="00144CDA" w:rsidRPr="003C18BC" w:rsidRDefault="00144CDA" w:rsidP="00445ECA">
      <w:pPr>
        <w:pStyle w:val="Heading3"/>
      </w:pPr>
      <w:bookmarkStart w:id="1373" w:name="_Toc440982412"/>
      <w:r w:rsidRPr="003C18BC">
        <w:t xml:space="preserve">NHS England's general duties may be triggered by termination in these circumstances. For further information, please </w:t>
      </w:r>
      <w:bookmarkEnd w:id="1373"/>
      <w:r w:rsidR="00C279FA">
        <w:t>refer to paragraph 1.6.12 of this chapter and also the full chapter on General Duties of NHS England</w:t>
      </w:r>
    </w:p>
    <w:p w14:paraId="0846E84B" w14:textId="77777777" w:rsidR="00144CDA" w:rsidRPr="003C18BC" w:rsidRDefault="00144CDA" w:rsidP="003331F2">
      <w:pPr>
        <w:pStyle w:val="BodyText"/>
      </w:pPr>
    </w:p>
    <w:p w14:paraId="234A276A" w14:textId="77777777" w:rsidR="00144CDA" w:rsidRPr="00044E85" w:rsidRDefault="00144CDA" w:rsidP="00044E85">
      <w:pPr>
        <w:pStyle w:val="Heading3"/>
        <w:rPr>
          <w:b/>
        </w:rPr>
      </w:pPr>
      <w:bookmarkStart w:id="1374" w:name="_Toc440982413"/>
      <w:r w:rsidRPr="00044E85">
        <w:rPr>
          <w:b/>
        </w:rPr>
        <w:t>Termination due to the contractor carrying on business detrimental to the contract</w:t>
      </w:r>
      <w:bookmarkEnd w:id="1374"/>
    </w:p>
    <w:p w14:paraId="6ED6E0C0" w14:textId="77777777" w:rsidR="00144CDA" w:rsidRPr="003C18BC" w:rsidRDefault="00144CDA" w:rsidP="00445ECA">
      <w:pPr>
        <w:pStyle w:val="Heading3"/>
      </w:pPr>
      <w:bookmarkStart w:id="1375" w:name="_Toc440982414"/>
      <w:r w:rsidRPr="003C18BC">
        <w:t>Where the contractor is a company that is carrying on business which the Commissioner considers is detrimental to the contractor performance of the contract, the Commissioner may give notice to the contractor requiring that it ceases carrying on the relevant business within a specified period (which must not be less than 28 days from the date the notice was given).</w:t>
      </w:r>
      <w:bookmarkEnd w:id="1375"/>
    </w:p>
    <w:p w14:paraId="44791E62" w14:textId="77777777" w:rsidR="00144CDA" w:rsidRPr="003C18BC" w:rsidRDefault="00144CDA" w:rsidP="00445ECA">
      <w:pPr>
        <w:pStyle w:val="Heading3"/>
      </w:pPr>
      <w:bookmarkStart w:id="1376" w:name="_Toc440982415"/>
      <w:r w:rsidRPr="003C18BC">
        <w:t>Where the contractor has not satisfied the Commissioner that it has ceased carrying on the business by the end of the notice period, the Commissioner may by further written notice terminate the contract immediately (or from such date set out in the notice).</w:t>
      </w:r>
      <w:bookmarkEnd w:id="1376"/>
      <w:r w:rsidRPr="003C18BC">
        <w:t xml:space="preserve"> </w:t>
      </w:r>
    </w:p>
    <w:p w14:paraId="758F805F" w14:textId="13838B3E" w:rsidR="00144CDA" w:rsidRPr="003C18BC" w:rsidRDefault="00144CDA" w:rsidP="00445ECA">
      <w:pPr>
        <w:pStyle w:val="Heading3"/>
      </w:pPr>
      <w:bookmarkStart w:id="1377" w:name="_Toc440982416"/>
      <w:r w:rsidRPr="003C18BC">
        <w:t xml:space="preserve">NHS England's general duties may be triggered by termination in these circumstances. For further information, please </w:t>
      </w:r>
      <w:r w:rsidR="00C279FA">
        <w:t>refer to paragraph 1.6.12 of this chapter and also the full chapter on General Duties of NHS England</w:t>
      </w:r>
      <w:r w:rsidRPr="003C18BC">
        <w:t>.</w:t>
      </w:r>
      <w:bookmarkEnd w:id="1377"/>
    </w:p>
    <w:p w14:paraId="1D3CB67F" w14:textId="77777777" w:rsidR="00144CDA" w:rsidRPr="003C18BC" w:rsidRDefault="00144CDA" w:rsidP="003331F2">
      <w:pPr>
        <w:pStyle w:val="BodyText"/>
      </w:pPr>
    </w:p>
    <w:p w14:paraId="3D31F4E3" w14:textId="77777777" w:rsidR="00144CDA" w:rsidRPr="00044E85" w:rsidRDefault="00144CDA" w:rsidP="00044E85">
      <w:pPr>
        <w:pStyle w:val="Heading3"/>
        <w:rPr>
          <w:b/>
        </w:rPr>
      </w:pPr>
      <w:bookmarkStart w:id="1378" w:name="_Toc440982417"/>
      <w:r w:rsidRPr="00044E85">
        <w:rPr>
          <w:b/>
        </w:rPr>
        <w:t>Termination due to partnership matters</w:t>
      </w:r>
      <w:bookmarkEnd w:id="1378"/>
    </w:p>
    <w:p w14:paraId="408C7EA2" w14:textId="77777777" w:rsidR="00144CDA" w:rsidRPr="003C18BC" w:rsidRDefault="00144CDA" w:rsidP="00445ECA">
      <w:pPr>
        <w:pStyle w:val="Heading3"/>
      </w:pPr>
      <w:bookmarkStart w:id="1379" w:name="_Toc440982418"/>
      <w:r w:rsidRPr="003C18BC">
        <w:t>A Commissioner has a right to terminate a GMS contract where:</w:t>
      </w:r>
      <w:bookmarkEnd w:id="1379"/>
    </w:p>
    <w:p w14:paraId="68E2E258" w14:textId="77777777" w:rsidR="00144CDA" w:rsidRPr="003C18BC" w:rsidRDefault="00144CDA" w:rsidP="005A7DDA">
      <w:pPr>
        <w:pStyle w:val="Heading3"/>
        <w:numPr>
          <w:ilvl w:val="0"/>
          <w:numId w:val="103"/>
        </w:numPr>
        <w:spacing w:before="120" w:after="120"/>
        <w:jc w:val="both"/>
        <w:rPr>
          <w:rFonts w:cs="Arial"/>
          <w:szCs w:val="24"/>
        </w:rPr>
      </w:pPr>
      <w:bookmarkStart w:id="1380" w:name="_Toc440982419"/>
      <w:r w:rsidRPr="003C18BC">
        <w:rPr>
          <w:rFonts w:cs="Arial"/>
          <w:szCs w:val="24"/>
        </w:rPr>
        <w:t>the contractor is two or more persons practising in partnership;</w:t>
      </w:r>
      <w:bookmarkEnd w:id="1380"/>
    </w:p>
    <w:p w14:paraId="63122D79" w14:textId="77777777" w:rsidR="00144CDA" w:rsidRPr="003C18BC" w:rsidRDefault="00144CDA" w:rsidP="005A7DDA">
      <w:pPr>
        <w:pStyle w:val="Heading3"/>
        <w:numPr>
          <w:ilvl w:val="0"/>
          <w:numId w:val="103"/>
        </w:numPr>
        <w:spacing w:before="120" w:after="120"/>
        <w:jc w:val="both"/>
        <w:rPr>
          <w:rFonts w:cs="Arial"/>
          <w:szCs w:val="24"/>
        </w:rPr>
      </w:pPr>
      <w:bookmarkStart w:id="1381" w:name="_Toc440982420"/>
      <w:r w:rsidRPr="003C18BC">
        <w:rPr>
          <w:rFonts w:cs="Arial"/>
          <w:szCs w:val="24"/>
        </w:rPr>
        <w:t>where one or more partners have left the practice during the contract; and</w:t>
      </w:r>
      <w:bookmarkEnd w:id="1381"/>
    </w:p>
    <w:p w14:paraId="4B675D30" w14:textId="77777777" w:rsidR="00144CDA" w:rsidRPr="003C18BC" w:rsidRDefault="00144CDA" w:rsidP="005A7DDA">
      <w:pPr>
        <w:pStyle w:val="Heading3"/>
        <w:numPr>
          <w:ilvl w:val="0"/>
          <w:numId w:val="103"/>
        </w:numPr>
        <w:spacing w:before="120" w:after="120"/>
        <w:jc w:val="both"/>
        <w:rPr>
          <w:rFonts w:cs="Arial"/>
          <w:szCs w:val="24"/>
        </w:rPr>
      </w:pPr>
      <w:bookmarkStart w:id="1382" w:name="_Toc440982421"/>
      <w:r w:rsidRPr="003C18BC">
        <w:rPr>
          <w:rFonts w:cs="Arial"/>
          <w:szCs w:val="24"/>
        </w:rPr>
        <w:t>if the Commissioner reasonably considers that the changes in membership of the partnership is likely to have a serious adverse impact on the ability of the contractor or the Commissioner to perform its obligations under the contract.</w:t>
      </w:r>
      <w:bookmarkEnd w:id="1382"/>
      <w:r w:rsidRPr="003C18BC">
        <w:rPr>
          <w:rFonts w:cs="Arial"/>
          <w:szCs w:val="24"/>
        </w:rPr>
        <w:t xml:space="preserve"> </w:t>
      </w:r>
    </w:p>
    <w:p w14:paraId="576ED94C" w14:textId="77777777" w:rsidR="00144CDA" w:rsidRPr="003C18BC" w:rsidRDefault="00144CDA" w:rsidP="00445ECA">
      <w:pPr>
        <w:pStyle w:val="Heading3"/>
      </w:pPr>
      <w:bookmarkStart w:id="1383" w:name="_Toc440982422"/>
      <w:r w:rsidRPr="003C18BC">
        <w:t>Where this occurs, the Commissioner may terminate the contract by notice in writing on such date as is set out in the notice. The notice must contain the Commissioner's reasons for considering that the change in the membership of the partnership is likely to have a serious adverse impact on the ability of the contractor or the Commissioner to perform its obligations under the contract.</w:t>
      </w:r>
      <w:bookmarkEnd w:id="1383"/>
      <w:r w:rsidRPr="003C18BC">
        <w:t xml:space="preserve"> </w:t>
      </w:r>
    </w:p>
    <w:p w14:paraId="529310CD" w14:textId="388196B3" w:rsidR="00144CDA" w:rsidRPr="003C18BC" w:rsidRDefault="00144CDA" w:rsidP="00445ECA">
      <w:pPr>
        <w:pStyle w:val="Heading3"/>
      </w:pPr>
      <w:bookmarkStart w:id="1384" w:name="_Toc440982423"/>
      <w:r w:rsidRPr="003C18BC">
        <w:t xml:space="preserve">NHS England's general duties may be triggered by termination in these circumstances. For further information, please </w:t>
      </w:r>
      <w:bookmarkEnd w:id="1384"/>
      <w:r w:rsidR="00C279FA">
        <w:t>refer to paragraph 1.6.12 of this chapter and also the full chapter on General Duties of NHS England</w:t>
      </w:r>
    </w:p>
    <w:p w14:paraId="6EF85A4B" w14:textId="77777777" w:rsidR="00144CDA" w:rsidRPr="003C18BC" w:rsidRDefault="00144CDA" w:rsidP="003331F2">
      <w:pPr>
        <w:pStyle w:val="BodyText"/>
      </w:pPr>
    </w:p>
    <w:p w14:paraId="48ACD692" w14:textId="77777777" w:rsidR="00144CDA" w:rsidRPr="00044E85" w:rsidRDefault="00144CDA" w:rsidP="00044E85">
      <w:pPr>
        <w:pStyle w:val="Heading3"/>
        <w:rPr>
          <w:b/>
        </w:rPr>
      </w:pPr>
      <w:bookmarkStart w:id="1385" w:name="_Toc440982424"/>
      <w:r w:rsidRPr="00044E85">
        <w:rPr>
          <w:b/>
        </w:rPr>
        <w:t>Termination due to breach of regulation 4</w:t>
      </w:r>
      <w:bookmarkEnd w:id="1385"/>
    </w:p>
    <w:p w14:paraId="29B08B76" w14:textId="77777777" w:rsidR="00144CDA" w:rsidRPr="003C18BC" w:rsidRDefault="00144CDA" w:rsidP="00445ECA">
      <w:pPr>
        <w:pStyle w:val="Heading3"/>
      </w:pPr>
      <w:bookmarkStart w:id="1386" w:name="_Toc440982425"/>
      <w:r w:rsidRPr="003C18BC">
        <w:t>Regulation 4 sets out conditions that the contractor must satisfy in order to enter into a GMS contract. There are a number of rights of termination relating to these conditions. Annex 12 sets out the termination rights and conditions in detail.</w:t>
      </w:r>
      <w:bookmarkEnd w:id="1386"/>
      <w:r w:rsidRPr="003C18BC">
        <w:t xml:space="preserve"> </w:t>
      </w:r>
    </w:p>
    <w:p w14:paraId="74E30156" w14:textId="5E7F2E50" w:rsidR="00144CDA" w:rsidRPr="003C18BC" w:rsidRDefault="00144CDA" w:rsidP="00445ECA">
      <w:pPr>
        <w:pStyle w:val="Heading3"/>
      </w:pPr>
      <w:bookmarkStart w:id="1387" w:name="_Toc440982426"/>
      <w:r w:rsidRPr="003C18BC">
        <w:t xml:space="preserve">NHS England's general duties may be triggered by termination in these circumstances. For further information, please </w:t>
      </w:r>
      <w:bookmarkEnd w:id="1387"/>
      <w:r w:rsidR="00C279FA">
        <w:t>refer to paragraph 1.6.12 of this chapter and also the full chapter on General Duties of NHS England</w:t>
      </w:r>
    </w:p>
    <w:p w14:paraId="43B7276B" w14:textId="77777777" w:rsidR="00144CDA" w:rsidRPr="007C30BA" w:rsidRDefault="00144CDA" w:rsidP="00144CDA">
      <w:pPr>
        <w:pStyle w:val="Body2"/>
        <w:spacing w:before="120" w:after="120" w:line="276" w:lineRule="auto"/>
        <w:rPr>
          <w:rFonts w:cs="Arial"/>
        </w:rPr>
      </w:pPr>
    </w:p>
    <w:p w14:paraId="6470125B" w14:textId="77777777" w:rsidR="00144CDA" w:rsidRPr="003C18BC" w:rsidRDefault="00144CDA" w:rsidP="00144CDA">
      <w:pPr>
        <w:pStyle w:val="Heading2"/>
      </w:pPr>
      <w:bookmarkStart w:id="1388" w:name="_Toc440982427"/>
      <w:bookmarkStart w:id="1389" w:name="_Toc498495437"/>
      <w:r w:rsidRPr="003C18BC">
        <w:t>Consequences of Termination</w:t>
      </w:r>
      <w:bookmarkEnd w:id="1388"/>
      <w:bookmarkEnd w:id="1389"/>
    </w:p>
    <w:p w14:paraId="3A7D08C6" w14:textId="77777777" w:rsidR="00144CDA" w:rsidRPr="003C18BC" w:rsidRDefault="00144CDA" w:rsidP="00445ECA">
      <w:pPr>
        <w:pStyle w:val="Heading3"/>
      </w:pPr>
      <w:bookmarkStart w:id="1390" w:name="_Toc440982428"/>
      <w:r w:rsidRPr="003C18BC">
        <w:t>Contracts usually contain certain obligations on both parties on termination of the contract. The GMS Regulations, PMS Regulations and APMS Directions do not set out any requirements for primary care contracts to contain such provision but the Standard GMS Contract contains a number of obligations including provisions relating to:</w:t>
      </w:r>
      <w:bookmarkEnd w:id="1390"/>
    </w:p>
    <w:p w14:paraId="69C653FE" w14:textId="77777777" w:rsidR="00144CDA" w:rsidRPr="003C18BC" w:rsidRDefault="00144CDA" w:rsidP="005A7DDA">
      <w:pPr>
        <w:pStyle w:val="Heading3"/>
        <w:numPr>
          <w:ilvl w:val="0"/>
          <w:numId w:val="103"/>
        </w:numPr>
        <w:spacing w:before="120" w:after="120"/>
        <w:jc w:val="both"/>
        <w:rPr>
          <w:rFonts w:cs="Arial"/>
          <w:szCs w:val="24"/>
        </w:rPr>
      </w:pPr>
      <w:bookmarkStart w:id="1391" w:name="_Toc440982429"/>
      <w:r w:rsidRPr="003C18BC">
        <w:rPr>
          <w:rFonts w:cs="Arial"/>
          <w:szCs w:val="24"/>
        </w:rPr>
        <w:t>co-operation in dealing with any outstanding matters;</w:t>
      </w:r>
      <w:bookmarkEnd w:id="1391"/>
    </w:p>
    <w:p w14:paraId="78911CB9" w14:textId="77777777" w:rsidR="00144CDA" w:rsidRPr="003C18BC" w:rsidRDefault="00144CDA" w:rsidP="005A7DDA">
      <w:pPr>
        <w:pStyle w:val="Heading3"/>
        <w:numPr>
          <w:ilvl w:val="0"/>
          <w:numId w:val="103"/>
        </w:numPr>
        <w:spacing w:before="120" w:after="120"/>
        <w:jc w:val="both"/>
        <w:rPr>
          <w:rFonts w:cs="Arial"/>
          <w:szCs w:val="24"/>
        </w:rPr>
      </w:pPr>
      <w:bookmarkStart w:id="1392" w:name="_Toc440982430"/>
      <w:r w:rsidRPr="003C18BC">
        <w:rPr>
          <w:rFonts w:cs="Arial"/>
          <w:szCs w:val="24"/>
        </w:rPr>
        <w:t>delivering up property owned by the other party; and</w:t>
      </w:r>
      <w:bookmarkEnd w:id="1392"/>
    </w:p>
    <w:p w14:paraId="7207E329" w14:textId="77777777" w:rsidR="00144CDA" w:rsidRPr="003C18BC" w:rsidRDefault="00144CDA" w:rsidP="005A7DDA">
      <w:pPr>
        <w:pStyle w:val="Heading3"/>
        <w:numPr>
          <w:ilvl w:val="0"/>
          <w:numId w:val="103"/>
        </w:numPr>
        <w:spacing w:before="120" w:after="120"/>
        <w:jc w:val="both"/>
        <w:rPr>
          <w:rFonts w:cs="Arial"/>
          <w:szCs w:val="24"/>
        </w:rPr>
      </w:pPr>
      <w:bookmarkStart w:id="1393" w:name="_Toc440982431"/>
      <w:r w:rsidRPr="003C18BC">
        <w:rPr>
          <w:rFonts w:cs="Arial"/>
          <w:szCs w:val="24"/>
        </w:rPr>
        <w:t>carrying out a financial reconciliation.</w:t>
      </w:r>
      <w:bookmarkEnd w:id="1393"/>
    </w:p>
    <w:p w14:paraId="33A282C6" w14:textId="77777777" w:rsidR="00144CDA" w:rsidRPr="003C18BC" w:rsidRDefault="00144CDA" w:rsidP="00445ECA">
      <w:pPr>
        <w:pStyle w:val="Heading3"/>
      </w:pPr>
      <w:bookmarkStart w:id="1394" w:name="_Toc440982432"/>
      <w:r w:rsidRPr="003C18BC">
        <w:t>It is likely that PMS and APMS contracts will contain similar provisions. The Commissioner should consider the relevant contract to determine what obligations are set out on termination.</w:t>
      </w:r>
      <w:bookmarkEnd w:id="1394"/>
      <w:r w:rsidRPr="003C18BC">
        <w:t xml:space="preserve"> </w:t>
      </w:r>
    </w:p>
    <w:p w14:paraId="7C7FA88A" w14:textId="77777777" w:rsidR="00144CDA" w:rsidRPr="003C18BC" w:rsidRDefault="00144CDA" w:rsidP="00836ECF">
      <w:pPr>
        <w:pStyle w:val="Heading2"/>
        <w:numPr>
          <w:ilvl w:val="1"/>
          <w:numId w:val="34"/>
        </w:numPr>
        <w:tabs>
          <w:tab w:val="num" w:pos="1440"/>
        </w:tabs>
        <w:spacing w:before="120" w:after="120" w:line="276" w:lineRule="auto"/>
        <w:jc w:val="both"/>
        <w:rPr>
          <w:rFonts w:cs="Arial"/>
          <w:sz w:val="24"/>
          <w:szCs w:val="24"/>
        </w:rPr>
      </w:pPr>
      <w:r w:rsidRPr="003C18BC">
        <w:rPr>
          <w:rFonts w:cs="Arial"/>
          <w:sz w:val="24"/>
          <w:szCs w:val="24"/>
        </w:rPr>
        <w:br w:type="page"/>
      </w:r>
    </w:p>
    <w:p w14:paraId="4871A254" w14:textId="77777777" w:rsidR="00144CDA" w:rsidRPr="003C18BC" w:rsidRDefault="00144CDA" w:rsidP="00144CDA">
      <w:pPr>
        <w:pStyle w:val="Heading2"/>
      </w:pPr>
      <w:bookmarkStart w:id="1395" w:name="_Toc498495438"/>
      <w:r w:rsidRPr="003C18BC">
        <w:t>Annex 1 Remedial Notice Flowchart</w:t>
      </w:r>
      <w:bookmarkEnd w:id="1395"/>
    </w:p>
    <w:bookmarkStart w:id="1396" w:name="_1568138835"/>
    <w:bookmarkEnd w:id="1396"/>
    <w:p w14:paraId="4A6D5572" w14:textId="43FDE1D7" w:rsidR="00144CDA" w:rsidRPr="002158C1" w:rsidRDefault="002306F3" w:rsidP="002158C1">
      <w:pPr>
        <w:pStyle w:val="ListParagraph"/>
        <w:numPr>
          <w:ilvl w:val="0"/>
          <w:numId w:val="183"/>
        </w:numPr>
        <w:spacing w:before="120" w:after="120" w:line="276" w:lineRule="auto"/>
        <w:rPr>
          <w:rFonts w:cs="Arial"/>
          <w:b/>
          <w:szCs w:val="24"/>
        </w:rPr>
      </w:pPr>
      <w:r>
        <w:fldChar w:fldCharType="begin"/>
      </w:r>
      <w:r>
        <w:instrText xml:space="preserve"> HYPERLINK "https://www.england.nhs.uk/publication/primary-medical-care-policy-and-guidance-manual-consequences-of-termination-annexes/" </w:instrText>
      </w:r>
      <w:r>
        <w:fldChar w:fldCharType="separate"/>
      </w:r>
      <w:r w:rsidR="002158C1">
        <w:rPr>
          <w:rStyle w:val="Hyperlink"/>
        </w:rPr>
        <w:t>Remedial Notice Flowchart</w:t>
      </w:r>
      <w:r>
        <w:rPr>
          <w:rStyle w:val="Hyperlink"/>
        </w:rPr>
        <w:fldChar w:fldCharType="end"/>
      </w:r>
      <w:r w:rsidR="009B26D9">
        <w:br/>
      </w:r>
    </w:p>
    <w:p w14:paraId="5F73C397" w14:textId="77777777" w:rsidR="00144CDA" w:rsidRPr="003C18BC" w:rsidRDefault="00144CDA" w:rsidP="00144CDA">
      <w:pPr>
        <w:pStyle w:val="Heading2"/>
      </w:pPr>
      <w:bookmarkStart w:id="1397" w:name="_Toc498495439"/>
      <w:r w:rsidRPr="003C18BC">
        <w:t>Annex 2 Template Remedial Notice</w:t>
      </w:r>
      <w:bookmarkEnd w:id="1397"/>
    </w:p>
    <w:p w14:paraId="77235523" w14:textId="77777777" w:rsidR="00144CDA" w:rsidRPr="003C18BC" w:rsidRDefault="00144CDA" w:rsidP="00144CDA">
      <w:pPr>
        <w:spacing w:before="120" w:after="120" w:line="276" w:lineRule="auto"/>
        <w:rPr>
          <w:rFonts w:cs="Arial"/>
          <w:i/>
          <w:iCs/>
          <w:szCs w:val="24"/>
        </w:rPr>
      </w:pPr>
      <w:r w:rsidRPr="003C18BC" w:rsidDel="0012067F">
        <w:rPr>
          <w:rFonts w:cs="Arial"/>
          <w:b/>
          <w:szCs w:val="24"/>
        </w:rPr>
        <w:t xml:space="preserve"> </w:t>
      </w:r>
      <w:r w:rsidRPr="003C18BC">
        <w:rPr>
          <w:rFonts w:cs="Arial"/>
          <w:i/>
          <w:iCs/>
          <w:szCs w:val="24"/>
          <w:highlight w:val="yellow"/>
        </w:rPr>
        <w:t>[This Annex is provided as a template only and appropriate advice and support should be sought prior to issuing such a notice]</w:t>
      </w:r>
    </w:p>
    <w:bookmarkStart w:id="1398" w:name="_1568138862"/>
    <w:bookmarkEnd w:id="1398"/>
    <w:p w14:paraId="21862564" w14:textId="34BFE1AE" w:rsidR="00144CDA" w:rsidRPr="002158C1" w:rsidRDefault="002306F3" w:rsidP="00144CDA">
      <w:pPr>
        <w:pStyle w:val="ListParagraph"/>
        <w:numPr>
          <w:ilvl w:val="0"/>
          <w:numId w:val="182"/>
        </w:numPr>
        <w:spacing w:before="120" w:after="120" w:line="276" w:lineRule="auto"/>
        <w:rPr>
          <w:rFonts w:cs="Arial"/>
          <w:b/>
          <w:szCs w:val="24"/>
        </w:rPr>
      </w:pPr>
      <w:r>
        <w:fldChar w:fldCharType="begin"/>
      </w:r>
      <w:r>
        <w:instrText xml:space="preserve"> HYPERLINK "https://www.england.nhs.uk/publication/primary-medical-care-policy-and-guidance-manual-consequences-of-termination-annexes/" </w:instrText>
      </w:r>
      <w:r>
        <w:fldChar w:fldCharType="separate"/>
      </w:r>
      <w:r w:rsidR="002158C1">
        <w:rPr>
          <w:rStyle w:val="Hyperlink"/>
        </w:rPr>
        <w:t>Template Remedial Notice</w:t>
      </w:r>
      <w:r>
        <w:rPr>
          <w:rStyle w:val="Hyperlink"/>
        </w:rPr>
        <w:fldChar w:fldCharType="end"/>
      </w:r>
    </w:p>
    <w:p w14:paraId="428D537D" w14:textId="77777777" w:rsidR="002158C1" w:rsidRPr="002158C1" w:rsidRDefault="002158C1" w:rsidP="002158C1">
      <w:pPr>
        <w:spacing w:before="120" w:after="120" w:line="276" w:lineRule="auto"/>
        <w:rPr>
          <w:rFonts w:cs="Arial"/>
          <w:b/>
          <w:szCs w:val="24"/>
        </w:rPr>
      </w:pPr>
    </w:p>
    <w:p w14:paraId="3255229A" w14:textId="77777777" w:rsidR="00144CDA" w:rsidRPr="003C18BC" w:rsidRDefault="00144CDA" w:rsidP="00144CDA">
      <w:pPr>
        <w:pStyle w:val="Heading2"/>
      </w:pPr>
      <w:bookmarkStart w:id="1399" w:name="_Toc498495440"/>
      <w:r w:rsidRPr="003C18BC">
        <w:t>Annex 3 Template Notice Receipt</w:t>
      </w:r>
      <w:bookmarkEnd w:id="1399"/>
    </w:p>
    <w:bookmarkStart w:id="1400" w:name="_1568138890"/>
    <w:bookmarkEnd w:id="1400"/>
    <w:p w14:paraId="071D4D68" w14:textId="223927F9" w:rsidR="00144CDA" w:rsidRPr="009B26D9" w:rsidRDefault="002306F3" w:rsidP="009B26D9">
      <w:pPr>
        <w:pStyle w:val="ListParagraph"/>
        <w:numPr>
          <w:ilvl w:val="0"/>
          <w:numId w:val="181"/>
        </w:numPr>
        <w:spacing w:before="120" w:after="120" w:line="276" w:lineRule="auto"/>
        <w:rPr>
          <w:rFonts w:cs="Arial"/>
          <w:b/>
          <w:szCs w:val="24"/>
        </w:rPr>
      </w:pPr>
      <w:r>
        <w:fldChar w:fldCharType="begin"/>
      </w:r>
      <w:r>
        <w:instrText xml:space="preserve"> HYPERLINK "https://www.england.nhs.uk/publication/primary-medical-care-policy-and-guidance-manual-consequences-of-termination-annexes/" </w:instrText>
      </w:r>
      <w:r>
        <w:fldChar w:fldCharType="separate"/>
      </w:r>
      <w:r w:rsidR="002158C1">
        <w:rPr>
          <w:rStyle w:val="Hyperlink"/>
        </w:rPr>
        <w:t>Template Notice Receipt</w:t>
      </w:r>
      <w:r>
        <w:rPr>
          <w:rStyle w:val="Hyperlink"/>
        </w:rPr>
        <w:fldChar w:fldCharType="end"/>
      </w:r>
      <w:r w:rsidR="009B26D9">
        <w:br/>
      </w:r>
    </w:p>
    <w:p w14:paraId="0A2F51FF" w14:textId="77777777" w:rsidR="00144CDA" w:rsidRPr="003C18BC" w:rsidRDefault="00144CDA" w:rsidP="00144CDA">
      <w:pPr>
        <w:pStyle w:val="Heading2"/>
      </w:pPr>
      <w:bookmarkStart w:id="1401" w:name="_Toc498495441"/>
      <w:r w:rsidRPr="003C18BC">
        <w:t>Annex 4 Template Remedial Notice Satisfaction Letter</w:t>
      </w:r>
      <w:bookmarkEnd w:id="1401"/>
    </w:p>
    <w:p w14:paraId="5469547D" w14:textId="77777777" w:rsidR="00144CDA" w:rsidRPr="003C18BC" w:rsidRDefault="00144CDA" w:rsidP="00144CDA">
      <w:pPr>
        <w:spacing w:before="120" w:after="120" w:line="276" w:lineRule="auto"/>
        <w:rPr>
          <w:rFonts w:cs="Arial"/>
          <w:i/>
          <w:iCs/>
          <w:szCs w:val="24"/>
        </w:rPr>
      </w:pPr>
      <w:r w:rsidRPr="003C18BC" w:rsidDel="0012067F">
        <w:rPr>
          <w:rFonts w:cs="Arial"/>
          <w:b/>
          <w:szCs w:val="24"/>
        </w:rPr>
        <w:t xml:space="preserve"> </w:t>
      </w:r>
      <w:r w:rsidRPr="003C18BC">
        <w:rPr>
          <w:rFonts w:cs="Arial"/>
          <w:i/>
          <w:iCs/>
          <w:szCs w:val="24"/>
          <w:highlight w:val="yellow"/>
        </w:rPr>
        <w:t>[This letter is provided as a template only and the Commissioner should ensure that appropriate advice and support has been sought prior to issuing such a letter]</w:t>
      </w:r>
    </w:p>
    <w:bookmarkStart w:id="1402" w:name="_1568138914"/>
    <w:bookmarkEnd w:id="1402"/>
    <w:p w14:paraId="67DB29BB" w14:textId="6192A831" w:rsidR="00144CDA" w:rsidRPr="009B26D9" w:rsidRDefault="002306F3" w:rsidP="009B26D9">
      <w:pPr>
        <w:pStyle w:val="ListParagraph"/>
        <w:numPr>
          <w:ilvl w:val="0"/>
          <w:numId w:val="180"/>
        </w:numPr>
        <w:spacing w:before="120" w:after="120" w:line="276" w:lineRule="auto"/>
        <w:rPr>
          <w:rFonts w:cs="Arial"/>
          <w:b/>
          <w:szCs w:val="24"/>
        </w:rPr>
      </w:pPr>
      <w:r>
        <w:fldChar w:fldCharType="begin"/>
      </w:r>
      <w:r>
        <w:instrText xml:space="preserve"> HYPERLINK "https://www.england.nhs.uk/publication/primary-medical-care-policy-and-guidance-manual-consequences-of-termination-annexes/" </w:instrText>
      </w:r>
      <w:r>
        <w:fldChar w:fldCharType="separate"/>
      </w:r>
      <w:r w:rsidR="002158C1">
        <w:rPr>
          <w:rStyle w:val="Hyperlink"/>
        </w:rPr>
        <w:t>Template Remedial Notice Satisfaction Letter</w:t>
      </w:r>
      <w:r>
        <w:rPr>
          <w:rStyle w:val="Hyperlink"/>
        </w:rPr>
        <w:fldChar w:fldCharType="end"/>
      </w:r>
      <w:r w:rsidR="009B26D9">
        <w:br/>
      </w:r>
    </w:p>
    <w:p w14:paraId="5DDCE178" w14:textId="77777777" w:rsidR="00144CDA" w:rsidRPr="003C18BC" w:rsidRDefault="00144CDA" w:rsidP="00144CDA">
      <w:pPr>
        <w:pStyle w:val="Heading2"/>
      </w:pPr>
      <w:bookmarkStart w:id="1403" w:name="_Toc498495442"/>
      <w:r w:rsidRPr="003C18BC">
        <w:t>Annex 5 Breach Notice Flowchart</w:t>
      </w:r>
      <w:bookmarkEnd w:id="1403"/>
    </w:p>
    <w:bookmarkStart w:id="1404" w:name="_1568138945"/>
    <w:bookmarkEnd w:id="1404"/>
    <w:p w14:paraId="7DC2A011" w14:textId="7B87431D" w:rsidR="00144CDA" w:rsidRPr="00873BB6" w:rsidRDefault="002306F3" w:rsidP="009B26D9">
      <w:pPr>
        <w:pStyle w:val="ListParagraph"/>
        <w:numPr>
          <w:ilvl w:val="0"/>
          <w:numId w:val="179"/>
        </w:numPr>
        <w:spacing w:before="120" w:after="120" w:line="276" w:lineRule="auto"/>
        <w:rPr>
          <w:rFonts w:cs="Arial"/>
          <w:b/>
          <w:szCs w:val="24"/>
        </w:rPr>
      </w:pPr>
      <w:r>
        <w:fldChar w:fldCharType="begin"/>
      </w:r>
      <w:r>
        <w:instrText xml:space="preserve"> HYPERLINK "https://www.england.nhs.uk/publication/primary-medical-care-policy-and-guidance-manual-consequences-of-termination-annexes/" </w:instrText>
      </w:r>
      <w:r>
        <w:fldChar w:fldCharType="separate"/>
      </w:r>
      <w:r w:rsidR="002158C1">
        <w:rPr>
          <w:rStyle w:val="Hyperlink"/>
        </w:rPr>
        <w:t>Breach Notice Flowchart</w:t>
      </w:r>
      <w:r>
        <w:rPr>
          <w:rStyle w:val="Hyperlink"/>
        </w:rPr>
        <w:fldChar w:fldCharType="end"/>
      </w:r>
      <w:r w:rsidR="00873BB6">
        <w:br/>
      </w:r>
    </w:p>
    <w:p w14:paraId="2E83A676" w14:textId="77777777" w:rsidR="00144CDA" w:rsidRPr="003C18BC" w:rsidRDefault="00144CDA" w:rsidP="00144CDA">
      <w:pPr>
        <w:pStyle w:val="Heading2"/>
      </w:pPr>
      <w:bookmarkStart w:id="1405" w:name="_Toc498495443"/>
      <w:r w:rsidRPr="003C18BC">
        <w:t>Annex 6 Template Breach Notice</w:t>
      </w:r>
      <w:bookmarkEnd w:id="1405"/>
    </w:p>
    <w:bookmarkStart w:id="1406" w:name="_1568138973"/>
    <w:bookmarkEnd w:id="1406"/>
    <w:p w14:paraId="0B95C121" w14:textId="7D7FC665" w:rsidR="00144CDA" w:rsidRPr="00873BB6" w:rsidRDefault="002306F3" w:rsidP="009B26D9">
      <w:pPr>
        <w:pStyle w:val="ListParagraph"/>
        <w:numPr>
          <w:ilvl w:val="0"/>
          <w:numId w:val="178"/>
        </w:numPr>
        <w:spacing w:before="120" w:after="120" w:line="276" w:lineRule="auto"/>
        <w:rPr>
          <w:rFonts w:cs="Arial"/>
          <w:b/>
          <w:szCs w:val="24"/>
        </w:rPr>
      </w:pPr>
      <w:r>
        <w:fldChar w:fldCharType="begin"/>
      </w:r>
      <w:r>
        <w:instrText xml:space="preserve"> HYPERLINK "https://www.england.nhs.uk/publication/primary-medical-care-policy-and-guidance-manual-consequences-of-termination-annexes/" </w:instrText>
      </w:r>
      <w:r>
        <w:fldChar w:fldCharType="separate"/>
      </w:r>
      <w:r w:rsidR="002158C1">
        <w:rPr>
          <w:rStyle w:val="Hyperlink"/>
        </w:rPr>
        <w:t>Template Breach Notice</w:t>
      </w:r>
      <w:r>
        <w:rPr>
          <w:rStyle w:val="Hyperlink"/>
        </w:rPr>
        <w:fldChar w:fldCharType="end"/>
      </w:r>
      <w:r w:rsidR="00873BB6">
        <w:br/>
      </w:r>
    </w:p>
    <w:p w14:paraId="0B1ED4AD" w14:textId="77777777" w:rsidR="00144CDA" w:rsidRPr="003C18BC" w:rsidRDefault="00144CDA" w:rsidP="00144CDA">
      <w:pPr>
        <w:pStyle w:val="Heading2"/>
      </w:pPr>
      <w:bookmarkStart w:id="1407" w:name="_Toc498495444"/>
      <w:r w:rsidRPr="003C18BC">
        <w:t>Annex 7 Calculating a Financial Contract Sanction</w:t>
      </w:r>
      <w:bookmarkEnd w:id="1407"/>
    </w:p>
    <w:bookmarkStart w:id="1408" w:name="_1568169655"/>
    <w:bookmarkEnd w:id="1408"/>
    <w:p w14:paraId="7DF63901" w14:textId="40C0ED3A" w:rsidR="002158C1" w:rsidRPr="002158C1" w:rsidRDefault="002306F3" w:rsidP="009B26D9">
      <w:pPr>
        <w:pStyle w:val="ListParagraph"/>
        <w:numPr>
          <w:ilvl w:val="0"/>
          <w:numId w:val="177"/>
        </w:numPr>
        <w:spacing w:before="120" w:after="120" w:line="276" w:lineRule="auto"/>
        <w:rPr>
          <w:rFonts w:cs="Arial"/>
          <w:b/>
          <w:szCs w:val="24"/>
        </w:rPr>
      </w:pPr>
      <w:r>
        <w:fldChar w:fldCharType="begin"/>
      </w:r>
      <w:r>
        <w:instrText xml:space="preserve"> HYPERLINK "https://www.england.nhs.uk/publication/primary-medical-care-policy-and-guidance-manual-consequences-of-termination-annexes/" </w:instrText>
      </w:r>
      <w:r>
        <w:fldChar w:fldCharType="separate"/>
      </w:r>
      <w:r w:rsidR="002158C1">
        <w:rPr>
          <w:rStyle w:val="Hyperlink"/>
        </w:rPr>
        <w:t>Calculating a Financial Contract Sanction</w:t>
      </w:r>
      <w:r>
        <w:rPr>
          <w:rStyle w:val="Hyperlink"/>
        </w:rPr>
        <w:fldChar w:fldCharType="end"/>
      </w:r>
    </w:p>
    <w:p w14:paraId="149F61E9" w14:textId="77777777" w:rsidR="002158C1" w:rsidRPr="00873BB6" w:rsidRDefault="002158C1" w:rsidP="002306F3">
      <w:pPr>
        <w:pStyle w:val="ListParagraph"/>
        <w:spacing w:before="120" w:after="120" w:line="276" w:lineRule="auto"/>
        <w:rPr>
          <w:rFonts w:cs="Arial"/>
          <w:b/>
          <w:szCs w:val="24"/>
        </w:rPr>
      </w:pPr>
    </w:p>
    <w:p w14:paraId="5D2C9ABD" w14:textId="77777777" w:rsidR="00144CDA" w:rsidRPr="003C18BC" w:rsidRDefault="00144CDA" w:rsidP="00144CDA">
      <w:pPr>
        <w:pStyle w:val="Heading2"/>
      </w:pPr>
      <w:bookmarkStart w:id="1409" w:name="_Toc498495445"/>
      <w:r w:rsidRPr="003C18BC">
        <w:t>Annex 8 Template Contract Sanction Notice</w:t>
      </w:r>
      <w:bookmarkEnd w:id="1409"/>
    </w:p>
    <w:p w14:paraId="13392133" w14:textId="77777777" w:rsidR="00144CDA" w:rsidRPr="003C18BC" w:rsidRDefault="00144CDA" w:rsidP="00144CDA">
      <w:pPr>
        <w:spacing w:before="120" w:after="120" w:line="276" w:lineRule="auto"/>
        <w:rPr>
          <w:rFonts w:cs="Arial"/>
          <w:iCs/>
          <w:szCs w:val="24"/>
        </w:rPr>
      </w:pPr>
      <w:r w:rsidRPr="003C18BC" w:rsidDel="0012067F">
        <w:rPr>
          <w:rFonts w:cs="Arial"/>
          <w:b/>
          <w:szCs w:val="24"/>
        </w:rPr>
        <w:t xml:space="preserve"> </w:t>
      </w:r>
      <w:r w:rsidRPr="003C18BC">
        <w:rPr>
          <w:rFonts w:cs="Arial"/>
          <w:iCs/>
          <w:szCs w:val="24"/>
        </w:rPr>
        <w:t>[</w:t>
      </w:r>
      <w:r w:rsidRPr="003C18BC">
        <w:rPr>
          <w:rFonts w:cs="Arial"/>
          <w:iCs/>
          <w:szCs w:val="24"/>
          <w:highlight w:val="yellow"/>
        </w:rPr>
        <w:t>This Annex is provided as a template only and appropriate advice and support should be sought prior to issuing such a notice</w:t>
      </w:r>
      <w:r w:rsidRPr="003C18BC">
        <w:rPr>
          <w:rFonts w:cs="Arial"/>
          <w:iCs/>
          <w:szCs w:val="24"/>
        </w:rPr>
        <w:t>]</w:t>
      </w:r>
    </w:p>
    <w:bookmarkStart w:id="1410" w:name="_1568170731"/>
    <w:bookmarkEnd w:id="1410"/>
    <w:p w14:paraId="6C9C79F5" w14:textId="34DBE50E" w:rsidR="002158C1" w:rsidRPr="002158C1" w:rsidRDefault="002306F3" w:rsidP="002158C1">
      <w:pPr>
        <w:pStyle w:val="ListParagraph"/>
        <w:numPr>
          <w:ilvl w:val="0"/>
          <w:numId w:val="176"/>
        </w:numPr>
        <w:spacing w:before="120" w:after="120" w:line="276" w:lineRule="auto"/>
        <w:rPr>
          <w:rFonts w:cs="Arial"/>
          <w:b/>
          <w:szCs w:val="24"/>
        </w:rPr>
      </w:pPr>
      <w:r>
        <w:fldChar w:fldCharType="begin"/>
      </w:r>
      <w:r>
        <w:instrText xml:space="preserve"> HYPERLINK "https://www.england.nhs.uk/publication/primary-medical-care-policy-and-guidance-manual-consequences-of-termination-annexes/" </w:instrText>
      </w:r>
      <w:r>
        <w:fldChar w:fldCharType="separate"/>
      </w:r>
      <w:r w:rsidR="002158C1">
        <w:rPr>
          <w:rStyle w:val="Hyperlink"/>
        </w:rPr>
        <w:t>Template Contract Sanction Notice</w:t>
      </w:r>
      <w:r>
        <w:rPr>
          <w:rStyle w:val="Hyperlink"/>
        </w:rPr>
        <w:fldChar w:fldCharType="end"/>
      </w:r>
    </w:p>
    <w:p w14:paraId="11BB6185" w14:textId="48B89798" w:rsidR="00144CDA" w:rsidRPr="00873BB6" w:rsidRDefault="00873BB6" w:rsidP="002158C1">
      <w:pPr>
        <w:pStyle w:val="ListParagraph"/>
        <w:spacing w:before="120" w:after="120" w:line="276" w:lineRule="auto"/>
        <w:rPr>
          <w:rFonts w:cs="Arial"/>
          <w:szCs w:val="24"/>
        </w:rPr>
      </w:pPr>
      <w:r>
        <w:br/>
      </w:r>
    </w:p>
    <w:p w14:paraId="5C98E370" w14:textId="77777777" w:rsidR="00144CDA" w:rsidRPr="003C18BC" w:rsidRDefault="00144CDA" w:rsidP="00144CDA">
      <w:pPr>
        <w:pStyle w:val="Heading2"/>
      </w:pPr>
      <w:bookmarkStart w:id="1411" w:name="_Toc498495446"/>
      <w:r w:rsidRPr="003C18BC">
        <w:t>Annex 9 Template Termination Notice</w:t>
      </w:r>
      <w:bookmarkEnd w:id="1411"/>
    </w:p>
    <w:bookmarkStart w:id="1412" w:name="_1568170755"/>
    <w:bookmarkEnd w:id="1412"/>
    <w:p w14:paraId="705A1B66" w14:textId="211F0797" w:rsidR="00144CDA" w:rsidRPr="002158C1" w:rsidRDefault="002306F3" w:rsidP="00144CDA">
      <w:pPr>
        <w:pStyle w:val="ListParagraph"/>
        <w:numPr>
          <w:ilvl w:val="0"/>
          <w:numId w:val="175"/>
        </w:numPr>
        <w:spacing w:before="120" w:after="120" w:line="276" w:lineRule="auto"/>
        <w:rPr>
          <w:rFonts w:cs="Arial"/>
          <w:b/>
          <w:szCs w:val="24"/>
        </w:rPr>
      </w:pPr>
      <w:r>
        <w:fldChar w:fldCharType="begin"/>
      </w:r>
      <w:r>
        <w:instrText xml:space="preserve"> HYPERLINK "https://www.england.nhs.uk/publication/primary-medical-care-policy-and-guidance-manual-consequences-of-termination-annexes/" </w:instrText>
      </w:r>
      <w:r>
        <w:fldChar w:fldCharType="separate"/>
      </w:r>
      <w:r w:rsidR="002158C1">
        <w:rPr>
          <w:rStyle w:val="Hyperlink"/>
        </w:rPr>
        <w:t>Template Termination Notice</w:t>
      </w:r>
      <w:r>
        <w:rPr>
          <w:rStyle w:val="Hyperlink"/>
        </w:rPr>
        <w:fldChar w:fldCharType="end"/>
      </w:r>
    </w:p>
    <w:p w14:paraId="3E72EF97" w14:textId="77777777" w:rsidR="002158C1" w:rsidRPr="002158C1" w:rsidRDefault="002158C1" w:rsidP="002158C1">
      <w:pPr>
        <w:spacing w:before="120" w:after="120" w:line="276" w:lineRule="auto"/>
        <w:rPr>
          <w:rFonts w:cs="Arial"/>
          <w:b/>
          <w:szCs w:val="24"/>
        </w:rPr>
      </w:pPr>
    </w:p>
    <w:p w14:paraId="4BD9FE7B" w14:textId="77777777" w:rsidR="00144CDA" w:rsidRPr="003C18BC" w:rsidRDefault="00144CDA" w:rsidP="00144CDA">
      <w:pPr>
        <w:pStyle w:val="Heading2"/>
      </w:pPr>
      <w:bookmarkStart w:id="1413" w:name="_Toc498495447"/>
      <w:r w:rsidRPr="003C18BC">
        <w:t>Annex 10 Termination Flowchart</w:t>
      </w:r>
      <w:bookmarkEnd w:id="1413"/>
    </w:p>
    <w:bookmarkStart w:id="1414" w:name="_1568170807"/>
    <w:bookmarkEnd w:id="1414"/>
    <w:p w14:paraId="05049A37" w14:textId="26E484F3" w:rsidR="00144CDA" w:rsidRPr="002158C1" w:rsidRDefault="002306F3" w:rsidP="002158C1">
      <w:pPr>
        <w:pStyle w:val="ListParagraph"/>
        <w:numPr>
          <w:ilvl w:val="0"/>
          <w:numId w:val="174"/>
        </w:numPr>
        <w:spacing w:before="120" w:after="120" w:line="276" w:lineRule="auto"/>
        <w:rPr>
          <w:rFonts w:cs="Arial"/>
          <w:b/>
          <w:szCs w:val="24"/>
        </w:rPr>
      </w:pPr>
      <w:r>
        <w:fldChar w:fldCharType="begin"/>
      </w:r>
      <w:r>
        <w:instrText xml:space="preserve"> HYPERLINK "https://www.england.nhs.uk/publication/primary-medical-care-policy-and-guidance-manual-consequences-of-termination-annexes/" </w:instrText>
      </w:r>
      <w:r>
        <w:fldChar w:fldCharType="separate"/>
      </w:r>
      <w:r w:rsidR="002158C1">
        <w:rPr>
          <w:rStyle w:val="Hyperlink"/>
        </w:rPr>
        <w:t>Termination Flowchart</w:t>
      </w:r>
      <w:r>
        <w:rPr>
          <w:rStyle w:val="Hyperlink"/>
        </w:rPr>
        <w:fldChar w:fldCharType="end"/>
      </w:r>
      <w:r w:rsidR="003C2AE6">
        <w:br/>
      </w:r>
    </w:p>
    <w:p w14:paraId="1C9CE82E" w14:textId="77777777" w:rsidR="00144CDA" w:rsidRPr="00044E85" w:rsidRDefault="00144CDA" w:rsidP="00044E85">
      <w:pPr>
        <w:pStyle w:val="Heading2"/>
      </w:pPr>
      <w:bookmarkStart w:id="1415" w:name="_Toc498495448"/>
      <w:r w:rsidRPr="00044E85">
        <w:t>Annex 11 Fitness to Practice Matters (Part A GMS Contracts)</w:t>
      </w:r>
      <w:bookmarkEnd w:id="1415"/>
    </w:p>
    <w:bookmarkStart w:id="1416" w:name="_1568171307"/>
    <w:bookmarkEnd w:id="1416"/>
    <w:p w14:paraId="4A83E907" w14:textId="62EEED92" w:rsidR="00144CDA" w:rsidRPr="002158C1" w:rsidRDefault="002306F3" w:rsidP="002158C1">
      <w:pPr>
        <w:pStyle w:val="ListParagraph"/>
        <w:numPr>
          <w:ilvl w:val="0"/>
          <w:numId w:val="173"/>
        </w:numPr>
        <w:spacing w:before="120" w:after="120" w:line="276" w:lineRule="auto"/>
        <w:rPr>
          <w:rFonts w:cs="Arial"/>
          <w:b/>
          <w:szCs w:val="24"/>
        </w:rPr>
      </w:pPr>
      <w:r>
        <w:fldChar w:fldCharType="begin"/>
      </w:r>
      <w:r>
        <w:instrText xml:space="preserve"> HYPERLINK "https://www.england.nhs.uk/publication/primary-medical-care-policy-and-guidance-manual-consequences-of-termination-annexes/" </w:instrText>
      </w:r>
      <w:r>
        <w:fldChar w:fldCharType="separate"/>
      </w:r>
      <w:r w:rsidR="002158C1">
        <w:rPr>
          <w:rStyle w:val="Hyperlink"/>
        </w:rPr>
        <w:t>Fitness to Practice Matters (Part A GMS Contracts)</w:t>
      </w:r>
      <w:r>
        <w:rPr>
          <w:rStyle w:val="Hyperlink"/>
        </w:rPr>
        <w:fldChar w:fldCharType="end"/>
      </w:r>
      <w:r w:rsidR="006744D1">
        <w:br/>
      </w:r>
    </w:p>
    <w:p w14:paraId="418F93D9" w14:textId="77777777" w:rsidR="00144CDA" w:rsidRDefault="00144CDA" w:rsidP="00144CDA">
      <w:pPr>
        <w:pStyle w:val="Heading2"/>
        <w:rPr>
          <w:sz w:val="24"/>
          <w:szCs w:val="24"/>
        </w:rPr>
      </w:pPr>
      <w:bookmarkStart w:id="1417" w:name="_Toc498495449"/>
      <w:r w:rsidRPr="003C18BC">
        <w:t xml:space="preserve">Annex 11 Fitness to Practice Matters </w:t>
      </w:r>
      <w:r w:rsidRPr="003C18BC">
        <w:rPr>
          <w:sz w:val="24"/>
          <w:szCs w:val="24"/>
        </w:rPr>
        <w:t>(Part B PMS Agreement)</w:t>
      </w:r>
      <w:bookmarkEnd w:id="1417"/>
    </w:p>
    <w:bookmarkStart w:id="1418" w:name="_1568171326"/>
    <w:bookmarkEnd w:id="1418"/>
    <w:p w14:paraId="05BD29F7" w14:textId="4D4DCC42" w:rsidR="002158C1" w:rsidRPr="006744D1" w:rsidRDefault="002306F3" w:rsidP="009B26D9">
      <w:pPr>
        <w:pStyle w:val="ListParagraph"/>
        <w:numPr>
          <w:ilvl w:val="0"/>
          <w:numId w:val="172"/>
        </w:numPr>
      </w:pPr>
      <w:r>
        <w:fldChar w:fldCharType="begin"/>
      </w:r>
      <w:r>
        <w:instrText xml:space="preserve"> HYPERLINK "https://www.england.nhs.uk/publication/primary-medical-care-policy-and-guidance-manual-consequences-of-termination-annexes/" </w:instrText>
      </w:r>
      <w:r>
        <w:fldChar w:fldCharType="separate"/>
      </w:r>
      <w:r w:rsidR="002158C1">
        <w:rPr>
          <w:rStyle w:val="Hyperlink"/>
        </w:rPr>
        <w:t>Fitness to Practice Matters (Part B PMS Agreement)</w:t>
      </w:r>
      <w:r>
        <w:rPr>
          <w:rStyle w:val="Hyperlink"/>
        </w:rPr>
        <w:fldChar w:fldCharType="end"/>
      </w:r>
    </w:p>
    <w:p w14:paraId="3C27D1A9" w14:textId="2567484B" w:rsidR="00144CDA" w:rsidRPr="005F5ABB" w:rsidRDefault="00144CDA" w:rsidP="00144CDA">
      <w:pPr>
        <w:spacing w:before="120" w:after="120" w:line="276" w:lineRule="auto"/>
        <w:rPr>
          <w:rFonts w:cs="Arial"/>
          <w:b/>
          <w:szCs w:val="24"/>
        </w:rPr>
      </w:pPr>
    </w:p>
    <w:p w14:paraId="5EA31476" w14:textId="77777777" w:rsidR="00144CDA" w:rsidRPr="003C18BC" w:rsidRDefault="00144CDA" w:rsidP="00144CDA">
      <w:pPr>
        <w:pStyle w:val="Heading2"/>
        <w:rPr>
          <w:sz w:val="24"/>
          <w:szCs w:val="24"/>
        </w:rPr>
      </w:pPr>
      <w:bookmarkStart w:id="1419" w:name="_Toc498495450"/>
      <w:r w:rsidRPr="003C18BC">
        <w:t xml:space="preserve">Annex 11 Fitness to Practice Matters </w:t>
      </w:r>
      <w:r w:rsidRPr="003C18BC">
        <w:rPr>
          <w:sz w:val="24"/>
          <w:szCs w:val="24"/>
        </w:rPr>
        <w:t>(Part C APMS Contracts)</w:t>
      </w:r>
      <w:bookmarkEnd w:id="1419"/>
    </w:p>
    <w:bookmarkStart w:id="1420" w:name="_1568171368"/>
    <w:bookmarkEnd w:id="1420"/>
    <w:p w14:paraId="3154EB6E" w14:textId="1F5185AA" w:rsidR="00144CDA" w:rsidRPr="006744D1" w:rsidRDefault="002306F3" w:rsidP="009B26D9">
      <w:pPr>
        <w:pStyle w:val="ListParagraph"/>
        <w:numPr>
          <w:ilvl w:val="0"/>
          <w:numId w:val="171"/>
        </w:numPr>
        <w:spacing w:before="120" w:after="120" w:line="276" w:lineRule="auto"/>
        <w:rPr>
          <w:rFonts w:cs="Arial"/>
          <w:b/>
          <w:szCs w:val="24"/>
        </w:rPr>
      </w:pPr>
      <w:r>
        <w:fldChar w:fldCharType="begin"/>
      </w:r>
      <w:r>
        <w:instrText xml:space="preserve"> HYPERLINK "https://www.england.nhs.uk/publication/primary-medical-care-policy-and-guidance-manual-consequences-of-termination-annexes/" </w:instrText>
      </w:r>
      <w:r>
        <w:fldChar w:fldCharType="separate"/>
      </w:r>
      <w:r w:rsidR="002158C1">
        <w:rPr>
          <w:rStyle w:val="Hyperlink"/>
        </w:rPr>
        <w:t>Fitness to Practice Matters (Part C APMS Contracts)</w:t>
      </w:r>
      <w:r>
        <w:rPr>
          <w:rStyle w:val="Hyperlink"/>
        </w:rPr>
        <w:fldChar w:fldCharType="end"/>
      </w:r>
      <w:r w:rsidR="006744D1">
        <w:rPr>
          <w:szCs w:val="24"/>
        </w:rPr>
        <w:br/>
      </w:r>
    </w:p>
    <w:p w14:paraId="21D89868" w14:textId="77777777" w:rsidR="00144CDA" w:rsidRPr="003C18BC" w:rsidRDefault="00144CDA" w:rsidP="00144CDA">
      <w:pPr>
        <w:pStyle w:val="Heading2"/>
      </w:pPr>
      <w:bookmarkStart w:id="1421" w:name="_Toc498495451"/>
      <w:r w:rsidRPr="003C18BC">
        <w:t>Annex 12 Termination due to breach of Regulation 4</w:t>
      </w:r>
      <w:bookmarkEnd w:id="1421"/>
    </w:p>
    <w:bookmarkStart w:id="1422" w:name="_1568171406"/>
    <w:bookmarkEnd w:id="1422"/>
    <w:p w14:paraId="0D5B7F2A" w14:textId="196F1678" w:rsidR="00144CDA" w:rsidRPr="006744D1" w:rsidRDefault="002306F3" w:rsidP="009B26D9">
      <w:pPr>
        <w:pStyle w:val="ListParagraph"/>
        <w:numPr>
          <w:ilvl w:val="0"/>
          <w:numId w:val="170"/>
        </w:numPr>
        <w:spacing w:before="120" w:after="120" w:line="276" w:lineRule="auto"/>
        <w:rPr>
          <w:rFonts w:cs="Arial"/>
          <w:b/>
          <w:szCs w:val="24"/>
        </w:rPr>
      </w:pPr>
      <w:r>
        <w:fldChar w:fldCharType="begin"/>
      </w:r>
      <w:r>
        <w:instrText xml:space="preserve"> HYPERLINK "https://www.england.nhs.uk/publication/primary-medical-care-policy-and-guidance-manual-consequences-of-termination-annexes/" </w:instrText>
      </w:r>
      <w:r>
        <w:fldChar w:fldCharType="separate"/>
      </w:r>
      <w:r w:rsidR="002158C1">
        <w:rPr>
          <w:rStyle w:val="Hyperlink"/>
        </w:rPr>
        <w:t>Termination</w:t>
      </w:r>
      <w:r w:rsidR="00B54A0C">
        <w:rPr>
          <w:rStyle w:val="Hyperlink"/>
        </w:rPr>
        <w:t xml:space="preserve"> dues to breach of Regulation 4</w:t>
      </w:r>
      <w:r>
        <w:rPr>
          <w:rStyle w:val="Hyperlink"/>
        </w:rPr>
        <w:fldChar w:fldCharType="end"/>
      </w:r>
      <w:r w:rsidR="006744D1">
        <w:br/>
      </w:r>
    </w:p>
    <w:p w14:paraId="0A2A1646" w14:textId="77777777" w:rsidR="00144CDA" w:rsidRPr="003C18BC" w:rsidRDefault="00144CDA" w:rsidP="00144CDA">
      <w:pPr>
        <w:pStyle w:val="Heading2"/>
      </w:pPr>
      <w:bookmarkStart w:id="1423" w:name="_Toc498495452"/>
      <w:r w:rsidRPr="003C18BC">
        <w:t>Annex 13 Template Notice Return</w:t>
      </w:r>
      <w:bookmarkEnd w:id="1423"/>
    </w:p>
    <w:bookmarkStart w:id="1424" w:name="_1568171438"/>
    <w:bookmarkEnd w:id="1424"/>
    <w:p w14:paraId="4077EC2D" w14:textId="7C72D6DB" w:rsidR="00B54A0C" w:rsidRPr="00AB70BB" w:rsidRDefault="002306F3" w:rsidP="002306F3">
      <w:pPr>
        <w:pStyle w:val="ListParagraph"/>
        <w:numPr>
          <w:ilvl w:val="0"/>
          <w:numId w:val="169"/>
        </w:numPr>
        <w:spacing w:before="120" w:after="120" w:line="276" w:lineRule="auto"/>
        <w:rPr>
          <w:rFonts w:cs="Arial"/>
          <w:szCs w:val="24"/>
        </w:rPr>
      </w:pPr>
      <w:r>
        <w:fldChar w:fldCharType="begin"/>
      </w:r>
      <w:r>
        <w:instrText xml:space="preserve"> HYPERLINK "https://www.england.nhs.uk/publication/primary-medical-care-policy-and-guidance-manual-consequences-of-termination-annexes/" </w:instrText>
      </w:r>
      <w:r>
        <w:fldChar w:fldCharType="separate"/>
      </w:r>
      <w:r w:rsidR="00B54A0C">
        <w:rPr>
          <w:rStyle w:val="Hyperlink"/>
        </w:rPr>
        <w:t>Template Notice Return</w:t>
      </w:r>
      <w:r>
        <w:rPr>
          <w:rStyle w:val="Hyperlink"/>
        </w:rPr>
        <w:fldChar w:fldCharType="end"/>
      </w:r>
    </w:p>
    <w:p w14:paraId="5AFF8C36" w14:textId="77777777" w:rsidR="00144CDA" w:rsidRPr="003C18BC" w:rsidRDefault="00144CDA" w:rsidP="00144CDA">
      <w:pPr>
        <w:spacing w:before="120" w:after="120" w:line="276" w:lineRule="auto"/>
        <w:rPr>
          <w:rFonts w:cs="Arial"/>
          <w:szCs w:val="24"/>
        </w:rPr>
      </w:pPr>
    </w:p>
    <w:p w14:paraId="2D02855F" w14:textId="77777777" w:rsidR="00144CDA" w:rsidRDefault="00144CDA" w:rsidP="0015247B">
      <w:pPr>
        <w:rPr>
          <w:lang w:eastAsia="en-GB"/>
        </w:rPr>
      </w:pPr>
    </w:p>
    <w:p w14:paraId="57E8DB8C" w14:textId="60980D6D" w:rsidR="00B5759F" w:rsidRPr="00B5759F" w:rsidRDefault="00850B0E" w:rsidP="00B5759F">
      <w:pPr>
        <w:pStyle w:val="Heading1"/>
        <w:jc w:val="both"/>
        <w:rPr>
          <w:sz w:val="36"/>
          <w:szCs w:val="36"/>
        </w:rPr>
      </w:pPr>
      <w:r>
        <w:rPr>
          <w:lang w:eastAsia="en-GB"/>
        </w:rPr>
        <w:br w:type="page"/>
      </w:r>
      <w:bookmarkStart w:id="1425" w:name="_Toc498495453"/>
      <w:r w:rsidR="00B5759F">
        <w:rPr>
          <w:lang w:eastAsia="en-GB"/>
        </w:rPr>
        <w:t xml:space="preserve">Unplanned / </w:t>
      </w:r>
      <w:r w:rsidR="00B5759F">
        <w:rPr>
          <w:sz w:val="36"/>
          <w:szCs w:val="36"/>
        </w:rPr>
        <w:t>Un</w:t>
      </w:r>
      <w:r w:rsidR="00B5759F" w:rsidRPr="00B5759F">
        <w:rPr>
          <w:sz w:val="36"/>
          <w:szCs w:val="36"/>
        </w:rPr>
        <w:t>scheduled and Unavoidable Practice Closedown</w:t>
      </w:r>
      <w:bookmarkEnd w:id="1425"/>
    </w:p>
    <w:p w14:paraId="635D1A3D" w14:textId="77777777" w:rsidR="00DD7D4A" w:rsidRDefault="00DD7D4A" w:rsidP="00DD7D4A">
      <w:pPr>
        <w:pStyle w:val="ListParagraph"/>
        <w:spacing w:after="60" w:line="276" w:lineRule="auto"/>
        <w:jc w:val="both"/>
        <w:rPr>
          <w:rFonts w:cs="Arial"/>
          <w:b/>
          <w:color w:val="0072CE" w:themeColor="accent2"/>
          <w:szCs w:val="24"/>
        </w:rPr>
      </w:pPr>
    </w:p>
    <w:p w14:paraId="102B3CC6" w14:textId="17DB7836" w:rsidR="00DD7D4A" w:rsidRPr="00DD7D4A" w:rsidRDefault="00DD7D4A" w:rsidP="00DD7D4A">
      <w:pPr>
        <w:pStyle w:val="Heading2"/>
      </w:pPr>
      <w:bookmarkStart w:id="1426" w:name="_Toc498495454"/>
      <w:r w:rsidRPr="00DD7D4A">
        <w:t>Introduction</w:t>
      </w:r>
      <w:bookmarkEnd w:id="1426"/>
    </w:p>
    <w:p w14:paraId="2385D5B7" w14:textId="574C60BB" w:rsidR="00DD7D4A" w:rsidRPr="00CC6D16" w:rsidRDefault="00DD7D4A" w:rsidP="00DD7D4A">
      <w:pPr>
        <w:pStyle w:val="Heading3"/>
      </w:pPr>
      <w:r w:rsidRPr="00CC6D16">
        <w:t>When a GP Practice closes at short notice, it is important that commissioners respond and act in a timely way.  Such closures may be as result of actions by the CQC, for example voluntary closure in response to an adverse inspection or cancellation of the practice’s registration, or due to the sudden inability of a provider to continue providing a service for some other reason</w:t>
      </w:r>
      <w:r>
        <w:t xml:space="preserve"> such as bankruptcy</w:t>
      </w:r>
      <w:r w:rsidRPr="00CC6D16">
        <w:t>.</w:t>
      </w:r>
    </w:p>
    <w:p w14:paraId="0E855CB5" w14:textId="07088B46" w:rsidR="00DD7D4A" w:rsidRPr="00DD7D4A" w:rsidRDefault="00DD7D4A" w:rsidP="00DD7D4A">
      <w:pPr>
        <w:pStyle w:val="Heading3"/>
        <w:rPr>
          <w:color w:val="000000" w:themeColor="text1"/>
        </w:rPr>
      </w:pPr>
      <w:r w:rsidRPr="00A2304C">
        <w:t xml:space="preserve">Furthermore, it is critical that the management and transfer of patient records (both </w:t>
      </w:r>
      <w:r w:rsidRPr="00DD7D4A">
        <w:rPr>
          <w:color w:val="000000" w:themeColor="text1"/>
        </w:rPr>
        <w:t>paper and digital) are undertaken in a secure and robust manner..  It is important that adherence</w:t>
      </w:r>
      <w:r w:rsidRPr="00A2304C">
        <w:t xml:space="preserve"> </w:t>
      </w:r>
      <w:r w:rsidRPr="00DD7D4A">
        <w:rPr>
          <w:color w:val="000000" w:themeColor="text1"/>
        </w:rPr>
        <w:t>to all</w:t>
      </w:r>
      <w:r w:rsidRPr="00A2304C">
        <w:t xml:space="preserve"> applicable </w:t>
      </w:r>
      <w:r w:rsidRPr="00DD7D4A">
        <w:rPr>
          <w:color w:val="000000" w:themeColor="text1"/>
        </w:rPr>
        <w:t>information governance, records management and both EU general data protection regulations and data protection principals are maintained throughout this process.</w:t>
      </w:r>
    </w:p>
    <w:p w14:paraId="2D425110" w14:textId="77777777" w:rsidR="00DD7D4A" w:rsidRPr="00A2304C" w:rsidRDefault="00DD7D4A" w:rsidP="00DD7D4A">
      <w:pPr>
        <w:pStyle w:val="Heading3"/>
        <w:rPr>
          <w:color w:val="000000" w:themeColor="text1"/>
        </w:rPr>
      </w:pPr>
      <w:r>
        <w:rPr>
          <w:color w:val="000000" w:themeColor="text1"/>
        </w:rPr>
        <w:t xml:space="preserve">On 01 September 2015, </w:t>
      </w:r>
      <w:r w:rsidRPr="00A2304C">
        <w:rPr>
          <w:color w:val="000000" w:themeColor="text1"/>
        </w:rPr>
        <w:t>Capita took on responsibility for the delivery of</w:t>
      </w:r>
      <w:r>
        <w:rPr>
          <w:color w:val="000000" w:themeColor="text1"/>
        </w:rPr>
        <w:t xml:space="preserve"> NHS England’s </w:t>
      </w:r>
      <w:r w:rsidRPr="00A2304C">
        <w:rPr>
          <w:color w:val="000000" w:themeColor="text1"/>
        </w:rPr>
        <w:t>Primary Care Support (PCS).</w:t>
      </w:r>
      <w:r>
        <w:rPr>
          <w:color w:val="000000" w:themeColor="text1"/>
        </w:rPr>
        <w:t xml:space="preserve">  </w:t>
      </w:r>
      <w:r w:rsidRPr="00A2304C">
        <w:rPr>
          <w:color w:val="000000" w:themeColor="text1"/>
        </w:rPr>
        <w:t>The new name for the service is Primary Care Support England</w:t>
      </w:r>
      <w:r>
        <w:rPr>
          <w:color w:val="000000" w:themeColor="text1"/>
        </w:rPr>
        <w:t xml:space="preserve"> (PCSE).   This is the operating name for Capita whilst delivering this service, but this Policy and Guidance recognises that if PCS Services (PCSS) were to be re-procured then this chapter is still valid using the acronym PCSS interchangeably with PCSE.</w:t>
      </w:r>
    </w:p>
    <w:p w14:paraId="642CAD53" w14:textId="77777777" w:rsidR="00DD7D4A" w:rsidRPr="00CC6D16" w:rsidRDefault="00DD7D4A" w:rsidP="00DD7D4A">
      <w:pPr>
        <w:spacing w:before="120" w:after="120" w:line="276" w:lineRule="auto"/>
        <w:jc w:val="both"/>
        <w:rPr>
          <w:rFonts w:cs="Arial"/>
          <w:szCs w:val="24"/>
        </w:rPr>
      </w:pPr>
    </w:p>
    <w:p w14:paraId="6C722002" w14:textId="56A71F21" w:rsidR="00DD7D4A" w:rsidRPr="00DD7D4A" w:rsidRDefault="00DD7D4A" w:rsidP="00DD7D4A">
      <w:pPr>
        <w:pStyle w:val="Heading2"/>
      </w:pPr>
      <w:bookmarkStart w:id="1427" w:name="_Toc498495455"/>
      <w:r w:rsidRPr="00DD7D4A">
        <w:t>Scope</w:t>
      </w:r>
      <w:bookmarkEnd w:id="1427"/>
    </w:p>
    <w:p w14:paraId="7142E4AF" w14:textId="77777777" w:rsidR="00DD7D4A" w:rsidRPr="00CC6D16" w:rsidRDefault="00DD7D4A" w:rsidP="00DD7D4A">
      <w:pPr>
        <w:pStyle w:val="Heading3"/>
      </w:pPr>
      <w:r w:rsidRPr="00CC6D16">
        <w:t>This guidance clarifies the role of the commissioner and the engagement required with patients and any partner organisations (e.g. NHS</w:t>
      </w:r>
      <w:r>
        <w:t xml:space="preserve"> </w:t>
      </w:r>
      <w:r w:rsidRPr="00CC6D16">
        <w:t>E</w:t>
      </w:r>
      <w:r>
        <w:t>ngland</w:t>
      </w:r>
      <w:r w:rsidRPr="00CC6D16">
        <w:t xml:space="preserve"> or CQC).  This chapter is intended as guidance with which commissioners can work, with four fundamental principles at the core</w:t>
      </w:r>
      <w:r>
        <w:t>:</w:t>
      </w:r>
    </w:p>
    <w:p w14:paraId="2E4C066F" w14:textId="77777777" w:rsidR="00DD7D4A" w:rsidRPr="00CC6D16" w:rsidRDefault="00DD7D4A" w:rsidP="005A7DDA">
      <w:pPr>
        <w:numPr>
          <w:ilvl w:val="0"/>
          <w:numId w:val="127"/>
        </w:numPr>
        <w:spacing w:before="120" w:after="120" w:line="360" w:lineRule="auto"/>
        <w:contextualSpacing/>
        <w:jc w:val="both"/>
        <w:rPr>
          <w:rFonts w:cs="Arial"/>
          <w:szCs w:val="24"/>
        </w:rPr>
      </w:pPr>
      <w:r w:rsidRPr="00CC6D16">
        <w:rPr>
          <w:rFonts w:cs="Arial"/>
          <w:szCs w:val="24"/>
        </w:rPr>
        <w:t>The needs of the registered patients must be at the heart of all decision and actions</w:t>
      </w:r>
      <w:r>
        <w:rPr>
          <w:rFonts w:cs="Arial"/>
          <w:szCs w:val="24"/>
        </w:rPr>
        <w:t>;</w:t>
      </w:r>
    </w:p>
    <w:p w14:paraId="359FA9B7" w14:textId="77777777" w:rsidR="00DD7D4A" w:rsidRDefault="00DD7D4A" w:rsidP="005A7DDA">
      <w:pPr>
        <w:numPr>
          <w:ilvl w:val="0"/>
          <w:numId w:val="127"/>
        </w:numPr>
        <w:spacing w:before="120" w:after="120" w:line="360" w:lineRule="auto"/>
        <w:contextualSpacing/>
        <w:rPr>
          <w:rFonts w:cs="Arial"/>
          <w:szCs w:val="24"/>
        </w:rPr>
      </w:pPr>
      <w:r w:rsidRPr="007670C8">
        <w:rPr>
          <w:rFonts w:cs="Arial"/>
          <w:szCs w:val="24"/>
        </w:rPr>
        <w:t xml:space="preserve">In </w:t>
      </w:r>
      <w:r>
        <w:rPr>
          <w:rFonts w:cs="Arial"/>
          <w:szCs w:val="24"/>
        </w:rPr>
        <w:t>many</w:t>
      </w:r>
      <w:r w:rsidRPr="007670C8">
        <w:rPr>
          <w:rFonts w:cs="Arial"/>
          <w:szCs w:val="24"/>
        </w:rPr>
        <w:t xml:space="preserve"> cases taking preventive action in conjunction with support </w:t>
      </w:r>
      <w:r>
        <w:rPr>
          <w:rFonts w:cs="Arial"/>
          <w:szCs w:val="24"/>
        </w:rPr>
        <w:t>could be a preferable option to closing a practice.</w:t>
      </w:r>
    </w:p>
    <w:p w14:paraId="493E9FB5" w14:textId="77777777" w:rsidR="00DD7D4A" w:rsidRPr="007670C8" w:rsidRDefault="00DD7D4A" w:rsidP="005A7DDA">
      <w:pPr>
        <w:numPr>
          <w:ilvl w:val="0"/>
          <w:numId w:val="127"/>
        </w:numPr>
        <w:spacing w:before="120" w:after="120" w:line="360" w:lineRule="auto"/>
        <w:contextualSpacing/>
        <w:rPr>
          <w:rFonts w:cs="Arial"/>
          <w:szCs w:val="24"/>
        </w:rPr>
      </w:pPr>
      <w:r>
        <w:rPr>
          <w:rFonts w:cs="Arial"/>
          <w:szCs w:val="24"/>
        </w:rPr>
        <w:t>In the circumstances where this chapter applies (e.g. a closure is unavoidable or in the best interests of patients), a</w:t>
      </w:r>
      <w:r w:rsidRPr="004D346E">
        <w:rPr>
          <w:rFonts w:cs="Arial"/>
          <w:szCs w:val="24"/>
        </w:rPr>
        <w:t>ll partners</w:t>
      </w:r>
      <w:r>
        <w:rPr>
          <w:rFonts w:cs="Arial"/>
          <w:szCs w:val="24"/>
        </w:rPr>
        <w:t xml:space="preserve"> and stakeholders</w:t>
      </w:r>
      <w:r w:rsidRPr="004D346E">
        <w:rPr>
          <w:rFonts w:cs="Arial"/>
          <w:szCs w:val="24"/>
        </w:rPr>
        <w:t xml:space="preserve"> should know what to do, when and how, and to work effectively together to minimise any disruption to patients and services</w:t>
      </w:r>
      <w:r>
        <w:rPr>
          <w:rFonts w:cs="Arial"/>
          <w:szCs w:val="24"/>
        </w:rPr>
        <w:t>.</w:t>
      </w:r>
    </w:p>
    <w:p w14:paraId="0281AE83" w14:textId="77777777" w:rsidR="00DD7D4A" w:rsidRPr="00CC6D16" w:rsidRDefault="00DD7D4A" w:rsidP="005A7DDA">
      <w:pPr>
        <w:numPr>
          <w:ilvl w:val="0"/>
          <w:numId w:val="127"/>
        </w:numPr>
        <w:spacing w:before="120" w:after="120" w:line="360" w:lineRule="auto"/>
        <w:contextualSpacing/>
        <w:jc w:val="both"/>
        <w:rPr>
          <w:rFonts w:cs="Arial"/>
          <w:szCs w:val="24"/>
        </w:rPr>
      </w:pPr>
      <w:r w:rsidRPr="00CC6D16">
        <w:rPr>
          <w:rFonts w:cs="Arial"/>
          <w:szCs w:val="24"/>
        </w:rPr>
        <w:t>Communication must be maintained throughout with patients and their families and carers and with other partners (e.g. PPGs / LMCs</w:t>
      </w:r>
      <w:r>
        <w:rPr>
          <w:rFonts w:cs="Arial"/>
          <w:szCs w:val="24"/>
        </w:rPr>
        <w:t xml:space="preserve"> / Healthwatch</w:t>
      </w:r>
      <w:r w:rsidRPr="00CC6D16">
        <w:rPr>
          <w:rFonts w:cs="Arial"/>
          <w:szCs w:val="24"/>
        </w:rPr>
        <w:t>).</w:t>
      </w:r>
    </w:p>
    <w:p w14:paraId="6349DB73" w14:textId="77777777" w:rsidR="00DD7D4A" w:rsidRPr="00CC6D16" w:rsidRDefault="00DD7D4A" w:rsidP="003331F2">
      <w:pPr>
        <w:pStyle w:val="BodyText"/>
      </w:pPr>
    </w:p>
    <w:p w14:paraId="2374BDB8" w14:textId="77777777" w:rsidR="00DD7D4A" w:rsidRPr="00CC6D16" w:rsidRDefault="00DD7D4A" w:rsidP="00DD7D4A">
      <w:pPr>
        <w:pStyle w:val="Heading2"/>
      </w:pPr>
      <w:bookmarkStart w:id="1428" w:name="_Toc498495456"/>
      <w:r w:rsidRPr="00CC6D16">
        <w:t>Roles and Responsibilities</w:t>
      </w:r>
      <w:bookmarkEnd w:id="1428"/>
    </w:p>
    <w:p w14:paraId="509F07BF" w14:textId="77777777" w:rsidR="00DD7D4A" w:rsidRPr="00CC6D16" w:rsidRDefault="00DD7D4A" w:rsidP="00DD7D4A">
      <w:pPr>
        <w:pStyle w:val="ListParagraph"/>
        <w:spacing w:before="120" w:after="120" w:line="276" w:lineRule="auto"/>
        <w:jc w:val="both"/>
        <w:rPr>
          <w:rFonts w:cs="Arial"/>
          <w:b/>
          <w:color w:val="0072CE" w:themeColor="accent2"/>
          <w:szCs w:val="24"/>
        </w:rPr>
      </w:pPr>
    </w:p>
    <w:p w14:paraId="7FF9044C" w14:textId="77777777" w:rsidR="00DD7D4A" w:rsidRPr="00DD7D4A" w:rsidRDefault="00DD7D4A" w:rsidP="00DD7D4A">
      <w:pPr>
        <w:pStyle w:val="Heading3"/>
        <w:rPr>
          <w:b/>
        </w:rPr>
      </w:pPr>
      <w:r w:rsidRPr="00DD7D4A">
        <w:rPr>
          <w:b/>
        </w:rPr>
        <w:t>Commissioners</w:t>
      </w:r>
    </w:p>
    <w:p w14:paraId="0F26D69E" w14:textId="77777777" w:rsidR="00DD7D4A" w:rsidRPr="00CC6D16" w:rsidRDefault="00DD7D4A" w:rsidP="00DD7D4A">
      <w:pPr>
        <w:pStyle w:val="ListParagraph"/>
        <w:spacing w:before="120" w:after="120" w:line="276" w:lineRule="auto"/>
        <w:jc w:val="both"/>
        <w:rPr>
          <w:rFonts w:cs="Arial"/>
          <w:b/>
          <w:color w:val="000000" w:themeColor="text1"/>
          <w:szCs w:val="24"/>
        </w:rPr>
      </w:pPr>
    </w:p>
    <w:p w14:paraId="60041A60" w14:textId="77777777" w:rsidR="00DD7D4A" w:rsidRPr="00CC6D16" w:rsidRDefault="00DD7D4A" w:rsidP="00DD7D4A">
      <w:pPr>
        <w:pStyle w:val="Heading4"/>
      </w:pPr>
      <w:r w:rsidRPr="00CC6D16">
        <w:t xml:space="preserve">The </w:t>
      </w:r>
      <w:r>
        <w:t>C</w:t>
      </w:r>
      <w:r w:rsidRPr="00CC6D16">
        <w:t>ommissioner will take the lead in the following actions</w:t>
      </w:r>
      <w:r>
        <w:t>:</w:t>
      </w:r>
    </w:p>
    <w:p w14:paraId="1874D0CF" w14:textId="77777777" w:rsidR="00DD7D4A" w:rsidRPr="00CC6D16" w:rsidRDefault="00DD7D4A" w:rsidP="00DD7D4A">
      <w:pPr>
        <w:pStyle w:val="ListParagraph"/>
        <w:spacing w:before="120" w:after="120" w:line="360" w:lineRule="auto"/>
        <w:ind w:left="1134"/>
        <w:jc w:val="both"/>
        <w:rPr>
          <w:rFonts w:cs="Arial"/>
          <w:szCs w:val="24"/>
        </w:rPr>
      </w:pPr>
    </w:p>
    <w:p w14:paraId="547B594F" w14:textId="77777777" w:rsidR="00DD7D4A" w:rsidRPr="00DD7D4A" w:rsidRDefault="00DD7D4A" w:rsidP="005A7DDA">
      <w:pPr>
        <w:pStyle w:val="ListParagraph"/>
        <w:numPr>
          <w:ilvl w:val="0"/>
          <w:numId w:val="137"/>
        </w:numPr>
        <w:spacing w:before="120" w:after="120" w:line="360" w:lineRule="auto"/>
        <w:jc w:val="both"/>
        <w:rPr>
          <w:rFonts w:cs="Arial"/>
          <w:color w:val="000000" w:themeColor="text1"/>
          <w:szCs w:val="24"/>
        </w:rPr>
      </w:pPr>
      <w:r w:rsidRPr="00DD7D4A">
        <w:rPr>
          <w:rFonts w:cs="Arial"/>
          <w:color w:val="000000" w:themeColor="text1"/>
          <w:szCs w:val="24"/>
        </w:rPr>
        <w:t>Ensure appropriate interim measures are put in place (e.g. a caretaker GP) to keep people safe after the identification of concerns or issues or at the very latest, the point it is informed of the closure.</w:t>
      </w:r>
    </w:p>
    <w:p w14:paraId="1B1E09D0" w14:textId="77777777" w:rsidR="00DD7D4A" w:rsidRPr="00DD7D4A" w:rsidRDefault="00DD7D4A" w:rsidP="005A7DDA">
      <w:pPr>
        <w:pStyle w:val="ListParagraph"/>
        <w:numPr>
          <w:ilvl w:val="0"/>
          <w:numId w:val="137"/>
        </w:numPr>
        <w:spacing w:before="120" w:after="120" w:line="360" w:lineRule="auto"/>
        <w:jc w:val="both"/>
        <w:rPr>
          <w:rFonts w:cs="Arial"/>
          <w:color w:val="000000" w:themeColor="text1"/>
          <w:szCs w:val="24"/>
        </w:rPr>
      </w:pPr>
      <w:r w:rsidRPr="00DD7D4A">
        <w:rPr>
          <w:rFonts w:cs="Arial"/>
          <w:color w:val="000000" w:themeColor="text1"/>
          <w:szCs w:val="24"/>
        </w:rPr>
        <w:t>Establish a team with specialist skills to oversee the closure, including contracting and communications staff, and lead on arranging meetings / consultations with any partners.</w:t>
      </w:r>
    </w:p>
    <w:p w14:paraId="6A6B296E" w14:textId="77777777" w:rsidR="00DD7D4A" w:rsidRPr="00DD7D4A" w:rsidRDefault="00DD7D4A" w:rsidP="005A7DDA">
      <w:pPr>
        <w:pStyle w:val="ListParagraph"/>
        <w:numPr>
          <w:ilvl w:val="0"/>
          <w:numId w:val="137"/>
        </w:numPr>
        <w:spacing w:before="120" w:after="120" w:line="360" w:lineRule="auto"/>
        <w:jc w:val="both"/>
        <w:rPr>
          <w:rFonts w:cs="Arial"/>
          <w:color w:val="000000" w:themeColor="text1"/>
          <w:szCs w:val="24"/>
        </w:rPr>
      </w:pPr>
      <w:r w:rsidRPr="00DD7D4A">
        <w:rPr>
          <w:rFonts w:cs="Arial"/>
          <w:color w:val="000000" w:themeColor="text1"/>
          <w:szCs w:val="24"/>
        </w:rPr>
        <w:t xml:space="preserve">Establish a task and finish group to oversee the process. </w:t>
      </w:r>
    </w:p>
    <w:p w14:paraId="2C215BFF" w14:textId="77777777" w:rsidR="00DD7D4A" w:rsidRPr="00DD7D4A" w:rsidRDefault="00DD7D4A" w:rsidP="005A7DDA">
      <w:pPr>
        <w:pStyle w:val="ListParagraph"/>
        <w:numPr>
          <w:ilvl w:val="0"/>
          <w:numId w:val="137"/>
        </w:numPr>
        <w:spacing w:before="120" w:after="120" w:line="360" w:lineRule="auto"/>
        <w:jc w:val="both"/>
        <w:rPr>
          <w:rFonts w:cs="Arial"/>
          <w:color w:val="000000" w:themeColor="text1"/>
          <w:szCs w:val="24"/>
        </w:rPr>
      </w:pPr>
      <w:r w:rsidRPr="00DD7D4A">
        <w:rPr>
          <w:rFonts w:cs="Arial"/>
          <w:color w:val="000000" w:themeColor="text1"/>
          <w:szCs w:val="24"/>
        </w:rPr>
        <w:t>Co-ordinate assessments of the practices' registered list to ascertain patient needs and preferences.  This should be completed by individuals with the relevant skills and governance to access patient records (where this is required) or by those brought in for their specialist skills (risk stratified e.g. vulnerable patients, children in care, end of life patients, etc.</w:t>
      </w:r>
    </w:p>
    <w:p w14:paraId="16D302DB" w14:textId="77777777" w:rsidR="00DD7D4A" w:rsidRPr="00DD7D4A" w:rsidRDefault="00DD7D4A" w:rsidP="005A7DDA">
      <w:pPr>
        <w:pStyle w:val="ListParagraph"/>
        <w:numPr>
          <w:ilvl w:val="0"/>
          <w:numId w:val="137"/>
        </w:numPr>
        <w:spacing w:before="120" w:after="120" w:line="360" w:lineRule="auto"/>
        <w:jc w:val="both"/>
        <w:rPr>
          <w:rFonts w:cs="Arial"/>
          <w:color w:val="000000" w:themeColor="text1"/>
          <w:szCs w:val="24"/>
        </w:rPr>
      </w:pPr>
      <w:r w:rsidRPr="00DD7D4A">
        <w:rPr>
          <w:rFonts w:cs="Arial"/>
          <w:color w:val="000000" w:themeColor="text1"/>
          <w:szCs w:val="24"/>
        </w:rPr>
        <w:t xml:space="preserve">Communicate to patients the details of alternative GP Practices which could provide essential and additional services, including any details on the current quality of the service (i.e. links to MyNHS, NHS Choices Practice Website). [Note: Where commissioning responsibility remains with NHS England, this function is carried out by Primary Care Support England (PCSE).  Additionally PCSE will also undertake this function in some case for CCG at their request and with their agreement] </w:t>
      </w:r>
    </w:p>
    <w:p w14:paraId="38214E65" w14:textId="77777777" w:rsidR="00DD7D4A" w:rsidRPr="00DD7D4A" w:rsidRDefault="00DD7D4A" w:rsidP="005A7DDA">
      <w:pPr>
        <w:pStyle w:val="ListParagraph"/>
        <w:numPr>
          <w:ilvl w:val="0"/>
          <w:numId w:val="137"/>
        </w:numPr>
        <w:spacing w:before="120" w:after="120" w:line="360" w:lineRule="auto"/>
        <w:jc w:val="both"/>
        <w:rPr>
          <w:rFonts w:cs="Arial"/>
          <w:color w:val="000000" w:themeColor="text1"/>
          <w:szCs w:val="24"/>
        </w:rPr>
      </w:pPr>
      <w:r w:rsidRPr="00DD7D4A">
        <w:rPr>
          <w:rFonts w:cs="Arial"/>
          <w:color w:val="000000" w:themeColor="text1"/>
          <w:szCs w:val="24"/>
        </w:rPr>
        <w:t xml:space="preserve">Maintain ongoing consultative relations with patients, their families, other local GP practices and any other system partners to ensure they are kept informed at each step of the process. </w:t>
      </w:r>
    </w:p>
    <w:p w14:paraId="70C9536D" w14:textId="77777777" w:rsidR="00DD7D4A" w:rsidRPr="00DD7D4A" w:rsidRDefault="00DD7D4A" w:rsidP="005A7DDA">
      <w:pPr>
        <w:pStyle w:val="ListParagraph"/>
        <w:numPr>
          <w:ilvl w:val="0"/>
          <w:numId w:val="137"/>
        </w:numPr>
        <w:spacing w:before="120" w:after="120" w:line="360" w:lineRule="auto"/>
        <w:jc w:val="both"/>
        <w:rPr>
          <w:rFonts w:cs="Arial"/>
          <w:color w:val="000000" w:themeColor="text1"/>
          <w:szCs w:val="24"/>
        </w:rPr>
      </w:pPr>
      <w:r w:rsidRPr="00DD7D4A">
        <w:rPr>
          <w:rFonts w:cs="Arial"/>
          <w:color w:val="000000" w:themeColor="text1"/>
          <w:szCs w:val="24"/>
        </w:rPr>
        <w:t>Commission new services and arrange people to move and resettlement, including a review of the placement after a reasonable timeframe.</w:t>
      </w:r>
    </w:p>
    <w:p w14:paraId="76927B86" w14:textId="77777777" w:rsidR="00DD7D4A" w:rsidRPr="00DD7D4A" w:rsidRDefault="00DD7D4A" w:rsidP="005A7DDA">
      <w:pPr>
        <w:pStyle w:val="ListParagraph"/>
        <w:numPr>
          <w:ilvl w:val="0"/>
          <w:numId w:val="137"/>
        </w:numPr>
        <w:spacing w:before="120" w:after="120" w:line="360" w:lineRule="auto"/>
        <w:jc w:val="both"/>
        <w:rPr>
          <w:rFonts w:cs="Arial"/>
          <w:color w:val="000000" w:themeColor="text1"/>
          <w:szCs w:val="24"/>
        </w:rPr>
      </w:pPr>
      <w:r w:rsidRPr="00DD7D4A">
        <w:rPr>
          <w:rFonts w:cs="Arial"/>
          <w:color w:val="000000" w:themeColor="text1"/>
          <w:szCs w:val="24"/>
        </w:rPr>
        <w:t>Identify a lead to coordinate communications.</w:t>
      </w:r>
    </w:p>
    <w:p w14:paraId="6C99B857" w14:textId="77777777" w:rsidR="00DD7D4A" w:rsidRDefault="00DD7D4A" w:rsidP="005A7DDA">
      <w:pPr>
        <w:pStyle w:val="ListParagraph"/>
        <w:numPr>
          <w:ilvl w:val="0"/>
          <w:numId w:val="137"/>
        </w:numPr>
        <w:spacing w:before="120" w:after="120" w:line="360" w:lineRule="auto"/>
        <w:jc w:val="both"/>
        <w:rPr>
          <w:rFonts w:cs="Arial"/>
          <w:color w:val="000000" w:themeColor="text1"/>
          <w:szCs w:val="24"/>
        </w:rPr>
      </w:pPr>
      <w:r w:rsidRPr="00DD7D4A">
        <w:rPr>
          <w:rFonts w:cs="Arial"/>
          <w:color w:val="000000" w:themeColor="text1"/>
          <w:szCs w:val="24"/>
        </w:rPr>
        <w:t>Engage with Local Medical Committee (LMC)</w:t>
      </w:r>
    </w:p>
    <w:p w14:paraId="12DF0B89" w14:textId="77777777" w:rsidR="00DD7D4A" w:rsidRPr="00DD7D4A" w:rsidRDefault="00DD7D4A" w:rsidP="00DD7D4A">
      <w:pPr>
        <w:pStyle w:val="ListParagraph"/>
        <w:spacing w:before="120" w:after="120" w:line="360" w:lineRule="auto"/>
        <w:jc w:val="both"/>
        <w:rPr>
          <w:rFonts w:cs="Arial"/>
          <w:color w:val="000000" w:themeColor="text1"/>
          <w:szCs w:val="24"/>
        </w:rPr>
      </w:pPr>
    </w:p>
    <w:p w14:paraId="6041DAC3" w14:textId="4C5FD0EE" w:rsidR="00DD7D4A" w:rsidRDefault="00DD7D4A" w:rsidP="00DD7D4A">
      <w:pPr>
        <w:pStyle w:val="Heading3"/>
      </w:pPr>
      <w:r>
        <w:t xml:space="preserve">In the event that the practice physically closes, the </w:t>
      </w:r>
      <w:r w:rsidRPr="00D3552E">
        <w:t xml:space="preserve">commissioner / lead </w:t>
      </w:r>
      <w:r>
        <w:t>Commissioner will:</w:t>
      </w:r>
    </w:p>
    <w:p w14:paraId="11CA4EC7" w14:textId="77777777" w:rsidR="00DD7D4A" w:rsidRPr="00DD7D4A" w:rsidRDefault="00DD7D4A" w:rsidP="00DD7D4A"/>
    <w:p w14:paraId="5972601A" w14:textId="77777777" w:rsidR="00DD7D4A" w:rsidRPr="00CC6D16" w:rsidRDefault="00DD7D4A" w:rsidP="005A7DDA">
      <w:pPr>
        <w:pStyle w:val="ListParagraph"/>
        <w:numPr>
          <w:ilvl w:val="0"/>
          <w:numId w:val="137"/>
        </w:numPr>
        <w:spacing w:before="120" w:after="120" w:line="360" w:lineRule="auto"/>
        <w:jc w:val="both"/>
        <w:rPr>
          <w:rFonts w:cs="Arial"/>
          <w:color w:val="000000" w:themeColor="text1"/>
          <w:szCs w:val="24"/>
        </w:rPr>
      </w:pPr>
      <w:r>
        <w:rPr>
          <w:rFonts w:cs="Arial"/>
          <w:color w:val="000000" w:themeColor="text1"/>
          <w:szCs w:val="24"/>
        </w:rPr>
        <w:t>P</w:t>
      </w:r>
      <w:r w:rsidRPr="00CC6D16">
        <w:rPr>
          <w:rFonts w:cs="Arial"/>
          <w:color w:val="000000" w:themeColor="text1"/>
          <w:szCs w:val="24"/>
        </w:rPr>
        <w:t>ut in place arrangements for practice post to be redirected to the commissioner</w:t>
      </w:r>
      <w:r>
        <w:rPr>
          <w:rFonts w:cs="Arial"/>
          <w:color w:val="000000" w:themeColor="text1"/>
          <w:szCs w:val="24"/>
        </w:rPr>
        <w:t xml:space="preserve"> and where appropriate make a personal visit to the premises</w:t>
      </w:r>
      <w:r w:rsidRPr="00CC6D16">
        <w:rPr>
          <w:rFonts w:cs="Arial"/>
          <w:color w:val="000000" w:themeColor="text1"/>
          <w:szCs w:val="24"/>
        </w:rPr>
        <w:t xml:space="preserve">.  .  </w:t>
      </w:r>
    </w:p>
    <w:p w14:paraId="13DDA98D" w14:textId="77777777" w:rsidR="00DD7D4A" w:rsidRPr="00CC6D16" w:rsidRDefault="00DD7D4A" w:rsidP="005A7DDA">
      <w:pPr>
        <w:pStyle w:val="ListParagraph"/>
        <w:numPr>
          <w:ilvl w:val="0"/>
          <w:numId w:val="137"/>
        </w:numPr>
        <w:spacing w:before="120" w:after="120" w:line="360" w:lineRule="auto"/>
        <w:jc w:val="both"/>
        <w:rPr>
          <w:rFonts w:cs="Arial"/>
          <w:color w:val="000000" w:themeColor="text1"/>
          <w:szCs w:val="24"/>
        </w:rPr>
      </w:pPr>
      <w:r>
        <w:rPr>
          <w:rFonts w:cs="Arial"/>
          <w:color w:val="000000" w:themeColor="text1"/>
          <w:szCs w:val="24"/>
        </w:rPr>
        <w:t>F</w:t>
      </w:r>
      <w:r w:rsidRPr="00CC6D16">
        <w:rPr>
          <w:rFonts w:cs="Arial"/>
          <w:color w:val="000000" w:themeColor="text1"/>
          <w:szCs w:val="24"/>
        </w:rPr>
        <w:t xml:space="preserve">orward clinical correspondence to PCSE for 28 days, who </w:t>
      </w:r>
      <w:r>
        <w:rPr>
          <w:rFonts w:cs="Arial"/>
          <w:color w:val="000000" w:themeColor="text1"/>
          <w:szCs w:val="24"/>
        </w:rPr>
        <w:t xml:space="preserve">will </w:t>
      </w:r>
      <w:r w:rsidRPr="00CC6D16">
        <w:rPr>
          <w:rFonts w:cs="Arial"/>
          <w:color w:val="000000" w:themeColor="text1"/>
          <w:szCs w:val="24"/>
        </w:rPr>
        <w:t xml:space="preserve">manage onward </w:t>
      </w:r>
      <w:r>
        <w:rPr>
          <w:rFonts w:cs="Arial"/>
          <w:color w:val="000000" w:themeColor="text1"/>
          <w:szCs w:val="24"/>
        </w:rPr>
        <w:t>forwarding</w:t>
      </w:r>
      <w:r w:rsidRPr="00CC6D16">
        <w:rPr>
          <w:rFonts w:cs="Arial"/>
          <w:color w:val="000000" w:themeColor="text1"/>
          <w:szCs w:val="24"/>
        </w:rPr>
        <w:t xml:space="preserve"> to </w:t>
      </w:r>
      <w:r>
        <w:rPr>
          <w:rFonts w:cs="Arial"/>
          <w:color w:val="000000" w:themeColor="text1"/>
          <w:szCs w:val="24"/>
        </w:rPr>
        <w:t xml:space="preserve">any </w:t>
      </w:r>
      <w:r w:rsidRPr="00CC6D16">
        <w:rPr>
          <w:rFonts w:cs="Arial"/>
          <w:color w:val="000000" w:themeColor="text1"/>
          <w:szCs w:val="24"/>
        </w:rPr>
        <w:t>new provider</w:t>
      </w:r>
      <w:r>
        <w:rPr>
          <w:rFonts w:cs="Arial"/>
          <w:color w:val="000000" w:themeColor="text1"/>
          <w:szCs w:val="24"/>
        </w:rPr>
        <w:t>(s)</w:t>
      </w:r>
      <w:r w:rsidRPr="00CC6D16">
        <w:rPr>
          <w:rFonts w:cs="Arial"/>
          <w:color w:val="000000" w:themeColor="text1"/>
          <w:szCs w:val="24"/>
        </w:rPr>
        <w:t xml:space="preserve">. GP clinical records are delivered by City Sprint on behalf of PCSE so as part of the close down process, the closed practice is removed from the delivery locations. </w:t>
      </w:r>
    </w:p>
    <w:p w14:paraId="39BE5379" w14:textId="77777777" w:rsidR="00DD7D4A" w:rsidRPr="00CC6D16" w:rsidRDefault="00DD7D4A" w:rsidP="005A7DDA">
      <w:pPr>
        <w:pStyle w:val="ListParagraph"/>
        <w:numPr>
          <w:ilvl w:val="0"/>
          <w:numId w:val="137"/>
        </w:numPr>
        <w:spacing w:before="120" w:after="120" w:line="360" w:lineRule="auto"/>
        <w:jc w:val="both"/>
        <w:rPr>
          <w:rFonts w:cs="Arial"/>
          <w:color w:val="000000" w:themeColor="text1"/>
          <w:szCs w:val="24"/>
        </w:rPr>
      </w:pPr>
      <w:r>
        <w:rPr>
          <w:rFonts w:cs="Arial"/>
          <w:color w:val="000000" w:themeColor="text1"/>
          <w:szCs w:val="24"/>
        </w:rPr>
        <w:t>After</w:t>
      </w:r>
      <w:r w:rsidRPr="00CC6D16">
        <w:rPr>
          <w:rFonts w:cs="Arial"/>
          <w:color w:val="000000" w:themeColor="text1"/>
          <w:szCs w:val="24"/>
        </w:rPr>
        <w:t xml:space="preserve"> 28 days, mail </w:t>
      </w:r>
      <w:r>
        <w:rPr>
          <w:rFonts w:cs="Arial"/>
          <w:color w:val="000000" w:themeColor="text1"/>
          <w:szCs w:val="24"/>
        </w:rPr>
        <w:t xml:space="preserve">is </w:t>
      </w:r>
      <w:r w:rsidRPr="00CC6D16">
        <w:rPr>
          <w:rFonts w:cs="Arial"/>
          <w:color w:val="000000" w:themeColor="text1"/>
          <w:szCs w:val="24"/>
        </w:rPr>
        <w:t>redirect</w:t>
      </w:r>
      <w:r>
        <w:rPr>
          <w:rFonts w:cs="Arial"/>
          <w:color w:val="000000" w:themeColor="text1"/>
          <w:szCs w:val="24"/>
        </w:rPr>
        <w:t>ed</w:t>
      </w:r>
      <w:r w:rsidRPr="00CC6D16">
        <w:rPr>
          <w:rFonts w:cs="Arial"/>
          <w:color w:val="000000" w:themeColor="text1"/>
          <w:szCs w:val="24"/>
        </w:rPr>
        <w:t xml:space="preserve"> to </w:t>
      </w:r>
      <w:r>
        <w:rPr>
          <w:rFonts w:cs="Arial"/>
          <w:color w:val="000000" w:themeColor="text1"/>
          <w:szCs w:val="24"/>
        </w:rPr>
        <w:t>the C</w:t>
      </w:r>
      <w:r w:rsidRPr="00CC6D16">
        <w:rPr>
          <w:rFonts w:cs="Arial"/>
          <w:color w:val="000000" w:themeColor="text1"/>
          <w:szCs w:val="24"/>
        </w:rPr>
        <w:t xml:space="preserve">ommissioner </w:t>
      </w:r>
      <w:r>
        <w:rPr>
          <w:rFonts w:cs="Arial"/>
          <w:color w:val="000000" w:themeColor="text1"/>
          <w:szCs w:val="24"/>
        </w:rPr>
        <w:t xml:space="preserve">but it is not forwarded to the new provider(s). The Commissioner will </w:t>
      </w:r>
      <w:r w:rsidRPr="00CC6D16">
        <w:rPr>
          <w:rFonts w:cs="Arial"/>
          <w:color w:val="000000" w:themeColor="text1"/>
          <w:szCs w:val="24"/>
        </w:rPr>
        <w:t xml:space="preserve">return clinical correspondence to </w:t>
      </w:r>
      <w:r>
        <w:rPr>
          <w:rFonts w:cs="Arial"/>
          <w:color w:val="000000" w:themeColor="text1"/>
          <w:szCs w:val="24"/>
        </w:rPr>
        <w:t>the sender</w:t>
      </w:r>
      <w:r w:rsidRPr="00CC6D16">
        <w:rPr>
          <w:rFonts w:cs="Arial"/>
          <w:color w:val="000000" w:themeColor="text1"/>
          <w:szCs w:val="24"/>
        </w:rPr>
        <w:t xml:space="preserve"> (hospitals etc)</w:t>
      </w:r>
      <w:r>
        <w:rPr>
          <w:rFonts w:cs="Arial"/>
          <w:color w:val="000000" w:themeColor="text1"/>
          <w:szCs w:val="24"/>
        </w:rPr>
        <w:t xml:space="preserve"> and should inform the sender of the new provider(s). The sender should</w:t>
      </w:r>
      <w:r w:rsidRPr="00CC6D16">
        <w:rPr>
          <w:rFonts w:cs="Arial"/>
          <w:color w:val="000000" w:themeColor="text1"/>
          <w:szCs w:val="24"/>
        </w:rPr>
        <w:t xml:space="preserve">  update their records accordingly to prevent reoccurrence</w:t>
      </w:r>
      <w:r w:rsidRPr="00D3552E">
        <w:rPr>
          <w:rFonts w:cs="Arial"/>
          <w:color w:val="000000" w:themeColor="text1"/>
          <w:szCs w:val="24"/>
        </w:rPr>
        <w:t>.</w:t>
      </w:r>
      <w:r w:rsidRPr="00CC6D16" w:rsidDel="00D3552E">
        <w:rPr>
          <w:rFonts w:cs="Arial"/>
          <w:color w:val="000000" w:themeColor="text1"/>
          <w:szCs w:val="24"/>
        </w:rPr>
        <w:t xml:space="preserve"> </w:t>
      </w:r>
    </w:p>
    <w:p w14:paraId="55952D36" w14:textId="77777777" w:rsidR="00DD7D4A" w:rsidRDefault="00DD7D4A" w:rsidP="005A7DDA">
      <w:pPr>
        <w:pStyle w:val="ListParagraph"/>
        <w:numPr>
          <w:ilvl w:val="0"/>
          <w:numId w:val="137"/>
        </w:numPr>
        <w:spacing w:before="120" w:after="120" w:line="360" w:lineRule="auto"/>
        <w:jc w:val="both"/>
        <w:rPr>
          <w:rFonts w:cs="Arial"/>
          <w:color w:val="000000" w:themeColor="text1"/>
          <w:szCs w:val="24"/>
        </w:rPr>
      </w:pPr>
      <w:r w:rsidRPr="00B746A7">
        <w:rPr>
          <w:rFonts w:cs="Arial"/>
          <w:color w:val="000000" w:themeColor="text1"/>
          <w:szCs w:val="24"/>
        </w:rPr>
        <w:t>Ensure call forwarding arrangements are in place or appropriate answerphone message are established for the closing practice to alert patients</w:t>
      </w:r>
      <w:r>
        <w:rPr>
          <w:rFonts w:cs="Arial"/>
          <w:color w:val="000000" w:themeColor="text1"/>
          <w:szCs w:val="24"/>
        </w:rPr>
        <w:t xml:space="preserve"> and i</w:t>
      </w:r>
      <w:r w:rsidRPr="0071225A">
        <w:rPr>
          <w:rFonts w:cs="Arial"/>
          <w:color w:val="000000" w:themeColor="text1"/>
          <w:szCs w:val="24"/>
        </w:rPr>
        <w:t>nform 111, OOH services.</w:t>
      </w:r>
    </w:p>
    <w:p w14:paraId="56F44BCE" w14:textId="77777777" w:rsidR="00DD7D4A" w:rsidRDefault="00DD7D4A" w:rsidP="005A7DDA">
      <w:pPr>
        <w:pStyle w:val="ListParagraph"/>
        <w:numPr>
          <w:ilvl w:val="0"/>
          <w:numId w:val="137"/>
        </w:numPr>
        <w:spacing w:before="120" w:after="120" w:line="360" w:lineRule="auto"/>
        <w:jc w:val="both"/>
        <w:rPr>
          <w:rFonts w:cs="Arial"/>
          <w:color w:val="000000" w:themeColor="text1"/>
          <w:szCs w:val="24"/>
        </w:rPr>
      </w:pPr>
      <w:r w:rsidRPr="003C6987">
        <w:rPr>
          <w:rFonts w:cs="Arial"/>
          <w:color w:val="000000" w:themeColor="text1"/>
          <w:szCs w:val="24"/>
        </w:rPr>
        <w:t xml:space="preserve">As part of the practice closedown, the Commissioner </w:t>
      </w:r>
      <w:r>
        <w:rPr>
          <w:rFonts w:cs="Arial"/>
          <w:color w:val="000000" w:themeColor="text1"/>
          <w:szCs w:val="24"/>
        </w:rPr>
        <w:t xml:space="preserve">will </w:t>
      </w:r>
      <w:r w:rsidRPr="003C6987">
        <w:rPr>
          <w:rFonts w:cs="Arial"/>
          <w:color w:val="000000" w:themeColor="text1"/>
          <w:szCs w:val="24"/>
        </w:rPr>
        <w:t>ensure legacy IT Hardware is removed from the practice as part of the GPIT System de-commissioning activities</w:t>
      </w:r>
    </w:p>
    <w:p w14:paraId="0DD9D5C6" w14:textId="33B66299" w:rsidR="00DD7D4A" w:rsidRPr="00DD7D4A" w:rsidRDefault="00DD7D4A" w:rsidP="005A7DDA">
      <w:pPr>
        <w:pStyle w:val="ListParagraph"/>
        <w:numPr>
          <w:ilvl w:val="0"/>
          <w:numId w:val="137"/>
        </w:numPr>
        <w:spacing w:before="120" w:after="120" w:line="360" w:lineRule="auto"/>
        <w:jc w:val="both"/>
        <w:rPr>
          <w:rFonts w:cs="Arial"/>
          <w:color w:val="000000" w:themeColor="text1"/>
          <w:szCs w:val="24"/>
        </w:rPr>
      </w:pPr>
      <w:r w:rsidRPr="00DD7D4A">
        <w:rPr>
          <w:rFonts w:cs="Arial"/>
          <w:color w:val="000000" w:themeColor="text1"/>
          <w:szCs w:val="24"/>
        </w:rPr>
        <w:t>Provide guidance to review, remove or copy files/folders that may be required by the outgoing owners</w:t>
      </w:r>
    </w:p>
    <w:p w14:paraId="78EABB9B" w14:textId="77777777" w:rsidR="00DD7D4A" w:rsidRPr="0071225A" w:rsidRDefault="00DD7D4A" w:rsidP="00DD7D4A">
      <w:pPr>
        <w:pStyle w:val="ListParagraph"/>
        <w:spacing w:before="120" w:after="120" w:line="360" w:lineRule="auto"/>
        <w:ind w:left="1440"/>
        <w:jc w:val="both"/>
        <w:rPr>
          <w:rFonts w:cs="Arial"/>
          <w:color w:val="000000" w:themeColor="text1"/>
          <w:szCs w:val="24"/>
        </w:rPr>
      </w:pPr>
    </w:p>
    <w:p w14:paraId="602C2FBA" w14:textId="77777777" w:rsidR="00DD7D4A" w:rsidRPr="00DD7D4A" w:rsidRDefault="00DD7D4A" w:rsidP="00DD7D4A">
      <w:pPr>
        <w:pStyle w:val="Heading3"/>
        <w:rPr>
          <w:b/>
        </w:rPr>
      </w:pPr>
      <w:r w:rsidRPr="00DD7D4A">
        <w:rPr>
          <w:b/>
        </w:rPr>
        <w:t>GP Practice (during any period where the practice is still open):</w:t>
      </w:r>
    </w:p>
    <w:p w14:paraId="1A2FED88" w14:textId="77777777" w:rsidR="00DD7D4A" w:rsidRPr="00CC6D16" w:rsidRDefault="00DD7D4A" w:rsidP="00DD7D4A">
      <w:pPr>
        <w:pStyle w:val="ListParagraph"/>
        <w:spacing w:after="200" w:line="360" w:lineRule="auto"/>
        <w:jc w:val="both"/>
        <w:rPr>
          <w:rFonts w:cs="Arial"/>
          <w:szCs w:val="24"/>
        </w:rPr>
      </w:pPr>
    </w:p>
    <w:p w14:paraId="3BB830A8" w14:textId="0E61B691" w:rsidR="00DD7D4A" w:rsidRPr="00CC6D16" w:rsidRDefault="00DD7D4A" w:rsidP="00DD7D4A">
      <w:pPr>
        <w:pStyle w:val="Heading4"/>
      </w:pPr>
      <w:r w:rsidRPr="00CC6D16">
        <w:t xml:space="preserve">The </w:t>
      </w:r>
      <w:r>
        <w:t xml:space="preserve">Commissioner will ask the </w:t>
      </w:r>
      <w:r w:rsidRPr="00CC6D16">
        <w:t>GP Practice</w:t>
      </w:r>
      <w:r>
        <w:t xml:space="preserve"> to:</w:t>
      </w:r>
    </w:p>
    <w:p w14:paraId="242F63FE" w14:textId="77777777" w:rsidR="00DD7D4A" w:rsidRPr="00CC6D16" w:rsidRDefault="00DD7D4A" w:rsidP="00DD7D4A">
      <w:pPr>
        <w:pStyle w:val="ListParagraph"/>
        <w:spacing w:after="200" w:line="360" w:lineRule="auto"/>
        <w:jc w:val="both"/>
        <w:rPr>
          <w:rFonts w:cs="Arial"/>
          <w:szCs w:val="24"/>
        </w:rPr>
      </w:pPr>
    </w:p>
    <w:p w14:paraId="491BBB46" w14:textId="77777777" w:rsidR="00DD7D4A" w:rsidRPr="00CC6D16" w:rsidRDefault="00DD7D4A" w:rsidP="005A7DDA">
      <w:pPr>
        <w:pStyle w:val="ListParagraph"/>
        <w:numPr>
          <w:ilvl w:val="0"/>
          <w:numId w:val="137"/>
        </w:numPr>
        <w:spacing w:before="120" w:after="120" w:line="360" w:lineRule="auto"/>
        <w:jc w:val="both"/>
        <w:rPr>
          <w:rFonts w:cs="Arial"/>
          <w:color w:val="000000" w:themeColor="text1"/>
          <w:szCs w:val="24"/>
        </w:rPr>
      </w:pPr>
      <w:r w:rsidRPr="00CC6D16">
        <w:rPr>
          <w:rFonts w:cs="Arial"/>
          <w:color w:val="000000" w:themeColor="text1"/>
          <w:szCs w:val="24"/>
        </w:rPr>
        <w:t>Assist with ensuring appropriate interim measures are put in place to keep people safe after the identification of concerns.</w:t>
      </w:r>
    </w:p>
    <w:p w14:paraId="47EC4884" w14:textId="77777777" w:rsidR="00DD7D4A" w:rsidRPr="00CC6D16" w:rsidRDefault="00DD7D4A" w:rsidP="005A7DDA">
      <w:pPr>
        <w:pStyle w:val="ListParagraph"/>
        <w:numPr>
          <w:ilvl w:val="0"/>
          <w:numId w:val="137"/>
        </w:numPr>
        <w:spacing w:before="120" w:after="120" w:line="360" w:lineRule="auto"/>
        <w:jc w:val="both"/>
        <w:rPr>
          <w:rFonts w:cs="Arial"/>
          <w:color w:val="000000" w:themeColor="text1"/>
          <w:szCs w:val="24"/>
        </w:rPr>
      </w:pPr>
      <w:r w:rsidRPr="00CC6D16">
        <w:rPr>
          <w:rFonts w:cs="Arial"/>
          <w:color w:val="000000" w:themeColor="text1"/>
          <w:szCs w:val="24"/>
        </w:rPr>
        <w:t xml:space="preserve">Assist the </w:t>
      </w:r>
      <w:r>
        <w:rPr>
          <w:rFonts w:cs="Arial"/>
          <w:color w:val="000000" w:themeColor="text1"/>
          <w:szCs w:val="24"/>
        </w:rPr>
        <w:t xml:space="preserve">Commissioner </w:t>
      </w:r>
      <w:r w:rsidRPr="00CC6D16">
        <w:rPr>
          <w:rFonts w:cs="Arial"/>
          <w:color w:val="000000" w:themeColor="text1"/>
          <w:szCs w:val="24"/>
        </w:rPr>
        <w:t xml:space="preserve"> with the assessment of</w:t>
      </w:r>
      <w:r>
        <w:rPr>
          <w:rFonts w:cs="Arial"/>
          <w:color w:val="000000" w:themeColor="text1"/>
          <w:szCs w:val="24"/>
        </w:rPr>
        <w:t>,</w:t>
      </w:r>
      <w:r w:rsidRPr="00CC6D16">
        <w:rPr>
          <w:rFonts w:cs="Arial"/>
          <w:color w:val="000000" w:themeColor="text1"/>
          <w:szCs w:val="24"/>
        </w:rPr>
        <w:t xml:space="preserve"> and communication</w:t>
      </w:r>
      <w:r>
        <w:rPr>
          <w:rFonts w:cs="Arial"/>
          <w:color w:val="000000" w:themeColor="text1"/>
          <w:szCs w:val="24"/>
        </w:rPr>
        <w:t>,</w:t>
      </w:r>
      <w:r w:rsidRPr="00CC6D16">
        <w:rPr>
          <w:rFonts w:cs="Arial"/>
          <w:color w:val="000000" w:themeColor="text1"/>
          <w:szCs w:val="24"/>
        </w:rPr>
        <w:t xml:space="preserve"> with residents and their families to ascertain their needs and preferences</w:t>
      </w:r>
      <w:r>
        <w:rPr>
          <w:rFonts w:cs="Arial"/>
          <w:color w:val="000000" w:themeColor="text1"/>
          <w:szCs w:val="24"/>
        </w:rPr>
        <w:t>. .</w:t>
      </w:r>
    </w:p>
    <w:p w14:paraId="4EA6D2DC" w14:textId="77777777" w:rsidR="00DD7D4A" w:rsidRDefault="00DD7D4A" w:rsidP="005A7DDA">
      <w:pPr>
        <w:pStyle w:val="ListParagraph"/>
        <w:numPr>
          <w:ilvl w:val="0"/>
          <w:numId w:val="137"/>
        </w:numPr>
        <w:spacing w:before="120" w:after="120" w:line="360" w:lineRule="auto"/>
        <w:jc w:val="both"/>
        <w:rPr>
          <w:rFonts w:cs="Arial"/>
          <w:color w:val="000000" w:themeColor="text1"/>
          <w:szCs w:val="24"/>
        </w:rPr>
      </w:pPr>
      <w:r w:rsidRPr="00CC6D16">
        <w:rPr>
          <w:rFonts w:cs="Arial"/>
          <w:color w:val="000000" w:themeColor="text1"/>
          <w:szCs w:val="24"/>
        </w:rPr>
        <w:t xml:space="preserve">Assist the </w:t>
      </w:r>
      <w:r>
        <w:rPr>
          <w:rFonts w:cs="Arial"/>
          <w:color w:val="000000" w:themeColor="text1"/>
          <w:szCs w:val="24"/>
        </w:rPr>
        <w:t xml:space="preserve">Commissioner </w:t>
      </w:r>
      <w:r w:rsidRPr="00CC6D16">
        <w:rPr>
          <w:rFonts w:cs="Arial"/>
          <w:color w:val="000000" w:themeColor="text1"/>
          <w:szCs w:val="24"/>
        </w:rPr>
        <w:t xml:space="preserve"> in</w:t>
      </w:r>
      <w:r>
        <w:rPr>
          <w:rFonts w:cs="Arial"/>
          <w:color w:val="000000" w:themeColor="text1"/>
          <w:szCs w:val="24"/>
        </w:rPr>
        <w:t xml:space="preserve"> any patient engagement</w:t>
      </w:r>
      <w:r w:rsidRPr="00CC6D16">
        <w:rPr>
          <w:rFonts w:cs="Arial"/>
          <w:color w:val="000000" w:themeColor="text1"/>
          <w:szCs w:val="24"/>
        </w:rPr>
        <w:t xml:space="preserve">, in particular those with people </w:t>
      </w:r>
      <w:r>
        <w:rPr>
          <w:rFonts w:cs="Arial"/>
          <w:color w:val="000000" w:themeColor="text1"/>
          <w:szCs w:val="24"/>
        </w:rPr>
        <w:t>accessing services provided at or by the GP practice</w:t>
      </w:r>
      <w:r w:rsidRPr="00CC6D16">
        <w:rPr>
          <w:rFonts w:cs="Arial"/>
          <w:color w:val="000000" w:themeColor="text1"/>
          <w:szCs w:val="24"/>
        </w:rPr>
        <w:t xml:space="preserve"> and their families</w:t>
      </w:r>
      <w:r>
        <w:rPr>
          <w:rFonts w:cs="Arial"/>
          <w:color w:val="000000" w:themeColor="text1"/>
          <w:szCs w:val="24"/>
        </w:rPr>
        <w:t>.</w:t>
      </w:r>
    </w:p>
    <w:p w14:paraId="70F412C4" w14:textId="77777777" w:rsidR="00DD7D4A" w:rsidRDefault="00DD7D4A" w:rsidP="005A7DDA">
      <w:pPr>
        <w:pStyle w:val="ListParagraph"/>
        <w:numPr>
          <w:ilvl w:val="0"/>
          <w:numId w:val="137"/>
        </w:numPr>
        <w:spacing w:before="120" w:after="120" w:line="360" w:lineRule="auto"/>
        <w:jc w:val="both"/>
        <w:rPr>
          <w:rFonts w:cs="Arial"/>
          <w:color w:val="000000" w:themeColor="text1"/>
          <w:szCs w:val="24"/>
        </w:rPr>
      </w:pPr>
      <w:r>
        <w:rPr>
          <w:rFonts w:cs="Arial"/>
          <w:color w:val="000000" w:themeColor="text1"/>
          <w:szCs w:val="24"/>
        </w:rPr>
        <w:t>As part of the practice closedown, work with the Commissioner to ensure legacy IT Hardware is removed from the practice as part of the GPIT System de-commissioning activities</w:t>
      </w:r>
    </w:p>
    <w:p w14:paraId="5E80E907" w14:textId="77777777" w:rsidR="00DD7D4A" w:rsidRPr="00CC6D16" w:rsidRDefault="00DD7D4A" w:rsidP="005A7DDA">
      <w:pPr>
        <w:pStyle w:val="ListParagraph"/>
        <w:numPr>
          <w:ilvl w:val="0"/>
          <w:numId w:val="137"/>
        </w:numPr>
        <w:spacing w:before="120" w:after="120" w:line="360" w:lineRule="auto"/>
        <w:jc w:val="both"/>
        <w:rPr>
          <w:rFonts w:cs="Arial"/>
          <w:color w:val="000000" w:themeColor="text1"/>
          <w:szCs w:val="24"/>
        </w:rPr>
      </w:pPr>
      <w:r>
        <w:rPr>
          <w:rFonts w:cs="Arial"/>
          <w:color w:val="000000" w:themeColor="text1"/>
          <w:szCs w:val="24"/>
        </w:rPr>
        <w:t>Review and act on ay guidance provided by the Commissioner in relation to the closure.</w:t>
      </w:r>
    </w:p>
    <w:p w14:paraId="1278AD1A" w14:textId="77777777" w:rsidR="00DD7D4A" w:rsidRDefault="00DD7D4A" w:rsidP="005A7DDA">
      <w:pPr>
        <w:pStyle w:val="ListParagraph"/>
        <w:numPr>
          <w:ilvl w:val="0"/>
          <w:numId w:val="137"/>
        </w:numPr>
        <w:spacing w:before="120" w:after="120" w:line="360" w:lineRule="auto"/>
        <w:jc w:val="both"/>
        <w:rPr>
          <w:rFonts w:cs="Arial"/>
          <w:color w:val="000000" w:themeColor="text1"/>
          <w:szCs w:val="24"/>
        </w:rPr>
      </w:pPr>
      <w:r w:rsidRPr="00E61F9F">
        <w:rPr>
          <w:rFonts w:cs="Arial"/>
          <w:color w:val="000000" w:themeColor="text1"/>
          <w:szCs w:val="24"/>
        </w:rPr>
        <w:t>.</w:t>
      </w:r>
      <w:r>
        <w:rPr>
          <w:rFonts w:cs="Arial"/>
          <w:color w:val="000000" w:themeColor="text1"/>
          <w:szCs w:val="24"/>
        </w:rPr>
        <w:t>Record, collate and remove prescription pads. This includes both hand written and computer scripts.</w:t>
      </w:r>
    </w:p>
    <w:p w14:paraId="3A958614" w14:textId="77777777" w:rsidR="00DD7D4A" w:rsidRDefault="00DD7D4A" w:rsidP="005A7DDA">
      <w:pPr>
        <w:pStyle w:val="ListParagraph"/>
        <w:numPr>
          <w:ilvl w:val="0"/>
          <w:numId w:val="137"/>
        </w:numPr>
        <w:spacing w:before="120" w:after="120" w:line="360" w:lineRule="auto"/>
        <w:jc w:val="both"/>
        <w:rPr>
          <w:rFonts w:cs="Arial"/>
          <w:color w:val="000000" w:themeColor="text1"/>
          <w:szCs w:val="24"/>
        </w:rPr>
      </w:pPr>
      <w:r>
        <w:rPr>
          <w:rFonts w:cs="Arial"/>
          <w:color w:val="000000" w:themeColor="text1"/>
          <w:szCs w:val="24"/>
        </w:rPr>
        <w:t>Ensure all drugs / medicines in the practice are noted and handed into the local pharmacy and signed for.</w:t>
      </w:r>
    </w:p>
    <w:p w14:paraId="1545799F" w14:textId="77777777" w:rsidR="00DD7D4A" w:rsidRPr="00E61F9F" w:rsidRDefault="00DD7D4A" w:rsidP="00DD7D4A">
      <w:pPr>
        <w:pStyle w:val="ListParagraph"/>
        <w:spacing w:before="120" w:after="120" w:line="276" w:lineRule="auto"/>
        <w:ind w:left="1440"/>
        <w:jc w:val="both"/>
        <w:rPr>
          <w:rFonts w:cs="Arial"/>
          <w:color w:val="000000" w:themeColor="text1"/>
          <w:szCs w:val="24"/>
        </w:rPr>
      </w:pPr>
    </w:p>
    <w:p w14:paraId="25577FC3" w14:textId="77777777" w:rsidR="00DD7D4A" w:rsidRPr="00DD7D4A" w:rsidRDefault="00DD7D4A" w:rsidP="00DD7D4A">
      <w:pPr>
        <w:pStyle w:val="Heading3"/>
        <w:rPr>
          <w:b/>
        </w:rPr>
      </w:pPr>
      <w:r w:rsidRPr="00DD7D4A">
        <w:rPr>
          <w:b/>
        </w:rPr>
        <w:t>Primary Care Support England (PCSE)</w:t>
      </w:r>
    </w:p>
    <w:p w14:paraId="28CD1BC1" w14:textId="77777777" w:rsidR="00DD7D4A" w:rsidRPr="00CC6D16" w:rsidRDefault="00DD7D4A" w:rsidP="00DD7D4A">
      <w:pPr>
        <w:pStyle w:val="ListParagraph"/>
        <w:spacing w:after="200" w:line="360" w:lineRule="auto"/>
        <w:jc w:val="both"/>
        <w:rPr>
          <w:rFonts w:cs="Arial"/>
          <w:szCs w:val="24"/>
        </w:rPr>
      </w:pPr>
    </w:p>
    <w:p w14:paraId="5FAE92A1" w14:textId="7A82B90E" w:rsidR="00DD7D4A" w:rsidRPr="00CC6D16" w:rsidRDefault="00DD7D4A" w:rsidP="00DD7D4A">
      <w:pPr>
        <w:pStyle w:val="Heading4"/>
      </w:pPr>
      <w:r w:rsidRPr="00CC6D16">
        <w:t>PCSE will</w:t>
      </w:r>
      <w:r>
        <w:t>:</w:t>
      </w:r>
      <w:r w:rsidRPr="00CC6D16">
        <w:t xml:space="preserve"> </w:t>
      </w:r>
    </w:p>
    <w:p w14:paraId="473C0A52" w14:textId="77777777" w:rsidR="00DD7D4A" w:rsidRPr="00CC6D16" w:rsidRDefault="00DD7D4A" w:rsidP="00DD7D4A">
      <w:pPr>
        <w:pStyle w:val="ListParagraph"/>
        <w:spacing w:before="120" w:after="120" w:line="360" w:lineRule="auto"/>
        <w:jc w:val="both"/>
        <w:rPr>
          <w:rFonts w:cs="Arial"/>
          <w:b/>
          <w:color w:val="000000" w:themeColor="text1"/>
          <w:szCs w:val="24"/>
        </w:rPr>
      </w:pPr>
    </w:p>
    <w:p w14:paraId="6564D1D7" w14:textId="77777777" w:rsidR="00DD7D4A" w:rsidRDefault="00DD7D4A" w:rsidP="00DD7D4A">
      <w:pPr>
        <w:pStyle w:val="ListParagraph"/>
        <w:spacing w:before="120" w:after="120" w:line="360" w:lineRule="auto"/>
        <w:ind w:left="1440"/>
        <w:jc w:val="both"/>
        <w:rPr>
          <w:rFonts w:cs="Arial"/>
          <w:color w:val="000000" w:themeColor="text1"/>
          <w:szCs w:val="24"/>
        </w:rPr>
      </w:pPr>
      <w:r w:rsidRPr="00E61F9F">
        <w:rPr>
          <w:rFonts w:cs="Arial"/>
          <w:color w:val="000000" w:themeColor="text1"/>
          <w:szCs w:val="24"/>
        </w:rPr>
        <w:t>As part of any practice close down, make a site visit to remove, store and forward patient records to a new provider.(s).  Records are held in archive until the patient re-registers or the retention period expires and they are securely destroyed.</w:t>
      </w:r>
    </w:p>
    <w:p w14:paraId="67D30E14" w14:textId="77777777" w:rsidR="00DD7D4A" w:rsidRPr="00CC6D16" w:rsidRDefault="00DD7D4A" w:rsidP="00DD7D4A">
      <w:pPr>
        <w:pStyle w:val="ListParagraph"/>
        <w:spacing w:before="120" w:after="120" w:line="360" w:lineRule="auto"/>
        <w:ind w:left="1440"/>
        <w:jc w:val="both"/>
        <w:rPr>
          <w:rFonts w:cs="Arial"/>
          <w:color w:val="000000" w:themeColor="text1"/>
          <w:szCs w:val="24"/>
        </w:rPr>
      </w:pPr>
    </w:p>
    <w:p w14:paraId="26D00177" w14:textId="040241A1" w:rsidR="00DD7D4A" w:rsidRPr="00DD7D4A" w:rsidRDefault="00DD7D4A" w:rsidP="00DD7D4A">
      <w:pPr>
        <w:pStyle w:val="Heading3"/>
        <w:rPr>
          <w:b/>
        </w:rPr>
      </w:pPr>
      <w:r w:rsidRPr="00DD7D4A">
        <w:rPr>
          <w:b/>
        </w:rPr>
        <w:t>Care Quality Commission</w:t>
      </w:r>
      <w:r>
        <w:rPr>
          <w:b/>
        </w:rPr>
        <w:t xml:space="preserve"> (CQC)</w:t>
      </w:r>
    </w:p>
    <w:p w14:paraId="14D4F0CC" w14:textId="77777777" w:rsidR="00DD7D4A" w:rsidRPr="00CC6D16" w:rsidRDefault="00DD7D4A" w:rsidP="00DD7D4A">
      <w:pPr>
        <w:pStyle w:val="ListParagraph"/>
        <w:spacing w:before="120" w:after="120" w:line="360" w:lineRule="auto"/>
        <w:jc w:val="both"/>
        <w:rPr>
          <w:rFonts w:cs="Arial"/>
          <w:b/>
          <w:color w:val="000000" w:themeColor="text1"/>
          <w:szCs w:val="24"/>
        </w:rPr>
      </w:pPr>
    </w:p>
    <w:p w14:paraId="48268F49" w14:textId="77777777" w:rsidR="00DD7D4A" w:rsidRPr="00CC6D16" w:rsidRDefault="00DD7D4A" w:rsidP="00DD7D4A">
      <w:pPr>
        <w:spacing w:after="200" w:line="360" w:lineRule="auto"/>
        <w:ind w:firstLine="720"/>
        <w:jc w:val="both"/>
        <w:rPr>
          <w:rFonts w:cs="Arial"/>
          <w:szCs w:val="24"/>
        </w:rPr>
      </w:pPr>
      <w:r w:rsidRPr="00CC6D16">
        <w:rPr>
          <w:rFonts w:cs="Arial"/>
          <w:szCs w:val="24"/>
        </w:rPr>
        <w:t>3.4. CQC will lead in the following actions</w:t>
      </w:r>
      <w:r>
        <w:rPr>
          <w:rFonts w:cs="Arial"/>
          <w:szCs w:val="24"/>
        </w:rPr>
        <w:t>:</w:t>
      </w:r>
    </w:p>
    <w:p w14:paraId="0A53C0CF" w14:textId="77777777" w:rsidR="00DD7D4A" w:rsidRPr="00CC6D16" w:rsidRDefault="00DD7D4A" w:rsidP="005A7DDA">
      <w:pPr>
        <w:pStyle w:val="ListParagraph"/>
        <w:numPr>
          <w:ilvl w:val="0"/>
          <w:numId w:val="137"/>
        </w:numPr>
        <w:spacing w:before="120" w:after="120" w:line="360" w:lineRule="auto"/>
        <w:jc w:val="both"/>
        <w:rPr>
          <w:rFonts w:cs="Arial"/>
          <w:color w:val="000000" w:themeColor="text1"/>
          <w:szCs w:val="24"/>
        </w:rPr>
      </w:pPr>
      <w:r>
        <w:rPr>
          <w:rFonts w:cs="Arial"/>
          <w:color w:val="000000" w:themeColor="text1"/>
          <w:szCs w:val="24"/>
        </w:rPr>
        <w:t>Share with the Commissioner</w:t>
      </w:r>
      <w:r w:rsidRPr="00CC6D16">
        <w:rPr>
          <w:rFonts w:cs="Arial"/>
          <w:color w:val="000000" w:themeColor="text1"/>
          <w:szCs w:val="24"/>
        </w:rPr>
        <w:t xml:space="preserve"> any information held about the quality of the current service</w:t>
      </w:r>
      <w:r>
        <w:rPr>
          <w:rFonts w:cs="Arial"/>
          <w:color w:val="000000" w:themeColor="text1"/>
          <w:szCs w:val="24"/>
        </w:rPr>
        <w:t>.</w:t>
      </w:r>
    </w:p>
    <w:p w14:paraId="4A187E25" w14:textId="77777777" w:rsidR="00DD7D4A" w:rsidRPr="00CC6D16" w:rsidRDefault="00DD7D4A" w:rsidP="005A7DDA">
      <w:pPr>
        <w:pStyle w:val="ListParagraph"/>
        <w:numPr>
          <w:ilvl w:val="0"/>
          <w:numId w:val="137"/>
        </w:numPr>
        <w:spacing w:before="120" w:after="120" w:line="360" w:lineRule="auto"/>
        <w:jc w:val="both"/>
        <w:rPr>
          <w:rFonts w:cs="Arial"/>
          <w:color w:val="000000" w:themeColor="text1"/>
          <w:szCs w:val="24"/>
        </w:rPr>
      </w:pPr>
      <w:r>
        <w:rPr>
          <w:rFonts w:cs="Arial"/>
          <w:color w:val="000000" w:themeColor="text1"/>
          <w:szCs w:val="24"/>
        </w:rPr>
        <w:t>Share with the Commissioner</w:t>
      </w:r>
      <w:r w:rsidRPr="00CC6D16">
        <w:rPr>
          <w:rFonts w:cs="Arial"/>
          <w:color w:val="000000" w:themeColor="text1"/>
          <w:szCs w:val="24"/>
        </w:rPr>
        <w:t xml:space="preserve"> any information held about the quality of alternative services being considered, including the model of care used</w:t>
      </w:r>
      <w:r>
        <w:rPr>
          <w:rFonts w:cs="Arial"/>
          <w:color w:val="000000" w:themeColor="text1"/>
          <w:szCs w:val="24"/>
        </w:rPr>
        <w:t>.</w:t>
      </w:r>
    </w:p>
    <w:p w14:paraId="28AC2D15" w14:textId="77777777" w:rsidR="00DD7D4A" w:rsidRPr="00CC6D16" w:rsidRDefault="00DD7D4A" w:rsidP="005A7DDA">
      <w:pPr>
        <w:pStyle w:val="ListParagraph"/>
        <w:numPr>
          <w:ilvl w:val="0"/>
          <w:numId w:val="137"/>
        </w:numPr>
        <w:spacing w:before="120" w:after="120" w:line="360" w:lineRule="auto"/>
        <w:jc w:val="both"/>
        <w:rPr>
          <w:rFonts w:cs="Arial"/>
          <w:color w:val="000000" w:themeColor="text1"/>
          <w:szCs w:val="24"/>
        </w:rPr>
      </w:pPr>
      <w:r>
        <w:rPr>
          <w:rFonts w:cs="Arial"/>
          <w:color w:val="000000" w:themeColor="text1"/>
          <w:szCs w:val="24"/>
        </w:rPr>
        <w:t>Share with the Commissioner</w:t>
      </w:r>
      <w:r w:rsidRPr="00CC6D16">
        <w:rPr>
          <w:rFonts w:cs="Arial"/>
          <w:color w:val="000000" w:themeColor="text1"/>
          <w:szCs w:val="24"/>
        </w:rPr>
        <w:t xml:space="preserve">  any information on other providers likely to be involved in the provision of care to people at the new service</w:t>
      </w:r>
      <w:r>
        <w:rPr>
          <w:rFonts w:cs="Arial"/>
          <w:color w:val="000000" w:themeColor="text1"/>
          <w:szCs w:val="24"/>
        </w:rPr>
        <w:t>.</w:t>
      </w:r>
    </w:p>
    <w:p w14:paraId="704A37B9" w14:textId="77777777" w:rsidR="00DD7D4A" w:rsidRPr="00CC6D16" w:rsidRDefault="00DD7D4A" w:rsidP="005A7DDA">
      <w:pPr>
        <w:pStyle w:val="ListParagraph"/>
        <w:numPr>
          <w:ilvl w:val="0"/>
          <w:numId w:val="137"/>
        </w:numPr>
        <w:spacing w:before="120" w:after="120" w:line="360" w:lineRule="auto"/>
        <w:jc w:val="both"/>
        <w:rPr>
          <w:rFonts w:cs="Arial"/>
          <w:color w:val="000000" w:themeColor="text1"/>
          <w:szCs w:val="24"/>
        </w:rPr>
      </w:pPr>
      <w:r w:rsidRPr="00CC6D16">
        <w:rPr>
          <w:rFonts w:cs="Arial"/>
          <w:color w:val="000000" w:themeColor="text1"/>
          <w:szCs w:val="24"/>
        </w:rPr>
        <w:t>Consider bringing forward inspection or other evaluative activities for alternative providers where only limited quality information is available (lead role)</w:t>
      </w:r>
    </w:p>
    <w:p w14:paraId="6A489DC7" w14:textId="77777777" w:rsidR="00DD7D4A" w:rsidRDefault="00DD7D4A" w:rsidP="00DD7D4A">
      <w:pPr>
        <w:pStyle w:val="ListParagraph"/>
        <w:spacing w:before="120" w:after="120" w:line="360" w:lineRule="auto"/>
        <w:ind w:left="1440"/>
        <w:jc w:val="both"/>
        <w:rPr>
          <w:rFonts w:cs="Arial"/>
          <w:b/>
          <w:i/>
          <w:color w:val="000000" w:themeColor="text1"/>
          <w:szCs w:val="24"/>
        </w:rPr>
      </w:pPr>
    </w:p>
    <w:p w14:paraId="7ED9D8F2" w14:textId="77777777" w:rsidR="00DD7D4A" w:rsidRPr="00750F88" w:rsidRDefault="00DD7D4A" w:rsidP="00DD7D4A">
      <w:pPr>
        <w:pStyle w:val="ListParagraph"/>
        <w:spacing w:before="120" w:after="120" w:line="360" w:lineRule="auto"/>
        <w:jc w:val="both"/>
        <w:rPr>
          <w:rFonts w:cs="Arial"/>
          <w:b/>
          <w:i/>
          <w:color w:val="000000" w:themeColor="text1"/>
          <w:szCs w:val="24"/>
        </w:rPr>
      </w:pPr>
      <w:r w:rsidRPr="00750F88">
        <w:rPr>
          <w:rFonts w:cs="Arial"/>
          <w:b/>
          <w:i/>
          <w:color w:val="000000" w:themeColor="text1"/>
          <w:szCs w:val="24"/>
        </w:rPr>
        <w:t>[Note ‘share with the Commissioner’ does not have to be in writing and could be verbal or as part of any scheduled or regular meetings]</w:t>
      </w:r>
    </w:p>
    <w:p w14:paraId="0664AD36" w14:textId="77777777" w:rsidR="00DD7D4A" w:rsidRPr="00E95140" w:rsidRDefault="00DD7D4A" w:rsidP="00DD7D4A">
      <w:pPr>
        <w:spacing w:before="120" w:after="120" w:line="360" w:lineRule="auto"/>
        <w:jc w:val="both"/>
      </w:pPr>
    </w:p>
    <w:p w14:paraId="5F55964E" w14:textId="77777777" w:rsidR="00DD7D4A" w:rsidRPr="00DD7D4A" w:rsidRDefault="00DD7D4A" w:rsidP="00DD7D4A">
      <w:pPr>
        <w:pStyle w:val="Heading3"/>
        <w:rPr>
          <w:b/>
        </w:rPr>
      </w:pPr>
      <w:r w:rsidRPr="00DD7D4A">
        <w:rPr>
          <w:b/>
        </w:rPr>
        <w:t>Local Medical Committee LMCs:</w:t>
      </w:r>
    </w:p>
    <w:p w14:paraId="7174162F" w14:textId="79C69C52" w:rsidR="00DD7D4A" w:rsidRPr="00CC6D16" w:rsidRDefault="00DD7D4A" w:rsidP="00DD7D4A">
      <w:pPr>
        <w:pStyle w:val="Heading4"/>
      </w:pPr>
      <w:r>
        <w:t xml:space="preserve">The </w:t>
      </w:r>
      <w:r w:rsidRPr="00CC6D16">
        <w:t>LMC</w:t>
      </w:r>
      <w:r>
        <w:t xml:space="preserve"> for the area</w:t>
      </w:r>
      <w:r w:rsidRPr="00CC6D16">
        <w:t xml:space="preserve"> will be engaged in </w:t>
      </w:r>
      <w:r>
        <w:t xml:space="preserve">the </w:t>
      </w:r>
      <w:r w:rsidRPr="00CC6D16">
        <w:t>following processes</w:t>
      </w:r>
      <w:r>
        <w:t>:</w:t>
      </w:r>
    </w:p>
    <w:p w14:paraId="0D83FFD7" w14:textId="77777777" w:rsidR="00DD7D4A" w:rsidRPr="00DD7D4A" w:rsidRDefault="00DD7D4A" w:rsidP="005A7DDA">
      <w:pPr>
        <w:pStyle w:val="ListParagraph"/>
        <w:numPr>
          <w:ilvl w:val="0"/>
          <w:numId w:val="137"/>
        </w:numPr>
        <w:spacing w:before="120" w:after="120" w:line="360" w:lineRule="auto"/>
        <w:jc w:val="both"/>
        <w:rPr>
          <w:rFonts w:cs="Arial"/>
          <w:color w:val="000000" w:themeColor="text1"/>
          <w:szCs w:val="24"/>
        </w:rPr>
      </w:pPr>
      <w:r w:rsidRPr="00DD7D4A">
        <w:rPr>
          <w:rFonts w:cs="Arial"/>
          <w:color w:val="000000" w:themeColor="text1"/>
          <w:szCs w:val="24"/>
        </w:rPr>
        <w:t>Made aware of the engagement occurring with patients.</w:t>
      </w:r>
    </w:p>
    <w:p w14:paraId="1BFA8AD6" w14:textId="77777777" w:rsidR="00DD7D4A" w:rsidRPr="00DD7D4A" w:rsidRDefault="00DD7D4A" w:rsidP="005A7DDA">
      <w:pPr>
        <w:pStyle w:val="ListParagraph"/>
        <w:numPr>
          <w:ilvl w:val="0"/>
          <w:numId w:val="137"/>
        </w:numPr>
        <w:spacing w:before="120" w:after="120" w:line="360" w:lineRule="auto"/>
        <w:jc w:val="both"/>
        <w:rPr>
          <w:rFonts w:cs="Arial"/>
          <w:color w:val="000000" w:themeColor="text1"/>
          <w:szCs w:val="24"/>
        </w:rPr>
      </w:pPr>
      <w:r w:rsidRPr="00DD7D4A">
        <w:rPr>
          <w:rFonts w:cs="Arial"/>
          <w:color w:val="000000" w:themeColor="text1"/>
          <w:szCs w:val="24"/>
        </w:rPr>
        <w:t>Made aware of any interim proposals and immediate next steps.</w:t>
      </w:r>
    </w:p>
    <w:p w14:paraId="75AD0244" w14:textId="77777777" w:rsidR="00DD7D4A" w:rsidRPr="00DD7D4A" w:rsidRDefault="00DD7D4A" w:rsidP="005A7DDA">
      <w:pPr>
        <w:pStyle w:val="ListParagraph"/>
        <w:numPr>
          <w:ilvl w:val="0"/>
          <w:numId w:val="137"/>
        </w:numPr>
        <w:spacing w:before="120" w:after="120" w:line="360" w:lineRule="auto"/>
        <w:jc w:val="both"/>
        <w:rPr>
          <w:rFonts w:cs="Arial"/>
          <w:color w:val="000000" w:themeColor="text1"/>
          <w:szCs w:val="24"/>
        </w:rPr>
      </w:pPr>
      <w:r w:rsidRPr="00DD7D4A">
        <w:rPr>
          <w:rFonts w:cs="Arial"/>
          <w:color w:val="000000" w:themeColor="text1"/>
          <w:szCs w:val="24"/>
        </w:rPr>
        <w:t>Made aware of any long terms plans.</w:t>
      </w:r>
    </w:p>
    <w:p w14:paraId="7D5DC272" w14:textId="5367F35E" w:rsidR="00DD7D4A" w:rsidRPr="009F318C" w:rsidRDefault="00DD7D4A" w:rsidP="00DD7D4A">
      <w:pPr>
        <w:spacing w:after="200" w:line="360" w:lineRule="auto"/>
        <w:ind w:left="720"/>
        <w:jc w:val="both"/>
        <w:rPr>
          <w:rFonts w:cs="Arial"/>
          <w:szCs w:val="24"/>
        </w:rPr>
      </w:pPr>
      <w:r>
        <w:rPr>
          <w:rFonts w:cs="Arial"/>
          <w:szCs w:val="24"/>
        </w:rPr>
        <w:t xml:space="preserve">This LMC section recognises that LMCs will </w:t>
      </w:r>
      <w:r w:rsidRPr="00750F88">
        <w:rPr>
          <w:rFonts w:cs="Arial"/>
          <w:szCs w:val="24"/>
        </w:rPr>
        <w:t>champion the welfare of its members and wider practice staff.</w:t>
      </w:r>
    </w:p>
    <w:p w14:paraId="4D9AB984" w14:textId="1336359D" w:rsidR="00DD7D4A" w:rsidRPr="00DD7D4A" w:rsidRDefault="00DD7D4A" w:rsidP="00DD7D4A">
      <w:pPr>
        <w:pStyle w:val="Heading2"/>
      </w:pPr>
      <w:bookmarkStart w:id="1429" w:name="_Toc498495457"/>
      <w:r w:rsidRPr="00DD7D4A">
        <w:t>The Process</w:t>
      </w:r>
      <w:bookmarkEnd w:id="1429"/>
    </w:p>
    <w:p w14:paraId="7C8EEBD7" w14:textId="0341AB39" w:rsidR="00DD7D4A" w:rsidRPr="00CC6D16" w:rsidRDefault="00DD7D4A" w:rsidP="00DD7D4A">
      <w:pPr>
        <w:pStyle w:val="Heading3"/>
      </w:pPr>
      <w:r>
        <w:t xml:space="preserve">The process for a </w:t>
      </w:r>
      <w:r w:rsidRPr="00CC6D16">
        <w:t xml:space="preserve">planned </w:t>
      </w:r>
      <w:r>
        <w:t>p</w:t>
      </w:r>
      <w:r w:rsidRPr="00CC6D16">
        <w:t>ractice closedown commence</w:t>
      </w:r>
      <w:r>
        <w:t>s</w:t>
      </w:r>
      <w:r w:rsidRPr="00CC6D16">
        <w:t xml:space="preserve"> between 9 and 15 months prior to the scheduled end date of </w:t>
      </w:r>
      <w:r>
        <w:t>the</w:t>
      </w:r>
      <w:r w:rsidRPr="00CC6D16">
        <w:t xml:space="preserve"> contract</w:t>
      </w:r>
      <w:r>
        <w:t>.</w:t>
      </w:r>
      <w:r w:rsidRPr="00CC6D16">
        <w:t xml:space="preserve"> </w:t>
      </w:r>
      <w:r>
        <w:t>For</w:t>
      </w:r>
      <w:r w:rsidRPr="00CC6D16">
        <w:t xml:space="preserve"> unplanned closure</w:t>
      </w:r>
      <w:r>
        <w:t>(s)</w:t>
      </w:r>
      <w:r w:rsidRPr="00CC6D16">
        <w:t xml:space="preserve">, it will be necessary to undertake a rapid assessment and determine the most appropriate course of action.  </w:t>
      </w:r>
    </w:p>
    <w:p w14:paraId="536C3BD0" w14:textId="3C0C52EA" w:rsidR="00DD7D4A" w:rsidRPr="00CC6D16" w:rsidRDefault="00DD7D4A" w:rsidP="00DD7D4A">
      <w:pPr>
        <w:pStyle w:val="Heading3"/>
      </w:pPr>
      <w:r w:rsidRPr="00CC6D16">
        <w:t xml:space="preserve">In the large majority of cases </w:t>
      </w:r>
      <w:r w:rsidRPr="000E798A">
        <w:t>where</w:t>
      </w:r>
      <w:r w:rsidRPr="00CC6D16">
        <w:t xml:space="preserve"> closure is rapid (i.e. immediate removal of CQC registration) </w:t>
      </w:r>
      <w:r>
        <w:t xml:space="preserve"> the most appropriate course of action</w:t>
      </w:r>
      <w:r w:rsidRPr="00CC6D16">
        <w:t xml:space="preserve"> will </w:t>
      </w:r>
      <w:r>
        <w:t>likely</w:t>
      </w:r>
      <w:r w:rsidRPr="00CC6D16">
        <w:t xml:space="preserve"> involve a</w:t>
      </w:r>
      <w:r>
        <w:t>n initial</w:t>
      </w:r>
      <w:r w:rsidRPr="00CC6D16">
        <w:t xml:space="preserve"> ‘caretaker’</w:t>
      </w:r>
      <w:r>
        <w:t xml:space="preserve"> arrangement</w:t>
      </w:r>
      <w:r w:rsidRPr="00CC6D16">
        <w:t xml:space="preserve"> (another GP or GP Practice team) temporarily overseeing the practice</w:t>
      </w:r>
      <w:r>
        <w:t xml:space="preserve"> at the closing practice's existing premises</w:t>
      </w:r>
      <w:r w:rsidRPr="00CC6D16">
        <w:t xml:space="preserve"> and the care of its registered list.</w:t>
      </w:r>
      <w:r>
        <w:t xml:space="preserve">  Please refer to the section on Urgent Contracts in  </w:t>
      </w:r>
      <w:r w:rsidR="003E2429">
        <w:t xml:space="preserve">Part B, </w:t>
      </w:r>
      <w:r>
        <w:t xml:space="preserve">chapter </w:t>
      </w:r>
      <w:r w:rsidR="003E2429">
        <w:t>1</w:t>
      </w:r>
      <w:r>
        <w:t xml:space="preserve"> </w:t>
      </w:r>
      <w:hyperlink w:anchor="_Urgent_Contracts" w:history="1">
        <w:r w:rsidR="003E2429">
          <w:rPr>
            <w:rStyle w:val="Hyperlink"/>
          </w:rPr>
          <w:t>&lt;Urgent Contracts&gt;</w:t>
        </w:r>
      </w:hyperlink>
      <w:r w:rsidR="003E2429">
        <w:t>.</w:t>
      </w:r>
    </w:p>
    <w:p w14:paraId="710DB1D1" w14:textId="7F7F34BE" w:rsidR="00DD7D4A" w:rsidRPr="00B05A78" w:rsidRDefault="00DD7D4A" w:rsidP="00DD7D4A">
      <w:pPr>
        <w:pStyle w:val="Heading3"/>
      </w:pPr>
      <w:r w:rsidRPr="00CC6D16">
        <w:t xml:space="preserve">In the very unusual circumstance that this is not possible, it may be necessary to rapidly disperse the list.  Whilst the </w:t>
      </w:r>
      <w:r>
        <w:t>NHS Constitution is clear that patients have a right to choose their GP practice, to mitigate against the risk of patients being without care, the Commissioner may temporarily assign a patient to an alternative provider.   However the patient must be advised of the rights under the NHS Constitution.  to change at any time.</w:t>
      </w:r>
    </w:p>
    <w:p w14:paraId="356B9E88" w14:textId="77777777" w:rsidR="00DD7D4A" w:rsidRDefault="00DD7D4A" w:rsidP="00DD7D4A">
      <w:pPr>
        <w:pStyle w:val="Heading3"/>
      </w:pPr>
      <w:r>
        <w:t xml:space="preserve">Patient assignment is also possible during any list dispersal (i.e. at the end of a ‘caretaker period’) for the same reason. This should be as a last resort, such that the commissioner has been unable to make contact with the patient.  </w:t>
      </w:r>
    </w:p>
    <w:p w14:paraId="283E6B88" w14:textId="77777777" w:rsidR="00DD7D4A" w:rsidRPr="00B05A78" w:rsidRDefault="00DD7D4A" w:rsidP="00DD7D4A">
      <w:pPr>
        <w:pStyle w:val="ListParagraph"/>
        <w:jc w:val="both"/>
        <w:rPr>
          <w:rFonts w:cs="Arial"/>
          <w:color w:val="000000" w:themeColor="text1"/>
          <w:szCs w:val="24"/>
        </w:rPr>
      </w:pPr>
    </w:p>
    <w:p w14:paraId="7DB00782" w14:textId="77777777" w:rsidR="00DD7D4A" w:rsidRDefault="00DD7D4A" w:rsidP="00DD7D4A">
      <w:pPr>
        <w:pStyle w:val="Heading2"/>
      </w:pPr>
      <w:bookmarkStart w:id="1430" w:name="_Toc498495458"/>
      <w:r w:rsidRPr="00B05A78">
        <w:t>Key Steps</w:t>
      </w:r>
      <w:r>
        <w:t xml:space="preserve"> (in the case of a list dispersal)</w:t>
      </w:r>
      <w:bookmarkEnd w:id="1430"/>
    </w:p>
    <w:p w14:paraId="651D14E3" w14:textId="77777777" w:rsidR="00DD7D4A" w:rsidRPr="00B05A78" w:rsidRDefault="00DD7D4A" w:rsidP="00DD7D4A">
      <w:pPr>
        <w:pStyle w:val="ListParagraph"/>
        <w:spacing w:before="120" w:after="120" w:line="276" w:lineRule="auto"/>
        <w:jc w:val="both"/>
        <w:rPr>
          <w:rFonts w:cs="Arial"/>
          <w:b/>
          <w:color w:val="0072CE" w:themeColor="accent2"/>
          <w:szCs w:val="24"/>
        </w:rPr>
      </w:pPr>
    </w:p>
    <w:p w14:paraId="27B742AD" w14:textId="77777777" w:rsidR="00DD7D4A" w:rsidRPr="00DD7D4A" w:rsidRDefault="00DD7D4A" w:rsidP="005A7DDA">
      <w:pPr>
        <w:pStyle w:val="ListParagraph"/>
        <w:numPr>
          <w:ilvl w:val="0"/>
          <w:numId w:val="138"/>
        </w:numPr>
        <w:spacing w:before="120" w:after="120" w:line="360" w:lineRule="auto"/>
        <w:jc w:val="both"/>
        <w:rPr>
          <w:rFonts w:cs="Arial"/>
          <w:color w:val="000000" w:themeColor="text1"/>
          <w:szCs w:val="24"/>
        </w:rPr>
      </w:pPr>
      <w:r w:rsidRPr="00DD7D4A">
        <w:rPr>
          <w:rFonts w:cs="Arial"/>
          <w:color w:val="000000" w:themeColor="text1"/>
          <w:szCs w:val="24"/>
        </w:rPr>
        <w:t>Patients are contacted in the first instance advising them of the list dispersal and available options (i.e. neighbouring practices accepting patients)</w:t>
      </w:r>
    </w:p>
    <w:p w14:paraId="3C85A424" w14:textId="77777777" w:rsidR="00DD7D4A" w:rsidRPr="00DD7D4A" w:rsidRDefault="00DD7D4A" w:rsidP="005A7DDA">
      <w:pPr>
        <w:pStyle w:val="ListParagraph"/>
        <w:numPr>
          <w:ilvl w:val="0"/>
          <w:numId w:val="138"/>
        </w:numPr>
        <w:spacing w:before="120" w:after="120" w:line="360" w:lineRule="auto"/>
        <w:jc w:val="both"/>
        <w:rPr>
          <w:rFonts w:cs="Arial"/>
          <w:color w:val="000000" w:themeColor="text1"/>
          <w:szCs w:val="24"/>
        </w:rPr>
      </w:pPr>
      <w:r w:rsidRPr="00DD7D4A">
        <w:rPr>
          <w:rFonts w:cs="Arial"/>
          <w:color w:val="000000" w:themeColor="text1"/>
          <w:szCs w:val="24"/>
        </w:rPr>
        <w:t xml:space="preserve">In the event of no response or no registration at another practice, patients are re-contacted advising them again of the list dispersal and available options (i.e. neighbouring practices accepting patients).  The patient should also be advised at this point that, in order to prevent risk to ongoing patient care, particularly in vulnerable patient groups, patients that do not re-register or contact the commissioner to advise them that they do not wish to be registered with a GP, will be allocated to another practice. </w:t>
      </w:r>
    </w:p>
    <w:p w14:paraId="6DF6C2E1" w14:textId="77777777" w:rsidR="00DD7D4A" w:rsidRPr="00DD7D4A" w:rsidRDefault="00DD7D4A" w:rsidP="005A7DDA">
      <w:pPr>
        <w:pStyle w:val="ListParagraph"/>
        <w:numPr>
          <w:ilvl w:val="0"/>
          <w:numId w:val="138"/>
        </w:numPr>
        <w:spacing w:before="120" w:after="120" w:line="360" w:lineRule="auto"/>
        <w:jc w:val="both"/>
        <w:rPr>
          <w:rFonts w:cs="Arial"/>
          <w:color w:val="000000" w:themeColor="text1"/>
          <w:szCs w:val="24"/>
        </w:rPr>
      </w:pPr>
      <w:r w:rsidRPr="00DD7D4A">
        <w:rPr>
          <w:rFonts w:cs="Arial"/>
          <w:color w:val="000000" w:themeColor="text1"/>
          <w:szCs w:val="24"/>
        </w:rPr>
        <w:t>In the event of no response or no registration at another practice following the second reminder, patients are allocated to a GP according to paragraphs 23-31 of Schedule 2 of the GMS Regulations or paragraph 22-30 of Schedule 2 of the PMS Regulations (see extracted wording in Annex 1) and in accordance with any relevant parts of the [insert reference to chapter of policy book on list maintenance].</w:t>
      </w:r>
    </w:p>
    <w:p w14:paraId="2E9F2EB8" w14:textId="77777777" w:rsidR="00DD7D4A" w:rsidRPr="00DD7D4A" w:rsidRDefault="00DD7D4A" w:rsidP="005A7DDA">
      <w:pPr>
        <w:pStyle w:val="ListParagraph"/>
        <w:numPr>
          <w:ilvl w:val="0"/>
          <w:numId w:val="138"/>
        </w:numPr>
        <w:spacing w:before="120" w:after="120" w:line="360" w:lineRule="auto"/>
        <w:jc w:val="both"/>
        <w:rPr>
          <w:rFonts w:cs="Arial"/>
          <w:color w:val="000000" w:themeColor="text1"/>
          <w:szCs w:val="24"/>
        </w:rPr>
      </w:pPr>
      <w:r w:rsidRPr="00DD7D4A">
        <w:rPr>
          <w:rFonts w:cs="Arial"/>
          <w:color w:val="000000" w:themeColor="text1"/>
          <w:szCs w:val="24"/>
        </w:rPr>
        <w:t>The patient must then be notified in writing of the allocation, the reason for the allocation and of their rights under the NHS Constitution to de-register, or re-register at an alternative GP practice should they wish.</w:t>
      </w:r>
    </w:p>
    <w:p w14:paraId="2BD021C9" w14:textId="77777777" w:rsidR="00DD7D4A" w:rsidRPr="00DD7D4A" w:rsidRDefault="00DD7D4A" w:rsidP="005A7DDA">
      <w:pPr>
        <w:pStyle w:val="ListParagraph"/>
        <w:numPr>
          <w:ilvl w:val="0"/>
          <w:numId w:val="138"/>
        </w:numPr>
        <w:spacing w:before="120" w:after="120" w:line="360" w:lineRule="auto"/>
        <w:jc w:val="both"/>
        <w:rPr>
          <w:rFonts w:cs="Arial"/>
          <w:color w:val="000000" w:themeColor="text1"/>
          <w:szCs w:val="24"/>
        </w:rPr>
      </w:pPr>
      <w:r w:rsidRPr="00DD7D4A">
        <w:rPr>
          <w:rFonts w:cs="Arial"/>
          <w:color w:val="000000" w:themeColor="text1"/>
          <w:szCs w:val="24"/>
        </w:rPr>
        <w:t xml:space="preserve">It is </w:t>
      </w:r>
      <w:r w:rsidRPr="00DD7D4A">
        <w:rPr>
          <w:rFonts w:cs="Arial"/>
          <w:b/>
          <w:color w:val="000000" w:themeColor="text1"/>
          <w:szCs w:val="24"/>
          <w:u w:val="single"/>
        </w:rPr>
        <w:t>imperative</w:t>
      </w:r>
      <w:r w:rsidRPr="00DD7D4A">
        <w:rPr>
          <w:rFonts w:cs="Arial"/>
          <w:color w:val="000000" w:themeColor="text1"/>
          <w:szCs w:val="24"/>
        </w:rPr>
        <w:t xml:space="preserve"> that at the end of the process, all patient records (</w:t>
      </w:r>
      <w:r w:rsidRPr="00DD7D4A">
        <w:rPr>
          <w:rFonts w:cs="Arial"/>
          <w:b/>
          <w:color w:val="000000" w:themeColor="text1"/>
          <w:szCs w:val="24"/>
        </w:rPr>
        <w:t>including digital records</w:t>
      </w:r>
      <w:r w:rsidRPr="00DD7D4A">
        <w:rPr>
          <w:rFonts w:cs="Arial"/>
          <w:color w:val="000000" w:themeColor="text1"/>
          <w:szCs w:val="24"/>
        </w:rPr>
        <w:t>) and any clinical correspondence are transferred to the provider with whom the patient has registered.  This process will generally be routine and in any case is triggered for digital records when the patient registers at an alternative practice.</w:t>
      </w:r>
    </w:p>
    <w:p w14:paraId="6AACE6CC" w14:textId="4E0F12C9" w:rsidR="00DD7D4A" w:rsidRPr="00DD7D4A" w:rsidRDefault="00DD7D4A" w:rsidP="005A7DDA">
      <w:pPr>
        <w:pStyle w:val="ListParagraph"/>
        <w:numPr>
          <w:ilvl w:val="0"/>
          <w:numId w:val="138"/>
        </w:numPr>
        <w:spacing w:before="120" w:after="120" w:line="360" w:lineRule="auto"/>
        <w:jc w:val="both"/>
        <w:rPr>
          <w:rFonts w:cs="Arial"/>
          <w:color w:val="000000" w:themeColor="text1"/>
          <w:szCs w:val="24"/>
        </w:rPr>
      </w:pPr>
      <w:r w:rsidRPr="00DD7D4A">
        <w:rPr>
          <w:rFonts w:cs="Arial"/>
          <w:color w:val="000000" w:themeColor="text1"/>
          <w:szCs w:val="24"/>
        </w:rPr>
        <w:t xml:space="preserve">The GP Clinical system should be monitored by the Commissioner or nominated IT Delivery Partner for diminishing patient list. The GP Clinical system should not be decommissioned until all patients dispersed/re-registered either with their practice of choice, allocation or in the case of Orphaned Records (where </w:t>
      </w:r>
      <w:r w:rsidR="00975B2C" w:rsidRPr="00DD7D4A">
        <w:rPr>
          <w:rFonts w:cs="Arial"/>
          <w:color w:val="000000" w:themeColor="text1"/>
          <w:szCs w:val="24"/>
        </w:rPr>
        <w:t>neither allocation nor</w:t>
      </w:r>
      <w:r w:rsidRPr="00DD7D4A">
        <w:rPr>
          <w:rFonts w:cs="Arial"/>
          <w:color w:val="000000" w:themeColor="text1"/>
          <w:szCs w:val="24"/>
        </w:rPr>
        <w:t xml:space="preserve"> re-registration occurs) the records transfer to NHSE as the data controller.</w:t>
      </w:r>
    </w:p>
    <w:p w14:paraId="061F0498" w14:textId="0E67E083" w:rsidR="00DD7D4A" w:rsidRPr="00DD7D4A" w:rsidRDefault="00DD7D4A" w:rsidP="005A7DDA">
      <w:pPr>
        <w:pStyle w:val="ListParagraph"/>
        <w:numPr>
          <w:ilvl w:val="0"/>
          <w:numId w:val="138"/>
        </w:numPr>
        <w:spacing w:before="120" w:after="120" w:line="360" w:lineRule="auto"/>
        <w:jc w:val="both"/>
        <w:rPr>
          <w:rFonts w:cs="Arial"/>
          <w:color w:val="000000" w:themeColor="text1"/>
          <w:szCs w:val="24"/>
        </w:rPr>
      </w:pPr>
      <w:r w:rsidRPr="00DD7D4A">
        <w:rPr>
          <w:rFonts w:cs="Arial"/>
          <w:color w:val="000000" w:themeColor="text1"/>
          <w:szCs w:val="24"/>
        </w:rPr>
        <w:t xml:space="preserve">Allocations should however have regard to paragraphs 23 to 31 of Schedule 3, Part 2 of the 2015 GMS Regulations, and paragraphs 22 to 30 of Schedule </w:t>
      </w:r>
      <w:r w:rsidR="00187800">
        <w:rPr>
          <w:rFonts w:cs="Arial"/>
          <w:color w:val="000000" w:themeColor="text1"/>
          <w:szCs w:val="24"/>
        </w:rPr>
        <w:t>2, Part 2 of the 2015 P</w:t>
      </w:r>
      <w:r w:rsidRPr="00DD7D4A">
        <w:rPr>
          <w:rFonts w:cs="Arial"/>
          <w:color w:val="000000" w:themeColor="text1"/>
          <w:szCs w:val="24"/>
        </w:rPr>
        <w:t>MS Regulations, in relation to removal of patients (see below)</w:t>
      </w:r>
    </w:p>
    <w:p w14:paraId="6EFFDE95" w14:textId="77777777" w:rsidR="00DD7D4A" w:rsidRDefault="00DD7D4A" w:rsidP="00DD7D4A">
      <w:pPr>
        <w:pStyle w:val="ListParagraph"/>
        <w:spacing w:before="120" w:after="120" w:line="360" w:lineRule="auto"/>
        <w:ind w:left="2160"/>
        <w:jc w:val="both"/>
        <w:rPr>
          <w:rFonts w:cs="Arial"/>
          <w:color w:val="000000" w:themeColor="text1"/>
          <w:szCs w:val="24"/>
        </w:rPr>
      </w:pPr>
    </w:p>
    <w:p w14:paraId="690AF024" w14:textId="77777777" w:rsidR="00DD7D4A" w:rsidRPr="002936E7" w:rsidRDefault="00DD7D4A" w:rsidP="005A7DDA">
      <w:pPr>
        <w:pStyle w:val="ListParagraph"/>
        <w:numPr>
          <w:ilvl w:val="0"/>
          <w:numId w:val="137"/>
        </w:numPr>
        <w:spacing w:before="120" w:after="120" w:line="360" w:lineRule="auto"/>
        <w:jc w:val="both"/>
        <w:rPr>
          <w:rFonts w:cs="Arial"/>
          <w:color w:val="000000" w:themeColor="text1"/>
          <w:szCs w:val="24"/>
        </w:rPr>
      </w:pPr>
      <w:r w:rsidRPr="002936E7">
        <w:rPr>
          <w:rFonts w:cs="Arial"/>
          <w:color w:val="000000" w:themeColor="text1"/>
          <w:szCs w:val="24"/>
        </w:rPr>
        <w:t>Removal from the list at the request of the patient</w:t>
      </w:r>
    </w:p>
    <w:p w14:paraId="63AB7236" w14:textId="77777777" w:rsidR="00DD7D4A" w:rsidRPr="002936E7" w:rsidRDefault="00DD7D4A" w:rsidP="005A7DDA">
      <w:pPr>
        <w:pStyle w:val="ListParagraph"/>
        <w:numPr>
          <w:ilvl w:val="0"/>
          <w:numId w:val="137"/>
        </w:numPr>
        <w:spacing w:before="120" w:after="120" w:line="360" w:lineRule="auto"/>
        <w:jc w:val="both"/>
        <w:rPr>
          <w:rFonts w:cs="Arial"/>
          <w:color w:val="000000" w:themeColor="text1"/>
          <w:szCs w:val="24"/>
        </w:rPr>
      </w:pPr>
      <w:r w:rsidRPr="002936E7">
        <w:rPr>
          <w:rFonts w:cs="Arial"/>
          <w:color w:val="000000" w:themeColor="text1"/>
          <w:szCs w:val="24"/>
        </w:rPr>
        <w:t>Removal from the list at the request of the contractor</w:t>
      </w:r>
    </w:p>
    <w:p w14:paraId="4349795A" w14:textId="77777777" w:rsidR="00DD7D4A" w:rsidRPr="002936E7" w:rsidRDefault="00DD7D4A" w:rsidP="005A7DDA">
      <w:pPr>
        <w:pStyle w:val="ListParagraph"/>
        <w:numPr>
          <w:ilvl w:val="0"/>
          <w:numId w:val="137"/>
        </w:numPr>
        <w:spacing w:before="120" w:after="120" w:line="360" w:lineRule="auto"/>
        <w:jc w:val="both"/>
        <w:rPr>
          <w:rFonts w:cs="Arial"/>
          <w:color w:val="000000" w:themeColor="text1"/>
          <w:szCs w:val="24"/>
        </w:rPr>
      </w:pPr>
      <w:r w:rsidRPr="002936E7">
        <w:rPr>
          <w:rFonts w:cs="Arial"/>
          <w:color w:val="000000" w:themeColor="text1"/>
          <w:szCs w:val="24"/>
        </w:rPr>
        <w:t>Removal from the list of patients who are violent</w:t>
      </w:r>
    </w:p>
    <w:p w14:paraId="74C15592" w14:textId="77777777" w:rsidR="00DD7D4A" w:rsidRPr="002936E7" w:rsidRDefault="00DD7D4A" w:rsidP="005A7DDA">
      <w:pPr>
        <w:pStyle w:val="ListParagraph"/>
        <w:numPr>
          <w:ilvl w:val="0"/>
          <w:numId w:val="137"/>
        </w:numPr>
        <w:spacing w:before="120" w:after="120" w:line="360" w:lineRule="auto"/>
        <w:jc w:val="both"/>
        <w:rPr>
          <w:rFonts w:cs="Arial"/>
          <w:color w:val="000000" w:themeColor="text1"/>
          <w:szCs w:val="24"/>
        </w:rPr>
      </w:pPr>
      <w:r w:rsidRPr="002936E7">
        <w:rPr>
          <w:rFonts w:cs="Arial"/>
          <w:color w:val="000000" w:themeColor="text1"/>
          <w:szCs w:val="24"/>
        </w:rPr>
        <w:t>Removal from the list of patients registered elsewhere</w:t>
      </w:r>
    </w:p>
    <w:p w14:paraId="37FCC71D" w14:textId="77777777" w:rsidR="00DD7D4A" w:rsidRPr="002936E7" w:rsidRDefault="00DD7D4A" w:rsidP="005A7DDA">
      <w:pPr>
        <w:pStyle w:val="ListParagraph"/>
        <w:numPr>
          <w:ilvl w:val="0"/>
          <w:numId w:val="137"/>
        </w:numPr>
        <w:spacing w:before="120" w:after="120" w:line="360" w:lineRule="auto"/>
        <w:jc w:val="both"/>
        <w:rPr>
          <w:rFonts w:cs="Arial"/>
          <w:color w:val="000000" w:themeColor="text1"/>
          <w:szCs w:val="24"/>
        </w:rPr>
      </w:pPr>
      <w:r w:rsidRPr="002936E7">
        <w:rPr>
          <w:rFonts w:cs="Arial"/>
          <w:color w:val="000000" w:themeColor="text1"/>
          <w:szCs w:val="24"/>
        </w:rPr>
        <w:t>Removal from the list of patients who have moved</w:t>
      </w:r>
    </w:p>
    <w:p w14:paraId="776F6DC9" w14:textId="77777777" w:rsidR="00DD7D4A" w:rsidRPr="002936E7" w:rsidRDefault="00DD7D4A" w:rsidP="005A7DDA">
      <w:pPr>
        <w:pStyle w:val="ListParagraph"/>
        <w:numPr>
          <w:ilvl w:val="0"/>
          <w:numId w:val="137"/>
        </w:numPr>
        <w:spacing w:before="120" w:after="120" w:line="360" w:lineRule="auto"/>
        <w:jc w:val="both"/>
        <w:rPr>
          <w:rFonts w:cs="Arial"/>
          <w:color w:val="000000" w:themeColor="text1"/>
          <w:szCs w:val="24"/>
        </w:rPr>
      </w:pPr>
      <w:r w:rsidRPr="002936E7">
        <w:rPr>
          <w:rFonts w:cs="Arial"/>
          <w:color w:val="000000" w:themeColor="text1"/>
          <w:szCs w:val="24"/>
        </w:rPr>
        <w:t>Removal from list of patients whose address is unknown</w:t>
      </w:r>
    </w:p>
    <w:p w14:paraId="08D3B873" w14:textId="77777777" w:rsidR="00DD7D4A" w:rsidRPr="002936E7" w:rsidRDefault="00DD7D4A" w:rsidP="005A7DDA">
      <w:pPr>
        <w:pStyle w:val="ListParagraph"/>
        <w:numPr>
          <w:ilvl w:val="0"/>
          <w:numId w:val="137"/>
        </w:numPr>
        <w:spacing w:before="120" w:after="120" w:line="360" w:lineRule="auto"/>
        <w:jc w:val="both"/>
        <w:rPr>
          <w:rFonts w:cs="Arial"/>
          <w:color w:val="000000" w:themeColor="text1"/>
          <w:szCs w:val="24"/>
        </w:rPr>
      </w:pPr>
      <w:r w:rsidRPr="002936E7">
        <w:rPr>
          <w:rFonts w:cs="Arial"/>
          <w:color w:val="000000" w:themeColor="text1"/>
          <w:szCs w:val="24"/>
        </w:rPr>
        <w:t>Removal from the list of patients absent from the United Kingdom etc.</w:t>
      </w:r>
    </w:p>
    <w:p w14:paraId="3D57D3FE" w14:textId="77777777" w:rsidR="00DD7D4A" w:rsidRPr="002936E7" w:rsidRDefault="00DD7D4A" w:rsidP="005A7DDA">
      <w:pPr>
        <w:pStyle w:val="ListParagraph"/>
        <w:numPr>
          <w:ilvl w:val="0"/>
          <w:numId w:val="137"/>
        </w:numPr>
        <w:spacing w:before="120" w:after="120" w:line="360" w:lineRule="auto"/>
        <w:jc w:val="both"/>
        <w:rPr>
          <w:rFonts w:cs="Arial"/>
          <w:color w:val="000000" w:themeColor="text1"/>
          <w:szCs w:val="24"/>
        </w:rPr>
      </w:pPr>
      <w:r w:rsidRPr="002936E7">
        <w:rPr>
          <w:rFonts w:cs="Arial"/>
          <w:color w:val="000000" w:themeColor="text1"/>
          <w:szCs w:val="24"/>
        </w:rPr>
        <w:t>Removal from the list of patients accepted elsewhere as temporary residents</w:t>
      </w:r>
    </w:p>
    <w:p w14:paraId="6D6C844C" w14:textId="77777777" w:rsidR="00DD7D4A" w:rsidRPr="002936E7" w:rsidRDefault="00DD7D4A" w:rsidP="005A7DDA">
      <w:pPr>
        <w:pStyle w:val="ListParagraph"/>
        <w:numPr>
          <w:ilvl w:val="0"/>
          <w:numId w:val="137"/>
        </w:numPr>
        <w:spacing w:before="120" w:after="120" w:line="360" w:lineRule="auto"/>
        <w:jc w:val="both"/>
        <w:rPr>
          <w:rFonts w:cs="Arial"/>
          <w:color w:val="000000" w:themeColor="text1"/>
          <w:szCs w:val="24"/>
        </w:rPr>
      </w:pPr>
      <w:r w:rsidRPr="002936E7">
        <w:rPr>
          <w:rFonts w:cs="Arial"/>
          <w:color w:val="000000" w:themeColor="text1"/>
          <w:szCs w:val="24"/>
        </w:rPr>
        <w:t>Removal from a list of pupils etc. of a school</w:t>
      </w:r>
    </w:p>
    <w:p w14:paraId="771C4D52" w14:textId="77777777" w:rsidR="00DD7D4A" w:rsidRPr="002936E7" w:rsidRDefault="00DD7D4A" w:rsidP="005A7DDA">
      <w:pPr>
        <w:pStyle w:val="ListParagraph"/>
        <w:numPr>
          <w:ilvl w:val="0"/>
          <w:numId w:val="137"/>
        </w:numPr>
        <w:spacing w:before="120" w:after="120" w:line="360" w:lineRule="auto"/>
        <w:jc w:val="both"/>
        <w:rPr>
          <w:rFonts w:cs="Arial"/>
          <w:color w:val="000000" w:themeColor="text1"/>
          <w:szCs w:val="24"/>
        </w:rPr>
      </w:pPr>
      <w:r w:rsidRPr="002936E7">
        <w:rPr>
          <w:rFonts w:cs="Arial"/>
          <w:color w:val="000000" w:themeColor="text1"/>
          <w:szCs w:val="24"/>
        </w:rPr>
        <w:t>Termination of responsibility for patients not registered with the contractor</w:t>
      </w:r>
    </w:p>
    <w:p w14:paraId="13CF2A6B" w14:textId="77777777" w:rsidR="00DD7D4A" w:rsidRDefault="00DD7D4A" w:rsidP="00DD7D4A">
      <w:pPr>
        <w:spacing w:before="120" w:after="120" w:line="360" w:lineRule="auto"/>
        <w:jc w:val="both"/>
        <w:rPr>
          <w:rFonts w:cs="Arial"/>
          <w:b/>
          <w:color w:val="000000" w:themeColor="text1"/>
          <w:szCs w:val="24"/>
          <w:u w:val="single"/>
        </w:rPr>
      </w:pPr>
    </w:p>
    <w:p w14:paraId="0D9B0671" w14:textId="77777777" w:rsidR="00DD7D4A" w:rsidRPr="00DD7D4A" w:rsidRDefault="00DD7D4A" w:rsidP="00DD7D4A">
      <w:pPr>
        <w:pStyle w:val="Heading3"/>
      </w:pPr>
      <w:r w:rsidRPr="00DD7D4A">
        <w:t>They should also have regard to paragraph 40 (GMS) and 39 (PMS) ‘factors relevant to assignments’</w:t>
      </w:r>
    </w:p>
    <w:p w14:paraId="222139A5" w14:textId="77777777" w:rsidR="00DD7D4A" w:rsidRDefault="00DD7D4A" w:rsidP="00DD7D4A">
      <w:pPr>
        <w:pStyle w:val="legp1paratext"/>
        <w:shd w:val="clear" w:color="auto" w:fill="FFFFFF"/>
        <w:spacing w:before="0" w:beforeAutospacing="0" w:after="120" w:afterAutospacing="0" w:line="360" w:lineRule="atLeast"/>
        <w:ind w:left="1440"/>
        <w:jc w:val="both"/>
        <w:rPr>
          <w:rFonts w:ascii="Arial" w:hAnsi="Arial" w:cs="Arial"/>
          <w:color w:val="000000" w:themeColor="text1"/>
        </w:rPr>
      </w:pPr>
    </w:p>
    <w:p w14:paraId="6476913C" w14:textId="77777777" w:rsidR="00DD7D4A" w:rsidRPr="00A65787" w:rsidRDefault="00DD7D4A" w:rsidP="00DD7D4A">
      <w:pPr>
        <w:pStyle w:val="legp1paratext"/>
        <w:shd w:val="clear" w:color="auto" w:fill="FFFFFF"/>
        <w:spacing w:before="0" w:beforeAutospacing="0" w:after="120" w:afterAutospacing="0" w:line="360" w:lineRule="atLeast"/>
        <w:ind w:left="1440"/>
        <w:jc w:val="both"/>
        <w:rPr>
          <w:rFonts w:ascii="Arial" w:hAnsi="Arial" w:cs="Arial"/>
          <w:color w:val="000000" w:themeColor="text1"/>
        </w:rPr>
      </w:pPr>
      <w:r w:rsidRPr="00A65787">
        <w:rPr>
          <w:rFonts w:ascii="Arial" w:hAnsi="Arial" w:cs="Arial"/>
          <w:color w:val="000000" w:themeColor="text1"/>
        </w:rPr>
        <w:t xml:space="preserve">When assigning a person as a new patient to a contractor’s list of patients under paragraph 38(1)(a) or (b), the Board must have regard to— </w:t>
      </w:r>
    </w:p>
    <w:p w14:paraId="33AEA036" w14:textId="77777777" w:rsidR="00DD7D4A" w:rsidRPr="00A65787" w:rsidRDefault="00DD7D4A" w:rsidP="00DD7D4A">
      <w:pPr>
        <w:pStyle w:val="legclearfix"/>
        <w:shd w:val="clear" w:color="auto" w:fill="FFFFFF"/>
        <w:spacing w:before="0" w:beforeAutospacing="0" w:after="120" w:afterAutospacing="0" w:line="360" w:lineRule="atLeast"/>
        <w:ind w:left="2160"/>
        <w:rPr>
          <w:rFonts w:ascii="Arial" w:hAnsi="Arial" w:cs="Arial"/>
          <w:color w:val="000000" w:themeColor="text1"/>
        </w:rPr>
      </w:pPr>
      <w:r w:rsidRPr="00A65787">
        <w:rPr>
          <w:rStyle w:val="legds"/>
          <w:rFonts w:ascii="Arial" w:hAnsi="Arial" w:cs="Arial"/>
          <w:color w:val="000000" w:themeColor="text1"/>
        </w:rPr>
        <w:t>(a)</w:t>
      </w:r>
      <w:r>
        <w:rPr>
          <w:rStyle w:val="legds"/>
          <w:rFonts w:ascii="Arial" w:hAnsi="Arial" w:cs="Arial"/>
          <w:color w:val="000000" w:themeColor="text1"/>
        </w:rPr>
        <w:t xml:space="preserve"> </w:t>
      </w:r>
      <w:r w:rsidRPr="00A65787">
        <w:rPr>
          <w:rStyle w:val="legds"/>
          <w:rFonts w:ascii="Arial" w:hAnsi="Arial" w:cs="Arial"/>
          <w:color w:val="000000" w:themeColor="text1"/>
        </w:rPr>
        <w:t>the preferences and circumstances of the person;</w:t>
      </w:r>
    </w:p>
    <w:p w14:paraId="4D45034B" w14:textId="77777777" w:rsidR="00DD7D4A" w:rsidRPr="00A65787" w:rsidRDefault="00DD7D4A" w:rsidP="00DD7D4A">
      <w:pPr>
        <w:pStyle w:val="legclearfix"/>
        <w:shd w:val="clear" w:color="auto" w:fill="FFFFFF"/>
        <w:spacing w:before="0" w:beforeAutospacing="0" w:after="120" w:afterAutospacing="0" w:line="360" w:lineRule="atLeast"/>
        <w:ind w:left="2160"/>
        <w:rPr>
          <w:rFonts w:ascii="Arial" w:hAnsi="Arial" w:cs="Arial"/>
          <w:color w:val="000000" w:themeColor="text1"/>
        </w:rPr>
      </w:pPr>
      <w:r w:rsidRPr="00A65787">
        <w:rPr>
          <w:rStyle w:val="legds"/>
          <w:rFonts w:ascii="Arial" w:hAnsi="Arial" w:cs="Arial"/>
          <w:color w:val="000000" w:themeColor="text1"/>
        </w:rPr>
        <w:t>(b)</w:t>
      </w:r>
      <w:r>
        <w:rPr>
          <w:rStyle w:val="legds"/>
          <w:rFonts w:ascii="Arial" w:hAnsi="Arial" w:cs="Arial"/>
          <w:color w:val="000000" w:themeColor="text1"/>
        </w:rPr>
        <w:t xml:space="preserve"> </w:t>
      </w:r>
      <w:r w:rsidRPr="00A65787">
        <w:rPr>
          <w:rStyle w:val="legds"/>
          <w:rFonts w:ascii="Arial" w:hAnsi="Arial" w:cs="Arial"/>
          <w:color w:val="000000" w:themeColor="text1"/>
        </w:rPr>
        <w:t>the distance between the person’s place of residence and the contractor’s practice premises;</w:t>
      </w:r>
    </w:p>
    <w:p w14:paraId="6B9C3F9E" w14:textId="77777777" w:rsidR="00DD7D4A" w:rsidRPr="00A65787" w:rsidRDefault="00DD7D4A" w:rsidP="00DD7D4A">
      <w:pPr>
        <w:pStyle w:val="legclearfix"/>
        <w:shd w:val="clear" w:color="auto" w:fill="FFFFFF"/>
        <w:spacing w:before="0" w:beforeAutospacing="0" w:after="120" w:afterAutospacing="0" w:line="360" w:lineRule="atLeast"/>
        <w:ind w:left="2160"/>
        <w:rPr>
          <w:rFonts w:ascii="Arial" w:hAnsi="Arial" w:cs="Arial"/>
          <w:color w:val="000000" w:themeColor="text1"/>
        </w:rPr>
      </w:pPr>
      <w:r w:rsidRPr="00A65787">
        <w:rPr>
          <w:rStyle w:val="legds"/>
          <w:rFonts w:ascii="Arial" w:hAnsi="Arial" w:cs="Arial"/>
          <w:color w:val="000000" w:themeColor="text1"/>
        </w:rPr>
        <w:t>(c)</w:t>
      </w:r>
      <w:r>
        <w:rPr>
          <w:rStyle w:val="legds"/>
          <w:rFonts w:ascii="Arial" w:hAnsi="Arial" w:cs="Arial"/>
          <w:color w:val="000000" w:themeColor="text1"/>
        </w:rPr>
        <w:t xml:space="preserve"> </w:t>
      </w:r>
      <w:r w:rsidRPr="00A65787">
        <w:rPr>
          <w:rStyle w:val="legds"/>
          <w:rFonts w:ascii="Arial" w:hAnsi="Arial" w:cs="Arial"/>
          <w:color w:val="000000" w:themeColor="text1"/>
        </w:rPr>
        <w:t>any request made by a contractor to remove the person from its list of patients within the preceding period of six months beginning with the date on which the application for assignment is received by the Board;</w:t>
      </w:r>
    </w:p>
    <w:p w14:paraId="64417566" w14:textId="77777777" w:rsidR="00DD7D4A" w:rsidRPr="00A65787" w:rsidRDefault="00DD7D4A" w:rsidP="00DD7D4A">
      <w:pPr>
        <w:pStyle w:val="legclearfix"/>
        <w:shd w:val="clear" w:color="auto" w:fill="FFFFFF"/>
        <w:spacing w:before="0" w:beforeAutospacing="0" w:after="120" w:afterAutospacing="0" w:line="360" w:lineRule="atLeast"/>
        <w:ind w:left="2160"/>
        <w:rPr>
          <w:rFonts w:ascii="Arial" w:hAnsi="Arial" w:cs="Arial"/>
          <w:color w:val="000000" w:themeColor="text1"/>
        </w:rPr>
      </w:pPr>
      <w:r w:rsidRPr="00A65787">
        <w:rPr>
          <w:rStyle w:val="legds"/>
          <w:rFonts w:ascii="Arial" w:hAnsi="Arial" w:cs="Arial"/>
          <w:color w:val="000000" w:themeColor="text1"/>
        </w:rPr>
        <w:t>(d)</w:t>
      </w:r>
      <w:r>
        <w:rPr>
          <w:rStyle w:val="legds"/>
          <w:rFonts w:ascii="Arial" w:hAnsi="Arial" w:cs="Arial"/>
          <w:color w:val="000000" w:themeColor="text1"/>
        </w:rPr>
        <w:t xml:space="preserve"> </w:t>
      </w:r>
      <w:r w:rsidRPr="00A65787">
        <w:rPr>
          <w:rStyle w:val="legds"/>
          <w:rFonts w:ascii="Arial" w:hAnsi="Arial" w:cs="Arial"/>
          <w:color w:val="000000" w:themeColor="text1"/>
        </w:rPr>
        <w:t>whether, during the preceding period of six months beginning with the date on which the application for assignment is received by the Board, the person has been removed from a list of patients on the grounds referred to in—</w:t>
      </w:r>
    </w:p>
    <w:p w14:paraId="3E41C490" w14:textId="77777777" w:rsidR="00DD7D4A" w:rsidRPr="00A65787" w:rsidRDefault="00DD7D4A" w:rsidP="00DD7D4A">
      <w:pPr>
        <w:pStyle w:val="legclearfix"/>
        <w:shd w:val="clear" w:color="auto" w:fill="FFFFFF"/>
        <w:spacing w:before="0" w:beforeAutospacing="0" w:after="120" w:afterAutospacing="0" w:line="360" w:lineRule="atLeast"/>
        <w:ind w:left="2880"/>
        <w:rPr>
          <w:rFonts w:ascii="Arial" w:hAnsi="Arial" w:cs="Arial"/>
          <w:color w:val="000000" w:themeColor="text1"/>
        </w:rPr>
      </w:pPr>
      <w:r w:rsidRPr="00A65787">
        <w:rPr>
          <w:rStyle w:val="legds"/>
          <w:rFonts w:ascii="Arial" w:hAnsi="Arial" w:cs="Arial"/>
          <w:color w:val="000000" w:themeColor="text1"/>
        </w:rPr>
        <w:t>(i)</w:t>
      </w:r>
      <w:r>
        <w:rPr>
          <w:rStyle w:val="legds"/>
          <w:rFonts w:ascii="Arial" w:hAnsi="Arial" w:cs="Arial"/>
          <w:color w:val="000000" w:themeColor="text1"/>
        </w:rPr>
        <w:t xml:space="preserve"> </w:t>
      </w:r>
      <w:r w:rsidRPr="00A65787">
        <w:rPr>
          <w:rStyle w:val="legds"/>
          <w:rFonts w:ascii="Arial" w:hAnsi="Arial" w:cs="Arial"/>
          <w:color w:val="000000" w:themeColor="text1"/>
        </w:rPr>
        <w:t>paragraph 23 (relating to circumstances in which a patient may be removed from a contractor’s list of patients at the request of the contractor),</w:t>
      </w:r>
    </w:p>
    <w:p w14:paraId="7C1EA179" w14:textId="77777777" w:rsidR="00DD7D4A" w:rsidRPr="00A65787" w:rsidRDefault="00DD7D4A" w:rsidP="00DD7D4A">
      <w:pPr>
        <w:pStyle w:val="legclearfix"/>
        <w:shd w:val="clear" w:color="auto" w:fill="FFFFFF"/>
        <w:spacing w:before="0" w:beforeAutospacing="0" w:after="120" w:afterAutospacing="0" w:line="360" w:lineRule="atLeast"/>
        <w:ind w:left="2880"/>
        <w:rPr>
          <w:rFonts w:ascii="Arial" w:hAnsi="Arial" w:cs="Arial"/>
          <w:color w:val="000000" w:themeColor="text1"/>
        </w:rPr>
      </w:pPr>
      <w:r w:rsidRPr="00A65787">
        <w:rPr>
          <w:rStyle w:val="legds"/>
          <w:rFonts w:ascii="Arial" w:hAnsi="Arial" w:cs="Arial"/>
          <w:color w:val="000000" w:themeColor="text1"/>
        </w:rPr>
        <w:t>(ii)</w:t>
      </w:r>
      <w:r>
        <w:rPr>
          <w:rStyle w:val="legds"/>
          <w:rFonts w:ascii="Arial" w:hAnsi="Arial" w:cs="Arial"/>
          <w:color w:val="000000" w:themeColor="text1"/>
        </w:rPr>
        <w:t xml:space="preserve"> </w:t>
      </w:r>
      <w:r w:rsidRPr="00A65787">
        <w:rPr>
          <w:rStyle w:val="legds"/>
          <w:rFonts w:ascii="Arial" w:hAnsi="Arial" w:cs="Arial"/>
          <w:color w:val="000000" w:themeColor="text1"/>
        </w:rPr>
        <w:t>paragraph 24 (relating to circumstances in which a patient who is violent may be removed from a contractor’s list of patients), or</w:t>
      </w:r>
    </w:p>
    <w:p w14:paraId="3E25A501" w14:textId="77777777" w:rsidR="00DD7D4A" w:rsidRPr="00A65787" w:rsidRDefault="00DD7D4A" w:rsidP="00DD7D4A">
      <w:pPr>
        <w:pStyle w:val="legclearfix"/>
        <w:shd w:val="clear" w:color="auto" w:fill="FFFFFF"/>
        <w:spacing w:before="0" w:beforeAutospacing="0" w:after="120" w:afterAutospacing="0" w:line="360" w:lineRule="atLeast"/>
        <w:ind w:left="2880"/>
        <w:rPr>
          <w:rFonts w:ascii="Arial" w:hAnsi="Arial" w:cs="Arial"/>
          <w:color w:val="000000" w:themeColor="text1"/>
        </w:rPr>
      </w:pPr>
      <w:r w:rsidRPr="00A65787">
        <w:rPr>
          <w:rStyle w:val="legds"/>
          <w:rFonts w:ascii="Arial" w:hAnsi="Arial" w:cs="Arial"/>
          <w:color w:val="000000" w:themeColor="text1"/>
        </w:rPr>
        <w:t>(iii</w:t>
      </w:r>
      <w:r>
        <w:rPr>
          <w:rStyle w:val="legds"/>
          <w:rFonts w:ascii="Arial" w:hAnsi="Arial" w:cs="Arial"/>
          <w:color w:val="000000" w:themeColor="text1"/>
        </w:rPr>
        <w:t xml:space="preserve"> </w:t>
      </w:r>
      <w:r w:rsidRPr="00A65787">
        <w:rPr>
          <w:rStyle w:val="legds"/>
          <w:rFonts w:ascii="Arial" w:hAnsi="Arial" w:cs="Arial"/>
          <w:color w:val="000000" w:themeColor="text1"/>
        </w:rPr>
        <w:t>the equivalent provisions to those paragraphs in relation to arrangements made under section 83(2) of</w:t>
      </w:r>
      <w:r w:rsidRPr="00A65787">
        <w:rPr>
          <w:rStyle w:val="apple-converted-space"/>
          <w:rFonts w:ascii="Arial" w:hAnsi="Arial" w:cs="Arial"/>
          <w:color w:val="000000" w:themeColor="text1"/>
        </w:rPr>
        <w:t> </w:t>
      </w:r>
      <w:r w:rsidRPr="00A65787">
        <w:rPr>
          <w:rStyle w:val="legds"/>
          <w:rFonts w:ascii="Arial" w:hAnsi="Arial" w:cs="Arial"/>
          <w:color w:val="000000" w:themeColor="text1"/>
        </w:rPr>
        <w:t>the Act(</w:t>
      </w:r>
      <w:hyperlink r:id="rId111" w:anchor="f00151" w:tooltip="Go to footnote 1" w:history="1">
        <w:r w:rsidRPr="00A65787">
          <w:rPr>
            <w:rStyle w:val="Hyperlink"/>
            <w:rFonts w:ascii="Arial" w:hAnsi="Arial" w:cs="Arial"/>
            <w:b/>
            <w:bCs/>
            <w:color w:val="000000" w:themeColor="text1"/>
          </w:rPr>
          <w:t>1</w:t>
        </w:r>
      </w:hyperlink>
      <w:r w:rsidRPr="00A65787">
        <w:rPr>
          <w:rStyle w:val="legds"/>
          <w:rFonts w:ascii="Arial" w:hAnsi="Arial" w:cs="Arial"/>
          <w:color w:val="000000" w:themeColor="text1"/>
        </w:rPr>
        <w:t>) (which relates to the provision of primary medical services) or under a contract made in accordance with the</w:t>
      </w:r>
      <w:r w:rsidRPr="00A65787">
        <w:rPr>
          <w:rStyle w:val="apple-converted-space"/>
          <w:rFonts w:ascii="Arial" w:hAnsi="Arial" w:cs="Arial"/>
          <w:color w:val="000000" w:themeColor="text1"/>
        </w:rPr>
        <w:t> </w:t>
      </w:r>
      <w:r w:rsidRPr="00A65787">
        <w:rPr>
          <w:rStyle w:val="legds"/>
          <w:rFonts w:ascii="Arial" w:hAnsi="Arial" w:cs="Arial"/>
          <w:color w:val="000000" w:themeColor="text1"/>
        </w:rPr>
        <w:t>General Medical Services Contracts Regulations;</w:t>
      </w:r>
    </w:p>
    <w:p w14:paraId="4537EF8E" w14:textId="77777777" w:rsidR="00DD7D4A" w:rsidRPr="00A65787" w:rsidRDefault="00DD7D4A" w:rsidP="00DD7D4A">
      <w:pPr>
        <w:pStyle w:val="legclearfix"/>
        <w:shd w:val="clear" w:color="auto" w:fill="FFFFFF"/>
        <w:spacing w:before="0" w:beforeAutospacing="0" w:after="120" w:afterAutospacing="0" w:line="360" w:lineRule="atLeast"/>
        <w:ind w:left="2160"/>
        <w:rPr>
          <w:rFonts w:ascii="Arial" w:hAnsi="Arial" w:cs="Arial"/>
          <w:color w:val="000000" w:themeColor="text1"/>
        </w:rPr>
      </w:pPr>
      <w:r w:rsidRPr="00A65787">
        <w:rPr>
          <w:rStyle w:val="legds"/>
          <w:rFonts w:ascii="Arial" w:hAnsi="Arial" w:cs="Arial"/>
          <w:color w:val="000000" w:themeColor="text1"/>
        </w:rPr>
        <w:t>(e)</w:t>
      </w:r>
      <w:r>
        <w:rPr>
          <w:rStyle w:val="legds"/>
          <w:rFonts w:ascii="Arial" w:hAnsi="Arial" w:cs="Arial"/>
          <w:color w:val="000000" w:themeColor="text1"/>
        </w:rPr>
        <w:t xml:space="preserve"> </w:t>
      </w:r>
      <w:r w:rsidRPr="00A65787">
        <w:rPr>
          <w:rStyle w:val="legds"/>
          <w:rFonts w:ascii="Arial" w:hAnsi="Arial" w:cs="Arial"/>
          <w:color w:val="000000" w:themeColor="text1"/>
        </w:rPr>
        <w:t>in a case to which sub-paragraph (d)(ii) applies (or to which the equivalent provisions as mentioned in sub-paragraph (d)(iii) apply), whether the contractor has appropriate facilities to deal with such patients; and</w:t>
      </w:r>
    </w:p>
    <w:p w14:paraId="0DEDEC69" w14:textId="77777777" w:rsidR="00DD7D4A" w:rsidRPr="00A65787" w:rsidRDefault="00DD7D4A" w:rsidP="00DD7D4A">
      <w:pPr>
        <w:pStyle w:val="legclearfix"/>
        <w:shd w:val="clear" w:color="auto" w:fill="FFFFFF"/>
        <w:spacing w:before="0" w:beforeAutospacing="0" w:after="120" w:afterAutospacing="0" w:line="360" w:lineRule="atLeast"/>
        <w:ind w:left="2160"/>
        <w:rPr>
          <w:rFonts w:ascii="Arial" w:hAnsi="Arial" w:cs="Arial"/>
          <w:color w:val="000000" w:themeColor="text1"/>
        </w:rPr>
      </w:pPr>
      <w:r w:rsidRPr="00A65787">
        <w:rPr>
          <w:rStyle w:val="legds"/>
          <w:rFonts w:ascii="Arial" w:hAnsi="Arial" w:cs="Arial"/>
          <w:color w:val="000000" w:themeColor="text1"/>
        </w:rPr>
        <w:t>(f)</w:t>
      </w:r>
      <w:r>
        <w:rPr>
          <w:rStyle w:val="legds"/>
          <w:rFonts w:ascii="Arial" w:hAnsi="Arial" w:cs="Arial"/>
          <w:color w:val="000000" w:themeColor="text1"/>
        </w:rPr>
        <w:t xml:space="preserve"> </w:t>
      </w:r>
      <w:r w:rsidRPr="00A65787">
        <w:rPr>
          <w:rStyle w:val="legds"/>
          <w:rFonts w:ascii="Arial" w:hAnsi="Arial" w:cs="Arial"/>
          <w:color w:val="000000" w:themeColor="text1"/>
        </w:rPr>
        <w:t>such other matters as the Board considers relevant.</w:t>
      </w:r>
    </w:p>
    <w:p w14:paraId="5A02AD27" w14:textId="77777777" w:rsidR="00DD7D4A" w:rsidRPr="00B05A78" w:rsidRDefault="00DD7D4A" w:rsidP="00DD7D4A">
      <w:pPr>
        <w:pStyle w:val="ListParagraph"/>
        <w:spacing w:before="120" w:after="120" w:line="360" w:lineRule="auto"/>
        <w:ind w:left="2160"/>
        <w:jc w:val="both"/>
        <w:rPr>
          <w:rFonts w:cs="Arial"/>
          <w:color w:val="000000" w:themeColor="text1"/>
          <w:szCs w:val="24"/>
        </w:rPr>
      </w:pPr>
    </w:p>
    <w:p w14:paraId="33B9A409" w14:textId="77777777" w:rsidR="00DD7D4A" w:rsidRPr="00CC6D16" w:rsidRDefault="00DD7D4A" w:rsidP="00DD7D4A">
      <w:pPr>
        <w:pStyle w:val="Heading2"/>
      </w:pPr>
      <w:bookmarkStart w:id="1431" w:name="_Toc498495459"/>
      <w:r>
        <w:t>Engagement and re-procurement</w:t>
      </w:r>
      <w:bookmarkEnd w:id="1431"/>
      <w:r>
        <w:t xml:space="preserve"> </w:t>
      </w:r>
    </w:p>
    <w:p w14:paraId="73D6B233" w14:textId="77777777" w:rsidR="00DD7D4A" w:rsidRDefault="00DD7D4A" w:rsidP="00DD7D4A">
      <w:pPr>
        <w:spacing w:before="120" w:after="120" w:line="276" w:lineRule="auto"/>
        <w:jc w:val="both"/>
        <w:rPr>
          <w:rFonts w:cs="Arial"/>
          <w:color w:val="000000" w:themeColor="text1"/>
          <w:szCs w:val="24"/>
        </w:rPr>
      </w:pPr>
    </w:p>
    <w:p w14:paraId="459D2670" w14:textId="4CA0DD38" w:rsidR="00DD7D4A" w:rsidRDefault="00DD7D4A" w:rsidP="00DD7D4A">
      <w:pPr>
        <w:pStyle w:val="Heading3"/>
      </w:pPr>
      <w:r>
        <w:t>Where arrangements have been made for caretaker to temporarily manage the GP practice (refer to the Urgent Contract section within the contract described chapter)</w:t>
      </w:r>
      <w:r w:rsidRPr="004B3D15">
        <w:t>,</w:t>
      </w:r>
      <w:r>
        <w:t>)</w:t>
      </w:r>
      <w:r w:rsidRPr="004B3D15">
        <w:t>,</w:t>
      </w:r>
      <w:r>
        <w:t xml:space="preserve"> or a practice has terminated a contract with little notice (e.g. 6 month) the Commissioner should refer to the</w:t>
      </w:r>
      <w:r w:rsidRPr="004B3D15">
        <w:t xml:space="preserve"> </w:t>
      </w:r>
      <w:r>
        <w:t>3 stages and templates listed in this policy and guidance manual under the chapter on Planned Closedown.</w:t>
      </w:r>
    </w:p>
    <w:p w14:paraId="6344D27F" w14:textId="1E20BA2F" w:rsidR="00DD7D4A" w:rsidRDefault="00DD7D4A" w:rsidP="00DD7D4A">
      <w:pPr>
        <w:pStyle w:val="Heading3"/>
      </w:pPr>
      <w:r>
        <w:t xml:space="preserve">It is recognised that is may not be possible to undertake each of these stages as vigorously or at the same length as if there was a 12-15 months period available as is often the case with a planned closure.  </w:t>
      </w:r>
    </w:p>
    <w:p w14:paraId="2222A642" w14:textId="4474F5CD" w:rsidR="00DD7D4A" w:rsidRDefault="00DD7D4A" w:rsidP="00DD7D4A">
      <w:pPr>
        <w:pStyle w:val="Heading3"/>
      </w:pPr>
      <w:r w:rsidRPr="00C80C4D">
        <w:t xml:space="preserve">NHS England has a number of statutory duties relating to the exercise of its functions including reducing health inequalities and public involvement. The Commissioner must ensure that its actions in </w:t>
      </w:r>
      <w:r>
        <w:t>re-procuring</w:t>
      </w:r>
      <w:r w:rsidRPr="00C80C4D">
        <w:t xml:space="preserve"> a contract </w:t>
      </w:r>
      <w:r>
        <w:t xml:space="preserve">or dispersing a list </w:t>
      </w:r>
      <w:r w:rsidRPr="00C80C4D">
        <w:t xml:space="preserve">and any consequential actions ensure compliance with these duties. </w:t>
      </w:r>
      <w:r>
        <w:t>Please refer to the chapter on General Duties for further guidance.</w:t>
      </w:r>
    </w:p>
    <w:p w14:paraId="2650F411" w14:textId="77777777" w:rsidR="00DD7D4A" w:rsidRDefault="00DD7D4A" w:rsidP="00DD7D4A">
      <w:pPr>
        <w:pStyle w:val="Heading3"/>
      </w:pPr>
      <w:r>
        <w:t>However, i</w:t>
      </w:r>
      <w:r w:rsidRPr="00C80C4D">
        <w:t>n an urgent situation, it may be necessary to balance the duty to involve with the public interest in maintaining continuity of care and protecting the health, safety and welfare of patients or staff.</w:t>
      </w:r>
      <w:r>
        <w:t xml:space="preserve"> If a Commissioner considers acting in a way that may not comply with its statutory duties, it should seek further advice.</w:t>
      </w:r>
    </w:p>
    <w:p w14:paraId="0AAFEB99" w14:textId="77777777" w:rsidR="00DD7D4A" w:rsidRDefault="00DD7D4A" w:rsidP="00DD7D4A">
      <w:pPr>
        <w:pStyle w:val="ListParagraph"/>
        <w:spacing w:before="120" w:after="120" w:line="360" w:lineRule="auto"/>
        <w:rPr>
          <w:rFonts w:cs="Arial"/>
          <w:color w:val="000000" w:themeColor="text1"/>
          <w:szCs w:val="24"/>
        </w:rPr>
      </w:pPr>
    </w:p>
    <w:p w14:paraId="19EE01A2" w14:textId="39F2E3C6" w:rsidR="00DD7D4A" w:rsidRDefault="00621A73" w:rsidP="00DD7D4A">
      <w:pPr>
        <w:rPr>
          <w:rFonts w:cs="Arial"/>
          <w:color w:val="000000" w:themeColor="text1"/>
          <w:szCs w:val="24"/>
        </w:rPr>
      </w:pPr>
      <w:r>
        <w:rPr>
          <w:rFonts w:cs="Arial"/>
          <w:color w:val="000000" w:themeColor="text1"/>
          <w:szCs w:val="24"/>
        </w:rPr>
        <w:t xml:space="preserve"> </w:t>
      </w:r>
      <w:r w:rsidR="00DD7D4A">
        <w:rPr>
          <w:rFonts w:cs="Arial"/>
          <w:color w:val="000000" w:themeColor="text1"/>
          <w:szCs w:val="24"/>
        </w:rPr>
        <w:br w:type="page"/>
      </w:r>
    </w:p>
    <w:p w14:paraId="5AC16E67" w14:textId="1C24F862" w:rsidR="00DD7D4A" w:rsidRPr="00A628BE" w:rsidRDefault="00DD7D4A" w:rsidP="00DD7D4A">
      <w:pPr>
        <w:pStyle w:val="Heading2"/>
      </w:pPr>
      <w:bookmarkStart w:id="1432" w:name="_Toc498495460"/>
      <w:r w:rsidRPr="00A628BE">
        <w:t>Annex 1</w:t>
      </w:r>
      <w:r>
        <w:t xml:space="preserve"> – Contract Extracts</w:t>
      </w:r>
      <w:bookmarkEnd w:id="1432"/>
    </w:p>
    <w:p w14:paraId="0A3A0EB2" w14:textId="77777777" w:rsidR="00DD7D4A" w:rsidRPr="00A33DD2" w:rsidRDefault="00DD7D4A" w:rsidP="00DD7D4A">
      <w:pPr>
        <w:spacing w:before="120" w:after="120" w:line="360" w:lineRule="auto"/>
        <w:ind w:left="720"/>
        <w:rPr>
          <w:rFonts w:cs="Arial"/>
          <w:color w:val="000000" w:themeColor="text1"/>
          <w:szCs w:val="24"/>
        </w:rPr>
      </w:pPr>
      <w:r w:rsidRPr="00A33DD2">
        <w:rPr>
          <w:rFonts w:cs="Arial"/>
          <w:color w:val="000000" w:themeColor="text1"/>
          <w:szCs w:val="24"/>
        </w:rPr>
        <w:t>Clause 16.1.16 of the GMS contract stipulates</w:t>
      </w:r>
    </w:p>
    <w:p w14:paraId="705283ED" w14:textId="77777777" w:rsidR="00DD7D4A" w:rsidRPr="00A33DD2" w:rsidRDefault="00DD7D4A" w:rsidP="00DD7D4A">
      <w:pPr>
        <w:spacing w:before="120" w:after="120" w:line="360" w:lineRule="auto"/>
        <w:ind w:left="720"/>
        <w:rPr>
          <w:rFonts w:cs="Arial"/>
          <w:color w:val="000000" w:themeColor="text1"/>
          <w:szCs w:val="24"/>
        </w:rPr>
      </w:pPr>
      <w:r>
        <w:rPr>
          <w:rFonts w:cs="Arial"/>
          <w:color w:val="000000" w:themeColor="text1"/>
          <w:szCs w:val="24"/>
        </w:rPr>
        <w:t>"</w:t>
      </w:r>
      <w:r w:rsidRPr="00A33DD2">
        <w:rPr>
          <w:rFonts w:cs="Arial"/>
          <w:color w:val="000000" w:themeColor="text1"/>
          <w:szCs w:val="24"/>
        </w:rPr>
        <w:t>16.1.16 The Contractor shall send the complete records relating to a patient to the Board –</w:t>
      </w:r>
    </w:p>
    <w:p w14:paraId="289BFCF5" w14:textId="77777777" w:rsidR="00DD7D4A" w:rsidRPr="00A33DD2" w:rsidRDefault="00DD7D4A" w:rsidP="005A7DDA">
      <w:pPr>
        <w:pStyle w:val="ListParagraph"/>
        <w:numPr>
          <w:ilvl w:val="0"/>
          <w:numId w:val="128"/>
        </w:numPr>
        <w:spacing w:before="120" w:after="120" w:line="360" w:lineRule="auto"/>
        <w:ind w:left="1440"/>
        <w:rPr>
          <w:rFonts w:cs="Arial"/>
          <w:color w:val="000000" w:themeColor="text1"/>
          <w:szCs w:val="24"/>
        </w:rPr>
      </w:pPr>
      <w:r w:rsidRPr="00A33DD2">
        <w:rPr>
          <w:rFonts w:cs="Arial"/>
          <w:color w:val="000000" w:themeColor="text1"/>
          <w:szCs w:val="24"/>
        </w:rPr>
        <w:t>where a person on its list dies, before the end of the period of 14 days beginning with the date on which it was informed by the Board of the death, or (in any other case) before the end of the period of one month beginning with the date on which it learned of the death; or</w:t>
      </w:r>
      <w:r>
        <w:rPr>
          <w:rFonts w:cs="Arial"/>
          <w:color w:val="000000" w:themeColor="text1"/>
          <w:szCs w:val="24"/>
        </w:rPr>
        <w:t>…</w:t>
      </w:r>
    </w:p>
    <w:p w14:paraId="0343FF07" w14:textId="77777777" w:rsidR="00DD7D4A" w:rsidRPr="00A33DD2" w:rsidRDefault="00DD7D4A" w:rsidP="005A7DDA">
      <w:pPr>
        <w:pStyle w:val="ListParagraph"/>
        <w:numPr>
          <w:ilvl w:val="0"/>
          <w:numId w:val="128"/>
        </w:numPr>
        <w:spacing w:before="120" w:after="120" w:line="360" w:lineRule="auto"/>
        <w:ind w:left="1440"/>
        <w:rPr>
          <w:rFonts w:cs="Arial"/>
          <w:color w:val="000000" w:themeColor="text1"/>
          <w:szCs w:val="24"/>
        </w:rPr>
      </w:pPr>
      <w:r w:rsidRPr="00A33DD2">
        <w:rPr>
          <w:rFonts w:cs="Arial"/>
          <w:color w:val="000000" w:themeColor="text1"/>
          <w:szCs w:val="24"/>
        </w:rPr>
        <w:t>in any other case where the person is no longer registered with the Contractor, as soon as possible at the request of the Board,</w:t>
      </w:r>
      <w:r>
        <w:rPr>
          <w:rFonts w:cs="Arial"/>
          <w:color w:val="000000" w:themeColor="text1"/>
          <w:szCs w:val="24"/>
        </w:rPr>
        <w:t>"</w:t>
      </w:r>
    </w:p>
    <w:p w14:paraId="629B4F9C" w14:textId="77777777" w:rsidR="00DD7D4A" w:rsidRDefault="00DD7D4A" w:rsidP="00DD7D4A">
      <w:pPr>
        <w:spacing w:before="120" w:after="120" w:line="360" w:lineRule="auto"/>
        <w:ind w:left="720"/>
        <w:rPr>
          <w:rFonts w:cs="Arial"/>
          <w:color w:val="000000" w:themeColor="text1"/>
          <w:szCs w:val="24"/>
        </w:rPr>
      </w:pPr>
    </w:p>
    <w:p w14:paraId="7B4A09FC" w14:textId="77777777" w:rsidR="00DD7D4A" w:rsidRPr="00A33DD2" w:rsidRDefault="00DD7D4A" w:rsidP="00DD7D4A">
      <w:pPr>
        <w:spacing w:before="120" w:after="120" w:line="360" w:lineRule="auto"/>
        <w:ind w:left="720"/>
        <w:rPr>
          <w:rFonts w:cs="Arial"/>
          <w:color w:val="000000" w:themeColor="text1"/>
          <w:szCs w:val="24"/>
        </w:rPr>
      </w:pPr>
      <w:r w:rsidRPr="00A33DD2">
        <w:rPr>
          <w:rFonts w:cs="Arial"/>
          <w:color w:val="000000" w:themeColor="text1"/>
          <w:szCs w:val="24"/>
        </w:rPr>
        <w:t>Some contract</w:t>
      </w:r>
      <w:r>
        <w:rPr>
          <w:rFonts w:cs="Arial"/>
          <w:color w:val="000000" w:themeColor="text1"/>
          <w:szCs w:val="24"/>
        </w:rPr>
        <w:t>s</w:t>
      </w:r>
      <w:r w:rsidRPr="00A33DD2">
        <w:rPr>
          <w:rFonts w:cs="Arial"/>
          <w:color w:val="000000" w:themeColor="text1"/>
          <w:szCs w:val="24"/>
        </w:rPr>
        <w:t xml:space="preserve"> may also contain an extended clause containing the wording</w:t>
      </w:r>
      <w:r>
        <w:rPr>
          <w:rFonts w:cs="Arial"/>
          <w:color w:val="000000" w:themeColor="text1"/>
          <w:szCs w:val="24"/>
        </w:rPr>
        <w:t>:</w:t>
      </w:r>
      <w:r w:rsidRPr="00A33DD2">
        <w:rPr>
          <w:rFonts w:cs="Arial"/>
          <w:color w:val="000000" w:themeColor="text1"/>
          <w:szCs w:val="24"/>
        </w:rPr>
        <w:t xml:space="preserve"> </w:t>
      </w:r>
    </w:p>
    <w:p w14:paraId="626DF21E" w14:textId="77777777" w:rsidR="00DD7D4A" w:rsidRPr="00A33DD2" w:rsidRDefault="00DD7D4A" w:rsidP="00DD7D4A">
      <w:pPr>
        <w:spacing w:before="120" w:after="120" w:line="360" w:lineRule="auto"/>
        <w:ind w:left="1440"/>
        <w:rPr>
          <w:rFonts w:cs="Arial"/>
          <w:color w:val="000000" w:themeColor="text1"/>
          <w:szCs w:val="24"/>
        </w:rPr>
      </w:pPr>
      <w:r>
        <w:rPr>
          <w:rFonts w:cs="Arial"/>
          <w:szCs w:val="24"/>
        </w:rPr>
        <w:t>"</w:t>
      </w:r>
      <w:r w:rsidRPr="00A33DD2">
        <w:rPr>
          <w:rFonts w:cs="Arial"/>
          <w:szCs w:val="24"/>
        </w:rPr>
        <w:t>and the Contractor’s obligations pursuant to this clause and clause 16.1.7 below shall survive the termination or expiry of the Contract</w:t>
      </w:r>
      <w:r>
        <w:rPr>
          <w:rFonts w:cs="Arial"/>
          <w:szCs w:val="24"/>
        </w:rPr>
        <w:t>"</w:t>
      </w:r>
    </w:p>
    <w:p w14:paraId="2EEE668E" w14:textId="77777777" w:rsidR="00DD7D4A" w:rsidRPr="00A628BE" w:rsidRDefault="00DD7D4A" w:rsidP="00DD7D4A">
      <w:pPr>
        <w:spacing w:before="120" w:after="120" w:line="360" w:lineRule="auto"/>
        <w:rPr>
          <w:rFonts w:cs="Arial"/>
          <w:color w:val="000000" w:themeColor="text1"/>
          <w:szCs w:val="24"/>
        </w:rPr>
      </w:pPr>
    </w:p>
    <w:p w14:paraId="2345982C" w14:textId="66034768" w:rsidR="0015247B" w:rsidRDefault="00850B0E" w:rsidP="0015247B">
      <w:pPr>
        <w:pStyle w:val="Heading1"/>
        <w:rPr>
          <w:lang w:eastAsia="en-GB"/>
        </w:rPr>
      </w:pPr>
      <w:r>
        <w:rPr>
          <w:lang w:eastAsia="en-GB"/>
        </w:rPr>
        <w:br w:type="page"/>
      </w:r>
      <w:bookmarkStart w:id="1433" w:name="_Toc498495461"/>
      <w:r w:rsidR="0015247B">
        <w:rPr>
          <w:lang w:eastAsia="en-GB"/>
        </w:rPr>
        <w:t>Death of a Contractor (excluding single handers – see adverse events)</w:t>
      </w:r>
      <w:bookmarkEnd w:id="1433"/>
    </w:p>
    <w:p w14:paraId="565BFD3C" w14:textId="77777777" w:rsidR="0015247B" w:rsidRDefault="0015247B" w:rsidP="0015247B">
      <w:pPr>
        <w:rPr>
          <w:lang w:eastAsia="en-GB"/>
        </w:rPr>
      </w:pPr>
    </w:p>
    <w:p w14:paraId="31E94FA3" w14:textId="77777777" w:rsidR="00867DFB" w:rsidRPr="00CE0885" w:rsidRDefault="00867DFB" w:rsidP="00EF04D7">
      <w:pPr>
        <w:pStyle w:val="Heading2"/>
        <w:rPr>
          <w:lang w:eastAsia="en-GB"/>
        </w:rPr>
      </w:pPr>
      <w:bookmarkStart w:id="1434" w:name="_Toc440982793"/>
      <w:bookmarkStart w:id="1435" w:name="_Toc498495462"/>
      <w:r w:rsidRPr="00CE0885">
        <w:rPr>
          <w:lang w:eastAsia="en-GB"/>
        </w:rPr>
        <w:t>Introduction</w:t>
      </w:r>
      <w:bookmarkEnd w:id="1434"/>
      <w:bookmarkEnd w:id="1435"/>
    </w:p>
    <w:p w14:paraId="5EA0F4F5" w14:textId="77777777" w:rsidR="00867DFB" w:rsidRPr="00CE0885" w:rsidRDefault="00867DFB" w:rsidP="00EF04D7">
      <w:pPr>
        <w:pStyle w:val="Heading3"/>
        <w:rPr>
          <w:lang w:eastAsia="en-GB"/>
        </w:rPr>
      </w:pPr>
      <w:bookmarkStart w:id="1436" w:name="_Toc440982794"/>
      <w:r w:rsidRPr="00CE0885">
        <w:rPr>
          <w:spacing w:val="-1"/>
          <w:lang w:eastAsia="en-GB"/>
        </w:rPr>
        <w:t>T</w:t>
      </w:r>
      <w:r w:rsidRPr="00CE0885">
        <w:rPr>
          <w:spacing w:val="-3"/>
          <w:lang w:eastAsia="en-GB"/>
        </w:rPr>
        <w:t>h</w:t>
      </w:r>
      <w:r w:rsidRPr="00CE0885">
        <w:rPr>
          <w:lang w:eastAsia="en-GB"/>
        </w:rPr>
        <w:t>e</w:t>
      </w:r>
      <w:r w:rsidRPr="00CE0885">
        <w:rPr>
          <w:spacing w:val="7"/>
          <w:lang w:eastAsia="en-GB"/>
        </w:rPr>
        <w:t xml:space="preserve"> </w:t>
      </w:r>
      <w:r w:rsidRPr="00CE0885">
        <w:rPr>
          <w:lang w:eastAsia="en-GB"/>
        </w:rPr>
        <w:t>a</w:t>
      </w:r>
      <w:r w:rsidRPr="00CE0885">
        <w:rPr>
          <w:spacing w:val="1"/>
          <w:lang w:eastAsia="en-GB"/>
        </w:rPr>
        <w:t>i</w:t>
      </w:r>
      <w:r w:rsidRPr="00CE0885">
        <w:rPr>
          <w:lang w:eastAsia="en-GB"/>
        </w:rPr>
        <w:t>m</w:t>
      </w:r>
      <w:r w:rsidRPr="00CE0885">
        <w:rPr>
          <w:spacing w:val="7"/>
          <w:lang w:eastAsia="en-GB"/>
        </w:rPr>
        <w:t xml:space="preserve"> </w:t>
      </w:r>
      <w:r w:rsidRPr="00CE0885">
        <w:rPr>
          <w:spacing w:val="-3"/>
          <w:lang w:eastAsia="en-GB"/>
        </w:rPr>
        <w:t>o</w:t>
      </w:r>
      <w:r w:rsidRPr="00CE0885">
        <w:rPr>
          <w:lang w:eastAsia="en-GB"/>
        </w:rPr>
        <w:t>f</w:t>
      </w:r>
      <w:r w:rsidRPr="00CE0885">
        <w:rPr>
          <w:spacing w:val="5"/>
          <w:lang w:eastAsia="en-GB"/>
        </w:rPr>
        <w:t xml:space="preserve"> </w:t>
      </w:r>
      <w:r w:rsidRPr="00CE0885">
        <w:rPr>
          <w:lang w:eastAsia="en-GB"/>
        </w:rPr>
        <w:t>this</w:t>
      </w:r>
      <w:r w:rsidRPr="00CE0885">
        <w:rPr>
          <w:spacing w:val="4"/>
          <w:lang w:eastAsia="en-GB"/>
        </w:rPr>
        <w:t xml:space="preserve"> </w:t>
      </w:r>
      <w:r w:rsidRPr="00CE0885">
        <w:rPr>
          <w:lang w:eastAsia="en-GB"/>
        </w:rPr>
        <w:t>policy</w:t>
      </w:r>
      <w:r w:rsidRPr="00CE0885">
        <w:rPr>
          <w:spacing w:val="3"/>
          <w:lang w:eastAsia="en-GB"/>
        </w:rPr>
        <w:t xml:space="preserve"> i</w:t>
      </w:r>
      <w:r w:rsidRPr="00CE0885">
        <w:rPr>
          <w:lang w:eastAsia="en-GB"/>
        </w:rPr>
        <w:t>s</w:t>
      </w:r>
      <w:r w:rsidRPr="00CE0885">
        <w:rPr>
          <w:spacing w:val="4"/>
          <w:lang w:eastAsia="en-GB"/>
        </w:rPr>
        <w:t xml:space="preserve"> </w:t>
      </w:r>
      <w:r w:rsidRPr="00CE0885">
        <w:rPr>
          <w:lang w:eastAsia="en-GB"/>
        </w:rPr>
        <w:t>to</w:t>
      </w:r>
      <w:r w:rsidRPr="00CE0885">
        <w:rPr>
          <w:spacing w:val="3"/>
          <w:lang w:eastAsia="en-GB"/>
        </w:rPr>
        <w:t xml:space="preserve"> </w:t>
      </w:r>
      <w:r w:rsidRPr="00CE0885">
        <w:rPr>
          <w:spacing w:val="-3"/>
          <w:lang w:eastAsia="en-GB"/>
        </w:rPr>
        <w:t>p</w:t>
      </w:r>
      <w:r w:rsidRPr="00CE0885">
        <w:rPr>
          <w:spacing w:val="1"/>
          <w:lang w:eastAsia="en-GB"/>
        </w:rPr>
        <w:t>r</w:t>
      </w:r>
      <w:r w:rsidRPr="00CE0885">
        <w:rPr>
          <w:lang w:eastAsia="en-GB"/>
        </w:rPr>
        <w:t>o</w:t>
      </w:r>
      <w:r w:rsidRPr="00CE0885">
        <w:rPr>
          <w:spacing w:val="-2"/>
          <w:lang w:eastAsia="en-GB"/>
        </w:rPr>
        <w:t>v</w:t>
      </w:r>
      <w:r w:rsidRPr="00CE0885">
        <w:rPr>
          <w:spacing w:val="3"/>
          <w:lang w:eastAsia="en-GB"/>
        </w:rPr>
        <w:t>i</w:t>
      </w:r>
      <w:r w:rsidRPr="00CE0885">
        <w:rPr>
          <w:spacing w:val="-3"/>
          <w:lang w:eastAsia="en-GB"/>
        </w:rPr>
        <w:t>d</w:t>
      </w:r>
      <w:r w:rsidRPr="00CE0885">
        <w:rPr>
          <w:lang w:eastAsia="en-GB"/>
        </w:rPr>
        <w:t>e</w:t>
      </w:r>
      <w:r w:rsidRPr="00CE0885">
        <w:rPr>
          <w:spacing w:val="9"/>
          <w:lang w:eastAsia="en-GB"/>
        </w:rPr>
        <w:t xml:space="preserve"> </w:t>
      </w:r>
      <w:r w:rsidRPr="00CE0885">
        <w:rPr>
          <w:spacing w:val="1"/>
          <w:lang w:eastAsia="en-GB"/>
        </w:rPr>
        <w:t>c</w:t>
      </w:r>
      <w:r w:rsidRPr="00CE0885">
        <w:rPr>
          <w:lang w:eastAsia="en-GB"/>
        </w:rPr>
        <w:t>on</w:t>
      </w:r>
      <w:r w:rsidRPr="00CE0885">
        <w:rPr>
          <w:spacing w:val="-2"/>
          <w:lang w:eastAsia="en-GB"/>
        </w:rPr>
        <w:t>s</w:t>
      </w:r>
      <w:r w:rsidRPr="00CE0885">
        <w:rPr>
          <w:spacing w:val="3"/>
          <w:lang w:eastAsia="en-GB"/>
        </w:rPr>
        <w:t>i</w:t>
      </w:r>
      <w:r w:rsidRPr="00CE0885">
        <w:rPr>
          <w:spacing w:val="1"/>
          <w:lang w:eastAsia="en-GB"/>
        </w:rPr>
        <w:t>s</w:t>
      </w:r>
      <w:r w:rsidRPr="00CE0885">
        <w:rPr>
          <w:lang w:eastAsia="en-GB"/>
        </w:rPr>
        <w:t>t</w:t>
      </w:r>
      <w:r w:rsidRPr="00CE0885">
        <w:rPr>
          <w:spacing w:val="-3"/>
          <w:lang w:eastAsia="en-GB"/>
        </w:rPr>
        <w:t>e</w:t>
      </w:r>
      <w:r w:rsidRPr="00CE0885">
        <w:rPr>
          <w:lang w:eastAsia="en-GB"/>
        </w:rPr>
        <w:t>n</w:t>
      </w:r>
      <w:r w:rsidRPr="00CE0885">
        <w:rPr>
          <w:spacing w:val="1"/>
          <w:lang w:eastAsia="en-GB"/>
        </w:rPr>
        <w:t>c</w:t>
      </w:r>
      <w:r w:rsidRPr="00CE0885">
        <w:rPr>
          <w:lang w:eastAsia="en-GB"/>
        </w:rPr>
        <w:t>y</w:t>
      </w:r>
      <w:r w:rsidRPr="00CE0885">
        <w:rPr>
          <w:spacing w:val="14"/>
          <w:lang w:eastAsia="en-GB"/>
        </w:rPr>
        <w:t xml:space="preserve"> </w:t>
      </w:r>
      <w:r w:rsidRPr="00CE0885">
        <w:rPr>
          <w:spacing w:val="-3"/>
          <w:lang w:eastAsia="en-GB"/>
        </w:rPr>
        <w:t>w</w:t>
      </w:r>
      <w:r w:rsidRPr="00CE0885">
        <w:rPr>
          <w:spacing w:val="2"/>
          <w:lang w:eastAsia="en-GB"/>
        </w:rPr>
        <w:t>h</w:t>
      </w:r>
      <w:r w:rsidRPr="00CE0885">
        <w:rPr>
          <w:spacing w:val="-3"/>
          <w:lang w:eastAsia="en-GB"/>
        </w:rPr>
        <w:t>e</w:t>
      </w:r>
      <w:r w:rsidRPr="00CE0885">
        <w:rPr>
          <w:lang w:eastAsia="en-GB"/>
        </w:rPr>
        <w:t>n</w:t>
      </w:r>
      <w:r w:rsidRPr="00CE0885">
        <w:rPr>
          <w:spacing w:val="8"/>
          <w:lang w:eastAsia="en-GB"/>
        </w:rPr>
        <w:t xml:space="preserve"> </w:t>
      </w:r>
      <w:r w:rsidRPr="00CE0885">
        <w:rPr>
          <w:lang w:eastAsia="en-GB"/>
        </w:rPr>
        <w:t>de</w:t>
      </w:r>
      <w:r w:rsidRPr="00CE0885">
        <w:rPr>
          <w:spacing w:val="2"/>
          <w:lang w:eastAsia="en-GB"/>
        </w:rPr>
        <w:t>a</w:t>
      </w:r>
      <w:r w:rsidRPr="00CE0885">
        <w:rPr>
          <w:spacing w:val="-1"/>
          <w:lang w:eastAsia="en-GB"/>
        </w:rPr>
        <w:t>l</w:t>
      </w:r>
      <w:r w:rsidRPr="00CE0885">
        <w:rPr>
          <w:spacing w:val="3"/>
          <w:lang w:eastAsia="en-GB"/>
        </w:rPr>
        <w:t>i</w:t>
      </w:r>
      <w:r w:rsidRPr="00CE0885">
        <w:rPr>
          <w:spacing w:val="-3"/>
          <w:lang w:eastAsia="en-GB"/>
        </w:rPr>
        <w:t>n</w:t>
      </w:r>
      <w:r w:rsidRPr="00CE0885">
        <w:rPr>
          <w:lang w:eastAsia="en-GB"/>
        </w:rPr>
        <w:t>g</w:t>
      </w:r>
      <w:r w:rsidRPr="00CE0885">
        <w:rPr>
          <w:spacing w:val="10"/>
          <w:lang w:eastAsia="en-GB"/>
        </w:rPr>
        <w:t xml:space="preserve"> </w:t>
      </w:r>
      <w:r w:rsidRPr="00CE0885">
        <w:rPr>
          <w:spacing w:val="-3"/>
          <w:lang w:eastAsia="en-GB"/>
        </w:rPr>
        <w:t>w</w:t>
      </w:r>
      <w:r w:rsidRPr="00CE0885">
        <w:rPr>
          <w:spacing w:val="1"/>
          <w:lang w:eastAsia="en-GB"/>
        </w:rPr>
        <w:t>i</w:t>
      </w:r>
      <w:r w:rsidRPr="00CE0885">
        <w:rPr>
          <w:spacing w:val="2"/>
          <w:lang w:eastAsia="en-GB"/>
        </w:rPr>
        <w:t>t</w:t>
      </w:r>
      <w:r w:rsidRPr="00CE0885">
        <w:rPr>
          <w:lang w:eastAsia="en-GB"/>
        </w:rPr>
        <w:t>h</w:t>
      </w:r>
      <w:r w:rsidRPr="00CE0885">
        <w:rPr>
          <w:spacing w:val="2"/>
          <w:lang w:eastAsia="en-GB"/>
        </w:rPr>
        <w:t xml:space="preserve"> t</w:t>
      </w:r>
      <w:r w:rsidRPr="00CE0885">
        <w:rPr>
          <w:spacing w:val="-3"/>
          <w:lang w:eastAsia="en-GB"/>
        </w:rPr>
        <w:t>h</w:t>
      </w:r>
      <w:r w:rsidRPr="00CE0885">
        <w:rPr>
          <w:lang w:eastAsia="en-GB"/>
        </w:rPr>
        <w:t>e</w:t>
      </w:r>
      <w:r w:rsidRPr="00CE0885">
        <w:rPr>
          <w:spacing w:val="6"/>
          <w:lang w:eastAsia="en-GB"/>
        </w:rPr>
        <w:t xml:space="preserve"> </w:t>
      </w:r>
      <w:r w:rsidRPr="00CE0885">
        <w:rPr>
          <w:spacing w:val="-3"/>
          <w:lang w:eastAsia="en-GB"/>
        </w:rPr>
        <w:t>d</w:t>
      </w:r>
      <w:r w:rsidRPr="00CE0885">
        <w:rPr>
          <w:spacing w:val="2"/>
          <w:lang w:eastAsia="en-GB"/>
        </w:rPr>
        <w:t>e</w:t>
      </w:r>
      <w:r w:rsidRPr="00CE0885">
        <w:rPr>
          <w:spacing w:val="-3"/>
          <w:lang w:eastAsia="en-GB"/>
        </w:rPr>
        <w:t>a</w:t>
      </w:r>
      <w:r w:rsidRPr="00CE0885">
        <w:rPr>
          <w:spacing w:val="2"/>
          <w:lang w:eastAsia="en-GB"/>
        </w:rPr>
        <w:t>t</w:t>
      </w:r>
      <w:r w:rsidRPr="00CE0885">
        <w:rPr>
          <w:lang w:eastAsia="en-GB"/>
        </w:rPr>
        <w:t>h</w:t>
      </w:r>
      <w:r w:rsidRPr="00CE0885">
        <w:rPr>
          <w:spacing w:val="7"/>
          <w:lang w:eastAsia="en-GB"/>
        </w:rPr>
        <w:t xml:space="preserve"> </w:t>
      </w:r>
      <w:r w:rsidRPr="00CE0885">
        <w:rPr>
          <w:lang w:eastAsia="en-GB"/>
        </w:rPr>
        <w:t>of</w:t>
      </w:r>
      <w:r w:rsidRPr="00CE0885">
        <w:rPr>
          <w:spacing w:val="5"/>
          <w:lang w:eastAsia="en-GB"/>
        </w:rPr>
        <w:t xml:space="preserve"> </w:t>
      </w:r>
      <w:r w:rsidRPr="00CE0885">
        <w:rPr>
          <w:lang w:eastAsia="en-GB"/>
        </w:rPr>
        <w:t>a</w:t>
      </w:r>
      <w:r w:rsidRPr="00CE0885">
        <w:rPr>
          <w:spacing w:val="2"/>
          <w:lang w:eastAsia="en-GB"/>
        </w:rPr>
        <w:t xml:space="preserve"> </w:t>
      </w:r>
      <w:r w:rsidRPr="00CE0885">
        <w:rPr>
          <w:spacing w:val="1"/>
          <w:lang w:eastAsia="en-GB"/>
        </w:rPr>
        <w:t>c</w:t>
      </w:r>
      <w:r w:rsidRPr="00CE0885">
        <w:rPr>
          <w:spacing w:val="-3"/>
          <w:lang w:eastAsia="en-GB"/>
        </w:rPr>
        <w:t>o</w:t>
      </w:r>
      <w:r w:rsidRPr="00CE0885">
        <w:rPr>
          <w:lang w:eastAsia="en-GB"/>
        </w:rPr>
        <w:t>nt</w:t>
      </w:r>
      <w:r w:rsidRPr="00CE0885">
        <w:rPr>
          <w:spacing w:val="1"/>
          <w:lang w:eastAsia="en-GB"/>
        </w:rPr>
        <w:t>r</w:t>
      </w:r>
      <w:r w:rsidRPr="00CE0885">
        <w:rPr>
          <w:lang w:eastAsia="en-GB"/>
        </w:rPr>
        <w:t>a</w:t>
      </w:r>
      <w:r w:rsidRPr="00CE0885">
        <w:rPr>
          <w:spacing w:val="1"/>
          <w:lang w:eastAsia="en-GB"/>
        </w:rPr>
        <w:t>c</w:t>
      </w:r>
      <w:r w:rsidRPr="00CE0885">
        <w:rPr>
          <w:lang w:eastAsia="en-GB"/>
        </w:rPr>
        <w:t>t</w:t>
      </w:r>
      <w:r w:rsidRPr="00CE0885">
        <w:rPr>
          <w:spacing w:val="-3"/>
          <w:lang w:eastAsia="en-GB"/>
        </w:rPr>
        <w:t>o</w:t>
      </w:r>
      <w:r w:rsidRPr="00CE0885">
        <w:rPr>
          <w:spacing w:val="-1"/>
          <w:lang w:eastAsia="en-GB"/>
        </w:rPr>
        <w:t>r</w:t>
      </w:r>
      <w:r w:rsidRPr="00CE0885">
        <w:rPr>
          <w:lang w:eastAsia="en-GB"/>
        </w:rPr>
        <w:t>,</w:t>
      </w:r>
      <w:r w:rsidRPr="00CE0885">
        <w:rPr>
          <w:spacing w:val="17"/>
          <w:lang w:eastAsia="en-GB"/>
        </w:rPr>
        <w:t xml:space="preserve"> </w:t>
      </w:r>
      <w:r w:rsidRPr="00CE0885">
        <w:rPr>
          <w:spacing w:val="-1"/>
          <w:lang w:eastAsia="en-GB"/>
        </w:rPr>
        <w:t>w</w:t>
      </w:r>
      <w:r w:rsidRPr="00CE0885">
        <w:rPr>
          <w:lang w:eastAsia="en-GB"/>
        </w:rPr>
        <w:t>h</w:t>
      </w:r>
      <w:r w:rsidRPr="00CE0885">
        <w:rPr>
          <w:spacing w:val="-3"/>
          <w:lang w:eastAsia="en-GB"/>
        </w:rPr>
        <w:t>e</w:t>
      </w:r>
      <w:r w:rsidRPr="00CE0885">
        <w:rPr>
          <w:spacing w:val="2"/>
          <w:lang w:eastAsia="en-GB"/>
        </w:rPr>
        <w:t>th</w:t>
      </w:r>
      <w:r w:rsidRPr="00CE0885">
        <w:rPr>
          <w:spacing w:val="-3"/>
          <w:lang w:eastAsia="en-GB"/>
        </w:rPr>
        <w:t>e</w:t>
      </w:r>
      <w:r w:rsidRPr="00CE0885">
        <w:rPr>
          <w:lang w:eastAsia="en-GB"/>
        </w:rPr>
        <w:t>r</w:t>
      </w:r>
      <w:r w:rsidRPr="00CE0885">
        <w:rPr>
          <w:spacing w:val="10"/>
          <w:lang w:eastAsia="en-GB"/>
        </w:rPr>
        <w:t xml:space="preserve"> </w:t>
      </w:r>
      <w:r w:rsidRPr="00CE0885">
        <w:rPr>
          <w:lang w:eastAsia="en-GB"/>
        </w:rPr>
        <w:t>th</w:t>
      </w:r>
      <w:r w:rsidRPr="00CE0885">
        <w:rPr>
          <w:spacing w:val="2"/>
          <w:lang w:eastAsia="en-GB"/>
        </w:rPr>
        <w:t>e</w:t>
      </w:r>
      <w:r w:rsidRPr="00CE0885">
        <w:rPr>
          <w:lang w:eastAsia="en-GB"/>
        </w:rPr>
        <w:t>y</w:t>
      </w:r>
      <w:r w:rsidRPr="00CE0885">
        <w:rPr>
          <w:spacing w:val="3"/>
          <w:lang w:eastAsia="en-GB"/>
        </w:rPr>
        <w:t xml:space="preserve"> </w:t>
      </w:r>
      <w:r w:rsidRPr="00CE0885">
        <w:rPr>
          <w:spacing w:val="-3"/>
          <w:w w:val="101"/>
          <w:lang w:eastAsia="en-GB"/>
        </w:rPr>
        <w:t>a</w:t>
      </w:r>
      <w:r w:rsidRPr="00CE0885">
        <w:rPr>
          <w:spacing w:val="4"/>
          <w:w w:val="101"/>
          <w:lang w:eastAsia="en-GB"/>
        </w:rPr>
        <w:t>r</w:t>
      </w:r>
      <w:r w:rsidRPr="00CE0885">
        <w:rPr>
          <w:w w:val="101"/>
          <w:lang w:eastAsia="en-GB"/>
        </w:rPr>
        <w:t xml:space="preserve">e a </w:t>
      </w:r>
      <w:r w:rsidRPr="00CE0885">
        <w:rPr>
          <w:spacing w:val="-2"/>
          <w:lang w:eastAsia="en-GB"/>
        </w:rPr>
        <w:t>s</w:t>
      </w:r>
      <w:r w:rsidRPr="00CE0885">
        <w:rPr>
          <w:spacing w:val="3"/>
          <w:lang w:eastAsia="en-GB"/>
        </w:rPr>
        <w:t>i</w:t>
      </w:r>
      <w:r w:rsidRPr="00CE0885">
        <w:rPr>
          <w:spacing w:val="-3"/>
          <w:lang w:eastAsia="en-GB"/>
        </w:rPr>
        <w:t>n</w:t>
      </w:r>
      <w:r w:rsidRPr="00CE0885">
        <w:rPr>
          <w:lang w:eastAsia="en-GB"/>
        </w:rPr>
        <w:t>g</w:t>
      </w:r>
      <w:r w:rsidRPr="00CE0885">
        <w:rPr>
          <w:spacing w:val="1"/>
          <w:lang w:eastAsia="en-GB"/>
        </w:rPr>
        <w:t>l</w:t>
      </w:r>
      <w:r w:rsidRPr="00CE0885">
        <w:rPr>
          <w:lang w:eastAsia="en-GB"/>
        </w:rPr>
        <w:t>e-handed</w:t>
      </w:r>
      <w:r w:rsidRPr="00CE0885">
        <w:rPr>
          <w:spacing w:val="6"/>
          <w:lang w:eastAsia="en-GB"/>
        </w:rPr>
        <w:t xml:space="preserve"> </w:t>
      </w:r>
      <w:r w:rsidRPr="00CE0885">
        <w:rPr>
          <w:spacing w:val="3"/>
          <w:lang w:eastAsia="en-GB"/>
        </w:rPr>
        <w:t>c</w:t>
      </w:r>
      <w:r w:rsidRPr="00CE0885">
        <w:rPr>
          <w:spacing w:val="2"/>
          <w:lang w:eastAsia="en-GB"/>
        </w:rPr>
        <w:t>o</w:t>
      </w:r>
      <w:r w:rsidRPr="00CE0885">
        <w:rPr>
          <w:spacing w:val="-3"/>
          <w:lang w:eastAsia="en-GB"/>
        </w:rPr>
        <w:t>n</w:t>
      </w:r>
      <w:r w:rsidRPr="00CE0885">
        <w:rPr>
          <w:lang w:eastAsia="en-GB"/>
        </w:rPr>
        <w:t>t</w:t>
      </w:r>
      <w:r w:rsidRPr="00CE0885">
        <w:rPr>
          <w:spacing w:val="-1"/>
          <w:lang w:eastAsia="en-GB"/>
        </w:rPr>
        <w:t>r</w:t>
      </w:r>
      <w:r w:rsidRPr="00CE0885">
        <w:rPr>
          <w:lang w:eastAsia="en-GB"/>
        </w:rPr>
        <w:t>a</w:t>
      </w:r>
      <w:r w:rsidRPr="00CE0885">
        <w:rPr>
          <w:spacing w:val="1"/>
          <w:lang w:eastAsia="en-GB"/>
        </w:rPr>
        <w:t>c</w:t>
      </w:r>
      <w:r w:rsidRPr="00CE0885">
        <w:rPr>
          <w:spacing w:val="2"/>
          <w:lang w:eastAsia="en-GB"/>
        </w:rPr>
        <w:t>t</w:t>
      </w:r>
      <w:r w:rsidRPr="00CE0885">
        <w:rPr>
          <w:spacing w:val="-3"/>
          <w:lang w:eastAsia="en-GB"/>
        </w:rPr>
        <w:t>o</w:t>
      </w:r>
      <w:r w:rsidRPr="00CE0885">
        <w:rPr>
          <w:lang w:eastAsia="en-GB"/>
        </w:rPr>
        <w:t>r,</w:t>
      </w:r>
      <w:r w:rsidRPr="00CE0885">
        <w:rPr>
          <w:spacing w:val="12"/>
          <w:lang w:eastAsia="en-GB"/>
        </w:rPr>
        <w:t xml:space="preserve"> </w:t>
      </w:r>
      <w:r w:rsidRPr="00CE0885">
        <w:rPr>
          <w:spacing w:val="1"/>
          <w:lang w:eastAsia="en-GB"/>
        </w:rPr>
        <w:t>i</w:t>
      </w:r>
      <w:r w:rsidRPr="00CE0885">
        <w:rPr>
          <w:lang w:eastAsia="en-GB"/>
        </w:rPr>
        <w:t>n</w:t>
      </w:r>
      <w:r w:rsidRPr="00CE0885">
        <w:rPr>
          <w:spacing w:val="3"/>
          <w:lang w:eastAsia="en-GB"/>
        </w:rPr>
        <w:t xml:space="preserve"> </w:t>
      </w:r>
      <w:r w:rsidRPr="00CE0885">
        <w:rPr>
          <w:w w:val="101"/>
          <w:lang w:eastAsia="en-GB"/>
        </w:rPr>
        <w:t xml:space="preserve">a </w:t>
      </w:r>
      <w:r w:rsidRPr="00CE0885">
        <w:rPr>
          <w:spacing w:val="-3"/>
          <w:lang w:eastAsia="en-GB"/>
        </w:rPr>
        <w:t>p</w:t>
      </w:r>
      <w:r w:rsidRPr="00CE0885">
        <w:rPr>
          <w:spacing w:val="2"/>
          <w:lang w:eastAsia="en-GB"/>
        </w:rPr>
        <w:t>a</w:t>
      </w:r>
      <w:r w:rsidRPr="00CE0885">
        <w:rPr>
          <w:spacing w:val="-1"/>
          <w:lang w:eastAsia="en-GB"/>
        </w:rPr>
        <w:t>r</w:t>
      </w:r>
      <w:r w:rsidRPr="00CE0885">
        <w:rPr>
          <w:lang w:eastAsia="en-GB"/>
        </w:rPr>
        <w:t>tne</w:t>
      </w:r>
      <w:r w:rsidRPr="00CE0885">
        <w:rPr>
          <w:spacing w:val="-1"/>
          <w:lang w:eastAsia="en-GB"/>
        </w:rPr>
        <w:t>r</w:t>
      </w:r>
      <w:r w:rsidRPr="00CE0885">
        <w:rPr>
          <w:spacing w:val="1"/>
          <w:lang w:eastAsia="en-GB"/>
        </w:rPr>
        <w:t>s</w:t>
      </w:r>
      <w:r w:rsidRPr="00CE0885">
        <w:rPr>
          <w:spacing w:val="-3"/>
          <w:lang w:eastAsia="en-GB"/>
        </w:rPr>
        <w:t>h</w:t>
      </w:r>
      <w:r w:rsidRPr="00CE0885">
        <w:rPr>
          <w:spacing w:val="3"/>
          <w:lang w:eastAsia="en-GB"/>
        </w:rPr>
        <w:t>i</w:t>
      </w:r>
      <w:r w:rsidRPr="00CE0885">
        <w:rPr>
          <w:spacing w:val="-3"/>
          <w:lang w:eastAsia="en-GB"/>
        </w:rPr>
        <w:t>p or a corporate organisation</w:t>
      </w:r>
      <w:r w:rsidRPr="00CE0885">
        <w:rPr>
          <w:lang w:eastAsia="en-GB"/>
        </w:rPr>
        <w:t xml:space="preserve"> and</w:t>
      </w:r>
      <w:r w:rsidRPr="00CE0885">
        <w:rPr>
          <w:spacing w:val="5"/>
          <w:lang w:eastAsia="en-GB"/>
        </w:rPr>
        <w:t xml:space="preserve"> </w:t>
      </w:r>
      <w:r w:rsidRPr="00CE0885">
        <w:rPr>
          <w:spacing w:val="3"/>
          <w:lang w:eastAsia="en-GB"/>
        </w:rPr>
        <w:t>i</w:t>
      </w:r>
      <w:r w:rsidRPr="00CE0885">
        <w:rPr>
          <w:spacing w:val="-3"/>
          <w:lang w:eastAsia="en-GB"/>
        </w:rPr>
        <w:t>n</w:t>
      </w:r>
      <w:r w:rsidRPr="00CE0885">
        <w:rPr>
          <w:spacing w:val="1"/>
          <w:lang w:eastAsia="en-GB"/>
        </w:rPr>
        <w:t>cl</w:t>
      </w:r>
      <w:r w:rsidRPr="00CE0885">
        <w:rPr>
          <w:lang w:eastAsia="en-GB"/>
        </w:rPr>
        <w:t>u</w:t>
      </w:r>
      <w:r w:rsidRPr="00CE0885">
        <w:rPr>
          <w:spacing w:val="-3"/>
          <w:lang w:eastAsia="en-GB"/>
        </w:rPr>
        <w:t>d</w:t>
      </w:r>
      <w:r w:rsidRPr="00CE0885">
        <w:rPr>
          <w:lang w:eastAsia="en-GB"/>
        </w:rPr>
        <w:t>es</w:t>
      </w:r>
      <w:r w:rsidRPr="00CE0885">
        <w:rPr>
          <w:spacing w:val="10"/>
          <w:lang w:eastAsia="en-GB"/>
        </w:rPr>
        <w:t xml:space="preserve"> </w:t>
      </w:r>
      <w:r w:rsidRPr="00CE0885">
        <w:rPr>
          <w:spacing w:val="-2"/>
          <w:lang w:eastAsia="en-GB"/>
        </w:rPr>
        <w:t>c</w:t>
      </w:r>
      <w:r w:rsidRPr="00CE0885">
        <w:rPr>
          <w:spacing w:val="2"/>
          <w:lang w:eastAsia="en-GB"/>
        </w:rPr>
        <w:t>o</w:t>
      </w:r>
      <w:r w:rsidRPr="00CE0885">
        <w:rPr>
          <w:spacing w:val="-3"/>
          <w:lang w:eastAsia="en-GB"/>
        </w:rPr>
        <w:t>n</w:t>
      </w:r>
      <w:r w:rsidRPr="00CE0885">
        <w:rPr>
          <w:spacing w:val="1"/>
          <w:lang w:eastAsia="en-GB"/>
        </w:rPr>
        <w:t>si</w:t>
      </w:r>
      <w:r w:rsidRPr="00CE0885">
        <w:rPr>
          <w:lang w:eastAsia="en-GB"/>
        </w:rPr>
        <w:t>de</w:t>
      </w:r>
      <w:r w:rsidRPr="00CE0885">
        <w:rPr>
          <w:spacing w:val="4"/>
          <w:lang w:eastAsia="en-GB"/>
        </w:rPr>
        <w:t>r</w:t>
      </w:r>
      <w:r w:rsidRPr="00CE0885">
        <w:rPr>
          <w:spacing w:val="-3"/>
          <w:lang w:eastAsia="en-GB"/>
        </w:rPr>
        <w:t>a</w:t>
      </w:r>
      <w:r w:rsidRPr="00CE0885">
        <w:rPr>
          <w:lang w:eastAsia="en-GB"/>
        </w:rPr>
        <w:t>t</w:t>
      </w:r>
      <w:r w:rsidRPr="00CE0885">
        <w:rPr>
          <w:spacing w:val="3"/>
          <w:lang w:eastAsia="en-GB"/>
        </w:rPr>
        <w:t>i</w:t>
      </w:r>
      <w:r w:rsidRPr="00CE0885">
        <w:rPr>
          <w:spacing w:val="-3"/>
          <w:lang w:eastAsia="en-GB"/>
        </w:rPr>
        <w:t>o</w:t>
      </w:r>
      <w:r w:rsidRPr="00CE0885">
        <w:rPr>
          <w:lang w:eastAsia="en-GB"/>
        </w:rPr>
        <w:t>n</w:t>
      </w:r>
      <w:r w:rsidRPr="00CE0885">
        <w:rPr>
          <w:spacing w:val="15"/>
          <w:lang w:eastAsia="en-GB"/>
        </w:rPr>
        <w:t xml:space="preserve"> </w:t>
      </w:r>
      <w:r w:rsidRPr="00CE0885">
        <w:rPr>
          <w:lang w:eastAsia="en-GB"/>
        </w:rPr>
        <w:t>of</w:t>
      </w:r>
      <w:r w:rsidRPr="00CE0885">
        <w:rPr>
          <w:spacing w:val="5"/>
          <w:lang w:eastAsia="en-GB"/>
        </w:rPr>
        <w:t xml:space="preserve"> GMS, PMS, APMS and where appropriate MCP/PACS</w:t>
      </w:r>
      <w:r w:rsidRPr="00CE0885">
        <w:rPr>
          <w:spacing w:val="11"/>
          <w:lang w:eastAsia="en-GB"/>
        </w:rPr>
        <w:t xml:space="preserve"> contracts.</w:t>
      </w:r>
      <w:bookmarkEnd w:id="1436"/>
    </w:p>
    <w:p w14:paraId="5FE2510D" w14:textId="77777777" w:rsidR="00867DFB" w:rsidRPr="00CE0885" w:rsidRDefault="00867DFB" w:rsidP="00EF04D7">
      <w:pPr>
        <w:pStyle w:val="Heading3"/>
        <w:rPr>
          <w:lang w:eastAsia="en-GB"/>
        </w:rPr>
      </w:pPr>
      <w:bookmarkStart w:id="1437" w:name="_Toc440982795"/>
      <w:r w:rsidRPr="00CE0885">
        <w:rPr>
          <w:spacing w:val="7"/>
          <w:lang w:eastAsia="en-GB"/>
        </w:rPr>
        <w:t>This</w:t>
      </w:r>
      <w:r w:rsidRPr="00CE0885">
        <w:rPr>
          <w:spacing w:val="6"/>
          <w:lang w:eastAsia="en-GB"/>
        </w:rPr>
        <w:t xml:space="preserve"> </w:t>
      </w:r>
      <w:r w:rsidRPr="00CE0885">
        <w:rPr>
          <w:lang w:eastAsia="en-GB"/>
        </w:rPr>
        <w:t>policy</w:t>
      </w:r>
      <w:r w:rsidRPr="00CE0885">
        <w:rPr>
          <w:spacing w:val="3"/>
          <w:lang w:eastAsia="en-GB"/>
        </w:rPr>
        <w:t xml:space="preserve"> </w:t>
      </w:r>
      <w:r w:rsidRPr="00CE0885">
        <w:rPr>
          <w:lang w:eastAsia="en-GB"/>
        </w:rPr>
        <w:t>out</w:t>
      </w:r>
      <w:r w:rsidRPr="00CE0885">
        <w:rPr>
          <w:spacing w:val="1"/>
          <w:lang w:eastAsia="en-GB"/>
        </w:rPr>
        <w:t>l</w:t>
      </w:r>
      <w:r w:rsidRPr="00CE0885">
        <w:rPr>
          <w:spacing w:val="3"/>
          <w:lang w:eastAsia="en-GB"/>
        </w:rPr>
        <w:t>i</w:t>
      </w:r>
      <w:r w:rsidRPr="00CE0885">
        <w:rPr>
          <w:spacing w:val="-3"/>
          <w:lang w:eastAsia="en-GB"/>
        </w:rPr>
        <w:t>n</w:t>
      </w:r>
      <w:r w:rsidRPr="00CE0885">
        <w:rPr>
          <w:lang w:eastAsia="en-GB"/>
        </w:rPr>
        <w:t>es</w:t>
      </w:r>
      <w:r w:rsidRPr="00CE0885">
        <w:rPr>
          <w:spacing w:val="10"/>
          <w:lang w:eastAsia="en-GB"/>
        </w:rPr>
        <w:t xml:space="preserve"> </w:t>
      </w:r>
      <w:r w:rsidRPr="00CE0885">
        <w:rPr>
          <w:w w:val="101"/>
          <w:lang w:eastAsia="en-GB"/>
        </w:rPr>
        <w:t>t</w:t>
      </w:r>
      <w:r w:rsidRPr="00CE0885">
        <w:rPr>
          <w:spacing w:val="-3"/>
          <w:w w:val="101"/>
          <w:lang w:eastAsia="en-GB"/>
        </w:rPr>
        <w:t>h</w:t>
      </w:r>
      <w:r w:rsidRPr="00CE0885">
        <w:rPr>
          <w:w w:val="101"/>
          <w:lang w:eastAsia="en-GB"/>
        </w:rPr>
        <w:t xml:space="preserve">e </w:t>
      </w:r>
      <w:r w:rsidRPr="00CE0885">
        <w:rPr>
          <w:spacing w:val="-3"/>
          <w:lang w:eastAsia="en-GB"/>
        </w:rPr>
        <w:t>p</w:t>
      </w:r>
      <w:r w:rsidRPr="00CE0885">
        <w:rPr>
          <w:spacing w:val="1"/>
          <w:lang w:eastAsia="en-GB"/>
        </w:rPr>
        <w:t>r</w:t>
      </w:r>
      <w:r w:rsidRPr="00CE0885">
        <w:rPr>
          <w:lang w:eastAsia="en-GB"/>
        </w:rPr>
        <w:t>o</w:t>
      </w:r>
      <w:r w:rsidRPr="00CE0885">
        <w:rPr>
          <w:spacing w:val="-2"/>
          <w:lang w:eastAsia="en-GB"/>
        </w:rPr>
        <w:t>c</w:t>
      </w:r>
      <w:r w:rsidRPr="00CE0885">
        <w:rPr>
          <w:spacing w:val="2"/>
          <w:lang w:eastAsia="en-GB"/>
        </w:rPr>
        <w:t>e</w:t>
      </w:r>
      <w:r w:rsidRPr="00CE0885">
        <w:rPr>
          <w:spacing w:val="-3"/>
          <w:lang w:eastAsia="en-GB"/>
        </w:rPr>
        <w:t>d</w:t>
      </w:r>
      <w:r w:rsidRPr="00CE0885">
        <w:rPr>
          <w:spacing w:val="2"/>
          <w:lang w:eastAsia="en-GB"/>
        </w:rPr>
        <w:t>u</w:t>
      </w:r>
      <w:r w:rsidRPr="00CE0885">
        <w:rPr>
          <w:spacing w:val="-1"/>
          <w:lang w:eastAsia="en-GB"/>
        </w:rPr>
        <w:t>r</w:t>
      </w:r>
      <w:r w:rsidRPr="00CE0885">
        <w:rPr>
          <w:lang w:eastAsia="en-GB"/>
        </w:rPr>
        <w:t>e</w:t>
      </w:r>
      <w:r w:rsidRPr="00CE0885">
        <w:rPr>
          <w:spacing w:val="11"/>
          <w:lang w:eastAsia="en-GB"/>
        </w:rPr>
        <w:t xml:space="preserve"> </w:t>
      </w:r>
      <w:r w:rsidRPr="00CE0885">
        <w:rPr>
          <w:spacing w:val="2"/>
          <w:lang w:eastAsia="en-GB"/>
        </w:rPr>
        <w:t>t</w:t>
      </w:r>
      <w:r w:rsidRPr="00CE0885">
        <w:rPr>
          <w:lang w:eastAsia="en-GB"/>
        </w:rPr>
        <w:t>o</w:t>
      </w:r>
      <w:r w:rsidRPr="00CE0885">
        <w:rPr>
          <w:spacing w:val="3"/>
          <w:lang w:eastAsia="en-GB"/>
        </w:rPr>
        <w:t xml:space="preserve"> </w:t>
      </w:r>
      <w:r w:rsidRPr="00CE0885">
        <w:rPr>
          <w:spacing w:val="2"/>
          <w:lang w:eastAsia="en-GB"/>
        </w:rPr>
        <w:t>f</w:t>
      </w:r>
      <w:r w:rsidRPr="00CE0885">
        <w:rPr>
          <w:lang w:eastAsia="en-GB"/>
        </w:rPr>
        <w:t>o</w:t>
      </w:r>
      <w:r w:rsidRPr="00CE0885">
        <w:rPr>
          <w:spacing w:val="-1"/>
          <w:lang w:eastAsia="en-GB"/>
        </w:rPr>
        <w:t>l</w:t>
      </w:r>
      <w:r w:rsidRPr="00CE0885">
        <w:rPr>
          <w:spacing w:val="1"/>
          <w:lang w:eastAsia="en-GB"/>
        </w:rPr>
        <w:t>l</w:t>
      </w:r>
      <w:r w:rsidRPr="00CE0885">
        <w:rPr>
          <w:lang w:eastAsia="en-GB"/>
        </w:rPr>
        <w:t>ow</w:t>
      </w:r>
      <w:r w:rsidRPr="00CE0885">
        <w:rPr>
          <w:spacing w:val="6"/>
          <w:lang w:eastAsia="en-GB"/>
        </w:rPr>
        <w:t xml:space="preserve"> </w:t>
      </w:r>
      <w:r w:rsidRPr="00CE0885">
        <w:rPr>
          <w:spacing w:val="-1"/>
          <w:lang w:eastAsia="en-GB"/>
        </w:rPr>
        <w:t>w</w:t>
      </w:r>
      <w:r w:rsidRPr="00CE0885">
        <w:rPr>
          <w:spacing w:val="2"/>
          <w:lang w:eastAsia="en-GB"/>
        </w:rPr>
        <w:t>h</w:t>
      </w:r>
      <w:r w:rsidRPr="00CE0885">
        <w:rPr>
          <w:spacing w:val="-3"/>
          <w:lang w:eastAsia="en-GB"/>
        </w:rPr>
        <w:t>e</w:t>
      </w:r>
      <w:r w:rsidRPr="00CE0885">
        <w:rPr>
          <w:lang w:eastAsia="en-GB"/>
        </w:rPr>
        <w:t>n</w:t>
      </w:r>
      <w:r w:rsidRPr="00CE0885">
        <w:rPr>
          <w:spacing w:val="6"/>
          <w:lang w:eastAsia="en-GB"/>
        </w:rPr>
        <w:t xml:space="preserve"> </w:t>
      </w:r>
      <w:r w:rsidRPr="00CE0885">
        <w:rPr>
          <w:lang w:eastAsia="en-GB"/>
        </w:rPr>
        <w:t>t</w:t>
      </w:r>
      <w:r w:rsidRPr="00CE0885">
        <w:rPr>
          <w:spacing w:val="2"/>
          <w:lang w:eastAsia="en-GB"/>
        </w:rPr>
        <w:t>h</w:t>
      </w:r>
      <w:r w:rsidRPr="00CE0885">
        <w:rPr>
          <w:lang w:eastAsia="en-GB"/>
        </w:rPr>
        <w:t>e</w:t>
      </w:r>
      <w:r w:rsidRPr="00CE0885">
        <w:rPr>
          <w:spacing w:val="4"/>
          <w:lang w:eastAsia="en-GB"/>
        </w:rPr>
        <w:t xml:space="preserve"> </w:t>
      </w:r>
      <w:r w:rsidRPr="00CE0885">
        <w:rPr>
          <w:lang w:eastAsia="en-GB"/>
        </w:rPr>
        <w:t>d</w:t>
      </w:r>
      <w:r w:rsidRPr="00CE0885">
        <w:rPr>
          <w:spacing w:val="2"/>
          <w:lang w:eastAsia="en-GB"/>
        </w:rPr>
        <w:t>e</w:t>
      </w:r>
      <w:r w:rsidRPr="00CE0885">
        <w:rPr>
          <w:spacing w:val="-3"/>
          <w:lang w:eastAsia="en-GB"/>
        </w:rPr>
        <w:t>a</w:t>
      </w:r>
      <w:r w:rsidRPr="00CE0885">
        <w:rPr>
          <w:spacing w:val="2"/>
          <w:lang w:eastAsia="en-GB"/>
        </w:rPr>
        <w:t>t</w:t>
      </w:r>
      <w:r w:rsidRPr="00CE0885">
        <w:rPr>
          <w:lang w:eastAsia="en-GB"/>
        </w:rPr>
        <w:t>h</w:t>
      </w:r>
      <w:r w:rsidRPr="00CE0885">
        <w:rPr>
          <w:spacing w:val="7"/>
          <w:lang w:eastAsia="en-GB"/>
        </w:rPr>
        <w:t xml:space="preserve"> </w:t>
      </w:r>
      <w:r w:rsidRPr="00CE0885">
        <w:rPr>
          <w:lang w:eastAsia="en-GB"/>
        </w:rPr>
        <w:t>of</w:t>
      </w:r>
      <w:r w:rsidRPr="00CE0885">
        <w:rPr>
          <w:spacing w:val="5"/>
          <w:lang w:eastAsia="en-GB"/>
        </w:rPr>
        <w:t xml:space="preserve"> </w:t>
      </w:r>
      <w:r w:rsidRPr="00CE0885">
        <w:rPr>
          <w:lang w:eastAsia="en-GB"/>
        </w:rPr>
        <w:t>a</w:t>
      </w:r>
      <w:r w:rsidRPr="00CE0885">
        <w:rPr>
          <w:spacing w:val="2"/>
          <w:lang w:eastAsia="en-GB"/>
        </w:rPr>
        <w:t xml:space="preserve"> </w:t>
      </w:r>
      <w:r w:rsidRPr="00CE0885">
        <w:rPr>
          <w:spacing w:val="1"/>
          <w:lang w:eastAsia="en-GB"/>
        </w:rPr>
        <w:t>c</w:t>
      </w:r>
      <w:r w:rsidRPr="00CE0885">
        <w:rPr>
          <w:spacing w:val="-3"/>
          <w:lang w:eastAsia="en-GB"/>
        </w:rPr>
        <w:t>o</w:t>
      </w:r>
      <w:r w:rsidRPr="00CE0885">
        <w:rPr>
          <w:lang w:eastAsia="en-GB"/>
        </w:rPr>
        <w:t>nt</w:t>
      </w:r>
      <w:r w:rsidRPr="00CE0885">
        <w:rPr>
          <w:spacing w:val="1"/>
          <w:lang w:eastAsia="en-GB"/>
        </w:rPr>
        <w:t>r</w:t>
      </w:r>
      <w:r w:rsidRPr="00CE0885">
        <w:rPr>
          <w:lang w:eastAsia="en-GB"/>
        </w:rPr>
        <w:t>a</w:t>
      </w:r>
      <w:r w:rsidRPr="00CE0885">
        <w:rPr>
          <w:spacing w:val="-2"/>
          <w:lang w:eastAsia="en-GB"/>
        </w:rPr>
        <w:t>c</w:t>
      </w:r>
      <w:r w:rsidRPr="00CE0885">
        <w:rPr>
          <w:lang w:eastAsia="en-GB"/>
        </w:rPr>
        <w:t>tor</w:t>
      </w:r>
      <w:r w:rsidRPr="00CE0885">
        <w:rPr>
          <w:spacing w:val="11"/>
          <w:lang w:eastAsia="en-GB"/>
        </w:rPr>
        <w:t xml:space="preserve"> </w:t>
      </w:r>
      <w:r w:rsidRPr="00CE0885">
        <w:rPr>
          <w:spacing w:val="-3"/>
          <w:lang w:eastAsia="en-GB"/>
        </w:rPr>
        <w:t>o</w:t>
      </w:r>
      <w:r w:rsidRPr="00CE0885">
        <w:rPr>
          <w:spacing w:val="1"/>
          <w:lang w:eastAsia="en-GB"/>
        </w:rPr>
        <w:t>cc</w:t>
      </w:r>
      <w:r w:rsidRPr="00CE0885">
        <w:rPr>
          <w:lang w:eastAsia="en-GB"/>
        </w:rPr>
        <w:t>u</w:t>
      </w:r>
      <w:r w:rsidRPr="00CE0885">
        <w:rPr>
          <w:spacing w:val="-1"/>
          <w:lang w:eastAsia="en-GB"/>
        </w:rPr>
        <w:t>r</w:t>
      </w:r>
      <w:r w:rsidRPr="00CE0885">
        <w:rPr>
          <w:spacing w:val="1"/>
          <w:lang w:eastAsia="en-GB"/>
        </w:rPr>
        <w:t>s</w:t>
      </w:r>
      <w:r w:rsidRPr="00CE0885">
        <w:rPr>
          <w:lang w:eastAsia="en-GB"/>
        </w:rPr>
        <w:t>.</w:t>
      </w:r>
      <w:r w:rsidRPr="00CE0885">
        <w:rPr>
          <w:spacing w:val="8"/>
          <w:lang w:eastAsia="en-GB"/>
        </w:rPr>
        <w:t xml:space="preserve"> </w:t>
      </w:r>
      <w:r w:rsidRPr="00CE0885">
        <w:rPr>
          <w:spacing w:val="1"/>
          <w:lang w:eastAsia="en-GB"/>
        </w:rPr>
        <w:t>T</w:t>
      </w:r>
      <w:r w:rsidRPr="00CE0885">
        <w:rPr>
          <w:spacing w:val="-3"/>
          <w:lang w:eastAsia="en-GB"/>
        </w:rPr>
        <w:t>h</w:t>
      </w:r>
      <w:r w:rsidRPr="00CE0885">
        <w:rPr>
          <w:spacing w:val="3"/>
          <w:lang w:eastAsia="en-GB"/>
        </w:rPr>
        <w:t>i</w:t>
      </w:r>
      <w:r w:rsidRPr="00CE0885">
        <w:rPr>
          <w:lang w:eastAsia="en-GB"/>
        </w:rPr>
        <w:t>s</w:t>
      </w:r>
      <w:r w:rsidRPr="00CE0885">
        <w:rPr>
          <w:spacing w:val="6"/>
          <w:lang w:eastAsia="en-GB"/>
        </w:rPr>
        <w:t xml:space="preserve"> </w:t>
      </w:r>
      <w:r w:rsidRPr="00CE0885">
        <w:rPr>
          <w:spacing w:val="1"/>
          <w:lang w:eastAsia="en-GB"/>
        </w:rPr>
        <w:t>i</w:t>
      </w:r>
      <w:r w:rsidRPr="00CE0885">
        <w:rPr>
          <w:lang w:eastAsia="en-GB"/>
        </w:rPr>
        <w:t>s</w:t>
      </w:r>
      <w:r w:rsidRPr="00CE0885">
        <w:rPr>
          <w:spacing w:val="4"/>
          <w:lang w:eastAsia="en-GB"/>
        </w:rPr>
        <w:t xml:space="preserve"> </w:t>
      </w:r>
      <w:r w:rsidRPr="00CE0885">
        <w:rPr>
          <w:w w:val="101"/>
          <w:lang w:eastAsia="en-GB"/>
        </w:rPr>
        <w:t xml:space="preserve">a </w:t>
      </w:r>
      <w:r w:rsidRPr="00CE0885">
        <w:rPr>
          <w:spacing w:val="-1"/>
          <w:lang w:eastAsia="en-GB"/>
        </w:rPr>
        <w:t>r</w:t>
      </w:r>
      <w:r w:rsidRPr="00CE0885">
        <w:rPr>
          <w:spacing w:val="-3"/>
          <w:lang w:eastAsia="en-GB"/>
        </w:rPr>
        <w:t>a</w:t>
      </w:r>
      <w:r w:rsidRPr="00CE0885">
        <w:rPr>
          <w:spacing w:val="1"/>
          <w:lang w:eastAsia="en-GB"/>
        </w:rPr>
        <w:t>r</w:t>
      </w:r>
      <w:r w:rsidRPr="00CE0885">
        <w:rPr>
          <w:lang w:eastAsia="en-GB"/>
        </w:rPr>
        <w:t>e</w:t>
      </w:r>
      <w:r w:rsidRPr="00CE0885">
        <w:rPr>
          <w:spacing w:val="5"/>
          <w:lang w:eastAsia="en-GB"/>
        </w:rPr>
        <w:t xml:space="preserve"> </w:t>
      </w:r>
      <w:r w:rsidRPr="00CE0885">
        <w:rPr>
          <w:lang w:eastAsia="en-GB"/>
        </w:rPr>
        <w:t>o</w:t>
      </w:r>
      <w:r w:rsidRPr="00CE0885">
        <w:rPr>
          <w:spacing w:val="-2"/>
          <w:lang w:eastAsia="en-GB"/>
        </w:rPr>
        <w:t>c</w:t>
      </w:r>
      <w:r w:rsidRPr="00CE0885">
        <w:rPr>
          <w:spacing w:val="3"/>
          <w:lang w:eastAsia="en-GB"/>
        </w:rPr>
        <w:t>c</w:t>
      </w:r>
      <w:r w:rsidRPr="00CE0885">
        <w:rPr>
          <w:spacing w:val="-3"/>
          <w:lang w:eastAsia="en-GB"/>
        </w:rPr>
        <w:t>u</w:t>
      </w:r>
      <w:r w:rsidRPr="00CE0885">
        <w:rPr>
          <w:spacing w:val="1"/>
          <w:lang w:eastAsia="en-GB"/>
        </w:rPr>
        <w:t>rr</w:t>
      </w:r>
      <w:r w:rsidRPr="00CE0885">
        <w:rPr>
          <w:lang w:eastAsia="en-GB"/>
        </w:rPr>
        <w:t>en</w:t>
      </w:r>
      <w:r w:rsidRPr="00CE0885">
        <w:rPr>
          <w:spacing w:val="-2"/>
          <w:lang w:eastAsia="en-GB"/>
        </w:rPr>
        <w:t>c</w:t>
      </w:r>
      <w:r w:rsidRPr="00CE0885">
        <w:rPr>
          <w:lang w:eastAsia="en-GB"/>
        </w:rPr>
        <w:t>e,</w:t>
      </w:r>
      <w:r w:rsidRPr="00CE0885">
        <w:rPr>
          <w:spacing w:val="15"/>
          <w:lang w:eastAsia="en-GB"/>
        </w:rPr>
        <w:t xml:space="preserve"> </w:t>
      </w:r>
      <w:r w:rsidRPr="00CE0885">
        <w:rPr>
          <w:lang w:eastAsia="en-GB"/>
        </w:rPr>
        <w:t>b</w:t>
      </w:r>
      <w:r w:rsidRPr="00CE0885">
        <w:rPr>
          <w:spacing w:val="-3"/>
          <w:lang w:eastAsia="en-GB"/>
        </w:rPr>
        <w:t>u</w:t>
      </w:r>
      <w:r w:rsidRPr="00CE0885">
        <w:rPr>
          <w:lang w:eastAsia="en-GB"/>
        </w:rPr>
        <w:t>t</w:t>
      </w:r>
      <w:r w:rsidRPr="00CE0885">
        <w:rPr>
          <w:spacing w:val="6"/>
          <w:lang w:eastAsia="en-GB"/>
        </w:rPr>
        <w:t xml:space="preserve"> </w:t>
      </w:r>
      <w:r w:rsidRPr="00CE0885">
        <w:rPr>
          <w:lang w:eastAsia="en-GB"/>
        </w:rPr>
        <w:t>t</w:t>
      </w:r>
      <w:r w:rsidRPr="00CE0885">
        <w:rPr>
          <w:spacing w:val="2"/>
          <w:lang w:eastAsia="en-GB"/>
        </w:rPr>
        <w:t>h</w:t>
      </w:r>
      <w:r w:rsidRPr="00CE0885">
        <w:rPr>
          <w:spacing w:val="-3"/>
          <w:lang w:eastAsia="en-GB"/>
        </w:rPr>
        <w:t>e</w:t>
      </w:r>
      <w:r w:rsidRPr="00CE0885">
        <w:rPr>
          <w:spacing w:val="1"/>
          <w:lang w:eastAsia="en-GB"/>
        </w:rPr>
        <w:t>r</w:t>
      </w:r>
      <w:r w:rsidRPr="00CE0885">
        <w:rPr>
          <w:lang w:eastAsia="en-GB"/>
        </w:rPr>
        <w:t>e</w:t>
      </w:r>
      <w:r w:rsidRPr="00CE0885">
        <w:rPr>
          <w:spacing w:val="6"/>
          <w:lang w:eastAsia="en-GB"/>
        </w:rPr>
        <w:t xml:space="preserve"> </w:t>
      </w:r>
      <w:r w:rsidRPr="00CE0885">
        <w:rPr>
          <w:lang w:eastAsia="en-GB"/>
        </w:rPr>
        <w:t>a</w:t>
      </w:r>
      <w:r w:rsidRPr="00CE0885">
        <w:rPr>
          <w:spacing w:val="1"/>
          <w:lang w:eastAsia="en-GB"/>
        </w:rPr>
        <w:t>r</w:t>
      </w:r>
      <w:r w:rsidRPr="00CE0885">
        <w:rPr>
          <w:lang w:eastAsia="en-GB"/>
        </w:rPr>
        <w:t>e</w:t>
      </w:r>
      <w:r w:rsidRPr="00CE0885">
        <w:rPr>
          <w:spacing w:val="4"/>
          <w:lang w:eastAsia="en-GB"/>
        </w:rPr>
        <w:t xml:space="preserve"> </w:t>
      </w:r>
      <w:r w:rsidRPr="00CE0885">
        <w:rPr>
          <w:spacing w:val="-2"/>
          <w:lang w:eastAsia="en-GB"/>
        </w:rPr>
        <w:t>c</w:t>
      </w:r>
      <w:r w:rsidRPr="00CE0885">
        <w:rPr>
          <w:spacing w:val="2"/>
          <w:lang w:eastAsia="en-GB"/>
        </w:rPr>
        <w:t>e</w:t>
      </w:r>
      <w:r w:rsidRPr="00CE0885">
        <w:rPr>
          <w:spacing w:val="-1"/>
          <w:lang w:eastAsia="en-GB"/>
        </w:rPr>
        <w:t>r</w:t>
      </w:r>
      <w:r w:rsidRPr="00CE0885">
        <w:rPr>
          <w:lang w:eastAsia="en-GB"/>
        </w:rPr>
        <w:t>ta</w:t>
      </w:r>
      <w:r w:rsidRPr="00CE0885">
        <w:rPr>
          <w:spacing w:val="1"/>
          <w:lang w:eastAsia="en-GB"/>
        </w:rPr>
        <w:t>i</w:t>
      </w:r>
      <w:r w:rsidRPr="00CE0885">
        <w:rPr>
          <w:lang w:eastAsia="en-GB"/>
        </w:rPr>
        <w:t>n</w:t>
      </w:r>
      <w:r w:rsidRPr="00CE0885">
        <w:rPr>
          <w:spacing w:val="8"/>
          <w:lang w:eastAsia="en-GB"/>
        </w:rPr>
        <w:t xml:space="preserve"> </w:t>
      </w:r>
      <w:r w:rsidRPr="00CE0885">
        <w:rPr>
          <w:spacing w:val="-2"/>
          <w:lang w:eastAsia="en-GB"/>
        </w:rPr>
        <w:t>s</w:t>
      </w:r>
      <w:r w:rsidRPr="00CE0885">
        <w:rPr>
          <w:spacing w:val="2"/>
          <w:lang w:eastAsia="en-GB"/>
        </w:rPr>
        <w:t>t</w:t>
      </w:r>
      <w:r w:rsidRPr="00CE0885">
        <w:rPr>
          <w:lang w:eastAsia="en-GB"/>
        </w:rPr>
        <w:t>eps</w:t>
      </w:r>
      <w:r w:rsidRPr="00CE0885">
        <w:rPr>
          <w:spacing w:val="7"/>
          <w:lang w:eastAsia="en-GB"/>
        </w:rPr>
        <w:t xml:space="preserve"> </w:t>
      </w:r>
      <w:r w:rsidRPr="00CE0885">
        <w:rPr>
          <w:lang w:eastAsia="en-GB"/>
        </w:rPr>
        <w:t>to</w:t>
      </w:r>
      <w:r w:rsidRPr="00CE0885">
        <w:rPr>
          <w:spacing w:val="5"/>
          <w:lang w:eastAsia="en-GB"/>
        </w:rPr>
        <w:t xml:space="preserve"> </w:t>
      </w:r>
      <w:r w:rsidRPr="00CE0885">
        <w:rPr>
          <w:spacing w:val="2"/>
          <w:lang w:eastAsia="en-GB"/>
        </w:rPr>
        <w:t>f</w:t>
      </w:r>
      <w:r w:rsidRPr="00CE0885">
        <w:rPr>
          <w:spacing w:val="-5"/>
          <w:lang w:eastAsia="en-GB"/>
        </w:rPr>
        <w:t>o</w:t>
      </w:r>
      <w:r w:rsidRPr="00CE0885">
        <w:rPr>
          <w:spacing w:val="3"/>
          <w:lang w:eastAsia="en-GB"/>
        </w:rPr>
        <w:t>l</w:t>
      </w:r>
      <w:r w:rsidRPr="00CE0885">
        <w:rPr>
          <w:spacing w:val="1"/>
          <w:lang w:eastAsia="en-GB"/>
        </w:rPr>
        <w:t>l</w:t>
      </w:r>
      <w:r w:rsidRPr="00CE0885">
        <w:rPr>
          <w:lang w:eastAsia="en-GB"/>
        </w:rPr>
        <w:t>ow</w:t>
      </w:r>
      <w:r w:rsidRPr="00CE0885">
        <w:rPr>
          <w:spacing w:val="4"/>
          <w:lang w:eastAsia="en-GB"/>
        </w:rPr>
        <w:t xml:space="preserve"> </w:t>
      </w:r>
      <w:r w:rsidRPr="00CE0885">
        <w:rPr>
          <w:spacing w:val="-3"/>
          <w:lang w:eastAsia="en-GB"/>
        </w:rPr>
        <w:t>w</w:t>
      </w:r>
      <w:r w:rsidRPr="00CE0885">
        <w:rPr>
          <w:spacing w:val="3"/>
          <w:lang w:eastAsia="en-GB"/>
        </w:rPr>
        <w:t>i</w:t>
      </w:r>
      <w:r w:rsidRPr="00CE0885">
        <w:rPr>
          <w:lang w:eastAsia="en-GB"/>
        </w:rPr>
        <w:t>t</w:t>
      </w:r>
      <w:r w:rsidRPr="00CE0885">
        <w:rPr>
          <w:spacing w:val="-3"/>
          <w:lang w:eastAsia="en-GB"/>
        </w:rPr>
        <w:t>h</w:t>
      </w:r>
      <w:r w:rsidRPr="00CE0885">
        <w:rPr>
          <w:spacing w:val="3"/>
          <w:lang w:eastAsia="en-GB"/>
        </w:rPr>
        <w:t>i</w:t>
      </w:r>
      <w:r w:rsidRPr="00CE0885">
        <w:rPr>
          <w:lang w:eastAsia="en-GB"/>
        </w:rPr>
        <w:t>n</w:t>
      </w:r>
      <w:r w:rsidRPr="00CE0885">
        <w:rPr>
          <w:spacing w:val="7"/>
          <w:lang w:eastAsia="en-GB"/>
        </w:rPr>
        <w:t xml:space="preserve"> </w:t>
      </w:r>
      <w:r w:rsidRPr="00CE0885">
        <w:rPr>
          <w:w w:val="101"/>
          <w:lang w:eastAsia="en-GB"/>
        </w:rPr>
        <w:t>ag</w:t>
      </w:r>
      <w:r w:rsidRPr="00CE0885">
        <w:rPr>
          <w:spacing w:val="1"/>
          <w:w w:val="101"/>
          <w:lang w:eastAsia="en-GB"/>
        </w:rPr>
        <w:t>r</w:t>
      </w:r>
      <w:r w:rsidRPr="00CE0885">
        <w:rPr>
          <w:w w:val="101"/>
          <w:lang w:eastAsia="en-GB"/>
        </w:rPr>
        <w:t xml:space="preserve">eed </w:t>
      </w:r>
      <w:r w:rsidRPr="00CE0885">
        <w:rPr>
          <w:lang w:eastAsia="en-GB"/>
        </w:rPr>
        <w:t>t</w:t>
      </w:r>
      <w:r w:rsidRPr="00CE0885">
        <w:rPr>
          <w:spacing w:val="-1"/>
          <w:lang w:eastAsia="en-GB"/>
        </w:rPr>
        <w:t>i</w:t>
      </w:r>
      <w:r w:rsidRPr="00CE0885">
        <w:rPr>
          <w:spacing w:val="2"/>
          <w:lang w:eastAsia="en-GB"/>
        </w:rPr>
        <w:t>m</w:t>
      </w:r>
      <w:r w:rsidRPr="00CE0885">
        <w:rPr>
          <w:spacing w:val="-3"/>
          <w:lang w:eastAsia="en-GB"/>
        </w:rPr>
        <w:t>e</w:t>
      </w:r>
      <w:r w:rsidRPr="00CE0885">
        <w:rPr>
          <w:spacing w:val="1"/>
          <w:lang w:eastAsia="en-GB"/>
        </w:rPr>
        <w:t>sc</w:t>
      </w:r>
      <w:r w:rsidRPr="00CE0885">
        <w:rPr>
          <w:spacing w:val="-3"/>
          <w:lang w:eastAsia="en-GB"/>
        </w:rPr>
        <w:t>a</w:t>
      </w:r>
      <w:r w:rsidRPr="00CE0885">
        <w:rPr>
          <w:spacing w:val="3"/>
          <w:lang w:eastAsia="en-GB"/>
        </w:rPr>
        <w:t>l</w:t>
      </w:r>
      <w:r w:rsidRPr="00CE0885">
        <w:rPr>
          <w:spacing w:val="-3"/>
          <w:lang w:eastAsia="en-GB"/>
        </w:rPr>
        <w:t>e</w:t>
      </w:r>
      <w:r w:rsidRPr="00CE0885">
        <w:rPr>
          <w:lang w:eastAsia="en-GB"/>
        </w:rPr>
        <w:t>s</w:t>
      </w:r>
      <w:r w:rsidRPr="00CE0885">
        <w:rPr>
          <w:spacing w:val="13"/>
          <w:lang w:eastAsia="en-GB"/>
        </w:rPr>
        <w:t xml:space="preserve"> </w:t>
      </w:r>
      <w:r w:rsidRPr="00CE0885">
        <w:rPr>
          <w:lang w:eastAsia="en-GB"/>
        </w:rPr>
        <w:t>that</w:t>
      </w:r>
      <w:r w:rsidRPr="00CE0885">
        <w:rPr>
          <w:spacing w:val="5"/>
          <w:lang w:eastAsia="en-GB"/>
        </w:rPr>
        <w:t xml:space="preserve"> </w:t>
      </w:r>
      <w:r w:rsidRPr="00CE0885">
        <w:rPr>
          <w:spacing w:val="2"/>
          <w:lang w:eastAsia="en-GB"/>
        </w:rPr>
        <w:t>a</w:t>
      </w:r>
      <w:r w:rsidRPr="00CE0885">
        <w:rPr>
          <w:spacing w:val="-1"/>
          <w:lang w:eastAsia="en-GB"/>
        </w:rPr>
        <w:t>r</w:t>
      </w:r>
      <w:r w:rsidRPr="00CE0885">
        <w:rPr>
          <w:lang w:eastAsia="en-GB"/>
        </w:rPr>
        <w:t>e</w:t>
      </w:r>
      <w:r w:rsidRPr="00CE0885">
        <w:rPr>
          <w:spacing w:val="1"/>
          <w:lang w:eastAsia="en-GB"/>
        </w:rPr>
        <w:t xml:space="preserve"> </w:t>
      </w:r>
      <w:r w:rsidRPr="00CE0885">
        <w:rPr>
          <w:spacing w:val="3"/>
          <w:lang w:eastAsia="en-GB"/>
        </w:rPr>
        <w:t>l</w:t>
      </w:r>
      <w:r w:rsidRPr="00CE0885">
        <w:rPr>
          <w:spacing w:val="-3"/>
          <w:lang w:eastAsia="en-GB"/>
        </w:rPr>
        <w:t>a</w:t>
      </w:r>
      <w:r w:rsidRPr="00CE0885">
        <w:rPr>
          <w:spacing w:val="3"/>
          <w:lang w:eastAsia="en-GB"/>
        </w:rPr>
        <w:t>i</w:t>
      </w:r>
      <w:r w:rsidRPr="00CE0885">
        <w:rPr>
          <w:lang w:eastAsia="en-GB"/>
        </w:rPr>
        <w:t>d</w:t>
      </w:r>
      <w:r w:rsidRPr="00CE0885">
        <w:rPr>
          <w:spacing w:val="7"/>
          <w:lang w:eastAsia="en-GB"/>
        </w:rPr>
        <w:t xml:space="preserve"> </w:t>
      </w:r>
      <w:r w:rsidRPr="00CE0885">
        <w:rPr>
          <w:spacing w:val="-3"/>
          <w:lang w:eastAsia="en-GB"/>
        </w:rPr>
        <w:t>d</w:t>
      </w:r>
      <w:r w:rsidRPr="00CE0885">
        <w:rPr>
          <w:spacing w:val="2"/>
          <w:lang w:eastAsia="en-GB"/>
        </w:rPr>
        <w:t>o</w:t>
      </w:r>
      <w:r w:rsidRPr="00CE0885">
        <w:rPr>
          <w:spacing w:val="-1"/>
          <w:lang w:eastAsia="en-GB"/>
        </w:rPr>
        <w:t>w</w:t>
      </w:r>
      <w:r w:rsidRPr="00CE0885">
        <w:rPr>
          <w:lang w:eastAsia="en-GB"/>
        </w:rPr>
        <w:t>n</w:t>
      </w:r>
      <w:r w:rsidRPr="00CE0885">
        <w:rPr>
          <w:spacing w:val="3"/>
          <w:lang w:eastAsia="en-GB"/>
        </w:rPr>
        <w:t xml:space="preserve"> i</w:t>
      </w:r>
      <w:r w:rsidRPr="00CE0885">
        <w:rPr>
          <w:lang w:eastAsia="en-GB"/>
        </w:rPr>
        <w:t>n</w:t>
      </w:r>
      <w:r w:rsidRPr="00CE0885">
        <w:rPr>
          <w:spacing w:val="3"/>
          <w:lang w:eastAsia="en-GB"/>
        </w:rPr>
        <w:t xml:space="preserve"> </w:t>
      </w:r>
      <w:r w:rsidRPr="00CE0885">
        <w:rPr>
          <w:spacing w:val="-1"/>
          <w:w w:val="101"/>
          <w:lang w:eastAsia="en-GB"/>
        </w:rPr>
        <w:t>legislation</w:t>
      </w:r>
      <w:r w:rsidRPr="00CE0885">
        <w:rPr>
          <w:w w:val="101"/>
          <w:lang w:eastAsia="en-GB"/>
        </w:rPr>
        <w:t>.</w:t>
      </w:r>
      <w:bookmarkEnd w:id="1437"/>
    </w:p>
    <w:p w14:paraId="084C536A" w14:textId="77777777" w:rsidR="00867DFB" w:rsidRPr="00CE0885" w:rsidRDefault="00867DFB" w:rsidP="00EF04D7">
      <w:pPr>
        <w:pStyle w:val="Heading2"/>
        <w:rPr>
          <w:lang w:eastAsia="en-GB"/>
        </w:rPr>
      </w:pPr>
      <w:bookmarkStart w:id="1438" w:name="_Toc440982796"/>
      <w:bookmarkStart w:id="1439" w:name="_Toc498495463"/>
      <w:r w:rsidRPr="00CE0885">
        <w:rPr>
          <w:lang w:eastAsia="en-GB"/>
        </w:rPr>
        <w:t>Individual - GMS Contract</w:t>
      </w:r>
      <w:bookmarkEnd w:id="1438"/>
      <w:bookmarkEnd w:id="1439"/>
      <w:r w:rsidRPr="00CE0885">
        <w:rPr>
          <w:lang w:eastAsia="en-GB"/>
        </w:rPr>
        <w:t xml:space="preserve"> </w:t>
      </w:r>
    </w:p>
    <w:p w14:paraId="7328CE5D" w14:textId="77777777" w:rsidR="00867DFB" w:rsidRPr="00CE0885" w:rsidRDefault="00867DFB" w:rsidP="00EF04D7">
      <w:pPr>
        <w:pStyle w:val="Heading3"/>
        <w:rPr>
          <w:w w:val="101"/>
          <w:lang w:eastAsia="en-GB"/>
        </w:rPr>
      </w:pPr>
      <w:bookmarkStart w:id="1440" w:name="_Toc440982797"/>
      <w:r w:rsidRPr="00CE0885">
        <w:rPr>
          <w:spacing w:val="7"/>
          <w:lang w:eastAsia="en-GB"/>
        </w:rPr>
        <w:t>Where</w:t>
      </w:r>
      <w:r w:rsidRPr="00CE0885">
        <w:rPr>
          <w:spacing w:val="8"/>
          <w:lang w:eastAsia="en-GB"/>
        </w:rPr>
        <w:t xml:space="preserve"> </w:t>
      </w:r>
      <w:r w:rsidRPr="00CE0885">
        <w:rPr>
          <w:lang w:eastAsia="en-GB"/>
        </w:rPr>
        <w:t>a</w:t>
      </w:r>
      <w:r w:rsidRPr="00CE0885">
        <w:rPr>
          <w:spacing w:val="1"/>
          <w:lang w:eastAsia="en-GB"/>
        </w:rPr>
        <w:t xml:space="preserve"> </w:t>
      </w:r>
      <w:r w:rsidRPr="00CE0885">
        <w:rPr>
          <w:spacing w:val="-2"/>
          <w:lang w:eastAsia="en-GB"/>
        </w:rPr>
        <w:t>G</w:t>
      </w:r>
      <w:r w:rsidRPr="00CE0885">
        <w:rPr>
          <w:lang w:eastAsia="en-GB"/>
        </w:rPr>
        <w:t>MS</w:t>
      </w:r>
      <w:r w:rsidRPr="00CE0885">
        <w:rPr>
          <w:spacing w:val="9"/>
          <w:lang w:eastAsia="en-GB"/>
        </w:rPr>
        <w:t xml:space="preserve"> </w:t>
      </w:r>
      <w:r w:rsidRPr="00CE0885">
        <w:rPr>
          <w:spacing w:val="-2"/>
          <w:lang w:eastAsia="en-GB"/>
        </w:rPr>
        <w:t>c</w:t>
      </w:r>
      <w:r w:rsidRPr="00CE0885">
        <w:rPr>
          <w:spacing w:val="2"/>
          <w:lang w:eastAsia="en-GB"/>
        </w:rPr>
        <w:t>o</w:t>
      </w:r>
      <w:r w:rsidRPr="00CE0885">
        <w:rPr>
          <w:spacing w:val="-3"/>
          <w:lang w:eastAsia="en-GB"/>
        </w:rPr>
        <w:t>n</w:t>
      </w:r>
      <w:r w:rsidRPr="00CE0885">
        <w:rPr>
          <w:spacing w:val="2"/>
          <w:lang w:eastAsia="en-GB"/>
        </w:rPr>
        <w:t>t</w:t>
      </w:r>
      <w:r w:rsidRPr="00CE0885">
        <w:rPr>
          <w:spacing w:val="1"/>
          <w:lang w:eastAsia="en-GB"/>
        </w:rPr>
        <w:t>r</w:t>
      </w:r>
      <w:r w:rsidRPr="00CE0885">
        <w:rPr>
          <w:lang w:eastAsia="en-GB"/>
        </w:rPr>
        <w:t>a</w:t>
      </w:r>
      <w:r w:rsidRPr="00CE0885">
        <w:rPr>
          <w:spacing w:val="1"/>
          <w:lang w:eastAsia="en-GB"/>
        </w:rPr>
        <w:t>c</w:t>
      </w:r>
      <w:r w:rsidRPr="00CE0885">
        <w:rPr>
          <w:lang w:eastAsia="en-GB"/>
        </w:rPr>
        <w:t>t</w:t>
      </w:r>
      <w:r w:rsidRPr="00CE0885">
        <w:rPr>
          <w:spacing w:val="9"/>
          <w:lang w:eastAsia="en-GB"/>
        </w:rPr>
        <w:t xml:space="preserve"> </w:t>
      </w:r>
      <w:r w:rsidRPr="00CE0885">
        <w:rPr>
          <w:spacing w:val="3"/>
          <w:lang w:eastAsia="en-GB"/>
        </w:rPr>
        <w:t>i</w:t>
      </w:r>
      <w:r w:rsidRPr="00CE0885">
        <w:rPr>
          <w:lang w:eastAsia="en-GB"/>
        </w:rPr>
        <w:t>s</w:t>
      </w:r>
      <w:r w:rsidRPr="00CE0885">
        <w:rPr>
          <w:spacing w:val="4"/>
          <w:lang w:eastAsia="en-GB"/>
        </w:rPr>
        <w:t xml:space="preserve"> </w:t>
      </w:r>
      <w:r w:rsidRPr="00CE0885">
        <w:rPr>
          <w:spacing w:val="-3"/>
          <w:lang w:eastAsia="en-GB"/>
        </w:rPr>
        <w:t>w</w:t>
      </w:r>
      <w:r w:rsidRPr="00CE0885">
        <w:rPr>
          <w:spacing w:val="1"/>
          <w:lang w:eastAsia="en-GB"/>
        </w:rPr>
        <w:t>i</w:t>
      </w:r>
      <w:r w:rsidRPr="00CE0885">
        <w:rPr>
          <w:lang w:eastAsia="en-GB"/>
        </w:rPr>
        <w:t>th</w:t>
      </w:r>
      <w:r w:rsidRPr="00CE0885">
        <w:rPr>
          <w:spacing w:val="5"/>
          <w:lang w:eastAsia="en-GB"/>
        </w:rPr>
        <w:t xml:space="preserve"> </w:t>
      </w:r>
      <w:r w:rsidRPr="00CE0885">
        <w:rPr>
          <w:lang w:eastAsia="en-GB"/>
        </w:rPr>
        <w:t>an</w:t>
      </w:r>
      <w:r w:rsidRPr="00CE0885">
        <w:rPr>
          <w:spacing w:val="4"/>
          <w:lang w:eastAsia="en-GB"/>
        </w:rPr>
        <w:t xml:space="preserve"> </w:t>
      </w:r>
      <w:r w:rsidRPr="00CE0885">
        <w:rPr>
          <w:spacing w:val="1"/>
          <w:lang w:eastAsia="en-GB"/>
        </w:rPr>
        <w:t>i</w:t>
      </w:r>
      <w:r w:rsidRPr="00CE0885">
        <w:rPr>
          <w:lang w:eastAsia="en-GB"/>
        </w:rPr>
        <w:t>n</w:t>
      </w:r>
      <w:r w:rsidRPr="00CE0885">
        <w:rPr>
          <w:spacing w:val="-3"/>
          <w:lang w:eastAsia="en-GB"/>
        </w:rPr>
        <w:t>d</w:t>
      </w:r>
      <w:r w:rsidRPr="00CE0885">
        <w:rPr>
          <w:spacing w:val="1"/>
          <w:lang w:eastAsia="en-GB"/>
        </w:rPr>
        <w:t>iv</w:t>
      </w:r>
      <w:r w:rsidRPr="00CE0885">
        <w:rPr>
          <w:spacing w:val="3"/>
          <w:lang w:eastAsia="en-GB"/>
        </w:rPr>
        <w:t>i</w:t>
      </w:r>
      <w:r w:rsidRPr="00CE0885">
        <w:rPr>
          <w:spacing w:val="-3"/>
          <w:lang w:eastAsia="en-GB"/>
        </w:rPr>
        <w:t>d</w:t>
      </w:r>
      <w:r w:rsidRPr="00CE0885">
        <w:rPr>
          <w:lang w:eastAsia="en-GB"/>
        </w:rPr>
        <w:t>u</w:t>
      </w:r>
      <w:r w:rsidRPr="00CE0885">
        <w:rPr>
          <w:spacing w:val="-3"/>
          <w:lang w:eastAsia="en-GB"/>
        </w:rPr>
        <w:t>a</w:t>
      </w:r>
      <w:r w:rsidRPr="00CE0885">
        <w:rPr>
          <w:lang w:eastAsia="en-GB"/>
        </w:rPr>
        <w:t>l</w:t>
      </w:r>
      <w:r w:rsidRPr="00CE0885">
        <w:rPr>
          <w:spacing w:val="14"/>
          <w:lang w:eastAsia="en-GB"/>
        </w:rPr>
        <w:t xml:space="preserve"> </w:t>
      </w:r>
      <w:r w:rsidRPr="00CE0885">
        <w:rPr>
          <w:spacing w:val="2"/>
          <w:lang w:eastAsia="en-GB"/>
        </w:rPr>
        <w:t>m</w:t>
      </w:r>
      <w:r w:rsidRPr="00CE0885">
        <w:rPr>
          <w:spacing w:val="-3"/>
          <w:lang w:eastAsia="en-GB"/>
        </w:rPr>
        <w:t>e</w:t>
      </w:r>
      <w:r w:rsidRPr="00CE0885">
        <w:rPr>
          <w:lang w:eastAsia="en-GB"/>
        </w:rPr>
        <w:t>d</w:t>
      </w:r>
      <w:r w:rsidRPr="00CE0885">
        <w:rPr>
          <w:spacing w:val="1"/>
          <w:lang w:eastAsia="en-GB"/>
        </w:rPr>
        <w:t>ic</w:t>
      </w:r>
      <w:r w:rsidRPr="00CE0885">
        <w:rPr>
          <w:spacing w:val="-3"/>
          <w:lang w:eastAsia="en-GB"/>
        </w:rPr>
        <w:t>a</w:t>
      </w:r>
      <w:r w:rsidRPr="00CE0885">
        <w:rPr>
          <w:lang w:eastAsia="en-GB"/>
        </w:rPr>
        <w:t>l</w:t>
      </w:r>
      <w:r w:rsidRPr="00CE0885">
        <w:rPr>
          <w:spacing w:val="12"/>
          <w:lang w:eastAsia="en-GB"/>
        </w:rPr>
        <w:t xml:space="preserve"> </w:t>
      </w:r>
      <w:r w:rsidRPr="00CE0885">
        <w:rPr>
          <w:spacing w:val="-3"/>
          <w:lang w:eastAsia="en-GB"/>
        </w:rPr>
        <w:t>p</w:t>
      </w:r>
      <w:r w:rsidRPr="00CE0885">
        <w:rPr>
          <w:spacing w:val="-1"/>
          <w:lang w:eastAsia="en-GB"/>
        </w:rPr>
        <w:t>r</w:t>
      </w:r>
      <w:r w:rsidRPr="00CE0885">
        <w:rPr>
          <w:lang w:eastAsia="en-GB"/>
        </w:rPr>
        <w:t>a</w:t>
      </w:r>
      <w:r w:rsidRPr="00CE0885">
        <w:rPr>
          <w:spacing w:val="1"/>
          <w:lang w:eastAsia="en-GB"/>
        </w:rPr>
        <w:t>c</w:t>
      </w:r>
      <w:r w:rsidRPr="00CE0885">
        <w:rPr>
          <w:lang w:eastAsia="en-GB"/>
        </w:rPr>
        <w:t>t</w:t>
      </w:r>
      <w:r w:rsidRPr="00CE0885">
        <w:rPr>
          <w:spacing w:val="1"/>
          <w:lang w:eastAsia="en-GB"/>
        </w:rPr>
        <w:t>i</w:t>
      </w:r>
      <w:r w:rsidRPr="00CE0885">
        <w:rPr>
          <w:spacing w:val="2"/>
          <w:lang w:eastAsia="en-GB"/>
        </w:rPr>
        <w:t>t</w:t>
      </w:r>
      <w:r w:rsidRPr="00CE0885">
        <w:rPr>
          <w:spacing w:val="1"/>
          <w:lang w:eastAsia="en-GB"/>
        </w:rPr>
        <w:t>i</w:t>
      </w:r>
      <w:r w:rsidRPr="00CE0885">
        <w:rPr>
          <w:spacing w:val="-3"/>
          <w:lang w:eastAsia="en-GB"/>
        </w:rPr>
        <w:t>o</w:t>
      </w:r>
      <w:r w:rsidRPr="00CE0885">
        <w:rPr>
          <w:lang w:eastAsia="en-GB"/>
        </w:rPr>
        <w:t>ner</w:t>
      </w:r>
      <w:r w:rsidRPr="00CE0885">
        <w:rPr>
          <w:spacing w:val="13"/>
          <w:lang w:eastAsia="en-GB"/>
        </w:rPr>
        <w:t xml:space="preserve"> </w:t>
      </w:r>
      <w:r w:rsidRPr="00CE0885">
        <w:rPr>
          <w:spacing w:val="-3"/>
          <w:lang w:eastAsia="en-GB"/>
        </w:rPr>
        <w:t>a</w:t>
      </w:r>
      <w:r w:rsidRPr="00CE0885">
        <w:rPr>
          <w:spacing w:val="2"/>
          <w:lang w:eastAsia="en-GB"/>
        </w:rPr>
        <w:t>n</w:t>
      </w:r>
      <w:r w:rsidRPr="00CE0885">
        <w:rPr>
          <w:lang w:eastAsia="en-GB"/>
        </w:rPr>
        <w:t>d</w:t>
      </w:r>
      <w:r w:rsidRPr="00CE0885">
        <w:rPr>
          <w:spacing w:val="5"/>
          <w:lang w:eastAsia="en-GB"/>
        </w:rPr>
        <w:t xml:space="preserve"> </w:t>
      </w:r>
      <w:r w:rsidRPr="00CE0885">
        <w:rPr>
          <w:w w:val="101"/>
          <w:lang w:eastAsia="en-GB"/>
        </w:rPr>
        <w:t>t</w:t>
      </w:r>
      <w:r w:rsidRPr="00CE0885">
        <w:rPr>
          <w:spacing w:val="-3"/>
          <w:w w:val="101"/>
          <w:lang w:eastAsia="en-GB"/>
        </w:rPr>
        <w:t>h</w:t>
      </w:r>
      <w:r w:rsidRPr="00CE0885">
        <w:rPr>
          <w:w w:val="101"/>
          <w:lang w:eastAsia="en-GB"/>
        </w:rPr>
        <w:t xml:space="preserve">at </w:t>
      </w:r>
      <w:r w:rsidRPr="00CE0885">
        <w:rPr>
          <w:spacing w:val="-3"/>
          <w:lang w:eastAsia="en-GB"/>
        </w:rPr>
        <w:t>p</w:t>
      </w:r>
      <w:r w:rsidRPr="00CE0885">
        <w:rPr>
          <w:spacing w:val="1"/>
          <w:lang w:eastAsia="en-GB"/>
        </w:rPr>
        <w:t>r</w:t>
      </w:r>
      <w:r w:rsidRPr="00CE0885">
        <w:rPr>
          <w:lang w:eastAsia="en-GB"/>
        </w:rPr>
        <w:t>a</w:t>
      </w:r>
      <w:r w:rsidRPr="00CE0885">
        <w:rPr>
          <w:spacing w:val="-2"/>
          <w:lang w:eastAsia="en-GB"/>
        </w:rPr>
        <w:t>c</w:t>
      </w:r>
      <w:r w:rsidRPr="00CE0885">
        <w:rPr>
          <w:spacing w:val="2"/>
          <w:lang w:eastAsia="en-GB"/>
        </w:rPr>
        <w:t>t</w:t>
      </w:r>
      <w:r w:rsidRPr="00CE0885">
        <w:rPr>
          <w:spacing w:val="1"/>
          <w:lang w:eastAsia="en-GB"/>
        </w:rPr>
        <w:t>i</w:t>
      </w:r>
      <w:r w:rsidRPr="00CE0885">
        <w:rPr>
          <w:lang w:eastAsia="en-GB"/>
        </w:rPr>
        <w:t>t</w:t>
      </w:r>
      <w:r w:rsidRPr="00CE0885">
        <w:rPr>
          <w:spacing w:val="3"/>
          <w:lang w:eastAsia="en-GB"/>
        </w:rPr>
        <w:t>i</w:t>
      </w:r>
      <w:r w:rsidRPr="00CE0885">
        <w:rPr>
          <w:spacing w:val="-3"/>
          <w:lang w:eastAsia="en-GB"/>
        </w:rPr>
        <w:t>o</w:t>
      </w:r>
      <w:r w:rsidRPr="00CE0885">
        <w:rPr>
          <w:lang w:eastAsia="en-GB"/>
        </w:rPr>
        <w:t>n</w:t>
      </w:r>
      <w:r w:rsidRPr="00CE0885">
        <w:rPr>
          <w:spacing w:val="-3"/>
          <w:lang w:eastAsia="en-GB"/>
        </w:rPr>
        <w:t>e</w:t>
      </w:r>
      <w:r w:rsidRPr="00CE0885">
        <w:rPr>
          <w:lang w:eastAsia="en-GB"/>
        </w:rPr>
        <w:t>r</w:t>
      </w:r>
      <w:r w:rsidRPr="00CE0885">
        <w:rPr>
          <w:spacing w:val="13"/>
          <w:lang w:eastAsia="en-GB"/>
        </w:rPr>
        <w:t xml:space="preserve"> </w:t>
      </w:r>
      <w:r w:rsidRPr="00CE0885">
        <w:rPr>
          <w:spacing w:val="-3"/>
          <w:lang w:eastAsia="en-GB"/>
        </w:rPr>
        <w:t>d</w:t>
      </w:r>
      <w:r w:rsidRPr="00CE0885">
        <w:rPr>
          <w:spacing w:val="3"/>
          <w:lang w:eastAsia="en-GB"/>
        </w:rPr>
        <w:t>i</w:t>
      </w:r>
      <w:r w:rsidRPr="00CE0885">
        <w:rPr>
          <w:spacing w:val="-3"/>
          <w:lang w:eastAsia="en-GB"/>
        </w:rPr>
        <w:t>e</w:t>
      </w:r>
      <w:r w:rsidRPr="00CE0885">
        <w:rPr>
          <w:spacing w:val="1"/>
          <w:lang w:eastAsia="en-GB"/>
        </w:rPr>
        <w:t>s</w:t>
      </w:r>
      <w:r w:rsidRPr="00CE0885">
        <w:rPr>
          <w:lang w:eastAsia="en-GB"/>
        </w:rPr>
        <w:t>,</w:t>
      </w:r>
      <w:r w:rsidRPr="00CE0885">
        <w:rPr>
          <w:spacing w:val="6"/>
          <w:lang w:eastAsia="en-GB"/>
        </w:rPr>
        <w:t xml:space="preserve"> </w:t>
      </w:r>
      <w:r w:rsidRPr="00CE0885">
        <w:rPr>
          <w:lang w:eastAsia="en-GB"/>
        </w:rPr>
        <w:t>t</w:t>
      </w:r>
      <w:r w:rsidRPr="00CE0885">
        <w:rPr>
          <w:spacing w:val="2"/>
          <w:lang w:eastAsia="en-GB"/>
        </w:rPr>
        <w:t>h</w:t>
      </w:r>
      <w:r w:rsidRPr="00CE0885">
        <w:rPr>
          <w:lang w:eastAsia="en-GB"/>
        </w:rPr>
        <w:t>e</w:t>
      </w:r>
      <w:r w:rsidRPr="00CE0885">
        <w:rPr>
          <w:spacing w:val="4"/>
          <w:lang w:eastAsia="en-GB"/>
        </w:rPr>
        <w:t xml:space="preserve"> </w:t>
      </w:r>
      <w:r w:rsidRPr="00CE0885">
        <w:rPr>
          <w:spacing w:val="-2"/>
          <w:lang w:eastAsia="en-GB"/>
        </w:rPr>
        <w:t>c</w:t>
      </w:r>
      <w:r w:rsidRPr="00CE0885">
        <w:rPr>
          <w:lang w:eastAsia="en-GB"/>
        </w:rPr>
        <w:t>ont</w:t>
      </w:r>
      <w:r w:rsidRPr="00CE0885">
        <w:rPr>
          <w:spacing w:val="1"/>
          <w:lang w:eastAsia="en-GB"/>
        </w:rPr>
        <w:t>r</w:t>
      </w:r>
      <w:r w:rsidRPr="00CE0885">
        <w:rPr>
          <w:spacing w:val="-3"/>
          <w:lang w:eastAsia="en-GB"/>
        </w:rPr>
        <w:t>a</w:t>
      </w:r>
      <w:r w:rsidRPr="00CE0885">
        <w:rPr>
          <w:spacing w:val="1"/>
          <w:lang w:eastAsia="en-GB"/>
        </w:rPr>
        <w:t>c</w:t>
      </w:r>
      <w:r w:rsidRPr="00CE0885">
        <w:rPr>
          <w:lang w:eastAsia="en-GB"/>
        </w:rPr>
        <w:t>t</w:t>
      </w:r>
      <w:r w:rsidRPr="00CE0885">
        <w:rPr>
          <w:spacing w:val="11"/>
          <w:lang w:eastAsia="en-GB"/>
        </w:rPr>
        <w:t xml:space="preserve"> </w:t>
      </w:r>
      <w:r w:rsidRPr="00CE0885">
        <w:rPr>
          <w:spacing w:val="-2"/>
          <w:lang w:eastAsia="en-GB"/>
        </w:rPr>
        <w:t>must</w:t>
      </w:r>
      <w:r w:rsidRPr="00CE0885">
        <w:rPr>
          <w:spacing w:val="7"/>
          <w:lang w:eastAsia="en-GB"/>
        </w:rPr>
        <w:t xml:space="preserve"> </w:t>
      </w:r>
      <w:r w:rsidRPr="00CE0885">
        <w:rPr>
          <w:spacing w:val="2"/>
          <w:lang w:eastAsia="en-GB"/>
        </w:rPr>
        <w:t>t</w:t>
      </w:r>
      <w:r w:rsidRPr="00CE0885">
        <w:rPr>
          <w:spacing w:val="-3"/>
          <w:lang w:eastAsia="en-GB"/>
        </w:rPr>
        <w:t>e</w:t>
      </w:r>
      <w:r w:rsidRPr="00CE0885">
        <w:rPr>
          <w:spacing w:val="-1"/>
          <w:lang w:eastAsia="en-GB"/>
        </w:rPr>
        <w:t>r</w:t>
      </w:r>
      <w:r w:rsidRPr="00CE0885">
        <w:rPr>
          <w:lang w:eastAsia="en-GB"/>
        </w:rPr>
        <w:t>m</w:t>
      </w:r>
      <w:r w:rsidRPr="00CE0885">
        <w:rPr>
          <w:spacing w:val="1"/>
          <w:lang w:eastAsia="en-GB"/>
        </w:rPr>
        <w:t>i</w:t>
      </w:r>
      <w:r w:rsidRPr="00CE0885">
        <w:rPr>
          <w:lang w:eastAsia="en-GB"/>
        </w:rPr>
        <w:t>n</w:t>
      </w:r>
      <w:r w:rsidRPr="00CE0885">
        <w:rPr>
          <w:spacing w:val="-3"/>
          <w:lang w:eastAsia="en-GB"/>
        </w:rPr>
        <w:t>a</w:t>
      </w:r>
      <w:r w:rsidRPr="00CE0885">
        <w:rPr>
          <w:spacing w:val="2"/>
          <w:lang w:eastAsia="en-GB"/>
        </w:rPr>
        <w:t>t</w:t>
      </w:r>
      <w:r w:rsidRPr="00CE0885">
        <w:rPr>
          <w:lang w:eastAsia="en-GB"/>
        </w:rPr>
        <w:t>e</w:t>
      </w:r>
      <w:r w:rsidRPr="00CE0885">
        <w:rPr>
          <w:spacing w:val="11"/>
          <w:lang w:eastAsia="en-GB"/>
        </w:rPr>
        <w:t xml:space="preserve"> </w:t>
      </w:r>
      <w:r w:rsidRPr="00CE0885">
        <w:rPr>
          <w:lang w:eastAsia="en-GB"/>
        </w:rPr>
        <w:t>at</w:t>
      </w:r>
      <w:r w:rsidRPr="00CE0885">
        <w:rPr>
          <w:spacing w:val="5"/>
          <w:lang w:eastAsia="en-GB"/>
        </w:rPr>
        <w:t xml:space="preserve"> </w:t>
      </w:r>
      <w:r w:rsidRPr="00CE0885">
        <w:rPr>
          <w:lang w:eastAsia="en-GB"/>
        </w:rPr>
        <w:t>t</w:t>
      </w:r>
      <w:r w:rsidRPr="00CE0885">
        <w:rPr>
          <w:spacing w:val="-3"/>
          <w:lang w:eastAsia="en-GB"/>
        </w:rPr>
        <w:t>h</w:t>
      </w:r>
      <w:r w:rsidRPr="00CE0885">
        <w:rPr>
          <w:lang w:eastAsia="en-GB"/>
        </w:rPr>
        <w:t>e</w:t>
      </w:r>
      <w:r w:rsidRPr="00CE0885">
        <w:rPr>
          <w:spacing w:val="6"/>
          <w:lang w:eastAsia="en-GB"/>
        </w:rPr>
        <w:t xml:space="preserve"> </w:t>
      </w:r>
      <w:r w:rsidRPr="00CE0885">
        <w:rPr>
          <w:lang w:eastAsia="en-GB"/>
        </w:rPr>
        <w:t>end</w:t>
      </w:r>
      <w:r w:rsidRPr="00CE0885">
        <w:rPr>
          <w:spacing w:val="5"/>
          <w:lang w:eastAsia="en-GB"/>
        </w:rPr>
        <w:t xml:space="preserve"> </w:t>
      </w:r>
      <w:r w:rsidRPr="00CE0885">
        <w:rPr>
          <w:spacing w:val="-3"/>
          <w:lang w:eastAsia="en-GB"/>
        </w:rPr>
        <w:t>o</w:t>
      </w:r>
      <w:r w:rsidRPr="00CE0885">
        <w:rPr>
          <w:lang w:eastAsia="en-GB"/>
        </w:rPr>
        <w:t>f</w:t>
      </w:r>
      <w:r w:rsidRPr="00CE0885">
        <w:rPr>
          <w:spacing w:val="8"/>
          <w:lang w:eastAsia="en-GB"/>
        </w:rPr>
        <w:t xml:space="preserve"> </w:t>
      </w:r>
      <w:r w:rsidRPr="00CE0885">
        <w:rPr>
          <w:lang w:eastAsia="en-GB"/>
        </w:rPr>
        <w:t>the</w:t>
      </w:r>
      <w:r w:rsidRPr="00CE0885">
        <w:rPr>
          <w:spacing w:val="1"/>
          <w:lang w:eastAsia="en-GB"/>
        </w:rPr>
        <w:t xml:space="preserve"> </w:t>
      </w:r>
      <w:r w:rsidRPr="00CE0885">
        <w:rPr>
          <w:spacing w:val="2"/>
          <w:lang w:eastAsia="en-GB"/>
        </w:rPr>
        <w:t>p</w:t>
      </w:r>
      <w:r w:rsidRPr="00CE0885">
        <w:rPr>
          <w:lang w:eastAsia="en-GB"/>
        </w:rPr>
        <w:t>e</w:t>
      </w:r>
      <w:r w:rsidRPr="00CE0885">
        <w:rPr>
          <w:spacing w:val="-1"/>
          <w:lang w:eastAsia="en-GB"/>
        </w:rPr>
        <w:t>r</w:t>
      </w:r>
      <w:r w:rsidRPr="00CE0885">
        <w:rPr>
          <w:spacing w:val="1"/>
          <w:lang w:eastAsia="en-GB"/>
        </w:rPr>
        <w:t>i</w:t>
      </w:r>
      <w:r w:rsidRPr="00CE0885">
        <w:rPr>
          <w:spacing w:val="2"/>
          <w:lang w:eastAsia="en-GB"/>
        </w:rPr>
        <w:t>o</w:t>
      </w:r>
      <w:r w:rsidRPr="00CE0885">
        <w:rPr>
          <w:lang w:eastAsia="en-GB"/>
        </w:rPr>
        <w:t>d</w:t>
      </w:r>
      <w:r w:rsidRPr="00CE0885">
        <w:rPr>
          <w:spacing w:val="4"/>
          <w:lang w:eastAsia="en-GB"/>
        </w:rPr>
        <w:t xml:space="preserve"> </w:t>
      </w:r>
      <w:r w:rsidRPr="00CE0885">
        <w:rPr>
          <w:w w:val="101"/>
          <w:lang w:eastAsia="en-GB"/>
        </w:rPr>
        <w:t xml:space="preserve">of </w:t>
      </w:r>
      <w:r w:rsidRPr="00CE0885">
        <w:rPr>
          <w:spacing w:val="-2"/>
          <w:lang w:eastAsia="en-GB"/>
        </w:rPr>
        <w:t>7</w:t>
      </w:r>
      <w:r w:rsidRPr="00CE0885">
        <w:rPr>
          <w:spacing w:val="7"/>
          <w:lang w:eastAsia="en-GB"/>
        </w:rPr>
        <w:t xml:space="preserve"> </w:t>
      </w:r>
      <w:r w:rsidRPr="00CE0885">
        <w:rPr>
          <w:lang w:eastAsia="en-GB"/>
        </w:rPr>
        <w:t>d</w:t>
      </w:r>
      <w:r w:rsidRPr="00CE0885">
        <w:rPr>
          <w:spacing w:val="2"/>
          <w:lang w:eastAsia="en-GB"/>
        </w:rPr>
        <w:t>a</w:t>
      </w:r>
      <w:r w:rsidRPr="00CE0885">
        <w:rPr>
          <w:spacing w:val="-4"/>
          <w:lang w:eastAsia="en-GB"/>
        </w:rPr>
        <w:t>y</w:t>
      </w:r>
      <w:r w:rsidRPr="00CE0885">
        <w:rPr>
          <w:lang w:eastAsia="en-GB"/>
        </w:rPr>
        <w:t>s</w:t>
      </w:r>
      <w:r w:rsidRPr="00CE0885">
        <w:rPr>
          <w:spacing w:val="7"/>
          <w:lang w:eastAsia="en-GB"/>
        </w:rPr>
        <w:t xml:space="preserve"> </w:t>
      </w:r>
      <w:r w:rsidRPr="00CE0885">
        <w:rPr>
          <w:lang w:eastAsia="en-GB"/>
        </w:rPr>
        <w:t>a</w:t>
      </w:r>
      <w:r w:rsidRPr="00CE0885">
        <w:rPr>
          <w:spacing w:val="2"/>
          <w:lang w:eastAsia="en-GB"/>
        </w:rPr>
        <w:t>f</w:t>
      </w:r>
      <w:r w:rsidRPr="00CE0885">
        <w:rPr>
          <w:lang w:eastAsia="en-GB"/>
        </w:rPr>
        <w:t>ter</w:t>
      </w:r>
      <w:r w:rsidRPr="00CE0885">
        <w:rPr>
          <w:spacing w:val="5"/>
          <w:lang w:eastAsia="en-GB"/>
        </w:rPr>
        <w:t xml:space="preserve"> </w:t>
      </w:r>
      <w:r w:rsidRPr="00CE0885">
        <w:rPr>
          <w:lang w:eastAsia="en-GB"/>
        </w:rPr>
        <w:t>t</w:t>
      </w:r>
      <w:r w:rsidRPr="00CE0885">
        <w:rPr>
          <w:spacing w:val="2"/>
          <w:lang w:eastAsia="en-GB"/>
        </w:rPr>
        <w:t>h</w:t>
      </w:r>
      <w:r w:rsidRPr="00CE0885">
        <w:rPr>
          <w:lang w:eastAsia="en-GB"/>
        </w:rPr>
        <w:t>e</w:t>
      </w:r>
      <w:r w:rsidRPr="00CE0885">
        <w:rPr>
          <w:spacing w:val="4"/>
          <w:lang w:eastAsia="en-GB"/>
        </w:rPr>
        <w:t xml:space="preserve"> </w:t>
      </w:r>
      <w:r w:rsidRPr="00CE0885">
        <w:rPr>
          <w:lang w:eastAsia="en-GB"/>
        </w:rPr>
        <w:t>date</w:t>
      </w:r>
      <w:r w:rsidRPr="00CE0885">
        <w:rPr>
          <w:spacing w:val="5"/>
          <w:lang w:eastAsia="en-GB"/>
        </w:rPr>
        <w:t xml:space="preserve"> </w:t>
      </w:r>
      <w:r w:rsidRPr="00CE0885">
        <w:rPr>
          <w:spacing w:val="-3"/>
          <w:lang w:eastAsia="en-GB"/>
        </w:rPr>
        <w:t>o</w:t>
      </w:r>
      <w:r w:rsidRPr="00CE0885">
        <w:rPr>
          <w:lang w:eastAsia="en-GB"/>
        </w:rPr>
        <w:t>f</w:t>
      </w:r>
      <w:r w:rsidRPr="00CE0885">
        <w:rPr>
          <w:spacing w:val="8"/>
          <w:lang w:eastAsia="en-GB"/>
        </w:rPr>
        <w:t xml:space="preserve"> </w:t>
      </w:r>
      <w:r w:rsidRPr="00CE0885">
        <w:rPr>
          <w:lang w:eastAsia="en-GB"/>
        </w:rPr>
        <w:t>the</w:t>
      </w:r>
      <w:r w:rsidRPr="00CE0885">
        <w:rPr>
          <w:spacing w:val="1"/>
          <w:lang w:eastAsia="en-GB"/>
        </w:rPr>
        <w:t xml:space="preserve"> c</w:t>
      </w:r>
      <w:r w:rsidRPr="00CE0885">
        <w:rPr>
          <w:spacing w:val="2"/>
          <w:lang w:eastAsia="en-GB"/>
        </w:rPr>
        <w:t>o</w:t>
      </w:r>
      <w:r w:rsidRPr="00CE0885">
        <w:rPr>
          <w:spacing w:val="-3"/>
          <w:lang w:eastAsia="en-GB"/>
        </w:rPr>
        <w:t>n</w:t>
      </w:r>
      <w:r w:rsidRPr="00CE0885">
        <w:rPr>
          <w:lang w:eastAsia="en-GB"/>
        </w:rPr>
        <w:t>t</w:t>
      </w:r>
      <w:r w:rsidRPr="00CE0885">
        <w:rPr>
          <w:spacing w:val="4"/>
          <w:lang w:eastAsia="en-GB"/>
        </w:rPr>
        <w:t>r</w:t>
      </w:r>
      <w:r w:rsidRPr="00CE0885">
        <w:rPr>
          <w:spacing w:val="-3"/>
          <w:lang w:eastAsia="en-GB"/>
        </w:rPr>
        <w:t>a</w:t>
      </w:r>
      <w:r w:rsidRPr="00CE0885">
        <w:rPr>
          <w:spacing w:val="1"/>
          <w:lang w:eastAsia="en-GB"/>
        </w:rPr>
        <w:t>c</w:t>
      </w:r>
      <w:r w:rsidRPr="00CE0885">
        <w:rPr>
          <w:lang w:eastAsia="en-GB"/>
        </w:rPr>
        <w:t>t</w:t>
      </w:r>
      <w:r w:rsidRPr="00CE0885">
        <w:rPr>
          <w:spacing w:val="-3"/>
          <w:lang w:eastAsia="en-GB"/>
        </w:rPr>
        <w:t>o</w:t>
      </w:r>
      <w:r w:rsidRPr="00CE0885">
        <w:rPr>
          <w:spacing w:val="1"/>
          <w:lang w:eastAsia="en-GB"/>
        </w:rPr>
        <w:t>r’</w:t>
      </w:r>
      <w:r w:rsidRPr="00CE0885">
        <w:rPr>
          <w:lang w:eastAsia="en-GB"/>
        </w:rPr>
        <w:t>s</w:t>
      </w:r>
      <w:r w:rsidRPr="00CE0885">
        <w:rPr>
          <w:spacing w:val="14"/>
          <w:lang w:eastAsia="en-GB"/>
        </w:rPr>
        <w:t xml:space="preserve"> </w:t>
      </w:r>
      <w:r w:rsidRPr="00CE0885">
        <w:rPr>
          <w:spacing w:val="-3"/>
          <w:lang w:eastAsia="en-GB"/>
        </w:rPr>
        <w:t>d</w:t>
      </w:r>
      <w:r w:rsidRPr="00CE0885">
        <w:rPr>
          <w:spacing w:val="2"/>
          <w:lang w:eastAsia="en-GB"/>
        </w:rPr>
        <w:t>e</w:t>
      </w:r>
      <w:r w:rsidRPr="00CE0885">
        <w:rPr>
          <w:spacing w:val="-3"/>
          <w:lang w:eastAsia="en-GB"/>
        </w:rPr>
        <w:t>a</w:t>
      </w:r>
      <w:r w:rsidRPr="00CE0885">
        <w:rPr>
          <w:spacing w:val="2"/>
          <w:lang w:eastAsia="en-GB"/>
        </w:rPr>
        <w:t>t</w:t>
      </w:r>
      <w:r w:rsidRPr="00CE0885">
        <w:rPr>
          <w:lang w:eastAsia="en-GB"/>
        </w:rPr>
        <w:t>h</w:t>
      </w:r>
      <w:r w:rsidRPr="00CE0885">
        <w:rPr>
          <w:spacing w:val="9"/>
          <w:lang w:eastAsia="en-GB"/>
        </w:rPr>
        <w:t xml:space="preserve"> </w:t>
      </w:r>
      <w:r w:rsidRPr="00CE0885">
        <w:rPr>
          <w:spacing w:val="-3"/>
          <w:lang w:eastAsia="en-GB"/>
        </w:rPr>
        <w:t>u</w:t>
      </w:r>
      <w:r w:rsidRPr="00CE0885">
        <w:rPr>
          <w:lang w:eastAsia="en-GB"/>
        </w:rPr>
        <w:t>n</w:t>
      </w:r>
      <w:r w:rsidRPr="00CE0885">
        <w:rPr>
          <w:spacing w:val="1"/>
          <w:lang w:eastAsia="en-GB"/>
        </w:rPr>
        <w:t>l</w:t>
      </w:r>
      <w:r w:rsidRPr="00CE0885">
        <w:rPr>
          <w:spacing w:val="-3"/>
          <w:lang w:eastAsia="en-GB"/>
        </w:rPr>
        <w:t>e</w:t>
      </w:r>
      <w:r w:rsidRPr="00CE0885">
        <w:rPr>
          <w:spacing w:val="1"/>
          <w:lang w:eastAsia="en-GB"/>
        </w:rPr>
        <w:t>ss, before the end of that period</w:t>
      </w:r>
      <w:r w:rsidRPr="00CE0885">
        <w:rPr>
          <w:lang w:eastAsia="en-GB"/>
        </w:rPr>
        <w:t>:</w:t>
      </w:r>
      <w:bookmarkEnd w:id="1440"/>
    </w:p>
    <w:p w14:paraId="7F81C336" w14:textId="77777777" w:rsidR="00867DFB" w:rsidRPr="00CE0885" w:rsidRDefault="00867DFB" w:rsidP="00EF04D7">
      <w:pPr>
        <w:pStyle w:val="Heading4"/>
      </w:pPr>
      <w:bookmarkStart w:id="1441" w:name="_Toc440982798"/>
      <w:r w:rsidRPr="00CE0885">
        <w:t>the contractor's personal representatives have confirmed in writing to the Commissioner that they wish to employ or engage one or more general medical practitioners to assist in the continuation of the provision of clinical services under the contract; and</w:t>
      </w:r>
      <w:bookmarkEnd w:id="1441"/>
      <w:r w:rsidRPr="00CE0885">
        <w:t xml:space="preserve"> </w:t>
      </w:r>
    </w:p>
    <w:p w14:paraId="302AF185" w14:textId="77777777" w:rsidR="00867DFB" w:rsidRPr="00CE0885" w:rsidRDefault="00867DFB" w:rsidP="00EF04D7">
      <w:pPr>
        <w:pStyle w:val="Heading4"/>
      </w:pPr>
      <w:bookmarkStart w:id="1442" w:name="_Toc440982799"/>
      <w:r w:rsidRPr="00CE0885">
        <w:t>the Commissioner agrees to provide reasonable support which would enable the provision of clinical services under the contract to continue; and</w:t>
      </w:r>
      <w:bookmarkEnd w:id="1442"/>
    </w:p>
    <w:p w14:paraId="7A803B60" w14:textId="77777777" w:rsidR="00867DFB" w:rsidRPr="00CE0885" w:rsidRDefault="00867DFB" w:rsidP="00EF04D7">
      <w:pPr>
        <w:pStyle w:val="Heading4"/>
      </w:pPr>
      <w:bookmarkStart w:id="1443" w:name="_Toc440982800"/>
      <w:r w:rsidRPr="00CE0885">
        <w:t>the Commissioner and the personal representatives agree the terms upon which clinical services under the contract can continue to be provided; and</w:t>
      </w:r>
      <w:bookmarkEnd w:id="1443"/>
    </w:p>
    <w:p w14:paraId="2472DDB1" w14:textId="77777777" w:rsidR="00867DFB" w:rsidRPr="00CE0885" w:rsidRDefault="00867DFB" w:rsidP="00EF04D7">
      <w:pPr>
        <w:pStyle w:val="Heading4"/>
      </w:pPr>
      <w:bookmarkStart w:id="1444" w:name="_Toc440982801"/>
      <w:r w:rsidRPr="00CE0885">
        <w:t>the Commissioner and the personal representatives agree the period during which clinical services must continue to be provided and such a period must not exceed 28 days starting on the day after the end of 7 day period following the contractor's death.</w:t>
      </w:r>
      <w:bookmarkEnd w:id="1444"/>
    </w:p>
    <w:p w14:paraId="65AFA70A" w14:textId="77777777" w:rsidR="00867DFB" w:rsidRPr="00CE0885" w:rsidRDefault="00867DFB" w:rsidP="00EF04D7">
      <w:pPr>
        <w:pStyle w:val="Heading3"/>
        <w:rPr>
          <w:w w:val="101"/>
          <w:lang w:eastAsia="en-GB"/>
        </w:rPr>
      </w:pPr>
      <w:bookmarkStart w:id="1445" w:name="_Toc440982802"/>
      <w:r w:rsidRPr="00CE0885">
        <w:rPr>
          <w:spacing w:val="-1"/>
          <w:lang w:eastAsia="en-GB"/>
        </w:rPr>
        <w:t>T</w:t>
      </w:r>
      <w:r w:rsidRPr="00CE0885">
        <w:rPr>
          <w:spacing w:val="-3"/>
          <w:lang w:eastAsia="en-GB"/>
        </w:rPr>
        <w:t>h</w:t>
      </w:r>
      <w:r w:rsidRPr="00CE0885">
        <w:rPr>
          <w:lang w:eastAsia="en-GB"/>
        </w:rPr>
        <w:t>e</w:t>
      </w:r>
      <w:r w:rsidRPr="00CE0885">
        <w:rPr>
          <w:spacing w:val="5"/>
          <w:lang w:eastAsia="en-GB"/>
        </w:rPr>
        <w:t xml:space="preserve"> </w:t>
      </w:r>
      <w:r w:rsidRPr="00CE0885">
        <w:rPr>
          <w:lang w:eastAsia="en-GB"/>
        </w:rPr>
        <w:t>Commissioner</w:t>
      </w:r>
      <w:r w:rsidRPr="00CE0885">
        <w:rPr>
          <w:spacing w:val="5"/>
          <w:lang w:eastAsia="en-GB"/>
        </w:rPr>
        <w:t xml:space="preserve"> </w:t>
      </w:r>
      <w:r w:rsidRPr="00CE0885">
        <w:rPr>
          <w:spacing w:val="1"/>
          <w:lang w:eastAsia="en-GB"/>
        </w:rPr>
        <w:t>s</w:t>
      </w:r>
      <w:r w:rsidRPr="00CE0885">
        <w:rPr>
          <w:lang w:eastAsia="en-GB"/>
        </w:rPr>
        <w:t>h</w:t>
      </w:r>
      <w:r w:rsidRPr="00CE0885">
        <w:rPr>
          <w:spacing w:val="2"/>
          <w:lang w:eastAsia="en-GB"/>
        </w:rPr>
        <w:t>o</w:t>
      </w:r>
      <w:r w:rsidRPr="00CE0885">
        <w:rPr>
          <w:spacing w:val="-3"/>
          <w:lang w:eastAsia="en-GB"/>
        </w:rPr>
        <w:t>u</w:t>
      </w:r>
      <w:r w:rsidRPr="00CE0885">
        <w:rPr>
          <w:spacing w:val="3"/>
          <w:lang w:eastAsia="en-GB"/>
        </w:rPr>
        <w:t>l</w:t>
      </w:r>
      <w:r w:rsidRPr="00CE0885">
        <w:rPr>
          <w:lang w:eastAsia="en-GB"/>
        </w:rPr>
        <w:t>d</w:t>
      </w:r>
      <w:r w:rsidRPr="00CE0885">
        <w:rPr>
          <w:spacing w:val="5"/>
          <w:lang w:eastAsia="en-GB"/>
        </w:rPr>
        <w:t xml:space="preserve"> </w:t>
      </w:r>
      <w:r w:rsidRPr="00CE0885">
        <w:rPr>
          <w:spacing w:val="3"/>
          <w:lang w:eastAsia="en-GB"/>
        </w:rPr>
        <w:t>i</w:t>
      </w:r>
      <w:r w:rsidRPr="00CE0885">
        <w:rPr>
          <w:spacing w:val="1"/>
          <w:lang w:eastAsia="en-GB"/>
        </w:rPr>
        <w:t>s</w:t>
      </w:r>
      <w:r w:rsidRPr="00CE0885">
        <w:rPr>
          <w:spacing w:val="-2"/>
          <w:lang w:eastAsia="en-GB"/>
        </w:rPr>
        <w:t>s</w:t>
      </w:r>
      <w:r w:rsidRPr="00CE0885">
        <w:rPr>
          <w:lang w:eastAsia="en-GB"/>
        </w:rPr>
        <w:t>ue</w:t>
      </w:r>
      <w:r w:rsidRPr="00CE0885">
        <w:rPr>
          <w:spacing w:val="3"/>
          <w:lang w:eastAsia="en-GB"/>
        </w:rPr>
        <w:t xml:space="preserve"> </w:t>
      </w:r>
      <w:r w:rsidRPr="00CE0885">
        <w:rPr>
          <w:lang w:eastAsia="en-GB"/>
        </w:rPr>
        <w:t>a</w:t>
      </w:r>
      <w:r w:rsidRPr="00CE0885">
        <w:rPr>
          <w:spacing w:val="4"/>
          <w:lang w:eastAsia="en-GB"/>
        </w:rPr>
        <w:t xml:space="preserve"> </w:t>
      </w:r>
      <w:r w:rsidRPr="00CE0885">
        <w:rPr>
          <w:spacing w:val="1"/>
          <w:lang w:eastAsia="en-GB"/>
        </w:rPr>
        <w:t>c</w:t>
      </w:r>
      <w:r w:rsidRPr="00CE0885">
        <w:rPr>
          <w:spacing w:val="-3"/>
          <w:lang w:eastAsia="en-GB"/>
        </w:rPr>
        <w:t>o</w:t>
      </w:r>
      <w:r w:rsidRPr="00CE0885">
        <w:rPr>
          <w:lang w:eastAsia="en-GB"/>
        </w:rPr>
        <w:t>n</w:t>
      </w:r>
      <w:r w:rsidRPr="00CE0885">
        <w:rPr>
          <w:spacing w:val="2"/>
          <w:lang w:eastAsia="en-GB"/>
        </w:rPr>
        <w:t>f</w:t>
      </w:r>
      <w:r w:rsidRPr="00CE0885">
        <w:rPr>
          <w:spacing w:val="3"/>
          <w:lang w:eastAsia="en-GB"/>
        </w:rPr>
        <w:t>i</w:t>
      </w:r>
      <w:r w:rsidRPr="00CE0885">
        <w:rPr>
          <w:spacing w:val="-1"/>
          <w:lang w:eastAsia="en-GB"/>
        </w:rPr>
        <w:t>r</w:t>
      </w:r>
      <w:r w:rsidRPr="00CE0885">
        <w:rPr>
          <w:lang w:eastAsia="en-GB"/>
        </w:rPr>
        <w:t>ma</w:t>
      </w:r>
      <w:r w:rsidRPr="00CE0885">
        <w:rPr>
          <w:spacing w:val="-3"/>
          <w:lang w:eastAsia="en-GB"/>
        </w:rPr>
        <w:t>t</w:t>
      </w:r>
      <w:r w:rsidRPr="00CE0885">
        <w:rPr>
          <w:spacing w:val="3"/>
          <w:lang w:eastAsia="en-GB"/>
        </w:rPr>
        <w:t>i</w:t>
      </w:r>
      <w:r w:rsidRPr="00CE0885">
        <w:rPr>
          <w:spacing w:val="-3"/>
          <w:lang w:eastAsia="en-GB"/>
        </w:rPr>
        <w:t>o</w:t>
      </w:r>
      <w:r w:rsidRPr="00CE0885">
        <w:rPr>
          <w:lang w:eastAsia="en-GB"/>
        </w:rPr>
        <w:t>n</w:t>
      </w:r>
      <w:r w:rsidRPr="00CE0885">
        <w:rPr>
          <w:spacing w:val="14"/>
          <w:lang w:eastAsia="en-GB"/>
        </w:rPr>
        <w:t xml:space="preserve"> </w:t>
      </w:r>
      <w:r w:rsidRPr="00CE0885">
        <w:rPr>
          <w:spacing w:val="1"/>
          <w:lang w:eastAsia="en-GB"/>
        </w:rPr>
        <w:t>l</w:t>
      </w:r>
      <w:r w:rsidRPr="00CE0885">
        <w:rPr>
          <w:lang w:eastAsia="en-GB"/>
        </w:rPr>
        <w:t>etter</w:t>
      </w:r>
      <w:r w:rsidRPr="00CE0885">
        <w:rPr>
          <w:spacing w:val="5"/>
          <w:lang w:eastAsia="en-GB"/>
        </w:rPr>
        <w:t xml:space="preserve"> </w:t>
      </w:r>
      <w:r w:rsidRPr="00CE0885">
        <w:rPr>
          <w:spacing w:val="1"/>
          <w:lang w:eastAsia="en-GB"/>
        </w:rPr>
        <w:t>s</w:t>
      </w:r>
      <w:r w:rsidRPr="00CE0885">
        <w:rPr>
          <w:lang w:eastAsia="en-GB"/>
        </w:rPr>
        <w:t>ett</w:t>
      </w:r>
      <w:r w:rsidRPr="00CE0885">
        <w:rPr>
          <w:spacing w:val="1"/>
          <w:lang w:eastAsia="en-GB"/>
        </w:rPr>
        <w:t>i</w:t>
      </w:r>
      <w:r w:rsidRPr="00CE0885">
        <w:rPr>
          <w:lang w:eastAsia="en-GB"/>
        </w:rPr>
        <w:t>ng</w:t>
      </w:r>
      <w:r w:rsidRPr="00CE0885">
        <w:rPr>
          <w:spacing w:val="10"/>
          <w:lang w:eastAsia="en-GB"/>
        </w:rPr>
        <w:t xml:space="preserve"> </w:t>
      </w:r>
      <w:r w:rsidRPr="00CE0885">
        <w:rPr>
          <w:spacing w:val="-3"/>
          <w:lang w:eastAsia="en-GB"/>
        </w:rPr>
        <w:t>o</w:t>
      </w:r>
      <w:r w:rsidRPr="00CE0885">
        <w:rPr>
          <w:lang w:eastAsia="en-GB"/>
        </w:rPr>
        <w:t>ut</w:t>
      </w:r>
      <w:r w:rsidRPr="00CE0885">
        <w:rPr>
          <w:spacing w:val="4"/>
          <w:lang w:eastAsia="en-GB"/>
        </w:rPr>
        <w:t xml:space="preserve"> </w:t>
      </w:r>
      <w:r w:rsidRPr="00CE0885">
        <w:rPr>
          <w:spacing w:val="2"/>
          <w:lang w:eastAsia="en-GB"/>
        </w:rPr>
        <w:t>t</w:t>
      </w:r>
      <w:r w:rsidRPr="00CE0885">
        <w:rPr>
          <w:lang w:eastAsia="en-GB"/>
        </w:rPr>
        <w:t>he</w:t>
      </w:r>
      <w:r w:rsidRPr="00CE0885">
        <w:rPr>
          <w:spacing w:val="4"/>
          <w:lang w:eastAsia="en-GB"/>
        </w:rPr>
        <w:t xml:space="preserve"> </w:t>
      </w:r>
      <w:r w:rsidRPr="00CE0885">
        <w:rPr>
          <w:lang w:eastAsia="en-GB"/>
        </w:rPr>
        <w:t>t</w:t>
      </w:r>
      <w:r w:rsidRPr="00CE0885">
        <w:rPr>
          <w:spacing w:val="1"/>
          <w:lang w:eastAsia="en-GB"/>
        </w:rPr>
        <w:t>i</w:t>
      </w:r>
      <w:r w:rsidRPr="00CE0885">
        <w:rPr>
          <w:spacing w:val="2"/>
          <w:lang w:eastAsia="en-GB"/>
        </w:rPr>
        <w:t>m</w:t>
      </w:r>
      <w:r w:rsidRPr="00CE0885">
        <w:rPr>
          <w:lang w:eastAsia="en-GB"/>
        </w:rPr>
        <w:t>e</w:t>
      </w:r>
      <w:r w:rsidRPr="00CE0885">
        <w:rPr>
          <w:spacing w:val="-2"/>
          <w:lang w:eastAsia="en-GB"/>
        </w:rPr>
        <w:t>s</w:t>
      </w:r>
      <w:r w:rsidRPr="00CE0885">
        <w:rPr>
          <w:spacing w:val="1"/>
          <w:lang w:eastAsia="en-GB"/>
        </w:rPr>
        <w:t>c</w:t>
      </w:r>
      <w:r w:rsidRPr="00CE0885">
        <w:rPr>
          <w:lang w:eastAsia="en-GB"/>
        </w:rPr>
        <w:t>a</w:t>
      </w:r>
      <w:r w:rsidRPr="00CE0885">
        <w:rPr>
          <w:spacing w:val="1"/>
          <w:lang w:eastAsia="en-GB"/>
        </w:rPr>
        <w:t>l</w:t>
      </w:r>
      <w:r w:rsidRPr="00CE0885">
        <w:rPr>
          <w:lang w:eastAsia="en-GB"/>
        </w:rPr>
        <w:t>es</w:t>
      </w:r>
      <w:r w:rsidRPr="00CE0885">
        <w:rPr>
          <w:spacing w:val="10"/>
          <w:lang w:eastAsia="en-GB"/>
        </w:rPr>
        <w:t xml:space="preserve"> </w:t>
      </w:r>
      <w:r w:rsidRPr="00CE0885">
        <w:rPr>
          <w:lang w:eastAsia="en-GB"/>
        </w:rPr>
        <w:t>of</w:t>
      </w:r>
      <w:r w:rsidRPr="00CE0885">
        <w:rPr>
          <w:spacing w:val="5"/>
          <w:lang w:eastAsia="en-GB"/>
        </w:rPr>
        <w:t xml:space="preserve"> </w:t>
      </w:r>
      <w:r w:rsidRPr="00CE0885">
        <w:rPr>
          <w:spacing w:val="2"/>
          <w:w w:val="101"/>
          <w:lang w:eastAsia="en-GB"/>
        </w:rPr>
        <w:t>t</w:t>
      </w:r>
      <w:r w:rsidRPr="00CE0885">
        <w:rPr>
          <w:spacing w:val="-3"/>
          <w:w w:val="101"/>
          <w:lang w:eastAsia="en-GB"/>
        </w:rPr>
        <w:t>h</w:t>
      </w:r>
      <w:r w:rsidRPr="00CE0885">
        <w:rPr>
          <w:w w:val="101"/>
          <w:lang w:eastAsia="en-GB"/>
        </w:rPr>
        <w:t xml:space="preserve">e </w:t>
      </w:r>
      <w:r w:rsidRPr="00CE0885">
        <w:rPr>
          <w:spacing w:val="-2"/>
          <w:lang w:eastAsia="en-GB"/>
        </w:rPr>
        <w:t>c</w:t>
      </w:r>
      <w:r w:rsidRPr="00CE0885">
        <w:rPr>
          <w:lang w:eastAsia="en-GB"/>
        </w:rPr>
        <w:t>o</w:t>
      </w:r>
      <w:r w:rsidRPr="00CE0885">
        <w:rPr>
          <w:spacing w:val="-3"/>
          <w:lang w:eastAsia="en-GB"/>
        </w:rPr>
        <w:t>n</w:t>
      </w:r>
      <w:r w:rsidRPr="00CE0885">
        <w:rPr>
          <w:spacing w:val="2"/>
          <w:lang w:eastAsia="en-GB"/>
        </w:rPr>
        <w:t>t</w:t>
      </w:r>
      <w:r w:rsidRPr="00CE0885">
        <w:rPr>
          <w:spacing w:val="1"/>
          <w:lang w:eastAsia="en-GB"/>
        </w:rPr>
        <w:t>i</w:t>
      </w:r>
      <w:r w:rsidRPr="00CE0885">
        <w:rPr>
          <w:spacing w:val="-3"/>
          <w:lang w:eastAsia="en-GB"/>
        </w:rPr>
        <w:t>n</w:t>
      </w:r>
      <w:r w:rsidRPr="00CE0885">
        <w:rPr>
          <w:spacing w:val="2"/>
          <w:lang w:eastAsia="en-GB"/>
        </w:rPr>
        <w:t>u</w:t>
      </w:r>
      <w:r w:rsidRPr="00CE0885">
        <w:rPr>
          <w:spacing w:val="-3"/>
          <w:lang w:eastAsia="en-GB"/>
        </w:rPr>
        <w:t>a</w:t>
      </w:r>
      <w:r w:rsidRPr="00CE0885">
        <w:rPr>
          <w:spacing w:val="2"/>
          <w:lang w:eastAsia="en-GB"/>
        </w:rPr>
        <w:t>t</w:t>
      </w:r>
      <w:r w:rsidRPr="00CE0885">
        <w:rPr>
          <w:spacing w:val="1"/>
          <w:lang w:eastAsia="en-GB"/>
        </w:rPr>
        <w:t>i</w:t>
      </w:r>
      <w:r w:rsidRPr="00CE0885">
        <w:rPr>
          <w:lang w:eastAsia="en-GB"/>
        </w:rPr>
        <w:t xml:space="preserve">on. A </w:t>
      </w:r>
      <w:r w:rsidRPr="00CE0885">
        <w:rPr>
          <w:spacing w:val="7"/>
          <w:lang w:eastAsia="en-GB"/>
        </w:rPr>
        <w:t>template</w:t>
      </w:r>
      <w:r w:rsidRPr="00CE0885">
        <w:rPr>
          <w:lang w:eastAsia="en-GB"/>
        </w:rPr>
        <w:t xml:space="preserve"> letter is provided in</w:t>
      </w:r>
      <w:r w:rsidRPr="00CE0885">
        <w:rPr>
          <w:spacing w:val="10"/>
          <w:lang w:eastAsia="en-GB"/>
        </w:rPr>
        <w:t xml:space="preserve"> </w:t>
      </w:r>
      <w:r w:rsidRPr="00CE0885">
        <w:rPr>
          <w:lang w:eastAsia="en-GB"/>
        </w:rPr>
        <w:t>Annex</w:t>
      </w:r>
      <w:r w:rsidRPr="00CE0885">
        <w:rPr>
          <w:spacing w:val="9"/>
          <w:lang w:eastAsia="en-GB"/>
        </w:rPr>
        <w:t xml:space="preserve"> </w:t>
      </w:r>
      <w:r w:rsidRPr="00CE0885">
        <w:rPr>
          <w:w w:val="101"/>
          <w:lang w:eastAsia="en-GB"/>
        </w:rPr>
        <w:t>1.</w:t>
      </w:r>
      <w:bookmarkEnd w:id="1445"/>
    </w:p>
    <w:p w14:paraId="1EA81F60" w14:textId="77777777" w:rsidR="00867DFB" w:rsidRPr="009055A7" w:rsidRDefault="00867DFB" w:rsidP="00867DFB">
      <w:pPr>
        <w:widowControl w:val="0"/>
        <w:spacing w:line="360" w:lineRule="auto"/>
        <w:ind w:left="1414"/>
        <w:jc w:val="both"/>
        <w:rPr>
          <w:rFonts w:cs="Arial"/>
          <w:bCs w:val="0"/>
          <w:sz w:val="20"/>
          <w:szCs w:val="20"/>
          <w:lang w:eastAsia="en-GB"/>
        </w:rPr>
      </w:pPr>
    </w:p>
    <w:p w14:paraId="32C85934" w14:textId="77777777" w:rsidR="00867DFB" w:rsidRPr="00CE0885" w:rsidRDefault="00867DFB" w:rsidP="00EF04D7">
      <w:pPr>
        <w:pStyle w:val="Heading2"/>
        <w:rPr>
          <w:lang w:eastAsia="en-GB"/>
        </w:rPr>
      </w:pPr>
      <w:bookmarkStart w:id="1446" w:name="_Toc440982803"/>
      <w:bookmarkStart w:id="1447" w:name="_Toc498495464"/>
      <w:r w:rsidRPr="00CE0885">
        <w:rPr>
          <w:lang w:eastAsia="en-GB"/>
        </w:rPr>
        <w:t>Individual - PMS or APMS Contract</w:t>
      </w:r>
      <w:bookmarkEnd w:id="1446"/>
      <w:bookmarkEnd w:id="1447"/>
      <w:r w:rsidRPr="00CE0885">
        <w:rPr>
          <w:lang w:eastAsia="en-GB"/>
        </w:rPr>
        <w:t xml:space="preserve"> </w:t>
      </w:r>
    </w:p>
    <w:p w14:paraId="4B12E3A0" w14:textId="77777777" w:rsidR="00867DFB" w:rsidRPr="00CE0885" w:rsidRDefault="00867DFB" w:rsidP="00EF04D7">
      <w:pPr>
        <w:pStyle w:val="Heading3"/>
        <w:rPr>
          <w:lang w:eastAsia="en-GB"/>
        </w:rPr>
      </w:pPr>
      <w:bookmarkStart w:id="1448" w:name="_Toc440982804"/>
      <w:r w:rsidRPr="00CE0885">
        <w:rPr>
          <w:lang w:eastAsia="en-GB"/>
        </w:rPr>
        <w:t xml:space="preserve">Where the PMS or APMS contract is with a single individual and that individual dies, the contract shall </w:t>
      </w:r>
      <w:r w:rsidRPr="00CE0885">
        <w:rPr>
          <w:spacing w:val="7"/>
          <w:lang w:eastAsia="en-GB"/>
        </w:rPr>
        <w:t>terminate</w:t>
      </w:r>
      <w:r w:rsidRPr="00CE0885">
        <w:rPr>
          <w:lang w:eastAsia="en-GB"/>
        </w:rPr>
        <w:t xml:space="preserve"> at the end of the period of seven days after the date of the contractor’s death unless, before the end of that period, the Commissioner has agreed in writing with the contractor's personal representatives that the contract should continue for a further period, not exceeding 28 days after the end of the period of seven days.</w:t>
      </w:r>
      <w:bookmarkEnd w:id="1448"/>
    </w:p>
    <w:p w14:paraId="2EB352C2" w14:textId="77777777" w:rsidR="00867DFB" w:rsidRPr="00CE0885" w:rsidRDefault="00867DFB" w:rsidP="00EF04D7">
      <w:pPr>
        <w:pStyle w:val="Heading3"/>
        <w:rPr>
          <w:lang w:eastAsia="en-GB"/>
        </w:rPr>
      </w:pPr>
      <w:bookmarkStart w:id="1449" w:name="_Toc440982805"/>
      <w:r w:rsidRPr="00CE0885">
        <w:rPr>
          <w:lang w:eastAsia="en-GB"/>
        </w:rPr>
        <w:t xml:space="preserve">The Commissioner should issue a confirmation letter setting out the timescales of the continuation. The </w:t>
      </w:r>
      <w:r w:rsidRPr="00CE0885">
        <w:rPr>
          <w:spacing w:val="7"/>
          <w:lang w:eastAsia="en-GB"/>
        </w:rPr>
        <w:t>template</w:t>
      </w:r>
      <w:r w:rsidRPr="00CE0885">
        <w:rPr>
          <w:lang w:eastAsia="en-GB"/>
        </w:rPr>
        <w:t xml:space="preserve"> letter in Annex 1 can be used.</w:t>
      </w:r>
      <w:bookmarkEnd w:id="1449"/>
    </w:p>
    <w:p w14:paraId="307AA9F4" w14:textId="77777777" w:rsidR="00867DFB" w:rsidRPr="009055A7" w:rsidRDefault="00867DFB" w:rsidP="00867DFB">
      <w:pPr>
        <w:widowControl w:val="0"/>
        <w:spacing w:line="360" w:lineRule="auto"/>
        <w:ind w:left="1414"/>
        <w:jc w:val="both"/>
        <w:rPr>
          <w:rFonts w:cs="Arial"/>
          <w:bCs w:val="0"/>
          <w:sz w:val="20"/>
          <w:szCs w:val="20"/>
          <w:lang w:eastAsia="en-GB"/>
        </w:rPr>
      </w:pPr>
    </w:p>
    <w:p w14:paraId="6CD6C86F" w14:textId="77777777" w:rsidR="00867DFB" w:rsidRPr="00CE0885" w:rsidRDefault="00867DFB" w:rsidP="00EF04D7">
      <w:pPr>
        <w:pStyle w:val="Heading2"/>
        <w:rPr>
          <w:lang w:eastAsia="en-GB"/>
        </w:rPr>
      </w:pPr>
      <w:bookmarkStart w:id="1450" w:name="_Toc440982806"/>
      <w:bookmarkStart w:id="1451" w:name="_Toc498495465"/>
      <w:r w:rsidRPr="00CE0885">
        <w:rPr>
          <w:lang w:eastAsia="en-GB"/>
        </w:rPr>
        <w:t>Partnership - GMS Contract</w:t>
      </w:r>
      <w:bookmarkEnd w:id="1450"/>
      <w:bookmarkEnd w:id="1451"/>
      <w:r w:rsidRPr="00CE0885">
        <w:rPr>
          <w:lang w:eastAsia="en-GB"/>
        </w:rPr>
        <w:t xml:space="preserve"> </w:t>
      </w:r>
    </w:p>
    <w:p w14:paraId="06D43F84" w14:textId="77777777" w:rsidR="00867DFB" w:rsidRPr="00CE0885" w:rsidRDefault="00867DFB" w:rsidP="00EF04D7">
      <w:pPr>
        <w:pStyle w:val="Heading3"/>
        <w:rPr>
          <w:lang w:eastAsia="en-GB"/>
        </w:rPr>
      </w:pPr>
      <w:bookmarkStart w:id="1452" w:name="_Toc440982807"/>
      <w:r w:rsidRPr="00CE0885">
        <w:rPr>
          <w:lang w:eastAsia="en-GB"/>
        </w:rPr>
        <w:t xml:space="preserve">The GMS Regulations state that where the contract is with two or more individuals practising in </w:t>
      </w:r>
      <w:r w:rsidRPr="00CE0885">
        <w:rPr>
          <w:spacing w:val="7"/>
          <w:lang w:eastAsia="en-GB"/>
        </w:rPr>
        <w:t>partnership</w:t>
      </w:r>
      <w:r w:rsidRPr="00CE0885">
        <w:rPr>
          <w:lang w:eastAsia="en-GB"/>
        </w:rPr>
        <w:t>, the contract shall be treated as made with the partnership as it is from time to time constituted.</w:t>
      </w:r>
      <w:bookmarkEnd w:id="1452"/>
    </w:p>
    <w:p w14:paraId="179561BA" w14:textId="77777777" w:rsidR="00867DFB" w:rsidRPr="00CE0885" w:rsidRDefault="00867DFB" w:rsidP="00EF04D7">
      <w:pPr>
        <w:pStyle w:val="Heading3"/>
        <w:rPr>
          <w:lang w:eastAsia="en-GB"/>
        </w:rPr>
      </w:pPr>
      <w:bookmarkStart w:id="1453" w:name="_Toc440982808"/>
      <w:r w:rsidRPr="00CE0885">
        <w:rPr>
          <w:lang w:eastAsia="en-GB"/>
        </w:rPr>
        <w:t>The default position in partnership law is that every partnership is dissolved as regards all the partners by the death of any partner. The partners can, however, change this position and agree between themselves that the partnership will not dissolve on the death of any partner. It is likely that most partnerships will have dealt with this issue in their partnership deed to avoid termination of their contract.</w:t>
      </w:r>
      <w:bookmarkEnd w:id="1453"/>
    </w:p>
    <w:p w14:paraId="58D2EDF1" w14:textId="77777777" w:rsidR="00867DFB" w:rsidRPr="00CE0885" w:rsidRDefault="00867DFB" w:rsidP="00EF04D7">
      <w:pPr>
        <w:pStyle w:val="Heading3"/>
        <w:rPr>
          <w:lang w:eastAsia="en-GB"/>
        </w:rPr>
      </w:pPr>
      <w:bookmarkStart w:id="1454" w:name="_Toc440982809"/>
      <w:r w:rsidRPr="00CE0885">
        <w:rPr>
          <w:lang w:eastAsia="en-GB"/>
        </w:rPr>
        <w:t>The GMS Regulations require GMS contracts to contain specific provisions relating to the dissolution of partnerships.</w:t>
      </w:r>
      <w:bookmarkEnd w:id="1454"/>
      <w:r w:rsidRPr="00CE0885">
        <w:rPr>
          <w:lang w:eastAsia="en-GB"/>
        </w:rPr>
        <w:t xml:space="preserve"> </w:t>
      </w:r>
    </w:p>
    <w:p w14:paraId="2EFF1A6E" w14:textId="77777777" w:rsidR="00867DFB" w:rsidRPr="00CE0885" w:rsidRDefault="00867DFB" w:rsidP="00EF04D7">
      <w:pPr>
        <w:pStyle w:val="Heading3"/>
        <w:rPr>
          <w:lang w:eastAsia="en-GB"/>
        </w:rPr>
      </w:pPr>
      <w:bookmarkStart w:id="1455" w:name="_Toc440982810"/>
      <w:r w:rsidRPr="00CE0885">
        <w:rPr>
          <w:lang w:eastAsia="en-GB"/>
        </w:rPr>
        <w:t>Where a partner dies, the GMS Regulations distinguish between GMS contracts that are entered into with a contractor that consists of only two individuals practising in partnership and those GMS contracts where the contractor consists of more than two individuals.</w:t>
      </w:r>
      <w:bookmarkEnd w:id="1455"/>
      <w:r w:rsidRPr="00CE0885">
        <w:rPr>
          <w:lang w:eastAsia="en-GB"/>
        </w:rPr>
        <w:t xml:space="preserve"> </w:t>
      </w:r>
    </w:p>
    <w:p w14:paraId="0BA5CCAC" w14:textId="77777777" w:rsidR="00867DFB" w:rsidRPr="00F466C6" w:rsidRDefault="00867DFB" w:rsidP="00F466C6">
      <w:pPr>
        <w:pStyle w:val="BodyText"/>
        <w:rPr>
          <w:b/>
          <w:sz w:val="24"/>
          <w:szCs w:val="24"/>
        </w:rPr>
      </w:pPr>
      <w:r w:rsidRPr="00CE0885">
        <w:br/>
      </w:r>
      <w:bookmarkStart w:id="1456" w:name="_Toc440982811"/>
      <w:r w:rsidRPr="00F466C6">
        <w:rPr>
          <w:b/>
          <w:sz w:val="24"/>
          <w:szCs w:val="24"/>
        </w:rPr>
        <w:t>Two individuals practising in partnership - GMS Contract</w:t>
      </w:r>
      <w:bookmarkEnd w:id="1456"/>
      <w:r w:rsidRPr="00F466C6">
        <w:rPr>
          <w:b/>
          <w:sz w:val="24"/>
          <w:szCs w:val="24"/>
        </w:rPr>
        <w:t xml:space="preserve"> </w:t>
      </w:r>
    </w:p>
    <w:p w14:paraId="72A9ACBC" w14:textId="77777777" w:rsidR="00867DFB" w:rsidRPr="00CE0885" w:rsidRDefault="00867DFB" w:rsidP="00EF04D7">
      <w:pPr>
        <w:pStyle w:val="Heading3"/>
        <w:rPr>
          <w:lang w:eastAsia="en-GB"/>
        </w:rPr>
      </w:pPr>
      <w:bookmarkStart w:id="1457" w:name="_Toc440982812"/>
      <w:r w:rsidRPr="00CE0885">
        <w:rPr>
          <w:lang w:eastAsia="en-GB"/>
        </w:rPr>
        <w:t xml:space="preserve">Where the contractor consists of two individuals practising in partnership and the partnership is dissolved or </w:t>
      </w:r>
      <w:r w:rsidRPr="00CE0885">
        <w:rPr>
          <w:spacing w:val="7"/>
          <w:lang w:eastAsia="en-GB"/>
        </w:rPr>
        <w:t>terminated</w:t>
      </w:r>
      <w:r w:rsidRPr="00CE0885">
        <w:rPr>
          <w:lang w:eastAsia="en-GB"/>
        </w:rPr>
        <w:t xml:space="preserve"> due to the death of one of the partners, </w:t>
      </w:r>
      <w:r w:rsidRPr="00CE0885">
        <w:rPr>
          <w:spacing w:val="2"/>
          <w:lang w:eastAsia="en-GB"/>
        </w:rPr>
        <w:t>t</w:t>
      </w:r>
      <w:r w:rsidRPr="00CE0885">
        <w:rPr>
          <w:spacing w:val="-3"/>
          <w:lang w:eastAsia="en-GB"/>
        </w:rPr>
        <w:t>h</w:t>
      </w:r>
      <w:r w:rsidRPr="00CE0885">
        <w:rPr>
          <w:lang w:eastAsia="en-GB"/>
        </w:rPr>
        <w:t>e</w:t>
      </w:r>
      <w:r w:rsidRPr="00CE0885">
        <w:rPr>
          <w:spacing w:val="4"/>
          <w:lang w:eastAsia="en-GB"/>
        </w:rPr>
        <w:t xml:space="preserve"> </w:t>
      </w:r>
      <w:r w:rsidRPr="00CE0885">
        <w:rPr>
          <w:spacing w:val="-2"/>
          <w:lang w:eastAsia="en-GB"/>
        </w:rPr>
        <w:t>s</w:t>
      </w:r>
      <w:r w:rsidRPr="00CE0885">
        <w:rPr>
          <w:spacing w:val="2"/>
          <w:lang w:eastAsia="en-GB"/>
        </w:rPr>
        <w:t>u</w:t>
      </w:r>
      <w:r w:rsidRPr="00CE0885">
        <w:rPr>
          <w:spacing w:val="-1"/>
          <w:lang w:eastAsia="en-GB"/>
        </w:rPr>
        <w:t>r</w:t>
      </w:r>
      <w:r w:rsidRPr="00CE0885">
        <w:rPr>
          <w:spacing w:val="1"/>
          <w:lang w:eastAsia="en-GB"/>
        </w:rPr>
        <w:t>vivi</w:t>
      </w:r>
      <w:r w:rsidRPr="00CE0885">
        <w:rPr>
          <w:lang w:eastAsia="en-GB"/>
        </w:rPr>
        <w:t>ng</w:t>
      </w:r>
      <w:r w:rsidRPr="00CE0885">
        <w:rPr>
          <w:spacing w:val="10"/>
          <w:lang w:eastAsia="en-GB"/>
        </w:rPr>
        <w:t xml:space="preserve"> </w:t>
      </w:r>
      <w:r w:rsidRPr="00CE0885">
        <w:rPr>
          <w:spacing w:val="-3"/>
          <w:lang w:eastAsia="en-GB"/>
        </w:rPr>
        <w:t>p</w:t>
      </w:r>
      <w:r w:rsidRPr="00CE0885">
        <w:rPr>
          <w:spacing w:val="2"/>
          <w:lang w:eastAsia="en-GB"/>
        </w:rPr>
        <w:t>a</w:t>
      </w:r>
      <w:r w:rsidRPr="00CE0885">
        <w:rPr>
          <w:spacing w:val="-1"/>
          <w:lang w:eastAsia="en-GB"/>
        </w:rPr>
        <w:t>r</w:t>
      </w:r>
      <w:r w:rsidRPr="00CE0885">
        <w:rPr>
          <w:lang w:eastAsia="en-GB"/>
        </w:rPr>
        <w:t>tne</w:t>
      </w:r>
      <w:r w:rsidRPr="00CE0885">
        <w:rPr>
          <w:spacing w:val="-1"/>
          <w:lang w:eastAsia="en-GB"/>
        </w:rPr>
        <w:t>r</w:t>
      </w:r>
      <w:r w:rsidRPr="00CE0885">
        <w:rPr>
          <w:spacing w:val="12"/>
          <w:lang w:eastAsia="en-GB"/>
        </w:rPr>
        <w:t xml:space="preserve"> </w:t>
      </w:r>
      <w:r w:rsidRPr="00CE0885">
        <w:rPr>
          <w:spacing w:val="1"/>
          <w:lang w:eastAsia="en-GB"/>
        </w:rPr>
        <w:t xml:space="preserve">must </w:t>
      </w:r>
      <w:r w:rsidRPr="00CE0885">
        <w:rPr>
          <w:lang w:eastAsia="en-GB"/>
        </w:rPr>
        <w:t>not</w:t>
      </w:r>
      <w:r w:rsidRPr="00CE0885">
        <w:rPr>
          <w:spacing w:val="1"/>
          <w:lang w:eastAsia="en-GB"/>
        </w:rPr>
        <w:t>i</w:t>
      </w:r>
      <w:r w:rsidRPr="00CE0885">
        <w:rPr>
          <w:lang w:eastAsia="en-GB"/>
        </w:rPr>
        <w:t>fy</w:t>
      </w:r>
      <w:r w:rsidRPr="00CE0885">
        <w:rPr>
          <w:spacing w:val="4"/>
          <w:lang w:eastAsia="en-GB"/>
        </w:rPr>
        <w:t xml:space="preserve"> </w:t>
      </w:r>
      <w:r w:rsidRPr="00CE0885">
        <w:rPr>
          <w:w w:val="101"/>
          <w:lang w:eastAsia="en-GB"/>
        </w:rPr>
        <w:t>t</w:t>
      </w:r>
      <w:r w:rsidRPr="00CE0885">
        <w:rPr>
          <w:spacing w:val="2"/>
          <w:w w:val="101"/>
          <w:lang w:eastAsia="en-GB"/>
        </w:rPr>
        <w:t>h</w:t>
      </w:r>
      <w:r w:rsidRPr="00CE0885">
        <w:rPr>
          <w:w w:val="101"/>
          <w:lang w:eastAsia="en-GB"/>
        </w:rPr>
        <w:t xml:space="preserve">e </w:t>
      </w:r>
      <w:r w:rsidRPr="00CE0885">
        <w:rPr>
          <w:lang w:eastAsia="en-GB"/>
        </w:rPr>
        <w:t>Commissioner</w:t>
      </w:r>
      <w:r w:rsidRPr="00CE0885">
        <w:rPr>
          <w:spacing w:val="3"/>
          <w:lang w:eastAsia="en-GB"/>
        </w:rPr>
        <w:t xml:space="preserve"> i</w:t>
      </w:r>
      <w:r w:rsidRPr="00CE0885">
        <w:rPr>
          <w:lang w:eastAsia="en-GB"/>
        </w:rPr>
        <w:t>n</w:t>
      </w:r>
      <w:r w:rsidRPr="00CE0885">
        <w:rPr>
          <w:spacing w:val="3"/>
          <w:lang w:eastAsia="en-GB"/>
        </w:rPr>
        <w:t xml:space="preserve"> </w:t>
      </w:r>
      <w:r w:rsidRPr="00CE0885">
        <w:rPr>
          <w:spacing w:val="-3"/>
          <w:lang w:eastAsia="en-GB"/>
        </w:rPr>
        <w:t>w</w:t>
      </w:r>
      <w:r w:rsidRPr="00CE0885">
        <w:rPr>
          <w:spacing w:val="-1"/>
          <w:lang w:eastAsia="en-GB"/>
        </w:rPr>
        <w:t>r</w:t>
      </w:r>
      <w:r w:rsidRPr="00CE0885">
        <w:rPr>
          <w:spacing w:val="1"/>
          <w:lang w:eastAsia="en-GB"/>
        </w:rPr>
        <w:t>i</w:t>
      </w:r>
      <w:r w:rsidRPr="00CE0885">
        <w:rPr>
          <w:lang w:eastAsia="en-GB"/>
        </w:rPr>
        <w:t>t</w:t>
      </w:r>
      <w:r w:rsidRPr="00CE0885">
        <w:rPr>
          <w:spacing w:val="3"/>
          <w:lang w:eastAsia="en-GB"/>
        </w:rPr>
        <w:t>i</w:t>
      </w:r>
      <w:r w:rsidRPr="00CE0885">
        <w:rPr>
          <w:spacing w:val="-3"/>
          <w:lang w:eastAsia="en-GB"/>
        </w:rPr>
        <w:t>n</w:t>
      </w:r>
      <w:r w:rsidRPr="00CE0885">
        <w:rPr>
          <w:lang w:eastAsia="en-GB"/>
        </w:rPr>
        <w:t>g</w:t>
      </w:r>
      <w:r w:rsidRPr="00CE0885">
        <w:rPr>
          <w:spacing w:val="8"/>
          <w:lang w:eastAsia="en-GB"/>
        </w:rPr>
        <w:t xml:space="preserve"> </w:t>
      </w:r>
      <w:r w:rsidRPr="00CE0885">
        <w:rPr>
          <w:lang w:eastAsia="en-GB"/>
        </w:rPr>
        <w:t>as</w:t>
      </w:r>
      <w:r w:rsidRPr="00CE0885">
        <w:rPr>
          <w:spacing w:val="4"/>
          <w:lang w:eastAsia="en-GB"/>
        </w:rPr>
        <w:t xml:space="preserve"> </w:t>
      </w:r>
      <w:r w:rsidRPr="00CE0885">
        <w:rPr>
          <w:spacing w:val="-2"/>
          <w:lang w:eastAsia="en-GB"/>
        </w:rPr>
        <w:t>s</w:t>
      </w:r>
      <w:r w:rsidRPr="00CE0885">
        <w:rPr>
          <w:spacing w:val="2"/>
          <w:lang w:eastAsia="en-GB"/>
        </w:rPr>
        <w:t>o</w:t>
      </w:r>
      <w:r w:rsidRPr="00CE0885">
        <w:rPr>
          <w:spacing w:val="-3"/>
          <w:lang w:eastAsia="en-GB"/>
        </w:rPr>
        <w:t>o</w:t>
      </w:r>
      <w:r w:rsidRPr="00CE0885">
        <w:rPr>
          <w:lang w:eastAsia="en-GB"/>
        </w:rPr>
        <w:t>n</w:t>
      </w:r>
      <w:r w:rsidRPr="00CE0885">
        <w:rPr>
          <w:spacing w:val="8"/>
          <w:lang w:eastAsia="en-GB"/>
        </w:rPr>
        <w:t xml:space="preserve"> </w:t>
      </w:r>
      <w:r w:rsidRPr="00CE0885">
        <w:rPr>
          <w:spacing w:val="2"/>
          <w:lang w:eastAsia="en-GB"/>
        </w:rPr>
        <w:t>a</w:t>
      </w:r>
      <w:r w:rsidRPr="00CE0885">
        <w:rPr>
          <w:lang w:eastAsia="en-GB"/>
        </w:rPr>
        <w:t>s</w:t>
      </w:r>
      <w:r w:rsidRPr="00CE0885">
        <w:rPr>
          <w:spacing w:val="1"/>
          <w:lang w:eastAsia="en-GB"/>
        </w:rPr>
        <w:t xml:space="preserve"> is r</w:t>
      </w:r>
      <w:r w:rsidRPr="00CE0885">
        <w:rPr>
          <w:spacing w:val="-3"/>
          <w:lang w:eastAsia="en-GB"/>
        </w:rPr>
        <w:t>e</w:t>
      </w:r>
      <w:r w:rsidRPr="00CE0885">
        <w:rPr>
          <w:lang w:eastAsia="en-GB"/>
        </w:rPr>
        <w:t>a</w:t>
      </w:r>
      <w:r w:rsidRPr="00CE0885">
        <w:rPr>
          <w:spacing w:val="1"/>
          <w:lang w:eastAsia="en-GB"/>
        </w:rPr>
        <w:t>s</w:t>
      </w:r>
      <w:r w:rsidRPr="00CE0885">
        <w:rPr>
          <w:spacing w:val="2"/>
          <w:lang w:eastAsia="en-GB"/>
        </w:rPr>
        <w:t>o</w:t>
      </w:r>
      <w:r w:rsidRPr="00CE0885">
        <w:rPr>
          <w:spacing w:val="-3"/>
          <w:lang w:eastAsia="en-GB"/>
        </w:rPr>
        <w:t>n</w:t>
      </w:r>
      <w:r w:rsidRPr="00CE0885">
        <w:rPr>
          <w:spacing w:val="2"/>
          <w:lang w:eastAsia="en-GB"/>
        </w:rPr>
        <w:t>a</w:t>
      </w:r>
      <w:r w:rsidRPr="00CE0885">
        <w:rPr>
          <w:spacing w:val="-3"/>
          <w:lang w:eastAsia="en-GB"/>
        </w:rPr>
        <w:t>b</w:t>
      </w:r>
      <w:r w:rsidRPr="00CE0885">
        <w:rPr>
          <w:spacing w:val="6"/>
          <w:lang w:eastAsia="en-GB"/>
        </w:rPr>
        <w:t>l</w:t>
      </w:r>
      <w:r w:rsidRPr="00CE0885">
        <w:rPr>
          <w:lang w:eastAsia="en-GB"/>
        </w:rPr>
        <w:t>y</w:t>
      </w:r>
      <w:r w:rsidRPr="00CE0885">
        <w:rPr>
          <w:spacing w:val="8"/>
          <w:lang w:eastAsia="en-GB"/>
        </w:rPr>
        <w:t xml:space="preserve"> </w:t>
      </w:r>
      <w:r w:rsidRPr="00CE0885">
        <w:rPr>
          <w:lang w:eastAsia="en-GB"/>
        </w:rPr>
        <w:t>p</w:t>
      </w:r>
      <w:r w:rsidRPr="00CE0885">
        <w:rPr>
          <w:spacing w:val="-1"/>
          <w:lang w:eastAsia="en-GB"/>
        </w:rPr>
        <w:t>r</w:t>
      </w:r>
      <w:r w:rsidRPr="00CE0885">
        <w:rPr>
          <w:lang w:eastAsia="en-GB"/>
        </w:rPr>
        <w:t>a</w:t>
      </w:r>
      <w:r w:rsidRPr="00CE0885">
        <w:rPr>
          <w:spacing w:val="1"/>
          <w:lang w:eastAsia="en-GB"/>
        </w:rPr>
        <w:t>c</w:t>
      </w:r>
      <w:r w:rsidRPr="00CE0885">
        <w:rPr>
          <w:lang w:eastAsia="en-GB"/>
        </w:rPr>
        <w:t>t</w:t>
      </w:r>
      <w:r w:rsidRPr="00CE0885">
        <w:rPr>
          <w:spacing w:val="1"/>
          <w:lang w:eastAsia="en-GB"/>
        </w:rPr>
        <w:t>ic</w:t>
      </w:r>
      <w:r w:rsidRPr="00CE0885">
        <w:rPr>
          <w:lang w:eastAsia="en-GB"/>
        </w:rPr>
        <w:t>ab</w:t>
      </w:r>
      <w:r w:rsidRPr="00CE0885">
        <w:rPr>
          <w:spacing w:val="1"/>
          <w:lang w:eastAsia="en-GB"/>
        </w:rPr>
        <w:t>l</w:t>
      </w:r>
      <w:r w:rsidRPr="00CE0885">
        <w:rPr>
          <w:lang w:eastAsia="en-GB"/>
        </w:rPr>
        <w:t>e</w:t>
      </w:r>
      <w:r w:rsidRPr="00CE0885">
        <w:rPr>
          <w:spacing w:val="12"/>
          <w:lang w:eastAsia="en-GB"/>
        </w:rPr>
        <w:t xml:space="preserve"> </w:t>
      </w:r>
      <w:r w:rsidRPr="00CE0885">
        <w:rPr>
          <w:lang w:eastAsia="en-GB"/>
        </w:rPr>
        <w:t>of</w:t>
      </w:r>
      <w:r w:rsidRPr="00CE0885">
        <w:rPr>
          <w:spacing w:val="5"/>
          <w:lang w:eastAsia="en-GB"/>
        </w:rPr>
        <w:t xml:space="preserve"> </w:t>
      </w:r>
      <w:r w:rsidRPr="00CE0885">
        <w:rPr>
          <w:lang w:eastAsia="en-GB"/>
        </w:rPr>
        <w:t>the</w:t>
      </w:r>
      <w:r w:rsidRPr="00CE0885">
        <w:rPr>
          <w:spacing w:val="4"/>
          <w:lang w:eastAsia="en-GB"/>
        </w:rPr>
        <w:t xml:space="preserve"> </w:t>
      </w:r>
      <w:r w:rsidRPr="00CE0885">
        <w:rPr>
          <w:lang w:eastAsia="en-GB"/>
        </w:rPr>
        <w:t>de</w:t>
      </w:r>
      <w:r w:rsidRPr="00CE0885">
        <w:rPr>
          <w:spacing w:val="-3"/>
          <w:lang w:eastAsia="en-GB"/>
        </w:rPr>
        <w:t>a</w:t>
      </w:r>
      <w:r w:rsidRPr="00CE0885">
        <w:rPr>
          <w:spacing w:val="2"/>
          <w:lang w:eastAsia="en-GB"/>
        </w:rPr>
        <w:t>t</w:t>
      </w:r>
      <w:r w:rsidRPr="00CE0885">
        <w:rPr>
          <w:lang w:eastAsia="en-GB"/>
        </w:rPr>
        <w:t>h</w:t>
      </w:r>
      <w:r w:rsidRPr="00CE0885">
        <w:rPr>
          <w:spacing w:val="7"/>
          <w:lang w:eastAsia="en-GB"/>
        </w:rPr>
        <w:t xml:space="preserve"> </w:t>
      </w:r>
      <w:r w:rsidRPr="00CE0885">
        <w:rPr>
          <w:lang w:eastAsia="en-GB"/>
        </w:rPr>
        <w:t>of</w:t>
      </w:r>
      <w:r w:rsidRPr="00CE0885">
        <w:rPr>
          <w:spacing w:val="5"/>
          <w:lang w:eastAsia="en-GB"/>
        </w:rPr>
        <w:t xml:space="preserve"> </w:t>
      </w:r>
      <w:r w:rsidRPr="00CE0885">
        <w:rPr>
          <w:w w:val="101"/>
          <w:lang w:eastAsia="en-GB"/>
        </w:rPr>
        <w:t>the</w:t>
      </w:r>
      <w:r w:rsidRPr="00CE0885">
        <w:rPr>
          <w:spacing w:val="1"/>
          <w:w w:val="101"/>
          <w:lang w:eastAsia="en-GB"/>
        </w:rPr>
        <w:t>i</w:t>
      </w:r>
      <w:r w:rsidRPr="00CE0885">
        <w:rPr>
          <w:w w:val="101"/>
          <w:lang w:eastAsia="en-GB"/>
        </w:rPr>
        <w:t xml:space="preserve">r </w:t>
      </w:r>
      <w:r w:rsidRPr="00CE0885">
        <w:rPr>
          <w:spacing w:val="-3"/>
          <w:w w:val="101"/>
          <w:lang w:eastAsia="en-GB"/>
        </w:rPr>
        <w:t>p</w:t>
      </w:r>
      <w:r w:rsidRPr="00CE0885">
        <w:rPr>
          <w:spacing w:val="2"/>
          <w:w w:val="101"/>
          <w:lang w:eastAsia="en-GB"/>
        </w:rPr>
        <w:t>a</w:t>
      </w:r>
      <w:r w:rsidRPr="00CE0885">
        <w:rPr>
          <w:spacing w:val="-1"/>
          <w:w w:val="101"/>
          <w:lang w:eastAsia="en-GB"/>
        </w:rPr>
        <w:t>r</w:t>
      </w:r>
      <w:r w:rsidRPr="00CE0885">
        <w:rPr>
          <w:w w:val="101"/>
          <w:lang w:eastAsia="en-GB"/>
        </w:rPr>
        <w:t>tne</w:t>
      </w:r>
      <w:r w:rsidRPr="00CE0885">
        <w:rPr>
          <w:spacing w:val="-1"/>
          <w:w w:val="101"/>
          <w:lang w:eastAsia="en-GB"/>
        </w:rPr>
        <w:t>r</w:t>
      </w:r>
      <w:r w:rsidRPr="00CE0885">
        <w:rPr>
          <w:w w:val="101"/>
          <w:lang w:eastAsia="en-GB"/>
        </w:rPr>
        <w:t>.</w:t>
      </w:r>
      <w:bookmarkEnd w:id="1457"/>
    </w:p>
    <w:p w14:paraId="7254A8B9" w14:textId="77777777" w:rsidR="00867DFB" w:rsidRPr="00CE0885" w:rsidRDefault="00867DFB" w:rsidP="00EF04D7">
      <w:pPr>
        <w:pStyle w:val="Heading3"/>
        <w:rPr>
          <w:lang w:eastAsia="en-GB"/>
        </w:rPr>
      </w:pPr>
      <w:bookmarkStart w:id="1458" w:name="_Toc440982813"/>
      <w:r w:rsidRPr="00CE0885">
        <w:rPr>
          <w:spacing w:val="7"/>
          <w:lang w:eastAsia="en-GB"/>
        </w:rPr>
        <w:t>Where</w:t>
      </w:r>
      <w:r w:rsidRPr="00CE0885">
        <w:rPr>
          <w:spacing w:val="-1"/>
          <w:lang w:eastAsia="en-GB"/>
        </w:rPr>
        <w:t xml:space="preserve"> the Commissioner receives such a notice, it must acknowledge receipt of the notice in writing.</w:t>
      </w:r>
      <w:bookmarkEnd w:id="1458"/>
    </w:p>
    <w:p w14:paraId="34D9A7EF" w14:textId="77777777" w:rsidR="00867DFB" w:rsidRPr="00CE0885" w:rsidRDefault="00867DFB" w:rsidP="00EF04D7">
      <w:pPr>
        <w:pStyle w:val="Heading3"/>
        <w:rPr>
          <w:spacing w:val="-1"/>
          <w:lang w:eastAsia="en-GB"/>
        </w:rPr>
      </w:pPr>
      <w:bookmarkStart w:id="1459" w:name="_Toc440982814"/>
      <w:r w:rsidRPr="00CE0885">
        <w:rPr>
          <w:spacing w:val="-1"/>
          <w:lang w:eastAsia="en-GB"/>
        </w:rPr>
        <w:t>If the surviving partner is a general medical practitioner, the contract will continue with that individual. The Commissioner may vary the contract but only to the extent that it is satisfied it is necessary to reflect the change in status of the contractor from a partnership to an individual medical practitioner. The Commissioner must notify the contractor in writing of the wording of the proposed variation and the date upon which that variation is to take effect.</w:t>
      </w:r>
      <w:bookmarkEnd w:id="1459"/>
    </w:p>
    <w:p w14:paraId="1D0C56DD" w14:textId="77777777" w:rsidR="00867DFB" w:rsidRPr="00CE0885" w:rsidRDefault="00867DFB" w:rsidP="00EF04D7">
      <w:pPr>
        <w:pStyle w:val="Heading3"/>
        <w:rPr>
          <w:lang w:eastAsia="en-GB"/>
        </w:rPr>
      </w:pPr>
      <w:bookmarkStart w:id="1460" w:name="_Toc440982815"/>
      <w:r w:rsidRPr="00CE0885">
        <w:rPr>
          <w:lang w:eastAsia="en-GB"/>
        </w:rPr>
        <w:t>A template Notification Letter is provided in Annex 2. A variation notice will need to be included with this letter.</w:t>
      </w:r>
      <w:bookmarkEnd w:id="1460"/>
    </w:p>
    <w:p w14:paraId="7D6D2A5B" w14:textId="77777777" w:rsidR="00867DFB" w:rsidRPr="00CE0885" w:rsidRDefault="00867DFB" w:rsidP="00EF04D7">
      <w:pPr>
        <w:pStyle w:val="Heading3"/>
        <w:rPr>
          <w:lang w:eastAsia="en-GB"/>
        </w:rPr>
      </w:pPr>
      <w:bookmarkStart w:id="1461" w:name="_Toc440982816"/>
      <w:r w:rsidRPr="00CE0885">
        <w:rPr>
          <w:spacing w:val="-1"/>
          <w:lang w:eastAsia="en-GB"/>
        </w:rPr>
        <w:t>To provide assurance that the individual is able to meet the contractual obligations, the Commissioner should</w:t>
      </w:r>
      <w:r w:rsidRPr="00CE0885">
        <w:rPr>
          <w:spacing w:val="1"/>
          <w:lang w:eastAsia="en-GB"/>
        </w:rPr>
        <w:t xml:space="preserve"> </w:t>
      </w:r>
      <w:r w:rsidRPr="00CE0885">
        <w:rPr>
          <w:lang w:eastAsia="en-GB"/>
        </w:rPr>
        <w:t>d</w:t>
      </w:r>
      <w:r w:rsidRPr="00CE0885">
        <w:rPr>
          <w:spacing w:val="1"/>
          <w:lang w:eastAsia="en-GB"/>
        </w:rPr>
        <w:t>is</w:t>
      </w:r>
      <w:r w:rsidRPr="00CE0885">
        <w:rPr>
          <w:spacing w:val="-2"/>
          <w:lang w:eastAsia="en-GB"/>
        </w:rPr>
        <w:t>c</w:t>
      </w:r>
      <w:r w:rsidRPr="00CE0885">
        <w:rPr>
          <w:lang w:eastAsia="en-GB"/>
        </w:rPr>
        <w:t>u</w:t>
      </w:r>
      <w:r w:rsidRPr="00CE0885">
        <w:rPr>
          <w:spacing w:val="1"/>
          <w:lang w:eastAsia="en-GB"/>
        </w:rPr>
        <w:t>s</w:t>
      </w:r>
      <w:r w:rsidRPr="00CE0885">
        <w:rPr>
          <w:lang w:eastAsia="en-GB"/>
        </w:rPr>
        <w:t>s</w:t>
      </w:r>
      <w:r w:rsidRPr="00CE0885">
        <w:rPr>
          <w:spacing w:val="10"/>
          <w:lang w:eastAsia="en-GB"/>
        </w:rPr>
        <w:t xml:space="preserve"> with the individual </w:t>
      </w:r>
      <w:r w:rsidRPr="00CE0885">
        <w:rPr>
          <w:spacing w:val="1"/>
          <w:lang w:eastAsia="en-GB"/>
        </w:rPr>
        <w:t>c</w:t>
      </w:r>
      <w:r w:rsidRPr="00CE0885">
        <w:rPr>
          <w:lang w:eastAsia="en-GB"/>
        </w:rPr>
        <w:t>o</w:t>
      </w:r>
      <w:r w:rsidRPr="00CE0885">
        <w:rPr>
          <w:spacing w:val="-3"/>
          <w:lang w:eastAsia="en-GB"/>
        </w:rPr>
        <w:t>n</w:t>
      </w:r>
      <w:r w:rsidRPr="00CE0885">
        <w:rPr>
          <w:spacing w:val="2"/>
          <w:lang w:eastAsia="en-GB"/>
        </w:rPr>
        <w:t>t</w:t>
      </w:r>
      <w:r w:rsidRPr="00CE0885">
        <w:rPr>
          <w:spacing w:val="1"/>
          <w:lang w:eastAsia="en-GB"/>
        </w:rPr>
        <w:t>i</w:t>
      </w:r>
      <w:r w:rsidRPr="00CE0885">
        <w:rPr>
          <w:spacing w:val="-3"/>
          <w:lang w:eastAsia="en-GB"/>
        </w:rPr>
        <w:t>n</w:t>
      </w:r>
      <w:r w:rsidRPr="00CE0885">
        <w:rPr>
          <w:spacing w:val="2"/>
          <w:lang w:eastAsia="en-GB"/>
        </w:rPr>
        <w:t>ue</w:t>
      </w:r>
      <w:r w:rsidRPr="00CE0885">
        <w:rPr>
          <w:lang w:eastAsia="en-GB"/>
        </w:rPr>
        <w:t>d</w:t>
      </w:r>
      <w:r w:rsidRPr="00CE0885">
        <w:rPr>
          <w:spacing w:val="8"/>
          <w:lang w:eastAsia="en-GB"/>
        </w:rPr>
        <w:t xml:space="preserve"> </w:t>
      </w:r>
      <w:r w:rsidRPr="00CE0885">
        <w:rPr>
          <w:spacing w:val="1"/>
          <w:lang w:eastAsia="en-GB"/>
        </w:rPr>
        <w:t>s</w:t>
      </w:r>
      <w:r w:rsidRPr="00CE0885">
        <w:rPr>
          <w:spacing w:val="-3"/>
          <w:lang w:eastAsia="en-GB"/>
        </w:rPr>
        <w:t>e</w:t>
      </w:r>
      <w:r w:rsidRPr="00CE0885">
        <w:rPr>
          <w:spacing w:val="1"/>
          <w:lang w:eastAsia="en-GB"/>
        </w:rPr>
        <w:t>r</w:t>
      </w:r>
      <w:r w:rsidRPr="00CE0885">
        <w:rPr>
          <w:spacing w:val="-2"/>
          <w:lang w:eastAsia="en-GB"/>
        </w:rPr>
        <w:t>v</w:t>
      </w:r>
      <w:r w:rsidRPr="00CE0885">
        <w:rPr>
          <w:spacing w:val="3"/>
          <w:lang w:eastAsia="en-GB"/>
        </w:rPr>
        <w:t>i</w:t>
      </w:r>
      <w:r w:rsidRPr="00CE0885">
        <w:rPr>
          <w:spacing w:val="-2"/>
          <w:lang w:eastAsia="en-GB"/>
        </w:rPr>
        <w:t>c</w:t>
      </w:r>
      <w:r w:rsidRPr="00CE0885">
        <w:rPr>
          <w:lang w:eastAsia="en-GB"/>
        </w:rPr>
        <w:t>e</w:t>
      </w:r>
      <w:r w:rsidRPr="00CE0885">
        <w:rPr>
          <w:spacing w:val="10"/>
          <w:lang w:eastAsia="en-GB"/>
        </w:rPr>
        <w:t xml:space="preserve"> </w:t>
      </w:r>
      <w:r w:rsidRPr="00CE0885">
        <w:rPr>
          <w:lang w:eastAsia="en-GB"/>
        </w:rPr>
        <w:t>d</w:t>
      </w:r>
      <w:r w:rsidRPr="00CE0885">
        <w:rPr>
          <w:spacing w:val="-3"/>
          <w:lang w:eastAsia="en-GB"/>
        </w:rPr>
        <w:t>e</w:t>
      </w:r>
      <w:r w:rsidRPr="00CE0885">
        <w:rPr>
          <w:spacing w:val="3"/>
          <w:lang w:eastAsia="en-GB"/>
        </w:rPr>
        <w:t>l</w:t>
      </w:r>
      <w:r w:rsidRPr="00CE0885">
        <w:rPr>
          <w:spacing w:val="1"/>
          <w:lang w:eastAsia="en-GB"/>
        </w:rPr>
        <w:t>iv</w:t>
      </w:r>
      <w:r w:rsidRPr="00CE0885">
        <w:rPr>
          <w:spacing w:val="-3"/>
          <w:lang w:eastAsia="en-GB"/>
        </w:rPr>
        <w:t>e</w:t>
      </w:r>
      <w:r w:rsidRPr="00CE0885">
        <w:rPr>
          <w:spacing w:val="1"/>
          <w:lang w:eastAsia="en-GB"/>
        </w:rPr>
        <w:t>r</w:t>
      </w:r>
      <w:r w:rsidRPr="00CE0885">
        <w:rPr>
          <w:lang w:eastAsia="en-GB"/>
        </w:rPr>
        <w:t>y</w:t>
      </w:r>
      <w:r w:rsidRPr="00CE0885">
        <w:rPr>
          <w:spacing w:val="7"/>
          <w:lang w:eastAsia="en-GB"/>
        </w:rPr>
        <w:t xml:space="preserve"> </w:t>
      </w:r>
      <w:r w:rsidRPr="00CE0885">
        <w:rPr>
          <w:lang w:eastAsia="en-GB"/>
        </w:rPr>
        <w:t>o</w:t>
      </w:r>
      <w:r w:rsidRPr="00CE0885">
        <w:rPr>
          <w:spacing w:val="-3"/>
          <w:lang w:eastAsia="en-GB"/>
        </w:rPr>
        <w:t>p</w:t>
      </w:r>
      <w:r w:rsidRPr="00CE0885">
        <w:rPr>
          <w:lang w:eastAsia="en-GB"/>
        </w:rPr>
        <w:t>t</w:t>
      </w:r>
      <w:r w:rsidRPr="00CE0885">
        <w:rPr>
          <w:spacing w:val="3"/>
          <w:lang w:eastAsia="en-GB"/>
        </w:rPr>
        <w:t>i</w:t>
      </w:r>
      <w:r w:rsidRPr="00CE0885">
        <w:rPr>
          <w:lang w:eastAsia="en-GB"/>
        </w:rPr>
        <w:t>ons</w:t>
      </w:r>
      <w:r w:rsidRPr="00CE0885">
        <w:rPr>
          <w:spacing w:val="9"/>
          <w:lang w:eastAsia="en-GB"/>
        </w:rPr>
        <w:t xml:space="preserve"> </w:t>
      </w:r>
      <w:r w:rsidRPr="00CE0885">
        <w:rPr>
          <w:lang w:eastAsia="en-GB"/>
        </w:rPr>
        <w:t>b</w:t>
      </w:r>
      <w:r w:rsidRPr="00CE0885">
        <w:rPr>
          <w:spacing w:val="2"/>
          <w:lang w:eastAsia="en-GB"/>
        </w:rPr>
        <w:t>e</w:t>
      </w:r>
      <w:r w:rsidRPr="00CE0885">
        <w:rPr>
          <w:spacing w:val="-3"/>
          <w:lang w:eastAsia="en-GB"/>
        </w:rPr>
        <w:t>a</w:t>
      </w:r>
      <w:r w:rsidRPr="00CE0885">
        <w:rPr>
          <w:lang w:eastAsia="en-GB"/>
        </w:rPr>
        <w:t>ring</w:t>
      </w:r>
      <w:r w:rsidRPr="00CE0885">
        <w:rPr>
          <w:spacing w:val="5"/>
          <w:lang w:eastAsia="en-GB"/>
        </w:rPr>
        <w:t xml:space="preserve"> </w:t>
      </w:r>
      <w:r w:rsidRPr="00CE0885">
        <w:rPr>
          <w:spacing w:val="3"/>
          <w:lang w:eastAsia="en-GB"/>
        </w:rPr>
        <w:t>i</w:t>
      </w:r>
      <w:r w:rsidRPr="00CE0885">
        <w:rPr>
          <w:lang w:eastAsia="en-GB"/>
        </w:rPr>
        <w:t>n</w:t>
      </w:r>
      <w:r w:rsidRPr="00CE0885">
        <w:rPr>
          <w:spacing w:val="5"/>
          <w:lang w:eastAsia="en-GB"/>
        </w:rPr>
        <w:t xml:space="preserve"> </w:t>
      </w:r>
      <w:r w:rsidRPr="00CE0885">
        <w:rPr>
          <w:w w:val="101"/>
          <w:lang w:eastAsia="en-GB"/>
        </w:rPr>
        <w:t>m</w:t>
      </w:r>
      <w:r w:rsidRPr="00CE0885">
        <w:rPr>
          <w:spacing w:val="3"/>
          <w:w w:val="101"/>
          <w:lang w:eastAsia="en-GB"/>
        </w:rPr>
        <w:t>i</w:t>
      </w:r>
      <w:r w:rsidRPr="00CE0885">
        <w:rPr>
          <w:spacing w:val="-3"/>
          <w:w w:val="101"/>
          <w:lang w:eastAsia="en-GB"/>
        </w:rPr>
        <w:t>n</w:t>
      </w:r>
      <w:r w:rsidRPr="00CE0885">
        <w:rPr>
          <w:w w:val="101"/>
          <w:lang w:eastAsia="en-GB"/>
        </w:rPr>
        <w:t xml:space="preserve">d </w:t>
      </w:r>
      <w:r w:rsidRPr="00CE0885">
        <w:rPr>
          <w:lang w:eastAsia="en-GB"/>
        </w:rPr>
        <w:t>t</w:t>
      </w:r>
      <w:r w:rsidRPr="00CE0885">
        <w:rPr>
          <w:spacing w:val="-3"/>
          <w:lang w:eastAsia="en-GB"/>
        </w:rPr>
        <w:t>h</w:t>
      </w:r>
      <w:r w:rsidRPr="00CE0885">
        <w:rPr>
          <w:lang w:eastAsia="en-GB"/>
        </w:rPr>
        <w:t>e</w:t>
      </w:r>
      <w:r w:rsidRPr="00CE0885">
        <w:rPr>
          <w:spacing w:val="4"/>
          <w:lang w:eastAsia="en-GB"/>
        </w:rPr>
        <w:t xml:space="preserve"> </w:t>
      </w:r>
      <w:r w:rsidRPr="00CE0885">
        <w:rPr>
          <w:spacing w:val="1"/>
          <w:lang w:eastAsia="en-GB"/>
        </w:rPr>
        <w:t>siz</w:t>
      </w:r>
      <w:r w:rsidRPr="00CE0885">
        <w:rPr>
          <w:lang w:eastAsia="en-GB"/>
        </w:rPr>
        <w:t>e</w:t>
      </w:r>
      <w:r w:rsidRPr="00CE0885">
        <w:rPr>
          <w:spacing w:val="5"/>
          <w:lang w:eastAsia="en-GB"/>
        </w:rPr>
        <w:t xml:space="preserve"> </w:t>
      </w:r>
      <w:r w:rsidRPr="00CE0885">
        <w:rPr>
          <w:spacing w:val="-3"/>
          <w:lang w:eastAsia="en-GB"/>
        </w:rPr>
        <w:t>o</w:t>
      </w:r>
      <w:r w:rsidRPr="00CE0885">
        <w:rPr>
          <w:lang w:eastAsia="en-GB"/>
        </w:rPr>
        <w:t>f</w:t>
      </w:r>
      <w:r w:rsidRPr="00CE0885">
        <w:rPr>
          <w:spacing w:val="8"/>
          <w:lang w:eastAsia="en-GB"/>
        </w:rPr>
        <w:t xml:space="preserve"> </w:t>
      </w:r>
      <w:r w:rsidRPr="00CE0885">
        <w:rPr>
          <w:lang w:eastAsia="en-GB"/>
        </w:rPr>
        <w:t>t</w:t>
      </w:r>
      <w:r w:rsidRPr="00CE0885">
        <w:rPr>
          <w:spacing w:val="-3"/>
          <w:lang w:eastAsia="en-GB"/>
        </w:rPr>
        <w:t>h</w:t>
      </w:r>
      <w:r w:rsidRPr="00CE0885">
        <w:rPr>
          <w:lang w:eastAsia="en-GB"/>
        </w:rPr>
        <w:t>e</w:t>
      </w:r>
      <w:r w:rsidRPr="00CE0885">
        <w:rPr>
          <w:spacing w:val="4"/>
          <w:lang w:eastAsia="en-GB"/>
        </w:rPr>
        <w:t xml:space="preserve"> </w:t>
      </w:r>
      <w:r w:rsidRPr="00CE0885">
        <w:rPr>
          <w:lang w:eastAsia="en-GB"/>
        </w:rPr>
        <w:t>p</w:t>
      </w:r>
      <w:r w:rsidRPr="00CE0885">
        <w:rPr>
          <w:spacing w:val="1"/>
          <w:lang w:eastAsia="en-GB"/>
        </w:rPr>
        <w:t>r</w:t>
      </w:r>
      <w:r w:rsidRPr="00CE0885">
        <w:rPr>
          <w:spacing w:val="-3"/>
          <w:lang w:eastAsia="en-GB"/>
        </w:rPr>
        <w:t>a</w:t>
      </w:r>
      <w:r w:rsidRPr="00CE0885">
        <w:rPr>
          <w:spacing w:val="1"/>
          <w:lang w:eastAsia="en-GB"/>
        </w:rPr>
        <w:t>c</w:t>
      </w:r>
      <w:r w:rsidRPr="00CE0885">
        <w:rPr>
          <w:lang w:eastAsia="en-GB"/>
        </w:rPr>
        <w:t>t</w:t>
      </w:r>
      <w:r w:rsidRPr="00CE0885">
        <w:rPr>
          <w:spacing w:val="3"/>
          <w:lang w:eastAsia="en-GB"/>
        </w:rPr>
        <w:t>i</w:t>
      </w:r>
      <w:r w:rsidRPr="00CE0885">
        <w:rPr>
          <w:spacing w:val="-2"/>
          <w:lang w:eastAsia="en-GB"/>
        </w:rPr>
        <w:t>c</w:t>
      </w:r>
      <w:r w:rsidRPr="00CE0885">
        <w:rPr>
          <w:lang w:eastAsia="en-GB"/>
        </w:rPr>
        <w:t>e</w:t>
      </w:r>
      <w:r w:rsidRPr="00CE0885">
        <w:rPr>
          <w:spacing w:val="11"/>
          <w:lang w:eastAsia="en-GB"/>
        </w:rPr>
        <w:t xml:space="preserve">, </w:t>
      </w:r>
      <w:r w:rsidRPr="00CE0885">
        <w:rPr>
          <w:lang w:eastAsia="en-GB"/>
        </w:rPr>
        <w:t>the</w:t>
      </w:r>
      <w:r w:rsidRPr="00CE0885">
        <w:rPr>
          <w:spacing w:val="4"/>
          <w:lang w:eastAsia="en-GB"/>
        </w:rPr>
        <w:t xml:space="preserve"> </w:t>
      </w:r>
      <w:r w:rsidRPr="00CE0885">
        <w:rPr>
          <w:spacing w:val="1"/>
          <w:lang w:eastAsia="en-GB"/>
        </w:rPr>
        <w:t>r</w:t>
      </w:r>
      <w:r w:rsidRPr="00CE0885">
        <w:rPr>
          <w:lang w:eastAsia="en-GB"/>
        </w:rPr>
        <w:t>ange</w:t>
      </w:r>
      <w:r w:rsidRPr="00CE0885">
        <w:rPr>
          <w:spacing w:val="7"/>
          <w:lang w:eastAsia="en-GB"/>
        </w:rPr>
        <w:t xml:space="preserve"> </w:t>
      </w:r>
      <w:r w:rsidRPr="00CE0885">
        <w:rPr>
          <w:spacing w:val="-3"/>
          <w:lang w:eastAsia="en-GB"/>
        </w:rPr>
        <w:t>o</w:t>
      </w:r>
      <w:r w:rsidRPr="00CE0885">
        <w:rPr>
          <w:lang w:eastAsia="en-GB"/>
        </w:rPr>
        <w:t>f</w:t>
      </w:r>
      <w:r w:rsidRPr="00CE0885">
        <w:rPr>
          <w:spacing w:val="8"/>
          <w:lang w:eastAsia="en-GB"/>
        </w:rPr>
        <w:t xml:space="preserve"> </w:t>
      </w:r>
      <w:r w:rsidRPr="00CE0885">
        <w:rPr>
          <w:spacing w:val="1"/>
          <w:lang w:eastAsia="en-GB"/>
        </w:rPr>
        <w:t>s</w:t>
      </w:r>
      <w:r w:rsidRPr="00CE0885">
        <w:rPr>
          <w:spacing w:val="-3"/>
          <w:lang w:eastAsia="en-GB"/>
        </w:rPr>
        <w:t>e</w:t>
      </w:r>
      <w:r w:rsidRPr="00CE0885">
        <w:rPr>
          <w:spacing w:val="-1"/>
          <w:lang w:eastAsia="en-GB"/>
        </w:rPr>
        <w:t>r</w:t>
      </w:r>
      <w:r w:rsidRPr="00CE0885">
        <w:rPr>
          <w:spacing w:val="1"/>
          <w:lang w:eastAsia="en-GB"/>
        </w:rPr>
        <w:t>vic</w:t>
      </w:r>
      <w:r w:rsidRPr="00CE0885">
        <w:rPr>
          <w:lang w:eastAsia="en-GB"/>
        </w:rPr>
        <w:t>es</w:t>
      </w:r>
      <w:r w:rsidRPr="00CE0885">
        <w:rPr>
          <w:spacing w:val="7"/>
          <w:lang w:eastAsia="en-GB"/>
        </w:rPr>
        <w:t xml:space="preserve"> </w:t>
      </w:r>
      <w:r w:rsidRPr="00CE0885">
        <w:rPr>
          <w:lang w:eastAsia="en-GB"/>
        </w:rPr>
        <w:t>p</w:t>
      </w:r>
      <w:r w:rsidRPr="00CE0885">
        <w:rPr>
          <w:spacing w:val="1"/>
          <w:lang w:eastAsia="en-GB"/>
        </w:rPr>
        <w:t>r</w:t>
      </w:r>
      <w:r w:rsidRPr="00CE0885">
        <w:rPr>
          <w:lang w:eastAsia="en-GB"/>
        </w:rPr>
        <w:t>o</w:t>
      </w:r>
      <w:r w:rsidRPr="00CE0885">
        <w:rPr>
          <w:spacing w:val="-2"/>
          <w:lang w:eastAsia="en-GB"/>
        </w:rPr>
        <w:t>v</w:t>
      </w:r>
      <w:r w:rsidRPr="00CE0885">
        <w:rPr>
          <w:spacing w:val="3"/>
          <w:lang w:eastAsia="en-GB"/>
        </w:rPr>
        <w:t>i</w:t>
      </w:r>
      <w:r w:rsidRPr="00CE0885">
        <w:rPr>
          <w:spacing w:val="-3"/>
          <w:lang w:eastAsia="en-GB"/>
        </w:rPr>
        <w:t>d</w:t>
      </w:r>
      <w:r w:rsidRPr="00CE0885">
        <w:rPr>
          <w:spacing w:val="2"/>
          <w:lang w:eastAsia="en-GB"/>
        </w:rPr>
        <w:t>e</w:t>
      </w:r>
      <w:r w:rsidRPr="00CE0885">
        <w:rPr>
          <w:lang w:eastAsia="en-GB"/>
        </w:rPr>
        <w:t>d</w:t>
      </w:r>
      <w:r w:rsidRPr="00CE0885">
        <w:rPr>
          <w:spacing w:val="7"/>
          <w:lang w:eastAsia="en-GB"/>
        </w:rPr>
        <w:t xml:space="preserve"> </w:t>
      </w:r>
      <w:r w:rsidRPr="00CE0885">
        <w:rPr>
          <w:spacing w:val="2"/>
          <w:lang w:eastAsia="en-GB"/>
        </w:rPr>
        <w:t>an</w:t>
      </w:r>
      <w:r w:rsidRPr="00CE0885">
        <w:rPr>
          <w:lang w:eastAsia="en-GB"/>
        </w:rPr>
        <w:t>d</w:t>
      </w:r>
      <w:r w:rsidRPr="00CE0885">
        <w:rPr>
          <w:spacing w:val="2"/>
          <w:lang w:eastAsia="en-GB"/>
        </w:rPr>
        <w:t xml:space="preserve"> </w:t>
      </w:r>
      <w:r w:rsidRPr="00CE0885">
        <w:rPr>
          <w:w w:val="101"/>
          <w:lang w:eastAsia="en-GB"/>
        </w:rPr>
        <w:t xml:space="preserve">any potential </w:t>
      </w:r>
      <w:r w:rsidRPr="00CE0885">
        <w:rPr>
          <w:spacing w:val="-2"/>
          <w:lang w:eastAsia="en-GB"/>
        </w:rPr>
        <w:t>c</w:t>
      </w:r>
      <w:r w:rsidRPr="00CE0885">
        <w:rPr>
          <w:lang w:eastAsia="en-GB"/>
        </w:rPr>
        <w:t>apa</w:t>
      </w:r>
      <w:r w:rsidRPr="00CE0885">
        <w:rPr>
          <w:spacing w:val="-2"/>
          <w:lang w:eastAsia="en-GB"/>
        </w:rPr>
        <w:t>c</w:t>
      </w:r>
      <w:r w:rsidRPr="00CE0885">
        <w:rPr>
          <w:spacing w:val="3"/>
          <w:lang w:eastAsia="en-GB"/>
        </w:rPr>
        <w:t>i</w:t>
      </w:r>
      <w:r w:rsidRPr="00CE0885">
        <w:rPr>
          <w:spacing w:val="2"/>
          <w:lang w:eastAsia="en-GB"/>
        </w:rPr>
        <w:t>t</w:t>
      </w:r>
      <w:r w:rsidRPr="00CE0885">
        <w:rPr>
          <w:lang w:eastAsia="en-GB"/>
        </w:rPr>
        <w:t>y</w:t>
      </w:r>
      <w:r w:rsidRPr="00CE0885">
        <w:rPr>
          <w:spacing w:val="5"/>
          <w:lang w:eastAsia="en-GB"/>
        </w:rPr>
        <w:t xml:space="preserve"> </w:t>
      </w:r>
      <w:r w:rsidRPr="00CE0885">
        <w:rPr>
          <w:spacing w:val="1"/>
          <w:w w:val="101"/>
          <w:lang w:eastAsia="en-GB"/>
        </w:rPr>
        <w:t>iss</w:t>
      </w:r>
      <w:r w:rsidRPr="00CE0885">
        <w:rPr>
          <w:spacing w:val="-3"/>
          <w:w w:val="101"/>
          <w:lang w:eastAsia="en-GB"/>
        </w:rPr>
        <w:t>u</w:t>
      </w:r>
      <w:r w:rsidRPr="00CE0885">
        <w:rPr>
          <w:w w:val="101"/>
          <w:lang w:eastAsia="en-GB"/>
        </w:rPr>
        <w:t>e</w:t>
      </w:r>
      <w:r w:rsidRPr="00CE0885">
        <w:rPr>
          <w:spacing w:val="-2"/>
          <w:w w:val="101"/>
          <w:lang w:eastAsia="en-GB"/>
        </w:rPr>
        <w:t>s</w:t>
      </w:r>
      <w:r w:rsidRPr="00CE0885">
        <w:rPr>
          <w:w w:val="101"/>
          <w:lang w:eastAsia="en-GB"/>
        </w:rPr>
        <w:t>.</w:t>
      </w:r>
      <w:bookmarkEnd w:id="1461"/>
    </w:p>
    <w:p w14:paraId="5FFEEF99" w14:textId="77777777" w:rsidR="00867DFB" w:rsidRPr="00CE0885" w:rsidRDefault="00867DFB" w:rsidP="00EF04D7">
      <w:pPr>
        <w:pStyle w:val="Heading3"/>
        <w:rPr>
          <w:lang w:eastAsia="en-GB"/>
        </w:rPr>
      </w:pPr>
      <w:bookmarkStart w:id="1462" w:name="_Toc440982817"/>
      <w:r w:rsidRPr="00CE0885">
        <w:rPr>
          <w:lang w:eastAsia="en-GB"/>
        </w:rPr>
        <w:t>If the surviving partner is not a general medical practitioner, the Commissioner must enter into discussions with the surviving partner and use reasonable endeavours to reach an agreement to enable the provision of clinical services to continue under the contract. The Commissioner may, if it considers it appropriate to enable clinical services under the contract to continue, offer the surviving partner reasonable support.</w:t>
      </w:r>
      <w:bookmarkEnd w:id="1462"/>
    </w:p>
    <w:p w14:paraId="523ABB3D" w14:textId="77777777" w:rsidR="00867DFB" w:rsidRPr="00CE0885" w:rsidRDefault="00867DFB" w:rsidP="00EF04D7">
      <w:pPr>
        <w:pStyle w:val="Heading3"/>
        <w:rPr>
          <w:lang w:eastAsia="en-GB"/>
        </w:rPr>
      </w:pPr>
      <w:bookmarkStart w:id="1463" w:name="_Toc440982818"/>
      <w:r w:rsidRPr="00CE0885">
        <w:rPr>
          <w:lang w:eastAsia="en-GB"/>
        </w:rPr>
        <w:t>The Commissioner may choose to consult the relevant LMC, if it considers it appropriate or any other person that the Commissioner considers necessary.</w:t>
      </w:r>
      <w:bookmarkEnd w:id="1463"/>
      <w:r w:rsidRPr="00CE0885">
        <w:rPr>
          <w:lang w:eastAsia="en-GB"/>
        </w:rPr>
        <w:t xml:space="preserve"> </w:t>
      </w:r>
    </w:p>
    <w:p w14:paraId="322DFA43" w14:textId="77777777" w:rsidR="00867DFB" w:rsidRPr="00CE0885" w:rsidRDefault="00867DFB" w:rsidP="00EF04D7">
      <w:pPr>
        <w:pStyle w:val="Heading3"/>
        <w:rPr>
          <w:lang w:eastAsia="en-GB"/>
        </w:rPr>
      </w:pPr>
      <w:bookmarkStart w:id="1464" w:name="_Toc440982819"/>
      <w:r w:rsidRPr="00CE0885">
        <w:rPr>
          <w:lang w:eastAsia="en-GB"/>
        </w:rPr>
        <w:t>Where the Commissioner reaches an agreement with a surviving partner who is not a general medical practitioner, the Commissioner must notify that individual confirming:</w:t>
      </w:r>
      <w:bookmarkEnd w:id="1464"/>
      <w:r w:rsidRPr="00CE0885">
        <w:rPr>
          <w:lang w:eastAsia="en-GB"/>
        </w:rPr>
        <w:t xml:space="preserve"> </w:t>
      </w:r>
    </w:p>
    <w:p w14:paraId="28E6B3C8" w14:textId="77777777" w:rsidR="00867DFB" w:rsidRPr="00CE0885" w:rsidRDefault="00867DFB" w:rsidP="00EF04D7">
      <w:pPr>
        <w:pStyle w:val="Heading4"/>
      </w:pPr>
      <w:bookmarkStart w:id="1465" w:name="_Toc440982820"/>
      <w:r w:rsidRPr="00CE0885">
        <w:t>the terms upon which the Board agrees to the contract continuing with that individual;</w:t>
      </w:r>
      <w:bookmarkEnd w:id="1465"/>
    </w:p>
    <w:p w14:paraId="358BD886" w14:textId="77777777" w:rsidR="00867DFB" w:rsidRPr="00CE0885" w:rsidRDefault="00867DFB" w:rsidP="00EF04D7">
      <w:pPr>
        <w:pStyle w:val="Heading4"/>
      </w:pPr>
      <w:bookmarkStart w:id="1466" w:name="_Toc440982821"/>
      <w:r w:rsidRPr="00CE0885">
        <w:t>the interim period during which the contract is to continue which must not exceed six months;</w:t>
      </w:r>
      <w:bookmarkEnd w:id="1466"/>
    </w:p>
    <w:p w14:paraId="50FE507D" w14:textId="77777777" w:rsidR="00867DFB" w:rsidRPr="00CE0885" w:rsidRDefault="00867DFB" w:rsidP="00EF04D7">
      <w:pPr>
        <w:pStyle w:val="Heading4"/>
      </w:pPr>
      <w:bookmarkStart w:id="1467" w:name="_Toc440982822"/>
      <w:r w:rsidRPr="00CE0885">
        <w:t>that the individual will employ or engage a general medical practitioner for the interim period to assist in the provision of clinical services under the contract; and</w:t>
      </w:r>
      <w:bookmarkEnd w:id="1467"/>
    </w:p>
    <w:p w14:paraId="4762B403" w14:textId="77777777" w:rsidR="00867DFB" w:rsidRPr="00CE0885" w:rsidRDefault="00867DFB" w:rsidP="00EF04D7">
      <w:pPr>
        <w:pStyle w:val="Heading4"/>
      </w:pPr>
      <w:bookmarkStart w:id="1468" w:name="_Toc440982823"/>
      <w:r w:rsidRPr="00CE0885">
        <w:t>the support, if any, which the Commissioner is to provide to enable clinical services under the contract to continue during the interim period.</w:t>
      </w:r>
      <w:bookmarkEnd w:id="1468"/>
    </w:p>
    <w:p w14:paraId="30A0A072" w14:textId="77777777" w:rsidR="00867DFB" w:rsidRPr="00CE0885" w:rsidRDefault="00867DFB" w:rsidP="00EF04D7">
      <w:pPr>
        <w:pStyle w:val="Heading3"/>
        <w:rPr>
          <w:lang w:eastAsia="en-GB"/>
        </w:rPr>
      </w:pPr>
      <w:bookmarkStart w:id="1469" w:name="_Toc440982824"/>
      <w:r w:rsidRPr="00CE0885">
        <w:rPr>
          <w:lang w:eastAsia="en-GB"/>
        </w:rPr>
        <w:t>A Template Notification Letter is provided in Annex 3. A variation notice will need to be included with this letter.</w:t>
      </w:r>
      <w:bookmarkEnd w:id="1469"/>
    </w:p>
    <w:p w14:paraId="1D380896" w14:textId="77777777" w:rsidR="00867DFB" w:rsidRPr="00CE0885" w:rsidRDefault="00867DFB" w:rsidP="00EF04D7">
      <w:pPr>
        <w:pStyle w:val="Heading3"/>
        <w:rPr>
          <w:lang w:eastAsia="en-GB"/>
        </w:rPr>
      </w:pPr>
      <w:bookmarkStart w:id="1470" w:name="_Toc440982825"/>
      <w:r w:rsidRPr="00CE0885">
        <w:rPr>
          <w:lang w:eastAsia="en-GB"/>
        </w:rPr>
        <w:t>Where the Commissioner cannot reach an agreement with the surviving partner or if the surviving partner does not wish to employ or engage a medical practitioner, the Commissioner must terminate the contract immediately by serving notice in writing on the surviving partner.</w:t>
      </w:r>
      <w:bookmarkEnd w:id="1470"/>
      <w:r w:rsidRPr="00CE0885">
        <w:rPr>
          <w:lang w:eastAsia="en-GB"/>
        </w:rPr>
        <w:t xml:space="preserve">  </w:t>
      </w:r>
    </w:p>
    <w:p w14:paraId="09AE2DCC" w14:textId="77777777" w:rsidR="00867DFB" w:rsidRPr="00CE0885" w:rsidRDefault="00867DFB" w:rsidP="00EF04D7">
      <w:pPr>
        <w:pStyle w:val="Heading3"/>
        <w:rPr>
          <w:lang w:eastAsia="en-GB"/>
        </w:rPr>
      </w:pPr>
      <w:bookmarkStart w:id="1471" w:name="_Toc440982826"/>
      <w:r w:rsidRPr="00CE0885">
        <w:rPr>
          <w:lang w:eastAsia="en-GB"/>
        </w:rPr>
        <w:t>The Commissioner must also terminate the contract in writing to the surviving partner if:</w:t>
      </w:r>
      <w:bookmarkEnd w:id="1471"/>
    </w:p>
    <w:p w14:paraId="7A1FB3A3" w14:textId="77777777" w:rsidR="00867DFB" w:rsidRPr="00CE0885" w:rsidRDefault="00867DFB" w:rsidP="00EF04D7">
      <w:pPr>
        <w:pStyle w:val="Heading4"/>
      </w:pPr>
      <w:bookmarkStart w:id="1472" w:name="_Toc440982827"/>
      <w:r w:rsidRPr="00CE0885">
        <w:t>the surviving partner wishes to withdraw from the agreed arrangements at any stage during the interim period; or</w:t>
      </w:r>
      <w:bookmarkEnd w:id="1472"/>
    </w:p>
    <w:p w14:paraId="2D3B6DD3" w14:textId="77777777" w:rsidR="00867DFB" w:rsidRPr="00CE0885" w:rsidRDefault="00867DFB" w:rsidP="00EF04D7">
      <w:pPr>
        <w:pStyle w:val="Heading4"/>
      </w:pPr>
      <w:bookmarkStart w:id="1473" w:name="_Toc440982828"/>
      <w:r w:rsidRPr="00CE0885">
        <w:t>at the end of the interim period, the contractor has not entered into partnership with a general medical practitioner who is not a limited partner.</w:t>
      </w:r>
      <w:bookmarkEnd w:id="1473"/>
    </w:p>
    <w:p w14:paraId="5BF109FF" w14:textId="5A9F2A7B" w:rsidR="00867DFB" w:rsidRPr="00CE0885" w:rsidRDefault="00867DFB" w:rsidP="00EF04D7">
      <w:pPr>
        <w:pStyle w:val="Heading3"/>
        <w:rPr>
          <w:lang w:eastAsia="en-GB"/>
        </w:rPr>
      </w:pPr>
      <w:bookmarkStart w:id="1474" w:name="_Toc440982829"/>
      <w:r w:rsidRPr="00CE0885">
        <w:rPr>
          <w:lang w:eastAsia="en-GB"/>
        </w:rPr>
        <w:t xml:space="preserve">Where the Commissioner intends to terminate the contract, please refer to paragraph </w:t>
      </w:r>
      <w:r w:rsidR="001E20EC">
        <w:rPr>
          <w:lang w:eastAsia="en-GB"/>
        </w:rPr>
        <w:t>3.</w:t>
      </w:r>
      <w:r w:rsidRPr="00CE0885">
        <w:rPr>
          <w:lang w:eastAsia="en-GB"/>
        </w:rPr>
        <w:fldChar w:fldCharType="begin"/>
      </w:r>
      <w:r w:rsidRPr="00CE0885">
        <w:rPr>
          <w:lang w:eastAsia="en-GB"/>
        </w:rPr>
        <w:instrText xml:space="preserve"> REF _Ref421313077 \r \h  \* MERGEFORMAT </w:instrText>
      </w:r>
      <w:r w:rsidRPr="00CE0885">
        <w:rPr>
          <w:lang w:eastAsia="en-GB"/>
        </w:rPr>
      </w:r>
      <w:r w:rsidRPr="00CE0885">
        <w:rPr>
          <w:lang w:eastAsia="en-GB"/>
        </w:rPr>
        <w:fldChar w:fldCharType="separate"/>
      </w:r>
      <w:r w:rsidR="00622FF2">
        <w:rPr>
          <w:lang w:eastAsia="en-GB"/>
        </w:rPr>
        <w:t>3.7.3</w:t>
      </w:r>
      <w:r w:rsidRPr="00CE0885">
        <w:rPr>
          <w:lang w:eastAsia="en-GB"/>
        </w:rPr>
        <w:fldChar w:fldCharType="end"/>
      </w:r>
      <w:r w:rsidRPr="00CE0885">
        <w:rPr>
          <w:lang w:eastAsia="en-GB"/>
        </w:rPr>
        <w:t>.</w:t>
      </w:r>
      <w:bookmarkEnd w:id="1474"/>
      <w:r w:rsidRPr="00CE0885">
        <w:rPr>
          <w:lang w:eastAsia="en-GB"/>
        </w:rPr>
        <w:t xml:space="preserve"> </w:t>
      </w:r>
    </w:p>
    <w:p w14:paraId="49196D61" w14:textId="77777777" w:rsidR="00867DFB" w:rsidRPr="00CE0885" w:rsidRDefault="00867DFB" w:rsidP="00EF04D7">
      <w:pPr>
        <w:pStyle w:val="Heading3"/>
        <w:rPr>
          <w:lang w:eastAsia="en-GB"/>
        </w:rPr>
      </w:pPr>
      <w:bookmarkStart w:id="1475" w:name="_Toc440982830"/>
      <w:r w:rsidRPr="00CE0885">
        <w:rPr>
          <w:lang w:eastAsia="en-GB"/>
        </w:rPr>
        <w:t>A template Termination Letter is set out in Annex 4.</w:t>
      </w:r>
      <w:bookmarkEnd w:id="1475"/>
    </w:p>
    <w:p w14:paraId="6F85F1BC" w14:textId="77777777" w:rsidR="00867DFB" w:rsidRPr="00F466C6" w:rsidRDefault="00867DFB" w:rsidP="00F466C6">
      <w:pPr>
        <w:pStyle w:val="BodyText"/>
        <w:rPr>
          <w:b/>
          <w:sz w:val="24"/>
          <w:szCs w:val="24"/>
        </w:rPr>
      </w:pPr>
      <w:r w:rsidRPr="00CE0885">
        <w:br/>
      </w:r>
      <w:r w:rsidRPr="00F466C6">
        <w:rPr>
          <w:b/>
          <w:sz w:val="24"/>
          <w:szCs w:val="24"/>
        </w:rPr>
        <w:t xml:space="preserve">More than two individuals practising in partnership - GMS contract </w:t>
      </w:r>
    </w:p>
    <w:p w14:paraId="0097AECA" w14:textId="77777777" w:rsidR="00867DFB" w:rsidRPr="00CE0885" w:rsidRDefault="00867DFB" w:rsidP="00EF04D7">
      <w:pPr>
        <w:pStyle w:val="Heading3"/>
        <w:rPr>
          <w:lang w:eastAsia="en-GB"/>
        </w:rPr>
      </w:pPr>
      <w:bookmarkStart w:id="1476" w:name="_Toc440982831"/>
      <w:r w:rsidRPr="00CE0885">
        <w:rPr>
          <w:lang w:eastAsia="en-GB"/>
        </w:rPr>
        <w:t>Where there are more than two individuals practising in partnership, the death of one of the partners may result in the partnership being dissolved. This may not always be the case as the partnership arrangements between the partners may state that the partnership will continue or make other provision on the death of a partner that does not result in the dissolution of the partnership.</w:t>
      </w:r>
      <w:bookmarkEnd w:id="1476"/>
      <w:r w:rsidRPr="00CE0885">
        <w:rPr>
          <w:lang w:eastAsia="en-GB"/>
        </w:rPr>
        <w:t xml:space="preserve"> </w:t>
      </w:r>
    </w:p>
    <w:p w14:paraId="561927AA" w14:textId="0A6C34EF" w:rsidR="00867DFB" w:rsidRPr="00CE0885" w:rsidRDefault="00867DFB" w:rsidP="00EF04D7">
      <w:pPr>
        <w:pStyle w:val="Heading3"/>
        <w:rPr>
          <w:lang w:eastAsia="en-GB"/>
        </w:rPr>
      </w:pPr>
      <w:bookmarkStart w:id="1477" w:name="_Toc440982832"/>
      <w:r w:rsidRPr="00CE0885">
        <w:rPr>
          <w:lang w:eastAsia="en-GB"/>
        </w:rPr>
        <w:t xml:space="preserve">Where the partnership is not dissolved or terminated, the contract will continue and the provisions below will not apply provided that the partnership remains eligible to hold the GMS contract. Please </w:t>
      </w:r>
      <w:r w:rsidR="00A114DF" w:rsidRPr="00CE0885">
        <w:rPr>
          <w:lang w:eastAsia="en-GB"/>
        </w:rPr>
        <w:t xml:space="preserve">refer to </w:t>
      </w:r>
      <w:r w:rsidR="00A114DF">
        <w:rPr>
          <w:lang w:eastAsia="en-GB"/>
        </w:rPr>
        <w:t>the ‘Contracts Described’ chapter for further information</w:t>
      </w:r>
      <w:r w:rsidRPr="00CE0885">
        <w:rPr>
          <w:lang w:eastAsia="en-GB"/>
        </w:rPr>
        <w:t xml:space="preserve"> on eligibility requirements.</w:t>
      </w:r>
      <w:bookmarkEnd w:id="1477"/>
    </w:p>
    <w:p w14:paraId="1E138C03" w14:textId="77777777" w:rsidR="00867DFB" w:rsidRPr="00CE0885" w:rsidRDefault="00867DFB" w:rsidP="00EF04D7">
      <w:pPr>
        <w:pStyle w:val="Heading3"/>
        <w:rPr>
          <w:lang w:eastAsia="en-GB"/>
        </w:rPr>
      </w:pPr>
      <w:bookmarkStart w:id="1478" w:name="_Toc440982833"/>
      <w:r w:rsidRPr="00CE0885">
        <w:rPr>
          <w:lang w:eastAsia="en-GB"/>
        </w:rPr>
        <w:t>It is possible for the contract to continue where the partnership is dissolved or terminated for whatever reason (which may be due to the death of a partner) and the contractor consists of more than two individuals practising in partnership.  The contract may continue with one of the former partners if the following conditions apply:</w:t>
      </w:r>
      <w:bookmarkEnd w:id="1478"/>
    </w:p>
    <w:p w14:paraId="6EEF1991" w14:textId="77777777" w:rsidR="00867DFB" w:rsidRPr="00CE0885" w:rsidRDefault="00867DFB" w:rsidP="00EF04D7">
      <w:pPr>
        <w:pStyle w:val="Heading4"/>
      </w:pPr>
      <w:bookmarkStart w:id="1479" w:name="_Toc440982834"/>
      <w:r w:rsidRPr="00CE0885">
        <w:t>The former partner must be nominated by the contractor; and</w:t>
      </w:r>
      <w:bookmarkEnd w:id="1479"/>
    </w:p>
    <w:p w14:paraId="65B4BEA5" w14:textId="77777777" w:rsidR="00867DFB" w:rsidRPr="00CE0885" w:rsidRDefault="00867DFB" w:rsidP="00EF04D7">
      <w:pPr>
        <w:pStyle w:val="Heading4"/>
      </w:pPr>
      <w:bookmarkStart w:id="1480" w:name="_Toc440982835"/>
      <w:r w:rsidRPr="00CE0885">
        <w:t>The former partner must be a medical practitioner that meets the condition in regulation 4(2)(a) of the GMS Regulations.</w:t>
      </w:r>
      <w:bookmarkEnd w:id="1480"/>
      <w:r w:rsidRPr="00CE0885">
        <w:t xml:space="preserve"> </w:t>
      </w:r>
    </w:p>
    <w:p w14:paraId="62029A3A" w14:textId="77777777" w:rsidR="00867DFB" w:rsidRPr="00CE0885" w:rsidRDefault="00867DFB" w:rsidP="00EF04D7">
      <w:pPr>
        <w:pStyle w:val="Heading3"/>
        <w:rPr>
          <w:lang w:eastAsia="en-GB"/>
        </w:rPr>
      </w:pPr>
      <w:bookmarkStart w:id="1481" w:name="_Toc440982836"/>
      <w:r w:rsidRPr="00CE0885">
        <w:rPr>
          <w:lang w:eastAsia="en-GB"/>
        </w:rPr>
        <w:t>The nomination of the former partner by the contractor must be:</w:t>
      </w:r>
      <w:bookmarkEnd w:id="1481"/>
    </w:p>
    <w:p w14:paraId="18E39E8E" w14:textId="77777777" w:rsidR="00867DFB" w:rsidRPr="00CE0885" w:rsidRDefault="00867DFB" w:rsidP="00EF04D7">
      <w:pPr>
        <w:pStyle w:val="Heading4"/>
      </w:pPr>
      <w:bookmarkStart w:id="1482" w:name="_Toc440982837"/>
      <w:r w:rsidRPr="00CE0885">
        <w:t>in writing and signed by all of the persons who are practising in partnership; and</w:t>
      </w:r>
      <w:bookmarkEnd w:id="1482"/>
    </w:p>
    <w:p w14:paraId="6F466E3F" w14:textId="77777777" w:rsidR="00867DFB" w:rsidRPr="00CE0885" w:rsidRDefault="00867DFB" w:rsidP="00EF04D7">
      <w:pPr>
        <w:pStyle w:val="Heading4"/>
      </w:pPr>
      <w:bookmarkStart w:id="1483" w:name="_Toc440982838"/>
      <w:r w:rsidRPr="00CE0885">
        <w:t>specify the date on which the contractor proposes to change its status from that of a partnership to that of an individual medical practitioner; and</w:t>
      </w:r>
      <w:bookmarkEnd w:id="1483"/>
    </w:p>
    <w:p w14:paraId="7C005DB8" w14:textId="77777777" w:rsidR="00867DFB" w:rsidRPr="00CE0885" w:rsidRDefault="00867DFB" w:rsidP="00EF04D7">
      <w:pPr>
        <w:pStyle w:val="Heading4"/>
      </w:pPr>
      <w:bookmarkStart w:id="1484" w:name="_Toc440982839"/>
      <w:r w:rsidRPr="00CE0885">
        <w:t>be provided to the Commissioner at least 28 days in advance of the date on which the contractor proposes to change its status from that of a partnership to that of an individual medical practitioner; and</w:t>
      </w:r>
      <w:bookmarkEnd w:id="1484"/>
    </w:p>
    <w:p w14:paraId="35185F58" w14:textId="77777777" w:rsidR="00867DFB" w:rsidRPr="00CE0885" w:rsidRDefault="00867DFB" w:rsidP="00EF04D7">
      <w:pPr>
        <w:pStyle w:val="Heading4"/>
      </w:pPr>
      <w:bookmarkStart w:id="1485" w:name="_Toc440982840"/>
      <w:r w:rsidRPr="00CE0885">
        <w:t>specify the name of the medical practitioner with whom the contract will continue, which must be one of the partners.</w:t>
      </w:r>
      <w:bookmarkEnd w:id="1485"/>
    </w:p>
    <w:p w14:paraId="030E846B" w14:textId="77777777" w:rsidR="00867DFB" w:rsidRPr="00CE0885" w:rsidRDefault="00867DFB" w:rsidP="00EF04D7">
      <w:pPr>
        <w:pStyle w:val="Heading3"/>
        <w:rPr>
          <w:lang w:eastAsia="en-GB"/>
        </w:rPr>
      </w:pPr>
      <w:bookmarkStart w:id="1486" w:name="_Toc440982841"/>
      <w:r w:rsidRPr="00CE0885">
        <w:rPr>
          <w:lang w:eastAsia="en-GB"/>
        </w:rPr>
        <w:t>Where the Commissioner receives such a nomination, it must acknowledge receipt of the notice in writing before the date specified in the nomination as the date on which the contractor proposes to change its status from that of a partnership to that of an individual medical practitioner.</w:t>
      </w:r>
      <w:bookmarkEnd w:id="1486"/>
    </w:p>
    <w:p w14:paraId="5EFAC15B" w14:textId="77777777" w:rsidR="00867DFB" w:rsidRPr="00CE0885" w:rsidRDefault="00867DFB" w:rsidP="00EF04D7">
      <w:pPr>
        <w:pStyle w:val="Heading3"/>
        <w:rPr>
          <w:lang w:eastAsia="en-GB"/>
        </w:rPr>
      </w:pPr>
      <w:bookmarkStart w:id="1487" w:name="_Toc440982842"/>
      <w:r w:rsidRPr="00CE0885">
        <w:rPr>
          <w:lang w:eastAsia="en-GB"/>
        </w:rPr>
        <w:t>The Commissioner may vary the contract but only to the extent that it is satisfied it is necessary to reflect the change in status of the contractor from a partnership to an individual medical practitioner. The Commissioner must notify the contractor in writing of the wording of the proposed variation and the date upon which that variation is to take effect.</w:t>
      </w:r>
      <w:bookmarkEnd w:id="1487"/>
      <w:r w:rsidRPr="00CE0885">
        <w:rPr>
          <w:lang w:eastAsia="en-GB"/>
        </w:rPr>
        <w:t xml:space="preserve"> </w:t>
      </w:r>
    </w:p>
    <w:p w14:paraId="54D89AA6" w14:textId="77777777" w:rsidR="00867DFB" w:rsidRPr="00CE0885" w:rsidRDefault="00867DFB" w:rsidP="00EF04D7">
      <w:pPr>
        <w:pStyle w:val="Heading3"/>
        <w:rPr>
          <w:lang w:eastAsia="en-GB"/>
        </w:rPr>
      </w:pPr>
      <w:bookmarkStart w:id="1488" w:name="_Toc440982843"/>
      <w:r w:rsidRPr="00CE0885">
        <w:rPr>
          <w:lang w:eastAsia="en-GB"/>
        </w:rPr>
        <w:t>A template Notification Letter is provided in Annex 5. A variation notice will need to be included with this letter.</w:t>
      </w:r>
      <w:bookmarkEnd w:id="1488"/>
    </w:p>
    <w:p w14:paraId="14B1B3F0" w14:textId="77777777" w:rsidR="00867DFB" w:rsidRPr="009055A7" w:rsidRDefault="00867DFB" w:rsidP="00EF04D7">
      <w:pPr>
        <w:pStyle w:val="BodyText"/>
      </w:pPr>
    </w:p>
    <w:p w14:paraId="0050CBAB" w14:textId="77777777" w:rsidR="00867DFB" w:rsidRPr="00CE0885" w:rsidRDefault="00867DFB" w:rsidP="00EF04D7">
      <w:pPr>
        <w:pStyle w:val="Heading2"/>
        <w:rPr>
          <w:lang w:eastAsia="en-GB"/>
        </w:rPr>
      </w:pPr>
      <w:bookmarkStart w:id="1489" w:name="_Toc440982844"/>
      <w:bookmarkStart w:id="1490" w:name="_Toc498495466"/>
      <w:r w:rsidRPr="00CE0885">
        <w:rPr>
          <w:lang w:eastAsia="en-GB"/>
        </w:rPr>
        <w:t>Two or More Signatories - PMS Agreement</w:t>
      </w:r>
      <w:bookmarkEnd w:id="1489"/>
      <w:bookmarkEnd w:id="1490"/>
      <w:r w:rsidRPr="00CE0885">
        <w:rPr>
          <w:lang w:eastAsia="en-GB"/>
        </w:rPr>
        <w:t xml:space="preserve"> </w:t>
      </w:r>
    </w:p>
    <w:p w14:paraId="36A20B8E" w14:textId="77777777" w:rsidR="00867DFB" w:rsidRPr="00CE0885" w:rsidRDefault="00867DFB" w:rsidP="00EF04D7">
      <w:pPr>
        <w:pStyle w:val="Heading3"/>
        <w:rPr>
          <w:lang w:eastAsia="en-GB"/>
        </w:rPr>
      </w:pPr>
      <w:bookmarkStart w:id="1491" w:name="_Toc440982845"/>
      <w:r w:rsidRPr="00CE0885">
        <w:rPr>
          <w:lang w:eastAsia="en-GB"/>
        </w:rPr>
        <w:t xml:space="preserve">The PMS Regulations do not allow PMS agreements to be treated as made with a partnership. Where individuals are practising in partnership, the PMS agreement will be entered into with each individual (who may or may not be in partnership). The individual signatories to a PMS agreement collectively form the contractor.  The PMS Regulations do not require a PMS agreement to define a specific process for any variation to the signatories. </w:t>
      </w:r>
      <w:r w:rsidRPr="00CE0885">
        <w:rPr>
          <w:spacing w:val="13"/>
          <w:lang w:eastAsia="en-GB"/>
        </w:rPr>
        <w:t xml:space="preserve">The Commissioner must, therefore, </w:t>
      </w:r>
      <w:r w:rsidRPr="00CE0885">
        <w:rPr>
          <w:spacing w:val="1"/>
          <w:lang w:eastAsia="en-GB"/>
        </w:rPr>
        <w:t>r</w:t>
      </w:r>
      <w:r w:rsidRPr="00CE0885">
        <w:rPr>
          <w:lang w:eastAsia="en-GB"/>
        </w:rPr>
        <w:t>e</w:t>
      </w:r>
      <w:r w:rsidRPr="00CE0885">
        <w:rPr>
          <w:spacing w:val="1"/>
          <w:lang w:eastAsia="en-GB"/>
        </w:rPr>
        <w:t>vi</w:t>
      </w:r>
      <w:r w:rsidRPr="00CE0885">
        <w:rPr>
          <w:lang w:eastAsia="en-GB"/>
        </w:rPr>
        <w:t>ew</w:t>
      </w:r>
      <w:r w:rsidRPr="00CE0885">
        <w:rPr>
          <w:spacing w:val="5"/>
          <w:lang w:eastAsia="en-GB"/>
        </w:rPr>
        <w:t xml:space="preserve"> </w:t>
      </w:r>
      <w:r w:rsidRPr="00CE0885">
        <w:rPr>
          <w:lang w:eastAsia="en-GB"/>
        </w:rPr>
        <w:t>t</w:t>
      </w:r>
      <w:r w:rsidRPr="00CE0885">
        <w:rPr>
          <w:spacing w:val="2"/>
          <w:lang w:eastAsia="en-GB"/>
        </w:rPr>
        <w:t>h</w:t>
      </w:r>
      <w:r w:rsidRPr="00CE0885">
        <w:rPr>
          <w:lang w:eastAsia="en-GB"/>
        </w:rPr>
        <w:t>e</w:t>
      </w:r>
      <w:r w:rsidRPr="00CE0885">
        <w:rPr>
          <w:spacing w:val="4"/>
          <w:lang w:eastAsia="en-GB"/>
        </w:rPr>
        <w:t xml:space="preserve"> </w:t>
      </w:r>
      <w:r w:rsidRPr="00CE0885">
        <w:rPr>
          <w:spacing w:val="1"/>
          <w:lang w:eastAsia="en-GB"/>
        </w:rPr>
        <w:t>relevant</w:t>
      </w:r>
      <w:r w:rsidRPr="00CE0885">
        <w:rPr>
          <w:spacing w:val="14"/>
          <w:lang w:eastAsia="en-GB"/>
        </w:rPr>
        <w:t xml:space="preserve"> </w:t>
      </w:r>
      <w:r w:rsidRPr="00CE0885">
        <w:rPr>
          <w:w w:val="101"/>
          <w:lang w:eastAsia="en-GB"/>
        </w:rPr>
        <w:t xml:space="preserve">PMS </w:t>
      </w:r>
      <w:r w:rsidRPr="00CE0885">
        <w:rPr>
          <w:spacing w:val="-3"/>
          <w:lang w:eastAsia="en-GB"/>
        </w:rPr>
        <w:t>a</w:t>
      </w:r>
      <w:r w:rsidRPr="00CE0885">
        <w:rPr>
          <w:spacing w:val="2"/>
          <w:lang w:eastAsia="en-GB"/>
        </w:rPr>
        <w:t>g</w:t>
      </w:r>
      <w:r w:rsidRPr="00CE0885">
        <w:rPr>
          <w:lang w:eastAsia="en-GB"/>
        </w:rPr>
        <w:t>reement</w:t>
      </w:r>
      <w:r w:rsidRPr="00CE0885">
        <w:rPr>
          <w:spacing w:val="16"/>
          <w:lang w:eastAsia="en-GB"/>
        </w:rPr>
        <w:t xml:space="preserve"> to determine whether any provisions have been added relating to this and </w:t>
      </w:r>
      <w:r w:rsidRPr="00CE0885">
        <w:rPr>
          <w:spacing w:val="-3"/>
          <w:lang w:eastAsia="en-GB"/>
        </w:rPr>
        <w:t>p</w:t>
      </w:r>
      <w:r w:rsidRPr="00CE0885">
        <w:rPr>
          <w:lang w:eastAsia="en-GB"/>
        </w:rPr>
        <w:t>r</w:t>
      </w:r>
      <w:r w:rsidRPr="00CE0885">
        <w:rPr>
          <w:spacing w:val="3"/>
          <w:lang w:eastAsia="en-GB"/>
        </w:rPr>
        <w:t>i</w:t>
      </w:r>
      <w:r w:rsidRPr="00CE0885">
        <w:rPr>
          <w:spacing w:val="-3"/>
          <w:lang w:eastAsia="en-GB"/>
        </w:rPr>
        <w:t>o</w:t>
      </w:r>
      <w:r w:rsidRPr="00CE0885">
        <w:rPr>
          <w:lang w:eastAsia="en-GB"/>
        </w:rPr>
        <w:t>r</w:t>
      </w:r>
      <w:r w:rsidRPr="00CE0885">
        <w:rPr>
          <w:spacing w:val="7"/>
          <w:lang w:eastAsia="en-GB"/>
        </w:rPr>
        <w:t xml:space="preserve"> </w:t>
      </w:r>
      <w:r w:rsidRPr="00CE0885">
        <w:rPr>
          <w:lang w:eastAsia="en-GB"/>
        </w:rPr>
        <w:t>to</w:t>
      </w:r>
      <w:r w:rsidRPr="00CE0885">
        <w:rPr>
          <w:spacing w:val="3"/>
          <w:lang w:eastAsia="en-GB"/>
        </w:rPr>
        <w:t xml:space="preserve"> </w:t>
      </w:r>
      <w:r w:rsidRPr="00CE0885">
        <w:rPr>
          <w:spacing w:val="2"/>
          <w:lang w:eastAsia="en-GB"/>
        </w:rPr>
        <w:t>f</w:t>
      </w:r>
      <w:r w:rsidRPr="00CE0885">
        <w:rPr>
          <w:spacing w:val="-3"/>
          <w:lang w:eastAsia="en-GB"/>
        </w:rPr>
        <w:t>o</w:t>
      </w:r>
      <w:r w:rsidRPr="00CE0885">
        <w:rPr>
          <w:spacing w:val="3"/>
          <w:lang w:eastAsia="en-GB"/>
        </w:rPr>
        <w:t>l</w:t>
      </w:r>
      <w:r w:rsidRPr="00CE0885">
        <w:rPr>
          <w:lang w:eastAsia="en-GB"/>
        </w:rPr>
        <w:t>l</w:t>
      </w:r>
      <w:r w:rsidRPr="00CE0885">
        <w:rPr>
          <w:spacing w:val="2"/>
          <w:lang w:eastAsia="en-GB"/>
        </w:rPr>
        <w:t>o</w:t>
      </w:r>
      <w:r w:rsidRPr="00CE0885">
        <w:rPr>
          <w:spacing w:val="-3"/>
          <w:lang w:eastAsia="en-GB"/>
        </w:rPr>
        <w:t>w</w:t>
      </w:r>
      <w:r w:rsidRPr="00CE0885">
        <w:rPr>
          <w:spacing w:val="1"/>
          <w:lang w:eastAsia="en-GB"/>
        </w:rPr>
        <w:t>i</w:t>
      </w:r>
      <w:r w:rsidRPr="00CE0885">
        <w:rPr>
          <w:lang w:eastAsia="en-GB"/>
        </w:rPr>
        <w:t>ng</w:t>
      </w:r>
      <w:r w:rsidRPr="00CE0885">
        <w:rPr>
          <w:spacing w:val="12"/>
          <w:lang w:eastAsia="en-GB"/>
        </w:rPr>
        <w:t xml:space="preserve"> </w:t>
      </w:r>
      <w:r w:rsidRPr="00CE0885">
        <w:rPr>
          <w:spacing w:val="-3"/>
          <w:lang w:eastAsia="en-GB"/>
        </w:rPr>
        <w:t>a</w:t>
      </w:r>
      <w:r w:rsidRPr="00CE0885">
        <w:rPr>
          <w:spacing w:val="2"/>
          <w:lang w:eastAsia="en-GB"/>
        </w:rPr>
        <w:t>n</w:t>
      </w:r>
      <w:r w:rsidRPr="00CE0885">
        <w:rPr>
          <w:lang w:eastAsia="en-GB"/>
        </w:rPr>
        <w:t>y</w:t>
      </w:r>
      <w:r w:rsidRPr="00CE0885">
        <w:rPr>
          <w:spacing w:val="6"/>
          <w:lang w:eastAsia="en-GB"/>
        </w:rPr>
        <w:t xml:space="preserve"> </w:t>
      </w:r>
      <w:r w:rsidRPr="00CE0885">
        <w:rPr>
          <w:spacing w:val="-3"/>
          <w:lang w:eastAsia="en-GB"/>
        </w:rPr>
        <w:t>p</w:t>
      </w:r>
      <w:r w:rsidRPr="00CE0885">
        <w:rPr>
          <w:spacing w:val="1"/>
          <w:lang w:eastAsia="en-GB"/>
        </w:rPr>
        <w:t>r</w:t>
      </w:r>
      <w:r w:rsidRPr="00CE0885">
        <w:rPr>
          <w:lang w:eastAsia="en-GB"/>
        </w:rPr>
        <w:t>o</w:t>
      </w:r>
      <w:r w:rsidRPr="00CE0885">
        <w:rPr>
          <w:spacing w:val="-2"/>
          <w:lang w:eastAsia="en-GB"/>
        </w:rPr>
        <w:t>c</w:t>
      </w:r>
      <w:r w:rsidRPr="00CE0885">
        <w:rPr>
          <w:lang w:eastAsia="en-GB"/>
        </w:rPr>
        <w:t>e</w:t>
      </w:r>
      <w:r w:rsidRPr="00CE0885">
        <w:rPr>
          <w:spacing w:val="1"/>
          <w:lang w:eastAsia="en-GB"/>
        </w:rPr>
        <w:t>s</w:t>
      </w:r>
      <w:r w:rsidRPr="00CE0885">
        <w:rPr>
          <w:lang w:eastAsia="en-GB"/>
        </w:rPr>
        <w:t>s</w:t>
      </w:r>
      <w:r w:rsidRPr="00CE0885">
        <w:rPr>
          <w:spacing w:val="7"/>
          <w:lang w:eastAsia="en-GB"/>
        </w:rPr>
        <w:t xml:space="preserve"> </w:t>
      </w:r>
      <w:r w:rsidRPr="00CE0885">
        <w:rPr>
          <w:spacing w:val="5"/>
          <w:lang w:eastAsia="en-GB"/>
        </w:rPr>
        <w:t>f</w:t>
      </w:r>
      <w:r w:rsidRPr="00CE0885">
        <w:rPr>
          <w:spacing w:val="-3"/>
          <w:lang w:eastAsia="en-GB"/>
        </w:rPr>
        <w:t>o</w:t>
      </w:r>
      <w:r w:rsidRPr="00CE0885">
        <w:rPr>
          <w:lang w:eastAsia="en-GB"/>
        </w:rPr>
        <w:t>r</w:t>
      </w:r>
      <w:r w:rsidRPr="00CE0885">
        <w:rPr>
          <w:spacing w:val="8"/>
          <w:lang w:eastAsia="en-GB"/>
        </w:rPr>
        <w:t xml:space="preserve"> </w:t>
      </w:r>
      <w:r w:rsidRPr="00CE0885">
        <w:rPr>
          <w:spacing w:val="-2"/>
          <w:w w:val="101"/>
          <w:lang w:eastAsia="en-GB"/>
        </w:rPr>
        <w:t>v</w:t>
      </w:r>
      <w:r w:rsidRPr="00CE0885">
        <w:rPr>
          <w:w w:val="101"/>
          <w:lang w:eastAsia="en-GB"/>
        </w:rPr>
        <w:t>ar</w:t>
      </w:r>
      <w:r w:rsidRPr="00CE0885">
        <w:rPr>
          <w:spacing w:val="1"/>
          <w:w w:val="101"/>
          <w:lang w:eastAsia="en-GB"/>
        </w:rPr>
        <w:t>i</w:t>
      </w:r>
      <w:r w:rsidRPr="00CE0885">
        <w:rPr>
          <w:w w:val="101"/>
          <w:lang w:eastAsia="en-GB"/>
        </w:rPr>
        <w:t>at</w:t>
      </w:r>
      <w:r w:rsidRPr="00CE0885">
        <w:rPr>
          <w:spacing w:val="1"/>
          <w:w w:val="101"/>
          <w:lang w:eastAsia="en-GB"/>
        </w:rPr>
        <w:t>i</w:t>
      </w:r>
      <w:r w:rsidRPr="00CE0885">
        <w:rPr>
          <w:w w:val="101"/>
          <w:lang w:eastAsia="en-GB"/>
        </w:rPr>
        <w:t>on.</w:t>
      </w:r>
      <w:bookmarkEnd w:id="1491"/>
    </w:p>
    <w:p w14:paraId="01A2156B" w14:textId="77777777" w:rsidR="00867DFB" w:rsidRPr="00CE0885" w:rsidRDefault="00867DFB" w:rsidP="00EF04D7">
      <w:pPr>
        <w:pStyle w:val="Heading3"/>
        <w:rPr>
          <w:lang w:eastAsia="en-GB"/>
        </w:rPr>
      </w:pPr>
      <w:bookmarkStart w:id="1492" w:name="_Ref409800084"/>
      <w:bookmarkStart w:id="1493" w:name="_Toc440982846"/>
      <w:r w:rsidRPr="00CE0885">
        <w:rPr>
          <w:lang w:eastAsia="en-GB"/>
        </w:rPr>
        <w:t>Ideally, a</w:t>
      </w:r>
      <w:r w:rsidRPr="00CE0885">
        <w:rPr>
          <w:spacing w:val="3"/>
          <w:lang w:eastAsia="en-GB"/>
        </w:rPr>
        <w:t xml:space="preserve"> s</w:t>
      </w:r>
      <w:r w:rsidRPr="00CE0885">
        <w:rPr>
          <w:spacing w:val="-3"/>
          <w:lang w:eastAsia="en-GB"/>
        </w:rPr>
        <w:t>u</w:t>
      </w:r>
      <w:r w:rsidRPr="00CE0885">
        <w:rPr>
          <w:spacing w:val="1"/>
          <w:lang w:eastAsia="en-GB"/>
        </w:rPr>
        <w:t>r</w:t>
      </w:r>
      <w:r w:rsidRPr="00CE0885">
        <w:rPr>
          <w:spacing w:val="-2"/>
          <w:lang w:eastAsia="en-GB"/>
        </w:rPr>
        <w:t>v</w:t>
      </w:r>
      <w:r w:rsidRPr="00CE0885">
        <w:rPr>
          <w:spacing w:val="3"/>
          <w:lang w:eastAsia="en-GB"/>
        </w:rPr>
        <w:t>i</w:t>
      </w:r>
      <w:r w:rsidRPr="00CE0885">
        <w:rPr>
          <w:spacing w:val="-2"/>
          <w:lang w:eastAsia="en-GB"/>
        </w:rPr>
        <w:t>v</w:t>
      </w:r>
      <w:r w:rsidRPr="00CE0885">
        <w:rPr>
          <w:spacing w:val="3"/>
          <w:lang w:eastAsia="en-GB"/>
        </w:rPr>
        <w:t>i</w:t>
      </w:r>
      <w:r w:rsidRPr="00CE0885">
        <w:rPr>
          <w:spacing w:val="-3"/>
          <w:lang w:eastAsia="en-GB"/>
        </w:rPr>
        <w:t>n</w:t>
      </w:r>
      <w:r w:rsidRPr="00CE0885">
        <w:rPr>
          <w:lang w:eastAsia="en-GB"/>
        </w:rPr>
        <w:t>g</w:t>
      </w:r>
      <w:r w:rsidRPr="00CE0885">
        <w:rPr>
          <w:spacing w:val="10"/>
          <w:lang w:eastAsia="en-GB"/>
        </w:rPr>
        <w:t xml:space="preserve"> </w:t>
      </w:r>
      <w:r w:rsidRPr="00CE0885">
        <w:rPr>
          <w:spacing w:val="1"/>
          <w:lang w:eastAsia="en-GB"/>
        </w:rPr>
        <w:t>si</w:t>
      </w:r>
      <w:r w:rsidRPr="00CE0885">
        <w:rPr>
          <w:lang w:eastAsia="en-GB"/>
        </w:rPr>
        <w:t>g</w:t>
      </w:r>
      <w:r w:rsidRPr="00CE0885">
        <w:rPr>
          <w:spacing w:val="-3"/>
          <w:lang w:eastAsia="en-GB"/>
        </w:rPr>
        <w:t>n</w:t>
      </w:r>
      <w:r w:rsidRPr="00CE0885">
        <w:rPr>
          <w:lang w:eastAsia="en-GB"/>
        </w:rPr>
        <w:t>a</w:t>
      </w:r>
      <w:r w:rsidRPr="00CE0885">
        <w:rPr>
          <w:spacing w:val="2"/>
          <w:lang w:eastAsia="en-GB"/>
        </w:rPr>
        <w:t>t</w:t>
      </w:r>
      <w:r w:rsidRPr="00CE0885">
        <w:rPr>
          <w:spacing w:val="-3"/>
          <w:lang w:eastAsia="en-GB"/>
        </w:rPr>
        <w:t>o</w:t>
      </w:r>
      <w:r w:rsidRPr="00CE0885">
        <w:rPr>
          <w:spacing w:val="4"/>
          <w:lang w:eastAsia="en-GB"/>
        </w:rPr>
        <w:t>r</w:t>
      </w:r>
      <w:r w:rsidRPr="00CE0885">
        <w:rPr>
          <w:lang w:eastAsia="en-GB"/>
        </w:rPr>
        <w:t>y</w:t>
      </w:r>
      <w:r w:rsidRPr="00CE0885">
        <w:rPr>
          <w:spacing w:val="6"/>
          <w:lang w:eastAsia="en-GB"/>
        </w:rPr>
        <w:t xml:space="preserve"> </w:t>
      </w:r>
      <w:r w:rsidRPr="00CE0885">
        <w:rPr>
          <w:spacing w:val="2"/>
          <w:lang w:eastAsia="en-GB"/>
        </w:rPr>
        <w:t>t</w:t>
      </w:r>
      <w:r w:rsidRPr="00CE0885">
        <w:rPr>
          <w:lang w:eastAsia="en-GB"/>
        </w:rPr>
        <w:t>o</w:t>
      </w:r>
      <w:r w:rsidRPr="00CE0885">
        <w:rPr>
          <w:spacing w:val="3"/>
          <w:lang w:eastAsia="en-GB"/>
        </w:rPr>
        <w:t xml:space="preserve"> </w:t>
      </w:r>
      <w:r w:rsidRPr="00CE0885">
        <w:rPr>
          <w:lang w:eastAsia="en-GB"/>
        </w:rPr>
        <w:t>a</w:t>
      </w:r>
      <w:r w:rsidRPr="00CE0885">
        <w:rPr>
          <w:spacing w:val="2"/>
          <w:lang w:eastAsia="en-GB"/>
        </w:rPr>
        <w:t xml:space="preserve"> </w:t>
      </w:r>
      <w:r w:rsidRPr="00CE0885">
        <w:rPr>
          <w:lang w:eastAsia="en-GB"/>
        </w:rPr>
        <w:t>PMS</w:t>
      </w:r>
      <w:r w:rsidRPr="00CE0885">
        <w:rPr>
          <w:spacing w:val="9"/>
          <w:lang w:eastAsia="en-GB"/>
        </w:rPr>
        <w:t xml:space="preserve"> </w:t>
      </w:r>
      <w:r w:rsidRPr="00CE0885">
        <w:rPr>
          <w:spacing w:val="-3"/>
          <w:w w:val="101"/>
          <w:lang w:eastAsia="en-GB"/>
        </w:rPr>
        <w:t>a</w:t>
      </w:r>
      <w:r w:rsidRPr="00CE0885">
        <w:rPr>
          <w:w w:val="101"/>
          <w:lang w:eastAsia="en-GB"/>
        </w:rPr>
        <w:t>g</w:t>
      </w:r>
      <w:r w:rsidRPr="00CE0885">
        <w:rPr>
          <w:spacing w:val="1"/>
          <w:w w:val="101"/>
          <w:lang w:eastAsia="en-GB"/>
        </w:rPr>
        <w:t>r</w:t>
      </w:r>
      <w:r w:rsidRPr="00CE0885">
        <w:rPr>
          <w:w w:val="101"/>
          <w:lang w:eastAsia="en-GB"/>
        </w:rPr>
        <w:t>e</w:t>
      </w:r>
      <w:r w:rsidRPr="00CE0885">
        <w:rPr>
          <w:spacing w:val="2"/>
          <w:w w:val="101"/>
          <w:lang w:eastAsia="en-GB"/>
        </w:rPr>
        <w:t>em</w:t>
      </w:r>
      <w:r w:rsidRPr="00CE0885">
        <w:rPr>
          <w:spacing w:val="-3"/>
          <w:w w:val="101"/>
          <w:lang w:eastAsia="en-GB"/>
        </w:rPr>
        <w:t>e</w:t>
      </w:r>
      <w:r w:rsidRPr="00CE0885">
        <w:rPr>
          <w:w w:val="101"/>
          <w:lang w:eastAsia="en-GB"/>
        </w:rPr>
        <w:t xml:space="preserve">nt will </w:t>
      </w:r>
      <w:r w:rsidRPr="00CE0885">
        <w:rPr>
          <w:spacing w:val="-3"/>
          <w:lang w:eastAsia="en-GB"/>
        </w:rPr>
        <w:t>n</w:t>
      </w:r>
      <w:r w:rsidRPr="00CE0885">
        <w:rPr>
          <w:lang w:eastAsia="en-GB"/>
        </w:rPr>
        <w:t>ot</w:t>
      </w:r>
      <w:r w:rsidRPr="00CE0885">
        <w:rPr>
          <w:spacing w:val="1"/>
          <w:lang w:eastAsia="en-GB"/>
        </w:rPr>
        <w:t>i</w:t>
      </w:r>
      <w:r w:rsidRPr="00CE0885">
        <w:rPr>
          <w:spacing w:val="5"/>
          <w:lang w:eastAsia="en-GB"/>
        </w:rPr>
        <w:t>f</w:t>
      </w:r>
      <w:r w:rsidRPr="00CE0885">
        <w:rPr>
          <w:lang w:eastAsia="en-GB"/>
        </w:rPr>
        <w:t xml:space="preserve">y </w:t>
      </w:r>
      <w:r w:rsidRPr="00CE0885">
        <w:rPr>
          <w:spacing w:val="2"/>
          <w:lang w:eastAsia="en-GB"/>
        </w:rPr>
        <w:t>t</w:t>
      </w:r>
      <w:r w:rsidRPr="00CE0885">
        <w:rPr>
          <w:lang w:eastAsia="en-GB"/>
        </w:rPr>
        <w:t>he</w:t>
      </w:r>
      <w:r w:rsidRPr="00CE0885">
        <w:rPr>
          <w:spacing w:val="4"/>
          <w:lang w:eastAsia="en-GB"/>
        </w:rPr>
        <w:t xml:space="preserve"> </w:t>
      </w:r>
      <w:r w:rsidRPr="00CE0885">
        <w:rPr>
          <w:lang w:eastAsia="en-GB"/>
        </w:rPr>
        <w:t>Commissioner</w:t>
      </w:r>
      <w:r w:rsidRPr="00CE0885">
        <w:rPr>
          <w:spacing w:val="5"/>
          <w:lang w:eastAsia="en-GB"/>
        </w:rPr>
        <w:t xml:space="preserve"> </w:t>
      </w:r>
      <w:r w:rsidRPr="00CE0885">
        <w:rPr>
          <w:spacing w:val="1"/>
          <w:lang w:eastAsia="en-GB"/>
        </w:rPr>
        <w:t>i</w:t>
      </w:r>
      <w:r w:rsidRPr="00CE0885">
        <w:rPr>
          <w:lang w:eastAsia="en-GB"/>
        </w:rPr>
        <w:t>n</w:t>
      </w:r>
      <w:r w:rsidRPr="00CE0885">
        <w:rPr>
          <w:spacing w:val="3"/>
          <w:lang w:eastAsia="en-GB"/>
        </w:rPr>
        <w:t xml:space="preserve"> </w:t>
      </w:r>
      <w:r w:rsidRPr="00CE0885">
        <w:rPr>
          <w:lang w:eastAsia="en-GB"/>
        </w:rPr>
        <w:t>wr</w:t>
      </w:r>
      <w:r w:rsidRPr="00CE0885">
        <w:rPr>
          <w:spacing w:val="3"/>
          <w:lang w:eastAsia="en-GB"/>
        </w:rPr>
        <w:t>i</w:t>
      </w:r>
      <w:r w:rsidRPr="00CE0885">
        <w:rPr>
          <w:lang w:eastAsia="en-GB"/>
        </w:rPr>
        <w:t>ting</w:t>
      </w:r>
      <w:r w:rsidRPr="00CE0885">
        <w:rPr>
          <w:spacing w:val="10"/>
          <w:lang w:eastAsia="en-GB"/>
        </w:rPr>
        <w:t xml:space="preserve"> </w:t>
      </w:r>
      <w:r w:rsidRPr="00CE0885">
        <w:rPr>
          <w:spacing w:val="-3"/>
          <w:lang w:eastAsia="en-GB"/>
        </w:rPr>
        <w:t>a</w:t>
      </w:r>
      <w:r w:rsidRPr="00CE0885">
        <w:rPr>
          <w:lang w:eastAsia="en-GB"/>
        </w:rPr>
        <w:t>s</w:t>
      </w:r>
      <w:r w:rsidRPr="00CE0885">
        <w:rPr>
          <w:spacing w:val="4"/>
          <w:lang w:eastAsia="en-GB"/>
        </w:rPr>
        <w:t xml:space="preserve"> </w:t>
      </w:r>
      <w:r w:rsidRPr="00CE0885">
        <w:rPr>
          <w:spacing w:val="1"/>
          <w:lang w:eastAsia="en-GB"/>
        </w:rPr>
        <w:t>s</w:t>
      </w:r>
      <w:r w:rsidRPr="00CE0885">
        <w:rPr>
          <w:lang w:eastAsia="en-GB"/>
        </w:rPr>
        <w:t>oon</w:t>
      </w:r>
      <w:r w:rsidRPr="00CE0885">
        <w:rPr>
          <w:spacing w:val="8"/>
          <w:lang w:eastAsia="en-GB"/>
        </w:rPr>
        <w:t xml:space="preserve"> </w:t>
      </w:r>
      <w:r w:rsidRPr="00CE0885">
        <w:rPr>
          <w:spacing w:val="-3"/>
          <w:lang w:eastAsia="en-GB"/>
        </w:rPr>
        <w:t>a</w:t>
      </w:r>
      <w:r w:rsidRPr="00CE0885">
        <w:rPr>
          <w:lang w:eastAsia="en-GB"/>
        </w:rPr>
        <w:t>s</w:t>
      </w:r>
      <w:r w:rsidRPr="00CE0885">
        <w:rPr>
          <w:spacing w:val="4"/>
          <w:lang w:eastAsia="en-GB"/>
        </w:rPr>
        <w:t xml:space="preserve"> </w:t>
      </w:r>
      <w:r w:rsidRPr="00CE0885">
        <w:rPr>
          <w:lang w:eastAsia="en-GB"/>
        </w:rPr>
        <w:t>r</w:t>
      </w:r>
      <w:r w:rsidRPr="00CE0885">
        <w:rPr>
          <w:spacing w:val="2"/>
          <w:lang w:eastAsia="en-GB"/>
        </w:rPr>
        <w:t>e</w:t>
      </w:r>
      <w:r w:rsidRPr="00CE0885">
        <w:rPr>
          <w:spacing w:val="-3"/>
          <w:lang w:eastAsia="en-GB"/>
        </w:rPr>
        <w:t>a</w:t>
      </w:r>
      <w:r w:rsidRPr="00CE0885">
        <w:rPr>
          <w:spacing w:val="3"/>
          <w:lang w:eastAsia="en-GB"/>
        </w:rPr>
        <w:t>s</w:t>
      </w:r>
      <w:r w:rsidRPr="00CE0885">
        <w:rPr>
          <w:spacing w:val="-3"/>
          <w:lang w:eastAsia="en-GB"/>
        </w:rPr>
        <w:t>o</w:t>
      </w:r>
      <w:r w:rsidRPr="00CE0885">
        <w:rPr>
          <w:spacing w:val="2"/>
          <w:lang w:eastAsia="en-GB"/>
        </w:rPr>
        <w:t>n</w:t>
      </w:r>
      <w:r w:rsidRPr="00CE0885">
        <w:rPr>
          <w:lang w:eastAsia="en-GB"/>
        </w:rPr>
        <w:t>ab</w:t>
      </w:r>
      <w:r w:rsidRPr="00CE0885">
        <w:rPr>
          <w:spacing w:val="3"/>
          <w:lang w:eastAsia="en-GB"/>
        </w:rPr>
        <w:t>l</w:t>
      </w:r>
      <w:r w:rsidRPr="00CE0885">
        <w:rPr>
          <w:lang w:eastAsia="en-GB"/>
        </w:rPr>
        <w:t>y</w:t>
      </w:r>
      <w:r w:rsidRPr="00CE0885">
        <w:rPr>
          <w:spacing w:val="8"/>
          <w:lang w:eastAsia="en-GB"/>
        </w:rPr>
        <w:t xml:space="preserve"> </w:t>
      </w:r>
      <w:r w:rsidRPr="00CE0885">
        <w:rPr>
          <w:spacing w:val="2"/>
          <w:lang w:eastAsia="en-GB"/>
        </w:rPr>
        <w:t>p</w:t>
      </w:r>
      <w:r w:rsidRPr="00CE0885">
        <w:rPr>
          <w:lang w:eastAsia="en-GB"/>
        </w:rPr>
        <w:t>r</w:t>
      </w:r>
      <w:r w:rsidRPr="00CE0885">
        <w:rPr>
          <w:spacing w:val="-3"/>
          <w:lang w:eastAsia="en-GB"/>
        </w:rPr>
        <w:t>a</w:t>
      </w:r>
      <w:r w:rsidRPr="00CE0885">
        <w:rPr>
          <w:spacing w:val="1"/>
          <w:lang w:eastAsia="en-GB"/>
        </w:rPr>
        <w:t>c</w:t>
      </w:r>
      <w:r w:rsidRPr="00CE0885">
        <w:rPr>
          <w:lang w:eastAsia="en-GB"/>
        </w:rPr>
        <w:t>t</w:t>
      </w:r>
      <w:r w:rsidRPr="00CE0885">
        <w:rPr>
          <w:spacing w:val="3"/>
          <w:lang w:eastAsia="en-GB"/>
        </w:rPr>
        <w:t>i</w:t>
      </w:r>
      <w:r w:rsidRPr="00CE0885">
        <w:rPr>
          <w:spacing w:val="-2"/>
          <w:lang w:eastAsia="en-GB"/>
        </w:rPr>
        <w:t>c</w:t>
      </w:r>
      <w:r w:rsidRPr="00CE0885">
        <w:rPr>
          <w:lang w:eastAsia="en-GB"/>
        </w:rPr>
        <w:t>a</w:t>
      </w:r>
      <w:r w:rsidRPr="00CE0885">
        <w:rPr>
          <w:spacing w:val="-3"/>
          <w:lang w:eastAsia="en-GB"/>
        </w:rPr>
        <w:t>b</w:t>
      </w:r>
      <w:r w:rsidRPr="00CE0885">
        <w:rPr>
          <w:spacing w:val="3"/>
          <w:lang w:eastAsia="en-GB"/>
        </w:rPr>
        <w:t>l</w:t>
      </w:r>
      <w:r w:rsidRPr="00CE0885">
        <w:rPr>
          <w:lang w:eastAsia="en-GB"/>
        </w:rPr>
        <w:t>e</w:t>
      </w:r>
      <w:r w:rsidRPr="00CE0885">
        <w:rPr>
          <w:spacing w:val="14"/>
          <w:lang w:eastAsia="en-GB"/>
        </w:rPr>
        <w:t xml:space="preserve"> </w:t>
      </w:r>
      <w:r w:rsidRPr="00CE0885">
        <w:rPr>
          <w:spacing w:val="-3"/>
          <w:lang w:eastAsia="en-GB"/>
        </w:rPr>
        <w:t>o</w:t>
      </w:r>
      <w:r w:rsidRPr="00CE0885">
        <w:rPr>
          <w:lang w:eastAsia="en-GB"/>
        </w:rPr>
        <w:t>f</w:t>
      </w:r>
      <w:r w:rsidRPr="00CE0885">
        <w:rPr>
          <w:spacing w:val="8"/>
          <w:lang w:eastAsia="en-GB"/>
        </w:rPr>
        <w:t xml:space="preserve"> </w:t>
      </w:r>
      <w:r w:rsidRPr="00CE0885">
        <w:rPr>
          <w:lang w:eastAsia="en-GB"/>
        </w:rPr>
        <w:t>t</w:t>
      </w:r>
      <w:r w:rsidRPr="00CE0885">
        <w:rPr>
          <w:spacing w:val="-3"/>
          <w:lang w:eastAsia="en-GB"/>
        </w:rPr>
        <w:t>h</w:t>
      </w:r>
      <w:r w:rsidRPr="00CE0885">
        <w:rPr>
          <w:lang w:eastAsia="en-GB"/>
        </w:rPr>
        <w:t>e</w:t>
      </w:r>
      <w:r w:rsidRPr="00CE0885">
        <w:rPr>
          <w:spacing w:val="4"/>
          <w:lang w:eastAsia="en-GB"/>
        </w:rPr>
        <w:t xml:space="preserve"> </w:t>
      </w:r>
      <w:r w:rsidRPr="00CE0885">
        <w:rPr>
          <w:spacing w:val="2"/>
          <w:lang w:eastAsia="en-GB"/>
        </w:rPr>
        <w:t>d</w:t>
      </w:r>
      <w:r w:rsidRPr="00CE0885">
        <w:rPr>
          <w:spacing w:val="-3"/>
          <w:lang w:eastAsia="en-GB"/>
        </w:rPr>
        <w:t>e</w:t>
      </w:r>
      <w:r w:rsidRPr="00CE0885">
        <w:rPr>
          <w:lang w:eastAsia="en-GB"/>
        </w:rPr>
        <w:t>a</w:t>
      </w:r>
      <w:r w:rsidRPr="00CE0885">
        <w:rPr>
          <w:spacing w:val="2"/>
          <w:lang w:eastAsia="en-GB"/>
        </w:rPr>
        <w:t>t</w:t>
      </w:r>
      <w:r w:rsidRPr="00CE0885">
        <w:rPr>
          <w:lang w:eastAsia="en-GB"/>
        </w:rPr>
        <w:t>h</w:t>
      </w:r>
      <w:r w:rsidRPr="00CE0885">
        <w:rPr>
          <w:spacing w:val="7"/>
          <w:lang w:eastAsia="en-GB"/>
        </w:rPr>
        <w:t xml:space="preserve"> </w:t>
      </w:r>
      <w:r w:rsidRPr="00CE0885">
        <w:rPr>
          <w:spacing w:val="-3"/>
          <w:w w:val="101"/>
          <w:lang w:eastAsia="en-GB"/>
        </w:rPr>
        <w:t>o</w:t>
      </w:r>
      <w:r w:rsidRPr="00CE0885">
        <w:rPr>
          <w:w w:val="101"/>
          <w:lang w:eastAsia="en-GB"/>
        </w:rPr>
        <w:t xml:space="preserve">f </w:t>
      </w:r>
      <w:r w:rsidRPr="00CE0885">
        <w:rPr>
          <w:lang w:eastAsia="en-GB"/>
        </w:rPr>
        <w:t>t</w:t>
      </w:r>
      <w:r w:rsidRPr="00CE0885">
        <w:rPr>
          <w:spacing w:val="-3"/>
          <w:lang w:eastAsia="en-GB"/>
        </w:rPr>
        <w:t>h</w:t>
      </w:r>
      <w:r w:rsidRPr="00CE0885">
        <w:rPr>
          <w:lang w:eastAsia="en-GB"/>
        </w:rPr>
        <w:t>e</w:t>
      </w:r>
      <w:r w:rsidRPr="00CE0885">
        <w:rPr>
          <w:spacing w:val="1"/>
          <w:lang w:eastAsia="en-GB"/>
        </w:rPr>
        <w:t>i</w:t>
      </w:r>
      <w:r w:rsidRPr="00CE0885">
        <w:rPr>
          <w:lang w:eastAsia="en-GB"/>
        </w:rPr>
        <w:t>r</w:t>
      </w:r>
      <w:r w:rsidRPr="00CE0885">
        <w:rPr>
          <w:spacing w:val="6"/>
          <w:lang w:eastAsia="en-GB"/>
        </w:rPr>
        <w:t xml:space="preserve"> </w:t>
      </w:r>
      <w:r w:rsidRPr="00CE0885">
        <w:rPr>
          <w:spacing w:val="-2"/>
          <w:w w:val="101"/>
          <w:lang w:eastAsia="en-GB"/>
        </w:rPr>
        <w:t>c</w:t>
      </w:r>
      <w:r w:rsidRPr="00CE0885">
        <w:rPr>
          <w:w w:val="101"/>
          <w:lang w:eastAsia="en-GB"/>
        </w:rPr>
        <w:t>o-</w:t>
      </w:r>
      <w:r w:rsidRPr="00CE0885">
        <w:rPr>
          <w:spacing w:val="1"/>
          <w:w w:val="101"/>
          <w:lang w:eastAsia="en-GB"/>
        </w:rPr>
        <w:t>si</w:t>
      </w:r>
      <w:r w:rsidRPr="00CE0885">
        <w:rPr>
          <w:spacing w:val="2"/>
          <w:w w:val="101"/>
          <w:lang w:eastAsia="en-GB"/>
        </w:rPr>
        <w:t>g</w:t>
      </w:r>
      <w:r w:rsidRPr="00CE0885">
        <w:rPr>
          <w:spacing w:val="-3"/>
          <w:w w:val="101"/>
          <w:lang w:eastAsia="en-GB"/>
        </w:rPr>
        <w:t>n</w:t>
      </w:r>
      <w:r w:rsidRPr="00CE0885">
        <w:rPr>
          <w:w w:val="101"/>
          <w:lang w:eastAsia="en-GB"/>
        </w:rPr>
        <w:t>a</w:t>
      </w:r>
      <w:r w:rsidRPr="00CE0885">
        <w:rPr>
          <w:spacing w:val="2"/>
          <w:w w:val="101"/>
          <w:lang w:eastAsia="en-GB"/>
        </w:rPr>
        <w:t>t</w:t>
      </w:r>
      <w:r w:rsidRPr="00CE0885">
        <w:rPr>
          <w:spacing w:val="-3"/>
          <w:w w:val="101"/>
          <w:lang w:eastAsia="en-GB"/>
        </w:rPr>
        <w:t>o</w:t>
      </w:r>
      <w:r w:rsidRPr="00CE0885">
        <w:rPr>
          <w:spacing w:val="1"/>
          <w:w w:val="101"/>
          <w:lang w:eastAsia="en-GB"/>
        </w:rPr>
        <w:t>r</w:t>
      </w:r>
      <w:r w:rsidRPr="00CE0885">
        <w:rPr>
          <w:spacing w:val="-2"/>
          <w:w w:val="101"/>
          <w:lang w:eastAsia="en-GB"/>
        </w:rPr>
        <w:t>y</w:t>
      </w:r>
      <w:r w:rsidRPr="00CE0885">
        <w:rPr>
          <w:w w:val="101"/>
          <w:lang w:eastAsia="en-GB"/>
        </w:rPr>
        <w:t>.</w:t>
      </w:r>
      <w:bookmarkEnd w:id="1492"/>
      <w:bookmarkEnd w:id="1493"/>
      <w:r w:rsidRPr="00CE0885">
        <w:rPr>
          <w:w w:val="101"/>
          <w:lang w:eastAsia="en-GB"/>
        </w:rPr>
        <w:t xml:space="preserve"> </w:t>
      </w:r>
    </w:p>
    <w:p w14:paraId="421C48AB" w14:textId="77777777" w:rsidR="00867DFB" w:rsidRPr="00CE0885" w:rsidRDefault="00867DFB" w:rsidP="00EF04D7">
      <w:pPr>
        <w:pStyle w:val="Heading3"/>
        <w:rPr>
          <w:lang w:eastAsia="en-GB"/>
        </w:rPr>
      </w:pPr>
      <w:bookmarkStart w:id="1494" w:name="_Toc440982847"/>
      <w:r w:rsidRPr="00CE0885">
        <w:rPr>
          <w:lang w:eastAsia="en-GB"/>
        </w:rPr>
        <w:t>U</w:t>
      </w:r>
      <w:r w:rsidRPr="00CE0885">
        <w:rPr>
          <w:spacing w:val="-3"/>
          <w:lang w:eastAsia="en-GB"/>
        </w:rPr>
        <w:t>p</w:t>
      </w:r>
      <w:r w:rsidRPr="00CE0885">
        <w:rPr>
          <w:spacing w:val="2"/>
          <w:lang w:eastAsia="en-GB"/>
        </w:rPr>
        <w:t>o</w:t>
      </w:r>
      <w:r w:rsidRPr="00CE0885">
        <w:rPr>
          <w:lang w:eastAsia="en-GB"/>
        </w:rPr>
        <w:t>n</w:t>
      </w:r>
      <w:r w:rsidRPr="00CE0885">
        <w:rPr>
          <w:spacing w:val="3"/>
          <w:lang w:eastAsia="en-GB"/>
        </w:rPr>
        <w:t xml:space="preserve"> </w:t>
      </w:r>
      <w:r w:rsidRPr="00CE0885">
        <w:rPr>
          <w:spacing w:val="4"/>
          <w:lang w:eastAsia="en-GB"/>
        </w:rPr>
        <w:t>r</w:t>
      </w:r>
      <w:r w:rsidRPr="00CE0885">
        <w:rPr>
          <w:spacing w:val="-3"/>
          <w:lang w:eastAsia="en-GB"/>
        </w:rPr>
        <w:t>e</w:t>
      </w:r>
      <w:r w:rsidRPr="00CE0885">
        <w:rPr>
          <w:spacing w:val="1"/>
          <w:lang w:eastAsia="en-GB"/>
        </w:rPr>
        <w:t>c</w:t>
      </w:r>
      <w:r w:rsidRPr="00CE0885">
        <w:rPr>
          <w:spacing w:val="-3"/>
          <w:lang w:eastAsia="en-GB"/>
        </w:rPr>
        <w:t>e</w:t>
      </w:r>
      <w:r w:rsidRPr="00CE0885">
        <w:rPr>
          <w:spacing w:val="3"/>
          <w:lang w:eastAsia="en-GB"/>
        </w:rPr>
        <w:t>i</w:t>
      </w:r>
      <w:r w:rsidRPr="00CE0885">
        <w:rPr>
          <w:spacing w:val="-3"/>
          <w:lang w:eastAsia="en-GB"/>
        </w:rPr>
        <w:t>p</w:t>
      </w:r>
      <w:r w:rsidRPr="00CE0885">
        <w:rPr>
          <w:lang w:eastAsia="en-GB"/>
        </w:rPr>
        <w:t>t</w:t>
      </w:r>
      <w:r w:rsidRPr="00CE0885">
        <w:rPr>
          <w:spacing w:val="10"/>
          <w:lang w:eastAsia="en-GB"/>
        </w:rPr>
        <w:t xml:space="preserve"> </w:t>
      </w:r>
      <w:r w:rsidRPr="00CE0885">
        <w:rPr>
          <w:spacing w:val="-3"/>
          <w:lang w:eastAsia="en-GB"/>
        </w:rPr>
        <w:t>o</w:t>
      </w:r>
      <w:r w:rsidRPr="00CE0885">
        <w:rPr>
          <w:lang w:eastAsia="en-GB"/>
        </w:rPr>
        <w:t>f</w:t>
      </w:r>
      <w:r w:rsidRPr="00CE0885">
        <w:rPr>
          <w:spacing w:val="8"/>
          <w:lang w:eastAsia="en-GB"/>
        </w:rPr>
        <w:t xml:space="preserve"> </w:t>
      </w:r>
      <w:r w:rsidRPr="00CE0885">
        <w:rPr>
          <w:lang w:eastAsia="en-GB"/>
        </w:rPr>
        <w:t>t</w:t>
      </w:r>
      <w:r w:rsidRPr="00CE0885">
        <w:rPr>
          <w:spacing w:val="-3"/>
          <w:lang w:eastAsia="en-GB"/>
        </w:rPr>
        <w:t>h</w:t>
      </w:r>
      <w:r w:rsidRPr="00CE0885">
        <w:rPr>
          <w:lang w:eastAsia="en-GB"/>
        </w:rPr>
        <w:t>e</w:t>
      </w:r>
      <w:r w:rsidRPr="00CE0885">
        <w:rPr>
          <w:spacing w:val="4"/>
          <w:lang w:eastAsia="en-GB"/>
        </w:rPr>
        <w:t xml:space="preserve"> </w:t>
      </w:r>
      <w:r w:rsidRPr="00CE0885">
        <w:rPr>
          <w:spacing w:val="2"/>
          <w:lang w:eastAsia="en-GB"/>
        </w:rPr>
        <w:t>n</w:t>
      </w:r>
      <w:r w:rsidRPr="00CE0885">
        <w:rPr>
          <w:spacing w:val="-3"/>
          <w:lang w:eastAsia="en-GB"/>
        </w:rPr>
        <w:t>o</w:t>
      </w:r>
      <w:r w:rsidRPr="00CE0885">
        <w:rPr>
          <w:spacing w:val="5"/>
          <w:lang w:eastAsia="en-GB"/>
        </w:rPr>
        <w:t>t</w:t>
      </w:r>
      <w:r w:rsidRPr="00CE0885">
        <w:rPr>
          <w:lang w:eastAsia="en-GB"/>
        </w:rPr>
        <w:t>if</w:t>
      </w:r>
      <w:r w:rsidRPr="00CE0885">
        <w:rPr>
          <w:spacing w:val="3"/>
          <w:lang w:eastAsia="en-GB"/>
        </w:rPr>
        <w:t>i</w:t>
      </w:r>
      <w:r w:rsidRPr="00CE0885">
        <w:rPr>
          <w:spacing w:val="-2"/>
          <w:lang w:eastAsia="en-GB"/>
        </w:rPr>
        <w:t>c</w:t>
      </w:r>
      <w:r w:rsidRPr="00CE0885">
        <w:rPr>
          <w:lang w:eastAsia="en-GB"/>
        </w:rPr>
        <w:t>at</w:t>
      </w:r>
      <w:r w:rsidRPr="00CE0885">
        <w:rPr>
          <w:spacing w:val="1"/>
          <w:lang w:eastAsia="en-GB"/>
        </w:rPr>
        <w:t>i</w:t>
      </w:r>
      <w:r w:rsidRPr="00CE0885">
        <w:rPr>
          <w:lang w:eastAsia="en-GB"/>
        </w:rPr>
        <w:t>on</w:t>
      </w:r>
      <w:r w:rsidRPr="00CE0885">
        <w:rPr>
          <w:spacing w:val="12"/>
          <w:lang w:eastAsia="en-GB"/>
        </w:rPr>
        <w:t xml:space="preserve"> </w:t>
      </w:r>
      <w:r w:rsidRPr="00CE0885">
        <w:rPr>
          <w:spacing w:val="2"/>
          <w:lang w:eastAsia="en-GB"/>
        </w:rPr>
        <w:t>f</w:t>
      </w:r>
      <w:r w:rsidRPr="00CE0885">
        <w:rPr>
          <w:lang w:eastAsia="en-GB"/>
        </w:rPr>
        <w:t>rom</w:t>
      </w:r>
      <w:r w:rsidRPr="00CE0885">
        <w:rPr>
          <w:spacing w:val="6"/>
          <w:lang w:eastAsia="en-GB"/>
        </w:rPr>
        <w:t xml:space="preserve"> </w:t>
      </w:r>
      <w:r w:rsidRPr="00CE0885">
        <w:rPr>
          <w:lang w:eastAsia="en-GB"/>
        </w:rPr>
        <w:t>t</w:t>
      </w:r>
      <w:r w:rsidRPr="00CE0885">
        <w:rPr>
          <w:spacing w:val="-3"/>
          <w:lang w:eastAsia="en-GB"/>
        </w:rPr>
        <w:t>h</w:t>
      </w:r>
      <w:r w:rsidRPr="00CE0885">
        <w:rPr>
          <w:lang w:eastAsia="en-GB"/>
        </w:rPr>
        <w:t>e</w:t>
      </w:r>
      <w:r w:rsidRPr="00CE0885">
        <w:rPr>
          <w:spacing w:val="4"/>
          <w:lang w:eastAsia="en-GB"/>
        </w:rPr>
        <w:t xml:space="preserve"> </w:t>
      </w:r>
      <w:r w:rsidRPr="00CE0885">
        <w:rPr>
          <w:spacing w:val="1"/>
          <w:lang w:eastAsia="en-GB"/>
        </w:rPr>
        <w:t>s</w:t>
      </w:r>
      <w:r w:rsidRPr="00CE0885">
        <w:rPr>
          <w:spacing w:val="-3"/>
          <w:lang w:eastAsia="en-GB"/>
        </w:rPr>
        <w:t>u</w:t>
      </w:r>
      <w:r w:rsidRPr="00CE0885">
        <w:rPr>
          <w:spacing w:val="1"/>
          <w:lang w:eastAsia="en-GB"/>
        </w:rPr>
        <w:t>r</w:t>
      </w:r>
      <w:r w:rsidRPr="00CE0885">
        <w:rPr>
          <w:spacing w:val="-2"/>
          <w:lang w:eastAsia="en-GB"/>
        </w:rPr>
        <w:t>v</w:t>
      </w:r>
      <w:r w:rsidRPr="00CE0885">
        <w:rPr>
          <w:spacing w:val="3"/>
          <w:lang w:eastAsia="en-GB"/>
        </w:rPr>
        <w:t>i</w:t>
      </w:r>
      <w:r w:rsidRPr="00CE0885">
        <w:rPr>
          <w:spacing w:val="1"/>
          <w:lang w:eastAsia="en-GB"/>
        </w:rPr>
        <w:t>v</w:t>
      </w:r>
      <w:r w:rsidRPr="00CE0885">
        <w:rPr>
          <w:spacing w:val="3"/>
          <w:lang w:eastAsia="en-GB"/>
        </w:rPr>
        <w:t>i</w:t>
      </w:r>
      <w:r w:rsidRPr="00CE0885">
        <w:rPr>
          <w:spacing w:val="-3"/>
          <w:lang w:eastAsia="en-GB"/>
        </w:rPr>
        <w:t>n</w:t>
      </w:r>
      <w:r w:rsidRPr="00CE0885">
        <w:rPr>
          <w:lang w:eastAsia="en-GB"/>
        </w:rPr>
        <w:t>g</w:t>
      </w:r>
      <w:r w:rsidRPr="00CE0885">
        <w:rPr>
          <w:spacing w:val="10"/>
          <w:lang w:eastAsia="en-GB"/>
        </w:rPr>
        <w:t xml:space="preserve"> </w:t>
      </w:r>
      <w:r w:rsidRPr="00CE0885">
        <w:rPr>
          <w:lang w:eastAsia="en-GB"/>
        </w:rPr>
        <w:t>co-signatory(ies),</w:t>
      </w:r>
      <w:r w:rsidRPr="00CE0885">
        <w:rPr>
          <w:spacing w:val="9"/>
          <w:lang w:eastAsia="en-GB"/>
        </w:rPr>
        <w:t xml:space="preserve"> </w:t>
      </w:r>
      <w:r w:rsidRPr="00CE0885">
        <w:rPr>
          <w:w w:val="101"/>
          <w:lang w:eastAsia="en-GB"/>
        </w:rPr>
        <w:t xml:space="preserve">the </w:t>
      </w:r>
      <w:r w:rsidRPr="00CE0885">
        <w:rPr>
          <w:lang w:eastAsia="en-GB"/>
        </w:rPr>
        <w:t>Commissioner</w:t>
      </w:r>
      <w:r w:rsidRPr="00CE0885">
        <w:rPr>
          <w:spacing w:val="3"/>
          <w:lang w:eastAsia="en-GB"/>
        </w:rPr>
        <w:t xml:space="preserve"> </w:t>
      </w:r>
      <w:r w:rsidRPr="00CE0885">
        <w:rPr>
          <w:spacing w:val="-3"/>
          <w:lang w:eastAsia="en-GB"/>
        </w:rPr>
        <w:t>w</w:t>
      </w:r>
      <w:r w:rsidRPr="00CE0885">
        <w:rPr>
          <w:spacing w:val="3"/>
          <w:lang w:eastAsia="en-GB"/>
        </w:rPr>
        <w:t>i</w:t>
      </w:r>
      <w:r w:rsidRPr="00CE0885">
        <w:rPr>
          <w:lang w:eastAsia="en-GB"/>
        </w:rPr>
        <w:t>ll</w:t>
      </w:r>
      <w:r w:rsidRPr="00CE0885">
        <w:rPr>
          <w:spacing w:val="7"/>
          <w:lang w:eastAsia="en-GB"/>
        </w:rPr>
        <w:t xml:space="preserve"> </w:t>
      </w:r>
      <w:r w:rsidRPr="00CE0885">
        <w:rPr>
          <w:spacing w:val="-3"/>
          <w:lang w:eastAsia="en-GB"/>
        </w:rPr>
        <w:t>n</w:t>
      </w:r>
      <w:r w:rsidRPr="00CE0885">
        <w:rPr>
          <w:lang w:eastAsia="en-GB"/>
        </w:rPr>
        <w:t>eed</w:t>
      </w:r>
      <w:r w:rsidRPr="00CE0885">
        <w:rPr>
          <w:spacing w:val="6"/>
          <w:lang w:eastAsia="en-GB"/>
        </w:rPr>
        <w:t xml:space="preserve"> </w:t>
      </w:r>
      <w:r w:rsidRPr="00CE0885">
        <w:rPr>
          <w:spacing w:val="2"/>
          <w:lang w:eastAsia="en-GB"/>
        </w:rPr>
        <w:t>t</w:t>
      </w:r>
      <w:r w:rsidRPr="00CE0885">
        <w:rPr>
          <w:lang w:eastAsia="en-GB"/>
        </w:rPr>
        <w:t xml:space="preserve">o </w:t>
      </w:r>
      <w:r w:rsidRPr="00CE0885">
        <w:rPr>
          <w:spacing w:val="1"/>
          <w:lang w:eastAsia="en-GB"/>
        </w:rPr>
        <w:t>c</w:t>
      </w:r>
      <w:r w:rsidRPr="00CE0885">
        <w:rPr>
          <w:lang w:eastAsia="en-GB"/>
        </w:rPr>
        <w:t>on</w:t>
      </w:r>
      <w:r w:rsidRPr="00CE0885">
        <w:rPr>
          <w:spacing w:val="1"/>
          <w:lang w:eastAsia="en-GB"/>
        </w:rPr>
        <w:t>si</w:t>
      </w:r>
      <w:r w:rsidRPr="00CE0885">
        <w:rPr>
          <w:spacing w:val="2"/>
          <w:lang w:eastAsia="en-GB"/>
        </w:rPr>
        <w:t>d</w:t>
      </w:r>
      <w:r w:rsidRPr="00CE0885">
        <w:rPr>
          <w:spacing w:val="-3"/>
          <w:lang w:eastAsia="en-GB"/>
        </w:rPr>
        <w:t>e</w:t>
      </w:r>
      <w:r w:rsidRPr="00CE0885">
        <w:rPr>
          <w:lang w:eastAsia="en-GB"/>
        </w:rPr>
        <w:t>r</w:t>
      </w:r>
      <w:r w:rsidRPr="00CE0885">
        <w:rPr>
          <w:spacing w:val="9"/>
          <w:lang w:eastAsia="en-GB"/>
        </w:rPr>
        <w:t xml:space="preserve"> </w:t>
      </w:r>
      <w:r w:rsidRPr="00CE0885">
        <w:rPr>
          <w:spacing w:val="2"/>
          <w:lang w:eastAsia="en-GB"/>
        </w:rPr>
        <w:t>t</w:t>
      </w:r>
      <w:r w:rsidRPr="00CE0885">
        <w:rPr>
          <w:lang w:eastAsia="en-GB"/>
        </w:rPr>
        <w:t>he</w:t>
      </w:r>
      <w:r w:rsidRPr="00CE0885">
        <w:rPr>
          <w:spacing w:val="4"/>
          <w:lang w:eastAsia="en-GB"/>
        </w:rPr>
        <w:t xml:space="preserve"> </w:t>
      </w:r>
      <w:r w:rsidRPr="00CE0885">
        <w:rPr>
          <w:spacing w:val="1"/>
          <w:lang w:eastAsia="en-GB"/>
        </w:rPr>
        <w:t>i</w:t>
      </w:r>
      <w:r w:rsidRPr="00CE0885">
        <w:rPr>
          <w:spacing w:val="2"/>
          <w:lang w:eastAsia="en-GB"/>
        </w:rPr>
        <w:t>m</w:t>
      </w:r>
      <w:r w:rsidRPr="00CE0885">
        <w:rPr>
          <w:lang w:eastAsia="en-GB"/>
        </w:rPr>
        <w:t>pl</w:t>
      </w:r>
      <w:r w:rsidRPr="00CE0885">
        <w:rPr>
          <w:spacing w:val="3"/>
          <w:lang w:eastAsia="en-GB"/>
        </w:rPr>
        <w:t>i</w:t>
      </w:r>
      <w:r w:rsidRPr="00CE0885">
        <w:rPr>
          <w:spacing w:val="-2"/>
          <w:lang w:eastAsia="en-GB"/>
        </w:rPr>
        <w:t>c</w:t>
      </w:r>
      <w:r w:rsidRPr="00CE0885">
        <w:rPr>
          <w:lang w:eastAsia="en-GB"/>
        </w:rPr>
        <w:t>at</w:t>
      </w:r>
      <w:r w:rsidRPr="00CE0885">
        <w:rPr>
          <w:spacing w:val="1"/>
          <w:lang w:eastAsia="en-GB"/>
        </w:rPr>
        <w:t>i</w:t>
      </w:r>
      <w:r w:rsidRPr="00CE0885">
        <w:rPr>
          <w:lang w:eastAsia="en-GB"/>
        </w:rPr>
        <w:t>o</w:t>
      </w:r>
      <w:r w:rsidRPr="00CE0885">
        <w:rPr>
          <w:spacing w:val="-3"/>
          <w:lang w:eastAsia="en-GB"/>
        </w:rPr>
        <w:t>n</w:t>
      </w:r>
      <w:r w:rsidRPr="00CE0885">
        <w:rPr>
          <w:lang w:eastAsia="en-GB"/>
        </w:rPr>
        <w:t>s</w:t>
      </w:r>
      <w:r w:rsidRPr="00CE0885">
        <w:rPr>
          <w:spacing w:val="14"/>
          <w:lang w:eastAsia="en-GB"/>
        </w:rPr>
        <w:t xml:space="preserve"> </w:t>
      </w:r>
      <w:r w:rsidRPr="00CE0885">
        <w:rPr>
          <w:spacing w:val="2"/>
          <w:lang w:eastAsia="en-GB"/>
        </w:rPr>
        <w:t>t</w:t>
      </w:r>
      <w:r w:rsidRPr="00CE0885">
        <w:rPr>
          <w:spacing w:val="-3"/>
          <w:lang w:eastAsia="en-GB"/>
        </w:rPr>
        <w:t>h</w:t>
      </w:r>
      <w:r w:rsidRPr="00CE0885">
        <w:rPr>
          <w:lang w:eastAsia="en-GB"/>
        </w:rPr>
        <w:t>at</w:t>
      </w:r>
      <w:r w:rsidRPr="00CE0885">
        <w:rPr>
          <w:spacing w:val="7"/>
          <w:lang w:eastAsia="en-GB"/>
        </w:rPr>
        <w:t xml:space="preserve"> </w:t>
      </w:r>
      <w:r w:rsidRPr="00CE0885">
        <w:rPr>
          <w:lang w:eastAsia="en-GB"/>
        </w:rPr>
        <w:t>the</w:t>
      </w:r>
      <w:r w:rsidRPr="00CE0885">
        <w:rPr>
          <w:spacing w:val="4"/>
          <w:lang w:eastAsia="en-GB"/>
        </w:rPr>
        <w:t xml:space="preserve"> </w:t>
      </w:r>
      <w:r w:rsidRPr="00CE0885">
        <w:rPr>
          <w:lang w:eastAsia="en-GB"/>
        </w:rPr>
        <w:t>de</w:t>
      </w:r>
      <w:r w:rsidRPr="00CE0885">
        <w:rPr>
          <w:spacing w:val="-3"/>
          <w:lang w:eastAsia="en-GB"/>
        </w:rPr>
        <w:t>a</w:t>
      </w:r>
      <w:r w:rsidRPr="00CE0885">
        <w:rPr>
          <w:spacing w:val="5"/>
          <w:lang w:eastAsia="en-GB"/>
        </w:rPr>
        <w:t>t</w:t>
      </w:r>
      <w:r w:rsidRPr="00CE0885">
        <w:rPr>
          <w:lang w:eastAsia="en-GB"/>
        </w:rPr>
        <w:t>h</w:t>
      </w:r>
      <w:r w:rsidRPr="00CE0885">
        <w:rPr>
          <w:spacing w:val="4"/>
          <w:lang w:eastAsia="en-GB"/>
        </w:rPr>
        <w:t xml:space="preserve"> </w:t>
      </w:r>
      <w:r w:rsidRPr="00CE0885">
        <w:rPr>
          <w:lang w:eastAsia="en-GB"/>
        </w:rPr>
        <w:t>of</w:t>
      </w:r>
      <w:r w:rsidRPr="00CE0885">
        <w:rPr>
          <w:spacing w:val="5"/>
          <w:lang w:eastAsia="en-GB"/>
        </w:rPr>
        <w:t xml:space="preserve"> </w:t>
      </w:r>
      <w:r w:rsidRPr="00CE0885">
        <w:rPr>
          <w:spacing w:val="2"/>
          <w:lang w:eastAsia="en-GB"/>
        </w:rPr>
        <w:t>t</w:t>
      </w:r>
      <w:r w:rsidRPr="00CE0885">
        <w:rPr>
          <w:spacing w:val="-3"/>
          <w:lang w:eastAsia="en-GB"/>
        </w:rPr>
        <w:t>h</w:t>
      </w:r>
      <w:r w:rsidRPr="00CE0885">
        <w:rPr>
          <w:lang w:eastAsia="en-GB"/>
        </w:rPr>
        <w:t>e</w:t>
      </w:r>
      <w:r w:rsidRPr="00CE0885">
        <w:rPr>
          <w:spacing w:val="4"/>
          <w:lang w:eastAsia="en-GB"/>
        </w:rPr>
        <w:t xml:space="preserve"> co-</w:t>
      </w:r>
      <w:r w:rsidRPr="00CE0885">
        <w:rPr>
          <w:spacing w:val="1"/>
          <w:lang w:eastAsia="en-GB"/>
        </w:rPr>
        <w:t>si</w:t>
      </w:r>
      <w:r w:rsidRPr="00CE0885">
        <w:rPr>
          <w:spacing w:val="-3"/>
          <w:lang w:eastAsia="en-GB"/>
        </w:rPr>
        <w:t>g</w:t>
      </w:r>
      <w:r w:rsidRPr="00CE0885">
        <w:rPr>
          <w:spacing w:val="2"/>
          <w:lang w:eastAsia="en-GB"/>
        </w:rPr>
        <w:t>n</w:t>
      </w:r>
      <w:r w:rsidRPr="00CE0885">
        <w:rPr>
          <w:lang w:eastAsia="en-GB"/>
        </w:rPr>
        <w:t>a</w:t>
      </w:r>
      <w:r w:rsidRPr="00CE0885">
        <w:rPr>
          <w:spacing w:val="2"/>
          <w:lang w:eastAsia="en-GB"/>
        </w:rPr>
        <w:t>t</w:t>
      </w:r>
      <w:r w:rsidRPr="00CE0885">
        <w:rPr>
          <w:spacing w:val="-3"/>
          <w:lang w:eastAsia="en-GB"/>
        </w:rPr>
        <w:t>o</w:t>
      </w:r>
      <w:r w:rsidRPr="00CE0885">
        <w:rPr>
          <w:spacing w:val="1"/>
          <w:lang w:eastAsia="en-GB"/>
        </w:rPr>
        <w:t>r</w:t>
      </w:r>
      <w:r w:rsidRPr="00CE0885">
        <w:rPr>
          <w:lang w:eastAsia="en-GB"/>
        </w:rPr>
        <w:t>y</w:t>
      </w:r>
      <w:r w:rsidRPr="00CE0885">
        <w:rPr>
          <w:spacing w:val="11"/>
          <w:lang w:eastAsia="en-GB"/>
        </w:rPr>
        <w:t xml:space="preserve"> </w:t>
      </w:r>
      <w:r w:rsidRPr="00CE0885">
        <w:rPr>
          <w:spacing w:val="-3"/>
          <w:w w:val="101"/>
          <w:lang w:eastAsia="en-GB"/>
        </w:rPr>
        <w:t>w</w:t>
      </w:r>
      <w:r w:rsidRPr="00CE0885">
        <w:rPr>
          <w:spacing w:val="3"/>
          <w:w w:val="101"/>
          <w:lang w:eastAsia="en-GB"/>
        </w:rPr>
        <w:t>i</w:t>
      </w:r>
      <w:r w:rsidRPr="00CE0885">
        <w:rPr>
          <w:spacing w:val="1"/>
          <w:w w:val="101"/>
          <w:lang w:eastAsia="en-GB"/>
        </w:rPr>
        <w:t>l</w:t>
      </w:r>
      <w:r w:rsidRPr="00CE0885">
        <w:rPr>
          <w:w w:val="101"/>
          <w:lang w:eastAsia="en-GB"/>
        </w:rPr>
        <w:t xml:space="preserve">l </w:t>
      </w:r>
      <w:r w:rsidRPr="00CE0885">
        <w:rPr>
          <w:spacing w:val="-3"/>
          <w:lang w:eastAsia="en-GB"/>
        </w:rPr>
        <w:t>h</w:t>
      </w:r>
      <w:r w:rsidRPr="00CE0885">
        <w:rPr>
          <w:lang w:eastAsia="en-GB"/>
        </w:rPr>
        <w:t>a</w:t>
      </w:r>
      <w:r w:rsidRPr="00CE0885">
        <w:rPr>
          <w:spacing w:val="1"/>
          <w:lang w:eastAsia="en-GB"/>
        </w:rPr>
        <w:t>v</w:t>
      </w:r>
      <w:r w:rsidRPr="00CE0885">
        <w:rPr>
          <w:lang w:eastAsia="en-GB"/>
        </w:rPr>
        <w:t>e</w:t>
      </w:r>
      <w:r w:rsidRPr="00CE0885">
        <w:rPr>
          <w:spacing w:val="6"/>
          <w:lang w:eastAsia="en-GB"/>
        </w:rPr>
        <w:t xml:space="preserve"> </w:t>
      </w:r>
      <w:r w:rsidRPr="00CE0885">
        <w:rPr>
          <w:spacing w:val="2"/>
          <w:lang w:eastAsia="en-GB"/>
        </w:rPr>
        <w:t>o</w:t>
      </w:r>
      <w:r w:rsidRPr="00CE0885">
        <w:rPr>
          <w:lang w:eastAsia="en-GB"/>
        </w:rPr>
        <w:t>n</w:t>
      </w:r>
      <w:r w:rsidRPr="00CE0885">
        <w:rPr>
          <w:spacing w:val="1"/>
          <w:lang w:eastAsia="en-GB"/>
        </w:rPr>
        <w:t xml:space="preserve"> </w:t>
      </w:r>
      <w:r w:rsidRPr="00CE0885">
        <w:rPr>
          <w:spacing w:val="2"/>
          <w:lang w:eastAsia="en-GB"/>
        </w:rPr>
        <w:t>t</w:t>
      </w:r>
      <w:r w:rsidRPr="00CE0885">
        <w:rPr>
          <w:lang w:eastAsia="en-GB"/>
        </w:rPr>
        <w:t>he</w:t>
      </w:r>
      <w:r w:rsidRPr="00CE0885">
        <w:rPr>
          <w:spacing w:val="4"/>
          <w:lang w:eastAsia="en-GB"/>
        </w:rPr>
        <w:t xml:space="preserve"> </w:t>
      </w:r>
      <w:r w:rsidRPr="00CE0885">
        <w:rPr>
          <w:lang w:eastAsia="en-GB"/>
        </w:rPr>
        <w:t>ongo</w:t>
      </w:r>
      <w:r w:rsidRPr="00CE0885">
        <w:rPr>
          <w:spacing w:val="1"/>
          <w:lang w:eastAsia="en-GB"/>
        </w:rPr>
        <w:t>i</w:t>
      </w:r>
      <w:r w:rsidRPr="00CE0885">
        <w:rPr>
          <w:lang w:eastAsia="en-GB"/>
        </w:rPr>
        <w:t>ng</w:t>
      </w:r>
      <w:r w:rsidRPr="00CE0885">
        <w:rPr>
          <w:spacing w:val="11"/>
          <w:lang w:eastAsia="en-GB"/>
        </w:rPr>
        <w:t xml:space="preserve"> </w:t>
      </w:r>
      <w:r w:rsidRPr="00CE0885">
        <w:rPr>
          <w:spacing w:val="-3"/>
          <w:lang w:eastAsia="en-GB"/>
        </w:rPr>
        <w:t>p</w:t>
      </w:r>
      <w:r w:rsidRPr="00CE0885">
        <w:rPr>
          <w:spacing w:val="1"/>
          <w:lang w:eastAsia="en-GB"/>
        </w:rPr>
        <w:t>r</w:t>
      </w:r>
      <w:r w:rsidRPr="00CE0885">
        <w:rPr>
          <w:lang w:eastAsia="en-GB"/>
        </w:rPr>
        <w:t>o</w:t>
      </w:r>
      <w:r w:rsidRPr="00CE0885">
        <w:rPr>
          <w:spacing w:val="-2"/>
          <w:lang w:eastAsia="en-GB"/>
        </w:rPr>
        <w:t>v</w:t>
      </w:r>
      <w:r w:rsidRPr="00CE0885">
        <w:rPr>
          <w:spacing w:val="3"/>
          <w:lang w:eastAsia="en-GB"/>
        </w:rPr>
        <w:t>i</w:t>
      </w:r>
      <w:r w:rsidRPr="00CE0885">
        <w:rPr>
          <w:spacing w:val="1"/>
          <w:lang w:eastAsia="en-GB"/>
        </w:rPr>
        <w:t>si</w:t>
      </w:r>
      <w:r w:rsidRPr="00CE0885">
        <w:rPr>
          <w:spacing w:val="-3"/>
          <w:lang w:eastAsia="en-GB"/>
        </w:rPr>
        <w:t>o</w:t>
      </w:r>
      <w:r w:rsidRPr="00CE0885">
        <w:rPr>
          <w:lang w:eastAsia="en-GB"/>
        </w:rPr>
        <w:t>n</w:t>
      </w:r>
      <w:r w:rsidRPr="00CE0885">
        <w:rPr>
          <w:spacing w:val="10"/>
          <w:lang w:eastAsia="en-GB"/>
        </w:rPr>
        <w:t xml:space="preserve"> </w:t>
      </w:r>
      <w:r w:rsidRPr="00CE0885">
        <w:rPr>
          <w:lang w:eastAsia="en-GB"/>
        </w:rPr>
        <w:t>of</w:t>
      </w:r>
      <w:r w:rsidRPr="00CE0885">
        <w:rPr>
          <w:spacing w:val="5"/>
          <w:lang w:eastAsia="en-GB"/>
        </w:rPr>
        <w:t xml:space="preserve"> </w:t>
      </w:r>
      <w:r w:rsidRPr="00CE0885">
        <w:rPr>
          <w:spacing w:val="1"/>
          <w:lang w:eastAsia="en-GB"/>
        </w:rPr>
        <w:t>s</w:t>
      </w:r>
      <w:r w:rsidRPr="00CE0885">
        <w:rPr>
          <w:spacing w:val="-3"/>
          <w:lang w:eastAsia="en-GB"/>
        </w:rPr>
        <w:t>e</w:t>
      </w:r>
      <w:r w:rsidRPr="00CE0885">
        <w:rPr>
          <w:spacing w:val="1"/>
          <w:lang w:eastAsia="en-GB"/>
        </w:rPr>
        <w:t>r</w:t>
      </w:r>
      <w:r w:rsidRPr="00CE0885">
        <w:rPr>
          <w:spacing w:val="-2"/>
          <w:lang w:eastAsia="en-GB"/>
        </w:rPr>
        <w:t>v</w:t>
      </w:r>
      <w:r w:rsidRPr="00CE0885">
        <w:rPr>
          <w:spacing w:val="3"/>
          <w:lang w:eastAsia="en-GB"/>
        </w:rPr>
        <w:t>i</w:t>
      </w:r>
      <w:r w:rsidRPr="00CE0885">
        <w:rPr>
          <w:spacing w:val="-2"/>
          <w:lang w:eastAsia="en-GB"/>
        </w:rPr>
        <w:t>c</w:t>
      </w:r>
      <w:r w:rsidRPr="00CE0885">
        <w:rPr>
          <w:lang w:eastAsia="en-GB"/>
        </w:rPr>
        <w:t>es</w:t>
      </w:r>
      <w:r w:rsidRPr="00CE0885">
        <w:rPr>
          <w:spacing w:val="10"/>
          <w:lang w:eastAsia="en-GB"/>
        </w:rPr>
        <w:t xml:space="preserve"> </w:t>
      </w:r>
      <w:r w:rsidRPr="00CE0885">
        <w:rPr>
          <w:lang w:eastAsia="en-GB"/>
        </w:rPr>
        <w:t>under</w:t>
      </w:r>
      <w:r w:rsidRPr="00CE0885">
        <w:rPr>
          <w:spacing w:val="6"/>
          <w:lang w:eastAsia="en-GB"/>
        </w:rPr>
        <w:t xml:space="preserve"> </w:t>
      </w:r>
      <w:r w:rsidRPr="00CE0885">
        <w:rPr>
          <w:lang w:eastAsia="en-GB"/>
        </w:rPr>
        <w:t>th</w:t>
      </w:r>
      <w:r w:rsidRPr="00CE0885">
        <w:rPr>
          <w:spacing w:val="1"/>
          <w:lang w:eastAsia="en-GB"/>
        </w:rPr>
        <w:t>e</w:t>
      </w:r>
      <w:r w:rsidRPr="00CE0885">
        <w:rPr>
          <w:spacing w:val="6"/>
          <w:lang w:eastAsia="en-GB"/>
        </w:rPr>
        <w:t xml:space="preserve"> </w:t>
      </w:r>
      <w:r w:rsidRPr="00CE0885">
        <w:rPr>
          <w:lang w:eastAsia="en-GB"/>
        </w:rPr>
        <w:t>agr</w:t>
      </w:r>
      <w:r w:rsidRPr="00CE0885">
        <w:rPr>
          <w:spacing w:val="2"/>
          <w:lang w:eastAsia="en-GB"/>
        </w:rPr>
        <w:t>e</w:t>
      </w:r>
      <w:r w:rsidRPr="00CE0885">
        <w:rPr>
          <w:spacing w:val="-3"/>
          <w:lang w:eastAsia="en-GB"/>
        </w:rPr>
        <w:t>e</w:t>
      </w:r>
      <w:r w:rsidRPr="00CE0885">
        <w:rPr>
          <w:spacing w:val="2"/>
          <w:lang w:eastAsia="en-GB"/>
        </w:rPr>
        <w:t>m</w:t>
      </w:r>
      <w:r w:rsidRPr="00CE0885">
        <w:rPr>
          <w:lang w:eastAsia="en-GB"/>
        </w:rPr>
        <w:t>e</w:t>
      </w:r>
      <w:r w:rsidRPr="00CE0885">
        <w:rPr>
          <w:spacing w:val="-3"/>
          <w:lang w:eastAsia="en-GB"/>
        </w:rPr>
        <w:t>n</w:t>
      </w:r>
      <w:r w:rsidRPr="00CE0885">
        <w:rPr>
          <w:spacing w:val="2"/>
          <w:lang w:eastAsia="en-GB"/>
        </w:rPr>
        <w:t>t.</w:t>
      </w:r>
      <w:bookmarkEnd w:id="1494"/>
    </w:p>
    <w:p w14:paraId="521C94B3" w14:textId="77777777" w:rsidR="00867DFB" w:rsidRPr="00CE0885" w:rsidRDefault="00867DFB" w:rsidP="00EF04D7">
      <w:pPr>
        <w:pStyle w:val="Heading3"/>
        <w:rPr>
          <w:lang w:eastAsia="en-GB"/>
        </w:rPr>
      </w:pPr>
      <w:bookmarkStart w:id="1495" w:name="_Toc440982848"/>
      <w:r w:rsidRPr="00CE0885">
        <w:rPr>
          <w:lang w:eastAsia="en-GB"/>
        </w:rPr>
        <w:t>Where the Commissioner</w:t>
      </w:r>
      <w:r w:rsidRPr="00CE0885">
        <w:rPr>
          <w:w w:val="101"/>
          <w:lang w:eastAsia="en-GB"/>
        </w:rPr>
        <w:t xml:space="preserve"> </w:t>
      </w:r>
      <w:r w:rsidRPr="00CE0885">
        <w:rPr>
          <w:spacing w:val="1"/>
          <w:lang w:eastAsia="en-GB"/>
        </w:rPr>
        <w:t>i</w:t>
      </w:r>
      <w:r w:rsidRPr="00CE0885">
        <w:rPr>
          <w:lang w:eastAsia="en-GB"/>
        </w:rPr>
        <w:t>s</w:t>
      </w:r>
      <w:r w:rsidRPr="00CE0885">
        <w:rPr>
          <w:spacing w:val="4"/>
          <w:lang w:eastAsia="en-GB"/>
        </w:rPr>
        <w:t xml:space="preserve"> </w:t>
      </w:r>
      <w:r w:rsidRPr="00CE0885">
        <w:rPr>
          <w:spacing w:val="3"/>
          <w:lang w:eastAsia="en-GB"/>
        </w:rPr>
        <w:t>s</w:t>
      </w:r>
      <w:r w:rsidRPr="00CE0885">
        <w:rPr>
          <w:lang w:eastAsia="en-GB"/>
        </w:rPr>
        <w:t>at</w:t>
      </w:r>
      <w:r w:rsidRPr="00CE0885">
        <w:rPr>
          <w:spacing w:val="1"/>
          <w:lang w:eastAsia="en-GB"/>
        </w:rPr>
        <w:t>is</w:t>
      </w:r>
      <w:r w:rsidRPr="00CE0885">
        <w:rPr>
          <w:lang w:eastAsia="en-GB"/>
        </w:rPr>
        <w:t>f</w:t>
      </w:r>
      <w:r w:rsidRPr="00CE0885">
        <w:rPr>
          <w:spacing w:val="1"/>
          <w:lang w:eastAsia="en-GB"/>
        </w:rPr>
        <w:t>i</w:t>
      </w:r>
      <w:r w:rsidRPr="00CE0885">
        <w:rPr>
          <w:spacing w:val="-3"/>
          <w:lang w:eastAsia="en-GB"/>
        </w:rPr>
        <w:t>e</w:t>
      </w:r>
      <w:r w:rsidRPr="00CE0885">
        <w:rPr>
          <w:lang w:eastAsia="en-GB"/>
        </w:rPr>
        <w:t>d</w:t>
      </w:r>
      <w:r w:rsidRPr="00CE0885">
        <w:rPr>
          <w:spacing w:val="9"/>
          <w:lang w:eastAsia="en-GB"/>
        </w:rPr>
        <w:t xml:space="preserve"> </w:t>
      </w:r>
      <w:r w:rsidRPr="00CE0885">
        <w:rPr>
          <w:lang w:eastAsia="en-GB"/>
        </w:rPr>
        <w:t>t</w:t>
      </w:r>
      <w:r w:rsidRPr="00CE0885">
        <w:rPr>
          <w:spacing w:val="2"/>
          <w:lang w:eastAsia="en-GB"/>
        </w:rPr>
        <w:t>h</w:t>
      </w:r>
      <w:r w:rsidRPr="00CE0885">
        <w:rPr>
          <w:spacing w:val="-3"/>
          <w:lang w:eastAsia="en-GB"/>
        </w:rPr>
        <w:t>a</w:t>
      </w:r>
      <w:r w:rsidRPr="00CE0885">
        <w:rPr>
          <w:lang w:eastAsia="en-GB"/>
        </w:rPr>
        <w:t>t</w:t>
      </w:r>
      <w:r w:rsidRPr="00CE0885">
        <w:rPr>
          <w:spacing w:val="7"/>
          <w:lang w:eastAsia="en-GB"/>
        </w:rPr>
        <w:t xml:space="preserve"> </w:t>
      </w:r>
      <w:r w:rsidRPr="00CE0885">
        <w:rPr>
          <w:lang w:eastAsia="en-GB"/>
        </w:rPr>
        <w:t>the</w:t>
      </w:r>
      <w:r w:rsidRPr="00CE0885">
        <w:rPr>
          <w:spacing w:val="4"/>
          <w:lang w:eastAsia="en-GB"/>
        </w:rPr>
        <w:t xml:space="preserve"> </w:t>
      </w:r>
      <w:r w:rsidRPr="00CE0885">
        <w:rPr>
          <w:lang w:eastAsia="en-GB"/>
        </w:rPr>
        <w:t>re</w:t>
      </w:r>
      <w:r w:rsidRPr="00CE0885">
        <w:rPr>
          <w:spacing w:val="2"/>
          <w:lang w:eastAsia="en-GB"/>
        </w:rPr>
        <w:t>m</w:t>
      </w:r>
      <w:r w:rsidRPr="00CE0885">
        <w:rPr>
          <w:spacing w:val="-3"/>
          <w:lang w:eastAsia="en-GB"/>
        </w:rPr>
        <w:t>a</w:t>
      </w:r>
      <w:r w:rsidRPr="00CE0885">
        <w:rPr>
          <w:spacing w:val="3"/>
          <w:lang w:eastAsia="en-GB"/>
        </w:rPr>
        <w:t>i</w:t>
      </w:r>
      <w:r w:rsidRPr="00CE0885">
        <w:rPr>
          <w:spacing w:val="-3"/>
          <w:lang w:eastAsia="en-GB"/>
        </w:rPr>
        <w:t>n</w:t>
      </w:r>
      <w:r w:rsidRPr="00CE0885">
        <w:rPr>
          <w:spacing w:val="3"/>
          <w:lang w:eastAsia="en-GB"/>
        </w:rPr>
        <w:t>i</w:t>
      </w:r>
      <w:r w:rsidRPr="00CE0885">
        <w:rPr>
          <w:lang w:eastAsia="en-GB"/>
        </w:rPr>
        <w:t>ng</w:t>
      </w:r>
      <w:r w:rsidRPr="00CE0885">
        <w:rPr>
          <w:spacing w:val="11"/>
          <w:lang w:eastAsia="en-GB"/>
        </w:rPr>
        <w:t xml:space="preserve"> </w:t>
      </w:r>
      <w:r w:rsidRPr="00CE0885">
        <w:rPr>
          <w:spacing w:val="-2"/>
          <w:lang w:eastAsia="en-GB"/>
        </w:rPr>
        <w:t>s</w:t>
      </w:r>
      <w:r w:rsidRPr="00CE0885">
        <w:rPr>
          <w:spacing w:val="3"/>
          <w:lang w:eastAsia="en-GB"/>
        </w:rPr>
        <w:t>i</w:t>
      </w:r>
      <w:r w:rsidRPr="00CE0885">
        <w:rPr>
          <w:spacing w:val="-3"/>
          <w:lang w:eastAsia="en-GB"/>
        </w:rPr>
        <w:t>g</w:t>
      </w:r>
      <w:r w:rsidRPr="00CE0885">
        <w:rPr>
          <w:lang w:eastAsia="en-GB"/>
        </w:rPr>
        <w:t>n</w:t>
      </w:r>
      <w:r w:rsidRPr="00CE0885">
        <w:rPr>
          <w:spacing w:val="-3"/>
          <w:lang w:eastAsia="en-GB"/>
        </w:rPr>
        <w:t>a</w:t>
      </w:r>
      <w:r w:rsidRPr="00CE0885">
        <w:rPr>
          <w:spacing w:val="2"/>
          <w:lang w:eastAsia="en-GB"/>
        </w:rPr>
        <w:t>t</w:t>
      </w:r>
      <w:r w:rsidRPr="00CE0885">
        <w:rPr>
          <w:lang w:eastAsia="en-GB"/>
        </w:rPr>
        <w:t>o</w:t>
      </w:r>
      <w:r w:rsidRPr="00CE0885">
        <w:rPr>
          <w:spacing w:val="1"/>
          <w:lang w:eastAsia="en-GB"/>
        </w:rPr>
        <w:t>r</w:t>
      </w:r>
      <w:r w:rsidRPr="00CE0885">
        <w:rPr>
          <w:lang w:eastAsia="en-GB"/>
        </w:rPr>
        <w:t>y(ies)</w:t>
      </w:r>
      <w:r w:rsidRPr="00CE0885">
        <w:rPr>
          <w:spacing w:val="8"/>
          <w:lang w:eastAsia="en-GB"/>
        </w:rPr>
        <w:t xml:space="preserve"> </w:t>
      </w:r>
      <w:r w:rsidRPr="00CE0885">
        <w:rPr>
          <w:lang w:eastAsia="en-GB"/>
        </w:rPr>
        <w:t>is</w:t>
      </w:r>
      <w:r w:rsidRPr="00CE0885">
        <w:rPr>
          <w:spacing w:val="4"/>
          <w:lang w:eastAsia="en-GB"/>
        </w:rPr>
        <w:t xml:space="preserve"> </w:t>
      </w:r>
      <w:r w:rsidRPr="00CE0885">
        <w:rPr>
          <w:lang w:eastAsia="en-GB"/>
        </w:rPr>
        <w:t>e</w:t>
      </w:r>
      <w:r w:rsidRPr="00CE0885">
        <w:rPr>
          <w:spacing w:val="1"/>
          <w:lang w:eastAsia="en-GB"/>
        </w:rPr>
        <w:t>l</w:t>
      </w:r>
      <w:r w:rsidRPr="00CE0885">
        <w:rPr>
          <w:spacing w:val="3"/>
          <w:lang w:eastAsia="en-GB"/>
        </w:rPr>
        <w:t>i</w:t>
      </w:r>
      <w:r w:rsidRPr="00CE0885">
        <w:rPr>
          <w:spacing w:val="-3"/>
          <w:lang w:eastAsia="en-GB"/>
        </w:rPr>
        <w:t>g</w:t>
      </w:r>
      <w:r w:rsidRPr="00CE0885">
        <w:rPr>
          <w:spacing w:val="3"/>
          <w:lang w:eastAsia="en-GB"/>
        </w:rPr>
        <w:t>i</w:t>
      </w:r>
      <w:r w:rsidRPr="00CE0885">
        <w:rPr>
          <w:spacing w:val="-3"/>
          <w:lang w:eastAsia="en-GB"/>
        </w:rPr>
        <w:t>b</w:t>
      </w:r>
      <w:r w:rsidRPr="00CE0885">
        <w:rPr>
          <w:spacing w:val="1"/>
          <w:lang w:eastAsia="en-GB"/>
        </w:rPr>
        <w:t>l</w:t>
      </w:r>
      <w:r w:rsidRPr="00CE0885">
        <w:rPr>
          <w:lang w:eastAsia="en-GB"/>
        </w:rPr>
        <w:t>e</w:t>
      </w:r>
      <w:r w:rsidRPr="00CE0885">
        <w:rPr>
          <w:spacing w:val="5"/>
          <w:lang w:eastAsia="en-GB"/>
        </w:rPr>
        <w:t xml:space="preserve"> </w:t>
      </w:r>
      <w:r w:rsidRPr="00CE0885">
        <w:rPr>
          <w:spacing w:val="2"/>
          <w:w w:val="101"/>
          <w:lang w:eastAsia="en-GB"/>
        </w:rPr>
        <w:t>t</w:t>
      </w:r>
      <w:r w:rsidRPr="00CE0885">
        <w:rPr>
          <w:w w:val="101"/>
          <w:lang w:eastAsia="en-GB"/>
        </w:rPr>
        <w:t xml:space="preserve">o </w:t>
      </w:r>
      <w:r w:rsidRPr="00CE0885">
        <w:rPr>
          <w:spacing w:val="-3"/>
          <w:w w:val="101"/>
          <w:lang w:eastAsia="en-GB"/>
        </w:rPr>
        <w:t>h</w:t>
      </w:r>
      <w:r w:rsidRPr="00CE0885">
        <w:rPr>
          <w:w w:val="101"/>
          <w:lang w:eastAsia="en-GB"/>
        </w:rPr>
        <w:t>o</w:t>
      </w:r>
      <w:r w:rsidRPr="00CE0885">
        <w:rPr>
          <w:spacing w:val="1"/>
          <w:w w:val="101"/>
          <w:lang w:eastAsia="en-GB"/>
        </w:rPr>
        <w:t>l</w:t>
      </w:r>
      <w:r w:rsidRPr="00CE0885">
        <w:rPr>
          <w:w w:val="101"/>
          <w:lang w:eastAsia="en-GB"/>
        </w:rPr>
        <w:t>d</w:t>
      </w:r>
      <w:r w:rsidRPr="00CE0885">
        <w:rPr>
          <w:spacing w:val="1"/>
          <w:lang w:eastAsia="en-GB"/>
        </w:rPr>
        <w:t xml:space="preserve"> </w:t>
      </w:r>
      <w:r w:rsidRPr="00CE0885">
        <w:rPr>
          <w:lang w:eastAsia="en-GB"/>
        </w:rPr>
        <w:t>t</w:t>
      </w:r>
      <w:r w:rsidRPr="00CE0885">
        <w:rPr>
          <w:spacing w:val="2"/>
          <w:lang w:eastAsia="en-GB"/>
        </w:rPr>
        <w:t>h</w:t>
      </w:r>
      <w:r w:rsidRPr="00CE0885">
        <w:rPr>
          <w:lang w:eastAsia="en-GB"/>
        </w:rPr>
        <w:t>e</w:t>
      </w:r>
      <w:r w:rsidRPr="00CE0885">
        <w:rPr>
          <w:spacing w:val="1"/>
          <w:lang w:eastAsia="en-GB"/>
        </w:rPr>
        <w:t xml:space="preserve"> agreement</w:t>
      </w:r>
      <w:r w:rsidRPr="00CE0885">
        <w:rPr>
          <w:spacing w:val="9"/>
          <w:lang w:eastAsia="en-GB"/>
        </w:rPr>
        <w:t xml:space="preserve"> </w:t>
      </w:r>
      <w:r w:rsidRPr="00CE0885">
        <w:rPr>
          <w:lang w:eastAsia="en-GB"/>
        </w:rPr>
        <w:t>and</w:t>
      </w:r>
      <w:r w:rsidRPr="00CE0885">
        <w:rPr>
          <w:spacing w:val="5"/>
          <w:lang w:eastAsia="en-GB"/>
        </w:rPr>
        <w:t xml:space="preserve"> </w:t>
      </w:r>
      <w:r w:rsidRPr="00CE0885">
        <w:rPr>
          <w:lang w:eastAsia="en-GB"/>
        </w:rPr>
        <w:t>ag</w:t>
      </w:r>
      <w:r w:rsidRPr="00CE0885">
        <w:rPr>
          <w:spacing w:val="1"/>
          <w:lang w:eastAsia="en-GB"/>
        </w:rPr>
        <w:t>r</w:t>
      </w:r>
      <w:r w:rsidRPr="00CE0885">
        <w:rPr>
          <w:lang w:eastAsia="en-GB"/>
        </w:rPr>
        <w:t>ees</w:t>
      </w:r>
      <w:r w:rsidRPr="00CE0885">
        <w:rPr>
          <w:spacing w:val="4"/>
          <w:lang w:eastAsia="en-GB"/>
        </w:rPr>
        <w:t xml:space="preserve"> </w:t>
      </w:r>
      <w:r w:rsidRPr="00CE0885">
        <w:rPr>
          <w:spacing w:val="2"/>
          <w:lang w:eastAsia="en-GB"/>
        </w:rPr>
        <w:t>t</w:t>
      </w:r>
      <w:r w:rsidRPr="00CE0885">
        <w:rPr>
          <w:lang w:eastAsia="en-GB"/>
        </w:rPr>
        <w:t>hat</w:t>
      </w:r>
      <w:r w:rsidRPr="00CE0885">
        <w:rPr>
          <w:spacing w:val="5"/>
          <w:lang w:eastAsia="en-GB"/>
        </w:rPr>
        <w:t xml:space="preserve"> </w:t>
      </w:r>
      <w:r w:rsidRPr="00CE0885">
        <w:rPr>
          <w:lang w:eastAsia="en-GB"/>
        </w:rPr>
        <w:t>t</w:t>
      </w:r>
      <w:r w:rsidRPr="00CE0885">
        <w:rPr>
          <w:spacing w:val="2"/>
          <w:lang w:eastAsia="en-GB"/>
        </w:rPr>
        <w:t>h</w:t>
      </w:r>
      <w:r w:rsidRPr="00CE0885">
        <w:rPr>
          <w:lang w:eastAsia="en-GB"/>
        </w:rPr>
        <w:t>e</w:t>
      </w:r>
      <w:r w:rsidRPr="00CE0885">
        <w:rPr>
          <w:spacing w:val="4"/>
          <w:lang w:eastAsia="en-GB"/>
        </w:rPr>
        <w:t xml:space="preserve"> </w:t>
      </w:r>
      <w:r w:rsidRPr="00CE0885">
        <w:rPr>
          <w:spacing w:val="-2"/>
          <w:lang w:eastAsia="en-GB"/>
        </w:rPr>
        <w:t>agreement</w:t>
      </w:r>
      <w:r w:rsidRPr="00CE0885">
        <w:rPr>
          <w:spacing w:val="9"/>
          <w:lang w:eastAsia="en-GB"/>
        </w:rPr>
        <w:t xml:space="preserve"> </w:t>
      </w:r>
      <w:r w:rsidRPr="00CE0885">
        <w:rPr>
          <w:spacing w:val="3"/>
          <w:lang w:eastAsia="en-GB"/>
        </w:rPr>
        <w:t>i</w:t>
      </w:r>
      <w:r w:rsidRPr="00CE0885">
        <w:rPr>
          <w:lang w:eastAsia="en-GB"/>
        </w:rPr>
        <w:t>s</w:t>
      </w:r>
      <w:r w:rsidRPr="00CE0885">
        <w:rPr>
          <w:spacing w:val="4"/>
          <w:lang w:eastAsia="en-GB"/>
        </w:rPr>
        <w:t xml:space="preserve"> </w:t>
      </w:r>
      <w:r w:rsidRPr="00CE0885">
        <w:rPr>
          <w:lang w:eastAsia="en-GB"/>
        </w:rPr>
        <w:t>to</w:t>
      </w:r>
      <w:r w:rsidRPr="00CE0885">
        <w:rPr>
          <w:spacing w:val="3"/>
          <w:lang w:eastAsia="en-GB"/>
        </w:rPr>
        <w:t xml:space="preserve"> </w:t>
      </w:r>
      <w:r w:rsidRPr="00CE0885">
        <w:rPr>
          <w:spacing w:val="1"/>
          <w:lang w:eastAsia="en-GB"/>
        </w:rPr>
        <w:t>c</w:t>
      </w:r>
      <w:r w:rsidRPr="00CE0885">
        <w:rPr>
          <w:spacing w:val="-3"/>
          <w:lang w:eastAsia="en-GB"/>
        </w:rPr>
        <w:t>o</w:t>
      </w:r>
      <w:r w:rsidRPr="00CE0885">
        <w:rPr>
          <w:lang w:eastAsia="en-GB"/>
        </w:rPr>
        <w:t>nt</w:t>
      </w:r>
      <w:r w:rsidRPr="00CE0885">
        <w:rPr>
          <w:spacing w:val="1"/>
          <w:lang w:eastAsia="en-GB"/>
        </w:rPr>
        <w:t>i</w:t>
      </w:r>
      <w:r w:rsidRPr="00CE0885">
        <w:rPr>
          <w:lang w:eastAsia="en-GB"/>
        </w:rPr>
        <w:t>nue,</w:t>
      </w:r>
      <w:r w:rsidRPr="00CE0885">
        <w:rPr>
          <w:spacing w:val="10"/>
          <w:lang w:eastAsia="en-GB"/>
        </w:rPr>
        <w:t xml:space="preserve"> </w:t>
      </w:r>
      <w:r w:rsidRPr="00CE0885">
        <w:rPr>
          <w:spacing w:val="2"/>
          <w:lang w:eastAsia="en-GB"/>
        </w:rPr>
        <w:t>the agreement will need to be</w:t>
      </w:r>
      <w:r w:rsidRPr="00CE0885">
        <w:rPr>
          <w:spacing w:val="13"/>
          <w:lang w:eastAsia="en-GB"/>
        </w:rPr>
        <w:t xml:space="preserve"> </w:t>
      </w:r>
      <w:r w:rsidRPr="00CE0885">
        <w:rPr>
          <w:spacing w:val="-2"/>
          <w:w w:val="101"/>
          <w:lang w:eastAsia="en-GB"/>
        </w:rPr>
        <w:t>v</w:t>
      </w:r>
      <w:r w:rsidRPr="00CE0885">
        <w:rPr>
          <w:w w:val="101"/>
          <w:lang w:eastAsia="en-GB"/>
        </w:rPr>
        <w:t>ar</w:t>
      </w:r>
      <w:r w:rsidRPr="00CE0885">
        <w:rPr>
          <w:spacing w:val="1"/>
          <w:w w:val="101"/>
          <w:lang w:eastAsia="en-GB"/>
        </w:rPr>
        <w:t>i</w:t>
      </w:r>
      <w:r w:rsidRPr="00CE0885">
        <w:rPr>
          <w:w w:val="101"/>
          <w:lang w:eastAsia="en-GB"/>
        </w:rPr>
        <w:t>ed to remove the deceased as a signatory.</w:t>
      </w:r>
      <w:bookmarkEnd w:id="1495"/>
    </w:p>
    <w:p w14:paraId="2D816E65" w14:textId="77777777" w:rsidR="00867DFB" w:rsidRPr="00CE0885" w:rsidRDefault="00867DFB" w:rsidP="00EF04D7">
      <w:pPr>
        <w:pStyle w:val="Heading3"/>
        <w:rPr>
          <w:lang w:eastAsia="en-GB"/>
        </w:rPr>
      </w:pPr>
      <w:bookmarkStart w:id="1496" w:name="_Ref409800091"/>
      <w:bookmarkStart w:id="1497" w:name="_Toc440982849"/>
      <w:r w:rsidRPr="00CE0885">
        <w:rPr>
          <w:lang w:eastAsia="en-GB"/>
        </w:rPr>
        <w:t>The process above does not affect any right that the Commissioner may have to terminate the agreement under any terms of the agreement.</w:t>
      </w:r>
      <w:bookmarkEnd w:id="1496"/>
      <w:bookmarkEnd w:id="1497"/>
    </w:p>
    <w:p w14:paraId="5974EA96" w14:textId="77777777" w:rsidR="00867DFB" w:rsidRPr="009055A7" w:rsidRDefault="00867DFB" w:rsidP="00867DFB">
      <w:pPr>
        <w:widowControl w:val="0"/>
        <w:spacing w:line="360" w:lineRule="auto"/>
        <w:ind w:left="1414"/>
        <w:jc w:val="both"/>
        <w:rPr>
          <w:rFonts w:cs="Arial"/>
          <w:bCs w:val="0"/>
          <w:sz w:val="20"/>
          <w:szCs w:val="20"/>
          <w:lang w:eastAsia="en-GB"/>
        </w:rPr>
      </w:pPr>
    </w:p>
    <w:p w14:paraId="75586AC9" w14:textId="77777777" w:rsidR="00867DFB" w:rsidRPr="00CE0885" w:rsidRDefault="00867DFB" w:rsidP="00EF04D7">
      <w:pPr>
        <w:pStyle w:val="Heading2"/>
        <w:rPr>
          <w:lang w:eastAsia="en-GB"/>
        </w:rPr>
      </w:pPr>
      <w:bookmarkStart w:id="1498" w:name="_Toc440982850"/>
      <w:bookmarkStart w:id="1499" w:name="_Toc498495467"/>
      <w:r w:rsidRPr="00CE0885">
        <w:rPr>
          <w:lang w:eastAsia="en-GB"/>
        </w:rPr>
        <w:t>Two or More Signatories - APMS Contract</w:t>
      </w:r>
      <w:bookmarkEnd w:id="1498"/>
      <w:bookmarkEnd w:id="1499"/>
      <w:r w:rsidRPr="00CE0885">
        <w:rPr>
          <w:lang w:eastAsia="en-GB"/>
        </w:rPr>
        <w:t xml:space="preserve"> </w:t>
      </w:r>
    </w:p>
    <w:p w14:paraId="5C05893E" w14:textId="77777777" w:rsidR="00867DFB" w:rsidRPr="00CE0885" w:rsidRDefault="00867DFB" w:rsidP="00EF04D7">
      <w:pPr>
        <w:pStyle w:val="Heading3"/>
        <w:rPr>
          <w:lang w:eastAsia="en-GB"/>
        </w:rPr>
      </w:pPr>
      <w:bookmarkStart w:id="1500" w:name="_Toc440982851"/>
      <w:r w:rsidRPr="00CE0885">
        <w:rPr>
          <w:lang w:eastAsia="en-GB"/>
        </w:rPr>
        <w:t>T</w:t>
      </w:r>
      <w:r w:rsidRPr="00CE0885">
        <w:rPr>
          <w:spacing w:val="2"/>
          <w:lang w:eastAsia="en-GB"/>
        </w:rPr>
        <w:t>h</w:t>
      </w:r>
      <w:r w:rsidRPr="00CE0885">
        <w:rPr>
          <w:lang w:eastAsia="en-GB"/>
        </w:rPr>
        <w:t>e</w:t>
      </w:r>
      <w:r w:rsidRPr="00CE0885">
        <w:rPr>
          <w:spacing w:val="1"/>
          <w:lang w:eastAsia="en-GB"/>
        </w:rPr>
        <w:t xml:space="preserve"> </w:t>
      </w:r>
      <w:r w:rsidRPr="00CE0885">
        <w:rPr>
          <w:spacing w:val="3"/>
          <w:lang w:eastAsia="en-GB"/>
        </w:rPr>
        <w:t xml:space="preserve">Commissioner </w:t>
      </w:r>
      <w:r w:rsidRPr="00CE0885">
        <w:rPr>
          <w:spacing w:val="2"/>
          <w:lang w:eastAsia="en-GB"/>
        </w:rPr>
        <w:t>m</w:t>
      </w:r>
      <w:r w:rsidRPr="00CE0885">
        <w:rPr>
          <w:lang w:eastAsia="en-GB"/>
        </w:rPr>
        <w:t>u</w:t>
      </w:r>
      <w:r w:rsidRPr="00CE0885">
        <w:rPr>
          <w:spacing w:val="-2"/>
          <w:lang w:eastAsia="en-GB"/>
        </w:rPr>
        <w:t>s</w:t>
      </w:r>
      <w:r w:rsidRPr="00CE0885">
        <w:rPr>
          <w:lang w:eastAsia="en-GB"/>
        </w:rPr>
        <w:t>t</w:t>
      </w:r>
      <w:r w:rsidRPr="00CE0885">
        <w:rPr>
          <w:spacing w:val="8"/>
          <w:lang w:eastAsia="en-GB"/>
        </w:rPr>
        <w:t xml:space="preserve"> </w:t>
      </w:r>
      <w:r w:rsidRPr="00CE0885">
        <w:rPr>
          <w:spacing w:val="-1"/>
          <w:lang w:eastAsia="en-GB"/>
        </w:rPr>
        <w:t>r</w:t>
      </w:r>
      <w:r w:rsidRPr="00CE0885">
        <w:rPr>
          <w:spacing w:val="-3"/>
          <w:lang w:eastAsia="en-GB"/>
        </w:rPr>
        <w:t>e</w:t>
      </w:r>
      <w:r w:rsidRPr="00CE0885">
        <w:rPr>
          <w:spacing w:val="1"/>
          <w:lang w:eastAsia="en-GB"/>
        </w:rPr>
        <w:t>vi</w:t>
      </w:r>
      <w:r w:rsidRPr="00CE0885">
        <w:rPr>
          <w:spacing w:val="2"/>
          <w:lang w:eastAsia="en-GB"/>
        </w:rPr>
        <w:t>e</w:t>
      </w:r>
      <w:r w:rsidRPr="00CE0885">
        <w:rPr>
          <w:lang w:eastAsia="en-GB"/>
        </w:rPr>
        <w:t>w</w:t>
      </w:r>
      <w:r w:rsidRPr="00CE0885">
        <w:rPr>
          <w:spacing w:val="5"/>
          <w:lang w:eastAsia="en-GB"/>
        </w:rPr>
        <w:t xml:space="preserve"> </w:t>
      </w:r>
      <w:r w:rsidRPr="00CE0885">
        <w:rPr>
          <w:spacing w:val="2"/>
          <w:lang w:eastAsia="en-GB"/>
        </w:rPr>
        <w:t>t</w:t>
      </w:r>
      <w:r w:rsidRPr="00CE0885">
        <w:rPr>
          <w:lang w:eastAsia="en-GB"/>
        </w:rPr>
        <w:t>he</w:t>
      </w:r>
      <w:r w:rsidRPr="00CE0885">
        <w:rPr>
          <w:spacing w:val="4"/>
          <w:lang w:eastAsia="en-GB"/>
        </w:rPr>
        <w:t xml:space="preserve"> </w:t>
      </w:r>
      <w:r w:rsidRPr="00CE0885">
        <w:rPr>
          <w:spacing w:val="1"/>
          <w:lang w:eastAsia="en-GB"/>
        </w:rPr>
        <w:t>relevant APMS</w:t>
      </w:r>
      <w:r w:rsidRPr="00CE0885">
        <w:rPr>
          <w:spacing w:val="14"/>
          <w:lang w:eastAsia="en-GB"/>
        </w:rPr>
        <w:t xml:space="preserve"> </w:t>
      </w:r>
      <w:r w:rsidRPr="00CE0885">
        <w:rPr>
          <w:spacing w:val="1"/>
          <w:w w:val="101"/>
          <w:lang w:eastAsia="en-GB"/>
        </w:rPr>
        <w:t>c</w:t>
      </w:r>
      <w:r w:rsidRPr="00CE0885">
        <w:rPr>
          <w:spacing w:val="-3"/>
          <w:w w:val="101"/>
          <w:lang w:eastAsia="en-GB"/>
        </w:rPr>
        <w:t>o</w:t>
      </w:r>
      <w:r w:rsidRPr="00CE0885">
        <w:rPr>
          <w:w w:val="101"/>
          <w:lang w:eastAsia="en-GB"/>
        </w:rPr>
        <w:t>nt</w:t>
      </w:r>
      <w:r w:rsidRPr="00CE0885">
        <w:rPr>
          <w:spacing w:val="1"/>
          <w:w w:val="101"/>
          <w:lang w:eastAsia="en-GB"/>
        </w:rPr>
        <w:t>r</w:t>
      </w:r>
      <w:r w:rsidRPr="00CE0885">
        <w:rPr>
          <w:w w:val="101"/>
          <w:lang w:eastAsia="en-GB"/>
        </w:rPr>
        <w:t>a</w:t>
      </w:r>
      <w:r w:rsidRPr="00CE0885">
        <w:rPr>
          <w:spacing w:val="-2"/>
          <w:w w:val="101"/>
          <w:lang w:eastAsia="en-GB"/>
        </w:rPr>
        <w:t>c</w:t>
      </w:r>
      <w:r w:rsidRPr="00CE0885">
        <w:rPr>
          <w:w w:val="101"/>
          <w:lang w:eastAsia="en-GB"/>
        </w:rPr>
        <w:t xml:space="preserve">t </w:t>
      </w:r>
      <w:r w:rsidRPr="00CE0885">
        <w:rPr>
          <w:lang w:eastAsia="en-GB"/>
        </w:rPr>
        <w:t>to determine whether any provisions relate to the death of a contractor prior to following any process for variation.</w:t>
      </w:r>
      <w:bookmarkEnd w:id="1500"/>
    </w:p>
    <w:p w14:paraId="5B6F02D6" w14:textId="77777777" w:rsidR="00867DFB" w:rsidRPr="00CE0885" w:rsidRDefault="00867DFB" w:rsidP="00EF04D7">
      <w:pPr>
        <w:pStyle w:val="Heading3"/>
        <w:rPr>
          <w:lang w:eastAsia="en-GB"/>
        </w:rPr>
      </w:pPr>
      <w:bookmarkStart w:id="1501" w:name="_Toc440982852"/>
      <w:r w:rsidRPr="00CE0885">
        <w:rPr>
          <w:lang w:eastAsia="en-GB"/>
        </w:rPr>
        <w:t xml:space="preserve">Where no provisions cover this scenario, paragraphs </w:t>
      </w:r>
      <w:r w:rsidRPr="00CE0885">
        <w:rPr>
          <w:lang w:eastAsia="en-GB"/>
        </w:rPr>
        <w:fldChar w:fldCharType="begin"/>
      </w:r>
      <w:r w:rsidRPr="00CE0885">
        <w:rPr>
          <w:lang w:eastAsia="en-GB"/>
        </w:rPr>
        <w:instrText xml:space="preserve"> REF _Ref409800084 \r \h  \* MERGEFORMAT </w:instrText>
      </w:r>
      <w:r w:rsidRPr="00CE0885">
        <w:rPr>
          <w:lang w:eastAsia="en-GB"/>
        </w:rPr>
      </w:r>
      <w:r w:rsidRPr="00CE0885">
        <w:rPr>
          <w:lang w:eastAsia="en-GB"/>
        </w:rPr>
        <w:fldChar w:fldCharType="separate"/>
      </w:r>
      <w:r w:rsidR="00622FF2">
        <w:rPr>
          <w:lang w:eastAsia="en-GB"/>
        </w:rPr>
        <w:t>3.5.2</w:t>
      </w:r>
      <w:r w:rsidRPr="00CE0885">
        <w:rPr>
          <w:lang w:eastAsia="en-GB"/>
        </w:rPr>
        <w:fldChar w:fldCharType="end"/>
      </w:r>
      <w:r w:rsidRPr="00CE0885">
        <w:rPr>
          <w:lang w:eastAsia="en-GB"/>
        </w:rPr>
        <w:t xml:space="preserve"> to </w:t>
      </w:r>
      <w:r w:rsidRPr="00CE0885">
        <w:rPr>
          <w:lang w:eastAsia="en-GB"/>
        </w:rPr>
        <w:fldChar w:fldCharType="begin"/>
      </w:r>
      <w:r w:rsidRPr="00CE0885">
        <w:rPr>
          <w:lang w:eastAsia="en-GB"/>
        </w:rPr>
        <w:instrText xml:space="preserve"> REF _Ref409800091 \r \h  \* MERGEFORMAT </w:instrText>
      </w:r>
      <w:r w:rsidRPr="00CE0885">
        <w:rPr>
          <w:lang w:eastAsia="en-GB"/>
        </w:rPr>
      </w:r>
      <w:r w:rsidRPr="00CE0885">
        <w:rPr>
          <w:lang w:eastAsia="en-GB"/>
        </w:rPr>
        <w:fldChar w:fldCharType="separate"/>
      </w:r>
      <w:r w:rsidR="00622FF2">
        <w:rPr>
          <w:lang w:eastAsia="en-GB"/>
        </w:rPr>
        <w:t>3.5.5</w:t>
      </w:r>
      <w:r w:rsidRPr="00CE0885">
        <w:rPr>
          <w:lang w:eastAsia="en-GB"/>
        </w:rPr>
        <w:fldChar w:fldCharType="end"/>
      </w:r>
      <w:r w:rsidRPr="00CE0885">
        <w:rPr>
          <w:lang w:eastAsia="en-GB"/>
        </w:rPr>
        <w:t xml:space="preserve"> are likely to be relevant.</w:t>
      </w:r>
      <w:bookmarkEnd w:id="1501"/>
      <w:r w:rsidRPr="00CE0885">
        <w:rPr>
          <w:lang w:eastAsia="en-GB"/>
        </w:rPr>
        <w:t xml:space="preserve"> </w:t>
      </w:r>
    </w:p>
    <w:p w14:paraId="4CCCBA7C" w14:textId="77777777" w:rsidR="00867DFB" w:rsidRPr="009055A7" w:rsidRDefault="00867DFB" w:rsidP="00867DFB">
      <w:pPr>
        <w:widowControl w:val="0"/>
        <w:spacing w:line="360" w:lineRule="auto"/>
        <w:ind w:left="1414"/>
        <w:jc w:val="both"/>
        <w:rPr>
          <w:rFonts w:cs="Arial"/>
          <w:bCs w:val="0"/>
          <w:sz w:val="20"/>
          <w:szCs w:val="20"/>
          <w:lang w:eastAsia="en-GB"/>
        </w:rPr>
      </w:pPr>
    </w:p>
    <w:p w14:paraId="651B12B8" w14:textId="77777777" w:rsidR="00867DFB" w:rsidRPr="00CE0885" w:rsidRDefault="00867DFB" w:rsidP="00EF04D7">
      <w:pPr>
        <w:pStyle w:val="Heading2"/>
      </w:pPr>
      <w:bookmarkStart w:id="1502" w:name="_Toc440982853"/>
      <w:bookmarkStart w:id="1503" w:name="_Toc498495468"/>
      <w:r w:rsidRPr="00CE0885">
        <w:t>Practical Issues Arising from Death of a Contractor</w:t>
      </w:r>
      <w:bookmarkEnd w:id="1502"/>
      <w:bookmarkEnd w:id="1503"/>
      <w:r w:rsidRPr="00CE0885">
        <w:t xml:space="preserve">  </w:t>
      </w:r>
    </w:p>
    <w:p w14:paraId="5AA9F75B" w14:textId="77777777" w:rsidR="00867DFB" w:rsidRPr="00EF04D7" w:rsidRDefault="00867DFB" w:rsidP="00867DFB">
      <w:pPr>
        <w:widowControl w:val="0"/>
        <w:spacing w:line="360" w:lineRule="auto"/>
        <w:ind w:firstLine="720"/>
        <w:jc w:val="both"/>
        <w:rPr>
          <w:rFonts w:cs="Arial"/>
          <w:b/>
          <w:bCs w:val="0"/>
          <w:szCs w:val="24"/>
        </w:rPr>
      </w:pPr>
      <w:r w:rsidRPr="00EF04D7">
        <w:rPr>
          <w:rFonts w:cs="Arial"/>
          <w:b/>
          <w:bCs w:val="0"/>
          <w:szCs w:val="24"/>
        </w:rPr>
        <w:t>Request to form a partnership</w:t>
      </w:r>
    </w:p>
    <w:p w14:paraId="45834815" w14:textId="3FD5B23A" w:rsidR="00867DFB" w:rsidRPr="00CE0885" w:rsidRDefault="00867DFB" w:rsidP="00EF04D7">
      <w:pPr>
        <w:pStyle w:val="Heading3"/>
        <w:rPr>
          <w:b/>
        </w:rPr>
      </w:pPr>
      <w:bookmarkStart w:id="1504" w:name="_Toc440982854"/>
      <w:r w:rsidRPr="00CE0885">
        <w:t xml:space="preserve">Where a GMS contract is held by an individual (whether as a result of the death of a partner or otherwise), that individual may propose to practice in partnership with one or more persons during the existence of the contract. Please refer to </w:t>
      </w:r>
      <w:r w:rsidR="00965C81">
        <w:t>the chapter on</w:t>
      </w:r>
      <w:r w:rsidRPr="00CE0885">
        <w:t xml:space="preserve"> contracts variations for more information on the relevant process and obligations of the Commissioner.</w:t>
      </w:r>
      <w:bookmarkEnd w:id="1504"/>
      <w:r w:rsidRPr="00CE0885">
        <w:t xml:space="preserve">  </w:t>
      </w:r>
    </w:p>
    <w:p w14:paraId="5871284A" w14:textId="77777777" w:rsidR="00867DFB" w:rsidRPr="00CE0885" w:rsidRDefault="00867DFB" w:rsidP="00867DFB">
      <w:pPr>
        <w:widowControl w:val="0"/>
        <w:spacing w:line="360" w:lineRule="auto"/>
        <w:ind w:firstLine="720"/>
        <w:jc w:val="both"/>
        <w:rPr>
          <w:rFonts w:cs="Arial"/>
          <w:bCs w:val="0"/>
          <w:szCs w:val="24"/>
        </w:rPr>
      </w:pPr>
    </w:p>
    <w:p w14:paraId="082396D9" w14:textId="77777777" w:rsidR="00867DFB" w:rsidRPr="00EF04D7" w:rsidRDefault="00867DFB" w:rsidP="00867DFB">
      <w:pPr>
        <w:widowControl w:val="0"/>
        <w:spacing w:line="360" w:lineRule="auto"/>
        <w:ind w:firstLine="720"/>
        <w:jc w:val="both"/>
        <w:rPr>
          <w:rFonts w:cs="Arial"/>
          <w:b/>
          <w:bCs w:val="0"/>
          <w:szCs w:val="24"/>
        </w:rPr>
      </w:pPr>
      <w:r w:rsidRPr="00EF04D7">
        <w:rPr>
          <w:rFonts w:cs="Arial"/>
          <w:b/>
          <w:bCs w:val="0"/>
          <w:szCs w:val="24"/>
        </w:rPr>
        <w:t>Procuring a new contract</w:t>
      </w:r>
    </w:p>
    <w:p w14:paraId="585EAEE4" w14:textId="77777777" w:rsidR="00867DFB" w:rsidRPr="00CE0885" w:rsidRDefault="00867DFB" w:rsidP="00EF04D7">
      <w:pPr>
        <w:pStyle w:val="Heading3"/>
      </w:pPr>
      <w:bookmarkStart w:id="1505" w:name="_Toc440982855"/>
      <w:r w:rsidRPr="00CE0885">
        <w:t>Prior to the completion of the continuation, the Commissioner will need to decide whether to procure primary care medical services to replace the contract.</w:t>
      </w:r>
      <w:bookmarkEnd w:id="1505"/>
      <w:r w:rsidRPr="00CE0885">
        <w:t xml:space="preserve"> </w:t>
      </w:r>
    </w:p>
    <w:p w14:paraId="4368332D" w14:textId="77777777" w:rsidR="00867DFB" w:rsidRPr="00CE0885" w:rsidRDefault="00867DFB" w:rsidP="003331F2">
      <w:pPr>
        <w:pStyle w:val="BodyText"/>
      </w:pPr>
    </w:p>
    <w:p w14:paraId="0F8010BB" w14:textId="77777777" w:rsidR="00867DFB" w:rsidRPr="00F466C6" w:rsidRDefault="00867DFB" w:rsidP="00F466C6">
      <w:pPr>
        <w:pStyle w:val="BodyText"/>
        <w:rPr>
          <w:b/>
          <w:sz w:val="24"/>
          <w:szCs w:val="24"/>
        </w:rPr>
      </w:pPr>
      <w:bookmarkStart w:id="1506" w:name="_Toc440982856"/>
      <w:r w:rsidRPr="00F466C6">
        <w:rPr>
          <w:b/>
          <w:sz w:val="24"/>
          <w:szCs w:val="24"/>
        </w:rPr>
        <w:t>Non-continuation or Termination of the Contract</w:t>
      </w:r>
      <w:bookmarkEnd w:id="1506"/>
    </w:p>
    <w:p w14:paraId="3F0E7F12" w14:textId="04231F09" w:rsidR="00867DFB" w:rsidRPr="00CE0885" w:rsidRDefault="00867DFB" w:rsidP="00EF04D7">
      <w:pPr>
        <w:pStyle w:val="Heading3"/>
      </w:pPr>
      <w:bookmarkStart w:id="1507" w:name="_Ref421313077"/>
      <w:bookmarkStart w:id="1508" w:name="_Toc440982857"/>
      <w:r w:rsidRPr="00CE0885">
        <w:t xml:space="preserve">Where the contract is not continued, the Commissioner will need to terminate the existing contract. Please refer to </w:t>
      </w:r>
      <w:r w:rsidR="00965C81">
        <w:t>the chapter on</w:t>
      </w:r>
      <w:r w:rsidRPr="00CE0885">
        <w:t xml:space="preserve"> contract breaches</w:t>
      </w:r>
      <w:r w:rsidR="001E20EC">
        <w:t>, sanctions</w:t>
      </w:r>
      <w:r w:rsidRPr="00CE0885">
        <w:t xml:space="preserve"> and termination</w:t>
      </w:r>
      <w:r w:rsidR="001E20EC">
        <w:t>s</w:t>
      </w:r>
      <w:r w:rsidRPr="00CE0885">
        <w:t xml:space="preserve"> for further information on considerations relating to terminating a contract.</w:t>
      </w:r>
      <w:bookmarkEnd w:id="1507"/>
      <w:bookmarkEnd w:id="1508"/>
      <w:r w:rsidRPr="00CE0885">
        <w:t xml:space="preserve"> </w:t>
      </w:r>
    </w:p>
    <w:p w14:paraId="2A2DA4AA" w14:textId="77777777" w:rsidR="00867DFB" w:rsidRPr="00CE0885" w:rsidRDefault="00867DFB" w:rsidP="00867DFB">
      <w:pPr>
        <w:widowControl w:val="0"/>
        <w:spacing w:line="360" w:lineRule="auto"/>
        <w:ind w:left="1414"/>
        <w:jc w:val="both"/>
        <w:rPr>
          <w:rFonts w:cs="Arial"/>
          <w:bCs w:val="0"/>
          <w:szCs w:val="24"/>
        </w:rPr>
      </w:pPr>
    </w:p>
    <w:p w14:paraId="3412E068" w14:textId="77777777" w:rsidR="00867DFB" w:rsidRPr="00CE0885" w:rsidRDefault="00867DFB" w:rsidP="00867DFB">
      <w:pPr>
        <w:widowControl w:val="0"/>
        <w:spacing w:line="360" w:lineRule="auto"/>
        <w:ind w:left="426"/>
        <w:rPr>
          <w:rFonts w:cs="Arial"/>
          <w:b/>
          <w:bCs w:val="0"/>
          <w:w w:val="0"/>
          <w:szCs w:val="24"/>
          <w:lang w:eastAsia="en-GB"/>
        </w:rPr>
      </w:pPr>
      <w:r w:rsidRPr="00CE0885">
        <w:rPr>
          <w:rFonts w:cs="Arial"/>
          <w:b/>
          <w:bCs w:val="0"/>
          <w:w w:val="0"/>
          <w:szCs w:val="24"/>
          <w:lang w:eastAsia="en-GB"/>
        </w:rPr>
        <w:br w:type="page"/>
      </w:r>
    </w:p>
    <w:p w14:paraId="5337B6AB" w14:textId="77777777" w:rsidR="00867DFB" w:rsidRPr="00CE0885" w:rsidRDefault="00867DFB" w:rsidP="00867DFB">
      <w:pPr>
        <w:widowControl w:val="0"/>
        <w:autoSpaceDE w:val="0"/>
        <w:autoSpaceDN w:val="0"/>
        <w:adjustRightInd w:val="0"/>
        <w:spacing w:line="360" w:lineRule="auto"/>
        <w:ind w:right="-23"/>
        <w:rPr>
          <w:rFonts w:cs="Arial"/>
          <w:b/>
          <w:bCs w:val="0"/>
          <w:szCs w:val="24"/>
          <w:lang w:eastAsia="en-GB"/>
        </w:rPr>
      </w:pPr>
      <w:r w:rsidRPr="00CE0885">
        <w:rPr>
          <w:rFonts w:cs="Arial"/>
          <w:b/>
          <w:bCs w:val="0"/>
          <w:szCs w:val="24"/>
          <w:lang w:eastAsia="en-GB"/>
        </w:rPr>
        <w:t>Annex 1 Template Acknowledgement Letter (Individual – GMS, PMS or APMS contract)</w:t>
      </w:r>
    </w:p>
    <w:bookmarkStart w:id="1509" w:name="_1557330198"/>
    <w:bookmarkEnd w:id="1509"/>
    <w:p w14:paraId="0D4545BB" w14:textId="684F215C" w:rsidR="009A693C" w:rsidRPr="00AB70BB" w:rsidRDefault="002306F3" w:rsidP="009A693C">
      <w:pPr>
        <w:pStyle w:val="ListParagraph"/>
        <w:numPr>
          <w:ilvl w:val="0"/>
          <w:numId w:val="168"/>
        </w:numPr>
      </w:pPr>
      <w:r>
        <w:fldChar w:fldCharType="begin"/>
      </w:r>
      <w:r>
        <w:instrText xml:space="preserve"> HYPERLINK "https://www.england.nhs.uk/publication/primary-medical-care-policy-and-guidance-manual-practical-issues-arising-from-death-of-a-contractor-annexes/" </w:instrText>
      </w:r>
      <w:r>
        <w:fldChar w:fldCharType="separate"/>
      </w:r>
      <w:r w:rsidR="009A693C">
        <w:rPr>
          <w:rStyle w:val="Hyperlink"/>
        </w:rPr>
        <w:t>Template Acknowledegment Letter (Individual – GMS, PMS or APMS contract</w:t>
      </w:r>
      <w:r>
        <w:rPr>
          <w:rStyle w:val="Hyperlink"/>
        </w:rPr>
        <w:fldChar w:fldCharType="end"/>
      </w:r>
    </w:p>
    <w:p w14:paraId="1B67A380" w14:textId="0110E27C" w:rsidR="00867DFB" w:rsidRPr="00CE0885" w:rsidRDefault="00867DFB" w:rsidP="00867DFB">
      <w:pPr>
        <w:widowControl w:val="0"/>
        <w:spacing w:line="360" w:lineRule="auto"/>
        <w:jc w:val="both"/>
        <w:rPr>
          <w:rFonts w:cs="Arial"/>
          <w:bCs w:val="0"/>
          <w:szCs w:val="24"/>
        </w:rPr>
      </w:pPr>
    </w:p>
    <w:p w14:paraId="71F8361F" w14:textId="77777777" w:rsidR="00867DFB" w:rsidRPr="00CE0885" w:rsidRDefault="00867DFB" w:rsidP="00867DFB">
      <w:pPr>
        <w:widowControl w:val="0"/>
        <w:autoSpaceDE w:val="0"/>
        <w:autoSpaceDN w:val="0"/>
        <w:adjustRightInd w:val="0"/>
        <w:spacing w:line="360" w:lineRule="auto"/>
        <w:ind w:right="-23"/>
        <w:rPr>
          <w:rFonts w:cs="Arial"/>
          <w:b/>
          <w:bCs w:val="0"/>
          <w:szCs w:val="24"/>
          <w:lang w:eastAsia="en-GB"/>
        </w:rPr>
      </w:pPr>
      <w:r w:rsidRPr="00CE0885">
        <w:rPr>
          <w:rFonts w:cs="Arial"/>
          <w:b/>
          <w:bCs w:val="0"/>
          <w:szCs w:val="24"/>
          <w:lang w:eastAsia="en-GB"/>
        </w:rPr>
        <w:t>Annex 2 Template Notification Letter (Medical Remaining)</w:t>
      </w:r>
    </w:p>
    <w:bookmarkStart w:id="1510" w:name="_1557330221"/>
    <w:bookmarkEnd w:id="1510"/>
    <w:p w14:paraId="73700461" w14:textId="6CCACEB5" w:rsidR="009A693C" w:rsidRPr="00F84A48" w:rsidRDefault="002306F3" w:rsidP="009A693C">
      <w:pPr>
        <w:pStyle w:val="ListParagraph"/>
        <w:numPr>
          <w:ilvl w:val="0"/>
          <w:numId w:val="167"/>
        </w:numPr>
      </w:pPr>
      <w:r>
        <w:fldChar w:fldCharType="begin"/>
      </w:r>
      <w:r>
        <w:instrText xml:space="preserve"> HYPERLINK "https://www.england.nhs.uk/publication/primary-medical-care-policy-and-guidance-manual-practical-issues-arising-from-death-of-a-contractor-annexes/" </w:instrText>
      </w:r>
      <w:r>
        <w:fldChar w:fldCharType="separate"/>
      </w:r>
      <w:r w:rsidR="009A693C">
        <w:rPr>
          <w:rStyle w:val="Hyperlink"/>
        </w:rPr>
        <w:t>Template Notification Letter (Medical Remaining)</w:t>
      </w:r>
      <w:r>
        <w:rPr>
          <w:rStyle w:val="Hyperlink"/>
        </w:rPr>
        <w:fldChar w:fldCharType="end"/>
      </w:r>
    </w:p>
    <w:p w14:paraId="1195A2B5" w14:textId="77777777" w:rsidR="00867DFB" w:rsidRPr="00CE0885" w:rsidRDefault="00867DFB" w:rsidP="00867DFB">
      <w:pPr>
        <w:widowControl w:val="0"/>
        <w:autoSpaceDE w:val="0"/>
        <w:autoSpaceDN w:val="0"/>
        <w:adjustRightInd w:val="0"/>
        <w:spacing w:line="360" w:lineRule="auto"/>
        <w:ind w:right="139"/>
        <w:jc w:val="both"/>
        <w:rPr>
          <w:rFonts w:cs="Arial"/>
          <w:bCs w:val="0"/>
          <w:szCs w:val="24"/>
          <w:lang w:eastAsia="en-GB"/>
        </w:rPr>
      </w:pPr>
    </w:p>
    <w:p w14:paraId="348FC73B" w14:textId="77777777" w:rsidR="00867DFB" w:rsidRPr="00CE0885" w:rsidRDefault="00867DFB" w:rsidP="00867DFB">
      <w:pPr>
        <w:widowControl w:val="0"/>
        <w:autoSpaceDE w:val="0"/>
        <w:autoSpaceDN w:val="0"/>
        <w:adjustRightInd w:val="0"/>
        <w:spacing w:line="360" w:lineRule="auto"/>
        <w:ind w:right="-23"/>
        <w:rPr>
          <w:rFonts w:cs="Arial"/>
          <w:b/>
          <w:bCs w:val="0"/>
          <w:szCs w:val="24"/>
          <w:lang w:eastAsia="en-GB"/>
        </w:rPr>
      </w:pPr>
      <w:r w:rsidRPr="00CE0885">
        <w:rPr>
          <w:rFonts w:cs="Arial"/>
          <w:b/>
          <w:bCs w:val="0"/>
          <w:szCs w:val="24"/>
          <w:lang w:eastAsia="en-GB"/>
        </w:rPr>
        <w:t>Annex 3 Template Notification Letter(Non-Medical Remaining)</w:t>
      </w:r>
    </w:p>
    <w:bookmarkStart w:id="1511" w:name="_1557330236"/>
    <w:bookmarkEnd w:id="1511"/>
    <w:p w14:paraId="0ADAF53C" w14:textId="50EEA131" w:rsidR="00867DFB" w:rsidRPr="00F84A48" w:rsidRDefault="002306F3" w:rsidP="009A693C">
      <w:pPr>
        <w:pStyle w:val="ListParagraph"/>
        <w:numPr>
          <w:ilvl w:val="0"/>
          <w:numId w:val="166"/>
        </w:numPr>
      </w:pPr>
      <w:r>
        <w:fldChar w:fldCharType="begin"/>
      </w:r>
      <w:r>
        <w:instrText xml:space="preserve"> HYPERLINK "https://www.england.nhs.uk/publication/primary-medical-care-policy-and-guidance-manual-practical-issues-arising-from-death-of-a-contractor-annexes/" </w:instrText>
      </w:r>
      <w:r>
        <w:fldChar w:fldCharType="separate"/>
      </w:r>
      <w:r w:rsidR="009A693C">
        <w:rPr>
          <w:rStyle w:val="Hyperlink"/>
        </w:rPr>
        <w:t>Template Notification Letter (Non-Medical Remaining)</w:t>
      </w:r>
      <w:r>
        <w:rPr>
          <w:rStyle w:val="Hyperlink"/>
        </w:rPr>
        <w:fldChar w:fldCharType="end"/>
      </w:r>
      <w:r w:rsidR="00F84A48">
        <w:br/>
      </w:r>
    </w:p>
    <w:p w14:paraId="0CFEA743" w14:textId="77777777" w:rsidR="00867DFB" w:rsidRPr="00CE0885" w:rsidRDefault="00867DFB" w:rsidP="00867DFB">
      <w:pPr>
        <w:widowControl w:val="0"/>
        <w:autoSpaceDE w:val="0"/>
        <w:autoSpaceDN w:val="0"/>
        <w:adjustRightInd w:val="0"/>
        <w:spacing w:line="360" w:lineRule="auto"/>
        <w:ind w:right="-23"/>
        <w:rPr>
          <w:rFonts w:cs="Arial"/>
          <w:b/>
          <w:bCs w:val="0"/>
          <w:szCs w:val="24"/>
          <w:lang w:eastAsia="en-GB"/>
        </w:rPr>
      </w:pPr>
      <w:r w:rsidRPr="00CE0885">
        <w:rPr>
          <w:rFonts w:cs="Arial"/>
          <w:b/>
          <w:bCs w:val="0"/>
          <w:szCs w:val="24"/>
          <w:lang w:eastAsia="en-GB"/>
        </w:rPr>
        <w:t>Annex 4 Template Termination Letter (Medical Remaining)</w:t>
      </w:r>
    </w:p>
    <w:bookmarkStart w:id="1512" w:name="_1557330251"/>
    <w:bookmarkEnd w:id="1512"/>
    <w:p w14:paraId="42866007" w14:textId="1B188650" w:rsidR="009A693C" w:rsidRPr="00F84A48" w:rsidRDefault="002306F3" w:rsidP="009A693C">
      <w:pPr>
        <w:pStyle w:val="ListParagraph"/>
        <w:numPr>
          <w:ilvl w:val="0"/>
          <w:numId w:val="165"/>
        </w:numPr>
      </w:pPr>
      <w:r>
        <w:fldChar w:fldCharType="begin"/>
      </w:r>
      <w:r>
        <w:instrText xml:space="preserve"> HYPERLINK "https://www.england.nhs.uk/publication/primary-medical-care-policy-and-guidance-manual-practical-issues-arising-from-death-of-a-contractor-annexes/" </w:instrText>
      </w:r>
      <w:r>
        <w:fldChar w:fldCharType="separate"/>
      </w:r>
      <w:r w:rsidR="009A693C">
        <w:rPr>
          <w:rStyle w:val="Hyperlink"/>
        </w:rPr>
        <w:t>Template Termination Letter (Medical Remaining)</w:t>
      </w:r>
      <w:r>
        <w:rPr>
          <w:rStyle w:val="Hyperlink"/>
        </w:rPr>
        <w:fldChar w:fldCharType="end"/>
      </w:r>
    </w:p>
    <w:p w14:paraId="20636C1D" w14:textId="45EEFC3F" w:rsidR="00867DFB" w:rsidRPr="00CE0885" w:rsidRDefault="00867DFB" w:rsidP="00867DFB">
      <w:pPr>
        <w:widowControl w:val="0"/>
        <w:spacing w:line="360" w:lineRule="auto"/>
        <w:jc w:val="both"/>
        <w:rPr>
          <w:rFonts w:cs="Arial"/>
          <w:bCs w:val="0"/>
          <w:szCs w:val="24"/>
        </w:rPr>
      </w:pPr>
    </w:p>
    <w:p w14:paraId="213765E9" w14:textId="77777777" w:rsidR="00867DFB" w:rsidRPr="00CE0885" w:rsidRDefault="00867DFB" w:rsidP="00867DFB">
      <w:pPr>
        <w:widowControl w:val="0"/>
        <w:autoSpaceDE w:val="0"/>
        <w:autoSpaceDN w:val="0"/>
        <w:adjustRightInd w:val="0"/>
        <w:spacing w:line="360" w:lineRule="auto"/>
        <w:ind w:right="-23"/>
        <w:rPr>
          <w:rFonts w:cs="Arial"/>
          <w:b/>
          <w:bCs w:val="0"/>
          <w:szCs w:val="24"/>
          <w:lang w:eastAsia="en-GB"/>
        </w:rPr>
      </w:pPr>
      <w:r w:rsidRPr="00CE0885">
        <w:rPr>
          <w:rFonts w:cs="Arial"/>
          <w:b/>
          <w:bCs w:val="0"/>
          <w:szCs w:val="24"/>
          <w:lang w:eastAsia="en-GB"/>
        </w:rPr>
        <w:t>Annex 5 Template Notification Letter (Non-Medical Remaining)</w:t>
      </w:r>
    </w:p>
    <w:p w14:paraId="7309E803" w14:textId="5E16ABB5" w:rsidR="009A693C" w:rsidRPr="00F84A48" w:rsidRDefault="000E7846" w:rsidP="009A693C">
      <w:pPr>
        <w:pStyle w:val="ListParagraph"/>
        <w:numPr>
          <w:ilvl w:val="0"/>
          <w:numId w:val="164"/>
        </w:numPr>
      </w:pPr>
      <w:hyperlink r:id="rId112" w:history="1">
        <w:r w:rsidR="009A693C">
          <w:rPr>
            <w:rStyle w:val="Hyperlink"/>
          </w:rPr>
          <w:t>Template Termination Letter (Non-Medical Remaining)</w:t>
        </w:r>
      </w:hyperlink>
    </w:p>
    <w:p w14:paraId="7A964CB6" w14:textId="77777777" w:rsidR="009A693C" w:rsidRPr="00F84A48" w:rsidRDefault="009A693C" w:rsidP="002306F3">
      <w:pPr>
        <w:pStyle w:val="ListParagraph"/>
      </w:pPr>
    </w:p>
    <w:p w14:paraId="6362589A" w14:textId="77777777" w:rsidR="00867DFB" w:rsidRPr="00CE0885" w:rsidRDefault="00867DFB" w:rsidP="00867DFB">
      <w:pPr>
        <w:widowControl w:val="0"/>
        <w:autoSpaceDE w:val="0"/>
        <w:autoSpaceDN w:val="0"/>
        <w:adjustRightInd w:val="0"/>
        <w:spacing w:line="360" w:lineRule="auto"/>
        <w:jc w:val="both"/>
        <w:rPr>
          <w:rFonts w:cs="Arial"/>
          <w:bCs w:val="0"/>
          <w:w w:val="0"/>
          <w:szCs w:val="24"/>
          <w:lang w:eastAsia="en-GB"/>
        </w:rPr>
      </w:pPr>
    </w:p>
    <w:p w14:paraId="4EEDFC90" w14:textId="77777777" w:rsidR="00867DFB" w:rsidRPr="009055A7" w:rsidRDefault="00867DFB" w:rsidP="00867DFB">
      <w:pPr>
        <w:spacing w:line="360" w:lineRule="auto"/>
        <w:rPr>
          <w:rFonts w:cs="Arial"/>
        </w:rPr>
      </w:pPr>
    </w:p>
    <w:p w14:paraId="220EC941" w14:textId="77777777" w:rsidR="0015247B" w:rsidRPr="0015247B" w:rsidRDefault="0015247B" w:rsidP="0015247B">
      <w:pPr>
        <w:rPr>
          <w:lang w:eastAsia="en-GB"/>
        </w:rPr>
      </w:pPr>
    </w:p>
    <w:p w14:paraId="3FEB991D" w14:textId="26D743B0" w:rsidR="0015247B" w:rsidRDefault="00850B0E" w:rsidP="0015247B">
      <w:pPr>
        <w:pStyle w:val="Heading1"/>
        <w:rPr>
          <w:lang w:eastAsia="en-GB"/>
        </w:rPr>
      </w:pPr>
      <w:r>
        <w:rPr>
          <w:lang w:eastAsia="en-GB"/>
        </w:rPr>
        <w:br w:type="page"/>
      </w:r>
      <w:bookmarkStart w:id="1513" w:name="_Toc498495469"/>
      <w:r w:rsidR="0015247B">
        <w:rPr>
          <w:lang w:eastAsia="en-GB"/>
        </w:rPr>
        <w:t>Managing Disputes</w:t>
      </w:r>
      <w:bookmarkEnd w:id="1513"/>
    </w:p>
    <w:p w14:paraId="12360E4D" w14:textId="77777777" w:rsidR="0015247B" w:rsidRDefault="0015247B" w:rsidP="0015247B">
      <w:pPr>
        <w:rPr>
          <w:lang w:eastAsia="en-GB"/>
        </w:rPr>
      </w:pPr>
    </w:p>
    <w:p w14:paraId="76E07238" w14:textId="77777777" w:rsidR="00867DFB" w:rsidRPr="00CE0885" w:rsidRDefault="00867DFB" w:rsidP="00EF04D7">
      <w:pPr>
        <w:pStyle w:val="Heading2"/>
        <w:rPr>
          <w:lang w:eastAsia="en-GB"/>
        </w:rPr>
      </w:pPr>
      <w:bookmarkStart w:id="1514" w:name="_Toc440982714"/>
      <w:bookmarkStart w:id="1515" w:name="_Toc498495470"/>
      <w:r w:rsidRPr="00CE0885">
        <w:rPr>
          <w:lang w:eastAsia="en-GB"/>
        </w:rPr>
        <w:t>Introduction</w:t>
      </w:r>
      <w:bookmarkEnd w:id="1514"/>
      <w:bookmarkEnd w:id="1515"/>
    </w:p>
    <w:p w14:paraId="1B8AC58F" w14:textId="77777777" w:rsidR="00867DFB" w:rsidRPr="00CE0885" w:rsidRDefault="00867DFB" w:rsidP="00A13EB7">
      <w:pPr>
        <w:pStyle w:val="Heading3"/>
        <w:rPr>
          <w:lang w:eastAsia="en-GB"/>
        </w:rPr>
      </w:pPr>
      <w:bookmarkStart w:id="1516" w:name="_Toc440982715"/>
      <w:r w:rsidRPr="00CE0885">
        <w:rPr>
          <w:lang w:eastAsia="en-GB"/>
        </w:rPr>
        <w:t>This policy</w:t>
      </w:r>
      <w:r w:rsidRPr="00CE0885">
        <w:rPr>
          <w:spacing w:val="-12"/>
          <w:lang w:eastAsia="en-GB"/>
        </w:rPr>
        <w:t xml:space="preserve"> </w:t>
      </w:r>
      <w:r w:rsidRPr="00CE0885">
        <w:rPr>
          <w:lang w:eastAsia="en-GB"/>
        </w:rPr>
        <w:t>describes the process to determine the action required when a contractor has requested to follow the NHS dispute resolution process or where the Commissioner elects to follow the NHS dispute resolution procedure.</w:t>
      </w:r>
      <w:bookmarkEnd w:id="1516"/>
    </w:p>
    <w:p w14:paraId="35C9B220" w14:textId="77777777" w:rsidR="00867DFB" w:rsidRPr="00CE0885" w:rsidRDefault="00867DFB" w:rsidP="00A13EB7">
      <w:pPr>
        <w:pStyle w:val="Heading3"/>
        <w:rPr>
          <w:lang w:eastAsia="en-GB"/>
        </w:rPr>
      </w:pPr>
      <w:bookmarkStart w:id="1517" w:name="_Toc440982716"/>
      <w:r w:rsidRPr="00CE0885">
        <w:rPr>
          <w:lang w:eastAsia="en-GB"/>
        </w:rPr>
        <w:t>The policy focuses on primary medical care contracts in their various forms.</w:t>
      </w:r>
      <w:bookmarkEnd w:id="1517"/>
    </w:p>
    <w:p w14:paraId="15C351CA" w14:textId="77777777" w:rsidR="00867DFB" w:rsidRPr="009055A7" w:rsidRDefault="00867DFB" w:rsidP="00867DFB">
      <w:pPr>
        <w:widowControl w:val="0"/>
        <w:spacing w:line="360" w:lineRule="auto"/>
        <w:ind w:left="1414"/>
        <w:jc w:val="both"/>
        <w:rPr>
          <w:rFonts w:cs="Arial"/>
          <w:bCs w:val="0"/>
          <w:sz w:val="20"/>
          <w:szCs w:val="20"/>
          <w:lang w:eastAsia="en-GB"/>
        </w:rPr>
      </w:pPr>
    </w:p>
    <w:p w14:paraId="012575E6" w14:textId="77777777" w:rsidR="00867DFB" w:rsidRPr="00CE0885" w:rsidRDefault="00867DFB" w:rsidP="00EF04D7">
      <w:pPr>
        <w:pStyle w:val="Heading2"/>
        <w:rPr>
          <w:lang w:eastAsia="en-GB"/>
        </w:rPr>
      </w:pPr>
      <w:bookmarkStart w:id="1518" w:name="_Toc440982717"/>
      <w:bookmarkStart w:id="1519" w:name="_Toc498495471"/>
      <w:r w:rsidRPr="00CE0885">
        <w:rPr>
          <w:lang w:eastAsia="en-GB"/>
        </w:rPr>
        <w:t>Background</w:t>
      </w:r>
      <w:bookmarkEnd w:id="1518"/>
      <w:bookmarkEnd w:id="1519"/>
    </w:p>
    <w:p w14:paraId="15289EEC" w14:textId="77777777" w:rsidR="00867DFB" w:rsidRPr="00CE0885" w:rsidRDefault="00867DFB" w:rsidP="00A13EB7">
      <w:pPr>
        <w:pStyle w:val="Heading3"/>
        <w:rPr>
          <w:lang w:eastAsia="en-GB"/>
        </w:rPr>
      </w:pPr>
      <w:bookmarkStart w:id="1520" w:name="_Toc440982718"/>
      <w:r w:rsidRPr="00CE0885">
        <w:rPr>
          <w:lang w:eastAsia="en-GB"/>
        </w:rPr>
        <w:t>The Commissioner must identify whether the contract is an NHS contract or a non-NHS contract. In GMS contracts, the Commissioner can do this by reviewing clause 14 of the standard GMS contract. A similar clause will also be set out within PMS and APMS contracts.</w:t>
      </w:r>
      <w:bookmarkEnd w:id="1520"/>
    </w:p>
    <w:p w14:paraId="52657736" w14:textId="77777777" w:rsidR="00867DFB" w:rsidRPr="00CE0885" w:rsidRDefault="00867DFB" w:rsidP="00A13EB7">
      <w:pPr>
        <w:pStyle w:val="Heading3"/>
        <w:rPr>
          <w:lang w:eastAsia="en-GB"/>
        </w:rPr>
      </w:pPr>
      <w:bookmarkStart w:id="1521" w:name="_Toc440982719"/>
      <w:r w:rsidRPr="00CE0885">
        <w:rPr>
          <w:lang w:eastAsia="en-GB"/>
        </w:rPr>
        <w:t>An NHS contract (as set out at section 9 of the NHS Act) is an arrangement under which one health service body arranges for the provision of goods or services to another health service body. It must not be regarded as giving rise to contractual rights or liabilities.</w:t>
      </w:r>
      <w:bookmarkEnd w:id="1521"/>
    </w:p>
    <w:p w14:paraId="199B2FCB" w14:textId="77777777" w:rsidR="00867DFB" w:rsidRPr="00CE0885" w:rsidRDefault="00867DFB" w:rsidP="00A13EB7">
      <w:pPr>
        <w:pStyle w:val="Heading3"/>
        <w:rPr>
          <w:lang w:eastAsia="en-GB"/>
        </w:rPr>
      </w:pPr>
      <w:bookmarkStart w:id="1522" w:name="_Toc440982720"/>
      <w:r w:rsidRPr="00CE0885">
        <w:rPr>
          <w:lang w:eastAsia="en-GB"/>
        </w:rPr>
        <w:t>A non-NHS contract is where the contract is legally binding.</w:t>
      </w:r>
      <w:bookmarkEnd w:id="1522"/>
    </w:p>
    <w:p w14:paraId="71854061" w14:textId="77777777" w:rsidR="00867DFB" w:rsidRPr="00CE0885" w:rsidRDefault="00867DFB" w:rsidP="00A13EB7">
      <w:pPr>
        <w:pStyle w:val="Heading3"/>
        <w:rPr>
          <w:lang w:eastAsia="en-GB"/>
        </w:rPr>
      </w:pPr>
      <w:bookmarkStart w:id="1523" w:name="_Toc440982721"/>
      <w:r w:rsidRPr="00CE0885">
        <w:rPr>
          <w:lang w:eastAsia="en-GB"/>
        </w:rPr>
        <w:t>Contractors have the right to be regarded as a health service body under regulation 10 of the GMS Regulations or regulation 9 of the PMS Regulations or where the APMS contractor is a health service body by virtue of section 9 of the NHS Act.</w:t>
      </w:r>
      <w:bookmarkEnd w:id="1523"/>
    </w:p>
    <w:p w14:paraId="2003CDF0" w14:textId="77777777" w:rsidR="00867DFB" w:rsidRPr="00CE0885" w:rsidRDefault="00867DFB" w:rsidP="00A13EB7">
      <w:pPr>
        <w:pStyle w:val="Heading3"/>
        <w:rPr>
          <w:lang w:eastAsia="en-GB"/>
        </w:rPr>
      </w:pPr>
      <w:bookmarkStart w:id="1524" w:name="_Toc440982722"/>
      <w:r w:rsidRPr="00CE0885">
        <w:rPr>
          <w:lang w:eastAsia="en-GB"/>
        </w:rPr>
        <w:t>Where a contractor is regarded as being a health service body, its contract will be an NHS contract. Where a contractor is not regarded as a health service body, its contract will not be an NHS contract. Health service body status affects the eligibility and application process for NHS dispute resolution.</w:t>
      </w:r>
      <w:bookmarkEnd w:id="1524"/>
      <w:r w:rsidRPr="00CE0885">
        <w:rPr>
          <w:lang w:eastAsia="en-GB"/>
        </w:rPr>
        <w:t xml:space="preserve"> </w:t>
      </w:r>
    </w:p>
    <w:p w14:paraId="4D003E0A" w14:textId="77777777" w:rsidR="00867DFB" w:rsidRPr="00CE0885" w:rsidRDefault="00867DFB" w:rsidP="00A13EB7">
      <w:pPr>
        <w:pStyle w:val="Heading3"/>
        <w:rPr>
          <w:lang w:eastAsia="en-GB"/>
        </w:rPr>
      </w:pPr>
      <w:bookmarkStart w:id="1525" w:name="_Toc440982723"/>
      <w:r w:rsidRPr="00CE0885">
        <w:rPr>
          <w:lang w:eastAsia="en-GB"/>
        </w:rPr>
        <w:t>GMS and PMS contracts require the parties to make every reasonable effort to communicate and co-operate with each other with a view to resolving the dispute before referring the dispute for determination in accordance with the NHS dispute resolution procedure or, where applicable, before commencing Court proceedings.</w:t>
      </w:r>
      <w:bookmarkEnd w:id="1525"/>
      <w:r w:rsidRPr="00CE0885">
        <w:rPr>
          <w:lang w:eastAsia="en-GB"/>
        </w:rPr>
        <w:t xml:space="preserve"> </w:t>
      </w:r>
    </w:p>
    <w:p w14:paraId="1D58D4E9" w14:textId="77777777" w:rsidR="00867DFB" w:rsidRPr="00CE0885" w:rsidRDefault="00867DFB" w:rsidP="00A13EB7">
      <w:pPr>
        <w:pStyle w:val="Heading3"/>
        <w:rPr>
          <w:lang w:eastAsia="en-GB"/>
        </w:rPr>
      </w:pPr>
      <w:bookmarkStart w:id="1526" w:name="_Toc440982724"/>
      <w:r w:rsidRPr="00CE0885">
        <w:rPr>
          <w:lang w:eastAsia="en-GB"/>
        </w:rPr>
        <w:t>There are two different routes that can be taken for resolving contractual disputes, depending on the contractor’s health service body status:</w:t>
      </w:r>
      <w:bookmarkEnd w:id="1526"/>
    </w:p>
    <w:p w14:paraId="73ECA8DC" w14:textId="77777777" w:rsidR="00867DFB" w:rsidRPr="00CE0885" w:rsidRDefault="00867DFB" w:rsidP="00A13EB7">
      <w:pPr>
        <w:pStyle w:val="Heading4"/>
      </w:pPr>
      <w:bookmarkStart w:id="1527" w:name="_Toc440982725"/>
      <w:r w:rsidRPr="00CE0885">
        <w:t>where the contractor is a health service body and the contract is an NHS contract the steps laid out in this policy will be used to resolve all matters of dispute. The parties should not make a claim at Court in relation to the contracts; or</w:t>
      </w:r>
      <w:bookmarkEnd w:id="1527"/>
      <w:r w:rsidRPr="00CE0885">
        <w:t xml:space="preserve"> </w:t>
      </w:r>
    </w:p>
    <w:p w14:paraId="5917054B" w14:textId="77777777" w:rsidR="00867DFB" w:rsidRPr="00CE0885" w:rsidRDefault="00867DFB" w:rsidP="00A13EB7">
      <w:pPr>
        <w:pStyle w:val="Heading4"/>
      </w:pPr>
      <w:bookmarkStart w:id="1528" w:name="_Toc440982726"/>
      <w:r w:rsidRPr="00CE0885">
        <w:t>where the contractor is not a health service body and the contract is a non-NHS contract, the dispute can either be resolved using the process described within this policy or using the Court system.</w:t>
      </w:r>
      <w:bookmarkEnd w:id="1528"/>
    </w:p>
    <w:p w14:paraId="6332F45F" w14:textId="77777777" w:rsidR="00867DFB" w:rsidRPr="00CE0885" w:rsidRDefault="00867DFB" w:rsidP="00A13EB7">
      <w:pPr>
        <w:pStyle w:val="Heading3"/>
        <w:rPr>
          <w:lang w:eastAsia="en-GB"/>
        </w:rPr>
      </w:pPr>
      <w:bookmarkStart w:id="1529" w:name="_Toc440982727"/>
      <w:r w:rsidRPr="00CE0885">
        <w:rPr>
          <w:lang w:eastAsia="en-GB"/>
        </w:rPr>
        <w:t>The dispute resolution process for APMS contracts is specific to the parties' agreement as set out in the APMS contract. The APMS contract must be reviewed in the event of a dispute and that process followed. The APMS Directions do not require the NHS dispute resolution to be included in the APMS contract and more commercial terms are usually set out.</w:t>
      </w:r>
      <w:bookmarkEnd w:id="1529"/>
    </w:p>
    <w:p w14:paraId="34D5D075" w14:textId="77777777" w:rsidR="00867DFB" w:rsidRPr="00CE0885" w:rsidRDefault="00867DFB" w:rsidP="00A13EB7">
      <w:pPr>
        <w:pStyle w:val="Heading3"/>
        <w:rPr>
          <w:lang w:eastAsia="en-GB"/>
        </w:rPr>
      </w:pPr>
      <w:bookmarkStart w:id="1530" w:name="_Toc440982728"/>
      <w:r w:rsidRPr="00CE0885">
        <w:rPr>
          <w:lang w:eastAsia="en-GB"/>
        </w:rPr>
        <w:t>The use of the Court system can be an expensive and public route. In normal circumstances, non-health service bodies will elect to follow NHS dispute resolution.</w:t>
      </w:r>
      <w:bookmarkEnd w:id="1530"/>
    </w:p>
    <w:p w14:paraId="09AADA38" w14:textId="77777777" w:rsidR="00867DFB" w:rsidRPr="00CE0885" w:rsidRDefault="00867DFB" w:rsidP="00A13EB7">
      <w:pPr>
        <w:pStyle w:val="Heading3"/>
        <w:rPr>
          <w:lang w:eastAsia="en-GB"/>
        </w:rPr>
      </w:pPr>
      <w:bookmarkStart w:id="1531" w:name="_Toc440982729"/>
      <w:r w:rsidRPr="00CE0885">
        <w:rPr>
          <w:lang w:eastAsia="en-GB"/>
        </w:rPr>
        <w:t>Where the parties have followed this policy and NHS dispute resolution to the end determination, the result is binding. A second referral to the Court system for a further ruling on the same issue cannot be made other than to enforce the decision as having the status of a County Court Judgement or to seek Judicial Review of the process.</w:t>
      </w:r>
      <w:bookmarkEnd w:id="1531"/>
    </w:p>
    <w:p w14:paraId="7A825548" w14:textId="77777777" w:rsidR="00867DFB" w:rsidRPr="009055A7" w:rsidRDefault="00867DFB" w:rsidP="00867DFB">
      <w:pPr>
        <w:widowControl w:val="0"/>
        <w:spacing w:line="360" w:lineRule="auto"/>
        <w:ind w:left="1414"/>
        <w:jc w:val="both"/>
        <w:rPr>
          <w:rFonts w:cs="Arial"/>
          <w:bCs w:val="0"/>
          <w:sz w:val="20"/>
          <w:szCs w:val="20"/>
          <w:lang w:eastAsia="en-GB"/>
        </w:rPr>
      </w:pPr>
    </w:p>
    <w:p w14:paraId="750E9B2C" w14:textId="77777777" w:rsidR="00867DFB" w:rsidRPr="00CE0885" w:rsidRDefault="00867DFB" w:rsidP="00EF04D7">
      <w:pPr>
        <w:pStyle w:val="Heading2"/>
        <w:rPr>
          <w:lang w:eastAsia="en-GB"/>
        </w:rPr>
      </w:pPr>
      <w:bookmarkStart w:id="1532" w:name="_Toc440982730"/>
      <w:bookmarkStart w:id="1533" w:name="_Toc498495472"/>
      <w:r w:rsidRPr="00CE0885">
        <w:rPr>
          <w:lang w:eastAsia="en-GB"/>
        </w:rPr>
        <w:t>Managing Disputes – Informal Process</w:t>
      </w:r>
      <w:bookmarkEnd w:id="1532"/>
      <w:bookmarkEnd w:id="1533"/>
    </w:p>
    <w:p w14:paraId="4C63D61A" w14:textId="77777777" w:rsidR="00867DFB" w:rsidRPr="00CE0885" w:rsidRDefault="00867DFB" w:rsidP="00A13EB7">
      <w:pPr>
        <w:pStyle w:val="Heading3"/>
        <w:rPr>
          <w:lang w:eastAsia="en-GB"/>
        </w:rPr>
      </w:pPr>
      <w:bookmarkStart w:id="1534" w:name="_Toc440982731"/>
      <w:r w:rsidRPr="00CE0885">
        <w:rPr>
          <w:lang w:eastAsia="en-GB"/>
        </w:rPr>
        <w:t>The parties must make every reasonable effort to communicate their issues in relation to decision-making and rationale and must co-operate with each other to resolve any disputes that emerge informally before considering referring the matter for determination through formal dispute resolution procedures.</w:t>
      </w:r>
      <w:bookmarkEnd w:id="1534"/>
    </w:p>
    <w:p w14:paraId="2D198BAC" w14:textId="77777777" w:rsidR="00867DFB" w:rsidRPr="00CE0885" w:rsidRDefault="00867DFB" w:rsidP="00A13EB7">
      <w:pPr>
        <w:pStyle w:val="Heading3"/>
        <w:rPr>
          <w:lang w:eastAsia="en-GB"/>
        </w:rPr>
      </w:pPr>
      <w:bookmarkStart w:id="1535" w:name="_Toc440982732"/>
      <w:r w:rsidRPr="00CE0885">
        <w:rPr>
          <w:lang w:eastAsia="en-GB"/>
        </w:rPr>
        <w:t>The formal process should not be initiated until the informal process has been exhausted and it should be noted that both parties may wish to involve the relevant professional representative (e.g. LMC).</w:t>
      </w:r>
      <w:bookmarkEnd w:id="1535"/>
    </w:p>
    <w:p w14:paraId="4810125C" w14:textId="77777777" w:rsidR="00867DFB" w:rsidRPr="00CE0885" w:rsidRDefault="00867DFB" w:rsidP="00A13EB7">
      <w:pPr>
        <w:pStyle w:val="Heading3"/>
        <w:rPr>
          <w:lang w:eastAsia="en-GB"/>
        </w:rPr>
      </w:pPr>
      <w:bookmarkStart w:id="1536" w:name="_Toc440982733"/>
      <w:r w:rsidRPr="00CE0885">
        <w:rPr>
          <w:lang w:eastAsia="en-GB"/>
        </w:rPr>
        <w:t>The use of an informal resolution process helps develop and sustain a partnership approach between contractor and Commissioner.</w:t>
      </w:r>
      <w:bookmarkEnd w:id="1536"/>
    </w:p>
    <w:p w14:paraId="2B9D3B33" w14:textId="77777777" w:rsidR="00867DFB" w:rsidRPr="00CE0885" w:rsidRDefault="00867DFB" w:rsidP="00A13EB7">
      <w:pPr>
        <w:pStyle w:val="Heading3"/>
        <w:rPr>
          <w:lang w:eastAsia="en-GB"/>
        </w:rPr>
      </w:pPr>
      <w:bookmarkStart w:id="1537" w:name="_Toc440982734"/>
      <w:r w:rsidRPr="00CE0885">
        <w:rPr>
          <w:lang w:eastAsia="en-GB"/>
        </w:rPr>
        <w:t>The informal process may include (but is limited to):</w:t>
      </w:r>
      <w:bookmarkEnd w:id="1537"/>
    </w:p>
    <w:p w14:paraId="49F4DCF5" w14:textId="77777777" w:rsidR="00867DFB" w:rsidRPr="00CE0885" w:rsidRDefault="00867DFB" w:rsidP="00A13EB7">
      <w:pPr>
        <w:pStyle w:val="Heading4"/>
      </w:pPr>
      <w:bookmarkStart w:id="1538" w:name="_Toc440982735"/>
      <w:r w:rsidRPr="00CE0885">
        <w:t>regular telephone communications;</w:t>
      </w:r>
      <w:bookmarkEnd w:id="1538"/>
    </w:p>
    <w:p w14:paraId="51CD7D24" w14:textId="77777777" w:rsidR="00867DFB" w:rsidRPr="00CE0885" w:rsidRDefault="00867DFB" w:rsidP="00A13EB7">
      <w:pPr>
        <w:pStyle w:val="Heading4"/>
      </w:pPr>
      <w:bookmarkStart w:id="1539" w:name="_Toc440982736"/>
      <w:r w:rsidRPr="00CE0885">
        <w:t>face-to-face meetings at a mutually convenient location; and/or</w:t>
      </w:r>
      <w:bookmarkEnd w:id="1539"/>
    </w:p>
    <w:p w14:paraId="5346BB9F" w14:textId="77777777" w:rsidR="00867DFB" w:rsidRPr="00CE0885" w:rsidRDefault="00867DFB" w:rsidP="00A13EB7">
      <w:pPr>
        <w:pStyle w:val="Heading4"/>
      </w:pPr>
      <w:bookmarkStart w:id="1540" w:name="_Toc440982737"/>
      <w:r w:rsidRPr="00CE0885">
        <w:t>written communications.</w:t>
      </w:r>
      <w:bookmarkEnd w:id="1540"/>
    </w:p>
    <w:p w14:paraId="5B98B207" w14:textId="77777777" w:rsidR="00867DFB" w:rsidRPr="00CE0885" w:rsidRDefault="00867DFB" w:rsidP="00A13EB7">
      <w:pPr>
        <w:pStyle w:val="Heading3"/>
        <w:rPr>
          <w:lang w:eastAsia="en-GB"/>
        </w:rPr>
      </w:pPr>
      <w:bookmarkStart w:id="1541" w:name="_Toc440982738"/>
      <w:r w:rsidRPr="00CE0885">
        <w:rPr>
          <w:lang w:eastAsia="en-GB"/>
        </w:rPr>
        <w:t>It is essential that the Commissioner maintains accurate and complete written records of all discussions and correspondence on the contract file in relation to the dispute at all levels of dispute resolution. The Commissioner should ensure that it responds to contractor concerns and communications in a timely and reasonable manner.</w:t>
      </w:r>
      <w:bookmarkEnd w:id="1541"/>
    </w:p>
    <w:p w14:paraId="0BF2ACA2" w14:textId="77777777" w:rsidR="00867DFB" w:rsidRPr="00CE0885" w:rsidRDefault="00867DFB" w:rsidP="00867DFB">
      <w:pPr>
        <w:widowControl w:val="0"/>
        <w:spacing w:line="360" w:lineRule="auto"/>
        <w:ind w:left="1414"/>
        <w:jc w:val="both"/>
        <w:rPr>
          <w:rFonts w:cs="Arial"/>
          <w:bCs w:val="0"/>
          <w:szCs w:val="24"/>
          <w:lang w:eastAsia="en-GB"/>
        </w:rPr>
      </w:pPr>
    </w:p>
    <w:p w14:paraId="77D58084" w14:textId="77777777" w:rsidR="00867DFB" w:rsidRPr="00CE0885" w:rsidRDefault="00867DFB" w:rsidP="00EF04D7">
      <w:pPr>
        <w:pStyle w:val="Heading2"/>
        <w:rPr>
          <w:lang w:eastAsia="en-GB"/>
        </w:rPr>
      </w:pPr>
      <w:bookmarkStart w:id="1542" w:name="_Toc440982739"/>
      <w:bookmarkStart w:id="1543" w:name="_Toc498495473"/>
      <w:r w:rsidRPr="00CE0885">
        <w:rPr>
          <w:lang w:eastAsia="en-GB"/>
        </w:rPr>
        <w:t>Managing Disputes – Stage 1 (Local Dispute Resolution)</w:t>
      </w:r>
      <w:bookmarkEnd w:id="1542"/>
      <w:bookmarkEnd w:id="1543"/>
    </w:p>
    <w:p w14:paraId="54B03499" w14:textId="77777777" w:rsidR="00867DFB" w:rsidRPr="00CE0885" w:rsidRDefault="00867DFB" w:rsidP="00A13EB7">
      <w:pPr>
        <w:pStyle w:val="Heading3"/>
        <w:rPr>
          <w:lang w:eastAsia="en-GB"/>
        </w:rPr>
      </w:pPr>
      <w:bookmarkStart w:id="1544" w:name="_Toc440982740"/>
      <w:r w:rsidRPr="00CE0885">
        <w:rPr>
          <w:lang w:eastAsia="en-GB"/>
        </w:rPr>
        <w:t>The timescales set out in this stage 1 are indicative only. The Commissioner should ensure any timescales used are appropriate to the circumstances. Regardless of timescales, the parties must ensure that every reasonable effort to communicate and co-operate with each other is made prior to invoking stage 2 of the NHS dispute resolution procedure.</w:t>
      </w:r>
      <w:bookmarkEnd w:id="1544"/>
    </w:p>
    <w:p w14:paraId="06DEBA1C" w14:textId="77777777" w:rsidR="00867DFB" w:rsidRPr="00CE0885" w:rsidRDefault="00867DFB" w:rsidP="00A13EB7">
      <w:pPr>
        <w:pStyle w:val="Heading3"/>
        <w:rPr>
          <w:lang w:eastAsia="en-GB"/>
        </w:rPr>
      </w:pPr>
      <w:bookmarkStart w:id="1545" w:name="_Toc440982741"/>
      <w:r w:rsidRPr="00CE0885">
        <w:rPr>
          <w:lang w:eastAsia="en-GB"/>
        </w:rPr>
        <w:t>Where a dispute arises, the Commissioner should refer to the relevant policy that covers the issue that caused the dispute to determine whether due process has been followed.</w:t>
      </w:r>
      <w:bookmarkEnd w:id="1545"/>
    </w:p>
    <w:p w14:paraId="2996868F" w14:textId="77777777" w:rsidR="00867DFB" w:rsidRPr="00CE0885" w:rsidRDefault="00867DFB" w:rsidP="00A13EB7">
      <w:pPr>
        <w:pStyle w:val="Heading3"/>
        <w:rPr>
          <w:lang w:eastAsia="en-GB"/>
        </w:rPr>
      </w:pPr>
      <w:bookmarkStart w:id="1546" w:name="_Toc440982742"/>
      <w:r w:rsidRPr="00CE0885">
        <w:rPr>
          <w:lang w:eastAsia="en-GB"/>
        </w:rPr>
        <w:t>The contractor should notify the Commissioner of its intention to dispute one or more decisions made in relation to its contract.  This notification should usually be received no later than 28 days after the Commissioner advises the contractor of its decision except in exceptional circumstances.</w:t>
      </w:r>
      <w:bookmarkEnd w:id="1546"/>
      <w:r w:rsidRPr="00CE0885">
        <w:rPr>
          <w:lang w:eastAsia="en-GB"/>
        </w:rPr>
        <w:t xml:space="preserve"> </w:t>
      </w:r>
    </w:p>
    <w:p w14:paraId="0EB4F33E" w14:textId="77777777" w:rsidR="00867DFB" w:rsidRPr="00CE0885" w:rsidRDefault="00867DFB" w:rsidP="00A13EB7">
      <w:pPr>
        <w:pStyle w:val="Heading3"/>
        <w:rPr>
          <w:lang w:eastAsia="en-GB"/>
        </w:rPr>
      </w:pPr>
      <w:bookmarkStart w:id="1547" w:name="_Toc440982743"/>
      <w:r w:rsidRPr="00CE0885">
        <w:rPr>
          <w:lang w:eastAsia="en-GB"/>
        </w:rPr>
        <w:t>The Commissioner will immediately cease all action in relation to the disputed notice or decision, until:</w:t>
      </w:r>
      <w:bookmarkEnd w:id="1547"/>
    </w:p>
    <w:p w14:paraId="4EE45C73" w14:textId="77777777" w:rsidR="00867DFB" w:rsidRPr="00CE0885" w:rsidRDefault="00867DFB" w:rsidP="00A13EB7">
      <w:pPr>
        <w:pStyle w:val="Heading4"/>
      </w:pPr>
      <w:bookmarkStart w:id="1548" w:name="_Toc440982744"/>
      <w:r w:rsidRPr="00CE0885">
        <w:t>there has been a determination of the dispute and that determination permits the Commissioner to impose the planned action; or</w:t>
      </w:r>
      <w:bookmarkEnd w:id="1548"/>
    </w:p>
    <w:p w14:paraId="29BB9A32" w14:textId="77777777" w:rsidR="00867DFB" w:rsidRPr="00CE0885" w:rsidRDefault="00867DFB" w:rsidP="00A13EB7">
      <w:pPr>
        <w:pStyle w:val="Heading4"/>
      </w:pPr>
      <w:bookmarkStart w:id="1549" w:name="_Toc440982745"/>
      <w:r w:rsidRPr="00CE0885">
        <w:t>the contractor ceases to pursue the NHS dispute resolution procedure or Court proceedings,</w:t>
      </w:r>
      <w:bookmarkEnd w:id="1549"/>
    </w:p>
    <w:p w14:paraId="1D1731A7" w14:textId="77777777" w:rsidR="00867DFB" w:rsidRPr="00CE0885" w:rsidRDefault="00867DFB" w:rsidP="00A13EB7">
      <w:pPr>
        <w:pStyle w:val="Heading4"/>
      </w:pPr>
      <w:bookmarkStart w:id="1550" w:name="_Toc440982746"/>
      <w:r w:rsidRPr="00CE0885">
        <w:t>whichever is the sooner.</w:t>
      </w:r>
      <w:bookmarkEnd w:id="1550"/>
    </w:p>
    <w:p w14:paraId="1DD8A412" w14:textId="77777777" w:rsidR="00867DFB" w:rsidRPr="00CE0885" w:rsidRDefault="00867DFB" w:rsidP="00A13EB7">
      <w:pPr>
        <w:pStyle w:val="Heading3"/>
        <w:rPr>
          <w:lang w:eastAsia="en-GB"/>
        </w:rPr>
      </w:pPr>
      <w:bookmarkStart w:id="1551" w:name="_Toc440982747"/>
      <w:r w:rsidRPr="00CE0885">
        <w:rPr>
          <w:lang w:eastAsia="en-GB"/>
        </w:rPr>
        <w:t>Where the Commissioner is satisfied that it is necessary to terminate the contract or impose a Contract Sanction before the NHS dispute resolution procedure is concluded in order to:</w:t>
      </w:r>
      <w:bookmarkEnd w:id="1551"/>
    </w:p>
    <w:p w14:paraId="1B1AF632" w14:textId="77777777" w:rsidR="00867DFB" w:rsidRPr="00CE0885" w:rsidRDefault="00867DFB" w:rsidP="00A13EB7">
      <w:pPr>
        <w:pStyle w:val="Heading4"/>
      </w:pPr>
      <w:bookmarkStart w:id="1552" w:name="_Toc440982748"/>
      <w:r w:rsidRPr="00CE0885">
        <w:t>protect the safety of the contractor’s patients; or</w:t>
      </w:r>
      <w:bookmarkEnd w:id="1552"/>
      <w:r w:rsidRPr="00CE0885">
        <w:t xml:space="preserve"> </w:t>
      </w:r>
    </w:p>
    <w:p w14:paraId="7463A3B8" w14:textId="77777777" w:rsidR="00867DFB" w:rsidRPr="00CE0885" w:rsidRDefault="00867DFB" w:rsidP="00A13EB7">
      <w:pPr>
        <w:pStyle w:val="Heading4"/>
      </w:pPr>
      <w:bookmarkStart w:id="1553" w:name="_Toc440982749"/>
      <w:r w:rsidRPr="00CE0885">
        <w:t>protect NHS England from material financial loss;</w:t>
      </w:r>
      <w:bookmarkEnd w:id="1553"/>
      <w:r w:rsidRPr="00CE0885">
        <w:t xml:space="preserve"> </w:t>
      </w:r>
    </w:p>
    <w:p w14:paraId="2D8CB598" w14:textId="77777777" w:rsidR="00867DFB" w:rsidRPr="00CE0885" w:rsidRDefault="00867DFB" w:rsidP="00A13EB7">
      <w:pPr>
        <w:pStyle w:val="Heading4"/>
      </w:pPr>
      <w:bookmarkStart w:id="1554" w:name="_Toc440982750"/>
      <w:r w:rsidRPr="00CE0885">
        <w:t>then the Commissioner shall be entitled to terminate the contract or impose the contract sanction at the end of the period of notice it served. This should only be followed with close reference to the GMS Regulations and PMS Regulations, pending the outcome of that procedure.</w:t>
      </w:r>
      <w:bookmarkEnd w:id="1554"/>
      <w:r w:rsidRPr="00CE0885">
        <w:t xml:space="preserve"> </w:t>
      </w:r>
    </w:p>
    <w:p w14:paraId="0A1F437E" w14:textId="77777777" w:rsidR="00867DFB" w:rsidRPr="00CE0885" w:rsidRDefault="00867DFB" w:rsidP="00A13EB7">
      <w:pPr>
        <w:pStyle w:val="Heading3"/>
        <w:rPr>
          <w:lang w:eastAsia="en-GB"/>
        </w:rPr>
      </w:pPr>
      <w:bookmarkStart w:id="1555" w:name="_Toc440982751"/>
      <w:r w:rsidRPr="00CE0885">
        <w:rPr>
          <w:lang w:eastAsia="en-GB"/>
        </w:rPr>
        <w:t>The paragraphs below set out a process that may be adopted for stage 1 (Local Dispute Resolution).</w:t>
      </w:r>
      <w:bookmarkEnd w:id="1555"/>
    </w:p>
    <w:p w14:paraId="6C6CDFE2" w14:textId="77777777" w:rsidR="00867DFB" w:rsidRPr="00CE0885" w:rsidRDefault="00867DFB" w:rsidP="00A13EB7">
      <w:pPr>
        <w:pStyle w:val="Heading3"/>
        <w:rPr>
          <w:lang w:eastAsia="en-GB"/>
        </w:rPr>
      </w:pPr>
      <w:bookmarkStart w:id="1556" w:name="_Toc440982752"/>
      <w:r w:rsidRPr="00CE0885">
        <w:rPr>
          <w:lang w:eastAsia="en-GB"/>
        </w:rPr>
        <w:t>The Commissioner may acknowledge the notification of dispute within seven days of receipt and request the submission of supporting evidence from the contractor within a further 28 days from the date they receive the letter. An example acknowledgement letter is provided in Annex 1.</w:t>
      </w:r>
      <w:bookmarkEnd w:id="1556"/>
    </w:p>
    <w:p w14:paraId="27D5DA43" w14:textId="77777777" w:rsidR="00867DFB" w:rsidRPr="00CE0885" w:rsidRDefault="00867DFB" w:rsidP="00A13EB7">
      <w:pPr>
        <w:pStyle w:val="Heading3"/>
        <w:rPr>
          <w:lang w:eastAsia="en-GB"/>
        </w:rPr>
      </w:pPr>
      <w:bookmarkStart w:id="1557" w:name="_Toc440982753"/>
      <w:r w:rsidRPr="00CE0885">
        <w:rPr>
          <w:lang w:eastAsia="en-GB"/>
        </w:rPr>
        <w:t>Upon receipt of the evidence the Commissioner should review the evidence within 28 days and invite the contractor to attend a meeting, which should be as soon as possible, but at the very latest within a further 28 days. The contractor(s) has the opportunity to invite representative bodies to support it at the meeting, for example, the LMC. An example invite letter is provided in Annex 2.</w:t>
      </w:r>
      <w:bookmarkEnd w:id="1557"/>
    </w:p>
    <w:p w14:paraId="52230B3D" w14:textId="77777777" w:rsidR="00867DFB" w:rsidRPr="00CE0885" w:rsidRDefault="00867DFB" w:rsidP="00A13EB7">
      <w:pPr>
        <w:pStyle w:val="Heading3"/>
        <w:rPr>
          <w:lang w:eastAsia="en-GB"/>
        </w:rPr>
      </w:pPr>
      <w:bookmarkStart w:id="1558" w:name="_Toc440982754"/>
      <w:r w:rsidRPr="00CE0885">
        <w:rPr>
          <w:lang w:eastAsia="en-GB"/>
        </w:rPr>
        <w:t>Once the meeting has been held, the Commissioner should notify the contractor in writing of the outcome of the meeting, whether this is that the dispute will now need to be moved to stage 2 of the NHS dispute resolution procedure (refer to the example stage 1 outcome letter in Annex 3) or that the dispute has been successfully resolved (refer to the example stage 1 outcome letter in Annex 4).</w:t>
      </w:r>
      <w:bookmarkEnd w:id="1558"/>
    </w:p>
    <w:p w14:paraId="25730744" w14:textId="77777777" w:rsidR="00867DFB" w:rsidRPr="00CE0885" w:rsidRDefault="00867DFB" w:rsidP="00A13EB7">
      <w:pPr>
        <w:pStyle w:val="Heading3"/>
        <w:rPr>
          <w:lang w:eastAsia="en-GB"/>
        </w:rPr>
      </w:pPr>
      <w:bookmarkStart w:id="1559" w:name="_Toc440982755"/>
      <w:r w:rsidRPr="00CE0885">
        <w:rPr>
          <w:lang w:eastAsia="en-GB"/>
        </w:rPr>
        <w:t>Where the matter is resolved, the issue can be deemed closed and the Commissioner should document the outcome accordingly on the contract file.</w:t>
      </w:r>
      <w:bookmarkEnd w:id="1559"/>
    </w:p>
    <w:p w14:paraId="48EA88F4" w14:textId="77777777" w:rsidR="00867DFB" w:rsidRPr="00CE0885" w:rsidRDefault="00867DFB" w:rsidP="00A13EB7">
      <w:pPr>
        <w:pStyle w:val="Heading3"/>
        <w:rPr>
          <w:lang w:eastAsia="en-GB"/>
        </w:rPr>
      </w:pPr>
      <w:bookmarkStart w:id="1560" w:name="_Toc440982756"/>
      <w:r w:rsidRPr="00CE0885">
        <w:rPr>
          <w:lang w:eastAsia="en-GB"/>
        </w:rPr>
        <w:t>Where the matter remains unresolved, the process may be escalated to the next stage of the dispute resolution procedure.</w:t>
      </w:r>
      <w:bookmarkEnd w:id="1560"/>
    </w:p>
    <w:p w14:paraId="6894DCE4" w14:textId="77777777" w:rsidR="00867DFB" w:rsidRPr="00CE0885" w:rsidRDefault="00867DFB" w:rsidP="00A13EB7">
      <w:pPr>
        <w:pStyle w:val="Heading3"/>
        <w:rPr>
          <w:lang w:eastAsia="en-GB"/>
        </w:rPr>
      </w:pPr>
      <w:bookmarkStart w:id="1561" w:name="_Toc440982757"/>
      <w:r w:rsidRPr="00CE0885">
        <w:rPr>
          <w:lang w:eastAsia="en-GB"/>
        </w:rPr>
        <w:t>At this point the Commissioner should commence preparation of the contract file to ensure that if and when the FHSAU or Court requests submission of evidence in respect of the dispute the documentation is in order.</w:t>
      </w:r>
      <w:bookmarkEnd w:id="1561"/>
      <w:r w:rsidRPr="00CE0885">
        <w:rPr>
          <w:lang w:eastAsia="en-GB"/>
        </w:rPr>
        <w:t xml:space="preserve"> </w:t>
      </w:r>
    </w:p>
    <w:p w14:paraId="31EB1861" w14:textId="77777777" w:rsidR="00867DFB" w:rsidRPr="009055A7" w:rsidRDefault="00867DFB" w:rsidP="00867DFB">
      <w:pPr>
        <w:widowControl w:val="0"/>
        <w:spacing w:line="360" w:lineRule="auto"/>
        <w:ind w:left="1414"/>
        <w:jc w:val="both"/>
        <w:rPr>
          <w:rFonts w:cs="Arial"/>
          <w:bCs w:val="0"/>
          <w:sz w:val="20"/>
          <w:szCs w:val="20"/>
          <w:lang w:eastAsia="en-GB"/>
        </w:rPr>
      </w:pPr>
    </w:p>
    <w:p w14:paraId="23131D41" w14:textId="77777777" w:rsidR="00867DFB" w:rsidRPr="00CE0885" w:rsidRDefault="00867DFB" w:rsidP="00EF04D7">
      <w:pPr>
        <w:pStyle w:val="Heading2"/>
        <w:rPr>
          <w:lang w:eastAsia="en-GB"/>
        </w:rPr>
      </w:pPr>
      <w:bookmarkStart w:id="1562" w:name="_Toc440982758"/>
      <w:bookmarkStart w:id="1563" w:name="_Toc498495474"/>
      <w:r w:rsidRPr="00CE0885">
        <w:rPr>
          <w:lang w:eastAsia="en-GB"/>
        </w:rPr>
        <w:t>Managing Disputes – Stage 2 (NHS Dispute Resolution Procedure)</w:t>
      </w:r>
      <w:bookmarkEnd w:id="1562"/>
      <w:bookmarkEnd w:id="1563"/>
    </w:p>
    <w:p w14:paraId="2F55FC30" w14:textId="77777777" w:rsidR="00867DFB" w:rsidRPr="00CE0885" w:rsidRDefault="00867DFB" w:rsidP="00A13EB7">
      <w:pPr>
        <w:pStyle w:val="Heading3"/>
        <w:rPr>
          <w:lang w:eastAsia="en-GB"/>
        </w:rPr>
      </w:pPr>
      <w:bookmarkStart w:id="1564" w:name="_Toc440982759"/>
      <w:r w:rsidRPr="00CE0885">
        <w:rPr>
          <w:lang w:eastAsia="en-GB"/>
        </w:rPr>
        <w:t>The informal process and stage 1 (Local Dispute Resolution) should be exhausted before proceeding to this stage of the process.  The Commissioner or a contractor wishing to follow this route must submit a written request for dispute resolution to the FHSAU, which carries out the NHS dispute resolution functions of the Secretary of State in the GMS Regulations and the PMS Regulations, which should include:</w:t>
      </w:r>
      <w:bookmarkEnd w:id="1564"/>
    </w:p>
    <w:p w14:paraId="10B89269" w14:textId="77777777" w:rsidR="00867DFB" w:rsidRPr="00CE0885" w:rsidRDefault="00867DFB" w:rsidP="00A13EB7">
      <w:pPr>
        <w:pStyle w:val="Heading4"/>
      </w:pPr>
      <w:bookmarkStart w:id="1565" w:name="_Toc440982760"/>
      <w:r w:rsidRPr="00CE0885">
        <w:t>the names and addresses of the parties to the dispute;</w:t>
      </w:r>
      <w:bookmarkEnd w:id="1565"/>
    </w:p>
    <w:p w14:paraId="13D578E0" w14:textId="77777777" w:rsidR="00867DFB" w:rsidRPr="00CE0885" w:rsidRDefault="00867DFB" w:rsidP="00A13EB7">
      <w:pPr>
        <w:pStyle w:val="Heading4"/>
      </w:pPr>
      <w:bookmarkStart w:id="1566" w:name="_Toc440982761"/>
      <w:r w:rsidRPr="00CE0885">
        <w:t>a copy of the contract; and</w:t>
      </w:r>
      <w:bookmarkEnd w:id="1566"/>
    </w:p>
    <w:p w14:paraId="7F8ADBB9" w14:textId="77777777" w:rsidR="00867DFB" w:rsidRPr="00CE0885" w:rsidRDefault="00867DFB" w:rsidP="00A13EB7">
      <w:pPr>
        <w:pStyle w:val="Heading4"/>
      </w:pPr>
      <w:bookmarkStart w:id="1567" w:name="_Toc440982762"/>
      <w:r w:rsidRPr="00CE0885">
        <w:t>a brief statement describing the nature and circumstances of the dispute.</w:t>
      </w:r>
      <w:bookmarkEnd w:id="1567"/>
    </w:p>
    <w:p w14:paraId="0D1C4ACF" w14:textId="77777777" w:rsidR="00867DFB" w:rsidRPr="00CE0885" w:rsidRDefault="00867DFB" w:rsidP="00A13EB7">
      <w:pPr>
        <w:pStyle w:val="Heading3"/>
        <w:rPr>
          <w:lang w:eastAsia="en-GB"/>
        </w:rPr>
      </w:pPr>
      <w:bookmarkStart w:id="1568" w:name="_Toc440982763"/>
      <w:r w:rsidRPr="00CE0885">
        <w:rPr>
          <w:lang w:eastAsia="en-GB"/>
        </w:rPr>
        <w:t>The written request for dispute resolution must be sent within a period of three years from the date on which the matter gives rise to the dispute occurred or should have reasonably come to the attention of the party wishing to refer the dispute. Please see FHSAU determination reference 17156 for further details on the date that the dispute should have reasonably come to the attention of the relevant party.</w:t>
      </w:r>
      <w:bookmarkEnd w:id="1568"/>
    </w:p>
    <w:p w14:paraId="116EB1C2" w14:textId="77777777" w:rsidR="00867DFB" w:rsidRPr="00CE0885" w:rsidRDefault="00867DFB" w:rsidP="00A13EB7">
      <w:pPr>
        <w:pStyle w:val="Heading3"/>
        <w:rPr>
          <w:lang w:eastAsia="en-GB"/>
        </w:rPr>
      </w:pPr>
      <w:bookmarkStart w:id="1569" w:name="_Toc440982764"/>
      <w:r w:rsidRPr="00CE0885">
        <w:rPr>
          <w:lang w:eastAsia="en-GB"/>
        </w:rPr>
        <w:t>The Commissioner will be required to prepare documentation, evidence and potentially an oral presentation in response to evidence presented in support of the dispute. Each party will be asked to prepare representations on the dispute, which will be circulated to the other party and an opportunity to provide observations on the other party's representations will be given. Again, the observations of each party will be circulated to the other party.</w:t>
      </w:r>
      <w:bookmarkEnd w:id="1569"/>
    </w:p>
    <w:p w14:paraId="5EA608B0" w14:textId="77777777" w:rsidR="00867DFB" w:rsidRPr="00CE0885" w:rsidRDefault="00867DFB" w:rsidP="00A13EB7">
      <w:pPr>
        <w:pStyle w:val="Heading3"/>
        <w:rPr>
          <w:lang w:eastAsia="en-GB"/>
        </w:rPr>
      </w:pPr>
      <w:bookmarkStart w:id="1570" w:name="_Toc440982765"/>
      <w:r w:rsidRPr="00CE0885">
        <w:rPr>
          <w:lang w:eastAsia="en-GB"/>
        </w:rPr>
        <w:t>The Commissioner should not underestimate the preparation that will be required in the event that evidence is required by the FHSAU, as all records pertaining to the contractor in question may be required, including (but not limited to) all contract documentation and contract variations, all written correspondence (both to and from the Commissioner and the contractor) and any electronic correspondence that may have passed between the parties, in relation to the dispute. This process will benefit from a clearly recorded contract file.</w:t>
      </w:r>
      <w:bookmarkEnd w:id="1570"/>
    </w:p>
    <w:p w14:paraId="22A81E08" w14:textId="77777777" w:rsidR="00867DFB" w:rsidRPr="00CE0885" w:rsidRDefault="00867DFB" w:rsidP="00A13EB7">
      <w:pPr>
        <w:pStyle w:val="Heading3"/>
        <w:rPr>
          <w:lang w:eastAsia="en-GB"/>
        </w:rPr>
      </w:pPr>
      <w:bookmarkStart w:id="1571" w:name="_Toc440982766"/>
      <w:r w:rsidRPr="00CE0885">
        <w:rPr>
          <w:lang w:eastAsia="en-GB"/>
        </w:rPr>
        <w:t>The Commissioner must ensure that records of communications and contract files are maintained to a high standard and all documentary evidence is collated correctly prior to submission to the FHSAU</w:t>
      </w:r>
      <w:bookmarkEnd w:id="1571"/>
    </w:p>
    <w:p w14:paraId="2694E76F" w14:textId="77777777" w:rsidR="00867DFB" w:rsidRPr="00CE0885" w:rsidRDefault="00867DFB" w:rsidP="00A13EB7">
      <w:pPr>
        <w:pStyle w:val="Heading3"/>
        <w:rPr>
          <w:lang w:eastAsia="en-GB"/>
        </w:rPr>
      </w:pPr>
      <w:bookmarkStart w:id="1572" w:name="_Toc440982767"/>
      <w:r w:rsidRPr="00CE0885">
        <w:rPr>
          <w:lang w:eastAsia="en-GB"/>
        </w:rPr>
        <w:t>Once the FHSAU has reached a conclusion (the determination) the Commissioner will receive a copy and will be required to act upon it. A copy of the Guidance Note for parties involved in Dispute Resolution at the NHSLA (FHSAU) is attached in Annex 5 and should be followed by the parties to the dispute.</w:t>
      </w:r>
      <w:bookmarkEnd w:id="1572"/>
    </w:p>
    <w:p w14:paraId="397F4E96" w14:textId="77777777" w:rsidR="00867DFB" w:rsidRPr="00CE0885" w:rsidRDefault="00867DFB" w:rsidP="003331F2">
      <w:pPr>
        <w:pStyle w:val="BodyText"/>
      </w:pPr>
    </w:p>
    <w:tbl>
      <w:tblPr>
        <w:tblStyle w:val="TableGrid4"/>
        <w:tblW w:w="0" w:type="auto"/>
        <w:tblInd w:w="164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1C6CB4"/>
        <w:tblCellMar>
          <w:top w:w="227" w:type="dxa"/>
          <w:left w:w="227" w:type="dxa"/>
          <w:bottom w:w="227" w:type="dxa"/>
          <w:right w:w="227" w:type="dxa"/>
        </w:tblCellMar>
        <w:tblLook w:val="04A0" w:firstRow="1" w:lastRow="0" w:firstColumn="1" w:lastColumn="0" w:noHBand="0" w:noVBand="1"/>
        <w:tblCaption w:val="a text box"/>
        <w:tblDescription w:val="a text box"/>
      </w:tblPr>
      <w:tblGrid>
        <w:gridCol w:w="7654"/>
      </w:tblGrid>
      <w:tr w:rsidR="00867DFB" w:rsidRPr="00CE0885" w14:paraId="52C9A826" w14:textId="77777777" w:rsidTr="00371D3A">
        <w:trPr>
          <w:tblHeader/>
        </w:trPr>
        <w:tc>
          <w:tcPr>
            <w:tcW w:w="7654" w:type="dxa"/>
            <w:shd w:val="clear" w:color="auto" w:fill="1C6CB4"/>
          </w:tcPr>
          <w:p w14:paraId="63F6B259" w14:textId="77777777" w:rsidR="00867DFB" w:rsidRPr="004D1994" w:rsidRDefault="00867DFB" w:rsidP="00867DFB">
            <w:pPr>
              <w:tabs>
                <w:tab w:val="left" w:pos="2268"/>
              </w:tabs>
              <w:spacing w:line="360" w:lineRule="auto"/>
              <w:jc w:val="both"/>
              <w:outlineLvl w:val="1"/>
              <w:rPr>
                <w:rFonts w:ascii="Arial" w:hAnsi="Arial" w:cs="Arial"/>
                <w:bCs w:val="0"/>
                <w:color w:val="FFFFFF" w:themeColor="background1"/>
                <w:szCs w:val="24"/>
                <w:lang w:eastAsia="en-GB"/>
              </w:rPr>
            </w:pPr>
            <w:bookmarkStart w:id="1573" w:name="_Toc440982768"/>
            <w:bookmarkStart w:id="1574" w:name="_Toc498495475"/>
            <w:r w:rsidRPr="004D1994">
              <w:rPr>
                <w:rFonts w:ascii="Arial" w:hAnsi="Arial" w:cs="Arial"/>
                <w:bCs w:val="0"/>
                <w:color w:val="FFFFFF" w:themeColor="background1"/>
                <w:szCs w:val="24"/>
                <w:lang w:eastAsia="en-GB"/>
              </w:rPr>
              <w:t>Co-commissioning - delegated commissioning arrangements</w:t>
            </w:r>
            <w:bookmarkEnd w:id="1573"/>
            <w:bookmarkEnd w:id="1574"/>
          </w:p>
          <w:p w14:paraId="0A24E2B7" w14:textId="77777777" w:rsidR="00867DFB" w:rsidRPr="004D1994" w:rsidRDefault="00867DFB" w:rsidP="00867DFB">
            <w:pPr>
              <w:widowControl w:val="0"/>
              <w:spacing w:line="360" w:lineRule="auto"/>
              <w:jc w:val="both"/>
              <w:rPr>
                <w:rFonts w:ascii="Arial" w:hAnsi="Arial" w:cs="Arial"/>
                <w:bCs w:val="0"/>
                <w:color w:val="FFFFFF" w:themeColor="background1"/>
                <w:szCs w:val="24"/>
                <w:lang w:eastAsia="en-GB"/>
              </w:rPr>
            </w:pPr>
            <w:r w:rsidRPr="004D1994">
              <w:rPr>
                <w:rFonts w:ascii="Arial" w:hAnsi="Arial" w:cs="Arial"/>
                <w:bCs w:val="0"/>
                <w:color w:val="FFFFFF" w:themeColor="background1"/>
                <w:szCs w:val="24"/>
                <w:lang w:eastAsia="en-GB"/>
              </w:rPr>
              <w:br/>
              <w:t xml:space="preserve">A CCG that has delegated commissioning arrangements will have entered into a Delegation Agreement with NHS England setting out the scope of those arrangements. </w:t>
            </w:r>
          </w:p>
          <w:p w14:paraId="441A4CEA" w14:textId="77777777" w:rsidR="00867DFB" w:rsidRPr="004D1994" w:rsidRDefault="00867DFB" w:rsidP="00867DFB">
            <w:pPr>
              <w:widowControl w:val="0"/>
              <w:spacing w:line="360" w:lineRule="auto"/>
              <w:jc w:val="both"/>
              <w:rPr>
                <w:rFonts w:ascii="Arial" w:hAnsi="Arial" w:cs="Arial"/>
                <w:b/>
                <w:bCs w:val="0"/>
                <w:color w:val="FFFFFF" w:themeColor="background1"/>
                <w:szCs w:val="24"/>
                <w:lang w:eastAsia="en-GB"/>
              </w:rPr>
            </w:pPr>
            <w:r w:rsidRPr="004D1994">
              <w:rPr>
                <w:rFonts w:ascii="Arial" w:hAnsi="Arial" w:cs="Arial"/>
                <w:bCs w:val="0"/>
                <w:color w:val="FFFFFF" w:themeColor="background1"/>
                <w:szCs w:val="24"/>
                <w:lang w:eastAsia="en-GB"/>
              </w:rPr>
              <w:br/>
              <w:t>The Delegation Agreement includes a section on Claims and Litigation which is likely to include a dispute with a GMS, PMS or APMS contractor that has been referred to Stage 2 of the NHS dispute resolution procedure. In such cases, the CCG is required to act in accordance with the Delegation Agreement which includes but is not limited to:</w:t>
            </w:r>
          </w:p>
          <w:p w14:paraId="40057CF5" w14:textId="77777777" w:rsidR="00867DFB" w:rsidRPr="004D1994" w:rsidRDefault="00867DFB" w:rsidP="005A7DDA">
            <w:pPr>
              <w:widowControl w:val="0"/>
              <w:numPr>
                <w:ilvl w:val="0"/>
                <w:numId w:val="65"/>
              </w:numPr>
              <w:spacing w:line="360" w:lineRule="auto"/>
              <w:jc w:val="both"/>
              <w:rPr>
                <w:rFonts w:ascii="Arial" w:hAnsi="Arial" w:cs="Arial"/>
                <w:b/>
                <w:bCs w:val="0"/>
                <w:color w:val="FFFFFF" w:themeColor="background1"/>
                <w:szCs w:val="24"/>
                <w:lang w:eastAsia="en-GB"/>
              </w:rPr>
            </w:pPr>
            <w:r w:rsidRPr="004D1994">
              <w:rPr>
                <w:rFonts w:ascii="Arial" w:hAnsi="Arial" w:cs="Arial"/>
                <w:bCs w:val="0"/>
                <w:color w:val="FFFFFF" w:themeColor="background1"/>
                <w:szCs w:val="24"/>
                <w:lang w:eastAsia="en-GB"/>
              </w:rPr>
              <w:t>notifying NHS England of any documents concerning the dispute and providing copies of these documents;</w:t>
            </w:r>
          </w:p>
          <w:p w14:paraId="2D979594" w14:textId="77777777" w:rsidR="00867DFB" w:rsidRPr="004D1994" w:rsidRDefault="00867DFB" w:rsidP="005A7DDA">
            <w:pPr>
              <w:widowControl w:val="0"/>
              <w:numPr>
                <w:ilvl w:val="0"/>
                <w:numId w:val="65"/>
              </w:numPr>
              <w:spacing w:line="360" w:lineRule="auto"/>
              <w:jc w:val="both"/>
              <w:rPr>
                <w:rFonts w:ascii="Arial" w:hAnsi="Arial" w:cs="Arial"/>
                <w:b/>
                <w:bCs w:val="0"/>
                <w:color w:val="FFFFFF" w:themeColor="background1"/>
                <w:szCs w:val="24"/>
                <w:lang w:eastAsia="en-GB"/>
              </w:rPr>
            </w:pPr>
            <w:r w:rsidRPr="004D1994">
              <w:rPr>
                <w:rFonts w:ascii="Arial" w:hAnsi="Arial" w:cs="Arial"/>
                <w:bCs w:val="0"/>
                <w:color w:val="FFFFFF" w:themeColor="background1"/>
                <w:szCs w:val="24"/>
                <w:lang w:eastAsia="en-GB"/>
              </w:rPr>
              <w:t>co-operating fully with NHS England in relation to such dispute and the conduct of such dispute;</w:t>
            </w:r>
          </w:p>
          <w:p w14:paraId="2B5208B0" w14:textId="77777777" w:rsidR="00867DFB" w:rsidRPr="004D1994" w:rsidRDefault="00867DFB" w:rsidP="005A7DDA">
            <w:pPr>
              <w:widowControl w:val="0"/>
              <w:numPr>
                <w:ilvl w:val="0"/>
                <w:numId w:val="65"/>
              </w:numPr>
              <w:spacing w:line="360" w:lineRule="auto"/>
              <w:jc w:val="both"/>
              <w:rPr>
                <w:rFonts w:ascii="Arial" w:hAnsi="Arial" w:cs="Arial"/>
                <w:b/>
                <w:bCs w:val="0"/>
                <w:color w:val="FFFFFF" w:themeColor="background1"/>
                <w:szCs w:val="24"/>
                <w:lang w:eastAsia="en-GB"/>
              </w:rPr>
            </w:pPr>
            <w:r w:rsidRPr="004D1994">
              <w:rPr>
                <w:rFonts w:ascii="Arial" w:hAnsi="Arial" w:cs="Arial"/>
                <w:bCs w:val="0"/>
                <w:color w:val="FFFFFF" w:themeColor="background1"/>
                <w:szCs w:val="24"/>
                <w:lang w:eastAsia="en-GB"/>
              </w:rPr>
              <w:t>providing, at its own cost, to NHS England all documentation and other correspondence that NHS England requires for the purposes of considering and/or resisting such dispute; and/or</w:t>
            </w:r>
          </w:p>
          <w:p w14:paraId="05240B14" w14:textId="77777777" w:rsidR="00867DFB" w:rsidRPr="004D1994" w:rsidRDefault="00867DFB" w:rsidP="005A7DDA">
            <w:pPr>
              <w:widowControl w:val="0"/>
              <w:numPr>
                <w:ilvl w:val="0"/>
                <w:numId w:val="65"/>
              </w:numPr>
              <w:spacing w:line="360" w:lineRule="auto"/>
              <w:jc w:val="both"/>
              <w:rPr>
                <w:rFonts w:ascii="Arial" w:hAnsi="Arial" w:cs="Arial"/>
                <w:b/>
                <w:bCs w:val="0"/>
                <w:color w:val="FFFFFF" w:themeColor="background1"/>
                <w:szCs w:val="24"/>
                <w:lang w:eastAsia="en-GB"/>
              </w:rPr>
            </w:pPr>
            <w:r w:rsidRPr="004D1994">
              <w:rPr>
                <w:rFonts w:ascii="Arial" w:hAnsi="Arial" w:cs="Arial"/>
                <w:bCs w:val="0"/>
                <w:color w:val="FFFFFF" w:themeColor="background1"/>
                <w:szCs w:val="24"/>
                <w:lang w:eastAsia="en-GB"/>
              </w:rPr>
              <w:t>at the request of NHS England, taking such action or step or providing such assistance as may in NHS England’s discretion be necessary or desirable having regard to the nature of the dispute and the existence of any time limit in relation to avoiding, disputing, defending, resisting, appealing, seeking a review or compromising such dispute or to comply with the requirements of the FHSAU in relation to such dispute.</w:t>
            </w:r>
          </w:p>
        </w:tc>
      </w:tr>
    </w:tbl>
    <w:p w14:paraId="1D44A840" w14:textId="77777777" w:rsidR="00867DFB" w:rsidRPr="00CE0885" w:rsidRDefault="00867DFB" w:rsidP="00EF04D7">
      <w:pPr>
        <w:pStyle w:val="BodyText"/>
      </w:pPr>
    </w:p>
    <w:p w14:paraId="6DF76F0C" w14:textId="77777777" w:rsidR="00867DFB" w:rsidRPr="00CE0885" w:rsidRDefault="00867DFB" w:rsidP="00EF04D7">
      <w:pPr>
        <w:pStyle w:val="Heading2"/>
        <w:rPr>
          <w:lang w:eastAsia="en-GB"/>
        </w:rPr>
      </w:pPr>
      <w:bookmarkStart w:id="1575" w:name="_Toc440982769"/>
      <w:bookmarkStart w:id="1576" w:name="_Toc498495476"/>
      <w:r w:rsidRPr="00CE0885">
        <w:rPr>
          <w:lang w:eastAsia="en-GB"/>
        </w:rPr>
        <w:t>Other Dispute Resolution Procedures</w:t>
      </w:r>
      <w:bookmarkEnd w:id="1575"/>
      <w:bookmarkEnd w:id="1576"/>
    </w:p>
    <w:p w14:paraId="486C0A5B" w14:textId="77777777" w:rsidR="00867DFB" w:rsidRPr="00CE0885" w:rsidRDefault="00867DFB" w:rsidP="00A13EB7">
      <w:pPr>
        <w:pStyle w:val="Heading3"/>
        <w:rPr>
          <w:lang w:eastAsia="en-GB"/>
        </w:rPr>
      </w:pPr>
      <w:bookmarkStart w:id="1577" w:name="_Toc440982770"/>
      <w:r w:rsidRPr="00CE0885">
        <w:rPr>
          <w:lang w:eastAsia="en-GB"/>
        </w:rPr>
        <w:t xml:space="preserve">The GMS and PMS Regulations allow the NHS dispute resolution procedure to be used by the contractor as a means of resolving every dispute except where an assessment panel makes a determination that the Commissioner may assign new patients to contractors which have closed their practice list of patients. The procedure to follow in such circumstances is set out in paragraph </w:t>
      </w:r>
      <w:r w:rsidRPr="00CE0885">
        <w:rPr>
          <w:lang w:eastAsia="en-GB"/>
        </w:rPr>
        <w:fldChar w:fldCharType="begin"/>
      </w:r>
      <w:r w:rsidRPr="00CE0885">
        <w:rPr>
          <w:lang w:eastAsia="en-GB"/>
        </w:rPr>
        <w:instrText xml:space="preserve"> REF _Ref410329254 \r \h  \* MERGEFORMAT </w:instrText>
      </w:r>
      <w:r w:rsidRPr="00CE0885">
        <w:rPr>
          <w:lang w:eastAsia="en-GB"/>
        </w:rPr>
      </w:r>
      <w:r w:rsidRPr="00CE0885">
        <w:rPr>
          <w:lang w:eastAsia="en-GB"/>
        </w:rPr>
        <w:fldChar w:fldCharType="separate"/>
      </w:r>
      <w:r w:rsidR="00622FF2">
        <w:rPr>
          <w:lang w:eastAsia="en-GB"/>
        </w:rPr>
        <w:t>4.7</w:t>
      </w:r>
      <w:r w:rsidRPr="00CE0885">
        <w:rPr>
          <w:lang w:eastAsia="en-GB"/>
        </w:rPr>
        <w:fldChar w:fldCharType="end"/>
      </w:r>
      <w:r w:rsidRPr="00CE0885">
        <w:rPr>
          <w:lang w:eastAsia="en-GB"/>
        </w:rPr>
        <w:t xml:space="preserve"> below.</w:t>
      </w:r>
      <w:bookmarkEnd w:id="1577"/>
      <w:r w:rsidRPr="00CE0885">
        <w:rPr>
          <w:lang w:eastAsia="en-GB"/>
        </w:rPr>
        <w:t xml:space="preserve"> </w:t>
      </w:r>
    </w:p>
    <w:p w14:paraId="73D62D95" w14:textId="77777777" w:rsidR="00867DFB" w:rsidRPr="00CE0885" w:rsidRDefault="00867DFB" w:rsidP="00A13EB7">
      <w:pPr>
        <w:pStyle w:val="Heading3"/>
        <w:rPr>
          <w:lang w:eastAsia="en-GB"/>
        </w:rPr>
      </w:pPr>
      <w:bookmarkStart w:id="1578" w:name="_Toc440982771"/>
      <w:r w:rsidRPr="00CE0885">
        <w:rPr>
          <w:lang w:eastAsia="en-GB"/>
        </w:rPr>
        <w:t>Disputes may also arise prior to a contract being entered into. Such disputes will relate to the eligibility of the person seeking to enter into the contract or contract terms.</w:t>
      </w:r>
      <w:bookmarkEnd w:id="1578"/>
      <w:r w:rsidRPr="00CE0885">
        <w:rPr>
          <w:lang w:eastAsia="en-GB"/>
        </w:rPr>
        <w:t xml:space="preserve"> </w:t>
      </w:r>
    </w:p>
    <w:p w14:paraId="7A9F95E0" w14:textId="685813FF" w:rsidR="00867DFB" w:rsidRPr="00CE0885" w:rsidRDefault="00867DFB" w:rsidP="00A13EB7">
      <w:pPr>
        <w:pStyle w:val="Heading3"/>
        <w:rPr>
          <w:lang w:eastAsia="en-GB"/>
        </w:rPr>
      </w:pPr>
      <w:bookmarkStart w:id="1579" w:name="_Toc440982772"/>
      <w:r w:rsidRPr="00CE0885">
        <w:rPr>
          <w:lang w:eastAsia="en-GB"/>
        </w:rPr>
        <w:t xml:space="preserve">Where the Commissioner is of the view that a person seeking to enter into a contract does not meet the eligibility conditions </w:t>
      </w:r>
      <w:r w:rsidR="00A114DF">
        <w:rPr>
          <w:spacing w:val="2"/>
          <w:lang w:eastAsia="en-GB"/>
        </w:rPr>
        <w:t>(p</w:t>
      </w:r>
      <w:r w:rsidR="00A114DF" w:rsidRPr="00CE0885">
        <w:rPr>
          <w:lang w:eastAsia="en-GB"/>
        </w:rPr>
        <w:t xml:space="preserve">lease refer to </w:t>
      </w:r>
      <w:r w:rsidR="00A114DF">
        <w:rPr>
          <w:lang w:eastAsia="en-GB"/>
        </w:rPr>
        <w:t>the ‘Contracts Described’ chapter for further information</w:t>
      </w:r>
      <w:r w:rsidR="00A114DF" w:rsidRPr="00CE0885">
        <w:rPr>
          <w:spacing w:val="2"/>
          <w:lang w:eastAsia="en-GB"/>
        </w:rPr>
        <w:t>)</w:t>
      </w:r>
      <w:r w:rsidRPr="00CE0885">
        <w:rPr>
          <w:lang w:eastAsia="en-GB"/>
        </w:rPr>
        <w:t>, the Commissioner must notify the person in writing.</w:t>
      </w:r>
      <w:bookmarkEnd w:id="1579"/>
      <w:r w:rsidRPr="00CE0885">
        <w:rPr>
          <w:lang w:eastAsia="en-GB"/>
        </w:rPr>
        <w:t xml:space="preserve">  </w:t>
      </w:r>
    </w:p>
    <w:p w14:paraId="5745B02E" w14:textId="77777777" w:rsidR="00867DFB" w:rsidRPr="00CE0885" w:rsidRDefault="00867DFB" w:rsidP="00A13EB7">
      <w:pPr>
        <w:pStyle w:val="Heading3"/>
        <w:rPr>
          <w:lang w:eastAsia="en-GB"/>
        </w:rPr>
      </w:pPr>
      <w:bookmarkStart w:id="1580" w:name="_Toc440982773"/>
      <w:r w:rsidRPr="00CE0885">
        <w:rPr>
          <w:lang w:eastAsia="en-GB"/>
        </w:rPr>
        <w:t>This notice must state the Commissioner view of the person's eligibility, the reasons for that view and guidance on the person's right of appeal.</w:t>
      </w:r>
      <w:bookmarkEnd w:id="1580"/>
      <w:r w:rsidRPr="00CE0885">
        <w:rPr>
          <w:lang w:eastAsia="en-GB"/>
        </w:rPr>
        <w:t xml:space="preserve"> </w:t>
      </w:r>
    </w:p>
    <w:p w14:paraId="2784ADA7" w14:textId="77777777" w:rsidR="00867DFB" w:rsidRPr="00CE0885" w:rsidRDefault="00867DFB" w:rsidP="00A13EB7">
      <w:pPr>
        <w:pStyle w:val="Heading3"/>
        <w:rPr>
          <w:lang w:eastAsia="en-GB"/>
        </w:rPr>
      </w:pPr>
      <w:bookmarkStart w:id="1581" w:name="_Toc440982774"/>
      <w:r w:rsidRPr="00CE0885">
        <w:rPr>
          <w:lang w:eastAsia="en-GB"/>
        </w:rPr>
        <w:t>Where the Commissioner has issued such a notice, the recipient of the notice has a right of appeal to the First-Tier Tribunal.</w:t>
      </w:r>
      <w:bookmarkEnd w:id="1581"/>
    </w:p>
    <w:p w14:paraId="2806AA73" w14:textId="77777777" w:rsidR="00867DFB" w:rsidRPr="00CE0885" w:rsidRDefault="00867DFB" w:rsidP="00A13EB7">
      <w:pPr>
        <w:pStyle w:val="Heading3"/>
        <w:rPr>
          <w:lang w:eastAsia="en-GB"/>
        </w:rPr>
      </w:pPr>
      <w:bookmarkStart w:id="1582" w:name="_Toc440982775"/>
      <w:r w:rsidRPr="00CE0885">
        <w:rPr>
          <w:lang w:eastAsia="en-GB"/>
        </w:rPr>
        <w:t>Where the dispute relates to the parties being unable to agree on a particular proposed term of a GMS or PMS contract, either party may refer the dispute to the Secretary of State to consider and determine the matter in accordance with:</w:t>
      </w:r>
      <w:bookmarkEnd w:id="1582"/>
    </w:p>
    <w:p w14:paraId="22C5BBE5" w14:textId="77777777" w:rsidR="00867DFB" w:rsidRPr="00CE0885" w:rsidRDefault="00867DFB" w:rsidP="00A13EB7">
      <w:pPr>
        <w:pStyle w:val="Heading4"/>
      </w:pPr>
      <w:bookmarkStart w:id="1583" w:name="_Toc440982776"/>
      <w:r w:rsidRPr="00CE0885">
        <w:t>for GMS contracts, paragraphs 101(3) to (14) and 102(1) of Schedule 6 and regulation 9(3) of the GMS Regulations; or</w:t>
      </w:r>
      <w:bookmarkEnd w:id="1583"/>
    </w:p>
    <w:p w14:paraId="16C609EC" w14:textId="77777777" w:rsidR="00867DFB" w:rsidRPr="00CE0885" w:rsidRDefault="00867DFB" w:rsidP="00A13EB7">
      <w:pPr>
        <w:pStyle w:val="Heading4"/>
      </w:pPr>
      <w:bookmarkStart w:id="1584" w:name="_Toc440982777"/>
      <w:r w:rsidRPr="00CE0885">
        <w:t>for PMS agreements, paragraphs 95(3) to (14) and 96(1) of Schedule 5 and regulation 8(3) of the PMS Regulations,</w:t>
      </w:r>
      <w:bookmarkEnd w:id="1584"/>
    </w:p>
    <w:p w14:paraId="46777262" w14:textId="77777777" w:rsidR="00867DFB" w:rsidRPr="00CE0885" w:rsidRDefault="00867DFB" w:rsidP="00A13EB7">
      <w:pPr>
        <w:pStyle w:val="Heading4"/>
      </w:pPr>
      <w:bookmarkStart w:id="1585" w:name="_Toc440982778"/>
      <w:r w:rsidRPr="00CE0885">
        <w:t>except where both parties to the prospective agreement are health service bodies (in which case section 9 of the NHS Act applies).</w:t>
      </w:r>
      <w:bookmarkEnd w:id="1585"/>
    </w:p>
    <w:p w14:paraId="6F6BF6A9" w14:textId="77777777" w:rsidR="00867DFB" w:rsidRPr="009055A7" w:rsidRDefault="00867DFB" w:rsidP="00867DFB">
      <w:pPr>
        <w:widowControl w:val="0"/>
        <w:spacing w:line="360" w:lineRule="auto"/>
        <w:ind w:left="1414"/>
        <w:jc w:val="both"/>
        <w:rPr>
          <w:rFonts w:cs="Arial"/>
          <w:bCs w:val="0"/>
          <w:sz w:val="20"/>
          <w:szCs w:val="20"/>
          <w:lang w:eastAsia="en-GB"/>
        </w:rPr>
      </w:pPr>
    </w:p>
    <w:p w14:paraId="1BE2A22A" w14:textId="77777777" w:rsidR="00867DFB" w:rsidRPr="00CE0885" w:rsidRDefault="00867DFB" w:rsidP="00EF04D7">
      <w:pPr>
        <w:pStyle w:val="Heading2"/>
        <w:rPr>
          <w:lang w:eastAsia="en-GB"/>
        </w:rPr>
      </w:pPr>
      <w:bookmarkStart w:id="1586" w:name="_Ref410329254"/>
      <w:bookmarkStart w:id="1587" w:name="_Toc440982779"/>
      <w:bookmarkStart w:id="1588" w:name="_Toc498495477"/>
      <w:r w:rsidRPr="00CE0885">
        <w:rPr>
          <w:lang w:eastAsia="en-GB"/>
        </w:rPr>
        <w:t>Assignment of Patients to Lists: Procedure Relating to Determinations of the Assessment Panel</w:t>
      </w:r>
      <w:bookmarkEnd w:id="1586"/>
      <w:bookmarkEnd w:id="1587"/>
      <w:bookmarkEnd w:id="1588"/>
    </w:p>
    <w:p w14:paraId="6073E6F8" w14:textId="77777777" w:rsidR="00867DFB" w:rsidRPr="00CE0885" w:rsidRDefault="00867DFB" w:rsidP="00A13EB7">
      <w:pPr>
        <w:pStyle w:val="Heading3"/>
        <w:rPr>
          <w:lang w:eastAsia="en-GB"/>
        </w:rPr>
      </w:pPr>
      <w:bookmarkStart w:id="1589" w:name="_Toc440982780"/>
      <w:r w:rsidRPr="00CE0885">
        <w:rPr>
          <w:lang w:eastAsia="en-GB"/>
        </w:rPr>
        <w:t>Where an assessment panel makes a determination that the Commissioner may assign new patients to contractors which have closed their practice list of patients, any contractor specified in that determination may refer the matter to the Secretary of State to review the determination of the assessment panel.</w:t>
      </w:r>
      <w:bookmarkEnd w:id="1589"/>
    </w:p>
    <w:p w14:paraId="59709D65" w14:textId="77777777" w:rsidR="00867DFB" w:rsidRPr="00CE0885" w:rsidRDefault="00867DFB" w:rsidP="00A13EB7">
      <w:pPr>
        <w:pStyle w:val="Heading3"/>
        <w:rPr>
          <w:lang w:eastAsia="en-GB"/>
        </w:rPr>
      </w:pPr>
      <w:bookmarkStart w:id="1590" w:name="_Toc440982781"/>
      <w:r w:rsidRPr="00CE0885">
        <w:rPr>
          <w:lang w:eastAsia="en-GB"/>
        </w:rPr>
        <w:t>If a referral is made to the Secretary of State, it shall be reviewed in accordance with the following procedure:</w:t>
      </w:r>
      <w:bookmarkEnd w:id="1590"/>
    </w:p>
    <w:p w14:paraId="50531BB5" w14:textId="77777777" w:rsidR="00867DFB" w:rsidRPr="00CE0885" w:rsidRDefault="00867DFB" w:rsidP="00A13EB7">
      <w:pPr>
        <w:pStyle w:val="Heading4"/>
      </w:pPr>
      <w:bookmarkStart w:id="1591" w:name="_Toc440982782"/>
      <w:r w:rsidRPr="00CE0885">
        <w:t>where more than one contractor specified in the determination of the assessment panel wishes to refer the matter for dispute resolution, those contractors may, if they all agree, refer the matter jointly, and in that case the Secretary of State shall review the matter in relation to those contractors together</w:t>
      </w:r>
      <w:bookmarkEnd w:id="1591"/>
    </w:p>
    <w:p w14:paraId="1F5ADDCD" w14:textId="77777777" w:rsidR="00867DFB" w:rsidRPr="00CE0885" w:rsidRDefault="00867DFB" w:rsidP="00A13EB7">
      <w:pPr>
        <w:pStyle w:val="Heading4"/>
      </w:pPr>
      <w:bookmarkStart w:id="1592" w:name="_Toc440982783"/>
      <w:r w:rsidRPr="00CE0885">
        <w:t>within the period of seven days beginning with the date of the determination by the assessment panel, the contractor(s) shall send to the Secretary of State a written request for dispute resolution which shall include or be accompanied by:</w:t>
      </w:r>
      <w:bookmarkEnd w:id="1592"/>
    </w:p>
    <w:p w14:paraId="7BFBBC4A" w14:textId="77777777" w:rsidR="00867DFB" w:rsidRPr="00CE0885" w:rsidRDefault="00867DFB" w:rsidP="00A13EB7">
      <w:pPr>
        <w:pStyle w:val="Heading5"/>
      </w:pPr>
      <w:r w:rsidRPr="00CE0885">
        <w:t xml:space="preserve">the names and addresses of the parties to the </w:t>
      </w:r>
      <w:r w:rsidRPr="00CE0885">
        <w:tab/>
        <w:t>dispute;</w:t>
      </w:r>
    </w:p>
    <w:p w14:paraId="03735347" w14:textId="77777777" w:rsidR="00867DFB" w:rsidRPr="00CE0885" w:rsidRDefault="00867DFB" w:rsidP="00A13EB7">
      <w:pPr>
        <w:pStyle w:val="Heading5"/>
      </w:pPr>
      <w:r w:rsidRPr="00CE0885">
        <w:t>a copy of the contract (or contracts); and</w:t>
      </w:r>
    </w:p>
    <w:p w14:paraId="7A4E8FF3" w14:textId="77777777" w:rsidR="00867DFB" w:rsidRPr="00CE0885" w:rsidRDefault="00867DFB" w:rsidP="00A13EB7">
      <w:pPr>
        <w:pStyle w:val="Heading5"/>
      </w:pPr>
      <w:r w:rsidRPr="00CE0885">
        <w:t xml:space="preserve">a brief statement describing the nature and </w:t>
      </w:r>
      <w:r w:rsidRPr="00CE0885">
        <w:tab/>
        <w:t>circumstances of the dispute.</w:t>
      </w:r>
    </w:p>
    <w:p w14:paraId="32F55038" w14:textId="77777777" w:rsidR="00867DFB" w:rsidRPr="00CE0885" w:rsidRDefault="00867DFB" w:rsidP="00A13EB7">
      <w:pPr>
        <w:pStyle w:val="Heading3"/>
        <w:rPr>
          <w:lang w:eastAsia="en-GB"/>
        </w:rPr>
      </w:pPr>
      <w:bookmarkStart w:id="1593" w:name="_Toc440982784"/>
      <w:r w:rsidRPr="00CE0885">
        <w:rPr>
          <w:lang w:eastAsia="en-GB"/>
        </w:rPr>
        <w:t>Each party will be asked to make representations and observations on the representations of the other party both of which will be allocated between the parties.</w:t>
      </w:r>
      <w:bookmarkEnd w:id="1593"/>
      <w:r w:rsidRPr="00CE0885">
        <w:rPr>
          <w:lang w:eastAsia="en-GB"/>
        </w:rPr>
        <w:t xml:space="preserve"> </w:t>
      </w:r>
    </w:p>
    <w:p w14:paraId="08134066" w14:textId="77777777" w:rsidR="00867DFB" w:rsidRPr="00CE0885" w:rsidRDefault="00867DFB" w:rsidP="00A13EB7">
      <w:pPr>
        <w:pStyle w:val="Heading3"/>
        <w:rPr>
          <w:lang w:eastAsia="en-GB"/>
        </w:rPr>
      </w:pPr>
      <w:bookmarkStart w:id="1594" w:name="_Toc440982785"/>
      <w:r w:rsidRPr="00CE0885">
        <w:rPr>
          <w:lang w:eastAsia="en-GB"/>
        </w:rPr>
        <w:t>Within the period of 21 days beginning with the date on which the matter was referred to him, the Secretary of State shall determine whether the Commissioner may assign patients to contractors which have closed their lists of patients. If the Secretary of State determines that the Commissioner may make such assignments, the Secretary of State shall also determine those contractors to which patients may be assigned.</w:t>
      </w:r>
      <w:bookmarkEnd w:id="1594"/>
    </w:p>
    <w:p w14:paraId="659A4A8A" w14:textId="77777777" w:rsidR="00867DFB" w:rsidRPr="00CE0885" w:rsidRDefault="00867DFB" w:rsidP="00A13EB7">
      <w:pPr>
        <w:pStyle w:val="Heading3"/>
        <w:rPr>
          <w:lang w:eastAsia="en-GB"/>
        </w:rPr>
      </w:pPr>
      <w:bookmarkStart w:id="1595" w:name="_Toc440982786"/>
      <w:r w:rsidRPr="00CE0885">
        <w:rPr>
          <w:lang w:eastAsia="en-GB"/>
        </w:rPr>
        <w:t>The Secretary of State may not determine that patients may be assigned to a contractor which was not specified in the determination of the assessment panel.</w:t>
      </w:r>
      <w:bookmarkEnd w:id="1595"/>
    </w:p>
    <w:p w14:paraId="6B2A86E4" w14:textId="77777777" w:rsidR="00867DFB" w:rsidRPr="00CE0885" w:rsidRDefault="00867DFB" w:rsidP="00A13EB7">
      <w:pPr>
        <w:pStyle w:val="Heading3"/>
        <w:rPr>
          <w:lang w:eastAsia="en-GB"/>
        </w:rPr>
      </w:pPr>
      <w:bookmarkStart w:id="1596" w:name="_Toc440982787"/>
      <w:r w:rsidRPr="00CE0885">
        <w:rPr>
          <w:lang w:eastAsia="en-GB"/>
        </w:rPr>
        <w:t>In the case of a matter referred jointly by contractors, the Secretary of State may determine that patients may be assigned to one, some or all of the contractors that referred the matter.</w:t>
      </w:r>
      <w:bookmarkEnd w:id="1596"/>
    </w:p>
    <w:p w14:paraId="5985D535" w14:textId="77777777" w:rsidR="00867DFB" w:rsidRPr="00CE0885" w:rsidRDefault="00867DFB" w:rsidP="00A13EB7">
      <w:pPr>
        <w:pStyle w:val="Heading3"/>
        <w:rPr>
          <w:lang w:eastAsia="en-GB"/>
        </w:rPr>
      </w:pPr>
      <w:bookmarkStart w:id="1597" w:name="_Toc440982788"/>
      <w:r w:rsidRPr="00CE0885">
        <w:rPr>
          <w:lang w:eastAsia="en-GB"/>
        </w:rPr>
        <w:t>The period of 21 days for determination may be extended (even after it has expired) by a further specified number of days if an agreement to that effect is reached by:</w:t>
      </w:r>
      <w:bookmarkEnd w:id="1597"/>
    </w:p>
    <w:p w14:paraId="7E51402C" w14:textId="77777777" w:rsidR="00867DFB" w:rsidRPr="00CE0885" w:rsidRDefault="00867DFB" w:rsidP="00A13EB7">
      <w:pPr>
        <w:pStyle w:val="Heading4"/>
      </w:pPr>
      <w:bookmarkStart w:id="1598" w:name="_Toc440982789"/>
      <w:r w:rsidRPr="00CE0885">
        <w:t>the Secretary of State;</w:t>
      </w:r>
      <w:bookmarkEnd w:id="1598"/>
    </w:p>
    <w:p w14:paraId="0E17C3BC" w14:textId="77777777" w:rsidR="00867DFB" w:rsidRPr="00CE0885" w:rsidRDefault="00867DFB" w:rsidP="00A13EB7">
      <w:pPr>
        <w:pStyle w:val="Heading4"/>
      </w:pPr>
      <w:bookmarkStart w:id="1599" w:name="_Toc440982790"/>
      <w:r w:rsidRPr="00CE0885">
        <w:t>the Commissioner; and</w:t>
      </w:r>
      <w:bookmarkEnd w:id="1599"/>
    </w:p>
    <w:p w14:paraId="40BCBE91" w14:textId="77777777" w:rsidR="00867DFB" w:rsidRPr="00CE0885" w:rsidRDefault="00867DFB" w:rsidP="00A13EB7">
      <w:pPr>
        <w:pStyle w:val="Heading4"/>
      </w:pPr>
      <w:bookmarkStart w:id="1600" w:name="_Toc440982791"/>
      <w:r w:rsidRPr="00CE0885">
        <w:t>the contractor(s) that referred the matter to dispute resolution.</w:t>
      </w:r>
      <w:bookmarkEnd w:id="1600"/>
    </w:p>
    <w:p w14:paraId="23E78E27" w14:textId="77777777" w:rsidR="00867DFB" w:rsidRPr="00CE0885" w:rsidRDefault="00867DFB" w:rsidP="00A13EB7">
      <w:pPr>
        <w:pStyle w:val="Heading3"/>
        <w:rPr>
          <w:lang w:eastAsia="en-GB"/>
        </w:rPr>
      </w:pPr>
      <w:bookmarkStart w:id="1601" w:name="_Toc440982792"/>
      <w:r w:rsidRPr="00CE0885">
        <w:rPr>
          <w:lang w:eastAsia="en-GB"/>
        </w:rPr>
        <w:t>The Secretary of State shall record the determination and the reasons for it in writing and shall give notice of the determination (including the record of the reasons) to the parties.</w:t>
      </w:r>
      <w:bookmarkEnd w:id="1601"/>
    </w:p>
    <w:p w14:paraId="054540F8" w14:textId="77777777" w:rsidR="00867DFB" w:rsidRPr="00CE0885" w:rsidRDefault="00867DFB" w:rsidP="00867DFB">
      <w:pPr>
        <w:widowControl w:val="0"/>
        <w:spacing w:line="360" w:lineRule="auto"/>
        <w:ind w:left="1414"/>
        <w:jc w:val="both"/>
        <w:rPr>
          <w:rFonts w:cs="Arial"/>
          <w:bCs w:val="0"/>
          <w:szCs w:val="24"/>
          <w:lang w:eastAsia="en-GB"/>
        </w:rPr>
      </w:pPr>
    </w:p>
    <w:p w14:paraId="4CDA128E" w14:textId="77777777" w:rsidR="00867DFB" w:rsidRPr="00CE0885" w:rsidRDefault="00867DFB" w:rsidP="00867DFB">
      <w:pPr>
        <w:widowControl w:val="0"/>
        <w:spacing w:line="360" w:lineRule="auto"/>
        <w:jc w:val="both"/>
        <w:rPr>
          <w:rFonts w:cs="Arial"/>
          <w:bCs w:val="0"/>
          <w:szCs w:val="24"/>
          <w:lang w:eastAsia="en-GB"/>
        </w:rPr>
      </w:pPr>
    </w:p>
    <w:p w14:paraId="6506AEB8" w14:textId="77777777" w:rsidR="00867DFB" w:rsidRPr="00CE0885" w:rsidRDefault="00867DFB" w:rsidP="00867DFB">
      <w:pPr>
        <w:widowControl w:val="0"/>
        <w:spacing w:line="360" w:lineRule="auto"/>
        <w:jc w:val="both"/>
        <w:rPr>
          <w:rFonts w:cs="Arial"/>
          <w:bCs w:val="0"/>
          <w:szCs w:val="24"/>
          <w:lang w:eastAsia="en-GB"/>
        </w:rPr>
      </w:pPr>
      <w:r w:rsidRPr="00CE0885">
        <w:rPr>
          <w:rFonts w:cs="Arial"/>
          <w:bCs w:val="0"/>
          <w:szCs w:val="24"/>
          <w:lang w:eastAsia="en-GB"/>
        </w:rPr>
        <w:br w:type="page"/>
      </w:r>
    </w:p>
    <w:p w14:paraId="4C69C094" w14:textId="77777777" w:rsidR="00867DFB" w:rsidRPr="00CE0885" w:rsidRDefault="00867DFB" w:rsidP="00867DFB">
      <w:pPr>
        <w:widowControl w:val="0"/>
        <w:autoSpaceDE w:val="0"/>
        <w:autoSpaceDN w:val="0"/>
        <w:adjustRightInd w:val="0"/>
        <w:spacing w:line="360" w:lineRule="auto"/>
        <w:ind w:right="-23"/>
        <w:rPr>
          <w:rFonts w:cs="Arial"/>
          <w:b/>
          <w:bCs w:val="0"/>
          <w:szCs w:val="24"/>
          <w:lang w:eastAsia="en-GB"/>
        </w:rPr>
      </w:pPr>
      <w:bookmarkStart w:id="1602" w:name="_Toc346874489"/>
      <w:bookmarkStart w:id="1603" w:name="_Toc332288728"/>
      <w:r w:rsidRPr="00CE0885">
        <w:rPr>
          <w:rFonts w:cs="Arial"/>
          <w:b/>
          <w:bCs w:val="0"/>
          <w:szCs w:val="24"/>
          <w:lang w:eastAsia="en-GB"/>
        </w:rPr>
        <w:t>Annex 1 Example Acknowledgement Letter</w:t>
      </w:r>
      <w:bookmarkEnd w:id="1602"/>
    </w:p>
    <w:bookmarkStart w:id="1604" w:name="_1557329432"/>
    <w:bookmarkEnd w:id="1604"/>
    <w:p w14:paraId="100DD1A6" w14:textId="31A7A372" w:rsidR="00867DFB" w:rsidRPr="002D1CE9" w:rsidRDefault="002306F3" w:rsidP="00C813FD">
      <w:pPr>
        <w:pStyle w:val="ListParagraph"/>
        <w:numPr>
          <w:ilvl w:val="0"/>
          <w:numId w:val="163"/>
        </w:numPr>
      </w:pPr>
      <w:r>
        <w:fldChar w:fldCharType="begin"/>
      </w:r>
      <w:r>
        <w:instrText xml:space="preserve"> HYPERLINK "https://www.england.nhs.uk/publication/primary-medical-care-policy-and-guidance-manual-assignment-of-patients-to-lists-annexes/" </w:instrText>
      </w:r>
      <w:r>
        <w:fldChar w:fldCharType="separate"/>
      </w:r>
      <w:r w:rsidR="00C813FD">
        <w:rPr>
          <w:rStyle w:val="Hyperlink"/>
        </w:rPr>
        <w:t>Example Acknowledgement Letter</w:t>
      </w:r>
      <w:r>
        <w:rPr>
          <w:rStyle w:val="Hyperlink"/>
        </w:rPr>
        <w:fldChar w:fldCharType="end"/>
      </w:r>
      <w:r w:rsidR="002D1CE9">
        <w:br/>
      </w:r>
    </w:p>
    <w:p w14:paraId="7D3085A6" w14:textId="77777777" w:rsidR="00867DFB" w:rsidRPr="00CE0885" w:rsidRDefault="00867DFB" w:rsidP="00867DFB">
      <w:pPr>
        <w:widowControl w:val="0"/>
        <w:autoSpaceDE w:val="0"/>
        <w:autoSpaceDN w:val="0"/>
        <w:adjustRightInd w:val="0"/>
        <w:spacing w:line="360" w:lineRule="auto"/>
        <w:ind w:right="-23"/>
        <w:rPr>
          <w:rFonts w:cs="Arial"/>
          <w:b/>
          <w:bCs w:val="0"/>
          <w:szCs w:val="24"/>
          <w:lang w:eastAsia="en-GB"/>
        </w:rPr>
      </w:pPr>
      <w:bookmarkStart w:id="1605" w:name="_Toc346874490"/>
      <w:r w:rsidRPr="00CE0885">
        <w:rPr>
          <w:rFonts w:cs="Arial"/>
          <w:b/>
          <w:bCs w:val="0"/>
          <w:szCs w:val="24"/>
          <w:lang w:eastAsia="en-GB"/>
        </w:rPr>
        <w:t>Annex 2 Example Invitation Letter</w:t>
      </w:r>
      <w:bookmarkEnd w:id="1605"/>
    </w:p>
    <w:bookmarkStart w:id="1606" w:name="_1557329447"/>
    <w:bookmarkEnd w:id="1606"/>
    <w:p w14:paraId="498421EC" w14:textId="14559CCA" w:rsidR="00867DFB" w:rsidRPr="002D1CE9" w:rsidRDefault="002306F3" w:rsidP="002D1CE9">
      <w:pPr>
        <w:pStyle w:val="ListParagraph"/>
        <w:numPr>
          <w:ilvl w:val="0"/>
          <w:numId w:val="162"/>
        </w:numPr>
      </w:pPr>
      <w:r>
        <w:fldChar w:fldCharType="begin"/>
      </w:r>
      <w:r>
        <w:instrText xml:space="preserve"> HYPERLINK "https://www.england.nhs.uk/publication/primary-medical-care-policy-and-guidance-manual-assignment-of-patients-to-lists-annexes/" </w:instrText>
      </w:r>
      <w:r>
        <w:fldChar w:fldCharType="separate"/>
      </w:r>
      <w:r w:rsidR="00C813FD">
        <w:rPr>
          <w:rStyle w:val="Hyperlink"/>
        </w:rPr>
        <w:t>Example Invitation Letter</w:t>
      </w:r>
      <w:r>
        <w:rPr>
          <w:rStyle w:val="Hyperlink"/>
        </w:rPr>
        <w:fldChar w:fldCharType="end"/>
      </w:r>
      <w:r w:rsidR="002D1CE9">
        <w:br/>
      </w:r>
    </w:p>
    <w:p w14:paraId="6D1634DF" w14:textId="77777777" w:rsidR="00867DFB" w:rsidRPr="00CE0885" w:rsidRDefault="00867DFB" w:rsidP="00867DFB">
      <w:pPr>
        <w:widowControl w:val="0"/>
        <w:autoSpaceDE w:val="0"/>
        <w:autoSpaceDN w:val="0"/>
        <w:adjustRightInd w:val="0"/>
        <w:spacing w:line="360" w:lineRule="auto"/>
        <w:ind w:right="-23"/>
        <w:rPr>
          <w:rFonts w:cs="Arial"/>
          <w:b/>
          <w:bCs w:val="0"/>
          <w:szCs w:val="24"/>
          <w:lang w:eastAsia="en-GB"/>
        </w:rPr>
      </w:pPr>
      <w:bookmarkStart w:id="1607" w:name="_Toc346874491"/>
      <w:bookmarkEnd w:id="1603"/>
      <w:r w:rsidRPr="00CE0885">
        <w:rPr>
          <w:rFonts w:cs="Arial"/>
          <w:b/>
          <w:bCs w:val="0"/>
          <w:szCs w:val="24"/>
          <w:lang w:eastAsia="en-GB"/>
        </w:rPr>
        <w:t>Annex 3 Example Stage 1 Outcome Letter (FHSAU Referral)</w:t>
      </w:r>
      <w:bookmarkEnd w:id="1607"/>
    </w:p>
    <w:p w14:paraId="07F73C90" w14:textId="1D762EF4" w:rsidR="00867DFB" w:rsidRPr="00CB567A" w:rsidRDefault="000E7846" w:rsidP="00CB567A">
      <w:pPr>
        <w:pStyle w:val="ListParagraph"/>
        <w:widowControl w:val="0"/>
        <w:numPr>
          <w:ilvl w:val="0"/>
          <w:numId w:val="161"/>
        </w:numPr>
        <w:spacing w:line="360" w:lineRule="auto"/>
        <w:rPr>
          <w:rFonts w:cs="Arial"/>
          <w:bCs w:val="0"/>
          <w:szCs w:val="24"/>
        </w:rPr>
      </w:pPr>
      <w:hyperlink r:id="rId113" w:history="1">
        <w:r w:rsidR="00C813FD">
          <w:rPr>
            <w:rStyle w:val="Hyperlink"/>
          </w:rPr>
          <w:t>Example Stage 1 Outcome Letter (FHSAU Referral)</w:t>
        </w:r>
      </w:hyperlink>
      <w:r w:rsidR="002D1CE9">
        <w:rPr>
          <w:rFonts w:cs="Arial"/>
          <w:bCs w:val="0"/>
          <w:szCs w:val="24"/>
          <w:lang w:eastAsia="en-GB"/>
        </w:rPr>
        <w:br/>
      </w:r>
    </w:p>
    <w:p w14:paraId="32DB0301" w14:textId="77777777" w:rsidR="00867DFB" w:rsidRPr="00CE0885" w:rsidRDefault="00867DFB" w:rsidP="00867DFB">
      <w:pPr>
        <w:widowControl w:val="0"/>
        <w:autoSpaceDE w:val="0"/>
        <w:autoSpaceDN w:val="0"/>
        <w:adjustRightInd w:val="0"/>
        <w:spacing w:line="360" w:lineRule="auto"/>
        <w:ind w:right="-23"/>
        <w:rPr>
          <w:rFonts w:cs="Arial"/>
          <w:b/>
          <w:bCs w:val="0"/>
          <w:szCs w:val="24"/>
          <w:lang w:eastAsia="en-GB"/>
        </w:rPr>
      </w:pPr>
      <w:bookmarkStart w:id="1608" w:name="_Toc346874492"/>
      <w:r w:rsidRPr="00CE0885">
        <w:rPr>
          <w:rFonts w:cs="Arial"/>
          <w:b/>
          <w:bCs w:val="0"/>
          <w:szCs w:val="24"/>
          <w:lang w:eastAsia="en-GB"/>
        </w:rPr>
        <w:t>Annex 4 Example Stage 1 Outcome Letter (Matter(s) Resolved)</w:t>
      </w:r>
      <w:bookmarkEnd w:id="1608"/>
    </w:p>
    <w:bookmarkStart w:id="1609" w:name="_1557329478"/>
    <w:bookmarkEnd w:id="1609"/>
    <w:p w14:paraId="170F1B07" w14:textId="734A5775" w:rsidR="00867DFB" w:rsidRPr="00960602" w:rsidRDefault="002306F3" w:rsidP="00960602">
      <w:pPr>
        <w:pStyle w:val="ListParagraph"/>
        <w:widowControl w:val="0"/>
        <w:numPr>
          <w:ilvl w:val="0"/>
          <w:numId w:val="160"/>
        </w:numPr>
        <w:spacing w:line="360" w:lineRule="auto"/>
        <w:rPr>
          <w:rFonts w:cs="Arial"/>
          <w:bCs w:val="0"/>
          <w:szCs w:val="24"/>
        </w:rPr>
      </w:pPr>
      <w:r>
        <w:fldChar w:fldCharType="begin"/>
      </w:r>
      <w:r>
        <w:instrText xml:space="preserve"> HYPERLINK "https://www.england.nhs.uk/publication/primary-medical-care-policy-and-guidance-manual-assignment-of-patients-to-lists-annexes/" </w:instrText>
      </w:r>
      <w:r>
        <w:fldChar w:fldCharType="separate"/>
      </w:r>
      <w:r w:rsidR="00C813FD">
        <w:rPr>
          <w:rStyle w:val="Hyperlink"/>
        </w:rPr>
        <w:t>Example Satge 1 Outcome Letter (Matter(s) Resolved)</w:t>
      </w:r>
      <w:r>
        <w:rPr>
          <w:rStyle w:val="Hyperlink"/>
        </w:rPr>
        <w:fldChar w:fldCharType="end"/>
      </w:r>
      <w:r w:rsidR="00960602">
        <w:rPr>
          <w:rFonts w:cs="Arial"/>
          <w:bCs w:val="0"/>
          <w:szCs w:val="24"/>
          <w:lang w:eastAsia="en-GB"/>
        </w:rPr>
        <w:br/>
      </w:r>
    </w:p>
    <w:p w14:paraId="398C90F8" w14:textId="77777777" w:rsidR="00867DFB" w:rsidRPr="00CE0885" w:rsidRDefault="00867DFB" w:rsidP="00867DFB">
      <w:pPr>
        <w:widowControl w:val="0"/>
        <w:autoSpaceDE w:val="0"/>
        <w:autoSpaceDN w:val="0"/>
        <w:adjustRightInd w:val="0"/>
        <w:spacing w:line="360" w:lineRule="auto"/>
        <w:ind w:right="-23"/>
        <w:rPr>
          <w:rFonts w:cs="Arial"/>
          <w:b/>
          <w:bCs w:val="0"/>
          <w:szCs w:val="24"/>
          <w:lang w:eastAsia="en-GB"/>
        </w:rPr>
      </w:pPr>
      <w:r w:rsidRPr="00CE0885">
        <w:rPr>
          <w:rFonts w:cs="Arial"/>
          <w:b/>
          <w:bCs w:val="0"/>
          <w:szCs w:val="24"/>
          <w:lang w:eastAsia="en-GB"/>
        </w:rPr>
        <w:t>Annex 5 Guidance Note for Parties Involved in Dispute Resolution</w:t>
      </w:r>
    </w:p>
    <w:p w14:paraId="2475F12B" w14:textId="078C6579" w:rsidR="00C813FD" w:rsidRPr="00CB567A" w:rsidRDefault="000E7846" w:rsidP="002306F3">
      <w:pPr>
        <w:pStyle w:val="ListParagraph"/>
        <w:numPr>
          <w:ilvl w:val="0"/>
          <w:numId w:val="160"/>
        </w:numPr>
      </w:pPr>
      <w:hyperlink r:id="rId114" w:history="1">
        <w:r w:rsidR="00C813FD">
          <w:rPr>
            <w:rStyle w:val="Hyperlink"/>
          </w:rPr>
          <w:t>Guidance Note for Parties Invovled Dispute Resolution</w:t>
        </w:r>
      </w:hyperlink>
    </w:p>
    <w:p w14:paraId="4BA949F5" w14:textId="77777777" w:rsidR="00867DFB" w:rsidRPr="00CE0885" w:rsidRDefault="00867DFB" w:rsidP="00867DFB">
      <w:pPr>
        <w:spacing w:line="360" w:lineRule="auto"/>
        <w:rPr>
          <w:rFonts w:cs="Arial"/>
          <w:bCs w:val="0"/>
          <w:szCs w:val="24"/>
          <w:lang w:eastAsia="en-GB"/>
        </w:rPr>
      </w:pPr>
    </w:p>
    <w:p w14:paraId="388713F8" w14:textId="77777777" w:rsidR="00867DFB" w:rsidRPr="009055A7" w:rsidRDefault="00867DFB" w:rsidP="00867DFB">
      <w:pPr>
        <w:spacing w:line="360" w:lineRule="auto"/>
        <w:rPr>
          <w:rFonts w:cs="Arial"/>
        </w:rPr>
      </w:pPr>
    </w:p>
    <w:p w14:paraId="4C5DD22A" w14:textId="48323935" w:rsidR="0015247B" w:rsidRPr="00A13EB7" w:rsidRDefault="00867DFB" w:rsidP="00A13EB7">
      <w:pPr>
        <w:pStyle w:val="Heading1"/>
      </w:pPr>
      <w:r w:rsidRPr="00490AED">
        <w:rPr>
          <w:color w:val="auto"/>
        </w:rPr>
        <w:br w:type="page"/>
      </w:r>
      <w:bookmarkStart w:id="1610" w:name="_Toc498495478"/>
      <w:r w:rsidR="0015247B" w:rsidRPr="00A13EB7">
        <w:t>Adverse Events (e.g. flood fire)</w:t>
      </w:r>
      <w:bookmarkEnd w:id="1610"/>
    </w:p>
    <w:p w14:paraId="46546CED" w14:textId="77777777" w:rsidR="0015247B" w:rsidRDefault="0015247B" w:rsidP="0015247B">
      <w:pPr>
        <w:rPr>
          <w:lang w:eastAsia="en-GB"/>
        </w:rPr>
      </w:pPr>
      <w:r>
        <w:rPr>
          <w:lang w:eastAsia="en-GB"/>
        </w:rPr>
        <w:t> </w:t>
      </w:r>
    </w:p>
    <w:p w14:paraId="226EAF8B" w14:textId="77777777" w:rsidR="00867DFB" w:rsidRPr="00CE0885" w:rsidRDefault="00867DFB" w:rsidP="00A13EB7">
      <w:pPr>
        <w:pStyle w:val="Heading2"/>
        <w:rPr>
          <w:lang w:eastAsia="en-GB"/>
        </w:rPr>
      </w:pPr>
      <w:bookmarkStart w:id="1611" w:name="_Toc440982669"/>
      <w:bookmarkStart w:id="1612" w:name="_Toc498495479"/>
      <w:r w:rsidRPr="00CE0885">
        <w:rPr>
          <w:lang w:eastAsia="en-GB"/>
        </w:rPr>
        <w:t>Background</w:t>
      </w:r>
      <w:bookmarkEnd w:id="1611"/>
      <w:bookmarkEnd w:id="1612"/>
    </w:p>
    <w:p w14:paraId="0B5138CC" w14:textId="77777777" w:rsidR="00867DFB" w:rsidRPr="00CE0885" w:rsidRDefault="00867DFB" w:rsidP="00A13EB7">
      <w:pPr>
        <w:pStyle w:val="Heading3"/>
        <w:rPr>
          <w:lang w:eastAsia="en-GB"/>
        </w:rPr>
      </w:pPr>
      <w:bookmarkStart w:id="1613" w:name="_Toc440982670"/>
      <w:r w:rsidRPr="00CE0885">
        <w:rPr>
          <w:lang w:eastAsia="en-GB"/>
        </w:rPr>
        <w:t>Adverse incidents are dealt with in the force majeure provisions of the standard GMS, PMS, APMS and where appropriate MCP/PACS contracts. Although these provisions are not required by the GMS Regulations, the PMS Regulations or the APMS Directions, the majority of GMS, PMS, APMS and where appropriate MCP/PACS contracts will include them.</w:t>
      </w:r>
      <w:bookmarkEnd w:id="1613"/>
    </w:p>
    <w:p w14:paraId="45FCA0A8" w14:textId="77777777" w:rsidR="00867DFB" w:rsidRPr="00CE0885" w:rsidRDefault="00867DFB" w:rsidP="00A13EB7">
      <w:pPr>
        <w:pStyle w:val="Heading3"/>
        <w:rPr>
          <w:lang w:eastAsia="en-GB"/>
        </w:rPr>
      </w:pPr>
      <w:bookmarkStart w:id="1614" w:name="_Toc440982671"/>
      <w:r w:rsidRPr="00CE0885">
        <w:rPr>
          <w:lang w:eastAsia="en-GB"/>
        </w:rPr>
        <w:t>The Commissioner is advised to check that the force majeure provisions are included in each contract and if they are to follow the guidance in this policy. This policy is only applicable where the contract in question has retained the recommended force majeure provisions.</w:t>
      </w:r>
      <w:bookmarkEnd w:id="1614"/>
    </w:p>
    <w:p w14:paraId="07AC2FDE" w14:textId="77777777" w:rsidR="00867DFB" w:rsidRPr="00CE0885" w:rsidRDefault="00867DFB" w:rsidP="00A13EB7">
      <w:pPr>
        <w:pStyle w:val="Heading3"/>
        <w:rPr>
          <w:lang w:eastAsia="en-GB"/>
        </w:rPr>
      </w:pPr>
      <w:bookmarkStart w:id="1615" w:name="_Toc440982672"/>
      <w:r w:rsidRPr="00CE0885">
        <w:rPr>
          <w:lang w:eastAsia="en-GB"/>
        </w:rPr>
        <w:t>The contractor is responsible for informing the Commissioner of any force majeure event.</w:t>
      </w:r>
      <w:bookmarkEnd w:id="1615"/>
    </w:p>
    <w:p w14:paraId="73B4FB29" w14:textId="49C98843" w:rsidR="00867DFB" w:rsidRPr="009055A7" w:rsidRDefault="00490AED" w:rsidP="00490AED">
      <w:pPr>
        <w:widowControl w:val="0"/>
        <w:tabs>
          <w:tab w:val="left" w:pos="5875"/>
        </w:tabs>
        <w:spacing w:line="360" w:lineRule="auto"/>
        <w:ind w:left="1414"/>
        <w:jc w:val="both"/>
        <w:rPr>
          <w:rFonts w:cs="Arial"/>
          <w:bCs w:val="0"/>
          <w:sz w:val="20"/>
          <w:szCs w:val="20"/>
          <w:lang w:eastAsia="en-GB"/>
        </w:rPr>
      </w:pPr>
      <w:r>
        <w:rPr>
          <w:rFonts w:cs="Arial"/>
          <w:bCs w:val="0"/>
          <w:sz w:val="20"/>
          <w:szCs w:val="20"/>
          <w:lang w:eastAsia="en-GB"/>
        </w:rPr>
        <w:tab/>
      </w:r>
    </w:p>
    <w:p w14:paraId="011457D9" w14:textId="77777777" w:rsidR="00867DFB" w:rsidRPr="00CE0885" w:rsidRDefault="00867DFB" w:rsidP="00A13EB7">
      <w:pPr>
        <w:pStyle w:val="Heading2"/>
        <w:rPr>
          <w:rFonts w:eastAsia="MS Mincho"/>
        </w:rPr>
      </w:pPr>
      <w:bookmarkStart w:id="1616" w:name="_Toc440982673"/>
      <w:bookmarkStart w:id="1617" w:name="_Toc498495480"/>
      <w:r w:rsidRPr="00CE0885">
        <w:rPr>
          <w:rFonts w:eastAsia="MS Mincho"/>
        </w:rPr>
        <w:t>Contract Wording</w:t>
      </w:r>
      <w:bookmarkEnd w:id="1616"/>
      <w:bookmarkEnd w:id="1617"/>
    </w:p>
    <w:p w14:paraId="047ACE5E" w14:textId="77777777" w:rsidR="00867DFB" w:rsidRPr="00CE0885" w:rsidRDefault="00867DFB" w:rsidP="00A13EB7">
      <w:pPr>
        <w:pStyle w:val="Heading3"/>
        <w:rPr>
          <w:rFonts w:eastAsia="MS Mincho"/>
        </w:rPr>
      </w:pPr>
      <w:bookmarkStart w:id="1618" w:name="_Toc440982674"/>
      <w:r w:rsidRPr="00CE0885">
        <w:rPr>
          <w:rFonts w:eastAsia="MS Mincho"/>
        </w:rPr>
        <w:t>Clause 27.5 of the standard GMS contract states that:</w:t>
      </w:r>
      <w:bookmarkEnd w:id="1618"/>
    </w:p>
    <w:p w14:paraId="764B97E8" w14:textId="77777777" w:rsidR="00867DFB" w:rsidRPr="00CE0885" w:rsidRDefault="00867DFB" w:rsidP="00867DFB">
      <w:pPr>
        <w:autoSpaceDE w:val="0"/>
        <w:autoSpaceDN w:val="0"/>
        <w:adjustRightInd w:val="0"/>
        <w:spacing w:line="360" w:lineRule="auto"/>
        <w:rPr>
          <w:rFonts w:cs="Arial"/>
          <w:bCs w:val="0"/>
          <w:szCs w:val="24"/>
          <w:lang w:eastAsia="en-GB"/>
        </w:rPr>
      </w:pPr>
    </w:p>
    <w:p w14:paraId="4D0F879D" w14:textId="77777777" w:rsidR="00867DFB" w:rsidRPr="00CE0885" w:rsidRDefault="00867DFB" w:rsidP="00867DFB">
      <w:pPr>
        <w:autoSpaceDE w:val="0"/>
        <w:autoSpaceDN w:val="0"/>
        <w:adjustRightInd w:val="0"/>
        <w:spacing w:line="360" w:lineRule="auto"/>
        <w:ind w:left="2552" w:hanging="1112"/>
        <w:jc w:val="both"/>
        <w:rPr>
          <w:rFonts w:cs="Arial"/>
          <w:bCs w:val="0"/>
          <w:i/>
          <w:szCs w:val="24"/>
          <w:lang w:eastAsia="en-GB"/>
        </w:rPr>
      </w:pPr>
      <w:r w:rsidRPr="00CE0885">
        <w:rPr>
          <w:rFonts w:cs="Arial"/>
          <w:bCs w:val="0"/>
          <w:szCs w:val="24"/>
          <w:lang w:eastAsia="en-GB"/>
        </w:rPr>
        <w:t>"</w:t>
      </w:r>
      <w:r w:rsidRPr="00CE0885">
        <w:rPr>
          <w:rFonts w:cs="Arial"/>
          <w:bCs w:val="0"/>
          <w:i/>
          <w:szCs w:val="24"/>
          <w:lang w:eastAsia="en-GB"/>
        </w:rPr>
        <w:t>27.5.1</w:t>
      </w:r>
      <w:r w:rsidRPr="00CE0885">
        <w:rPr>
          <w:rFonts w:cs="Arial"/>
          <w:bCs w:val="0"/>
          <w:i/>
          <w:szCs w:val="24"/>
          <w:lang w:eastAsia="en-GB"/>
        </w:rPr>
        <w:tab/>
        <w:t>Neither party shall be responsible to the other for any failure or delay in performance of its obligations and duties under this Contract which is caused by circumstances or events beyond the reasonable control of a party. However, the affected party must promptly on the occurrence of such circumstances or events:</w:t>
      </w:r>
    </w:p>
    <w:p w14:paraId="67D27503" w14:textId="77777777" w:rsidR="00867DFB" w:rsidRPr="00CE0885" w:rsidRDefault="00867DFB" w:rsidP="00867DFB">
      <w:pPr>
        <w:autoSpaceDE w:val="0"/>
        <w:autoSpaceDN w:val="0"/>
        <w:adjustRightInd w:val="0"/>
        <w:spacing w:line="360" w:lineRule="auto"/>
        <w:ind w:left="2977" w:hanging="425"/>
        <w:jc w:val="both"/>
        <w:rPr>
          <w:rFonts w:cs="Arial"/>
          <w:bCs w:val="0"/>
          <w:i/>
          <w:szCs w:val="24"/>
          <w:lang w:eastAsia="en-GB"/>
        </w:rPr>
      </w:pPr>
      <w:r w:rsidRPr="00CE0885">
        <w:rPr>
          <w:rFonts w:cs="Arial"/>
          <w:bCs w:val="0"/>
          <w:i/>
          <w:szCs w:val="24"/>
          <w:lang w:eastAsia="en-GB"/>
        </w:rPr>
        <w:t xml:space="preserve"> </w:t>
      </w:r>
    </w:p>
    <w:p w14:paraId="0FDFF246" w14:textId="77777777" w:rsidR="00867DFB" w:rsidRPr="00CE0885" w:rsidRDefault="00867DFB" w:rsidP="00867DFB">
      <w:pPr>
        <w:autoSpaceDE w:val="0"/>
        <w:autoSpaceDN w:val="0"/>
        <w:adjustRightInd w:val="0"/>
        <w:spacing w:line="360" w:lineRule="auto"/>
        <w:ind w:left="2977" w:hanging="425"/>
        <w:jc w:val="both"/>
        <w:rPr>
          <w:rFonts w:cs="Arial"/>
          <w:bCs w:val="0"/>
          <w:i/>
          <w:szCs w:val="24"/>
          <w:lang w:eastAsia="en-GB"/>
        </w:rPr>
      </w:pPr>
      <w:r w:rsidRPr="00CE0885">
        <w:rPr>
          <w:rFonts w:cs="Arial"/>
          <w:bCs w:val="0"/>
          <w:i/>
          <w:szCs w:val="24"/>
          <w:lang w:eastAsia="en-GB"/>
        </w:rPr>
        <w:t xml:space="preserve">(a) </w:t>
      </w:r>
      <w:r w:rsidRPr="00CE0885">
        <w:rPr>
          <w:rFonts w:cs="Arial"/>
          <w:bCs w:val="0"/>
          <w:i/>
          <w:szCs w:val="24"/>
          <w:lang w:eastAsia="en-GB"/>
        </w:rPr>
        <w:tab/>
        <w:t xml:space="preserve">inform the other party in writing of such circumstances or events and of what obligation or duty they have delayed or prevented being performed; and </w:t>
      </w:r>
    </w:p>
    <w:p w14:paraId="1D5E166A" w14:textId="77777777" w:rsidR="00867DFB" w:rsidRPr="00CE0885" w:rsidRDefault="00867DFB" w:rsidP="00867DFB">
      <w:pPr>
        <w:autoSpaceDE w:val="0"/>
        <w:autoSpaceDN w:val="0"/>
        <w:adjustRightInd w:val="0"/>
        <w:spacing w:line="360" w:lineRule="auto"/>
        <w:ind w:left="2977" w:hanging="425"/>
        <w:jc w:val="both"/>
        <w:rPr>
          <w:rFonts w:cs="Arial"/>
          <w:bCs w:val="0"/>
          <w:i/>
          <w:szCs w:val="24"/>
          <w:lang w:eastAsia="en-GB"/>
        </w:rPr>
      </w:pPr>
      <w:r w:rsidRPr="00CE0885">
        <w:rPr>
          <w:rFonts w:cs="Arial"/>
          <w:bCs w:val="0"/>
          <w:i/>
          <w:szCs w:val="24"/>
          <w:lang w:eastAsia="en-GB"/>
        </w:rPr>
        <w:t>(b)</w:t>
      </w:r>
      <w:r w:rsidRPr="00CE0885">
        <w:rPr>
          <w:rFonts w:cs="Arial"/>
          <w:bCs w:val="0"/>
          <w:i/>
          <w:szCs w:val="24"/>
          <w:lang w:eastAsia="en-GB"/>
        </w:rPr>
        <w:tab/>
        <w:t xml:space="preserve">take all action within its power to comply with the terms of this Contract as fully and promptly as possible. </w:t>
      </w:r>
    </w:p>
    <w:p w14:paraId="3D8E8FB7" w14:textId="77777777" w:rsidR="00867DFB" w:rsidRPr="00CE0885" w:rsidRDefault="00867DFB" w:rsidP="00867DFB">
      <w:pPr>
        <w:autoSpaceDE w:val="0"/>
        <w:autoSpaceDN w:val="0"/>
        <w:adjustRightInd w:val="0"/>
        <w:spacing w:line="360" w:lineRule="auto"/>
        <w:ind w:left="2552" w:hanging="1112"/>
        <w:jc w:val="both"/>
        <w:rPr>
          <w:rFonts w:cs="Arial"/>
          <w:bCs w:val="0"/>
          <w:i/>
          <w:szCs w:val="24"/>
          <w:lang w:eastAsia="en-GB"/>
        </w:rPr>
      </w:pPr>
      <w:r w:rsidRPr="00CE0885">
        <w:rPr>
          <w:rFonts w:cs="Arial"/>
          <w:bCs w:val="0"/>
          <w:i/>
          <w:szCs w:val="24"/>
          <w:lang w:eastAsia="en-GB"/>
        </w:rPr>
        <w:t>27.5.2</w:t>
      </w:r>
      <w:r w:rsidRPr="00CE0885">
        <w:rPr>
          <w:rFonts w:cs="Arial"/>
          <w:bCs w:val="0"/>
          <w:i/>
          <w:szCs w:val="24"/>
          <w:lang w:eastAsia="en-GB"/>
        </w:rPr>
        <w:tab/>
        <w:t xml:space="preserve">Unless the affected party takes such steps, clause 27.5.1 shall not have the effect of absolving it from its obligations under this Contract. For the avoidance of doubt, any actions or omissions of either party’s personnel or any failures of either party’s systems, procedures, premises or equipment shall not be deemed to be circumstances or events beyond the reasonable control of the relevant party for the purposes of this clause, unless the cause of failure was beyond reasonable control. </w:t>
      </w:r>
    </w:p>
    <w:p w14:paraId="212C2398" w14:textId="77777777" w:rsidR="00867DFB" w:rsidRPr="00CE0885" w:rsidRDefault="00867DFB" w:rsidP="00867DFB">
      <w:pPr>
        <w:autoSpaceDE w:val="0"/>
        <w:autoSpaceDN w:val="0"/>
        <w:adjustRightInd w:val="0"/>
        <w:spacing w:line="360" w:lineRule="auto"/>
        <w:ind w:left="2552" w:hanging="1112"/>
        <w:jc w:val="both"/>
        <w:rPr>
          <w:rFonts w:cs="Arial"/>
          <w:bCs w:val="0"/>
          <w:i/>
          <w:szCs w:val="24"/>
          <w:lang w:eastAsia="en-GB"/>
        </w:rPr>
      </w:pPr>
      <w:r w:rsidRPr="00CE0885">
        <w:rPr>
          <w:rFonts w:cs="Arial"/>
          <w:bCs w:val="0"/>
          <w:i/>
          <w:szCs w:val="24"/>
          <w:lang w:eastAsia="en-GB"/>
        </w:rPr>
        <w:t xml:space="preserve">27.5.3. </w:t>
      </w:r>
      <w:r w:rsidRPr="00CE0885">
        <w:rPr>
          <w:rFonts w:cs="Arial"/>
          <w:bCs w:val="0"/>
          <w:i/>
          <w:szCs w:val="24"/>
          <w:lang w:eastAsia="en-GB"/>
        </w:rPr>
        <w:tab/>
        <w:t xml:space="preserve">If the affected party is delayed or prevented from performing its obligations and duties under the Contract for a continuous period of 3 months, then either party may terminate this Contract by notice in writing within such period as is reasonable in the circumstances (which shall be no shorter than 28 days). </w:t>
      </w:r>
    </w:p>
    <w:p w14:paraId="355E35F7" w14:textId="77777777" w:rsidR="00867DFB" w:rsidRPr="00CE0885" w:rsidRDefault="00867DFB" w:rsidP="00867DFB">
      <w:pPr>
        <w:autoSpaceDE w:val="0"/>
        <w:autoSpaceDN w:val="0"/>
        <w:adjustRightInd w:val="0"/>
        <w:spacing w:line="360" w:lineRule="auto"/>
        <w:ind w:left="2552" w:hanging="1112"/>
        <w:jc w:val="both"/>
        <w:rPr>
          <w:rFonts w:cs="Arial"/>
          <w:bCs w:val="0"/>
          <w:szCs w:val="24"/>
          <w:lang w:eastAsia="en-GB"/>
        </w:rPr>
      </w:pPr>
      <w:r w:rsidRPr="00CE0885">
        <w:rPr>
          <w:rFonts w:cs="Arial"/>
          <w:bCs w:val="0"/>
          <w:i/>
          <w:szCs w:val="24"/>
          <w:lang w:eastAsia="en-GB"/>
        </w:rPr>
        <w:t xml:space="preserve">27.5.4. </w:t>
      </w:r>
      <w:r w:rsidRPr="00CE0885">
        <w:rPr>
          <w:rFonts w:cs="Arial"/>
          <w:bCs w:val="0"/>
          <w:i/>
          <w:szCs w:val="24"/>
          <w:lang w:eastAsia="en-GB"/>
        </w:rPr>
        <w:tab/>
        <w:t>The termination shall not take effect at the end of the notice period if the affected party is able to resume performance of its obligations and duties under the Contract within the period of notice specified in accordance with clause 27.5.3 above, or if the other party otherwise consents</w:t>
      </w:r>
      <w:r w:rsidRPr="00CE0885">
        <w:rPr>
          <w:rFonts w:cs="Arial"/>
          <w:bCs w:val="0"/>
          <w:szCs w:val="24"/>
          <w:lang w:eastAsia="en-GB"/>
        </w:rPr>
        <w:t>."</w:t>
      </w:r>
    </w:p>
    <w:p w14:paraId="7A4923F6" w14:textId="77777777" w:rsidR="00867DFB" w:rsidRPr="00CE0885" w:rsidRDefault="00867DFB" w:rsidP="00A13EB7">
      <w:pPr>
        <w:pStyle w:val="Heading3"/>
        <w:rPr>
          <w:rFonts w:eastAsia="MS Mincho"/>
        </w:rPr>
      </w:pPr>
      <w:bookmarkStart w:id="1619" w:name="_Toc440982675"/>
      <w:r w:rsidRPr="00CE0885">
        <w:rPr>
          <w:rFonts w:eastAsia="MS Mincho"/>
        </w:rPr>
        <w:t>The provision of individual PMS and APMS contracts should be reviewed and advice sought.</w:t>
      </w:r>
      <w:bookmarkEnd w:id="1619"/>
    </w:p>
    <w:p w14:paraId="62F58F66" w14:textId="77777777" w:rsidR="00867DFB" w:rsidRPr="00CE0885" w:rsidRDefault="00867DFB" w:rsidP="00A13EB7">
      <w:pPr>
        <w:pStyle w:val="Heading3"/>
        <w:rPr>
          <w:rFonts w:eastAsia="MS Mincho"/>
        </w:rPr>
      </w:pPr>
      <w:bookmarkStart w:id="1620" w:name="_Toc440982676"/>
      <w:r w:rsidRPr="00CE0885">
        <w:rPr>
          <w:rFonts w:eastAsia="MS Mincho"/>
        </w:rPr>
        <w:t>A force majeure event is one which is caused by circumstances beyond the reasonable control of either the Commissioner or the contractor that could not have been avoided or mitigated with reasonable care and where the event has had a material effect on the fulfilment of the contract.</w:t>
      </w:r>
      <w:bookmarkEnd w:id="1620"/>
    </w:p>
    <w:p w14:paraId="018B1FCA" w14:textId="77777777" w:rsidR="00867DFB" w:rsidRPr="00CE0885" w:rsidRDefault="00867DFB" w:rsidP="00A13EB7">
      <w:pPr>
        <w:pStyle w:val="Heading3"/>
        <w:rPr>
          <w:rFonts w:eastAsia="MS Mincho"/>
        </w:rPr>
      </w:pPr>
      <w:bookmarkStart w:id="1621" w:name="_Toc440982677"/>
      <w:r w:rsidRPr="00CE0885">
        <w:rPr>
          <w:rFonts w:eastAsia="MS Mincho"/>
        </w:rPr>
        <w:t>Examples of events that may invoke the force majeure provisions are as follows:</w:t>
      </w:r>
      <w:bookmarkEnd w:id="1621"/>
    </w:p>
    <w:p w14:paraId="514F32CB" w14:textId="77777777" w:rsidR="00867DFB" w:rsidRPr="00CE0885" w:rsidRDefault="00867DFB" w:rsidP="005A7DDA">
      <w:pPr>
        <w:pStyle w:val="Heading4"/>
        <w:numPr>
          <w:ilvl w:val="0"/>
          <w:numId w:val="124"/>
        </w:numPr>
        <w:spacing w:before="0"/>
        <w:ind w:left="714" w:hanging="357"/>
      </w:pPr>
      <w:bookmarkStart w:id="1622" w:name="_Toc440982678"/>
      <w:r w:rsidRPr="00CE0885">
        <w:t>Fire;</w:t>
      </w:r>
      <w:bookmarkEnd w:id="1622"/>
      <w:r w:rsidRPr="00CE0885">
        <w:t xml:space="preserve"> </w:t>
      </w:r>
    </w:p>
    <w:p w14:paraId="665C683E" w14:textId="77777777" w:rsidR="00867DFB" w:rsidRPr="00CE0885" w:rsidRDefault="00867DFB" w:rsidP="005A7DDA">
      <w:pPr>
        <w:pStyle w:val="Heading4"/>
        <w:numPr>
          <w:ilvl w:val="0"/>
          <w:numId w:val="124"/>
        </w:numPr>
        <w:spacing w:before="0"/>
        <w:ind w:left="714" w:hanging="357"/>
      </w:pPr>
      <w:bookmarkStart w:id="1623" w:name="_Toc440982679"/>
      <w:r w:rsidRPr="00CE0885">
        <w:t>Flood;</w:t>
      </w:r>
      <w:bookmarkEnd w:id="1623"/>
      <w:r w:rsidRPr="00CE0885">
        <w:t xml:space="preserve"> </w:t>
      </w:r>
    </w:p>
    <w:p w14:paraId="0217F74E" w14:textId="77777777" w:rsidR="00867DFB" w:rsidRPr="00CE0885" w:rsidRDefault="00867DFB" w:rsidP="005A7DDA">
      <w:pPr>
        <w:pStyle w:val="Heading4"/>
        <w:numPr>
          <w:ilvl w:val="0"/>
          <w:numId w:val="124"/>
        </w:numPr>
        <w:spacing w:before="0"/>
        <w:ind w:left="714" w:hanging="357"/>
      </w:pPr>
      <w:bookmarkStart w:id="1624" w:name="_Toc440982680"/>
      <w:r w:rsidRPr="00CE0885">
        <w:t>Severe weather conditions and for which precautions are not ordinarily taken to avoid or mitigate the impact (for example a severe hurricane);</w:t>
      </w:r>
      <w:bookmarkEnd w:id="1624"/>
      <w:r w:rsidRPr="00CE0885">
        <w:t xml:space="preserve">  </w:t>
      </w:r>
    </w:p>
    <w:p w14:paraId="6C772A93" w14:textId="77777777" w:rsidR="00867DFB" w:rsidRPr="00CE0885" w:rsidRDefault="00867DFB" w:rsidP="005A7DDA">
      <w:pPr>
        <w:pStyle w:val="Heading4"/>
        <w:numPr>
          <w:ilvl w:val="0"/>
          <w:numId w:val="124"/>
        </w:numPr>
        <w:spacing w:before="0"/>
        <w:ind w:left="714" w:hanging="357"/>
      </w:pPr>
      <w:bookmarkStart w:id="1625" w:name="_Toc440982681"/>
      <w:r w:rsidRPr="00CE0885">
        <w:t>Industrial action which significantly affects the provision of public services or services upon which the party is reliant;</w:t>
      </w:r>
      <w:bookmarkEnd w:id="1625"/>
    </w:p>
    <w:p w14:paraId="32A92EEF" w14:textId="77777777" w:rsidR="00867DFB" w:rsidRPr="00CE0885" w:rsidRDefault="00867DFB" w:rsidP="005A7DDA">
      <w:pPr>
        <w:pStyle w:val="Heading4"/>
        <w:numPr>
          <w:ilvl w:val="0"/>
          <w:numId w:val="124"/>
        </w:numPr>
        <w:spacing w:before="0"/>
        <w:ind w:left="714" w:hanging="357"/>
      </w:pPr>
      <w:bookmarkStart w:id="1626" w:name="_Toc440982682"/>
      <w:r w:rsidRPr="00CE0885">
        <w:t>Death of a significant performer or close relative;</w:t>
      </w:r>
      <w:bookmarkEnd w:id="1626"/>
    </w:p>
    <w:p w14:paraId="1F7A5607" w14:textId="77777777" w:rsidR="00867DFB" w:rsidRPr="00CE0885" w:rsidRDefault="00867DFB" w:rsidP="005A7DDA">
      <w:pPr>
        <w:pStyle w:val="Heading4"/>
        <w:numPr>
          <w:ilvl w:val="0"/>
          <w:numId w:val="124"/>
        </w:numPr>
        <w:spacing w:before="0"/>
        <w:ind w:left="714" w:hanging="357"/>
      </w:pPr>
      <w:bookmarkStart w:id="1627" w:name="_Toc440982683"/>
      <w:r w:rsidRPr="00CE0885">
        <w:t>Pandemic disease or circumstances that might otherwise be considered “an act of God”;</w:t>
      </w:r>
      <w:bookmarkEnd w:id="1627"/>
    </w:p>
    <w:p w14:paraId="3342FDCC" w14:textId="77777777" w:rsidR="00867DFB" w:rsidRPr="00CE0885" w:rsidRDefault="00867DFB" w:rsidP="005A7DDA">
      <w:pPr>
        <w:pStyle w:val="Heading4"/>
        <w:numPr>
          <w:ilvl w:val="0"/>
          <w:numId w:val="124"/>
        </w:numPr>
        <w:spacing w:before="0"/>
        <w:ind w:left="714" w:hanging="357"/>
      </w:pPr>
      <w:bookmarkStart w:id="1628" w:name="_Toc440982684"/>
      <w:r w:rsidRPr="00CE0885">
        <w:t>War;</w:t>
      </w:r>
      <w:bookmarkEnd w:id="1628"/>
    </w:p>
    <w:p w14:paraId="2C0F37E1" w14:textId="77777777" w:rsidR="00867DFB" w:rsidRPr="00CE0885" w:rsidRDefault="00867DFB" w:rsidP="005A7DDA">
      <w:pPr>
        <w:pStyle w:val="Heading4"/>
        <w:numPr>
          <w:ilvl w:val="0"/>
          <w:numId w:val="124"/>
        </w:numPr>
        <w:spacing w:before="0"/>
        <w:ind w:left="714" w:hanging="357"/>
      </w:pPr>
      <w:bookmarkStart w:id="1629" w:name="_Toc440982685"/>
      <w:r w:rsidRPr="00CE0885">
        <w:t>Civil war (whether declared or undeclared);</w:t>
      </w:r>
      <w:bookmarkEnd w:id="1629"/>
    </w:p>
    <w:p w14:paraId="5EDF7220" w14:textId="77777777" w:rsidR="00867DFB" w:rsidRPr="00CE0885" w:rsidRDefault="00867DFB" w:rsidP="005A7DDA">
      <w:pPr>
        <w:pStyle w:val="Heading4"/>
        <w:numPr>
          <w:ilvl w:val="0"/>
          <w:numId w:val="124"/>
        </w:numPr>
        <w:spacing w:before="0"/>
        <w:ind w:left="714" w:hanging="357"/>
      </w:pPr>
      <w:bookmarkStart w:id="1630" w:name="_Toc440982686"/>
      <w:r w:rsidRPr="00CE0885">
        <w:t>Riot or armed conflict;</w:t>
      </w:r>
      <w:bookmarkEnd w:id="1630"/>
    </w:p>
    <w:p w14:paraId="3D2A2917" w14:textId="77777777" w:rsidR="00867DFB" w:rsidRPr="00CE0885" w:rsidRDefault="00867DFB" w:rsidP="005A7DDA">
      <w:pPr>
        <w:pStyle w:val="Heading4"/>
        <w:numPr>
          <w:ilvl w:val="0"/>
          <w:numId w:val="124"/>
        </w:numPr>
        <w:spacing w:before="0"/>
        <w:ind w:left="714" w:hanging="357"/>
      </w:pPr>
      <w:bookmarkStart w:id="1631" w:name="_Toc440982687"/>
      <w:r w:rsidRPr="00CE0885">
        <w:t>Radioactive, chemical or biological contamination;</w:t>
      </w:r>
      <w:bookmarkEnd w:id="1631"/>
    </w:p>
    <w:p w14:paraId="15772DAD" w14:textId="77777777" w:rsidR="00867DFB" w:rsidRPr="00CE0885" w:rsidRDefault="00867DFB" w:rsidP="005A7DDA">
      <w:pPr>
        <w:pStyle w:val="Heading4"/>
        <w:numPr>
          <w:ilvl w:val="0"/>
          <w:numId w:val="124"/>
        </w:numPr>
        <w:spacing w:before="0"/>
        <w:ind w:left="714" w:hanging="357"/>
      </w:pPr>
      <w:bookmarkStart w:id="1632" w:name="_Toc440982688"/>
      <w:r w:rsidRPr="00CE0885">
        <w:t>Pressure waves caused by aircraft or other aerial devices travelling at sonic or supersonic speed;</w:t>
      </w:r>
      <w:bookmarkEnd w:id="1632"/>
    </w:p>
    <w:p w14:paraId="182002EB" w14:textId="77777777" w:rsidR="00867DFB" w:rsidRPr="00CE0885" w:rsidRDefault="00867DFB" w:rsidP="005A7DDA">
      <w:pPr>
        <w:pStyle w:val="Heading4"/>
        <w:numPr>
          <w:ilvl w:val="0"/>
          <w:numId w:val="124"/>
        </w:numPr>
        <w:spacing w:before="0"/>
        <w:ind w:left="714" w:hanging="357"/>
      </w:pPr>
      <w:bookmarkStart w:id="1633" w:name="_Toc440982689"/>
      <w:r w:rsidRPr="00CE0885">
        <w:t>Acts of terrorism;</w:t>
      </w:r>
      <w:bookmarkEnd w:id="1633"/>
    </w:p>
    <w:p w14:paraId="1F1CA646" w14:textId="77777777" w:rsidR="00867DFB" w:rsidRPr="00CE0885" w:rsidRDefault="00867DFB" w:rsidP="005A7DDA">
      <w:pPr>
        <w:pStyle w:val="Heading4"/>
        <w:numPr>
          <w:ilvl w:val="0"/>
          <w:numId w:val="124"/>
        </w:numPr>
        <w:spacing w:before="0"/>
        <w:ind w:left="714" w:hanging="357"/>
      </w:pPr>
      <w:bookmarkStart w:id="1634" w:name="_Toc440982690"/>
      <w:r w:rsidRPr="00CE0885">
        <w:t>Explosion.</w:t>
      </w:r>
      <w:bookmarkEnd w:id="1634"/>
    </w:p>
    <w:p w14:paraId="2923880C" w14:textId="77777777" w:rsidR="00867DFB" w:rsidRPr="00CE0885" w:rsidRDefault="00867DFB" w:rsidP="00A13EB7">
      <w:pPr>
        <w:pStyle w:val="Heading3"/>
        <w:rPr>
          <w:rFonts w:eastAsia="MS Mincho"/>
          <w:lang w:eastAsia="en-GB"/>
        </w:rPr>
      </w:pPr>
      <w:bookmarkStart w:id="1635" w:name="_Toc440982691"/>
      <w:r w:rsidRPr="00CE0885">
        <w:rPr>
          <w:rFonts w:eastAsia="MS Mincho"/>
          <w:lang w:eastAsia="en-GB"/>
        </w:rPr>
        <w:t>Examples of events that would not be considered force majeure events are as follows:</w:t>
      </w:r>
      <w:bookmarkEnd w:id="1635"/>
    </w:p>
    <w:p w14:paraId="53270C2D" w14:textId="77777777" w:rsidR="00867DFB" w:rsidRPr="00A13EB7" w:rsidRDefault="00867DFB" w:rsidP="005A7DDA">
      <w:pPr>
        <w:pStyle w:val="ListParagraph"/>
        <w:widowControl w:val="0"/>
        <w:numPr>
          <w:ilvl w:val="0"/>
          <w:numId w:val="125"/>
        </w:numPr>
        <w:spacing w:line="360" w:lineRule="auto"/>
        <w:jc w:val="both"/>
        <w:outlineLvl w:val="2"/>
        <w:rPr>
          <w:rFonts w:cs="Arial"/>
          <w:bCs w:val="0"/>
          <w:szCs w:val="24"/>
          <w:lang w:eastAsia="en-GB"/>
        </w:rPr>
      </w:pPr>
      <w:bookmarkStart w:id="1636" w:name="_Toc440982692"/>
      <w:r w:rsidRPr="00A13EB7">
        <w:rPr>
          <w:rFonts w:cs="Arial"/>
          <w:bCs w:val="0"/>
          <w:szCs w:val="24"/>
          <w:lang w:eastAsia="en-GB"/>
        </w:rPr>
        <w:t>Refurbishment of practice premises;</w:t>
      </w:r>
      <w:bookmarkEnd w:id="1636"/>
    </w:p>
    <w:p w14:paraId="1C0AEFB2" w14:textId="77777777" w:rsidR="00867DFB" w:rsidRPr="00A13EB7" w:rsidRDefault="00867DFB" w:rsidP="005A7DDA">
      <w:pPr>
        <w:pStyle w:val="ListParagraph"/>
        <w:widowControl w:val="0"/>
        <w:numPr>
          <w:ilvl w:val="0"/>
          <w:numId w:val="125"/>
        </w:numPr>
        <w:spacing w:line="360" w:lineRule="auto"/>
        <w:jc w:val="both"/>
        <w:outlineLvl w:val="2"/>
        <w:rPr>
          <w:rFonts w:cs="Arial"/>
          <w:bCs w:val="0"/>
          <w:szCs w:val="24"/>
          <w:lang w:eastAsia="en-GB"/>
        </w:rPr>
      </w:pPr>
      <w:bookmarkStart w:id="1637" w:name="_Toc440982693"/>
      <w:r w:rsidRPr="00A13EB7">
        <w:rPr>
          <w:rFonts w:cs="Arial"/>
          <w:bCs w:val="0"/>
          <w:szCs w:val="24"/>
          <w:lang w:eastAsia="en-GB"/>
        </w:rPr>
        <w:t>Adverse weather in the winter months (including snow and ice);</w:t>
      </w:r>
      <w:bookmarkEnd w:id="1637"/>
    </w:p>
    <w:p w14:paraId="6A9A2EDE" w14:textId="77777777" w:rsidR="00867DFB" w:rsidRPr="00A13EB7" w:rsidRDefault="00867DFB" w:rsidP="005A7DDA">
      <w:pPr>
        <w:pStyle w:val="ListParagraph"/>
        <w:widowControl w:val="0"/>
        <w:numPr>
          <w:ilvl w:val="0"/>
          <w:numId w:val="125"/>
        </w:numPr>
        <w:spacing w:line="360" w:lineRule="auto"/>
        <w:jc w:val="both"/>
        <w:outlineLvl w:val="2"/>
        <w:rPr>
          <w:rFonts w:cs="Arial"/>
          <w:bCs w:val="0"/>
          <w:szCs w:val="24"/>
          <w:lang w:eastAsia="en-GB"/>
        </w:rPr>
      </w:pPr>
      <w:bookmarkStart w:id="1638" w:name="_Toc440982694"/>
      <w:r w:rsidRPr="00A13EB7">
        <w:rPr>
          <w:rFonts w:cs="Arial"/>
          <w:bCs w:val="0"/>
          <w:szCs w:val="24"/>
          <w:lang w:eastAsia="en-GB"/>
        </w:rPr>
        <w:t>Planned events (including elective surgery, leave, weddings and similar events;</w:t>
      </w:r>
      <w:bookmarkEnd w:id="1638"/>
    </w:p>
    <w:p w14:paraId="3804E51F" w14:textId="77777777" w:rsidR="00867DFB" w:rsidRPr="00A13EB7" w:rsidRDefault="00867DFB" w:rsidP="005A7DDA">
      <w:pPr>
        <w:pStyle w:val="ListParagraph"/>
        <w:widowControl w:val="0"/>
        <w:numPr>
          <w:ilvl w:val="0"/>
          <w:numId w:val="125"/>
        </w:numPr>
        <w:spacing w:line="360" w:lineRule="auto"/>
        <w:jc w:val="both"/>
        <w:outlineLvl w:val="2"/>
        <w:rPr>
          <w:rFonts w:cs="Arial"/>
          <w:bCs w:val="0"/>
          <w:szCs w:val="24"/>
          <w:lang w:eastAsia="en-GB"/>
        </w:rPr>
      </w:pPr>
      <w:bookmarkStart w:id="1639" w:name="_Toc440982695"/>
      <w:r w:rsidRPr="00A13EB7">
        <w:rPr>
          <w:rFonts w:cs="Arial"/>
          <w:bCs w:val="0"/>
          <w:szCs w:val="24"/>
          <w:lang w:eastAsia="en-GB"/>
        </w:rPr>
        <w:t>Long term sickness, maternity/paternity or adoption leave.</w:t>
      </w:r>
      <w:bookmarkEnd w:id="1639"/>
    </w:p>
    <w:p w14:paraId="2ED6B45F" w14:textId="77777777" w:rsidR="00867DFB" w:rsidRPr="009055A7" w:rsidRDefault="00867DFB" w:rsidP="00867DFB">
      <w:pPr>
        <w:widowControl w:val="0"/>
        <w:spacing w:line="360" w:lineRule="auto"/>
        <w:ind w:left="2268"/>
        <w:jc w:val="both"/>
        <w:rPr>
          <w:rFonts w:cs="Arial"/>
          <w:bCs w:val="0"/>
          <w:sz w:val="20"/>
          <w:szCs w:val="20"/>
          <w:lang w:eastAsia="en-GB"/>
        </w:rPr>
      </w:pPr>
    </w:p>
    <w:p w14:paraId="7DD27FBE" w14:textId="77777777" w:rsidR="00867DFB" w:rsidRPr="00CE0885" w:rsidRDefault="00867DFB" w:rsidP="00A13EB7">
      <w:pPr>
        <w:pStyle w:val="Heading2"/>
        <w:rPr>
          <w:rFonts w:eastAsia="MS Mincho"/>
          <w:lang w:eastAsia="en-GB"/>
        </w:rPr>
      </w:pPr>
      <w:bookmarkStart w:id="1640" w:name="_Toc440982696"/>
      <w:bookmarkStart w:id="1641" w:name="_Toc498495481"/>
      <w:r w:rsidRPr="00CE0885">
        <w:rPr>
          <w:rFonts w:eastAsia="MS Mincho"/>
          <w:lang w:eastAsia="en-GB"/>
        </w:rPr>
        <w:t>Contract Compliance</w:t>
      </w:r>
      <w:bookmarkEnd w:id="1640"/>
      <w:bookmarkEnd w:id="1641"/>
      <w:r w:rsidRPr="00CE0885">
        <w:rPr>
          <w:rFonts w:eastAsia="MS Mincho"/>
          <w:lang w:eastAsia="en-GB"/>
        </w:rPr>
        <w:t xml:space="preserve"> </w:t>
      </w:r>
    </w:p>
    <w:p w14:paraId="0F7B970F" w14:textId="77777777" w:rsidR="00867DFB" w:rsidRPr="00CE0885" w:rsidRDefault="00867DFB" w:rsidP="00A13EB7">
      <w:pPr>
        <w:pStyle w:val="Heading3"/>
        <w:rPr>
          <w:rFonts w:eastAsia="MS Mincho"/>
          <w:lang w:eastAsia="en-GB"/>
        </w:rPr>
      </w:pPr>
      <w:bookmarkStart w:id="1642" w:name="_Toc440982697"/>
      <w:r w:rsidRPr="00CE0885">
        <w:rPr>
          <w:rFonts w:eastAsia="MS Mincho"/>
          <w:lang w:eastAsia="en-GB"/>
        </w:rPr>
        <w:t>All contractors will likely be obliged under the terms of their contracts to promptly notify the Commissioner of a force majeure event, detailing the cause or event, what service provision is being delayed or prevented and what action(s) within their power they are taking in order to comply with the terms of the contract as fully and promptly as possible.</w:t>
      </w:r>
      <w:bookmarkEnd w:id="1642"/>
    </w:p>
    <w:p w14:paraId="135ED7D2" w14:textId="77777777" w:rsidR="00867DFB" w:rsidRPr="00CE0885" w:rsidRDefault="00867DFB" w:rsidP="00A13EB7">
      <w:pPr>
        <w:pStyle w:val="Heading3"/>
        <w:rPr>
          <w:rFonts w:eastAsia="MS Mincho"/>
          <w:lang w:eastAsia="en-GB"/>
        </w:rPr>
      </w:pPr>
      <w:bookmarkStart w:id="1643" w:name="_Toc440982698"/>
      <w:r w:rsidRPr="00CE0885">
        <w:rPr>
          <w:rFonts w:eastAsia="MS Mincho"/>
          <w:lang w:eastAsia="en-GB"/>
        </w:rPr>
        <w:t>Failure to notify the Commissioner will mean that the contractor is not absolved from its obligations under the contract.</w:t>
      </w:r>
      <w:bookmarkEnd w:id="1643"/>
      <w:r w:rsidRPr="00CE0885">
        <w:rPr>
          <w:rFonts w:eastAsia="MS Mincho"/>
          <w:lang w:eastAsia="en-GB"/>
        </w:rPr>
        <w:t xml:space="preserve"> </w:t>
      </w:r>
    </w:p>
    <w:p w14:paraId="388A3DB3" w14:textId="77777777" w:rsidR="00867DFB" w:rsidRPr="00CE0885" w:rsidRDefault="00867DFB" w:rsidP="00A13EB7">
      <w:pPr>
        <w:pStyle w:val="Heading3"/>
        <w:rPr>
          <w:rFonts w:eastAsia="MS Mincho"/>
          <w:lang w:eastAsia="en-GB"/>
        </w:rPr>
      </w:pPr>
      <w:bookmarkStart w:id="1644" w:name="_Toc440982699"/>
      <w:r w:rsidRPr="00CE0885">
        <w:rPr>
          <w:rFonts w:eastAsia="MS Mincho"/>
          <w:lang w:eastAsia="en-GB"/>
        </w:rPr>
        <w:t>Neither party will be responsible to the other for any failure to delay in performing its obligations and duties under the contract which is caused by an event of force majeure</w:t>
      </w:r>
      <w:bookmarkEnd w:id="1644"/>
      <w:r w:rsidRPr="00CE0885">
        <w:rPr>
          <w:rFonts w:eastAsia="MS Mincho"/>
          <w:lang w:eastAsia="en-GB"/>
        </w:rPr>
        <w:t xml:space="preserve"> </w:t>
      </w:r>
    </w:p>
    <w:p w14:paraId="2A6DCE86" w14:textId="77777777" w:rsidR="00867DFB" w:rsidRPr="00CE0885" w:rsidRDefault="00867DFB" w:rsidP="00A13EB7">
      <w:pPr>
        <w:pStyle w:val="Heading3"/>
        <w:rPr>
          <w:rFonts w:eastAsia="MS Mincho"/>
          <w:lang w:eastAsia="en-GB"/>
        </w:rPr>
      </w:pPr>
      <w:bookmarkStart w:id="1645" w:name="_Toc440982700"/>
      <w:r w:rsidRPr="00CE0885">
        <w:rPr>
          <w:rFonts w:eastAsia="MS Mincho"/>
          <w:lang w:eastAsia="en-GB"/>
        </w:rPr>
        <w:t>A template notification is provided in Annex 1 which the Commissioner can send to the contractor for completion.</w:t>
      </w:r>
      <w:bookmarkEnd w:id="1645"/>
      <w:r w:rsidRPr="00CE0885">
        <w:rPr>
          <w:rFonts w:eastAsia="MS Mincho"/>
          <w:lang w:eastAsia="en-GB"/>
        </w:rPr>
        <w:t xml:space="preserve"> </w:t>
      </w:r>
    </w:p>
    <w:p w14:paraId="5198C3FE" w14:textId="77777777" w:rsidR="00867DFB" w:rsidRPr="009055A7" w:rsidRDefault="00867DFB" w:rsidP="00867DFB">
      <w:pPr>
        <w:widowControl w:val="0"/>
        <w:spacing w:line="360" w:lineRule="auto"/>
        <w:ind w:left="1414"/>
        <w:jc w:val="both"/>
        <w:rPr>
          <w:rFonts w:eastAsia="MS Mincho" w:cs="Arial"/>
          <w:bCs w:val="0"/>
          <w:sz w:val="20"/>
          <w:szCs w:val="20"/>
          <w:lang w:eastAsia="en-GB"/>
        </w:rPr>
      </w:pPr>
    </w:p>
    <w:p w14:paraId="6CA3D4E4" w14:textId="77777777" w:rsidR="00867DFB" w:rsidRPr="00CE0885" w:rsidRDefault="00867DFB" w:rsidP="00A13EB7">
      <w:pPr>
        <w:pStyle w:val="Heading2"/>
        <w:rPr>
          <w:rFonts w:eastAsia="MS Mincho"/>
          <w:lang w:eastAsia="en-GB"/>
        </w:rPr>
      </w:pPr>
      <w:bookmarkStart w:id="1646" w:name="_Toc440982701"/>
      <w:bookmarkStart w:id="1647" w:name="_Toc498495482"/>
      <w:r w:rsidRPr="00CE0885">
        <w:rPr>
          <w:rFonts w:eastAsia="MS Mincho"/>
          <w:lang w:eastAsia="en-GB"/>
        </w:rPr>
        <w:t>Clinical Governance &amp; Risk Management/Termination</w:t>
      </w:r>
      <w:bookmarkEnd w:id="1646"/>
      <w:bookmarkEnd w:id="1647"/>
    </w:p>
    <w:p w14:paraId="642B2510" w14:textId="77777777" w:rsidR="00867DFB" w:rsidRPr="00CE0885" w:rsidRDefault="00867DFB" w:rsidP="00A13EB7">
      <w:pPr>
        <w:pStyle w:val="Heading3"/>
        <w:rPr>
          <w:rFonts w:eastAsia="MS Mincho"/>
          <w:lang w:eastAsia="en-GB"/>
        </w:rPr>
      </w:pPr>
      <w:bookmarkStart w:id="1648" w:name="_Toc440982702"/>
      <w:r w:rsidRPr="00CE0885">
        <w:rPr>
          <w:rFonts w:eastAsia="MS Mincho"/>
          <w:lang w:eastAsia="en-GB"/>
        </w:rPr>
        <w:t>If the consequence of the contractor's failure to deliver services is significant and poses a risk to patient safety or the efficiency of wider primary care services, the Commissioner may wish to consider recording the incident on the risk register or consider whether it may invoke its termination rights.</w:t>
      </w:r>
      <w:bookmarkEnd w:id="1648"/>
    </w:p>
    <w:p w14:paraId="6639C8ED" w14:textId="77777777" w:rsidR="00867DFB" w:rsidRPr="00CE0885" w:rsidRDefault="00867DFB" w:rsidP="00A13EB7">
      <w:pPr>
        <w:pStyle w:val="Heading3"/>
        <w:rPr>
          <w:rFonts w:eastAsia="MS Mincho"/>
          <w:lang w:eastAsia="en-GB"/>
        </w:rPr>
      </w:pPr>
      <w:bookmarkStart w:id="1649" w:name="_Toc440982703"/>
      <w:r w:rsidRPr="00CE0885">
        <w:rPr>
          <w:rFonts w:eastAsia="MS Mincho"/>
          <w:lang w:eastAsia="en-GB"/>
        </w:rPr>
        <w:t>If the service provision is delayed or prevented for a continuous period of three months then either party will likely be able to terminate the agreement by notice in writing within a period which is reasonable (and no less than 28 days). This termination will not take effect where the service is resumed within the period of notice or if the contractor consents to this.</w:t>
      </w:r>
      <w:bookmarkEnd w:id="1649"/>
    </w:p>
    <w:p w14:paraId="51DE1E70" w14:textId="77777777" w:rsidR="00867DFB" w:rsidRPr="009055A7" w:rsidRDefault="00867DFB" w:rsidP="00867DFB">
      <w:pPr>
        <w:widowControl w:val="0"/>
        <w:spacing w:line="360" w:lineRule="auto"/>
        <w:ind w:left="1414"/>
        <w:jc w:val="both"/>
        <w:rPr>
          <w:rFonts w:eastAsia="MS Mincho" w:cs="Arial"/>
          <w:bCs w:val="0"/>
          <w:sz w:val="20"/>
          <w:szCs w:val="20"/>
          <w:lang w:eastAsia="en-GB"/>
        </w:rPr>
      </w:pPr>
    </w:p>
    <w:p w14:paraId="51428F92" w14:textId="77777777" w:rsidR="00867DFB" w:rsidRPr="00CE0885" w:rsidRDefault="00867DFB" w:rsidP="00A13EB7">
      <w:pPr>
        <w:pStyle w:val="Heading2"/>
        <w:rPr>
          <w:lang w:eastAsia="en-GB"/>
        </w:rPr>
      </w:pPr>
      <w:bookmarkStart w:id="1650" w:name="_Toc440982704"/>
      <w:bookmarkStart w:id="1651" w:name="_Toc498495483"/>
      <w:r w:rsidRPr="00CE0885">
        <w:rPr>
          <w:lang w:eastAsia="en-GB"/>
        </w:rPr>
        <w:t>Appeals</w:t>
      </w:r>
      <w:bookmarkEnd w:id="1650"/>
      <w:bookmarkEnd w:id="1651"/>
    </w:p>
    <w:p w14:paraId="018AA890" w14:textId="526A4614" w:rsidR="00867DFB" w:rsidRPr="00CE0885" w:rsidRDefault="00867DFB" w:rsidP="00A13EB7">
      <w:pPr>
        <w:pStyle w:val="Heading3"/>
        <w:rPr>
          <w:lang w:eastAsia="en-GB"/>
        </w:rPr>
      </w:pPr>
      <w:bookmarkStart w:id="1652" w:name="_Toc440982705"/>
      <w:r w:rsidRPr="00CE0885">
        <w:rPr>
          <w:lang w:eastAsia="en-GB"/>
        </w:rPr>
        <w:t xml:space="preserve">The parties should refer to </w:t>
      </w:r>
      <w:r w:rsidR="00965C81">
        <w:rPr>
          <w:lang w:eastAsia="en-GB"/>
        </w:rPr>
        <w:t>the chapter on</w:t>
      </w:r>
      <w:r w:rsidRPr="00CE0885">
        <w:rPr>
          <w:lang w:eastAsia="en-GB"/>
        </w:rPr>
        <w:t xml:space="preserve"> managing disputes for the process in relation to dispute.</w:t>
      </w:r>
      <w:bookmarkEnd w:id="1652"/>
    </w:p>
    <w:p w14:paraId="3F714B98" w14:textId="77777777" w:rsidR="00867DFB" w:rsidRPr="009055A7" w:rsidRDefault="00867DFB" w:rsidP="00867DFB">
      <w:pPr>
        <w:widowControl w:val="0"/>
        <w:spacing w:line="360" w:lineRule="auto"/>
        <w:ind w:left="1414"/>
        <w:jc w:val="both"/>
        <w:rPr>
          <w:rFonts w:cs="Arial"/>
          <w:bCs w:val="0"/>
          <w:sz w:val="20"/>
          <w:szCs w:val="20"/>
          <w:lang w:eastAsia="en-GB"/>
        </w:rPr>
      </w:pPr>
    </w:p>
    <w:p w14:paraId="786DD14C" w14:textId="77777777" w:rsidR="00867DFB" w:rsidRPr="00CE0885" w:rsidRDefault="00867DFB" w:rsidP="00A13EB7">
      <w:pPr>
        <w:pStyle w:val="Heading2"/>
        <w:rPr>
          <w:lang w:eastAsia="en-GB"/>
        </w:rPr>
      </w:pPr>
      <w:bookmarkStart w:id="1653" w:name="_Toc440982706"/>
      <w:bookmarkStart w:id="1654" w:name="_Toc498495484"/>
      <w:r w:rsidRPr="00CE0885">
        <w:rPr>
          <w:lang w:eastAsia="en-GB"/>
        </w:rPr>
        <w:t>Payment and Contract System</w:t>
      </w:r>
      <w:bookmarkEnd w:id="1653"/>
      <w:bookmarkEnd w:id="1654"/>
      <w:r w:rsidRPr="00CE0885">
        <w:rPr>
          <w:lang w:eastAsia="en-GB"/>
        </w:rPr>
        <w:t xml:space="preserve"> </w:t>
      </w:r>
    </w:p>
    <w:p w14:paraId="28033610" w14:textId="77777777" w:rsidR="00867DFB" w:rsidRPr="00CE0885" w:rsidRDefault="00867DFB" w:rsidP="00A13EB7">
      <w:pPr>
        <w:pStyle w:val="Heading3"/>
        <w:rPr>
          <w:lang w:eastAsia="en-GB"/>
        </w:rPr>
      </w:pPr>
      <w:bookmarkStart w:id="1655" w:name="_Toc440982707"/>
      <w:bookmarkStart w:id="1656" w:name="_Toc352666700"/>
      <w:r w:rsidRPr="00CE0885">
        <w:rPr>
          <w:lang w:eastAsia="en-GB"/>
        </w:rPr>
        <w:t>The parties should discuss the effect of force majeure on payments by the Commissioner to the contractor. The Commissioner should use its reasonable discretion in determining payments with regard to the need for the contractor to continue to provide services once it is no longer affected by the force majeure event provided the contract has not been terminated.</w:t>
      </w:r>
      <w:bookmarkEnd w:id="1655"/>
      <w:r w:rsidRPr="00CE0885">
        <w:rPr>
          <w:lang w:eastAsia="en-GB"/>
        </w:rPr>
        <w:t xml:space="preserve"> </w:t>
      </w:r>
    </w:p>
    <w:bookmarkEnd w:id="1656"/>
    <w:p w14:paraId="1E3DDB8E" w14:textId="77777777" w:rsidR="00867DFB" w:rsidRPr="00CE0885" w:rsidRDefault="00867DFB" w:rsidP="00867DFB">
      <w:pPr>
        <w:widowControl w:val="0"/>
        <w:autoSpaceDE w:val="0"/>
        <w:autoSpaceDN w:val="0"/>
        <w:adjustRightInd w:val="0"/>
        <w:spacing w:line="360" w:lineRule="auto"/>
        <w:ind w:right="-23"/>
        <w:rPr>
          <w:rFonts w:cs="Arial"/>
          <w:b/>
          <w:bCs w:val="0"/>
          <w:szCs w:val="24"/>
          <w:lang w:eastAsia="en-GB"/>
        </w:rPr>
      </w:pPr>
      <w:r w:rsidRPr="00CE0885">
        <w:rPr>
          <w:rFonts w:cs="Arial"/>
          <w:bCs w:val="0"/>
          <w:i/>
          <w:szCs w:val="24"/>
          <w:lang w:eastAsia="en-GB"/>
        </w:rPr>
        <w:br w:type="page"/>
      </w:r>
      <w:r w:rsidRPr="00CE0885">
        <w:rPr>
          <w:rFonts w:cs="Arial"/>
          <w:b/>
          <w:bCs w:val="0"/>
          <w:szCs w:val="24"/>
          <w:lang w:eastAsia="en-GB"/>
        </w:rPr>
        <w:t>Annex 1 Contractor's Preliminary Notice of Force Majeure Event</w:t>
      </w:r>
    </w:p>
    <w:bookmarkStart w:id="1657" w:name="_1557310166"/>
    <w:bookmarkEnd w:id="1657"/>
    <w:p w14:paraId="461CA4F6" w14:textId="5F1F77AA" w:rsidR="00867DFB" w:rsidRPr="00D14DC6" w:rsidRDefault="002306F3" w:rsidP="00D14DC6">
      <w:pPr>
        <w:pStyle w:val="ListParagraph"/>
        <w:widowControl w:val="0"/>
        <w:numPr>
          <w:ilvl w:val="0"/>
          <w:numId w:val="159"/>
        </w:numPr>
        <w:spacing w:line="360" w:lineRule="auto"/>
        <w:rPr>
          <w:rFonts w:cs="Arial"/>
          <w:bCs w:val="0"/>
          <w:szCs w:val="24"/>
        </w:rPr>
      </w:pPr>
      <w:r>
        <w:fldChar w:fldCharType="begin"/>
      </w:r>
      <w:r>
        <w:instrText xml:space="preserve"> HYPERLINK "https://www.england.nhs.uk/publication/primary-medical-care-policy-and-guidance-manual-payment-and-contract-system-annexes/" </w:instrText>
      </w:r>
      <w:r>
        <w:fldChar w:fldCharType="separate"/>
      </w:r>
      <w:r w:rsidR="00D14DC6">
        <w:rPr>
          <w:rStyle w:val="Hyperlink"/>
          <w:rFonts w:cs="Arial"/>
          <w:bCs w:val="0"/>
          <w:szCs w:val="24"/>
          <w:lang w:eastAsia="en-GB"/>
        </w:rPr>
        <w:t>Contractor’s Preliminary Notice of Force Majeure Event</w:t>
      </w:r>
      <w:r>
        <w:rPr>
          <w:rStyle w:val="Hyperlink"/>
          <w:rFonts w:cs="Arial"/>
          <w:bCs w:val="0"/>
          <w:szCs w:val="24"/>
          <w:lang w:eastAsia="en-GB"/>
        </w:rPr>
        <w:fldChar w:fldCharType="end"/>
      </w:r>
      <w:r w:rsidR="00960602" w:rsidRPr="00D14DC6">
        <w:rPr>
          <w:rFonts w:cs="Arial"/>
          <w:bCs w:val="0"/>
          <w:szCs w:val="24"/>
          <w:lang w:eastAsia="en-GB"/>
        </w:rPr>
        <w:br/>
      </w:r>
    </w:p>
    <w:p w14:paraId="53F14B0E" w14:textId="77777777" w:rsidR="00867DFB" w:rsidRPr="00CE0885" w:rsidRDefault="00867DFB" w:rsidP="00867DFB">
      <w:pPr>
        <w:widowControl w:val="0"/>
        <w:autoSpaceDE w:val="0"/>
        <w:autoSpaceDN w:val="0"/>
        <w:adjustRightInd w:val="0"/>
        <w:spacing w:line="360" w:lineRule="auto"/>
        <w:ind w:right="-23"/>
        <w:rPr>
          <w:rFonts w:cs="Arial"/>
          <w:b/>
          <w:bCs w:val="0"/>
          <w:szCs w:val="24"/>
          <w:lang w:eastAsia="en-GB"/>
        </w:rPr>
      </w:pPr>
      <w:r w:rsidRPr="00CE0885">
        <w:rPr>
          <w:rFonts w:cs="Arial"/>
          <w:b/>
          <w:bCs w:val="0"/>
          <w:szCs w:val="24"/>
          <w:lang w:eastAsia="en-GB"/>
        </w:rPr>
        <w:t>Annex 2 Acknowledgement of Contractor Notification</w:t>
      </w:r>
    </w:p>
    <w:bookmarkStart w:id="1658" w:name="_1557310206"/>
    <w:bookmarkEnd w:id="1658"/>
    <w:p w14:paraId="5D98CBD3" w14:textId="00488271" w:rsidR="00D14DC6" w:rsidRPr="00960602" w:rsidRDefault="002306F3" w:rsidP="002306F3">
      <w:pPr>
        <w:pStyle w:val="ListParagraph"/>
        <w:widowControl w:val="0"/>
        <w:numPr>
          <w:ilvl w:val="0"/>
          <w:numId w:val="158"/>
        </w:numPr>
        <w:spacing w:line="360" w:lineRule="auto"/>
        <w:jc w:val="both"/>
        <w:rPr>
          <w:rFonts w:cs="Arial"/>
          <w:bCs w:val="0"/>
          <w:szCs w:val="24"/>
        </w:rPr>
      </w:pPr>
      <w:r>
        <w:fldChar w:fldCharType="begin"/>
      </w:r>
      <w:r>
        <w:instrText xml:space="preserve"> HYPERLINK "https://www.england.nhs.uk/publication/primary-medical-care-policy-and-guidance-manual-payment-and-contract-system-annexes/" </w:instrText>
      </w:r>
      <w:r>
        <w:fldChar w:fldCharType="separate"/>
      </w:r>
      <w:r w:rsidR="00D14DC6">
        <w:rPr>
          <w:rStyle w:val="Hyperlink"/>
          <w:rFonts w:cs="Arial"/>
          <w:bCs w:val="0"/>
          <w:szCs w:val="24"/>
          <w:lang w:eastAsia="en-GB"/>
        </w:rPr>
        <w:t>Acknowledgement of Contractor Notifcation</w:t>
      </w:r>
      <w:r>
        <w:rPr>
          <w:rStyle w:val="Hyperlink"/>
          <w:rFonts w:cs="Arial"/>
          <w:bCs w:val="0"/>
          <w:szCs w:val="24"/>
          <w:lang w:eastAsia="en-GB"/>
        </w:rPr>
        <w:fldChar w:fldCharType="end"/>
      </w:r>
    </w:p>
    <w:p w14:paraId="2BCCE6B5" w14:textId="77777777" w:rsidR="00867DFB" w:rsidRPr="00CE0885" w:rsidRDefault="00867DFB" w:rsidP="00867DFB">
      <w:pPr>
        <w:spacing w:line="360" w:lineRule="auto"/>
        <w:rPr>
          <w:rFonts w:cs="Arial"/>
          <w:b/>
          <w:bCs w:val="0"/>
          <w:szCs w:val="24"/>
          <w:lang w:eastAsia="en-GB"/>
        </w:rPr>
      </w:pPr>
    </w:p>
    <w:p w14:paraId="19DDBF8C" w14:textId="77777777" w:rsidR="000C4B40" w:rsidRDefault="0015247B" w:rsidP="00B5759F">
      <w:pPr>
        <w:pStyle w:val="Title"/>
        <w:rPr>
          <w:sz w:val="48"/>
          <w:szCs w:val="48"/>
          <w:lang w:eastAsia="en-GB"/>
        </w:rPr>
      </w:pPr>
      <w:r>
        <w:rPr>
          <w:sz w:val="48"/>
          <w:szCs w:val="48"/>
          <w:lang w:eastAsia="en-GB"/>
        </w:rPr>
        <w:br w:type="page"/>
      </w:r>
    </w:p>
    <w:p w14:paraId="7F8F3C26" w14:textId="77777777" w:rsidR="000C4B40" w:rsidRDefault="000C4B40" w:rsidP="00B5759F">
      <w:pPr>
        <w:pStyle w:val="Title"/>
        <w:rPr>
          <w:sz w:val="48"/>
          <w:szCs w:val="48"/>
          <w:lang w:eastAsia="en-GB"/>
        </w:rPr>
      </w:pPr>
    </w:p>
    <w:p w14:paraId="35036F9F" w14:textId="77777777" w:rsidR="000C4B40" w:rsidRDefault="000C4B40" w:rsidP="00B5759F">
      <w:pPr>
        <w:pStyle w:val="Title"/>
        <w:rPr>
          <w:sz w:val="48"/>
          <w:szCs w:val="48"/>
          <w:lang w:eastAsia="en-GB"/>
        </w:rPr>
      </w:pPr>
    </w:p>
    <w:p w14:paraId="5FDDFD4D" w14:textId="77777777" w:rsidR="000C4B40" w:rsidRDefault="000C4B40" w:rsidP="00B5759F">
      <w:pPr>
        <w:pStyle w:val="Title"/>
        <w:rPr>
          <w:sz w:val="48"/>
          <w:szCs w:val="48"/>
          <w:lang w:eastAsia="en-GB"/>
        </w:rPr>
      </w:pPr>
    </w:p>
    <w:p w14:paraId="624B6B4E" w14:textId="77777777" w:rsidR="000C4B40" w:rsidRDefault="000C4B40" w:rsidP="00B5759F">
      <w:pPr>
        <w:pStyle w:val="Title"/>
        <w:rPr>
          <w:sz w:val="48"/>
          <w:szCs w:val="48"/>
          <w:lang w:eastAsia="en-GB"/>
        </w:rPr>
      </w:pPr>
    </w:p>
    <w:p w14:paraId="0260849A" w14:textId="77777777" w:rsidR="000C4B40" w:rsidRDefault="000C4B40" w:rsidP="00B5759F">
      <w:pPr>
        <w:pStyle w:val="Title"/>
        <w:rPr>
          <w:sz w:val="48"/>
          <w:szCs w:val="48"/>
          <w:lang w:eastAsia="en-GB"/>
        </w:rPr>
      </w:pPr>
    </w:p>
    <w:p w14:paraId="4BCBC5B0" w14:textId="77777777" w:rsidR="000C4B40" w:rsidRDefault="000C4B40" w:rsidP="00B5759F">
      <w:pPr>
        <w:pStyle w:val="Title"/>
        <w:rPr>
          <w:sz w:val="48"/>
          <w:szCs w:val="48"/>
          <w:lang w:eastAsia="en-GB"/>
        </w:rPr>
      </w:pPr>
    </w:p>
    <w:p w14:paraId="636BBE30" w14:textId="77777777" w:rsidR="000C4B40" w:rsidRDefault="000C4B40" w:rsidP="00B5759F">
      <w:pPr>
        <w:pStyle w:val="Title"/>
        <w:rPr>
          <w:sz w:val="48"/>
          <w:szCs w:val="48"/>
          <w:lang w:eastAsia="en-GB"/>
        </w:rPr>
      </w:pPr>
    </w:p>
    <w:p w14:paraId="376C32B2" w14:textId="77777777" w:rsidR="000C4B40" w:rsidRDefault="000C4B40" w:rsidP="00B5759F">
      <w:pPr>
        <w:pStyle w:val="Title"/>
        <w:rPr>
          <w:sz w:val="48"/>
          <w:szCs w:val="48"/>
          <w:lang w:eastAsia="en-GB"/>
        </w:rPr>
      </w:pPr>
    </w:p>
    <w:p w14:paraId="2FC0F0FB" w14:textId="77777777" w:rsidR="00FB15D1" w:rsidRDefault="00FB15D1" w:rsidP="003331F2">
      <w:pPr>
        <w:pStyle w:val="BodyText"/>
      </w:pPr>
    </w:p>
    <w:p w14:paraId="77A14921" w14:textId="6B0A2736" w:rsidR="00B5759F" w:rsidRPr="00FB15D1" w:rsidRDefault="0015247B" w:rsidP="00FB15D1">
      <w:pPr>
        <w:pStyle w:val="Heading1"/>
        <w:numPr>
          <w:ilvl w:val="0"/>
          <w:numId w:val="0"/>
        </w:numPr>
        <w:ind w:left="432"/>
        <w:rPr>
          <w:sz w:val="96"/>
          <w:szCs w:val="96"/>
          <w:lang w:eastAsia="en-GB"/>
        </w:rPr>
      </w:pPr>
      <w:bookmarkStart w:id="1659" w:name="_Toc498495485"/>
      <w:r w:rsidRPr="00FB15D1">
        <w:rPr>
          <w:sz w:val="96"/>
          <w:szCs w:val="96"/>
          <w:lang w:eastAsia="en-GB"/>
        </w:rPr>
        <w:t>Part D – Genera</w:t>
      </w:r>
      <w:r w:rsidR="00B5759F" w:rsidRPr="00FB15D1">
        <w:rPr>
          <w:sz w:val="96"/>
          <w:szCs w:val="96"/>
          <w:lang w:eastAsia="en-GB"/>
        </w:rPr>
        <w:t>l</w:t>
      </w:r>
      <w:bookmarkEnd w:id="1659"/>
    </w:p>
    <w:p w14:paraId="0447F75A" w14:textId="77777777" w:rsidR="00B5759F" w:rsidRDefault="00B5759F" w:rsidP="00B5759F">
      <w:pPr>
        <w:pStyle w:val="BodyText"/>
      </w:pPr>
    </w:p>
    <w:p w14:paraId="0B5DAB69" w14:textId="081E9F9B" w:rsidR="0015247B" w:rsidRPr="00A13EB7" w:rsidRDefault="000C4B40" w:rsidP="005A7DDA">
      <w:pPr>
        <w:pStyle w:val="Heading1"/>
        <w:numPr>
          <w:ilvl w:val="0"/>
          <w:numId w:val="126"/>
        </w:numPr>
      </w:pPr>
      <w:r>
        <w:br w:type="page"/>
      </w:r>
      <w:bookmarkStart w:id="1660" w:name="_Toc498495486"/>
      <w:r w:rsidR="0015247B" w:rsidRPr="00A13EB7">
        <w:t>GP IT Operating Model:  Data and Cyber Security Arrangements</w:t>
      </w:r>
      <w:bookmarkEnd w:id="1660"/>
    </w:p>
    <w:p w14:paraId="0BD80CFC" w14:textId="77777777" w:rsidR="0015247B" w:rsidRDefault="0015247B" w:rsidP="0015247B">
      <w:pPr>
        <w:rPr>
          <w:lang w:eastAsia="en-GB"/>
        </w:rPr>
      </w:pPr>
    </w:p>
    <w:p w14:paraId="7470131D" w14:textId="15FA7D39" w:rsidR="00CC767C" w:rsidRPr="003E008A" w:rsidRDefault="00CC767C" w:rsidP="00CC767C">
      <w:pPr>
        <w:pStyle w:val="Heading2"/>
        <w:rPr>
          <w:sz w:val="24"/>
        </w:rPr>
      </w:pPr>
      <w:bookmarkStart w:id="1661" w:name="_Toc498495487"/>
      <w:r>
        <w:t>Introduction</w:t>
      </w:r>
      <w:r>
        <w:rPr>
          <w:sz w:val="24"/>
        </w:rPr>
        <w:t>:</w:t>
      </w:r>
      <w:bookmarkEnd w:id="1661"/>
    </w:p>
    <w:p w14:paraId="0A9A38EC" w14:textId="77777777" w:rsidR="00CC767C" w:rsidRDefault="00CC767C" w:rsidP="00CC767C">
      <w:pPr>
        <w:spacing w:before="120" w:after="120" w:line="276" w:lineRule="auto"/>
        <w:rPr>
          <w:rFonts w:eastAsiaTheme="majorEastAsia" w:cs="Arial"/>
          <w:szCs w:val="24"/>
        </w:rPr>
      </w:pPr>
    </w:p>
    <w:p w14:paraId="600BAC92" w14:textId="77777777" w:rsidR="00CC767C" w:rsidRDefault="00CC767C" w:rsidP="00CC767C">
      <w:pPr>
        <w:pStyle w:val="Heading3"/>
      </w:pPr>
      <w:r>
        <w:rPr>
          <w:rFonts w:eastAsiaTheme="majorEastAsia"/>
        </w:rPr>
        <w:t>This chapter provides an overview of GP IT Operating</w:t>
      </w:r>
      <w:r w:rsidRPr="00DE7966">
        <w:rPr>
          <w:rFonts w:eastAsiaTheme="majorEastAsia"/>
        </w:rPr>
        <w:t xml:space="preserve"> </w:t>
      </w:r>
      <w:r>
        <w:rPr>
          <w:rFonts w:eastAsiaTheme="majorEastAsia"/>
        </w:rPr>
        <w:t>Arrangements, as outlined in the GP IT Operating Model</w:t>
      </w:r>
      <w:r w:rsidRPr="00AC5F14">
        <w:t xml:space="preserve">, </w:t>
      </w:r>
      <w:hyperlink r:id="rId115" w:history="1">
        <w:r w:rsidRPr="003B0CCF">
          <w:rPr>
            <w:rStyle w:val="Hyperlink"/>
            <w:rFonts w:cs="Arial"/>
            <w:szCs w:val="24"/>
          </w:rPr>
          <w:t>‘Securing Excellence in GP IT Services’ 2016/18</w:t>
        </w:r>
      </w:hyperlink>
      <w:r w:rsidRPr="00AC5F14">
        <w:t>, published by NHS England</w:t>
      </w:r>
      <w:r>
        <w:t xml:space="preserve">.  Particular reference is made to data and cyber security arrangements, following the publication of the National Data Guardian Review in July 2016 which included key recommendations and proposed ten data security standards.  </w:t>
      </w:r>
    </w:p>
    <w:p w14:paraId="3AE853CD" w14:textId="77777777" w:rsidR="00CC767C" w:rsidRDefault="00CC767C" w:rsidP="00CC767C">
      <w:pPr>
        <w:spacing w:before="120" w:after="120" w:line="276" w:lineRule="auto"/>
        <w:rPr>
          <w:rFonts w:cs="Arial"/>
          <w:szCs w:val="24"/>
        </w:rPr>
      </w:pPr>
    </w:p>
    <w:p w14:paraId="7DE3B57D" w14:textId="77777777" w:rsidR="00CC767C" w:rsidRPr="003E008A" w:rsidRDefault="00CC767C" w:rsidP="00CC767C">
      <w:pPr>
        <w:pStyle w:val="Heading2"/>
      </w:pPr>
      <w:bookmarkStart w:id="1662" w:name="_Toc498495488"/>
      <w:r>
        <w:t>Background:</w:t>
      </w:r>
      <w:bookmarkEnd w:id="1662"/>
    </w:p>
    <w:p w14:paraId="23B66A55" w14:textId="77777777" w:rsidR="00CC767C" w:rsidRPr="003E008A" w:rsidRDefault="00CC767C" w:rsidP="00CC767C">
      <w:pPr>
        <w:spacing w:before="120" w:after="120" w:line="276" w:lineRule="auto"/>
        <w:rPr>
          <w:rFonts w:cs="Arial"/>
          <w:b/>
          <w:szCs w:val="24"/>
        </w:rPr>
      </w:pPr>
    </w:p>
    <w:p w14:paraId="09253FB2" w14:textId="273948FC" w:rsidR="00CC767C" w:rsidRPr="00CC767C" w:rsidRDefault="00CC767C" w:rsidP="00CC767C">
      <w:pPr>
        <w:pStyle w:val="Heading3"/>
        <w:rPr>
          <w:color w:val="000000"/>
        </w:rPr>
      </w:pPr>
      <w:r w:rsidRPr="00AC5F14">
        <w:t xml:space="preserve">NHS England is accountable for the delivery of GP IT services, </w:t>
      </w:r>
      <w:r>
        <w:t>with</w:t>
      </w:r>
      <w:r w:rsidRPr="00AC5F14">
        <w:t xml:space="preserve"> responsibility for</w:t>
      </w:r>
      <w:r w:rsidRPr="003E008A">
        <w:t xml:space="preserve"> the commissioning of GP IT services delegated to CCGs under the NHS Act 2006 (as amended).</w:t>
      </w:r>
    </w:p>
    <w:p w14:paraId="0092400C" w14:textId="5BDDAB64" w:rsidR="00CC767C" w:rsidRPr="00CC767C" w:rsidRDefault="00CC767C" w:rsidP="00CC767C">
      <w:pPr>
        <w:pStyle w:val="Heading3"/>
        <w:rPr>
          <w:color w:val="000000"/>
          <w:sz w:val="23"/>
          <w:szCs w:val="23"/>
        </w:rPr>
      </w:pPr>
      <w:r>
        <w:t xml:space="preserve">The </w:t>
      </w:r>
      <w:hyperlink r:id="rId116" w:history="1">
        <w:r w:rsidRPr="00CC767C">
          <w:rPr>
            <w:rStyle w:val="Hyperlink"/>
            <w:rFonts w:cs="Arial"/>
            <w:szCs w:val="24"/>
          </w:rPr>
          <w:t>GP IT Operating Model</w:t>
        </w:r>
      </w:hyperlink>
      <w:r w:rsidRPr="00AC5F14">
        <w:t xml:space="preserve"> outlines accountabilities and commissioning responsibilities for the provision of high quality GP IT support services.</w:t>
      </w:r>
    </w:p>
    <w:p w14:paraId="4014E0CC" w14:textId="0A0C36EB" w:rsidR="00CC767C" w:rsidRPr="00CC767C" w:rsidRDefault="00CC767C" w:rsidP="00CC767C">
      <w:pPr>
        <w:pStyle w:val="Heading3"/>
        <w:rPr>
          <w:sz w:val="23"/>
          <w:szCs w:val="23"/>
        </w:rPr>
      </w:pPr>
      <w:r w:rsidRPr="00D439DE">
        <w:t xml:space="preserve">CCGs are encouraged to work in partnership with primary care stakeholders to develop local digital strategy and delivery plans, set priorities and local direction for digital support services and technology, that can be used to optimal effect for the benefit of patient care.  </w:t>
      </w:r>
    </w:p>
    <w:p w14:paraId="46C64F98" w14:textId="07494A84" w:rsidR="00CC767C" w:rsidRPr="00CC767C" w:rsidRDefault="00CC767C" w:rsidP="00CC767C">
      <w:pPr>
        <w:pStyle w:val="Heading3"/>
        <w:rPr>
          <w:sz w:val="23"/>
          <w:szCs w:val="23"/>
        </w:rPr>
      </w:pPr>
      <w:r w:rsidRPr="00D439DE">
        <w:t>CCG</w:t>
      </w:r>
      <w:r>
        <w:t xml:space="preserve">s are responsible for </w:t>
      </w:r>
      <w:r w:rsidRPr="00AC5F14">
        <w:t>commission</w:t>
      </w:r>
      <w:r w:rsidRPr="003A4C1E">
        <w:t>ing</w:t>
      </w:r>
      <w:r w:rsidRPr="00AC5F14">
        <w:t xml:space="preserve"> </w:t>
      </w:r>
      <w:r w:rsidRPr="003A4C1E">
        <w:t>‘</w:t>
      </w:r>
      <w:r w:rsidRPr="00AC5F14">
        <w:t>core and mandated</w:t>
      </w:r>
      <w:r w:rsidRPr="003A4C1E">
        <w:t>’</w:t>
      </w:r>
      <w:r w:rsidRPr="00AC5F14">
        <w:t xml:space="preserve"> GP IT services</w:t>
      </w:r>
      <w:r>
        <w:t xml:space="preserve"> for their constituent practices, as outlined within the GP IT Operating Model</w:t>
      </w:r>
      <w:r w:rsidRPr="003A4C1E">
        <w:t>.</w:t>
      </w:r>
      <w:r w:rsidRPr="00AC5F14">
        <w:t xml:space="preserve"> These are fundamental services </w:t>
      </w:r>
      <w:r>
        <w:t xml:space="preserve">that </w:t>
      </w:r>
      <w:r w:rsidRPr="00AC5F14">
        <w:t xml:space="preserve">enable the effective delivery of health and care. </w:t>
      </w:r>
      <w:r>
        <w:t>In addition, d</w:t>
      </w:r>
      <w:r w:rsidRPr="003A4C1E">
        <w:t>iscretionary ‘enhanced’ and ‘transformational’ primary care IT services are to be developed and agreed locally to support local strategic priorities and commissioning strategies to improve service delivery.</w:t>
      </w:r>
    </w:p>
    <w:p w14:paraId="40E864D8" w14:textId="77777777" w:rsidR="00CC767C" w:rsidRDefault="00CC767C" w:rsidP="00CC767C">
      <w:pPr>
        <w:pStyle w:val="Heading3"/>
      </w:pPr>
      <w:r w:rsidRPr="00541763">
        <w:t>The details of t</w:t>
      </w:r>
      <w:r w:rsidRPr="00774A1C">
        <w:t xml:space="preserve">he provision of these services </w:t>
      </w:r>
      <w:r w:rsidRPr="00541763">
        <w:t xml:space="preserve">must be recorded in a CCG Practice Agreement, </w:t>
      </w:r>
      <w:r w:rsidRPr="00774A1C">
        <w:t xml:space="preserve">signed by both the CCG and all </w:t>
      </w:r>
      <w:r>
        <w:t xml:space="preserve">constituent </w:t>
      </w:r>
      <w:r w:rsidRPr="00774A1C">
        <w:t xml:space="preserve">GP practices, as a core contractual </w:t>
      </w:r>
      <w:r w:rsidRPr="00887796">
        <w:t>requirement. This nationally developed agreement sets out the basis on which a CCG will provide the services to practices, and each practice’s responsibilities in respect of the receipt of these services and will include as an appendix, details of local service provision arrangements.</w:t>
      </w:r>
    </w:p>
    <w:p w14:paraId="2E717827" w14:textId="77777777" w:rsidR="00CC767C" w:rsidRDefault="00CC767C" w:rsidP="00CC767C">
      <w:pPr>
        <w:spacing w:before="120" w:after="120" w:line="276" w:lineRule="auto"/>
        <w:rPr>
          <w:rFonts w:cs="Arial"/>
          <w:szCs w:val="24"/>
        </w:rPr>
      </w:pPr>
    </w:p>
    <w:p w14:paraId="521B4729" w14:textId="77777777" w:rsidR="00CC767C" w:rsidRDefault="00CC767C" w:rsidP="00CC767C">
      <w:pPr>
        <w:spacing w:before="120" w:after="120" w:line="276" w:lineRule="auto"/>
        <w:rPr>
          <w:rFonts w:cs="Arial"/>
          <w:szCs w:val="24"/>
        </w:rPr>
      </w:pPr>
    </w:p>
    <w:p w14:paraId="7B85C54F" w14:textId="77777777" w:rsidR="00CC767C" w:rsidRDefault="00CC767C" w:rsidP="00CC767C">
      <w:pPr>
        <w:pStyle w:val="Heading2"/>
      </w:pPr>
      <w:bookmarkStart w:id="1663" w:name="_Toc498495489"/>
      <w:bookmarkStart w:id="1664" w:name="_Toc482027225"/>
      <w:r w:rsidRPr="00285048">
        <w:t>Review of Data Security, Consent and Opt-Outs (National Data Guardian, July 2016)</w:t>
      </w:r>
      <w:r>
        <w:t>:</w:t>
      </w:r>
      <w:bookmarkEnd w:id="1663"/>
    </w:p>
    <w:p w14:paraId="55EF6A99" w14:textId="77777777" w:rsidR="00CC767C" w:rsidRDefault="00CC767C" w:rsidP="00CC767C">
      <w:pPr>
        <w:autoSpaceDE w:val="0"/>
        <w:autoSpaceDN w:val="0"/>
        <w:adjustRightInd w:val="0"/>
        <w:spacing w:before="120" w:after="120" w:line="276" w:lineRule="auto"/>
        <w:rPr>
          <w:rFonts w:cs="Arial"/>
          <w:b/>
          <w:szCs w:val="24"/>
        </w:rPr>
      </w:pPr>
    </w:p>
    <w:bookmarkEnd w:id="1664"/>
    <w:p w14:paraId="18C5702F" w14:textId="3EFEE20A" w:rsidR="00CC767C" w:rsidRDefault="00CC767C" w:rsidP="00CC767C">
      <w:pPr>
        <w:pStyle w:val="Heading3"/>
      </w:pPr>
      <w:r w:rsidRPr="003E008A">
        <w:t xml:space="preserve">In </w:t>
      </w:r>
      <w:r>
        <w:t xml:space="preserve">July </w:t>
      </w:r>
      <w:r w:rsidRPr="003E008A">
        <w:t xml:space="preserve">2016 recommendations and </w:t>
      </w:r>
      <w:r>
        <w:t>ten</w:t>
      </w:r>
      <w:r w:rsidRPr="003E008A">
        <w:t xml:space="preserve"> </w:t>
      </w:r>
      <w:r>
        <w:t xml:space="preserve">proposed </w:t>
      </w:r>
      <w:r w:rsidRPr="003E008A">
        <w:t xml:space="preserve">standards for Data Security were published for consultation in the </w:t>
      </w:r>
      <w:hyperlink r:id="rId117" w:history="1">
        <w:r w:rsidRPr="00CC767C">
          <w:rPr>
            <w:rStyle w:val="Hyperlink"/>
            <w:rFonts w:cs="Arial"/>
            <w:szCs w:val="24"/>
          </w:rPr>
          <w:t>National Data Guardian (NDG) for Health and Care Review of Data Security, Consent and Opt-Outs</w:t>
        </w:r>
      </w:hyperlink>
      <w:r>
        <w:rPr>
          <w:rStyle w:val="CommentReference"/>
        </w:rPr>
        <w:t xml:space="preserve">.  </w:t>
      </w:r>
      <w:r w:rsidRPr="003E008A">
        <w:t>These are aimed at strengthening the safeguards for keeping health and care information secure and ensuring the public can make informed choices about how their data is used.</w:t>
      </w:r>
      <w:r>
        <w:t xml:space="preserve"> </w:t>
      </w:r>
    </w:p>
    <w:p w14:paraId="25E0ACC7" w14:textId="2B40EE4E" w:rsidR="00CC767C" w:rsidRPr="008376F2" w:rsidRDefault="00CC767C" w:rsidP="00CC767C">
      <w:pPr>
        <w:pStyle w:val="Heading3"/>
      </w:pPr>
      <w:r>
        <w:t>A parallel review was also conducted by the Care and Quality Commission on (CQC) “</w:t>
      </w:r>
      <w:hyperlink r:id="rId118" w:history="1">
        <w:r w:rsidRPr="00CC767C">
          <w:rPr>
            <w:rStyle w:val="Hyperlink"/>
            <w:rFonts w:cs="Arial"/>
            <w:szCs w:val="24"/>
          </w:rPr>
          <w:t>Safe Data, Safe Care</w:t>
        </w:r>
      </w:hyperlink>
      <w:r>
        <w:t>” which focused on the availability, integrity and confidentiality of patient data.</w:t>
      </w:r>
    </w:p>
    <w:p w14:paraId="3AF42646" w14:textId="30E0D67E" w:rsidR="00CC767C" w:rsidRPr="00CC767C" w:rsidRDefault="00CC767C" w:rsidP="00CC767C">
      <w:pPr>
        <w:pStyle w:val="Heading3"/>
        <w:rPr>
          <w:rFonts w:ascii="HelveticaNeueLT-Light" w:hAnsi="HelveticaNeueLT-Light" w:cs="HelveticaNeueLT-Light"/>
        </w:rPr>
      </w:pPr>
      <w:r w:rsidRPr="00CC767C">
        <w:rPr>
          <w:rFonts w:ascii="HelveticaNeueLT-Light" w:hAnsi="HelveticaNeueLT-Light" w:cs="HelveticaNeueLT-Light"/>
        </w:rPr>
        <w:t xml:space="preserve">Following national consultation, the plan outlined within </w:t>
      </w:r>
      <w:r w:rsidRPr="008376F2">
        <w:t>‘</w:t>
      </w:r>
      <w:hyperlink r:id="rId119" w:history="1">
        <w:r w:rsidRPr="00CC767C">
          <w:rPr>
            <w:rStyle w:val="Hyperlink"/>
            <w:rFonts w:cs="Arial"/>
            <w:szCs w:val="24"/>
          </w:rPr>
          <w:t>Your Data:  Better Security, Better Choice, Better Care (DH</w:t>
        </w:r>
        <w:r w:rsidRPr="00CC767C">
          <w:rPr>
            <w:rStyle w:val="Hyperlink"/>
            <w:rFonts w:ascii="HelveticaNeueLT-Light" w:hAnsi="HelveticaNeueLT-Light" w:cs="HelveticaNeueLT-Light"/>
            <w:szCs w:val="24"/>
          </w:rPr>
          <w:t xml:space="preserve"> Data Sharing and Cyber Security Team</w:t>
        </w:r>
        <w:r w:rsidRPr="00CC767C">
          <w:rPr>
            <w:rStyle w:val="Hyperlink"/>
            <w:rFonts w:cs="Arial"/>
            <w:szCs w:val="24"/>
          </w:rPr>
          <w:t>, July 2017</w:t>
        </w:r>
      </w:hyperlink>
      <w:r w:rsidRPr="008376F2">
        <w:t>)</w:t>
      </w:r>
      <w:r>
        <w:t xml:space="preserve"> supports the recommendations within the NDG and CQC reviews respectively and centres </w:t>
      </w:r>
      <w:r w:rsidRPr="00CC767C">
        <w:rPr>
          <w:rFonts w:ascii="HelveticaNeueLT-Light" w:hAnsi="HelveticaNeueLT-Light" w:cs="HelveticaNeueLT-Light"/>
        </w:rPr>
        <w:t xml:space="preserve">on ensuring local organisations are implementing the ten data security standards.  These </w:t>
      </w:r>
      <w:r w:rsidRPr="00CC767C">
        <w:rPr>
          <w:rFonts w:ascii="HelveticaNeueLT-Medium" w:hAnsi="HelveticaNeueLT-Medium" w:cs="HelveticaNeueLT-Medium"/>
        </w:rPr>
        <w:t xml:space="preserve">have been further strengthened in some areas, including </w:t>
      </w:r>
      <w:r w:rsidRPr="000E4E5E">
        <w:t>Data Security Standard 6</w:t>
      </w:r>
      <w:r>
        <w:t>,</w:t>
      </w:r>
      <w:r w:rsidRPr="000E4E5E">
        <w:t xml:space="preserve"> which now requires significant cyber-attacks to be reported by health and care organisations to </w:t>
      </w:r>
      <w:r>
        <w:t xml:space="preserve">the Data Security Centre </w:t>
      </w:r>
      <w:r w:rsidRPr="000E4E5E">
        <w:t>as soon as possible following detection.</w:t>
      </w:r>
      <w:r>
        <w:t xml:space="preserve">  </w:t>
      </w:r>
      <w:r w:rsidRPr="00CC767C">
        <w:rPr>
          <w:rFonts w:ascii="HelveticaNeueLT-Light" w:hAnsi="HelveticaNeueLT-Light" w:cs="HelveticaNeueLT-Light"/>
        </w:rPr>
        <w:t>These are supported by national support services and backed by clear contractual obligations and by assurance and regulatory action.</w:t>
      </w:r>
    </w:p>
    <w:p w14:paraId="49B50259" w14:textId="065985FB" w:rsidR="00CC767C" w:rsidRPr="00CC767C" w:rsidRDefault="00CC767C" w:rsidP="00CC767C">
      <w:pPr>
        <w:pStyle w:val="Heading3"/>
        <w:rPr>
          <w:rFonts w:ascii="HelveticaNeueLT-Medium" w:hAnsi="HelveticaNeueLT-Medium" w:cs="HelveticaNeueLT-Medium"/>
        </w:rPr>
      </w:pPr>
      <w:r w:rsidRPr="00CC767C">
        <w:rPr>
          <w:rFonts w:ascii="HelveticaNeueLT-Light" w:hAnsi="HelveticaNeueLT-Light" w:cs="HelveticaNeueLT-Light"/>
        </w:rPr>
        <w:t xml:space="preserve">National services and security advice are offered by NHS Digital's Data Security Centre to ensure patient data and information is used safely and securely and to </w:t>
      </w:r>
      <w:r>
        <w:t>enable</w:t>
      </w:r>
      <w:r w:rsidRPr="000E4E5E">
        <w:t xml:space="preserve"> health and care organisations prepare their own resilience to cyber security threats, and to respond effectively and safely when they occur.</w:t>
      </w:r>
    </w:p>
    <w:p w14:paraId="4027DF62" w14:textId="77777777" w:rsidR="00CC767C" w:rsidRDefault="00CC767C" w:rsidP="00CC767C">
      <w:pPr>
        <w:pStyle w:val="Heading3"/>
        <w:rPr>
          <w:rFonts w:ascii="HelveticaNeueLT-Light" w:hAnsi="HelveticaNeueLT-Light" w:cs="HelveticaNeueLT-Light"/>
        </w:rPr>
      </w:pPr>
      <w:r>
        <w:t>As part of the GP c</w:t>
      </w:r>
      <w:r w:rsidRPr="008376F2">
        <w:t xml:space="preserve">ontract for 2017/18 non-contractual changes to joint guidance </w:t>
      </w:r>
      <w:r>
        <w:t>have been</w:t>
      </w:r>
      <w:r w:rsidRPr="008376F2">
        <w:t xml:space="preserve"> agreed which include general practice compliance with the ten new data security standards in the </w:t>
      </w:r>
      <w:r>
        <w:t>NDG</w:t>
      </w:r>
      <w:r w:rsidRPr="008376F2">
        <w:t xml:space="preserve"> Review</w:t>
      </w:r>
      <w:r>
        <w:t>, as outlined below:</w:t>
      </w:r>
      <w:r w:rsidRPr="008376F2">
        <w:t xml:space="preserve">  </w:t>
      </w:r>
    </w:p>
    <w:p w14:paraId="54B17E47" w14:textId="77777777" w:rsidR="00CC767C" w:rsidRPr="00CE1BDF" w:rsidRDefault="00CC767C" w:rsidP="00CC767C">
      <w:pPr>
        <w:autoSpaceDE w:val="0"/>
        <w:autoSpaceDN w:val="0"/>
        <w:adjustRightInd w:val="0"/>
        <w:spacing w:before="120" w:after="120" w:line="276" w:lineRule="auto"/>
        <w:rPr>
          <w:rFonts w:ascii="HelveticaNeueLT-Medium" w:hAnsi="HelveticaNeueLT-Medium" w:cs="HelveticaNeueLT-Medium"/>
          <w:szCs w:val="24"/>
        </w:rPr>
      </w:pPr>
    </w:p>
    <w:p w14:paraId="3846552A" w14:textId="77777777" w:rsidR="00CC767C" w:rsidRPr="00A35172" w:rsidRDefault="00CC767C" w:rsidP="00CC767C">
      <w:pPr>
        <w:pStyle w:val="Heading2"/>
      </w:pPr>
      <w:bookmarkStart w:id="1665" w:name="_Toc498495490"/>
      <w:r w:rsidRPr="00A35172">
        <w:t>Ten Data Security Standards:</w:t>
      </w:r>
      <w:bookmarkEnd w:id="1665"/>
    </w:p>
    <w:p w14:paraId="7D3E1142" w14:textId="77777777" w:rsidR="00CC767C" w:rsidRDefault="00CC767C" w:rsidP="00CC767C">
      <w:pPr>
        <w:autoSpaceDE w:val="0"/>
        <w:autoSpaceDN w:val="0"/>
        <w:adjustRightInd w:val="0"/>
        <w:spacing w:before="120" w:after="120" w:line="276" w:lineRule="auto"/>
        <w:rPr>
          <w:rFonts w:ascii="HelveticaNeueLT-Light" w:hAnsi="HelveticaNeueLT-Light" w:cs="HelveticaNeueLT-Light"/>
          <w:szCs w:val="24"/>
        </w:rPr>
      </w:pPr>
    </w:p>
    <w:tbl>
      <w:tblPr>
        <w:tblW w:w="9781" w:type="dxa"/>
        <w:tblInd w:w="144" w:type="dxa"/>
        <w:tblCellMar>
          <w:left w:w="0" w:type="dxa"/>
          <w:right w:w="0" w:type="dxa"/>
        </w:tblCellMar>
        <w:tblLook w:val="0420" w:firstRow="1" w:lastRow="0" w:firstColumn="0" w:lastColumn="0" w:noHBand="0" w:noVBand="1"/>
      </w:tblPr>
      <w:tblGrid>
        <w:gridCol w:w="9781"/>
      </w:tblGrid>
      <w:tr w:rsidR="00CC767C" w:rsidRPr="001341DA" w14:paraId="5B2F702C" w14:textId="77777777" w:rsidTr="00E962CD">
        <w:trPr>
          <w:trHeight w:val="1326"/>
        </w:trPr>
        <w:tc>
          <w:tcPr>
            <w:tcW w:w="978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51290B7C" w14:textId="77777777" w:rsidR="00CC767C" w:rsidRPr="001341DA" w:rsidRDefault="00CC767C" w:rsidP="00CC767C">
            <w:pPr>
              <w:spacing w:before="120" w:after="120" w:line="276" w:lineRule="auto"/>
              <w:rPr>
                <w:rFonts w:cs="Arial"/>
                <w:b/>
                <w:bCs w:val="0"/>
                <w:color w:val="FFFFFF" w:themeColor="light1"/>
                <w:kern w:val="24"/>
                <w:sz w:val="20"/>
                <w:szCs w:val="20"/>
              </w:rPr>
            </w:pPr>
            <w:r w:rsidRPr="001341DA">
              <w:rPr>
                <w:rFonts w:cs="Arial"/>
                <w:b/>
                <w:color w:val="FFFFFF" w:themeColor="light1"/>
                <w:kern w:val="24"/>
                <w:sz w:val="20"/>
                <w:szCs w:val="20"/>
                <w:lang w:eastAsia="en-GB"/>
              </w:rPr>
              <w:t xml:space="preserve">Category  </w:t>
            </w:r>
            <w:r w:rsidRPr="001341DA">
              <w:rPr>
                <w:rFonts w:cs="Arial"/>
                <w:b/>
                <w:color w:val="FFFFFF" w:themeColor="light1"/>
                <w:kern w:val="24"/>
                <w:sz w:val="20"/>
                <w:szCs w:val="20"/>
              </w:rPr>
              <w:t xml:space="preserve">People: </w:t>
            </w:r>
          </w:p>
          <w:p w14:paraId="2EAA6D4A" w14:textId="77777777" w:rsidR="00CC767C" w:rsidRPr="001341DA" w:rsidRDefault="00CC767C" w:rsidP="00CC767C">
            <w:pPr>
              <w:spacing w:before="120" w:after="120" w:line="276" w:lineRule="auto"/>
              <w:rPr>
                <w:rFonts w:cs="Arial"/>
                <w:i/>
                <w:sz w:val="20"/>
                <w:szCs w:val="20"/>
                <w:lang w:eastAsia="en-GB"/>
              </w:rPr>
            </w:pPr>
            <w:r w:rsidRPr="001341DA">
              <w:rPr>
                <w:rFonts w:cs="Arial"/>
                <w:i/>
                <w:iCs/>
                <w:color w:val="FFFFFF" w:themeColor="light1"/>
                <w:kern w:val="24"/>
                <w:sz w:val="20"/>
                <w:szCs w:val="20"/>
              </w:rPr>
              <w:t>Ensure staff are equipped to handle information respectfully &amp; safely, according to the Caldicott Principles</w:t>
            </w:r>
          </w:p>
        </w:tc>
      </w:tr>
      <w:tr w:rsidR="00CC767C" w:rsidRPr="001341DA" w14:paraId="0C879F13" w14:textId="77777777" w:rsidTr="00E962CD">
        <w:trPr>
          <w:trHeight w:val="1463"/>
        </w:trPr>
        <w:tc>
          <w:tcPr>
            <w:tcW w:w="978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45EF1BFB" w14:textId="77777777" w:rsidR="00CC767C" w:rsidRPr="001341DA" w:rsidRDefault="00CC767C" w:rsidP="00CC767C">
            <w:pPr>
              <w:spacing w:before="120" w:after="120" w:line="276" w:lineRule="auto"/>
              <w:rPr>
                <w:rFonts w:eastAsiaTheme="minorEastAsia" w:cs="Arial"/>
                <w:b/>
                <w:bCs w:val="0"/>
                <w:color w:val="0070C0"/>
                <w:kern w:val="24"/>
                <w:sz w:val="20"/>
                <w:szCs w:val="20"/>
                <w:lang w:eastAsia="en-GB"/>
              </w:rPr>
            </w:pPr>
            <w:r w:rsidRPr="001341DA">
              <w:rPr>
                <w:rFonts w:eastAsiaTheme="minorEastAsia" w:cs="Arial"/>
                <w:b/>
                <w:color w:val="0070C0"/>
                <w:kern w:val="24"/>
                <w:sz w:val="20"/>
                <w:szCs w:val="20"/>
                <w:lang w:eastAsia="en-GB"/>
              </w:rPr>
              <w:t xml:space="preserve">Data Security Standard 1 </w:t>
            </w:r>
          </w:p>
          <w:p w14:paraId="0111376A" w14:textId="77777777" w:rsidR="00CC767C" w:rsidRPr="001341DA" w:rsidRDefault="00CC767C" w:rsidP="00CC767C">
            <w:pPr>
              <w:spacing w:before="120" w:after="120" w:line="276" w:lineRule="auto"/>
              <w:rPr>
                <w:rFonts w:cs="Arial"/>
                <w:sz w:val="20"/>
                <w:szCs w:val="20"/>
                <w:lang w:eastAsia="en-GB"/>
              </w:rPr>
            </w:pPr>
            <w:r w:rsidRPr="001341DA">
              <w:rPr>
                <w:rFonts w:eastAsia="Calibri" w:cs="Arial"/>
                <w:color w:val="000000" w:themeColor="text1"/>
                <w:kern w:val="24"/>
                <w:sz w:val="20"/>
                <w:szCs w:val="20"/>
                <w:lang w:eastAsia="en-GB"/>
              </w:rPr>
              <w:t>All staff ensure that personal confidential data is handled, stored and transmitted securely, whether in electronic or paper form. Personal confidential data is shared for only lawful and appropriate purposes.</w:t>
            </w:r>
          </w:p>
        </w:tc>
      </w:tr>
      <w:tr w:rsidR="00CC767C" w:rsidRPr="001341DA" w14:paraId="3B9012D4" w14:textId="77777777" w:rsidTr="00E962CD">
        <w:trPr>
          <w:trHeight w:val="1399"/>
        </w:trPr>
        <w:tc>
          <w:tcPr>
            <w:tcW w:w="978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49EE4CE8" w14:textId="77777777" w:rsidR="00CC767C" w:rsidRPr="001341DA" w:rsidRDefault="00CC767C" w:rsidP="00CC767C">
            <w:pPr>
              <w:spacing w:before="120" w:after="120" w:line="276" w:lineRule="auto"/>
              <w:rPr>
                <w:rFonts w:eastAsiaTheme="minorEastAsia" w:cs="Arial"/>
                <w:b/>
                <w:bCs w:val="0"/>
                <w:color w:val="0070C0"/>
                <w:kern w:val="24"/>
                <w:sz w:val="20"/>
                <w:szCs w:val="20"/>
                <w:lang w:eastAsia="en-GB"/>
              </w:rPr>
            </w:pPr>
            <w:r w:rsidRPr="001341DA">
              <w:rPr>
                <w:rFonts w:eastAsiaTheme="minorEastAsia" w:cs="Arial"/>
                <w:b/>
                <w:color w:val="0070C0"/>
                <w:kern w:val="24"/>
                <w:sz w:val="20"/>
                <w:szCs w:val="20"/>
                <w:lang w:eastAsia="en-GB"/>
              </w:rPr>
              <w:t xml:space="preserve">Data Security Standard 2 </w:t>
            </w:r>
          </w:p>
          <w:p w14:paraId="56093DAE" w14:textId="77777777" w:rsidR="00CC767C" w:rsidRPr="001341DA" w:rsidRDefault="00CC767C" w:rsidP="00CC767C">
            <w:pPr>
              <w:spacing w:before="120" w:after="120" w:line="276" w:lineRule="auto"/>
              <w:rPr>
                <w:rFonts w:cs="Arial"/>
                <w:sz w:val="20"/>
                <w:szCs w:val="20"/>
                <w:lang w:eastAsia="en-GB"/>
              </w:rPr>
            </w:pPr>
            <w:r w:rsidRPr="001341DA">
              <w:rPr>
                <w:rFonts w:eastAsia="Calibri" w:cs="Arial"/>
                <w:color w:val="000000" w:themeColor="text1"/>
                <w:kern w:val="24"/>
                <w:sz w:val="20"/>
                <w:szCs w:val="20"/>
                <w:lang w:eastAsia="en-GB"/>
              </w:rPr>
              <w:t>All staff understand their responsibilities under the National Data Guardian’s data security standards, including their obligation to handle information responsibly and their personal accountability for deliberate or avoidable breaches.</w:t>
            </w:r>
          </w:p>
        </w:tc>
      </w:tr>
      <w:tr w:rsidR="00CC767C" w:rsidRPr="001341DA" w14:paraId="4C1D5922" w14:textId="77777777" w:rsidTr="00E962CD">
        <w:trPr>
          <w:trHeight w:val="1123"/>
        </w:trPr>
        <w:tc>
          <w:tcPr>
            <w:tcW w:w="978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212F27F5" w14:textId="77777777" w:rsidR="00CC767C" w:rsidRPr="001341DA" w:rsidRDefault="00CC767C" w:rsidP="00CC767C">
            <w:pPr>
              <w:spacing w:before="120" w:after="120" w:line="276" w:lineRule="auto"/>
              <w:rPr>
                <w:rFonts w:eastAsiaTheme="minorEastAsia" w:cs="Arial"/>
                <w:b/>
                <w:bCs w:val="0"/>
                <w:color w:val="0070C0"/>
                <w:kern w:val="24"/>
                <w:sz w:val="20"/>
                <w:szCs w:val="20"/>
                <w:lang w:eastAsia="en-GB"/>
              </w:rPr>
            </w:pPr>
            <w:r w:rsidRPr="001341DA">
              <w:rPr>
                <w:rFonts w:eastAsiaTheme="minorEastAsia" w:cs="Arial"/>
                <w:b/>
                <w:color w:val="0070C0"/>
                <w:kern w:val="24"/>
                <w:sz w:val="20"/>
                <w:szCs w:val="20"/>
                <w:lang w:eastAsia="en-GB"/>
              </w:rPr>
              <w:t>Data Security Standard 3</w:t>
            </w:r>
          </w:p>
          <w:p w14:paraId="291CACC9" w14:textId="77777777" w:rsidR="00CC767C" w:rsidRPr="001341DA" w:rsidRDefault="00CC767C" w:rsidP="00CC767C">
            <w:pPr>
              <w:spacing w:before="120" w:after="120" w:line="276" w:lineRule="auto"/>
              <w:rPr>
                <w:rFonts w:eastAsia="Calibri" w:cs="Arial"/>
                <w:color w:val="000000" w:themeColor="text1"/>
                <w:kern w:val="24"/>
                <w:sz w:val="20"/>
                <w:szCs w:val="20"/>
                <w:lang w:eastAsia="en-GB"/>
              </w:rPr>
            </w:pPr>
            <w:r w:rsidRPr="001341DA">
              <w:rPr>
                <w:rFonts w:eastAsia="Calibri" w:cs="Arial"/>
                <w:color w:val="000000" w:themeColor="text1"/>
                <w:kern w:val="24"/>
                <w:sz w:val="20"/>
                <w:szCs w:val="20"/>
                <w:lang w:eastAsia="en-GB"/>
              </w:rPr>
              <w:t>All staff complete appropriate annual data security training and pass a mandatory test, provided through the redesigned Information Governance Toolkit.</w:t>
            </w:r>
          </w:p>
        </w:tc>
      </w:tr>
      <w:tr w:rsidR="00CC767C" w:rsidRPr="001341DA" w14:paraId="331478E0" w14:textId="77777777" w:rsidTr="00E962CD">
        <w:trPr>
          <w:trHeight w:val="454"/>
        </w:trPr>
        <w:tc>
          <w:tcPr>
            <w:tcW w:w="978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1CF15D72" w14:textId="77777777" w:rsidR="00CC767C" w:rsidRPr="001341DA" w:rsidRDefault="00CC767C" w:rsidP="00CC767C">
            <w:pPr>
              <w:spacing w:before="120" w:after="120" w:line="276" w:lineRule="auto"/>
              <w:rPr>
                <w:rFonts w:cs="Arial"/>
                <w:b/>
                <w:bCs w:val="0"/>
                <w:color w:val="FFFFFF" w:themeColor="light1"/>
                <w:kern w:val="24"/>
                <w:sz w:val="20"/>
                <w:szCs w:val="20"/>
                <w:lang w:eastAsia="en-GB"/>
              </w:rPr>
            </w:pPr>
            <w:r w:rsidRPr="001341DA">
              <w:rPr>
                <w:rFonts w:cs="Arial"/>
                <w:b/>
                <w:color w:val="FFFFFF" w:themeColor="light1"/>
                <w:kern w:val="24"/>
                <w:sz w:val="20"/>
                <w:szCs w:val="20"/>
                <w:lang w:eastAsia="en-GB"/>
              </w:rPr>
              <w:t xml:space="preserve">Category:  Process: </w:t>
            </w:r>
          </w:p>
          <w:p w14:paraId="729AAE0F" w14:textId="77777777" w:rsidR="00CC767C" w:rsidRPr="001341DA" w:rsidRDefault="00CC767C" w:rsidP="00CC767C">
            <w:pPr>
              <w:spacing w:before="120" w:after="120" w:line="276" w:lineRule="auto"/>
              <w:rPr>
                <w:rFonts w:cs="Arial"/>
                <w:b/>
                <w:sz w:val="20"/>
                <w:szCs w:val="20"/>
                <w:lang w:eastAsia="en-GB"/>
              </w:rPr>
            </w:pPr>
            <w:r w:rsidRPr="001341DA">
              <w:rPr>
                <w:rFonts w:cs="Arial"/>
                <w:i/>
                <w:iCs/>
                <w:color w:val="FFFFFF" w:themeColor="light1"/>
                <w:kern w:val="24"/>
                <w:sz w:val="20"/>
                <w:szCs w:val="20"/>
              </w:rPr>
              <w:t>Ensure the organisation proactively prevents data security breaches and responds appropriately to incidents or near misses.</w:t>
            </w:r>
          </w:p>
        </w:tc>
      </w:tr>
      <w:tr w:rsidR="00CC767C" w:rsidRPr="001341DA" w14:paraId="08814C5E" w14:textId="77777777" w:rsidTr="00E962CD">
        <w:trPr>
          <w:trHeight w:val="1350"/>
        </w:trPr>
        <w:tc>
          <w:tcPr>
            <w:tcW w:w="978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36DF3EE" w14:textId="77777777" w:rsidR="00CC767C" w:rsidRPr="001341DA" w:rsidRDefault="00CC767C" w:rsidP="00CC767C">
            <w:pPr>
              <w:spacing w:before="120" w:after="120" w:line="276" w:lineRule="auto"/>
              <w:rPr>
                <w:rFonts w:eastAsiaTheme="minorEastAsia" w:cs="Arial"/>
                <w:b/>
                <w:bCs w:val="0"/>
                <w:color w:val="0070C0"/>
                <w:kern w:val="24"/>
                <w:sz w:val="20"/>
                <w:szCs w:val="20"/>
                <w:lang w:eastAsia="en-GB"/>
              </w:rPr>
            </w:pPr>
            <w:r w:rsidRPr="001341DA">
              <w:rPr>
                <w:rFonts w:eastAsiaTheme="minorEastAsia" w:cs="Arial"/>
                <w:b/>
                <w:color w:val="0070C0"/>
                <w:kern w:val="24"/>
                <w:sz w:val="20"/>
                <w:szCs w:val="20"/>
                <w:lang w:eastAsia="en-GB"/>
              </w:rPr>
              <w:t xml:space="preserve">Data Security Standard 4 </w:t>
            </w:r>
          </w:p>
          <w:p w14:paraId="1C33C10A" w14:textId="77777777" w:rsidR="00CC767C" w:rsidRPr="001341DA" w:rsidRDefault="00CC767C" w:rsidP="00CC767C">
            <w:pPr>
              <w:spacing w:before="120" w:after="120" w:line="276" w:lineRule="auto"/>
              <w:rPr>
                <w:rFonts w:cs="Arial"/>
                <w:sz w:val="20"/>
                <w:szCs w:val="20"/>
                <w:lang w:eastAsia="en-GB"/>
              </w:rPr>
            </w:pPr>
            <w:r w:rsidRPr="001341DA">
              <w:rPr>
                <w:rFonts w:eastAsia="Calibri" w:cs="Arial"/>
                <w:color w:val="000000" w:themeColor="text1"/>
                <w:kern w:val="24"/>
                <w:sz w:val="20"/>
                <w:szCs w:val="20"/>
                <w:lang w:eastAsia="en-GB"/>
              </w:rPr>
              <w:t>Personal confidential data is only accessible to staff who need it for their current role and access is removed as soon as it is no longer required. All instances of access to personal confidential data on IT systems can be attributed to individuals.</w:t>
            </w:r>
          </w:p>
        </w:tc>
      </w:tr>
      <w:tr w:rsidR="00CC767C" w:rsidRPr="001341DA" w14:paraId="39760202" w14:textId="77777777" w:rsidTr="00E962CD">
        <w:trPr>
          <w:trHeight w:val="1303"/>
        </w:trPr>
        <w:tc>
          <w:tcPr>
            <w:tcW w:w="978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35B5A4F" w14:textId="77777777" w:rsidR="00CC767C" w:rsidRPr="001341DA" w:rsidRDefault="00CC767C" w:rsidP="00CC767C">
            <w:pPr>
              <w:spacing w:before="120" w:after="120" w:line="276" w:lineRule="auto"/>
              <w:rPr>
                <w:rFonts w:eastAsiaTheme="minorEastAsia" w:cs="Arial"/>
                <w:b/>
                <w:bCs w:val="0"/>
                <w:color w:val="0070C0"/>
                <w:kern w:val="24"/>
                <w:sz w:val="20"/>
                <w:szCs w:val="20"/>
                <w:lang w:eastAsia="en-GB"/>
              </w:rPr>
            </w:pPr>
            <w:r w:rsidRPr="001341DA">
              <w:rPr>
                <w:rFonts w:eastAsiaTheme="minorEastAsia" w:cs="Arial"/>
                <w:b/>
                <w:color w:val="0070C0"/>
                <w:kern w:val="24"/>
                <w:sz w:val="20"/>
                <w:szCs w:val="20"/>
                <w:lang w:eastAsia="en-GB"/>
              </w:rPr>
              <w:t xml:space="preserve">Data Security Standard 5 </w:t>
            </w:r>
          </w:p>
          <w:p w14:paraId="42A47053" w14:textId="77777777" w:rsidR="00CC767C" w:rsidRPr="001341DA" w:rsidRDefault="00CC767C" w:rsidP="00CC767C">
            <w:pPr>
              <w:spacing w:before="120" w:after="120" w:line="276" w:lineRule="auto"/>
              <w:rPr>
                <w:rFonts w:cs="Arial"/>
                <w:sz w:val="20"/>
                <w:szCs w:val="20"/>
                <w:lang w:eastAsia="en-GB"/>
              </w:rPr>
            </w:pPr>
            <w:r w:rsidRPr="001341DA">
              <w:rPr>
                <w:rFonts w:eastAsia="Calibri" w:cs="Arial"/>
                <w:color w:val="000000" w:themeColor="text1"/>
                <w:kern w:val="24"/>
                <w:sz w:val="20"/>
                <w:szCs w:val="20"/>
                <w:lang w:eastAsia="en-GB"/>
              </w:rPr>
              <w:t>Processes are reviewed at least annually to identify and improve any which have caused breaches or near misses, or which force staff to use workarounds which compromise data security.</w:t>
            </w:r>
          </w:p>
        </w:tc>
      </w:tr>
      <w:tr w:rsidR="00CC767C" w:rsidRPr="001341DA" w14:paraId="76091341" w14:textId="77777777" w:rsidTr="00E962CD">
        <w:trPr>
          <w:trHeight w:val="1675"/>
        </w:trPr>
        <w:tc>
          <w:tcPr>
            <w:tcW w:w="978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7F37E91B" w14:textId="77777777" w:rsidR="00CC767C" w:rsidRPr="001341DA" w:rsidRDefault="00CC767C" w:rsidP="00CC767C">
            <w:pPr>
              <w:spacing w:before="120" w:after="120" w:line="276" w:lineRule="auto"/>
              <w:rPr>
                <w:rFonts w:eastAsiaTheme="minorEastAsia" w:cs="Arial"/>
                <w:b/>
                <w:bCs w:val="0"/>
                <w:color w:val="0070C0"/>
                <w:kern w:val="24"/>
                <w:sz w:val="20"/>
                <w:szCs w:val="20"/>
                <w:lang w:eastAsia="en-GB"/>
              </w:rPr>
            </w:pPr>
            <w:r w:rsidRPr="001341DA">
              <w:rPr>
                <w:rFonts w:eastAsiaTheme="minorEastAsia" w:cs="Arial"/>
                <w:b/>
                <w:color w:val="0070C0"/>
                <w:kern w:val="24"/>
                <w:sz w:val="20"/>
                <w:szCs w:val="20"/>
                <w:lang w:eastAsia="en-GB"/>
              </w:rPr>
              <w:t xml:space="preserve">Data Security Standard 6 </w:t>
            </w:r>
          </w:p>
          <w:p w14:paraId="1EF69D9B" w14:textId="77777777" w:rsidR="00CC767C" w:rsidRPr="001341DA" w:rsidRDefault="00CC767C" w:rsidP="00CC767C">
            <w:pPr>
              <w:spacing w:before="120" w:after="120" w:line="276" w:lineRule="auto"/>
              <w:rPr>
                <w:rFonts w:cs="Arial"/>
                <w:sz w:val="20"/>
                <w:szCs w:val="20"/>
                <w:lang w:eastAsia="en-GB"/>
              </w:rPr>
            </w:pPr>
            <w:r w:rsidRPr="001341DA">
              <w:rPr>
                <w:rFonts w:eastAsia="Calibri" w:cs="Arial"/>
                <w:color w:val="000000" w:themeColor="text1"/>
                <w:kern w:val="24"/>
                <w:sz w:val="20"/>
                <w:szCs w:val="20"/>
                <w:lang w:eastAsia="en-GB"/>
              </w:rPr>
              <w:t>Cyber-attacks against services are identified and resisted and CareCERT security advice is responded to. Action is taken as soon as possible following a data breach or near miss, with a report made to senior management within 12 hours of detection. Significant cyber-attacks are to be reported to CareCERT immediately following detection.</w:t>
            </w:r>
          </w:p>
        </w:tc>
      </w:tr>
      <w:tr w:rsidR="00CC767C" w:rsidRPr="001341DA" w14:paraId="5E1EE251" w14:textId="77777777" w:rsidTr="00E962CD">
        <w:trPr>
          <w:trHeight w:val="1303"/>
        </w:trPr>
        <w:tc>
          <w:tcPr>
            <w:tcW w:w="978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55349D8C" w14:textId="77777777" w:rsidR="00CC767C" w:rsidRPr="001341DA" w:rsidRDefault="00CC767C" w:rsidP="00CC767C">
            <w:pPr>
              <w:spacing w:before="120" w:after="120" w:line="276" w:lineRule="auto"/>
              <w:rPr>
                <w:rFonts w:eastAsiaTheme="minorEastAsia" w:cs="Arial"/>
                <w:b/>
                <w:bCs w:val="0"/>
                <w:color w:val="0070C0"/>
                <w:kern w:val="24"/>
                <w:sz w:val="20"/>
                <w:szCs w:val="20"/>
                <w:lang w:eastAsia="en-GB"/>
              </w:rPr>
            </w:pPr>
            <w:r w:rsidRPr="001341DA">
              <w:rPr>
                <w:rFonts w:eastAsiaTheme="minorEastAsia" w:cs="Arial"/>
                <w:b/>
                <w:color w:val="0070C0"/>
                <w:kern w:val="24"/>
                <w:sz w:val="20"/>
                <w:szCs w:val="20"/>
                <w:lang w:eastAsia="en-GB"/>
              </w:rPr>
              <w:t xml:space="preserve">Data Security Standard 7 </w:t>
            </w:r>
          </w:p>
          <w:p w14:paraId="5E8CE44A" w14:textId="77777777" w:rsidR="00CC767C" w:rsidRPr="001341DA" w:rsidRDefault="00CC767C" w:rsidP="00CC767C">
            <w:pPr>
              <w:spacing w:before="120" w:after="120" w:line="276" w:lineRule="auto"/>
              <w:rPr>
                <w:rFonts w:cs="Arial"/>
                <w:sz w:val="20"/>
                <w:szCs w:val="20"/>
                <w:lang w:eastAsia="en-GB"/>
              </w:rPr>
            </w:pPr>
            <w:r w:rsidRPr="001341DA">
              <w:rPr>
                <w:rFonts w:eastAsia="Calibri" w:cs="Arial"/>
                <w:color w:val="000000" w:themeColor="text1"/>
                <w:kern w:val="24"/>
                <w:sz w:val="20"/>
                <w:szCs w:val="20"/>
                <w:lang w:eastAsia="en-GB"/>
              </w:rPr>
              <w:t>A continuity plan is in place to respond to threats to data security, including significant data breaches or near misses, and it is tested once a year as a minimum, with a report to senior management.</w:t>
            </w:r>
          </w:p>
        </w:tc>
      </w:tr>
      <w:tr w:rsidR="00CC767C" w:rsidRPr="001341DA" w14:paraId="1DB25B4F" w14:textId="77777777" w:rsidTr="00E962CD">
        <w:trPr>
          <w:trHeight w:val="344"/>
        </w:trPr>
        <w:tc>
          <w:tcPr>
            <w:tcW w:w="9781" w:type="dxa"/>
            <w:tcBorders>
              <w:top w:val="single" w:sz="8" w:space="0" w:color="FFFFFF"/>
              <w:left w:val="single" w:sz="8" w:space="0" w:color="FFFFFF"/>
              <w:bottom w:val="single" w:sz="24" w:space="0" w:color="FFFFFF"/>
              <w:right w:val="single" w:sz="8" w:space="0" w:color="FFFFFF"/>
            </w:tcBorders>
            <w:shd w:val="clear" w:color="auto" w:fill="4F81BD"/>
            <w:tcMar>
              <w:top w:w="72" w:type="dxa"/>
              <w:left w:w="144" w:type="dxa"/>
              <w:bottom w:w="72" w:type="dxa"/>
              <w:right w:w="144" w:type="dxa"/>
            </w:tcMar>
            <w:hideMark/>
          </w:tcPr>
          <w:p w14:paraId="61DD2BCB" w14:textId="77777777" w:rsidR="00CC767C" w:rsidRPr="001341DA" w:rsidRDefault="00CC767C" w:rsidP="00CC767C">
            <w:pPr>
              <w:spacing w:before="120" w:after="120" w:line="276" w:lineRule="auto"/>
              <w:rPr>
                <w:rFonts w:cs="Arial"/>
                <w:b/>
                <w:bCs w:val="0"/>
                <w:color w:val="FFFFFF" w:themeColor="light1"/>
                <w:kern w:val="24"/>
                <w:sz w:val="20"/>
                <w:szCs w:val="20"/>
                <w:lang w:eastAsia="en-GB"/>
              </w:rPr>
            </w:pPr>
            <w:r w:rsidRPr="001341DA">
              <w:rPr>
                <w:rFonts w:cs="Arial"/>
                <w:b/>
                <w:color w:val="FFFFFF" w:themeColor="light1"/>
                <w:kern w:val="24"/>
                <w:sz w:val="20"/>
                <w:szCs w:val="20"/>
                <w:lang w:eastAsia="en-GB"/>
              </w:rPr>
              <w:t xml:space="preserve">Category: Technology: </w:t>
            </w:r>
          </w:p>
          <w:p w14:paraId="7CE5F9F0" w14:textId="77777777" w:rsidR="00CC767C" w:rsidRPr="001341DA" w:rsidRDefault="00CC767C" w:rsidP="00CC767C">
            <w:pPr>
              <w:spacing w:before="120" w:after="120" w:line="276" w:lineRule="auto"/>
              <w:rPr>
                <w:rFonts w:cs="Arial"/>
                <w:sz w:val="20"/>
                <w:szCs w:val="20"/>
                <w:lang w:eastAsia="en-GB"/>
              </w:rPr>
            </w:pPr>
            <w:r w:rsidRPr="001341DA">
              <w:rPr>
                <w:rFonts w:cs="Arial"/>
                <w:i/>
                <w:iCs/>
                <w:color w:val="FFFFFF" w:themeColor="light1"/>
                <w:kern w:val="24"/>
                <w:sz w:val="20"/>
                <w:szCs w:val="20"/>
              </w:rPr>
              <w:t>Ensure technology is secure and up-to-date.</w:t>
            </w:r>
          </w:p>
        </w:tc>
      </w:tr>
      <w:tr w:rsidR="00CC767C" w:rsidRPr="001341DA" w14:paraId="54127536" w14:textId="77777777" w:rsidTr="00E962CD">
        <w:trPr>
          <w:trHeight w:val="1040"/>
        </w:trPr>
        <w:tc>
          <w:tcPr>
            <w:tcW w:w="9781" w:type="dxa"/>
            <w:tcBorders>
              <w:top w:val="single" w:sz="24"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5E65A78F" w14:textId="77777777" w:rsidR="00CC767C" w:rsidRPr="001341DA" w:rsidRDefault="00CC767C" w:rsidP="00CC767C">
            <w:pPr>
              <w:spacing w:before="120" w:after="120" w:line="276" w:lineRule="auto"/>
              <w:rPr>
                <w:rFonts w:eastAsiaTheme="minorEastAsia" w:cs="Arial"/>
                <w:b/>
                <w:bCs w:val="0"/>
                <w:color w:val="0070C0"/>
                <w:kern w:val="24"/>
                <w:sz w:val="20"/>
                <w:szCs w:val="20"/>
                <w:lang w:eastAsia="en-GB"/>
              </w:rPr>
            </w:pPr>
            <w:r w:rsidRPr="001341DA">
              <w:rPr>
                <w:rFonts w:eastAsiaTheme="minorEastAsia" w:cs="Arial"/>
                <w:b/>
                <w:color w:val="0070C0"/>
                <w:kern w:val="24"/>
                <w:sz w:val="20"/>
                <w:szCs w:val="20"/>
                <w:lang w:eastAsia="en-GB"/>
              </w:rPr>
              <w:t>Data Security Standard 8</w:t>
            </w:r>
          </w:p>
          <w:p w14:paraId="7CDA0C2F" w14:textId="77777777" w:rsidR="00CC767C" w:rsidRPr="001341DA" w:rsidRDefault="00CC767C" w:rsidP="00CC767C">
            <w:pPr>
              <w:spacing w:before="120" w:after="120" w:line="276" w:lineRule="auto"/>
              <w:rPr>
                <w:rFonts w:cs="Arial"/>
                <w:sz w:val="20"/>
                <w:szCs w:val="20"/>
                <w:lang w:eastAsia="en-GB"/>
              </w:rPr>
            </w:pPr>
            <w:r w:rsidRPr="001341DA">
              <w:rPr>
                <w:rFonts w:eastAsia="Calibri" w:cs="Arial"/>
                <w:color w:val="000000" w:themeColor="text1"/>
                <w:kern w:val="24"/>
                <w:sz w:val="20"/>
                <w:szCs w:val="20"/>
                <w:lang w:eastAsia="en-GB"/>
              </w:rPr>
              <w:t>No unsupported operating systems, software or internet browsers are used within the IT estate.</w:t>
            </w:r>
          </w:p>
        </w:tc>
      </w:tr>
      <w:tr w:rsidR="00CC767C" w:rsidRPr="001341DA" w14:paraId="22766798" w14:textId="77777777" w:rsidTr="00E962CD">
        <w:trPr>
          <w:trHeight w:val="1253"/>
        </w:trPr>
        <w:tc>
          <w:tcPr>
            <w:tcW w:w="9781" w:type="dxa"/>
            <w:tcBorders>
              <w:top w:val="single" w:sz="8" w:space="0" w:color="FFFFFF"/>
              <w:left w:val="single" w:sz="8" w:space="0" w:color="FFFFFF"/>
              <w:bottom w:val="single" w:sz="8" w:space="0" w:color="FFFFFF"/>
              <w:right w:val="single" w:sz="8" w:space="0" w:color="FFFFFF"/>
            </w:tcBorders>
            <w:shd w:val="clear" w:color="auto" w:fill="E9EDF4"/>
            <w:tcMar>
              <w:top w:w="72" w:type="dxa"/>
              <w:left w:w="144" w:type="dxa"/>
              <w:bottom w:w="72" w:type="dxa"/>
              <w:right w:w="144" w:type="dxa"/>
            </w:tcMar>
            <w:hideMark/>
          </w:tcPr>
          <w:p w14:paraId="6327887C" w14:textId="77777777" w:rsidR="00CC767C" w:rsidRPr="001341DA" w:rsidRDefault="00CC767C" w:rsidP="00CC767C">
            <w:pPr>
              <w:spacing w:before="120" w:after="120" w:line="276" w:lineRule="auto"/>
              <w:rPr>
                <w:rFonts w:eastAsiaTheme="minorEastAsia" w:cs="Arial"/>
                <w:b/>
                <w:bCs w:val="0"/>
                <w:color w:val="0070C0"/>
                <w:kern w:val="24"/>
                <w:sz w:val="20"/>
                <w:szCs w:val="20"/>
                <w:lang w:eastAsia="en-GB"/>
              </w:rPr>
            </w:pPr>
            <w:r w:rsidRPr="001341DA">
              <w:rPr>
                <w:rFonts w:eastAsiaTheme="minorEastAsia" w:cs="Arial"/>
                <w:b/>
                <w:color w:val="0070C0"/>
                <w:kern w:val="24"/>
                <w:sz w:val="20"/>
                <w:szCs w:val="20"/>
                <w:lang w:eastAsia="en-GB"/>
              </w:rPr>
              <w:t xml:space="preserve">Data Security Standard 9 </w:t>
            </w:r>
          </w:p>
          <w:p w14:paraId="7EABDE27" w14:textId="77777777" w:rsidR="00CC767C" w:rsidRPr="001341DA" w:rsidRDefault="00CC767C" w:rsidP="00CC767C">
            <w:pPr>
              <w:spacing w:before="120" w:after="120" w:line="276" w:lineRule="auto"/>
              <w:rPr>
                <w:rFonts w:cs="Arial"/>
                <w:sz w:val="20"/>
                <w:szCs w:val="20"/>
                <w:lang w:eastAsia="en-GB"/>
              </w:rPr>
            </w:pPr>
            <w:r w:rsidRPr="001341DA">
              <w:rPr>
                <w:rFonts w:eastAsia="Calibri" w:cs="Arial"/>
                <w:color w:val="000000" w:themeColor="text1"/>
                <w:kern w:val="24"/>
                <w:sz w:val="20"/>
                <w:szCs w:val="20"/>
                <w:lang w:eastAsia="en-GB"/>
              </w:rPr>
              <w:t>A strategy is in place for protecting IT systems from cyber threats, based on a proven cyber security framework such as Cyber Essentials. This is reviewed at least annually.</w:t>
            </w:r>
          </w:p>
        </w:tc>
      </w:tr>
      <w:tr w:rsidR="00CC767C" w:rsidRPr="001341DA" w14:paraId="352C17B5" w14:textId="77777777" w:rsidTr="00E962CD">
        <w:trPr>
          <w:trHeight w:val="1257"/>
        </w:trPr>
        <w:tc>
          <w:tcPr>
            <w:tcW w:w="9781" w:type="dxa"/>
            <w:tcBorders>
              <w:top w:val="single" w:sz="8" w:space="0" w:color="FFFFFF"/>
              <w:left w:val="single" w:sz="8" w:space="0" w:color="FFFFFF"/>
              <w:bottom w:val="single" w:sz="8" w:space="0" w:color="FFFFFF"/>
              <w:right w:val="single" w:sz="8" w:space="0" w:color="FFFFFF"/>
            </w:tcBorders>
            <w:shd w:val="clear" w:color="auto" w:fill="D0D8E8"/>
            <w:tcMar>
              <w:top w:w="72" w:type="dxa"/>
              <w:left w:w="144" w:type="dxa"/>
              <w:bottom w:w="72" w:type="dxa"/>
              <w:right w:w="144" w:type="dxa"/>
            </w:tcMar>
            <w:hideMark/>
          </w:tcPr>
          <w:p w14:paraId="3370FB93" w14:textId="77777777" w:rsidR="00CC767C" w:rsidRPr="001341DA" w:rsidRDefault="00CC767C" w:rsidP="00CC767C">
            <w:pPr>
              <w:spacing w:before="120" w:after="120" w:line="276" w:lineRule="auto"/>
              <w:rPr>
                <w:rFonts w:eastAsiaTheme="minorEastAsia" w:cs="Arial"/>
                <w:b/>
                <w:bCs w:val="0"/>
                <w:color w:val="0070C0"/>
                <w:kern w:val="24"/>
                <w:sz w:val="20"/>
                <w:szCs w:val="20"/>
                <w:lang w:eastAsia="en-GB"/>
              </w:rPr>
            </w:pPr>
            <w:r w:rsidRPr="001341DA">
              <w:rPr>
                <w:rFonts w:eastAsiaTheme="minorEastAsia" w:cs="Arial"/>
                <w:b/>
                <w:color w:val="0070C0"/>
                <w:kern w:val="24"/>
                <w:sz w:val="20"/>
                <w:szCs w:val="20"/>
                <w:lang w:eastAsia="en-GB"/>
              </w:rPr>
              <w:t xml:space="preserve">Data Security Standard 10 </w:t>
            </w:r>
          </w:p>
          <w:p w14:paraId="10700993" w14:textId="77777777" w:rsidR="00CC767C" w:rsidRPr="001341DA" w:rsidRDefault="00CC767C" w:rsidP="00CC767C">
            <w:pPr>
              <w:spacing w:before="120" w:after="120" w:line="276" w:lineRule="auto"/>
              <w:rPr>
                <w:rFonts w:cs="Arial"/>
                <w:sz w:val="20"/>
                <w:szCs w:val="20"/>
                <w:lang w:eastAsia="en-GB"/>
              </w:rPr>
            </w:pPr>
            <w:r w:rsidRPr="001341DA">
              <w:rPr>
                <w:rFonts w:eastAsia="Calibri" w:cs="Arial"/>
                <w:color w:val="000000" w:themeColor="text1"/>
                <w:kern w:val="24"/>
                <w:sz w:val="20"/>
                <w:szCs w:val="20"/>
                <w:lang w:eastAsia="en-GB"/>
              </w:rPr>
              <w:t>IT suppliers are held accountable via contracts for protecting the personal confidential data they process and for meeting the National Data Guardian’s data security standards.</w:t>
            </w:r>
          </w:p>
        </w:tc>
      </w:tr>
    </w:tbl>
    <w:p w14:paraId="77964348" w14:textId="77777777" w:rsidR="00CC767C" w:rsidRDefault="00CC767C" w:rsidP="00CC767C">
      <w:pPr>
        <w:autoSpaceDE w:val="0"/>
        <w:autoSpaceDN w:val="0"/>
        <w:adjustRightInd w:val="0"/>
        <w:spacing w:before="120" w:after="120" w:line="276" w:lineRule="auto"/>
        <w:rPr>
          <w:rFonts w:ascii="HelveticaNeueLT-Light" w:hAnsi="HelveticaNeueLT-Light" w:cs="HelveticaNeueLT-Light"/>
          <w:szCs w:val="24"/>
        </w:rPr>
      </w:pPr>
    </w:p>
    <w:p w14:paraId="4B2FA38D" w14:textId="5BDF87E2" w:rsidR="00CC767C" w:rsidRDefault="00CC767C" w:rsidP="00CC767C">
      <w:pPr>
        <w:pStyle w:val="Heading3"/>
      </w:pPr>
      <w:r>
        <w:t xml:space="preserve">NHS Digital is working with the health and care community to redesign and update the Information Governance Toolkit (IGT). The updated IGT will be in place by April 2018 and will support and underpin the </w:t>
      </w:r>
      <w:r w:rsidRPr="001341DA">
        <w:t xml:space="preserve">new data security standards and requirements arising from the </w:t>
      </w:r>
      <w:r w:rsidRPr="00CC767C">
        <w:rPr>
          <w:rFonts w:cs="Arial"/>
        </w:rPr>
        <w:t>EU General Data Protection Regulation (GDPR), which is due to be introduced from May 2018.</w:t>
      </w:r>
    </w:p>
    <w:p w14:paraId="503C9A72" w14:textId="428A6C08" w:rsidR="00CC767C" w:rsidRDefault="00CC767C" w:rsidP="00CC767C">
      <w:pPr>
        <w:pStyle w:val="Heading3"/>
      </w:pPr>
      <w:r w:rsidRPr="00600BBF">
        <w:t>The redesigned IGT will provide individual organisations with the necessary tools to assess adherence to the standards and level of cyber capability, as well as providing a national picture of data security across the health and social care system, and intelligence for independent assurance processes.</w:t>
      </w:r>
      <w:r>
        <w:t xml:space="preserve">  T</w:t>
      </w:r>
      <w:r w:rsidRPr="00CC767C">
        <w:rPr>
          <w:rFonts w:cs="Arial"/>
        </w:rPr>
        <w:t xml:space="preserve">hrough the Data Security Centre and the Cyber Security Programme, NHS Digital will enable organisations to put those standards into practice.  </w:t>
      </w:r>
    </w:p>
    <w:p w14:paraId="081F1EA7" w14:textId="675FF827" w:rsidR="00CC767C" w:rsidRDefault="00CC767C" w:rsidP="00CC767C">
      <w:pPr>
        <w:pStyle w:val="Heading3"/>
      </w:pPr>
      <w:r>
        <w:t>Information from the redesigned IGT will support CQC inspections, which from September 2017 will include the importance of meeting the data security standards.  In addition, NHS Improvement will publish a new ‘statement of requirements’ which will clarify required action for local organisations.</w:t>
      </w:r>
    </w:p>
    <w:p w14:paraId="2CE7A970" w14:textId="77777777" w:rsidR="00CC767C" w:rsidRPr="003349C9" w:rsidRDefault="00CC767C" w:rsidP="00CC767C">
      <w:pPr>
        <w:pStyle w:val="Heading3"/>
      </w:pPr>
      <w:r>
        <w:rPr>
          <w:rFonts w:ascii="HelveticaNeueLT-Medium" w:hAnsi="HelveticaNeueLT-Medium" w:cs="HelveticaNeueLT-Medium"/>
        </w:rPr>
        <w:t>The Network and Information Security (NIS) Directive</w:t>
      </w:r>
      <w:r>
        <w:t xml:space="preserve">, to be implemented by May 2018, as outlined in </w:t>
      </w:r>
      <w:r w:rsidRPr="008376F2">
        <w:rPr>
          <w:rFonts w:cs="Arial"/>
        </w:rPr>
        <w:t>‘Your Data:  Better Security, Better Choice, Better Care (DH</w:t>
      </w:r>
      <w:r>
        <w:rPr>
          <w:rFonts w:cs="Arial"/>
        </w:rPr>
        <w:t xml:space="preserve">, </w:t>
      </w:r>
      <w:r w:rsidRPr="008376F2">
        <w:rPr>
          <w:rFonts w:cs="Arial"/>
        </w:rPr>
        <w:t>July 2017)</w:t>
      </w:r>
      <w:r>
        <w:t>, will give further legal backing to the 10 data security standards, by requiring those organisations identified as ‘operators of essential services’ to comply with defined security requirements.  GP IT Operating Model arrangements will continue to be reviewed and will be updated to reflect these requirements.</w:t>
      </w:r>
    </w:p>
    <w:p w14:paraId="4E5BED14" w14:textId="77777777" w:rsidR="00CC767C" w:rsidRDefault="00CC767C" w:rsidP="00CC767C">
      <w:pPr>
        <w:autoSpaceDE w:val="0"/>
        <w:autoSpaceDN w:val="0"/>
        <w:adjustRightInd w:val="0"/>
        <w:spacing w:before="120" w:after="120" w:line="276" w:lineRule="auto"/>
        <w:rPr>
          <w:rFonts w:ascii="HelveticaNeueLT-Light" w:hAnsi="HelveticaNeueLT-Light" w:cs="HelveticaNeueLT-Light"/>
          <w:szCs w:val="24"/>
        </w:rPr>
      </w:pPr>
    </w:p>
    <w:p w14:paraId="37A2E55E" w14:textId="77777777" w:rsidR="00CC767C" w:rsidRDefault="00CC767C" w:rsidP="00CC767C">
      <w:pPr>
        <w:spacing w:before="120" w:after="120" w:line="276" w:lineRule="auto"/>
        <w:rPr>
          <w:rFonts w:cs="Arial"/>
          <w:b/>
          <w:szCs w:val="24"/>
        </w:rPr>
      </w:pPr>
    </w:p>
    <w:p w14:paraId="7F461D76" w14:textId="77777777" w:rsidR="00CC767C" w:rsidRPr="003E008A" w:rsidRDefault="00CC767C" w:rsidP="00CC767C">
      <w:pPr>
        <w:pStyle w:val="Heading2"/>
      </w:pPr>
      <w:bookmarkStart w:id="1666" w:name="_Toc498495491"/>
      <w:r w:rsidRPr="003E008A">
        <w:t>Cyber Incident Lessons</w:t>
      </w:r>
      <w:r>
        <w:t xml:space="preserve"> Learned:</w:t>
      </w:r>
      <w:bookmarkEnd w:id="1666"/>
    </w:p>
    <w:p w14:paraId="5914CBBB" w14:textId="1D44A1C3" w:rsidR="00CC767C" w:rsidRPr="00C644CF" w:rsidRDefault="00CC767C" w:rsidP="00CC767C">
      <w:pPr>
        <w:pStyle w:val="Heading3"/>
      </w:pPr>
      <w:r>
        <w:t xml:space="preserve">The cyber incident in May 2017 was the largest ransom ware incident observed to date, affecting services in many countries, including the NHS.  </w:t>
      </w:r>
    </w:p>
    <w:p w14:paraId="0DD8AEE3" w14:textId="77777777" w:rsidR="00CC767C" w:rsidRPr="00C644CF" w:rsidRDefault="00CC767C" w:rsidP="00CC767C">
      <w:pPr>
        <w:pStyle w:val="Heading3"/>
      </w:pPr>
      <w:r>
        <w:t>In response to this, the</w:t>
      </w:r>
      <w:r w:rsidRPr="00C644CF">
        <w:t xml:space="preserve"> NHS is prioritising the need to increase cyber resilience and improve the response to cyber incidents.  Efforts on a national level include changes to existing contractual frameworks, addressing infrastructure weaknesses and strengthening threat surveillance and response.  Local performance and capability will also be boosted together with the improvement of communications and engagement with staff and leaders in the system, as outlined in priorities for action, within the recently published ‘Your Data:  Better Security, Better Choice, Better Care (DH</w:t>
      </w:r>
      <w:r w:rsidRPr="00862DF4">
        <w:t xml:space="preserve"> </w:t>
      </w:r>
      <w:r>
        <w:t>Data Sharing and Cyber Security Team</w:t>
      </w:r>
      <w:r w:rsidRPr="00C644CF">
        <w:t>, J</w:t>
      </w:r>
      <w:r>
        <w:t>uly 2017).</w:t>
      </w:r>
    </w:p>
    <w:p w14:paraId="4CB9E7CC" w14:textId="77777777" w:rsidR="00CC767C" w:rsidRDefault="00CC767C" w:rsidP="00CC767C">
      <w:pPr>
        <w:spacing w:before="120" w:after="120" w:line="276" w:lineRule="auto"/>
        <w:rPr>
          <w:rFonts w:cs="Arial"/>
          <w:b/>
          <w:szCs w:val="24"/>
        </w:rPr>
      </w:pPr>
    </w:p>
    <w:p w14:paraId="12FE52D5" w14:textId="77777777" w:rsidR="00CC767C" w:rsidRPr="00260444" w:rsidRDefault="00CC767C" w:rsidP="00CC767C">
      <w:pPr>
        <w:pStyle w:val="Heading2"/>
      </w:pPr>
      <w:bookmarkStart w:id="1667" w:name="_Toc498495492"/>
      <w:r>
        <w:t xml:space="preserve">GP IT Operating Model:  </w:t>
      </w:r>
      <w:r w:rsidRPr="00260444">
        <w:t>Cyber and Data Security</w:t>
      </w:r>
      <w:r>
        <w:t xml:space="preserve"> Updates</w:t>
      </w:r>
      <w:r w:rsidRPr="00260444">
        <w:t>:</w:t>
      </w:r>
      <w:bookmarkEnd w:id="1667"/>
    </w:p>
    <w:p w14:paraId="41BC6110" w14:textId="77777777" w:rsidR="00CC767C" w:rsidRDefault="00CC767C" w:rsidP="00CC767C">
      <w:pPr>
        <w:spacing w:before="120" w:after="120" w:line="276" w:lineRule="auto"/>
        <w:rPr>
          <w:rFonts w:cs="Arial"/>
          <w:szCs w:val="24"/>
        </w:rPr>
      </w:pPr>
    </w:p>
    <w:p w14:paraId="41F68B32" w14:textId="56FFF5FE" w:rsidR="00CC767C" w:rsidRDefault="00CC767C" w:rsidP="00CC767C">
      <w:pPr>
        <w:pStyle w:val="Heading3"/>
      </w:pPr>
      <w:r w:rsidRPr="00AC5F14">
        <w:t xml:space="preserve">The </w:t>
      </w:r>
      <w:r>
        <w:t xml:space="preserve">GP IT </w:t>
      </w:r>
      <w:r w:rsidRPr="00AC5F14">
        <w:t xml:space="preserve">operating model </w:t>
      </w:r>
      <w:r>
        <w:t xml:space="preserve">revised in 2016, </w:t>
      </w:r>
      <w:r w:rsidRPr="00AC5F14">
        <w:t>provides a detailed schedule of services</w:t>
      </w:r>
      <w:r>
        <w:t xml:space="preserve"> outlining ‘core and mandated’ GP IT service requirements, which includes </w:t>
      </w:r>
      <w:r w:rsidRPr="003E008A">
        <w:t xml:space="preserve">standards and arrangements for </w:t>
      </w:r>
      <w:r>
        <w:t xml:space="preserve">data and IT security, including </w:t>
      </w:r>
      <w:r w:rsidRPr="003E008A">
        <w:t>protection from cyber security threats</w:t>
      </w:r>
      <w:r>
        <w:t>, to ensure the security of care delivery.  These arrangements will be updated in a forthcoming addendum to the operating model to be published later this year which will reflect the ten data security standards and statement of requirements together with lessons learned from the recent cyber incident, in an updated schedule of services.</w:t>
      </w:r>
    </w:p>
    <w:p w14:paraId="78E167FC" w14:textId="79EB908D" w:rsidR="00CC767C" w:rsidRDefault="00CC767C" w:rsidP="00CC767C">
      <w:pPr>
        <w:pStyle w:val="Heading3"/>
      </w:pPr>
      <w:r w:rsidRPr="003E008A">
        <w:t xml:space="preserve">A CCG may choose </w:t>
      </w:r>
      <w:r w:rsidRPr="00D72509">
        <w:t xml:space="preserve">to commission ‘core and mandated’ services from one or more GP IT delivery partners.  A GP IT Lead Provider Framework Support Pack has been developed to support CCGs in the effective procurement and ongoing review of GP IT services.  This includes a template service specification which reflects the ten data security standards and will be further updated to reflect the </w:t>
      </w:r>
      <w:r w:rsidRPr="00CC767C">
        <w:rPr>
          <w:rFonts w:ascii="HelveticaNeueLT-Light" w:hAnsi="HelveticaNeueLT-Light" w:cs="HelveticaNeueLT-Light"/>
        </w:rPr>
        <w:t>new ‘statement of requirements’, which will clarify required action for local organisations.</w:t>
      </w:r>
    </w:p>
    <w:p w14:paraId="2D1075D9" w14:textId="622721CA" w:rsidR="00CC767C" w:rsidRDefault="00CC767C" w:rsidP="00CC767C">
      <w:pPr>
        <w:pStyle w:val="Heading3"/>
      </w:pPr>
      <w:r w:rsidRPr="003E008A">
        <w:t xml:space="preserve">Each practice needs to work with </w:t>
      </w:r>
      <w:r>
        <w:t>locally commissioned GP IT delivery</w:t>
      </w:r>
      <w:r w:rsidRPr="003E008A">
        <w:t xml:space="preserve"> partner(s)</w:t>
      </w:r>
      <w:r>
        <w:t xml:space="preserve">, as outlined in the CCG Practice Agreement, </w:t>
      </w:r>
      <w:r w:rsidRPr="003E008A">
        <w:t xml:space="preserve">to enable them to </w:t>
      </w:r>
      <w:r>
        <w:t xml:space="preserve">effectively </w:t>
      </w:r>
      <w:r w:rsidRPr="003E008A">
        <w:t>support the IT infrastructure, respond to service incidents and maintain com</w:t>
      </w:r>
      <w:r>
        <w:t>pliance with security standards, in line with national standards and locally agreed service level agreements.</w:t>
      </w:r>
    </w:p>
    <w:p w14:paraId="6B85D3AE" w14:textId="77777777" w:rsidR="00CC767C" w:rsidRPr="003E008A" w:rsidRDefault="00CC767C" w:rsidP="00CC767C">
      <w:pPr>
        <w:pStyle w:val="Heading3"/>
      </w:pPr>
      <w:r w:rsidRPr="003E008A">
        <w:t xml:space="preserve">As end users of technology, GPs and their staff need to be familiar with </w:t>
      </w:r>
      <w:r>
        <w:t>the GP IT services</w:t>
      </w:r>
      <w:r w:rsidRPr="003E008A">
        <w:t xml:space="preserve"> being provided and delivered</w:t>
      </w:r>
      <w:r>
        <w:t xml:space="preserve"> locally</w:t>
      </w:r>
      <w:r w:rsidRPr="003E008A">
        <w:t>, the support arrangements particularly in cases of cyber</w:t>
      </w:r>
      <w:r>
        <w:t xml:space="preserve"> </w:t>
      </w:r>
      <w:r w:rsidRPr="003E008A">
        <w:t>security incidents and what local contingency and recovery processes are in place when technology fails.</w:t>
      </w:r>
      <w:r>
        <w:t xml:space="preserve">  </w:t>
      </w:r>
    </w:p>
    <w:p w14:paraId="4472F8DD" w14:textId="77777777" w:rsidR="00CC767C" w:rsidRDefault="00CC767C" w:rsidP="00CC767C">
      <w:pPr>
        <w:spacing w:before="120" w:after="120" w:line="276" w:lineRule="auto"/>
        <w:rPr>
          <w:rFonts w:cs="Arial"/>
          <w:b/>
          <w:szCs w:val="24"/>
        </w:rPr>
      </w:pPr>
    </w:p>
    <w:p w14:paraId="61A09942" w14:textId="77777777" w:rsidR="00CC767C" w:rsidRPr="00A35172" w:rsidRDefault="00CC767C" w:rsidP="00CC767C">
      <w:pPr>
        <w:pStyle w:val="Heading2"/>
      </w:pPr>
      <w:bookmarkStart w:id="1668" w:name="_Toc498495493"/>
      <w:r>
        <w:t xml:space="preserve">Locally Procured </w:t>
      </w:r>
      <w:r w:rsidRPr="00A35172">
        <w:t>3</w:t>
      </w:r>
      <w:r w:rsidRPr="00A35172">
        <w:rPr>
          <w:vertAlign w:val="superscript"/>
        </w:rPr>
        <w:t>rd</w:t>
      </w:r>
      <w:r w:rsidRPr="00A35172">
        <w:t xml:space="preserve"> Party </w:t>
      </w:r>
      <w:r>
        <w:t>Digital Systems, Services and Architecture</w:t>
      </w:r>
      <w:r w:rsidRPr="00A35172">
        <w:t>:</w:t>
      </w:r>
      <w:bookmarkEnd w:id="1668"/>
    </w:p>
    <w:p w14:paraId="692456DC" w14:textId="77777777" w:rsidR="00CC767C" w:rsidRDefault="00CC767C" w:rsidP="00CC767C">
      <w:pPr>
        <w:spacing w:before="120" w:after="120" w:line="276" w:lineRule="auto"/>
        <w:rPr>
          <w:rFonts w:cs="Arial"/>
          <w:szCs w:val="24"/>
        </w:rPr>
      </w:pPr>
    </w:p>
    <w:p w14:paraId="56473611" w14:textId="75C826C6" w:rsidR="00CC767C" w:rsidRDefault="00CC767C" w:rsidP="00CC767C">
      <w:pPr>
        <w:pStyle w:val="Heading3"/>
      </w:pPr>
      <w:r w:rsidRPr="007F5E5E">
        <w:t xml:space="preserve">Consideration </w:t>
      </w:r>
      <w:r>
        <w:t>needs to</w:t>
      </w:r>
      <w:r w:rsidRPr="007F5E5E">
        <w:t xml:space="preserve"> be given to security arrangements for locally procured digital systems</w:t>
      </w:r>
      <w:r>
        <w:t>, services</w:t>
      </w:r>
      <w:r w:rsidRPr="007F5E5E">
        <w:t xml:space="preserve"> and architecture, </w:t>
      </w:r>
      <w:r>
        <w:t>which</w:t>
      </w:r>
      <w:r w:rsidRPr="007F5E5E">
        <w:t xml:space="preserve"> </w:t>
      </w:r>
      <w:r>
        <w:t xml:space="preserve">may </w:t>
      </w:r>
      <w:r w:rsidRPr="007F5E5E">
        <w:t xml:space="preserve">fall outside </w:t>
      </w:r>
      <w:r>
        <w:t>GP Systems of Choice (</w:t>
      </w:r>
      <w:r w:rsidRPr="007F5E5E">
        <w:t>GPSoC</w:t>
      </w:r>
      <w:r>
        <w:t>)</w:t>
      </w:r>
      <w:r w:rsidRPr="007F5E5E">
        <w:t xml:space="preserve"> and </w:t>
      </w:r>
      <w:r>
        <w:t xml:space="preserve">‘core and mandated’ </w:t>
      </w:r>
      <w:r w:rsidRPr="007F5E5E">
        <w:t>GP IT delivery arrangements</w:t>
      </w:r>
      <w:r>
        <w:t>, where third party suppliers are involved</w:t>
      </w:r>
      <w:r w:rsidRPr="007F5E5E">
        <w:t xml:space="preserve">.  </w:t>
      </w:r>
    </w:p>
    <w:p w14:paraId="54DB7040" w14:textId="098312CE" w:rsidR="00CC767C" w:rsidRPr="007F5E5E" w:rsidRDefault="00CC767C" w:rsidP="00CC767C">
      <w:pPr>
        <w:pStyle w:val="Heading3"/>
      </w:pPr>
      <w:r w:rsidRPr="007F5E5E">
        <w:t xml:space="preserve">The commissioner </w:t>
      </w:r>
      <w:r>
        <w:t>needs to</w:t>
      </w:r>
      <w:r w:rsidRPr="007F5E5E">
        <w:t xml:space="preserve"> ensure that any subsidiary service and infrastructure </w:t>
      </w:r>
      <w:r>
        <w:t>procured locally</w:t>
      </w:r>
      <w:r w:rsidRPr="007F5E5E">
        <w:t xml:space="preserve"> will operate to prevailing NHS security standards, including the ten data security standards, the Information Governance Toolkit or equivalent industry standard.  </w:t>
      </w:r>
    </w:p>
    <w:p w14:paraId="016E3972" w14:textId="77777777" w:rsidR="00CC767C" w:rsidRPr="007F5E5E" w:rsidRDefault="00CC767C" w:rsidP="00CC767C">
      <w:pPr>
        <w:pStyle w:val="Heading3"/>
      </w:pPr>
      <w:r>
        <w:t>There needs to be c</w:t>
      </w:r>
      <w:r w:rsidRPr="007F5E5E">
        <w:t>larity on associated support arrangements and how these align with local GP IT delivery arrangements</w:t>
      </w:r>
      <w:r>
        <w:t xml:space="preserve">. This will be </w:t>
      </w:r>
      <w:r w:rsidRPr="007F5E5E">
        <w:t xml:space="preserve">critical </w:t>
      </w:r>
      <w:r>
        <w:t xml:space="preserve">in </w:t>
      </w:r>
      <w:r w:rsidRPr="007F5E5E">
        <w:t xml:space="preserve">effective incident management and </w:t>
      </w:r>
      <w:r>
        <w:t xml:space="preserve">needs to </w:t>
      </w:r>
      <w:r w:rsidRPr="007F5E5E">
        <w:t>be agreed locally.</w:t>
      </w:r>
    </w:p>
    <w:p w14:paraId="7C9E76FE" w14:textId="77777777" w:rsidR="00CC767C" w:rsidRPr="007F5E5E" w:rsidRDefault="00CC767C" w:rsidP="00CC767C">
      <w:pPr>
        <w:spacing w:before="120" w:after="120" w:line="276" w:lineRule="auto"/>
        <w:rPr>
          <w:rFonts w:cs="Arial"/>
          <w:szCs w:val="24"/>
        </w:rPr>
      </w:pPr>
    </w:p>
    <w:p w14:paraId="7104B67C" w14:textId="77777777" w:rsidR="00CC767C" w:rsidRPr="00B00575" w:rsidRDefault="00CC767C" w:rsidP="00CC767C">
      <w:pPr>
        <w:pStyle w:val="Heading2"/>
      </w:pPr>
      <w:bookmarkStart w:id="1669" w:name="_Toc498495494"/>
      <w:r w:rsidRPr="00B00575">
        <w:t>Disaster Recovery and Business Continuity</w:t>
      </w:r>
      <w:r>
        <w:t xml:space="preserve"> (DR/BC)</w:t>
      </w:r>
      <w:bookmarkEnd w:id="1669"/>
    </w:p>
    <w:p w14:paraId="5CD9AA7B" w14:textId="77777777" w:rsidR="00CC767C" w:rsidRPr="003E008A" w:rsidRDefault="00CC767C" w:rsidP="00CC767C">
      <w:pPr>
        <w:spacing w:before="120" w:after="120" w:line="276" w:lineRule="auto"/>
        <w:rPr>
          <w:rFonts w:cs="Arial"/>
          <w:szCs w:val="24"/>
        </w:rPr>
      </w:pPr>
    </w:p>
    <w:p w14:paraId="0CAFE4A9" w14:textId="526D06BE" w:rsidR="00CC767C" w:rsidRPr="003E008A" w:rsidRDefault="00CC767C" w:rsidP="00CC767C">
      <w:pPr>
        <w:pStyle w:val="Heading3"/>
      </w:pPr>
      <w:r w:rsidRPr="003E008A">
        <w:t>Each practice will have a DR and BC plan as part of their IG Toolkit compliance.  From 201</w:t>
      </w:r>
      <w:r>
        <w:t>8</w:t>
      </w:r>
      <w:r w:rsidRPr="003E008A">
        <w:t>, the revised toolkit will contain additional provisions in relation to cyber</w:t>
      </w:r>
      <w:r>
        <w:t xml:space="preserve"> </w:t>
      </w:r>
      <w:r w:rsidRPr="003E008A">
        <w:t>security and the mitigation of security risks</w:t>
      </w:r>
      <w:r>
        <w:t>, which should be reflected in practice DR and BC plans</w:t>
      </w:r>
      <w:r w:rsidRPr="003E008A">
        <w:t>.</w:t>
      </w:r>
      <w:r>
        <w:t xml:space="preserve">  The GP IT Operating Model (2016/18) </w:t>
      </w:r>
      <w:r w:rsidRPr="003E008A">
        <w:t>provides a reference for this requirement.</w:t>
      </w:r>
    </w:p>
    <w:p w14:paraId="0C44982F" w14:textId="7806A6FC" w:rsidR="00CC767C" w:rsidRPr="003E008A" w:rsidRDefault="00CC767C" w:rsidP="00CC767C">
      <w:pPr>
        <w:pStyle w:val="Heading3"/>
      </w:pPr>
      <w:r w:rsidRPr="00887796">
        <w:t>The CCG will ensure advice/guidance to support the development of practice DR and BC plans, is available to practices when required. In the event of a local DR or BC plan being invoked the CCG will ensure technical support is available as necessary.</w:t>
      </w:r>
    </w:p>
    <w:p w14:paraId="3E8F01F1" w14:textId="77777777" w:rsidR="00CC767C" w:rsidRDefault="00CC767C" w:rsidP="00CC767C">
      <w:pPr>
        <w:pStyle w:val="Heading3"/>
      </w:pPr>
      <w:r w:rsidRPr="003E008A">
        <w:t xml:space="preserve">To maintain preparedness, DR and BC plans need to be reviewed and refreshed regularly.  </w:t>
      </w:r>
    </w:p>
    <w:p w14:paraId="2E1C19F7" w14:textId="46DFB247" w:rsidR="00CC767C" w:rsidRPr="003E008A" w:rsidRDefault="00CC767C" w:rsidP="00CC767C">
      <w:pPr>
        <w:pStyle w:val="Heading3"/>
      </w:pPr>
      <w:r w:rsidRPr="003E008A">
        <w:t xml:space="preserve">It is important for all staff in the practice to understand their roles when the plans are activated.  </w:t>
      </w:r>
    </w:p>
    <w:p w14:paraId="77DE32E5" w14:textId="44E3B812" w:rsidR="00CC767C" w:rsidRPr="003E008A" w:rsidRDefault="00CC767C" w:rsidP="00CC767C">
      <w:pPr>
        <w:pStyle w:val="Heading3"/>
      </w:pPr>
      <w:r w:rsidRPr="003E008A">
        <w:t xml:space="preserve">The practice team will need to work together to do the right thing at the right time and to ensure that the right people are in place with the right support. All staff will therefore need to have received the IG training </w:t>
      </w:r>
      <w:r>
        <w:t xml:space="preserve">appropriate to </w:t>
      </w:r>
      <w:r w:rsidRPr="003E008A">
        <w:t>their role</w:t>
      </w:r>
      <w:r>
        <w:t>(</w:t>
      </w:r>
      <w:r w:rsidRPr="003E008A">
        <w:t>s</w:t>
      </w:r>
      <w:r>
        <w:t>)</w:t>
      </w:r>
      <w:r w:rsidRPr="003E008A">
        <w:t>.</w:t>
      </w:r>
    </w:p>
    <w:p w14:paraId="77AEC3A4" w14:textId="24A24B52" w:rsidR="00CC767C" w:rsidRDefault="00CC767C" w:rsidP="00CC767C">
      <w:pPr>
        <w:pStyle w:val="Heading3"/>
      </w:pPr>
      <w:r w:rsidRPr="003E008A">
        <w:t>The recovery process after an incident is equally important to ensure that electronic patient records are kept up to date and lessons are learned on how the response to the incident was managed.</w:t>
      </w:r>
    </w:p>
    <w:p w14:paraId="06945607" w14:textId="77777777" w:rsidR="00CC767C" w:rsidRDefault="00CC767C" w:rsidP="00CC767C">
      <w:pPr>
        <w:pStyle w:val="Heading3"/>
      </w:pPr>
      <w:r>
        <w:t>The review of DR and BC plans will need to take into account those circumstances where the practice may be unaffected but delivery partners are.  For example, the shutdown of a secondary care provider which supplies pathology services may delay the availability of test results or the availability of discharge advice notes.  Whilst these may be beyond the scope of the practice, planning and agreement with the CCG, on how to handle these circumstances, will be of benefit to the practice and their patients.</w:t>
      </w:r>
    </w:p>
    <w:p w14:paraId="03B5104E" w14:textId="77777777" w:rsidR="00CC767C" w:rsidRPr="00887796" w:rsidRDefault="00CC767C" w:rsidP="00CC767C">
      <w:pPr>
        <w:spacing w:before="120" w:after="120" w:line="276" w:lineRule="auto"/>
        <w:rPr>
          <w:rFonts w:cs="Arial"/>
          <w:szCs w:val="24"/>
        </w:rPr>
      </w:pPr>
    </w:p>
    <w:p w14:paraId="543F37EF" w14:textId="77777777" w:rsidR="00CC767C" w:rsidRDefault="00CC767C" w:rsidP="00CC767C">
      <w:pPr>
        <w:spacing w:before="120" w:after="120" w:line="276" w:lineRule="auto"/>
        <w:rPr>
          <w:rFonts w:cs="Arial"/>
          <w:szCs w:val="24"/>
        </w:rPr>
      </w:pPr>
    </w:p>
    <w:p w14:paraId="18519D20" w14:textId="77777777" w:rsidR="00CC767C" w:rsidRPr="008813F4" w:rsidRDefault="00CC767C" w:rsidP="00CC767C">
      <w:pPr>
        <w:pStyle w:val="Heading2"/>
      </w:pPr>
      <w:bookmarkStart w:id="1670" w:name="_Toc498495495"/>
      <w:r w:rsidRPr="008813F4">
        <w:t>Further Information:</w:t>
      </w:r>
      <w:bookmarkEnd w:id="1670"/>
    </w:p>
    <w:p w14:paraId="0E058B2D" w14:textId="77777777" w:rsidR="00CC767C" w:rsidRDefault="00CC767C" w:rsidP="00CC767C">
      <w:pPr>
        <w:spacing w:before="120" w:after="120" w:line="276" w:lineRule="auto"/>
        <w:rPr>
          <w:rFonts w:cs="Arial"/>
          <w:szCs w:val="24"/>
        </w:rPr>
      </w:pPr>
    </w:p>
    <w:p w14:paraId="245490CF" w14:textId="09D58451" w:rsidR="00CC767C" w:rsidRDefault="00CC767C" w:rsidP="00CC767C">
      <w:pPr>
        <w:pStyle w:val="Heading3"/>
      </w:pPr>
      <w:r w:rsidRPr="008813F4">
        <w:t xml:space="preserve">CCGs seeking further </w:t>
      </w:r>
      <w:r w:rsidRPr="0042617A">
        <w:t>information on the</w:t>
      </w:r>
      <w:r w:rsidRPr="00CC767C">
        <w:rPr>
          <w:b/>
        </w:rPr>
        <w:t xml:space="preserve"> </w:t>
      </w:r>
      <w:r w:rsidRPr="0042617A">
        <w:t>GP IT Operating Model</w:t>
      </w:r>
      <w:r>
        <w:t xml:space="preserve"> and associated support materials and guidance, </w:t>
      </w:r>
      <w:r w:rsidRPr="008813F4">
        <w:t>can visit</w:t>
      </w:r>
      <w:r w:rsidRPr="00CC767C">
        <w:rPr>
          <w:color w:val="002060"/>
        </w:rPr>
        <w:t xml:space="preserve"> </w:t>
      </w:r>
      <w:hyperlink r:id="rId120" w:history="1">
        <w:r w:rsidRPr="00CC767C">
          <w:rPr>
            <w:rStyle w:val="Hyperlink"/>
            <w:rFonts w:cs="Arial"/>
            <w:szCs w:val="24"/>
          </w:rPr>
          <w:t>https://www.england.nhs.uk/digitaltechnology/info-revolution/digital-primary-care</w:t>
        </w:r>
      </w:hyperlink>
      <w:r w:rsidRPr="00CC767C">
        <w:rPr>
          <w:color w:val="002060"/>
        </w:rPr>
        <w:t xml:space="preserve"> </w:t>
      </w:r>
      <w:r w:rsidRPr="0042617A">
        <w:t xml:space="preserve">or contact NHS England’s </w:t>
      </w:r>
      <w:r>
        <w:t xml:space="preserve">central </w:t>
      </w:r>
      <w:r w:rsidRPr="0042617A">
        <w:t xml:space="preserve">Digital Primary Care (GP IT) team at </w:t>
      </w:r>
      <w:hyperlink r:id="rId121" w:history="1">
        <w:r w:rsidRPr="00CC767C">
          <w:rPr>
            <w:rStyle w:val="Hyperlink"/>
            <w:rFonts w:cs="Arial"/>
            <w:szCs w:val="24"/>
          </w:rPr>
          <w:t>england.digitalprimarycare@nhs.net</w:t>
        </w:r>
      </w:hyperlink>
      <w:r w:rsidRPr="008813F4">
        <w:t>.</w:t>
      </w:r>
    </w:p>
    <w:p w14:paraId="5B440C6C" w14:textId="77777777" w:rsidR="00CC767C" w:rsidRPr="00CC767C" w:rsidRDefault="00CC767C" w:rsidP="00CC767C">
      <w:pPr>
        <w:pStyle w:val="Heading3"/>
        <w:rPr>
          <w:rStyle w:val="Hyperlink"/>
          <w:color w:val="auto"/>
          <w:szCs w:val="24"/>
          <w:u w:val="none"/>
        </w:rPr>
      </w:pPr>
      <w:r w:rsidRPr="000C51BD">
        <w:t>For further information about the re-designed IG Toolkit please contact</w:t>
      </w:r>
      <w:r>
        <w:rPr>
          <w:color w:val="1F497D"/>
        </w:rPr>
        <w:t xml:space="preserve"> </w:t>
      </w:r>
      <w:hyperlink r:id="rId122" w:history="1">
        <w:r w:rsidRPr="000C51BD">
          <w:rPr>
            <w:rStyle w:val="Hyperlink"/>
            <w:rFonts w:cs="Arial"/>
            <w:szCs w:val="24"/>
          </w:rPr>
          <w:t>cybersecurity@nhs.net</w:t>
        </w:r>
      </w:hyperlink>
    </w:p>
    <w:p w14:paraId="5C9D600D" w14:textId="77777777" w:rsidR="00CC767C" w:rsidRPr="00CC767C" w:rsidRDefault="00CC767C" w:rsidP="00CC767C">
      <w:pPr>
        <w:autoSpaceDE w:val="0"/>
        <w:autoSpaceDN w:val="0"/>
        <w:adjustRightInd w:val="0"/>
        <w:spacing w:before="120" w:after="120" w:line="276" w:lineRule="auto"/>
        <w:rPr>
          <w:rFonts w:cs="Arial"/>
          <w:sz w:val="23"/>
          <w:szCs w:val="23"/>
        </w:rPr>
      </w:pPr>
    </w:p>
    <w:p w14:paraId="7A76CA7A" w14:textId="77777777" w:rsidR="0015247B" w:rsidRPr="0015247B" w:rsidRDefault="0015247B" w:rsidP="00CC767C">
      <w:pPr>
        <w:spacing w:before="120" w:after="120" w:line="276" w:lineRule="auto"/>
        <w:rPr>
          <w:lang w:eastAsia="en-GB"/>
        </w:rPr>
      </w:pPr>
    </w:p>
    <w:p w14:paraId="238596DD" w14:textId="7BDB2CB1" w:rsidR="0015247B" w:rsidRPr="00F466C6" w:rsidRDefault="00850B0E" w:rsidP="00F466C6">
      <w:pPr>
        <w:pStyle w:val="Heading1"/>
      </w:pPr>
      <w:r>
        <w:rPr>
          <w:lang w:eastAsia="en-GB"/>
        </w:rPr>
        <w:br w:type="page"/>
      </w:r>
      <w:bookmarkStart w:id="1671" w:name="_Toc498495496"/>
      <w:r w:rsidR="0015247B" w:rsidRPr="00F466C6">
        <w:t>Protocol in respect of locum cover or GP performer payments for parental and sickness leave</w:t>
      </w:r>
      <w:bookmarkEnd w:id="1671"/>
    </w:p>
    <w:p w14:paraId="36DFEE3A" w14:textId="77777777" w:rsidR="0015247B" w:rsidRDefault="0015247B" w:rsidP="0015247B">
      <w:pPr>
        <w:rPr>
          <w:lang w:eastAsia="en-GB"/>
        </w:rPr>
      </w:pPr>
    </w:p>
    <w:p w14:paraId="264045D8" w14:textId="77777777" w:rsidR="00867DFB" w:rsidRPr="00CE0885" w:rsidRDefault="00867DFB" w:rsidP="00855999">
      <w:pPr>
        <w:pStyle w:val="Heading2"/>
      </w:pPr>
      <w:bookmarkStart w:id="1672" w:name="_Toc498495497"/>
      <w:r w:rsidRPr="00CE0885">
        <w:t>Background</w:t>
      </w:r>
      <w:bookmarkEnd w:id="1672"/>
    </w:p>
    <w:p w14:paraId="0AC43827" w14:textId="77777777" w:rsidR="00867DFB" w:rsidRPr="009055A7" w:rsidRDefault="00867DFB" w:rsidP="00867DFB">
      <w:pPr>
        <w:spacing w:line="360" w:lineRule="auto"/>
        <w:rPr>
          <w:rFonts w:cs="Arial"/>
        </w:rPr>
      </w:pPr>
    </w:p>
    <w:p w14:paraId="4C05B5F0" w14:textId="505F96AE" w:rsidR="00867DFB" w:rsidRPr="00CE0885" w:rsidRDefault="00867DFB" w:rsidP="005E089C">
      <w:pPr>
        <w:pStyle w:val="Heading3"/>
      </w:pPr>
      <w:r w:rsidRPr="00CE0885">
        <w:t xml:space="preserve">The </w:t>
      </w:r>
      <w:r w:rsidRPr="005E089C">
        <w:rPr>
          <w:spacing w:val="-1"/>
        </w:rPr>
        <w:t>G</w:t>
      </w:r>
      <w:r w:rsidRPr="00CE0885">
        <w:t>ene</w:t>
      </w:r>
      <w:r w:rsidRPr="005E089C">
        <w:rPr>
          <w:spacing w:val="-1"/>
        </w:rPr>
        <w:t>r</w:t>
      </w:r>
      <w:r w:rsidRPr="00CE0885">
        <w:t>al</w:t>
      </w:r>
      <w:r w:rsidRPr="005E089C">
        <w:rPr>
          <w:spacing w:val="41"/>
        </w:rPr>
        <w:t xml:space="preserve"> </w:t>
      </w:r>
      <w:r w:rsidRPr="005E089C">
        <w:rPr>
          <w:spacing w:val="-1"/>
        </w:rPr>
        <w:t>M</w:t>
      </w:r>
      <w:r w:rsidRPr="005E089C">
        <w:rPr>
          <w:spacing w:val="-3"/>
        </w:rPr>
        <w:t>e</w:t>
      </w:r>
      <w:r w:rsidRPr="00CE0885">
        <w:t>d</w:t>
      </w:r>
      <w:r w:rsidRPr="005E089C">
        <w:rPr>
          <w:spacing w:val="-1"/>
        </w:rPr>
        <w:t>i</w:t>
      </w:r>
      <w:r w:rsidRPr="00CE0885">
        <w:t>c</w:t>
      </w:r>
      <w:r w:rsidRPr="005E089C">
        <w:rPr>
          <w:spacing w:val="-3"/>
        </w:rPr>
        <w:t>a</w:t>
      </w:r>
      <w:r w:rsidRPr="00CE0885">
        <w:t>l</w:t>
      </w:r>
      <w:r w:rsidRPr="005E089C">
        <w:rPr>
          <w:spacing w:val="41"/>
        </w:rPr>
        <w:t xml:space="preserve"> </w:t>
      </w:r>
      <w:r w:rsidRPr="00CE0885">
        <w:t>Se</w:t>
      </w:r>
      <w:r w:rsidRPr="005E089C">
        <w:rPr>
          <w:spacing w:val="-1"/>
        </w:rPr>
        <w:t>r</w:t>
      </w:r>
      <w:r w:rsidRPr="005E089C">
        <w:rPr>
          <w:spacing w:val="-2"/>
        </w:rPr>
        <w:t>v</w:t>
      </w:r>
      <w:r w:rsidRPr="005E089C">
        <w:rPr>
          <w:spacing w:val="-1"/>
        </w:rPr>
        <w:t>i</w:t>
      </w:r>
      <w:r w:rsidRPr="00CE0885">
        <w:t>ces</w:t>
      </w:r>
      <w:r w:rsidRPr="005E089C">
        <w:rPr>
          <w:spacing w:val="41"/>
        </w:rPr>
        <w:t xml:space="preserve"> </w:t>
      </w:r>
      <w:r w:rsidRPr="005E089C">
        <w:rPr>
          <w:spacing w:val="1"/>
        </w:rPr>
        <w:t>C</w:t>
      </w:r>
      <w:r w:rsidRPr="00CE0885">
        <w:t>on</w:t>
      </w:r>
      <w:r w:rsidRPr="005E089C">
        <w:rPr>
          <w:spacing w:val="-1"/>
        </w:rPr>
        <w:t>tr</w:t>
      </w:r>
      <w:r w:rsidRPr="00CE0885">
        <w:t>ac</w:t>
      </w:r>
      <w:r w:rsidRPr="005E089C">
        <w:rPr>
          <w:spacing w:val="-1"/>
        </w:rPr>
        <w:t>t</w:t>
      </w:r>
      <w:r w:rsidRPr="00CE0885">
        <w:t>s</w:t>
      </w:r>
      <w:r w:rsidRPr="005E089C">
        <w:rPr>
          <w:spacing w:val="-12"/>
        </w:rPr>
        <w:t xml:space="preserve"> </w:t>
      </w:r>
      <w:r w:rsidRPr="00CE0885">
        <w:t>S</w:t>
      </w:r>
      <w:r w:rsidRPr="005E089C">
        <w:rPr>
          <w:spacing w:val="-1"/>
        </w:rPr>
        <w:t>t</w:t>
      </w:r>
      <w:r w:rsidRPr="00CE0885">
        <w:t>a</w:t>
      </w:r>
      <w:r w:rsidRPr="005E089C">
        <w:rPr>
          <w:spacing w:val="-1"/>
        </w:rPr>
        <w:t>t</w:t>
      </w:r>
      <w:r w:rsidRPr="00CE0885">
        <w:t>e</w:t>
      </w:r>
      <w:r w:rsidRPr="005E089C">
        <w:rPr>
          <w:spacing w:val="-4"/>
        </w:rPr>
        <w:t>m</w:t>
      </w:r>
      <w:r w:rsidRPr="00CE0885">
        <w:t xml:space="preserve">ent of </w:t>
      </w:r>
      <w:r w:rsidRPr="005E089C">
        <w:rPr>
          <w:spacing w:val="-2"/>
        </w:rPr>
        <w:t>F</w:t>
      </w:r>
      <w:r w:rsidRPr="005E089C">
        <w:rPr>
          <w:spacing w:val="-1"/>
        </w:rPr>
        <w:t>i</w:t>
      </w:r>
      <w:r w:rsidRPr="00CE0885">
        <w:t>nanc</w:t>
      </w:r>
      <w:r w:rsidRPr="005E089C">
        <w:rPr>
          <w:spacing w:val="-1"/>
        </w:rPr>
        <w:t>i</w:t>
      </w:r>
      <w:r w:rsidRPr="00CE0885">
        <w:t>al</w:t>
      </w:r>
      <w:r w:rsidRPr="005E089C">
        <w:rPr>
          <w:spacing w:val="6"/>
        </w:rPr>
        <w:t xml:space="preserve"> </w:t>
      </w:r>
      <w:r w:rsidRPr="005E089C">
        <w:rPr>
          <w:spacing w:val="1"/>
        </w:rPr>
        <w:t>E</w:t>
      </w:r>
      <w:r w:rsidRPr="00CE0885">
        <w:t>n</w:t>
      </w:r>
      <w:r w:rsidRPr="005E089C">
        <w:rPr>
          <w:spacing w:val="-1"/>
        </w:rPr>
        <w:t>titl</w:t>
      </w:r>
      <w:r w:rsidRPr="005E089C">
        <w:rPr>
          <w:spacing w:val="2"/>
        </w:rPr>
        <w:t>e</w:t>
      </w:r>
      <w:r w:rsidRPr="005E089C">
        <w:rPr>
          <w:spacing w:val="-4"/>
        </w:rPr>
        <w:t>m</w:t>
      </w:r>
      <w:r w:rsidRPr="00CE0885">
        <w:t>ent</w:t>
      </w:r>
      <w:r w:rsidRPr="005E089C">
        <w:rPr>
          <w:spacing w:val="6"/>
        </w:rPr>
        <w:t xml:space="preserve"> </w:t>
      </w:r>
      <w:r w:rsidRPr="005E089C">
        <w:rPr>
          <w:spacing w:val="1"/>
        </w:rPr>
        <w:t>D</w:t>
      </w:r>
      <w:r w:rsidRPr="005E089C">
        <w:rPr>
          <w:spacing w:val="-1"/>
        </w:rPr>
        <w:t>ir</w:t>
      </w:r>
      <w:r w:rsidRPr="00CE0885">
        <w:t>ec</w:t>
      </w:r>
      <w:r w:rsidRPr="005E089C">
        <w:rPr>
          <w:spacing w:val="-1"/>
        </w:rPr>
        <w:t>ti</w:t>
      </w:r>
      <w:r w:rsidRPr="00CE0885">
        <w:t>ons</w:t>
      </w:r>
      <w:r w:rsidRPr="005E089C">
        <w:rPr>
          <w:spacing w:val="7"/>
        </w:rPr>
        <w:t xml:space="preserve"> </w:t>
      </w:r>
      <w:r w:rsidRPr="00CE0885">
        <w:t>20</w:t>
      </w:r>
      <w:r w:rsidRPr="005E089C">
        <w:rPr>
          <w:spacing w:val="-2"/>
        </w:rPr>
        <w:t>1</w:t>
      </w:r>
      <w:r w:rsidRPr="00CE0885">
        <w:t>3</w:t>
      </w:r>
      <w:r w:rsidRPr="009055A7">
        <w:rPr>
          <w:vertAlign w:val="superscript"/>
        </w:rPr>
        <w:footnoteReference w:id="12"/>
      </w:r>
      <w:r w:rsidRPr="009055A7">
        <w:t xml:space="preserve"> (SFE) as amended in the SFE (amendment) Directions 2017 set out the provis</w:t>
      </w:r>
      <w:r w:rsidRPr="00CE0885">
        <w:t>ions, conditions and payments relating to reimbursement to GP practices for GP performers covering parental leave and sickness leave.</w:t>
      </w:r>
    </w:p>
    <w:p w14:paraId="2F9249B2" w14:textId="370960C1" w:rsidR="00867DFB" w:rsidRPr="005E089C" w:rsidRDefault="00867DFB" w:rsidP="005E089C">
      <w:pPr>
        <w:pStyle w:val="Heading3"/>
        <w:rPr>
          <w:rFonts w:eastAsia="MS Mincho"/>
        </w:rPr>
      </w:pPr>
      <w:r w:rsidRPr="00CE0885">
        <w:t xml:space="preserve">This protocol applies only to GMS practices but commissioners should ensure they treat Primary Medical Services (PMS) practices equitably. </w:t>
      </w:r>
      <w:r w:rsidRPr="005E089C">
        <w:rPr>
          <w:rFonts w:eastAsia="MS Mincho"/>
        </w:rPr>
        <w:t xml:space="preserve"> </w:t>
      </w:r>
    </w:p>
    <w:p w14:paraId="25097D97" w14:textId="2C0BC9F6" w:rsidR="00867DFB" w:rsidRPr="005E089C" w:rsidRDefault="00867DFB" w:rsidP="005E089C">
      <w:pPr>
        <w:pStyle w:val="Heading3"/>
        <w:rPr>
          <w:rFonts w:eastAsia="MS Mincho"/>
        </w:rPr>
      </w:pPr>
      <w:r w:rsidRPr="005E089C">
        <w:rPr>
          <w:rFonts w:eastAsia="MS Mincho"/>
        </w:rPr>
        <w:t>For the purposes of this protocol:</w:t>
      </w:r>
    </w:p>
    <w:p w14:paraId="7823E27E" w14:textId="77777777" w:rsidR="00867DFB" w:rsidRPr="00F466C6" w:rsidRDefault="00867DFB" w:rsidP="005A7DDA">
      <w:pPr>
        <w:pStyle w:val="BodyText"/>
        <w:numPr>
          <w:ilvl w:val="0"/>
          <w:numId w:val="134"/>
        </w:numPr>
        <w:rPr>
          <w:rFonts w:eastAsia="MS Mincho"/>
          <w:sz w:val="24"/>
          <w:szCs w:val="24"/>
        </w:rPr>
      </w:pPr>
      <w:r w:rsidRPr="00F466C6">
        <w:rPr>
          <w:rFonts w:eastAsia="MS Mincho"/>
          <w:sz w:val="24"/>
          <w:szCs w:val="24"/>
        </w:rPr>
        <w:t>“parental leave” means ordinary or additional maternity leave, paternity leave, or ordinary or additional adoption leave;</w:t>
      </w:r>
    </w:p>
    <w:p w14:paraId="13B4F768" w14:textId="77777777" w:rsidR="00867DFB" w:rsidRPr="00F466C6" w:rsidRDefault="00867DFB" w:rsidP="005A7DDA">
      <w:pPr>
        <w:pStyle w:val="BodyText"/>
        <w:numPr>
          <w:ilvl w:val="0"/>
          <w:numId w:val="134"/>
        </w:numPr>
        <w:rPr>
          <w:rFonts w:eastAsia="MS Mincho"/>
          <w:sz w:val="24"/>
          <w:szCs w:val="24"/>
        </w:rPr>
      </w:pPr>
      <w:r w:rsidRPr="00F466C6">
        <w:rPr>
          <w:rFonts w:eastAsia="MS Mincho"/>
          <w:sz w:val="24"/>
          <w:szCs w:val="24"/>
        </w:rPr>
        <w:t xml:space="preserve">"full-time" means nine sessions of clinical work per working week;  </w:t>
      </w:r>
    </w:p>
    <w:p w14:paraId="20841F88" w14:textId="77777777" w:rsidR="00867DFB" w:rsidRPr="00F466C6" w:rsidRDefault="00867DFB" w:rsidP="005A7DDA">
      <w:pPr>
        <w:pStyle w:val="BodyText"/>
        <w:numPr>
          <w:ilvl w:val="0"/>
          <w:numId w:val="134"/>
        </w:numPr>
        <w:rPr>
          <w:rFonts w:eastAsia="MS Mincho"/>
          <w:sz w:val="24"/>
          <w:szCs w:val="24"/>
        </w:rPr>
      </w:pPr>
      <w:r w:rsidRPr="00F466C6">
        <w:rPr>
          <w:rFonts w:eastAsia="MS Mincho"/>
          <w:sz w:val="24"/>
          <w:szCs w:val="24"/>
        </w:rPr>
        <w:t>“working week” is defined as the core hours set out in the National Health Service (GMS Contracts) Regulations</w:t>
      </w:r>
      <w:r w:rsidRPr="00F466C6">
        <w:rPr>
          <w:rFonts w:eastAsia="MS Mincho"/>
          <w:sz w:val="24"/>
          <w:szCs w:val="24"/>
          <w:vertAlign w:val="superscript"/>
        </w:rPr>
        <w:footnoteReference w:id="13"/>
      </w:r>
      <w:r w:rsidRPr="00F466C6">
        <w:rPr>
          <w:rFonts w:eastAsia="MS Mincho"/>
          <w:sz w:val="24"/>
          <w:szCs w:val="24"/>
        </w:rPr>
        <w:t xml:space="preserve">: “the period beginning at 8am and ending at 6.30pm on any day from Monday to Friday except Good Friday, Christmas Day or bank holidays”. </w:t>
      </w:r>
    </w:p>
    <w:p w14:paraId="07BA7A94" w14:textId="77777777" w:rsidR="00867DFB" w:rsidRPr="00CE0885" w:rsidRDefault="00867DFB" w:rsidP="00867DFB">
      <w:pPr>
        <w:spacing w:line="360" w:lineRule="auto"/>
        <w:rPr>
          <w:rFonts w:eastAsia="MS Mincho" w:cs="Arial"/>
        </w:rPr>
      </w:pPr>
    </w:p>
    <w:p w14:paraId="17FD2EE6" w14:textId="77777777" w:rsidR="00867DFB" w:rsidRPr="00CE0885" w:rsidRDefault="00867DFB" w:rsidP="005E089C">
      <w:pPr>
        <w:pStyle w:val="Heading3"/>
        <w:rPr>
          <w:rFonts w:eastAsia="MS Mincho"/>
        </w:rPr>
      </w:pPr>
      <w:r w:rsidRPr="00CE0885">
        <w:rPr>
          <w:rFonts w:eastAsia="MS Mincho"/>
        </w:rPr>
        <w:t xml:space="preserve">The commissioner will not make payments in respect of locum or GP performer cover outside of core hours. </w:t>
      </w:r>
    </w:p>
    <w:p w14:paraId="66FCEAB2" w14:textId="77777777" w:rsidR="00867DFB" w:rsidRPr="00CE0885" w:rsidRDefault="00867DFB" w:rsidP="00867DFB">
      <w:pPr>
        <w:spacing w:line="360" w:lineRule="auto"/>
        <w:rPr>
          <w:rFonts w:eastAsia="MS Mincho" w:cs="Arial"/>
        </w:rPr>
      </w:pPr>
    </w:p>
    <w:p w14:paraId="0FC490E6" w14:textId="77777777" w:rsidR="00867DFB" w:rsidRPr="00CE0885" w:rsidRDefault="00867DFB" w:rsidP="00855999">
      <w:pPr>
        <w:pStyle w:val="Heading2"/>
      </w:pPr>
      <w:bookmarkStart w:id="1673" w:name="_Toc498495498"/>
      <w:r w:rsidRPr="00CE0885">
        <w:t>Parental and sickness leave payments</w:t>
      </w:r>
      <w:bookmarkEnd w:id="1673"/>
    </w:p>
    <w:p w14:paraId="02F7800E" w14:textId="77777777" w:rsidR="00867DFB" w:rsidRPr="009055A7" w:rsidRDefault="00867DFB" w:rsidP="00867DFB">
      <w:pPr>
        <w:spacing w:line="360" w:lineRule="auto"/>
        <w:jc w:val="both"/>
        <w:rPr>
          <w:rFonts w:cs="Arial"/>
          <w:iCs/>
          <w:szCs w:val="24"/>
        </w:rPr>
      </w:pPr>
    </w:p>
    <w:p w14:paraId="2F5EC4D5" w14:textId="43CCEE7E" w:rsidR="00867DFB" w:rsidRPr="00CE0885" w:rsidRDefault="00867DFB" w:rsidP="005E089C">
      <w:pPr>
        <w:pStyle w:val="Heading3"/>
      </w:pPr>
      <w:r w:rsidRPr="00CE0885">
        <w:t>GP practices are entitled to claim reimbursement of the cost for providing GP performer cover when a GP performer is on parental leave or on sickness leave</w:t>
      </w:r>
      <w:r w:rsidRPr="009055A7">
        <w:rPr>
          <w:vertAlign w:val="superscript"/>
        </w:rPr>
        <w:footnoteReference w:id="14"/>
      </w:r>
      <w:r w:rsidRPr="009055A7">
        <w:t xml:space="preserve">. </w:t>
      </w:r>
    </w:p>
    <w:p w14:paraId="61B1F76B" w14:textId="77777777" w:rsidR="00867DFB" w:rsidRPr="00CE0885" w:rsidRDefault="00867DFB" w:rsidP="005E089C">
      <w:pPr>
        <w:pStyle w:val="Heading3"/>
      </w:pPr>
      <w:r w:rsidRPr="00CE0885">
        <w:t>The reimbursement of costs can be claimed where the cover is provided by:</w:t>
      </w:r>
    </w:p>
    <w:p w14:paraId="036DAE20" w14:textId="77777777" w:rsidR="00867DFB" w:rsidRPr="00CE0885" w:rsidRDefault="00867DFB" w:rsidP="00867DFB">
      <w:pPr>
        <w:spacing w:line="360" w:lineRule="auto"/>
        <w:ind w:left="360"/>
        <w:contextualSpacing/>
        <w:jc w:val="both"/>
        <w:rPr>
          <w:rFonts w:cs="Arial"/>
          <w:iCs/>
          <w:szCs w:val="24"/>
        </w:rPr>
      </w:pPr>
    </w:p>
    <w:p w14:paraId="21BDA478" w14:textId="77777777" w:rsidR="00867DFB" w:rsidRPr="00CE0885" w:rsidRDefault="00867DFB" w:rsidP="005A7DDA">
      <w:pPr>
        <w:numPr>
          <w:ilvl w:val="0"/>
          <w:numId w:val="61"/>
        </w:numPr>
        <w:spacing w:line="360" w:lineRule="auto"/>
        <w:ind w:left="851"/>
        <w:contextualSpacing/>
        <w:rPr>
          <w:rFonts w:cs="Arial"/>
          <w:iCs/>
          <w:szCs w:val="24"/>
        </w:rPr>
      </w:pPr>
      <w:r w:rsidRPr="00CE0885">
        <w:rPr>
          <w:rFonts w:cs="Arial"/>
          <w:iCs/>
          <w:szCs w:val="24"/>
        </w:rPr>
        <w:t xml:space="preserve">a locum </w:t>
      </w:r>
    </w:p>
    <w:p w14:paraId="035B54D5" w14:textId="77777777" w:rsidR="00867DFB" w:rsidRPr="00CE0885" w:rsidRDefault="00867DFB" w:rsidP="005A7DDA">
      <w:pPr>
        <w:numPr>
          <w:ilvl w:val="0"/>
          <w:numId w:val="61"/>
        </w:numPr>
        <w:spacing w:line="360" w:lineRule="auto"/>
        <w:ind w:left="851"/>
        <w:contextualSpacing/>
        <w:rPr>
          <w:rFonts w:cs="Arial"/>
          <w:iCs/>
          <w:szCs w:val="24"/>
        </w:rPr>
      </w:pPr>
      <w:r w:rsidRPr="00CE0885">
        <w:rPr>
          <w:rFonts w:cs="Arial"/>
          <w:iCs/>
          <w:szCs w:val="24"/>
        </w:rPr>
        <w:t>a GP already working in the practice but who is not full-time (either employed or a partner)</w:t>
      </w:r>
    </w:p>
    <w:p w14:paraId="61D21C8F" w14:textId="77777777" w:rsidR="00867DFB" w:rsidRPr="00CE0885" w:rsidRDefault="00867DFB" w:rsidP="00867DFB">
      <w:pPr>
        <w:spacing w:line="360" w:lineRule="auto"/>
        <w:ind w:left="851"/>
        <w:contextualSpacing/>
        <w:rPr>
          <w:rFonts w:cs="Arial"/>
          <w:iCs/>
          <w:szCs w:val="24"/>
        </w:rPr>
      </w:pPr>
    </w:p>
    <w:p w14:paraId="60D7DB01" w14:textId="1F1E9B83" w:rsidR="00867DFB" w:rsidRPr="00CE0885" w:rsidRDefault="00867DFB" w:rsidP="005E089C">
      <w:pPr>
        <w:pStyle w:val="Heading3"/>
      </w:pPr>
      <w:r w:rsidRPr="00CE0885">
        <w:t>Payments will not be made on a pro-rata basis having regard to the absent performer’s working pattern, and will be the lower of actual invoiced costs or maximum amount.</w:t>
      </w:r>
    </w:p>
    <w:p w14:paraId="2D02357F" w14:textId="64428A76" w:rsidR="00867DFB" w:rsidRDefault="00867DFB" w:rsidP="00867DFB">
      <w:pPr>
        <w:pStyle w:val="Heading3"/>
        <w:contextualSpacing/>
        <w:jc w:val="both"/>
      </w:pPr>
      <w:r w:rsidRPr="00CE0885">
        <w:t xml:space="preserve">The SFE sets out the maximum amount of reimbursement for a GP performer providing cover as follows. </w:t>
      </w:r>
    </w:p>
    <w:p w14:paraId="6C3F49A4" w14:textId="77777777" w:rsidR="005E089C" w:rsidRPr="005E089C" w:rsidRDefault="005E089C" w:rsidP="005E089C"/>
    <w:p w14:paraId="32A252A9" w14:textId="77777777" w:rsidR="00867DFB" w:rsidRPr="00CE0885" w:rsidRDefault="00867DFB" w:rsidP="00855999">
      <w:pPr>
        <w:pStyle w:val="Heading2"/>
      </w:pPr>
      <w:bookmarkStart w:id="1674" w:name="_Toc498495499"/>
      <w:r w:rsidRPr="00CE0885">
        <w:t>Parental leave</w:t>
      </w:r>
      <w:bookmarkEnd w:id="1674"/>
    </w:p>
    <w:p w14:paraId="1849E0D5" w14:textId="77777777" w:rsidR="00867DFB" w:rsidRPr="009055A7" w:rsidRDefault="00867DFB" w:rsidP="00867DFB">
      <w:pPr>
        <w:spacing w:line="360" w:lineRule="auto"/>
        <w:ind w:left="1080"/>
        <w:contextualSpacing/>
        <w:rPr>
          <w:rFonts w:cs="Arial"/>
          <w:iCs/>
          <w:szCs w:val="24"/>
        </w:rPr>
      </w:pPr>
    </w:p>
    <w:p w14:paraId="58F549AC" w14:textId="23F9BCBB" w:rsidR="00867DFB" w:rsidRPr="00CE0885" w:rsidRDefault="00867DFB" w:rsidP="005E089C">
      <w:pPr>
        <w:pStyle w:val="Heading3"/>
      </w:pPr>
      <w:r w:rsidRPr="005E089C">
        <w:rPr>
          <w:iCs/>
          <w:szCs w:val="24"/>
        </w:rPr>
        <w:t>In respect of maternity leave or adoption leave where the GP performer going</w:t>
      </w:r>
      <w:r w:rsidRPr="00CE0885">
        <w:t xml:space="preserve"> on leave is the main care provider</w:t>
      </w:r>
      <w:r w:rsidRPr="005E089C">
        <w:rPr>
          <w:iCs/>
          <w:szCs w:val="24"/>
        </w:rPr>
        <w:t xml:space="preserve">, the maximum amount payable is </w:t>
      </w:r>
      <w:r w:rsidRPr="00CE0885">
        <w:t>£1,131.74 per week for each of the first two weeks and then £1,734.18 per week for each of weeks 3 to 26.</w:t>
      </w:r>
    </w:p>
    <w:p w14:paraId="55184325" w14:textId="77777777" w:rsidR="00867DFB" w:rsidRPr="00CE0885" w:rsidRDefault="00867DFB" w:rsidP="005E089C">
      <w:pPr>
        <w:pStyle w:val="Heading3"/>
      </w:pPr>
      <w:r w:rsidRPr="00CE0885">
        <w:t>In respect of paternity leave or special leave (which is equivalent to the terms and duration of paternity leave) where the GP performer going on leave is not the main care provider, the maximum amount payable is £1,131.74 per week for each of the first two weeks.</w:t>
      </w:r>
    </w:p>
    <w:p w14:paraId="1ED4BF5B" w14:textId="77777777" w:rsidR="00867DFB" w:rsidRPr="00CE0885" w:rsidRDefault="00867DFB" w:rsidP="00867DFB">
      <w:pPr>
        <w:spacing w:line="360" w:lineRule="auto"/>
        <w:ind w:left="720"/>
        <w:contextualSpacing/>
        <w:jc w:val="both"/>
        <w:rPr>
          <w:rFonts w:cs="Arial"/>
          <w:b/>
          <w:iCs/>
          <w:szCs w:val="24"/>
        </w:rPr>
      </w:pPr>
    </w:p>
    <w:p w14:paraId="62BDC286" w14:textId="77777777" w:rsidR="00867DFB" w:rsidRPr="00CE0885" w:rsidRDefault="00867DFB" w:rsidP="00855999">
      <w:pPr>
        <w:pStyle w:val="Heading2"/>
      </w:pPr>
      <w:bookmarkStart w:id="1675" w:name="_Toc498495500"/>
      <w:r w:rsidRPr="00CE0885">
        <w:t>Sickness leave</w:t>
      </w:r>
      <w:bookmarkEnd w:id="1675"/>
    </w:p>
    <w:p w14:paraId="24DC7EED" w14:textId="77777777" w:rsidR="00867DFB" w:rsidRPr="009055A7" w:rsidRDefault="00867DFB" w:rsidP="00867DFB">
      <w:pPr>
        <w:spacing w:line="360" w:lineRule="auto"/>
        <w:ind w:left="360"/>
        <w:contextualSpacing/>
        <w:rPr>
          <w:rFonts w:cs="Arial"/>
          <w:b/>
          <w:iCs/>
          <w:szCs w:val="24"/>
        </w:rPr>
      </w:pPr>
    </w:p>
    <w:p w14:paraId="60857B9B" w14:textId="6FC34919" w:rsidR="00867DFB" w:rsidRPr="00CE0885" w:rsidRDefault="00867DFB" w:rsidP="005E089C">
      <w:pPr>
        <w:pStyle w:val="Heading3"/>
      </w:pPr>
      <w:r w:rsidRPr="00CE0885">
        <w:t xml:space="preserve">In respect of sickness leave, for each period of sickness absence, there is a qualifying period of two weeks during which time no payments are made.  </w:t>
      </w:r>
    </w:p>
    <w:p w14:paraId="6F4EB19B" w14:textId="4254DC16" w:rsidR="00867DFB" w:rsidRPr="00CE0885" w:rsidRDefault="00867DFB" w:rsidP="005E089C">
      <w:pPr>
        <w:pStyle w:val="Heading3"/>
      </w:pPr>
      <w:r w:rsidRPr="00CE0885">
        <w:t xml:space="preserve">After two weeks, payments start and the maximum amount payable is £1,734.18 per week for each of weeks 3 to 28. Thereafter, the maximum amount payable is £867.09 per week for each of weeks 29 to 54.  .  </w:t>
      </w:r>
    </w:p>
    <w:p w14:paraId="3900894F" w14:textId="77777777" w:rsidR="00867DFB" w:rsidRPr="00CE0885" w:rsidRDefault="00867DFB" w:rsidP="005E089C">
      <w:pPr>
        <w:pStyle w:val="Heading3"/>
      </w:pPr>
      <w:r w:rsidRPr="00CE0885">
        <w:t xml:space="preserve">As set out in the SFE, for weeks 29 to 54 the commissioner will pay half of whatever it determined was payable for weeks 3 to 28. The SFE also sets out a methodology for calculating these periods with respect to any payments made in the previous 52 weeks and that methodology continues to apply. </w:t>
      </w:r>
    </w:p>
    <w:p w14:paraId="64A07B3B" w14:textId="77777777" w:rsidR="00867DFB" w:rsidRPr="00CE0885" w:rsidRDefault="00867DFB" w:rsidP="00867DFB">
      <w:pPr>
        <w:spacing w:line="360" w:lineRule="auto"/>
        <w:ind w:left="360"/>
        <w:contextualSpacing/>
        <w:rPr>
          <w:rFonts w:cs="Arial"/>
          <w:iCs/>
          <w:szCs w:val="24"/>
        </w:rPr>
      </w:pPr>
    </w:p>
    <w:p w14:paraId="7BA476F9" w14:textId="77777777" w:rsidR="00867DFB" w:rsidRPr="00CE0885" w:rsidRDefault="00867DFB" w:rsidP="00855999">
      <w:pPr>
        <w:pStyle w:val="Heading2"/>
      </w:pPr>
      <w:bookmarkStart w:id="1676" w:name="_Toc498495501"/>
      <w:r w:rsidRPr="00CE0885">
        <w:t>Further discretionary payments</w:t>
      </w:r>
      <w:bookmarkEnd w:id="1676"/>
    </w:p>
    <w:p w14:paraId="6F7527EA" w14:textId="77777777" w:rsidR="00867DFB" w:rsidRPr="00CE0885" w:rsidRDefault="00867DFB" w:rsidP="005E089C">
      <w:pPr>
        <w:pStyle w:val="Heading3"/>
        <w:rPr>
          <w:rFonts w:eastAsia="MS Mincho"/>
        </w:rPr>
      </w:pPr>
      <w:r w:rsidRPr="009055A7">
        <w:rPr>
          <w:rFonts w:eastAsia="MS Mincho"/>
        </w:rPr>
        <w:t xml:space="preserve">This protocol details (as required under paragraph 25.16 of the SFE) a </w:t>
      </w:r>
      <w:r w:rsidRPr="00CE0885">
        <w:rPr>
          <w:rFonts w:eastAsia="MS Mincho"/>
        </w:rPr>
        <w:t xml:space="preserve">number of policies the commissioner is obliged to set out: </w:t>
      </w:r>
    </w:p>
    <w:p w14:paraId="7C8926C7" w14:textId="77777777" w:rsidR="00867DFB" w:rsidRPr="00CE0885" w:rsidRDefault="00867DFB" w:rsidP="00867DFB">
      <w:pPr>
        <w:spacing w:line="360" w:lineRule="auto"/>
        <w:rPr>
          <w:rFonts w:eastAsia="MS Mincho" w:cs="Arial"/>
        </w:rPr>
      </w:pPr>
    </w:p>
    <w:p w14:paraId="34A19A5A" w14:textId="77777777" w:rsidR="00867DFB" w:rsidRPr="00CE0885" w:rsidRDefault="00867DFB" w:rsidP="005A7DDA">
      <w:pPr>
        <w:numPr>
          <w:ilvl w:val="0"/>
          <w:numId w:val="62"/>
        </w:numPr>
        <w:spacing w:line="360" w:lineRule="auto"/>
        <w:ind w:left="851"/>
        <w:contextualSpacing/>
        <w:rPr>
          <w:rFonts w:eastAsia="MS Mincho" w:cs="Arial"/>
          <w:szCs w:val="24"/>
        </w:rPr>
      </w:pPr>
      <w:r w:rsidRPr="00CE0885">
        <w:rPr>
          <w:rFonts w:eastAsia="MS Mincho" w:cs="Arial"/>
          <w:szCs w:val="24"/>
        </w:rPr>
        <w:t>how the commissioner is likely to exercise its discretionary powers to make payments (including top-up payments) in respect of locum cover for parental or sickness leave, where it is not obliged to make such payments;</w:t>
      </w:r>
    </w:p>
    <w:p w14:paraId="36AB447D" w14:textId="77777777" w:rsidR="00867DFB" w:rsidRPr="00CE0885" w:rsidRDefault="00867DFB" w:rsidP="005A7DDA">
      <w:pPr>
        <w:numPr>
          <w:ilvl w:val="0"/>
          <w:numId w:val="62"/>
        </w:numPr>
        <w:spacing w:line="360" w:lineRule="auto"/>
        <w:ind w:left="851"/>
        <w:contextualSpacing/>
        <w:rPr>
          <w:rFonts w:eastAsia="MS Mincho" w:cs="Arial"/>
          <w:szCs w:val="24"/>
        </w:rPr>
      </w:pPr>
      <w:r w:rsidRPr="00CE0885">
        <w:rPr>
          <w:rFonts w:eastAsia="MS Mincho" w:cs="Arial"/>
          <w:szCs w:val="24"/>
        </w:rPr>
        <w:t xml:space="preserve">where the commissioner is obliged to make payments in respect of cover for parental or sickness leave pursuant to Part 4 of the SFE, the circumstances in which it is likely to make payments of less than the maximum amount payable; </w:t>
      </w:r>
    </w:p>
    <w:p w14:paraId="636F486C" w14:textId="77777777" w:rsidR="00867DFB" w:rsidRPr="00CE0885" w:rsidRDefault="00867DFB" w:rsidP="005A7DDA">
      <w:pPr>
        <w:numPr>
          <w:ilvl w:val="0"/>
          <w:numId w:val="62"/>
        </w:numPr>
        <w:spacing w:line="360" w:lineRule="auto"/>
        <w:ind w:left="851"/>
        <w:contextualSpacing/>
        <w:rPr>
          <w:rFonts w:eastAsia="MS Mincho" w:cs="Arial"/>
          <w:szCs w:val="24"/>
        </w:rPr>
      </w:pPr>
      <w:r w:rsidRPr="00CE0885">
        <w:rPr>
          <w:rFonts w:eastAsia="MS Mincho" w:cs="Arial"/>
          <w:szCs w:val="24"/>
        </w:rPr>
        <w:t>how the commissioner is likely to exercise its discretionary powers to make payments in respect of cover for absent GP performers, which is provided by nurses or other health care professionals;</w:t>
      </w:r>
    </w:p>
    <w:p w14:paraId="3F3A4F58" w14:textId="77777777" w:rsidR="00867DFB" w:rsidRPr="00CE0885" w:rsidRDefault="00867DFB" w:rsidP="005A7DDA">
      <w:pPr>
        <w:numPr>
          <w:ilvl w:val="0"/>
          <w:numId w:val="62"/>
        </w:numPr>
        <w:spacing w:line="360" w:lineRule="auto"/>
        <w:ind w:left="851"/>
        <w:contextualSpacing/>
        <w:rPr>
          <w:rFonts w:eastAsia="MS Mincho" w:cs="Arial"/>
          <w:szCs w:val="24"/>
        </w:rPr>
      </w:pPr>
      <w:r w:rsidRPr="00CE0885">
        <w:rPr>
          <w:rFonts w:cs="Arial"/>
        </w:rPr>
        <w:t xml:space="preserve">how the commissioner is likely to exercise its discretionary powers to make payments to a partner or employee who is providing locum cover </w:t>
      </w:r>
    </w:p>
    <w:p w14:paraId="3B02C354" w14:textId="77777777" w:rsidR="00867DFB" w:rsidRPr="005E089C" w:rsidRDefault="00867DFB" w:rsidP="005A7DDA">
      <w:pPr>
        <w:numPr>
          <w:ilvl w:val="0"/>
          <w:numId w:val="62"/>
        </w:numPr>
        <w:spacing w:line="360" w:lineRule="auto"/>
        <w:ind w:left="851"/>
        <w:contextualSpacing/>
        <w:rPr>
          <w:rFonts w:eastAsia="MS Mincho" w:cs="Arial"/>
          <w:szCs w:val="24"/>
        </w:rPr>
      </w:pPr>
      <w:r w:rsidRPr="00CE0885">
        <w:rPr>
          <w:rFonts w:cs="Arial"/>
        </w:rPr>
        <w:t>how the commissioner is likely to use its discretionary powers to make payments in respect of long term sickness absence exceeding 52 weeks</w:t>
      </w:r>
    </w:p>
    <w:p w14:paraId="4C8C0312" w14:textId="77777777" w:rsidR="005E089C" w:rsidRPr="00CE0885" w:rsidRDefault="005E089C" w:rsidP="005E089C">
      <w:pPr>
        <w:spacing w:line="360" w:lineRule="auto"/>
        <w:ind w:left="851"/>
        <w:contextualSpacing/>
        <w:rPr>
          <w:rFonts w:eastAsia="MS Mincho" w:cs="Arial"/>
          <w:szCs w:val="24"/>
        </w:rPr>
      </w:pPr>
    </w:p>
    <w:p w14:paraId="13BE9AE4" w14:textId="77777777" w:rsidR="00867DFB" w:rsidRPr="00CE0885" w:rsidRDefault="00867DFB" w:rsidP="00855999">
      <w:pPr>
        <w:pStyle w:val="Heading2"/>
      </w:pPr>
      <w:bookmarkStart w:id="1677" w:name="_Toc498495502"/>
      <w:r w:rsidRPr="00CE0885">
        <w:t>Discretionary powers in respect of cover for parental and sickness leave</w:t>
      </w:r>
      <w:bookmarkEnd w:id="1677"/>
    </w:p>
    <w:p w14:paraId="1248E549" w14:textId="77777777" w:rsidR="00867DFB" w:rsidRPr="009055A7" w:rsidRDefault="00867DFB" w:rsidP="00867DFB">
      <w:pPr>
        <w:spacing w:line="360" w:lineRule="auto"/>
        <w:rPr>
          <w:rFonts w:cs="Arial"/>
        </w:rPr>
      </w:pPr>
    </w:p>
    <w:p w14:paraId="1190EDCD" w14:textId="77777777" w:rsidR="00867DFB" w:rsidRPr="00CE0885" w:rsidRDefault="00867DFB" w:rsidP="005E089C">
      <w:pPr>
        <w:pStyle w:val="Heading3"/>
      </w:pPr>
      <w:r w:rsidRPr="00CE0885">
        <w:t xml:space="preserve">The commissioner has discretion to make payments in circumstances where it is not obliged to under the terms of the SFE, including top-up payments above the level of the agreed weekly maximum. </w:t>
      </w:r>
    </w:p>
    <w:p w14:paraId="7FFF8180" w14:textId="77777777" w:rsidR="00867DFB" w:rsidRPr="00CE0885" w:rsidRDefault="00867DFB" w:rsidP="00867DFB">
      <w:pPr>
        <w:spacing w:line="360" w:lineRule="auto"/>
        <w:rPr>
          <w:rFonts w:cs="Arial"/>
          <w:szCs w:val="24"/>
        </w:rPr>
      </w:pPr>
    </w:p>
    <w:p w14:paraId="0817F5E7" w14:textId="77777777" w:rsidR="00867DFB" w:rsidRPr="00CE0885" w:rsidRDefault="00867DFB" w:rsidP="005E089C">
      <w:pPr>
        <w:pStyle w:val="Heading3"/>
      </w:pPr>
      <w:r w:rsidRPr="00CE0885">
        <w:t xml:space="preserve">The commissioner is likely to exercise these discretionary powers to make payments </w:t>
      </w:r>
      <w:r w:rsidRPr="00CE0885">
        <w:rPr>
          <w:b/>
        </w:rPr>
        <w:t xml:space="preserve">only </w:t>
      </w:r>
      <w:r w:rsidRPr="00CE0885">
        <w:t xml:space="preserve">in exceptional circumstances, for example (but not limited to) consideration of: </w:t>
      </w:r>
    </w:p>
    <w:p w14:paraId="1A414FB3" w14:textId="77777777" w:rsidR="00867DFB" w:rsidRPr="00CE0885" w:rsidRDefault="00867DFB" w:rsidP="00867DFB">
      <w:pPr>
        <w:spacing w:line="360" w:lineRule="auto"/>
        <w:contextualSpacing/>
        <w:rPr>
          <w:rFonts w:cs="Arial"/>
          <w:szCs w:val="24"/>
        </w:rPr>
      </w:pPr>
    </w:p>
    <w:p w14:paraId="569B4305" w14:textId="77777777" w:rsidR="00867DFB" w:rsidRPr="00CE0885" w:rsidRDefault="00867DFB" w:rsidP="005A7DDA">
      <w:pPr>
        <w:numPr>
          <w:ilvl w:val="0"/>
          <w:numId w:val="62"/>
        </w:numPr>
        <w:spacing w:line="360" w:lineRule="auto"/>
        <w:ind w:left="851"/>
        <w:contextualSpacing/>
        <w:rPr>
          <w:rFonts w:eastAsia="MS Mincho" w:cs="Arial"/>
          <w:szCs w:val="24"/>
        </w:rPr>
      </w:pPr>
      <w:r w:rsidRPr="00CE0885">
        <w:rPr>
          <w:rFonts w:eastAsia="MS Mincho" w:cs="Arial"/>
          <w:szCs w:val="24"/>
        </w:rPr>
        <w:t>demonstrable financial hardship</w:t>
      </w:r>
    </w:p>
    <w:p w14:paraId="1D66EB1D" w14:textId="77777777" w:rsidR="00867DFB" w:rsidRPr="00CE0885" w:rsidRDefault="00867DFB" w:rsidP="005A7DDA">
      <w:pPr>
        <w:numPr>
          <w:ilvl w:val="0"/>
          <w:numId w:val="62"/>
        </w:numPr>
        <w:spacing w:line="360" w:lineRule="auto"/>
        <w:ind w:left="851"/>
        <w:contextualSpacing/>
        <w:rPr>
          <w:rFonts w:eastAsia="MS Mincho" w:cs="Arial"/>
          <w:szCs w:val="24"/>
        </w:rPr>
      </w:pPr>
      <w:r w:rsidRPr="00CE0885">
        <w:rPr>
          <w:rFonts w:eastAsia="MS Mincho" w:cs="Arial"/>
          <w:szCs w:val="24"/>
        </w:rPr>
        <w:t>areas of significant deprivation</w:t>
      </w:r>
    </w:p>
    <w:p w14:paraId="10567847" w14:textId="77777777" w:rsidR="00867DFB" w:rsidRPr="00CE0885" w:rsidRDefault="00867DFB" w:rsidP="005A7DDA">
      <w:pPr>
        <w:numPr>
          <w:ilvl w:val="0"/>
          <w:numId w:val="62"/>
        </w:numPr>
        <w:spacing w:line="360" w:lineRule="auto"/>
        <w:ind w:left="851"/>
        <w:contextualSpacing/>
        <w:rPr>
          <w:rFonts w:eastAsia="MS Mincho" w:cs="Arial"/>
          <w:szCs w:val="24"/>
        </w:rPr>
      </w:pPr>
      <w:r w:rsidRPr="00CE0885">
        <w:rPr>
          <w:rFonts w:eastAsia="MS Mincho" w:cs="Arial"/>
          <w:szCs w:val="24"/>
        </w:rPr>
        <w:t>GP recruitment difficulties</w:t>
      </w:r>
    </w:p>
    <w:p w14:paraId="6050ECDF" w14:textId="77777777" w:rsidR="00867DFB" w:rsidRPr="00CE0885" w:rsidRDefault="00867DFB" w:rsidP="005A7DDA">
      <w:pPr>
        <w:numPr>
          <w:ilvl w:val="0"/>
          <w:numId w:val="62"/>
        </w:numPr>
        <w:spacing w:line="360" w:lineRule="auto"/>
        <w:ind w:left="851"/>
        <w:contextualSpacing/>
        <w:rPr>
          <w:rFonts w:eastAsia="MS Mincho" w:cs="Arial"/>
          <w:szCs w:val="24"/>
        </w:rPr>
      </w:pPr>
      <w:r w:rsidRPr="00CE0885">
        <w:rPr>
          <w:rFonts w:eastAsia="MS Mincho" w:cs="Arial"/>
          <w:szCs w:val="24"/>
        </w:rPr>
        <w:t>applications from single-handed GPs</w:t>
      </w:r>
    </w:p>
    <w:p w14:paraId="1B9BFFE1" w14:textId="77777777" w:rsidR="00867DFB" w:rsidRPr="00CE0885" w:rsidRDefault="00867DFB" w:rsidP="005A7DDA">
      <w:pPr>
        <w:numPr>
          <w:ilvl w:val="0"/>
          <w:numId w:val="62"/>
        </w:numPr>
        <w:spacing w:line="360" w:lineRule="auto"/>
        <w:ind w:left="851"/>
        <w:contextualSpacing/>
        <w:rPr>
          <w:rFonts w:eastAsia="MS Mincho" w:cs="Arial"/>
          <w:szCs w:val="24"/>
        </w:rPr>
      </w:pPr>
      <w:r w:rsidRPr="00CE0885">
        <w:rPr>
          <w:rFonts w:eastAsia="MS Mincho" w:cs="Arial"/>
          <w:szCs w:val="24"/>
        </w:rPr>
        <w:t>applications from nurse-led PMS practices</w:t>
      </w:r>
    </w:p>
    <w:p w14:paraId="4AB41E8C" w14:textId="77777777" w:rsidR="00867DFB" w:rsidRPr="00CE0885" w:rsidRDefault="00867DFB" w:rsidP="00867DFB">
      <w:pPr>
        <w:spacing w:line="360" w:lineRule="auto"/>
        <w:contextualSpacing/>
        <w:rPr>
          <w:rFonts w:cs="Arial"/>
          <w:szCs w:val="24"/>
        </w:rPr>
      </w:pPr>
    </w:p>
    <w:p w14:paraId="7B04C975" w14:textId="77777777" w:rsidR="00867DFB" w:rsidRPr="00CE0885" w:rsidRDefault="00867DFB" w:rsidP="005E089C">
      <w:pPr>
        <w:pStyle w:val="Heading3"/>
      </w:pPr>
      <w:r w:rsidRPr="00CE0885">
        <w:t xml:space="preserve">Where practices plan to apply for reimbursement in such circumstances they should always ensure they have written agreement from the commissioner prior to arranging cover.  </w:t>
      </w:r>
    </w:p>
    <w:p w14:paraId="01B17D3A" w14:textId="77777777" w:rsidR="00867DFB" w:rsidRPr="00CE0885" w:rsidRDefault="00867DFB" w:rsidP="00867DFB">
      <w:pPr>
        <w:spacing w:line="360" w:lineRule="auto"/>
        <w:jc w:val="both"/>
        <w:rPr>
          <w:rFonts w:cs="Arial"/>
        </w:rPr>
      </w:pPr>
    </w:p>
    <w:p w14:paraId="111DC6F5" w14:textId="77777777" w:rsidR="00867DFB" w:rsidRPr="00CE0885" w:rsidRDefault="00867DFB" w:rsidP="00855999">
      <w:pPr>
        <w:pStyle w:val="Heading2"/>
      </w:pPr>
      <w:bookmarkStart w:id="1678" w:name="_Toc498495503"/>
      <w:r w:rsidRPr="00CE0885">
        <w:t>Circumstances where it is likely payments will be less than the maximum amount payable</w:t>
      </w:r>
      <w:bookmarkEnd w:id="1678"/>
    </w:p>
    <w:p w14:paraId="3E6650EA" w14:textId="77777777" w:rsidR="00867DFB" w:rsidRPr="009055A7" w:rsidRDefault="00867DFB" w:rsidP="00867DFB">
      <w:pPr>
        <w:spacing w:line="360" w:lineRule="auto"/>
        <w:jc w:val="both"/>
        <w:rPr>
          <w:rFonts w:cs="Arial"/>
          <w:b/>
          <w:szCs w:val="24"/>
        </w:rPr>
      </w:pPr>
    </w:p>
    <w:p w14:paraId="763AFC6B" w14:textId="77777777" w:rsidR="00867DFB" w:rsidRPr="00CE0885" w:rsidRDefault="00867DFB" w:rsidP="005E089C">
      <w:pPr>
        <w:pStyle w:val="Heading3"/>
      </w:pPr>
      <w:r w:rsidRPr="00CE0885">
        <w:t>The commissioner will pay the maximum amount payable except in the following circumstances:</w:t>
      </w:r>
    </w:p>
    <w:p w14:paraId="4FF285CA" w14:textId="77777777" w:rsidR="00867DFB" w:rsidRPr="00F466C6" w:rsidRDefault="00867DFB" w:rsidP="005A7DDA">
      <w:pPr>
        <w:pStyle w:val="BodyText"/>
        <w:numPr>
          <w:ilvl w:val="0"/>
          <w:numId w:val="135"/>
        </w:numPr>
        <w:rPr>
          <w:sz w:val="24"/>
          <w:szCs w:val="24"/>
        </w:rPr>
      </w:pPr>
      <w:r w:rsidRPr="00F466C6">
        <w:rPr>
          <w:sz w:val="24"/>
          <w:szCs w:val="24"/>
        </w:rPr>
        <w:t xml:space="preserve">Where actual invoiced costs are less than the maximum amount payable, then the commissioner will pay the actual invoiced costs subject to the provisions of this protocol including the bullet points below. </w:t>
      </w:r>
    </w:p>
    <w:p w14:paraId="26036609" w14:textId="77777777" w:rsidR="00867DFB" w:rsidRPr="00F466C6" w:rsidRDefault="00867DFB" w:rsidP="005A7DDA">
      <w:pPr>
        <w:pStyle w:val="BodyText"/>
        <w:numPr>
          <w:ilvl w:val="0"/>
          <w:numId w:val="135"/>
        </w:numPr>
        <w:rPr>
          <w:sz w:val="24"/>
          <w:szCs w:val="24"/>
        </w:rPr>
      </w:pPr>
      <w:r w:rsidRPr="00F466C6">
        <w:rPr>
          <w:sz w:val="24"/>
          <w:szCs w:val="24"/>
        </w:rPr>
        <w:t xml:space="preserve">With respect to parental leave, where the commissioner agrees to make payments for any weeks between weeks 27 to 52 for cover for additional maternity leave or adoption leave, the commissioner will pay the lower of either 50 per cent of the weekly rate it paid for weeks 3 to 26 or 50 per cent of the actual invoiced costs.  </w:t>
      </w:r>
    </w:p>
    <w:p w14:paraId="6B6E1DF7" w14:textId="77777777" w:rsidR="00867DFB" w:rsidRPr="00CE0885" w:rsidRDefault="00867DFB" w:rsidP="00867DFB">
      <w:pPr>
        <w:spacing w:line="360" w:lineRule="auto"/>
        <w:jc w:val="both"/>
        <w:rPr>
          <w:rFonts w:cs="Arial"/>
          <w:b/>
          <w:szCs w:val="24"/>
        </w:rPr>
      </w:pPr>
    </w:p>
    <w:p w14:paraId="7A807D7F" w14:textId="77777777" w:rsidR="00867DFB" w:rsidRPr="00CE0885" w:rsidRDefault="00867DFB" w:rsidP="00855999">
      <w:pPr>
        <w:pStyle w:val="Heading2"/>
      </w:pPr>
      <w:bookmarkStart w:id="1679" w:name="_Toc498495504"/>
      <w:r w:rsidRPr="00CE0885">
        <w:t>Payments for locum cover provided by nurses or other healthcare professionals</w:t>
      </w:r>
      <w:bookmarkEnd w:id="1679"/>
    </w:p>
    <w:p w14:paraId="2E5B5937" w14:textId="77777777" w:rsidR="00867DFB" w:rsidRPr="009055A7" w:rsidRDefault="00867DFB" w:rsidP="00867DFB">
      <w:pPr>
        <w:spacing w:line="360" w:lineRule="auto"/>
        <w:rPr>
          <w:rFonts w:cs="Arial"/>
        </w:rPr>
      </w:pPr>
    </w:p>
    <w:p w14:paraId="017A5200" w14:textId="77777777" w:rsidR="00867DFB" w:rsidRPr="00CE0885" w:rsidRDefault="00867DFB" w:rsidP="005E089C">
      <w:pPr>
        <w:pStyle w:val="Heading3"/>
      </w:pPr>
      <w:r w:rsidRPr="00CE0885">
        <w:t xml:space="preserve">The commissioner will not pay for cover provided by nurses or other healthcare professionals. </w:t>
      </w:r>
    </w:p>
    <w:p w14:paraId="4CA87442" w14:textId="77777777" w:rsidR="00867DFB" w:rsidRPr="00CE0885" w:rsidRDefault="00867DFB" w:rsidP="00855999">
      <w:pPr>
        <w:pStyle w:val="Heading2"/>
      </w:pPr>
      <w:bookmarkStart w:id="1680" w:name="_Toc498495505"/>
      <w:r w:rsidRPr="00CE0885">
        <w:t>Payments to a partner or employee who is providing cover</w:t>
      </w:r>
      <w:bookmarkEnd w:id="1680"/>
      <w:r w:rsidRPr="00CE0885">
        <w:t xml:space="preserve"> </w:t>
      </w:r>
    </w:p>
    <w:p w14:paraId="7580F2E6" w14:textId="77777777" w:rsidR="00867DFB" w:rsidRPr="009055A7" w:rsidRDefault="00867DFB" w:rsidP="00867DFB">
      <w:pPr>
        <w:spacing w:line="360" w:lineRule="auto"/>
        <w:rPr>
          <w:rFonts w:cs="Arial"/>
        </w:rPr>
      </w:pPr>
    </w:p>
    <w:p w14:paraId="6EF34E93" w14:textId="77777777" w:rsidR="00867DFB" w:rsidRPr="00CE0885" w:rsidRDefault="00867DFB" w:rsidP="005E089C">
      <w:pPr>
        <w:pStyle w:val="Heading3"/>
      </w:pPr>
      <w:r w:rsidRPr="00CE0885">
        <w:t>Where a contractor wishes to engage the services of a partner or shareholder in, or an employee of, that contractor, payments will be made to the GP practice in accordance with the normal provisions set out above. However, the GP performer providing cover would only be permitted to work up to the full-time limit of nine clinical sessions per working week. The maximum of nine clinical sessions per working week is to include any existing / normal commitments by the GP performer providing the cover.</w:t>
      </w:r>
    </w:p>
    <w:p w14:paraId="071A4256" w14:textId="77777777" w:rsidR="00867DFB" w:rsidRPr="00CE0885" w:rsidRDefault="00867DFB" w:rsidP="003331F2">
      <w:pPr>
        <w:pStyle w:val="BodyText"/>
      </w:pPr>
    </w:p>
    <w:p w14:paraId="722CCA3D" w14:textId="2C99CA18" w:rsidR="00867DFB" w:rsidRPr="005E089C" w:rsidRDefault="00867DFB" w:rsidP="005E089C">
      <w:pPr>
        <w:pStyle w:val="Heading2"/>
      </w:pPr>
      <w:bookmarkStart w:id="1681" w:name="_Toc498495506"/>
      <w:r w:rsidRPr="005E089C">
        <w:t>Discretionary payments in respect of long term sickness absence exceeding 52 weeks</w:t>
      </w:r>
      <w:bookmarkEnd w:id="1681"/>
    </w:p>
    <w:p w14:paraId="27FE2D35" w14:textId="23B63876" w:rsidR="00867DFB" w:rsidRPr="00CE0885" w:rsidRDefault="00867DFB" w:rsidP="005E089C">
      <w:pPr>
        <w:pStyle w:val="Heading3"/>
      </w:pPr>
      <w:r w:rsidRPr="009055A7">
        <w:t xml:space="preserve">Where a GP performer </w:t>
      </w:r>
      <w:r w:rsidRPr="00CE0885">
        <w:t xml:space="preserve">is on long term sickness leave, and locum payments are no longer payable under Section 16 of the SFE, it will be at the commissioner’s discretion whether to continue to make payments. </w:t>
      </w:r>
    </w:p>
    <w:p w14:paraId="5D1906CB" w14:textId="77777777" w:rsidR="00867DFB" w:rsidRPr="00CE0885" w:rsidRDefault="00867DFB" w:rsidP="005E089C">
      <w:pPr>
        <w:pStyle w:val="Heading3"/>
      </w:pPr>
      <w:r w:rsidRPr="00CE0885">
        <w:t xml:space="preserve">In any case, those payments will not exceed the half rate payable in the second period of 26 weeks under paragraph 16.6(b) of the SFE, or the amount that would be payable under the NHS Pension Scheme Regulations if the performer retired on ground of permanent incapacity, whichever is the lower </w:t>
      </w:r>
    </w:p>
    <w:p w14:paraId="242690F6" w14:textId="77777777" w:rsidR="00867DFB" w:rsidRPr="00CE0885" w:rsidRDefault="00867DFB" w:rsidP="00867DFB">
      <w:pPr>
        <w:spacing w:line="360" w:lineRule="auto"/>
        <w:ind w:left="720"/>
        <w:contextualSpacing/>
        <w:rPr>
          <w:rFonts w:cs="Arial"/>
        </w:rPr>
      </w:pPr>
    </w:p>
    <w:p w14:paraId="7693E077" w14:textId="77777777" w:rsidR="00867DFB" w:rsidRPr="00CE0885" w:rsidRDefault="00867DFB" w:rsidP="00855999">
      <w:pPr>
        <w:pStyle w:val="Heading2"/>
      </w:pPr>
      <w:bookmarkStart w:id="1682" w:name="_Toc498495507"/>
      <w:r w:rsidRPr="00CE0885">
        <w:t>Claims and payments</w:t>
      </w:r>
      <w:bookmarkEnd w:id="1682"/>
      <w:r w:rsidRPr="00CE0885">
        <w:t xml:space="preserve"> </w:t>
      </w:r>
    </w:p>
    <w:p w14:paraId="221730CA" w14:textId="77777777" w:rsidR="00867DFB" w:rsidRPr="00CE0885" w:rsidRDefault="00867DFB" w:rsidP="00867DFB">
      <w:pPr>
        <w:spacing w:line="360" w:lineRule="auto"/>
        <w:contextualSpacing/>
        <w:jc w:val="both"/>
        <w:rPr>
          <w:rFonts w:cs="Arial"/>
          <w:b/>
          <w:iCs/>
          <w:sz w:val="28"/>
          <w:szCs w:val="28"/>
        </w:rPr>
      </w:pPr>
    </w:p>
    <w:p w14:paraId="1046AEAE" w14:textId="20BC5766" w:rsidR="00867DFB" w:rsidRPr="00CE0885" w:rsidRDefault="00867DFB" w:rsidP="005E089C">
      <w:pPr>
        <w:pStyle w:val="Heading3"/>
      </w:pPr>
      <w:r w:rsidRPr="009055A7">
        <w:t>For par</w:t>
      </w:r>
      <w:r w:rsidRPr="00CE0885">
        <w:t xml:space="preserve">ental leave, payments start from the day the GP performer goes on parental leave for the periods set out above and payment weeks are five working days. </w:t>
      </w:r>
    </w:p>
    <w:p w14:paraId="017EBEA6" w14:textId="11515599" w:rsidR="00867DFB" w:rsidRPr="00CE0885" w:rsidRDefault="00867DFB" w:rsidP="005E089C">
      <w:pPr>
        <w:pStyle w:val="Heading3"/>
      </w:pPr>
      <w:r w:rsidRPr="00CE0885">
        <w:t xml:space="preserve">For sickness leave, payments start two weeks from the day the GP performer goes on sick leave for the periods set out above and payment weeks are also five working days. </w:t>
      </w:r>
    </w:p>
    <w:p w14:paraId="766493EF" w14:textId="77777777" w:rsidR="00867DFB" w:rsidRPr="00CE0885" w:rsidRDefault="00867DFB" w:rsidP="005E089C">
      <w:pPr>
        <w:pStyle w:val="Heading3"/>
      </w:pPr>
      <w:r w:rsidRPr="00CE0885">
        <w:t>A sample claim form is at Annex A.</w:t>
      </w:r>
    </w:p>
    <w:p w14:paraId="0B8C406B" w14:textId="77777777" w:rsidR="00867DFB" w:rsidRPr="00CE0885" w:rsidRDefault="00867DFB" w:rsidP="00867DFB">
      <w:pPr>
        <w:spacing w:line="360" w:lineRule="auto"/>
        <w:jc w:val="both"/>
        <w:rPr>
          <w:rFonts w:cs="Arial"/>
          <w:szCs w:val="24"/>
        </w:rPr>
      </w:pPr>
    </w:p>
    <w:p w14:paraId="1E8FEE43" w14:textId="77777777" w:rsidR="00867DFB" w:rsidRPr="00CE0885" w:rsidRDefault="00867DFB" w:rsidP="00867DFB">
      <w:pPr>
        <w:spacing w:line="360" w:lineRule="auto"/>
        <w:rPr>
          <w:rFonts w:cs="Arial"/>
          <w:szCs w:val="24"/>
        </w:rPr>
      </w:pPr>
      <w:r w:rsidRPr="00CE0885">
        <w:rPr>
          <w:rFonts w:cs="Arial"/>
          <w:szCs w:val="24"/>
        </w:rPr>
        <w:br w:type="page"/>
      </w:r>
    </w:p>
    <w:p w14:paraId="12B44C52" w14:textId="77777777" w:rsidR="00867DFB" w:rsidRPr="00CE0885" w:rsidRDefault="00867DFB" w:rsidP="00867DFB">
      <w:pPr>
        <w:spacing w:line="360" w:lineRule="auto"/>
        <w:contextualSpacing/>
        <w:jc w:val="right"/>
        <w:rPr>
          <w:rFonts w:cs="Arial"/>
          <w:b/>
          <w:kern w:val="32"/>
          <w:sz w:val="32"/>
          <w:szCs w:val="32"/>
        </w:rPr>
      </w:pPr>
      <w:r w:rsidRPr="00CE0885">
        <w:rPr>
          <w:rFonts w:cs="Arial"/>
          <w:b/>
          <w:kern w:val="32"/>
          <w:sz w:val="32"/>
          <w:szCs w:val="32"/>
        </w:rPr>
        <w:t>Annex A</w:t>
      </w:r>
    </w:p>
    <w:p w14:paraId="29E0A04F" w14:textId="77777777" w:rsidR="00867DFB" w:rsidRPr="00CE0885" w:rsidRDefault="00867DFB" w:rsidP="00867DFB">
      <w:pPr>
        <w:spacing w:line="360" w:lineRule="auto"/>
        <w:contextualSpacing/>
        <w:jc w:val="both"/>
        <w:rPr>
          <w:rFonts w:cs="Arial"/>
          <w:b/>
          <w:kern w:val="32"/>
          <w:sz w:val="32"/>
          <w:szCs w:val="32"/>
        </w:rPr>
      </w:pPr>
      <w:r w:rsidRPr="00CE0885">
        <w:rPr>
          <w:rFonts w:cs="Arial"/>
          <w:b/>
          <w:kern w:val="32"/>
          <w:sz w:val="32"/>
          <w:szCs w:val="32"/>
        </w:rPr>
        <w:t>Sample claim form</w:t>
      </w:r>
    </w:p>
    <w:p w14:paraId="2972CB38" w14:textId="77777777" w:rsidR="00867DFB" w:rsidRPr="009055A7" w:rsidRDefault="00867DFB" w:rsidP="00867DFB">
      <w:pPr>
        <w:spacing w:line="360" w:lineRule="auto"/>
        <w:rPr>
          <w:rFonts w:cs="Arial"/>
        </w:rPr>
      </w:pPr>
    </w:p>
    <w:p w14:paraId="33EAF8FD" w14:textId="77777777" w:rsidR="00867DFB" w:rsidRPr="00CE0885" w:rsidRDefault="00867DFB" w:rsidP="00867DFB">
      <w:pPr>
        <w:spacing w:line="360" w:lineRule="auto"/>
        <w:rPr>
          <w:rFonts w:cs="Arial"/>
        </w:rPr>
      </w:pPr>
    </w:p>
    <w:p w14:paraId="585ECCFD" w14:textId="77777777" w:rsidR="00867DFB" w:rsidRPr="00CE0885" w:rsidRDefault="00867DFB" w:rsidP="00867DFB">
      <w:pPr>
        <w:spacing w:line="360" w:lineRule="auto"/>
        <w:rPr>
          <w:rFonts w:cs="Arial"/>
          <w:b/>
        </w:rPr>
      </w:pPr>
      <w:r w:rsidRPr="00CE0885">
        <w:rPr>
          <w:rFonts w:cs="Arial"/>
          <w:b/>
        </w:rPr>
        <w:t>Claim for additional payments during parental or sickness leave</w:t>
      </w:r>
    </w:p>
    <w:p w14:paraId="47EADFE6" w14:textId="77777777" w:rsidR="00867DFB" w:rsidRPr="00CE0885" w:rsidRDefault="00867DFB" w:rsidP="00867DFB">
      <w:pPr>
        <w:spacing w:line="360" w:lineRule="auto"/>
        <w:rPr>
          <w:rFonts w:cs="Arial"/>
        </w:rPr>
      </w:pPr>
    </w:p>
    <w:p w14:paraId="189C5A2A" w14:textId="77777777" w:rsidR="00867DFB" w:rsidRPr="00CE0885" w:rsidRDefault="00867DFB" w:rsidP="00867DFB">
      <w:pPr>
        <w:spacing w:line="360" w:lineRule="auto"/>
        <w:rPr>
          <w:rFonts w:cs="Arial"/>
        </w:rPr>
      </w:pPr>
      <w:r w:rsidRPr="00CE0885">
        <w:rPr>
          <w:rFonts w:cs="Arial"/>
        </w:rPr>
        <w:t>Please complete this form and send it to [NAME OF COMMISSIONER].</w:t>
      </w:r>
    </w:p>
    <w:p w14:paraId="413BCE68" w14:textId="77777777" w:rsidR="00867DFB" w:rsidRPr="00CE0885" w:rsidRDefault="00867DFB" w:rsidP="00867DFB">
      <w:pPr>
        <w:spacing w:line="360" w:lineRule="auto"/>
        <w:rPr>
          <w:rFonts w:cs="Arial"/>
        </w:rPr>
      </w:pPr>
    </w:p>
    <w:p w14:paraId="2E6A3AC2" w14:textId="77777777" w:rsidR="00867DFB" w:rsidRPr="00CE0885" w:rsidRDefault="00867DFB" w:rsidP="00867DFB">
      <w:pPr>
        <w:spacing w:line="360" w:lineRule="auto"/>
        <w:rPr>
          <w:rFonts w:cs="Arial"/>
        </w:rPr>
      </w:pPr>
      <w:r w:rsidRPr="00CE0885">
        <w:rPr>
          <w:rFonts w:cs="Arial"/>
        </w:rPr>
        <w:t>If circumstances should change after your application has been submitted, please complete a new form and forward it to [NAME] as soon as possible, before submitting a claim for payment.</w:t>
      </w:r>
    </w:p>
    <w:p w14:paraId="3C5CE930" w14:textId="77777777" w:rsidR="00867DFB" w:rsidRPr="00CE0885" w:rsidRDefault="00867DFB" w:rsidP="00867DFB">
      <w:pPr>
        <w:spacing w:line="360" w:lineRule="auto"/>
        <w:rPr>
          <w:rFonts w:cs="Arial"/>
        </w:rPr>
      </w:pPr>
    </w:p>
    <w:p w14:paraId="536A9F91" w14:textId="77777777" w:rsidR="00867DFB" w:rsidRPr="00CE0885" w:rsidRDefault="00867DFB" w:rsidP="00867DFB">
      <w:pPr>
        <w:spacing w:line="360" w:lineRule="auto"/>
        <w:rPr>
          <w:rFonts w:cs="Arial"/>
          <w:b/>
        </w:rPr>
      </w:pPr>
      <w:r w:rsidRPr="00CE0885">
        <w:rPr>
          <w:rFonts w:cs="Arial"/>
          <w:b/>
          <w:u w:val="single"/>
        </w:rPr>
        <w:t>Practice’s Details</w:t>
      </w:r>
    </w:p>
    <w:p w14:paraId="3C78624E" w14:textId="77777777" w:rsidR="00867DFB" w:rsidRPr="00CE0885" w:rsidRDefault="00867DFB" w:rsidP="00867DFB">
      <w:pPr>
        <w:spacing w:line="360" w:lineRule="auto"/>
        <w:rPr>
          <w:rFonts w:cs="Arial"/>
        </w:rPr>
      </w:pPr>
    </w:p>
    <w:p w14:paraId="71602200" w14:textId="77777777" w:rsidR="00867DFB" w:rsidRPr="00CE0885" w:rsidRDefault="00867DFB" w:rsidP="00867DFB">
      <w:pPr>
        <w:spacing w:line="360" w:lineRule="auto"/>
        <w:rPr>
          <w:rFonts w:cs="Arial"/>
        </w:rPr>
      </w:pPr>
      <w:r w:rsidRPr="00CE0885">
        <w:rPr>
          <w:rFonts w:cs="Arial"/>
        </w:rPr>
        <w:t>Practice name:</w:t>
      </w:r>
      <w:r w:rsidRPr="00CE0885">
        <w:rPr>
          <w:rFonts w:cs="Arial"/>
        </w:rPr>
        <w:tab/>
        <w:t>…………………………………………………………………………..</w:t>
      </w:r>
    </w:p>
    <w:p w14:paraId="100547C6" w14:textId="77777777" w:rsidR="00867DFB" w:rsidRPr="00CE0885" w:rsidRDefault="00867DFB" w:rsidP="00867DFB">
      <w:pPr>
        <w:spacing w:line="360" w:lineRule="auto"/>
        <w:rPr>
          <w:rFonts w:cs="Arial"/>
        </w:rPr>
      </w:pPr>
      <w:r w:rsidRPr="00CE0885">
        <w:rPr>
          <w:rFonts w:cs="Arial"/>
        </w:rPr>
        <w:t xml:space="preserve">Practice address: </w:t>
      </w:r>
      <w:r w:rsidRPr="00CE0885">
        <w:rPr>
          <w:rFonts w:cs="Arial"/>
        </w:rPr>
        <w:tab/>
        <w:t>…………………………………………………………………………..</w:t>
      </w:r>
    </w:p>
    <w:p w14:paraId="359F2E74" w14:textId="77777777" w:rsidR="00867DFB" w:rsidRPr="00CE0885" w:rsidRDefault="00867DFB" w:rsidP="00867DFB">
      <w:pPr>
        <w:spacing w:line="360" w:lineRule="auto"/>
        <w:rPr>
          <w:rFonts w:cs="Arial"/>
        </w:rPr>
      </w:pPr>
      <w:r w:rsidRPr="00CE0885">
        <w:rPr>
          <w:rFonts w:cs="Arial"/>
        </w:rPr>
        <w:tab/>
      </w:r>
      <w:r w:rsidRPr="00CE0885">
        <w:rPr>
          <w:rFonts w:cs="Arial"/>
        </w:rPr>
        <w:tab/>
      </w:r>
      <w:r w:rsidRPr="00CE0885">
        <w:rPr>
          <w:rFonts w:cs="Arial"/>
        </w:rPr>
        <w:tab/>
        <w:t>…………………………………………………………………………..</w:t>
      </w:r>
    </w:p>
    <w:p w14:paraId="36C5E278" w14:textId="77777777" w:rsidR="00867DFB" w:rsidRPr="00CE0885" w:rsidRDefault="00867DFB" w:rsidP="00867DFB">
      <w:pPr>
        <w:spacing w:line="360" w:lineRule="auto"/>
        <w:rPr>
          <w:rFonts w:cs="Arial"/>
        </w:rPr>
      </w:pPr>
      <w:r w:rsidRPr="00CE0885">
        <w:rPr>
          <w:rFonts w:cs="Arial"/>
        </w:rPr>
        <w:tab/>
      </w:r>
      <w:r w:rsidRPr="00CE0885">
        <w:rPr>
          <w:rFonts w:cs="Arial"/>
        </w:rPr>
        <w:tab/>
      </w:r>
      <w:r w:rsidRPr="00CE0885">
        <w:rPr>
          <w:rFonts w:cs="Arial"/>
        </w:rPr>
        <w:tab/>
        <w:t>…………………………………... Post code: ...……………………..</w:t>
      </w:r>
    </w:p>
    <w:p w14:paraId="608DF6A0" w14:textId="77777777" w:rsidR="00867DFB" w:rsidRPr="00CE0885" w:rsidRDefault="00867DFB" w:rsidP="00867DFB">
      <w:pPr>
        <w:spacing w:line="360" w:lineRule="auto"/>
        <w:rPr>
          <w:rFonts w:cs="Arial"/>
        </w:rPr>
      </w:pPr>
      <w:r w:rsidRPr="00CE0885">
        <w:rPr>
          <w:rFonts w:cs="Arial"/>
        </w:rPr>
        <w:t>Telephone number:</w:t>
      </w:r>
      <w:r w:rsidRPr="00CE0885">
        <w:rPr>
          <w:rFonts w:cs="Arial"/>
        </w:rPr>
        <w:tab/>
        <w:t>…………………………………………………………………………..</w:t>
      </w:r>
    </w:p>
    <w:p w14:paraId="413B3A95" w14:textId="77777777" w:rsidR="00867DFB" w:rsidRPr="00CE0885" w:rsidRDefault="00867DFB" w:rsidP="00867DFB">
      <w:pPr>
        <w:spacing w:line="360" w:lineRule="auto"/>
        <w:rPr>
          <w:rFonts w:cs="Arial"/>
        </w:rPr>
      </w:pPr>
    </w:p>
    <w:p w14:paraId="18433388" w14:textId="77777777" w:rsidR="00867DFB" w:rsidRPr="00CE0885" w:rsidRDefault="00867DFB" w:rsidP="00867DFB">
      <w:pPr>
        <w:spacing w:line="360" w:lineRule="auto"/>
        <w:rPr>
          <w:rFonts w:cs="Arial"/>
          <w:b/>
          <w:u w:val="single"/>
        </w:rPr>
      </w:pPr>
      <w:r w:rsidRPr="00CE0885">
        <w:rPr>
          <w:rFonts w:cs="Arial"/>
          <w:b/>
          <w:u w:val="single"/>
        </w:rPr>
        <w:t>Description of why additional payment is being sought</w:t>
      </w:r>
    </w:p>
    <w:p w14:paraId="651CB43B" w14:textId="77777777" w:rsidR="00867DFB" w:rsidRPr="00CE0885" w:rsidRDefault="00867DFB" w:rsidP="00867DFB">
      <w:pPr>
        <w:spacing w:line="360" w:lineRule="auto"/>
        <w:rPr>
          <w:rFonts w:cs="Arial"/>
          <w:b/>
          <w:u w:val="single"/>
        </w:rPr>
      </w:pPr>
    </w:p>
    <w:p w14:paraId="193B34BF" w14:textId="77777777" w:rsidR="00867DFB" w:rsidRPr="00CE0885" w:rsidRDefault="00867DFB" w:rsidP="00867DFB">
      <w:pPr>
        <w:spacing w:line="360" w:lineRule="auto"/>
        <w:rPr>
          <w:rFonts w:cs="Arial"/>
          <w:b/>
          <w:u w:val="single"/>
        </w:rPr>
      </w:pPr>
      <w:r w:rsidRPr="00CE0885">
        <w:rPr>
          <w:rFonts w:cs="Arial"/>
        </w:rPr>
        <w:t>……………………………………………………………………………………………………………………………………………………………………………………………………………………………………………………………………………………….……………………………………………………………………………………………………………………………………………………………………………………………………………………</w:t>
      </w:r>
    </w:p>
    <w:p w14:paraId="0F6339CA" w14:textId="77777777" w:rsidR="00867DFB" w:rsidRPr="00CE0885" w:rsidRDefault="00867DFB" w:rsidP="00867DFB">
      <w:pPr>
        <w:spacing w:line="360" w:lineRule="auto"/>
        <w:rPr>
          <w:rFonts w:cs="Arial"/>
          <w:b/>
          <w:u w:val="single"/>
        </w:rPr>
      </w:pPr>
    </w:p>
    <w:p w14:paraId="6CACA8E9" w14:textId="77777777" w:rsidR="00867DFB" w:rsidRPr="00CE0885" w:rsidRDefault="00867DFB" w:rsidP="00867DFB">
      <w:pPr>
        <w:spacing w:line="360" w:lineRule="auto"/>
        <w:rPr>
          <w:rFonts w:cs="Arial"/>
          <w:b/>
          <w:u w:val="single"/>
        </w:rPr>
      </w:pPr>
    </w:p>
    <w:p w14:paraId="36D8EB21" w14:textId="67AD44D0" w:rsidR="00867DFB" w:rsidRPr="00CE0885" w:rsidRDefault="005E089C" w:rsidP="00867DFB">
      <w:pPr>
        <w:spacing w:line="360" w:lineRule="auto"/>
        <w:rPr>
          <w:rFonts w:cs="Arial"/>
          <w:b/>
          <w:u w:val="single"/>
        </w:rPr>
      </w:pPr>
      <w:r>
        <w:rPr>
          <w:rFonts w:cs="Arial"/>
          <w:b/>
          <w:u w:val="single"/>
        </w:rPr>
        <w:br w:type="page"/>
      </w:r>
      <w:r w:rsidR="00867DFB" w:rsidRPr="00CE0885">
        <w:rPr>
          <w:rFonts w:cs="Arial"/>
          <w:b/>
          <w:u w:val="single"/>
        </w:rPr>
        <w:t>Details of GP performer taking leave</w:t>
      </w:r>
    </w:p>
    <w:p w14:paraId="3AC12DD3" w14:textId="77777777" w:rsidR="00867DFB" w:rsidRPr="00CE0885" w:rsidRDefault="00867DFB" w:rsidP="00867DFB">
      <w:pPr>
        <w:spacing w:line="360" w:lineRule="auto"/>
        <w:rPr>
          <w:rFonts w:cs="Arial"/>
        </w:rPr>
      </w:pPr>
    </w:p>
    <w:p w14:paraId="2007D384" w14:textId="77777777" w:rsidR="00867DFB" w:rsidRPr="00CE0885" w:rsidRDefault="00867DFB" w:rsidP="00867DFB">
      <w:pPr>
        <w:spacing w:line="360" w:lineRule="auto"/>
        <w:rPr>
          <w:rFonts w:cs="Arial"/>
        </w:rPr>
      </w:pPr>
      <w:r w:rsidRPr="00CE0885">
        <w:rPr>
          <w:rFonts w:cs="Arial"/>
        </w:rPr>
        <w:t>Surname: ………………………………………. First Name: …………………………….</w:t>
      </w:r>
    </w:p>
    <w:p w14:paraId="674A3CF4" w14:textId="77777777" w:rsidR="00867DFB" w:rsidRPr="00CE0885" w:rsidRDefault="00867DFB" w:rsidP="00867DFB">
      <w:pPr>
        <w:spacing w:line="360" w:lineRule="auto"/>
        <w:rPr>
          <w:rFonts w:cs="Arial"/>
        </w:rPr>
      </w:pPr>
    </w:p>
    <w:p w14:paraId="261139DA" w14:textId="77777777" w:rsidR="00867DFB" w:rsidRPr="009055A7" w:rsidRDefault="00867DFB" w:rsidP="00867DFB">
      <w:pPr>
        <w:spacing w:line="360" w:lineRule="auto"/>
        <w:rPr>
          <w:rFonts w:cs="Arial"/>
        </w:rPr>
      </w:pPr>
      <w:r w:rsidRPr="00CE0885">
        <w:rPr>
          <w:rFonts w:cs="Arial"/>
        </w:rPr>
        <w:t>Claim period: ………………………………….. Number of weeks</w:t>
      </w:r>
      <w:r w:rsidRPr="009055A7">
        <w:rPr>
          <w:rFonts w:cs="Arial"/>
          <w:vertAlign w:val="superscript"/>
        </w:rPr>
        <w:footnoteReference w:id="15"/>
      </w:r>
      <w:r w:rsidRPr="009055A7">
        <w:rPr>
          <w:rFonts w:cs="Arial"/>
        </w:rPr>
        <w:t>: ……………………..</w:t>
      </w:r>
    </w:p>
    <w:p w14:paraId="7DE53888" w14:textId="77777777" w:rsidR="00867DFB" w:rsidRPr="00CE0885" w:rsidRDefault="00867DFB" w:rsidP="00867DFB">
      <w:pPr>
        <w:spacing w:line="360" w:lineRule="auto"/>
        <w:rPr>
          <w:rFonts w:cs="Arial"/>
        </w:rPr>
      </w:pPr>
    </w:p>
    <w:p w14:paraId="5DB6BF87" w14:textId="77777777" w:rsidR="00867DFB" w:rsidRPr="00CE0885" w:rsidRDefault="00867DFB" w:rsidP="00867DFB">
      <w:pPr>
        <w:spacing w:line="360" w:lineRule="auto"/>
        <w:rPr>
          <w:rFonts w:cs="Arial"/>
        </w:rPr>
      </w:pPr>
      <w:r w:rsidRPr="00CE0885">
        <w:rPr>
          <w:rFonts w:cs="Arial"/>
        </w:rPr>
        <w:t>Number of clinical sessions worked…………………………….</w:t>
      </w:r>
    </w:p>
    <w:p w14:paraId="46DE7D47" w14:textId="77777777" w:rsidR="00867DFB" w:rsidRPr="00CE0885" w:rsidRDefault="00867DFB" w:rsidP="00867DFB">
      <w:pPr>
        <w:spacing w:line="360" w:lineRule="auto"/>
        <w:rPr>
          <w:rFonts w:cs="Arial"/>
        </w:rPr>
      </w:pPr>
    </w:p>
    <w:p w14:paraId="6078E176" w14:textId="77777777" w:rsidR="00867DFB" w:rsidRPr="00CE0885" w:rsidRDefault="00867DFB" w:rsidP="00867DFB">
      <w:pPr>
        <w:spacing w:line="360" w:lineRule="auto"/>
        <w:rPr>
          <w:rFonts w:cs="Arial"/>
        </w:rPr>
      </w:pPr>
      <w:r w:rsidRPr="00CE0885">
        <w:rPr>
          <w:rFonts w:cs="Arial"/>
        </w:rPr>
        <w:t xml:space="preserve">Reason for claim </w:t>
      </w:r>
      <w:r w:rsidRPr="00CE0885">
        <w:rPr>
          <w:rFonts w:cs="Arial"/>
          <w:i/>
        </w:rPr>
        <w:t>(delete as appropriate)</w:t>
      </w:r>
      <w:r w:rsidRPr="00CE0885">
        <w:rPr>
          <w:rFonts w:cs="Arial"/>
        </w:rPr>
        <w:t xml:space="preserve">: MATERNITY / PATERNITY / ADOPTION / SICKNESS </w:t>
      </w:r>
    </w:p>
    <w:p w14:paraId="186E4F73" w14:textId="77777777" w:rsidR="00867DFB" w:rsidRPr="00CE0885" w:rsidRDefault="00867DFB" w:rsidP="00867DFB">
      <w:pPr>
        <w:spacing w:line="360" w:lineRule="auto"/>
        <w:rPr>
          <w:rFonts w:cs="Arial"/>
        </w:rPr>
      </w:pPr>
    </w:p>
    <w:p w14:paraId="5AEAB19D" w14:textId="77777777" w:rsidR="00867DFB" w:rsidRPr="00CE0885" w:rsidRDefault="00867DFB" w:rsidP="00867DFB">
      <w:pPr>
        <w:spacing w:line="360" w:lineRule="auto"/>
        <w:rPr>
          <w:rFonts w:cs="Arial"/>
        </w:rPr>
      </w:pPr>
    </w:p>
    <w:p w14:paraId="78ACAEC5" w14:textId="77777777" w:rsidR="00867DFB" w:rsidRPr="00CE0885" w:rsidRDefault="00867DFB" w:rsidP="00867DFB">
      <w:pPr>
        <w:spacing w:line="360" w:lineRule="auto"/>
        <w:rPr>
          <w:rFonts w:cs="Arial"/>
        </w:rPr>
      </w:pPr>
    </w:p>
    <w:p w14:paraId="13B9BA7F" w14:textId="77777777" w:rsidR="00867DFB" w:rsidRPr="00CE0885" w:rsidRDefault="00867DFB" w:rsidP="00867DFB">
      <w:pPr>
        <w:spacing w:line="360" w:lineRule="auto"/>
        <w:rPr>
          <w:rFonts w:cs="Arial"/>
        </w:rPr>
      </w:pPr>
    </w:p>
    <w:p w14:paraId="57346896" w14:textId="77777777" w:rsidR="00867DFB" w:rsidRPr="00CE0885" w:rsidRDefault="00867DFB" w:rsidP="00867DFB">
      <w:pPr>
        <w:spacing w:line="360" w:lineRule="auto"/>
        <w:rPr>
          <w:rFonts w:cs="Arial"/>
          <w:b/>
          <w:u w:val="single"/>
        </w:rPr>
      </w:pPr>
    </w:p>
    <w:p w14:paraId="109D2327" w14:textId="77777777" w:rsidR="00867DFB" w:rsidRPr="00CE0885" w:rsidRDefault="00867DFB" w:rsidP="00867DFB">
      <w:pPr>
        <w:spacing w:line="360" w:lineRule="auto"/>
        <w:rPr>
          <w:rFonts w:cs="Arial"/>
          <w:b/>
          <w:u w:val="single"/>
        </w:rPr>
      </w:pPr>
    </w:p>
    <w:p w14:paraId="775A4EC7" w14:textId="77777777" w:rsidR="00867DFB" w:rsidRPr="00CE0885" w:rsidRDefault="00867DFB" w:rsidP="00867DFB">
      <w:pPr>
        <w:spacing w:line="360" w:lineRule="auto"/>
        <w:rPr>
          <w:rFonts w:cs="Arial"/>
          <w:b/>
          <w:u w:val="single"/>
        </w:rPr>
      </w:pPr>
    </w:p>
    <w:p w14:paraId="5E8D30A9" w14:textId="77777777" w:rsidR="00867DFB" w:rsidRPr="00CE0885" w:rsidRDefault="00867DFB" w:rsidP="00867DFB">
      <w:pPr>
        <w:spacing w:line="360" w:lineRule="auto"/>
        <w:rPr>
          <w:rFonts w:cs="Arial"/>
          <w:b/>
          <w:u w:val="single"/>
        </w:rPr>
      </w:pPr>
    </w:p>
    <w:p w14:paraId="6990B3B6" w14:textId="73B451A6" w:rsidR="00867DFB" w:rsidRPr="00CE0885" w:rsidRDefault="005E089C" w:rsidP="00867DFB">
      <w:pPr>
        <w:spacing w:line="360" w:lineRule="auto"/>
        <w:rPr>
          <w:rFonts w:cs="Arial"/>
          <w:b/>
          <w:u w:val="single"/>
        </w:rPr>
      </w:pPr>
      <w:r>
        <w:rPr>
          <w:rFonts w:cs="Arial"/>
          <w:b/>
          <w:u w:val="single"/>
        </w:rPr>
        <w:br w:type="page"/>
      </w:r>
      <w:r w:rsidR="00867DFB" w:rsidRPr="00CE0885">
        <w:rPr>
          <w:rFonts w:cs="Arial"/>
          <w:b/>
          <w:u w:val="single"/>
        </w:rPr>
        <w:t>Declaration of GP performer taking leave</w:t>
      </w:r>
    </w:p>
    <w:p w14:paraId="6F4B31AB" w14:textId="77777777" w:rsidR="00867DFB" w:rsidRPr="00CE0885" w:rsidRDefault="00867DFB" w:rsidP="00867DFB">
      <w:pPr>
        <w:spacing w:line="360" w:lineRule="auto"/>
        <w:rPr>
          <w:rFonts w:cs="Arial"/>
        </w:rPr>
      </w:pPr>
    </w:p>
    <w:p w14:paraId="32BD642F" w14:textId="77777777" w:rsidR="00867DFB" w:rsidRPr="00CE0885" w:rsidRDefault="00867DFB" w:rsidP="00867DFB">
      <w:pPr>
        <w:spacing w:line="360" w:lineRule="auto"/>
        <w:rPr>
          <w:rFonts w:cs="Arial"/>
        </w:rPr>
      </w:pPr>
      <w:r w:rsidRPr="00CE0885">
        <w:rPr>
          <w:rFonts w:cs="Arial"/>
        </w:rPr>
        <w:t>I ………………………………………………………………………………….. certify that:</w:t>
      </w:r>
    </w:p>
    <w:p w14:paraId="26B92AAE" w14:textId="77777777" w:rsidR="00867DFB" w:rsidRPr="00CE0885" w:rsidRDefault="00867DFB" w:rsidP="00867DFB">
      <w:pPr>
        <w:spacing w:line="360" w:lineRule="auto"/>
        <w:rPr>
          <w:rFonts w:cs="Arial"/>
          <w:i/>
        </w:rPr>
      </w:pPr>
      <w:r w:rsidRPr="00CE0885">
        <w:rPr>
          <w:rFonts w:cs="Arial"/>
        </w:rPr>
        <w:t xml:space="preserve">  </w:t>
      </w:r>
      <w:r w:rsidRPr="00CE0885">
        <w:rPr>
          <w:rFonts w:cs="Arial"/>
          <w:i/>
        </w:rPr>
        <w:t>(Full name in capitals)</w:t>
      </w:r>
    </w:p>
    <w:p w14:paraId="28A71341" w14:textId="77777777" w:rsidR="00867DFB" w:rsidRPr="00CE0885" w:rsidRDefault="00867DFB" w:rsidP="00867DFB">
      <w:pPr>
        <w:spacing w:line="360" w:lineRule="auto"/>
        <w:rPr>
          <w:rFonts w:cs="Arial"/>
        </w:rPr>
      </w:pPr>
    </w:p>
    <w:p w14:paraId="2C9A6760" w14:textId="77777777" w:rsidR="00867DFB" w:rsidRPr="00CE0885" w:rsidRDefault="00867DFB" w:rsidP="00867DFB">
      <w:pPr>
        <w:spacing w:line="360" w:lineRule="auto"/>
        <w:ind w:left="360"/>
        <w:contextualSpacing/>
        <w:rPr>
          <w:rFonts w:cs="Arial"/>
        </w:rPr>
      </w:pPr>
      <w:r w:rsidRPr="00CE0885">
        <w:rPr>
          <w:rFonts w:cs="Arial"/>
        </w:rPr>
        <w:t>The information shown on the reverse side of this form provides an explanation of how the practice intends to cover my period of absence.</w:t>
      </w:r>
    </w:p>
    <w:p w14:paraId="3A7CA1A5" w14:textId="77777777" w:rsidR="00867DFB" w:rsidRPr="00CE0885" w:rsidRDefault="00867DFB" w:rsidP="00867DFB">
      <w:pPr>
        <w:spacing w:line="360" w:lineRule="auto"/>
        <w:rPr>
          <w:rFonts w:cs="Arial"/>
        </w:rPr>
      </w:pPr>
    </w:p>
    <w:p w14:paraId="5A5213A0" w14:textId="77777777" w:rsidR="00867DFB" w:rsidRPr="00CE0885" w:rsidRDefault="00867DFB" w:rsidP="00867DFB">
      <w:pPr>
        <w:spacing w:line="360" w:lineRule="auto"/>
        <w:rPr>
          <w:rFonts w:cs="Arial"/>
        </w:rPr>
      </w:pPr>
      <w:r w:rsidRPr="00CE0885">
        <w:rPr>
          <w:rFonts w:cs="Arial"/>
        </w:rPr>
        <w:t>Where necessary, I have already submitted (</w:t>
      </w:r>
      <w:r w:rsidRPr="00CE0885">
        <w:rPr>
          <w:rFonts w:cs="Arial"/>
          <w:i/>
        </w:rPr>
        <w:t>please tick the box that applies</w:t>
      </w:r>
      <w:r w:rsidRPr="00CE0885">
        <w:rPr>
          <w:rFonts w:cs="Arial"/>
        </w:rPr>
        <w:t>):</w:t>
      </w:r>
    </w:p>
    <w:p w14:paraId="19C7D56B" w14:textId="77777777" w:rsidR="00867DFB" w:rsidRPr="00CE0885" w:rsidRDefault="00867DFB" w:rsidP="00867DFB">
      <w:pPr>
        <w:spacing w:line="360" w:lineRule="auto"/>
        <w:rPr>
          <w:rFonts w:cs="Arial"/>
        </w:rPr>
      </w:pPr>
    </w:p>
    <w:p w14:paraId="225319C1" w14:textId="77777777" w:rsidR="00867DFB" w:rsidRPr="009055A7" w:rsidRDefault="00867DFB" w:rsidP="005A7DDA">
      <w:pPr>
        <w:numPr>
          <w:ilvl w:val="0"/>
          <w:numId w:val="63"/>
        </w:numPr>
        <w:spacing w:line="360" w:lineRule="auto"/>
        <w:contextualSpacing/>
        <w:rPr>
          <w:rFonts w:cs="Arial"/>
        </w:rPr>
      </w:pPr>
      <w:r w:rsidRPr="009055A7">
        <w:rPr>
          <w:rFonts w:cs="Arial"/>
          <w:noProof/>
          <w:lang w:eastAsia="en-GB"/>
        </w:rPr>
        <mc:AlternateContent>
          <mc:Choice Requires="wps">
            <w:drawing>
              <wp:anchor distT="0" distB="0" distL="114300" distR="114300" simplePos="0" relativeHeight="251688448" behindDoc="0" locked="0" layoutInCell="1" allowOverlap="1" wp14:anchorId="1F393A1F" wp14:editId="19477256">
                <wp:simplePos x="0" y="0"/>
                <wp:positionH relativeFrom="column">
                  <wp:posOffset>893618</wp:posOffset>
                </wp:positionH>
                <wp:positionV relativeFrom="paragraph">
                  <wp:posOffset>486179</wp:posOffset>
                </wp:positionV>
                <wp:extent cx="584790" cy="223284"/>
                <wp:effectExtent l="0" t="0" r="25400" b="24765"/>
                <wp:wrapNone/>
                <wp:docPr id="168" name="Rectangle 168" descr="a text entry box" title="a text entry box"/>
                <wp:cNvGraphicFramePr/>
                <a:graphic xmlns:a="http://schemas.openxmlformats.org/drawingml/2006/main">
                  <a:graphicData uri="http://schemas.microsoft.com/office/word/2010/wordprocessingShape">
                    <wps:wsp>
                      <wps:cNvSpPr/>
                      <wps:spPr>
                        <a:xfrm>
                          <a:off x="0" y="0"/>
                          <a:ext cx="584790" cy="223284"/>
                        </a:xfrm>
                        <a:prstGeom prst="rect">
                          <a:avLst/>
                        </a:prstGeom>
                        <a:solidFill>
                          <a:sysClr val="window" lastClr="FFFFFF"/>
                        </a:solidFill>
                        <a:ln w="25400" cap="flat" cmpd="sng" algn="ctr">
                          <a:solidFill>
                            <a:srgbClr val="000000"/>
                          </a:solidFill>
                          <a:prstDash val="solid"/>
                        </a:ln>
                        <a:effectLst/>
                      </wps:spPr>
                      <wps:txbx>
                        <w:txbxContent>
                          <w:p w14:paraId="5415AE36" w14:textId="77777777" w:rsidR="00622FF2" w:rsidRDefault="00622FF2" w:rsidP="00867D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8" o:spid="_x0000_s1102" alt="Title: a text entry box - Description: a text entry box" style="position:absolute;left:0;text-align:left;margin-left:70.35pt;margin-top:38.3pt;width:46.05pt;height:17.6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" fillcolor="window" strokeweight="2pt">
                <v:textbox>
                  <w:txbxContent>
                    <w:p w14:paraId="5415AE36" w14:textId="77777777" w:rsidR="00622FF2" w:rsidRDefault="00622FF2" w:rsidP="00867DFB">
                      <w:pPr>
                        <w:jc w:val="center"/>
                      </w:pPr>
                    </w:p>
                  </w:txbxContent>
                </v:textbox>
              </v:rect>
            </w:pict>
          </mc:Fallback>
        </mc:AlternateContent>
      </w:r>
      <w:r w:rsidRPr="009055A7">
        <w:rPr>
          <w:rFonts w:cs="Arial"/>
        </w:rPr>
        <w:t xml:space="preserve">a certificate of confinement, a confirmation letter of prospective fatherhood or a letter confirming adoption leave from the appropriate adoption agency, in support of this claim </w:t>
      </w:r>
    </w:p>
    <w:p w14:paraId="690FB736" w14:textId="77777777" w:rsidR="00867DFB" w:rsidRPr="009055A7" w:rsidRDefault="00867DFB" w:rsidP="00867DFB">
      <w:pPr>
        <w:spacing w:line="360" w:lineRule="auto"/>
        <w:ind w:left="360"/>
        <w:contextualSpacing/>
        <w:rPr>
          <w:rFonts w:cs="Arial"/>
        </w:rPr>
      </w:pPr>
      <w:r w:rsidRPr="009055A7">
        <w:rPr>
          <w:rFonts w:cs="Arial"/>
          <w:noProof/>
          <w:lang w:eastAsia="en-GB"/>
        </w:rPr>
        <mc:AlternateContent>
          <mc:Choice Requires="wps">
            <w:drawing>
              <wp:anchor distT="0" distB="0" distL="114300" distR="114300" simplePos="0" relativeHeight="251689472" behindDoc="0" locked="0" layoutInCell="1" allowOverlap="1" wp14:anchorId="114BB809" wp14:editId="671417D7">
                <wp:simplePos x="0" y="0"/>
                <wp:positionH relativeFrom="column">
                  <wp:posOffset>5390515</wp:posOffset>
                </wp:positionH>
                <wp:positionV relativeFrom="paragraph">
                  <wp:posOffset>236162</wp:posOffset>
                </wp:positionV>
                <wp:extent cx="584200" cy="222885"/>
                <wp:effectExtent l="0" t="0" r="25400" b="24765"/>
                <wp:wrapNone/>
                <wp:docPr id="169" name="Rectangle 169" descr="a text entry box" title="a text entry box"/>
                <wp:cNvGraphicFramePr/>
                <a:graphic xmlns:a="http://schemas.openxmlformats.org/drawingml/2006/main">
                  <a:graphicData uri="http://schemas.microsoft.com/office/word/2010/wordprocessingShape">
                    <wps:wsp>
                      <wps:cNvSpPr/>
                      <wps:spPr>
                        <a:xfrm>
                          <a:off x="0" y="0"/>
                          <a:ext cx="584200" cy="222885"/>
                        </a:xfrm>
                        <a:prstGeom prst="rect">
                          <a:avLst/>
                        </a:prstGeom>
                        <a:solidFill>
                          <a:sysClr val="window" lastClr="FFFFFF"/>
                        </a:solidFill>
                        <a:ln w="25400" cap="flat" cmpd="sng" algn="ctr">
                          <a:solidFill>
                            <a:srgbClr val="000000"/>
                          </a:solidFill>
                          <a:prstDash val="solid"/>
                        </a:ln>
                        <a:effectLst/>
                      </wps:spPr>
                      <wps:txbx>
                        <w:txbxContent>
                          <w:p w14:paraId="69EF57A7" w14:textId="77777777" w:rsidR="00622FF2" w:rsidRDefault="00622FF2" w:rsidP="00867DF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69" o:spid="_x0000_s1103" alt="Title: a text entry box - Description: a text entry box" style="position:absolute;left:0;text-align:left;margin-left:424.45pt;margin-top:18.6pt;width:46pt;height:17.5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" fillcolor="window" strokeweight="2pt">
                <v:textbox>
                  <w:txbxContent>
                    <w:p w14:paraId="69EF57A7" w14:textId="77777777" w:rsidR="00622FF2" w:rsidRDefault="00622FF2" w:rsidP="00867DFB">
                      <w:pPr>
                        <w:jc w:val="center"/>
                      </w:pPr>
                    </w:p>
                  </w:txbxContent>
                </v:textbox>
              </v:rect>
            </w:pict>
          </mc:Fallback>
        </mc:AlternateContent>
      </w:r>
    </w:p>
    <w:p w14:paraId="1AF47201" w14:textId="77777777" w:rsidR="00867DFB" w:rsidRPr="00CE0885" w:rsidRDefault="00867DFB" w:rsidP="005A7DDA">
      <w:pPr>
        <w:numPr>
          <w:ilvl w:val="0"/>
          <w:numId w:val="63"/>
        </w:numPr>
        <w:spacing w:line="360" w:lineRule="auto"/>
        <w:contextualSpacing/>
        <w:rPr>
          <w:rFonts w:cs="Arial"/>
        </w:rPr>
      </w:pPr>
      <w:r w:rsidRPr="00CE0885">
        <w:rPr>
          <w:rFonts w:cs="Arial"/>
        </w:rPr>
        <w:t xml:space="preserve"> a sick note from my GP stating the reason and expected length of absence  </w:t>
      </w:r>
    </w:p>
    <w:p w14:paraId="2EC64C9B" w14:textId="77777777" w:rsidR="00867DFB" w:rsidRPr="00CE0885" w:rsidRDefault="00867DFB" w:rsidP="00867DFB">
      <w:pPr>
        <w:spacing w:line="360" w:lineRule="auto"/>
        <w:rPr>
          <w:rFonts w:cs="Arial"/>
        </w:rPr>
      </w:pPr>
    </w:p>
    <w:p w14:paraId="0875B1A6" w14:textId="77777777" w:rsidR="00867DFB" w:rsidRPr="00CE0885" w:rsidRDefault="00867DFB" w:rsidP="00867DFB">
      <w:pPr>
        <w:spacing w:line="360" w:lineRule="auto"/>
        <w:rPr>
          <w:rFonts w:cs="Arial"/>
        </w:rPr>
      </w:pPr>
      <w:r w:rsidRPr="00CE0885">
        <w:rPr>
          <w:rFonts w:cs="Arial"/>
        </w:rPr>
        <w:t>I declare that the information provided in this claim is correct and complete. I agree to provide NHS England with written records demonstrating the actual cost of the cover and will inform NHS England if there is any change to the cover arrangements. I claim the appropriate payment for the practice.</w:t>
      </w:r>
    </w:p>
    <w:p w14:paraId="262CF0E4" w14:textId="77777777" w:rsidR="00867DFB" w:rsidRPr="00CE0885" w:rsidRDefault="00867DFB" w:rsidP="00867DFB">
      <w:pPr>
        <w:spacing w:line="360" w:lineRule="auto"/>
        <w:rPr>
          <w:rFonts w:cs="Arial"/>
        </w:rPr>
      </w:pPr>
    </w:p>
    <w:p w14:paraId="25222E86" w14:textId="77777777" w:rsidR="00867DFB" w:rsidRPr="00CE0885" w:rsidRDefault="00867DFB" w:rsidP="00867DFB">
      <w:pPr>
        <w:spacing w:line="360" w:lineRule="auto"/>
        <w:rPr>
          <w:rFonts w:cs="Arial"/>
        </w:rPr>
      </w:pPr>
      <w:r w:rsidRPr="00CE0885">
        <w:rPr>
          <w:rFonts w:cs="Arial"/>
        </w:rPr>
        <w:t>Signature: …………………………………………………….. Date: ………………………</w:t>
      </w:r>
    </w:p>
    <w:p w14:paraId="2B5FA066" w14:textId="77777777" w:rsidR="00867DFB" w:rsidRPr="00CE0885" w:rsidRDefault="00867DFB" w:rsidP="00867DFB">
      <w:pPr>
        <w:spacing w:line="360" w:lineRule="auto"/>
        <w:rPr>
          <w:rFonts w:cs="Arial"/>
        </w:rPr>
      </w:pPr>
      <w:r w:rsidRPr="00CE0885">
        <w:rPr>
          <w:rFonts w:cs="Arial"/>
          <w:i/>
        </w:rPr>
        <w:t>(An authorised signatory who is prepared to take responsibility for this declaration may sign here on behalf of the GP performer taking leave if he/she is not available to do so.)</w:t>
      </w:r>
    </w:p>
    <w:p w14:paraId="0E993B1B" w14:textId="77777777" w:rsidR="00867DFB" w:rsidRPr="00CE0885" w:rsidRDefault="00867DFB" w:rsidP="00867DFB">
      <w:pPr>
        <w:spacing w:line="360" w:lineRule="auto"/>
        <w:rPr>
          <w:rFonts w:cs="Arial"/>
          <w:b/>
          <w:u w:val="single"/>
        </w:rPr>
      </w:pPr>
    </w:p>
    <w:p w14:paraId="277D2A51" w14:textId="77777777" w:rsidR="00867DFB" w:rsidRPr="00CE0885" w:rsidRDefault="00867DFB" w:rsidP="00867DFB">
      <w:pPr>
        <w:spacing w:line="360" w:lineRule="auto"/>
        <w:rPr>
          <w:rFonts w:cs="Arial"/>
          <w:b/>
          <w:u w:val="single"/>
        </w:rPr>
      </w:pPr>
    </w:p>
    <w:p w14:paraId="07CD1F0D" w14:textId="77777777" w:rsidR="00867DFB" w:rsidRPr="00CE0885" w:rsidRDefault="00867DFB" w:rsidP="00867DFB">
      <w:pPr>
        <w:spacing w:line="360" w:lineRule="auto"/>
        <w:rPr>
          <w:rFonts w:cs="Arial"/>
          <w:b/>
          <w:u w:val="single"/>
        </w:rPr>
      </w:pPr>
      <w:r w:rsidRPr="00CE0885">
        <w:rPr>
          <w:rFonts w:cs="Arial"/>
          <w:b/>
          <w:u w:val="single"/>
        </w:rPr>
        <w:t>Arrangements to cover GP performer absence</w:t>
      </w:r>
    </w:p>
    <w:p w14:paraId="632CDCFC" w14:textId="77777777" w:rsidR="00867DFB" w:rsidRPr="00CE0885" w:rsidRDefault="00867DFB" w:rsidP="00867DFB">
      <w:pPr>
        <w:spacing w:line="360" w:lineRule="auto"/>
        <w:rPr>
          <w:rFonts w:cs="Arial"/>
        </w:rPr>
      </w:pPr>
    </w:p>
    <w:p w14:paraId="4B269047" w14:textId="77777777" w:rsidR="00867DFB" w:rsidRPr="00CE0885" w:rsidRDefault="00867DFB" w:rsidP="00867DFB">
      <w:pPr>
        <w:spacing w:line="360" w:lineRule="auto"/>
        <w:rPr>
          <w:rFonts w:cs="Arial"/>
        </w:rPr>
      </w:pPr>
      <w:r w:rsidRPr="00CE0885">
        <w:rPr>
          <w:rFonts w:cs="Arial"/>
        </w:rPr>
        <w:t>Please provide a brief explanation of how cover will be provided.</w:t>
      </w:r>
    </w:p>
    <w:p w14:paraId="2179E0BE" w14:textId="77777777" w:rsidR="00867DFB" w:rsidRPr="00CE0885" w:rsidRDefault="00867DFB" w:rsidP="00867DFB">
      <w:pPr>
        <w:spacing w:line="360" w:lineRule="auto"/>
        <w:rPr>
          <w:rFonts w:cs="Arial"/>
        </w:rPr>
      </w:pPr>
      <w:r w:rsidRPr="00CE0885">
        <w:rPr>
          <w:rFonts w:cs="Arial"/>
          <w:i/>
        </w:rPr>
        <w:t xml:space="preserve">(i.e. will this be via a locum, GPs already working in the practice, or a combination) </w:t>
      </w:r>
    </w:p>
    <w:p w14:paraId="7949152F" w14:textId="7D35D4F9" w:rsidR="00867DFB" w:rsidRPr="00CE0885" w:rsidRDefault="00867DFB" w:rsidP="005E089C">
      <w:pPr>
        <w:spacing w:line="360" w:lineRule="auto"/>
        <w:rPr>
          <w:rFonts w:cs="Arial"/>
        </w:rPr>
      </w:pPr>
      <w:r w:rsidRPr="00CE0885">
        <w:rPr>
          <w:rFonts w:cs="Arial"/>
        </w:rPr>
        <w:t>……………………………………………………………………………………………………………………………………………………………………………………………………………………………………………………………………………………………………………………………………………………………………………………………………………….………………</w:t>
      </w:r>
    </w:p>
    <w:p w14:paraId="2E9C0EA7" w14:textId="15384680" w:rsidR="00867DFB" w:rsidRPr="00CE0885" w:rsidRDefault="00867DFB" w:rsidP="00867DFB">
      <w:pPr>
        <w:spacing w:line="360" w:lineRule="auto"/>
        <w:rPr>
          <w:rFonts w:cs="Arial"/>
          <w:b/>
          <w:u w:val="single"/>
        </w:rPr>
      </w:pPr>
      <w:r w:rsidRPr="00CE0885">
        <w:rPr>
          <w:rFonts w:cs="Arial"/>
          <w:b/>
          <w:u w:val="single"/>
        </w:rPr>
        <w:t>Details of external GPs covering absence</w:t>
      </w:r>
    </w:p>
    <w:p w14:paraId="33EAEFEA" w14:textId="77777777" w:rsidR="00867DFB" w:rsidRPr="00CE0885" w:rsidRDefault="00867DFB" w:rsidP="00867DFB">
      <w:pPr>
        <w:spacing w:line="360" w:lineRule="auto"/>
        <w:rPr>
          <w:rFonts w:cs="Arial"/>
        </w:rPr>
      </w:pPr>
    </w:p>
    <w:p w14:paraId="5702B647" w14:textId="77777777" w:rsidR="00867DFB" w:rsidRPr="00CE0885" w:rsidRDefault="00867DFB" w:rsidP="00867DFB">
      <w:pPr>
        <w:spacing w:line="360" w:lineRule="auto"/>
        <w:rPr>
          <w:rFonts w:cs="Arial"/>
        </w:rPr>
      </w:pPr>
      <w:r w:rsidRPr="00CE0885">
        <w:rPr>
          <w:rFonts w:cs="Arial"/>
        </w:rPr>
        <w:t>If employing an external locum GP to cover the GP performer’s absence, then please complete the information below (add more lines if required).</w:t>
      </w:r>
    </w:p>
    <w:p w14:paraId="1E17AC91" w14:textId="77777777" w:rsidR="00867DFB" w:rsidRPr="00CE0885" w:rsidRDefault="00867DFB" w:rsidP="00867DFB">
      <w:pPr>
        <w:spacing w:line="360" w:lineRule="auto"/>
        <w:rPr>
          <w:rFonts w:cs="Arial"/>
        </w:rPr>
      </w:pPr>
    </w:p>
    <w:p w14:paraId="0D440A4D" w14:textId="77777777" w:rsidR="00867DFB" w:rsidRPr="00CE0885" w:rsidRDefault="00867DFB" w:rsidP="005A7DDA">
      <w:pPr>
        <w:numPr>
          <w:ilvl w:val="0"/>
          <w:numId w:val="64"/>
        </w:numPr>
        <w:spacing w:line="360" w:lineRule="auto"/>
        <w:contextualSpacing/>
        <w:rPr>
          <w:rFonts w:cs="Arial"/>
        </w:rPr>
      </w:pPr>
      <w:r w:rsidRPr="00CE0885">
        <w:rPr>
          <w:rFonts w:cs="Arial"/>
        </w:rPr>
        <w:t>Name and surname: ……………………………………………………………………</w:t>
      </w:r>
    </w:p>
    <w:p w14:paraId="064BD45D" w14:textId="77777777" w:rsidR="00867DFB" w:rsidRPr="00CE0885" w:rsidRDefault="00867DFB" w:rsidP="00867DFB">
      <w:pPr>
        <w:spacing w:line="360" w:lineRule="auto"/>
        <w:ind w:left="360"/>
        <w:contextualSpacing/>
        <w:rPr>
          <w:rFonts w:cs="Arial"/>
        </w:rPr>
      </w:pPr>
    </w:p>
    <w:p w14:paraId="261EA397" w14:textId="77777777" w:rsidR="00867DFB" w:rsidRPr="00CE0885" w:rsidRDefault="00867DFB" w:rsidP="00867DFB">
      <w:pPr>
        <w:spacing w:line="360" w:lineRule="auto"/>
        <w:ind w:left="360"/>
        <w:contextualSpacing/>
        <w:rPr>
          <w:rFonts w:cs="Arial"/>
        </w:rPr>
      </w:pPr>
      <w:r w:rsidRPr="00CE0885">
        <w:rPr>
          <w:rFonts w:cs="Arial"/>
        </w:rPr>
        <w:t>Period of cover: …………………………….…………. (No. of weeks: ……………)</w:t>
      </w:r>
    </w:p>
    <w:p w14:paraId="0076AD5A" w14:textId="77777777" w:rsidR="00867DFB" w:rsidRPr="00CE0885" w:rsidRDefault="00867DFB" w:rsidP="00867DFB">
      <w:pPr>
        <w:spacing w:line="360" w:lineRule="auto"/>
        <w:ind w:left="360"/>
        <w:contextualSpacing/>
        <w:rPr>
          <w:rFonts w:cs="Arial"/>
        </w:rPr>
      </w:pPr>
    </w:p>
    <w:p w14:paraId="63E512D6" w14:textId="77777777" w:rsidR="00867DFB" w:rsidRPr="00CE0885" w:rsidRDefault="00867DFB" w:rsidP="00867DFB">
      <w:pPr>
        <w:spacing w:line="360" w:lineRule="auto"/>
        <w:ind w:left="360"/>
        <w:contextualSpacing/>
        <w:rPr>
          <w:rFonts w:cs="Arial"/>
        </w:rPr>
      </w:pPr>
      <w:r w:rsidRPr="00CE0885">
        <w:rPr>
          <w:rFonts w:cs="Arial"/>
        </w:rPr>
        <w:t>Number of clinical sessions worked………..</w:t>
      </w:r>
    </w:p>
    <w:p w14:paraId="66107DF9" w14:textId="77777777" w:rsidR="00867DFB" w:rsidRPr="00CE0885" w:rsidRDefault="00867DFB" w:rsidP="00867DFB">
      <w:pPr>
        <w:spacing w:line="360" w:lineRule="auto"/>
        <w:ind w:left="360"/>
        <w:contextualSpacing/>
        <w:rPr>
          <w:rFonts w:cs="Arial"/>
        </w:rPr>
      </w:pPr>
    </w:p>
    <w:p w14:paraId="21BDA3C8" w14:textId="77777777" w:rsidR="00867DFB" w:rsidRPr="00CE0885" w:rsidRDefault="00867DFB" w:rsidP="00867DFB">
      <w:pPr>
        <w:spacing w:line="360" w:lineRule="auto"/>
        <w:ind w:left="360"/>
        <w:contextualSpacing/>
        <w:rPr>
          <w:rFonts w:cs="Arial"/>
        </w:rPr>
      </w:pPr>
      <w:r w:rsidRPr="00CE0885">
        <w:rPr>
          <w:rFonts w:cs="Arial"/>
        </w:rPr>
        <w:t>Amount paid to individual: £…………………………..</w:t>
      </w:r>
    </w:p>
    <w:p w14:paraId="0340FFD5" w14:textId="77777777" w:rsidR="00867DFB" w:rsidRPr="00CE0885" w:rsidRDefault="00867DFB" w:rsidP="00867DFB">
      <w:pPr>
        <w:spacing w:line="360" w:lineRule="auto"/>
        <w:ind w:left="360"/>
        <w:contextualSpacing/>
        <w:rPr>
          <w:rFonts w:cs="Arial"/>
        </w:rPr>
      </w:pPr>
    </w:p>
    <w:p w14:paraId="6FA34F7D" w14:textId="77777777" w:rsidR="00867DFB" w:rsidRPr="00CE0885" w:rsidRDefault="00867DFB" w:rsidP="005A7DDA">
      <w:pPr>
        <w:numPr>
          <w:ilvl w:val="0"/>
          <w:numId w:val="64"/>
        </w:numPr>
        <w:spacing w:line="360" w:lineRule="auto"/>
        <w:contextualSpacing/>
        <w:rPr>
          <w:rFonts w:cs="Arial"/>
        </w:rPr>
      </w:pPr>
      <w:r w:rsidRPr="00CE0885">
        <w:rPr>
          <w:rFonts w:cs="Arial"/>
        </w:rPr>
        <w:t>Name and surname: ……………………………………………………………………</w:t>
      </w:r>
    </w:p>
    <w:p w14:paraId="672D68B2" w14:textId="77777777" w:rsidR="00867DFB" w:rsidRPr="00CE0885" w:rsidRDefault="00867DFB" w:rsidP="00867DFB">
      <w:pPr>
        <w:spacing w:line="360" w:lineRule="auto"/>
        <w:ind w:left="360"/>
        <w:contextualSpacing/>
        <w:rPr>
          <w:rFonts w:cs="Arial"/>
        </w:rPr>
      </w:pPr>
    </w:p>
    <w:p w14:paraId="54165000" w14:textId="77777777" w:rsidR="00867DFB" w:rsidRPr="00CE0885" w:rsidRDefault="00867DFB" w:rsidP="00867DFB">
      <w:pPr>
        <w:spacing w:line="360" w:lineRule="auto"/>
        <w:ind w:left="360"/>
        <w:contextualSpacing/>
        <w:rPr>
          <w:rFonts w:cs="Arial"/>
        </w:rPr>
      </w:pPr>
      <w:r w:rsidRPr="00CE0885">
        <w:rPr>
          <w:rFonts w:cs="Arial"/>
        </w:rPr>
        <w:t>Period of cover: …………………………….…………. (No. of weeks: ……………)</w:t>
      </w:r>
    </w:p>
    <w:p w14:paraId="7707F9F2" w14:textId="77777777" w:rsidR="00867DFB" w:rsidRPr="00CE0885" w:rsidRDefault="00867DFB" w:rsidP="00867DFB">
      <w:pPr>
        <w:spacing w:line="360" w:lineRule="auto"/>
        <w:ind w:left="360"/>
        <w:contextualSpacing/>
        <w:rPr>
          <w:rFonts w:cs="Arial"/>
        </w:rPr>
      </w:pPr>
    </w:p>
    <w:p w14:paraId="080CB2FA" w14:textId="77777777" w:rsidR="00867DFB" w:rsidRPr="00CE0885" w:rsidRDefault="00867DFB" w:rsidP="00867DFB">
      <w:pPr>
        <w:spacing w:line="360" w:lineRule="auto"/>
        <w:ind w:left="360"/>
        <w:contextualSpacing/>
        <w:rPr>
          <w:rFonts w:cs="Arial"/>
        </w:rPr>
      </w:pPr>
      <w:r w:rsidRPr="00CE0885">
        <w:rPr>
          <w:rFonts w:cs="Arial"/>
        </w:rPr>
        <w:t>Number of clinical sessions worked…………</w:t>
      </w:r>
    </w:p>
    <w:p w14:paraId="6A3AD03F" w14:textId="77777777" w:rsidR="00867DFB" w:rsidRPr="00CE0885" w:rsidRDefault="00867DFB" w:rsidP="00867DFB">
      <w:pPr>
        <w:spacing w:line="360" w:lineRule="auto"/>
        <w:ind w:left="360"/>
        <w:contextualSpacing/>
        <w:rPr>
          <w:rFonts w:cs="Arial"/>
        </w:rPr>
      </w:pPr>
    </w:p>
    <w:p w14:paraId="6D540043" w14:textId="77777777" w:rsidR="00867DFB" w:rsidRPr="00CE0885" w:rsidRDefault="00867DFB" w:rsidP="00867DFB">
      <w:pPr>
        <w:spacing w:line="360" w:lineRule="auto"/>
        <w:ind w:left="360"/>
        <w:contextualSpacing/>
        <w:rPr>
          <w:rFonts w:cs="Arial"/>
        </w:rPr>
      </w:pPr>
      <w:r w:rsidRPr="00CE0885">
        <w:rPr>
          <w:rFonts w:cs="Arial"/>
        </w:rPr>
        <w:t>Amount paid to individual: £…………………………..</w:t>
      </w:r>
    </w:p>
    <w:p w14:paraId="4A9B0273" w14:textId="77777777" w:rsidR="00867DFB" w:rsidRPr="00CE0885" w:rsidRDefault="00867DFB" w:rsidP="00867DFB">
      <w:pPr>
        <w:spacing w:line="360" w:lineRule="auto"/>
        <w:ind w:left="360"/>
        <w:contextualSpacing/>
        <w:rPr>
          <w:rFonts w:cs="Arial"/>
        </w:rPr>
      </w:pPr>
    </w:p>
    <w:p w14:paraId="37B9D636" w14:textId="77777777" w:rsidR="00867DFB" w:rsidRPr="00CE0885" w:rsidRDefault="00867DFB" w:rsidP="005A7DDA">
      <w:pPr>
        <w:numPr>
          <w:ilvl w:val="0"/>
          <w:numId w:val="64"/>
        </w:numPr>
        <w:spacing w:line="360" w:lineRule="auto"/>
        <w:contextualSpacing/>
        <w:rPr>
          <w:rFonts w:cs="Arial"/>
        </w:rPr>
      </w:pPr>
      <w:r w:rsidRPr="00CE0885">
        <w:rPr>
          <w:rFonts w:cs="Arial"/>
        </w:rPr>
        <w:t>Name and surname: …………………………………………………………………….</w:t>
      </w:r>
    </w:p>
    <w:p w14:paraId="6F5BA6B0" w14:textId="77777777" w:rsidR="00867DFB" w:rsidRPr="00CE0885" w:rsidRDefault="00867DFB" w:rsidP="00867DFB">
      <w:pPr>
        <w:spacing w:line="360" w:lineRule="auto"/>
        <w:ind w:left="720"/>
        <w:contextualSpacing/>
        <w:rPr>
          <w:rFonts w:cs="Arial"/>
        </w:rPr>
      </w:pPr>
    </w:p>
    <w:p w14:paraId="2A169C4F" w14:textId="77777777" w:rsidR="00867DFB" w:rsidRPr="00CE0885" w:rsidRDefault="00867DFB" w:rsidP="00867DFB">
      <w:pPr>
        <w:spacing w:line="360" w:lineRule="auto"/>
        <w:ind w:left="360"/>
        <w:contextualSpacing/>
        <w:rPr>
          <w:rFonts w:cs="Arial"/>
        </w:rPr>
      </w:pPr>
      <w:r w:rsidRPr="00CE0885">
        <w:rPr>
          <w:rFonts w:cs="Arial"/>
        </w:rPr>
        <w:t>Period of cover: …………………………….…………. (No. of weeks: …………….)</w:t>
      </w:r>
    </w:p>
    <w:p w14:paraId="40774B9B" w14:textId="77777777" w:rsidR="00867DFB" w:rsidRPr="00CE0885" w:rsidRDefault="00867DFB" w:rsidP="00867DFB">
      <w:pPr>
        <w:spacing w:line="360" w:lineRule="auto"/>
        <w:ind w:left="360"/>
        <w:contextualSpacing/>
        <w:rPr>
          <w:rFonts w:cs="Arial"/>
        </w:rPr>
      </w:pPr>
    </w:p>
    <w:p w14:paraId="3B9C4908" w14:textId="77777777" w:rsidR="00867DFB" w:rsidRPr="00CE0885" w:rsidRDefault="00867DFB" w:rsidP="00867DFB">
      <w:pPr>
        <w:spacing w:line="360" w:lineRule="auto"/>
        <w:ind w:left="360"/>
        <w:contextualSpacing/>
        <w:rPr>
          <w:rFonts w:cs="Arial"/>
        </w:rPr>
      </w:pPr>
      <w:r w:rsidRPr="00CE0885">
        <w:rPr>
          <w:rFonts w:cs="Arial"/>
        </w:rPr>
        <w:t>Number of clinical sessions worked…………</w:t>
      </w:r>
    </w:p>
    <w:p w14:paraId="75AA9BEF" w14:textId="77777777" w:rsidR="00867DFB" w:rsidRPr="00CE0885" w:rsidRDefault="00867DFB" w:rsidP="00867DFB">
      <w:pPr>
        <w:spacing w:line="360" w:lineRule="auto"/>
        <w:ind w:left="360"/>
        <w:contextualSpacing/>
        <w:rPr>
          <w:rFonts w:cs="Arial"/>
        </w:rPr>
      </w:pPr>
    </w:p>
    <w:p w14:paraId="2D2D0C79" w14:textId="77777777" w:rsidR="00867DFB" w:rsidRPr="00CE0885" w:rsidRDefault="00867DFB" w:rsidP="00867DFB">
      <w:pPr>
        <w:spacing w:line="360" w:lineRule="auto"/>
        <w:ind w:left="360"/>
        <w:contextualSpacing/>
        <w:rPr>
          <w:rFonts w:cs="Arial"/>
        </w:rPr>
      </w:pPr>
      <w:r w:rsidRPr="00CE0885">
        <w:rPr>
          <w:rFonts w:cs="Arial"/>
        </w:rPr>
        <w:t>Amount paid to individual: £…………………………..</w:t>
      </w:r>
    </w:p>
    <w:p w14:paraId="3444401F" w14:textId="77777777" w:rsidR="00867DFB" w:rsidRPr="00CE0885" w:rsidRDefault="00867DFB" w:rsidP="00867DFB">
      <w:pPr>
        <w:spacing w:line="360" w:lineRule="auto"/>
        <w:rPr>
          <w:rFonts w:cs="Arial"/>
        </w:rPr>
      </w:pPr>
    </w:p>
    <w:p w14:paraId="395CA7A6" w14:textId="77777777" w:rsidR="00867DFB" w:rsidRPr="00CE0885" w:rsidRDefault="00867DFB" w:rsidP="00867DFB">
      <w:pPr>
        <w:spacing w:line="360" w:lineRule="auto"/>
        <w:rPr>
          <w:rFonts w:cs="Arial"/>
        </w:rPr>
      </w:pPr>
    </w:p>
    <w:p w14:paraId="32986299" w14:textId="77777777" w:rsidR="00867DFB" w:rsidRPr="00CE0885" w:rsidRDefault="00867DFB" w:rsidP="00867DFB">
      <w:pPr>
        <w:spacing w:line="360" w:lineRule="auto"/>
        <w:rPr>
          <w:rFonts w:cs="Arial"/>
          <w:b/>
          <w:u w:val="single"/>
        </w:rPr>
      </w:pPr>
      <w:r w:rsidRPr="00CE0885">
        <w:rPr>
          <w:rFonts w:cs="Arial"/>
          <w:b/>
          <w:u w:val="single"/>
        </w:rPr>
        <w:t>Details of internal GPs covering absence</w:t>
      </w:r>
    </w:p>
    <w:p w14:paraId="1B0B5283" w14:textId="77777777" w:rsidR="00867DFB" w:rsidRPr="00CE0885" w:rsidRDefault="00867DFB" w:rsidP="00867DFB">
      <w:pPr>
        <w:spacing w:line="360" w:lineRule="auto"/>
        <w:rPr>
          <w:rFonts w:cs="Arial"/>
        </w:rPr>
      </w:pPr>
    </w:p>
    <w:p w14:paraId="1C6937A5" w14:textId="77777777" w:rsidR="00867DFB" w:rsidRPr="00CE0885" w:rsidRDefault="00867DFB" w:rsidP="00867DFB">
      <w:pPr>
        <w:spacing w:line="360" w:lineRule="auto"/>
        <w:rPr>
          <w:rFonts w:cs="Arial"/>
        </w:rPr>
      </w:pPr>
      <w:r w:rsidRPr="00CE0885">
        <w:rPr>
          <w:rFonts w:cs="Arial"/>
        </w:rPr>
        <w:t>If employing an external locum GP to cover the GP performer’s absence, then please complete the information below (add more lines if required).</w:t>
      </w:r>
    </w:p>
    <w:p w14:paraId="0B88766F" w14:textId="77777777" w:rsidR="00867DFB" w:rsidRPr="00CE0885" w:rsidRDefault="00867DFB" w:rsidP="00867DFB">
      <w:pPr>
        <w:spacing w:line="360" w:lineRule="auto"/>
        <w:rPr>
          <w:rFonts w:cs="Arial"/>
        </w:rPr>
      </w:pPr>
    </w:p>
    <w:p w14:paraId="0D342A5D" w14:textId="77777777" w:rsidR="00867DFB" w:rsidRPr="00CE0885" w:rsidRDefault="00867DFB" w:rsidP="005A7DDA">
      <w:pPr>
        <w:numPr>
          <w:ilvl w:val="0"/>
          <w:numId w:val="64"/>
        </w:numPr>
        <w:spacing w:line="360" w:lineRule="auto"/>
        <w:contextualSpacing/>
        <w:rPr>
          <w:rFonts w:cs="Arial"/>
        </w:rPr>
      </w:pPr>
      <w:r w:rsidRPr="00CE0885">
        <w:rPr>
          <w:rFonts w:cs="Arial"/>
        </w:rPr>
        <w:t>Name and surname: ……………………………………………………………………</w:t>
      </w:r>
    </w:p>
    <w:p w14:paraId="2549E171" w14:textId="77777777" w:rsidR="00867DFB" w:rsidRPr="00CE0885" w:rsidRDefault="00867DFB" w:rsidP="00867DFB">
      <w:pPr>
        <w:spacing w:line="360" w:lineRule="auto"/>
        <w:ind w:left="360"/>
        <w:contextualSpacing/>
        <w:rPr>
          <w:rFonts w:cs="Arial"/>
        </w:rPr>
      </w:pPr>
    </w:p>
    <w:p w14:paraId="1E5A739C" w14:textId="77777777" w:rsidR="00867DFB" w:rsidRPr="00CE0885" w:rsidRDefault="00867DFB" w:rsidP="00867DFB">
      <w:pPr>
        <w:spacing w:line="360" w:lineRule="auto"/>
        <w:ind w:left="360"/>
        <w:contextualSpacing/>
        <w:rPr>
          <w:rFonts w:cs="Arial"/>
        </w:rPr>
      </w:pPr>
      <w:r w:rsidRPr="00CE0885">
        <w:rPr>
          <w:rFonts w:cs="Arial"/>
        </w:rPr>
        <w:t>Period of cover: …………………………….…………. (No. of weeks: ……………)</w:t>
      </w:r>
    </w:p>
    <w:p w14:paraId="0F11ED0F" w14:textId="77777777" w:rsidR="00867DFB" w:rsidRPr="00CE0885" w:rsidRDefault="00867DFB" w:rsidP="00867DFB">
      <w:pPr>
        <w:spacing w:line="360" w:lineRule="auto"/>
        <w:ind w:left="360"/>
        <w:contextualSpacing/>
        <w:rPr>
          <w:rFonts w:cs="Arial"/>
        </w:rPr>
      </w:pPr>
    </w:p>
    <w:p w14:paraId="3DC01391" w14:textId="77777777" w:rsidR="00867DFB" w:rsidRPr="00CE0885" w:rsidRDefault="00867DFB" w:rsidP="00867DFB">
      <w:pPr>
        <w:spacing w:line="360" w:lineRule="auto"/>
        <w:ind w:left="360"/>
        <w:contextualSpacing/>
        <w:rPr>
          <w:rFonts w:cs="Arial"/>
        </w:rPr>
      </w:pPr>
      <w:r w:rsidRPr="00CE0885">
        <w:rPr>
          <w:rFonts w:cs="Arial"/>
        </w:rPr>
        <w:t>Number of clinical sessions worked………..</w:t>
      </w:r>
    </w:p>
    <w:p w14:paraId="0CBB8795" w14:textId="77777777" w:rsidR="00867DFB" w:rsidRPr="00CE0885" w:rsidRDefault="00867DFB" w:rsidP="00867DFB">
      <w:pPr>
        <w:spacing w:line="360" w:lineRule="auto"/>
        <w:ind w:left="360"/>
        <w:contextualSpacing/>
        <w:rPr>
          <w:rFonts w:cs="Arial"/>
        </w:rPr>
      </w:pPr>
    </w:p>
    <w:p w14:paraId="114D13CF" w14:textId="77777777" w:rsidR="00867DFB" w:rsidRPr="00CE0885" w:rsidRDefault="00867DFB" w:rsidP="00867DFB">
      <w:pPr>
        <w:spacing w:line="360" w:lineRule="auto"/>
        <w:ind w:left="360"/>
        <w:contextualSpacing/>
        <w:rPr>
          <w:rFonts w:cs="Arial"/>
        </w:rPr>
      </w:pPr>
      <w:r w:rsidRPr="00CE0885">
        <w:rPr>
          <w:rFonts w:cs="Arial"/>
        </w:rPr>
        <w:t>Amount paid to individual: £…………………………..</w:t>
      </w:r>
    </w:p>
    <w:p w14:paraId="54FD93E9" w14:textId="77777777" w:rsidR="00867DFB" w:rsidRPr="00CE0885" w:rsidRDefault="00867DFB" w:rsidP="00867DFB">
      <w:pPr>
        <w:spacing w:line="360" w:lineRule="auto"/>
        <w:rPr>
          <w:rFonts w:cs="Arial"/>
        </w:rPr>
      </w:pPr>
    </w:p>
    <w:p w14:paraId="1F2035D3" w14:textId="77777777" w:rsidR="00867DFB" w:rsidRPr="00CE0885" w:rsidRDefault="00867DFB" w:rsidP="00867DFB">
      <w:pPr>
        <w:spacing w:line="360" w:lineRule="auto"/>
        <w:rPr>
          <w:rFonts w:cs="Arial"/>
        </w:rPr>
      </w:pPr>
    </w:p>
    <w:p w14:paraId="31BDB3DF" w14:textId="77777777" w:rsidR="00867DFB" w:rsidRPr="00CE0885" w:rsidRDefault="00867DFB" w:rsidP="00867DFB">
      <w:pPr>
        <w:tabs>
          <w:tab w:val="left" w:pos="4337"/>
        </w:tabs>
        <w:spacing w:line="360" w:lineRule="auto"/>
        <w:rPr>
          <w:rFonts w:cs="Arial"/>
          <w:szCs w:val="24"/>
        </w:rPr>
      </w:pPr>
      <w:r w:rsidRPr="00CE0885">
        <w:rPr>
          <w:rFonts w:cs="Arial"/>
          <w:b/>
        </w:rPr>
        <w:t>Please provide invoices in support of this claim.</w:t>
      </w:r>
    </w:p>
    <w:p w14:paraId="55AA5225" w14:textId="00DB0B57" w:rsidR="005E089C" w:rsidRDefault="00867DFB" w:rsidP="005E089C">
      <w:pPr>
        <w:spacing w:line="360" w:lineRule="auto"/>
        <w:rPr>
          <w:lang w:eastAsia="en-GB"/>
        </w:rPr>
      </w:pPr>
      <w:r w:rsidRPr="00CE0885">
        <w:rPr>
          <w:rFonts w:cs="Arial"/>
        </w:rPr>
        <w:br w:type="page"/>
      </w:r>
      <w:r w:rsidR="005E089C">
        <w:rPr>
          <w:lang w:eastAsia="en-GB"/>
        </w:rPr>
        <w:t xml:space="preserve"> </w:t>
      </w:r>
    </w:p>
    <w:p w14:paraId="56F96D35" w14:textId="2AF561A9" w:rsidR="0015247B" w:rsidRDefault="0015247B" w:rsidP="0015247B">
      <w:pPr>
        <w:pStyle w:val="Heading1"/>
        <w:rPr>
          <w:lang w:eastAsia="en-GB"/>
        </w:rPr>
      </w:pPr>
      <w:bookmarkStart w:id="1683" w:name="_Toc498495508"/>
      <w:r>
        <w:rPr>
          <w:lang w:eastAsia="en-GB"/>
        </w:rPr>
        <w:t>Guidance Note: GP Practices serving Atypical Populations</w:t>
      </w:r>
      <w:bookmarkEnd w:id="1683"/>
    </w:p>
    <w:p w14:paraId="491BF8CF" w14:textId="77777777" w:rsidR="00E25BFF" w:rsidRDefault="00E25BFF" w:rsidP="00E25BFF">
      <w:pPr>
        <w:spacing w:line="389" w:lineRule="exact"/>
        <w:rPr>
          <w:rFonts w:ascii="Times New Roman" w:hAnsi="Times New Roman"/>
        </w:rPr>
      </w:pPr>
      <w:bookmarkStart w:id="1684" w:name="page5"/>
      <w:bookmarkEnd w:id="1684"/>
    </w:p>
    <w:p w14:paraId="5124E9DA" w14:textId="77777777" w:rsidR="00E25BFF" w:rsidRDefault="00E25BFF" w:rsidP="00E25BFF">
      <w:pPr>
        <w:pStyle w:val="Heading2"/>
        <w:rPr>
          <w:rFonts w:eastAsia="Arial"/>
        </w:rPr>
      </w:pPr>
      <w:bookmarkStart w:id="1685" w:name="_Toc498495509"/>
      <w:r>
        <w:rPr>
          <w:rFonts w:eastAsia="Arial"/>
        </w:rPr>
        <w:t>Introduction</w:t>
      </w:r>
      <w:bookmarkEnd w:id="1685"/>
    </w:p>
    <w:p w14:paraId="102C2312" w14:textId="77777777" w:rsidR="00E25BFF" w:rsidRDefault="00E25BFF" w:rsidP="00E25BFF">
      <w:pPr>
        <w:spacing w:line="277" w:lineRule="exact"/>
        <w:rPr>
          <w:rFonts w:ascii="Times New Roman" w:hAnsi="Times New Roman"/>
        </w:rPr>
      </w:pPr>
    </w:p>
    <w:p w14:paraId="084A18F9" w14:textId="1C009B36" w:rsidR="00E25BFF" w:rsidRPr="00965097" w:rsidRDefault="00E25BFF" w:rsidP="001C7059">
      <w:pPr>
        <w:pStyle w:val="Heading3"/>
        <w:rPr>
          <w:rFonts w:eastAsia="Arial"/>
          <w:b/>
        </w:rPr>
      </w:pPr>
      <w:r w:rsidRPr="00965097">
        <w:rPr>
          <w:rFonts w:eastAsia="Arial"/>
          <w:b/>
        </w:rPr>
        <w:t>Purpose of this document</w:t>
      </w:r>
    </w:p>
    <w:p w14:paraId="1DACBB1C" w14:textId="77777777" w:rsidR="00E25BFF" w:rsidRDefault="00E25BFF" w:rsidP="00E25BFF">
      <w:pPr>
        <w:spacing w:line="171" w:lineRule="exact"/>
        <w:rPr>
          <w:rFonts w:ascii="Times New Roman" w:hAnsi="Times New Roman"/>
        </w:rPr>
      </w:pPr>
    </w:p>
    <w:p w14:paraId="4E7E01BA" w14:textId="62CA5EBC" w:rsidR="00E25BFF" w:rsidRPr="005E089C" w:rsidRDefault="00E25BFF" w:rsidP="005E089C">
      <w:pPr>
        <w:pStyle w:val="Heading3"/>
        <w:rPr>
          <w:rFonts w:ascii="Times New Roman" w:hAnsi="Times New Roman"/>
        </w:rPr>
      </w:pPr>
      <w:r w:rsidRPr="005E089C">
        <w:rPr>
          <w:rFonts w:eastAsia="Arial"/>
        </w:rPr>
        <w:t>The General Medical Services (GMS) funding formula (Carr-Hill formula) is an attempt to fund practice workload, regardless of the population they serve. It is applicable to the vast majority of the UK, but there are some practice populations that are so significantly atypical that using the GMS funding formula would not ensure the delivery of an adequate general practice service. This working group has looked at three such atypical populations: unavoidably small and isolated; university practices and; those with a high ratio of patients who do not speak English.</w:t>
      </w:r>
    </w:p>
    <w:p w14:paraId="53152D09" w14:textId="77777777" w:rsidR="00E25BFF" w:rsidRDefault="00E25BFF" w:rsidP="005E089C">
      <w:pPr>
        <w:pStyle w:val="Heading3"/>
        <w:rPr>
          <w:rFonts w:eastAsia="Arial"/>
        </w:rPr>
      </w:pPr>
      <w:r>
        <w:rPr>
          <w:rFonts w:eastAsia="Arial"/>
        </w:rPr>
        <w:t xml:space="preserve">Support for practices should directly impact on patient care as well as the long term viability of practices, and therefore commissioners are encouraged to undertake a review of identified practices in their area. By reviewing the practices in your area, commissioners and providers can identify practices that require such support. Without this support many practices will be unable to maintain the service and as a result health outcomes may suffer. Where available, </w:t>
      </w:r>
      <w:hyperlink r:id="rId123" w:history="1">
        <w:r>
          <w:rPr>
            <w:rFonts w:eastAsia="Arial"/>
            <w:color w:val="0000FF"/>
            <w:u w:val="single"/>
          </w:rPr>
          <w:t>The Learning Environment</w:t>
        </w:r>
      </w:hyperlink>
      <w:r>
        <w:rPr>
          <w:rFonts w:eastAsia="Arial"/>
        </w:rPr>
        <w:t xml:space="preserve"> provides examples of support that commissioners are providing to some practices serving atypical populations.</w:t>
      </w:r>
    </w:p>
    <w:p w14:paraId="6E6DA4C2" w14:textId="77777777" w:rsidR="00E25BFF" w:rsidRDefault="00E25BFF" w:rsidP="00E25BFF">
      <w:pPr>
        <w:spacing w:line="284" w:lineRule="exact"/>
        <w:rPr>
          <w:rFonts w:ascii="Times New Roman" w:hAnsi="Times New Roman"/>
        </w:rPr>
      </w:pPr>
    </w:p>
    <w:p w14:paraId="7F56954B" w14:textId="62E8D3EE" w:rsidR="00E25BFF" w:rsidRPr="00965097" w:rsidRDefault="00E25BFF" w:rsidP="001C7059">
      <w:pPr>
        <w:pStyle w:val="Heading3"/>
        <w:rPr>
          <w:rFonts w:eastAsia="Arial"/>
          <w:b/>
        </w:rPr>
      </w:pPr>
      <w:r w:rsidRPr="00965097">
        <w:rPr>
          <w:rFonts w:eastAsia="Arial"/>
          <w:b/>
        </w:rPr>
        <w:t>Background to this work</w:t>
      </w:r>
    </w:p>
    <w:p w14:paraId="37AA50F6" w14:textId="77777777" w:rsidR="00E25BFF" w:rsidRDefault="00E25BFF" w:rsidP="00E25BFF">
      <w:pPr>
        <w:spacing w:line="200" w:lineRule="exact"/>
        <w:rPr>
          <w:rFonts w:ascii="Times New Roman" w:hAnsi="Times New Roman"/>
        </w:rPr>
      </w:pPr>
    </w:p>
    <w:p w14:paraId="1BF0CACE" w14:textId="77777777" w:rsidR="00E25BFF" w:rsidRDefault="00E25BFF" w:rsidP="00E25BFF">
      <w:pPr>
        <w:spacing w:line="247" w:lineRule="exact"/>
        <w:rPr>
          <w:rFonts w:ascii="Times New Roman" w:hAnsi="Times New Roman"/>
        </w:rPr>
      </w:pPr>
    </w:p>
    <w:p w14:paraId="5FB1F13D" w14:textId="7BFF6636" w:rsidR="00E25BFF" w:rsidRPr="005E089C" w:rsidRDefault="00E25BFF" w:rsidP="005E089C">
      <w:pPr>
        <w:pStyle w:val="Heading3"/>
        <w:rPr>
          <w:rFonts w:ascii="Times New Roman" w:hAnsi="Times New Roman"/>
        </w:rPr>
      </w:pPr>
      <w:r w:rsidRPr="005E089C">
        <w:rPr>
          <w:rFonts w:eastAsia="Arial"/>
        </w:rPr>
        <w:t>Whilst the vast majority of GP practices serve communities that have common characteristics and work to contracts that have similar terms, conditions and funding arrangements, a small cohort of practices provide services to a patient population which is sufficiently demographically different to result in particular workload challenges that are not always recognised in the practice’s existing contract/s or its funding allocation. A population that triggers ‘uncommon’ workload challenges that are not experienced by the majority of GP practices is referred to here as ‘atypical’.</w:t>
      </w:r>
    </w:p>
    <w:p w14:paraId="48809171" w14:textId="77777777" w:rsidR="00E25BFF" w:rsidRDefault="00E25BFF" w:rsidP="005E089C">
      <w:pPr>
        <w:pStyle w:val="Heading3"/>
        <w:rPr>
          <w:rFonts w:eastAsia="Arial"/>
        </w:rPr>
      </w:pPr>
      <w:r>
        <w:rPr>
          <w:rFonts w:eastAsia="Arial"/>
        </w:rPr>
        <w:t>This document was produced to assist NHS England and delegated Clinical Commissioning Group (CCG) commissioners of 3 such atypical ‘populations’ by detailing the particular challenges faced by providers and offering examples of either provider or commissioner reports that may help either articulate or address these pressures. How members of the public relate to and use GP services is influenced by the accessibility of other services including, for example, pharmacy, A &amp; E, Walk-In Centres and voluntary agency support infrastructure.</w:t>
      </w:r>
    </w:p>
    <w:p w14:paraId="0758858E" w14:textId="77777777" w:rsidR="00E25BFF" w:rsidRDefault="00E25BFF" w:rsidP="00E25BFF">
      <w:pPr>
        <w:spacing w:line="282" w:lineRule="exact"/>
        <w:rPr>
          <w:rFonts w:ascii="Times New Roman" w:hAnsi="Times New Roman"/>
        </w:rPr>
      </w:pPr>
    </w:p>
    <w:p w14:paraId="6A084278" w14:textId="77777777" w:rsidR="00E25BFF" w:rsidRDefault="00E25BFF" w:rsidP="005E089C">
      <w:pPr>
        <w:pStyle w:val="Heading3"/>
        <w:rPr>
          <w:rFonts w:eastAsia="Arial"/>
        </w:rPr>
      </w:pPr>
      <w:r>
        <w:rPr>
          <w:rFonts w:eastAsia="Arial"/>
        </w:rPr>
        <w:t>The populations are:</w:t>
      </w:r>
    </w:p>
    <w:p w14:paraId="59EAE409" w14:textId="77777777" w:rsidR="00E25BFF" w:rsidRDefault="00E25BFF" w:rsidP="00E25BFF">
      <w:pPr>
        <w:spacing w:line="275" w:lineRule="exact"/>
        <w:rPr>
          <w:rFonts w:ascii="Times New Roman" w:hAnsi="Times New Roman"/>
        </w:rPr>
      </w:pPr>
    </w:p>
    <w:p w14:paraId="233B236F" w14:textId="77777777" w:rsidR="00E25BFF" w:rsidRDefault="00E25BFF" w:rsidP="003331F2">
      <w:pPr>
        <w:numPr>
          <w:ilvl w:val="0"/>
          <w:numId w:val="5"/>
        </w:numPr>
        <w:tabs>
          <w:tab w:val="left" w:pos="1441"/>
        </w:tabs>
        <w:spacing w:line="0" w:lineRule="atLeast"/>
        <w:ind w:left="1441" w:hanging="361"/>
        <w:rPr>
          <w:rFonts w:ascii="Symbol" w:eastAsia="Symbol" w:hAnsi="Symbol"/>
        </w:rPr>
      </w:pPr>
      <w:r>
        <w:rPr>
          <w:rFonts w:eastAsia="Arial"/>
        </w:rPr>
        <w:t>Unavoidably small and isolated</w:t>
      </w:r>
    </w:p>
    <w:p w14:paraId="2ECB1DF6" w14:textId="77777777" w:rsidR="00E25BFF" w:rsidRDefault="00E25BFF" w:rsidP="003331F2">
      <w:pPr>
        <w:numPr>
          <w:ilvl w:val="0"/>
          <w:numId w:val="5"/>
        </w:numPr>
        <w:tabs>
          <w:tab w:val="left" w:pos="1441"/>
        </w:tabs>
        <w:spacing w:line="239" w:lineRule="auto"/>
        <w:ind w:left="1441" w:hanging="361"/>
        <w:rPr>
          <w:rFonts w:ascii="Symbol" w:eastAsia="Symbol" w:hAnsi="Symbol"/>
        </w:rPr>
      </w:pPr>
      <w:r>
        <w:rPr>
          <w:rFonts w:eastAsia="Arial"/>
        </w:rPr>
        <w:t>University populations and</w:t>
      </w:r>
    </w:p>
    <w:p w14:paraId="41492887" w14:textId="77777777" w:rsidR="00E25BFF" w:rsidRDefault="00E25BFF" w:rsidP="00E25BFF">
      <w:pPr>
        <w:spacing w:line="27" w:lineRule="exact"/>
        <w:rPr>
          <w:rFonts w:ascii="Symbol" w:eastAsia="Symbol" w:hAnsi="Symbol"/>
        </w:rPr>
      </w:pPr>
    </w:p>
    <w:p w14:paraId="2EA4ABCB" w14:textId="2B27062C" w:rsidR="00E25BFF" w:rsidRDefault="00E25BFF" w:rsidP="003331F2">
      <w:pPr>
        <w:numPr>
          <w:ilvl w:val="0"/>
          <w:numId w:val="5"/>
        </w:numPr>
        <w:tabs>
          <w:tab w:val="left" w:pos="1441"/>
        </w:tabs>
        <w:spacing w:line="229" w:lineRule="auto"/>
        <w:ind w:left="1441" w:right="460" w:hanging="361"/>
        <w:rPr>
          <w:rFonts w:ascii="Symbol" w:eastAsia="Symbol" w:hAnsi="Symbol"/>
        </w:rPr>
      </w:pPr>
      <w:r>
        <w:rPr>
          <w:rFonts w:eastAsia="Arial"/>
        </w:rPr>
        <w:t>Practices with a significantly high ratio of patients who do not speak English including those services designed t</w:t>
      </w:r>
      <w:r w:rsidR="00782D1D">
        <w:rPr>
          <w:rFonts w:eastAsia="Arial"/>
        </w:rPr>
        <w:t>o address the needs of migrants.</w:t>
      </w:r>
      <w:r w:rsidR="00782D1D">
        <w:rPr>
          <w:rStyle w:val="FootnoteReference"/>
          <w:rFonts w:eastAsia="Arial"/>
        </w:rPr>
        <w:footnoteReference w:id="16"/>
      </w:r>
    </w:p>
    <w:p w14:paraId="7E5F6209" w14:textId="1D875F6B" w:rsidR="00E25BFF" w:rsidRDefault="00E25BFF" w:rsidP="00E25BFF">
      <w:pPr>
        <w:spacing w:line="20" w:lineRule="exact"/>
        <w:rPr>
          <w:rFonts w:ascii="Times New Roman" w:hAnsi="Times New Roman"/>
        </w:rPr>
      </w:pPr>
    </w:p>
    <w:p w14:paraId="2C40E490" w14:textId="77777777" w:rsidR="00E25BFF" w:rsidRDefault="00E25BFF" w:rsidP="00E25BFF">
      <w:pPr>
        <w:spacing w:line="200" w:lineRule="exact"/>
        <w:rPr>
          <w:rFonts w:ascii="Times New Roman" w:hAnsi="Times New Roman"/>
        </w:rPr>
      </w:pPr>
    </w:p>
    <w:p w14:paraId="542F3750" w14:textId="77777777" w:rsidR="00836ECF" w:rsidRPr="00836ECF" w:rsidRDefault="00836ECF" w:rsidP="00836ECF">
      <w:pPr>
        <w:pStyle w:val="Heading3"/>
        <w:numPr>
          <w:ilvl w:val="0"/>
          <w:numId w:val="0"/>
        </w:numPr>
        <w:ind w:left="720"/>
      </w:pPr>
      <w:bookmarkStart w:id="1686" w:name="page6"/>
      <w:bookmarkEnd w:id="1686"/>
    </w:p>
    <w:p w14:paraId="74CA2C9C" w14:textId="43697708" w:rsidR="00E25BFF" w:rsidRPr="00965097" w:rsidRDefault="00E25BFF" w:rsidP="00965097">
      <w:pPr>
        <w:pStyle w:val="Heading3"/>
      </w:pPr>
      <w:r w:rsidRPr="00965097">
        <w:rPr>
          <w:rFonts w:eastAsia="Arial"/>
        </w:rPr>
        <w:t>This document guides commissioners to the types of issues and data sources they could consider in coming to a judgement about support that is relevant to their particular circumstance, where commissioners and individual practices have a shared concern about meeting the health needs of their patients.</w:t>
      </w:r>
    </w:p>
    <w:p w14:paraId="273CAAC8" w14:textId="5173A60B" w:rsidR="00E25BFF" w:rsidRPr="00965097" w:rsidRDefault="00E25BFF" w:rsidP="00965097">
      <w:pPr>
        <w:pStyle w:val="Heading3"/>
      </w:pPr>
      <w:r w:rsidRPr="00965097">
        <w:rPr>
          <w:rFonts w:eastAsia="Arial"/>
        </w:rPr>
        <w:t>This document outlines the additional needs of these patient groups, the pressures that providers face and the duty on commissioners to secure quality services which may legitimately require consideration of additional funding support.</w:t>
      </w:r>
    </w:p>
    <w:p w14:paraId="3FCA62AB" w14:textId="47BA9A88" w:rsidR="00E25BFF" w:rsidRPr="00965097" w:rsidRDefault="00E25BFF" w:rsidP="00965097">
      <w:pPr>
        <w:pStyle w:val="Heading3"/>
      </w:pPr>
      <w:r w:rsidRPr="00965097">
        <w:rPr>
          <w:rFonts w:eastAsia="Arial"/>
        </w:rPr>
        <w:t>In reading this document, commissioners and providers should be aware that services should be equitable for all population groups in line with the Public Sector Equality Duty (PSED) under the Equality Act 2010 and have regard to reduce health inequalities under the Health and Social Care Act 2012.</w:t>
      </w:r>
    </w:p>
    <w:p w14:paraId="523804C0" w14:textId="77777777" w:rsidR="00E25BFF" w:rsidRPr="00965097" w:rsidRDefault="00E25BFF" w:rsidP="00965097">
      <w:pPr>
        <w:pStyle w:val="Heading3"/>
        <w:rPr>
          <w:rFonts w:eastAsia="Arial"/>
        </w:rPr>
      </w:pPr>
      <w:r w:rsidRPr="00965097">
        <w:rPr>
          <w:rFonts w:eastAsia="Arial"/>
        </w:rPr>
        <w:t>Promoting equality and addressing health inequalities are at the heart of NHS England’s values. Throughout the development of the policies and processes cited in this document, we have:</w:t>
      </w:r>
    </w:p>
    <w:p w14:paraId="4A1B104B" w14:textId="77777777" w:rsidR="00E25BFF" w:rsidRDefault="00E25BFF" w:rsidP="00E25BFF">
      <w:pPr>
        <w:spacing w:line="307" w:lineRule="exact"/>
        <w:rPr>
          <w:rFonts w:ascii="Times New Roman" w:hAnsi="Times New Roman"/>
        </w:rPr>
      </w:pPr>
    </w:p>
    <w:p w14:paraId="1F1C363F" w14:textId="5C542382" w:rsidR="00E25BFF" w:rsidRPr="00FF7B03" w:rsidRDefault="00E25BFF" w:rsidP="005A7DDA">
      <w:pPr>
        <w:pStyle w:val="Heading3"/>
        <w:numPr>
          <w:ilvl w:val="0"/>
          <w:numId w:val="116"/>
        </w:numPr>
        <w:rPr>
          <w:rFonts w:ascii="Symbol" w:eastAsia="Symbol" w:hAnsi="Symbol"/>
        </w:rPr>
      </w:pPr>
      <w:r w:rsidRPr="00FF7B03">
        <w:rPr>
          <w:rFonts w:eastAsia="Arial"/>
        </w:rPr>
        <w:t>Given due regard to the need to eliminate discrimination, harassment and victimisation, to advance equality of opportunity, and to foster good relations between people who share a relevant protected characteristic (as cited under the Equality Act 2010) and those who do not share it.</w:t>
      </w:r>
    </w:p>
    <w:p w14:paraId="1859CCA1" w14:textId="77777777" w:rsidR="00E25BFF" w:rsidRDefault="00E25BFF" w:rsidP="005A7DDA">
      <w:pPr>
        <w:pStyle w:val="Heading3"/>
        <w:numPr>
          <w:ilvl w:val="0"/>
          <w:numId w:val="116"/>
        </w:numPr>
        <w:rPr>
          <w:rFonts w:ascii="Symbol" w:eastAsia="Symbol" w:hAnsi="Symbol"/>
        </w:rPr>
      </w:pPr>
      <w:r>
        <w:rPr>
          <w:rFonts w:eastAsia="Arial"/>
        </w:rPr>
        <w:t>Given regard to the need to reduce inequalities between patients in access to, and outcomes from, healthcare services and in securing that services are provided in an integrated way where this might reduce health inequalities.</w:t>
      </w:r>
    </w:p>
    <w:p w14:paraId="480C09BD" w14:textId="77777777" w:rsidR="00E25BFF" w:rsidRDefault="00E25BFF" w:rsidP="00E25BFF">
      <w:pPr>
        <w:spacing w:line="290" w:lineRule="exact"/>
        <w:rPr>
          <w:rFonts w:ascii="Times New Roman" w:hAnsi="Times New Roman"/>
        </w:rPr>
      </w:pPr>
    </w:p>
    <w:p w14:paraId="10DE7BEB" w14:textId="711E7C57" w:rsidR="00E25BFF" w:rsidRDefault="00E25BFF" w:rsidP="00965097">
      <w:pPr>
        <w:pStyle w:val="Heading3"/>
        <w:rPr>
          <w:rFonts w:eastAsia="Arial"/>
        </w:rPr>
      </w:pPr>
      <w:r>
        <w:rPr>
          <w:rFonts w:eastAsia="Arial"/>
        </w:rPr>
        <w:t>In addition, this guidance is designed to complement but not duplicate or replace other related support initiatives. As such it does not advocate any one service model over another, specify or advocate specific funding arrangements, specify financial arrangements for managing the workload associated with Temporary Residents or describe how to distribute the national programme funds</w:t>
      </w:r>
      <w:r w:rsidR="00782D1D">
        <w:rPr>
          <w:rStyle w:val="FootnoteReference"/>
          <w:rFonts w:eastAsia="Arial"/>
        </w:rPr>
        <w:footnoteReference w:id="17"/>
      </w:r>
      <w:r>
        <w:rPr>
          <w:rFonts w:eastAsia="Arial"/>
        </w:rPr>
        <w:t xml:space="preserve"> supporting struggling practices to improve their sustainability and resilience over the short/medium term.</w:t>
      </w:r>
    </w:p>
    <w:p w14:paraId="42449B32" w14:textId="77777777" w:rsidR="00E25BFF" w:rsidRDefault="00E25BFF" w:rsidP="00E25BFF">
      <w:pPr>
        <w:spacing w:line="200" w:lineRule="exact"/>
        <w:rPr>
          <w:rFonts w:ascii="Times New Roman" w:hAnsi="Times New Roman"/>
        </w:rPr>
      </w:pPr>
    </w:p>
    <w:p w14:paraId="5D02A92D" w14:textId="77777777" w:rsidR="00E25BFF" w:rsidRDefault="00E25BFF" w:rsidP="00E25BFF">
      <w:pPr>
        <w:spacing w:line="204" w:lineRule="exact"/>
        <w:rPr>
          <w:rFonts w:ascii="Times New Roman" w:hAnsi="Times New Roman"/>
        </w:rPr>
      </w:pPr>
    </w:p>
    <w:p w14:paraId="4A20FF49" w14:textId="7DD6FD39" w:rsidR="00E25BFF" w:rsidRDefault="00E25BFF" w:rsidP="001C7059">
      <w:pPr>
        <w:pStyle w:val="Heading3"/>
        <w:rPr>
          <w:rFonts w:eastAsia="Arial"/>
        </w:rPr>
      </w:pPr>
      <w:r>
        <w:rPr>
          <w:rFonts w:eastAsia="Arial"/>
        </w:rPr>
        <w:t>Call for evidence</w:t>
      </w:r>
    </w:p>
    <w:p w14:paraId="6EEE687C" w14:textId="77777777" w:rsidR="00E25BFF" w:rsidRDefault="00E25BFF" w:rsidP="00E25BFF">
      <w:pPr>
        <w:spacing w:line="200" w:lineRule="exact"/>
        <w:rPr>
          <w:rFonts w:ascii="Times New Roman" w:hAnsi="Times New Roman"/>
        </w:rPr>
      </w:pPr>
    </w:p>
    <w:p w14:paraId="4B2B5C80" w14:textId="77777777" w:rsidR="00E25BFF" w:rsidRDefault="00E25BFF" w:rsidP="00E25BFF">
      <w:pPr>
        <w:spacing w:line="247" w:lineRule="exact"/>
        <w:rPr>
          <w:rFonts w:ascii="Times New Roman" w:hAnsi="Times New Roman"/>
        </w:rPr>
      </w:pPr>
    </w:p>
    <w:p w14:paraId="62BBC116" w14:textId="102AF8F8" w:rsidR="00E25BFF" w:rsidRPr="00965097" w:rsidRDefault="00E25BFF" w:rsidP="00965097">
      <w:pPr>
        <w:pStyle w:val="Heading3"/>
        <w:rPr>
          <w:rFonts w:ascii="Times New Roman" w:hAnsi="Times New Roman"/>
        </w:rPr>
      </w:pPr>
      <w:r w:rsidRPr="00965097">
        <w:rPr>
          <w:rFonts w:eastAsia="Arial"/>
        </w:rPr>
        <w:t xml:space="preserve">Where available, this document also describes some examples of innovative practice to overcome challenges associated with serving the atypical populations. Hyperlinks to further information are included in this document where available. Over the coming months, where available, other examples will be posted on the free access Case Studies pin board of </w:t>
      </w:r>
      <w:hyperlink r:id="rId124" w:history="1">
        <w:r w:rsidRPr="00965097">
          <w:rPr>
            <w:rFonts w:eastAsia="Arial"/>
            <w:color w:val="0000FF"/>
            <w:u w:val="single"/>
          </w:rPr>
          <w:t>The Learning Environment</w:t>
        </w:r>
        <w:r w:rsidRPr="00965097">
          <w:rPr>
            <w:rFonts w:eastAsia="Arial"/>
            <w:u w:val="single"/>
          </w:rPr>
          <w:t>.</w:t>
        </w:r>
      </w:hyperlink>
    </w:p>
    <w:p w14:paraId="7126FE4E" w14:textId="6092FF45" w:rsidR="00965097" w:rsidRPr="00FF7B03" w:rsidRDefault="00E25BFF" w:rsidP="00FF7B03">
      <w:pPr>
        <w:pStyle w:val="Heading3"/>
      </w:pPr>
      <w:r w:rsidRPr="00FF7B03">
        <w:rPr>
          <w:rFonts w:eastAsia="Arial"/>
        </w:rPr>
        <w:t xml:space="preserve">If commissioners have further examples of local initiatives to address issues associated with ‘atypical practices’ please submit them to </w:t>
      </w:r>
      <w:hyperlink r:id="rId125" w:history="1">
        <w:r w:rsidRPr="00FF7B03">
          <w:rPr>
            <w:rFonts w:eastAsia="Arial"/>
          </w:rPr>
          <w:t xml:space="preserve">england.primarycareops@nhs.net </w:t>
        </w:r>
      </w:hyperlink>
      <w:r w:rsidRPr="00FF7B03">
        <w:rPr>
          <w:rFonts w:eastAsia="Arial"/>
        </w:rPr>
        <w:t>with the heading ‘Atypical Populations: Call for</w:t>
      </w:r>
      <w:r w:rsidR="00965097" w:rsidRPr="00FF7B03">
        <w:rPr>
          <w:rFonts w:eastAsia="Arial"/>
        </w:rPr>
        <w:t xml:space="preserve"> evidence’. Suitable case studies will be published on The Learning Environment website as a resource for commissioners and providers.</w:t>
      </w:r>
    </w:p>
    <w:p w14:paraId="57EB55B6" w14:textId="224788D1" w:rsidR="00E25BFF" w:rsidRPr="00FF7B03" w:rsidRDefault="00965097" w:rsidP="00FF7B03">
      <w:pPr>
        <w:pStyle w:val="Heading3"/>
        <w:rPr>
          <w:rFonts w:eastAsia="Arial"/>
        </w:rPr>
      </w:pPr>
      <w:r w:rsidRPr="00FF7B03">
        <w:rPr>
          <w:rFonts w:eastAsia="Arial"/>
        </w:rPr>
        <w:t>To complement these case studies NHS England will consider the viability of commissioning a more detailed investigation into these cohorts of patients to properly understand the difference in workload and related pressures not recognised in the funding formula.</w:t>
      </w:r>
    </w:p>
    <w:p w14:paraId="7A441675" w14:textId="6D64402B" w:rsidR="00E25BFF" w:rsidRDefault="00E25BFF" w:rsidP="00E25BFF">
      <w:pPr>
        <w:spacing w:line="20" w:lineRule="exact"/>
        <w:rPr>
          <w:rFonts w:ascii="Times New Roman" w:hAnsi="Times New Roman"/>
        </w:rPr>
      </w:pPr>
    </w:p>
    <w:p w14:paraId="52C07273" w14:textId="77777777" w:rsidR="00E25BFF" w:rsidRDefault="00E25BFF" w:rsidP="00E25BFF">
      <w:pPr>
        <w:spacing w:line="387" w:lineRule="exact"/>
        <w:rPr>
          <w:rFonts w:ascii="Times New Roman" w:hAnsi="Times New Roman"/>
        </w:rPr>
      </w:pPr>
    </w:p>
    <w:p w14:paraId="087C162D" w14:textId="77777777" w:rsidR="00E25BFF" w:rsidRDefault="00E25BFF" w:rsidP="00E25BFF">
      <w:pPr>
        <w:spacing w:line="200" w:lineRule="exact"/>
        <w:rPr>
          <w:rFonts w:ascii="Times New Roman" w:hAnsi="Times New Roman"/>
        </w:rPr>
      </w:pPr>
    </w:p>
    <w:p w14:paraId="0448FC58" w14:textId="77777777" w:rsidR="00E25BFF" w:rsidRDefault="00E25BFF" w:rsidP="00E25BFF">
      <w:pPr>
        <w:spacing w:line="200" w:lineRule="exact"/>
        <w:rPr>
          <w:rFonts w:ascii="Times New Roman" w:hAnsi="Times New Roman"/>
        </w:rPr>
      </w:pPr>
    </w:p>
    <w:p w14:paraId="7F0576A2" w14:textId="77777777" w:rsidR="00E25BFF" w:rsidRDefault="00E25BFF" w:rsidP="00E25BFF">
      <w:pPr>
        <w:spacing w:line="200" w:lineRule="exact"/>
        <w:rPr>
          <w:rFonts w:ascii="Times New Roman" w:hAnsi="Times New Roman"/>
        </w:rPr>
      </w:pPr>
    </w:p>
    <w:p w14:paraId="36DBE618" w14:textId="77777777" w:rsidR="00E25BFF" w:rsidRDefault="00E25BFF" w:rsidP="00E25BFF">
      <w:pPr>
        <w:pStyle w:val="Heading2"/>
        <w:rPr>
          <w:rFonts w:eastAsia="Arial"/>
        </w:rPr>
      </w:pPr>
      <w:bookmarkStart w:id="1687" w:name="_Toc498495510"/>
      <w:r>
        <w:rPr>
          <w:rFonts w:eastAsia="Arial"/>
        </w:rPr>
        <w:t>Context: General Medical Services (GMS) Funding Formula Review</w:t>
      </w:r>
      <w:bookmarkEnd w:id="1687"/>
    </w:p>
    <w:p w14:paraId="2D170295" w14:textId="77777777" w:rsidR="00E25BFF" w:rsidRDefault="00E25BFF" w:rsidP="00E25BFF">
      <w:pPr>
        <w:spacing w:line="279" w:lineRule="exact"/>
        <w:rPr>
          <w:rFonts w:ascii="Times New Roman" w:hAnsi="Times New Roman"/>
        </w:rPr>
      </w:pPr>
    </w:p>
    <w:p w14:paraId="66CADC21" w14:textId="2AED0E88" w:rsidR="00E25BFF" w:rsidRDefault="00E25BFF" w:rsidP="001C7059">
      <w:pPr>
        <w:pStyle w:val="Heading3"/>
        <w:rPr>
          <w:rFonts w:eastAsia="Arial"/>
        </w:rPr>
      </w:pPr>
      <w:r>
        <w:rPr>
          <w:rFonts w:eastAsia="Arial"/>
        </w:rPr>
        <w:t>Commitments to reviewing primary care funding</w:t>
      </w:r>
    </w:p>
    <w:p w14:paraId="0F6BBB34" w14:textId="77777777" w:rsidR="00E25BFF" w:rsidRDefault="00E25BFF" w:rsidP="00E25BFF">
      <w:pPr>
        <w:spacing w:line="200" w:lineRule="exact"/>
        <w:rPr>
          <w:rFonts w:ascii="Times New Roman" w:hAnsi="Times New Roman"/>
        </w:rPr>
      </w:pPr>
    </w:p>
    <w:p w14:paraId="32F96BDE" w14:textId="77777777" w:rsidR="00E25BFF" w:rsidRDefault="00E25BFF" w:rsidP="00E25BFF">
      <w:pPr>
        <w:spacing w:line="249" w:lineRule="exact"/>
        <w:rPr>
          <w:rFonts w:ascii="Times New Roman" w:hAnsi="Times New Roman"/>
        </w:rPr>
      </w:pPr>
    </w:p>
    <w:p w14:paraId="25AC0369" w14:textId="77777777" w:rsidR="00E25BFF" w:rsidRDefault="00E25BFF" w:rsidP="00E25BFF">
      <w:pPr>
        <w:spacing w:line="238" w:lineRule="auto"/>
        <w:ind w:left="1" w:right="100"/>
        <w:rPr>
          <w:rFonts w:eastAsia="Arial"/>
        </w:rPr>
      </w:pPr>
      <w:r w:rsidRPr="00FF7B03">
        <w:rPr>
          <w:rStyle w:val="Heading3Char"/>
          <w:rFonts w:eastAsia="Arial"/>
        </w:rPr>
        <w:t>NHS England has committed to reviewing the GMS funding formula which underpins the capitation payments made to GP practices under the General Medical Services (GMS) contract. This commitment was confirmed in the General Practice Forward View. We are working with the BMA’s General Practitioners Committee, NHS Employers, the Department of Health and academic partners on the review to develop a formula that</w:t>
      </w:r>
      <w:r>
        <w:rPr>
          <w:rFonts w:eastAsia="Arial"/>
        </w:rPr>
        <w:t xml:space="preserve"> better reflects the factors that drive workload, such as age or deprivation.</w:t>
      </w:r>
    </w:p>
    <w:p w14:paraId="530B8BDD" w14:textId="77777777" w:rsidR="00E25BFF" w:rsidRDefault="00E25BFF" w:rsidP="00E25BFF">
      <w:pPr>
        <w:spacing w:line="282" w:lineRule="exact"/>
        <w:rPr>
          <w:rFonts w:ascii="Times New Roman" w:hAnsi="Times New Roman"/>
        </w:rPr>
      </w:pPr>
    </w:p>
    <w:p w14:paraId="7D018A61" w14:textId="64C398F0" w:rsidR="00E25BFF" w:rsidRDefault="00E25BFF" w:rsidP="001C7059">
      <w:pPr>
        <w:pStyle w:val="Heading3"/>
        <w:rPr>
          <w:rFonts w:eastAsia="Arial"/>
        </w:rPr>
      </w:pPr>
      <w:r>
        <w:rPr>
          <w:rFonts w:eastAsia="Arial"/>
        </w:rPr>
        <w:t>Existing GMS funding formula (introduced in 2004)</w:t>
      </w:r>
    </w:p>
    <w:p w14:paraId="3F26970F" w14:textId="77777777" w:rsidR="00E25BFF" w:rsidRDefault="00E25BFF" w:rsidP="00E25BFF">
      <w:pPr>
        <w:spacing w:line="200" w:lineRule="exact"/>
        <w:rPr>
          <w:rFonts w:ascii="Times New Roman" w:hAnsi="Times New Roman"/>
        </w:rPr>
      </w:pPr>
    </w:p>
    <w:p w14:paraId="467E02F9" w14:textId="77777777" w:rsidR="00E25BFF" w:rsidRDefault="00E25BFF" w:rsidP="00E25BFF">
      <w:pPr>
        <w:spacing w:line="247" w:lineRule="exact"/>
        <w:rPr>
          <w:rFonts w:ascii="Times New Roman" w:hAnsi="Times New Roman"/>
        </w:rPr>
      </w:pPr>
    </w:p>
    <w:p w14:paraId="6B44F334" w14:textId="77777777" w:rsidR="00E25BFF" w:rsidRDefault="00E25BFF" w:rsidP="00FF7B03">
      <w:pPr>
        <w:pStyle w:val="Heading3"/>
        <w:rPr>
          <w:rFonts w:eastAsia="Arial"/>
        </w:rPr>
      </w:pPr>
      <w:r>
        <w:rPr>
          <w:rFonts w:eastAsia="Arial"/>
        </w:rPr>
        <w:t>The intention of the formula was to weight remuneration to reflect the comparative practice workload, complexity and the relative costs of service delivery based on the demographics of the patient list. As such the formula has two parts:</w:t>
      </w:r>
    </w:p>
    <w:p w14:paraId="4F330F8B" w14:textId="77777777" w:rsidR="00E25BFF" w:rsidRDefault="00E25BFF" w:rsidP="00E25BFF">
      <w:pPr>
        <w:spacing w:line="290" w:lineRule="exact"/>
        <w:rPr>
          <w:rFonts w:ascii="Times New Roman" w:hAnsi="Times New Roman"/>
        </w:rPr>
      </w:pPr>
    </w:p>
    <w:p w14:paraId="74E838DC" w14:textId="77777777" w:rsidR="00E25BFF" w:rsidRDefault="00E25BFF" w:rsidP="00836ECF">
      <w:pPr>
        <w:numPr>
          <w:ilvl w:val="0"/>
          <w:numId w:val="6"/>
        </w:numPr>
        <w:tabs>
          <w:tab w:val="left" w:pos="1441"/>
        </w:tabs>
        <w:spacing w:line="236" w:lineRule="auto"/>
        <w:ind w:left="1441" w:right="160" w:hanging="361"/>
        <w:rPr>
          <w:rFonts w:eastAsia="Arial"/>
        </w:rPr>
      </w:pPr>
      <w:r>
        <w:rPr>
          <w:rFonts w:eastAsia="Arial"/>
        </w:rPr>
        <w:t>A workload part that provides an estimate of the workload for each GP practice based on its list size and various patient and practice characteristics; and</w:t>
      </w:r>
    </w:p>
    <w:p w14:paraId="0BDA494F" w14:textId="77777777" w:rsidR="00E25BFF" w:rsidRDefault="00E25BFF" w:rsidP="00E25BFF">
      <w:pPr>
        <w:spacing w:line="14" w:lineRule="exact"/>
        <w:rPr>
          <w:rFonts w:eastAsia="Arial"/>
        </w:rPr>
      </w:pPr>
    </w:p>
    <w:p w14:paraId="503B1911" w14:textId="77777777" w:rsidR="00E25BFF" w:rsidRDefault="00E25BFF" w:rsidP="00836ECF">
      <w:pPr>
        <w:numPr>
          <w:ilvl w:val="0"/>
          <w:numId w:val="6"/>
        </w:numPr>
        <w:tabs>
          <w:tab w:val="left" w:pos="1441"/>
        </w:tabs>
        <w:spacing w:line="235" w:lineRule="auto"/>
        <w:ind w:left="1441" w:right="220" w:hanging="361"/>
        <w:rPr>
          <w:rFonts w:eastAsia="Arial"/>
        </w:rPr>
      </w:pPr>
      <w:r>
        <w:rPr>
          <w:rFonts w:eastAsia="Arial"/>
        </w:rPr>
        <w:t>A cost part that adjusts the payment for workload for variation in costs experienced by practices in different places.</w:t>
      </w:r>
    </w:p>
    <w:p w14:paraId="063D71F4" w14:textId="77777777" w:rsidR="00E25BFF" w:rsidRDefault="00E25BFF" w:rsidP="00E25BFF">
      <w:pPr>
        <w:spacing w:line="288" w:lineRule="exact"/>
        <w:rPr>
          <w:rFonts w:ascii="Times New Roman" w:hAnsi="Times New Roman"/>
        </w:rPr>
      </w:pPr>
    </w:p>
    <w:p w14:paraId="7E4949C5" w14:textId="77777777" w:rsidR="00E25BFF" w:rsidRDefault="00E25BFF" w:rsidP="00FF7B03">
      <w:pPr>
        <w:pStyle w:val="Heading3"/>
        <w:rPr>
          <w:rFonts w:eastAsia="Arial"/>
        </w:rPr>
      </w:pPr>
      <w:r>
        <w:rPr>
          <w:rFonts w:eastAsia="Arial"/>
        </w:rPr>
        <w:t>The workload part is also used to inform the primary medical services component of the primary care allocation formula. It is recognised that due to the wide diversity of populations serviced by GP practices, a national formula will never be able to accommodate the workload needs of all practices, hence the need for guidance on atypical practices.</w:t>
      </w:r>
    </w:p>
    <w:p w14:paraId="5CA00A3E" w14:textId="77777777" w:rsidR="00E25BFF" w:rsidRDefault="00E25BFF" w:rsidP="00E25BFF">
      <w:pPr>
        <w:spacing w:line="277" w:lineRule="exact"/>
        <w:rPr>
          <w:rFonts w:ascii="Times New Roman" w:hAnsi="Times New Roman"/>
        </w:rPr>
      </w:pPr>
    </w:p>
    <w:p w14:paraId="02B5DA26" w14:textId="6E3D25E9" w:rsidR="00E25BFF" w:rsidRDefault="00E25BFF" w:rsidP="001C7059">
      <w:pPr>
        <w:pStyle w:val="Heading3"/>
        <w:rPr>
          <w:rFonts w:eastAsia="Arial"/>
        </w:rPr>
      </w:pPr>
      <w:r>
        <w:rPr>
          <w:rFonts w:eastAsia="Arial"/>
        </w:rPr>
        <w:t>What does the GMS funding formula not achieve?</w:t>
      </w:r>
    </w:p>
    <w:p w14:paraId="157E8D51" w14:textId="77777777" w:rsidR="00E25BFF" w:rsidRDefault="00E25BFF" w:rsidP="00E25BFF">
      <w:pPr>
        <w:spacing w:line="200" w:lineRule="exact"/>
        <w:rPr>
          <w:rFonts w:ascii="Times New Roman" w:hAnsi="Times New Roman"/>
        </w:rPr>
      </w:pPr>
    </w:p>
    <w:p w14:paraId="33002808" w14:textId="77777777" w:rsidR="00E25BFF" w:rsidRDefault="00E25BFF" w:rsidP="00E25BFF">
      <w:pPr>
        <w:spacing w:line="247" w:lineRule="exact"/>
        <w:rPr>
          <w:rFonts w:ascii="Times New Roman" w:hAnsi="Times New Roman"/>
        </w:rPr>
      </w:pPr>
    </w:p>
    <w:p w14:paraId="280C8FF4" w14:textId="77777777" w:rsidR="00E25BFF" w:rsidRDefault="00E25BFF" w:rsidP="00FF7B03">
      <w:pPr>
        <w:pStyle w:val="Heading3"/>
        <w:rPr>
          <w:rFonts w:eastAsia="Arial"/>
        </w:rPr>
      </w:pPr>
      <w:r>
        <w:rPr>
          <w:rFonts w:eastAsia="Arial"/>
        </w:rPr>
        <w:t>It has been suggested that the GMS funding formula could be improved upon in a number of ways:</w:t>
      </w:r>
    </w:p>
    <w:p w14:paraId="04FB3D57" w14:textId="77777777" w:rsidR="00E25BFF" w:rsidRDefault="00E25BFF" w:rsidP="00E25BFF">
      <w:pPr>
        <w:spacing w:line="28" w:lineRule="exact"/>
        <w:rPr>
          <w:rFonts w:ascii="Times New Roman" w:hAnsi="Times New Roman"/>
        </w:rPr>
      </w:pPr>
    </w:p>
    <w:p w14:paraId="356CE0D6" w14:textId="77777777" w:rsidR="00E25BFF" w:rsidRDefault="00E25BFF" w:rsidP="00836ECF">
      <w:pPr>
        <w:numPr>
          <w:ilvl w:val="0"/>
          <w:numId w:val="7"/>
        </w:numPr>
        <w:tabs>
          <w:tab w:val="left" w:pos="1441"/>
        </w:tabs>
        <w:spacing w:line="227" w:lineRule="auto"/>
        <w:ind w:left="1441" w:right="100" w:hanging="361"/>
        <w:rPr>
          <w:rFonts w:ascii="Symbol" w:eastAsia="Symbol" w:hAnsi="Symbol"/>
        </w:rPr>
      </w:pPr>
      <w:r>
        <w:rPr>
          <w:rFonts w:eastAsia="Arial"/>
        </w:rPr>
        <w:t>The data that make up the formula requires updating (some of the data are more than ten years out-of-date)</w:t>
      </w:r>
    </w:p>
    <w:p w14:paraId="1CD87798" w14:textId="77777777" w:rsidR="00E25BFF" w:rsidRDefault="00E25BFF" w:rsidP="00836ECF">
      <w:pPr>
        <w:numPr>
          <w:ilvl w:val="0"/>
          <w:numId w:val="8"/>
        </w:numPr>
        <w:tabs>
          <w:tab w:val="left" w:pos="1441"/>
        </w:tabs>
        <w:spacing w:line="242" w:lineRule="auto"/>
        <w:ind w:left="1441" w:right="760" w:hanging="361"/>
        <w:rPr>
          <w:rFonts w:ascii="Symbol" w:eastAsia="Symbol" w:hAnsi="Symbol"/>
          <w:sz w:val="23"/>
        </w:rPr>
      </w:pPr>
      <w:bookmarkStart w:id="1688" w:name="page8"/>
      <w:bookmarkEnd w:id="1688"/>
      <w:r>
        <w:rPr>
          <w:rFonts w:eastAsia="Arial"/>
          <w:sz w:val="23"/>
        </w:rPr>
        <w:t>Factors currently included do not adequately reflect the workload associated with older people who may not be living in nursing or residential care and have a range of complex co-morbidities</w:t>
      </w:r>
    </w:p>
    <w:p w14:paraId="3770C116" w14:textId="77777777" w:rsidR="00E25BFF" w:rsidRDefault="00E25BFF" w:rsidP="00E25BFF">
      <w:pPr>
        <w:spacing w:line="27" w:lineRule="exact"/>
        <w:rPr>
          <w:rFonts w:ascii="Symbol" w:eastAsia="Symbol" w:hAnsi="Symbol"/>
          <w:sz w:val="23"/>
        </w:rPr>
      </w:pPr>
    </w:p>
    <w:p w14:paraId="7BAC2BAD" w14:textId="77777777" w:rsidR="00E25BFF" w:rsidRDefault="00E25BFF" w:rsidP="00836ECF">
      <w:pPr>
        <w:numPr>
          <w:ilvl w:val="0"/>
          <w:numId w:val="8"/>
        </w:numPr>
        <w:tabs>
          <w:tab w:val="left" w:pos="1441"/>
        </w:tabs>
        <w:spacing w:line="226" w:lineRule="auto"/>
        <w:ind w:left="1441" w:right="260" w:hanging="361"/>
        <w:rPr>
          <w:rFonts w:ascii="Symbol" w:eastAsia="Symbol" w:hAnsi="Symbol"/>
        </w:rPr>
      </w:pPr>
      <w:r>
        <w:rPr>
          <w:rFonts w:eastAsia="Arial"/>
        </w:rPr>
        <w:t>The impact of deprivation has been questioned and all the weightings will need to be reviewed.</w:t>
      </w:r>
    </w:p>
    <w:p w14:paraId="17147F04" w14:textId="77777777" w:rsidR="00E25BFF" w:rsidRDefault="00E25BFF" w:rsidP="00E25BFF">
      <w:pPr>
        <w:spacing w:line="289" w:lineRule="exact"/>
        <w:rPr>
          <w:rFonts w:ascii="Times New Roman" w:hAnsi="Times New Roman"/>
        </w:rPr>
      </w:pPr>
    </w:p>
    <w:p w14:paraId="085976FA" w14:textId="77777777" w:rsidR="00E25BFF" w:rsidRDefault="00E25BFF" w:rsidP="00FF7B03">
      <w:pPr>
        <w:pStyle w:val="Heading3"/>
        <w:rPr>
          <w:rFonts w:eastAsia="Arial"/>
        </w:rPr>
      </w:pPr>
      <w:r>
        <w:rPr>
          <w:rFonts w:eastAsia="Arial"/>
        </w:rPr>
        <w:t>It is acknowledged that no formula will address the particular characteristics of ‘atypical’ populations hence this guidance.</w:t>
      </w:r>
    </w:p>
    <w:p w14:paraId="6B3602F9" w14:textId="77777777" w:rsidR="00E25BFF" w:rsidRDefault="00E25BFF" w:rsidP="00E25BFF">
      <w:pPr>
        <w:spacing w:line="395" w:lineRule="exact"/>
        <w:rPr>
          <w:rFonts w:ascii="Times New Roman" w:hAnsi="Times New Roman"/>
        </w:rPr>
      </w:pPr>
    </w:p>
    <w:p w14:paraId="121D0677" w14:textId="77777777" w:rsidR="00E25BFF" w:rsidRDefault="00E25BFF" w:rsidP="00E25BFF">
      <w:pPr>
        <w:pStyle w:val="Heading2"/>
        <w:rPr>
          <w:rFonts w:eastAsia="Arial"/>
        </w:rPr>
      </w:pPr>
      <w:bookmarkStart w:id="1689" w:name="_Toc498495511"/>
      <w:r>
        <w:rPr>
          <w:rFonts w:eastAsia="Arial"/>
        </w:rPr>
        <w:t>Background to developing this document</w:t>
      </w:r>
      <w:bookmarkEnd w:id="1689"/>
    </w:p>
    <w:p w14:paraId="7E8DCE61" w14:textId="77777777" w:rsidR="00E25BFF" w:rsidRDefault="00E25BFF" w:rsidP="00E25BFF">
      <w:pPr>
        <w:spacing w:line="255" w:lineRule="exact"/>
        <w:rPr>
          <w:rFonts w:ascii="Times New Roman" w:hAnsi="Times New Roman"/>
        </w:rPr>
      </w:pPr>
    </w:p>
    <w:p w14:paraId="21336690" w14:textId="77777777" w:rsidR="00E25BFF" w:rsidRDefault="00E25BFF" w:rsidP="00FF7B03">
      <w:pPr>
        <w:pStyle w:val="Heading3"/>
        <w:rPr>
          <w:rFonts w:eastAsia="Arial"/>
        </w:rPr>
      </w:pPr>
      <w:r>
        <w:rPr>
          <w:rFonts w:eastAsia="Arial"/>
        </w:rPr>
        <w:t>A joint workshop between NHS England, the British Medical Association’s (BMA) GPs’ committee, Local Medical Committee (LMC) representatives and NHS Employers was convened in September 2015 to:</w:t>
      </w:r>
    </w:p>
    <w:p w14:paraId="4BF25796" w14:textId="77777777" w:rsidR="00E25BFF" w:rsidRDefault="00E25BFF" w:rsidP="00E25BFF">
      <w:pPr>
        <w:spacing w:line="307" w:lineRule="exact"/>
        <w:rPr>
          <w:rFonts w:ascii="Times New Roman" w:hAnsi="Times New Roman"/>
        </w:rPr>
      </w:pPr>
    </w:p>
    <w:p w14:paraId="2B16F4F4" w14:textId="77777777" w:rsidR="00E25BFF" w:rsidRDefault="00E25BFF" w:rsidP="00836ECF">
      <w:pPr>
        <w:numPr>
          <w:ilvl w:val="0"/>
          <w:numId w:val="9"/>
        </w:numPr>
        <w:tabs>
          <w:tab w:val="left" w:pos="721"/>
        </w:tabs>
        <w:spacing w:line="226" w:lineRule="auto"/>
        <w:ind w:left="721" w:right="60" w:hanging="361"/>
        <w:rPr>
          <w:rFonts w:ascii="Symbol" w:eastAsia="Symbol" w:hAnsi="Symbol"/>
        </w:rPr>
      </w:pPr>
      <w:r>
        <w:rPr>
          <w:rFonts w:eastAsia="Arial"/>
        </w:rPr>
        <w:t>Provide a list of propositions on atypical practices and views on whether these could or could not be reflected in a formula</w:t>
      </w:r>
    </w:p>
    <w:p w14:paraId="2ABFF7DA" w14:textId="77777777" w:rsidR="00E25BFF" w:rsidRDefault="00E25BFF" w:rsidP="00E25BFF">
      <w:pPr>
        <w:spacing w:line="2" w:lineRule="exact"/>
        <w:rPr>
          <w:rFonts w:ascii="Symbol" w:eastAsia="Symbol" w:hAnsi="Symbol"/>
        </w:rPr>
      </w:pPr>
    </w:p>
    <w:p w14:paraId="21943D6A" w14:textId="77777777" w:rsidR="00E25BFF" w:rsidRDefault="00E25BFF" w:rsidP="00836ECF">
      <w:pPr>
        <w:numPr>
          <w:ilvl w:val="0"/>
          <w:numId w:val="9"/>
        </w:numPr>
        <w:tabs>
          <w:tab w:val="left" w:pos="721"/>
        </w:tabs>
        <w:spacing w:line="239" w:lineRule="auto"/>
        <w:ind w:left="721" w:hanging="361"/>
        <w:rPr>
          <w:rFonts w:ascii="Symbol" w:eastAsia="Symbol" w:hAnsi="Symbol"/>
        </w:rPr>
      </w:pPr>
      <w:r>
        <w:rPr>
          <w:rFonts w:eastAsia="Arial"/>
        </w:rPr>
        <w:t>Identify those characteristics that will never be fully met by a formula, and</w:t>
      </w:r>
    </w:p>
    <w:p w14:paraId="4F04CF78" w14:textId="77777777" w:rsidR="00E25BFF" w:rsidRDefault="00E25BFF" w:rsidP="00E25BFF">
      <w:pPr>
        <w:spacing w:line="27" w:lineRule="exact"/>
        <w:rPr>
          <w:rFonts w:ascii="Symbol" w:eastAsia="Symbol" w:hAnsi="Symbol"/>
        </w:rPr>
      </w:pPr>
    </w:p>
    <w:p w14:paraId="0697FEC5" w14:textId="77777777" w:rsidR="00E25BFF" w:rsidRDefault="00E25BFF" w:rsidP="00836ECF">
      <w:pPr>
        <w:numPr>
          <w:ilvl w:val="0"/>
          <w:numId w:val="9"/>
        </w:numPr>
        <w:tabs>
          <w:tab w:val="left" w:pos="721"/>
        </w:tabs>
        <w:spacing w:line="231" w:lineRule="auto"/>
        <w:ind w:left="721" w:right="300" w:hanging="361"/>
        <w:rPr>
          <w:rFonts w:ascii="Symbol" w:eastAsia="Symbol" w:hAnsi="Symbol"/>
        </w:rPr>
      </w:pPr>
      <w:r>
        <w:rPr>
          <w:rFonts w:eastAsia="Arial"/>
        </w:rPr>
        <w:t>Aid a description about the characteristics of a practice where it is likely that some additional support is required due to the practice characteristics not being fully recognised by any formula approach.</w:t>
      </w:r>
    </w:p>
    <w:p w14:paraId="10158CAF" w14:textId="77777777" w:rsidR="00E25BFF" w:rsidRDefault="00E25BFF" w:rsidP="00E25BFF">
      <w:pPr>
        <w:spacing w:line="290" w:lineRule="exact"/>
        <w:rPr>
          <w:rFonts w:ascii="Times New Roman" w:hAnsi="Times New Roman"/>
        </w:rPr>
      </w:pPr>
    </w:p>
    <w:p w14:paraId="25C2C322" w14:textId="77777777" w:rsidR="00E25BFF" w:rsidRDefault="00E25BFF" w:rsidP="00FF7B03">
      <w:pPr>
        <w:pStyle w:val="Heading3"/>
        <w:rPr>
          <w:rFonts w:eastAsia="Arial"/>
        </w:rPr>
      </w:pPr>
      <w:r>
        <w:rPr>
          <w:rFonts w:eastAsia="Arial"/>
        </w:rPr>
        <w:t>The information used at that workshop has been used as the basis for this paper focusing on 3 specific cohorts, agreed with the BMA’s GPs’ committee:</w:t>
      </w:r>
    </w:p>
    <w:p w14:paraId="3BC4B39D" w14:textId="77777777" w:rsidR="00E25BFF" w:rsidRDefault="00E25BFF" w:rsidP="00E25BFF">
      <w:pPr>
        <w:spacing w:line="28" w:lineRule="exact"/>
        <w:rPr>
          <w:rFonts w:ascii="Times New Roman" w:hAnsi="Times New Roman"/>
        </w:rPr>
      </w:pPr>
    </w:p>
    <w:p w14:paraId="042B53B9" w14:textId="77777777" w:rsidR="00E25BFF" w:rsidRDefault="00E25BFF" w:rsidP="00836ECF">
      <w:pPr>
        <w:numPr>
          <w:ilvl w:val="0"/>
          <w:numId w:val="10"/>
        </w:numPr>
        <w:tabs>
          <w:tab w:val="left" w:pos="721"/>
        </w:tabs>
        <w:spacing w:line="226" w:lineRule="auto"/>
        <w:ind w:left="721" w:right="100" w:hanging="361"/>
        <w:rPr>
          <w:rFonts w:ascii="Symbol" w:eastAsia="Symbol" w:hAnsi="Symbol"/>
        </w:rPr>
      </w:pPr>
      <w:r>
        <w:rPr>
          <w:rFonts w:eastAsia="Arial"/>
        </w:rPr>
        <w:t>Unavoidably small and isolated (from other practices and other NHS services) with static populations</w:t>
      </w:r>
    </w:p>
    <w:p w14:paraId="0D3790D7" w14:textId="77777777" w:rsidR="00E25BFF" w:rsidRDefault="00E25BFF" w:rsidP="00E25BFF">
      <w:pPr>
        <w:spacing w:line="2" w:lineRule="exact"/>
        <w:rPr>
          <w:rFonts w:ascii="Symbol" w:eastAsia="Symbol" w:hAnsi="Symbol"/>
        </w:rPr>
      </w:pPr>
    </w:p>
    <w:p w14:paraId="27BC372A" w14:textId="77777777" w:rsidR="00E25BFF" w:rsidRDefault="00E25BFF" w:rsidP="00836ECF">
      <w:pPr>
        <w:numPr>
          <w:ilvl w:val="0"/>
          <w:numId w:val="10"/>
        </w:numPr>
        <w:tabs>
          <w:tab w:val="left" w:pos="721"/>
        </w:tabs>
        <w:spacing w:line="239" w:lineRule="auto"/>
        <w:ind w:left="721" w:hanging="361"/>
        <w:rPr>
          <w:rFonts w:ascii="Symbol" w:eastAsia="Symbol" w:hAnsi="Symbol"/>
        </w:rPr>
      </w:pPr>
      <w:r>
        <w:rPr>
          <w:rFonts w:eastAsia="Arial"/>
        </w:rPr>
        <w:t>University practices</w:t>
      </w:r>
    </w:p>
    <w:p w14:paraId="7A9CFC6D" w14:textId="77777777" w:rsidR="00E25BFF" w:rsidRDefault="00E25BFF" w:rsidP="00E25BFF">
      <w:pPr>
        <w:spacing w:line="27" w:lineRule="exact"/>
        <w:rPr>
          <w:rFonts w:ascii="Symbol" w:eastAsia="Symbol" w:hAnsi="Symbol"/>
        </w:rPr>
      </w:pPr>
    </w:p>
    <w:p w14:paraId="738CEE4F" w14:textId="77777777" w:rsidR="00E25BFF" w:rsidRDefault="00E25BFF" w:rsidP="00836ECF">
      <w:pPr>
        <w:numPr>
          <w:ilvl w:val="0"/>
          <w:numId w:val="10"/>
        </w:numPr>
        <w:tabs>
          <w:tab w:val="left" w:pos="721"/>
        </w:tabs>
        <w:spacing w:line="233" w:lineRule="auto"/>
        <w:ind w:left="721" w:right="300" w:hanging="361"/>
        <w:rPr>
          <w:rFonts w:ascii="Symbol" w:eastAsia="Symbol" w:hAnsi="Symbol"/>
        </w:rPr>
      </w:pPr>
      <w:r>
        <w:rPr>
          <w:rFonts w:eastAsia="Arial"/>
        </w:rPr>
        <w:t>Practices with a significantly high ratio of patients who do not speak English including those designed to address the needs of migrants (Asylum seekers are excluded from the scope of this work as it is recognised this group requires a more specialised service).</w:t>
      </w:r>
    </w:p>
    <w:p w14:paraId="009F51B3" w14:textId="77777777" w:rsidR="00E25BFF" w:rsidRDefault="00E25BFF" w:rsidP="00E25BFF">
      <w:pPr>
        <w:spacing w:line="281" w:lineRule="exact"/>
        <w:rPr>
          <w:rFonts w:ascii="Times New Roman" w:hAnsi="Times New Roman"/>
        </w:rPr>
      </w:pPr>
    </w:p>
    <w:p w14:paraId="7B0E0362" w14:textId="77777777" w:rsidR="00E25BFF" w:rsidRDefault="00E25BFF" w:rsidP="00FF7B03">
      <w:pPr>
        <w:pStyle w:val="Heading3"/>
        <w:rPr>
          <w:rFonts w:eastAsia="Arial"/>
        </w:rPr>
      </w:pPr>
      <w:r>
        <w:rPr>
          <w:rFonts w:eastAsia="Arial"/>
        </w:rPr>
        <w:t>These populations were chosen as priority areas because:</w:t>
      </w:r>
    </w:p>
    <w:p w14:paraId="63A4D21E" w14:textId="77777777" w:rsidR="00E25BFF" w:rsidRDefault="00E25BFF" w:rsidP="00E25BFF">
      <w:pPr>
        <w:spacing w:line="28" w:lineRule="exact"/>
        <w:rPr>
          <w:rFonts w:ascii="Times New Roman" w:hAnsi="Times New Roman"/>
        </w:rPr>
      </w:pPr>
    </w:p>
    <w:p w14:paraId="451DB685" w14:textId="77777777" w:rsidR="00E25BFF" w:rsidRDefault="00E25BFF" w:rsidP="00836ECF">
      <w:pPr>
        <w:numPr>
          <w:ilvl w:val="0"/>
          <w:numId w:val="11"/>
        </w:numPr>
        <w:tabs>
          <w:tab w:val="left" w:pos="721"/>
        </w:tabs>
        <w:spacing w:line="233" w:lineRule="auto"/>
        <w:ind w:left="721" w:hanging="361"/>
        <w:rPr>
          <w:rFonts w:ascii="Symbol" w:eastAsia="Symbol" w:hAnsi="Symbol"/>
        </w:rPr>
      </w:pPr>
      <w:r>
        <w:rPr>
          <w:rFonts w:eastAsia="Arial"/>
        </w:rPr>
        <w:t>Small and isolated practices have particular challenges when meeting demand from dispersed rural communities. Opportunities to develop primary care working ‘at scale’ are more limited and population growth is slower, impacting on the available primary care budget</w:t>
      </w:r>
    </w:p>
    <w:p w14:paraId="1FEFDC31" w14:textId="77777777" w:rsidR="00E25BFF" w:rsidRDefault="00E25BFF" w:rsidP="00E25BFF">
      <w:pPr>
        <w:spacing w:line="29" w:lineRule="exact"/>
        <w:rPr>
          <w:rFonts w:ascii="Symbol" w:eastAsia="Symbol" w:hAnsi="Symbol"/>
        </w:rPr>
      </w:pPr>
    </w:p>
    <w:p w14:paraId="4FDF0F67" w14:textId="77777777" w:rsidR="00E25BFF" w:rsidRDefault="00E25BFF" w:rsidP="00836ECF">
      <w:pPr>
        <w:numPr>
          <w:ilvl w:val="0"/>
          <w:numId w:val="11"/>
        </w:numPr>
        <w:tabs>
          <w:tab w:val="left" w:pos="721"/>
        </w:tabs>
        <w:spacing w:line="233" w:lineRule="auto"/>
        <w:ind w:left="721" w:right="300" w:hanging="361"/>
        <w:rPr>
          <w:rFonts w:ascii="Symbol" w:eastAsia="Symbol" w:hAnsi="Symbol"/>
        </w:rPr>
      </w:pPr>
      <w:r>
        <w:rPr>
          <w:rFonts w:eastAsia="Arial"/>
        </w:rPr>
        <w:t>Anecdotal evidence tells us that university practices (in particular campus-based services) have a population that consults general practice more than expected for their age and health (e.g. in terms of mental health and sexual health issues)</w:t>
      </w:r>
    </w:p>
    <w:p w14:paraId="3B5EC6D3" w14:textId="77777777" w:rsidR="00E25BFF" w:rsidRDefault="00E25BFF" w:rsidP="00E25BFF">
      <w:pPr>
        <w:spacing w:line="31" w:lineRule="exact"/>
        <w:rPr>
          <w:rFonts w:ascii="Symbol" w:eastAsia="Symbol" w:hAnsi="Symbol"/>
        </w:rPr>
      </w:pPr>
    </w:p>
    <w:p w14:paraId="3DFE4F6A" w14:textId="77777777" w:rsidR="00E25BFF" w:rsidRPr="00E25BFF" w:rsidRDefault="00E25BFF" w:rsidP="00836ECF">
      <w:pPr>
        <w:pStyle w:val="ListParagraph"/>
        <w:numPr>
          <w:ilvl w:val="0"/>
          <w:numId w:val="30"/>
        </w:numPr>
        <w:tabs>
          <w:tab w:val="left" w:pos="721"/>
        </w:tabs>
        <w:spacing w:line="233" w:lineRule="auto"/>
        <w:ind w:right="20"/>
        <w:rPr>
          <w:rFonts w:eastAsia="Arial"/>
        </w:rPr>
      </w:pPr>
      <w:r w:rsidRPr="00E25BFF">
        <w:rPr>
          <w:rFonts w:eastAsia="Arial"/>
        </w:rPr>
        <w:t xml:space="preserve">Practices supporting a significant number of patients that do not speak English have operational complications associated with communication problems (this also links to a separate NHS England work stream on </w:t>
      </w:r>
      <w:hyperlink r:id="rId126" w:history="1">
        <w:r w:rsidRPr="00E25BFF">
          <w:rPr>
            <w:rFonts w:eastAsia="Arial"/>
          </w:rPr>
          <w:t>translation and</w:t>
        </w:r>
      </w:hyperlink>
      <w:r w:rsidRPr="00E25BFF">
        <w:rPr>
          <w:rFonts w:eastAsia="Arial"/>
        </w:rPr>
        <w:t xml:space="preserve"> </w:t>
      </w:r>
      <w:hyperlink r:id="rId127" w:history="1">
        <w:r w:rsidRPr="00E25BFF">
          <w:rPr>
            <w:rFonts w:eastAsia="Arial"/>
          </w:rPr>
          <w:t>interpreting)</w:t>
        </w:r>
      </w:hyperlink>
      <w:r w:rsidRPr="00E25BFF">
        <w:rPr>
          <w:rFonts w:eastAsia="Arial"/>
        </w:rPr>
        <w:t>.</w:t>
      </w:r>
    </w:p>
    <w:p w14:paraId="60396947" w14:textId="77777777" w:rsidR="00E25BFF" w:rsidRDefault="00E25BFF" w:rsidP="00E25BFF">
      <w:pPr>
        <w:spacing w:line="291" w:lineRule="exact"/>
        <w:rPr>
          <w:rFonts w:ascii="Symbol" w:eastAsia="Symbol" w:hAnsi="Symbol"/>
        </w:rPr>
      </w:pPr>
    </w:p>
    <w:p w14:paraId="0428692F" w14:textId="77777777" w:rsidR="00FF7B03" w:rsidRDefault="00E25BFF" w:rsidP="00FF7B03">
      <w:pPr>
        <w:pStyle w:val="Heading3"/>
        <w:rPr>
          <w:rFonts w:eastAsia="Arial"/>
        </w:rPr>
      </w:pPr>
      <w:r w:rsidRPr="00FF7B03">
        <w:rPr>
          <w:rFonts w:eastAsia="Arial"/>
        </w:rPr>
        <w:t>A working group was convened in Spring 2016, comprising NHS England and Clinical Commissioning Group (CCG) commissioners, LMC representatives, a BMA</w:t>
      </w:r>
      <w:r w:rsidR="00FF7B03" w:rsidRPr="00FF7B03">
        <w:rPr>
          <w:rFonts w:eastAsia="Arial"/>
        </w:rPr>
        <w:t xml:space="preserve"> </w:t>
      </w:r>
      <w:r w:rsidR="00FF7B03">
        <w:rPr>
          <w:rFonts w:eastAsia="Arial"/>
        </w:rPr>
        <w:t>representative and a Royal College of General Practitioners (RCGP) representative.</w:t>
      </w:r>
    </w:p>
    <w:p w14:paraId="4F35F856" w14:textId="63A64409" w:rsidR="00E25BFF" w:rsidRPr="00782D1D" w:rsidRDefault="00FF7B03" w:rsidP="00782D1D">
      <w:pPr>
        <w:pStyle w:val="Heading3"/>
        <w:rPr>
          <w:rFonts w:eastAsia="Arial"/>
        </w:rPr>
      </w:pPr>
      <w:r>
        <w:rPr>
          <w:rFonts w:eastAsia="Arial"/>
        </w:rPr>
        <w:t>The working group was chaired and administered by NHS England</w:t>
      </w:r>
      <w:bookmarkStart w:id="1690" w:name="page9"/>
      <w:bookmarkEnd w:id="1690"/>
    </w:p>
    <w:p w14:paraId="6484DE12" w14:textId="77777777" w:rsidR="00E25BFF" w:rsidRDefault="00E25BFF" w:rsidP="00E25BFF">
      <w:pPr>
        <w:spacing w:line="394" w:lineRule="exact"/>
        <w:rPr>
          <w:rFonts w:ascii="Times New Roman" w:hAnsi="Times New Roman"/>
        </w:rPr>
      </w:pPr>
    </w:p>
    <w:p w14:paraId="584848C8" w14:textId="77777777" w:rsidR="00E25BFF" w:rsidRDefault="00E25BFF" w:rsidP="00E25BFF">
      <w:pPr>
        <w:pStyle w:val="Heading2"/>
        <w:rPr>
          <w:rFonts w:eastAsia="Arial"/>
        </w:rPr>
      </w:pPr>
      <w:bookmarkStart w:id="1691" w:name="_Toc498495512"/>
      <w:r>
        <w:rPr>
          <w:rFonts w:eastAsia="Arial"/>
        </w:rPr>
        <w:t>Identifying ‘Atypical’ populations locally</w:t>
      </w:r>
      <w:bookmarkEnd w:id="1691"/>
    </w:p>
    <w:p w14:paraId="681CFE3D" w14:textId="77777777" w:rsidR="00E25BFF" w:rsidRDefault="00E25BFF" w:rsidP="00E25BFF">
      <w:pPr>
        <w:spacing w:line="288" w:lineRule="exact"/>
        <w:rPr>
          <w:rFonts w:ascii="Times New Roman" w:hAnsi="Times New Roman"/>
        </w:rPr>
      </w:pPr>
    </w:p>
    <w:p w14:paraId="3B526558" w14:textId="77777777" w:rsidR="00E25BFF" w:rsidRDefault="00E25BFF" w:rsidP="00FF7B03">
      <w:pPr>
        <w:pStyle w:val="Heading3"/>
        <w:rPr>
          <w:rFonts w:eastAsia="Arial"/>
        </w:rPr>
      </w:pPr>
      <w:r w:rsidRPr="00FF7B03">
        <w:rPr>
          <w:rFonts w:eastAsia="Arial"/>
        </w:rPr>
        <w:t>Because of the degree of variation nationally in terms of health and social care economies and patient expectation, demand and behaviour, there is no one method of identifying which populations could be considered as atypical. There are however a number of examples of how commissioners have scoped the issues and what data sources they have used (an example from Devon can be found on The Learning</w:t>
      </w:r>
      <w:r>
        <w:rPr>
          <w:rFonts w:eastAsia="Arial"/>
        </w:rPr>
        <w:t xml:space="preserve"> Environment’s case studies pin board).</w:t>
      </w:r>
    </w:p>
    <w:p w14:paraId="6306AC1F" w14:textId="77777777" w:rsidR="00E25BFF" w:rsidRDefault="00E25BFF" w:rsidP="00E25BFF">
      <w:pPr>
        <w:spacing w:line="398" w:lineRule="exact"/>
        <w:rPr>
          <w:rFonts w:ascii="Times New Roman" w:hAnsi="Times New Roman"/>
        </w:rPr>
      </w:pPr>
    </w:p>
    <w:p w14:paraId="12060239" w14:textId="77777777" w:rsidR="00E25BFF" w:rsidRDefault="00E25BFF" w:rsidP="00E25BFF">
      <w:pPr>
        <w:pStyle w:val="Heading2"/>
        <w:rPr>
          <w:rFonts w:eastAsia="Arial"/>
        </w:rPr>
      </w:pPr>
      <w:bookmarkStart w:id="1692" w:name="_Toc498495513"/>
      <w:r>
        <w:rPr>
          <w:rFonts w:eastAsia="Arial"/>
        </w:rPr>
        <w:t>Unavoidably small and isolated</w:t>
      </w:r>
      <w:bookmarkEnd w:id="1692"/>
    </w:p>
    <w:p w14:paraId="0B8FF9D6" w14:textId="77777777" w:rsidR="00E25BFF" w:rsidRDefault="00E25BFF" w:rsidP="00E25BFF">
      <w:pPr>
        <w:spacing w:line="277" w:lineRule="exact"/>
        <w:rPr>
          <w:rFonts w:ascii="Times New Roman" w:hAnsi="Times New Roman"/>
        </w:rPr>
      </w:pPr>
    </w:p>
    <w:p w14:paraId="2D7031E7" w14:textId="04E21D68" w:rsidR="00E25BFF" w:rsidRDefault="00E25BFF" w:rsidP="001C7059">
      <w:pPr>
        <w:pStyle w:val="Heading3"/>
        <w:rPr>
          <w:rFonts w:eastAsia="Arial"/>
        </w:rPr>
      </w:pPr>
      <w:r>
        <w:rPr>
          <w:rFonts w:eastAsia="Arial"/>
        </w:rPr>
        <w:t>Description of the Issues</w:t>
      </w:r>
    </w:p>
    <w:p w14:paraId="4437365F" w14:textId="77777777" w:rsidR="00E25BFF" w:rsidRDefault="00E25BFF" w:rsidP="00E25BFF">
      <w:pPr>
        <w:spacing w:line="200" w:lineRule="exact"/>
        <w:rPr>
          <w:rFonts w:ascii="Times New Roman" w:hAnsi="Times New Roman"/>
        </w:rPr>
      </w:pPr>
    </w:p>
    <w:p w14:paraId="152DB0FB" w14:textId="77777777" w:rsidR="00E25BFF" w:rsidRDefault="00E25BFF" w:rsidP="00E25BFF">
      <w:pPr>
        <w:spacing w:line="266" w:lineRule="exact"/>
        <w:rPr>
          <w:rFonts w:ascii="Times New Roman" w:hAnsi="Times New Roman"/>
        </w:rPr>
      </w:pPr>
    </w:p>
    <w:p w14:paraId="14EB5831" w14:textId="77777777" w:rsidR="00E25BFF" w:rsidRPr="00FF7B03" w:rsidRDefault="00E25BFF" w:rsidP="00836ECF">
      <w:pPr>
        <w:pStyle w:val="ListParagraph"/>
        <w:numPr>
          <w:ilvl w:val="0"/>
          <w:numId w:val="30"/>
        </w:numPr>
        <w:tabs>
          <w:tab w:val="left" w:pos="721"/>
        </w:tabs>
        <w:spacing w:before="120" w:after="120" w:line="276" w:lineRule="auto"/>
        <w:ind w:right="200"/>
        <w:rPr>
          <w:rFonts w:ascii="Symbol" w:eastAsia="Symbol" w:hAnsi="Symbol"/>
          <w:sz w:val="23"/>
        </w:rPr>
      </w:pPr>
      <w:r w:rsidRPr="00FF7B03">
        <w:rPr>
          <w:rFonts w:eastAsia="Arial"/>
          <w:sz w:val="23"/>
        </w:rPr>
        <w:t>Practices serving small but dispersed populations have limited ways in which to influence their income or costs yet provide a vital primary care service</w:t>
      </w:r>
    </w:p>
    <w:p w14:paraId="23A2FC76" w14:textId="77777777" w:rsidR="00E25BFF" w:rsidRDefault="00E25BFF" w:rsidP="00FF7B03">
      <w:pPr>
        <w:spacing w:before="120" w:after="120" w:line="276" w:lineRule="auto"/>
        <w:rPr>
          <w:rFonts w:ascii="Symbol" w:eastAsia="Symbol" w:hAnsi="Symbol"/>
          <w:sz w:val="23"/>
        </w:rPr>
      </w:pPr>
    </w:p>
    <w:p w14:paraId="3EBBF83C" w14:textId="77777777" w:rsidR="00E25BFF" w:rsidRPr="00FF7B03" w:rsidRDefault="00E25BFF" w:rsidP="00836ECF">
      <w:pPr>
        <w:pStyle w:val="ListParagraph"/>
        <w:numPr>
          <w:ilvl w:val="0"/>
          <w:numId w:val="30"/>
        </w:numPr>
        <w:tabs>
          <w:tab w:val="left" w:pos="721"/>
        </w:tabs>
        <w:spacing w:before="120" w:after="120" w:line="276" w:lineRule="auto"/>
        <w:ind w:right="80"/>
        <w:rPr>
          <w:rFonts w:ascii="Symbol" w:eastAsia="Symbol" w:hAnsi="Symbol"/>
        </w:rPr>
      </w:pPr>
      <w:r w:rsidRPr="00FF7B03">
        <w:rPr>
          <w:rFonts w:eastAsia="Arial"/>
        </w:rPr>
        <w:t>Their funding is governed by their registered list (global sum / QOF payments) which, by the nature of their geography, cannot be expanded and may compromise the ability to deliver quality care and exacerbate workload pressures</w:t>
      </w:r>
    </w:p>
    <w:p w14:paraId="4C2EE692" w14:textId="77777777" w:rsidR="00E25BFF" w:rsidRDefault="00E25BFF" w:rsidP="00FF7B03">
      <w:pPr>
        <w:spacing w:before="120" w:after="120" w:line="276" w:lineRule="auto"/>
        <w:rPr>
          <w:rFonts w:ascii="Symbol" w:eastAsia="Symbol" w:hAnsi="Symbol"/>
        </w:rPr>
      </w:pPr>
    </w:p>
    <w:p w14:paraId="3E504189" w14:textId="77777777" w:rsidR="00E25BFF" w:rsidRPr="00FF7B03" w:rsidRDefault="00E25BFF" w:rsidP="00836ECF">
      <w:pPr>
        <w:pStyle w:val="ListParagraph"/>
        <w:numPr>
          <w:ilvl w:val="0"/>
          <w:numId w:val="30"/>
        </w:numPr>
        <w:tabs>
          <w:tab w:val="left" w:pos="721"/>
        </w:tabs>
        <w:spacing w:before="120" w:after="120" w:line="276" w:lineRule="auto"/>
        <w:ind w:right="180"/>
        <w:rPr>
          <w:rFonts w:ascii="Symbol" w:eastAsia="Symbol" w:hAnsi="Symbol"/>
        </w:rPr>
      </w:pPr>
      <w:r w:rsidRPr="00FF7B03">
        <w:rPr>
          <w:rFonts w:eastAsia="Arial"/>
        </w:rPr>
        <w:t>Because of their location they are often serviced by small B class roads, potentially making travel difficult and time consuming for patients and service providers</w:t>
      </w:r>
    </w:p>
    <w:p w14:paraId="27EEFE16" w14:textId="77777777" w:rsidR="00E25BFF" w:rsidRDefault="00E25BFF" w:rsidP="00FF7B03">
      <w:pPr>
        <w:spacing w:before="120" w:after="120" w:line="276" w:lineRule="auto"/>
        <w:rPr>
          <w:rFonts w:ascii="Symbol" w:eastAsia="Symbol" w:hAnsi="Symbol"/>
        </w:rPr>
      </w:pPr>
    </w:p>
    <w:p w14:paraId="16965940" w14:textId="77777777" w:rsidR="00E25BFF" w:rsidRPr="00FF7B03" w:rsidRDefault="00E25BFF" w:rsidP="00836ECF">
      <w:pPr>
        <w:pStyle w:val="ListParagraph"/>
        <w:numPr>
          <w:ilvl w:val="0"/>
          <w:numId w:val="30"/>
        </w:numPr>
        <w:tabs>
          <w:tab w:val="left" w:pos="721"/>
        </w:tabs>
        <w:spacing w:before="120" w:after="120" w:line="276" w:lineRule="auto"/>
        <w:ind w:right="160"/>
        <w:rPr>
          <w:rFonts w:ascii="Symbol" w:eastAsia="Symbol" w:hAnsi="Symbol"/>
        </w:rPr>
      </w:pPr>
      <w:r w:rsidRPr="00FF7B03">
        <w:rPr>
          <w:rFonts w:eastAsia="Arial"/>
        </w:rPr>
        <w:t>Many such communities do not have easy access to a pharmacy or an A&amp;E Department, ambulance access and response times can be longer than in an urban environment and community services are diluted</w:t>
      </w:r>
    </w:p>
    <w:p w14:paraId="20EABC20" w14:textId="77777777" w:rsidR="00E25BFF" w:rsidRDefault="00E25BFF" w:rsidP="00FF7B03">
      <w:pPr>
        <w:spacing w:before="120" w:after="120" w:line="276" w:lineRule="auto"/>
        <w:rPr>
          <w:rFonts w:ascii="Symbol" w:eastAsia="Symbol" w:hAnsi="Symbol"/>
        </w:rPr>
      </w:pPr>
    </w:p>
    <w:p w14:paraId="683FE33A" w14:textId="77777777" w:rsidR="00E25BFF" w:rsidRPr="00FF7B03" w:rsidRDefault="00E25BFF" w:rsidP="00836ECF">
      <w:pPr>
        <w:pStyle w:val="ListParagraph"/>
        <w:numPr>
          <w:ilvl w:val="0"/>
          <w:numId w:val="30"/>
        </w:numPr>
        <w:tabs>
          <w:tab w:val="left" w:pos="721"/>
        </w:tabs>
        <w:spacing w:before="120" w:after="120" w:line="276" w:lineRule="auto"/>
        <w:ind w:right="40"/>
        <w:rPr>
          <w:rFonts w:ascii="Symbol" w:eastAsia="Symbol" w:hAnsi="Symbol"/>
        </w:rPr>
      </w:pPr>
      <w:r w:rsidRPr="00FF7B03">
        <w:rPr>
          <w:rFonts w:eastAsia="Arial"/>
        </w:rPr>
        <w:t>Public transport makes it difficult for patients to attend outpatient departments and other health facilities. As a result, some patients tend to rely on practices to provide a wider range of services than is normally regarded as ‘core’ general practice and staff require regular training to maintain their skills for providing first response in the absence of A&amp;E. It may be hard to measure this effect but it can be summarised as a greater independence by patients from hospital care and a higher level of intervention and support from the practice</w:t>
      </w:r>
    </w:p>
    <w:p w14:paraId="75FD0C79" w14:textId="77777777" w:rsidR="00E25BFF" w:rsidRDefault="00E25BFF" w:rsidP="00FF7B03">
      <w:pPr>
        <w:spacing w:before="120" w:after="120" w:line="276" w:lineRule="auto"/>
        <w:rPr>
          <w:rFonts w:ascii="Symbol" w:eastAsia="Symbol" w:hAnsi="Symbol"/>
        </w:rPr>
      </w:pPr>
    </w:p>
    <w:p w14:paraId="07D46716" w14:textId="77777777" w:rsidR="00E25BFF" w:rsidRPr="00FF7B03" w:rsidRDefault="00E25BFF" w:rsidP="00836ECF">
      <w:pPr>
        <w:pStyle w:val="ListParagraph"/>
        <w:numPr>
          <w:ilvl w:val="0"/>
          <w:numId w:val="30"/>
        </w:numPr>
        <w:tabs>
          <w:tab w:val="left" w:pos="721"/>
        </w:tabs>
        <w:spacing w:before="120" w:after="120" w:line="276" w:lineRule="auto"/>
        <w:ind w:right="220"/>
        <w:rPr>
          <w:rFonts w:ascii="Symbol" w:eastAsia="Symbol" w:hAnsi="Symbol"/>
        </w:rPr>
      </w:pPr>
      <w:r w:rsidRPr="00FF7B03">
        <w:rPr>
          <w:rFonts w:eastAsia="Arial"/>
        </w:rPr>
        <w:t>Engagement of GP locums or recruitment of successors to a contract can be problematic because of geographic isolation, income and potential workload pressures. It is recognised that country or island life is not everyone’s preference</w:t>
      </w:r>
    </w:p>
    <w:p w14:paraId="7A836478" w14:textId="77777777" w:rsidR="00E25BFF" w:rsidRDefault="00E25BFF" w:rsidP="00FF7B03">
      <w:pPr>
        <w:spacing w:before="120" w:after="120" w:line="276" w:lineRule="auto"/>
        <w:rPr>
          <w:rFonts w:ascii="Symbol" w:eastAsia="Symbol" w:hAnsi="Symbol"/>
        </w:rPr>
      </w:pPr>
    </w:p>
    <w:p w14:paraId="1DB2599D" w14:textId="77777777" w:rsidR="00E25BFF" w:rsidRPr="00FF7B03" w:rsidRDefault="00E25BFF" w:rsidP="00836ECF">
      <w:pPr>
        <w:pStyle w:val="ListParagraph"/>
        <w:numPr>
          <w:ilvl w:val="0"/>
          <w:numId w:val="30"/>
        </w:numPr>
        <w:tabs>
          <w:tab w:val="left" w:pos="721"/>
        </w:tabs>
        <w:spacing w:before="120" w:after="120" w:line="276" w:lineRule="auto"/>
        <w:ind w:right="180"/>
        <w:rPr>
          <w:rFonts w:ascii="Symbol" w:eastAsia="Symbol" w:hAnsi="Symbol"/>
        </w:rPr>
      </w:pPr>
      <w:r w:rsidRPr="00FF7B03">
        <w:rPr>
          <w:rFonts w:eastAsia="Arial"/>
        </w:rPr>
        <w:t>Housing costs associated with ‘desirable’ or expensive country or island locations can also negatively impact on recruitment of practice administrative staff</w:t>
      </w:r>
    </w:p>
    <w:p w14:paraId="5E24A5FD" w14:textId="77777777" w:rsidR="00E25BFF" w:rsidRDefault="00E25BFF" w:rsidP="00FF7B03">
      <w:pPr>
        <w:spacing w:before="120" w:after="120" w:line="276" w:lineRule="auto"/>
        <w:rPr>
          <w:rFonts w:ascii="Symbol" w:eastAsia="Symbol" w:hAnsi="Symbol"/>
        </w:rPr>
      </w:pPr>
    </w:p>
    <w:p w14:paraId="1F3B4348" w14:textId="7248871A" w:rsidR="00E25BFF" w:rsidRPr="00782D1D" w:rsidRDefault="00E25BFF" w:rsidP="00836ECF">
      <w:pPr>
        <w:pStyle w:val="ListParagraph"/>
        <w:numPr>
          <w:ilvl w:val="0"/>
          <w:numId w:val="30"/>
        </w:numPr>
        <w:tabs>
          <w:tab w:val="left" w:pos="721"/>
        </w:tabs>
        <w:spacing w:before="120" w:after="120" w:line="276" w:lineRule="auto"/>
        <w:ind w:right="540"/>
        <w:rPr>
          <w:rFonts w:ascii="Symbol" w:eastAsia="Symbol" w:hAnsi="Symbol"/>
          <w:sz w:val="23"/>
        </w:rPr>
      </w:pPr>
      <w:r w:rsidRPr="00FF7B03">
        <w:rPr>
          <w:rFonts w:eastAsia="Arial"/>
          <w:sz w:val="23"/>
        </w:rPr>
        <w:t>Some rural locations attract itinerant workers who may not speak English, have no accessible medical record and consultations take longer.</w:t>
      </w:r>
      <w:bookmarkStart w:id="1693" w:name="page10"/>
      <w:bookmarkEnd w:id="1693"/>
    </w:p>
    <w:p w14:paraId="3F90F274" w14:textId="77777777" w:rsidR="00E25BFF" w:rsidRDefault="00E25BFF" w:rsidP="00E25BFF">
      <w:pPr>
        <w:spacing w:line="391" w:lineRule="exact"/>
        <w:rPr>
          <w:rFonts w:ascii="Times New Roman" w:hAnsi="Times New Roman"/>
        </w:rPr>
      </w:pPr>
    </w:p>
    <w:p w14:paraId="36B2290D" w14:textId="3DA40F74" w:rsidR="00E25BFF" w:rsidRDefault="00E25BFF" w:rsidP="001C7059">
      <w:pPr>
        <w:pStyle w:val="Heading3"/>
        <w:rPr>
          <w:rFonts w:eastAsia="Arial"/>
        </w:rPr>
      </w:pPr>
      <w:r>
        <w:rPr>
          <w:rFonts w:eastAsia="Arial"/>
        </w:rPr>
        <w:t>Information / data considerations</w:t>
      </w:r>
    </w:p>
    <w:p w14:paraId="6BDDBA8D" w14:textId="77777777" w:rsidR="00E25BFF" w:rsidRDefault="00E25BFF" w:rsidP="00E25BFF">
      <w:pPr>
        <w:spacing w:line="200" w:lineRule="exact"/>
        <w:rPr>
          <w:rFonts w:ascii="Times New Roman" w:hAnsi="Times New Roman"/>
        </w:rPr>
      </w:pPr>
    </w:p>
    <w:p w14:paraId="344AA377" w14:textId="77777777" w:rsidR="00E25BFF" w:rsidRDefault="00E25BFF" w:rsidP="00E25BFF">
      <w:pPr>
        <w:spacing w:line="247" w:lineRule="exact"/>
        <w:rPr>
          <w:rFonts w:ascii="Times New Roman" w:hAnsi="Times New Roman"/>
        </w:rPr>
      </w:pPr>
    </w:p>
    <w:p w14:paraId="2E6DE9F8" w14:textId="77777777" w:rsidR="00E25BFF" w:rsidRDefault="00E25BFF" w:rsidP="00FF7B03">
      <w:pPr>
        <w:pStyle w:val="Heading3"/>
        <w:rPr>
          <w:rFonts w:eastAsia="Arial"/>
        </w:rPr>
      </w:pPr>
      <w:r w:rsidRPr="00FF7B03">
        <w:rPr>
          <w:rFonts w:eastAsia="Arial"/>
        </w:rPr>
        <w:t>Here are some data sources or information that you may wish to consider when</w:t>
      </w:r>
      <w:r>
        <w:rPr>
          <w:rFonts w:eastAsia="Arial"/>
        </w:rPr>
        <w:t xml:space="preserve"> trying to define if a population is atypical:</w:t>
      </w:r>
    </w:p>
    <w:p w14:paraId="49B58B7C" w14:textId="77777777" w:rsidR="00E25BFF" w:rsidRDefault="00E25BFF" w:rsidP="00E25BFF">
      <w:pPr>
        <w:spacing w:line="304" w:lineRule="exact"/>
        <w:rPr>
          <w:rFonts w:ascii="Times New Roman" w:hAnsi="Times New Roman"/>
        </w:rPr>
      </w:pPr>
    </w:p>
    <w:p w14:paraId="54B4FD52" w14:textId="77777777" w:rsidR="00E25BFF" w:rsidRPr="00FF7B03" w:rsidRDefault="00E25BFF" w:rsidP="00836ECF">
      <w:pPr>
        <w:pStyle w:val="ListParagraph"/>
        <w:numPr>
          <w:ilvl w:val="0"/>
          <w:numId w:val="30"/>
        </w:numPr>
        <w:tabs>
          <w:tab w:val="left" w:pos="721"/>
        </w:tabs>
        <w:spacing w:before="120" w:after="120" w:line="276" w:lineRule="auto"/>
        <w:ind w:right="180"/>
        <w:rPr>
          <w:rFonts w:eastAsia="Arial"/>
        </w:rPr>
      </w:pPr>
      <w:r>
        <w:rPr>
          <w:rFonts w:eastAsia="Arial"/>
        </w:rPr>
        <w:t>The average population density and average distance from patient residences are both available for individual practices and, when considered in conjunction, may produce some useful insights. It should be noted that population density is measured in persons per hectare (calculated from the population density of the relevant electoral ward) and distance to main surgery is measured in 100 metre units (as the average distance from patient’s home to main surgery location). It may be useful to consider practices that rank in the top percentiles for both indicators, to help in reaching a judgement about relative rurality and isolation. These data are available as an extract from the Exeter system</w:t>
      </w:r>
    </w:p>
    <w:p w14:paraId="138A2095" w14:textId="77777777" w:rsidR="00E25BFF" w:rsidRPr="00FF7B03" w:rsidRDefault="00E25BFF" w:rsidP="00836ECF">
      <w:pPr>
        <w:pStyle w:val="ListParagraph"/>
        <w:numPr>
          <w:ilvl w:val="0"/>
          <w:numId w:val="30"/>
        </w:numPr>
        <w:tabs>
          <w:tab w:val="left" w:pos="721"/>
        </w:tabs>
        <w:spacing w:before="120" w:after="120" w:line="276" w:lineRule="auto"/>
        <w:ind w:right="180"/>
        <w:rPr>
          <w:rFonts w:eastAsia="Arial"/>
        </w:rPr>
      </w:pPr>
      <w:r>
        <w:rPr>
          <w:rFonts w:eastAsia="Arial"/>
        </w:rPr>
        <w:t>Ambulance response times (available from the local Ambulance Trust on request by the lead commissioning CCG in your area)</w:t>
      </w:r>
    </w:p>
    <w:p w14:paraId="5F0E2809" w14:textId="77777777" w:rsidR="00E25BFF" w:rsidRPr="00FF7B03" w:rsidRDefault="00E25BFF" w:rsidP="00836ECF">
      <w:pPr>
        <w:pStyle w:val="ListParagraph"/>
        <w:numPr>
          <w:ilvl w:val="0"/>
          <w:numId w:val="30"/>
        </w:numPr>
        <w:tabs>
          <w:tab w:val="left" w:pos="721"/>
        </w:tabs>
        <w:spacing w:before="120" w:after="120" w:line="276" w:lineRule="auto"/>
        <w:ind w:right="180"/>
        <w:rPr>
          <w:rFonts w:eastAsia="Arial"/>
        </w:rPr>
      </w:pPr>
      <w:r>
        <w:rPr>
          <w:rFonts w:eastAsia="Arial"/>
        </w:rPr>
        <w:t>Current Service profile: does the practice provide additional or extra services that are not commonly available in other practices and not additionally funded. Could these be captured in a bespoke enhanced service, set of KPIs or added formally into a PMS agreement? Examples may relate to the absence of locally accessible health and social care services</w:t>
      </w:r>
    </w:p>
    <w:p w14:paraId="7868533B" w14:textId="255A0CE3" w:rsidR="00E25BFF" w:rsidRPr="00FF7B03" w:rsidRDefault="00E25BFF" w:rsidP="00836ECF">
      <w:pPr>
        <w:pStyle w:val="ListParagraph"/>
        <w:numPr>
          <w:ilvl w:val="0"/>
          <w:numId w:val="30"/>
        </w:numPr>
        <w:tabs>
          <w:tab w:val="left" w:pos="721"/>
        </w:tabs>
        <w:spacing w:before="120" w:after="120" w:line="276" w:lineRule="auto"/>
        <w:ind w:right="180"/>
        <w:rPr>
          <w:rFonts w:eastAsia="Arial"/>
        </w:rPr>
      </w:pPr>
      <w:r>
        <w:rPr>
          <w:rFonts w:eastAsia="Arial"/>
        </w:rPr>
        <w:t>Data sources that you could use to compare practices in your area include:</w:t>
      </w:r>
    </w:p>
    <w:p w14:paraId="554DE42F" w14:textId="77777777" w:rsidR="00E25BFF" w:rsidRDefault="00E25BFF" w:rsidP="00E25BFF">
      <w:pPr>
        <w:spacing w:line="30" w:lineRule="exact"/>
        <w:rPr>
          <w:rFonts w:ascii="Symbol" w:eastAsia="Symbol" w:hAnsi="Symbol"/>
        </w:rPr>
      </w:pPr>
    </w:p>
    <w:p w14:paraId="2837D2B1" w14:textId="77777777" w:rsidR="00E25BFF" w:rsidRDefault="000E7846" w:rsidP="00836ECF">
      <w:pPr>
        <w:numPr>
          <w:ilvl w:val="1"/>
          <w:numId w:val="32"/>
        </w:numPr>
        <w:tabs>
          <w:tab w:val="left" w:pos="1441"/>
        </w:tabs>
        <w:spacing w:line="208" w:lineRule="auto"/>
        <w:ind w:right="680"/>
        <w:rPr>
          <w:rFonts w:eastAsia="Arial"/>
          <w:color w:val="3333FF"/>
        </w:rPr>
      </w:pPr>
      <w:hyperlink r:id="rId128" w:anchor="top" w:history="1">
        <w:r w:rsidR="00E25BFF">
          <w:rPr>
            <w:rFonts w:eastAsia="Arial"/>
            <w:color w:val="3333FF"/>
            <w:u w:val="single"/>
          </w:rPr>
          <w:t>General Practice Expenses, GMS and PMS Contracts in England</w:t>
        </w:r>
      </w:hyperlink>
      <w:r w:rsidR="00E25BFF">
        <w:rPr>
          <w:rFonts w:eastAsia="Arial"/>
          <w:color w:val="3333FF"/>
          <w:u w:val="single"/>
        </w:rPr>
        <w:t xml:space="preserve"> </w:t>
      </w:r>
      <w:hyperlink r:id="rId129" w:anchor="top" w:history="1">
        <w:r w:rsidR="00E25BFF">
          <w:rPr>
            <w:rFonts w:eastAsia="Arial"/>
            <w:color w:val="3333FF"/>
            <w:u w:val="single"/>
          </w:rPr>
          <w:t>2013/14</w:t>
        </w:r>
        <w:r w:rsidR="00E25BFF">
          <w:rPr>
            <w:rFonts w:eastAsia="Arial"/>
            <w:color w:val="3333FF"/>
          </w:rPr>
          <w:t xml:space="preserve"> </w:t>
        </w:r>
      </w:hyperlink>
      <w:r w:rsidR="00E25BFF">
        <w:rPr>
          <w:rFonts w:eastAsia="Arial"/>
          <w:color w:val="000000"/>
        </w:rPr>
        <w:t>(NHS</w:t>
      </w:r>
      <w:r w:rsidR="00E25BFF">
        <w:rPr>
          <w:rFonts w:eastAsia="Arial"/>
          <w:color w:val="3333FF"/>
        </w:rPr>
        <w:t xml:space="preserve"> </w:t>
      </w:r>
      <w:r w:rsidR="00E25BFF">
        <w:rPr>
          <w:rFonts w:eastAsia="Arial"/>
          <w:color w:val="000000"/>
        </w:rPr>
        <w:t>Digital, published July 2016)</w:t>
      </w:r>
      <w:r w:rsidR="00E25BFF">
        <w:rPr>
          <w:rFonts w:eastAsia="Arial"/>
          <w:color w:val="000000"/>
          <w:sz w:val="32"/>
          <w:vertAlign w:val="superscript"/>
        </w:rPr>
        <w:t>3</w:t>
      </w:r>
    </w:p>
    <w:p w14:paraId="009A8E32" w14:textId="77777777" w:rsidR="00E25BFF" w:rsidRDefault="00E25BFF" w:rsidP="00E25BFF">
      <w:pPr>
        <w:spacing w:line="1" w:lineRule="exact"/>
        <w:rPr>
          <w:rFonts w:eastAsia="Arial"/>
          <w:color w:val="3333FF"/>
        </w:rPr>
      </w:pPr>
    </w:p>
    <w:p w14:paraId="444DC8FD" w14:textId="77777777" w:rsidR="00E25BFF" w:rsidRDefault="000E7846" w:rsidP="00836ECF">
      <w:pPr>
        <w:numPr>
          <w:ilvl w:val="1"/>
          <w:numId w:val="32"/>
        </w:numPr>
        <w:tabs>
          <w:tab w:val="left" w:pos="1441"/>
        </w:tabs>
        <w:spacing w:line="215" w:lineRule="auto"/>
        <w:ind w:right="20"/>
        <w:rPr>
          <w:rFonts w:eastAsia="Arial"/>
          <w:color w:val="0000FF"/>
        </w:rPr>
      </w:pPr>
      <w:hyperlink r:id="rId130" w:history="1">
        <w:r w:rsidR="00E25BFF">
          <w:rPr>
            <w:rFonts w:eastAsia="Arial"/>
            <w:color w:val="0000FF"/>
            <w:u w:val="single"/>
          </w:rPr>
          <w:t>Adjusting the General Medical Services Allocation Formula for the</w:t>
        </w:r>
      </w:hyperlink>
      <w:r w:rsidR="00E25BFF">
        <w:rPr>
          <w:rFonts w:eastAsia="Arial"/>
          <w:color w:val="0000FF"/>
          <w:u w:val="single"/>
        </w:rPr>
        <w:t xml:space="preserve"> </w:t>
      </w:r>
      <w:hyperlink r:id="rId131" w:history="1">
        <w:r w:rsidR="00E25BFF">
          <w:rPr>
            <w:rFonts w:eastAsia="Arial"/>
            <w:color w:val="0000FF"/>
            <w:u w:val="single"/>
          </w:rPr>
          <w:t>unavoidable effects of geographically-dispersed populations on practice</w:t>
        </w:r>
      </w:hyperlink>
      <w:r w:rsidR="00E25BFF">
        <w:rPr>
          <w:rFonts w:eastAsia="Arial"/>
          <w:color w:val="0000FF"/>
          <w:u w:val="single"/>
        </w:rPr>
        <w:t xml:space="preserve"> </w:t>
      </w:r>
      <w:hyperlink r:id="rId132" w:history="1">
        <w:r w:rsidR="00E25BFF">
          <w:rPr>
            <w:rFonts w:eastAsia="Arial"/>
            <w:color w:val="0000FF"/>
            <w:u w:val="single"/>
          </w:rPr>
          <w:t>sizes and locations</w:t>
        </w:r>
        <w:r w:rsidR="00E25BFF">
          <w:rPr>
            <w:rFonts w:eastAsia="Arial"/>
            <w:color w:val="0000FF"/>
          </w:rPr>
          <w:t xml:space="preserve"> </w:t>
        </w:r>
      </w:hyperlink>
      <w:r w:rsidR="00E25BFF">
        <w:rPr>
          <w:rFonts w:eastAsia="Arial"/>
          <w:color w:val="000000"/>
        </w:rPr>
        <w:t>(Deloitte,</w:t>
      </w:r>
      <w:r w:rsidR="00E25BFF">
        <w:rPr>
          <w:rFonts w:eastAsia="Arial"/>
          <w:color w:val="0000FF"/>
        </w:rPr>
        <w:t xml:space="preserve"> </w:t>
      </w:r>
      <w:r w:rsidR="00E25BFF">
        <w:rPr>
          <w:rFonts w:eastAsia="Arial"/>
          <w:color w:val="000000"/>
        </w:rPr>
        <w:t>published 2006)</w:t>
      </w:r>
      <w:r w:rsidR="00E25BFF">
        <w:rPr>
          <w:rFonts w:eastAsia="Arial"/>
          <w:color w:val="0000FF"/>
        </w:rPr>
        <w:t xml:space="preserve"> </w:t>
      </w:r>
      <w:r w:rsidR="00E25BFF">
        <w:rPr>
          <w:rFonts w:eastAsia="Arial"/>
          <w:color w:val="000000"/>
          <w:sz w:val="32"/>
          <w:vertAlign w:val="superscript"/>
        </w:rPr>
        <w:t>4</w:t>
      </w:r>
    </w:p>
    <w:p w14:paraId="77246DEC" w14:textId="77777777" w:rsidR="00E25BFF" w:rsidRDefault="00E25BFF" w:rsidP="00E25BFF">
      <w:pPr>
        <w:spacing w:line="2" w:lineRule="exact"/>
        <w:rPr>
          <w:rFonts w:eastAsia="Arial"/>
          <w:color w:val="0000FF"/>
        </w:rPr>
      </w:pPr>
    </w:p>
    <w:p w14:paraId="4B99DE23" w14:textId="77777777" w:rsidR="00E25BFF" w:rsidRDefault="000E7846" w:rsidP="00836ECF">
      <w:pPr>
        <w:numPr>
          <w:ilvl w:val="1"/>
          <w:numId w:val="32"/>
        </w:numPr>
        <w:tabs>
          <w:tab w:val="left" w:pos="1441"/>
        </w:tabs>
        <w:spacing w:line="225" w:lineRule="auto"/>
        <w:ind w:right="380"/>
        <w:rPr>
          <w:rFonts w:eastAsia="Arial"/>
          <w:color w:val="0000FF"/>
          <w:u w:val="single"/>
        </w:rPr>
      </w:pPr>
      <w:hyperlink r:id="rId133" w:anchor="top" w:history="1">
        <w:r w:rsidR="00E25BFF">
          <w:rPr>
            <w:rFonts w:eastAsia="Arial"/>
            <w:color w:val="0000FF"/>
            <w:u w:val="single"/>
          </w:rPr>
          <w:t xml:space="preserve">NHS Payments to General Practice, England, 2015/16 </w:t>
        </w:r>
      </w:hyperlink>
      <w:r w:rsidR="00E25BFF">
        <w:rPr>
          <w:rFonts w:eastAsia="Arial"/>
          <w:color w:val="0000FF"/>
          <w:u w:val="single"/>
        </w:rPr>
        <w:t>(NHS Digital, published July 2016).</w:t>
      </w:r>
    </w:p>
    <w:p w14:paraId="68EBB1AA" w14:textId="77777777" w:rsidR="00E25BFF" w:rsidRDefault="00E25BFF" w:rsidP="00E25BFF">
      <w:pPr>
        <w:spacing w:line="278" w:lineRule="exact"/>
        <w:rPr>
          <w:rFonts w:eastAsia="Arial"/>
          <w:color w:val="0000FF"/>
          <w:u w:val="single"/>
        </w:rPr>
      </w:pPr>
    </w:p>
    <w:p w14:paraId="350BB581" w14:textId="75FF2544" w:rsidR="00E25BFF" w:rsidRDefault="00E25BFF" w:rsidP="001C7059">
      <w:pPr>
        <w:pStyle w:val="Heading3"/>
        <w:rPr>
          <w:rFonts w:eastAsia="Arial"/>
        </w:rPr>
      </w:pPr>
      <w:r>
        <w:rPr>
          <w:rFonts w:eastAsia="Arial"/>
        </w:rPr>
        <w:t>Case studies</w:t>
      </w:r>
    </w:p>
    <w:p w14:paraId="1D3EDB2D" w14:textId="77777777" w:rsidR="00E25BFF" w:rsidRDefault="00E25BFF" w:rsidP="00E25BFF">
      <w:pPr>
        <w:spacing w:line="200" w:lineRule="exact"/>
        <w:rPr>
          <w:rFonts w:eastAsia="Arial"/>
          <w:color w:val="0000FF"/>
          <w:u w:val="single"/>
        </w:rPr>
      </w:pPr>
    </w:p>
    <w:p w14:paraId="0F6B0180" w14:textId="77777777" w:rsidR="00E25BFF" w:rsidRDefault="00E25BFF" w:rsidP="00E25BFF">
      <w:pPr>
        <w:spacing w:line="247" w:lineRule="exact"/>
        <w:rPr>
          <w:rFonts w:eastAsia="Arial"/>
          <w:color w:val="0000FF"/>
          <w:u w:val="single"/>
        </w:rPr>
      </w:pPr>
    </w:p>
    <w:p w14:paraId="17254F2A" w14:textId="77777777" w:rsidR="00E25BFF" w:rsidRDefault="00E25BFF" w:rsidP="00FF7B03">
      <w:pPr>
        <w:pStyle w:val="Heading3"/>
        <w:rPr>
          <w:rFonts w:eastAsia="Arial"/>
        </w:rPr>
      </w:pPr>
      <w:r w:rsidRPr="00FF7B03">
        <w:rPr>
          <w:rFonts w:eastAsia="Arial"/>
        </w:rPr>
        <w:t>The case studies listed below are not an exhaustive list. Commissioners and providers can review these case studies, tailor them to their local area as required, and / or</w:t>
      </w:r>
      <w:r>
        <w:rPr>
          <w:rFonts w:eastAsia="Arial"/>
        </w:rPr>
        <w:t xml:space="preserve"> decide on other support arrangements that might be appropriate:</w:t>
      </w:r>
    </w:p>
    <w:p w14:paraId="0D5AB290" w14:textId="77777777" w:rsidR="00E25BFF" w:rsidRDefault="00E25BFF" w:rsidP="00E25BFF">
      <w:pPr>
        <w:spacing w:line="307" w:lineRule="exact"/>
        <w:rPr>
          <w:rFonts w:eastAsia="Arial"/>
          <w:color w:val="0000FF"/>
          <w:u w:val="single"/>
        </w:rPr>
      </w:pPr>
    </w:p>
    <w:p w14:paraId="6B80E98B" w14:textId="77777777" w:rsidR="00E25BFF" w:rsidRPr="00FF7B03" w:rsidRDefault="00E25BFF" w:rsidP="00836ECF">
      <w:pPr>
        <w:numPr>
          <w:ilvl w:val="0"/>
          <w:numId w:val="12"/>
        </w:numPr>
        <w:tabs>
          <w:tab w:val="left" w:pos="721"/>
        </w:tabs>
        <w:spacing w:line="237" w:lineRule="auto"/>
        <w:ind w:left="721" w:right="820" w:hanging="361"/>
        <w:rPr>
          <w:rFonts w:ascii="Symbol" w:eastAsia="Symbol" w:hAnsi="Symbol"/>
          <w:sz w:val="23"/>
        </w:rPr>
      </w:pPr>
      <w:r>
        <w:rPr>
          <w:rFonts w:eastAsia="Arial"/>
          <w:sz w:val="23"/>
        </w:rPr>
        <w:t>Contract for primary care support to secondary care (e.g. pre-operative assessments, post-operative wound checks and suture removal)</w:t>
      </w:r>
    </w:p>
    <w:p w14:paraId="2E1038EE" w14:textId="77777777" w:rsidR="00FF7B03" w:rsidRDefault="00FF7B03" w:rsidP="00836ECF">
      <w:pPr>
        <w:numPr>
          <w:ilvl w:val="0"/>
          <w:numId w:val="29"/>
        </w:numPr>
        <w:tabs>
          <w:tab w:val="left" w:pos="700"/>
        </w:tabs>
        <w:spacing w:line="236" w:lineRule="auto"/>
        <w:ind w:left="1209" w:right="60" w:hanging="360"/>
        <w:rPr>
          <w:rFonts w:eastAsia="Arial"/>
        </w:rPr>
      </w:pPr>
      <w:r>
        <w:rPr>
          <w:rFonts w:eastAsia="Arial"/>
        </w:rPr>
        <w:t xml:space="preserve">The </w:t>
      </w:r>
      <w:hyperlink r:id="rId134" w:history="1">
        <w:r>
          <w:rPr>
            <w:rFonts w:eastAsia="Arial"/>
          </w:rPr>
          <w:t>‘</w:t>
        </w:r>
        <w:r>
          <w:rPr>
            <w:rFonts w:eastAsia="Arial"/>
            <w:color w:val="0000FF"/>
            <w:u w:val="single"/>
          </w:rPr>
          <w:t>My Life A Full Life</w:t>
        </w:r>
        <w:r>
          <w:rPr>
            <w:rFonts w:eastAsia="Arial"/>
          </w:rPr>
          <w:t xml:space="preserve">‘ </w:t>
        </w:r>
      </w:hyperlink>
      <w:r>
        <w:rPr>
          <w:rFonts w:eastAsia="Arial"/>
        </w:rPr>
        <w:t>programme is a collaboration between NHS Isle of Wight Clinical Commissioning Group, Isle of Wight NHS Trust, Isle of Wight Council, Community Action Isle of Wight and other local voluntary sector organisations. Its aim is to change the face of social and health care on the Island, helping people live life to the full. Objectives are to achieve a more co-ordinated approach to the delivery of health and social care services for older people, and people with long term conditions</w:t>
      </w:r>
    </w:p>
    <w:p w14:paraId="3F64C958" w14:textId="77777777" w:rsidR="00FF7B03" w:rsidRDefault="00FF7B03" w:rsidP="00FF7B03">
      <w:pPr>
        <w:spacing w:line="31" w:lineRule="exact"/>
        <w:rPr>
          <w:rFonts w:eastAsia="Arial"/>
        </w:rPr>
      </w:pPr>
    </w:p>
    <w:p w14:paraId="188D085E" w14:textId="77777777" w:rsidR="00FF7B03" w:rsidRDefault="00FF7B03" w:rsidP="00836ECF">
      <w:pPr>
        <w:numPr>
          <w:ilvl w:val="0"/>
          <w:numId w:val="29"/>
        </w:numPr>
        <w:tabs>
          <w:tab w:val="left" w:pos="700"/>
        </w:tabs>
        <w:spacing w:line="231" w:lineRule="auto"/>
        <w:ind w:left="1209" w:right="180" w:hanging="360"/>
        <w:rPr>
          <w:rFonts w:eastAsia="Arial"/>
          <w:color w:val="0000FF"/>
          <w:u w:val="single"/>
        </w:rPr>
      </w:pPr>
      <w:r>
        <w:rPr>
          <w:rFonts w:eastAsia="Arial"/>
        </w:rPr>
        <w:t xml:space="preserve">First Responders such as </w:t>
      </w:r>
      <w:hyperlink r:id="rId135" w:history="1">
        <w:r>
          <w:rPr>
            <w:rFonts w:eastAsia="Arial"/>
            <w:color w:val="0000FF"/>
            <w:u w:val="single"/>
          </w:rPr>
          <w:t>Rural Responders in Suffolk</w:t>
        </w:r>
        <w:r>
          <w:rPr>
            <w:rFonts w:eastAsia="Arial"/>
            <w:u w:val="single"/>
          </w:rPr>
          <w:t xml:space="preserve"> </w:t>
        </w:r>
      </w:hyperlink>
      <w:r>
        <w:rPr>
          <w:rFonts w:eastAsia="Arial"/>
        </w:rPr>
        <w:t xml:space="preserve">supporting East of England Ambulance NHS Trust and Community First Responders supporting </w:t>
      </w:r>
      <w:hyperlink r:id="rId136" w:history="1">
        <w:r>
          <w:rPr>
            <w:rFonts w:eastAsia="Arial"/>
            <w:color w:val="0000FF"/>
            <w:u w:val="single"/>
          </w:rPr>
          <w:t>South Western Ambulance Service</w:t>
        </w:r>
      </w:hyperlink>
    </w:p>
    <w:p w14:paraId="7586B7FD" w14:textId="77777777" w:rsidR="00FF7B03" w:rsidRDefault="00FF7B03" w:rsidP="00FF7B03">
      <w:pPr>
        <w:spacing w:line="28" w:lineRule="exact"/>
        <w:rPr>
          <w:rFonts w:eastAsia="Arial"/>
          <w:color w:val="0000FF"/>
          <w:u w:val="single"/>
        </w:rPr>
      </w:pPr>
    </w:p>
    <w:p w14:paraId="4C4D6DCE" w14:textId="77777777" w:rsidR="00FF7B03" w:rsidRDefault="000E7846" w:rsidP="00836ECF">
      <w:pPr>
        <w:numPr>
          <w:ilvl w:val="0"/>
          <w:numId w:val="29"/>
        </w:numPr>
        <w:tabs>
          <w:tab w:val="left" w:pos="700"/>
        </w:tabs>
        <w:spacing w:line="235" w:lineRule="auto"/>
        <w:ind w:left="1209" w:right="340" w:hanging="360"/>
        <w:rPr>
          <w:rFonts w:eastAsia="Arial"/>
          <w:color w:val="000000"/>
        </w:rPr>
      </w:pPr>
      <w:hyperlink r:id="rId137" w:history="1">
        <w:r w:rsidR="00FF7B03">
          <w:rPr>
            <w:rFonts w:eastAsia="Arial"/>
            <w:color w:val="0000FF"/>
            <w:u w:val="single"/>
          </w:rPr>
          <w:t>Dorset Community Action’s Navigator Pilot</w:t>
        </w:r>
        <w:r w:rsidR="00FF7B03">
          <w:rPr>
            <w:rFonts w:eastAsia="Arial"/>
            <w:color w:val="0000FF"/>
          </w:rPr>
          <w:t xml:space="preserve"> </w:t>
        </w:r>
      </w:hyperlink>
      <w:r w:rsidR="00FF7B03">
        <w:rPr>
          <w:rFonts w:eastAsia="Arial"/>
          <w:color w:val="000000"/>
        </w:rPr>
        <w:t>was</w:t>
      </w:r>
      <w:r w:rsidR="00FF7B03">
        <w:rPr>
          <w:rFonts w:eastAsia="Arial"/>
          <w:color w:val="0000FF"/>
        </w:rPr>
        <w:t xml:space="preserve"> </w:t>
      </w:r>
      <w:r w:rsidR="00FF7B03">
        <w:rPr>
          <w:rFonts w:eastAsia="Arial"/>
          <w:color w:val="000000"/>
        </w:rPr>
        <w:t>a collaboration with Dorset</w:t>
      </w:r>
      <w:r w:rsidR="00FF7B03">
        <w:rPr>
          <w:rFonts w:eastAsia="Arial"/>
          <w:color w:val="0000FF"/>
        </w:rPr>
        <w:t xml:space="preserve"> </w:t>
      </w:r>
      <w:r w:rsidR="00FF7B03">
        <w:rPr>
          <w:rFonts w:eastAsia="Arial"/>
          <w:color w:val="000000"/>
        </w:rPr>
        <w:t xml:space="preserve">CCG as part of the </w:t>
      </w:r>
      <w:hyperlink r:id="rId138" w:history="1">
        <w:r w:rsidR="00FF7B03">
          <w:rPr>
            <w:rFonts w:eastAsia="Arial"/>
            <w:color w:val="0000FF"/>
            <w:u w:val="single"/>
          </w:rPr>
          <w:t>Better Together</w:t>
        </w:r>
        <w:r w:rsidR="00FF7B03">
          <w:rPr>
            <w:rFonts w:eastAsia="Arial"/>
            <w:color w:val="000000"/>
            <w:u w:val="single"/>
          </w:rPr>
          <w:t xml:space="preserve"> </w:t>
        </w:r>
      </w:hyperlink>
      <w:r w:rsidR="00FF7B03">
        <w:rPr>
          <w:rFonts w:eastAsia="Arial"/>
          <w:color w:val="000000"/>
        </w:rPr>
        <w:t>programme. The pilot aimed to improve integration of care to provide more efficient use of resources and improve patient experience by supporting practitioners to refer patients to support services . Its key aims were to:</w:t>
      </w:r>
    </w:p>
    <w:p w14:paraId="517A4C48" w14:textId="77777777" w:rsidR="00FF7B03" w:rsidRDefault="00FF7B03" w:rsidP="00FF7B03">
      <w:pPr>
        <w:spacing w:line="11" w:lineRule="exact"/>
        <w:rPr>
          <w:rFonts w:eastAsia="Arial"/>
          <w:color w:val="000000"/>
        </w:rPr>
      </w:pPr>
    </w:p>
    <w:p w14:paraId="5BCD34D4" w14:textId="77777777" w:rsidR="00FF7B03" w:rsidRPr="00FF7B03" w:rsidRDefault="00FF7B03" w:rsidP="00836ECF">
      <w:pPr>
        <w:pStyle w:val="ListParagraph"/>
        <w:numPr>
          <w:ilvl w:val="0"/>
          <w:numId w:val="12"/>
        </w:numPr>
        <w:tabs>
          <w:tab w:val="left" w:pos="1420"/>
        </w:tabs>
        <w:spacing w:line="236" w:lineRule="auto"/>
        <w:ind w:left="1420" w:right="580"/>
        <w:rPr>
          <w:rFonts w:ascii="Symbol" w:eastAsia="Symbol" w:hAnsi="Symbol"/>
        </w:rPr>
      </w:pPr>
      <w:r w:rsidRPr="00FF7B03">
        <w:rPr>
          <w:rFonts w:eastAsia="Arial"/>
        </w:rPr>
        <w:t>Manage long term conditions, especially those amongst the increasingly large cohort of older people living in, and migrating to, Dorset</w:t>
      </w:r>
    </w:p>
    <w:p w14:paraId="6A709E93" w14:textId="77777777" w:rsidR="00FF7B03" w:rsidRDefault="00FF7B03" w:rsidP="00FF7B03">
      <w:pPr>
        <w:spacing w:line="13" w:lineRule="exact"/>
        <w:ind w:left="850"/>
        <w:rPr>
          <w:rFonts w:ascii="Symbol" w:eastAsia="Symbol" w:hAnsi="Symbol"/>
        </w:rPr>
      </w:pPr>
    </w:p>
    <w:p w14:paraId="7D806D60" w14:textId="77777777" w:rsidR="00FF7B03" w:rsidRPr="00FF7B03" w:rsidRDefault="00FF7B03" w:rsidP="00836ECF">
      <w:pPr>
        <w:pStyle w:val="ListParagraph"/>
        <w:numPr>
          <w:ilvl w:val="0"/>
          <w:numId w:val="12"/>
        </w:numPr>
        <w:tabs>
          <w:tab w:val="left" w:pos="1420"/>
        </w:tabs>
        <w:spacing w:line="250" w:lineRule="auto"/>
        <w:ind w:left="1420" w:right="980"/>
        <w:rPr>
          <w:rFonts w:ascii="Symbol" w:eastAsia="Symbol" w:hAnsi="Symbol"/>
          <w:sz w:val="19"/>
        </w:rPr>
      </w:pPr>
      <w:r w:rsidRPr="00FF7B03">
        <w:rPr>
          <w:rFonts w:eastAsia="Arial"/>
          <w:sz w:val="23"/>
        </w:rPr>
        <w:t>Reducing the demand (need) for high cost care (acute hospital interventions, and long term residential and nursing care)</w:t>
      </w:r>
    </w:p>
    <w:p w14:paraId="42F1055E" w14:textId="77777777" w:rsidR="00FF7B03" w:rsidRDefault="00FF7B03" w:rsidP="00FF7B03">
      <w:pPr>
        <w:spacing w:line="1" w:lineRule="exact"/>
        <w:ind w:left="850"/>
        <w:rPr>
          <w:rFonts w:ascii="Symbol" w:eastAsia="Symbol" w:hAnsi="Symbol"/>
          <w:sz w:val="19"/>
        </w:rPr>
      </w:pPr>
    </w:p>
    <w:p w14:paraId="3367CCFA" w14:textId="77777777" w:rsidR="00FF7B03" w:rsidRPr="00FF7B03" w:rsidRDefault="00FF7B03" w:rsidP="00836ECF">
      <w:pPr>
        <w:pStyle w:val="ListParagraph"/>
        <w:numPr>
          <w:ilvl w:val="0"/>
          <w:numId w:val="12"/>
        </w:numPr>
        <w:tabs>
          <w:tab w:val="left" w:pos="1420"/>
        </w:tabs>
        <w:spacing w:line="235" w:lineRule="auto"/>
        <w:ind w:left="1420" w:right="20"/>
        <w:rPr>
          <w:rFonts w:ascii="Symbol" w:eastAsia="Symbol" w:hAnsi="Symbol"/>
        </w:rPr>
      </w:pPr>
      <w:r w:rsidRPr="00FF7B03">
        <w:rPr>
          <w:rFonts w:eastAsia="Arial"/>
        </w:rPr>
        <w:t>Enabling much more care to be delivered locally and enabling people to live independently for as long as possible</w:t>
      </w:r>
    </w:p>
    <w:p w14:paraId="302F66E4" w14:textId="77777777" w:rsidR="00FF7B03" w:rsidRDefault="00FF7B03" w:rsidP="00836ECF">
      <w:pPr>
        <w:numPr>
          <w:ilvl w:val="0"/>
          <w:numId w:val="14"/>
        </w:numPr>
        <w:tabs>
          <w:tab w:val="left" w:pos="700"/>
        </w:tabs>
        <w:spacing w:line="0" w:lineRule="atLeast"/>
        <w:ind w:left="700" w:hanging="361"/>
        <w:rPr>
          <w:rFonts w:ascii="Symbol" w:eastAsia="Symbol" w:hAnsi="Symbol"/>
        </w:rPr>
      </w:pPr>
      <w:r>
        <w:rPr>
          <w:rFonts w:eastAsia="Arial"/>
        </w:rPr>
        <w:t>Village Agent schemes or Link schemes:</w:t>
      </w:r>
    </w:p>
    <w:p w14:paraId="258B0B07" w14:textId="77777777" w:rsidR="00FF7B03" w:rsidRDefault="00FF7B03" w:rsidP="00FF7B03">
      <w:pPr>
        <w:spacing w:line="9" w:lineRule="exact"/>
        <w:rPr>
          <w:rFonts w:ascii="Symbol" w:eastAsia="Symbol" w:hAnsi="Symbol"/>
        </w:rPr>
      </w:pPr>
    </w:p>
    <w:p w14:paraId="6232C8FB" w14:textId="77777777" w:rsidR="00FF7B03" w:rsidRPr="00E25BFF" w:rsidRDefault="000E7846" w:rsidP="00836ECF">
      <w:pPr>
        <w:pStyle w:val="ListParagraph"/>
        <w:numPr>
          <w:ilvl w:val="0"/>
          <w:numId w:val="31"/>
        </w:numPr>
        <w:tabs>
          <w:tab w:val="left" w:pos="1420"/>
        </w:tabs>
        <w:spacing w:line="239" w:lineRule="auto"/>
        <w:ind w:left="1440" w:right="100"/>
        <w:rPr>
          <w:rFonts w:eastAsia="Arial"/>
          <w:color w:val="0000FF"/>
        </w:rPr>
      </w:pPr>
      <w:hyperlink r:id="rId139" w:history="1">
        <w:r w:rsidR="00FF7B03" w:rsidRPr="00E25BFF">
          <w:rPr>
            <w:rFonts w:eastAsia="Arial"/>
            <w:color w:val="0000FF"/>
            <w:u w:val="single"/>
          </w:rPr>
          <w:t>Somerset</w:t>
        </w:r>
        <w:r w:rsidR="00FF7B03" w:rsidRPr="00E25BFF">
          <w:rPr>
            <w:rFonts w:eastAsia="Arial"/>
            <w:color w:val="000000"/>
          </w:rPr>
          <w:t xml:space="preserve">: </w:t>
        </w:r>
      </w:hyperlink>
      <w:r w:rsidR="00FF7B03" w:rsidRPr="00E25BFF">
        <w:rPr>
          <w:rFonts w:eastAsia="Arial"/>
          <w:color w:val="0000FF"/>
        </w:rPr>
        <w:t xml:space="preserve">Work </w:t>
      </w:r>
      <w:r w:rsidR="00FF7B03" w:rsidRPr="00E25BFF">
        <w:rPr>
          <w:rFonts w:eastAsia="Arial"/>
          <w:color w:val="000000"/>
        </w:rPr>
        <w:t>with all ages. A number of clients are elderly and</w:t>
      </w:r>
      <w:r w:rsidR="00FF7B03" w:rsidRPr="00E25BFF">
        <w:rPr>
          <w:rFonts w:eastAsia="Arial"/>
          <w:color w:val="0000FF"/>
        </w:rPr>
        <w:t xml:space="preserve"> </w:t>
      </w:r>
      <w:r w:rsidR="00FF7B03" w:rsidRPr="00E25BFF">
        <w:rPr>
          <w:rFonts w:eastAsia="Arial"/>
          <w:color w:val="000000"/>
        </w:rPr>
        <w:t>involve social care issues. Village Agents also have the role of helping to shape services by feeding back to the appropriate body information about gaps in service e.g. transport provision. They can also motivate and support a community to respond to a local need by working together to address issues e.g. by helping them to set up a coffee morning for a group of lonely people or start a volunteer car scheme. A Village Agents pilot project is using the social prescribing model, taking referrals from GPs and assisting with care planning for patients. A second pilot is taking referrals from social workers at the area’s Adult Social Care Hubs</w:t>
      </w:r>
    </w:p>
    <w:p w14:paraId="5155434A" w14:textId="77777777" w:rsidR="00FF7B03" w:rsidRDefault="00FF7B03" w:rsidP="00FF7B03">
      <w:pPr>
        <w:spacing w:line="11" w:lineRule="exact"/>
        <w:ind w:left="720"/>
        <w:rPr>
          <w:rFonts w:eastAsia="Arial"/>
          <w:color w:val="0000FF"/>
        </w:rPr>
      </w:pPr>
    </w:p>
    <w:p w14:paraId="4F033C42" w14:textId="77777777" w:rsidR="00FF7B03" w:rsidRPr="00E25BFF" w:rsidRDefault="000E7846" w:rsidP="00836ECF">
      <w:pPr>
        <w:pStyle w:val="ListParagraph"/>
        <w:numPr>
          <w:ilvl w:val="0"/>
          <w:numId w:val="31"/>
        </w:numPr>
        <w:tabs>
          <w:tab w:val="left" w:pos="1420"/>
        </w:tabs>
        <w:spacing w:line="238" w:lineRule="auto"/>
        <w:ind w:left="1440" w:right="420"/>
        <w:rPr>
          <w:rFonts w:eastAsia="Arial"/>
          <w:color w:val="0000FF"/>
        </w:rPr>
      </w:pPr>
      <w:hyperlink r:id="rId140" w:history="1">
        <w:r w:rsidR="00FF7B03" w:rsidRPr="00E25BFF">
          <w:rPr>
            <w:rFonts w:eastAsia="Arial"/>
            <w:color w:val="0000FF"/>
            <w:u w:val="single"/>
          </w:rPr>
          <w:t>Bedfordshire</w:t>
        </w:r>
        <w:r w:rsidR="00FF7B03" w:rsidRPr="00E25BFF">
          <w:rPr>
            <w:rFonts w:eastAsia="Arial"/>
            <w:color w:val="000000"/>
          </w:rPr>
          <w:t xml:space="preserve">: </w:t>
        </w:r>
      </w:hyperlink>
      <w:r w:rsidR="00FF7B03" w:rsidRPr="00E25BFF">
        <w:rPr>
          <w:rFonts w:eastAsia="Arial"/>
          <w:color w:val="0000FF"/>
        </w:rPr>
        <w:t xml:space="preserve">Supported </w:t>
      </w:r>
      <w:r w:rsidR="00FF7B03" w:rsidRPr="00E25BFF">
        <w:rPr>
          <w:rFonts w:eastAsia="Arial"/>
          <w:color w:val="000000"/>
        </w:rPr>
        <w:t>950 clients over the financial year (with an</w:t>
      </w:r>
      <w:r w:rsidR="00FF7B03" w:rsidRPr="00E25BFF">
        <w:rPr>
          <w:rFonts w:eastAsia="Arial"/>
          <w:color w:val="0000FF"/>
        </w:rPr>
        <w:t xml:space="preserve"> </w:t>
      </w:r>
      <w:r w:rsidR="00FF7B03" w:rsidRPr="00E25BFF">
        <w:rPr>
          <w:rFonts w:eastAsia="Arial"/>
          <w:color w:val="000000"/>
        </w:rPr>
        <w:t>average three visits per client) delivering a range of outcomes that included accessing health and housing services, getting home adaptations, obtaining mobility aids, take-up of benefits and tackling isolation through transport</w:t>
      </w:r>
    </w:p>
    <w:p w14:paraId="4A2B89AA" w14:textId="77777777" w:rsidR="00FF7B03" w:rsidRDefault="00FF7B03" w:rsidP="00FF7B03">
      <w:pPr>
        <w:spacing w:line="11" w:lineRule="exact"/>
        <w:ind w:left="720"/>
        <w:rPr>
          <w:rFonts w:eastAsia="Arial"/>
          <w:color w:val="0000FF"/>
        </w:rPr>
      </w:pPr>
    </w:p>
    <w:p w14:paraId="034D28DC" w14:textId="77777777" w:rsidR="00FF7B03" w:rsidRPr="00E25BFF" w:rsidRDefault="000E7846" w:rsidP="00836ECF">
      <w:pPr>
        <w:pStyle w:val="ListParagraph"/>
        <w:numPr>
          <w:ilvl w:val="0"/>
          <w:numId w:val="31"/>
        </w:numPr>
        <w:tabs>
          <w:tab w:val="left" w:pos="1420"/>
        </w:tabs>
        <w:spacing w:line="237" w:lineRule="auto"/>
        <w:ind w:left="1440" w:right="100"/>
        <w:rPr>
          <w:rFonts w:eastAsia="Arial"/>
          <w:color w:val="000000"/>
        </w:rPr>
      </w:pPr>
      <w:hyperlink r:id="rId141" w:history="1">
        <w:r w:rsidR="00FF7B03" w:rsidRPr="00E25BFF">
          <w:rPr>
            <w:rFonts w:eastAsia="Arial"/>
            <w:color w:val="0000FF"/>
            <w:u w:val="single"/>
          </w:rPr>
          <w:t>Gloucestershire</w:t>
        </w:r>
        <w:r w:rsidR="00FF7B03" w:rsidRPr="00E25BFF">
          <w:rPr>
            <w:rFonts w:eastAsia="Arial"/>
            <w:color w:val="000000"/>
          </w:rPr>
          <w:t xml:space="preserve">: </w:t>
        </w:r>
      </w:hyperlink>
      <w:r w:rsidR="00FF7B03" w:rsidRPr="00E25BFF">
        <w:rPr>
          <w:rFonts w:eastAsia="Arial"/>
          <w:color w:val="0000FF"/>
        </w:rPr>
        <w:t xml:space="preserve">The </w:t>
      </w:r>
      <w:r w:rsidR="00FF7B03" w:rsidRPr="00E25BFF">
        <w:rPr>
          <w:rFonts w:eastAsia="Arial"/>
          <w:color w:val="000000"/>
        </w:rPr>
        <w:t>Village Agents support older people living in the</w:t>
      </w:r>
      <w:r w:rsidR="00FF7B03" w:rsidRPr="00E25BFF">
        <w:rPr>
          <w:rFonts w:eastAsia="Arial"/>
          <w:color w:val="0000FF"/>
        </w:rPr>
        <w:t xml:space="preserve"> </w:t>
      </w:r>
      <w:r w:rsidR="00FF7B03" w:rsidRPr="00E25BFF">
        <w:rPr>
          <w:rFonts w:eastAsia="Arial"/>
          <w:color w:val="000000"/>
        </w:rPr>
        <w:t xml:space="preserve">area. Reports on their projects are </w:t>
      </w:r>
      <w:hyperlink r:id="rId142" w:history="1">
        <w:r w:rsidR="00FF7B03" w:rsidRPr="00E25BFF">
          <w:rPr>
            <w:rFonts w:eastAsia="Arial"/>
            <w:color w:val="000000"/>
          </w:rPr>
          <w:t xml:space="preserve">here </w:t>
        </w:r>
      </w:hyperlink>
      <w:r w:rsidR="00FF7B03" w:rsidRPr="00E25BFF">
        <w:rPr>
          <w:rFonts w:eastAsia="Arial"/>
          <w:color w:val="000000"/>
        </w:rPr>
        <w:t xml:space="preserve">and case studies can be found </w:t>
      </w:r>
      <w:hyperlink r:id="rId143" w:history="1">
        <w:r w:rsidR="00FF7B03" w:rsidRPr="00E25BFF">
          <w:rPr>
            <w:rFonts w:eastAsia="Arial"/>
            <w:color w:val="000000"/>
          </w:rPr>
          <w:t xml:space="preserve">here. </w:t>
        </w:r>
      </w:hyperlink>
      <w:r w:rsidR="00FF7B03" w:rsidRPr="00E25BFF">
        <w:rPr>
          <w:rFonts w:eastAsia="Arial"/>
          <w:color w:val="000000"/>
        </w:rPr>
        <w:t>Polish speaking agents are employed to support the local Polish community</w:t>
      </w:r>
    </w:p>
    <w:p w14:paraId="42253B31" w14:textId="77777777" w:rsidR="00FF7B03" w:rsidRDefault="00FF7B03" w:rsidP="00FF7B03">
      <w:pPr>
        <w:spacing w:line="13" w:lineRule="exact"/>
        <w:ind w:left="720"/>
        <w:rPr>
          <w:rFonts w:eastAsia="Arial"/>
          <w:color w:val="000000"/>
        </w:rPr>
      </w:pPr>
    </w:p>
    <w:p w14:paraId="1BDA5B0E" w14:textId="1627EFC1" w:rsidR="00FF7B03" w:rsidRPr="00B06C2F" w:rsidRDefault="000E7846" w:rsidP="00836ECF">
      <w:pPr>
        <w:pStyle w:val="ListParagraph"/>
        <w:numPr>
          <w:ilvl w:val="0"/>
          <w:numId w:val="31"/>
        </w:numPr>
        <w:tabs>
          <w:tab w:val="left" w:pos="1420"/>
        </w:tabs>
        <w:spacing w:line="200" w:lineRule="exact"/>
        <w:ind w:left="1440" w:right="160"/>
        <w:rPr>
          <w:rFonts w:ascii="Times New Roman" w:hAnsi="Times New Roman"/>
        </w:rPr>
      </w:pPr>
      <w:hyperlink r:id="rId144" w:history="1">
        <w:r w:rsidR="00FF7B03" w:rsidRPr="00B06C2F">
          <w:rPr>
            <w:rFonts w:eastAsia="Arial"/>
            <w:color w:val="0000FF"/>
            <w:sz w:val="23"/>
            <w:u w:val="single"/>
          </w:rPr>
          <w:t>Wiltshire</w:t>
        </w:r>
        <w:r w:rsidR="00FF7B03" w:rsidRPr="00B06C2F">
          <w:rPr>
            <w:rFonts w:eastAsia="Arial"/>
            <w:color w:val="000000"/>
            <w:sz w:val="23"/>
          </w:rPr>
          <w:t xml:space="preserve">: </w:t>
        </w:r>
      </w:hyperlink>
      <w:r w:rsidR="00FF7B03" w:rsidRPr="00B06C2F">
        <w:rPr>
          <w:rFonts w:eastAsia="Arial"/>
          <w:color w:val="0000FF"/>
          <w:sz w:val="23"/>
        </w:rPr>
        <w:t xml:space="preserve">The </w:t>
      </w:r>
      <w:r w:rsidR="00FF7B03" w:rsidRPr="00B06C2F">
        <w:rPr>
          <w:rFonts w:eastAsia="Arial"/>
          <w:color w:val="000000"/>
          <w:sz w:val="23"/>
        </w:rPr>
        <w:t>Link Schemes are community-based initiatives that aim</w:t>
      </w:r>
      <w:r w:rsidR="00FF7B03" w:rsidRPr="00B06C2F">
        <w:rPr>
          <w:rFonts w:eastAsia="Arial"/>
          <w:color w:val="0000FF"/>
          <w:sz w:val="23"/>
        </w:rPr>
        <w:t xml:space="preserve"> </w:t>
      </w:r>
      <w:r w:rsidR="00FF7B03" w:rsidRPr="00B06C2F">
        <w:rPr>
          <w:rFonts w:eastAsia="Arial"/>
          <w:color w:val="000000"/>
          <w:sz w:val="23"/>
        </w:rPr>
        <w:t>to improve the quality of life for disadvantaged, elderly or infirm people by providing a structured good neighbour service delivered by volunteers from within the local community. The range of Link Scheme services varies from providing volunteer drivers to take someone to a medical appointment, taking them shopping or to visit an old friend, or</w:t>
      </w:r>
      <w:bookmarkStart w:id="1694" w:name="page12"/>
      <w:bookmarkEnd w:id="1694"/>
    </w:p>
    <w:p w14:paraId="22E3F1F8" w14:textId="77777777" w:rsidR="00FF7B03" w:rsidRDefault="00FF7B03" w:rsidP="00FF7B03">
      <w:pPr>
        <w:spacing w:line="202" w:lineRule="exact"/>
        <w:rPr>
          <w:rFonts w:ascii="Times New Roman" w:hAnsi="Times New Roman"/>
        </w:rPr>
      </w:pPr>
    </w:p>
    <w:p w14:paraId="66090680" w14:textId="39FEA995" w:rsidR="00E25BFF" w:rsidRPr="00B06C2F" w:rsidRDefault="00FF7B03" w:rsidP="00836ECF">
      <w:pPr>
        <w:pStyle w:val="ListParagraph"/>
        <w:numPr>
          <w:ilvl w:val="0"/>
          <w:numId w:val="31"/>
        </w:numPr>
        <w:tabs>
          <w:tab w:val="left" w:pos="1420"/>
        </w:tabs>
        <w:spacing w:line="237" w:lineRule="auto"/>
        <w:ind w:left="1440" w:right="100"/>
        <w:rPr>
          <w:rFonts w:eastAsia="Arial"/>
        </w:rPr>
      </w:pPr>
      <w:r w:rsidRPr="00B06C2F">
        <w:rPr>
          <w:rFonts w:eastAsia="Arial"/>
        </w:rPr>
        <w:t>simply providing good neighbour care. They aim to complement the provision of other services, whether statutory or voluntary.</w:t>
      </w:r>
    </w:p>
    <w:p w14:paraId="034B4E3F" w14:textId="77777777" w:rsidR="00E25BFF" w:rsidRDefault="00E25BFF" w:rsidP="00E25BFF">
      <w:pPr>
        <w:spacing w:line="200" w:lineRule="exact"/>
        <w:rPr>
          <w:rFonts w:eastAsia="Arial"/>
          <w:color w:val="0000FF"/>
          <w:u w:val="single"/>
        </w:rPr>
      </w:pPr>
    </w:p>
    <w:p w14:paraId="7B057005" w14:textId="77777777" w:rsidR="00E25BFF" w:rsidRDefault="00E25BFF" w:rsidP="00E25BFF">
      <w:pPr>
        <w:spacing w:line="200" w:lineRule="exact"/>
        <w:rPr>
          <w:rFonts w:eastAsia="Arial"/>
          <w:color w:val="0000FF"/>
          <w:u w:val="single"/>
        </w:rPr>
      </w:pPr>
    </w:p>
    <w:p w14:paraId="1AA7654F" w14:textId="77777777" w:rsidR="00E25BFF" w:rsidRDefault="00E25BFF" w:rsidP="00E25BFF">
      <w:pPr>
        <w:spacing w:line="379" w:lineRule="exact"/>
        <w:rPr>
          <w:rFonts w:eastAsia="Arial"/>
          <w:color w:val="0000FF"/>
          <w:u w:val="single"/>
        </w:rPr>
      </w:pPr>
    </w:p>
    <w:p w14:paraId="22E64B10" w14:textId="77777777" w:rsidR="00E25BFF" w:rsidRDefault="00E25BFF" w:rsidP="00836ECF">
      <w:pPr>
        <w:numPr>
          <w:ilvl w:val="0"/>
          <w:numId w:val="13"/>
        </w:numPr>
        <w:tabs>
          <w:tab w:val="left" w:pos="157"/>
        </w:tabs>
        <w:spacing w:line="199" w:lineRule="auto"/>
        <w:ind w:left="1" w:right="20" w:hanging="1"/>
        <w:rPr>
          <w:rFonts w:eastAsia="Arial"/>
          <w:sz w:val="32"/>
          <w:vertAlign w:val="superscript"/>
        </w:rPr>
      </w:pPr>
      <w:r>
        <w:rPr>
          <w:rFonts w:eastAsia="Arial"/>
        </w:rPr>
        <w:t>The report finds that there is no reduction in expenses per patient as practices grow. The data are basic and commissioners may want to consider the point below which a list size is too small for a WTE GP.</w:t>
      </w:r>
    </w:p>
    <w:p w14:paraId="77DA6399" w14:textId="77777777" w:rsidR="00E25BFF" w:rsidRDefault="00E25BFF" w:rsidP="00E25BFF">
      <w:pPr>
        <w:spacing w:line="11" w:lineRule="exact"/>
        <w:rPr>
          <w:rFonts w:eastAsia="Arial"/>
          <w:sz w:val="32"/>
          <w:vertAlign w:val="superscript"/>
        </w:rPr>
      </w:pPr>
    </w:p>
    <w:p w14:paraId="102BED08" w14:textId="77777777" w:rsidR="00E25BFF" w:rsidRDefault="00E25BFF" w:rsidP="00836ECF">
      <w:pPr>
        <w:numPr>
          <w:ilvl w:val="0"/>
          <w:numId w:val="13"/>
        </w:numPr>
        <w:tabs>
          <w:tab w:val="left" w:pos="128"/>
        </w:tabs>
        <w:spacing w:line="204" w:lineRule="auto"/>
        <w:ind w:left="1" w:right="80" w:hanging="1"/>
        <w:rPr>
          <w:rFonts w:eastAsia="Arial"/>
          <w:sz w:val="26"/>
          <w:vertAlign w:val="superscript"/>
        </w:rPr>
      </w:pPr>
      <w:r>
        <w:rPr>
          <w:rFonts w:eastAsia="Arial"/>
        </w:rPr>
        <w:t>This document’s value might be limited as it is 10 years’ old and the data cannot be refreshed as the datasets are not available.</w:t>
      </w:r>
    </w:p>
    <w:p w14:paraId="0030F68B" w14:textId="77777777" w:rsidR="00E25BFF" w:rsidRDefault="00E25BFF" w:rsidP="00E25BFF">
      <w:pPr>
        <w:spacing w:line="200" w:lineRule="exact"/>
        <w:rPr>
          <w:rFonts w:eastAsia="Arial"/>
          <w:color w:val="0000FF"/>
          <w:u w:val="single"/>
        </w:rPr>
      </w:pPr>
    </w:p>
    <w:p w14:paraId="0BB9EC4A" w14:textId="450B8476" w:rsidR="00E25BFF" w:rsidRDefault="00E25BFF" w:rsidP="001C7059">
      <w:pPr>
        <w:pStyle w:val="Heading3"/>
        <w:rPr>
          <w:rFonts w:eastAsia="Arial"/>
        </w:rPr>
      </w:pPr>
      <w:bookmarkStart w:id="1695" w:name="page11"/>
      <w:bookmarkEnd w:id="1695"/>
      <w:r>
        <w:rPr>
          <w:rFonts w:eastAsia="Arial"/>
        </w:rPr>
        <w:t>Patient Group Observations</w:t>
      </w:r>
    </w:p>
    <w:p w14:paraId="76AA94BE" w14:textId="77777777" w:rsidR="00E25BFF" w:rsidRDefault="00E25BFF" w:rsidP="00E25BFF">
      <w:pPr>
        <w:spacing w:line="200" w:lineRule="exact"/>
        <w:rPr>
          <w:rFonts w:ascii="Times New Roman" w:hAnsi="Times New Roman"/>
        </w:rPr>
      </w:pPr>
    </w:p>
    <w:p w14:paraId="09193044" w14:textId="77777777" w:rsidR="00E25BFF" w:rsidRDefault="00E25BFF" w:rsidP="00E25BFF">
      <w:pPr>
        <w:spacing w:line="247" w:lineRule="exact"/>
        <w:rPr>
          <w:rFonts w:ascii="Times New Roman" w:hAnsi="Times New Roman"/>
        </w:rPr>
      </w:pPr>
    </w:p>
    <w:p w14:paraId="265D6244" w14:textId="77777777" w:rsidR="00E25BFF" w:rsidRDefault="00E25BFF" w:rsidP="00B06C2F">
      <w:pPr>
        <w:pStyle w:val="Heading3"/>
        <w:rPr>
          <w:rFonts w:eastAsia="Arial"/>
          <w:color w:val="000000"/>
        </w:rPr>
      </w:pPr>
      <w:r>
        <w:rPr>
          <w:rFonts w:eastAsia="Arial"/>
        </w:rPr>
        <w:t xml:space="preserve">Support services provided by volunteers and community groups act as a link between statutory services and the local community (some examples are listed in the </w:t>
      </w:r>
      <w:hyperlink w:anchor="page10" w:history="1">
        <w:r>
          <w:rPr>
            <w:rFonts w:eastAsia="Arial"/>
            <w:color w:val="0000FF"/>
            <w:u w:val="single"/>
          </w:rPr>
          <w:t>Case Studies</w:t>
        </w:r>
        <w:r>
          <w:rPr>
            <w:rFonts w:eastAsia="Arial"/>
            <w:color w:val="0000FF"/>
          </w:rPr>
          <w:t xml:space="preserve"> </w:t>
        </w:r>
      </w:hyperlink>
      <w:r>
        <w:rPr>
          <w:rFonts w:eastAsia="Arial"/>
          <w:color w:val="000000"/>
        </w:rPr>
        <w:t>section</w:t>
      </w:r>
      <w:r>
        <w:rPr>
          <w:rFonts w:eastAsia="Arial"/>
          <w:color w:val="0000FF"/>
        </w:rPr>
        <w:t xml:space="preserve"> </w:t>
      </w:r>
      <w:r>
        <w:rPr>
          <w:rFonts w:eastAsia="Arial"/>
          <w:color w:val="000000"/>
        </w:rPr>
        <w:t>above). They are well-placed to work across various isolated</w:t>
      </w:r>
      <w:r>
        <w:rPr>
          <w:rFonts w:eastAsia="Arial"/>
          <w:color w:val="0000FF"/>
        </w:rPr>
        <w:t xml:space="preserve"> </w:t>
      </w:r>
      <w:r>
        <w:rPr>
          <w:rFonts w:eastAsia="Arial"/>
          <w:color w:val="000000"/>
        </w:rPr>
        <w:t xml:space="preserve">groups and share good practice as needed. Services such as those in Dorset (Dorset Community Action’s Navigator pilot as part of the </w:t>
      </w:r>
      <w:hyperlink r:id="rId145" w:history="1">
        <w:r>
          <w:rPr>
            <w:rFonts w:eastAsia="Arial"/>
            <w:color w:val="0000FF"/>
            <w:u w:val="single"/>
          </w:rPr>
          <w:t>Better Together</w:t>
        </w:r>
        <w:r>
          <w:rPr>
            <w:rFonts w:eastAsia="Arial"/>
            <w:color w:val="000000"/>
            <w:u w:val="single"/>
          </w:rPr>
          <w:t xml:space="preserve"> </w:t>
        </w:r>
      </w:hyperlink>
      <w:r>
        <w:rPr>
          <w:rFonts w:eastAsia="Arial"/>
          <w:color w:val="000000"/>
        </w:rPr>
        <w:t xml:space="preserve">programme) and the Isle of Wight </w:t>
      </w:r>
      <w:hyperlink r:id="rId146" w:history="1">
        <w:r>
          <w:rPr>
            <w:rFonts w:eastAsia="Arial"/>
            <w:color w:val="1F497D"/>
          </w:rPr>
          <w:t>(</w:t>
        </w:r>
        <w:r>
          <w:rPr>
            <w:rFonts w:eastAsia="Arial"/>
            <w:color w:val="0000FF"/>
            <w:u w:val="single"/>
          </w:rPr>
          <w:t>My Life A Full Life</w:t>
        </w:r>
      </w:hyperlink>
      <w:r>
        <w:rPr>
          <w:rFonts w:eastAsia="Arial"/>
          <w:color w:val="000000"/>
        </w:rPr>
        <w:t>)) operate at a strategic level to bring providers and commissioners together to address issues and find solutions. The key challenge is that all these services need support by commissioners and funding in some way, so that there is a whole system approach. This support is not free, but can be tailored to meet the needs of statutory providers and help to fill gaps and is cost effective, flexible and resourceful in its approach.</w:t>
      </w:r>
    </w:p>
    <w:p w14:paraId="678FA211" w14:textId="77777777" w:rsidR="00E25BFF" w:rsidRDefault="00E25BFF" w:rsidP="00E25BFF">
      <w:pPr>
        <w:spacing w:line="274" w:lineRule="exact"/>
        <w:rPr>
          <w:rFonts w:eastAsia="Arial"/>
          <w:color w:val="0000FF"/>
        </w:rPr>
      </w:pPr>
    </w:p>
    <w:p w14:paraId="0C495E70" w14:textId="77777777" w:rsidR="00E25BFF" w:rsidRDefault="00E25BFF" w:rsidP="00E25BFF">
      <w:pPr>
        <w:spacing w:line="0" w:lineRule="atLeast"/>
        <w:ind w:left="721"/>
        <w:rPr>
          <w:rFonts w:eastAsia="Arial"/>
          <w:i/>
        </w:rPr>
      </w:pPr>
      <w:r>
        <w:rPr>
          <w:rFonts w:eastAsia="Arial"/>
          <w:i/>
        </w:rPr>
        <w:t>Provided by Paul Dixon, Action with Communities in Rural England</w:t>
      </w:r>
    </w:p>
    <w:p w14:paraId="75B8B69E" w14:textId="77777777" w:rsidR="00E25BFF" w:rsidRDefault="00E25BFF" w:rsidP="00E25BFF">
      <w:pPr>
        <w:spacing w:line="200" w:lineRule="exact"/>
        <w:rPr>
          <w:rFonts w:eastAsia="Arial"/>
          <w:color w:val="0000FF"/>
        </w:rPr>
      </w:pPr>
    </w:p>
    <w:p w14:paraId="4A42B3A0" w14:textId="77777777" w:rsidR="00E25BFF" w:rsidRDefault="00E25BFF" w:rsidP="00E25BFF">
      <w:pPr>
        <w:spacing w:line="355" w:lineRule="exact"/>
        <w:rPr>
          <w:rFonts w:eastAsia="Arial"/>
          <w:color w:val="0000FF"/>
        </w:rPr>
      </w:pPr>
    </w:p>
    <w:p w14:paraId="7BF1CE13" w14:textId="77777777" w:rsidR="00E25BFF" w:rsidRDefault="00E25BFF" w:rsidP="00E25BFF">
      <w:pPr>
        <w:pStyle w:val="Heading2"/>
        <w:rPr>
          <w:rFonts w:eastAsia="Arial"/>
        </w:rPr>
      </w:pPr>
      <w:bookmarkStart w:id="1696" w:name="_Toc498495514"/>
      <w:r>
        <w:rPr>
          <w:rFonts w:eastAsia="Arial"/>
        </w:rPr>
        <w:t>University populations</w:t>
      </w:r>
      <w:bookmarkEnd w:id="1696"/>
    </w:p>
    <w:p w14:paraId="067B9DA6" w14:textId="77777777" w:rsidR="00E25BFF" w:rsidRDefault="00E25BFF" w:rsidP="00E25BFF">
      <w:pPr>
        <w:spacing w:line="277" w:lineRule="exact"/>
        <w:rPr>
          <w:rFonts w:eastAsia="Arial"/>
          <w:color w:val="0000FF"/>
        </w:rPr>
      </w:pPr>
    </w:p>
    <w:p w14:paraId="4F5BAEC3" w14:textId="77777777" w:rsidR="00E25BFF" w:rsidRDefault="00E25BFF" w:rsidP="001C7059">
      <w:pPr>
        <w:pStyle w:val="Heading3"/>
        <w:rPr>
          <w:rFonts w:eastAsia="Arial"/>
        </w:rPr>
      </w:pPr>
      <w:r>
        <w:rPr>
          <w:rFonts w:eastAsia="Arial"/>
        </w:rPr>
        <w:t>6.1  Description of the Issues</w:t>
      </w:r>
    </w:p>
    <w:p w14:paraId="0B4C574B" w14:textId="77777777" w:rsidR="00E25BFF" w:rsidRDefault="00E25BFF" w:rsidP="00E25BFF">
      <w:pPr>
        <w:spacing w:line="188" w:lineRule="exact"/>
        <w:rPr>
          <w:rFonts w:eastAsia="Arial"/>
          <w:color w:val="0000FF"/>
        </w:rPr>
      </w:pPr>
    </w:p>
    <w:p w14:paraId="0ABD93AB" w14:textId="77777777" w:rsidR="00E25BFF" w:rsidRDefault="00E25BFF" w:rsidP="00B06C2F">
      <w:pPr>
        <w:pStyle w:val="Heading3"/>
        <w:rPr>
          <w:rFonts w:ascii="Symbol" w:eastAsia="Symbol" w:hAnsi="Symbol"/>
        </w:rPr>
      </w:pPr>
      <w:r>
        <w:rPr>
          <w:rFonts w:eastAsia="Arial"/>
        </w:rPr>
        <w:t>Some practices serving university populations are not able to earn as much QOF funding due to the low prevalence of disease. There is an assumption by some that service provision is less onerous due to low disease prevalence.</w:t>
      </w:r>
    </w:p>
    <w:p w14:paraId="25D6BC2C" w14:textId="77777777" w:rsidR="00E25BFF" w:rsidRDefault="00E25BFF" w:rsidP="00E25BFF">
      <w:pPr>
        <w:spacing w:line="3" w:lineRule="exact"/>
        <w:rPr>
          <w:rFonts w:ascii="Symbol" w:eastAsia="Symbol" w:hAnsi="Symbol"/>
        </w:rPr>
      </w:pPr>
    </w:p>
    <w:p w14:paraId="39FDAE8A" w14:textId="77777777" w:rsidR="00E25BFF" w:rsidRDefault="00E25BFF" w:rsidP="00836ECF">
      <w:pPr>
        <w:numPr>
          <w:ilvl w:val="0"/>
          <w:numId w:val="15"/>
        </w:numPr>
        <w:tabs>
          <w:tab w:val="left" w:pos="721"/>
        </w:tabs>
        <w:spacing w:line="239" w:lineRule="auto"/>
        <w:ind w:left="721" w:hanging="361"/>
        <w:rPr>
          <w:rFonts w:ascii="Symbol" w:eastAsia="Symbol" w:hAnsi="Symbol"/>
        </w:rPr>
      </w:pPr>
      <w:r>
        <w:rPr>
          <w:rFonts w:eastAsia="Arial"/>
        </w:rPr>
        <w:t>Anecdotally, it is believed that:</w:t>
      </w:r>
    </w:p>
    <w:p w14:paraId="541DB3B5" w14:textId="77777777" w:rsidR="00E25BFF" w:rsidRDefault="00E25BFF" w:rsidP="00E25BFF">
      <w:pPr>
        <w:spacing w:line="11" w:lineRule="exact"/>
        <w:rPr>
          <w:rFonts w:eastAsia="Arial"/>
          <w:color w:val="0000FF"/>
        </w:rPr>
      </w:pPr>
    </w:p>
    <w:p w14:paraId="1283FCDA" w14:textId="77777777" w:rsidR="00E25BFF" w:rsidRDefault="00E25BFF" w:rsidP="00836ECF">
      <w:pPr>
        <w:numPr>
          <w:ilvl w:val="0"/>
          <w:numId w:val="16"/>
        </w:numPr>
        <w:tabs>
          <w:tab w:val="left" w:pos="1441"/>
        </w:tabs>
        <w:spacing w:line="236" w:lineRule="auto"/>
        <w:ind w:left="1441" w:right="120" w:hanging="361"/>
        <w:rPr>
          <w:rFonts w:ascii="Courier New" w:eastAsia="Courier New" w:hAnsi="Courier New"/>
        </w:rPr>
      </w:pPr>
      <w:r>
        <w:rPr>
          <w:rFonts w:eastAsia="Arial"/>
        </w:rPr>
        <w:t>Since many students are living independently for the first time, this can be a time when they experiment by engaging in behaviours that affect their health and need for service interventions e.g. around alcohol and drug use and sexual activity, leading to a higher than average demand for services related to these. In addition, for students who do not have access to immediate family support, there can consequently be a greater need for primary care services especially in respect of mental</w:t>
      </w:r>
    </w:p>
    <w:p w14:paraId="6C87DF5B" w14:textId="77777777" w:rsidR="00E25BFF" w:rsidRDefault="00E25BFF" w:rsidP="00E25BFF">
      <w:pPr>
        <w:spacing w:line="1" w:lineRule="exact"/>
        <w:rPr>
          <w:rFonts w:eastAsia="Arial"/>
          <w:color w:val="0000FF"/>
        </w:rPr>
      </w:pPr>
    </w:p>
    <w:p w14:paraId="33908DAF" w14:textId="77777777" w:rsidR="00E25BFF" w:rsidRDefault="00E25BFF" w:rsidP="00E25BFF">
      <w:pPr>
        <w:spacing w:line="0" w:lineRule="atLeast"/>
        <w:ind w:left="1441"/>
        <w:rPr>
          <w:rFonts w:eastAsia="Arial"/>
        </w:rPr>
      </w:pPr>
      <w:r>
        <w:rPr>
          <w:rFonts w:eastAsia="Arial"/>
        </w:rPr>
        <w:t>health support</w:t>
      </w:r>
    </w:p>
    <w:p w14:paraId="4B985481" w14:textId="77777777" w:rsidR="00E25BFF" w:rsidRDefault="00E25BFF" w:rsidP="00E25BFF">
      <w:pPr>
        <w:spacing w:line="11" w:lineRule="exact"/>
        <w:rPr>
          <w:rFonts w:eastAsia="Arial"/>
          <w:color w:val="0000FF"/>
        </w:rPr>
      </w:pPr>
    </w:p>
    <w:p w14:paraId="2DEEC237" w14:textId="77777777" w:rsidR="00E25BFF" w:rsidRDefault="00E25BFF" w:rsidP="00836ECF">
      <w:pPr>
        <w:numPr>
          <w:ilvl w:val="0"/>
          <w:numId w:val="17"/>
        </w:numPr>
        <w:tabs>
          <w:tab w:val="left" w:pos="1441"/>
        </w:tabs>
        <w:spacing w:line="235" w:lineRule="auto"/>
        <w:ind w:left="1441" w:right="120" w:hanging="361"/>
        <w:rPr>
          <w:rFonts w:ascii="Courier New" w:eastAsia="Courier New" w:hAnsi="Courier New"/>
        </w:rPr>
      </w:pPr>
      <w:r>
        <w:rPr>
          <w:rFonts w:eastAsia="Arial"/>
        </w:rPr>
        <w:t>Students can present with minor ailments or with seemingly unfounded worries about their wellbeing. For those who have moved away from home and are living independently for the first time it is important that they are provided with information about the range of primary care services available including pharmacy as well as online sources of support (i.e. supported to develop “health literacy”)</w:t>
      </w:r>
    </w:p>
    <w:p w14:paraId="3B9D7A4B" w14:textId="77777777" w:rsidR="00E25BFF" w:rsidRDefault="00E25BFF" w:rsidP="00E25BFF">
      <w:pPr>
        <w:spacing w:line="14" w:lineRule="exact"/>
        <w:rPr>
          <w:rFonts w:eastAsia="Arial"/>
          <w:color w:val="0000FF"/>
        </w:rPr>
      </w:pPr>
    </w:p>
    <w:p w14:paraId="23695F92" w14:textId="77777777" w:rsidR="00E25BFF" w:rsidRDefault="00E25BFF" w:rsidP="00836ECF">
      <w:pPr>
        <w:numPr>
          <w:ilvl w:val="0"/>
          <w:numId w:val="18"/>
        </w:numPr>
        <w:tabs>
          <w:tab w:val="left" w:pos="1441"/>
        </w:tabs>
        <w:spacing w:line="236" w:lineRule="auto"/>
        <w:ind w:left="1441" w:right="380" w:hanging="361"/>
        <w:rPr>
          <w:rFonts w:ascii="Courier New" w:eastAsia="Courier New" w:hAnsi="Courier New"/>
          <w:sz w:val="23"/>
        </w:rPr>
      </w:pPr>
      <w:r>
        <w:rPr>
          <w:rFonts w:eastAsia="Arial"/>
          <w:sz w:val="23"/>
        </w:rPr>
        <w:t>A significant number of students with long term and complex health needs attend university (e.g. CF, transplants, MS, asthma, diabetes)</w:t>
      </w:r>
    </w:p>
    <w:p w14:paraId="1C843317" w14:textId="77777777" w:rsidR="00E25BFF" w:rsidRDefault="00E25BFF" w:rsidP="00E25BFF">
      <w:pPr>
        <w:spacing w:line="12" w:lineRule="exact"/>
        <w:rPr>
          <w:rFonts w:eastAsia="Arial"/>
          <w:color w:val="0000FF"/>
        </w:rPr>
      </w:pPr>
    </w:p>
    <w:p w14:paraId="16A8C509" w14:textId="77777777" w:rsidR="00E25BFF" w:rsidRDefault="00E25BFF" w:rsidP="00E25BFF">
      <w:pPr>
        <w:spacing w:line="236" w:lineRule="auto"/>
        <w:ind w:left="1441" w:right="40"/>
        <w:rPr>
          <w:rFonts w:eastAsia="Arial"/>
        </w:rPr>
      </w:pPr>
      <w:r>
        <w:rPr>
          <w:rFonts w:eastAsia="Arial"/>
        </w:rPr>
        <w:t>and transition to new primary care and secondary care arrangements, if they are leaving home, is important as is support for transition to adult services which can take place during the university years.</w:t>
      </w:r>
    </w:p>
    <w:p w14:paraId="639BAF47" w14:textId="77777777" w:rsidR="00E25BFF" w:rsidRDefault="00E25BFF" w:rsidP="00E25BFF">
      <w:pPr>
        <w:spacing w:line="14" w:lineRule="exact"/>
        <w:rPr>
          <w:rFonts w:eastAsia="Arial"/>
          <w:color w:val="0000FF"/>
        </w:rPr>
      </w:pPr>
    </w:p>
    <w:p w14:paraId="02C2932D" w14:textId="2EB3555E" w:rsidR="00E25BFF" w:rsidRPr="00B06C2F" w:rsidRDefault="00E25BFF" w:rsidP="00836ECF">
      <w:pPr>
        <w:numPr>
          <w:ilvl w:val="0"/>
          <w:numId w:val="19"/>
        </w:numPr>
        <w:tabs>
          <w:tab w:val="left" w:pos="1441"/>
        </w:tabs>
        <w:spacing w:line="236" w:lineRule="auto"/>
        <w:ind w:left="1441" w:right="180" w:hanging="361"/>
        <w:rPr>
          <w:rFonts w:ascii="Courier New" w:eastAsia="Courier New" w:hAnsi="Courier New"/>
          <w:sz w:val="23"/>
        </w:rPr>
      </w:pPr>
      <w:r>
        <w:rPr>
          <w:rFonts w:eastAsia="Arial"/>
          <w:sz w:val="23"/>
        </w:rPr>
        <w:t>For foreign students, a lack of familiarity with the country and how health services work can create additional demand for GP practices to</w:t>
      </w:r>
      <w:r w:rsidR="00B06C2F">
        <w:rPr>
          <w:rFonts w:ascii="Courier New" w:eastAsia="Courier New" w:hAnsi="Courier New"/>
          <w:sz w:val="23"/>
        </w:rPr>
        <w:t xml:space="preserve"> </w:t>
      </w:r>
      <w:r w:rsidRPr="00B06C2F">
        <w:rPr>
          <w:rFonts w:eastAsia="Arial"/>
        </w:rPr>
        <w:t>signpost patients to more appropriate services or lead foreign students to go directly to A&amp;E which leads to additional demand on CCG resources</w:t>
      </w:r>
    </w:p>
    <w:p w14:paraId="7D94DCB7" w14:textId="77777777" w:rsidR="00E25BFF" w:rsidRDefault="00E25BFF" w:rsidP="00E25BFF">
      <w:pPr>
        <w:spacing w:line="14" w:lineRule="exact"/>
        <w:rPr>
          <w:rFonts w:ascii="Times New Roman" w:hAnsi="Times New Roman"/>
        </w:rPr>
      </w:pPr>
    </w:p>
    <w:p w14:paraId="52E4619A" w14:textId="77777777" w:rsidR="00E25BFF" w:rsidRDefault="00E25BFF" w:rsidP="00836ECF">
      <w:pPr>
        <w:numPr>
          <w:ilvl w:val="1"/>
          <w:numId w:val="20"/>
        </w:numPr>
        <w:tabs>
          <w:tab w:val="left" w:pos="1440"/>
        </w:tabs>
        <w:spacing w:line="226" w:lineRule="auto"/>
        <w:ind w:left="1440" w:right="140" w:hanging="361"/>
        <w:rPr>
          <w:rFonts w:ascii="Courier New" w:eastAsia="Courier New" w:hAnsi="Courier New"/>
        </w:rPr>
      </w:pPr>
      <w:r>
        <w:rPr>
          <w:rFonts w:eastAsia="Arial"/>
        </w:rPr>
        <w:t>In addition some foreign students may have greater health risks/needs (e.g. TB, hepatitis)</w:t>
      </w:r>
    </w:p>
    <w:p w14:paraId="1E812AF0" w14:textId="77777777" w:rsidR="00E25BFF" w:rsidRDefault="00E25BFF" w:rsidP="00E25BFF">
      <w:pPr>
        <w:spacing w:line="29" w:lineRule="exact"/>
        <w:rPr>
          <w:rFonts w:ascii="Courier New" w:eastAsia="Courier New" w:hAnsi="Courier New"/>
        </w:rPr>
      </w:pPr>
    </w:p>
    <w:p w14:paraId="5C58F26E" w14:textId="77777777" w:rsidR="00E25BFF" w:rsidRDefault="00E25BFF" w:rsidP="00836ECF">
      <w:pPr>
        <w:numPr>
          <w:ilvl w:val="0"/>
          <w:numId w:val="20"/>
        </w:numPr>
        <w:tabs>
          <w:tab w:val="left" w:pos="720"/>
        </w:tabs>
        <w:spacing w:line="227" w:lineRule="auto"/>
        <w:ind w:left="720" w:right="680" w:hanging="361"/>
        <w:rPr>
          <w:rFonts w:ascii="Symbol" w:eastAsia="Symbol" w:hAnsi="Symbol"/>
        </w:rPr>
      </w:pPr>
      <w:r>
        <w:rPr>
          <w:rFonts w:eastAsia="Arial"/>
        </w:rPr>
        <w:t>Additional administrative effort required to register large numbers of new patients in September / October and de-register in the summer.</w:t>
      </w:r>
    </w:p>
    <w:p w14:paraId="5B595D78" w14:textId="77777777" w:rsidR="00E25BFF" w:rsidRDefault="00E25BFF" w:rsidP="00E25BFF">
      <w:pPr>
        <w:spacing w:line="276" w:lineRule="exact"/>
        <w:rPr>
          <w:rFonts w:ascii="Times New Roman" w:hAnsi="Times New Roman"/>
        </w:rPr>
      </w:pPr>
    </w:p>
    <w:p w14:paraId="0E63B9EF" w14:textId="7BA84B2B" w:rsidR="00E25BFF" w:rsidRDefault="00E25BFF" w:rsidP="001C7059">
      <w:pPr>
        <w:pStyle w:val="Heading3"/>
        <w:rPr>
          <w:rFonts w:eastAsia="Arial"/>
        </w:rPr>
      </w:pPr>
      <w:r>
        <w:rPr>
          <w:rFonts w:eastAsia="Arial"/>
        </w:rPr>
        <w:t>Information/Data considerations</w:t>
      </w:r>
    </w:p>
    <w:p w14:paraId="22E0CA89" w14:textId="77777777" w:rsidR="00E25BFF" w:rsidRDefault="00E25BFF" w:rsidP="00E25BFF">
      <w:pPr>
        <w:spacing w:line="200" w:lineRule="exact"/>
        <w:rPr>
          <w:rFonts w:ascii="Times New Roman" w:hAnsi="Times New Roman"/>
        </w:rPr>
      </w:pPr>
    </w:p>
    <w:p w14:paraId="24C6B2E7" w14:textId="77777777" w:rsidR="00E25BFF" w:rsidRDefault="00E25BFF" w:rsidP="00E25BFF">
      <w:pPr>
        <w:spacing w:line="250" w:lineRule="exact"/>
        <w:rPr>
          <w:rFonts w:ascii="Times New Roman" w:hAnsi="Times New Roman"/>
        </w:rPr>
      </w:pPr>
    </w:p>
    <w:p w14:paraId="75CA062E" w14:textId="77777777" w:rsidR="00E25BFF" w:rsidRDefault="00E25BFF" w:rsidP="00B06C2F">
      <w:pPr>
        <w:pStyle w:val="Heading3"/>
        <w:rPr>
          <w:rFonts w:eastAsia="Arial"/>
        </w:rPr>
      </w:pPr>
      <w:r>
        <w:rPr>
          <w:rFonts w:eastAsia="Arial"/>
        </w:rPr>
        <w:t>Here are some data sources or information that you may wish to consider when trying to define if a population is atypical:</w:t>
      </w:r>
    </w:p>
    <w:p w14:paraId="625C10BD" w14:textId="77777777" w:rsidR="00E25BFF" w:rsidRDefault="00E25BFF" w:rsidP="00E25BFF">
      <w:pPr>
        <w:spacing w:line="276" w:lineRule="exact"/>
        <w:rPr>
          <w:rFonts w:ascii="Times New Roman" w:hAnsi="Times New Roman"/>
        </w:rPr>
      </w:pPr>
    </w:p>
    <w:p w14:paraId="00FB1096" w14:textId="77777777" w:rsidR="00E25BFF" w:rsidRDefault="00E25BFF" w:rsidP="00836ECF">
      <w:pPr>
        <w:numPr>
          <w:ilvl w:val="0"/>
          <w:numId w:val="21"/>
        </w:numPr>
        <w:tabs>
          <w:tab w:val="left" w:pos="720"/>
        </w:tabs>
        <w:spacing w:line="0" w:lineRule="atLeast"/>
        <w:ind w:left="720" w:hanging="361"/>
        <w:rPr>
          <w:rFonts w:ascii="Symbol" w:eastAsia="Symbol" w:hAnsi="Symbol"/>
        </w:rPr>
      </w:pPr>
      <w:r>
        <w:rPr>
          <w:rFonts w:eastAsia="Arial"/>
        </w:rPr>
        <w:t>Comparative consultation rates (if local data available)</w:t>
      </w:r>
    </w:p>
    <w:p w14:paraId="3AB7E983" w14:textId="77777777" w:rsidR="00E25BFF" w:rsidRDefault="00E25BFF" w:rsidP="00836ECF">
      <w:pPr>
        <w:numPr>
          <w:ilvl w:val="0"/>
          <w:numId w:val="21"/>
        </w:numPr>
        <w:tabs>
          <w:tab w:val="left" w:pos="720"/>
        </w:tabs>
        <w:spacing w:line="237" w:lineRule="auto"/>
        <w:ind w:left="720" w:hanging="361"/>
        <w:rPr>
          <w:rFonts w:ascii="Symbol" w:eastAsia="Symbol" w:hAnsi="Symbol"/>
        </w:rPr>
      </w:pPr>
      <w:r>
        <w:rPr>
          <w:rFonts w:eastAsia="Arial"/>
        </w:rPr>
        <w:t>Prevalence of disease not covered by QOF, particularly mental health</w:t>
      </w:r>
    </w:p>
    <w:p w14:paraId="3C862813" w14:textId="77777777" w:rsidR="00E25BFF" w:rsidRDefault="00E25BFF" w:rsidP="00836ECF">
      <w:pPr>
        <w:numPr>
          <w:ilvl w:val="0"/>
          <w:numId w:val="21"/>
        </w:numPr>
        <w:tabs>
          <w:tab w:val="left" w:pos="720"/>
        </w:tabs>
        <w:spacing w:line="239" w:lineRule="auto"/>
        <w:ind w:left="720" w:hanging="361"/>
        <w:rPr>
          <w:rFonts w:ascii="Symbol" w:eastAsia="Symbol" w:hAnsi="Symbol"/>
        </w:rPr>
      </w:pPr>
      <w:r>
        <w:rPr>
          <w:rFonts w:eastAsia="Arial"/>
        </w:rPr>
        <w:t>Per-patient weighted funding level provided by global sum</w:t>
      </w:r>
    </w:p>
    <w:p w14:paraId="01BC2BE9" w14:textId="77777777" w:rsidR="00E25BFF" w:rsidRDefault="00E25BFF" w:rsidP="00E25BFF">
      <w:pPr>
        <w:spacing w:line="27" w:lineRule="exact"/>
        <w:rPr>
          <w:rFonts w:ascii="Symbol" w:eastAsia="Symbol" w:hAnsi="Symbol"/>
        </w:rPr>
      </w:pPr>
    </w:p>
    <w:p w14:paraId="2AED364E" w14:textId="77777777" w:rsidR="00E25BFF" w:rsidRDefault="00E25BFF" w:rsidP="00836ECF">
      <w:pPr>
        <w:numPr>
          <w:ilvl w:val="0"/>
          <w:numId w:val="21"/>
        </w:numPr>
        <w:tabs>
          <w:tab w:val="left" w:pos="720"/>
        </w:tabs>
        <w:spacing w:line="227" w:lineRule="auto"/>
        <w:ind w:left="720" w:right="120" w:hanging="361"/>
        <w:rPr>
          <w:rFonts w:ascii="Symbol" w:eastAsia="Symbol" w:hAnsi="Symbol"/>
        </w:rPr>
      </w:pPr>
      <w:r>
        <w:rPr>
          <w:rFonts w:eastAsia="Arial"/>
        </w:rPr>
        <w:t>Registration data in September – October to identify student registrations and de-registrations over the summer.</w:t>
      </w:r>
    </w:p>
    <w:p w14:paraId="69490BB4" w14:textId="77777777" w:rsidR="00E25BFF" w:rsidRDefault="00E25BFF" w:rsidP="00E25BFF">
      <w:pPr>
        <w:spacing w:line="279" w:lineRule="exact"/>
        <w:rPr>
          <w:rFonts w:ascii="Times New Roman" w:hAnsi="Times New Roman"/>
        </w:rPr>
      </w:pPr>
    </w:p>
    <w:p w14:paraId="3252E02B" w14:textId="77777777" w:rsidR="00E25BFF" w:rsidRDefault="00E25BFF" w:rsidP="001C7059">
      <w:pPr>
        <w:pStyle w:val="Heading3"/>
        <w:rPr>
          <w:rFonts w:eastAsia="Arial"/>
        </w:rPr>
      </w:pPr>
      <w:r>
        <w:rPr>
          <w:rFonts w:eastAsia="Arial"/>
        </w:rPr>
        <w:t>6.3  Support Initiatives</w:t>
      </w:r>
    </w:p>
    <w:p w14:paraId="306E9B0D" w14:textId="77777777" w:rsidR="00E25BFF" w:rsidRDefault="00E25BFF" w:rsidP="00E25BFF">
      <w:pPr>
        <w:spacing w:line="200" w:lineRule="exact"/>
        <w:rPr>
          <w:rFonts w:ascii="Times New Roman" w:hAnsi="Times New Roman"/>
        </w:rPr>
      </w:pPr>
    </w:p>
    <w:p w14:paraId="1E3F1BDD" w14:textId="77777777" w:rsidR="00E25BFF" w:rsidRDefault="00E25BFF" w:rsidP="00E25BFF">
      <w:pPr>
        <w:spacing w:line="247" w:lineRule="exact"/>
        <w:rPr>
          <w:rFonts w:ascii="Times New Roman" w:hAnsi="Times New Roman"/>
        </w:rPr>
      </w:pPr>
    </w:p>
    <w:p w14:paraId="761CB477" w14:textId="77777777" w:rsidR="00E25BFF" w:rsidRDefault="00E25BFF" w:rsidP="00FF7B03">
      <w:pPr>
        <w:pStyle w:val="Heading3"/>
        <w:rPr>
          <w:rFonts w:eastAsia="Arial"/>
        </w:rPr>
      </w:pPr>
      <w:r>
        <w:rPr>
          <w:rFonts w:eastAsia="Arial"/>
        </w:rPr>
        <w:t>The case studies listed below are not an exhaustive list. Commissioners and providers can review these case studies, tailor them to their local area as required, and / or decided on other support arrangements that might be appropriate.</w:t>
      </w:r>
    </w:p>
    <w:p w14:paraId="46442880" w14:textId="77777777" w:rsidR="00E25BFF" w:rsidRDefault="00E25BFF" w:rsidP="00E25BFF">
      <w:pPr>
        <w:spacing w:line="278" w:lineRule="exact"/>
        <w:rPr>
          <w:rFonts w:ascii="Times New Roman" w:hAnsi="Times New Roman"/>
        </w:rPr>
      </w:pPr>
    </w:p>
    <w:p w14:paraId="3FD2864D" w14:textId="77777777" w:rsidR="00E25BFF" w:rsidRPr="00FF7B03" w:rsidRDefault="000E7846" w:rsidP="005A7DDA">
      <w:pPr>
        <w:pStyle w:val="ListParagraph"/>
        <w:numPr>
          <w:ilvl w:val="0"/>
          <w:numId w:val="117"/>
        </w:numPr>
        <w:tabs>
          <w:tab w:val="left" w:pos="720"/>
        </w:tabs>
        <w:spacing w:line="0" w:lineRule="atLeast"/>
        <w:rPr>
          <w:rFonts w:eastAsia="Arial"/>
          <w:color w:val="0000FF"/>
        </w:rPr>
      </w:pPr>
      <w:hyperlink r:id="rId147" w:history="1">
        <w:r w:rsidR="00E25BFF" w:rsidRPr="00FF7B03">
          <w:rPr>
            <w:rFonts w:eastAsia="Arial"/>
            <w:color w:val="0000FF"/>
            <w:u w:val="single"/>
          </w:rPr>
          <w:t>GP Champions for youth health project</w:t>
        </w:r>
        <w:r w:rsidR="00E25BFF" w:rsidRPr="00FF7B03">
          <w:rPr>
            <w:rFonts w:eastAsia="Arial"/>
            <w:color w:val="0000FF"/>
          </w:rPr>
          <w:t xml:space="preserve"> </w:t>
        </w:r>
      </w:hyperlink>
      <w:r w:rsidR="00E25BFF" w:rsidRPr="00FF7B03">
        <w:rPr>
          <w:rFonts w:eastAsia="Arial"/>
          <w:color w:val="000000"/>
        </w:rPr>
        <w:t>-</w:t>
      </w:r>
      <w:r w:rsidR="00E25BFF" w:rsidRPr="00FF7B03">
        <w:rPr>
          <w:rFonts w:eastAsia="Arial"/>
          <w:color w:val="0000FF"/>
        </w:rPr>
        <w:t xml:space="preserve"> </w:t>
      </w:r>
      <w:r w:rsidR="00E25BFF" w:rsidRPr="00FF7B03">
        <w:rPr>
          <w:rFonts w:eastAsia="Arial"/>
          <w:color w:val="000000"/>
        </w:rPr>
        <w:t>funded by the Department of Health</w:t>
      </w:r>
    </w:p>
    <w:p w14:paraId="0A76FC9C" w14:textId="77777777" w:rsidR="00E25BFF" w:rsidRPr="00FF7B03" w:rsidRDefault="00E25BFF" w:rsidP="005A7DDA">
      <w:pPr>
        <w:pStyle w:val="ListParagraph"/>
        <w:numPr>
          <w:ilvl w:val="0"/>
          <w:numId w:val="117"/>
        </w:numPr>
        <w:tabs>
          <w:tab w:val="left" w:pos="720"/>
        </w:tabs>
        <w:spacing w:line="237" w:lineRule="auto"/>
        <w:rPr>
          <w:rFonts w:eastAsia="Arial"/>
        </w:rPr>
      </w:pPr>
      <w:r w:rsidRPr="00FF7B03">
        <w:rPr>
          <w:rFonts w:eastAsia="Arial"/>
        </w:rPr>
        <w:t xml:space="preserve">Promotion of online support tools for young people e.g. </w:t>
      </w:r>
      <w:hyperlink r:id="rId148" w:history="1">
        <w:r w:rsidRPr="00FF7B03">
          <w:rPr>
            <w:rFonts w:eastAsia="Arial"/>
            <w:color w:val="0000FF"/>
            <w:u w:val="single"/>
          </w:rPr>
          <w:t>NHS Go</w:t>
        </w:r>
        <w:r w:rsidRPr="00FF7B03">
          <w:rPr>
            <w:rFonts w:eastAsia="Arial"/>
            <w:u w:val="single"/>
          </w:rPr>
          <w:t xml:space="preserve"> </w:t>
        </w:r>
      </w:hyperlink>
      <w:r w:rsidRPr="00FF7B03">
        <w:rPr>
          <w:rFonts w:eastAsia="Arial"/>
        </w:rPr>
        <w:t>app</w:t>
      </w:r>
    </w:p>
    <w:p w14:paraId="11C5AED6" w14:textId="77777777" w:rsidR="00E25BFF" w:rsidRDefault="00E25BFF" w:rsidP="00FF7B03">
      <w:pPr>
        <w:spacing w:line="27" w:lineRule="exact"/>
        <w:rPr>
          <w:rFonts w:eastAsia="Arial"/>
        </w:rPr>
      </w:pPr>
    </w:p>
    <w:p w14:paraId="67D10A20" w14:textId="77777777" w:rsidR="00E25BFF" w:rsidRPr="00FF7B03" w:rsidRDefault="00E25BFF" w:rsidP="005A7DDA">
      <w:pPr>
        <w:pStyle w:val="ListParagraph"/>
        <w:numPr>
          <w:ilvl w:val="0"/>
          <w:numId w:val="117"/>
        </w:numPr>
        <w:tabs>
          <w:tab w:val="left" w:pos="720"/>
        </w:tabs>
        <w:spacing w:line="231" w:lineRule="auto"/>
        <w:ind w:right="240"/>
        <w:rPr>
          <w:rFonts w:eastAsia="Arial"/>
          <w:color w:val="0000FF"/>
        </w:rPr>
      </w:pPr>
      <w:r w:rsidRPr="00FF7B03">
        <w:rPr>
          <w:rFonts w:eastAsia="Arial"/>
        </w:rPr>
        <w:t>Using technology to reduce administration e.g. text message results service, online administration e.g. updating address (</w:t>
      </w:r>
      <w:hyperlink r:id="rId149" w:history="1">
        <w:r w:rsidRPr="00FF7B03">
          <w:rPr>
            <w:rFonts w:eastAsia="Arial"/>
            <w:color w:val="0000FF"/>
            <w:u w:val="single"/>
          </w:rPr>
          <w:t>University Health Centre,</w:t>
        </w:r>
      </w:hyperlink>
      <w:r w:rsidRPr="00FF7B03">
        <w:rPr>
          <w:rFonts w:eastAsia="Arial"/>
        </w:rPr>
        <w:t xml:space="preserve"> </w:t>
      </w:r>
      <w:hyperlink r:id="rId150" w:history="1">
        <w:r w:rsidRPr="00FF7B03">
          <w:rPr>
            <w:rFonts w:eastAsia="Arial"/>
            <w:color w:val="0000FF"/>
            <w:u w:val="single"/>
          </w:rPr>
          <w:t>Sheffield</w:t>
        </w:r>
      </w:hyperlink>
      <w:r w:rsidRPr="00FF7B03">
        <w:rPr>
          <w:rFonts w:eastAsia="Arial"/>
          <w:color w:val="000000"/>
        </w:rPr>
        <w:t>)</w:t>
      </w:r>
    </w:p>
    <w:p w14:paraId="597E6B47" w14:textId="77777777" w:rsidR="00E25BFF" w:rsidRDefault="00E25BFF" w:rsidP="00FF7B03">
      <w:pPr>
        <w:spacing w:line="3" w:lineRule="exact"/>
        <w:rPr>
          <w:rFonts w:eastAsia="Arial"/>
          <w:color w:val="0000FF"/>
        </w:rPr>
      </w:pPr>
    </w:p>
    <w:p w14:paraId="61E67415" w14:textId="77777777" w:rsidR="00E25BFF" w:rsidRPr="00FF7B03" w:rsidRDefault="00E25BFF" w:rsidP="005A7DDA">
      <w:pPr>
        <w:pStyle w:val="ListParagraph"/>
        <w:numPr>
          <w:ilvl w:val="0"/>
          <w:numId w:val="117"/>
        </w:numPr>
        <w:tabs>
          <w:tab w:val="left" w:pos="720"/>
        </w:tabs>
        <w:spacing w:line="239" w:lineRule="auto"/>
        <w:rPr>
          <w:rFonts w:ascii="Symbol" w:eastAsia="Symbol" w:hAnsi="Symbol"/>
        </w:rPr>
      </w:pPr>
      <w:r w:rsidRPr="00FF7B03">
        <w:rPr>
          <w:rFonts w:eastAsia="Arial"/>
        </w:rPr>
        <w:t>Local QOF or Local Enhanced Service for specific needs of the population</w:t>
      </w:r>
    </w:p>
    <w:p w14:paraId="61003C0B" w14:textId="77777777" w:rsidR="00E25BFF" w:rsidRPr="00FF7B03" w:rsidRDefault="00E25BFF" w:rsidP="005A7DDA">
      <w:pPr>
        <w:pStyle w:val="ListParagraph"/>
        <w:numPr>
          <w:ilvl w:val="0"/>
          <w:numId w:val="117"/>
        </w:numPr>
        <w:tabs>
          <w:tab w:val="left" w:pos="720"/>
        </w:tabs>
        <w:spacing w:line="0" w:lineRule="atLeast"/>
        <w:rPr>
          <w:rFonts w:eastAsia="Arial"/>
        </w:rPr>
      </w:pPr>
      <w:r w:rsidRPr="00FF7B03">
        <w:rPr>
          <w:rFonts w:eastAsia="Arial"/>
        </w:rPr>
        <w:t xml:space="preserve">Skype consultations e.g. </w:t>
      </w:r>
      <w:hyperlink r:id="rId151" w:history="1">
        <w:r w:rsidRPr="00FF7B03">
          <w:rPr>
            <w:rFonts w:eastAsia="Arial"/>
            <w:color w:val="0000FF"/>
            <w:u w:val="single"/>
          </w:rPr>
          <w:t>Newham’s young people with diabetes project</w:t>
        </w:r>
      </w:hyperlink>
    </w:p>
    <w:p w14:paraId="610C59D8" w14:textId="77777777" w:rsidR="00E25BFF" w:rsidRDefault="00E25BFF" w:rsidP="00FF7B03">
      <w:pPr>
        <w:spacing w:line="24" w:lineRule="exact"/>
        <w:rPr>
          <w:rFonts w:eastAsia="Arial"/>
        </w:rPr>
      </w:pPr>
    </w:p>
    <w:p w14:paraId="31DFAA3B" w14:textId="77777777" w:rsidR="00E25BFF" w:rsidRPr="00FF7B03" w:rsidRDefault="00E25BFF" w:rsidP="005A7DDA">
      <w:pPr>
        <w:pStyle w:val="ListParagraph"/>
        <w:numPr>
          <w:ilvl w:val="0"/>
          <w:numId w:val="117"/>
        </w:numPr>
        <w:tabs>
          <w:tab w:val="left" w:pos="720"/>
        </w:tabs>
        <w:spacing w:line="231" w:lineRule="auto"/>
        <w:ind w:right="60"/>
        <w:rPr>
          <w:rFonts w:ascii="Symbol" w:eastAsia="Symbol" w:hAnsi="Symbol"/>
        </w:rPr>
      </w:pPr>
      <w:r w:rsidRPr="00FF7B03">
        <w:rPr>
          <w:rFonts w:eastAsia="Arial"/>
        </w:rPr>
        <w:t>Shared care between ‘home’ and university-based health care services can help support adherence of and management of long term conditions for young people.</w:t>
      </w:r>
    </w:p>
    <w:p w14:paraId="6C926F73" w14:textId="77777777" w:rsidR="00E25BFF" w:rsidRDefault="00E25BFF" w:rsidP="00E25BFF">
      <w:pPr>
        <w:spacing w:line="279" w:lineRule="exact"/>
        <w:rPr>
          <w:rFonts w:eastAsia="Arial"/>
        </w:rPr>
      </w:pPr>
    </w:p>
    <w:p w14:paraId="48CA7CB2" w14:textId="77777777" w:rsidR="00E25BFF" w:rsidRDefault="00E25BFF" w:rsidP="001C7059">
      <w:pPr>
        <w:pStyle w:val="Heading3"/>
        <w:rPr>
          <w:rFonts w:eastAsia="Arial"/>
        </w:rPr>
      </w:pPr>
      <w:r>
        <w:rPr>
          <w:rFonts w:eastAsia="Arial"/>
        </w:rPr>
        <w:t>6.4  Patient Group Observations</w:t>
      </w:r>
    </w:p>
    <w:p w14:paraId="1B1EA47D" w14:textId="77777777" w:rsidR="00E25BFF" w:rsidRDefault="00E25BFF" w:rsidP="00E25BFF">
      <w:pPr>
        <w:spacing w:line="200" w:lineRule="exact"/>
        <w:rPr>
          <w:rFonts w:eastAsia="Arial"/>
        </w:rPr>
      </w:pPr>
    </w:p>
    <w:p w14:paraId="01991180" w14:textId="77777777" w:rsidR="00E25BFF" w:rsidRDefault="00E25BFF" w:rsidP="00E25BFF">
      <w:pPr>
        <w:spacing w:line="264" w:lineRule="exact"/>
        <w:rPr>
          <w:rFonts w:eastAsia="Arial"/>
        </w:rPr>
      </w:pPr>
    </w:p>
    <w:p w14:paraId="684116EA" w14:textId="77777777" w:rsidR="00E25BFF" w:rsidRDefault="00E25BFF" w:rsidP="00836ECF">
      <w:pPr>
        <w:numPr>
          <w:ilvl w:val="0"/>
          <w:numId w:val="22"/>
        </w:numPr>
        <w:tabs>
          <w:tab w:val="left" w:pos="720"/>
        </w:tabs>
        <w:spacing w:line="242" w:lineRule="auto"/>
        <w:ind w:left="720" w:right="60" w:hanging="361"/>
        <w:rPr>
          <w:rFonts w:ascii="Symbol" w:eastAsia="Symbol" w:hAnsi="Symbol"/>
          <w:sz w:val="23"/>
        </w:rPr>
      </w:pPr>
      <w:r>
        <w:rPr>
          <w:rFonts w:eastAsia="Arial"/>
          <w:sz w:val="23"/>
        </w:rPr>
        <w:t>There is a risk that primary care practitioners expect young people to behave in a particular way. It is important that assumptions aren’t made about young people based on their age or that all university students behave the same way</w:t>
      </w:r>
    </w:p>
    <w:p w14:paraId="241910C9" w14:textId="77777777" w:rsidR="00E25BFF" w:rsidRDefault="00E25BFF" w:rsidP="00E25BFF">
      <w:pPr>
        <w:spacing w:line="27" w:lineRule="exact"/>
        <w:rPr>
          <w:rFonts w:ascii="Symbol" w:eastAsia="Symbol" w:hAnsi="Symbol"/>
          <w:sz w:val="23"/>
        </w:rPr>
      </w:pPr>
    </w:p>
    <w:p w14:paraId="70A5C509" w14:textId="77777777" w:rsidR="00E25BFF" w:rsidRDefault="00E25BFF" w:rsidP="00836ECF">
      <w:pPr>
        <w:numPr>
          <w:ilvl w:val="0"/>
          <w:numId w:val="22"/>
        </w:numPr>
        <w:tabs>
          <w:tab w:val="left" w:pos="720"/>
        </w:tabs>
        <w:spacing w:line="235" w:lineRule="auto"/>
        <w:ind w:left="720" w:right="140" w:hanging="361"/>
        <w:rPr>
          <w:rFonts w:ascii="Symbol" w:eastAsia="Symbol" w:hAnsi="Symbol"/>
        </w:rPr>
      </w:pPr>
      <w:r>
        <w:rPr>
          <w:rFonts w:eastAsia="Arial"/>
        </w:rPr>
        <w:t>The issue that a young person may present with may not be the real reason they have attended. Young people need to feel confident to trust a clinician. Clinicians need to be skilled in recognising where there may be an underlying issue and give the young person the confidence to reveal it during a consultation</w:t>
      </w:r>
    </w:p>
    <w:p w14:paraId="2284D831" w14:textId="77777777" w:rsidR="00E25BFF" w:rsidRDefault="00E25BFF" w:rsidP="00E25BFF">
      <w:pPr>
        <w:spacing w:line="200" w:lineRule="exact"/>
        <w:rPr>
          <w:rFonts w:eastAsia="Arial"/>
        </w:rPr>
      </w:pPr>
    </w:p>
    <w:p w14:paraId="1AA72B6D" w14:textId="77777777" w:rsidR="00E25BFF" w:rsidRDefault="00E25BFF" w:rsidP="00836ECF">
      <w:pPr>
        <w:numPr>
          <w:ilvl w:val="0"/>
          <w:numId w:val="23"/>
        </w:numPr>
        <w:tabs>
          <w:tab w:val="left" w:pos="721"/>
        </w:tabs>
        <w:spacing w:line="235" w:lineRule="auto"/>
        <w:ind w:left="721" w:right="40" w:hanging="361"/>
        <w:rPr>
          <w:rFonts w:ascii="Symbol" w:eastAsia="Symbol" w:hAnsi="Symbol"/>
        </w:rPr>
      </w:pPr>
      <w:r>
        <w:rPr>
          <w:rFonts w:eastAsia="Arial"/>
        </w:rPr>
        <w:t>Young people are undergoing a significant transition when they start university and having a trusted primary care practitioner to talk to can be extremely significant. They need to have information about the range of health services which exist so that they can be confident to seek help from primary care, pharmacy, A&amp;E etc.</w:t>
      </w:r>
    </w:p>
    <w:p w14:paraId="1A39C72C" w14:textId="77777777" w:rsidR="00E25BFF" w:rsidRDefault="00E25BFF" w:rsidP="00E25BFF">
      <w:pPr>
        <w:spacing w:line="27" w:lineRule="exact"/>
        <w:rPr>
          <w:rFonts w:ascii="Symbol" w:eastAsia="Symbol" w:hAnsi="Symbol"/>
        </w:rPr>
      </w:pPr>
    </w:p>
    <w:p w14:paraId="359A9CE8" w14:textId="77777777" w:rsidR="00E25BFF" w:rsidRDefault="00E25BFF" w:rsidP="00836ECF">
      <w:pPr>
        <w:numPr>
          <w:ilvl w:val="0"/>
          <w:numId w:val="23"/>
        </w:numPr>
        <w:tabs>
          <w:tab w:val="left" w:pos="721"/>
        </w:tabs>
        <w:spacing w:line="236" w:lineRule="auto"/>
        <w:ind w:left="721" w:right="220" w:hanging="361"/>
        <w:rPr>
          <w:rFonts w:ascii="Symbol" w:eastAsia="Symbol" w:hAnsi="Symbol"/>
        </w:rPr>
      </w:pPr>
      <w:r>
        <w:rPr>
          <w:rFonts w:eastAsia="Arial"/>
        </w:rPr>
        <w:t>Young people may wish to attend services with their peers. Practice staff should not be surprised if students attend in a group to support each other using health services, in the same way that younger children attend with a parent or carer. If a peer wishes to sit in on a consultation clinicians should ensure that part of the consultation is with the patient alone – this would also be recommended for young people attending consultations with parents or carers</w:t>
      </w:r>
    </w:p>
    <w:p w14:paraId="0782336C" w14:textId="77777777" w:rsidR="00E25BFF" w:rsidRDefault="00E25BFF" w:rsidP="00E25BFF">
      <w:pPr>
        <w:spacing w:line="29" w:lineRule="exact"/>
        <w:rPr>
          <w:rFonts w:ascii="Symbol" w:eastAsia="Symbol" w:hAnsi="Symbol"/>
        </w:rPr>
      </w:pPr>
    </w:p>
    <w:p w14:paraId="28FB601F" w14:textId="77777777" w:rsidR="00E25BFF" w:rsidRDefault="00E25BFF" w:rsidP="00836ECF">
      <w:pPr>
        <w:numPr>
          <w:ilvl w:val="0"/>
          <w:numId w:val="23"/>
        </w:numPr>
        <w:tabs>
          <w:tab w:val="left" w:pos="721"/>
        </w:tabs>
        <w:spacing w:line="231" w:lineRule="auto"/>
        <w:ind w:left="721" w:right="200" w:hanging="361"/>
        <w:rPr>
          <w:rFonts w:ascii="Symbol" w:eastAsia="Symbol" w:hAnsi="Symbol"/>
        </w:rPr>
      </w:pPr>
      <w:r>
        <w:rPr>
          <w:rFonts w:eastAsia="Arial"/>
        </w:rPr>
        <w:t>There is a unique opportunity to increase university students’ awareness of how to use health services appropriately which has long term benefits for the health service</w:t>
      </w:r>
    </w:p>
    <w:p w14:paraId="4EA34D58" w14:textId="77777777" w:rsidR="00E25BFF" w:rsidRDefault="00E25BFF" w:rsidP="00E25BFF">
      <w:pPr>
        <w:spacing w:line="30" w:lineRule="exact"/>
        <w:rPr>
          <w:rFonts w:ascii="Symbol" w:eastAsia="Symbol" w:hAnsi="Symbol"/>
        </w:rPr>
      </w:pPr>
    </w:p>
    <w:p w14:paraId="69DAF8C4" w14:textId="77777777" w:rsidR="00E25BFF" w:rsidRDefault="00E25BFF" w:rsidP="00836ECF">
      <w:pPr>
        <w:numPr>
          <w:ilvl w:val="0"/>
          <w:numId w:val="23"/>
        </w:numPr>
        <w:tabs>
          <w:tab w:val="left" w:pos="721"/>
        </w:tabs>
        <w:spacing w:line="233" w:lineRule="auto"/>
        <w:ind w:left="721" w:right="300" w:hanging="361"/>
        <w:rPr>
          <w:rFonts w:ascii="Symbol" w:eastAsia="Symbol" w:hAnsi="Symbol"/>
        </w:rPr>
      </w:pPr>
      <w:r>
        <w:rPr>
          <w:rFonts w:eastAsia="Arial"/>
        </w:rPr>
        <w:t>Young people with long term conditions need to access repeat prescriptions quickly when they move to university to avoid gaps in medication. Foreign students don’t always recognise drug brand names and often do not understand how to access medication.</w:t>
      </w:r>
    </w:p>
    <w:p w14:paraId="10866234" w14:textId="77777777" w:rsidR="00E25BFF" w:rsidRDefault="00E25BFF" w:rsidP="00E25BFF">
      <w:pPr>
        <w:spacing w:line="275" w:lineRule="exact"/>
        <w:rPr>
          <w:rFonts w:ascii="Symbol" w:eastAsia="Symbol" w:hAnsi="Symbol"/>
        </w:rPr>
      </w:pPr>
    </w:p>
    <w:p w14:paraId="0E72270E" w14:textId="77777777" w:rsidR="00E25BFF" w:rsidRDefault="00E25BFF" w:rsidP="00E25BFF">
      <w:pPr>
        <w:spacing w:line="0" w:lineRule="atLeast"/>
        <w:ind w:left="721"/>
        <w:rPr>
          <w:rFonts w:eastAsia="Arial"/>
          <w:i/>
        </w:rPr>
      </w:pPr>
      <w:r>
        <w:rPr>
          <w:rFonts w:eastAsia="Arial"/>
          <w:i/>
        </w:rPr>
        <w:t>Provided by Emma Rigby, Association for Young People’s Health</w:t>
      </w:r>
    </w:p>
    <w:p w14:paraId="4C510679" w14:textId="77777777" w:rsidR="00E25BFF" w:rsidRDefault="00E25BFF" w:rsidP="00E25BFF">
      <w:pPr>
        <w:spacing w:line="200" w:lineRule="exact"/>
        <w:rPr>
          <w:rFonts w:ascii="Times New Roman" w:hAnsi="Times New Roman"/>
        </w:rPr>
      </w:pPr>
    </w:p>
    <w:p w14:paraId="5B72273F" w14:textId="77777777" w:rsidR="00E25BFF" w:rsidRDefault="00E25BFF" w:rsidP="00E25BFF">
      <w:pPr>
        <w:spacing w:line="369" w:lineRule="exact"/>
        <w:rPr>
          <w:rFonts w:ascii="Times New Roman" w:hAnsi="Times New Roman"/>
        </w:rPr>
      </w:pPr>
    </w:p>
    <w:p w14:paraId="45588D2E" w14:textId="77777777" w:rsidR="00E25BFF" w:rsidRDefault="00E25BFF" w:rsidP="00E25BFF">
      <w:pPr>
        <w:pStyle w:val="Heading2"/>
        <w:rPr>
          <w:rFonts w:eastAsia="Arial"/>
        </w:rPr>
      </w:pPr>
      <w:bookmarkStart w:id="1697" w:name="_Toc498495515"/>
      <w:r>
        <w:rPr>
          <w:rFonts w:eastAsia="Arial"/>
        </w:rPr>
        <w:t>Practices with a high number of patients who do not speak English</w:t>
      </w:r>
      <w:bookmarkEnd w:id="1697"/>
    </w:p>
    <w:p w14:paraId="712CE9C3" w14:textId="77777777" w:rsidR="00E25BFF" w:rsidRDefault="00E25BFF" w:rsidP="00E25BFF">
      <w:pPr>
        <w:spacing w:line="288" w:lineRule="exact"/>
        <w:rPr>
          <w:rFonts w:ascii="Times New Roman" w:hAnsi="Times New Roman"/>
        </w:rPr>
      </w:pPr>
    </w:p>
    <w:p w14:paraId="6310C5B0" w14:textId="77777777" w:rsidR="00E25BFF" w:rsidRDefault="00E25BFF" w:rsidP="00E25BFF">
      <w:pPr>
        <w:spacing w:line="235" w:lineRule="auto"/>
        <w:ind w:left="1" w:right="520"/>
        <w:rPr>
          <w:rFonts w:eastAsia="Arial"/>
        </w:rPr>
      </w:pPr>
      <w:r>
        <w:rPr>
          <w:rFonts w:eastAsia="Arial"/>
        </w:rPr>
        <w:t>Some practices have a high ratio of patients who do not speak English, including practices designed to address the needs of migrants.</w:t>
      </w:r>
    </w:p>
    <w:p w14:paraId="157CE7DA" w14:textId="77777777" w:rsidR="00E25BFF" w:rsidRDefault="00E25BFF" w:rsidP="00E25BFF">
      <w:pPr>
        <w:spacing w:line="288" w:lineRule="exact"/>
        <w:rPr>
          <w:rFonts w:ascii="Times New Roman" w:hAnsi="Times New Roman"/>
        </w:rPr>
      </w:pPr>
    </w:p>
    <w:p w14:paraId="73D753C9" w14:textId="77777777" w:rsidR="00E25BFF" w:rsidRDefault="00E25BFF" w:rsidP="00E25BFF">
      <w:pPr>
        <w:spacing w:line="238" w:lineRule="auto"/>
        <w:ind w:left="1" w:right="100"/>
        <w:rPr>
          <w:rFonts w:eastAsia="Arial"/>
        </w:rPr>
      </w:pPr>
      <w:r>
        <w:rPr>
          <w:rFonts w:eastAsia="Arial"/>
          <w:u w:val="single"/>
        </w:rPr>
        <w:t>Asylum Seekers</w:t>
      </w:r>
      <w:r>
        <w:rPr>
          <w:rFonts w:eastAsia="Arial"/>
        </w:rPr>
        <w:t>: The working group had initially intended to include asylum seekers as part of the non-English speaking atypical group. However it became clear that the needs of asylum seekers may go beyond”primary“ordinarycare.There are often significant levels of Post-Traumatic Stress Disorder (a result of trafficking, torture, violence, rape (for women, children and men) and illness (e.g. HIV, Hepatitis B / C, TB)).</w:t>
      </w:r>
    </w:p>
    <w:p w14:paraId="26B62BB3" w14:textId="77777777" w:rsidR="00E25BFF" w:rsidRDefault="00E25BFF" w:rsidP="00E25BFF">
      <w:pPr>
        <w:spacing w:line="291" w:lineRule="exact"/>
        <w:rPr>
          <w:rFonts w:ascii="Times New Roman" w:hAnsi="Times New Roman"/>
        </w:rPr>
      </w:pPr>
    </w:p>
    <w:p w14:paraId="35B7383C" w14:textId="77777777" w:rsidR="00E25BFF" w:rsidRDefault="00E25BFF" w:rsidP="00E25BFF">
      <w:pPr>
        <w:spacing w:line="238" w:lineRule="auto"/>
        <w:ind w:left="1"/>
        <w:rPr>
          <w:rFonts w:eastAsia="Arial"/>
        </w:rPr>
      </w:pPr>
      <w:r>
        <w:rPr>
          <w:rFonts w:eastAsia="Arial"/>
          <w:u w:val="single"/>
        </w:rPr>
        <w:t>Note</w:t>
      </w:r>
      <w:r>
        <w:rPr>
          <w:rFonts w:eastAsia="Arial"/>
        </w:rPr>
        <w:t xml:space="preserve">: A separate work stream to this Atypical Population work stream is ongoing in NHS England’s Primary Care Commissioning Team on translation and interpreting services. Further information can be found </w:t>
      </w:r>
      <w:hyperlink r:id="rId152" w:history="1">
        <w:r>
          <w:rPr>
            <w:rFonts w:eastAsia="Arial"/>
            <w:color w:val="0000FF"/>
            <w:u w:val="single"/>
          </w:rPr>
          <w:t>here</w:t>
        </w:r>
        <w:r>
          <w:rPr>
            <w:rFonts w:eastAsia="Arial"/>
            <w:u w:val="single"/>
          </w:rPr>
          <w:t xml:space="preserve">. </w:t>
        </w:r>
      </w:hyperlink>
      <w:r>
        <w:rPr>
          <w:rFonts w:eastAsia="Arial"/>
        </w:rPr>
        <w:t>Another separate work stream to the Primary Care Team’s translation and interpreting project is ongoing between the Race Equality Foundation and NHS England’s Equalities Team to scope the viability of a community languages information standard.</w:t>
      </w:r>
    </w:p>
    <w:p w14:paraId="50F53734" w14:textId="77777777" w:rsidR="00E25BFF" w:rsidRDefault="00E25BFF" w:rsidP="00E25BFF">
      <w:pPr>
        <w:spacing w:line="280" w:lineRule="exact"/>
        <w:rPr>
          <w:rFonts w:ascii="Times New Roman" w:hAnsi="Times New Roman"/>
        </w:rPr>
      </w:pPr>
    </w:p>
    <w:p w14:paraId="6A53A4D3" w14:textId="77777777" w:rsidR="00E25BFF" w:rsidRDefault="00E25BFF" w:rsidP="001C7059">
      <w:pPr>
        <w:pStyle w:val="Heading3"/>
        <w:rPr>
          <w:rFonts w:eastAsia="Arial"/>
        </w:rPr>
      </w:pPr>
      <w:r>
        <w:rPr>
          <w:rFonts w:eastAsia="Arial"/>
        </w:rPr>
        <w:t>7.1  Description of the Issues</w:t>
      </w:r>
    </w:p>
    <w:p w14:paraId="25E711D0" w14:textId="77777777" w:rsidR="00E25BFF" w:rsidRDefault="00E25BFF" w:rsidP="00E25BFF">
      <w:pPr>
        <w:spacing w:line="200" w:lineRule="exact"/>
        <w:rPr>
          <w:rFonts w:ascii="Times New Roman" w:hAnsi="Times New Roman"/>
        </w:rPr>
      </w:pPr>
    </w:p>
    <w:p w14:paraId="2CA32644" w14:textId="77777777" w:rsidR="00E25BFF" w:rsidRDefault="00E25BFF" w:rsidP="00E25BFF">
      <w:pPr>
        <w:spacing w:line="264" w:lineRule="exact"/>
        <w:rPr>
          <w:rFonts w:ascii="Times New Roman" w:hAnsi="Times New Roman"/>
        </w:rPr>
      </w:pPr>
    </w:p>
    <w:p w14:paraId="09FFC00B" w14:textId="77777777" w:rsidR="00E25BFF" w:rsidRDefault="00E25BFF" w:rsidP="00836ECF">
      <w:pPr>
        <w:numPr>
          <w:ilvl w:val="0"/>
          <w:numId w:val="24"/>
        </w:numPr>
        <w:tabs>
          <w:tab w:val="left" w:pos="721"/>
        </w:tabs>
        <w:spacing w:line="231" w:lineRule="auto"/>
        <w:ind w:left="721" w:right="440" w:hanging="361"/>
        <w:rPr>
          <w:rFonts w:ascii="Symbol" w:eastAsia="Symbol" w:hAnsi="Symbol"/>
        </w:rPr>
      </w:pPr>
      <w:r>
        <w:rPr>
          <w:rFonts w:eastAsia="Arial"/>
        </w:rPr>
        <w:t>The need for an interpreter means that all conversations take longer and increases the cost of each patient contact (in relation to time taken and the cost of interpreting)</w:t>
      </w:r>
    </w:p>
    <w:p w14:paraId="33772875" w14:textId="77777777" w:rsidR="00E25BFF" w:rsidRDefault="00E25BFF" w:rsidP="00E25BFF">
      <w:pPr>
        <w:spacing w:line="200" w:lineRule="exact"/>
        <w:rPr>
          <w:rFonts w:ascii="Times New Roman" w:hAnsi="Times New Roman"/>
        </w:rPr>
      </w:pPr>
    </w:p>
    <w:p w14:paraId="2ACA47CF" w14:textId="77777777" w:rsidR="00E25BFF" w:rsidRDefault="00E25BFF" w:rsidP="00836ECF">
      <w:pPr>
        <w:numPr>
          <w:ilvl w:val="0"/>
          <w:numId w:val="25"/>
        </w:numPr>
        <w:tabs>
          <w:tab w:val="left" w:pos="720"/>
        </w:tabs>
        <w:spacing w:line="227" w:lineRule="auto"/>
        <w:ind w:left="720" w:right="60" w:hanging="361"/>
        <w:rPr>
          <w:rFonts w:ascii="Symbol" w:eastAsia="Symbol" w:hAnsi="Symbol"/>
        </w:rPr>
      </w:pPr>
      <w:bookmarkStart w:id="1698" w:name="page15"/>
      <w:bookmarkEnd w:id="1698"/>
      <w:r>
        <w:rPr>
          <w:rFonts w:eastAsia="Arial"/>
        </w:rPr>
        <w:t>If interpreting is not available, miscommunication increases the risk of patients not attending follow up appointments and delayed access to care</w:t>
      </w:r>
    </w:p>
    <w:p w14:paraId="2D31883F" w14:textId="77777777" w:rsidR="00E25BFF" w:rsidRDefault="00E25BFF" w:rsidP="00E25BFF">
      <w:pPr>
        <w:spacing w:line="29" w:lineRule="exact"/>
        <w:rPr>
          <w:rFonts w:ascii="Symbol" w:eastAsia="Symbol" w:hAnsi="Symbol"/>
        </w:rPr>
      </w:pPr>
    </w:p>
    <w:p w14:paraId="6044ADA1" w14:textId="77777777" w:rsidR="00E25BFF" w:rsidRDefault="00E25BFF" w:rsidP="00836ECF">
      <w:pPr>
        <w:numPr>
          <w:ilvl w:val="0"/>
          <w:numId w:val="25"/>
        </w:numPr>
        <w:tabs>
          <w:tab w:val="left" w:pos="720"/>
        </w:tabs>
        <w:spacing w:line="231" w:lineRule="auto"/>
        <w:ind w:left="720" w:right="160" w:hanging="361"/>
        <w:rPr>
          <w:rFonts w:ascii="Symbol" w:eastAsia="Symbol" w:hAnsi="Symbol"/>
        </w:rPr>
      </w:pPr>
      <w:r>
        <w:rPr>
          <w:rFonts w:eastAsia="Arial"/>
        </w:rPr>
        <w:t>Surrounding support services (e.g. IAPT, obesity management) and literature are usually in English, thus necessitating the development of additional in-house support</w:t>
      </w:r>
    </w:p>
    <w:p w14:paraId="45C5E409" w14:textId="77777777" w:rsidR="00E25BFF" w:rsidRDefault="00E25BFF" w:rsidP="00E25BFF">
      <w:pPr>
        <w:spacing w:line="28" w:lineRule="exact"/>
        <w:rPr>
          <w:rFonts w:ascii="Symbol" w:eastAsia="Symbol" w:hAnsi="Symbol"/>
        </w:rPr>
      </w:pPr>
    </w:p>
    <w:p w14:paraId="53CA1259" w14:textId="77777777" w:rsidR="00E25BFF" w:rsidRDefault="00E25BFF" w:rsidP="00836ECF">
      <w:pPr>
        <w:numPr>
          <w:ilvl w:val="0"/>
          <w:numId w:val="25"/>
        </w:numPr>
        <w:tabs>
          <w:tab w:val="left" w:pos="720"/>
        </w:tabs>
        <w:spacing w:line="231" w:lineRule="auto"/>
        <w:ind w:left="720" w:right="320" w:hanging="361"/>
        <w:rPr>
          <w:rFonts w:ascii="Symbol" w:eastAsia="Symbol" w:hAnsi="Symbol"/>
        </w:rPr>
      </w:pPr>
      <w:r>
        <w:rPr>
          <w:rFonts w:eastAsia="Arial"/>
        </w:rPr>
        <w:t>Lack of literacy, both in English and for some groups their native language, removes the value of written material normally used to reinforce appropriate access (e.g. appointments) and health advice</w:t>
      </w:r>
    </w:p>
    <w:p w14:paraId="0A2EBB73" w14:textId="77777777" w:rsidR="00E25BFF" w:rsidRDefault="00E25BFF" w:rsidP="00E25BFF">
      <w:pPr>
        <w:spacing w:line="30" w:lineRule="exact"/>
        <w:rPr>
          <w:rFonts w:ascii="Symbol" w:eastAsia="Symbol" w:hAnsi="Symbol"/>
        </w:rPr>
      </w:pPr>
    </w:p>
    <w:p w14:paraId="3DD9D975" w14:textId="77777777" w:rsidR="00E25BFF" w:rsidRDefault="00E25BFF" w:rsidP="00836ECF">
      <w:pPr>
        <w:numPr>
          <w:ilvl w:val="0"/>
          <w:numId w:val="25"/>
        </w:numPr>
        <w:tabs>
          <w:tab w:val="left" w:pos="720"/>
        </w:tabs>
        <w:spacing w:line="237" w:lineRule="auto"/>
        <w:ind w:left="720" w:right="880" w:hanging="361"/>
        <w:jc w:val="both"/>
        <w:rPr>
          <w:rFonts w:ascii="Symbol" w:eastAsia="Symbol" w:hAnsi="Symbol"/>
          <w:sz w:val="23"/>
        </w:rPr>
      </w:pPr>
      <w:r>
        <w:rPr>
          <w:rFonts w:eastAsia="Arial"/>
          <w:sz w:val="23"/>
        </w:rPr>
        <w:t>In addition the lack of cultural understanding of the NHS requires extra support, signposting and often the recalibration of patient expectations</w:t>
      </w:r>
    </w:p>
    <w:p w14:paraId="69783D8F" w14:textId="77777777" w:rsidR="00E25BFF" w:rsidRDefault="00E25BFF" w:rsidP="00E25BFF">
      <w:pPr>
        <w:spacing w:line="29" w:lineRule="exact"/>
        <w:rPr>
          <w:rFonts w:ascii="Symbol" w:eastAsia="Symbol" w:hAnsi="Symbol"/>
          <w:sz w:val="23"/>
        </w:rPr>
      </w:pPr>
    </w:p>
    <w:p w14:paraId="44DE91E8" w14:textId="77777777" w:rsidR="00E25BFF" w:rsidRDefault="00E25BFF" w:rsidP="00836ECF">
      <w:pPr>
        <w:numPr>
          <w:ilvl w:val="0"/>
          <w:numId w:val="25"/>
        </w:numPr>
        <w:tabs>
          <w:tab w:val="left" w:pos="720"/>
        </w:tabs>
        <w:spacing w:line="231" w:lineRule="auto"/>
        <w:ind w:left="720" w:right="20" w:hanging="361"/>
        <w:rPr>
          <w:rFonts w:ascii="Symbol" w:eastAsia="Symbol" w:hAnsi="Symbol"/>
        </w:rPr>
      </w:pPr>
      <w:r>
        <w:rPr>
          <w:rFonts w:eastAsia="Arial"/>
        </w:rPr>
        <w:t>Some patients have a basic lack of health education - for instance no knowledge of terms that describes cholesterol or calories, or the importance of taking medication correctly.</w:t>
      </w:r>
    </w:p>
    <w:p w14:paraId="29904DE5" w14:textId="77777777" w:rsidR="00E25BFF" w:rsidRDefault="00E25BFF" w:rsidP="00E25BFF">
      <w:pPr>
        <w:spacing w:line="398" w:lineRule="exact"/>
        <w:rPr>
          <w:rFonts w:ascii="Times New Roman" w:hAnsi="Times New Roman"/>
        </w:rPr>
      </w:pPr>
    </w:p>
    <w:p w14:paraId="20091127" w14:textId="77777777" w:rsidR="00E25BFF" w:rsidRDefault="00E25BFF" w:rsidP="001C7059">
      <w:pPr>
        <w:pStyle w:val="Heading3"/>
        <w:rPr>
          <w:rFonts w:eastAsia="Arial"/>
        </w:rPr>
      </w:pPr>
      <w:r>
        <w:rPr>
          <w:rFonts w:eastAsia="Arial"/>
        </w:rPr>
        <w:t>7.2  Information/Data considerations</w:t>
      </w:r>
    </w:p>
    <w:p w14:paraId="16E3B92C" w14:textId="77777777" w:rsidR="00E25BFF" w:rsidRDefault="00E25BFF" w:rsidP="00E25BFF">
      <w:pPr>
        <w:spacing w:line="200" w:lineRule="exact"/>
        <w:rPr>
          <w:rFonts w:ascii="Times New Roman" w:hAnsi="Times New Roman"/>
        </w:rPr>
      </w:pPr>
    </w:p>
    <w:p w14:paraId="394382B5" w14:textId="77777777" w:rsidR="00E25BFF" w:rsidRDefault="00E25BFF" w:rsidP="00E25BFF">
      <w:pPr>
        <w:spacing w:line="249" w:lineRule="exact"/>
        <w:rPr>
          <w:rFonts w:ascii="Times New Roman" w:hAnsi="Times New Roman"/>
        </w:rPr>
      </w:pPr>
    </w:p>
    <w:p w14:paraId="6DFA3CA8" w14:textId="77777777" w:rsidR="00E25BFF" w:rsidRDefault="00E25BFF" w:rsidP="00E25BFF">
      <w:pPr>
        <w:spacing w:line="235" w:lineRule="auto"/>
        <w:ind w:right="620"/>
        <w:rPr>
          <w:rFonts w:eastAsia="Arial"/>
        </w:rPr>
      </w:pPr>
      <w:r>
        <w:rPr>
          <w:rFonts w:eastAsia="Arial"/>
        </w:rPr>
        <w:t>Here are some data sources or information that you may wish to consider when trying to define if a population is atypical:</w:t>
      </w:r>
    </w:p>
    <w:p w14:paraId="33F5F03E" w14:textId="77777777" w:rsidR="00E25BFF" w:rsidRDefault="00E25BFF" w:rsidP="00E25BFF">
      <w:pPr>
        <w:spacing w:line="276" w:lineRule="exact"/>
        <w:rPr>
          <w:rFonts w:ascii="Times New Roman" w:hAnsi="Times New Roman"/>
        </w:rPr>
      </w:pPr>
    </w:p>
    <w:p w14:paraId="7D0E540F" w14:textId="77777777" w:rsidR="00E25BFF" w:rsidRDefault="00E25BFF" w:rsidP="00836ECF">
      <w:pPr>
        <w:numPr>
          <w:ilvl w:val="0"/>
          <w:numId w:val="26"/>
        </w:numPr>
        <w:tabs>
          <w:tab w:val="left" w:pos="720"/>
        </w:tabs>
        <w:spacing w:line="0" w:lineRule="atLeast"/>
        <w:ind w:left="720" w:hanging="361"/>
        <w:rPr>
          <w:rFonts w:ascii="Symbol" w:eastAsia="Symbol" w:hAnsi="Symbol"/>
        </w:rPr>
      </w:pPr>
      <w:r>
        <w:rPr>
          <w:rFonts w:eastAsia="Arial"/>
        </w:rPr>
        <w:t>Evidence of languages spoken and percentage of list</w:t>
      </w:r>
    </w:p>
    <w:p w14:paraId="29BBC5FA" w14:textId="77777777" w:rsidR="00E25BFF" w:rsidRDefault="00E25BFF" w:rsidP="00E25BFF">
      <w:pPr>
        <w:spacing w:line="25" w:lineRule="exact"/>
        <w:rPr>
          <w:rFonts w:ascii="Symbol" w:eastAsia="Symbol" w:hAnsi="Symbol"/>
        </w:rPr>
      </w:pPr>
    </w:p>
    <w:p w14:paraId="23A6CB7C" w14:textId="77777777" w:rsidR="00E25BFF" w:rsidRDefault="00E25BFF" w:rsidP="00836ECF">
      <w:pPr>
        <w:numPr>
          <w:ilvl w:val="0"/>
          <w:numId w:val="26"/>
        </w:numPr>
        <w:tabs>
          <w:tab w:val="left" w:pos="720"/>
        </w:tabs>
        <w:spacing w:line="237" w:lineRule="auto"/>
        <w:ind w:left="720" w:right="380" w:hanging="361"/>
        <w:rPr>
          <w:rFonts w:ascii="Symbol" w:eastAsia="Symbol" w:hAnsi="Symbol"/>
          <w:sz w:val="23"/>
        </w:rPr>
      </w:pPr>
      <w:r>
        <w:rPr>
          <w:rFonts w:eastAsia="Arial"/>
          <w:sz w:val="23"/>
        </w:rPr>
        <w:t>Percentage of patients requiring an interpreter (recognising that the level of support may decrease over time for some patients as they learn English)</w:t>
      </w:r>
    </w:p>
    <w:p w14:paraId="50D90859" w14:textId="77777777" w:rsidR="00E25BFF" w:rsidRDefault="00E25BFF" w:rsidP="00E25BFF">
      <w:pPr>
        <w:spacing w:line="29" w:lineRule="exact"/>
        <w:rPr>
          <w:rFonts w:ascii="Symbol" w:eastAsia="Symbol" w:hAnsi="Symbol"/>
          <w:sz w:val="23"/>
        </w:rPr>
      </w:pPr>
    </w:p>
    <w:p w14:paraId="31220FEE" w14:textId="77777777" w:rsidR="00E25BFF" w:rsidRDefault="00E25BFF" w:rsidP="00836ECF">
      <w:pPr>
        <w:numPr>
          <w:ilvl w:val="0"/>
          <w:numId w:val="26"/>
        </w:numPr>
        <w:tabs>
          <w:tab w:val="left" w:pos="720"/>
        </w:tabs>
        <w:spacing w:line="227" w:lineRule="auto"/>
        <w:ind w:left="720" w:right="300" w:hanging="361"/>
        <w:rPr>
          <w:rFonts w:ascii="Symbol" w:eastAsia="Symbol" w:hAnsi="Symbol"/>
        </w:rPr>
      </w:pPr>
      <w:r>
        <w:rPr>
          <w:rFonts w:eastAsia="Arial"/>
        </w:rPr>
        <w:t>Consultation rates compared to the average and whether different language groups consult more, and what the reasons may be for this</w:t>
      </w:r>
    </w:p>
    <w:p w14:paraId="02C9EFE3" w14:textId="77777777" w:rsidR="00E25BFF" w:rsidRDefault="00E25BFF" w:rsidP="00E25BFF">
      <w:pPr>
        <w:spacing w:line="2" w:lineRule="exact"/>
        <w:rPr>
          <w:rFonts w:ascii="Symbol" w:eastAsia="Symbol" w:hAnsi="Symbol"/>
        </w:rPr>
      </w:pPr>
    </w:p>
    <w:p w14:paraId="18048373" w14:textId="77777777" w:rsidR="00E25BFF" w:rsidRDefault="00E25BFF" w:rsidP="00836ECF">
      <w:pPr>
        <w:numPr>
          <w:ilvl w:val="0"/>
          <w:numId w:val="26"/>
        </w:numPr>
        <w:tabs>
          <w:tab w:val="left" w:pos="720"/>
        </w:tabs>
        <w:spacing w:line="239" w:lineRule="auto"/>
        <w:ind w:left="720" w:hanging="361"/>
        <w:rPr>
          <w:rFonts w:ascii="Symbol" w:eastAsia="Symbol" w:hAnsi="Symbol"/>
        </w:rPr>
      </w:pPr>
      <w:r>
        <w:rPr>
          <w:rFonts w:eastAsia="Arial"/>
        </w:rPr>
        <w:t>Reported average length of consultation</w:t>
      </w:r>
    </w:p>
    <w:p w14:paraId="00339E29" w14:textId="77777777" w:rsidR="00E25BFF" w:rsidRDefault="00E25BFF" w:rsidP="00E25BFF">
      <w:pPr>
        <w:spacing w:line="25" w:lineRule="exact"/>
        <w:rPr>
          <w:rFonts w:ascii="Symbol" w:eastAsia="Symbol" w:hAnsi="Symbol"/>
        </w:rPr>
      </w:pPr>
    </w:p>
    <w:p w14:paraId="57474B08" w14:textId="77777777" w:rsidR="00E25BFF" w:rsidRDefault="00E25BFF" w:rsidP="00836ECF">
      <w:pPr>
        <w:numPr>
          <w:ilvl w:val="0"/>
          <w:numId w:val="26"/>
        </w:numPr>
        <w:tabs>
          <w:tab w:val="left" w:pos="720"/>
        </w:tabs>
        <w:spacing w:line="227" w:lineRule="auto"/>
        <w:ind w:left="720" w:right="200" w:hanging="361"/>
        <w:rPr>
          <w:rFonts w:ascii="Symbol" w:eastAsia="Symbol" w:hAnsi="Symbol"/>
        </w:rPr>
      </w:pPr>
      <w:r>
        <w:rPr>
          <w:rFonts w:eastAsia="Arial"/>
        </w:rPr>
        <w:t>Demand for interpreting (spoken word) and translation (written word) support services and growth in demand over time.</w:t>
      </w:r>
    </w:p>
    <w:p w14:paraId="65165E54" w14:textId="77777777" w:rsidR="00E25BFF" w:rsidRDefault="00E25BFF" w:rsidP="00E25BFF">
      <w:pPr>
        <w:spacing w:line="399" w:lineRule="exact"/>
        <w:rPr>
          <w:rFonts w:ascii="Times New Roman" w:hAnsi="Times New Roman"/>
        </w:rPr>
      </w:pPr>
    </w:p>
    <w:p w14:paraId="262D9E60" w14:textId="77777777" w:rsidR="00E25BFF" w:rsidRDefault="00E25BFF" w:rsidP="001C7059">
      <w:pPr>
        <w:pStyle w:val="Heading3"/>
        <w:rPr>
          <w:rFonts w:eastAsia="Arial"/>
        </w:rPr>
      </w:pPr>
      <w:r>
        <w:rPr>
          <w:rFonts w:eastAsia="Arial"/>
        </w:rPr>
        <w:t>7.3  Examples of support</w:t>
      </w:r>
    </w:p>
    <w:p w14:paraId="3F2184E5" w14:textId="77777777" w:rsidR="00E25BFF" w:rsidRDefault="00E25BFF" w:rsidP="00E25BFF">
      <w:pPr>
        <w:spacing w:line="200" w:lineRule="exact"/>
        <w:rPr>
          <w:rFonts w:ascii="Times New Roman" w:hAnsi="Times New Roman"/>
        </w:rPr>
      </w:pPr>
    </w:p>
    <w:p w14:paraId="03F40BA1" w14:textId="77777777" w:rsidR="00E25BFF" w:rsidRDefault="00E25BFF" w:rsidP="00E25BFF">
      <w:pPr>
        <w:spacing w:line="247" w:lineRule="exact"/>
        <w:rPr>
          <w:rFonts w:ascii="Times New Roman" w:hAnsi="Times New Roman"/>
        </w:rPr>
      </w:pPr>
    </w:p>
    <w:p w14:paraId="446EC913" w14:textId="77777777" w:rsidR="00E25BFF" w:rsidRDefault="00E25BFF" w:rsidP="00E25BFF">
      <w:pPr>
        <w:spacing w:line="237" w:lineRule="auto"/>
        <w:ind w:right="20"/>
        <w:rPr>
          <w:rFonts w:eastAsia="Arial"/>
        </w:rPr>
      </w:pPr>
      <w:r>
        <w:rPr>
          <w:rFonts w:eastAsia="Arial"/>
        </w:rPr>
        <w:t xml:space="preserve">The examples cited below are not an exhaustive list. Commissioners and providers can consider these, tailor them to their local area as required and / or decide on other support arrangements that might be appropriate. Where available, documents have been added to </w:t>
      </w:r>
      <w:hyperlink r:id="rId153" w:history="1">
        <w:r>
          <w:rPr>
            <w:rFonts w:eastAsia="Arial"/>
            <w:color w:val="0000FF"/>
            <w:u w:val="single"/>
          </w:rPr>
          <w:t>The Learning Environment</w:t>
        </w:r>
        <w:r>
          <w:rPr>
            <w:rFonts w:eastAsia="Arial"/>
            <w:u w:val="single"/>
          </w:rPr>
          <w:t xml:space="preserve"> </w:t>
        </w:r>
      </w:hyperlink>
      <w:r>
        <w:rPr>
          <w:rFonts w:eastAsia="Arial"/>
        </w:rPr>
        <w:t>Case Studies pin board.</w:t>
      </w:r>
    </w:p>
    <w:p w14:paraId="6924B079" w14:textId="77777777" w:rsidR="00E25BFF" w:rsidRDefault="00E25BFF" w:rsidP="00E25BFF">
      <w:pPr>
        <w:spacing w:line="278" w:lineRule="exact"/>
        <w:rPr>
          <w:rFonts w:ascii="Times New Roman" w:hAnsi="Times New Roman"/>
        </w:rPr>
      </w:pPr>
    </w:p>
    <w:p w14:paraId="3F92F23E" w14:textId="77777777" w:rsidR="00E25BFF" w:rsidRDefault="00E25BFF" w:rsidP="00836ECF">
      <w:pPr>
        <w:numPr>
          <w:ilvl w:val="0"/>
          <w:numId w:val="27"/>
        </w:numPr>
        <w:tabs>
          <w:tab w:val="left" w:pos="720"/>
        </w:tabs>
        <w:spacing w:line="0" w:lineRule="atLeast"/>
        <w:ind w:left="720" w:hanging="361"/>
        <w:rPr>
          <w:rFonts w:ascii="Symbol" w:eastAsia="Symbol" w:hAnsi="Symbol"/>
        </w:rPr>
      </w:pPr>
      <w:r>
        <w:rPr>
          <w:rFonts w:eastAsia="Arial"/>
        </w:rPr>
        <w:t>Funding that recognises increased consultation times / access</w:t>
      </w:r>
    </w:p>
    <w:p w14:paraId="0363F7AA" w14:textId="77777777" w:rsidR="00E25BFF" w:rsidRDefault="00E25BFF" w:rsidP="00836ECF">
      <w:pPr>
        <w:numPr>
          <w:ilvl w:val="0"/>
          <w:numId w:val="27"/>
        </w:numPr>
        <w:tabs>
          <w:tab w:val="left" w:pos="720"/>
        </w:tabs>
        <w:spacing w:line="239" w:lineRule="auto"/>
        <w:ind w:left="720" w:hanging="361"/>
        <w:rPr>
          <w:rFonts w:ascii="Symbol" w:eastAsia="Symbol" w:hAnsi="Symbol"/>
        </w:rPr>
      </w:pPr>
      <w:r>
        <w:rPr>
          <w:rFonts w:eastAsia="Arial"/>
        </w:rPr>
        <w:t>Education materials available in community languages</w:t>
      </w:r>
    </w:p>
    <w:p w14:paraId="2D20DEA5" w14:textId="77777777" w:rsidR="00E25BFF" w:rsidRDefault="00E25BFF" w:rsidP="00E25BFF">
      <w:pPr>
        <w:spacing w:line="27" w:lineRule="exact"/>
        <w:rPr>
          <w:rFonts w:ascii="Symbol" w:eastAsia="Symbol" w:hAnsi="Symbol"/>
        </w:rPr>
      </w:pPr>
    </w:p>
    <w:p w14:paraId="610A2805" w14:textId="77777777" w:rsidR="00E25BFF" w:rsidRDefault="00E25BFF" w:rsidP="00836ECF">
      <w:pPr>
        <w:numPr>
          <w:ilvl w:val="0"/>
          <w:numId w:val="27"/>
        </w:numPr>
        <w:tabs>
          <w:tab w:val="left" w:pos="720"/>
        </w:tabs>
        <w:spacing w:line="227" w:lineRule="auto"/>
        <w:ind w:left="720" w:right="280" w:hanging="361"/>
        <w:rPr>
          <w:rFonts w:ascii="Symbol" w:eastAsia="Symbol" w:hAnsi="Symbol"/>
        </w:rPr>
      </w:pPr>
      <w:r>
        <w:rPr>
          <w:rFonts w:eastAsia="Arial"/>
        </w:rPr>
        <w:t>Acknowledgement of costs associated with interpreting, either in contractual payments or a provided service (Local Enhanced Service)</w:t>
      </w:r>
    </w:p>
    <w:p w14:paraId="5DAE3DFA" w14:textId="77777777" w:rsidR="00E25BFF" w:rsidRDefault="00E25BFF" w:rsidP="00E25BFF">
      <w:pPr>
        <w:spacing w:line="29" w:lineRule="exact"/>
        <w:rPr>
          <w:rFonts w:ascii="Symbol" w:eastAsia="Symbol" w:hAnsi="Symbol"/>
        </w:rPr>
      </w:pPr>
    </w:p>
    <w:p w14:paraId="008C8AD2" w14:textId="77777777" w:rsidR="00E25BFF" w:rsidRDefault="00E25BFF" w:rsidP="00836ECF">
      <w:pPr>
        <w:numPr>
          <w:ilvl w:val="0"/>
          <w:numId w:val="27"/>
        </w:numPr>
        <w:tabs>
          <w:tab w:val="left" w:pos="720"/>
        </w:tabs>
        <w:spacing w:line="226" w:lineRule="auto"/>
        <w:ind w:left="720" w:right="100" w:hanging="361"/>
        <w:rPr>
          <w:rFonts w:ascii="Symbol" w:eastAsia="Symbol" w:hAnsi="Symbol"/>
        </w:rPr>
      </w:pPr>
      <w:r>
        <w:rPr>
          <w:rFonts w:eastAsia="Arial"/>
        </w:rPr>
        <w:t>Public Health support for staff to help manage different needs of patients (e.g. hepatitis B vaccinations)</w:t>
      </w:r>
    </w:p>
    <w:p w14:paraId="2AB65C74" w14:textId="77777777" w:rsidR="00E25BFF" w:rsidRDefault="00E25BFF" w:rsidP="00E25BFF">
      <w:pPr>
        <w:spacing w:line="30" w:lineRule="exact"/>
        <w:rPr>
          <w:rFonts w:ascii="Symbol" w:eastAsia="Symbol" w:hAnsi="Symbol"/>
        </w:rPr>
      </w:pPr>
    </w:p>
    <w:p w14:paraId="31059088" w14:textId="77777777" w:rsidR="00E25BFF" w:rsidRDefault="00E25BFF" w:rsidP="00836ECF">
      <w:pPr>
        <w:numPr>
          <w:ilvl w:val="0"/>
          <w:numId w:val="27"/>
        </w:numPr>
        <w:tabs>
          <w:tab w:val="left" w:pos="720"/>
        </w:tabs>
        <w:spacing w:line="231" w:lineRule="auto"/>
        <w:ind w:left="720" w:hanging="361"/>
        <w:rPr>
          <w:rFonts w:ascii="Symbol" w:eastAsia="Symbol" w:hAnsi="Symbol"/>
        </w:rPr>
      </w:pPr>
      <w:r>
        <w:rPr>
          <w:rFonts w:eastAsia="Arial"/>
        </w:rPr>
        <w:t>Additional training for staff in public heath messaging / realistic health interventions e.g. patient issues surrounding diet, behaviours and expectations of services</w:t>
      </w:r>
    </w:p>
    <w:p w14:paraId="3D866DD6" w14:textId="77777777" w:rsidR="00E25BFF" w:rsidRDefault="00E25BFF" w:rsidP="00E25BFF">
      <w:pPr>
        <w:spacing w:line="3" w:lineRule="exact"/>
        <w:rPr>
          <w:rFonts w:ascii="Symbol" w:eastAsia="Symbol" w:hAnsi="Symbol"/>
        </w:rPr>
      </w:pPr>
    </w:p>
    <w:p w14:paraId="69308451" w14:textId="77777777" w:rsidR="00E25BFF" w:rsidRDefault="00E25BFF" w:rsidP="00836ECF">
      <w:pPr>
        <w:numPr>
          <w:ilvl w:val="0"/>
          <w:numId w:val="27"/>
        </w:numPr>
        <w:tabs>
          <w:tab w:val="left" w:pos="720"/>
        </w:tabs>
        <w:spacing w:line="239" w:lineRule="auto"/>
        <w:ind w:left="720" w:hanging="361"/>
        <w:rPr>
          <w:rFonts w:ascii="Symbol" w:eastAsia="Symbol" w:hAnsi="Symbol"/>
        </w:rPr>
      </w:pPr>
      <w:r>
        <w:rPr>
          <w:rFonts w:eastAsia="Arial"/>
        </w:rPr>
        <w:t>Screening for patients new to the UK for communicable diseases</w:t>
      </w:r>
    </w:p>
    <w:p w14:paraId="05510A38" w14:textId="77777777" w:rsidR="00E25BFF" w:rsidRDefault="00E25BFF" w:rsidP="00E25BFF">
      <w:pPr>
        <w:spacing w:line="200" w:lineRule="exact"/>
        <w:rPr>
          <w:rFonts w:ascii="Times New Roman" w:hAnsi="Times New Roman"/>
        </w:rPr>
      </w:pPr>
    </w:p>
    <w:p w14:paraId="26A40BB0" w14:textId="77777777" w:rsidR="00E25BFF" w:rsidRDefault="00E25BFF" w:rsidP="00836ECF">
      <w:pPr>
        <w:numPr>
          <w:ilvl w:val="0"/>
          <w:numId w:val="28"/>
        </w:numPr>
        <w:tabs>
          <w:tab w:val="left" w:pos="721"/>
        </w:tabs>
        <w:spacing w:line="231" w:lineRule="auto"/>
        <w:ind w:left="721" w:right="40" w:hanging="361"/>
        <w:rPr>
          <w:rFonts w:ascii="Symbol" w:eastAsia="Symbol" w:hAnsi="Symbol"/>
        </w:rPr>
      </w:pPr>
      <w:r>
        <w:rPr>
          <w:rFonts w:eastAsia="Arial"/>
        </w:rPr>
        <w:t>Staff training on the use of interpreters particularly recognising where a patient is uncomfortable with the interpreter and knowing what action to take if staff question the quality of the interpreting service</w:t>
      </w:r>
    </w:p>
    <w:p w14:paraId="7E6113C2" w14:textId="77777777" w:rsidR="00E25BFF" w:rsidRDefault="00E25BFF" w:rsidP="00E25BFF">
      <w:pPr>
        <w:spacing w:line="3" w:lineRule="exact"/>
        <w:rPr>
          <w:rFonts w:ascii="Symbol" w:eastAsia="Symbol" w:hAnsi="Symbol"/>
        </w:rPr>
      </w:pPr>
    </w:p>
    <w:p w14:paraId="6D3FFBD9" w14:textId="77777777" w:rsidR="00E25BFF" w:rsidRDefault="00E25BFF" w:rsidP="00836ECF">
      <w:pPr>
        <w:numPr>
          <w:ilvl w:val="0"/>
          <w:numId w:val="28"/>
        </w:numPr>
        <w:tabs>
          <w:tab w:val="left" w:pos="721"/>
        </w:tabs>
        <w:spacing w:line="239" w:lineRule="auto"/>
        <w:ind w:left="721" w:hanging="361"/>
        <w:rPr>
          <w:rFonts w:ascii="Symbol" w:eastAsia="Symbol" w:hAnsi="Symbol"/>
        </w:rPr>
      </w:pPr>
      <w:r>
        <w:rPr>
          <w:rFonts w:eastAsia="Arial"/>
        </w:rPr>
        <w:t>Bilingual receptionist or in-house interpreting.</w:t>
      </w:r>
    </w:p>
    <w:p w14:paraId="4AADB622" w14:textId="77777777" w:rsidR="00E25BFF" w:rsidRDefault="00E25BFF" w:rsidP="00E25BFF">
      <w:pPr>
        <w:spacing w:line="274" w:lineRule="exact"/>
        <w:rPr>
          <w:rFonts w:ascii="Times New Roman" w:hAnsi="Times New Roman"/>
        </w:rPr>
      </w:pPr>
    </w:p>
    <w:p w14:paraId="05310B66" w14:textId="77777777" w:rsidR="00E25BFF" w:rsidRDefault="00E25BFF" w:rsidP="001C7059">
      <w:pPr>
        <w:pStyle w:val="Heading3"/>
        <w:rPr>
          <w:rFonts w:eastAsia="Arial"/>
        </w:rPr>
      </w:pPr>
      <w:r>
        <w:rPr>
          <w:rFonts w:eastAsia="Arial"/>
        </w:rPr>
        <w:t>7.4  Patient Group Observations</w:t>
      </w:r>
    </w:p>
    <w:p w14:paraId="458F01C0" w14:textId="77777777" w:rsidR="00E25BFF" w:rsidRDefault="00E25BFF" w:rsidP="00E25BFF">
      <w:pPr>
        <w:spacing w:line="200" w:lineRule="exact"/>
        <w:rPr>
          <w:rFonts w:ascii="Times New Roman" w:hAnsi="Times New Roman"/>
        </w:rPr>
      </w:pPr>
    </w:p>
    <w:p w14:paraId="1A42F759" w14:textId="77777777" w:rsidR="00E25BFF" w:rsidRDefault="00E25BFF" w:rsidP="00E25BFF">
      <w:pPr>
        <w:spacing w:line="247" w:lineRule="exact"/>
        <w:rPr>
          <w:rFonts w:ascii="Times New Roman" w:hAnsi="Times New Roman"/>
        </w:rPr>
      </w:pPr>
    </w:p>
    <w:p w14:paraId="1617C795" w14:textId="77777777" w:rsidR="00E25BFF" w:rsidRDefault="00E25BFF" w:rsidP="00E25BFF">
      <w:pPr>
        <w:spacing w:line="237" w:lineRule="auto"/>
        <w:ind w:left="1" w:right="380"/>
        <w:rPr>
          <w:rFonts w:eastAsia="Arial"/>
        </w:rPr>
      </w:pPr>
      <w:r>
        <w:rPr>
          <w:rFonts w:eastAsia="Arial"/>
        </w:rPr>
        <w:t>Professional interpreters are the preferred means of communication and may also have knowledge of medical language. In addition, family interpreting may not be appropriate where the procedures or consultations are of a sensitive or intimate subject. Family interpreters may have no, or limited, medical knowledge.</w:t>
      </w:r>
    </w:p>
    <w:p w14:paraId="29506616" w14:textId="77777777" w:rsidR="00E25BFF" w:rsidRDefault="00E25BFF" w:rsidP="00E25BFF">
      <w:pPr>
        <w:spacing w:line="275" w:lineRule="exact"/>
        <w:rPr>
          <w:rFonts w:ascii="Times New Roman" w:hAnsi="Times New Roman"/>
        </w:rPr>
      </w:pPr>
    </w:p>
    <w:p w14:paraId="0C69345C" w14:textId="77777777" w:rsidR="00E25BFF" w:rsidRDefault="00E25BFF" w:rsidP="00E25BFF">
      <w:pPr>
        <w:spacing w:line="0" w:lineRule="atLeast"/>
        <w:ind w:left="721"/>
        <w:rPr>
          <w:rFonts w:eastAsia="Arial"/>
          <w:i/>
        </w:rPr>
      </w:pPr>
      <w:r>
        <w:rPr>
          <w:rFonts w:eastAsia="Arial"/>
          <w:i/>
        </w:rPr>
        <w:t>Provided by Samir Jeraj, Race Equality Foundation</w:t>
      </w:r>
    </w:p>
    <w:p w14:paraId="3B0A6325" w14:textId="77777777" w:rsidR="00E25BFF" w:rsidRDefault="00E25BFF" w:rsidP="00E25BFF">
      <w:pPr>
        <w:spacing w:line="200" w:lineRule="exact"/>
        <w:rPr>
          <w:rFonts w:ascii="Times New Roman" w:hAnsi="Times New Roman"/>
        </w:rPr>
      </w:pPr>
    </w:p>
    <w:p w14:paraId="188A6559" w14:textId="77777777" w:rsidR="00E25BFF" w:rsidRDefault="00E25BFF" w:rsidP="00E25BFF">
      <w:pPr>
        <w:spacing w:line="319" w:lineRule="exact"/>
        <w:rPr>
          <w:rFonts w:ascii="Times New Roman" w:hAnsi="Times New Roman"/>
        </w:rPr>
      </w:pPr>
    </w:p>
    <w:p w14:paraId="105ED82F" w14:textId="77777777" w:rsidR="00E25BFF" w:rsidRDefault="00E25BFF" w:rsidP="00E25BFF">
      <w:pPr>
        <w:pStyle w:val="Heading2"/>
        <w:rPr>
          <w:rFonts w:eastAsia="Arial"/>
        </w:rPr>
      </w:pPr>
      <w:bookmarkStart w:id="1699" w:name="_Toc498495516"/>
      <w:r>
        <w:rPr>
          <w:rFonts w:eastAsia="Arial"/>
        </w:rPr>
        <w:t>Conclusion</w:t>
      </w:r>
      <w:bookmarkEnd w:id="1699"/>
    </w:p>
    <w:p w14:paraId="2198362D" w14:textId="77777777" w:rsidR="00E25BFF" w:rsidRDefault="00E25BFF" w:rsidP="00E25BFF">
      <w:pPr>
        <w:spacing w:line="290" w:lineRule="exact"/>
        <w:rPr>
          <w:rFonts w:ascii="Times New Roman" w:hAnsi="Times New Roman"/>
        </w:rPr>
      </w:pPr>
    </w:p>
    <w:p w14:paraId="6763318A" w14:textId="77777777" w:rsidR="00E25BFF" w:rsidRDefault="00E25BFF" w:rsidP="00E25BFF">
      <w:pPr>
        <w:spacing w:line="238" w:lineRule="auto"/>
        <w:ind w:left="1" w:right="100"/>
        <w:rPr>
          <w:rFonts w:eastAsia="Arial"/>
          <w:u w:val="single"/>
        </w:rPr>
      </w:pPr>
      <w:r>
        <w:rPr>
          <w:rFonts w:eastAsia="Arial"/>
        </w:rPr>
        <w:t xml:space="preserve">We hope that this document will enable local commissioners to identify and support the practices that serve these populations in order that patients will continue to receive effective primary care. Further examples of case studies can be submitted to the Primary Care Commissioning Team by </w:t>
      </w:r>
      <w:hyperlink r:id="rId154" w:history="1">
        <w:r>
          <w:rPr>
            <w:rFonts w:eastAsia="Arial"/>
            <w:color w:val="0000FF"/>
            <w:u w:val="single"/>
          </w:rPr>
          <w:t>e-mail</w:t>
        </w:r>
        <w:r>
          <w:rPr>
            <w:rFonts w:eastAsia="Arial"/>
            <w:u w:val="single"/>
          </w:rPr>
          <w:t xml:space="preserve"> </w:t>
        </w:r>
      </w:hyperlink>
      <w:r>
        <w:rPr>
          <w:rFonts w:eastAsia="Arial"/>
        </w:rPr>
        <w:t xml:space="preserve">to be shared with colleagues across the country via </w:t>
      </w:r>
      <w:hyperlink r:id="rId155" w:history="1">
        <w:r>
          <w:rPr>
            <w:rFonts w:eastAsia="Arial"/>
            <w:color w:val="0000FF"/>
            <w:u w:val="single"/>
          </w:rPr>
          <w:t>The Learning Environment</w:t>
        </w:r>
        <w:r>
          <w:rPr>
            <w:rFonts w:eastAsia="Arial"/>
            <w:u w:val="single"/>
          </w:rPr>
          <w:t>.</w:t>
        </w:r>
      </w:hyperlink>
    </w:p>
    <w:p w14:paraId="63706920" w14:textId="77777777" w:rsidR="00E25BFF" w:rsidRDefault="00E25BFF" w:rsidP="00E25BFF">
      <w:pPr>
        <w:spacing w:line="200" w:lineRule="exact"/>
        <w:rPr>
          <w:rFonts w:ascii="Times New Roman" w:hAnsi="Times New Roman"/>
        </w:rPr>
      </w:pPr>
    </w:p>
    <w:p w14:paraId="6A7DE357" w14:textId="77777777" w:rsidR="00E25BFF" w:rsidRDefault="00E25BFF" w:rsidP="00E25BFF">
      <w:pPr>
        <w:spacing w:line="316" w:lineRule="exact"/>
        <w:rPr>
          <w:rFonts w:ascii="Times New Roman" w:hAnsi="Times New Roman"/>
        </w:rPr>
      </w:pPr>
    </w:p>
    <w:p w14:paraId="7A875DF6" w14:textId="77777777" w:rsidR="00E25BFF" w:rsidRDefault="00E25BFF" w:rsidP="00E25BFF">
      <w:pPr>
        <w:pStyle w:val="Heading2"/>
        <w:rPr>
          <w:rFonts w:eastAsia="Arial"/>
        </w:rPr>
      </w:pPr>
      <w:bookmarkStart w:id="1700" w:name="_Toc498495517"/>
      <w:r>
        <w:rPr>
          <w:rFonts w:eastAsia="Arial"/>
        </w:rPr>
        <w:t>Notes for NHS England commissioners</w:t>
      </w:r>
      <w:bookmarkEnd w:id="1700"/>
    </w:p>
    <w:p w14:paraId="362CB302" w14:textId="77777777" w:rsidR="00E25BFF" w:rsidRDefault="00E25BFF" w:rsidP="00E25BFF">
      <w:pPr>
        <w:spacing w:line="288" w:lineRule="exact"/>
        <w:rPr>
          <w:rFonts w:ascii="Times New Roman" w:hAnsi="Times New Roman"/>
        </w:rPr>
      </w:pPr>
    </w:p>
    <w:p w14:paraId="6BDC2B51" w14:textId="0F514CFE" w:rsidR="00E25BFF" w:rsidRDefault="00E25BFF" w:rsidP="00E25BFF">
      <w:pPr>
        <w:spacing w:line="238" w:lineRule="auto"/>
        <w:ind w:left="1"/>
        <w:rPr>
          <w:rFonts w:eastAsia="Arial"/>
          <w:color w:val="000000"/>
        </w:rPr>
      </w:pPr>
      <w:r>
        <w:rPr>
          <w:rFonts w:eastAsia="Arial"/>
        </w:rPr>
        <w:t xml:space="preserve">When discussing this topic locally, please be aware that you may need to review equalities and health inequalities and the 13Q duty to consult. Copies of supporting documents completed for this project are available in the project files. Please contact the Primary Care Commissioning Team for more details by e-mailing </w:t>
      </w:r>
      <w:hyperlink r:id="rId156" w:history="1">
        <w:r>
          <w:rPr>
            <w:rFonts w:eastAsia="Arial"/>
            <w:color w:val="0000FF"/>
            <w:u w:val="single"/>
          </w:rPr>
          <w:t>england.primarycareops@nhs.net</w:t>
        </w:r>
        <w:r>
          <w:rPr>
            <w:rFonts w:eastAsia="Arial"/>
            <w:color w:val="0000FF"/>
          </w:rPr>
          <w:t xml:space="preserve"> </w:t>
        </w:r>
      </w:hyperlink>
      <w:r>
        <w:rPr>
          <w:rFonts w:eastAsia="Arial"/>
          <w:color w:val="000000"/>
        </w:rPr>
        <w:t>or</w:t>
      </w:r>
      <w:r>
        <w:rPr>
          <w:rFonts w:eastAsia="Arial"/>
          <w:color w:val="0000FF"/>
        </w:rPr>
        <w:t xml:space="preserve"> </w:t>
      </w:r>
      <w:r>
        <w:rPr>
          <w:rFonts w:eastAsia="Arial"/>
          <w:color w:val="000000"/>
        </w:rPr>
        <w:t>calling 0113 825 1244 (</w:t>
      </w:r>
      <w:r w:rsidR="00782D1D">
        <w:rPr>
          <w:rFonts w:eastAsia="Arial"/>
          <w:color w:val="000000"/>
        </w:rPr>
        <w:t xml:space="preserve">NHSE </w:t>
      </w:r>
      <w:r>
        <w:rPr>
          <w:rFonts w:eastAsia="Arial"/>
          <w:color w:val="000000"/>
        </w:rPr>
        <w:t>PCC Team use: the files</w:t>
      </w:r>
      <w:r>
        <w:rPr>
          <w:rFonts w:eastAsia="Arial"/>
          <w:color w:val="0000FF"/>
        </w:rPr>
        <w:t xml:space="preserve"> </w:t>
      </w:r>
      <w:r>
        <w:rPr>
          <w:rFonts w:eastAsia="Arial"/>
          <w:color w:val="000000"/>
        </w:rPr>
        <w:t xml:space="preserve">are kept </w:t>
      </w:r>
      <w:hyperlink r:id="rId157" w:history="1">
        <w:r>
          <w:rPr>
            <w:rFonts w:eastAsia="Arial"/>
            <w:color w:val="0000FF"/>
            <w:u w:val="single"/>
          </w:rPr>
          <w:t>here</w:t>
        </w:r>
        <w:r>
          <w:rPr>
            <w:rFonts w:eastAsia="Arial"/>
            <w:color w:val="000000"/>
            <w:u w:val="single"/>
          </w:rPr>
          <w:t xml:space="preserve"> </w:t>
        </w:r>
      </w:hyperlink>
      <w:r>
        <w:rPr>
          <w:rFonts w:eastAsia="Arial"/>
          <w:color w:val="000000"/>
        </w:rPr>
        <w:t>on the shared drive).</w:t>
      </w:r>
    </w:p>
    <w:p w14:paraId="7876A939" w14:textId="77777777" w:rsidR="00E25BFF" w:rsidRDefault="00E25BFF" w:rsidP="00E25BFF">
      <w:pPr>
        <w:spacing w:line="200" w:lineRule="exact"/>
        <w:rPr>
          <w:rFonts w:ascii="Times New Roman" w:hAnsi="Times New Roman"/>
        </w:rPr>
      </w:pPr>
    </w:p>
    <w:p w14:paraId="7B46F800" w14:textId="77777777" w:rsidR="00E25BFF" w:rsidRDefault="00E25BFF" w:rsidP="00E25BFF">
      <w:pPr>
        <w:spacing w:line="318" w:lineRule="exact"/>
        <w:rPr>
          <w:rFonts w:ascii="Times New Roman" w:hAnsi="Times New Roman"/>
        </w:rPr>
      </w:pPr>
    </w:p>
    <w:p w14:paraId="6CA5016C" w14:textId="77777777" w:rsidR="00E25BFF" w:rsidRDefault="00E25BFF" w:rsidP="00E25BFF">
      <w:pPr>
        <w:pStyle w:val="Heading2"/>
        <w:rPr>
          <w:rFonts w:eastAsia="Arial"/>
        </w:rPr>
      </w:pPr>
      <w:bookmarkStart w:id="1701" w:name="_Toc498495518"/>
      <w:r>
        <w:rPr>
          <w:rFonts w:eastAsia="Arial"/>
        </w:rPr>
        <w:t>10 Scheduled update</w:t>
      </w:r>
      <w:bookmarkEnd w:id="1701"/>
    </w:p>
    <w:p w14:paraId="11347BF5" w14:textId="77777777" w:rsidR="00E25BFF" w:rsidRDefault="00E25BFF" w:rsidP="00E25BFF">
      <w:pPr>
        <w:spacing w:line="288" w:lineRule="exact"/>
        <w:rPr>
          <w:rFonts w:ascii="Times New Roman" w:hAnsi="Times New Roman"/>
        </w:rPr>
      </w:pPr>
    </w:p>
    <w:p w14:paraId="150390A6" w14:textId="20D9FF38" w:rsidR="00E25BFF" w:rsidRDefault="00E25BFF" w:rsidP="00782D1D">
      <w:pPr>
        <w:spacing w:line="236" w:lineRule="auto"/>
        <w:ind w:left="1" w:right="180"/>
        <w:jc w:val="both"/>
        <w:rPr>
          <w:rFonts w:ascii="Times New Roman" w:hAnsi="Times New Roman"/>
        </w:rPr>
      </w:pPr>
      <w:r>
        <w:rPr>
          <w:rFonts w:eastAsia="Arial"/>
        </w:rPr>
        <w:t>This document is not scheduled to be updated. Further examples of local initiatives or case studies will be added to The Learning Environment website as they become available.</w:t>
      </w:r>
      <w:bookmarkEnd w:id="7"/>
    </w:p>
    <w:sectPr w:rsidR="00E25BFF" w:rsidSect="00782D1D">
      <w:headerReference w:type="default" r:id="rId158"/>
      <w:footerReference w:type="even" r:id="rId159"/>
      <w:footerReference w:type="default" r:id="rId160"/>
      <w:pgSz w:w="11900" w:h="16841" w:code="9"/>
      <w:pgMar w:top="1418" w:right="843" w:bottom="1418" w:left="1418" w:header="0" w:footer="761" w:gutter="0"/>
      <w:cols w:space="708"/>
      <w:docGrid w:linePitch="326"/>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067A5D0" w15:done="0"/>
  <w15:commentEx w15:paraId="7FF06720" w15:done="0"/>
  <w15:commentEx w15:paraId="2262E17C" w15:done="0"/>
  <w15:commentEx w15:paraId="71510C00" w15:done="0"/>
  <w15:commentEx w15:paraId="1EA541F1" w15:done="0"/>
  <w15:commentEx w15:paraId="4108E31B" w15:done="0"/>
  <w15:commentEx w15:paraId="04FE7001" w15:done="0"/>
  <w15:commentEx w15:paraId="3D4E75BF" w15:done="0"/>
  <w15:commentEx w15:paraId="46B119FD" w15:done="0"/>
  <w15:commentEx w15:paraId="22E3F90D" w15:done="0"/>
  <w15:commentEx w15:paraId="1C0DACBC" w15:done="0"/>
  <w15:commentEx w15:paraId="04C40469" w15:done="0"/>
  <w15:commentEx w15:paraId="488EB7A7" w15:done="0"/>
  <w15:commentEx w15:paraId="1F103DE5" w15:done="0"/>
  <w15:commentEx w15:paraId="1E6C80EE" w15:done="0"/>
  <w15:commentEx w15:paraId="2149F968" w15:done="0"/>
  <w15:commentEx w15:paraId="772C4885" w15:done="0"/>
  <w15:commentEx w15:paraId="76EDF67D" w15:done="0"/>
  <w15:commentEx w15:paraId="4B4E5346" w15:done="0"/>
  <w15:commentEx w15:paraId="6445DC14" w15:done="0"/>
  <w15:commentEx w15:paraId="3908BA12" w15:done="0"/>
  <w15:commentEx w15:paraId="76CCCF09" w15:done="0"/>
  <w15:commentEx w15:paraId="617B1203" w15:done="0"/>
  <w15:commentEx w15:paraId="66995481" w15:done="0"/>
  <w15:commentEx w15:paraId="4790AAF3" w15:done="0"/>
  <w15:commentEx w15:paraId="60DE54D4" w15:done="0"/>
  <w15:commentEx w15:paraId="10E57744" w15:done="0"/>
  <w15:commentEx w15:paraId="60447067" w15:done="0"/>
  <w15:commentEx w15:paraId="23E7CC45" w15:done="0"/>
  <w15:commentEx w15:paraId="6CD406B2" w15:done="0"/>
  <w15:commentEx w15:paraId="61BF99AB" w15:done="0"/>
  <w15:commentEx w15:paraId="5A262490" w15:done="0"/>
  <w15:commentEx w15:paraId="4E6924CE" w15:done="0"/>
  <w15:commentEx w15:paraId="5EBC5D89" w15:done="0"/>
  <w15:commentEx w15:paraId="2433F2B3" w15:done="0"/>
  <w15:commentEx w15:paraId="76B441BD" w15:done="0"/>
  <w15:commentEx w15:paraId="38598E3E" w15:done="0"/>
  <w15:commentEx w15:paraId="222F3117" w15:done="0"/>
  <w15:commentEx w15:paraId="62D1AD54" w15:done="0"/>
  <w15:commentEx w15:paraId="0B58A3F6" w15:done="0"/>
  <w15:commentEx w15:paraId="03DBA4FD" w15:done="0"/>
  <w15:commentEx w15:paraId="4CF1DB04" w15:done="0"/>
  <w15:commentEx w15:paraId="69897F37" w15:done="0"/>
  <w15:commentEx w15:paraId="45B8B8B2" w15:done="0"/>
  <w15:commentEx w15:paraId="0548C6C3" w15:done="0"/>
  <w15:commentEx w15:paraId="4302D3FB" w15:done="0"/>
  <w15:commentEx w15:paraId="001AA4B7" w15:done="0"/>
  <w15:commentEx w15:paraId="4C1F6778" w15:done="0"/>
  <w15:commentEx w15:paraId="31B4E2AC" w15:done="0"/>
  <w15:commentEx w15:paraId="615C95FC" w15:done="0"/>
  <w15:commentEx w15:paraId="0B17617B" w15:done="0"/>
  <w15:commentEx w15:paraId="3B5FBA2A" w15:done="0"/>
  <w15:commentEx w15:paraId="3705971D" w15:done="0"/>
  <w15:commentEx w15:paraId="46959759"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067A5D0" w16cid:durableId="1D95D707"/>
  <w16cid:commentId w16cid:paraId="7FF06720" w16cid:durableId="1D95D708"/>
  <w16cid:commentId w16cid:paraId="2262E17C" w16cid:durableId="1D95D709"/>
  <w16cid:commentId w16cid:paraId="71510C00" w16cid:durableId="1D95D70A"/>
  <w16cid:commentId w16cid:paraId="1EA541F1" w16cid:durableId="1D95D70B"/>
  <w16cid:commentId w16cid:paraId="4108E31B" w16cid:durableId="1D95D70C"/>
  <w16cid:commentId w16cid:paraId="04FE7001" w16cid:durableId="1D95D70D"/>
  <w16cid:commentId w16cid:paraId="3D4E75BF" w16cid:durableId="1D95D70E"/>
  <w16cid:commentId w16cid:paraId="46B119FD" w16cid:durableId="1D95D70F"/>
  <w16cid:commentId w16cid:paraId="22E3F90D" w16cid:durableId="1D95D710"/>
  <w16cid:commentId w16cid:paraId="1C0DACBC" w16cid:durableId="1D95D711"/>
  <w16cid:commentId w16cid:paraId="04C40469" w16cid:durableId="1D95D712"/>
  <w16cid:commentId w16cid:paraId="488EB7A7" w16cid:durableId="1D95D713"/>
  <w16cid:commentId w16cid:paraId="1F103DE5" w16cid:durableId="1D95D714"/>
  <w16cid:commentId w16cid:paraId="1E6C80EE" w16cid:durableId="1D95D715"/>
  <w16cid:commentId w16cid:paraId="2149F968" w16cid:durableId="1D95D716"/>
  <w16cid:commentId w16cid:paraId="76EDF67D" w16cid:durableId="1D95D717"/>
  <w16cid:commentId w16cid:paraId="4B4E5346" w16cid:durableId="1D95D718"/>
  <w16cid:commentId w16cid:paraId="6445DC14" w16cid:durableId="1D95D719"/>
  <w16cid:commentId w16cid:paraId="3908BA12" w16cid:durableId="1D95D71A"/>
  <w16cid:commentId w16cid:paraId="76CCCF09" w16cid:durableId="1D95D71B"/>
  <w16cid:commentId w16cid:paraId="617B1203" w16cid:durableId="1D95D71C"/>
  <w16cid:commentId w16cid:paraId="66995481" w16cid:durableId="1D95D71D"/>
  <w16cid:commentId w16cid:paraId="60DE54D4" w16cid:durableId="1D95D71E"/>
  <w16cid:commentId w16cid:paraId="60447067" w16cid:durableId="1D95D71F"/>
  <w16cid:commentId w16cid:paraId="6CD406B2" w16cid:durableId="1D95D720"/>
  <w16cid:commentId w16cid:paraId="61BF99AB" w16cid:durableId="1D95D721"/>
  <w16cid:commentId w16cid:paraId="4E6924CE" w16cid:durableId="1D95D722"/>
  <w16cid:commentId w16cid:paraId="2433F2B3" w16cid:durableId="1D95D723"/>
  <w16cid:commentId w16cid:paraId="76B441BD" w16cid:durableId="1D95D724"/>
  <w16cid:commentId w16cid:paraId="38598E3E" w16cid:durableId="1D95D725"/>
  <w16cid:commentId w16cid:paraId="222F3117" w16cid:durableId="1D95D726"/>
  <w16cid:commentId w16cid:paraId="62D1AD54" w16cid:durableId="1D95DD5C"/>
  <w16cid:commentId w16cid:paraId="0B58A3F6" w16cid:durableId="1D95D727"/>
  <w16cid:commentId w16cid:paraId="03DBA4FD" w16cid:durableId="1D95D728"/>
  <w16cid:commentId w16cid:paraId="4CF1DB04" w16cid:durableId="1D95D729"/>
  <w16cid:commentId w16cid:paraId="69897F37" w16cid:durableId="1D95D72A"/>
  <w16cid:commentId w16cid:paraId="45B8B8B2" w16cid:durableId="1D95D72B"/>
  <w16cid:commentId w16cid:paraId="4302D3FB" w16cid:durableId="1D95D72C"/>
  <w16cid:commentId w16cid:paraId="001AA4B7" w16cid:durableId="1D95E053"/>
  <w16cid:commentId w16cid:paraId="4C1F6778" w16cid:durableId="1D95E253"/>
  <w16cid:commentId w16cid:paraId="31B4E2AC" w16cid:durableId="1D95E3C7"/>
  <w16cid:commentId w16cid:paraId="615C95FC" w16cid:durableId="1D95E484"/>
  <w16cid:commentId w16cid:paraId="0B17617B" w16cid:durableId="1D95E6D2"/>
  <w16cid:commentId w16cid:paraId="3B5FBA2A" w16cid:durableId="1D95E7D7"/>
  <w16cid:commentId w16cid:paraId="3705971D" w16cid:durableId="1D95E893"/>
  <w16cid:commentId w16cid:paraId="46959759" w16cid:durableId="1D95D72D"/>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ACC6B30" w14:textId="77777777" w:rsidR="000E7846" w:rsidRDefault="000E7846" w:rsidP="00A716D1">
      <w:r>
        <w:separator/>
      </w:r>
    </w:p>
  </w:endnote>
  <w:endnote w:type="continuationSeparator" w:id="0">
    <w:p w14:paraId="450D7CA3" w14:textId="77777777" w:rsidR="000E7846" w:rsidRDefault="000E7846" w:rsidP="00A716D1">
      <w:r>
        <w:continuationSeparator/>
      </w:r>
    </w:p>
  </w:endnote>
  <w:endnote w:type="continuationNotice" w:id="1">
    <w:p w14:paraId="31E9BEE1" w14:textId="77777777" w:rsidR="000E7846" w:rsidRDefault="000E78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rutiger LT 65 Bold">
    <w:altName w:val="Tw Cen MT Condensed Extra Bold"/>
    <w:charset w:val="00"/>
    <w:family w:val="auto"/>
    <w:pitch w:val="variable"/>
    <w:sig w:usb0="80000027"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Frutiger LT Std 45 Light">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Bold">
    <w:panose1 w:val="020B0704020202020204"/>
    <w:charset w:val="00"/>
    <w:family w:val="roman"/>
    <w:notTrueType/>
    <w:pitch w:val="default"/>
  </w:font>
  <w:font w:name="HGSMinchoE">
    <w:altName w:val="MS PMincho"/>
    <w:charset w:val="80"/>
    <w:family w:val="roman"/>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inionPro-Regular">
    <w:altName w:val="Minion Pro"/>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Tw Cen MT Condensed Extra Bold">
    <w:panose1 w:val="020B0803020202020204"/>
    <w:charset w:val="00"/>
    <w:family w:val="swiss"/>
    <w:pitch w:val="variable"/>
    <w:sig w:usb0="00000007" w:usb1="00000000" w:usb2="00000000" w:usb3="00000000" w:csb0="00000003" w:csb1="00000000"/>
  </w:font>
  <w:font w:name="Malgun Gothic">
    <w:panose1 w:val="020B0503020000020004"/>
    <w:charset w:val="81"/>
    <w:family w:val="swiss"/>
    <w:pitch w:val="variable"/>
    <w:sig w:usb0="900002AF" w:usb1="09D77CFB" w:usb2="00000012" w:usb3="00000000" w:csb0="00080001" w:csb1="00000000"/>
  </w:font>
  <w:font w:name="Segoe UI Semilight">
    <w:charset w:val="00"/>
    <w:family w:val="swiss"/>
    <w:pitch w:val="variable"/>
    <w:sig w:usb0="E4002EFF" w:usb1="C000E47F" w:usb2="00000009" w:usb3="00000000" w:csb0="000001FF" w:csb1="00000000"/>
  </w:font>
  <w:font w:name="HelveticaNeueLT-Light">
    <w:panose1 w:val="00000000000000000000"/>
    <w:charset w:val="00"/>
    <w:family w:val="swiss"/>
    <w:notTrueType/>
    <w:pitch w:val="default"/>
    <w:sig w:usb0="00000003" w:usb1="00000000" w:usb2="00000000" w:usb3="00000000" w:csb0="00000001" w:csb1="00000000"/>
  </w:font>
  <w:font w:name="HelveticaNeueLT-Medium">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55624110"/>
      <w:docPartObj>
        <w:docPartGallery w:val="Page Numbers (Bottom of Page)"/>
        <w:docPartUnique/>
      </w:docPartObj>
    </w:sdtPr>
    <w:sdtEndPr>
      <w:rPr>
        <w:color w:val="808080" w:themeColor="background1" w:themeShade="80"/>
        <w:spacing w:val="60"/>
      </w:rPr>
    </w:sdtEndPr>
    <w:sdtContent>
      <w:p w14:paraId="49D56C46" w14:textId="0958F241" w:rsidR="00622FF2" w:rsidRDefault="00622FF2">
        <w:pPr>
          <w:pStyle w:val="Footer"/>
          <w:pBdr>
            <w:top w:val="single" w:sz="4" w:space="1" w:color="D9D9D9" w:themeColor="background1" w:themeShade="D9"/>
          </w:pBdr>
          <w:jc w:val="right"/>
        </w:pPr>
        <w:r>
          <w:fldChar w:fldCharType="begin"/>
        </w:r>
        <w:r>
          <w:instrText xml:space="preserve"> PAGE   \* MERGEFORMAT </w:instrText>
        </w:r>
        <w:r>
          <w:fldChar w:fldCharType="separate"/>
        </w:r>
        <w:r w:rsidR="00C32D0F">
          <w:rPr>
            <w:noProof/>
          </w:rPr>
          <w:t>45</w:t>
        </w:r>
        <w:r>
          <w:rPr>
            <w:noProof/>
          </w:rPr>
          <w:fldChar w:fldCharType="end"/>
        </w:r>
        <w:r>
          <w:t xml:space="preserve"> | </w:t>
        </w:r>
        <w:r>
          <w:rPr>
            <w:color w:val="808080" w:themeColor="background1" w:themeShade="80"/>
            <w:spacing w:val="60"/>
          </w:rPr>
          <w:t>Page</w:t>
        </w:r>
      </w:p>
    </w:sdtContent>
  </w:sdt>
  <w:p w14:paraId="4ACF51CF" w14:textId="672321D2" w:rsidR="00622FF2" w:rsidRPr="00AA2766" w:rsidRDefault="00622FF2" w:rsidP="00782D1D">
    <w:pPr>
      <w:pStyle w:val="Footer"/>
      <w:tabs>
        <w:tab w:val="clear" w:pos="4320"/>
        <w:tab w:val="clear" w:pos="8640"/>
        <w:tab w:val="left" w:pos="3485"/>
      </w:tabs>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3876675"/>
      <w:docPartObj>
        <w:docPartGallery w:val="Page Numbers (Bottom of Page)"/>
        <w:docPartUnique/>
      </w:docPartObj>
    </w:sdtPr>
    <w:sdtEndPr>
      <w:rPr>
        <w:color w:val="808080" w:themeColor="background1" w:themeShade="80"/>
        <w:spacing w:val="60"/>
      </w:rPr>
    </w:sdtEndPr>
    <w:sdtContent>
      <w:p w14:paraId="6615067E" w14:textId="522074E9" w:rsidR="00622FF2" w:rsidRDefault="00622FF2">
        <w:pPr>
          <w:pStyle w:val="Footer"/>
          <w:pBdr>
            <w:top w:val="single" w:sz="4" w:space="1" w:color="D9D9D9" w:themeColor="background1" w:themeShade="D9"/>
          </w:pBdr>
          <w:jc w:val="right"/>
        </w:pPr>
        <w:r>
          <w:fldChar w:fldCharType="begin"/>
        </w:r>
        <w:r>
          <w:instrText xml:space="preserve"> PAGE   \* MERGEFORMAT </w:instrText>
        </w:r>
        <w:r>
          <w:fldChar w:fldCharType="separate"/>
        </w:r>
        <w:r w:rsidR="003D7EE8">
          <w:rPr>
            <w:noProof/>
          </w:rPr>
          <w:t>379</w:t>
        </w:r>
        <w:r>
          <w:rPr>
            <w:noProof/>
          </w:rPr>
          <w:fldChar w:fldCharType="end"/>
        </w:r>
        <w:r>
          <w:t xml:space="preserve"> | </w:t>
        </w:r>
        <w:r>
          <w:rPr>
            <w:color w:val="808080" w:themeColor="background1" w:themeShade="80"/>
            <w:spacing w:val="60"/>
          </w:rPr>
          <w:t>Page</w:t>
        </w:r>
      </w:p>
    </w:sdtContent>
  </w:sdt>
  <w:p w14:paraId="6AD1F3BB" w14:textId="11257C0F" w:rsidR="00622FF2" w:rsidRPr="00E01309" w:rsidRDefault="00622FF2" w:rsidP="00E52ACB">
    <w:pPr>
      <w:pStyle w:val="Footer"/>
      <w:jc w:val="right"/>
      <w:rPr>
        <w:rStyle w:val="PageNumber"/>
        <w:color w:val="A00054"/>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3B4407" w14:textId="2806263C" w:rsidR="00622FF2" w:rsidRDefault="00622FF2">
    <w:pPr>
      <w:pStyle w:val="Footer"/>
      <w:pBdr>
        <w:top w:val="single" w:sz="4" w:space="1" w:color="D9D9D9" w:themeColor="background1" w:themeShade="D9"/>
      </w:pBdr>
      <w:jc w:val="right"/>
    </w:pPr>
  </w:p>
  <w:p w14:paraId="374E2DAE" w14:textId="77777777" w:rsidR="00622FF2" w:rsidRDefault="00622FF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09241632"/>
      <w:docPartObj>
        <w:docPartGallery w:val="Page Numbers (Bottom of Page)"/>
        <w:docPartUnique/>
      </w:docPartObj>
    </w:sdtPr>
    <w:sdtEndPr>
      <w:rPr>
        <w:color w:val="808080" w:themeColor="background1" w:themeShade="80"/>
        <w:spacing w:val="60"/>
      </w:rPr>
    </w:sdtEndPr>
    <w:sdtContent>
      <w:p w14:paraId="12C8956B" w14:textId="3A99DDDD" w:rsidR="00622FF2" w:rsidRDefault="00622FF2">
        <w:pPr>
          <w:pStyle w:val="Footer"/>
          <w:pBdr>
            <w:top w:val="single" w:sz="4" w:space="1" w:color="D9D9D9" w:themeColor="background1" w:themeShade="D9"/>
          </w:pBdr>
          <w:jc w:val="right"/>
        </w:pPr>
        <w:r>
          <w:fldChar w:fldCharType="begin"/>
        </w:r>
        <w:r>
          <w:instrText xml:space="preserve"> PAGE   \* MERGEFORMAT </w:instrText>
        </w:r>
        <w:r>
          <w:fldChar w:fldCharType="separate"/>
        </w:r>
        <w:r w:rsidR="00C32D0F">
          <w:rPr>
            <w:noProof/>
          </w:rPr>
          <w:t>12</w:t>
        </w:r>
        <w:r>
          <w:rPr>
            <w:noProof/>
          </w:rPr>
          <w:fldChar w:fldCharType="end"/>
        </w:r>
        <w:r>
          <w:t xml:space="preserve"> | </w:t>
        </w:r>
        <w:r>
          <w:rPr>
            <w:color w:val="808080" w:themeColor="background1" w:themeShade="80"/>
            <w:spacing w:val="60"/>
          </w:rPr>
          <w:t>Page</w:t>
        </w:r>
      </w:p>
    </w:sdtContent>
  </w:sdt>
  <w:p w14:paraId="705D1D72" w14:textId="77777777" w:rsidR="00622FF2" w:rsidRDefault="00622FF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5192207"/>
      <w:docPartObj>
        <w:docPartGallery w:val="Page Numbers (Bottom of Page)"/>
        <w:docPartUnique/>
      </w:docPartObj>
    </w:sdtPr>
    <w:sdtEndPr>
      <w:rPr>
        <w:color w:val="808080" w:themeColor="background1" w:themeShade="80"/>
        <w:spacing w:val="60"/>
      </w:rPr>
    </w:sdtEndPr>
    <w:sdtContent>
      <w:p w14:paraId="09550CCD" w14:textId="7D16EB79" w:rsidR="00622FF2" w:rsidRDefault="00622FF2">
        <w:pPr>
          <w:pStyle w:val="Footer"/>
          <w:pBdr>
            <w:top w:val="single" w:sz="4" w:space="1" w:color="D9D9D9" w:themeColor="background1" w:themeShade="D9"/>
          </w:pBdr>
          <w:jc w:val="right"/>
        </w:pPr>
        <w:r>
          <w:fldChar w:fldCharType="begin"/>
        </w:r>
        <w:r>
          <w:instrText xml:space="preserve"> PAGE   \* MERGEFORMAT </w:instrText>
        </w:r>
        <w:r>
          <w:fldChar w:fldCharType="separate"/>
        </w:r>
        <w:r w:rsidR="00C32D0F">
          <w:rPr>
            <w:noProof/>
          </w:rPr>
          <w:t>65</w:t>
        </w:r>
        <w:r>
          <w:rPr>
            <w:noProof/>
          </w:rPr>
          <w:fldChar w:fldCharType="end"/>
        </w:r>
        <w:r>
          <w:t xml:space="preserve"> | </w:t>
        </w:r>
        <w:r>
          <w:rPr>
            <w:color w:val="808080" w:themeColor="background1" w:themeShade="80"/>
            <w:spacing w:val="60"/>
          </w:rPr>
          <w:t>Page</w:t>
        </w:r>
      </w:p>
    </w:sdtContent>
  </w:sdt>
  <w:p w14:paraId="414E3D5B" w14:textId="77777777" w:rsidR="00622FF2" w:rsidRPr="00F0701C" w:rsidRDefault="00622FF2" w:rsidP="00F0701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3E544" w14:textId="77777777" w:rsidR="00622FF2" w:rsidRDefault="00622FF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3682412"/>
      <w:docPartObj>
        <w:docPartGallery w:val="Page Numbers (Bottom of Page)"/>
        <w:docPartUnique/>
      </w:docPartObj>
    </w:sdtPr>
    <w:sdtEndPr>
      <w:rPr>
        <w:color w:val="808080" w:themeColor="background1" w:themeShade="80"/>
        <w:spacing w:val="60"/>
      </w:rPr>
    </w:sdtEndPr>
    <w:sdtContent>
      <w:p w14:paraId="5FAA9EFC" w14:textId="77BBC3DD" w:rsidR="00622FF2" w:rsidRDefault="00622FF2">
        <w:pPr>
          <w:pStyle w:val="Footer"/>
          <w:pBdr>
            <w:top w:val="single" w:sz="4" w:space="1" w:color="D9D9D9" w:themeColor="background1" w:themeShade="D9"/>
          </w:pBdr>
          <w:jc w:val="right"/>
        </w:pPr>
        <w:r>
          <w:fldChar w:fldCharType="begin"/>
        </w:r>
        <w:r>
          <w:instrText xml:space="preserve"> PAGE   \* MERGEFORMAT </w:instrText>
        </w:r>
        <w:r>
          <w:fldChar w:fldCharType="separate"/>
        </w:r>
        <w:r w:rsidR="00C32D0F">
          <w:rPr>
            <w:noProof/>
          </w:rPr>
          <w:t>202</w:t>
        </w:r>
        <w:r>
          <w:rPr>
            <w:noProof/>
          </w:rPr>
          <w:fldChar w:fldCharType="end"/>
        </w:r>
        <w:r>
          <w:t xml:space="preserve"> | </w:t>
        </w:r>
        <w:r>
          <w:rPr>
            <w:color w:val="808080" w:themeColor="background1" w:themeShade="80"/>
            <w:spacing w:val="60"/>
          </w:rPr>
          <w:t>Page</w:t>
        </w:r>
      </w:p>
    </w:sdtContent>
  </w:sdt>
  <w:p w14:paraId="30612EEC" w14:textId="77777777" w:rsidR="00622FF2" w:rsidRDefault="00622FF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30C79F" w14:textId="77777777" w:rsidR="00622FF2" w:rsidRDefault="00622FF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2278382"/>
      <w:docPartObj>
        <w:docPartGallery w:val="Page Numbers (Bottom of Page)"/>
        <w:docPartUnique/>
      </w:docPartObj>
    </w:sdtPr>
    <w:sdtEndPr>
      <w:rPr>
        <w:color w:val="808080" w:themeColor="background1" w:themeShade="80"/>
        <w:spacing w:val="60"/>
      </w:rPr>
    </w:sdtEndPr>
    <w:sdtContent>
      <w:p w14:paraId="74E40CFA" w14:textId="0FE576BA" w:rsidR="00622FF2" w:rsidRDefault="00622FF2">
        <w:pPr>
          <w:pStyle w:val="Footer"/>
          <w:pBdr>
            <w:top w:val="single" w:sz="4" w:space="1" w:color="D9D9D9" w:themeColor="background1" w:themeShade="D9"/>
          </w:pBdr>
          <w:jc w:val="right"/>
        </w:pPr>
        <w:r>
          <w:fldChar w:fldCharType="begin"/>
        </w:r>
        <w:r>
          <w:instrText xml:space="preserve"> PAGE   \* MERGEFORMAT </w:instrText>
        </w:r>
        <w:r>
          <w:fldChar w:fldCharType="separate"/>
        </w:r>
        <w:r w:rsidR="003D7EE8">
          <w:rPr>
            <w:noProof/>
          </w:rPr>
          <w:t>253</w:t>
        </w:r>
        <w:r>
          <w:rPr>
            <w:noProof/>
          </w:rPr>
          <w:fldChar w:fldCharType="end"/>
        </w:r>
        <w:r>
          <w:t xml:space="preserve"> | </w:t>
        </w:r>
        <w:r>
          <w:rPr>
            <w:color w:val="808080" w:themeColor="background1" w:themeShade="80"/>
            <w:spacing w:val="60"/>
          </w:rPr>
          <w:t>Page</w:t>
        </w:r>
      </w:p>
    </w:sdtContent>
  </w:sdt>
  <w:p w14:paraId="7561ABF6" w14:textId="73EB56A9" w:rsidR="00622FF2" w:rsidRDefault="00622FF2">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C98DE0" w14:textId="77777777" w:rsidR="00622FF2" w:rsidRDefault="00622FF2" w:rsidP="00A716D1">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5C54C8BE" w14:textId="77777777" w:rsidR="00622FF2" w:rsidRDefault="00622FF2" w:rsidP="00A716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AA96E14" w14:textId="77777777" w:rsidR="000E7846" w:rsidRDefault="000E7846" w:rsidP="00A716D1">
      <w:r>
        <w:separator/>
      </w:r>
    </w:p>
  </w:footnote>
  <w:footnote w:type="continuationSeparator" w:id="0">
    <w:p w14:paraId="34A469AF" w14:textId="77777777" w:rsidR="000E7846" w:rsidRDefault="000E7846" w:rsidP="00A716D1">
      <w:r>
        <w:continuationSeparator/>
      </w:r>
    </w:p>
  </w:footnote>
  <w:footnote w:type="continuationNotice" w:id="1">
    <w:p w14:paraId="515D6775" w14:textId="77777777" w:rsidR="000E7846" w:rsidRDefault="000E7846"/>
  </w:footnote>
  <w:footnote w:id="2">
    <w:p w14:paraId="3D923FC5" w14:textId="77777777" w:rsidR="00622FF2" w:rsidRDefault="00622FF2" w:rsidP="00670323">
      <w:pPr>
        <w:pStyle w:val="FootnoteText"/>
      </w:pPr>
      <w:r>
        <w:rPr>
          <w:rStyle w:val="FootnoteReference"/>
        </w:rPr>
        <w:footnoteRef/>
      </w:r>
      <w:r>
        <w:t xml:space="preserve"> </w:t>
      </w:r>
      <w:r w:rsidRPr="00562D2A">
        <w:t>https://digital.nhs.uk/organisation-data-service/data-downloads/gp-data</w:t>
      </w:r>
    </w:p>
  </w:footnote>
  <w:footnote w:id="3">
    <w:p w14:paraId="2EA54302" w14:textId="77777777" w:rsidR="00622FF2" w:rsidRDefault="00622FF2" w:rsidP="00670323">
      <w:pPr>
        <w:pStyle w:val="FootnoteText"/>
      </w:pPr>
      <w:r>
        <w:rPr>
          <w:rStyle w:val="FootnoteReference"/>
        </w:rPr>
        <w:footnoteRef/>
      </w:r>
      <w:r>
        <w:t xml:space="preserve"> </w:t>
      </w:r>
      <w:r w:rsidRPr="00186D60">
        <w:t>http://digital.nhs.uk/catalogue/PUB30089</w:t>
      </w:r>
    </w:p>
  </w:footnote>
  <w:footnote w:id="4">
    <w:p w14:paraId="1508606C" w14:textId="77777777" w:rsidR="00622FF2" w:rsidRDefault="00622FF2" w:rsidP="00670323">
      <w:pPr>
        <w:pStyle w:val="FootnoteText"/>
      </w:pPr>
      <w:r>
        <w:rPr>
          <w:rStyle w:val="FootnoteReference"/>
        </w:rPr>
        <w:footnoteRef/>
      </w:r>
      <w:r>
        <w:t xml:space="preserve"> Based on latest ODS and 2016/17paymentsdata – </w:t>
      </w:r>
      <w:hyperlink r:id="rId1" w:history="1">
        <w:r w:rsidRPr="005644CA">
          <w:rPr>
            <w:rStyle w:val="Hyperlink"/>
          </w:rPr>
          <w:t>http://digital.nhs.uk/catalogue/PUB30089</w:t>
        </w:r>
      </w:hyperlink>
      <w:r>
        <w:t xml:space="preserve"> &amp; </w:t>
      </w:r>
      <w:r w:rsidRPr="00562D2A">
        <w:t>https://digital.nhs.uk/organisation-data-service/data-downloads/gp-data</w:t>
      </w:r>
    </w:p>
  </w:footnote>
  <w:footnote w:id="5">
    <w:p w14:paraId="7D67C7A7" w14:textId="77777777" w:rsidR="00622FF2" w:rsidRDefault="00622FF2" w:rsidP="00670323">
      <w:pPr>
        <w:pStyle w:val="FootnoteText"/>
      </w:pPr>
      <w:r>
        <w:rPr>
          <w:rStyle w:val="FootnoteReference"/>
        </w:rPr>
        <w:footnoteRef/>
      </w:r>
      <w:r>
        <w:t xml:space="preserve"> </w:t>
      </w:r>
      <w:r w:rsidRPr="009C00E0">
        <w:t>http://www.health.org.uk/publication/improving-quality-general-practice</w:t>
      </w:r>
    </w:p>
  </w:footnote>
  <w:footnote w:id="6">
    <w:p w14:paraId="2568CE1D" w14:textId="77777777" w:rsidR="00622FF2" w:rsidRPr="00563D47" w:rsidRDefault="00622FF2" w:rsidP="002C0080">
      <w:pPr>
        <w:pStyle w:val="FootnoteText"/>
        <w:rPr>
          <w:rFonts w:ascii="Frutiger LT Std 45 Light" w:hAnsi="Frutiger LT Std 45 Light" w:hint="eastAsia"/>
          <w:sz w:val="18"/>
          <w:szCs w:val="18"/>
        </w:rPr>
      </w:pPr>
      <w:r w:rsidRPr="00563D47">
        <w:rPr>
          <w:rStyle w:val="FootnoteReference"/>
          <w:rFonts w:ascii="Frutiger LT Std 45 Light" w:hAnsi="Frutiger LT Std 45 Light"/>
          <w:sz w:val="18"/>
          <w:szCs w:val="18"/>
        </w:rPr>
        <w:footnoteRef/>
      </w:r>
      <w:r w:rsidRPr="00563D47">
        <w:rPr>
          <w:rFonts w:ascii="Frutiger LT Std 45 Light" w:hAnsi="Frutiger LT Std 45 Light"/>
          <w:sz w:val="18"/>
          <w:szCs w:val="18"/>
        </w:rPr>
        <w:t xml:space="preserve"> Statement of financial entitlements (SFE), Part 1, para 2.3 (April 2015)</w:t>
      </w:r>
    </w:p>
  </w:footnote>
  <w:footnote w:id="7">
    <w:p w14:paraId="40B807A0" w14:textId="77777777" w:rsidR="00622FF2" w:rsidRPr="00793F89" w:rsidRDefault="00622FF2" w:rsidP="002C0080">
      <w:pPr>
        <w:pStyle w:val="FootnoteText"/>
        <w:rPr>
          <w:rFonts w:ascii="Frutiger LT Std 45 Light" w:hAnsi="Frutiger LT Std 45 Light" w:hint="eastAsia"/>
          <w:sz w:val="18"/>
          <w:szCs w:val="18"/>
          <w:lang w:val="en-US"/>
        </w:rPr>
      </w:pPr>
      <w:r w:rsidRPr="00061130">
        <w:rPr>
          <w:rStyle w:val="FootnoteReference"/>
          <w:rFonts w:ascii="Frutiger LT Std 45 Light" w:hAnsi="Frutiger LT Std 45 Light"/>
          <w:sz w:val="18"/>
          <w:szCs w:val="18"/>
        </w:rPr>
        <w:footnoteRef/>
      </w:r>
      <w:r w:rsidRPr="00061130">
        <w:rPr>
          <w:rFonts w:ascii="Frutiger LT Std 45 Light" w:hAnsi="Frutiger LT Std 45 Light"/>
          <w:sz w:val="18"/>
          <w:szCs w:val="18"/>
        </w:rPr>
        <w:t xml:space="preserve"> T</w:t>
      </w:r>
      <w:r w:rsidRPr="00061130">
        <w:rPr>
          <w:rFonts w:ascii="Frutiger LT Std 45 Light" w:hAnsi="Frutiger LT Std 45 Light"/>
          <w:sz w:val="18"/>
          <w:szCs w:val="18"/>
          <w:lang w:val="en-US"/>
        </w:rPr>
        <w:t>he FP69 flag in these circumstances will affect a breast screening invitation</w:t>
      </w:r>
    </w:p>
  </w:footnote>
  <w:footnote w:id="8">
    <w:p w14:paraId="6F095DD6" w14:textId="77777777" w:rsidR="00622FF2" w:rsidRPr="00767AFB" w:rsidRDefault="00622FF2" w:rsidP="002C0080">
      <w:pPr>
        <w:pStyle w:val="FootnoteText"/>
        <w:rPr>
          <w:rFonts w:ascii="Frutiger LT Std 45 Light" w:hAnsi="Frutiger LT Std 45 Light" w:hint="eastAsia"/>
          <w:sz w:val="18"/>
          <w:szCs w:val="18"/>
          <w:lang w:val="en-US"/>
        </w:rPr>
      </w:pPr>
      <w:r w:rsidRPr="00776CB9">
        <w:rPr>
          <w:rStyle w:val="FootnoteReference"/>
          <w:rFonts w:ascii="Frutiger LT Std 45 Light" w:hAnsi="Frutiger LT Std 45 Light"/>
          <w:sz w:val="18"/>
          <w:szCs w:val="18"/>
        </w:rPr>
        <w:footnoteRef/>
      </w:r>
      <w:r w:rsidRPr="00776CB9">
        <w:rPr>
          <w:rFonts w:ascii="Frutiger LT Std 45 Light" w:hAnsi="Frutiger LT Std 45 Light"/>
          <w:sz w:val="18"/>
          <w:szCs w:val="18"/>
        </w:rPr>
        <w:t xml:space="preserve"> </w:t>
      </w:r>
      <w:r w:rsidRPr="00776CB9">
        <w:rPr>
          <w:rFonts w:ascii="Frutiger LT Std 45 Light" w:hAnsi="Frutiger LT Std 45 Light"/>
          <w:sz w:val="18"/>
          <w:szCs w:val="18"/>
          <w:lang w:val="en-US"/>
        </w:rPr>
        <w:t>The FP69 flag in these circumstances will affect a breast screening invitation</w:t>
      </w:r>
    </w:p>
  </w:footnote>
  <w:footnote w:id="9">
    <w:p w14:paraId="3BBB0EE4" w14:textId="0CC2030C" w:rsidR="00622FF2" w:rsidRDefault="00622FF2">
      <w:pPr>
        <w:pStyle w:val="FootnoteText"/>
      </w:pPr>
      <w:r>
        <w:rPr>
          <w:rStyle w:val="FootnoteReference"/>
        </w:rPr>
        <w:footnoteRef/>
      </w:r>
      <w:r>
        <w:t xml:space="preserve"> </w:t>
      </w:r>
      <w:hyperlink r:id="rId2" w:history="1">
        <w:r w:rsidRPr="00D25E0C">
          <w:rPr>
            <w:rStyle w:val="Hyperlink"/>
            <w:rFonts w:ascii="Calibri" w:hAnsi="Calibri"/>
          </w:rPr>
          <w:t>https://www.ons.gov.uk/peoplepopulationandcommunity/populationandmigration/populationestimates/methodologies/patientregisterqualityassuranceofadministrativedatausedinpopulationstatisticsdec2016</w:t>
        </w:r>
      </w:hyperlink>
    </w:p>
  </w:footnote>
  <w:footnote w:id="10">
    <w:p w14:paraId="0890E1C0" w14:textId="77777777" w:rsidR="00622FF2" w:rsidRPr="00933B85" w:rsidRDefault="00622FF2" w:rsidP="00DB11FA">
      <w:r>
        <w:rPr>
          <w:rStyle w:val="FootnoteReference"/>
        </w:rPr>
        <w:footnoteRef/>
      </w:r>
      <w:r>
        <w:t xml:space="preserve"> </w:t>
      </w:r>
      <w:r w:rsidRPr="00A57463">
        <w:t>http://www.cqc.org.uk/content/gp-mythbuster-29-looking-after-homeless-patients-general-practice</w:t>
      </w:r>
    </w:p>
    <w:p w14:paraId="39314A15" w14:textId="77777777" w:rsidR="00622FF2" w:rsidRDefault="00622FF2" w:rsidP="00DB11FA">
      <w:pPr>
        <w:pStyle w:val="FootnoteText"/>
      </w:pPr>
    </w:p>
  </w:footnote>
  <w:footnote w:id="11">
    <w:p w14:paraId="32F3DE79" w14:textId="77777777" w:rsidR="00622FF2" w:rsidRDefault="00622FF2" w:rsidP="00DB11FA">
      <w:pPr>
        <w:pStyle w:val="FootnoteText"/>
      </w:pPr>
      <w:r>
        <w:rPr>
          <w:rStyle w:val="FootnoteReference"/>
        </w:rPr>
        <w:footnoteRef/>
      </w:r>
      <w:r>
        <w:t xml:space="preserve"> There may be legitimate exceptions to this, such as where both parents are serving in the armed forces and are registered with an ‘armed forces’ GP.</w:t>
      </w:r>
    </w:p>
  </w:footnote>
  <w:footnote w:id="12">
    <w:p w14:paraId="4B6521E2" w14:textId="77777777" w:rsidR="00622FF2" w:rsidRPr="00976971" w:rsidRDefault="00622FF2" w:rsidP="00867DFB">
      <w:pPr>
        <w:pStyle w:val="FootnoteText"/>
        <w:rPr>
          <w:rFonts w:ascii="Arial" w:hAnsi="Arial" w:cs="Arial"/>
        </w:rPr>
      </w:pPr>
      <w:r>
        <w:rPr>
          <w:rStyle w:val="FootnoteReference"/>
        </w:rPr>
        <w:footnoteRef/>
      </w:r>
      <w:r>
        <w:t xml:space="preserve"> </w:t>
      </w:r>
      <w:hyperlink r:id="rId3" w:history="1">
        <w:r w:rsidRPr="00976971">
          <w:rPr>
            <w:rStyle w:val="Hyperlink"/>
            <w:rFonts w:ascii="Arial" w:hAnsi="Arial" w:cs="Arial"/>
          </w:rPr>
          <w:t>https://www.gov.uk/government/publications/nhs-primary-medical-services-directions-2013</w:t>
        </w:r>
      </w:hyperlink>
      <w:r w:rsidRPr="00976971">
        <w:rPr>
          <w:rFonts w:ascii="Arial" w:hAnsi="Arial" w:cs="Arial"/>
        </w:rPr>
        <w:t xml:space="preserve"> </w:t>
      </w:r>
    </w:p>
  </w:footnote>
  <w:footnote w:id="13">
    <w:p w14:paraId="01D1AC1A" w14:textId="77777777" w:rsidR="00622FF2" w:rsidRPr="00976971" w:rsidRDefault="00622FF2" w:rsidP="00867DFB">
      <w:pPr>
        <w:pStyle w:val="FootnoteText"/>
        <w:rPr>
          <w:rFonts w:ascii="Arial" w:hAnsi="Arial" w:cs="Arial"/>
        </w:rPr>
      </w:pPr>
      <w:r w:rsidRPr="00976971">
        <w:rPr>
          <w:rStyle w:val="FootnoteReference"/>
          <w:rFonts w:ascii="Arial" w:hAnsi="Arial" w:cs="Arial"/>
        </w:rPr>
        <w:footnoteRef/>
      </w:r>
      <w:r w:rsidRPr="00976971">
        <w:rPr>
          <w:rFonts w:ascii="Arial" w:hAnsi="Arial" w:cs="Arial"/>
        </w:rPr>
        <w:t xml:space="preserve"> </w:t>
      </w:r>
      <w:hyperlink r:id="rId4" w:history="1">
        <w:r w:rsidRPr="00976971">
          <w:rPr>
            <w:rStyle w:val="Hyperlink"/>
            <w:rFonts w:ascii="Arial" w:hAnsi="Arial" w:cs="Arial"/>
          </w:rPr>
          <w:t>https://www.gov.uk/government/publications/nhs-primary-medical-services-directions-2013</w:t>
        </w:r>
      </w:hyperlink>
      <w:r w:rsidRPr="00976971">
        <w:rPr>
          <w:rFonts w:ascii="Arial" w:hAnsi="Arial" w:cs="Arial"/>
        </w:rPr>
        <w:t xml:space="preserve"> </w:t>
      </w:r>
    </w:p>
  </w:footnote>
  <w:footnote w:id="14">
    <w:p w14:paraId="63C4227B" w14:textId="77777777" w:rsidR="00622FF2" w:rsidRPr="00016B81" w:rsidRDefault="00622FF2" w:rsidP="00867DFB">
      <w:pPr>
        <w:pStyle w:val="FootnoteText"/>
      </w:pPr>
      <w:r w:rsidRPr="00976971">
        <w:rPr>
          <w:rStyle w:val="FootnoteReference"/>
          <w:rFonts w:ascii="Arial" w:hAnsi="Arial" w:cs="Arial"/>
        </w:rPr>
        <w:footnoteRef/>
      </w:r>
      <w:r w:rsidRPr="00976971">
        <w:rPr>
          <w:rFonts w:ascii="Arial" w:hAnsi="Arial" w:cs="Arial"/>
        </w:rPr>
        <w:t xml:space="preserve"> Providing the pr</w:t>
      </w:r>
      <w:r>
        <w:rPr>
          <w:rFonts w:ascii="Arial" w:hAnsi="Arial" w:cs="Arial"/>
        </w:rPr>
        <w:t xml:space="preserve">ovisions of paragraphs 15.3, </w:t>
      </w:r>
      <w:r w:rsidRPr="00976971">
        <w:rPr>
          <w:rFonts w:ascii="Arial" w:hAnsi="Arial" w:cs="Arial"/>
        </w:rPr>
        <w:t>15.4</w:t>
      </w:r>
      <w:r>
        <w:rPr>
          <w:rFonts w:ascii="Arial" w:hAnsi="Arial" w:cs="Arial"/>
        </w:rPr>
        <w:t>,</w:t>
      </w:r>
      <w:r w:rsidRPr="00976971">
        <w:rPr>
          <w:rFonts w:ascii="Arial" w:hAnsi="Arial" w:cs="Arial"/>
        </w:rPr>
        <w:t xml:space="preserve"> </w:t>
      </w:r>
      <w:r>
        <w:rPr>
          <w:rFonts w:ascii="Arial" w:hAnsi="Arial" w:cs="Arial"/>
        </w:rPr>
        <w:t xml:space="preserve">16.3 and 16.4 </w:t>
      </w:r>
      <w:r w:rsidRPr="00976971">
        <w:rPr>
          <w:rFonts w:ascii="Arial" w:hAnsi="Arial" w:cs="Arial"/>
        </w:rPr>
        <w:t>of the SFE ar</w:t>
      </w:r>
      <w:r w:rsidRPr="00333E86">
        <w:rPr>
          <w:rFonts w:ascii="Arial" w:hAnsi="Arial" w:cs="Arial"/>
        </w:rPr>
        <w:t xml:space="preserve">e </w:t>
      </w:r>
      <w:r w:rsidRPr="00A019C1">
        <w:rPr>
          <w:rFonts w:ascii="Arial" w:hAnsi="Arial" w:cs="Arial"/>
        </w:rPr>
        <w:t>met</w:t>
      </w:r>
      <w:r>
        <w:rPr>
          <w:rFonts w:ascii="Arial" w:hAnsi="Arial" w:cs="Arial"/>
        </w:rPr>
        <w:t xml:space="preserve"> </w:t>
      </w:r>
    </w:p>
  </w:footnote>
  <w:footnote w:id="15">
    <w:p w14:paraId="766BBBFF" w14:textId="77777777" w:rsidR="00622FF2" w:rsidRPr="00333E86" w:rsidRDefault="00622FF2" w:rsidP="00867DFB">
      <w:pPr>
        <w:pStyle w:val="FootnoteText"/>
        <w:rPr>
          <w:rFonts w:ascii="Arial" w:hAnsi="Arial" w:cs="Arial"/>
        </w:rPr>
      </w:pPr>
      <w:r w:rsidRPr="00333E86">
        <w:rPr>
          <w:rStyle w:val="FootnoteReference"/>
          <w:rFonts w:ascii="Arial" w:hAnsi="Arial" w:cs="Arial"/>
        </w:rPr>
        <w:footnoteRef/>
      </w:r>
      <w:r>
        <w:rPr>
          <w:rFonts w:ascii="Arial" w:hAnsi="Arial" w:cs="Arial"/>
        </w:rPr>
        <w:t xml:space="preserve"> Weeks are defined as </w:t>
      </w:r>
      <w:r w:rsidRPr="00F80F21">
        <w:rPr>
          <w:rFonts w:ascii="Arial" w:hAnsi="Arial" w:cs="Arial"/>
        </w:rPr>
        <w:t>five working days</w:t>
      </w:r>
    </w:p>
  </w:footnote>
  <w:footnote w:id="16">
    <w:p w14:paraId="2B526750" w14:textId="77777777" w:rsidR="00622FF2" w:rsidRDefault="00622FF2" w:rsidP="00836ECF">
      <w:pPr>
        <w:tabs>
          <w:tab w:val="left" w:pos="128"/>
        </w:tabs>
        <w:spacing w:line="204" w:lineRule="auto"/>
        <w:ind w:left="1" w:right="320"/>
        <w:rPr>
          <w:rFonts w:eastAsia="Arial"/>
          <w:sz w:val="26"/>
          <w:vertAlign w:val="superscript"/>
        </w:rPr>
      </w:pPr>
      <w:r>
        <w:rPr>
          <w:rStyle w:val="FootnoteReference"/>
        </w:rPr>
        <w:footnoteRef/>
      </w:r>
      <w:r>
        <w:t xml:space="preserve"> </w:t>
      </w:r>
      <w:r>
        <w:rPr>
          <w:rFonts w:eastAsia="Arial"/>
        </w:rPr>
        <w:t xml:space="preserve">For the central Primary Care Commissioning Team, the project files include further </w:t>
      </w:r>
      <w:r>
        <w:rPr>
          <w:rFonts w:eastAsia="Arial"/>
          <w:color w:val="0000FF"/>
          <w:u w:val="single"/>
        </w:rPr>
        <w:t>background to</w:t>
      </w:r>
      <w:r>
        <w:rPr>
          <w:rFonts w:eastAsia="Arial"/>
        </w:rPr>
        <w:t xml:space="preserve"> </w:t>
      </w:r>
      <w:r>
        <w:rPr>
          <w:rFonts w:eastAsia="Arial"/>
          <w:color w:val="0000FF"/>
          <w:u w:val="single"/>
        </w:rPr>
        <w:t>developing this guidance’</w:t>
      </w:r>
      <w:r>
        <w:rPr>
          <w:rFonts w:eastAsia="Arial"/>
          <w:color w:val="000000"/>
        </w:rPr>
        <w:t>.</w:t>
      </w:r>
    </w:p>
    <w:p w14:paraId="132489DF" w14:textId="0E6A9E95" w:rsidR="00622FF2" w:rsidRDefault="00622FF2">
      <w:pPr>
        <w:pStyle w:val="FootnoteText"/>
      </w:pPr>
    </w:p>
  </w:footnote>
  <w:footnote w:id="17">
    <w:p w14:paraId="381AF639" w14:textId="77777777" w:rsidR="00622FF2" w:rsidRDefault="00622FF2" w:rsidP="00782D1D">
      <w:pPr>
        <w:tabs>
          <w:tab w:val="left" w:pos="128"/>
        </w:tabs>
        <w:spacing w:line="204" w:lineRule="auto"/>
        <w:ind w:left="1" w:right="380"/>
        <w:rPr>
          <w:rFonts w:eastAsia="Arial"/>
          <w:sz w:val="26"/>
          <w:vertAlign w:val="superscript"/>
        </w:rPr>
      </w:pPr>
      <w:r>
        <w:rPr>
          <w:rStyle w:val="FootnoteReference"/>
        </w:rPr>
        <w:footnoteRef/>
      </w:r>
      <w:r>
        <w:t xml:space="preserve"> </w:t>
      </w:r>
      <w:r>
        <w:rPr>
          <w:rFonts w:eastAsia="Arial"/>
        </w:rPr>
        <w:t>£10m Vulnerable Practice Programme (2016-17), £40m General Practice Resilience Programme (£16m 2016-17 and £8m p.a. for the following 3 years)</w:t>
      </w:r>
    </w:p>
    <w:p w14:paraId="3995027A" w14:textId="4A79A77B" w:rsidR="00622FF2" w:rsidRDefault="00622FF2">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F5128" w14:textId="77777777" w:rsidR="00622FF2" w:rsidRDefault="00622FF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FE188F" w14:textId="77777777" w:rsidR="00622FF2" w:rsidRDefault="00622FF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7A1F52" w14:textId="77777777" w:rsidR="00622FF2" w:rsidRDefault="00622FF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6D9099" w14:textId="77777777" w:rsidR="00622FF2" w:rsidRDefault="00622FF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0890BA" w14:textId="41E63F3C" w:rsidR="00622FF2" w:rsidRPr="00AA2766" w:rsidRDefault="00622FF2" w:rsidP="00AA2766">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AD87DB" w14:textId="77777777" w:rsidR="00622FF2" w:rsidRDefault="00622FF2">
    <w:pPr>
      <w:pStyle w:val="Header"/>
    </w:pPr>
  </w:p>
  <w:p w14:paraId="319A4C7B" w14:textId="77777777" w:rsidR="00622FF2" w:rsidRDefault="00622FF2">
    <w:pPr>
      <w:pStyle w:val="Header"/>
    </w:pPr>
  </w:p>
  <w:sdt>
    <w:sdtPr>
      <w:alias w:val="Protective Marking"/>
      <w:tag w:val="Protective Marking"/>
      <w:id w:val="907739856"/>
      <w:lock w:val="sdtLocked"/>
      <w:dropDownList>
        <w:listItem w:displayText="OFFICIAL" w:value="OFFICIAL"/>
        <w:listItem w:displayText="OFFICIAL-SENSITIVE: COMMERCIAL" w:value="OFFICIAL-SENSITIVE: COMMERCIAL"/>
        <w:listItem w:displayText="OFFICIAL-SENSITIVE: PERSONAL" w:value="OFFICIAL-SENSITIVE: PERSONAL"/>
      </w:dropDownList>
    </w:sdtPr>
    <w:sdtEndPr/>
    <w:sdtContent>
      <w:p w14:paraId="0774E98C" w14:textId="45FD01D6" w:rsidR="00622FF2" w:rsidRDefault="00622FF2" w:rsidP="00280330">
        <w:pPr>
          <w:pStyle w:val="Header"/>
          <w:jc w:val="center"/>
        </w:pPr>
        <w:r>
          <w:t>OFFICIAL</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E39C99A2"/>
    <w:lvl w:ilvl="0">
      <w:start w:val="1"/>
      <w:numFmt w:val="decimal"/>
      <w:lvlText w:val="%1."/>
      <w:lvlJc w:val="left"/>
      <w:pPr>
        <w:tabs>
          <w:tab w:val="num" w:pos="720"/>
        </w:tabs>
        <w:ind w:left="720" w:hanging="720"/>
      </w:pPr>
      <w:rPr>
        <w:rFonts w:ascii="Frutiger LT 65 Bold" w:hAnsi="Frutiger LT 65 Bold" w:hint="default"/>
        <w:b w:val="0"/>
        <w:i w:val="0"/>
        <w:color w:val="A4005F"/>
        <w:sz w:val="28"/>
        <w:szCs w:val="28"/>
      </w:rPr>
    </w:lvl>
    <w:lvl w:ilvl="1">
      <w:start w:val="1"/>
      <w:numFmt w:val="decimal"/>
      <w:lvlText w:val="%1.%2"/>
      <w:lvlJc w:val="left"/>
      <w:pPr>
        <w:tabs>
          <w:tab w:val="num" w:pos="0"/>
        </w:tabs>
        <w:ind w:left="1440" w:hanging="720"/>
      </w:pPr>
      <w:rPr>
        <w:rFonts w:cs="Times New Roman" w:hint="default"/>
        <w:b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tabs>
          <w:tab w:val="num" w:pos="0"/>
        </w:tabs>
        <w:ind w:left="2404" w:hanging="720"/>
      </w:pPr>
      <w:rPr>
        <w:rFonts w:ascii="Frutiger LT Std 45 Light" w:hAnsi="Frutiger LT Std 45 Light" w:hint="default"/>
        <w:sz w:val="24"/>
        <w:szCs w:val="24"/>
      </w:rPr>
    </w:lvl>
    <w:lvl w:ilvl="3">
      <w:start w:val="1"/>
      <w:numFmt w:val="decimal"/>
      <w:lvlText w:val="%1.%2.%3.%4"/>
      <w:lvlJc w:val="left"/>
      <w:pPr>
        <w:tabs>
          <w:tab w:val="num" w:pos="0"/>
        </w:tabs>
        <w:ind w:left="3612" w:hanging="720"/>
      </w:pPr>
      <w:rPr>
        <w:rFonts w:ascii="Frutiger LT Std 45 Light" w:hAnsi="Frutiger LT Std 45 Light" w:hint="default"/>
        <w:sz w:val="24"/>
        <w:szCs w:val="24"/>
      </w:rPr>
    </w:lvl>
    <w:lvl w:ilvl="4">
      <w:start w:val="1"/>
      <w:numFmt w:val="decimal"/>
      <w:lvlText w:val="%1.%2.%3.%4.%5"/>
      <w:lvlJc w:val="left"/>
      <w:pPr>
        <w:tabs>
          <w:tab w:val="num" w:pos="4709"/>
        </w:tabs>
        <w:ind w:left="4349" w:hanging="72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Letter"/>
      <w:lvlText w:val="(%6)"/>
      <w:lvlJc w:val="left"/>
      <w:pPr>
        <w:tabs>
          <w:tab w:val="num" w:pos="5058"/>
        </w:tabs>
        <w:ind w:left="5058" w:hanging="720"/>
      </w:pPr>
      <w:rPr>
        <w:rFonts w:ascii="Arial" w:hAnsi="Arial" w:hint="default"/>
        <w:sz w:val="20"/>
      </w:rPr>
    </w:lvl>
    <w:lvl w:ilvl="6">
      <w:start w:val="1"/>
      <w:numFmt w:val="lowerRoman"/>
      <w:lvlText w:val="(%7)"/>
      <w:lvlJc w:val="left"/>
      <w:pPr>
        <w:tabs>
          <w:tab w:val="num" w:pos="5761"/>
        </w:tabs>
        <w:ind w:left="5761" w:hanging="720"/>
      </w:pPr>
      <w:rPr>
        <w:rFonts w:ascii="Arial" w:hAnsi="Arial" w:hint="default"/>
        <w:b w:val="0"/>
        <w:i w:val="0"/>
        <w:sz w:val="20"/>
      </w:rPr>
    </w:lvl>
    <w:lvl w:ilvl="7">
      <w:start w:val="1"/>
      <w:numFmt w:val="bullet"/>
      <w:lvlText w:val=""/>
      <w:lvlJc w:val="left"/>
      <w:pPr>
        <w:tabs>
          <w:tab w:val="num" w:pos="6447"/>
        </w:tabs>
        <w:ind w:left="6447" w:hanging="720"/>
      </w:pPr>
      <w:rPr>
        <w:rFonts w:ascii="Symbol" w:hAnsi="Symbol" w:hint="default"/>
      </w:rPr>
    </w:lvl>
    <w:lvl w:ilvl="8">
      <w:start w:val="1"/>
      <w:numFmt w:val="bullet"/>
      <w:lvlText w:val=""/>
      <w:lvlJc w:val="left"/>
      <w:pPr>
        <w:tabs>
          <w:tab w:val="num" w:pos="7155"/>
        </w:tabs>
        <w:ind w:left="7155" w:hanging="720"/>
      </w:pPr>
      <w:rPr>
        <w:rFonts w:ascii="Symbol" w:hAnsi="Symbol" w:hint="default"/>
      </w:rPr>
    </w:lvl>
  </w:abstractNum>
  <w:abstractNum w:abstractNumId="1">
    <w:nsid w:val="00000002"/>
    <w:multiLevelType w:val="hybridMultilevel"/>
    <w:tmpl w:val="436C612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7"/>
    <w:multiLevelType w:val="hybridMultilevel"/>
    <w:tmpl w:val="2D1D5AE8"/>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8"/>
    <w:multiLevelType w:val="hybridMultilevel"/>
    <w:tmpl w:val="6763845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9"/>
    <w:multiLevelType w:val="hybridMultilevel"/>
    <w:tmpl w:val="75A2A8D4"/>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B"/>
    <w:multiLevelType w:val="hybridMultilevel"/>
    <w:tmpl w:val="79838CB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C"/>
    <w:multiLevelType w:val="hybridMultilevel"/>
    <w:tmpl w:val="4353D0C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D"/>
    <w:multiLevelType w:val="hybridMultilevel"/>
    <w:tmpl w:val="0B03E0C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12"/>
    <w:multiLevelType w:val="hybridMultilevel"/>
    <w:tmpl w:val="A5F2CF9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13"/>
    <w:multiLevelType w:val="hybridMultilevel"/>
    <w:tmpl w:val="02901D82"/>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14"/>
    <w:multiLevelType w:val="hybridMultilevel"/>
    <w:tmpl w:val="61BCDD9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16"/>
    <w:multiLevelType w:val="hybridMultilevel"/>
    <w:tmpl w:val="1E7FF52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17"/>
    <w:multiLevelType w:val="hybridMultilevel"/>
    <w:tmpl w:val="7C3DBD3C"/>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18"/>
    <w:multiLevelType w:val="hybridMultilevel"/>
    <w:tmpl w:val="737B8DDC"/>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19"/>
    <w:multiLevelType w:val="hybridMultilevel"/>
    <w:tmpl w:val="6CEAF086"/>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1A"/>
    <w:multiLevelType w:val="hybridMultilevel"/>
    <w:tmpl w:val="22221A70"/>
    <w:lvl w:ilvl="0" w:tplc="FFFFFFFF">
      <w:start w:val="15"/>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B"/>
    <w:multiLevelType w:val="hybridMultilevel"/>
    <w:tmpl w:val="4516DDE8"/>
    <w:lvl w:ilvl="0" w:tplc="FFFFFFFF">
      <w:start w:val="1"/>
      <w:numFmt w:val="bullet"/>
      <w:lvlText w:val=""/>
      <w:lvlJc w:val="left"/>
    </w:lvl>
    <w:lvl w:ilvl="1" w:tplc="FFFFFFFF">
      <w:start w:val="15"/>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1C"/>
    <w:multiLevelType w:val="hybridMultilevel"/>
    <w:tmpl w:val="3006C83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1E"/>
    <w:multiLevelType w:val="hybridMultilevel"/>
    <w:tmpl w:val="419AC24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1F"/>
    <w:multiLevelType w:val="hybridMultilevel"/>
    <w:tmpl w:val="5577F8E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21"/>
    <w:multiLevelType w:val="hybridMultilevel"/>
    <w:tmpl w:val="0507236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22"/>
    <w:multiLevelType w:val="hybridMultilevel"/>
    <w:tmpl w:val="3804823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23"/>
    <w:multiLevelType w:val="hybridMultilevel"/>
    <w:tmpl w:val="77465F0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24"/>
    <w:multiLevelType w:val="hybridMultilevel"/>
    <w:tmpl w:val="7724C67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25"/>
    <w:multiLevelType w:val="hybridMultilevel"/>
    <w:tmpl w:val="5C482A96"/>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DB079E"/>
    <w:multiLevelType w:val="multilevel"/>
    <w:tmpl w:val="E2C09B04"/>
    <w:lvl w:ilvl="0">
      <w:start w:val="1"/>
      <w:numFmt w:val="decimal"/>
      <w:lvlText w:val="(%1)"/>
      <w:lvlJc w:val="left"/>
      <w:pPr>
        <w:ind w:left="600" w:hanging="360"/>
      </w:pPr>
      <w:rPr>
        <w:rFonts w:hint="default"/>
      </w:rPr>
    </w:lvl>
    <w:lvl w:ilvl="1" w:tentative="1">
      <w:start w:val="1"/>
      <w:numFmt w:val="lowerLetter"/>
      <w:lvlText w:val="%2."/>
      <w:lvlJc w:val="left"/>
      <w:pPr>
        <w:ind w:left="1320" w:hanging="360"/>
      </w:pPr>
    </w:lvl>
    <w:lvl w:ilvl="2" w:tentative="1">
      <w:start w:val="1"/>
      <w:numFmt w:val="lowerRoman"/>
      <w:lvlText w:val="%3."/>
      <w:lvlJc w:val="right"/>
      <w:pPr>
        <w:ind w:left="2040" w:hanging="180"/>
      </w:pPr>
    </w:lvl>
    <w:lvl w:ilvl="3" w:tentative="1">
      <w:start w:val="1"/>
      <w:numFmt w:val="decimal"/>
      <w:lvlText w:val="%4."/>
      <w:lvlJc w:val="left"/>
      <w:pPr>
        <w:ind w:left="2760" w:hanging="360"/>
      </w:pPr>
    </w:lvl>
    <w:lvl w:ilvl="4" w:tentative="1">
      <w:start w:val="1"/>
      <w:numFmt w:val="lowerLetter"/>
      <w:lvlText w:val="%5."/>
      <w:lvlJc w:val="left"/>
      <w:pPr>
        <w:ind w:left="3480" w:hanging="360"/>
      </w:pPr>
    </w:lvl>
    <w:lvl w:ilvl="5" w:tentative="1">
      <w:start w:val="1"/>
      <w:numFmt w:val="lowerRoman"/>
      <w:lvlText w:val="%6."/>
      <w:lvlJc w:val="right"/>
      <w:pPr>
        <w:ind w:left="4200" w:hanging="180"/>
      </w:pPr>
    </w:lvl>
    <w:lvl w:ilvl="6" w:tentative="1">
      <w:start w:val="1"/>
      <w:numFmt w:val="decimal"/>
      <w:lvlText w:val="%7."/>
      <w:lvlJc w:val="left"/>
      <w:pPr>
        <w:ind w:left="4920" w:hanging="360"/>
      </w:pPr>
    </w:lvl>
    <w:lvl w:ilvl="7" w:tentative="1">
      <w:start w:val="1"/>
      <w:numFmt w:val="lowerLetter"/>
      <w:lvlText w:val="%8."/>
      <w:lvlJc w:val="left"/>
      <w:pPr>
        <w:ind w:left="5640" w:hanging="360"/>
      </w:pPr>
    </w:lvl>
    <w:lvl w:ilvl="8" w:tentative="1">
      <w:start w:val="1"/>
      <w:numFmt w:val="lowerRoman"/>
      <w:lvlText w:val="%9."/>
      <w:lvlJc w:val="right"/>
      <w:pPr>
        <w:ind w:left="6360" w:hanging="180"/>
      </w:pPr>
    </w:lvl>
  </w:abstractNum>
  <w:abstractNum w:abstractNumId="26">
    <w:nsid w:val="020B051F"/>
    <w:multiLevelType w:val="hybridMultilevel"/>
    <w:tmpl w:val="2B4C64E2"/>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023D0B1E"/>
    <w:multiLevelType w:val="hybridMultilevel"/>
    <w:tmpl w:val="61C8D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04835681"/>
    <w:multiLevelType w:val="hybridMultilevel"/>
    <w:tmpl w:val="9FCE39C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nsid w:val="04D3502C"/>
    <w:multiLevelType w:val="hybridMultilevel"/>
    <w:tmpl w:val="0100BC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05066046"/>
    <w:multiLevelType w:val="hybridMultilevel"/>
    <w:tmpl w:val="3C609B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05D746EB"/>
    <w:multiLevelType w:val="hybridMultilevel"/>
    <w:tmpl w:val="C63A55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06465801"/>
    <w:multiLevelType w:val="hybridMultilevel"/>
    <w:tmpl w:val="D520B6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067C6EB1"/>
    <w:multiLevelType w:val="hybridMultilevel"/>
    <w:tmpl w:val="79A8B01A"/>
    <w:lvl w:ilvl="0" w:tplc="A38E2C4A">
      <w:start w:val="1"/>
      <w:numFmt w:val="decimal"/>
      <w:lvlText w:val="(%1)"/>
      <w:lvlJc w:val="left"/>
      <w:pPr>
        <w:ind w:left="720" w:hanging="360"/>
      </w:pPr>
      <w:rPr>
        <w:rFonts w:hint="default"/>
      </w:rPr>
    </w:lvl>
    <w:lvl w:ilvl="1" w:tplc="E73CA988">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068729A5"/>
    <w:multiLevelType w:val="hybridMultilevel"/>
    <w:tmpl w:val="D43CB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085A07FD"/>
    <w:multiLevelType w:val="hybridMultilevel"/>
    <w:tmpl w:val="5394C48C"/>
    <w:lvl w:ilvl="0" w:tplc="B8B823C2">
      <w:start w:val="1"/>
      <w:numFmt w:val="decimal"/>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09D145BC"/>
    <w:multiLevelType w:val="hybridMultilevel"/>
    <w:tmpl w:val="E2C09B04"/>
    <w:lvl w:ilvl="0" w:tplc="0AACAC5C">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37">
    <w:nsid w:val="0A4D6E66"/>
    <w:multiLevelType w:val="hybridMultilevel"/>
    <w:tmpl w:val="FFC6F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0B49210D"/>
    <w:multiLevelType w:val="hybridMultilevel"/>
    <w:tmpl w:val="4FE69F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0B876D01"/>
    <w:multiLevelType w:val="hybridMultilevel"/>
    <w:tmpl w:val="1EC01E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0E83574D"/>
    <w:multiLevelType w:val="hybridMultilevel"/>
    <w:tmpl w:val="D34C8DA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1">
    <w:nsid w:val="109D128B"/>
    <w:multiLevelType w:val="hybridMultilevel"/>
    <w:tmpl w:val="0B5AD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11551A06"/>
    <w:multiLevelType w:val="multilevel"/>
    <w:tmpl w:val="81B81558"/>
    <w:lvl w:ilvl="0">
      <w:start w:val="1"/>
      <w:numFmt w:val="decimal"/>
      <w:lvlText w:val="%1."/>
      <w:lvlJc w:val="left"/>
      <w:pPr>
        <w:tabs>
          <w:tab w:val="num" w:pos="284"/>
        </w:tabs>
        <w:ind w:left="1004" w:hanging="720"/>
      </w:pPr>
      <w:rPr>
        <w:rFonts w:ascii="Frutiger LT 65 Bold" w:hAnsi="Frutiger LT 65 Bold" w:hint="default"/>
        <w:b w:val="0"/>
        <w:i w:val="0"/>
        <w:sz w:val="28"/>
      </w:rPr>
    </w:lvl>
    <w:lvl w:ilvl="1">
      <w:start w:val="1"/>
      <w:numFmt w:val="decimal"/>
      <w:lvlText w:val="%1.%2"/>
      <w:lvlJc w:val="left"/>
      <w:pPr>
        <w:tabs>
          <w:tab w:val="num" w:pos="1572"/>
        </w:tabs>
        <w:ind w:left="1572" w:hanging="720"/>
      </w:pPr>
      <w:rPr>
        <w:rFonts w:ascii="Frutiger LT Std 45 Light" w:hAnsi="Frutiger LT Std 45 Light" w:hint="default"/>
        <w:b w:val="0"/>
        <w:i w:val="0"/>
        <w:sz w:val="24"/>
      </w:rPr>
    </w:lvl>
    <w:lvl w:ilvl="2">
      <w:start w:val="1"/>
      <w:numFmt w:val="decimal"/>
      <w:lvlText w:val="%1.%2.%3"/>
      <w:lvlJc w:val="left"/>
      <w:pPr>
        <w:tabs>
          <w:tab w:val="num" w:pos="2393"/>
        </w:tabs>
        <w:ind w:left="2393" w:hanging="953"/>
      </w:pPr>
      <w:rPr>
        <w:rFonts w:ascii="Frutiger LT Std 45 Light" w:hAnsi="Frutiger LT Std 45 Light" w:hint="default"/>
        <w:sz w:val="24"/>
      </w:rPr>
    </w:lvl>
    <w:lvl w:ilvl="3">
      <w:start w:val="1"/>
      <w:numFmt w:val="lowerLetter"/>
      <w:lvlText w:val="(%4)"/>
      <w:lvlJc w:val="left"/>
      <w:pPr>
        <w:tabs>
          <w:tab w:val="num" w:pos="3612"/>
        </w:tabs>
        <w:ind w:left="3612" w:hanging="720"/>
      </w:pPr>
      <w:rPr>
        <w:rFonts w:ascii="Arial" w:hAnsi="Arial" w:hint="default"/>
        <w:sz w:val="20"/>
      </w:rPr>
    </w:lvl>
    <w:lvl w:ilvl="4">
      <w:start w:val="1"/>
      <w:numFmt w:val="lowerRoman"/>
      <w:lvlText w:val="(%5)"/>
      <w:lvlJc w:val="left"/>
      <w:pPr>
        <w:tabs>
          <w:tab w:val="num" w:pos="4349"/>
        </w:tabs>
        <w:ind w:left="4349" w:hanging="720"/>
      </w:pPr>
      <w:rPr>
        <w:rFonts w:ascii="Arial" w:hAnsi="Arial" w:hint="default"/>
        <w:sz w:val="20"/>
      </w:rPr>
    </w:lvl>
    <w:lvl w:ilvl="5">
      <w:start w:val="1"/>
      <w:numFmt w:val="upperLetter"/>
      <w:lvlText w:val="(%6)"/>
      <w:lvlJc w:val="left"/>
      <w:pPr>
        <w:tabs>
          <w:tab w:val="num" w:pos="5058"/>
        </w:tabs>
        <w:ind w:left="5058" w:hanging="720"/>
      </w:pPr>
      <w:rPr>
        <w:rFonts w:ascii="Arial" w:hAnsi="Arial" w:hint="default"/>
        <w:sz w:val="20"/>
      </w:rPr>
    </w:lvl>
    <w:lvl w:ilvl="6">
      <w:start w:val="1"/>
      <w:numFmt w:val="none"/>
      <w:lvlText w:val=""/>
      <w:lvlJc w:val="left"/>
      <w:pPr>
        <w:tabs>
          <w:tab w:val="num" w:pos="0"/>
        </w:tabs>
        <w:ind w:left="5761" w:hanging="720"/>
      </w:pPr>
      <w:rPr>
        <w:rFonts w:ascii="Symbol" w:hAnsi="Symbol" w:hint="default"/>
        <w:sz w:val="24"/>
      </w:rPr>
    </w:lvl>
    <w:lvl w:ilvl="7">
      <w:start w:val="1"/>
      <w:numFmt w:val="none"/>
      <w:lvlText w:val=""/>
      <w:lvlJc w:val="left"/>
      <w:pPr>
        <w:tabs>
          <w:tab w:val="num" w:pos="0"/>
        </w:tabs>
        <w:ind w:left="6447" w:hanging="720"/>
      </w:pPr>
      <w:rPr>
        <w:rFonts w:ascii="Symbol" w:hAnsi="Symbol" w:hint="default"/>
        <w:sz w:val="24"/>
      </w:rPr>
    </w:lvl>
    <w:lvl w:ilvl="8">
      <w:start w:val="1"/>
      <w:numFmt w:val="none"/>
      <w:lvlText w:val=""/>
      <w:lvlJc w:val="left"/>
      <w:pPr>
        <w:tabs>
          <w:tab w:val="num" w:pos="0"/>
        </w:tabs>
        <w:ind w:left="7155" w:hanging="720"/>
      </w:pPr>
      <w:rPr>
        <w:rFonts w:ascii="Symbol" w:hAnsi="Symbol" w:hint="default"/>
        <w:sz w:val="24"/>
      </w:rPr>
    </w:lvl>
  </w:abstractNum>
  <w:abstractNum w:abstractNumId="43">
    <w:nsid w:val="120A46C2"/>
    <w:multiLevelType w:val="hybridMultilevel"/>
    <w:tmpl w:val="666EF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13874AF6"/>
    <w:multiLevelType w:val="hybridMultilevel"/>
    <w:tmpl w:val="0D18D2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163C1DFC"/>
    <w:multiLevelType w:val="hybridMultilevel"/>
    <w:tmpl w:val="E78EB0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16600F40"/>
    <w:multiLevelType w:val="hybridMultilevel"/>
    <w:tmpl w:val="5992949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47">
    <w:nsid w:val="16B84B40"/>
    <w:multiLevelType w:val="hybridMultilevel"/>
    <w:tmpl w:val="1CF657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16BC631C"/>
    <w:multiLevelType w:val="hybridMultilevel"/>
    <w:tmpl w:val="CA4A3706"/>
    <w:lvl w:ilvl="0" w:tplc="D8584178">
      <w:start w:val="13"/>
      <w:numFmt w:val="bullet"/>
      <w:lvlText w:val="-"/>
      <w:lvlJc w:val="left"/>
      <w:pPr>
        <w:ind w:left="144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9">
    <w:nsid w:val="17990599"/>
    <w:multiLevelType w:val="hybridMultilevel"/>
    <w:tmpl w:val="E1C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17B6652B"/>
    <w:multiLevelType w:val="hybridMultilevel"/>
    <w:tmpl w:val="C16E2C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17CE0255"/>
    <w:multiLevelType w:val="hybridMultilevel"/>
    <w:tmpl w:val="6F2EA2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18470D29"/>
    <w:multiLevelType w:val="hybridMultilevel"/>
    <w:tmpl w:val="0DD86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18B161FA"/>
    <w:multiLevelType w:val="hybridMultilevel"/>
    <w:tmpl w:val="E79E3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nsid w:val="18E54444"/>
    <w:multiLevelType w:val="hybridMultilevel"/>
    <w:tmpl w:val="731C76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19354EEE"/>
    <w:multiLevelType w:val="hybridMultilevel"/>
    <w:tmpl w:val="A0322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nsid w:val="198D5947"/>
    <w:multiLevelType w:val="hybridMultilevel"/>
    <w:tmpl w:val="8D0A54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1A735CEB"/>
    <w:multiLevelType w:val="hybridMultilevel"/>
    <w:tmpl w:val="C818FAFA"/>
    <w:lvl w:ilvl="0" w:tplc="03484542">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1C7620EB"/>
    <w:multiLevelType w:val="hybridMultilevel"/>
    <w:tmpl w:val="1F3A6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1CC86928"/>
    <w:multiLevelType w:val="hybridMultilevel"/>
    <w:tmpl w:val="BFDCF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nsid w:val="1CD41FA8"/>
    <w:multiLevelType w:val="hybridMultilevel"/>
    <w:tmpl w:val="45BEFD92"/>
    <w:lvl w:ilvl="0" w:tplc="D8584178">
      <w:start w:val="13"/>
      <w:numFmt w:val="bullet"/>
      <w:lvlText w:val="-"/>
      <w:lvlJc w:val="left"/>
      <w:pPr>
        <w:ind w:left="3240" w:hanging="360"/>
      </w:pPr>
      <w:rPr>
        <w:rFonts w:ascii="Arial" w:eastAsiaTheme="minorHAnsi" w:hAnsi="Arial" w:cs="Aria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61">
    <w:nsid w:val="1CDF46F5"/>
    <w:multiLevelType w:val="hybridMultilevel"/>
    <w:tmpl w:val="51B4D550"/>
    <w:lvl w:ilvl="0" w:tplc="AC141CC0">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62">
    <w:nsid w:val="1ECF1BDB"/>
    <w:multiLevelType w:val="hybridMultilevel"/>
    <w:tmpl w:val="50CE49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3">
    <w:nsid w:val="1EDB71D1"/>
    <w:multiLevelType w:val="hybridMultilevel"/>
    <w:tmpl w:val="7C901E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1F4B4746"/>
    <w:multiLevelType w:val="hybridMultilevel"/>
    <w:tmpl w:val="10F4A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1FA66C0B"/>
    <w:multiLevelType w:val="hybridMultilevel"/>
    <w:tmpl w:val="714E1B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1FE7093A"/>
    <w:multiLevelType w:val="hybridMultilevel"/>
    <w:tmpl w:val="36909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204F2E5B"/>
    <w:multiLevelType w:val="hybridMultilevel"/>
    <w:tmpl w:val="4D1241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nsid w:val="22280C6E"/>
    <w:multiLevelType w:val="hybridMultilevel"/>
    <w:tmpl w:val="2AF09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22677549"/>
    <w:multiLevelType w:val="hybridMultilevel"/>
    <w:tmpl w:val="820ED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22B3724D"/>
    <w:multiLevelType w:val="hybridMultilevel"/>
    <w:tmpl w:val="8DE2B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243E20D7"/>
    <w:multiLevelType w:val="multilevel"/>
    <w:tmpl w:val="1E46A4F6"/>
    <w:lvl w:ilvl="0">
      <w:start w:val="1"/>
      <w:numFmt w:val="decimal"/>
      <w:lvlText w:val="%1."/>
      <w:legacy w:legacy="1" w:legacySpace="0" w:legacyIndent="709"/>
      <w:lvlJc w:val="left"/>
      <w:pPr>
        <w:ind w:left="709" w:hanging="709"/>
      </w:pPr>
      <w:rPr>
        <w:rFonts w:hint="default"/>
        <w:b w:val="0"/>
        <w:i w:val="0"/>
        <w:sz w:val="32"/>
      </w:rPr>
    </w:lvl>
    <w:lvl w:ilvl="1">
      <w:start w:val="1"/>
      <w:numFmt w:val="decimal"/>
      <w:lvlText w:val="%1.%2"/>
      <w:legacy w:legacy="1" w:legacySpace="0" w:legacyIndent="709"/>
      <w:lvlJc w:val="left"/>
      <w:pPr>
        <w:ind w:left="1418" w:hanging="709"/>
      </w:pPr>
      <w:rPr>
        <w:rFonts w:hint="default"/>
        <w:b w:val="0"/>
        <w:i w:val="0"/>
        <w:sz w:val="24"/>
      </w:rPr>
    </w:lvl>
    <w:lvl w:ilvl="2">
      <w:start w:val="1"/>
      <w:numFmt w:val="bullet"/>
      <w:lvlText w:val=""/>
      <w:lvlJc w:val="left"/>
      <w:pPr>
        <w:ind w:left="2410" w:hanging="992"/>
      </w:pPr>
      <w:rPr>
        <w:rFonts w:ascii="Symbol" w:hAnsi="Symbol" w:hint="default"/>
        <w:color w:val="auto"/>
        <w:sz w:val="24"/>
      </w:rPr>
    </w:lvl>
    <w:lvl w:ilvl="3">
      <w:start w:val="1"/>
      <w:numFmt w:val="decimal"/>
      <w:lvlText w:val="%1.%2.%3.%4"/>
      <w:legacy w:legacy="1" w:legacySpace="0" w:legacyIndent="1276"/>
      <w:lvlJc w:val="left"/>
      <w:pPr>
        <w:ind w:left="3686" w:hanging="1276"/>
      </w:pPr>
      <w:rPr>
        <w:rFonts w:hint="default"/>
        <w:sz w:val="24"/>
      </w:rPr>
    </w:lvl>
    <w:lvl w:ilvl="4">
      <w:start w:val="1"/>
      <w:numFmt w:val="decimal"/>
      <w:lvlText w:val="%1.%2.%3.%4.%5"/>
      <w:legacy w:legacy="1" w:legacySpace="0" w:legacyIndent="1559"/>
      <w:lvlJc w:val="left"/>
      <w:pPr>
        <w:ind w:left="5245" w:hanging="1559"/>
      </w:pPr>
      <w:rPr>
        <w:rFonts w:hint="default"/>
        <w:sz w:val="20"/>
      </w:rPr>
    </w:lvl>
    <w:lvl w:ilvl="5">
      <w:start w:val="1"/>
      <w:numFmt w:val="lowerLetter"/>
      <w:lvlText w:val="(%6)"/>
      <w:legacy w:legacy="1" w:legacySpace="0" w:legacyIndent="709"/>
      <w:lvlJc w:val="left"/>
      <w:pPr>
        <w:ind w:left="5954" w:hanging="709"/>
      </w:pPr>
      <w:rPr>
        <w:rFonts w:hint="default"/>
        <w:sz w:val="20"/>
      </w:rPr>
    </w:lvl>
    <w:lvl w:ilvl="6">
      <w:start w:val="1"/>
      <w:numFmt w:val="lowerRoman"/>
      <w:lvlText w:val="(%7)"/>
      <w:legacy w:legacy="1" w:legacySpace="0" w:legacyIndent="709"/>
      <w:lvlJc w:val="left"/>
      <w:pPr>
        <w:ind w:left="6663" w:hanging="709"/>
      </w:pPr>
      <w:rPr>
        <w:rFonts w:hint="default"/>
        <w:sz w:val="24"/>
      </w:rPr>
    </w:lvl>
    <w:lvl w:ilvl="7">
      <w:start w:val="1"/>
      <w:numFmt w:val="upperLetter"/>
      <w:lvlText w:val="(%8)"/>
      <w:legacy w:legacy="1" w:legacySpace="0" w:legacyIndent="709"/>
      <w:lvlJc w:val="left"/>
      <w:pPr>
        <w:ind w:left="7372" w:hanging="709"/>
      </w:pPr>
      <w:rPr>
        <w:rFonts w:hint="default"/>
        <w:sz w:val="24"/>
      </w:rPr>
    </w:lvl>
    <w:lvl w:ilvl="8">
      <w:start w:val="1"/>
      <w:numFmt w:val="none"/>
      <w:lvlText w:val="·"/>
      <w:legacy w:legacy="1" w:legacySpace="0" w:legacyIndent="709"/>
      <w:lvlJc w:val="left"/>
      <w:pPr>
        <w:ind w:left="8081" w:hanging="709"/>
      </w:pPr>
      <w:rPr>
        <w:rFonts w:ascii="Symbol" w:hAnsi="Symbol" w:hint="default"/>
        <w:sz w:val="24"/>
      </w:rPr>
    </w:lvl>
  </w:abstractNum>
  <w:abstractNum w:abstractNumId="72">
    <w:nsid w:val="244E0BD9"/>
    <w:multiLevelType w:val="multilevel"/>
    <w:tmpl w:val="FBC8EC1C"/>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b w:val="0"/>
        <w:sz w:val="24"/>
        <w:szCs w:val="24"/>
      </w:rPr>
    </w:lvl>
    <w:lvl w:ilvl="3">
      <w:start w:val="1"/>
      <w:numFmt w:val="decimal"/>
      <w:pStyle w:val="Heading4"/>
      <w:lvlText w:val="%1.%2.%3.%4"/>
      <w:lvlJc w:val="left"/>
      <w:pPr>
        <w:ind w:left="864" w:hanging="864"/>
      </w:pPr>
      <w:rPr>
        <w:rFonts w:hint="default"/>
        <w:b w:val="0"/>
        <w:sz w:val="24"/>
        <w:szCs w:val="24"/>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73">
    <w:nsid w:val="256377C1"/>
    <w:multiLevelType w:val="hybridMultilevel"/>
    <w:tmpl w:val="124A10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26EC77FF"/>
    <w:multiLevelType w:val="hybridMultilevel"/>
    <w:tmpl w:val="90847B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5">
    <w:nsid w:val="27285BF7"/>
    <w:multiLevelType w:val="hybridMultilevel"/>
    <w:tmpl w:val="C3DE9B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287A193C"/>
    <w:multiLevelType w:val="hybridMultilevel"/>
    <w:tmpl w:val="7896B6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nsid w:val="28DC2AB1"/>
    <w:multiLevelType w:val="hybridMultilevel"/>
    <w:tmpl w:val="FC8410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8">
    <w:nsid w:val="2904421A"/>
    <w:multiLevelType w:val="hybridMultilevel"/>
    <w:tmpl w:val="55784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nsid w:val="2AB34EE1"/>
    <w:multiLevelType w:val="hybridMultilevel"/>
    <w:tmpl w:val="64CC4E4E"/>
    <w:lvl w:ilvl="0" w:tplc="08090019">
      <w:start w:val="1"/>
      <w:numFmt w:val="lowerLetter"/>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0">
    <w:nsid w:val="2B692346"/>
    <w:multiLevelType w:val="hybridMultilevel"/>
    <w:tmpl w:val="1BE6C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2BC27DC0"/>
    <w:multiLevelType w:val="hybridMultilevel"/>
    <w:tmpl w:val="E428917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82">
    <w:nsid w:val="2C4A4649"/>
    <w:multiLevelType w:val="hybridMultilevel"/>
    <w:tmpl w:val="688425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3">
    <w:nsid w:val="2D444EE9"/>
    <w:multiLevelType w:val="hybridMultilevel"/>
    <w:tmpl w:val="7494E572"/>
    <w:lvl w:ilvl="0" w:tplc="F1F0400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4">
    <w:nsid w:val="2EF8096F"/>
    <w:multiLevelType w:val="hybridMultilevel"/>
    <w:tmpl w:val="1862E8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5">
    <w:nsid w:val="2F517BCC"/>
    <w:multiLevelType w:val="hybridMultilevel"/>
    <w:tmpl w:val="45564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2FC60AE0"/>
    <w:multiLevelType w:val="hybridMultilevel"/>
    <w:tmpl w:val="44920450"/>
    <w:lvl w:ilvl="0" w:tplc="C8B0B306">
      <w:start w:val="1"/>
      <w:numFmt w:val="decimal"/>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nsid w:val="31C22C98"/>
    <w:multiLevelType w:val="multilevel"/>
    <w:tmpl w:val="8CD2DAC4"/>
    <w:lvl w:ilvl="0">
      <w:start w:val="1"/>
      <w:numFmt w:val="decimal"/>
      <w:lvlText w:val="%1."/>
      <w:lvlJc w:val="left"/>
      <w:pPr>
        <w:ind w:left="1800" w:hanging="360"/>
      </w:pPr>
      <w:rPr>
        <w:rFonts w:hint="default"/>
      </w:rPr>
    </w:lvl>
    <w:lvl w:ilvl="1">
      <w:start w:val="1"/>
      <w:numFmt w:val="decimal"/>
      <w:isLgl/>
      <w:lvlText w:val="%1.%2"/>
      <w:lvlJc w:val="left"/>
      <w:pPr>
        <w:ind w:left="1845" w:hanging="40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240" w:hanging="1800"/>
      </w:pPr>
      <w:rPr>
        <w:rFonts w:hint="default"/>
      </w:rPr>
    </w:lvl>
  </w:abstractNum>
  <w:abstractNum w:abstractNumId="88">
    <w:nsid w:val="32A23525"/>
    <w:multiLevelType w:val="hybridMultilevel"/>
    <w:tmpl w:val="FCCA7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nsid w:val="32B3499F"/>
    <w:multiLevelType w:val="hybridMultilevel"/>
    <w:tmpl w:val="5C5EF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0">
    <w:nsid w:val="330E55AB"/>
    <w:multiLevelType w:val="hybridMultilevel"/>
    <w:tmpl w:val="45DEB658"/>
    <w:lvl w:ilvl="0" w:tplc="80022B9C">
      <w:start w:val="1"/>
      <w:numFmt w:val="decimal"/>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91">
    <w:nsid w:val="334C3515"/>
    <w:multiLevelType w:val="hybridMultilevel"/>
    <w:tmpl w:val="5E5C5DB8"/>
    <w:lvl w:ilvl="0" w:tplc="0809000F">
      <w:start w:val="1"/>
      <w:numFmt w:val="decimal"/>
      <w:lvlText w:val="%1."/>
      <w:lvlJc w:val="left"/>
      <w:pPr>
        <w:ind w:left="1429" w:hanging="360"/>
      </w:p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92">
    <w:nsid w:val="33E51442"/>
    <w:multiLevelType w:val="hybridMultilevel"/>
    <w:tmpl w:val="96001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nsid w:val="33EC3113"/>
    <w:multiLevelType w:val="hybridMultilevel"/>
    <w:tmpl w:val="D0F4D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nsid w:val="341A1831"/>
    <w:multiLevelType w:val="multilevel"/>
    <w:tmpl w:val="B9989E34"/>
    <w:lvl w:ilvl="0">
      <w:start w:val="1"/>
      <w:numFmt w:val="bullet"/>
      <w:lvlText w:val=""/>
      <w:lvlJc w:val="left"/>
      <w:pPr>
        <w:ind w:left="709" w:hanging="709"/>
      </w:pPr>
      <w:rPr>
        <w:rFonts w:ascii="Wingdings" w:hAnsi="Wingdings" w:hint="default"/>
        <w:b w:val="0"/>
        <w:i w:val="0"/>
        <w:sz w:val="32"/>
      </w:rPr>
    </w:lvl>
    <w:lvl w:ilvl="1">
      <w:start w:val="1"/>
      <w:numFmt w:val="decimal"/>
      <w:lvlText w:val="%1.%2"/>
      <w:legacy w:legacy="1" w:legacySpace="0" w:legacyIndent="709"/>
      <w:lvlJc w:val="left"/>
      <w:pPr>
        <w:ind w:left="1418" w:hanging="709"/>
      </w:pPr>
      <w:rPr>
        <w:rFonts w:hint="default"/>
        <w:b w:val="0"/>
        <w:i w:val="0"/>
        <w:sz w:val="24"/>
      </w:rPr>
    </w:lvl>
    <w:lvl w:ilvl="2">
      <w:start w:val="1"/>
      <w:numFmt w:val="bullet"/>
      <w:lvlText w:val=""/>
      <w:lvlJc w:val="left"/>
      <w:pPr>
        <w:ind w:left="2410" w:hanging="992"/>
      </w:pPr>
      <w:rPr>
        <w:rFonts w:ascii="Symbol" w:hAnsi="Symbol" w:hint="default"/>
        <w:color w:val="auto"/>
        <w:sz w:val="24"/>
      </w:rPr>
    </w:lvl>
    <w:lvl w:ilvl="3">
      <w:start w:val="1"/>
      <w:numFmt w:val="bullet"/>
      <w:lvlText w:val=""/>
      <w:lvlJc w:val="left"/>
      <w:pPr>
        <w:ind w:left="3686" w:hanging="1276"/>
      </w:pPr>
      <w:rPr>
        <w:rFonts w:ascii="Symbol" w:hAnsi="Symbol" w:hint="default"/>
        <w:sz w:val="24"/>
      </w:rPr>
    </w:lvl>
    <w:lvl w:ilvl="4">
      <w:start w:val="1"/>
      <w:numFmt w:val="bullet"/>
      <w:lvlText w:val=""/>
      <w:lvlJc w:val="left"/>
      <w:pPr>
        <w:ind w:left="5245" w:hanging="1559"/>
      </w:pPr>
      <w:rPr>
        <w:rFonts w:ascii="Wingdings" w:hAnsi="Wingdings" w:hint="default"/>
        <w:sz w:val="20"/>
      </w:rPr>
    </w:lvl>
    <w:lvl w:ilvl="5">
      <w:start w:val="1"/>
      <w:numFmt w:val="lowerLetter"/>
      <w:lvlText w:val="(%6)"/>
      <w:legacy w:legacy="1" w:legacySpace="0" w:legacyIndent="709"/>
      <w:lvlJc w:val="left"/>
      <w:pPr>
        <w:ind w:left="5954" w:hanging="709"/>
      </w:pPr>
      <w:rPr>
        <w:rFonts w:hint="default"/>
        <w:sz w:val="20"/>
      </w:rPr>
    </w:lvl>
    <w:lvl w:ilvl="6">
      <w:start w:val="1"/>
      <w:numFmt w:val="lowerRoman"/>
      <w:lvlText w:val="(%7)"/>
      <w:legacy w:legacy="1" w:legacySpace="0" w:legacyIndent="709"/>
      <w:lvlJc w:val="left"/>
      <w:pPr>
        <w:ind w:left="6663" w:hanging="709"/>
      </w:pPr>
      <w:rPr>
        <w:rFonts w:hint="default"/>
        <w:sz w:val="24"/>
      </w:rPr>
    </w:lvl>
    <w:lvl w:ilvl="7">
      <w:start w:val="1"/>
      <w:numFmt w:val="upperLetter"/>
      <w:lvlText w:val="(%8)"/>
      <w:legacy w:legacy="1" w:legacySpace="0" w:legacyIndent="709"/>
      <w:lvlJc w:val="left"/>
      <w:pPr>
        <w:ind w:left="7372" w:hanging="709"/>
      </w:pPr>
      <w:rPr>
        <w:rFonts w:hint="default"/>
        <w:sz w:val="24"/>
      </w:rPr>
    </w:lvl>
    <w:lvl w:ilvl="8">
      <w:start w:val="1"/>
      <w:numFmt w:val="none"/>
      <w:lvlText w:val="·"/>
      <w:legacy w:legacy="1" w:legacySpace="0" w:legacyIndent="709"/>
      <w:lvlJc w:val="left"/>
      <w:pPr>
        <w:ind w:left="8081" w:hanging="709"/>
      </w:pPr>
      <w:rPr>
        <w:rFonts w:ascii="Symbol" w:hAnsi="Symbol" w:hint="default"/>
        <w:sz w:val="24"/>
      </w:rPr>
    </w:lvl>
  </w:abstractNum>
  <w:abstractNum w:abstractNumId="95">
    <w:nsid w:val="3506658F"/>
    <w:multiLevelType w:val="hybridMultilevel"/>
    <w:tmpl w:val="EE84ED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361C1299"/>
    <w:multiLevelType w:val="hybridMultilevel"/>
    <w:tmpl w:val="0582915C"/>
    <w:lvl w:ilvl="0" w:tplc="9B46594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nsid w:val="36504FD6"/>
    <w:multiLevelType w:val="multilevel"/>
    <w:tmpl w:val="B9989E34"/>
    <w:lvl w:ilvl="0">
      <w:start w:val="1"/>
      <w:numFmt w:val="bullet"/>
      <w:lvlText w:val=""/>
      <w:lvlJc w:val="left"/>
      <w:pPr>
        <w:ind w:left="709" w:hanging="709"/>
      </w:pPr>
      <w:rPr>
        <w:rFonts w:ascii="Wingdings" w:hAnsi="Wingdings" w:hint="default"/>
        <w:b w:val="0"/>
        <w:i w:val="0"/>
        <w:sz w:val="32"/>
      </w:rPr>
    </w:lvl>
    <w:lvl w:ilvl="1">
      <w:start w:val="1"/>
      <w:numFmt w:val="decimal"/>
      <w:lvlText w:val="%1.%2"/>
      <w:legacy w:legacy="1" w:legacySpace="0" w:legacyIndent="709"/>
      <w:lvlJc w:val="left"/>
      <w:pPr>
        <w:ind w:left="1418" w:hanging="709"/>
      </w:pPr>
      <w:rPr>
        <w:rFonts w:hint="default"/>
        <w:b w:val="0"/>
        <w:i w:val="0"/>
        <w:sz w:val="24"/>
      </w:rPr>
    </w:lvl>
    <w:lvl w:ilvl="2">
      <w:start w:val="1"/>
      <w:numFmt w:val="bullet"/>
      <w:lvlText w:val=""/>
      <w:lvlJc w:val="left"/>
      <w:pPr>
        <w:ind w:left="2410" w:hanging="992"/>
      </w:pPr>
      <w:rPr>
        <w:rFonts w:ascii="Symbol" w:hAnsi="Symbol" w:hint="default"/>
        <w:color w:val="auto"/>
        <w:sz w:val="24"/>
      </w:rPr>
    </w:lvl>
    <w:lvl w:ilvl="3">
      <w:start w:val="1"/>
      <w:numFmt w:val="bullet"/>
      <w:lvlText w:val=""/>
      <w:lvlJc w:val="left"/>
      <w:pPr>
        <w:ind w:left="3686" w:hanging="1276"/>
      </w:pPr>
      <w:rPr>
        <w:rFonts w:ascii="Symbol" w:hAnsi="Symbol" w:hint="default"/>
        <w:sz w:val="24"/>
      </w:rPr>
    </w:lvl>
    <w:lvl w:ilvl="4">
      <w:start w:val="1"/>
      <w:numFmt w:val="bullet"/>
      <w:lvlText w:val=""/>
      <w:lvlJc w:val="left"/>
      <w:pPr>
        <w:ind w:left="5245" w:hanging="1559"/>
      </w:pPr>
      <w:rPr>
        <w:rFonts w:ascii="Wingdings" w:hAnsi="Wingdings" w:hint="default"/>
        <w:sz w:val="20"/>
      </w:rPr>
    </w:lvl>
    <w:lvl w:ilvl="5">
      <w:start w:val="1"/>
      <w:numFmt w:val="lowerLetter"/>
      <w:lvlText w:val="(%6)"/>
      <w:legacy w:legacy="1" w:legacySpace="0" w:legacyIndent="709"/>
      <w:lvlJc w:val="left"/>
      <w:pPr>
        <w:ind w:left="5954" w:hanging="709"/>
      </w:pPr>
      <w:rPr>
        <w:rFonts w:hint="default"/>
        <w:sz w:val="20"/>
      </w:rPr>
    </w:lvl>
    <w:lvl w:ilvl="6">
      <w:start w:val="1"/>
      <w:numFmt w:val="lowerRoman"/>
      <w:lvlText w:val="(%7)"/>
      <w:legacy w:legacy="1" w:legacySpace="0" w:legacyIndent="709"/>
      <w:lvlJc w:val="left"/>
      <w:pPr>
        <w:ind w:left="6663" w:hanging="709"/>
      </w:pPr>
      <w:rPr>
        <w:rFonts w:hint="default"/>
        <w:sz w:val="24"/>
      </w:rPr>
    </w:lvl>
    <w:lvl w:ilvl="7">
      <w:start w:val="1"/>
      <w:numFmt w:val="upperLetter"/>
      <w:lvlText w:val="(%8)"/>
      <w:legacy w:legacy="1" w:legacySpace="0" w:legacyIndent="709"/>
      <w:lvlJc w:val="left"/>
      <w:pPr>
        <w:ind w:left="7372" w:hanging="709"/>
      </w:pPr>
      <w:rPr>
        <w:rFonts w:hint="default"/>
        <w:sz w:val="24"/>
      </w:rPr>
    </w:lvl>
    <w:lvl w:ilvl="8">
      <w:start w:val="1"/>
      <w:numFmt w:val="none"/>
      <w:lvlText w:val="·"/>
      <w:legacy w:legacy="1" w:legacySpace="0" w:legacyIndent="709"/>
      <w:lvlJc w:val="left"/>
      <w:pPr>
        <w:ind w:left="8081" w:hanging="709"/>
      </w:pPr>
      <w:rPr>
        <w:rFonts w:ascii="Symbol" w:hAnsi="Symbol" w:hint="default"/>
        <w:sz w:val="24"/>
      </w:rPr>
    </w:lvl>
  </w:abstractNum>
  <w:abstractNum w:abstractNumId="98">
    <w:nsid w:val="366F0F64"/>
    <w:multiLevelType w:val="hybridMultilevel"/>
    <w:tmpl w:val="3412E4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nsid w:val="3895656C"/>
    <w:multiLevelType w:val="hybridMultilevel"/>
    <w:tmpl w:val="3F46D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nsid w:val="38C10364"/>
    <w:multiLevelType w:val="hybridMultilevel"/>
    <w:tmpl w:val="7A9E90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nsid w:val="38EF57C9"/>
    <w:multiLevelType w:val="hybridMultilevel"/>
    <w:tmpl w:val="E27E841C"/>
    <w:lvl w:ilvl="0" w:tplc="FFFFFFF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2">
    <w:nsid w:val="39C91DDD"/>
    <w:multiLevelType w:val="hybridMultilevel"/>
    <w:tmpl w:val="A8AA0CA6"/>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03">
    <w:nsid w:val="39EC43F4"/>
    <w:multiLevelType w:val="hybridMultilevel"/>
    <w:tmpl w:val="305489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4">
    <w:nsid w:val="3AE22F61"/>
    <w:multiLevelType w:val="hybridMultilevel"/>
    <w:tmpl w:val="A51E06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5">
    <w:nsid w:val="3CED09F5"/>
    <w:multiLevelType w:val="multilevel"/>
    <w:tmpl w:val="5A7A86E8"/>
    <w:lvl w:ilvl="0">
      <w:start w:val="1"/>
      <w:numFmt w:val="decimal"/>
      <w:pStyle w:val="NHSCBLevel1"/>
      <w:isLgl/>
      <w:lvlText w:val="%1"/>
      <w:lvlJc w:val="left"/>
      <w:pPr>
        <w:tabs>
          <w:tab w:val="num" w:pos="680"/>
        </w:tabs>
        <w:ind w:left="680" w:hanging="680"/>
      </w:pPr>
      <w:rPr>
        <w:rFonts w:ascii="Arial Bold" w:hAnsi="Arial Bold" w:hint="default"/>
        <w:b/>
        <w:i w:val="0"/>
        <w:caps w:val="0"/>
        <w:strike w:val="0"/>
        <w:dstrike w:val="0"/>
        <w:outline w:val="0"/>
        <w:shadow w:val="0"/>
        <w:emboss w:val="0"/>
        <w:imprint w:val="0"/>
        <w:vanish w:val="0"/>
        <w:sz w:val="28"/>
        <w:szCs w:val="32"/>
        <w:vertAlign w:val="baseline"/>
      </w:rPr>
    </w:lvl>
    <w:lvl w:ilvl="1">
      <w:start w:val="1"/>
      <w:numFmt w:val="decimal"/>
      <w:pStyle w:val="NHSCBLevel2-incontents"/>
      <w:isLgl/>
      <w:lvlText w:val="%1.%2"/>
      <w:lvlJc w:val="left"/>
      <w:pPr>
        <w:tabs>
          <w:tab w:val="num" w:pos="1418"/>
        </w:tabs>
        <w:ind w:left="1418" w:hanging="738"/>
      </w:pPr>
      <w:rPr>
        <w:rFonts w:ascii="Arial" w:hAnsi="Arial" w:hint="default"/>
        <w:b w:val="0"/>
        <w:bCs w:val="0"/>
        <w:i w:val="0"/>
        <w:iCs w:val="0"/>
        <w:caps w:val="0"/>
        <w:smallCaps w:val="0"/>
        <w:strike w:val="0"/>
        <w:dstrike w:val="0"/>
        <w:outline w:val="0"/>
        <w:shadow w:val="0"/>
        <w:emboss w:val="0"/>
        <w:imprint w:val="0"/>
        <w:vanish w:val="0"/>
        <w:color w:val="auto"/>
        <w:spacing w:val="0"/>
        <w:w w:val="100"/>
        <w:kern w:val="0"/>
        <w:position w:val="0"/>
        <w:sz w:val="24"/>
        <w:szCs w:val="24"/>
        <w:u w:val="none"/>
        <w:effect w:val="none"/>
        <w:vertAlign w:val="baseline"/>
        <w:em w:val="none"/>
      </w:rPr>
    </w:lvl>
    <w:lvl w:ilvl="2">
      <w:start w:val="1"/>
      <w:numFmt w:val="decimal"/>
      <w:pStyle w:val="NHSCBLevel3"/>
      <w:isLgl/>
      <w:lvlText w:val="%1.%2.%3"/>
      <w:lvlJc w:val="left"/>
      <w:pPr>
        <w:tabs>
          <w:tab w:val="num" w:pos="2957"/>
        </w:tabs>
        <w:ind w:left="2957" w:hanging="1247"/>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NHSCBLevel4"/>
      <w:isLgl/>
      <w:lvlText w:val="%1.%2.%3.%4"/>
      <w:lvlJc w:val="left"/>
      <w:pPr>
        <w:tabs>
          <w:tab w:val="num" w:pos="1664"/>
        </w:tabs>
        <w:ind w:left="1664" w:hanging="13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pStyle w:val="NHSCBLevel5"/>
      <w:isLgl/>
      <w:lvlText w:val="%1.%2.%3.%4.%5"/>
      <w:lvlJc w:val="left"/>
      <w:pPr>
        <w:tabs>
          <w:tab w:val="num" w:pos="5387"/>
        </w:tabs>
        <w:ind w:left="5387" w:hanging="1418"/>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isLgl/>
      <w:lvlText w:val="%1.%2.%3.%4.%5.%6"/>
      <w:lvlJc w:val="left"/>
      <w:pPr>
        <w:tabs>
          <w:tab w:val="num" w:pos="4743"/>
        </w:tabs>
        <w:ind w:left="4743" w:hanging="1080"/>
      </w:pPr>
      <w:rPr>
        <w:rFonts w:hint="default"/>
      </w:rPr>
    </w:lvl>
    <w:lvl w:ilvl="6">
      <w:start w:val="1"/>
      <w:numFmt w:val="decimal"/>
      <w:isLgl/>
      <w:lvlText w:val="%1.%2.%3.%4.%5.%6.%7"/>
      <w:lvlJc w:val="left"/>
      <w:pPr>
        <w:tabs>
          <w:tab w:val="num" w:pos="5463"/>
        </w:tabs>
        <w:ind w:left="5463" w:hanging="1080"/>
      </w:pPr>
      <w:rPr>
        <w:rFonts w:hint="default"/>
      </w:rPr>
    </w:lvl>
    <w:lvl w:ilvl="7">
      <w:start w:val="1"/>
      <w:numFmt w:val="decimal"/>
      <w:isLgl/>
      <w:lvlText w:val="%1.%2.%3.%4.%5.%6.%7.%8"/>
      <w:lvlJc w:val="left"/>
      <w:pPr>
        <w:tabs>
          <w:tab w:val="num" w:pos="6543"/>
        </w:tabs>
        <w:ind w:left="6543" w:hanging="1440"/>
      </w:pPr>
      <w:rPr>
        <w:rFonts w:hint="default"/>
      </w:rPr>
    </w:lvl>
    <w:lvl w:ilvl="8">
      <w:start w:val="1"/>
      <w:numFmt w:val="decimal"/>
      <w:isLgl/>
      <w:lvlText w:val="%1.%2.%3.%4.%5.%6.%7.%8.%9"/>
      <w:lvlJc w:val="left"/>
      <w:pPr>
        <w:tabs>
          <w:tab w:val="num" w:pos="7263"/>
        </w:tabs>
        <w:ind w:left="7263" w:hanging="1440"/>
      </w:pPr>
      <w:rPr>
        <w:rFonts w:hint="default"/>
      </w:rPr>
    </w:lvl>
  </w:abstractNum>
  <w:abstractNum w:abstractNumId="106">
    <w:nsid w:val="40C576D0"/>
    <w:multiLevelType w:val="hybridMultilevel"/>
    <w:tmpl w:val="DA707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7">
    <w:nsid w:val="4112235B"/>
    <w:multiLevelType w:val="hybridMultilevel"/>
    <w:tmpl w:val="55228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nsid w:val="41DA1C15"/>
    <w:multiLevelType w:val="hybridMultilevel"/>
    <w:tmpl w:val="589E353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9">
    <w:nsid w:val="41F059A9"/>
    <w:multiLevelType w:val="hybridMultilevel"/>
    <w:tmpl w:val="DF623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nsid w:val="42AF6954"/>
    <w:multiLevelType w:val="hybridMultilevel"/>
    <w:tmpl w:val="36F6E9B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11">
    <w:nsid w:val="42CD6AA9"/>
    <w:multiLevelType w:val="hybridMultilevel"/>
    <w:tmpl w:val="59441850"/>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112">
    <w:nsid w:val="467A7AC7"/>
    <w:multiLevelType w:val="hybridMultilevel"/>
    <w:tmpl w:val="D07CDF46"/>
    <w:lvl w:ilvl="0" w:tplc="08090001">
      <w:start w:val="1"/>
      <w:numFmt w:val="bullet"/>
      <w:lvlText w:val=""/>
      <w:lvlJc w:val="left"/>
      <w:pPr>
        <w:ind w:left="1485" w:hanging="360"/>
      </w:pPr>
      <w:rPr>
        <w:rFonts w:ascii="Symbol" w:hAnsi="Symbol" w:hint="default"/>
      </w:rPr>
    </w:lvl>
    <w:lvl w:ilvl="1" w:tplc="08090003">
      <w:start w:val="1"/>
      <w:numFmt w:val="bullet"/>
      <w:lvlText w:val="o"/>
      <w:lvlJc w:val="left"/>
      <w:pPr>
        <w:ind w:left="2205" w:hanging="360"/>
      </w:pPr>
      <w:rPr>
        <w:rFonts w:ascii="Courier New" w:hAnsi="Courier New" w:cs="Courier New" w:hint="default"/>
      </w:rPr>
    </w:lvl>
    <w:lvl w:ilvl="2" w:tplc="08090005">
      <w:start w:val="1"/>
      <w:numFmt w:val="bullet"/>
      <w:lvlText w:val=""/>
      <w:lvlJc w:val="left"/>
      <w:pPr>
        <w:ind w:left="2925" w:hanging="360"/>
      </w:pPr>
      <w:rPr>
        <w:rFonts w:ascii="Wingdings" w:hAnsi="Wingdings" w:hint="default"/>
      </w:rPr>
    </w:lvl>
    <w:lvl w:ilvl="3" w:tplc="08090001">
      <w:start w:val="1"/>
      <w:numFmt w:val="bullet"/>
      <w:lvlText w:val=""/>
      <w:lvlJc w:val="left"/>
      <w:pPr>
        <w:ind w:left="3645" w:hanging="360"/>
      </w:pPr>
      <w:rPr>
        <w:rFonts w:ascii="Symbol" w:hAnsi="Symbol" w:hint="default"/>
      </w:rPr>
    </w:lvl>
    <w:lvl w:ilvl="4" w:tplc="08090003">
      <w:start w:val="1"/>
      <w:numFmt w:val="bullet"/>
      <w:lvlText w:val="o"/>
      <w:lvlJc w:val="left"/>
      <w:pPr>
        <w:ind w:left="4365" w:hanging="360"/>
      </w:pPr>
      <w:rPr>
        <w:rFonts w:ascii="Courier New" w:hAnsi="Courier New" w:cs="Courier New" w:hint="default"/>
      </w:rPr>
    </w:lvl>
    <w:lvl w:ilvl="5" w:tplc="08090005">
      <w:start w:val="1"/>
      <w:numFmt w:val="bullet"/>
      <w:lvlText w:val=""/>
      <w:lvlJc w:val="left"/>
      <w:pPr>
        <w:ind w:left="5085" w:hanging="360"/>
      </w:pPr>
      <w:rPr>
        <w:rFonts w:ascii="Wingdings" w:hAnsi="Wingdings" w:hint="default"/>
      </w:rPr>
    </w:lvl>
    <w:lvl w:ilvl="6" w:tplc="08090001">
      <w:start w:val="1"/>
      <w:numFmt w:val="bullet"/>
      <w:lvlText w:val=""/>
      <w:lvlJc w:val="left"/>
      <w:pPr>
        <w:ind w:left="5805" w:hanging="360"/>
      </w:pPr>
      <w:rPr>
        <w:rFonts w:ascii="Symbol" w:hAnsi="Symbol" w:hint="default"/>
      </w:rPr>
    </w:lvl>
    <w:lvl w:ilvl="7" w:tplc="08090003">
      <w:start w:val="1"/>
      <w:numFmt w:val="bullet"/>
      <w:lvlText w:val="o"/>
      <w:lvlJc w:val="left"/>
      <w:pPr>
        <w:ind w:left="6525" w:hanging="360"/>
      </w:pPr>
      <w:rPr>
        <w:rFonts w:ascii="Courier New" w:hAnsi="Courier New" w:cs="Courier New" w:hint="default"/>
      </w:rPr>
    </w:lvl>
    <w:lvl w:ilvl="8" w:tplc="08090005">
      <w:start w:val="1"/>
      <w:numFmt w:val="bullet"/>
      <w:lvlText w:val=""/>
      <w:lvlJc w:val="left"/>
      <w:pPr>
        <w:ind w:left="7245" w:hanging="360"/>
      </w:pPr>
      <w:rPr>
        <w:rFonts w:ascii="Wingdings" w:hAnsi="Wingdings" w:hint="default"/>
      </w:rPr>
    </w:lvl>
  </w:abstractNum>
  <w:abstractNum w:abstractNumId="113">
    <w:nsid w:val="469575C5"/>
    <w:multiLevelType w:val="hybridMultilevel"/>
    <w:tmpl w:val="8BBC1D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4">
    <w:nsid w:val="46FF7225"/>
    <w:multiLevelType w:val="hybridMultilevel"/>
    <w:tmpl w:val="8F60D4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nsid w:val="471A7ED3"/>
    <w:multiLevelType w:val="hybridMultilevel"/>
    <w:tmpl w:val="4D0ACE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6">
    <w:nsid w:val="4742747B"/>
    <w:multiLevelType w:val="hybridMultilevel"/>
    <w:tmpl w:val="B8181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nsid w:val="480E144A"/>
    <w:multiLevelType w:val="hybridMultilevel"/>
    <w:tmpl w:val="FF40E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nsid w:val="49103BC3"/>
    <w:multiLevelType w:val="hybridMultilevel"/>
    <w:tmpl w:val="AC88693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9">
    <w:nsid w:val="4AEF7844"/>
    <w:multiLevelType w:val="hybridMultilevel"/>
    <w:tmpl w:val="24F085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0">
    <w:nsid w:val="4B31661F"/>
    <w:multiLevelType w:val="hybridMultilevel"/>
    <w:tmpl w:val="1C30A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nsid w:val="4C4F288D"/>
    <w:multiLevelType w:val="hybridMultilevel"/>
    <w:tmpl w:val="CA141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2">
    <w:nsid w:val="4C60384B"/>
    <w:multiLevelType w:val="hybridMultilevel"/>
    <w:tmpl w:val="8AFA0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3">
    <w:nsid w:val="4CB21E29"/>
    <w:multiLevelType w:val="hybridMultilevel"/>
    <w:tmpl w:val="7FD0B2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4CD5567D"/>
    <w:multiLevelType w:val="hybridMultilevel"/>
    <w:tmpl w:val="92704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5">
    <w:nsid w:val="4D673445"/>
    <w:multiLevelType w:val="hybridMultilevel"/>
    <w:tmpl w:val="F6F0EC5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6">
    <w:nsid w:val="4D893D60"/>
    <w:multiLevelType w:val="hybridMultilevel"/>
    <w:tmpl w:val="B802D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nsid w:val="4ECB1A68"/>
    <w:multiLevelType w:val="hybridMultilevel"/>
    <w:tmpl w:val="8A4E6B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nsid w:val="51555DFC"/>
    <w:multiLevelType w:val="hybridMultilevel"/>
    <w:tmpl w:val="85849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9">
    <w:nsid w:val="52C3499E"/>
    <w:multiLevelType w:val="hybridMultilevel"/>
    <w:tmpl w:val="DB8C4598"/>
    <w:lvl w:ilvl="0" w:tplc="D8584178">
      <w:start w:val="13"/>
      <w:numFmt w:val="bullet"/>
      <w:lvlText w:val="-"/>
      <w:lvlJc w:val="left"/>
      <w:pPr>
        <w:ind w:left="360" w:hanging="360"/>
      </w:pPr>
      <w:rPr>
        <w:rFonts w:ascii="Arial" w:eastAsiaTheme="minorHAnsi" w:hAnsi="Arial" w:cs="Arial"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30">
    <w:nsid w:val="536D4E15"/>
    <w:multiLevelType w:val="hybridMultilevel"/>
    <w:tmpl w:val="7AAA6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nsid w:val="5414409F"/>
    <w:multiLevelType w:val="hybridMultilevel"/>
    <w:tmpl w:val="01600B50"/>
    <w:lvl w:ilvl="0" w:tplc="99DE46E4">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2">
    <w:nsid w:val="54771BD4"/>
    <w:multiLevelType w:val="hybridMultilevel"/>
    <w:tmpl w:val="762CE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3">
    <w:nsid w:val="54865C2C"/>
    <w:multiLevelType w:val="hybridMultilevel"/>
    <w:tmpl w:val="2408BD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4">
    <w:nsid w:val="54C84AE1"/>
    <w:multiLevelType w:val="hybridMultilevel"/>
    <w:tmpl w:val="98044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5">
    <w:nsid w:val="55C77DA8"/>
    <w:multiLevelType w:val="hybridMultilevel"/>
    <w:tmpl w:val="99CCC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nsid w:val="57E529B5"/>
    <w:multiLevelType w:val="hybridMultilevel"/>
    <w:tmpl w:val="99E09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7">
    <w:nsid w:val="58447FD6"/>
    <w:multiLevelType w:val="hybridMultilevel"/>
    <w:tmpl w:val="0DF49A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8">
    <w:nsid w:val="59027D3A"/>
    <w:multiLevelType w:val="hybridMultilevel"/>
    <w:tmpl w:val="F7ECD378"/>
    <w:lvl w:ilvl="0" w:tplc="BF7A62F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9">
    <w:nsid w:val="59142C86"/>
    <w:multiLevelType w:val="hybridMultilevel"/>
    <w:tmpl w:val="DC4E50C2"/>
    <w:lvl w:ilvl="0" w:tplc="54BE74BC">
      <w:start w:val="1"/>
      <w:numFmt w:val="bullet"/>
      <w:pStyle w:val="DHSecondaryHeadingOne"/>
      <w:lvlText w:val=""/>
      <w:lvlJc w:val="left"/>
      <w:pPr>
        <w:tabs>
          <w:tab w:val="num" w:pos="360"/>
        </w:tabs>
        <w:ind w:left="360" w:hanging="360"/>
      </w:pPr>
      <w:rPr>
        <w:rFonts w:ascii="Symbol" w:hAnsi="Symbol" w:hint="default"/>
        <w:color w:val="000090"/>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40">
    <w:nsid w:val="59623B62"/>
    <w:multiLevelType w:val="hybridMultilevel"/>
    <w:tmpl w:val="9ED6F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1">
    <w:nsid w:val="5AFB16AE"/>
    <w:multiLevelType w:val="hybridMultilevel"/>
    <w:tmpl w:val="6FB622F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2">
    <w:nsid w:val="5BA5064C"/>
    <w:multiLevelType w:val="hybridMultilevel"/>
    <w:tmpl w:val="7A625CDC"/>
    <w:lvl w:ilvl="0" w:tplc="08090001">
      <w:start w:val="1"/>
      <w:numFmt w:val="bullet"/>
      <w:lvlText w:val=""/>
      <w:lvlJc w:val="left"/>
      <w:pPr>
        <w:ind w:left="1571" w:hanging="360"/>
      </w:pPr>
      <w:rPr>
        <w:rFonts w:ascii="Symbol" w:hAnsi="Symbol" w:hint="default"/>
      </w:rPr>
    </w:lvl>
    <w:lvl w:ilvl="1" w:tplc="08090003">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43">
    <w:nsid w:val="5C00440D"/>
    <w:multiLevelType w:val="multilevel"/>
    <w:tmpl w:val="B9989E34"/>
    <w:lvl w:ilvl="0">
      <w:start w:val="1"/>
      <w:numFmt w:val="bullet"/>
      <w:lvlText w:val=""/>
      <w:lvlJc w:val="left"/>
      <w:pPr>
        <w:ind w:left="709" w:hanging="709"/>
      </w:pPr>
      <w:rPr>
        <w:rFonts w:ascii="Wingdings" w:hAnsi="Wingdings" w:hint="default"/>
        <w:b w:val="0"/>
        <w:i w:val="0"/>
        <w:sz w:val="32"/>
      </w:rPr>
    </w:lvl>
    <w:lvl w:ilvl="1">
      <w:start w:val="1"/>
      <w:numFmt w:val="decimal"/>
      <w:lvlText w:val="%1.%2"/>
      <w:legacy w:legacy="1" w:legacySpace="0" w:legacyIndent="709"/>
      <w:lvlJc w:val="left"/>
      <w:pPr>
        <w:ind w:left="1418" w:hanging="709"/>
      </w:pPr>
      <w:rPr>
        <w:rFonts w:hint="default"/>
        <w:b w:val="0"/>
        <w:i w:val="0"/>
        <w:sz w:val="24"/>
      </w:rPr>
    </w:lvl>
    <w:lvl w:ilvl="2">
      <w:start w:val="1"/>
      <w:numFmt w:val="bullet"/>
      <w:lvlText w:val=""/>
      <w:lvlJc w:val="left"/>
      <w:pPr>
        <w:ind w:left="2410" w:hanging="992"/>
      </w:pPr>
      <w:rPr>
        <w:rFonts w:ascii="Symbol" w:hAnsi="Symbol" w:hint="default"/>
        <w:color w:val="auto"/>
        <w:sz w:val="24"/>
      </w:rPr>
    </w:lvl>
    <w:lvl w:ilvl="3">
      <w:start w:val="1"/>
      <w:numFmt w:val="bullet"/>
      <w:lvlText w:val=""/>
      <w:lvlJc w:val="left"/>
      <w:pPr>
        <w:ind w:left="3686" w:hanging="1276"/>
      </w:pPr>
      <w:rPr>
        <w:rFonts w:ascii="Symbol" w:hAnsi="Symbol" w:hint="default"/>
        <w:sz w:val="24"/>
      </w:rPr>
    </w:lvl>
    <w:lvl w:ilvl="4">
      <w:start w:val="1"/>
      <w:numFmt w:val="bullet"/>
      <w:lvlText w:val=""/>
      <w:lvlJc w:val="left"/>
      <w:pPr>
        <w:ind w:left="5245" w:hanging="1559"/>
      </w:pPr>
      <w:rPr>
        <w:rFonts w:ascii="Wingdings" w:hAnsi="Wingdings" w:hint="default"/>
        <w:sz w:val="20"/>
      </w:rPr>
    </w:lvl>
    <w:lvl w:ilvl="5">
      <w:start w:val="1"/>
      <w:numFmt w:val="lowerLetter"/>
      <w:lvlText w:val="(%6)"/>
      <w:legacy w:legacy="1" w:legacySpace="0" w:legacyIndent="709"/>
      <w:lvlJc w:val="left"/>
      <w:pPr>
        <w:ind w:left="5954" w:hanging="709"/>
      </w:pPr>
      <w:rPr>
        <w:rFonts w:hint="default"/>
        <w:sz w:val="20"/>
      </w:rPr>
    </w:lvl>
    <w:lvl w:ilvl="6">
      <w:start w:val="1"/>
      <w:numFmt w:val="lowerRoman"/>
      <w:lvlText w:val="(%7)"/>
      <w:legacy w:legacy="1" w:legacySpace="0" w:legacyIndent="709"/>
      <w:lvlJc w:val="left"/>
      <w:pPr>
        <w:ind w:left="6663" w:hanging="709"/>
      </w:pPr>
      <w:rPr>
        <w:rFonts w:hint="default"/>
        <w:sz w:val="24"/>
      </w:rPr>
    </w:lvl>
    <w:lvl w:ilvl="7">
      <w:start w:val="1"/>
      <w:numFmt w:val="upperLetter"/>
      <w:lvlText w:val="(%8)"/>
      <w:legacy w:legacy="1" w:legacySpace="0" w:legacyIndent="709"/>
      <w:lvlJc w:val="left"/>
      <w:pPr>
        <w:ind w:left="7372" w:hanging="709"/>
      </w:pPr>
      <w:rPr>
        <w:rFonts w:hint="default"/>
        <w:sz w:val="24"/>
      </w:rPr>
    </w:lvl>
    <w:lvl w:ilvl="8">
      <w:start w:val="1"/>
      <w:numFmt w:val="none"/>
      <w:lvlText w:val="·"/>
      <w:legacy w:legacy="1" w:legacySpace="0" w:legacyIndent="709"/>
      <w:lvlJc w:val="left"/>
      <w:pPr>
        <w:ind w:left="8081" w:hanging="709"/>
      </w:pPr>
      <w:rPr>
        <w:rFonts w:ascii="Symbol" w:hAnsi="Symbol" w:hint="default"/>
        <w:sz w:val="24"/>
      </w:rPr>
    </w:lvl>
  </w:abstractNum>
  <w:abstractNum w:abstractNumId="144">
    <w:nsid w:val="5E232F85"/>
    <w:multiLevelType w:val="hybridMultilevel"/>
    <w:tmpl w:val="3E802358"/>
    <w:lvl w:ilvl="0" w:tplc="6BF0672C">
      <w:start w:val="1"/>
      <w:numFmt w:val="decimal"/>
      <w:pStyle w:val="NHSCBAppendixHeader"/>
      <w:lvlText w:val="Appendix %1"/>
      <w:lvlJc w:val="left"/>
      <w:pPr>
        <w:ind w:left="720" w:hanging="360"/>
      </w:pPr>
      <w:rPr>
        <w:rFonts w:ascii="Arial Bold" w:hAnsi="Arial Bold" w:hint="default"/>
        <w:b/>
        <w:i w:val="0"/>
        <w:caps w:val="0"/>
        <w:strike w:val="0"/>
        <w:dstrike w:val="0"/>
        <w:vanish w:val="0"/>
        <w:sz w:val="28"/>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5">
    <w:nsid w:val="5E953E5B"/>
    <w:multiLevelType w:val="hybridMultilevel"/>
    <w:tmpl w:val="DAB4BA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nsid w:val="5F0179A3"/>
    <w:multiLevelType w:val="hybridMultilevel"/>
    <w:tmpl w:val="7876C74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47">
    <w:nsid w:val="5F5C052A"/>
    <w:multiLevelType w:val="hybridMultilevel"/>
    <w:tmpl w:val="B43035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8">
    <w:nsid w:val="5F6570FA"/>
    <w:multiLevelType w:val="hybridMultilevel"/>
    <w:tmpl w:val="13D64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nsid w:val="5F6B6238"/>
    <w:multiLevelType w:val="hybridMultilevel"/>
    <w:tmpl w:val="B8D08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nsid w:val="5FAD3635"/>
    <w:multiLevelType w:val="hybridMultilevel"/>
    <w:tmpl w:val="79F2B5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1">
    <w:nsid w:val="611D6899"/>
    <w:multiLevelType w:val="hybridMultilevel"/>
    <w:tmpl w:val="1B5E3D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2">
    <w:nsid w:val="63BD1476"/>
    <w:multiLevelType w:val="hybridMultilevel"/>
    <w:tmpl w:val="290AA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3">
    <w:nsid w:val="646F42A5"/>
    <w:multiLevelType w:val="hybridMultilevel"/>
    <w:tmpl w:val="680ABCBE"/>
    <w:lvl w:ilvl="0" w:tplc="91F4E7A0">
      <w:numFmt w:val="bullet"/>
      <w:lvlText w:val="•"/>
      <w:lvlJc w:val="left"/>
      <w:pPr>
        <w:ind w:left="1440" w:hanging="360"/>
      </w:pPr>
      <w:rPr>
        <w:rFonts w:ascii="Arial" w:eastAsia="Times New Roman"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4">
    <w:nsid w:val="689867D0"/>
    <w:multiLevelType w:val="multilevel"/>
    <w:tmpl w:val="BC3E18C0"/>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709"/>
        </w:tabs>
        <w:ind w:left="1418" w:hanging="709"/>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964" w:hanging="510"/>
      </w:pPr>
      <w:rPr>
        <w:rFonts w:hint="default"/>
      </w:rPr>
    </w:lvl>
    <w:lvl w:ilvl="4">
      <w:start w:val="1"/>
      <w:numFmt w:val="lowerLetter"/>
      <w:lvlText w:val="(%5)"/>
      <w:lvlJc w:val="left"/>
      <w:pPr>
        <w:ind w:left="1531" w:hanging="539"/>
      </w:pPr>
      <w:rPr>
        <w:rFonts w:hint="default"/>
      </w:rPr>
    </w:lvl>
    <w:lvl w:ilvl="5">
      <w:start w:val="1"/>
      <w:numFmt w:val="lowerLetter"/>
      <w:lvlText w:val="(%6)"/>
      <w:lvlJc w:val="left"/>
      <w:pPr>
        <w:ind w:left="1531" w:hanging="539"/>
      </w:pPr>
      <w:rPr>
        <w:rFonts w:hint="default"/>
      </w:rPr>
    </w:lvl>
    <w:lvl w:ilvl="6">
      <w:start w:val="1"/>
      <w:numFmt w:val="decimal"/>
      <w:lvlText w:val="%7."/>
      <w:lvlJc w:val="left"/>
      <w:pPr>
        <w:ind w:left="1953" w:hanging="360"/>
      </w:pPr>
      <w:rPr>
        <w:rFonts w:hint="default"/>
      </w:rPr>
    </w:lvl>
    <w:lvl w:ilvl="7">
      <w:start w:val="1"/>
      <w:numFmt w:val="lowerLetter"/>
      <w:lvlText w:val="%8."/>
      <w:lvlJc w:val="left"/>
      <w:pPr>
        <w:ind w:left="2313" w:hanging="360"/>
      </w:pPr>
      <w:rPr>
        <w:rFonts w:hint="default"/>
      </w:rPr>
    </w:lvl>
    <w:lvl w:ilvl="8">
      <w:start w:val="1"/>
      <w:numFmt w:val="lowerRoman"/>
      <w:lvlText w:val="%9."/>
      <w:lvlJc w:val="left"/>
      <w:pPr>
        <w:ind w:left="2673" w:hanging="360"/>
      </w:pPr>
      <w:rPr>
        <w:rFonts w:hint="default"/>
      </w:rPr>
    </w:lvl>
  </w:abstractNum>
  <w:abstractNum w:abstractNumId="155">
    <w:nsid w:val="68E97ABA"/>
    <w:multiLevelType w:val="hybridMultilevel"/>
    <w:tmpl w:val="854406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6">
    <w:nsid w:val="692D34F3"/>
    <w:multiLevelType w:val="hybridMultilevel"/>
    <w:tmpl w:val="2AC422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7">
    <w:nsid w:val="6BD62F6E"/>
    <w:multiLevelType w:val="hybridMultilevel"/>
    <w:tmpl w:val="75221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8">
    <w:nsid w:val="6C4C75E7"/>
    <w:multiLevelType w:val="hybridMultilevel"/>
    <w:tmpl w:val="E62E36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9">
    <w:nsid w:val="6C7212A2"/>
    <w:multiLevelType w:val="hybridMultilevel"/>
    <w:tmpl w:val="12CA1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0">
    <w:nsid w:val="6E005244"/>
    <w:multiLevelType w:val="hybridMultilevel"/>
    <w:tmpl w:val="8D186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1">
    <w:nsid w:val="6EFC1379"/>
    <w:multiLevelType w:val="hybridMultilevel"/>
    <w:tmpl w:val="59FC96B0"/>
    <w:lvl w:ilvl="0" w:tplc="7E063E66">
      <w:start w:val="1"/>
      <w:numFmt w:val="decimal"/>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2">
    <w:nsid w:val="6F1B2509"/>
    <w:multiLevelType w:val="multilevel"/>
    <w:tmpl w:val="E4AC3AC4"/>
    <w:lvl w:ilvl="0">
      <w:start w:val="1"/>
      <w:numFmt w:val="decimal"/>
      <w:lvlText w:val="(%1)"/>
      <w:lvlJc w:val="left"/>
      <w:pPr>
        <w:tabs>
          <w:tab w:val="num" w:pos="454"/>
        </w:tabs>
        <w:ind w:left="567" w:hanging="567"/>
      </w:pPr>
      <w:rPr>
        <w:rFonts w:hint="default"/>
      </w:rPr>
    </w:lvl>
    <w:lvl w:ilvl="1">
      <w:start w:val="1"/>
      <w:numFmt w:val="lowerLetter"/>
      <w:lvlText w:val="(%2)"/>
      <w:lvlJc w:val="left"/>
      <w:pPr>
        <w:tabs>
          <w:tab w:val="num" w:pos="709"/>
        </w:tabs>
        <w:ind w:left="1134" w:hanging="425"/>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964" w:hanging="510"/>
      </w:pPr>
      <w:rPr>
        <w:rFonts w:hint="default"/>
      </w:rPr>
    </w:lvl>
    <w:lvl w:ilvl="4">
      <w:start w:val="1"/>
      <w:numFmt w:val="lowerLetter"/>
      <w:lvlText w:val="(%5)"/>
      <w:lvlJc w:val="left"/>
      <w:pPr>
        <w:ind w:left="1531" w:hanging="539"/>
      </w:pPr>
      <w:rPr>
        <w:rFonts w:hint="default"/>
      </w:rPr>
    </w:lvl>
    <w:lvl w:ilvl="5">
      <w:start w:val="1"/>
      <w:numFmt w:val="lowerLetter"/>
      <w:lvlText w:val="(%6)"/>
      <w:lvlJc w:val="left"/>
      <w:pPr>
        <w:ind w:left="1531" w:hanging="539"/>
      </w:pPr>
      <w:rPr>
        <w:rFonts w:hint="default"/>
      </w:rPr>
    </w:lvl>
    <w:lvl w:ilvl="6">
      <w:start w:val="1"/>
      <w:numFmt w:val="decimal"/>
      <w:lvlText w:val="%7."/>
      <w:lvlJc w:val="left"/>
      <w:pPr>
        <w:ind w:left="1953" w:hanging="360"/>
      </w:pPr>
      <w:rPr>
        <w:rFonts w:hint="default"/>
      </w:rPr>
    </w:lvl>
    <w:lvl w:ilvl="7">
      <w:start w:val="1"/>
      <w:numFmt w:val="lowerLetter"/>
      <w:lvlText w:val="%8."/>
      <w:lvlJc w:val="left"/>
      <w:pPr>
        <w:ind w:left="2313" w:hanging="360"/>
      </w:pPr>
      <w:rPr>
        <w:rFonts w:hint="default"/>
      </w:rPr>
    </w:lvl>
    <w:lvl w:ilvl="8">
      <w:start w:val="1"/>
      <w:numFmt w:val="lowerRoman"/>
      <w:lvlText w:val="%9."/>
      <w:lvlJc w:val="left"/>
      <w:pPr>
        <w:ind w:left="2673" w:hanging="360"/>
      </w:pPr>
      <w:rPr>
        <w:rFonts w:hint="default"/>
      </w:rPr>
    </w:lvl>
  </w:abstractNum>
  <w:abstractNum w:abstractNumId="163">
    <w:nsid w:val="6FAC6F7E"/>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4">
    <w:nsid w:val="70F0000C"/>
    <w:multiLevelType w:val="hybridMultilevel"/>
    <w:tmpl w:val="D25EF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nsid w:val="71BE50B7"/>
    <w:multiLevelType w:val="hybridMultilevel"/>
    <w:tmpl w:val="8C286938"/>
    <w:lvl w:ilvl="0" w:tplc="08090001">
      <w:start w:val="1"/>
      <w:numFmt w:val="bullet"/>
      <w:lvlText w:val=""/>
      <w:lvlJc w:val="left"/>
      <w:rPr>
        <w:rFonts w:ascii="Symbol" w:hAnsi="Symbol" w:hint="default"/>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6">
    <w:nsid w:val="71D426F3"/>
    <w:multiLevelType w:val="hybridMultilevel"/>
    <w:tmpl w:val="F55A17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nsid w:val="72C71E23"/>
    <w:multiLevelType w:val="hybridMultilevel"/>
    <w:tmpl w:val="D4DE03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8">
    <w:nsid w:val="732E77A0"/>
    <w:multiLevelType w:val="hybridMultilevel"/>
    <w:tmpl w:val="A566E70C"/>
    <w:lvl w:ilvl="0" w:tplc="F3E09F02">
      <w:start w:val="1"/>
      <w:numFmt w:val="decimal"/>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169">
    <w:nsid w:val="735E31A7"/>
    <w:multiLevelType w:val="multilevel"/>
    <w:tmpl w:val="4628F314"/>
    <w:lvl w:ilvl="0">
      <w:start w:val="1"/>
      <w:numFmt w:val="decimal"/>
      <w:pStyle w:val="Heading11"/>
      <w:lvlText w:val="%1"/>
      <w:lvlJc w:val="left"/>
      <w:pPr>
        <w:ind w:left="360" w:hanging="360"/>
      </w:pPr>
      <w:rPr>
        <w:rFonts w:hint="default"/>
        <w:sz w:val="32"/>
      </w:rPr>
    </w:lvl>
    <w:lvl w:ilvl="1">
      <w:start w:val="1"/>
      <w:numFmt w:val="decimal"/>
      <w:pStyle w:val="subtitle"/>
      <w:lvlText w:val="%1.%2"/>
      <w:lvlJc w:val="left"/>
      <w:pPr>
        <w:ind w:left="720" w:hanging="360"/>
      </w:pPr>
      <w:rPr>
        <w:rFonts w:hint="default"/>
        <w:b w:val="0"/>
        <w:sz w:val="24"/>
        <w:szCs w:val="24"/>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70">
    <w:nsid w:val="73683399"/>
    <w:multiLevelType w:val="hybridMultilevel"/>
    <w:tmpl w:val="846A4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1">
    <w:nsid w:val="76B131C9"/>
    <w:multiLevelType w:val="hybridMultilevel"/>
    <w:tmpl w:val="714CD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2">
    <w:nsid w:val="77D04B06"/>
    <w:multiLevelType w:val="hybridMultilevel"/>
    <w:tmpl w:val="E004791C"/>
    <w:lvl w:ilvl="0" w:tplc="46E05BD8">
      <w:start w:val="1"/>
      <w:numFmt w:val="decimal"/>
      <w:lvlText w:val="6.2.%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3">
    <w:nsid w:val="79700B7F"/>
    <w:multiLevelType w:val="hybridMultilevel"/>
    <w:tmpl w:val="87EA8C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nsid w:val="7AC949E6"/>
    <w:multiLevelType w:val="hybridMultilevel"/>
    <w:tmpl w:val="80AA713C"/>
    <w:lvl w:ilvl="0" w:tplc="9CE4500A">
      <w:start w:val="1"/>
      <w:numFmt w:val="decimal"/>
      <w:lvlText w:val="(%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7B925EBA"/>
    <w:multiLevelType w:val="hybridMultilevel"/>
    <w:tmpl w:val="9440E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6">
    <w:nsid w:val="7D213CAB"/>
    <w:multiLevelType w:val="hybridMultilevel"/>
    <w:tmpl w:val="47945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7">
    <w:nsid w:val="7D2A02DF"/>
    <w:multiLevelType w:val="hybridMultilevel"/>
    <w:tmpl w:val="6548D106"/>
    <w:lvl w:ilvl="0" w:tplc="648E0E1C">
      <w:start w:val="1"/>
      <w:numFmt w:val="decimal"/>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8">
    <w:nsid w:val="7F4F57EA"/>
    <w:multiLevelType w:val="hybridMultilevel"/>
    <w:tmpl w:val="C824B9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nsid w:val="7F7C0EFC"/>
    <w:multiLevelType w:val="hybridMultilevel"/>
    <w:tmpl w:val="FE9A0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3"/>
  </w:num>
  <w:num w:numId="2">
    <w:abstractNumId w:val="72"/>
  </w:num>
  <w:num w:numId="3">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2"/>
  </w:num>
  <w:num w:numId="7">
    <w:abstractNumId w:val="3"/>
  </w:num>
  <w:num w:numId="8">
    <w:abstractNumId w:val="4"/>
  </w:num>
  <w:num w:numId="9">
    <w:abstractNumId w:val="5"/>
  </w:num>
  <w:num w:numId="10">
    <w:abstractNumId w:val="6"/>
  </w:num>
  <w:num w:numId="11">
    <w:abstractNumId w:val="7"/>
  </w:num>
  <w:num w:numId="12">
    <w:abstractNumId w:val="8"/>
  </w:num>
  <w:num w:numId="13">
    <w:abstractNumId w:val="9"/>
  </w:num>
  <w:num w:numId="14">
    <w:abstractNumId w:val="10"/>
  </w:num>
  <w:num w:numId="15">
    <w:abstractNumId w:val="11"/>
  </w:num>
  <w:num w:numId="16">
    <w:abstractNumId w:val="12"/>
  </w:num>
  <w:num w:numId="17">
    <w:abstractNumId w:val="13"/>
  </w:num>
  <w:num w:numId="18">
    <w:abstractNumId w:val="14"/>
  </w:num>
  <w:num w:numId="19">
    <w:abstractNumId w:val="15"/>
  </w:num>
  <w:num w:numId="20">
    <w:abstractNumId w:val="16"/>
  </w:num>
  <w:num w:numId="21">
    <w:abstractNumId w:val="17"/>
  </w:num>
  <w:num w:numId="22">
    <w:abstractNumId w:val="18"/>
  </w:num>
  <w:num w:numId="23">
    <w:abstractNumId w:val="19"/>
  </w:num>
  <w:num w:numId="24">
    <w:abstractNumId w:val="20"/>
  </w:num>
  <w:num w:numId="25">
    <w:abstractNumId w:val="21"/>
  </w:num>
  <w:num w:numId="26">
    <w:abstractNumId w:val="22"/>
  </w:num>
  <w:num w:numId="27">
    <w:abstractNumId w:val="23"/>
  </w:num>
  <w:num w:numId="28">
    <w:abstractNumId w:val="24"/>
  </w:num>
  <w:num w:numId="29">
    <w:abstractNumId w:val="165"/>
  </w:num>
  <w:num w:numId="30">
    <w:abstractNumId w:val="45"/>
  </w:num>
  <w:num w:numId="31">
    <w:abstractNumId w:val="122"/>
  </w:num>
  <w:num w:numId="32">
    <w:abstractNumId w:val="82"/>
  </w:num>
  <w:num w:numId="33">
    <w:abstractNumId w:val="33"/>
  </w:num>
  <w:num w:numId="34">
    <w:abstractNumId w:val="0"/>
  </w:num>
  <w:num w:numId="35">
    <w:abstractNumId w:val="102"/>
  </w:num>
  <w:num w:numId="36">
    <w:abstractNumId w:val="57"/>
  </w:num>
  <w:num w:numId="37">
    <w:abstractNumId w:val="174"/>
  </w:num>
  <w:num w:numId="38">
    <w:abstractNumId w:val="36"/>
  </w:num>
  <w:num w:numId="39">
    <w:abstractNumId w:val="25"/>
  </w:num>
  <w:num w:numId="40">
    <w:abstractNumId w:val="61"/>
  </w:num>
  <w:num w:numId="41">
    <w:abstractNumId w:val="168"/>
  </w:num>
  <w:num w:numId="42">
    <w:abstractNumId w:val="131"/>
  </w:num>
  <w:num w:numId="43">
    <w:abstractNumId w:val="90"/>
  </w:num>
  <w:num w:numId="44">
    <w:abstractNumId w:val="154"/>
  </w:num>
  <w:num w:numId="45">
    <w:abstractNumId w:val="162"/>
  </w:num>
  <w:num w:numId="46">
    <w:abstractNumId w:val="167"/>
  </w:num>
  <w:num w:numId="47">
    <w:abstractNumId w:val="147"/>
  </w:num>
  <w:num w:numId="48">
    <w:abstractNumId w:val="83"/>
  </w:num>
  <w:num w:numId="49">
    <w:abstractNumId w:val="42"/>
  </w:num>
  <w:num w:numId="50">
    <w:abstractNumId w:val="175"/>
  </w:num>
  <w:num w:numId="51">
    <w:abstractNumId w:val="123"/>
  </w:num>
  <w:num w:numId="52">
    <w:abstractNumId w:val="139"/>
  </w:num>
  <w:num w:numId="53">
    <w:abstractNumId w:val="105"/>
  </w:num>
  <w:num w:numId="54">
    <w:abstractNumId w:val="169"/>
  </w:num>
  <w:num w:numId="55">
    <w:abstractNumId w:val="144"/>
  </w:num>
  <w:num w:numId="56">
    <w:abstractNumId w:val="111"/>
  </w:num>
  <w:num w:numId="57">
    <w:abstractNumId w:val="153"/>
  </w:num>
  <w:num w:numId="58">
    <w:abstractNumId w:val="62"/>
  </w:num>
  <w:num w:numId="59">
    <w:abstractNumId w:val="118"/>
  </w:num>
  <w:num w:numId="60">
    <w:abstractNumId w:val="104"/>
  </w:num>
  <w:num w:numId="61">
    <w:abstractNumId w:val="81"/>
  </w:num>
  <w:num w:numId="62">
    <w:abstractNumId w:val="142"/>
  </w:num>
  <w:num w:numId="63">
    <w:abstractNumId w:val="79"/>
  </w:num>
  <w:num w:numId="64">
    <w:abstractNumId w:val="125"/>
  </w:num>
  <w:num w:numId="65">
    <w:abstractNumId w:val="117"/>
  </w:num>
  <w:num w:numId="66">
    <w:abstractNumId w:val="71"/>
  </w:num>
  <w:num w:numId="67">
    <w:abstractNumId w:val="91"/>
  </w:num>
  <w:num w:numId="68">
    <w:abstractNumId w:val="143"/>
  </w:num>
  <w:num w:numId="69">
    <w:abstractNumId w:val="97"/>
  </w:num>
  <w:num w:numId="70">
    <w:abstractNumId w:val="94"/>
  </w:num>
  <w:num w:numId="71">
    <w:abstractNumId w:val="141"/>
  </w:num>
  <w:num w:numId="72">
    <w:abstractNumId w:val="44"/>
  </w:num>
  <w:num w:numId="73">
    <w:abstractNumId w:val="127"/>
  </w:num>
  <w:num w:numId="74">
    <w:abstractNumId w:val="34"/>
  </w:num>
  <w:num w:numId="75">
    <w:abstractNumId w:val="93"/>
  </w:num>
  <w:num w:numId="76">
    <w:abstractNumId w:val="124"/>
  </w:num>
  <w:num w:numId="77">
    <w:abstractNumId w:val="85"/>
  </w:num>
  <w:num w:numId="78">
    <w:abstractNumId w:val="108"/>
  </w:num>
  <w:num w:numId="79">
    <w:abstractNumId w:val="145"/>
  </w:num>
  <w:num w:numId="80">
    <w:abstractNumId w:val="78"/>
  </w:num>
  <w:num w:numId="81">
    <w:abstractNumId w:val="65"/>
  </w:num>
  <w:num w:numId="82">
    <w:abstractNumId w:val="56"/>
  </w:num>
  <w:num w:numId="83">
    <w:abstractNumId w:val="100"/>
  </w:num>
  <w:num w:numId="84">
    <w:abstractNumId w:val="60"/>
  </w:num>
  <w:num w:numId="85">
    <w:abstractNumId w:val="129"/>
  </w:num>
  <w:num w:numId="86">
    <w:abstractNumId w:val="48"/>
  </w:num>
  <w:num w:numId="87">
    <w:abstractNumId w:val="50"/>
  </w:num>
  <w:num w:numId="88">
    <w:abstractNumId w:val="172"/>
  </w:num>
  <w:num w:numId="89">
    <w:abstractNumId w:val="95"/>
  </w:num>
  <w:num w:numId="90">
    <w:abstractNumId w:val="179"/>
  </w:num>
  <w:num w:numId="91">
    <w:abstractNumId w:val="170"/>
  </w:num>
  <w:num w:numId="92">
    <w:abstractNumId w:val="77"/>
  </w:num>
  <w:num w:numId="93">
    <w:abstractNumId w:val="135"/>
  </w:num>
  <w:num w:numId="94">
    <w:abstractNumId w:val="29"/>
  </w:num>
  <w:num w:numId="95">
    <w:abstractNumId w:val="149"/>
  </w:num>
  <w:num w:numId="96">
    <w:abstractNumId w:val="136"/>
  </w:num>
  <w:num w:numId="97">
    <w:abstractNumId w:val="67"/>
  </w:num>
  <w:num w:numId="98">
    <w:abstractNumId w:val="54"/>
  </w:num>
  <w:num w:numId="99">
    <w:abstractNumId w:val="160"/>
  </w:num>
  <w:num w:numId="100">
    <w:abstractNumId w:val="98"/>
  </w:num>
  <w:num w:numId="101">
    <w:abstractNumId w:val="158"/>
  </w:num>
  <w:num w:numId="102">
    <w:abstractNumId w:val="116"/>
  </w:num>
  <w:num w:numId="103">
    <w:abstractNumId w:val="155"/>
  </w:num>
  <w:num w:numId="104">
    <w:abstractNumId w:val="92"/>
  </w:num>
  <w:num w:numId="105">
    <w:abstractNumId w:val="70"/>
  </w:num>
  <w:num w:numId="106">
    <w:abstractNumId w:val="88"/>
  </w:num>
  <w:num w:numId="107">
    <w:abstractNumId w:val="30"/>
  </w:num>
  <w:num w:numId="108">
    <w:abstractNumId w:val="63"/>
  </w:num>
  <w:num w:numId="109">
    <w:abstractNumId w:val="27"/>
  </w:num>
  <w:num w:numId="110">
    <w:abstractNumId w:val="28"/>
  </w:num>
  <w:num w:numId="111">
    <w:abstractNumId w:val="119"/>
  </w:num>
  <w:num w:numId="112">
    <w:abstractNumId w:val="59"/>
  </w:num>
  <w:num w:numId="113">
    <w:abstractNumId w:val="151"/>
  </w:num>
  <w:num w:numId="114">
    <w:abstractNumId w:val="132"/>
  </w:num>
  <w:num w:numId="115">
    <w:abstractNumId w:val="109"/>
  </w:num>
  <w:num w:numId="116">
    <w:abstractNumId w:val="121"/>
  </w:num>
  <w:num w:numId="117">
    <w:abstractNumId w:val="137"/>
  </w:num>
  <w:num w:numId="118">
    <w:abstractNumId w:val="146"/>
  </w:num>
  <w:num w:numId="119">
    <w:abstractNumId w:val="112"/>
  </w:num>
  <w:num w:numId="120">
    <w:abstractNumId w:val="110"/>
  </w:num>
  <w:num w:numId="121">
    <w:abstractNumId w:val="46"/>
  </w:num>
  <w:num w:numId="122">
    <w:abstractNumId w:val="101"/>
  </w:num>
  <w:num w:numId="123">
    <w:abstractNumId w:val="140"/>
  </w:num>
  <w:num w:numId="124">
    <w:abstractNumId w:val="53"/>
  </w:num>
  <w:num w:numId="125">
    <w:abstractNumId w:val="51"/>
  </w:num>
  <w:num w:numId="12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87"/>
  </w:num>
  <w:num w:numId="128">
    <w:abstractNumId w:val="96"/>
  </w:num>
  <w:num w:numId="129">
    <w:abstractNumId w:val="115"/>
  </w:num>
  <w:num w:numId="130">
    <w:abstractNumId w:val="74"/>
  </w:num>
  <w:num w:numId="131">
    <w:abstractNumId w:val="75"/>
  </w:num>
  <w:num w:numId="132">
    <w:abstractNumId w:val="26"/>
  </w:num>
  <w:num w:numId="133">
    <w:abstractNumId w:val="40"/>
  </w:num>
  <w:num w:numId="134">
    <w:abstractNumId w:val="106"/>
  </w:num>
  <w:num w:numId="135">
    <w:abstractNumId w:val="156"/>
  </w:num>
  <w:num w:numId="13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126"/>
  </w:num>
  <w:num w:numId="138">
    <w:abstractNumId w:val="138"/>
  </w:num>
  <w:num w:numId="139">
    <w:abstractNumId w:val="173"/>
  </w:num>
  <w:num w:numId="140">
    <w:abstractNumId w:val="152"/>
  </w:num>
  <w:num w:numId="141">
    <w:abstractNumId w:val="177"/>
  </w:num>
  <w:num w:numId="142">
    <w:abstractNumId w:val="86"/>
  </w:num>
  <w:num w:numId="143">
    <w:abstractNumId w:val="35"/>
  </w:num>
  <w:num w:numId="144">
    <w:abstractNumId w:val="161"/>
  </w:num>
  <w:num w:numId="145">
    <w:abstractNumId w:val="43"/>
  </w:num>
  <w:num w:numId="146">
    <w:abstractNumId w:val="159"/>
  </w:num>
  <w:num w:numId="147">
    <w:abstractNumId w:val="68"/>
  </w:num>
  <w:num w:numId="148">
    <w:abstractNumId w:val="128"/>
  </w:num>
  <w:num w:numId="149">
    <w:abstractNumId w:val="47"/>
  </w:num>
  <w:num w:numId="150">
    <w:abstractNumId w:val="76"/>
  </w:num>
  <w:num w:numId="151">
    <w:abstractNumId w:val="150"/>
  </w:num>
  <w:num w:numId="152">
    <w:abstractNumId w:val="37"/>
  </w:num>
  <w:num w:numId="153">
    <w:abstractNumId w:val="64"/>
  </w:num>
  <w:num w:numId="154">
    <w:abstractNumId w:val="107"/>
  </w:num>
  <w:num w:numId="155">
    <w:abstractNumId w:val="133"/>
  </w:num>
  <w:num w:numId="156">
    <w:abstractNumId w:val="89"/>
  </w:num>
  <w:num w:numId="157">
    <w:abstractNumId w:val="113"/>
  </w:num>
  <w:num w:numId="158">
    <w:abstractNumId w:val="114"/>
  </w:num>
  <w:num w:numId="159">
    <w:abstractNumId w:val="31"/>
  </w:num>
  <w:num w:numId="160">
    <w:abstractNumId w:val="80"/>
  </w:num>
  <w:num w:numId="161">
    <w:abstractNumId w:val="148"/>
  </w:num>
  <w:num w:numId="162">
    <w:abstractNumId w:val="99"/>
  </w:num>
  <w:num w:numId="163">
    <w:abstractNumId w:val="55"/>
  </w:num>
  <w:num w:numId="164">
    <w:abstractNumId w:val="84"/>
  </w:num>
  <w:num w:numId="165">
    <w:abstractNumId w:val="66"/>
  </w:num>
  <w:num w:numId="166">
    <w:abstractNumId w:val="58"/>
  </w:num>
  <w:num w:numId="167">
    <w:abstractNumId w:val="103"/>
  </w:num>
  <w:num w:numId="168">
    <w:abstractNumId w:val="32"/>
  </w:num>
  <w:num w:numId="169">
    <w:abstractNumId w:val="176"/>
  </w:num>
  <w:num w:numId="170">
    <w:abstractNumId w:val="38"/>
  </w:num>
  <w:num w:numId="171">
    <w:abstractNumId w:val="69"/>
  </w:num>
  <w:num w:numId="172">
    <w:abstractNumId w:val="166"/>
  </w:num>
  <w:num w:numId="173">
    <w:abstractNumId w:val="134"/>
  </w:num>
  <w:num w:numId="174">
    <w:abstractNumId w:val="157"/>
  </w:num>
  <w:num w:numId="175">
    <w:abstractNumId w:val="39"/>
  </w:num>
  <w:num w:numId="176">
    <w:abstractNumId w:val="73"/>
  </w:num>
  <w:num w:numId="177">
    <w:abstractNumId w:val="49"/>
  </w:num>
  <w:num w:numId="178">
    <w:abstractNumId w:val="120"/>
  </w:num>
  <w:num w:numId="179">
    <w:abstractNumId w:val="130"/>
  </w:num>
  <w:num w:numId="180">
    <w:abstractNumId w:val="52"/>
  </w:num>
  <w:num w:numId="181">
    <w:abstractNumId w:val="164"/>
  </w:num>
  <w:num w:numId="182">
    <w:abstractNumId w:val="41"/>
  </w:num>
  <w:num w:numId="183">
    <w:abstractNumId w:val="178"/>
  </w:num>
  <w:num w:numId="184">
    <w:abstractNumId w:val="171"/>
  </w:num>
  <w:numIdMacAtCleanup w:val="18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avid geddes">
    <w15:presenceInfo w15:providerId="Windows Live" w15:userId="1685feccc2829a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attachedTemplate r:id="rId1"/>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20"/>
  <w:drawingGridHorizontalSpacing w:val="357"/>
  <w:drawingGridVerticalSpacing w:val="357"/>
  <w:displayHorizontalDrawingGridEvery w:val="0"/>
  <w:displayVerticalDrawingGridEvery w:val="0"/>
  <w:characterSpacingControl w:val="doNotCompress"/>
  <w:hdrShapeDefaults>
    <o:shapedefaults v:ext="edit" spidmax="2049"/>
  </w:hdrShapeDefaults>
  <w:footnotePr>
    <w:footnote w:id="-1"/>
    <w:footnote w:id="0"/>
    <w:footnote w:id="1"/>
  </w:footnotePr>
  <w:endnotePr>
    <w:endnote w:id="-1"/>
    <w:endnote w:id="0"/>
    <w:endnote w:id="1"/>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Outlines" w:val="0"/>
    <w:docVar w:name="ShowStaticGuides" w:val="1"/>
  </w:docVars>
  <w:rsids>
    <w:rsidRoot w:val="005D6B38"/>
    <w:rsid w:val="0000534D"/>
    <w:rsid w:val="00006B50"/>
    <w:rsid w:val="0002174B"/>
    <w:rsid w:val="00022673"/>
    <w:rsid w:val="00023576"/>
    <w:rsid w:val="00023944"/>
    <w:rsid w:val="00023A17"/>
    <w:rsid w:val="00031797"/>
    <w:rsid w:val="000325BD"/>
    <w:rsid w:val="000419B4"/>
    <w:rsid w:val="000433F3"/>
    <w:rsid w:val="00044E85"/>
    <w:rsid w:val="00055930"/>
    <w:rsid w:val="00057ADF"/>
    <w:rsid w:val="000628D0"/>
    <w:rsid w:val="00076B42"/>
    <w:rsid w:val="00085ADF"/>
    <w:rsid w:val="0008784C"/>
    <w:rsid w:val="000976B1"/>
    <w:rsid w:val="000A529F"/>
    <w:rsid w:val="000B135F"/>
    <w:rsid w:val="000B406C"/>
    <w:rsid w:val="000C0F6F"/>
    <w:rsid w:val="000C4B40"/>
    <w:rsid w:val="000C71E3"/>
    <w:rsid w:val="000D05DA"/>
    <w:rsid w:val="000D37B5"/>
    <w:rsid w:val="000E7846"/>
    <w:rsid w:val="000F73B3"/>
    <w:rsid w:val="000F7EC9"/>
    <w:rsid w:val="00102A99"/>
    <w:rsid w:val="00102C7A"/>
    <w:rsid w:val="0011192A"/>
    <w:rsid w:val="001124C2"/>
    <w:rsid w:val="00137449"/>
    <w:rsid w:val="001417D9"/>
    <w:rsid w:val="00144CDA"/>
    <w:rsid w:val="0015247B"/>
    <w:rsid w:val="0015283D"/>
    <w:rsid w:val="00152FB6"/>
    <w:rsid w:val="001610E6"/>
    <w:rsid w:val="00161D27"/>
    <w:rsid w:val="001622C3"/>
    <w:rsid w:val="00162524"/>
    <w:rsid w:val="00171D13"/>
    <w:rsid w:val="00174767"/>
    <w:rsid w:val="00187800"/>
    <w:rsid w:val="00197420"/>
    <w:rsid w:val="001A0A87"/>
    <w:rsid w:val="001A205D"/>
    <w:rsid w:val="001A315E"/>
    <w:rsid w:val="001A3439"/>
    <w:rsid w:val="001A79CA"/>
    <w:rsid w:val="001B14F9"/>
    <w:rsid w:val="001B62FE"/>
    <w:rsid w:val="001C1096"/>
    <w:rsid w:val="001C7059"/>
    <w:rsid w:val="001D5924"/>
    <w:rsid w:val="001E20EC"/>
    <w:rsid w:val="001E477C"/>
    <w:rsid w:val="001E7375"/>
    <w:rsid w:val="001E7402"/>
    <w:rsid w:val="00202DD3"/>
    <w:rsid w:val="00211279"/>
    <w:rsid w:val="00213D9D"/>
    <w:rsid w:val="002158C1"/>
    <w:rsid w:val="0022238B"/>
    <w:rsid w:val="00222A7E"/>
    <w:rsid w:val="00222D75"/>
    <w:rsid w:val="002306F3"/>
    <w:rsid w:val="00243444"/>
    <w:rsid w:val="00255490"/>
    <w:rsid w:val="0025692A"/>
    <w:rsid w:val="0025709E"/>
    <w:rsid w:val="002606BB"/>
    <w:rsid w:val="00262E36"/>
    <w:rsid w:val="00264735"/>
    <w:rsid w:val="00272DF9"/>
    <w:rsid w:val="00276D9F"/>
    <w:rsid w:val="00280330"/>
    <w:rsid w:val="0029320D"/>
    <w:rsid w:val="002A0C8D"/>
    <w:rsid w:val="002A140D"/>
    <w:rsid w:val="002A1F19"/>
    <w:rsid w:val="002B0E5B"/>
    <w:rsid w:val="002B15FF"/>
    <w:rsid w:val="002B35D4"/>
    <w:rsid w:val="002C0080"/>
    <w:rsid w:val="002C542F"/>
    <w:rsid w:val="002D119A"/>
    <w:rsid w:val="002D1CE9"/>
    <w:rsid w:val="002E4212"/>
    <w:rsid w:val="002E4F78"/>
    <w:rsid w:val="002E69F1"/>
    <w:rsid w:val="002F092A"/>
    <w:rsid w:val="002F2335"/>
    <w:rsid w:val="002F4261"/>
    <w:rsid w:val="002F4C3B"/>
    <w:rsid w:val="0030213D"/>
    <w:rsid w:val="0030785F"/>
    <w:rsid w:val="00311A02"/>
    <w:rsid w:val="00316E7E"/>
    <w:rsid w:val="00332153"/>
    <w:rsid w:val="003331F2"/>
    <w:rsid w:val="003357B2"/>
    <w:rsid w:val="00336E7B"/>
    <w:rsid w:val="00344C9D"/>
    <w:rsid w:val="0036101B"/>
    <w:rsid w:val="00371252"/>
    <w:rsid w:val="00371D3A"/>
    <w:rsid w:val="00373361"/>
    <w:rsid w:val="00374F42"/>
    <w:rsid w:val="00397E3E"/>
    <w:rsid w:val="003A13D3"/>
    <w:rsid w:val="003B245A"/>
    <w:rsid w:val="003B2D5D"/>
    <w:rsid w:val="003B511C"/>
    <w:rsid w:val="003C2AE6"/>
    <w:rsid w:val="003C4655"/>
    <w:rsid w:val="003C5D08"/>
    <w:rsid w:val="003D1FAF"/>
    <w:rsid w:val="003D7EE8"/>
    <w:rsid w:val="003E061A"/>
    <w:rsid w:val="003E1C1F"/>
    <w:rsid w:val="003E2429"/>
    <w:rsid w:val="003E284C"/>
    <w:rsid w:val="003E46C0"/>
    <w:rsid w:val="003F4F0A"/>
    <w:rsid w:val="003F720A"/>
    <w:rsid w:val="00410041"/>
    <w:rsid w:val="00410495"/>
    <w:rsid w:val="0041301F"/>
    <w:rsid w:val="00413AF7"/>
    <w:rsid w:val="00420525"/>
    <w:rsid w:val="00420DAA"/>
    <w:rsid w:val="00422A0E"/>
    <w:rsid w:val="004245F2"/>
    <w:rsid w:val="004409E2"/>
    <w:rsid w:val="00445ECA"/>
    <w:rsid w:val="00446DA6"/>
    <w:rsid w:val="00460D6B"/>
    <w:rsid w:val="004704A2"/>
    <w:rsid w:val="00472858"/>
    <w:rsid w:val="004863FB"/>
    <w:rsid w:val="00486EE0"/>
    <w:rsid w:val="00490AED"/>
    <w:rsid w:val="004A02AA"/>
    <w:rsid w:val="004A1E13"/>
    <w:rsid w:val="004B4126"/>
    <w:rsid w:val="004B4770"/>
    <w:rsid w:val="004B57CD"/>
    <w:rsid w:val="004C0D65"/>
    <w:rsid w:val="004C2A75"/>
    <w:rsid w:val="004D1994"/>
    <w:rsid w:val="004E2398"/>
    <w:rsid w:val="004E51D3"/>
    <w:rsid w:val="005045B3"/>
    <w:rsid w:val="00517130"/>
    <w:rsid w:val="005215BD"/>
    <w:rsid w:val="0052249D"/>
    <w:rsid w:val="00526CB2"/>
    <w:rsid w:val="00531E7F"/>
    <w:rsid w:val="00546912"/>
    <w:rsid w:val="00552572"/>
    <w:rsid w:val="00556CC7"/>
    <w:rsid w:val="005603EC"/>
    <w:rsid w:val="005629D1"/>
    <w:rsid w:val="00572F87"/>
    <w:rsid w:val="00575CE7"/>
    <w:rsid w:val="00582E9C"/>
    <w:rsid w:val="00593024"/>
    <w:rsid w:val="005A03AB"/>
    <w:rsid w:val="005A1C41"/>
    <w:rsid w:val="005A53C0"/>
    <w:rsid w:val="005A7DDA"/>
    <w:rsid w:val="005B2ED6"/>
    <w:rsid w:val="005B40B1"/>
    <w:rsid w:val="005B59BF"/>
    <w:rsid w:val="005D6B38"/>
    <w:rsid w:val="005D7818"/>
    <w:rsid w:val="005E089C"/>
    <w:rsid w:val="005E1134"/>
    <w:rsid w:val="005E65DC"/>
    <w:rsid w:val="005F27A1"/>
    <w:rsid w:val="0061384D"/>
    <w:rsid w:val="00620C63"/>
    <w:rsid w:val="00621A73"/>
    <w:rsid w:val="00622FF2"/>
    <w:rsid w:val="0063386E"/>
    <w:rsid w:val="0064323B"/>
    <w:rsid w:val="00644B6E"/>
    <w:rsid w:val="00646A71"/>
    <w:rsid w:val="00647492"/>
    <w:rsid w:val="0065186A"/>
    <w:rsid w:val="0066107F"/>
    <w:rsid w:val="00667E6C"/>
    <w:rsid w:val="00670323"/>
    <w:rsid w:val="006744D1"/>
    <w:rsid w:val="00676A2B"/>
    <w:rsid w:val="00682358"/>
    <w:rsid w:val="00682EC4"/>
    <w:rsid w:val="00683EF4"/>
    <w:rsid w:val="00685E49"/>
    <w:rsid w:val="00687DA2"/>
    <w:rsid w:val="0069518C"/>
    <w:rsid w:val="006968CB"/>
    <w:rsid w:val="006A0B73"/>
    <w:rsid w:val="006A19AE"/>
    <w:rsid w:val="006A6D87"/>
    <w:rsid w:val="006B0F43"/>
    <w:rsid w:val="006B162E"/>
    <w:rsid w:val="006B1FFD"/>
    <w:rsid w:val="006B3D27"/>
    <w:rsid w:val="006B57EC"/>
    <w:rsid w:val="006B781A"/>
    <w:rsid w:val="006C3892"/>
    <w:rsid w:val="006C49D5"/>
    <w:rsid w:val="006C5902"/>
    <w:rsid w:val="006D2060"/>
    <w:rsid w:val="006D4362"/>
    <w:rsid w:val="006D6A9E"/>
    <w:rsid w:val="006E1070"/>
    <w:rsid w:val="006E1E3A"/>
    <w:rsid w:val="006E7DEB"/>
    <w:rsid w:val="006F315C"/>
    <w:rsid w:val="006F57BF"/>
    <w:rsid w:val="006F595D"/>
    <w:rsid w:val="006F6EE6"/>
    <w:rsid w:val="0071074D"/>
    <w:rsid w:val="007154D0"/>
    <w:rsid w:val="0072197F"/>
    <w:rsid w:val="00755F25"/>
    <w:rsid w:val="00780B60"/>
    <w:rsid w:val="0078150C"/>
    <w:rsid w:val="00782D1D"/>
    <w:rsid w:val="0078519C"/>
    <w:rsid w:val="00785EED"/>
    <w:rsid w:val="00787C98"/>
    <w:rsid w:val="00796E8B"/>
    <w:rsid w:val="007A5C4E"/>
    <w:rsid w:val="007C0A5D"/>
    <w:rsid w:val="007C3C2C"/>
    <w:rsid w:val="007E08F7"/>
    <w:rsid w:val="007E5544"/>
    <w:rsid w:val="007E5CEA"/>
    <w:rsid w:val="007F7DB4"/>
    <w:rsid w:val="0080299F"/>
    <w:rsid w:val="00814FA7"/>
    <w:rsid w:val="00821E02"/>
    <w:rsid w:val="00831C9F"/>
    <w:rsid w:val="00836ECF"/>
    <w:rsid w:val="00846153"/>
    <w:rsid w:val="008479A1"/>
    <w:rsid w:val="00850B0E"/>
    <w:rsid w:val="00855999"/>
    <w:rsid w:val="00866E3E"/>
    <w:rsid w:val="00867DFB"/>
    <w:rsid w:val="00873BB6"/>
    <w:rsid w:val="00875A68"/>
    <w:rsid w:val="00877180"/>
    <w:rsid w:val="0088364D"/>
    <w:rsid w:val="00884224"/>
    <w:rsid w:val="00890FF3"/>
    <w:rsid w:val="008927E5"/>
    <w:rsid w:val="00894880"/>
    <w:rsid w:val="00894D30"/>
    <w:rsid w:val="008A015C"/>
    <w:rsid w:val="008A3B0D"/>
    <w:rsid w:val="008A464E"/>
    <w:rsid w:val="008A4B40"/>
    <w:rsid w:val="008A6815"/>
    <w:rsid w:val="008A75E1"/>
    <w:rsid w:val="008B0503"/>
    <w:rsid w:val="008B40B3"/>
    <w:rsid w:val="008B71E5"/>
    <w:rsid w:val="008C174F"/>
    <w:rsid w:val="008C4CD3"/>
    <w:rsid w:val="008C6336"/>
    <w:rsid w:val="008D1D3C"/>
    <w:rsid w:val="008D23C2"/>
    <w:rsid w:val="008E574F"/>
    <w:rsid w:val="008E7E09"/>
    <w:rsid w:val="008F7BB3"/>
    <w:rsid w:val="0090040F"/>
    <w:rsid w:val="00901888"/>
    <w:rsid w:val="009067B1"/>
    <w:rsid w:val="009070AD"/>
    <w:rsid w:val="009306F8"/>
    <w:rsid w:val="00935E5D"/>
    <w:rsid w:val="00947CBB"/>
    <w:rsid w:val="00960602"/>
    <w:rsid w:val="00962FCA"/>
    <w:rsid w:val="00964909"/>
    <w:rsid w:val="00965097"/>
    <w:rsid w:val="00965C81"/>
    <w:rsid w:val="00966077"/>
    <w:rsid w:val="00970B92"/>
    <w:rsid w:val="00973CF1"/>
    <w:rsid w:val="00975B2C"/>
    <w:rsid w:val="00977693"/>
    <w:rsid w:val="00980A75"/>
    <w:rsid w:val="00981A15"/>
    <w:rsid w:val="00990557"/>
    <w:rsid w:val="00996C6A"/>
    <w:rsid w:val="009A0DB4"/>
    <w:rsid w:val="009A2933"/>
    <w:rsid w:val="009A3546"/>
    <w:rsid w:val="009A693C"/>
    <w:rsid w:val="009B1C8B"/>
    <w:rsid w:val="009B26D9"/>
    <w:rsid w:val="009B6340"/>
    <w:rsid w:val="009C3A3D"/>
    <w:rsid w:val="009D0885"/>
    <w:rsid w:val="009D1F24"/>
    <w:rsid w:val="009D6E8D"/>
    <w:rsid w:val="009D7A81"/>
    <w:rsid w:val="009E4EE4"/>
    <w:rsid w:val="009F1946"/>
    <w:rsid w:val="00A114DF"/>
    <w:rsid w:val="00A119FB"/>
    <w:rsid w:val="00A13EB7"/>
    <w:rsid w:val="00A15B73"/>
    <w:rsid w:val="00A2093B"/>
    <w:rsid w:val="00A23BD5"/>
    <w:rsid w:val="00A37E23"/>
    <w:rsid w:val="00A4250E"/>
    <w:rsid w:val="00A463EB"/>
    <w:rsid w:val="00A46F39"/>
    <w:rsid w:val="00A5078E"/>
    <w:rsid w:val="00A51F6F"/>
    <w:rsid w:val="00A53D2B"/>
    <w:rsid w:val="00A55267"/>
    <w:rsid w:val="00A60DD5"/>
    <w:rsid w:val="00A716D1"/>
    <w:rsid w:val="00A71B20"/>
    <w:rsid w:val="00A7413B"/>
    <w:rsid w:val="00A76137"/>
    <w:rsid w:val="00A818C8"/>
    <w:rsid w:val="00A907FB"/>
    <w:rsid w:val="00A957E1"/>
    <w:rsid w:val="00A97ABC"/>
    <w:rsid w:val="00AA0D06"/>
    <w:rsid w:val="00AA2062"/>
    <w:rsid w:val="00AA2766"/>
    <w:rsid w:val="00AA28FD"/>
    <w:rsid w:val="00AA3B04"/>
    <w:rsid w:val="00AB549D"/>
    <w:rsid w:val="00AB70BB"/>
    <w:rsid w:val="00AC1DBA"/>
    <w:rsid w:val="00AC3783"/>
    <w:rsid w:val="00AD18FA"/>
    <w:rsid w:val="00AD5E26"/>
    <w:rsid w:val="00AE0D75"/>
    <w:rsid w:val="00AE3334"/>
    <w:rsid w:val="00AF27D3"/>
    <w:rsid w:val="00B00DFD"/>
    <w:rsid w:val="00B02848"/>
    <w:rsid w:val="00B06C2F"/>
    <w:rsid w:val="00B126DA"/>
    <w:rsid w:val="00B163FF"/>
    <w:rsid w:val="00B170A1"/>
    <w:rsid w:val="00B22AA4"/>
    <w:rsid w:val="00B30FA5"/>
    <w:rsid w:val="00B42132"/>
    <w:rsid w:val="00B429DF"/>
    <w:rsid w:val="00B44E3A"/>
    <w:rsid w:val="00B51CDD"/>
    <w:rsid w:val="00B542AC"/>
    <w:rsid w:val="00B54A0C"/>
    <w:rsid w:val="00B5759F"/>
    <w:rsid w:val="00B60178"/>
    <w:rsid w:val="00B61104"/>
    <w:rsid w:val="00B64183"/>
    <w:rsid w:val="00B64D47"/>
    <w:rsid w:val="00B65374"/>
    <w:rsid w:val="00B8189C"/>
    <w:rsid w:val="00B874D0"/>
    <w:rsid w:val="00B875DD"/>
    <w:rsid w:val="00B87BBC"/>
    <w:rsid w:val="00B961B8"/>
    <w:rsid w:val="00BA1EF6"/>
    <w:rsid w:val="00BA5AD7"/>
    <w:rsid w:val="00BA6A5B"/>
    <w:rsid w:val="00BC56E6"/>
    <w:rsid w:val="00BC5F9C"/>
    <w:rsid w:val="00BD0523"/>
    <w:rsid w:val="00BD5B3E"/>
    <w:rsid w:val="00BF0412"/>
    <w:rsid w:val="00BF1FEC"/>
    <w:rsid w:val="00BF48E6"/>
    <w:rsid w:val="00BF4DE0"/>
    <w:rsid w:val="00BF5C25"/>
    <w:rsid w:val="00C0199C"/>
    <w:rsid w:val="00C04A96"/>
    <w:rsid w:val="00C07707"/>
    <w:rsid w:val="00C16200"/>
    <w:rsid w:val="00C209C0"/>
    <w:rsid w:val="00C247D0"/>
    <w:rsid w:val="00C26739"/>
    <w:rsid w:val="00C279FA"/>
    <w:rsid w:val="00C32D0F"/>
    <w:rsid w:val="00C367EB"/>
    <w:rsid w:val="00C47BD2"/>
    <w:rsid w:val="00C51EE0"/>
    <w:rsid w:val="00C5508F"/>
    <w:rsid w:val="00C5615F"/>
    <w:rsid w:val="00C627CE"/>
    <w:rsid w:val="00C7475E"/>
    <w:rsid w:val="00C813FD"/>
    <w:rsid w:val="00C84421"/>
    <w:rsid w:val="00C86AB7"/>
    <w:rsid w:val="00C873D5"/>
    <w:rsid w:val="00C94F2C"/>
    <w:rsid w:val="00C953C8"/>
    <w:rsid w:val="00C96FE9"/>
    <w:rsid w:val="00CA6B3F"/>
    <w:rsid w:val="00CA78CE"/>
    <w:rsid w:val="00CB3A60"/>
    <w:rsid w:val="00CB567A"/>
    <w:rsid w:val="00CC24B0"/>
    <w:rsid w:val="00CC5B4D"/>
    <w:rsid w:val="00CC767C"/>
    <w:rsid w:val="00CD1835"/>
    <w:rsid w:val="00CD478E"/>
    <w:rsid w:val="00CE23F7"/>
    <w:rsid w:val="00CE2F07"/>
    <w:rsid w:val="00CE3904"/>
    <w:rsid w:val="00CE5A3A"/>
    <w:rsid w:val="00CE61BC"/>
    <w:rsid w:val="00CF37FA"/>
    <w:rsid w:val="00CF4673"/>
    <w:rsid w:val="00CF69A3"/>
    <w:rsid w:val="00D01729"/>
    <w:rsid w:val="00D04A3A"/>
    <w:rsid w:val="00D06433"/>
    <w:rsid w:val="00D06A6B"/>
    <w:rsid w:val="00D14DC6"/>
    <w:rsid w:val="00D1799D"/>
    <w:rsid w:val="00D2123D"/>
    <w:rsid w:val="00D22FD6"/>
    <w:rsid w:val="00D25E0C"/>
    <w:rsid w:val="00D32C7A"/>
    <w:rsid w:val="00D35E73"/>
    <w:rsid w:val="00D42878"/>
    <w:rsid w:val="00D51B6A"/>
    <w:rsid w:val="00D53CA0"/>
    <w:rsid w:val="00D554A9"/>
    <w:rsid w:val="00D75573"/>
    <w:rsid w:val="00D84334"/>
    <w:rsid w:val="00D86A05"/>
    <w:rsid w:val="00D936DF"/>
    <w:rsid w:val="00D9536A"/>
    <w:rsid w:val="00DA2AB7"/>
    <w:rsid w:val="00DB11FA"/>
    <w:rsid w:val="00DB7F92"/>
    <w:rsid w:val="00DD20E2"/>
    <w:rsid w:val="00DD3F68"/>
    <w:rsid w:val="00DD5D2D"/>
    <w:rsid w:val="00DD71CE"/>
    <w:rsid w:val="00DD7D4A"/>
    <w:rsid w:val="00DF3DF4"/>
    <w:rsid w:val="00E01309"/>
    <w:rsid w:val="00E033C2"/>
    <w:rsid w:val="00E05328"/>
    <w:rsid w:val="00E07107"/>
    <w:rsid w:val="00E24A64"/>
    <w:rsid w:val="00E25BFF"/>
    <w:rsid w:val="00E3236C"/>
    <w:rsid w:val="00E418EE"/>
    <w:rsid w:val="00E47A71"/>
    <w:rsid w:val="00E5058C"/>
    <w:rsid w:val="00E52ACB"/>
    <w:rsid w:val="00E72C89"/>
    <w:rsid w:val="00E84A50"/>
    <w:rsid w:val="00E874B3"/>
    <w:rsid w:val="00E904CF"/>
    <w:rsid w:val="00E9155B"/>
    <w:rsid w:val="00E962CD"/>
    <w:rsid w:val="00EB549C"/>
    <w:rsid w:val="00ED29F1"/>
    <w:rsid w:val="00ED380A"/>
    <w:rsid w:val="00ED39AE"/>
    <w:rsid w:val="00ED4012"/>
    <w:rsid w:val="00ED5685"/>
    <w:rsid w:val="00EE7F06"/>
    <w:rsid w:val="00EF04D7"/>
    <w:rsid w:val="00F0701C"/>
    <w:rsid w:val="00F119E7"/>
    <w:rsid w:val="00F11B7F"/>
    <w:rsid w:val="00F17535"/>
    <w:rsid w:val="00F45B47"/>
    <w:rsid w:val="00F466C6"/>
    <w:rsid w:val="00F50C2F"/>
    <w:rsid w:val="00F535CA"/>
    <w:rsid w:val="00F651EE"/>
    <w:rsid w:val="00F6537D"/>
    <w:rsid w:val="00F76189"/>
    <w:rsid w:val="00F7691A"/>
    <w:rsid w:val="00F775D6"/>
    <w:rsid w:val="00F84A48"/>
    <w:rsid w:val="00F962EA"/>
    <w:rsid w:val="00FA5B48"/>
    <w:rsid w:val="00FA6A70"/>
    <w:rsid w:val="00FA7FDE"/>
    <w:rsid w:val="00FB15D1"/>
    <w:rsid w:val="00FB4128"/>
    <w:rsid w:val="00FB5221"/>
    <w:rsid w:val="00FB587A"/>
    <w:rsid w:val="00FC4EB0"/>
    <w:rsid w:val="00FD20C5"/>
    <w:rsid w:val="00FE2012"/>
    <w:rsid w:val="00FE464E"/>
    <w:rsid w:val="00FE6D0A"/>
    <w:rsid w:val="00FF7B03"/>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2BFA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HGSMinchoE" w:hAnsi="Arial" w:cs="Times New Roman"/>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index heading" w:uiPriority="0"/>
    <w:lsdException w:name="caption" w:uiPriority="35" w:qFormat="1"/>
    <w:lsdException w:name="footnote reference" w:uiPriority="0"/>
    <w:lsdException w:name="page number"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Signature" w:uiPriority="0"/>
    <w:lsdException w:name="Default Paragraph Font" w:uiPriority="1"/>
    <w:lsdException w:name="Body Text" w:uiPriority="1" w:qFormat="1"/>
    <w:lsdException w:name="Body Text Indent" w:uiPriority="0"/>
    <w:lsdException w:name="List Continue" w:uiPriority="0"/>
    <w:lsdException w:name="List Continue 2"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33" w:unhideWhenUsed="0" w:qFormat="1"/>
    <w:lsdException w:name="Bibliography" w:semiHidden="0" w:uiPriority="70" w:unhideWhenUsed="0"/>
    <w:lsdException w:name="TOC Heading" w:uiPriority="39" w:qFormat="1"/>
  </w:latentStyles>
  <w:style w:type="paragraph" w:default="1" w:styleId="Normal">
    <w:name w:val="Normal"/>
    <w:qFormat/>
    <w:rsid w:val="00E52ACB"/>
    <w:rPr>
      <w:rFonts w:eastAsia="Times New Roman"/>
      <w:bCs/>
      <w:szCs w:val="26"/>
      <w:lang w:eastAsia="en-US"/>
    </w:rPr>
  </w:style>
  <w:style w:type="paragraph" w:styleId="Heading1">
    <w:name w:val="heading 1"/>
    <w:basedOn w:val="Normal"/>
    <w:next w:val="Normal"/>
    <w:link w:val="Heading1Char"/>
    <w:uiPriority w:val="1"/>
    <w:qFormat/>
    <w:rsid w:val="005A03AB"/>
    <w:pPr>
      <w:numPr>
        <w:numId w:val="2"/>
      </w:numPr>
      <w:outlineLvl w:val="0"/>
    </w:pPr>
    <w:rPr>
      <w:rFonts w:cs="Arial"/>
      <w:b/>
      <w:color w:val="005EB8" w:themeColor="text2"/>
      <w:kern w:val="32"/>
      <w:sz w:val="32"/>
      <w:szCs w:val="32"/>
    </w:rPr>
  </w:style>
  <w:style w:type="paragraph" w:styleId="Heading2">
    <w:name w:val="heading 2"/>
    <w:basedOn w:val="Normal"/>
    <w:next w:val="Normal"/>
    <w:link w:val="Heading2Char"/>
    <w:uiPriority w:val="1"/>
    <w:unhideWhenUsed/>
    <w:qFormat/>
    <w:rsid w:val="002F092A"/>
    <w:pPr>
      <w:numPr>
        <w:ilvl w:val="1"/>
        <w:numId w:val="2"/>
      </w:numPr>
      <w:spacing w:line="360" w:lineRule="auto"/>
      <w:outlineLvl w:val="1"/>
    </w:pPr>
    <w:rPr>
      <w:b/>
      <w:iCs/>
      <w:color w:val="7C2855" w:themeColor="background2"/>
      <w:sz w:val="28"/>
      <w:szCs w:val="28"/>
    </w:rPr>
  </w:style>
  <w:style w:type="paragraph" w:styleId="Heading3">
    <w:name w:val="heading 3"/>
    <w:basedOn w:val="Normal"/>
    <w:next w:val="Normal"/>
    <w:link w:val="Heading3Char"/>
    <w:unhideWhenUsed/>
    <w:qFormat/>
    <w:rsid w:val="001C7059"/>
    <w:pPr>
      <w:numPr>
        <w:ilvl w:val="2"/>
        <w:numId w:val="2"/>
      </w:numPr>
      <w:spacing w:line="360" w:lineRule="auto"/>
      <w:outlineLvl w:val="2"/>
    </w:pPr>
  </w:style>
  <w:style w:type="paragraph" w:styleId="Heading4">
    <w:name w:val="heading 4"/>
    <w:basedOn w:val="Normal"/>
    <w:next w:val="Normal"/>
    <w:link w:val="Heading4Char"/>
    <w:unhideWhenUsed/>
    <w:qFormat/>
    <w:rsid w:val="002C0080"/>
    <w:pPr>
      <w:keepNext/>
      <w:keepLines/>
      <w:numPr>
        <w:ilvl w:val="3"/>
        <w:numId w:val="2"/>
      </w:numPr>
      <w:spacing w:before="200" w:line="360" w:lineRule="auto"/>
      <w:outlineLvl w:val="3"/>
    </w:pPr>
    <w:rPr>
      <w:rFonts w:eastAsiaTheme="majorEastAsia" w:cstheme="majorBidi"/>
      <w:bCs w:val="0"/>
      <w:iCs/>
      <w:color w:val="000000" w:themeColor="text1"/>
      <w:lang w:eastAsia="en-GB"/>
    </w:rPr>
  </w:style>
  <w:style w:type="paragraph" w:styleId="Heading5">
    <w:name w:val="heading 5"/>
    <w:basedOn w:val="Normal"/>
    <w:next w:val="Normal"/>
    <w:link w:val="Heading5Char"/>
    <w:unhideWhenUsed/>
    <w:qFormat/>
    <w:rsid w:val="00E05328"/>
    <w:pPr>
      <w:keepNext/>
      <w:keepLines/>
      <w:numPr>
        <w:ilvl w:val="4"/>
        <w:numId w:val="2"/>
      </w:numPr>
      <w:spacing w:before="200" w:line="360" w:lineRule="auto"/>
      <w:outlineLvl w:val="4"/>
    </w:pPr>
    <w:rPr>
      <w:rFonts w:eastAsiaTheme="majorEastAsia" w:cs="Arial"/>
      <w:color w:val="001743" w:themeColor="accent1" w:themeShade="7F"/>
      <w:lang w:eastAsia="en-GB"/>
    </w:rPr>
  </w:style>
  <w:style w:type="paragraph" w:styleId="Heading6">
    <w:name w:val="heading 6"/>
    <w:basedOn w:val="Normal"/>
    <w:next w:val="Normal"/>
    <w:link w:val="Heading6Char"/>
    <w:unhideWhenUsed/>
    <w:qFormat/>
    <w:rsid w:val="00E52ACB"/>
    <w:pPr>
      <w:keepNext/>
      <w:keepLines/>
      <w:numPr>
        <w:ilvl w:val="5"/>
        <w:numId w:val="2"/>
      </w:numPr>
      <w:spacing w:before="200"/>
      <w:outlineLvl w:val="5"/>
    </w:pPr>
    <w:rPr>
      <w:rFonts w:asciiTheme="majorHAnsi" w:eastAsiaTheme="majorEastAsia" w:hAnsiTheme="majorHAnsi" w:cstheme="majorBidi"/>
      <w:i/>
      <w:iCs/>
      <w:color w:val="001743" w:themeColor="accent1" w:themeShade="7F"/>
    </w:rPr>
  </w:style>
  <w:style w:type="paragraph" w:styleId="Heading7">
    <w:name w:val="heading 7"/>
    <w:basedOn w:val="Normal"/>
    <w:next w:val="Normal"/>
    <w:link w:val="Heading7Char"/>
    <w:unhideWhenUsed/>
    <w:qFormat/>
    <w:rsid w:val="00E52AC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E52AC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E52AC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D4362"/>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NoParagraphStyle">
    <w:name w:val="[No Paragraph Style]"/>
    <w:rsid w:val="006D4362"/>
    <w:pPr>
      <w:widowControl w:val="0"/>
      <w:autoSpaceDE w:val="0"/>
      <w:autoSpaceDN w:val="0"/>
      <w:adjustRightInd w:val="0"/>
      <w:spacing w:line="288" w:lineRule="auto"/>
      <w:textAlignment w:val="center"/>
    </w:pPr>
    <w:rPr>
      <w:rFonts w:ascii="MinionPro-Regular" w:hAnsi="MinionPro-Regular" w:cs="MinionPro-Regular"/>
      <w:color w:val="000000"/>
      <w:lang w:eastAsia="en-US"/>
    </w:rPr>
  </w:style>
  <w:style w:type="paragraph" w:styleId="Header">
    <w:name w:val="header"/>
    <w:basedOn w:val="Normal"/>
    <w:link w:val="HeaderChar"/>
    <w:uiPriority w:val="99"/>
    <w:unhideWhenUsed/>
    <w:rsid w:val="00C953C8"/>
    <w:pPr>
      <w:tabs>
        <w:tab w:val="center" w:pos="4320"/>
        <w:tab w:val="right" w:pos="8640"/>
      </w:tabs>
    </w:pPr>
  </w:style>
  <w:style w:type="character" w:customStyle="1" w:styleId="HeaderChar">
    <w:name w:val="Header Char"/>
    <w:basedOn w:val="DefaultParagraphFont"/>
    <w:link w:val="Header"/>
    <w:uiPriority w:val="99"/>
    <w:rsid w:val="00C953C8"/>
  </w:style>
  <w:style w:type="paragraph" w:styleId="Footer">
    <w:name w:val="footer"/>
    <w:basedOn w:val="Normal"/>
    <w:link w:val="FooterChar"/>
    <w:uiPriority w:val="99"/>
    <w:unhideWhenUsed/>
    <w:rsid w:val="00C953C8"/>
    <w:pPr>
      <w:tabs>
        <w:tab w:val="center" w:pos="4320"/>
        <w:tab w:val="right" w:pos="8640"/>
      </w:tabs>
    </w:pPr>
  </w:style>
  <w:style w:type="character" w:customStyle="1" w:styleId="FooterChar">
    <w:name w:val="Footer Char"/>
    <w:basedOn w:val="DefaultParagraphFont"/>
    <w:link w:val="Footer"/>
    <w:uiPriority w:val="99"/>
    <w:rsid w:val="00C953C8"/>
  </w:style>
  <w:style w:type="character" w:styleId="PageNumber">
    <w:name w:val="page number"/>
    <w:unhideWhenUsed/>
    <w:rsid w:val="00102A99"/>
  </w:style>
  <w:style w:type="paragraph" w:styleId="BalloonText">
    <w:name w:val="Balloon Text"/>
    <w:basedOn w:val="Normal"/>
    <w:link w:val="BalloonTextChar"/>
    <w:uiPriority w:val="99"/>
    <w:unhideWhenUsed/>
    <w:rsid w:val="002A0C8D"/>
    <w:rPr>
      <w:rFonts w:ascii="Tahoma" w:hAnsi="Tahoma" w:cs="Tahoma"/>
      <w:sz w:val="16"/>
      <w:szCs w:val="16"/>
    </w:rPr>
  </w:style>
  <w:style w:type="paragraph" w:styleId="TOC1">
    <w:name w:val="toc 1"/>
    <w:basedOn w:val="Normal"/>
    <w:next w:val="Normal"/>
    <w:autoRedefine/>
    <w:uiPriority w:val="39"/>
    <w:unhideWhenUsed/>
    <w:qFormat/>
    <w:rsid w:val="00472858"/>
    <w:pPr>
      <w:tabs>
        <w:tab w:val="left" w:pos="480"/>
        <w:tab w:val="right" w:leader="dot" w:pos="9054"/>
      </w:tabs>
      <w:spacing w:before="120" w:after="120" w:line="360" w:lineRule="auto"/>
    </w:pPr>
    <w:rPr>
      <w:noProof/>
      <w:color w:val="005EB8" w:themeColor="text2"/>
      <w:sz w:val="32"/>
      <w:szCs w:val="32"/>
    </w:rPr>
  </w:style>
  <w:style w:type="character" w:customStyle="1" w:styleId="BalloonTextChar">
    <w:name w:val="Balloon Text Char"/>
    <w:link w:val="BalloonText"/>
    <w:uiPriority w:val="99"/>
    <w:rsid w:val="002A0C8D"/>
    <w:rPr>
      <w:rFonts w:ascii="Tahoma" w:hAnsi="Tahoma" w:cs="Tahoma"/>
      <w:sz w:val="16"/>
      <w:szCs w:val="16"/>
      <w:lang w:eastAsia="en-US"/>
    </w:rPr>
  </w:style>
  <w:style w:type="paragraph" w:styleId="Title">
    <w:name w:val="Title"/>
    <w:basedOn w:val="Normal"/>
    <w:next w:val="Normal"/>
    <w:link w:val="TitleChar"/>
    <w:uiPriority w:val="10"/>
    <w:qFormat/>
    <w:rsid w:val="00E72C89"/>
    <w:rPr>
      <w:b/>
      <w:color w:val="005EB8" w:themeColor="text2"/>
      <w:sz w:val="80"/>
      <w:szCs w:val="80"/>
    </w:rPr>
  </w:style>
  <w:style w:type="character" w:customStyle="1" w:styleId="TitleChar">
    <w:name w:val="Title Char"/>
    <w:basedOn w:val="DefaultParagraphFont"/>
    <w:link w:val="Title"/>
    <w:uiPriority w:val="10"/>
    <w:rsid w:val="00E72C89"/>
    <w:rPr>
      <w:rFonts w:eastAsia="Times New Roman"/>
      <w:b/>
      <w:bCs/>
      <w:color w:val="005EB8" w:themeColor="text2"/>
      <w:sz w:val="80"/>
      <w:szCs w:val="80"/>
      <w:lang w:eastAsia="en-US"/>
    </w:rPr>
  </w:style>
  <w:style w:type="character" w:customStyle="1" w:styleId="Heading1Char">
    <w:name w:val="Heading 1 Char"/>
    <w:link w:val="Heading1"/>
    <w:uiPriority w:val="1"/>
    <w:rsid w:val="005A03AB"/>
    <w:rPr>
      <w:rFonts w:eastAsia="Times New Roman" w:cs="Arial"/>
      <w:b/>
      <w:bCs/>
      <w:color w:val="005EB8" w:themeColor="text2"/>
      <w:kern w:val="32"/>
      <w:sz w:val="32"/>
      <w:szCs w:val="32"/>
      <w:lang w:eastAsia="en-US"/>
    </w:rPr>
  </w:style>
  <w:style w:type="character" w:customStyle="1" w:styleId="Heading4Char">
    <w:name w:val="Heading 4 Char"/>
    <w:basedOn w:val="DefaultParagraphFont"/>
    <w:link w:val="Heading4"/>
    <w:rsid w:val="002C0080"/>
    <w:rPr>
      <w:rFonts w:eastAsiaTheme="majorEastAsia" w:cstheme="majorBidi"/>
      <w:iCs/>
      <w:color w:val="000000" w:themeColor="text1"/>
      <w:szCs w:val="26"/>
    </w:rPr>
  </w:style>
  <w:style w:type="character" w:customStyle="1" w:styleId="Heading2Char">
    <w:name w:val="Heading 2 Char"/>
    <w:link w:val="Heading2"/>
    <w:uiPriority w:val="1"/>
    <w:rsid w:val="002F092A"/>
    <w:rPr>
      <w:rFonts w:eastAsia="Times New Roman"/>
      <w:b/>
      <w:bCs/>
      <w:iCs/>
      <w:color w:val="7C2855" w:themeColor="background2"/>
      <w:sz w:val="28"/>
      <w:szCs w:val="28"/>
      <w:lang w:eastAsia="en-US"/>
    </w:rPr>
  </w:style>
  <w:style w:type="character" w:customStyle="1" w:styleId="Heading5Char">
    <w:name w:val="Heading 5 Char"/>
    <w:basedOn w:val="DefaultParagraphFont"/>
    <w:link w:val="Heading5"/>
    <w:rsid w:val="00E05328"/>
    <w:rPr>
      <w:rFonts w:eastAsiaTheme="majorEastAsia" w:cs="Arial"/>
      <w:bCs/>
      <w:color w:val="001743" w:themeColor="accent1" w:themeShade="7F"/>
      <w:szCs w:val="26"/>
    </w:rPr>
  </w:style>
  <w:style w:type="character" w:customStyle="1" w:styleId="Heading3Char">
    <w:name w:val="Heading 3 Char"/>
    <w:link w:val="Heading3"/>
    <w:rsid w:val="001C7059"/>
    <w:rPr>
      <w:rFonts w:eastAsia="Times New Roman"/>
      <w:bCs/>
      <w:szCs w:val="26"/>
      <w:lang w:eastAsia="en-US"/>
    </w:rPr>
  </w:style>
  <w:style w:type="paragraph" w:styleId="TOC3">
    <w:name w:val="toc 3"/>
    <w:basedOn w:val="Normal"/>
    <w:next w:val="Normal"/>
    <w:autoRedefine/>
    <w:uiPriority w:val="39"/>
    <w:unhideWhenUsed/>
    <w:qFormat/>
    <w:rsid w:val="004409E2"/>
    <w:pPr>
      <w:ind w:left="480"/>
    </w:pPr>
  </w:style>
  <w:style w:type="character" w:styleId="Hyperlink">
    <w:name w:val="Hyperlink"/>
    <w:uiPriority w:val="99"/>
    <w:unhideWhenUsed/>
    <w:rsid w:val="004409E2"/>
    <w:rPr>
      <w:color w:val="0000FF"/>
      <w:u w:val="single"/>
    </w:rPr>
  </w:style>
  <w:style w:type="paragraph" w:styleId="TOCHeading">
    <w:name w:val="TOC Heading"/>
    <w:basedOn w:val="Heading1"/>
    <w:next w:val="Normal"/>
    <w:uiPriority w:val="39"/>
    <w:unhideWhenUsed/>
    <w:qFormat/>
    <w:rsid w:val="00AB549D"/>
    <w:pPr>
      <w:keepLines/>
      <w:spacing w:before="480" w:line="276" w:lineRule="auto"/>
      <w:outlineLvl w:val="9"/>
    </w:pPr>
    <w:rPr>
      <w:color w:val="365F91"/>
      <w:kern w:val="0"/>
      <w:sz w:val="28"/>
      <w:szCs w:val="28"/>
      <w:lang w:val="en-US" w:eastAsia="ja-JP"/>
    </w:rPr>
  </w:style>
  <w:style w:type="numbering" w:styleId="111111">
    <w:name w:val="Outline List 2"/>
    <w:basedOn w:val="NoList"/>
    <w:uiPriority w:val="99"/>
    <w:unhideWhenUsed/>
    <w:rsid w:val="00AB549D"/>
    <w:pPr>
      <w:numPr>
        <w:numId w:val="1"/>
      </w:numPr>
    </w:pPr>
  </w:style>
  <w:style w:type="paragraph" w:styleId="TOC2">
    <w:name w:val="toc 2"/>
    <w:basedOn w:val="Normal"/>
    <w:next w:val="Normal"/>
    <w:autoRedefine/>
    <w:uiPriority w:val="39"/>
    <w:unhideWhenUsed/>
    <w:qFormat/>
    <w:rsid w:val="00B64D47"/>
    <w:pPr>
      <w:tabs>
        <w:tab w:val="left" w:pos="880"/>
        <w:tab w:val="right" w:leader="dot" w:pos="9300"/>
      </w:tabs>
      <w:spacing w:before="120" w:after="120" w:line="276" w:lineRule="auto"/>
      <w:ind w:left="238"/>
      <w:jc w:val="both"/>
    </w:pPr>
  </w:style>
  <w:style w:type="paragraph" w:customStyle="1" w:styleId="DHBodycopy">
    <w:name w:val="DH Body copy"/>
    <w:basedOn w:val="Normal"/>
    <w:link w:val="DHBodycopyChar"/>
    <w:uiPriority w:val="99"/>
    <w:rsid w:val="00023944"/>
    <w:pPr>
      <w:spacing w:line="320" w:lineRule="exact"/>
    </w:pPr>
    <w:rPr>
      <w:szCs w:val="20"/>
    </w:rPr>
  </w:style>
  <w:style w:type="paragraph" w:customStyle="1" w:styleId="DHtitlepagetext">
    <w:name w:val="DH title page text"/>
    <w:basedOn w:val="Normal"/>
    <w:rsid w:val="00023944"/>
    <w:pPr>
      <w:spacing w:line="660" w:lineRule="exact"/>
    </w:pPr>
    <w:rPr>
      <w:rFonts w:eastAsia="MS Mincho" w:cs="Arial"/>
      <w:b/>
      <w:szCs w:val="20"/>
    </w:rPr>
  </w:style>
  <w:style w:type="table" w:styleId="TableGrid">
    <w:name w:val="Table Grid"/>
    <w:basedOn w:val="TableNormal"/>
    <w:rsid w:val="001747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unhideWhenUsed/>
    <w:rsid w:val="00BD0523"/>
    <w:rPr>
      <w:color w:val="7C2855" w:themeColor="followedHyperlink"/>
      <w:u w:val="single"/>
    </w:rPr>
  </w:style>
  <w:style w:type="paragraph" w:styleId="ListParagraph">
    <w:name w:val="List Paragraph"/>
    <w:basedOn w:val="Normal"/>
    <w:link w:val="ListParagraphChar"/>
    <w:uiPriority w:val="34"/>
    <w:qFormat/>
    <w:rsid w:val="007E08F7"/>
    <w:pPr>
      <w:ind w:left="720"/>
      <w:contextualSpacing/>
    </w:pPr>
  </w:style>
  <w:style w:type="character" w:customStyle="1" w:styleId="Heading6Char">
    <w:name w:val="Heading 6 Char"/>
    <w:basedOn w:val="DefaultParagraphFont"/>
    <w:link w:val="Heading6"/>
    <w:rsid w:val="00E52ACB"/>
    <w:rPr>
      <w:rFonts w:asciiTheme="majorHAnsi" w:eastAsiaTheme="majorEastAsia" w:hAnsiTheme="majorHAnsi" w:cstheme="majorBidi"/>
      <w:bCs/>
      <w:i/>
      <w:iCs/>
      <w:color w:val="001743" w:themeColor="accent1" w:themeShade="7F"/>
      <w:szCs w:val="26"/>
      <w:lang w:eastAsia="en-US"/>
    </w:rPr>
  </w:style>
  <w:style w:type="character" w:customStyle="1" w:styleId="Heading7Char">
    <w:name w:val="Heading 7 Char"/>
    <w:basedOn w:val="DefaultParagraphFont"/>
    <w:link w:val="Heading7"/>
    <w:rsid w:val="00E52ACB"/>
    <w:rPr>
      <w:rFonts w:asciiTheme="majorHAnsi" w:eastAsiaTheme="majorEastAsia" w:hAnsiTheme="majorHAnsi" w:cstheme="majorBidi"/>
      <w:bCs/>
      <w:i/>
      <w:iCs/>
      <w:color w:val="404040" w:themeColor="text1" w:themeTint="BF"/>
      <w:szCs w:val="26"/>
      <w:lang w:eastAsia="en-US"/>
    </w:rPr>
  </w:style>
  <w:style w:type="character" w:customStyle="1" w:styleId="Heading8Char">
    <w:name w:val="Heading 8 Char"/>
    <w:basedOn w:val="DefaultParagraphFont"/>
    <w:link w:val="Heading8"/>
    <w:rsid w:val="00E52ACB"/>
    <w:rPr>
      <w:rFonts w:asciiTheme="majorHAnsi" w:eastAsiaTheme="majorEastAsia" w:hAnsiTheme="majorHAnsi" w:cstheme="majorBidi"/>
      <w:bCs/>
      <w:color w:val="404040" w:themeColor="text1" w:themeTint="BF"/>
      <w:sz w:val="20"/>
      <w:szCs w:val="20"/>
      <w:lang w:eastAsia="en-US"/>
    </w:rPr>
  </w:style>
  <w:style w:type="character" w:customStyle="1" w:styleId="Heading9Char">
    <w:name w:val="Heading 9 Char"/>
    <w:basedOn w:val="DefaultParagraphFont"/>
    <w:link w:val="Heading9"/>
    <w:rsid w:val="00E52ACB"/>
    <w:rPr>
      <w:rFonts w:asciiTheme="majorHAnsi" w:eastAsiaTheme="majorEastAsia" w:hAnsiTheme="majorHAnsi" w:cstheme="majorBidi"/>
      <w:bCs/>
      <w:i/>
      <w:iCs/>
      <w:color w:val="404040" w:themeColor="text1" w:themeTint="BF"/>
      <w:sz w:val="20"/>
      <w:szCs w:val="20"/>
      <w:lang w:eastAsia="en-US"/>
    </w:rPr>
  </w:style>
  <w:style w:type="character" w:styleId="PlaceholderText">
    <w:name w:val="Placeholder Text"/>
    <w:basedOn w:val="DefaultParagraphFont"/>
    <w:uiPriority w:val="99"/>
    <w:unhideWhenUsed/>
    <w:rsid w:val="00280330"/>
    <w:rPr>
      <w:color w:val="808080"/>
    </w:rPr>
  </w:style>
  <w:style w:type="paragraph" w:styleId="TOC4">
    <w:name w:val="toc 4"/>
    <w:basedOn w:val="Normal"/>
    <w:next w:val="Normal"/>
    <w:autoRedefine/>
    <w:uiPriority w:val="39"/>
    <w:unhideWhenUsed/>
    <w:rsid w:val="00446DA6"/>
    <w:pPr>
      <w:spacing w:after="100" w:line="276" w:lineRule="auto"/>
      <w:ind w:left="660"/>
    </w:pPr>
    <w:rPr>
      <w:rFonts w:asciiTheme="minorHAnsi" w:eastAsiaTheme="minorEastAsia" w:hAnsiTheme="minorHAnsi" w:cstheme="minorBidi"/>
      <w:bCs w:val="0"/>
      <w:sz w:val="22"/>
      <w:szCs w:val="22"/>
      <w:lang w:eastAsia="en-GB"/>
    </w:rPr>
  </w:style>
  <w:style w:type="paragraph" w:styleId="TOC5">
    <w:name w:val="toc 5"/>
    <w:basedOn w:val="Normal"/>
    <w:next w:val="Normal"/>
    <w:autoRedefine/>
    <w:uiPriority w:val="39"/>
    <w:unhideWhenUsed/>
    <w:rsid w:val="00446DA6"/>
    <w:pPr>
      <w:spacing w:after="100" w:line="276" w:lineRule="auto"/>
      <w:ind w:left="880"/>
    </w:pPr>
    <w:rPr>
      <w:rFonts w:asciiTheme="minorHAnsi" w:eastAsiaTheme="minorEastAsia" w:hAnsiTheme="minorHAnsi" w:cstheme="minorBidi"/>
      <w:bCs w:val="0"/>
      <w:sz w:val="22"/>
      <w:szCs w:val="22"/>
      <w:lang w:eastAsia="en-GB"/>
    </w:rPr>
  </w:style>
  <w:style w:type="paragraph" w:styleId="TOC6">
    <w:name w:val="toc 6"/>
    <w:basedOn w:val="Normal"/>
    <w:next w:val="Normal"/>
    <w:autoRedefine/>
    <w:uiPriority w:val="39"/>
    <w:unhideWhenUsed/>
    <w:rsid w:val="00446DA6"/>
    <w:pPr>
      <w:spacing w:after="100" w:line="276" w:lineRule="auto"/>
      <w:ind w:left="1100"/>
    </w:pPr>
    <w:rPr>
      <w:rFonts w:asciiTheme="minorHAnsi" w:eastAsiaTheme="minorEastAsia" w:hAnsiTheme="minorHAnsi" w:cstheme="minorBidi"/>
      <w:bCs w:val="0"/>
      <w:sz w:val="22"/>
      <w:szCs w:val="22"/>
      <w:lang w:eastAsia="en-GB"/>
    </w:rPr>
  </w:style>
  <w:style w:type="paragraph" w:styleId="TOC7">
    <w:name w:val="toc 7"/>
    <w:basedOn w:val="Normal"/>
    <w:next w:val="Normal"/>
    <w:autoRedefine/>
    <w:uiPriority w:val="39"/>
    <w:unhideWhenUsed/>
    <w:rsid w:val="00446DA6"/>
    <w:pPr>
      <w:spacing w:after="100" w:line="276" w:lineRule="auto"/>
      <w:ind w:left="1320"/>
    </w:pPr>
    <w:rPr>
      <w:rFonts w:asciiTheme="minorHAnsi" w:eastAsiaTheme="minorEastAsia" w:hAnsiTheme="minorHAnsi" w:cstheme="minorBidi"/>
      <w:bCs w:val="0"/>
      <w:sz w:val="22"/>
      <w:szCs w:val="22"/>
      <w:lang w:eastAsia="en-GB"/>
    </w:rPr>
  </w:style>
  <w:style w:type="paragraph" w:styleId="TOC8">
    <w:name w:val="toc 8"/>
    <w:basedOn w:val="Normal"/>
    <w:next w:val="Normal"/>
    <w:autoRedefine/>
    <w:uiPriority w:val="39"/>
    <w:unhideWhenUsed/>
    <w:rsid w:val="00446DA6"/>
    <w:pPr>
      <w:spacing w:after="100" w:line="276" w:lineRule="auto"/>
      <w:ind w:left="1540"/>
    </w:pPr>
    <w:rPr>
      <w:rFonts w:asciiTheme="minorHAnsi" w:eastAsiaTheme="minorEastAsia" w:hAnsiTheme="minorHAnsi" w:cstheme="minorBidi"/>
      <w:bCs w:val="0"/>
      <w:sz w:val="22"/>
      <w:szCs w:val="22"/>
      <w:lang w:eastAsia="en-GB"/>
    </w:rPr>
  </w:style>
  <w:style w:type="paragraph" w:styleId="TOC9">
    <w:name w:val="toc 9"/>
    <w:basedOn w:val="Normal"/>
    <w:next w:val="Normal"/>
    <w:autoRedefine/>
    <w:uiPriority w:val="39"/>
    <w:unhideWhenUsed/>
    <w:rsid w:val="00446DA6"/>
    <w:pPr>
      <w:spacing w:after="100" w:line="276" w:lineRule="auto"/>
      <w:ind w:left="1760"/>
    </w:pPr>
    <w:rPr>
      <w:rFonts w:asciiTheme="minorHAnsi" w:eastAsiaTheme="minorEastAsia" w:hAnsiTheme="minorHAnsi" w:cstheme="minorBidi"/>
      <w:bCs w:val="0"/>
      <w:sz w:val="22"/>
      <w:szCs w:val="22"/>
      <w:lang w:eastAsia="en-GB"/>
    </w:rPr>
  </w:style>
  <w:style w:type="character" w:styleId="CommentReference">
    <w:name w:val="annotation reference"/>
    <w:basedOn w:val="DefaultParagraphFont"/>
    <w:uiPriority w:val="99"/>
    <w:unhideWhenUsed/>
    <w:rsid w:val="00D06433"/>
    <w:rPr>
      <w:sz w:val="16"/>
      <w:szCs w:val="16"/>
    </w:rPr>
  </w:style>
  <w:style w:type="paragraph" w:styleId="CommentText">
    <w:name w:val="annotation text"/>
    <w:basedOn w:val="Normal"/>
    <w:link w:val="CommentTextChar"/>
    <w:uiPriority w:val="99"/>
    <w:unhideWhenUsed/>
    <w:rsid w:val="00D06433"/>
    <w:rPr>
      <w:sz w:val="20"/>
      <w:szCs w:val="20"/>
    </w:rPr>
  </w:style>
  <w:style w:type="character" w:customStyle="1" w:styleId="CommentTextChar">
    <w:name w:val="Comment Text Char"/>
    <w:basedOn w:val="DefaultParagraphFont"/>
    <w:link w:val="CommentText"/>
    <w:uiPriority w:val="99"/>
    <w:rsid w:val="00D06433"/>
    <w:rPr>
      <w:rFonts w:eastAsia="Times New Roman"/>
      <w:bCs/>
      <w:sz w:val="20"/>
      <w:szCs w:val="20"/>
      <w:lang w:eastAsia="en-US"/>
    </w:rPr>
  </w:style>
  <w:style w:type="paragraph" w:customStyle="1" w:styleId="Body2">
    <w:name w:val="Body2"/>
    <w:basedOn w:val="Normal"/>
    <w:rsid w:val="001C7059"/>
    <w:pPr>
      <w:widowControl w:val="0"/>
      <w:spacing w:before="200" w:after="60"/>
      <w:ind w:left="1414"/>
      <w:jc w:val="both"/>
    </w:pPr>
    <w:rPr>
      <w:bCs w:val="0"/>
      <w:sz w:val="20"/>
      <w:szCs w:val="20"/>
      <w:lang w:eastAsia="en-GB"/>
    </w:rPr>
  </w:style>
  <w:style w:type="character" w:customStyle="1" w:styleId="ListParagraphChar">
    <w:name w:val="List Paragraph Char"/>
    <w:basedOn w:val="DefaultParagraphFont"/>
    <w:link w:val="ListParagraph"/>
    <w:uiPriority w:val="1"/>
    <w:rsid w:val="001C7059"/>
    <w:rPr>
      <w:rFonts w:eastAsia="Times New Roman"/>
      <w:bCs/>
      <w:szCs w:val="26"/>
      <w:lang w:eastAsia="en-US"/>
    </w:rPr>
  </w:style>
  <w:style w:type="numbering" w:customStyle="1" w:styleId="NoList1">
    <w:name w:val="No List1"/>
    <w:next w:val="NoList"/>
    <w:uiPriority w:val="99"/>
    <w:semiHidden/>
    <w:unhideWhenUsed/>
    <w:rsid w:val="00DB7F92"/>
  </w:style>
  <w:style w:type="table" w:customStyle="1" w:styleId="TableGrid1">
    <w:name w:val="Table Grid1"/>
    <w:basedOn w:val="TableNormal"/>
    <w:next w:val="TableGrid"/>
    <w:rsid w:val="00DB7F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DB7F92"/>
    <w:rPr>
      <w:rFonts w:asciiTheme="minorHAnsi" w:eastAsiaTheme="minorEastAsia" w:hAnsiTheme="minorHAnsi"/>
      <w:bCs w:val="0"/>
      <w:sz w:val="20"/>
      <w:szCs w:val="20"/>
    </w:rPr>
  </w:style>
  <w:style w:type="character" w:customStyle="1" w:styleId="FootnoteTextChar">
    <w:name w:val="Footnote Text Char"/>
    <w:basedOn w:val="DefaultParagraphFont"/>
    <w:link w:val="FootnoteText"/>
    <w:rsid w:val="00DB7F92"/>
    <w:rPr>
      <w:rFonts w:asciiTheme="minorHAnsi" w:eastAsiaTheme="minorEastAsia" w:hAnsiTheme="minorHAnsi"/>
      <w:sz w:val="20"/>
      <w:szCs w:val="20"/>
      <w:lang w:eastAsia="en-US"/>
    </w:rPr>
  </w:style>
  <w:style w:type="character" w:styleId="FootnoteReference">
    <w:name w:val="footnote reference"/>
    <w:basedOn w:val="DefaultParagraphFont"/>
    <w:unhideWhenUsed/>
    <w:rsid w:val="00DB7F92"/>
    <w:rPr>
      <w:vertAlign w:val="superscript"/>
    </w:rPr>
  </w:style>
  <w:style w:type="paragraph" w:customStyle="1" w:styleId="08TableText">
    <w:name w:val="08_Table Text"/>
    <w:basedOn w:val="Normal"/>
    <w:locked/>
    <w:rsid w:val="00DB7F92"/>
    <w:pPr>
      <w:spacing w:line="240" w:lineRule="exact"/>
    </w:pPr>
    <w:rPr>
      <w:rFonts w:ascii="Calibri Light" w:eastAsia="MS Gothic" w:hAnsi="Calibri Light"/>
      <w:bCs w:val="0"/>
      <w:spacing w:val="-2"/>
      <w:sz w:val="20"/>
      <w:szCs w:val="20"/>
      <w:lang w:eastAsia="ja-JP"/>
    </w:rPr>
  </w:style>
  <w:style w:type="paragraph" w:customStyle="1" w:styleId="Default">
    <w:name w:val="Default"/>
    <w:basedOn w:val="Normal"/>
    <w:rsid w:val="00DB7F92"/>
    <w:pPr>
      <w:autoSpaceDE w:val="0"/>
      <w:autoSpaceDN w:val="0"/>
    </w:pPr>
    <w:rPr>
      <w:rFonts w:eastAsiaTheme="minorEastAsia" w:cs="Arial"/>
      <w:bCs w:val="0"/>
      <w:color w:val="000000"/>
      <w:szCs w:val="24"/>
      <w:lang w:eastAsia="en-GB"/>
    </w:rPr>
  </w:style>
  <w:style w:type="paragraph" w:customStyle="1" w:styleId="font8">
    <w:name w:val="font_8"/>
    <w:basedOn w:val="Normal"/>
    <w:rsid w:val="00DB7F92"/>
    <w:pPr>
      <w:spacing w:before="100" w:beforeAutospacing="1" w:after="100" w:afterAutospacing="1"/>
    </w:pPr>
    <w:rPr>
      <w:rFonts w:ascii="Times New Roman" w:hAnsi="Times New Roman"/>
      <w:bCs w:val="0"/>
      <w:szCs w:val="24"/>
      <w:lang w:eastAsia="en-GB"/>
    </w:rPr>
  </w:style>
  <w:style w:type="paragraph" w:styleId="NormalWeb">
    <w:name w:val="Normal (Web)"/>
    <w:basedOn w:val="Normal"/>
    <w:uiPriority w:val="99"/>
    <w:unhideWhenUsed/>
    <w:rsid w:val="00DB7F92"/>
    <w:pPr>
      <w:spacing w:before="100" w:beforeAutospacing="1" w:after="100" w:afterAutospacing="1"/>
    </w:pPr>
    <w:rPr>
      <w:rFonts w:ascii="Times New Roman" w:hAnsi="Times New Roman"/>
      <w:bCs w:val="0"/>
      <w:szCs w:val="24"/>
      <w:lang w:eastAsia="en-GB"/>
    </w:rPr>
  </w:style>
  <w:style w:type="paragraph" w:styleId="CommentSubject">
    <w:name w:val="annotation subject"/>
    <w:basedOn w:val="CommentText"/>
    <w:next w:val="CommentText"/>
    <w:link w:val="CommentSubjectChar"/>
    <w:uiPriority w:val="99"/>
    <w:unhideWhenUsed/>
    <w:rsid w:val="00DB7F92"/>
    <w:rPr>
      <w:b/>
    </w:rPr>
  </w:style>
  <w:style w:type="character" w:customStyle="1" w:styleId="CommentSubjectChar">
    <w:name w:val="Comment Subject Char"/>
    <w:basedOn w:val="CommentTextChar"/>
    <w:link w:val="CommentSubject"/>
    <w:uiPriority w:val="99"/>
    <w:rsid w:val="00DB7F92"/>
    <w:rPr>
      <w:rFonts w:eastAsia="Times New Roman"/>
      <w:b/>
      <w:bCs/>
      <w:sz w:val="20"/>
      <w:szCs w:val="20"/>
      <w:lang w:eastAsia="en-US"/>
    </w:rPr>
  </w:style>
  <w:style w:type="paragraph" w:styleId="Revision">
    <w:name w:val="Revision"/>
    <w:hidden/>
    <w:uiPriority w:val="99"/>
    <w:rsid w:val="00DB7F92"/>
    <w:rPr>
      <w:rFonts w:eastAsia="Times New Roman"/>
      <w:bCs/>
      <w:szCs w:val="26"/>
      <w:lang w:eastAsia="en-US"/>
    </w:rPr>
  </w:style>
  <w:style w:type="paragraph" w:styleId="Caption">
    <w:name w:val="caption"/>
    <w:basedOn w:val="Normal"/>
    <w:next w:val="Normal"/>
    <w:uiPriority w:val="35"/>
    <w:unhideWhenUsed/>
    <w:qFormat/>
    <w:rsid w:val="00DB7F92"/>
    <w:pPr>
      <w:spacing w:after="200"/>
    </w:pPr>
    <w:rPr>
      <w:b/>
      <w:bCs w:val="0"/>
      <w:color w:val="003087" w:themeColor="accent1"/>
      <w:sz w:val="18"/>
      <w:szCs w:val="18"/>
    </w:rPr>
  </w:style>
  <w:style w:type="paragraph" w:customStyle="1" w:styleId="Body1">
    <w:name w:val="Body1"/>
    <w:basedOn w:val="Normal"/>
    <w:rsid w:val="00DB7F92"/>
    <w:pPr>
      <w:widowControl w:val="0"/>
      <w:spacing w:before="200" w:after="60"/>
      <w:ind w:left="714"/>
      <w:jc w:val="both"/>
    </w:pPr>
    <w:rPr>
      <w:bCs w:val="0"/>
      <w:sz w:val="20"/>
      <w:szCs w:val="20"/>
      <w:lang w:eastAsia="en-GB"/>
    </w:rPr>
  </w:style>
  <w:style w:type="paragraph" w:customStyle="1" w:styleId="Body3">
    <w:name w:val="Body3"/>
    <w:basedOn w:val="Normal"/>
    <w:rsid w:val="00DB7F92"/>
    <w:pPr>
      <w:widowControl w:val="0"/>
      <w:spacing w:before="200" w:after="60"/>
      <w:ind w:left="2268"/>
      <w:jc w:val="both"/>
    </w:pPr>
    <w:rPr>
      <w:bCs w:val="0"/>
      <w:sz w:val="20"/>
      <w:szCs w:val="20"/>
      <w:lang w:eastAsia="en-GB"/>
    </w:rPr>
  </w:style>
  <w:style w:type="table" w:customStyle="1" w:styleId="TableGrid11">
    <w:name w:val="Table Grid11"/>
    <w:basedOn w:val="TableNormal"/>
    <w:next w:val="TableGrid"/>
    <w:uiPriority w:val="59"/>
    <w:rsid w:val="00DB7F9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DB7F92"/>
  </w:style>
  <w:style w:type="paragraph" w:customStyle="1" w:styleId="Body4">
    <w:name w:val="Body4"/>
    <w:basedOn w:val="Normal"/>
    <w:rsid w:val="00DB7F92"/>
    <w:pPr>
      <w:widowControl w:val="0"/>
      <w:spacing w:before="200" w:after="60"/>
      <w:ind w:left="3416"/>
      <w:jc w:val="both"/>
    </w:pPr>
    <w:rPr>
      <w:bCs w:val="0"/>
      <w:sz w:val="20"/>
      <w:szCs w:val="20"/>
      <w:lang w:eastAsia="en-GB"/>
    </w:rPr>
  </w:style>
  <w:style w:type="paragraph" w:customStyle="1" w:styleId="Body5">
    <w:name w:val="Body5"/>
    <w:basedOn w:val="Normal"/>
    <w:rsid w:val="00DB7F92"/>
    <w:pPr>
      <w:widowControl w:val="0"/>
      <w:spacing w:before="200" w:after="60"/>
      <w:ind w:left="4678"/>
      <w:jc w:val="both"/>
    </w:pPr>
    <w:rPr>
      <w:bCs w:val="0"/>
      <w:sz w:val="20"/>
      <w:szCs w:val="20"/>
      <w:lang w:eastAsia="en-GB"/>
    </w:rPr>
  </w:style>
  <w:style w:type="paragraph" w:customStyle="1" w:styleId="Body6">
    <w:name w:val="Body6"/>
    <w:basedOn w:val="Normal"/>
    <w:rsid w:val="00DB7F92"/>
    <w:pPr>
      <w:widowControl w:val="0"/>
      <w:spacing w:before="200" w:after="60"/>
      <w:ind w:left="5387"/>
      <w:jc w:val="both"/>
    </w:pPr>
    <w:rPr>
      <w:bCs w:val="0"/>
      <w:sz w:val="20"/>
      <w:szCs w:val="20"/>
      <w:lang w:eastAsia="en-GB"/>
    </w:rPr>
  </w:style>
  <w:style w:type="paragraph" w:customStyle="1" w:styleId="Body7">
    <w:name w:val="Body7"/>
    <w:basedOn w:val="Normal"/>
    <w:rsid w:val="00DB7F92"/>
    <w:pPr>
      <w:widowControl w:val="0"/>
      <w:spacing w:before="200" w:after="60"/>
      <w:ind w:left="6096"/>
      <w:jc w:val="both"/>
    </w:pPr>
    <w:rPr>
      <w:bCs w:val="0"/>
      <w:sz w:val="20"/>
      <w:szCs w:val="20"/>
      <w:lang w:eastAsia="en-GB"/>
    </w:rPr>
  </w:style>
  <w:style w:type="paragraph" w:customStyle="1" w:styleId="Body8">
    <w:name w:val="Body8"/>
    <w:basedOn w:val="Normal"/>
    <w:rsid w:val="00DB7F92"/>
    <w:pPr>
      <w:widowControl w:val="0"/>
      <w:spacing w:before="200" w:after="60"/>
      <w:ind w:left="6663"/>
      <w:jc w:val="both"/>
    </w:pPr>
    <w:rPr>
      <w:bCs w:val="0"/>
      <w:sz w:val="20"/>
      <w:szCs w:val="20"/>
      <w:lang w:eastAsia="en-GB"/>
    </w:rPr>
  </w:style>
  <w:style w:type="paragraph" w:customStyle="1" w:styleId="Body9">
    <w:name w:val="Body9"/>
    <w:basedOn w:val="Normal"/>
    <w:rsid w:val="00DB7F92"/>
    <w:pPr>
      <w:widowControl w:val="0"/>
      <w:spacing w:before="200" w:after="60"/>
      <w:ind w:left="7371"/>
      <w:jc w:val="both"/>
    </w:pPr>
    <w:rPr>
      <w:bCs w:val="0"/>
      <w:sz w:val="20"/>
      <w:szCs w:val="20"/>
      <w:lang w:eastAsia="en-GB"/>
    </w:rPr>
  </w:style>
  <w:style w:type="paragraph" w:styleId="BodyText">
    <w:name w:val="Body Text"/>
    <w:basedOn w:val="Normal"/>
    <w:link w:val="BodyTextChar1"/>
    <w:uiPriority w:val="1"/>
    <w:qFormat/>
    <w:rsid w:val="00DB7F92"/>
    <w:pPr>
      <w:widowControl w:val="0"/>
      <w:spacing w:after="120"/>
      <w:jc w:val="both"/>
    </w:pPr>
    <w:rPr>
      <w:bCs w:val="0"/>
      <w:sz w:val="20"/>
      <w:szCs w:val="20"/>
      <w:lang w:eastAsia="en-GB"/>
    </w:rPr>
  </w:style>
  <w:style w:type="character" w:customStyle="1" w:styleId="BodyTextChar">
    <w:name w:val="Body Text Char"/>
    <w:basedOn w:val="DefaultParagraphFont"/>
    <w:uiPriority w:val="99"/>
    <w:rsid w:val="00DB7F92"/>
    <w:rPr>
      <w:rFonts w:eastAsia="Times New Roman"/>
      <w:bCs/>
      <w:szCs w:val="26"/>
      <w:lang w:eastAsia="en-US"/>
    </w:rPr>
  </w:style>
  <w:style w:type="paragraph" w:styleId="BodyTextIndent">
    <w:name w:val="Body Text Indent"/>
    <w:basedOn w:val="Normal"/>
    <w:link w:val="BodyTextIndentChar1"/>
    <w:rsid w:val="00DB7F92"/>
    <w:pPr>
      <w:widowControl w:val="0"/>
      <w:spacing w:after="120"/>
      <w:ind w:left="709"/>
      <w:jc w:val="both"/>
    </w:pPr>
    <w:rPr>
      <w:bCs w:val="0"/>
      <w:sz w:val="20"/>
      <w:szCs w:val="20"/>
      <w:lang w:eastAsia="en-GB"/>
    </w:rPr>
  </w:style>
  <w:style w:type="character" w:customStyle="1" w:styleId="BodyTextIndentChar">
    <w:name w:val="Body Text Indent Char"/>
    <w:basedOn w:val="DefaultParagraphFont"/>
    <w:rsid w:val="00DB7F92"/>
    <w:rPr>
      <w:rFonts w:eastAsia="Times New Roman"/>
      <w:bCs/>
      <w:szCs w:val="26"/>
      <w:lang w:eastAsia="en-US"/>
    </w:rPr>
  </w:style>
  <w:style w:type="paragraph" w:customStyle="1" w:styleId="DocSpace">
    <w:name w:val="DocSpace"/>
    <w:basedOn w:val="Normal"/>
    <w:rsid w:val="00DB7F92"/>
    <w:pPr>
      <w:widowControl w:val="0"/>
      <w:spacing w:before="200" w:after="60"/>
      <w:jc w:val="both"/>
    </w:pPr>
    <w:rPr>
      <w:bCs w:val="0"/>
      <w:sz w:val="20"/>
      <w:szCs w:val="20"/>
      <w:lang w:eastAsia="en-GB"/>
    </w:rPr>
  </w:style>
  <w:style w:type="paragraph" w:styleId="ListBullet">
    <w:name w:val="List Bullet"/>
    <w:basedOn w:val="Normal"/>
    <w:rsid w:val="00DB7F92"/>
    <w:pPr>
      <w:widowControl w:val="0"/>
      <w:ind w:left="709" w:hanging="709"/>
      <w:jc w:val="both"/>
    </w:pPr>
    <w:rPr>
      <w:bCs w:val="0"/>
      <w:sz w:val="20"/>
      <w:szCs w:val="20"/>
      <w:lang w:eastAsia="en-GB"/>
    </w:rPr>
  </w:style>
  <w:style w:type="paragraph" w:styleId="ListBullet2">
    <w:name w:val="List Bullet 2"/>
    <w:basedOn w:val="Normal"/>
    <w:rsid w:val="00DB7F92"/>
    <w:pPr>
      <w:widowControl w:val="0"/>
      <w:ind w:left="993" w:hanging="709"/>
      <w:jc w:val="both"/>
    </w:pPr>
    <w:rPr>
      <w:bCs w:val="0"/>
      <w:sz w:val="20"/>
      <w:szCs w:val="20"/>
      <w:lang w:eastAsia="en-GB"/>
    </w:rPr>
  </w:style>
  <w:style w:type="paragraph" w:styleId="ListBullet3">
    <w:name w:val="List Bullet 3"/>
    <w:basedOn w:val="Normal"/>
    <w:rsid w:val="00DB7F92"/>
    <w:pPr>
      <w:widowControl w:val="0"/>
      <w:ind w:left="1276" w:hanging="709"/>
      <w:jc w:val="both"/>
    </w:pPr>
    <w:rPr>
      <w:bCs w:val="0"/>
      <w:sz w:val="20"/>
      <w:szCs w:val="20"/>
      <w:lang w:eastAsia="en-GB"/>
    </w:rPr>
  </w:style>
  <w:style w:type="paragraph" w:styleId="ListBullet4">
    <w:name w:val="List Bullet 4"/>
    <w:basedOn w:val="Normal"/>
    <w:rsid w:val="00DB7F92"/>
    <w:pPr>
      <w:widowControl w:val="0"/>
      <w:ind w:left="1560" w:hanging="709"/>
      <w:jc w:val="both"/>
    </w:pPr>
    <w:rPr>
      <w:bCs w:val="0"/>
      <w:sz w:val="20"/>
      <w:szCs w:val="20"/>
      <w:lang w:eastAsia="en-GB"/>
    </w:rPr>
  </w:style>
  <w:style w:type="paragraph" w:styleId="ListBullet5">
    <w:name w:val="List Bullet 5"/>
    <w:basedOn w:val="Normal"/>
    <w:rsid w:val="00DB7F92"/>
    <w:pPr>
      <w:widowControl w:val="0"/>
      <w:ind w:left="1843" w:hanging="709"/>
      <w:jc w:val="both"/>
    </w:pPr>
    <w:rPr>
      <w:bCs w:val="0"/>
      <w:sz w:val="20"/>
      <w:szCs w:val="20"/>
      <w:lang w:eastAsia="en-GB"/>
    </w:rPr>
  </w:style>
  <w:style w:type="paragraph" w:styleId="ListContinue">
    <w:name w:val="List Continue"/>
    <w:basedOn w:val="Normal"/>
    <w:rsid w:val="00DB7F92"/>
    <w:pPr>
      <w:widowControl w:val="0"/>
      <w:spacing w:after="120"/>
      <w:ind w:left="284"/>
      <w:jc w:val="both"/>
    </w:pPr>
    <w:rPr>
      <w:bCs w:val="0"/>
      <w:sz w:val="20"/>
      <w:szCs w:val="20"/>
      <w:lang w:eastAsia="en-GB"/>
    </w:rPr>
  </w:style>
  <w:style w:type="paragraph" w:styleId="ListContinue2">
    <w:name w:val="List Continue 2"/>
    <w:basedOn w:val="Normal"/>
    <w:rsid w:val="00DB7F92"/>
    <w:pPr>
      <w:widowControl w:val="0"/>
      <w:spacing w:after="120"/>
      <w:ind w:left="566"/>
      <w:jc w:val="both"/>
    </w:pPr>
    <w:rPr>
      <w:bCs w:val="0"/>
      <w:sz w:val="20"/>
      <w:szCs w:val="20"/>
      <w:lang w:eastAsia="en-GB"/>
    </w:rPr>
  </w:style>
  <w:style w:type="paragraph" w:styleId="ListNumber">
    <w:name w:val="List Number"/>
    <w:basedOn w:val="Normal"/>
    <w:rsid w:val="00DB7F92"/>
    <w:pPr>
      <w:widowControl w:val="0"/>
      <w:ind w:left="709" w:hanging="709"/>
      <w:jc w:val="both"/>
    </w:pPr>
    <w:rPr>
      <w:bCs w:val="0"/>
      <w:sz w:val="20"/>
      <w:szCs w:val="20"/>
      <w:lang w:eastAsia="en-GB"/>
    </w:rPr>
  </w:style>
  <w:style w:type="paragraph" w:styleId="ListNumber2">
    <w:name w:val="List Number 2"/>
    <w:basedOn w:val="Normal"/>
    <w:rsid w:val="00DB7F92"/>
    <w:pPr>
      <w:widowControl w:val="0"/>
      <w:ind w:left="993" w:hanging="709"/>
      <w:jc w:val="both"/>
    </w:pPr>
    <w:rPr>
      <w:bCs w:val="0"/>
      <w:sz w:val="20"/>
      <w:szCs w:val="20"/>
      <w:lang w:eastAsia="en-GB"/>
    </w:rPr>
  </w:style>
  <w:style w:type="paragraph" w:styleId="ListNumber3">
    <w:name w:val="List Number 3"/>
    <w:basedOn w:val="Normal"/>
    <w:rsid w:val="00DB7F92"/>
    <w:pPr>
      <w:widowControl w:val="0"/>
      <w:ind w:left="1276" w:hanging="709"/>
      <w:jc w:val="both"/>
    </w:pPr>
    <w:rPr>
      <w:bCs w:val="0"/>
      <w:sz w:val="20"/>
      <w:szCs w:val="20"/>
      <w:lang w:eastAsia="en-GB"/>
    </w:rPr>
  </w:style>
  <w:style w:type="paragraph" w:styleId="ListNumber4">
    <w:name w:val="List Number 4"/>
    <w:basedOn w:val="Normal"/>
    <w:rsid w:val="00DB7F92"/>
    <w:pPr>
      <w:widowControl w:val="0"/>
      <w:ind w:left="1560" w:hanging="709"/>
      <w:jc w:val="both"/>
    </w:pPr>
    <w:rPr>
      <w:bCs w:val="0"/>
      <w:sz w:val="20"/>
      <w:szCs w:val="20"/>
      <w:lang w:eastAsia="en-GB"/>
    </w:rPr>
  </w:style>
  <w:style w:type="paragraph" w:styleId="ListNumber5">
    <w:name w:val="List Number 5"/>
    <w:basedOn w:val="Normal"/>
    <w:rsid w:val="00DB7F92"/>
    <w:pPr>
      <w:widowControl w:val="0"/>
      <w:ind w:left="1843" w:hanging="709"/>
      <w:jc w:val="both"/>
    </w:pPr>
    <w:rPr>
      <w:bCs w:val="0"/>
      <w:sz w:val="20"/>
      <w:szCs w:val="20"/>
      <w:lang w:eastAsia="en-GB"/>
    </w:rPr>
  </w:style>
  <w:style w:type="paragraph" w:customStyle="1" w:styleId="SchTitle">
    <w:name w:val="Sch Title"/>
    <w:next w:val="STBody"/>
    <w:rsid w:val="00DB7F92"/>
    <w:pPr>
      <w:keepNext/>
      <w:widowControl w:val="0"/>
      <w:spacing w:before="200" w:after="60"/>
      <w:jc w:val="center"/>
    </w:pPr>
    <w:rPr>
      <w:rFonts w:eastAsia="Times New Roman"/>
      <w:sz w:val="20"/>
      <w:szCs w:val="20"/>
    </w:rPr>
  </w:style>
  <w:style w:type="paragraph" w:customStyle="1" w:styleId="STBody">
    <w:name w:val="STBody"/>
    <w:basedOn w:val="Normal"/>
    <w:rsid w:val="00DB7F92"/>
    <w:pPr>
      <w:keepNext/>
      <w:widowControl w:val="0"/>
      <w:jc w:val="center"/>
    </w:pPr>
    <w:rPr>
      <w:bCs w:val="0"/>
      <w:sz w:val="20"/>
      <w:szCs w:val="20"/>
      <w:lang w:eastAsia="en-GB"/>
    </w:rPr>
  </w:style>
  <w:style w:type="paragraph" w:customStyle="1" w:styleId="SchedClauses">
    <w:name w:val="Sched Clauses"/>
    <w:basedOn w:val="Normal"/>
    <w:rsid w:val="00DB7F92"/>
    <w:pPr>
      <w:widowControl w:val="0"/>
      <w:spacing w:before="200" w:after="60"/>
      <w:jc w:val="both"/>
    </w:pPr>
    <w:rPr>
      <w:bCs w:val="0"/>
      <w:sz w:val="20"/>
      <w:szCs w:val="20"/>
      <w:lang w:eastAsia="en-GB"/>
    </w:rPr>
  </w:style>
  <w:style w:type="paragraph" w:styleId="BlockText">
    <w:name w:val="Block Text"/>
    <w:basedOn w:val="Normal"/>
    <w:rsid w:val="00DB7F92"/>
    <w:pPr>
      <w:widowControl w:val="0"/>
      <w:spacing w:after="120"/>
      <w:ind w:left="1418" w:right="1418"/>
      <w:jc w:val="both"/>
    </w:pPr>
    <w:rPr>
      <w:bCs w:val="0"/>
      <w:sz w:val="20"/>
      <w:szCs w:val="20"/>
      <w:lang w:eastAsia="en-GB"/>
    </w:rPr>
  </w:style>
  <w:style w:type="table" w:customStyle="1" w:styleId="TableGrid2">
    <w:name w:val="Table Grid2"/>
    <w:basedOn w:val="TableNormal"/>
    <w:next w:val="TableGrid"/>
    <w:rsid w:val="00DB7F9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rsid w:val="00DB7F92"/>
    <w:pPr>
      <w:tabs>
        <w:tab w:val="right" w:leader="dot" w:pos="9071"/>
      </w:tabs>
      <w:ind w:left="85" w:hanging="85"/>
    </w:pPr>
    <w:rPr>
      <w:bCs w:val="0"/>
      <w:sz w:val="20"/>
      <w:szCs w:val="20"/>
      <w:lang w:eastAsia="en-GB"/>
    </w:rPr>
  </w:style>
  <w:style w:type="paragraph" w:styleId="NormalIndent">
    <w:name w:val="Normal Indent"/>
    <w:basedOn w:val="Normal"/>
    <w:rsid w:val="00DB7F92"/>
    <w:pPr>
      <w:ind w:left="720"/>
      <w:jc w:val="both"/>
    </w:pPr>
    <w:rPr>
      <w:bCs w:val="0"/>
      <w:sz w:val="20"/>
      <w:szCs w:val="20"/>
      <w:lang w:eastAsia="en-GB"/>
    </w:rPr>
  </w:style>
  <w:style w:type="paragraph" w:styleId="Index2">
    <w:name w:val="index 2"/>
    <w:basedOn w:val="Normal"/>
    <w:next w:val="Normal"/>
    <w:rsid w:val="00DB7F92"/>
    <w:pPr>
      <w:tabs>
        <w:tab w:val="right" w:leader="dot" w:pos="9071"/>
      </w:tabs>
      <w:ind w:left="170" w:hanging="85"/>
    </w:pPr>
    <w:rPr>
      <w:bCs w:val="0"/>
      <w:sz w:val="20"/>
      <w:szCs w:val="20"/>
      <w:lang w:eastAsia="en-GB"/>
    </w:rPr>
  </w:style>
  <w:style w:type="paragraph" w:styleId="Index3">
    <w:name w:val="index 3"/>
    <w:basedOn w:val="Normal"/>
    <w:next w:val="Normal"/>
    <w:rsid w:val="00DB7F92"/>
    <w:pPr>
      <w:tabs>
        <w:tab w:val="right" w:leader="dot" w:pos="9071"/>
      </w:tabs>
      <w:ind w:left="720" w:hanging="240"/>
    </w:pPr>
    <w:rPr>
      <w:bCs w:val="0"/>
      <w:sz w:val="20"/>
      <w:szCs w:val="20"/>
      <w:lang w:eastAsia="en-GB"/>
    </w:rPr>
  </w:style>
  <w:style w:type="paragraph" w:styleId="Index4">
    <w:name w:val="index 4"/>
    <w:basedOn w:val="Normal"/>
    <w:next w:val="Normal"/>
    <w:rsid w:val="00DB7F92"/>
    <w:pPr>
      <w:tabs>
        <w:tab w:val="right" w:leader="dot" w:pos="9071"/>
      </w:tabs>
      <w:ind w:left="960" w:hanging="240"/>
    </w:pPr>
    <w:rPr>
      <w:bCs w:val="0"/>
      <w:sz w:val="20"/>
      <w:szCs w:val="20"/>
      <w:lang w:eastAsia="en-GB"/>
    </w:rPr>
  </w:style>
  <w:style w:type="paragraph" w:styleId="Index5">
    <w:name w:val="index 5"/>
    <w:basedOn w:val="Normal"/>
    <w:next w:val="Normal"/>
    <w:rsid w:val="00DB7F92"/>
    <w:pPr>
      <w:tabs>
        <w:tab w:val="right" w:leader="dot" w:pos="9071"/>
      </w:tabs>
      <w:ind w:left="1200" w:hanging="240"/>
    </w:pPr>
    <w:rPr>
      <w:bCs w:val="0"/>
      <w:sz w:val="20"/>
      <w:szCs w:val="20"/>
      <w:lang w:eastAsia="en-GB"/>
    </w:rPr>
  </w:style>
  <w:style w:type="paragraph" w:styleId="Index6">
    <w:name w:val="index 6"/>
    <w:basedOn w:val="Normal"/>
    <w:next w:val="Normal"/>
    <w:rsid w:val="00DB7F92"/>
    <w:pPr>
      <w:tabs>
        <w:tab w:val="right" w:leader="dot" w:pos="9071"/>
      </w:tabs>
      <w:ind w:left="1440" w:hanging="240"/>
    </w:pPr>
    <w:rPr>
      <w:bCs w:val="0"/>
      <w:sz w:val="20"/>
      <w:szCs w:val="20"/>
      <w:lang w:eastAsia="en-GB"/>
    </w:rPr>
  </w:style>
  <w:style w:type="paragraph" w:styleId="Index7">
    <w:name w:val="index 7"/>
    <w:basedOn w:val="Normal"/>
    <w:next w:val="Normal"/>
    <w:rsid w:val="00DB7F92"/>
    <w:pPr>
      <w:tabs>
        <w:tab w:val="right" w:leader="dot" w:pos="9071"/>
      </w:tabs>
      <w:ind w:left="1680" w:hanging="240"/>
    </w:pPr>
    <w:rPr>
      <w:bCs w:val="0"/>
      <w:sz w:val="20"/>
      <w:szCs w:val="20"/>
      <w:lang w:eastAsia="en-GB"/>
    </w:rPr>
  </w:style>
  <w:style w:type="paragraph" w:styleId="Index8">
    <w:name w:val="index 8"/>
    <w:basedOn w:val="Normal"/>
    <w:next w:val="Normal"/>
    <w:rsid w:val="00DB7F92"/>
    <w:pPr>
      <w:tabs>
        <w:tab w:val="right" w:leader="dot" w:pos="9071"/>
      </w:tabs>
      <w:ind w:left="1920" w:hanging="240"/>
    </w:pPr>
    <w:rPr>
      <w:bCs w:val="0"/>
      <w:sz w:val="20"/>
      <w:szCs w:val="20"/>
      <w:lang w:eastAsia="en-GB"/>
    </w:rPr>
  </w:style>
  <w:style w:type="paragraph" w:styleId="Index9">
    <w:name w:val="index 9"/>
    <w:basedOn w:val="Normal"/>
    <w:next w:val="Normal"/>
    <w:rsid w:val="00DB7F92"/>
    <w:pPr>
      <w:tabs>
        <w:tab w:val="right" w:leader="dot" w:pos="9071"/>
      </w:tabs>
      <w:ind w:left="2160" w:hanging="240"/>
    </w:pPr>
    <w:rPr>
      <w:bCs w:val="0"/>
      <w:sz w:val="20"/>
      <w:szCs w:val="20"/>
      <w:lang w:eastAsia="en-GB"/>
    </w:rPr>
  </w:style>
  <w:style w:type="paragraph" w:styleId="IndexHeading">
    <w:name w:val="index heading"/>
    <w:basedOn w:val="Normal"/>
    <w:next w:val="Index1"/>
    <w:rsid w:val="00DB7F92"/>
    <w:pPr>
      <w:spacing w:before="120" w:after="120"/>
    </w:pPr>
    <w:rPr>
      <w:b/>
      <w:bCs w:val="0"/>
      <w:i/>
      <w:sz w:val="20"/>
      <w:szCs w:val="20"/>
      <w:lang w:eastAsia="en-GB"/>
    </w:rPr>
  </w:style>
  <w:style w:type="paragraph" w:styleId="Signature">
    <w:name w:val="Signature"/>
    <w:basedOn w:val="Normal"/>
    <w:link w:val="SignatureChar"/>
    <w:rsid w:val="00DB7F92"/>
    <w:pPr>
      <w:ind w:left="4252"/>
      <w:jc w:val="both"/>
    </w:pPr>
    <w:rPr>
      <w:bCs w:val="0"/>
      <w:sz w:val="20"/>
      <w:szCs w:val="20"/>
      <w:lang w:eastAsia="en-GB"/>
    </w:rPr>
  </w:style>
  <w:style w:type="character" w:customStyle="1" w:styleId="SignatureChar">
    <w:name w:val="Signature Char"/>
    <w:basedOn w:val="DefaultParagraphFont"/>
    <w:link w:val="Signature"/>
    <w:rsid w:val="00DB7F92"/>
    <w:rPr>
      <w:rFonts w:eastAsia="Times New Roman"/>
      <w:sz w:val="20"/>
      <w:szCs w:val="20"/>
    </w:rPr>
  </w:style>
  <w:style w:type="paragraph" w:customStyle="1" w:styleId="DefinitionLeft">
    <w:name w:val="Definition Left"/>
    <w:basedOn w:val="Normal"/>
    <w:rsid w:val="00DB7F92"/>
    <w:pPr>
      <w:spacing w:before="200"/>
      <w:jc w:val="both"/>
    </w:pPr>
    <w:rPr>
      <w:b/>
      <w:bCs w:val="0"/>
      <w:sz w:val="20"/>
      <w:szCs w:val="20"/>
      <w:lang w:eastAsia="en-GB"/>
    </w:rPr>
  </w:style>
  <w:style w:type="paragraph" w:customStyle="1" w:styleId="DefinitionRight">
    <w:name w:val="Definition Right"/>
    <w:basedOn w:val="Normal"/>
    <w:rsid w:val="00DB7F92"/>
    <w:pPr>
      <w:spacing w:before="200"/>
      <w:jc w:val="both"/>
    </w:pPr>
    <w:rPr>
      <w:bCs w:val="0"/>
      <w:sz w:val="20"/>
      <w:szCs w:val="20"/>
      <w:lang w:eastAsia="en-GB"/>
    </w:rPr>
  </w:style>
  <w:style w:type="paragraph" w:styleId="BodyText2">
    <w:name w:val="Body Text 2"/>
    <w:basedOn w:val="Normal"/>
    <w:link w:val="BodyText2Char"/>
    <w:rsid w:val="00DB7F92"/>
    <w:pPr>
      <w:spacing w:before="200" w:after="60" w:line="480" w:lineRule="auto"/>
      <w:jc w:val="both"/>
    </w:pPr>
    <w:rPr>
      <w:bCs w:val="0"/>
      <w:sz w:val="20"/>
      <w:szCs w:val="20"/>
      <w:lang w:eastAsia="en-GB"/>
    </w:rPr>
  </w:style>
  <w:style w:type="character" w:customStyle="1" w:styleId="BodyText2Char">
    <w:name w:val="Body Text 2 Char"/>
    <w:basedOn w:val="DefaultParagraphFont"/>
    <w:link w:val="BodyText2"/>
    <w:rsid w:val="00DB7F92"/>
    <w:rPr>
      <w:rFonts w:eastAsia="Times New Roman"/>
      <w:sz w:val="20"/>
      <w:szCs w:val="20"/>
    </w:rPr>
  </w:style>
  <w:style w:type="paragraph" w:styleId="BodyText3">
    <w:name w:val="Body Text 3"/>
    <w:basedOn w:val="Normal"/>
    <w:link w:val="BodyText3Char"/>
    <w:rsid w:val="00DB7F92"/>
    <w:pPr>
      <w:spacing w:before="200" w:after="60"/>
      <w:jc w:val="both"/>
    </w:pPr>
    <w:rPr>
      <w:bCs w:val="0"/>
      <w:sz w:val="16"/>
      <w:szCs w:val="16"/>
      <w:lang w:eastAsia="en-GB"/>
    </w:rPr>
  </w:style>
  <w:style w:type="character" w:customStyle="1" w:styleId="BodyText3Char">
    <w:name w:val="Body Text 3 Char"/>
    <w:basedOn w:val="DefaultParagraphFont"/>
    <w:link w:val="BodyText3"/>
    <w:rsid w:val="00DB7F92"/>
    <w:rPr>
      <w:rFonts w:eastAsia="Times New Roman"/>
      <w:sz w:val="16"/>
      <w:szCs w:val="16"/>
    </w:rPr>
  </w:style>
  <w:style w:type="paragraph" w:styleId="BodyTextFirstIndent">
    <w:name w:val="Body Text First Indent"/>
    <w:basedOn w:val="BodyText"/>
    <w:link w:val="BodyTextFirstIndentChar"/>
    <w:rsid w:val="00DB7F92"/>
    <w:pPr>
      <w:widowControl/>
      <w:spacing w:before="200" w:after="60"/>
      <w:ind w:firstLine="210"/>
    </w:pPr>
  </w:style>
  <w:style w:type="character" w:customStyle="1" w:styleId="BodyTextFirstIndentChar">
    <w:name w:val="Body Text First Indent Char"/>
    <w:basedOn w:val="BodyTextChar"/>
    <w:link w:val="BodyTextFirstIndent"/>
    <w:rsid w:val="00DB7F92"/>
    <w:rPr>
      <w:rFonts w:eastAsia="Times New Roman"/>
      <w:bCs w:val="0"/>
      <w:sz w:val="20"/>
      <w:szCs w:val="20"/>
      <w:lang w:eastAsia="en-US"/>
    </w:rPr>
  </w:style>
  <w:style w:type="character" w:customStyle="1" w:styleId="BodyTextChar1">
    <w:name w:val="Body Text Char1"/>
    <w:basedOn w:val="DefaultParagraphFont"/>
    <w:link w:val="BodyText"/>
    <w:uiPriority w:val="1"/>
    <w:rsid w:val="00DB7F92"/>
    <w:rPr>
      <w:rFonts w:eastAsia="Times New Roman"/>
      <w:sz w:val="20"/>
      <w:szCs w:val="20"/>
    </w:rPr>
  </w:style>
  <w:style w:type="paragraph" w:styleId="BodyTextFirstIndent2">
    <w:name w:val="Body Text First Indent 2"/>
    <w:basedOn w:val="BodyTextIndent"/>
    <w:link w:val="BodyTextFirstIndent2Char"/>
    <w:rsid w:val="00DB7F92"/>
    <w:pPr>
      <w:widowControl/>
      <w:spacing w:before="200" w:after="60"/>
      <w:ind w:left="284" w:firstLine="210"/>
    </w:pPr>
  </w:style>
  <w:style w:type="character" w:customStyle="1" w:styleId="BodyTextFirstIndent2Char">
    <w:name w:val="Body Text First Indent 2 Char"/>
    <w:basedOn w:val="BodyTextIndentChar"/>
    <w:link w:val="BodyTextFirstIndent2"/>
    <w:rsid w:val="00DB7F92"/>
    <w:rPr>
      <w:rFonts w:eastAsia="Times New Roman"/>
      <w:bCs w:val="0"/>
      <w:sz w:val="20"/>
      <w:szCs w:val="20"/>
      <w:lang w:eastAsia="en-US"/>
    </w:rPr>
  </w:style>
  <w:style w:type="character" w:customStyle="1" w:styleId="BodyTextIndentChar1">
    <w:name w:val="Body Text Indent Char1"/>
    <w:basedOn w:val="DefaultParagraphFont"/>
    <w:link w:val="BodyTextIndent"/>
    <w:rsid w:val="00DB7F92"/>
    <w:rPr>
      <w:rFonts w:eastAsia="Times New Roman"/>
      <w:sz w:val="20"/>
      <w:szCs w:val="20"/>
    </w:rPr>
  </w:style>
  <w:style w:type="paragraph" w:styleId="BodyTextIndent2">
    <w:name w:val="Body Text Indent 2"/>
    <w:basedOn w:val="Normal"/>
    <w:link w:val="BodyTextIndent2Char"/>
    <w:rsid w:val="00DB7F92"/>
    <w:pPr>
      <w:spacing w:before="200" w:after="60" w:line="480" w:lineRule="auto"/>
      <w:ind w:left="284"/>
      <w:jc w:val="both"/>
    </w:pPr>
    <w:rPr>
      <w:bCs w:val="0"/>
      <w:sz w:val="20"/>
      <w:szCs w:val="20"/>
      <w:lang w:eastAsia="en-GB"/>
    </w:rPr>
  </w:style>
  <w:style w:type="character" w:customStyle="1" w:styleId="BodyTextIndent2Char">
    <w:name w:val="Body Text Indent 2 Char"/>
    <w:basedOn w:val="DefaultParagraphFont"/>
    <w:link w:val="BodyTextIndent2"/>
    <w:rsid w:val="00DB7F92"/>
    <w:rPr>
      <w:rFonts w:eastAsia="Times New Roman"/>
      <w:sz w:val="20"/>
      <w:szCs w:val="20"/>
    </w:rPr>
  </w:style>
  <w:style w:type="paragraph" w:styleId="BodyTextIndent3">
    <w:name w:val="Body Text Indent 3"/>
    <w:basedOn w:val="Normal"/>
    <w:link w:val="BodyTextIndent3Char"/>
    <w:rsid w:val="00DB7F92"/>
    <w:pPr>
      <w:spacing w:before="200" w:after="60"/>
      <w:ind w:left="284"/>
      <w:jc w:val="both"/>
    </w:pPr>
    <w:rPr>
      <w:bCs w:val="0"/>
      <w:sz w:val="16"/>
      <w:szCs w:val="16"/>
      <w:lang w:eastAsia="en-GB"/>
    </w:rPr>
  </w:style>
  <w:style w:type="character" w:customStyle="1" w:styleId="BodyTextIndent3Char">
    <w:name w:val="Body Text Indent 3 Char"/>
    <w:basedOn w:val="DefaultParagraphFont"/>
    <w:link w:val="BodyTextIndent3"/>
    <w:rsid w:val="00DB7F92"/>
    <w:rPr>
      <w:rFonts w:eastAsia="Times New Roman"/>
      <w:sz w:val="16"/>
      <w:szCs w:val="16"/>
    </w:rPr>
  </w:style>
  <w:style w:type="paragraph" w:customStyle="1" w:styleId="DHSecondaryHeadingOne">
    <w:name w:val="DH Secondary Heading One"/>
    <w:basedOn w:val="Normal"/>
    <w:rsid w:val="00DB7F92"/>
    <w:pPr>
      <w:numPr>
        <w:numId w:val="52"/>
      </w:numPr>
      <w:spacing w:line="360" w:lineRule="exact"/>
      <w:ind w:left="0" w:firstLine="0"/>
      <w:jc w:val="both"/>
    </w:pPr>
    <w:rPr>
      <w:rFonts w:cs="Arial"/>
      <w:bCs w:val="0"/>
      <w:color w:val="009966"/>
      <w:sz w:val="28"/>
      <w:szCs w:val="20"/>
    </w:rPr>
  </w:style>
  <w:style w:type="character" w:customStyle="1" w:styleId="DHTitleChar">
    <w:name w:val="DH Title Char"/>
    <w:link w:val="DHTitle"/>
    <w:locked/>
    <w:rsid w:val="00DB7F92"/>
    <w:rPr>
      <w:rFonts w:cs="Arial"/>
      <w:b/>
      <w:color w:val="009966"/>
      <w:sz w:val="60"/>
      <w:lang w:eastAsia="en-US"/>
    </w:rPr>
  </w:style>
  <w:style w:type="paragraph" w:customStyle="1" w:styleId="DHTitle">
    <w:name w:val="DH Title"/>
    <w:basedOn w:val="Normal"/>
    <w:link w:val="DHTitleChar"/>
    <w:rsid w:val="00DB7F92"/>
    <w:pPr>
      <w:spacing w:line="660" w:lineRule="exact"/>
      <w:jc w:val="both"/>
    </w:pPr>
    <w:rPr>
      <w:rFonts w:eastAsia="HGSMinchoE" w:cs="Arial"/>
      <w:b/>
      <w:bCs w:val="0"/>
      <w:color w:val="009966"/>
      <w:sz w:val="60"/>
      <w:szCs w:val="24"/>
    </w:rPr>
  </w:style>
  <w:style w:type="paragraph" w:customStyle="1" w:styleId="DHBulletlist">
    <w:name w:val="DH Bullet list"/>
    <w:basedOn w:val="Normal"/>
    <w:rsid w:val="00DB7F92"/>
    <w:pPr>
      <w:tabs>
        <w:tab w:val="num" w:pos="360"/>
      </w:tabs>
      <w:spacing w:line="320" w:lineRule="exact"/>
      <w:jc w:val="both"/>
    </w:pPr>
    <w:rPr>
      <w:bCs w:val="0"/>
      <w:sz w:val="20"/>
      <w:szCs w:val="20"/>
    </w:rPr>
  </w:style>
  <w:style w:type="paragraph" w:customStyle="1" w:styleId="DHSubtitle">
    <w:name w:val="DH Subtitle"/>
    <w:basedOn w:val="Normal"/>
    <w:rsid w:val="00DB7F92"/>
    <w:pPr>
      <w:spacing w:line="500" w:lineRule="exact"/>
      <w:jc w:val="both"/>
    </w:pPr>
    <w:rPr>
      <w:rFonts w:ascii="Times New Roman" w:hAnsi="Times New Roman"/>
      <w:bCs w:val="0"/>
      <w:i/>
      <w:sz w:val="46"/>
      <w:szCs w:val="20"/>
    </w:rPr>
  </w:style>
  <w:style w:type="paragraph" w:customStyle="1" w:styleId="DHChapterHead">
    <w:name w:val="DH Chapter Head"/>
    <w:basedOn w:val="DHTitle"/>
    <w:uiPriority w:val="99"/>
    <w:rsid w:val="00DB7F92"/>
    <w:rPr>
      <w:b w:val="0"/>
    </w:rPr>
  </w:style>
  <w:style w:type="paragraph" w:customStyle="1" w:styleId="NHSCBContents">
    <w:name w:val="NHS CB Contents"/>
    <w:basedOn w:val="Normal"/>
    <w:qFormat/>
    <w:rsid w:val="00DB7F92"/>
    <w:pPr>
      <w:spacing w:after="240" w:line="360" w:lineRule="auto"/>
      <w:jc w:val="both"/>
    </w:pPr>
    <w:rPr>
      <w:b/>
      <w:bCs w:val="0"/>
      <w:sz w:val="28"/>
      <w:szCs w:val="28"/>
      <w:lang w:eastAsia="en-GB"/>
    </w:rPr>
  </w:style>
  <w:style w:type="paragraph" w:customStyle="1" w:styleId="NHSCBTableSideHeader">
    <w:name w:val="NHS CB Table Side Header"/>
    <w:basedOn w:val="Normal"/>
    <w:rsid w:val="00DB7F92"/>
    <w:pPr>
      <w:spacing w:before="120" w:line="360" w:lineRule="auto"/>
      <w:jc w:val="both"/>
    </w:pPr>
    <w:rPr>
      <w:bCs w:val="0"/>
      <w:sz w:val="20"/>
      <w:szCs w:val="20"/>
      <w:lang w:val="x-none"/>
    </w:rPr>
  </w:style>
  <w:style w:type="paragraph" w:customStyle="1" w:styleId="NHSCBTableText">
    <w:name w:val="NHS CB Table Text"/>
    <w:basedOn w:val="Normal"/>
    <w:rsid w:val="00DB7F92"/>
    <w:pPr>
      <w:spacing w:before="120" w:line="360" w:lineRule="auto"/>
      <w:jc w:val="both"/>
    </w:pPr>
    <w:rPr>
      <w:bCs w:val="0"/>
      <w:sz w:val="20"/>
      <w:szCs w:val="20"/>
      <w:lang w:val="x-none"/>
    </w:rPr>
  </w:style>
  <w:style w:type="paragraph" w:customStyle="1" w:styleId="NHSCBTableHeaderBlankLine">
    <w:name w:val="NHS CB Table Header Blank Line"/>
    <w:basedOn w:val="Normal"/>
    <w:rsid w:val="00DB7F92"/>
    <w:pPr>
      <w:spacing w:before="120" w:line="360" w:lineRule="auto"/>
      <w:jc w:val="both"/>
    </w:pPr>
    <w:rPr>
      <w:bCs w:val="0"/>
      <w:sz w:val="2"/>
      <w:szCs w:val="2"/>
    </w:rPr>
  </w:style>
  <w:style w:type="paragraph" w:customStyle="1" w:styleId="NHSCBLevel5">
    <w:name w:val="NHS CB Level 5"/>
    <w:basedOn w:val="Normal"/>
    <w:rsid w:val="00DB7F92"/>
    <w:pPr>
      <w:numPr>
        <w:ilvl w:val="4"/>
        <w:numId w:val="53"/>
      </w:numPr>
      <w:tabs>
        <w:tab w:val="clear" w:pos="5387"/>
        <w:tab w:val="num" w:pos="1440"/>
      </w:tabs>
      <w:spacing w:after="120" w:line="360" w:lineRule="auto"/>
      <w:ind w:left="1440" w:hanging="1440"/>
      <w:jc w:val="both"/>
    </w:pPr>
    <w:rPr>
      <w:bCs w:val="0"/>
      <w:sz w:val="20"/>
      <w:szCs w:val="24"/>
    </w:rPr>
  </w:style>
  <w:style w:type="paragraph" w:customStyle="1" w:styleId="NHSCBLevel1">
    <w:name w:val="NHS CB Level 1"/>
    <w:basedOn w:val="Normal"/>
    <w:next w:val="NHSCBLevel2"/>
    <w:qFormat/>
    <w:rsid w:val="00DB7F92"/>
    <w:pPr>
      <w:numPr>
        <w:numId w:val="53"/>
      </w:numPr>
      <w:tabs>
        <w:tab w:val="clear" w:pos="680"/>
        <w:tab w:val="left" w:pos="1440"/>
      </w:tabs>
      <w:spacing w:after="240" w:line="360" w:lineRule="auto"/>
      <w:ind w:left="1440" w:hanging="1440"/>
      <w:jc w:val="both"/>
    </w:pPr>
    <w:rPr>
      <w:b/>
      <w:bCs w:val="0"/>
      <w:sz w:val="28"/>
      <w:szCs w:val="28"/>
    </w:rPr>
  </w:style>
  <w:style w:type="paragraph" w:customStyle="1" w:styleId="NHSCBLevel2-incontents">
    <w:name w:val="NHS CB Level 2 - in contents"/>
    <w:basedOn w:val="Normal"/>
    <w:next w:val="NHSCBLevel3"/>
    <w:qFormat/>
    <w:rsid w:val="00DB7F92"/>
    <w:pPr>
      <w:numPr>
        <w:ilvl w:val="1"/>
        <w:numId w:val="53"/>
      </w:numPr>
      <w:tabs>
        <w:tab w:val="clear" w:pos="1418"/>
        <w:tab w:val="num" w:pos="1440"/>
      </w:tabs>
      <w:spacing w:after="120" w:line="360" w:lineRule="auto"/>
      <w:ind w:left="1440" w:hanging="1440"/>
      <w:jc w:val="both"/>
    </w:pPr>
    <w:rPr>
      <w:b/>
      <w:bCs w:val="0"/>
      <w:sz w:val="20"/>
      <w:szCs w:val="24"/>
    </w:rPr>
  </w:style>
  <w:style w:type="paragraph" w:customStyle="1" w:styleId="NHSCBLevel3">
    <w:name w:val="NHS CB Level 3"/>
    <w:basedOn w:val="Normal"/>
    <w:rsid w:val="00DB7F92"/>
    <w:pPr>
      <w:numPr>
        <w:ilvl w:val="2"/>
        <w:numId w:val="53"/>
      </w:numPr>
      <w:tabs>
        <w:tab w:val="clear" w:pos="2957"/>
        <w:tab w:val="num" w:pos="1440"/>
      </w:tabs>
      <w:spacing w:after="120" w:line="360" w:lineRule="auto"/>
      <w:ind w:left="1440" w:hanging="1440"/>
      <w:jc w:val="both"/>
    </w:pPr>
    <w:rPr>
      <w:bCs w:val="0"/>
      <w:sz w:val="20"/>
      <w:szCs w:val="24"/>
    </w:rPr>
  </w:style>
  <w:style w:type="paragraph" w:customStyle="1" w:styleId="NHSCBLevel4">
    <w:name w:val="NHS CB Level 4"/>
    <w:basedOn w:val="Normal"/>
    <w:rsid w:val="00DB7F92"/>
    <w:pPr>
      <w:numPr>
        <w:ilvl w:val="3"/>
        <w:numId w:val="53"/>
      </w:numPr>
      <w:tabs>
        <w:tab w:val="clear" w:pos="1664"/>
        <w:tab w:val="num" w:pos="1440"/>
      </w:tabs>
      <w:spacing w:after="120" w:line="360" w:lineRule="auto"/>
      <w:ind w:left="1440" w:hanging="1440"/>
      <w:jc w:val="both"/>
    </w:pPr>
    <w:rPr>
      <w:bCs w:val="0"/>
      <w:sz w:val="20"/>
      <w:szCs w:val="24"/>
    </w:rPr>
  </w:style>
  <w:style w:type="paragraph" w:customStyle="1" w:styleId="NHSCBLevel2">
    <w:name w:val="NHS CB Level 2"/>
    <w:basedOn w:val="NHSCBLevel2-incontents"/>
    <w:qFormat/>
    <w:rsid w:val="00DB7F92"/>
    <w:pPr>
      <w:tabs>
        <w:tab w:val="clear" w:pos="1440"/>
      </w:tabs>
    </w:pPr>
    <w:rPr>
      <w:rFonts w:cs="Arial"/>
      <w:b w:val="0"/>
    </w:rPr>
  </w:style>
  <w:style w:type="paragraph" w:customStyle="1" w:styleId="Heading11">
    <w:name w:val="Heading 11"/>
    <w:basedOn w:val="Heading1"/>
    <w:rsid w:val="00DB7F92"/>
    <w:pPr>
      <w:keepNext/>
      <w:keepLines/>
      <w:numPr>
        <w:numId w:val="54"/>
      </w:numPr>
      <w:tabs>
        <w:tab w:val="left" w:pos="720"/>
      </w:tabs>
      <w:spacing w:before="200" w:after="240" w:line="276" w:lineRule="auto"/>
      <w:ind w:left="1080"/>
      <w:jc w:val="both"/>
    </w:pPr>
    <w:rPr>
      <w:rFonts w:eastAsia="MS Gothic" w:cs="Times New Roman"/>
      <w:caps/>
      <w:color w:val="auto"/>
      <w:kern w:val="0"/>
      <w:sz w:val="24"/>
      <w:szCs w:val="20"/>
      <w:lang w:eastAsia="en-GB"/>
    </w:rPr>
  </w:style>
  <w:style w:type="paragraph" w:customStyle="1" w:styleId="subtitle">
    <w:name w:val="sub title"/>
    <w:basedOn w:val="Heading1"/>
    <w:qFormat/>
    <w:rsid w:val="00DB7F92"/>
    <w:pPr>
      <w:keepNext/>
      <w:keepLines/>
      <w:numPr>
        <w:ilvl w:val="1"/>
        <w:numId w:val="54"/>
      </w:numPr>
      <w:tabs>
        <w:tab w:val="left" w:pos="720"/>
      </w:tabs>
      <w:spacing w:before="240" w:after="240" w:line="276" w:lineRule="auto"/>
      <w:ind w:left="1800"/>
      <w:jc w:val="both"/>
    </w:pPr>
    <w:rPr>
      <w:rFonts w:eastAsia="MS Gothic" w:cs="Times New Roman"/>
      <w:caps/>
      <w:color w:val="auto"/>
      <w:kern w:val="0"/>
      <w:sz w:val="24"/>
      <w:szCs w:val="20"/>
      <w:lang w:eastAsia="en-GB"/>
    </w:rPr>
  </w:style>
  <w:style w:type="paragraph" w:customStyle="1" w:styleId="NHSCBTableHeader">
    <w:name w:val="NHS CB Table Header"/>
    <w:basedOn w:val="Normal"/>
    <w:rsid w:val="00DB7F92"/>
    <w:pPr>
      <w:spacing w:before="120" w:line="360" w:lineRule="auto"/>
      <w:jc w:val="center"/>
    </w:pPr>
    <w:rPr>
      <w:rFonts w:cs="Arial"/>
      <w:bCs w:val="0"/>
      <w:sz w:val="20"/>
      <w:szCs w:val="20"/>
      <w:lang w:eastAsia="en-GB"/>
    </w:rPr>
  </w:style>
  <w:style w:type="paragraph" w:customStyle="1" w:styleId="NHSCBAppendixHeader">
    <w:name w:val="NHS CB Appendix Header"/>
    <w:rsid w:val="00DB7F92"/>
    <w:pPr>
      <w:numPr>
        <w:numId w:val="55"/>
      </w:numPr>
      <w:spacing w:after="240" w:line="360" w:lineRule="auto"/>
      <w:ind w:left="2160" w:hanging="2160"/>
    </w:pPr>
    <w:rPr>
      <w:rFonts w:ascii="Arial Bold" w:eastAsia="Times New Roman" w:hAnsi="Arial Bold"/>
      <w:b/>
      <w:sz w:val="28"/>
      <w:szCs w:val="32"/>
      <w:lang w:eastAsia="en-US"/>
    </w:rPr>
  </w:style>
  <w:style w:type="character" w:customStyle="1" w:styleId="DHBodycopyChar">
    <w:name w:val="DH Body copy Char"/>
    <w:link w:val="DHBodycopy"/>
    <w:uiPriority w:val="99"/>
    <w:locked/>
    <w:rsid w:val="00DB7F92"/>
    <w:rPr>
      <w:rFonts w:eastAsia="Times New Roman"/>
      <w:bCs/>
      <w:szCs w:val="20"/>
      <w:lang w:eastAsia="en-US"/>
    </w:rPr>
  </w:style>
  <w:style w:type="table" w:customStyle="1" w:styleId="TableGrid111">
    <w:name w:val="Table Grid111"/>
    <w:basedOn w:val="TableNormal"/>
    <w:next w:val="TableGrid"/>
    <w:uiPriority w:val="59"/>
    <w:rsid w:val="00DB7F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DB7F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DB7F9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DB7F9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DB7F92"/>
  </w:style>
  <w:style w:type="table" w:customStyle="1" w:styleId="TableGrid5">
    <w:name w:val="Table Grid5"/>
    <w:basedOn w:val="TableNormal"/>
    <w:next w:val="TableGrid"/>
    <w:rsid w:val="00DB7F9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DB7F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DB7F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mailSignature">
    <w:name w:val="E-mail Signature"/>
    <w:basedOn w:val="Normal"/>
    <w:link w:val="E-mailSignatureChar"/>
    <w:uiPriority w:val="99"/>
    <w:rsid w:val="00DB7F92"/>
    <w:rPr>
      <w:rFonts w:ascii="Times New Roman" w:hAnsi="Times New Roman"/>
      <w:bCs w:val="0"/>
      <w:szCs w:val="24"/>
      <w:lang w:eastAsia="en-GB"/>
    </w:rPr>
  </w:style>
  <w:style w:type="character" w:customStyle="1" w:styleId="E-mailSignatureChar">
    <w:name w:val="E-mail Signature Char"/>
    <w:basedOn w:val="DefaultParagraphFont"/>
    <w:link w:val="E-mailSignature"/>
    <w:uiPriority w:val="99"/>
    <w:rsid w:val="00DB7F92"/>
    <w:rPr>
      <w:rFonts w:ascii="Times New Roman" w:eastAsia="Times New Roman" w:hAnsi="Times New Roman"/>
    </w:rPr>
  </w:style>
  <w:style w:type="paragraph" w:customStyle="1" w:styleId="TableParagraph">
    <w:name w:val="Table Paragraph"/>
    <w:basedOn w:val="Normal"/>
    <w:uiPriority w:val="1"/>
    <w:qFormat/>
    <w:rsid w:val="00DB7F92"/>
    <w:pPr>
      <w:widowControl w:val="0"/>
    </w:pPr>
    <w:rPr>
      <w:rFonts w:asciiTheme="minorHAnsi" w:eastAsiaTheme="minorHAnsi" w:hAnsiTheme="minorHAnsi" w:cstheme="minorBidi"/>
      <w:bCs w:val="0"/>
      <w:sz w:val="22"/>
      <w:szCs w:val="22"/>
      <w:lang w:val="en-US"/>
    </w:rPr>
  </w:style>
  <w:style w:type="character" w:styleId="Strong">
    <w:name w:val="Strong"/>
    <w:basedOn w:val="DefaultParagraphFont"/>
    <w:uiPriority w:val="22"/>
    <w:qFormat/>
    <w:rsid w:val="00161D27"/>
    <w:rPr>
      <w:b/>
      <w:bCs/>
    </w:rPr>
  </w:style>
  <w:style w:type="character" w:styleId="BookTitle">
    <w:name w:val="Book Title"/>
    <w:basedOn w:val="DefaultParagraphFont"/>
    <w:uiPriority w:val="33"/>
    <w:qFormat/>
    <w:rsid w:val="00E962CD"/>
    <w:rPr>
      <w:b/>
      <w:bCs/>
      <w:smallCaps/>
      <w:spacing w:val="5"/>
    </w:rPr>
  </w:style>
  <w:style w:type="paragraph" w:customStyle="1" w:styleId="E477CFE5C6AE40B6BED58EC133349D5A">
    <w:name w:val="E477CFE5C6AE40B6BED58EC133349D5A"/>
    <w:rsid w:val="00E962CD"/>
    <w:pPr>
      <w:spacing w:after="200" w:line="276" w:lineRule="auto"/>
    </w:pPr>
    <w:rPr>
      <w:rFonts w:asciiTheme="minorHAnsi" w:eastAsiaTheme="minorEastAsia" w:hAnsiTheme="minorHAnsi" w:cstheme="minorBidi"/>
      <w:sz w:val="22"/>
      <w:szCs w:val="22"/>
      <w:lang w:val="en-US" w:eastAsia="ja-JP"/>
    </w:rPr>
  </w:style>
  <w:style w:type="paragraph" w:customStyle="1" w:styleId="legp1paratext">
    <w:name w:val="legp1paratext"/>
    <w:basedOn w:val="Normal"/>
    <w:rsid w:val="00B5759F"/>
    <w:pPr>
      <w:spacing w:before="100" w:beforeAutospacing="1" w:after="100" w:afterAutospacing="1"/>
    </w:pPr>
    <w:rPr>
      <w:rFonts w:ascii="Times New Roman" w:hAnsi="Times New Roman"/>
      <w:bCs w:val="0"/>
      <w:szCs w:val="24"/>
      <w:lang w:eastAsia="en-GB"/>
    </w:rPr>
  </w:style>
  <w:style w:type="paragraph" w:customStyle="1" w:styleId="legclearfix">
    <w:name w:val="legclearfix"/>
    <w:basedOn w:val="Normal"/>
    <w:rsid w:val="00B5759F"/>
    <w:pPr>
      <w:spacing w:before="100" w:beforeAutospacing="1" w:after="100" w:afterAutospacing="1"/>
    </w:pPr>
    <w:rPr>
      <w:rFonts w:ascii="Times New Roman" w:hAnsi="Times New Roman"/>
      <w:bCs w:val="0"/>
      <w:szCs w:val="24"/>
      <w:lang w:eastAsia="en-GB"/>
    </w:rPr>
  </w:style>
  <w:style w:type="character" w:customStyle="1" w:styleId="legds">
    <w:name w:val="legds"/>
    <w:basedOn w:val="DefaultParagraphFont"/>
    <w:rsid w:val="00B5759F"/>
  </w:style>
  <w:style w:type="character" w:customStyle="1" w:styleId="apple-converted-space">
    <w:name w:val="apple-converted-space"/>
    <w:basedOn w:val="DefaultParagraphFont"/>
    <w:rsid w:val="00B575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HGSMinchoE" w:hAnsi="Arial" w:cs="Times New Roman"/>
        <w:sz w:val="24"/>
        <w:szCs w:val="24"/>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lsdException w:name="index heading" w:uiPriority="0"/>
    <w:lsdException w:name="caption" w:uiPriority="35" w:qFormat="1"/>
    <w:lsdException w:name="footnote reference" w:uiPriority="0"/>
    <w:lsdException w:name="page number" w:uiPriority="0"/>
    <w:lsdException w:name="List Bullet" w:uiPriority="0"/>
    <w:lsdException w:name="List Number"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10" w:unhideWhenUsed="0" w:qFormat="1"/>
    <w:lsdException w:name="Signature" w:uiPriority="0"/>
    <w:lsdException w:name="Default Paragraph Font" w:uiPriority="1"/>
    <w:lsdException w:name="Body Text" w:uiPriority="1" w:qFormat="1"/>
    <w:lsdException w:name="Body Text Indent" w:uiPriority="0"/>
    <w:lsdException w:name="List Continue" w:uiPriority="0"/>
    <w:lsdException w:name="List Continue 2"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33" w:unhideWhenUsed="0" w:qFormat="1"/>
    <w:lsdException w:name="Bibliography" w:semiHidden="0" w:uiPriority="70" w:unhideWhenUsed="0"/>
    <w:lsdException w:name="TOC Heading" w:uiPriority="39" w:qFormat="1"/>
  </w:latentStyles>
  <w:style w:type="paragraph" w:default="1" w:styleId="Normal">
    <w:name w:val="Normal"/>
    <w:qFormat/>
    <w:rsid w:val="00E52ACB"/>
    <w:rPr>
      <w:rFonts w:eastAsia="Times New Roman"/>
      <w:bCs/>
      <w:szCs w:val="26"/>
      <w:lang w:eastAsia="en-US"/>
    </w:rPr>
  </w:style>
  <w:style w:type="paragraph" w:styleId="Heading1">
    <w:name w:val="heading 1"/>
    <w:basedOn w:val="Normal"/>
    <w:next w:val="Normal"/>
    <w:link w:val="Heading1Char"/>
    <w:uiPriority w:val="1"/>
    <w:qFormat/>
    <w:rsid w:val="005A03AB"/>
    <w:pPr>
      <w:numPr>
        <w:numId w:val="2"/>
      </w:numPr>
      <w:outlineLvl w:val="0"/>
    </w:pPr>
    <w:rPr>
      <w:rFonts w:cs="Arial"/>
      <w:b/>
      <w:color w:val="005EB8" w:themeColor="text2"/>
      <w:kern w:val="32"/>
      <w:sz w:val="32"/>
      <w:szCs w:val="32"/>
    </w:rPr>
  </w:style>
  <w:style w:type="paragraph" w:styleId="Heading2">
    <w:name w:val="heading 2"/>
    <w:basedOn w:val="Normal"/>
    <w:next w:val="Normal"/>
    <w:link w:val="Heading2Char"/>
    <w:uiPriority w:val="1"/>
    <w:unhideWhenUsed/>
    <w:qFormat/>
    <w:rsid w:val="002F092A"/>
    <w:pPr>
      <w:numPr>
        <w:ilvl w:val="1"/>
        <w:numId w:val="2"/>
      </w:numPr>
      <w:spacing w:line="360" w:lineRule="auto"/>
      <w:outlineLvl w:val="1"/>
    </w:pPr>
    <w:rPr>
      <w:b/>
      <w:iCs/>
      <w:color w:val="7C2855" w:themeColor="background2"/>
      <w:sz w:val="28"/>
      <w:szCs w:val="28"/>
    </w:rPr>
  </w:style>
  <w:style w:type="paragraph" w:styleId="Heading3">
    <w:name w:val="heading 3"/>
    <w:basedOn w:val="Normal"/>
    <w:next w:val="Normal"/>
    <w:link w:val="Heading3Char"/>
    <w:unhideWhenUsed/>
    <w:qFormat/>
    <w:rsid w:val="001C7059"/>
    <w:pPr>
      <w:numPr>
        <w:ilvl w:val="2"/>
        <w:numId w:val="2"/>
      </w:numPr>
      <w:spacing w:line="360" w:lineRule="auto"/>
      <w:outlineLvl w:val="2"/>
    </w:pPr>
  </w:style>
  <w:style w:type="paragraph" w:styleId="Heading4">
    <w:name w:val="heading 4"/>
    <w:basedOn w:val="Normal"/>
    <w:next w:val="Normal"/>
    <w:link w:val="Heading4Char"/>
    <w:unhideWhenUsed/>
    <w:qFormat/>
    <w:rsid w:val="002C0080"/>
    <w:pPr>
      <w:keepNext/>
      <w:keepLines/>
      <w:numPr>
        <w:ilvl w:val="3"/>
        <w:numId w:val="2"/>
      </w:numPr>
      <w:spacing w:before="200" w:line="360" w:lineRule="auto"/>
      <w:outlineLvl w:val="3"/>
    </w:pPr>
    <w:rPr>
      <w:rFonts w:eastAsiaTheme="majorEastAsia" w:cstheme="majorBidi"/>
      <w:bCs w:val="0"/>
      <w:iCs/>
      <w:color w:val="000000" w:themeColor="text1"/>
      <w:lang w:eastAsia="en-GB"/>
    </w:rPr>
  </w:style>
  <w:style w:type="paragraph" w:styleId="Heading5">
    <w:name w:val="heading 5"/>
    <w:basedOn w:val="Normal"/>
    <w:next w:val="Normal"/>
    <w:link w:val="Heading5Char"/>
    <w:unhideWhenUsed/>
    <w:qFormat/>
    <w:rsid w:val="00E05328"/>
    <w:pPr>
      <w:keepNext/>
      <w:keepLines/>
      <w:numPr>
        <w:ilvl w:val="4"/>
        <w:numId w:val="2"/>
      </w:numPr>
      <w:spacing w:before="200" w:line="360" w:lineRule="auto"/>
      <w:outlineLvl w:val="4"/>
    </w:pPr>
    <w:rPr>
      <w:rFonts w:eastAsiaTheme="majorEastAsia" w:cs="Arial"/>
      <w:color w:val="001743" w:themeColor="accent1" w:themeShade="7F"/>
      <w:lang w:eastAsia="en-GB"/>
    </w:rPr>
  </w:style>
  <w:style w:type="paragraph" w:styleId="Heading6">
    <w:name w:val="heading 6"/>
    <w:basedOn w:val="Normal"/>
    <w:next w:val="Normal"/>
    <w:link w:val="Heading6Char"/>
    <w:unhideWhenUsed/>
    <w:qFormat/>
    <w:rsid w:val="00E52ACB"/>
    <w:pPr>
      <w:keepNext/>
      <w:keepLines/>
      <w:numPr>
        <w:ilvl w:val="5"/>
        <w:numId w:val="2"/>
      </w:numPr>
      <w:spacing w:before="200"/>
      <w:outlineLvl w:val="5"/>
    </w:pPr>
    <w:rPr>
      <w:rFonts w:asciiTheme="majorHAnsi" w:eastAsiaTheme="majorEastAsia" w:hAnsiTheme="majorHAnsi" w:cstheme="majorBidi"/>
      <w:i/>
      <w:iCs/>
      <w:color w:val="001743" w:themeColor="accent1" w:themeShade="7F"/>
    </w:rPr>
  </w:style>
  <w:style w:type="paragraph" w:styleId="Heading7">
    <w:name w:val="heading 7"/>
    <w:basedOn w:val="Normal"/>
    <w:next w:val="Normal"/>
    <w:link w:val="Heading7Char"/>
    <w:unhideWhenUsed/>
    <w:qFormat/>
    <w:rsid w:val="00E52ACB"/>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E52ACB"/>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E52ACB"/>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D4362"/>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NoParagraphStyle">
    <w:name w:val="[No Paragraph Style]"/>
    <w:rsid w:val="006D4362"/>
    <w:pPr>
      <w:widowControl w:val="0"/>
      <w:autoSpaceDE w:val="0"/>
      <w:autoSpaceDN w:val="0"/>
      <w:adjustRightInd w:val="0"/>
      <w:spacing w:line="288" w:lineRule="auto"/>
      <w:textAlignment w:val="center"/>
    </w:pPr>
    <w:rPr>
      <w:rFonts w:ascii="MinionPro-Regular" w:hAnsi="MinionPro-Regular" w:cs="MinionPro-Regular"/>
      <w:color w:val="000000"/>
      <w:lang w:eastAsia="en-US"/>
    </w:rPr>
  </w:style>
  <w:style w:type="paragraph" w:styleId="Header">
    <w:name w:val="header"/>
    <w:basedOn w:val="Normal"/>
    <w:link w:val="HeaderChar"/>
    <w:uiPriority w:val="99"/>
    <w:unhideWhenUsed/>
    <w:rsid w:val="00C953C8"/>
    <w:pPr>
      <w:tabs>
        <w:tab w:val="center" w:pos="4320"/>
        <w:tab w:val="right" w:pos="8640"/>
      </w:tabs>
    </w:pPr>
  </w:style>
  <w:style w:type="character" w:customStyle="1" w:styleId="HeaderChar">
    <w:name w:val="Header Char"/>
    <w:basedOn w:val="DefaultParagraphFont"/>
    <w:link w:val="Header"/>
    <w:uiPriority w:val="99"/>
    <w:rsid w:val="00C953C8"/>
  </w:style>
  <w:style w:type="paragraph" w:styleId="Footer">
    <w:name w:val="footer"/>
    <w:basedOn w:val="Normal"/>
    <w:link w:val="FooterChar"/>
    <w:uiPriority w:val="99"/>
    <w:unhideWhenUsed/>
    <w:rsid w:val="00C953C8"/>
    <w:pPr>
      <w:tabs>
        <w:tab w:val="center" w:pos="4320"/>
        <w:tab w:val="right" w:pos="8640"/>
      </w:tabs>
    </w:pPr>
  </w:style>
  <w:style w:type="character" w:customStyle="1" w:styleId="FooterChar">
    <w:name w:val="Footer Char"/>
    <w:basedOn w:val="DefaultParagraphFont"/>
    <w:link w:val="Footer"/>
    <w:uiPriority w:val="99"/>
    <w:rsid w:val="00C953C8"/>
  </w:style>
  <w:style w:type="character" w:styleId="PageNumber">
    <w:name w:val="page number"/>
    <w:unhideWhenUsed/>
    <w:rsid w:val="00102A99"/>
  </w:style>
  <w:style w:type="paragraph" w:styleId="BalloonText">
    <w:name w:val="Balloon Text"/>
    <w:basedOn w:val="Normal"/>
    <w:link w:val="BalloonTextChar"/>
    <w:uiPriority w:val="99"/>
    <w:unhideWhenUsed/>
    <w:rsid w:val="002A0C8D"/>
    <w:rPr>
      <w:rFonts w:ascii="Tahoma" w:hAnsi="Tahoma" w:cs="Tahoma"/>
      <w:sz w:val="16"/>
      <w:szCs w:val="16"/>
    </w:rPr>
  </w:style>
  <w:style w:type="paragraph" w:styleId="TOC1">
    <w:name w:val="toc 1"/>
    <w:basedOn w:val="Normal"/>
    <w:next w:val="Normal"/>
    <w:autoRedefine/>
    <w:uiPriority w:val="39"/>
    <w:unhideWhenUsed/>
    <w:qFormat/>
    <w:rsid w:val="00472858"/>
    <w:pPr>
      <w:tabs>
        <w:tab w:val="left" w:pos="480"/>
        <w:tab w:val="right" w:leader="dot" w:pos="9054"/>
      </w:tabs>
      <w:spacing w:before="120" w:after="120" w:line="360" w:lineRule="auto"/>
    </w:pPr>
    <w:rPr>
      <w:noProof/>
      <w:color w:val="005EB8" w:themeColor="text2"/>
      <w:sz w:val="32"/>
      <w:szCs w:val="32"/>
    </w:rPr>
  </w:style>
  <w:style w:type="character" w:customStyle="1" w:styleId="BalloonTextChar">
    <w:name w:val="Balloon Text Char"/>
    <w:link w:val="BalloonText"/>
    <w:uiPriority w:val="99"/>
    <w:rsid w:val="002A0C8D"/>
    <w:rPr>
      <w:rFonts w:ascii="Tahoma" w:hAnsi="Tahoma" w:cs="Tahoma"/>
      <w:sz w:val="16"/>
      <w:szCs w:val="16"/>
      <w:lang w:eastAsia="en-US"/>
    </w:rPr>
  </w:style>
  <w:style w:type="paragraph" w:styleId="Title">
    <w:name w:val="Title"/>
    <w:basedOn w:val="Normal"/>
    <w:next w:val="Normal"/>
    <w:link w:val="TitleChar"/>
    <w:uiPriority w:val="10"/>
    <w:qFormat/>
    <w:rsid w:val="00E72C89"/>
    <w:rPr>
      <w:b/>
      <w:color w:val="005EB8" w:themeColor="text2"/>
      <w:sz w:val="80"/>
      <w:szCs w:val="80"/>
    </w:rPr>
  </w:style>
  <w:style w:type="character" w:customStyle="1" w:styleId="TitleChar">
    <w:name w:val="Title Char"/>
    <w:basedOn w:val="DefaultParagraphFont"/>
    <w:link w:val="Title"/>
    <w:uiPriority w:val="10"/>
    <w:rsid w:val="00E72C89"/>
    <w:rPr>
      <w:rFonts w:eastAsia="Times New Roman"/>
      <w:b/>
      <w:bCs/>
      <w:color w:val="005EB8" w:themeColor="text2"/>
      <w:sz w:val="80"/>
      <w:szCs w:val="80"/>
      <w:lang w:eastAsia="en-US"/>
    </w:rPr>
  </w:style>
  <w:style w:type="character" w:customStyle="1" w:styleId="Heading1Char">
    <w:name w:val="Heading 1 Char"/>
    <w:link w:val="Heading1"/>
    <w:uiPriority w:val="1"/>
    <w:rsid w:val="005A03AB"/>
    <w:rPr>
      <w:rFonts w:eastAsia="Times New Roman" w:cs="Arial"/>
      <w:b/>
      <w:bCs/>
      <w:color w:val="005EB8" w:themeColor="text2"/>
      <w:kern w:val="32"/>
      <w:sz w:val="32"/>
      <w:szCs w:val="32"/>
      <w:lang w:eastAsia="en-US"/>
    </w:rPr>
  </w:style>
  <w:style w:type="character" w:customStyle="1" w:styleId="Heading4Char">
    <w:name w:val="Heading 4 Char"/>
    <w:basedOn w:val="DefaultParagraphFont"/>
    <w:link w:val="Heading4"/>
    <w:rsid w:val="002C0080"/>
    <w:rPr>
      <w:rFonts w:eastAsiaTheme="majorEastAsia" w:cstheme="majorBidi"/>
      <w:iCs/>
      <w:color w:val="000000" w:themeColor="text1"/>
      <w:szCs w:val="26"/>
    </w:rPr>
  </w:style>
  <w:style w:type="character" w:customStyle="1" w:styleId="Heading2Char">
    <w:name w:val="Heading 2 Char"/>
    <w:link w:val="Heading2"/>
    <w:uiPriority w:val="1"/>
    <w:rsid w:val="002F092A"/>
    <w:rPr>
      <w:rFonts w:eastAsia="Times New Roman"/>
      <w:b/>
      <w:bCs/>
      <w:iCs/>
      <w:color w:val="7C2855" w:themeColor="background2"/>
      <w:sz w:val="28"/>
      <w:szCs w:val="28"/>
      <w:lang w:eastAsia="en-US"/>
    </w:rPr>
  </w:style>
  <w:style w:type="character" w:customStyle="1" w:styleId="Heading5Char">
    <w:name w:val="Heading 5 Char"/>
    <w:basedOn w:val="DefaultParagraphFont"/>
    <w:link w:val="Heading5"/>
    <w:rsid w:val="00E05328"/>
    <w:rPr>
      <w:rFonts w:eastAsiaTheme="majorEastAsia" w:cs="Arial"/>
      <w:bCs/>
      <w:color w:val="001743" w:themeColor="accent1" w:themeShade="7F"/>
      <w:szCs w:val="26"/>
    </w:rPr>
  </w:style>
  <w:style w:type="character" w:customStyle="1" w:styleId="Heading3Char">
    <w:name w:val="Heading 3 Char"/>
    <w:link w:val="Heading3"/>
    <w:rsid w:val="001C7059"/>
    <w:rPr>
      <w:rFonts w:eastAsia="Times New Roman"/>
      <w:bCs/>
      <w:szCs w:val="26"/>
      <w:lang w:eastAsia="en-US"/>
    </w:rPr>
  </w:style>
  <w:style w:type="paragraph" w:styleId="TOC3">
    <w:name w:val="toc 3"/>
    <w:basedOn w:val="Normal"/>
    <w:next w:val="Normal"/>
    <w:autoRedefine/>
    <w:uiPriority w:val="39"/>
    <w:unhideWhenUsed/>
    <w:qFormat/>
    <w:rsid w:val="004409E2"/>
    <w:pPr>
      <w:ind w:left="480"/>
    </w:pPr>
  </w:style>
  <w:style w:type="character" w:styleId="Hyperlink">
    <w:name w:val="Hyperlink"/>
    <w:uiPriority w:val="99"/>
    <w:unhideWhenUsed/>
    <w:rsid w:val="004409E2"/>
    <w:rPr>
      <w:color w:val="0000FF"/>
      <w:u w:val="single"/>
    </w:rPr>
  </w:style>
  <w:style w:type="paragraph" w:styleId="TOCHeading">
    <w:name w:val="TOC Heading"/>
    <w:basedOn w:val="Heading1"/>
    <w:next w:val="Normal"/>
    <w:uiPriority w:val="39"/>
    <w:unhideWhenUsed/>
    <w:qFormat/>
    <w:rsid w:val="00AB549D"/>
    <w:pPr>
      <w:keepLines/>
      <w:spacing w:before="480" w:line="276" w:lineRule="auto"/>
      <w:outlineLvl w:val="9"/>
    </w:pPr>
    <w:rPr>
      <w:color w:val="365F91"/>
      <w:kern w:val="0"/>
      <w:sz w:val="28"/>
      <w:szCs w:val="28"/>
      <w:lang w:val="en-US" w:eastAsia="ja-JP"/>
    </w:rPr>
  </w:style>
  <w:style w:type="numbering" w:styleId="111111">
    <w:name w:val="Outline List 2"/>
    <w:basedOn w:val="NoList"/>
    <w:uiPriority w:val="99"/>
    <w:unhideWhenUsed/>
    <w:rsid w:val="00AB549D"/>
    <w:pPr>
      <w:numPr>
        <w:numId w:val="1"/>
      </w:numPr>
    </w:pPr>
  </w:style>
  <w:style w:type="paragraph" w:styleId="TOC2">
    <w:name w:val="toc 2"/>
    <w:basedOn w:val="Normal"/>
    <w:next w:val="Normal"/>
    <w:autoRedefine/>
    <w:uiPriority w:val="39"/>
    <w:unhideWhenUsed/>
    <w:qFormat/>
    <w:rsid w:val="00B64D47"/>
    <w:pPr>
      <w:tabs>
        <w:tab w:val="left" w:pos="880"/>
        <w:tab w:val="right" w:leader="dot" w:pos="9300"/>
      </w:tabs>
      <w:spacing w:before="120" w:after="120" w:line="276" w:lineRule="auto"/>
      <w:ind w:left="238"/>
      <w:jc w:val="both"/>
    </w:pPr>
  </w:style>
  <w:style w:type="paragraph" w:customStyle="1" w:styleId="DHBodycopy">
    <w:name w:val="DH Body copy"/>
    <w:basedOn w:val="Normal"/>
    <w:link w:val="DHBodycopyChar"/>
    <w:uiPriority w:val="99"/>
    <w:rsid w:val="00023944"/>
    <w:pPr>
      <w:spacing w:line="320" w:lineRule="exact"/>
    </w:pPr>
    <w:rPr>
      <w:szCs w:val="20"/>
    </w:rPr>
  </w:style>
  <w:style w:type="paragraph" w:customStyle="1" w:styleId="DHtitlepagetext">
    <w:name w:val="DH title page text"/>
    <w:basedOn w:val="Normal"/>
    <w:rsid w:val="00023944"/>
    <w:pPr>
      <w:spacing w:line="660" w:lineRule="exact"/>
    </w:pPr>
    <w:rPr>
      <w:rFonts w:eastAsia="MS Mincho" w:cs="Arial"/>
      <w:b/>
      <w:szCs w:val="20"/>
    </w:rPr>
  </w:style>
  <w:style w:type="table" w:styleId="TableGrid">
    <w:name w:val="Table Grid"/>
    <w:basedOn w:val="TableNormal"/>
    <w:rsid w:val="001747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unhideWhenUsed/>
    <w:rsid w:val="00BD0523"/>
    <w:rPr>
      <w:color w:val="7C2855" w:themeColor="followedHyperlink"/>
      <w:u w:val="single"/>
    </w:rPr>
  </w:style>
  <w:style w:type="paragraph" w:styleId="ListParagraph">
    <w:name w:val="List Paragraph"/>
    <w:basedOn w:val="Normal"/>
    <w:link w:val="ListParagraphChar"/>
    <w:uiPriority w:val="34"/>
    <w:qFormat/>
    <w:rsid w:val="007E08F7"/>
    <w:pPr>
      <w:ind w:left="720"/>
      <w:contextualSpacing/>
    </w:pPr>
  </w:style>
  <w:style w:type="character" w:customStyle="1" w:styleId="Heading6Char">
    <w:name w:val="Heading 6 Char"/>
    <w:basedOn w:val="DefaultParagraphFont"/>
    <w:link w:val="Heading6"/>
    <w:rsid w:val="00E52ACB"/>
    <w:rPr>
      <w:rFonts w:asciiTheme="majorHAnsi" w:eastAsiaTheme="majorEastAsia" w:hAnsiTheme="majorHAnsi" w:cstheme="majorBidi"/>
      <w:bCs/>
      <w:i/>
      <w:iCs/>
      <w:color w:val="001743" w:themeColor="accent1" w:themeShade="7F"/>
      <w:szCs w:val="26"/>
      <w:lang w:eastAsia="en-US"/>
    </w:rPr>
  </w:style>
  <w:style w:type="character" w:customStyle="1" w:styleId="Heading7Char">
    <w:name w:val="Heading 7 Char"/>
    <w:basedOn w:val="DefaultParagraphFont"/>
    <w:link w:val="Heading7"/>
    <w:rsid w:val="00E52ACB"/>
    <w:rPr>
      <w:rFonts w:asciiTheme="majorHAnsi" w:eastAsiaTheme="majorEastAsia" w:hAnsiTheme="majorHAnsi" w:cstheme="majorBidi"/>
      <w:bCs/>
      <w:i/>
      <w:iCs/>
      <w:color w:val="404040" w:themeColor="text1" w:themeTint="BF"/>
      <w:szCs w:val="26"/>
      <w:lang w:eastAsia="en-US"/>
    </w:rPr>
  </w:style>
  <w:style w:type="character" w:customStyle="1" w:styleId="Heading8Char">
    <w:name w:val="Heading 8 Char"/>
    <w:basedOn w:val="DefaultParagraphFont"/>
    <w:link w:val="Heading8"/>
    <w:rsid w:val="00E52ACB"/>
    <w:rPr>
      <w:rFonts w:asciiTheme="majorHAnsi" w:eastAsiaTheme="majorEastAsia" w:hAnsiTheme="majorHAnsi" w:cstheme="majorBidi"/>
      <w:bCs/>
      <w:color w:val="404040" w:themeColor="text1" w:themeTint="BF"/>
      <w:sz w:val="20"/>
      <w:szCs w:val="20"/>
      <w:lang w:eastAsia="en-US"/>
    </w:rPr>
  </w:style>
  <w:style w:type="character" w:customStyle="1" w:styleId="Heading9Char">
    <w:name w:val="Heading 9 Char"/>
    <w:basedOn w:val="DefaultParagraphFont"/>
    <w:link w:val="Heading9"/>
    <w:rsid w:val="00E52ACB"/>
    <w:rPr>
      <w:rFonts w:asciiTheme="majorHAnsi" w:eastAsiaTheme="majorEastAsia" w:hAnsiTheme="majorHAnsi" w:cstheme="majorBidi"/>
      <w:bCs/>
      <w:i/>
      <w:iCs/>
      <w:color w:val="404040" w:themeColor="text1" w:themeTint="BF"/>
      <w:sz w:val="20"/>
      <w:szCs w:val="20"/>
      <w:lang w:eastAsia="en-US"/>
    </w:rPr>
  </w:style>
  <w:style w:type="character" w:styleId="PlaceholderText">
    <w:name w:val="Placeholder Text"/>
    <w:basedOn w:val="DefaultParagraphFont"/>
    <w:uiPriority w:val="99"/>
    <w:unhideWhenUsed/>
    <w:rsid w:val="00280330"/>
    <w:rPr>
      <w:color w:val="808080"/>
    </w:rPr>
  </w:style>
  <w:style w:type="paragraph" w:styleId="TOC4">
    <w:name w:val="toc 4"/>
    <w:basedOn w:val="Normal"/>
    <w:next w:val="Normal"/>
    <w:autoRedefine/>
    <w:uiPriority w:val="39"/>
    <w:unhideWhenUsed/>
    <w:rsid w:val="00446DA6"/>
    <w:pPr>
      <w:spacing w:after="100" w:line="276" w:lineRule="auto"/>
      <w:ind w:left="660"/>
    </w:pPr>
    <w:rPr>
      <w:rFonts w:asciiTheme="minorHAnsi" w:eastAsiaTheme="minorEastAsia" w:hAnsiTheme="minorHAnsi" w:cstheme="minorBidi"/>
      <w:bCs w:val="0"/>
      <w:sz w:val="22"/>
      <w:szCs w:val="22"/>
      <w:lang w:eastAsia="en-GB"/>
    </w:rPr>
  </w:style>
  <w:style w:type="paragraph" w:styleId="TOC5">
    <w:name w:val="toc 5"/>
    <w:basedOn w:val="Normal"/>
    <w:next w:val="Normal"/>
    <w:autoRedefine/>
    <w:uiPriority w:val="39"/>
    <w:unhideWhenUsed/>
    <w:rsid w:val="00446DA6"/>
    <w:pPr>
      <w:spacing w:after="100" w:line="276" w:lineRule="auto"/>
      <w:ind w:left="880"/>
    </w:pPr>
    <w:rPr>
      <w:rFonts w:asciiTheme="minorHAnsi" w:eastAsiaTheme="minorEastAsia" w:hAnsiTheme="minorHAnsi" w:cstheme="minorBidi"/>
      <w:bCs w:val="0"/>
      <w:sz w:val="22"/>
      <w:szCs w:val="22"/>
      <w:lang w:eastAsia="en-GB"/>
    </w:rPr>
  </w:style>
  <w:style w:type="paragraph" w:styleId="TOC6">
    <w:name w:val="toc 6"/>
    <w:basedOn w:val="Normal"/>
    <w:next w:val="Normal"/>
    <w:autoRedefine/>
    <w:uiPriority w:val="39"/>
    <w:unhideWhenUsed/>
    <w:rsid w:val="00446DA6"/>
    <w:pPr>
      <w:spacing w:after="100" w:line="276" w:lineRule="auto"/>
      <w:ind w:left="1100"/>
    </w:pPr>
    <w:rPr>
      <w:rFonts w:asciiTheme="minorHAnsi" w:eastAsiaTheme="minorEastAsia" w:hAnsiTheme="minorHAnsi" w:cstheme="minorBidi"/>
      <w:bCs w:val="0"/>
      <w:sz w:val="22"/>
      <w:szCs w:val="22"/>
      <w:lang w:eastAsia="en-GB"/>
    </w:rPr>
  </w:style>
  <w:style w:type="paragraph" w:styleId="TOC7">
    <w:name w:val="toc 7"/>
    <w:basedOn w:val="Normal"/>
    <w:next w:val="Normal"/>
    <w:autoRedefine/>
    <w:uiPriority w:val="39"/>
    <w:unhideWhenUsed/>
    <w:rsid w:val="00446DA6"/>
    <w:pPr>
      <w:spacing w:after="100" w:line="276" w:lineRule="auto"/>
      <w:ind w:left="1320"/>
    </w:pPr>
    <w:rPr>
      <w:rFonts w:asciiTheme="minorHAnsi" w:eastAsiaTheme="minorEastAsia" w:hAnsiTheme="minorHAnsi" w:cstheme="minorBidi"/>
      <w:bCs w:val="0"/>
      <w:sz w:val="22"/>
      <w:szCs w:val="22"/>
      <w:lang w:eastAsia="en-GB"/>
    </w:rPr>
  </w:style>
  <w:style w:type="paragraph" w:styleId="TOC8">
    <w:name w:val="toc 8"/>
    <w:basedOn w:val="Normal"/>
    <w:next w:val="Normal"/>
    <w:autoRedefine/>
    <w:uiPriority w:val="39"/>
    <w:unhideWhenUsed/>
    <w:rsid w:val="00446DA6"/>
    <w:pPr>
      <w:spacing w:after="100" w:line="276" w:lineRule="auto"/>
      <w:ind w:left="1540"/>
    </w:pPr>
    <w:rPr>
      <w:rFonts w:asciiTheme="minorHAnsi" w:eastAsiaTheme="minorEastAsia" w:hAnsiTheme="minorHAnsi" w:cstheme="minorBidi"/>
      <w:bCs w:val="0"/>
      <w:sz w:val="22"/>
      <w:szCs w:val="22"/>
      <w:lang w:eastAsia="en-GB"/>
    </w:rPr>
  </w:style>
  <w:style w:type="paragraph" w:styleId="TOC9">
    <w:name w:val="toc 9"/>
    <w:basedOn w:val="Normal"/>
    <w:next w:val="Normal"/>
    <w:autoRedefine/>
    <w:uiPriority w:val="39"/>
    <w:unhideWhenUsed/>
    <w:rsid w:val="00446DA6"/>
    <w:pPr>
      <w:spacing w:after="100" w:line="276" w:lineRule="auto"/>
      <w:ind w:left="1760"/>
    </w:pPr>
    <w:rPr>
      <w:rFonts w:asciiTheme="minorHAnsi" w:eastAsiaTheme="minorEastAsia" w:hAnsiTheme="minorHAnsi" w:cstheme="minorBidi"/>
      <w:bCs w:val="0"/>
      <w:sz w:val="22"/>
      <w:szCs w:val="22"/>
      <w:lang w:eastAsia="en-GB"/>
    </w:rPr>
  </w:style>
  <w:style w:type="character" w:styleId="CommentReference">
    <w:name w:val="annotation reference"/>
    <w:basedOn w:val="DefaultParagraphFont"/>
    <w:uiPriority w:val="99"/>
    <w:unhideWhenUsed/>
    <w:rsid w:val="00D06433"/>
    <w:rPr>
      <w:sz w:val="16"/>
      <w:szCs w:val="16"/>
    </w:rPr>
  </w:style>
  <w:style w:type="paragraph" w:styleId="CommentText">
    <w:name w:val="annotation text"/>
    <w:basedOn w:val="Normal"/>
    <w:link w:val="CommentTextChar"/>
    <w:uiPriority w:val="99"/>
    <w:unhideWhenUsed/>
    <w:rsid w:val="00D06433"/>
    <w:rPr>
      <w:sz w:val="20"/>
      <w:szCs w:val="20"/>
    </w:rPr>
  </w:style>
  <w:style w:type="character" w:customStyle="1" w:styleId="CommentTextChar">
    <w:name w:val="Comment Text Char"/>
    <w:basedOn w:val="DefaultParagraphFont"/>
    <w:link w:val="CommentText"/>
    <w:uiPriority w:val="99"/>
    <w:rsid w:val="00D06433"/>
    <w:rPr>
      <w:rFonts w:eastAsia="Times New Roman"/>
      <w:bCs/>
      <w:sz w:val="20"/>
      <w:szCs w:val="20"/>
      <w:lang w:eastAsia="en-US"/>
    </w:rPr>
  </w:style>
  <w:style w:type="paragraph" w:customStyle="1" w:styleId="Body2">
    <w:name w:val="Body2"/>
    <w:basedOn w:val="Normal"/>
    <w:rsid w:val="001C7059"/>
    <w:pPr>
      <w:widowControl w:val="0"/>
      <w:spacing w:before="200" w:after="60"/>
      <w:ind w:left="1414"/>
      <w:jc w:val="both"/>
    </w:pPr>
    <w:rPr>
      <w:bCs w:val="0"/>
      <w:sz w:val="20"/>
      <w:szCs w:val="20"/>
      <w:lang w:eastAsia="en-GB"/>
    </w:rPr>
  </w:style>
  <w:style w:type="character" w:customStyle="1" w:styleId="ListParagraphChar">
    <w:name w:val="List Paragraph Char"/>
    <w:basedOn w:val="DefaultParagraphFont"/>
    <w:link w:val="ListParagraph"/>
    <w:uiPriority w:val="1"/>
    <w:rsid w:val="001C7059"/>
    <w:rPr>
      <w:rFonts w:eastAsia="Times New Roman"/>
      <w:bCs/>
      <w:szCs w:val="26"/>
      <w:lang w:eastAsia="en-US"/>
    </w:rPr>
  </w:style>
  <w:style w:type="numbering" w:customStyle="1" w:styleId="NoList1">
    <w:name w:val="No List1"/>
    <w:next w:val="NoList"/>
    <w:uiPriority w:val="99"/>
    <w:semiHidden/>
    <w:unhideWhenUsed/>
    <w:rsid w:val="00DB7F92"/>
  </w:style>
  <w:style w:type="table" w:customStyle="1" w:styleId="TableGrid1">
    <w:name w:val="Table Grid1"/>
    <w:basedOn w:val="TableNormal"/>
    <w:next w:val="TableGrid"/>
    <w:rsid w:val="00DB7F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DB7F92"/>
    <w:rPr>
      <w:rFonts w:asciiTheme="minorHAnsi" w:eastAsiaTheme="minorEastAsia" w:hAnsiTheme="minorHAnsi"/>
      <w:bCs w:val="0"/>
      <w:sz w:val="20"/>
      <w:szCs w:val="20"/>
    </w:rPr>
  </w:style>
  <w:style w:type="character" w:customStyle="1" w:styleId="FootnoteTextChar">
    <w:name w:val="Footnote Text Char"/>
    <w:basedOn w:val="DefaultParagraphFont"/>
    <w:link w:val="FootnoteText"/>
    <w:rsid w:val="00DB7F92"/>
    <w:rPr>
      <w:rFonts w:asciiTheme="minorHAnsi" w:eastAsiaTheme="minorEastAsia" w:hAnsiTheme="minorHAnsi"/>
      <w:sz w:val="20"/>
      <w:szCs w:val="20"/>
      <w:lang w:eastAsia="en-US"/>
    </w:rPr>
  </w:style>
  <w:style w:type="character" w:styleId="FootnoteReference">
    <w:name w:val="footnote reference"/>
    <w:basedOn w:val="DefaultParagraphFont"/>
    <w:unhideWhenUsed/>
    <w:rsid w:val="00DB7F92"/>
    <w:rPr>
      <w:vertAlign w:val="superscript"/>
    </w:rPr>
  </w:style>
  <w:style w:type="paragraph" w:customStyle="1" w:styleId="08TableText">
    <w:name w:val="08_Table Text"/>
    <w:basedOn w:val="Normal"/>
    <w:locked/>
    <w:rsid w:val="00DB7F92"/>
    <w:pPr>
      <w:spacing w:line="240" w:lineRule="exact"/>
    </w:pPr>
    <w:rPr>
      <w:rFonts w:ascii="Calibri Light" w:eastAsia="MS Gothic" w:hAnsi="Calibri Light"/>
      <w:bCs w:val="0"/>
      <w:spacing w:val="-2"/>
      <w:sz w:val="20"/>
      <w:szCs w:val="20"/>
      <w:lang w:eastAsia="ja-JP"/>
    </w:rPr>
  </w:style>
  <w:style w:type="paragraph" w:customStyle="1" w:styleId="Default">
    <w:name w:val="Default"/>
    <w:basedOn w:val="Normal"/>
    <w:rsid w:val="00DB7F92"/>
    <w:pPr>
      <w:autoSpaceDE w:val="0"/>
      <w:autoSpaceDN w:val="0"/>
    </w:pPr>
    <w:rPr>
      <w:rFonts w:eastAsiaTheme="minorEastAsia" w:cs="Arial"/>
      <w:bCs w:val="0"/>
      <w:color w:val="000000"/>
      <w:szCs w:val="24"/>
      <w:lang w:eastAsia="en-GB"/>
    </w:rPr>
  </w:style>
  <w:style w:type="paragraph" w:customStyle="1" w:styleId="font8">
    <w:name w:val="font_8"/>
    <w:basedOn w:val="Normal"/>
    <w:rsid w:val="00DB7F92"/>
    <w:pPr>
      <w:spacing w:before="100" w:beforeAutospacing="1" w:after="100" w:afterAutospacing="1"/>
    </w:pPr>
    <w:rPr>
      <w:rFonts w:ascii="Times New Roman" w:hAnsi="Times New Roman"/>
      <w:bCs w:val="0"/>
      <w:szCs w:val="24"/>
      <w:lang w:eastAsia="en-GB"/>
    </w:rPr>
  </w:style>
  <w:style w:type="paragraph" w:styleId="NormalWeb">
    <w:name w:val="Normal (Web)"/>
    <w:basedOn w:val="Normal"/>
    <w:uiPriority w:val="99"/>
    <w:unhideWhenUsed/>
    <w:rsid w:val="00DB7F92"/>
    <w:pPr>
      <w:spacing w:before="100" w:beforeAutospacing="1" w:after="100" w:afterAutospacing="1"/>
    </w:pPr>
    <w:rPr>
      <w:rFonts w:ascii="Times New Roman" w:hAnsi="Times New Roman"/>
      <w:bCs w:val="0"/>
      <w:szCs w:val="24"/>
      <w:lang w:eastAsia="en-GB"/>
    </w:rPr>
  </w:style>
  <w:style w:type="paragraph" w:styleId="CommentSubject">
    <w:name w:val="annotation subject"/>
    <w:basedOn w:val="CommentText"/>
    <w:next w:val="CommentText"/>
    <w:link w:val="CommentSubjectChar"/>
    <w:uiPriority w:val="99"/>
    <w:unhideWhenUsed/>
    <w:rsid w:val="00DB7F92"/>
    <w:rPr>
      <w:b/>
    </w:rPr>
  </w:style>
  <w:style w:type="character" w:customStyle="1" w:styleId="CommentSubjectChar">
    <w:name w:val="Comment Subject Char"/>
    <w:basedOn w:val="CommentTextChar"/>
    <w:link w:val="CommentSubject"/>
    <w:uiPriority w:val="99"/>
    <w:rsid w:val="00DB7F92"/>
    <w:rPr>
      <w:rFonts w:eastAsia="Times New Roman"/>
      <w:b/>
      <w:bCs/>
      <w:sz w:val="20"/>
      <w:szCs w:val="20"/>
      <w:lang w:eastAsia="en-US"/>
    </w:rPr>
  </w:style>
  <w:style w:type="paragraph" w:styleId="Revision">
    <w:name w:val="Revision"/>
    <w:hidden/>
    <w:uiPriority w:val="99"/>
    <w:rsid w:val="00DB7F92"/>
    <w:rPr>
      <w:rFonts w:eastAsia="Times New Roman"/>
      <w:bCs/>
      <w:szCs w:val="26"/>
      <w:lang w:eastAsia="en-US"/>
    </w:rPr>
  </w:style>
  <w:style w:type="paragraph" w:styleId="Caption">
    <w:name w:val="caption"/>
    <w:basedOn w:val="Normal"/>
    <w:next w:val="Normal"/>
    <w:uiPriority w:val="35"/>
    <w:unhideWhenUsed/>
    <w:qFormat/>
    <w:rsid w:val="00DB7F92"/>
    <w:pPr>
      <w:spacing w:after="200"/>
    </w:pPr>
    <w:rPr>
      <w:b/>
      <w:bCs w:val="0"/>
      <w:color w:val="003087" w:themeColor="accent1"/>
      <w:sz w:val="18"/>
      <w:szCs w:val="18"/>
    </w:rPr>
  </w:style>
  <w:style w:type="paragraph" w:customStyle="1" w:styleId="Body1">
    <w:name w:val="Body1"/>
    <w:basedOn w:val="Normal"/>
    <w:rsid w:val="00DB7F92"/>
    <w:pPr>
      <w:widowControl w:val="0"/>
      <w:spacing w:before="200" w:after="60"/>
      <w:ind w:left="714"/>
      <w:jc w:val="both"/>
    </w:pPr>
    <w:rPr>
      <w:bCs w:val="0"/>
      <w:sz w:val="20"/>
      <w:szCs w:val="20"/>
      <w:lang w:eastAsia="en-GB"/>
    </w:rPr>
  </w:style>
  <w:style w:type="paragraph" w:customStyle="1" w:styleId="Body3">
    <w:name w:val="Body3"/>
    <w:basedOn w:val="Normal"/>
    <w:rsid w:val="00DB7F92"/>
    <w:pPr>
      <w:widowControl w:val="0"/>
      <w:spacing w:before="200" w:after="60"/>
      <w:ind w:left="2268"/>
      <w:jc w:val="both"/>
    </w:pPr>
    <w:rPr>
      <w:bCs w:val="0"/>
      <w:sz w:val="20"/>
      <w:szCs w:val="20"/>
      <w:lang w:eastAsia="en-GB"/>
    </w:rPr>
  </w:style>
  <w:style w:type="table" w:customStyle="1" w:styleId="TableGrid11">
    <w:name w:val="Table Grid11"/>
    <w:basedOn w:val="TableNormal"/>
    <w:next w:val="TableGrid"/>
    <w:uiPriority w:val="59"/>
    <w:rsid w:val="00DB7F9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DB7F92"/>
  </w:style>
  <w:style w:type="paragraph" w:customStyle="1" w:styleId="Body4">
    <w:name w:val="Body4"/>
    <w:basedOn w:val="Normal"/>
    <w:rsid w:val="00DB7F92"/>
    <w:pPr>
      <w:widowControl w:val="0"/>
      <w:spacing w:before="200" w:after="60"/>
      <w:ind w:left="3416"/>
      <w:jc w:val="both"/>
    </w:pPr>
    <w:rPr>
      <w:bCs w:val="0"/>
      <w:sz w:val="20"/>
      <w:szCs w:val="20"/>
      <w:lang w:eastAsia="en-GB"/>
    </w:rPr>
  </w:style>
  <w:style w:type="paragraph" w:customStyle="1" w:styleId="Body5">
    <w:name w:val="Body5"/>
    <w:basedOn w:val="Normal"/>
    <w:rsid w:val="00DB7F92"/>
    <w:pPr>
      <w:widowControl w:val="0"/>
      <w:spacing w:before="200" w:after="60"/>
      <w:ind w:left="4678"/>
      <w:jc w:val="both"/>
    </w:pPr>
    <w:rPr>
      <w:bCs w:val="0"/>
      <w:sz w:val="20"/>
      <w:szCs w:val="20"/>
      <w:lang w:eastAsia="en-GB"/>
    </w:rPr>
  </w:style>
  <w:style w:type="paragraph" w:customStyle="1" w:styleId="Body6">
    <w:name w:val="Body6"/>
    <w:basedOn w:val="Normal"/>
    <w:rsid w:val="00DB7F92"/>
    <w:pPr>
      <w:widowControl w:val="0"/>
      <w:spacing w:before="200" w:after="60"/>
      <w:ind w:left="5387"/>
      <w:jc w:val="both"/>
    </w:pPr>
    <w:rPr>
      <w:bCs w:val="0"/>
      <w:sz w:val="20"/>
      <w:szCs w:val="20"/>
      <w:lang w:eastAsia="en-GB"/>
    </w:rPr>
  </w:style>
  <w:style w:type="paragraph" w:customStyle="1" w:styleId="Body7">
    <w:name w:val="Body7"/>
    <w:basedOn w:val="Normal"/>
    <w:rsid w:val="00DB7F92"/>
    <w:pPr>
      <w:widowControl w:val="0"/>
      <w:spacing w:before="200" w:after="60"/>
      <w:ind w:left="6096"/>
      <w:jc w:val="both"/>
    </w:pPr>
    <w:rPr>
      <w:bCs w:val="0"/>
      <w:sz w:val="20"/>
      <w:szCs w:val="20"/>
      <w:lang w:eastAsia="en-GB"/>
    </w:rPr>
  </w:style>
  <w:style w:type="paragraph" w:customStyle="1" w:styleId="Body8">
    <w:name w:val="Body8"/>
    <w:basedOn w:val="Normal"/>
    <w:rsid w:val="00DB7F92"/>
    <w:pPr>
      <w:widowControl w:val="0"/>
      <w:spacing w:before="200" w:after="60"/>
      <w:ind w:left="6663"/>
      <w:jc w:val="both"/>
    </w:pPr>
    <w:rPr>
      <w:bCs w:val="0"/>
      <w:sz w:val="20"/>
      <w:szCs w:val="20"/>
      <w:lang w:eastAsia="en-GB"/>
    </w:rPr>
  </w:style>
  <w:style w:type="paragraph" w:customStyle="1" w:styleId="Body9">
    <w:name w:val="Body9"/>
    <w:basedOn w:val="Normal"/>
    <w:rsid w:val="00DB7F92"/>
    <w:pPr>
      <w:widowControl w:val="0"/>
      <w:spacing w:before="200" w:after="60"/>
      <w:ind w:left="7371"/>
      <w:jc w:val="both"/>
    </w:pPr>
    <w:rPr>
      <w:bCs w:val="0"/>
      <w:sz w:val="20"/>
      <w:szCs w:val="20"/>
      <w:lang w:eastAsia="en-GB"/>
    </w:rPr>
  </w:style>
  <w:style w:type="paragraph" w:styleId="BodyText">
    <w:name w:val="Body Text"/>
    <w:basedOn w:val="Normal"/>
    <w:link w:val="BodyTextChar1"/>
    <w:uiPriority w:val="1"/>
    <w:qFormat/>
    <w:rsid w:val="00DB7F92"/>
    <w:pPr>
      <w:widowControl w:val="0"/>
      <w:spacing w:after="120"/>
      <w:jc w:val="both"/>
    </w:pPr>
    <w:rPr>
      <w:bCs w:val="0"/>
      <w:sz w:val="20"/>
      <w:szCs w:val="20"/>
      <w:lang w:eastAsia="en-GB"/>
    </w:rPr>
  </w:style>
  <w:style w:type="character" w:customStyle="1" w:styleId="BodyTextChar">
    <w:name w:val="Body Text Char"/>
    <w:basedOn w:val="DefaultParagraphFont"/>
    <w:uiPriority w:val="99"/>
    <w:rsid w:val="00DB7F92"/>
    <w:rPr>
      <w:rFonts w:eastAsia="Times New Roman"/>
      <w:bCs/>
      <w:szCs w:val="26"/>
      <w:lang w:eastAsia="en-US"/>
    </w:rPr>
  </w:style>
  <w:style w:type="paragraph" w:styleId="BodyTextIndent">
    <w:name w:val="Body Text Indent"/>
    <w:basedOn w:val="Normal"/>
    <w:link w:val="BodyTextIndentChar1"/>
    <w:rsid w:val="00DB7F92"/>
    <w:pPr>
      <w:widowControl w:val="0"/>
      <w:spacing w:after="120"/>
      <w:ind w:left="709"/>
      <w:jc w:val="both"/>
    </w:pPr>
    <w:rPr>
      <w:bCs w:val="0"/>
      <w:sz w:val="20"/>
      <w:szCs w:val="20"/>
      <w:lang w:eastAsia="en-GB"/>
    </w:rPr>
  </w:style>
  <w:style w:type="character" w:customStyle="1" w:styleId="BodyTextIndentChar">
    <w:name w:val="Body Text Indent Char"/>
    <w:basedOn w:val="DefaultParagraphFont"/>
    <w:rsid w:val="00DB7F92"/>
    <w:rPr>
      <w:rFonts w:eastAsia="Times New Roman"/>
      <w:bCs/>
      <w:szCs w:val="26"/>
      <w:lang w:eastAsia="en-US"/>
    </w:rPr>
  </w:style>
  <w:style w:type="paragraph" w:customStyle="1" w:styleId="DocSpace">
    <w:name w:val="DocSpace"/>
    <w:basedOn w:val="Normal"/>
    <w:rsid w:val="00DB7F92"/>
    <w:pPr>
      <w:widowControl w:val="0"/>
      <w:spacing w:before="200" w:after="60"/>
      <w:jc w:val="both"/>
    </w:pPr>
    <w:rPr>
      <w:bCs w:val="0"/>
      <w:sz w:val="20"/>
      <w:szCs w:val="20"/>
      <w:lang w:eastAsia="en-GB"/>
    </w:rPr>
  </w:style>
  <w:style w:type="paragraph" w:styleId="ListBullet">
    <w:name w:val="List Bullet"/>
    <w:basedOn w:val="Normal"/>
    <w:rsid w:val="00DB7F92"/>
    <w:pPr>
      <w:widowControl w:val="0"/>
      <w:ind w:left="709" w:hanging="709"/>
      <w:jc w:val="both"/>
    </w:pPr>
    <w:rPr>
      <w:bCs w:val="0"/>
      <w:sz w:val="20"/>
      <w:szCs w:val="20"/>
      <w:lang w:eastAsia="en-GB"/>
    </w:rPr>
  </w:style>
  <w:style w:type="paragraph" w:styleId="ListBullet2">
    <w:name w:val="List Bullet 2"/>
    <w:basedOn w:val="Normal"/>
    <w:rsid w:val="00DB7F92"/>
    <w:pPr>
      <w:widowControl w:val="0"/>
      <w:ind w:left="993" w:hanging="709"/>
      <w:jc w:val="both"/>
    </w:pPr>
    <w:rPr>
      <w:bCs w:val="0"/>
      <w:sz w:val="20"/>
      <w:szCs w:val="20"/>
      <w:lang w:eastAsia="en-GB"/>
    </w:rPr>
  </w:style>
  <w:style w:type="paragraph" w:styleId="ListBullet3">
    <w:name w:val="List Bullet 3"/>
    <w:basedOn w:val="Normal"/>
    <w:rsid w:val="00DB7F92"/>
    <w:pPr>
      <w:widowControl w:val="0"/>
      <w:ind w:left="1276" w:hanging="709"/>
      <w:jc w:val="both"/>
    </w:pPr>
    <w:rPr>
      <w:bCs w:val="0"/>
      <w:sz w:val="20"/>
      <w:szCs w:val="20"/>
      <w:lang w:eastAsia="en-GB"/>
    </w:rPr>
  </w:style>
  <w:style w:type="paragraph" w:styleId="ListBullet4">
    <w:name w:val="List Bullet 4"/>
    <w:basedOn w:val="Normal"/>
    <w:rsid w:val="00DB7F92"/>
    <w:pPr>
      <w:widowControl w:val="0"/>
      <w:ind w:left="1560" w:hanging="709"/>
      <w:jc w:val="both"/>
    </w:pPr>
    <w:rPr>
      <w:bCs w:val="0"/>
      <w:sz w:val="20"/>
      <w:szCs w:val="20"/>
      <w:lang w:eastAsia="en-GB"/>
    </w:rPr>
  </w:style>
  <w:style w:type="paragraph" w:styleId="ListBullet5">
    <w:name w:val="List Bullet 5"/>
    <w:basedOn w:val="Normal"/>
    <w:rsid w:val="00DB7F92"/>
    <w:pPr>
      <w:widowControl w:val="0"/>
      <w:ind w:left="1843" w:hanging="709"/>
      <w:jc w:val="both"/>
    </w:pPr>
    <w:rPr>
      <w:bCs w:val="0"/>
      <w:sz w:val="20"/>
      <w:szCs w:val="20"/>
      <w:lang w:eastAsia="en-GB"/>
    </w:rPr>
  </w:style>
  <w:style w:type="paragraph" w:styleId="ListContinue">
    <w:name w:val="List Continue"/>
    <w:basedOn w:val="Normal"/>
    <w:rsid w:val="00DB7F92"/>
    <w:pPr>
      <w:widowControl w:val="0"/>
      <w:spacing w:after="120"/>
      <w:ind w:left="284"/>
      <w:jc w:val="both"/>
    </w:pPr>
    <w:rPr>
      <w:bCs w:val="0"/>
      <w:sz w:val="20"/>
      <w:szCs w:val="20"/>
      <w:lang w:eastAsia="en-GB"/>
    </w:rPr>
  </w:style>
  <w:style w:type="paragraph" w:styleId="ListContinue2">
    <w:name w:val="List Continue 2"/>
    <w:basedOn w:val="Normal"/>
    <w:rsid w:val="00DB7F92"/>
    <w:pPr>
      <w:widowControl w:val="0"/>
      <w:spacing w:after="120"/>
      <w:ind w:left="566"/>
      <w:jc w:val="both"/>
    </w:pPr>
    <w:rPr>
      <w:bCs w:val="0"/>
      <w:sz w:val="20"/>
      <w:szCs w:val="20"/>
      <w:lang w:eastAsia="en-GB"/>
    </w:rPr>
  </w:style>
  <w:style w:type="paragraph" w:styleId="ListNumber">
    <w:name w:val="List Number"/>
    <w:basedOn w:val="Normal"/>
    <w:rsid w:val="00DB7F92"/>
    <w:pPr>
      <w:widowControl w:val="0"/>
      <w:ind w:left="709" w:hanging="709"/>
      <w:jc w:val="both"/>
    </w:pPr>
    <w:rPr>
      <w:bCs w:val="0"/>
      <w:sz w:val="20"/>
      <w:szCs w:val="20"/>
      <w:lang w:eastAsia="en-GB"/>
    </w:rPr>
  </w:style>
  <w:style w:type="paragraph" w:styleId="ListNumber2">
    <w:name w:val="List Number 2"/>
    <w:basedOn w:val="Normal"/>
    <w:rsid w:val="00DB7F92"/>
    <w:pPr>
      <w:widowControl w:val="0"/>
      <w:ind w:left="993" w:hanging="709"/>
      <w:jc w:val="both"/>
    </w:pPr>
    <w:rPr>
      <w:bCs w:val="0"/>
      <w:sz w:val="20"/>
      <w:szCs w:val="20"/>
      <w:lang w:eastAsia="en-GB"/>
    </w:rPr>
  </w:style>
  <w:style w:type="paragraph" w:styleId="ListNumber3">
    <w:name w:val="List Number 3"/>
    <w:basedOn w:val="Normal"/>
    <w:rsid w:val="00DB7F92"/>
    <w:pPr>
      <w:widowControl w:val="0"/>
      <w:ind w:left="1276" w:hanging="709"/>
      <w:jc w:val="both"/>
    </w:pPr>
    <w:rPr>
      <w:bCs w:val="0"/>
      <w:sz w:val="20"/>
      <w:szCs w:val="20"/>
      <w:lang w:eastAsia="en-GB"/>
    </w:rPr>
  </w:style>
  <w:style w:type="paragraph" w:styleId="ListNumber4">
    <w:name w:val="List Number 4"/>
    <w:basedOn w:val="Normal"/>
    <w:rsid w:val="00DB7F92"/>
    <w:pPr>
      <w:widowControl w:val="0"/>
      <w:ind w:left="1560" w:hanging="709"/>
      <w:jc w:val="both"/>
    </w:pPr>
    <w:rPr>
      <w:bCs w:val="0"/>
      <w:sz w:val="20"/>
      <w:szCs w:val="20"/>
      <w:lang w:eastAsia="en-GB"/>
    </w:rPr>
  </w:style>
  <w:style w:type="paragraph" w:styleId="ListNumber5">
    <w:name w:val="List Number 5"/>
    <w:basedOn w:val="Normal"/>
    <w:rsid w:val="00DB7F92"/>
    <w:pPr>
      <w:widowControl w:val="0"/>
      <w:ind w:left="1843" w:hanging="709"/>
      <w:jc w:val="both"/>
    </w:pPr>
    <w:rPr>
      <w:bCs w:val="0"/>
      <w:sz w:val="20"/>
      <w:szCs w:val="20"/>
      <w:lang w:eastAsia="en-GB"/>
    </w:rPr>
  </w:style>
  <w:style w:type="paragraph" w:customStyle="1" w:styleId="SchTitle">
    <w:name w:val="Sch Title"/>
    <w:next w:val="STBody"/>
    <w:rsid w:val="00DB7F92"/>
    <w:pPr>
      <w:keepNext/>
      <w:widowControl w:val="0"/>
      <w:spacing w:before="200" w:after="60"/>
      <w:jc w:val="center"/>
    </w:pPr>
    <w:rPr>
      <w:rFonts w:eastAsia="Times New Roman"/>
      <w:sz w:val="20"/>
      <w:szCs w:val="20"/>
    </w:rPr>
  </w:style>
  <w:style w:type="paragraph" w:customStyle="1" w:styleId="STBody">
    <w:name w:val="STBody"/>
    <w:basedOn w:val="Normal"/>
    <w:rsid w:val="00DB7F92"/>
    <w:pPr>
      <w:keepNext/>
      <w:widowControl w:val="0"/>
      <w:jc w:val="center"/>
    </w:pPr>
    <w:rPr>
      <w:bCs w:val="0"/>
      <w:sz w:val="20"/>
      <w:szCs w:val="20"/>
      <w:lang w:eastAsia="en-GB"/>
    </w:rPr>
  </w:style>
  <w:style w:type="paragraph" w:customStyle="1" w:styleId="SchedClauses">
    <w:name w:val="Sched Clauses"/>
    <w:basedOn w:val="Normal"/>
    <w:rsid w:val="00DB7F92"/>
    <w:pPr>
      <w:widowControl w:val="0"/>
      <w:spacing w:before="200" w:after="60"/>
      <w:jc w:val="both"/>
    </w:pPr>
    <w:rPr>
      <w:bCs w:val="0"/>
      <w:sz w:val="20"/>
      <w:szCs w:val="20"/>
      <w:lang w:eastAsia="en-GB"/>
    </w:rPr>
  </w:style>
  <w:style w:type="paragraph" w:styleId="BlockText">
    <w:name w:val="Block Text"/>
    <w:basedOn w:val="Normal"/>
    <w:rsid w:val="00DB7F92"/>
    <w:pPr>
      <w:widowControl w:val="0"/>
      <w:spacing w:after="120"/>
      <w:ind w:left="1418" w:right="1418"/>
      <w:jc w:val="both"/>
    </w:pPr>
    <w:rPr>
      <w:bCs w:val="0"/>
      <w:sz w:val="20"/>
      <w:szCs w:val="20"/>
      <w:lang w:eastAsia="en-GB"/>
    </w:rPr>
  </w:style>
  <w:style w:type="table" w:customStyle="1" w:styleId="TableGrid2">
    <w:name w:val="Table Grid2"/>
    <w:basedOn w:val="TableNormal"/>
    <w:next w:val="TableGrid"/>
    <w:rsid w:val="00DB7F9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rsid w:val="00DB7F92"/>
    <w:pPr>
      <w:tabs>
        <w:tab w:val="right" w:leader="dot" w:pos="9071"/>
      </w:tabs>
      <w:ind w:left="85" w:hanging="85"/>
    </w:pPr>
    <w:rPr>
      <w:bCs w:val="0"/>
      <w:sz w:val="20"/>
      <w:szCs w:val="20"/>
      <w:lang w:eastAsia="en-GB"/>
    </w:rPr>
  </w:style>
  <w:style w:type="paragraph" w:styleId="NormalIndent">
    <w:name w:val="Normal Indent"/>
    <w:basedOn w:val="Normal"/>
    <w:rsid w:val="00DB7F92"/>
    <w:pPr>
      <w:ind w:left="720"/>
      <w:jc w:val="both"/>
    </w:pPr>
    <w:rPr>
      <w:bCs w:val="0"/>
      <w:sz w:val="20"/>
      <w:szCs w:val="20"/>
      <w:lang w:eastAsia="en-GB"/>
    </w:rPr>
  </w:style>
  <w:style w:type="paragraph" w:styleId="Index2">
    <w:name w:val="index 2"/>
    <w:basedOn w:val="Normal"/>
    <w:next w:val="Normal"/>
    <w:rsid w:val="00DB7F92"/>
    <w:pPr>
      <w:tabs>
        <w:tab w:val="right" w:leader="dot" w:pos="9071"/>
      </w:tabs>
      <w:ind w:left="170" w:hanging="85"/>
    </w:pPr>
    <w:rPr>
      <w:bCs w:val="0"/>
      <w:sz w:val="20"/>
      <w:szCs w:val="20"/>
      <w:lang w:eastAsia="en-GB"/>
    </w:rPr>
  </w:style>
  <w:style w:type="paragraph" w:styleId="Index3">
    <w:name w:val="index 3"/>
    <w:basedOn w:val="Normal"/>
    <w:next w:val="Normal"/>
    <w:rsid w:val="00DB7F92"/>
    <w:pPr>
      <w:tabs>
        <w:tab w:val="right" w:leader="dot" w:pos="9071"/>
      </w:tabs>
      <w:ind w:left="720" w:hanging="240"/>
    </w:pPr>
    <w:rPr>
      <w:bCs w:val="0"/>
      <w:sz w:val="20"/>
      <w:szCs w:val="20"/>
      <w:lang w:eastAsia="en-GB"/>
    </w:rPr>
  </w:style>
  <w:style w:type="paragraph" w:styleId="Index4">
    <w:name w:val="index 4"/>
    <w:basedOn w:val="Normal"/>
    <w:next w:val="Normal"/>
    <w:rsid w:val="00DB7F92"/>
    <w:pPr>
      <w:tabs>
        <w:tab w:val="right" w:leader="dot" w:pos="9071"/>
      </w:tabs>
      <w:ind w:left="960" w:hanging="240"/>
    </w:pPr>
    <w:rPr>
      <w:bCs w:val="0"/>
      <w:sz w:val="20"/>
      <w:szCs w:val="20"/>
      <w:lang w:eastAsia="en-GB"/>
    </w:rPr>
  </w:style>
  <w:style w:type="paragraph" w:styleId="Index5">
    <w:name w:val="index 5"/>
    <w:basedOn w:val="Normal"/>
    <w:next w:val="Normal"/>
    <w:rsid w:val="00DB7F92"/>
    <w:pPr>
      <w:tabs>
        <w:tab w:val="right" w:leader="dot" w:pos="9071"/>
      </w:tabs>
      <w:ind w:left="1200" w:hanging="240"/>
    </w:pPr>
    <w:rPr>
      <w:bCs w:val="0"/>
      <w:sz w:val="20"/>
      <w:szCs w:val="20"/>
      <w:lang w:eastAsia="en-GB"/>
    </w:rPr>
  </w:style>
  <w:style w:type="paragraph" w:styleId="Index6">
    <w:name w:val="index 6"/>
    <w:basedOn w:val="Normal"/>
    <w:next w:val="Normal"/>
    <w:rsid w:val="00DB7F92"/>
    <w:pPr>
      <w:tabs>
        <w:tab w:val="right" w:leader="dot" w:pos="9071"/>
      </w:tabs>
      <w:ind w:left="1440" w:hanging="240"/>
    </w:pPr>
    <w:rPr>
      <w:bCs w:val="0"/>
      <w:sz w:val="20"/>
      <w:szCs w:val="20"/>
      <w:lang w:eastAsia="en-GB"/>
    </w:rPr>
  </w:style>
  <w:style w:type="paragraph" w:styleId="Index7">
    <w:name w:val="index 7"/>
    <w:basedOn w:val="Normal"/>
    <w:next w:val="Normal"/>
    <w:rsid w:val="00DB7F92"/>
    <w:pPr>
      <w:tabs>
        <w:tab w:val="right" w:leader="dot" w:pos="9071"/>
      </w:tabs>
      <w:ind w:left="1680" w:hanging="240"/>
    </w:pPr>
    <w:rPr>
      <w:bCs w:val="0"/>
      <w:sz w:val="20"/>
      <w:szCs w:val="20"/>
      <w:lang w:eastAsia="en-GB"/>
    </w:rPr>
  </w:style>
  <w:style w:type="paragraph" w:styleId="Index8">
    <w:name w:val="index 8"/>
    <w:basedOn w:val="Normal"/>
    <w:next w:val="Normal"/>
    <w:rsid w:val="00DB7F92"/>
    <w:pPr>
      <w:tabs>
        <w:tab w:val="right" w:leader="dot" w:pos="9071"/>
      </w:tabs>
      <w:ind w:left="1920" w:hanging="240"/>
    </w:pPr>
    <w:rPr>
      <w:bCs w:val="0"/>
      <w:sz w:val="20"/>
      <w:szCs w:val="20"/>
      <w:lang w:eastAsia="en-GB"/>
    </w:rPr>
  </w:style>
  <w:style w:type="paragraph" w:styleId="Index9">
    <w:name w:val="index 9"/>
    <w:basedOn w:val="Normal"/>
    <w:next w:val="Normal"/>
    <w:rsid w:val="00DB7F92"/>
    <w:pPr>
      <w:tabs>
        <w:tab w:val="right" w:leader="dot" w:pos="9071"/>
      </w:tabs>
      <w:ind w:left="2160" w:hanging="240"/>
    </w:pPr>
    <w:rPr>
      <w:bCs w:val="0"/>
      <w:sz w:val="20"/>
      <w:szCs w:val="20"/>
      <w:lang w:eastAsia="en-GB"/>
    </w:rPr>
  </w:style>
  <w:style w:type="paragraph" w:styleId="IndexHeading">
    <w:name w:val="index heading"/>
    <w:basedOn w:val="Normal"/>
    <w:next w:val="Index1"/>
    <w:rsid w:val="00DB7F92"/>
    <w:pPr>
      <w:spacing w:before="120" w:after="120"/>
    </w:pPr>
    <w:rPr>
      <w:b/>
      <w:bCs w:val="0"/>
      <w:i/>
      <w:sz w:val="20"/>
      <w:szCs w:val="20"/>
      <w:lang w:eastAsia="en-GB"/>
    </w:rPr>
  </w:style>
  <w:style w:type="paragraph" w:styleId="Signature">
    <w:name w:val="Signature"/>
    <w:basedOn w:val="Normal"/>
    <w:link w:val="SignatureChar"/>
    <w:rsid w:val="00DB7F92"/>
    <w:pPr>
      <w:ind w:left="4252"/>
      <w:jc w:val="both"/>
    </w:pPr>
    <w:rPr>
      <w:bCs w:val="0"/>
      <w:sz w:val="20"/>
      <w:szCs w:val="20"/>
      <w:lang w:eastAsia="en-GB"/>
    </w:rPr>
  </w:style>
  <w:style w:type="character" w:customStyle="1" w:styleId="SignatureChar">
    <w:name w:val="Signature Char"/>
    <w:basedOn w:val="DefaultParagraphFont"/>
    <w:link w:val="Signature"/>
    <w:rsid w:val="00DB7F92"/>
    <w:rPr>
      <w:rFonts w:eastAsia="Times New Roman"/>
      <w:sz w:val="20"/>
      <w:szCs w:val="20"/>
    </w:rPr>
  </w:style>
  <w:style w:type="paragraph" w:customStyle="1" w:styleId="DefinitionLeft">
    <w:name w:val="Definition Left"/>
    <w:basedOn w:val="Normal"/>
    <w:rsid w:val="00DB7F92"/>
    <w:pPr>
      <w:spacing w:before="200"/>
      <w:jc w:val="both"/>
    </w:pPr>
    <w:rPr>
      <w:b/>
      <w:bCs w:val="0"/>
      <w:sz w:val="20"/>
      <w:szCs w:val="20"/>
      <w:lang w:eastAsia="en-GB"/>
    </w:rPr>
  </w:style>
  <w:style w:type="paragraph" w:customStyle="1" w:styleId="DefinitionRight">
    <w:name w:val="Definition Right"/>
    <w:basedOn w:val="Normal"/>
    <w:rsid w:val="00DB7F92"/>
    <w:pPr>
      <w:spacing w:before="200"/>
      <w:jc w:val="both"/>
    </w:pPr>
    <w:rPr>
      <w:bCs w:val="0"/>
      <w:sz w:val="20"/>
      <w:szCs w:val="20"/>
      <w:lang w:eastAsia="en-GB"/>
    </w:rPr>
  </w:style>
  <w:style w:type="paragraph" w:styleId="BodyText2">
    <w:name w:val="Body Text 2"/>
    <w:basedOn w:val="Normal"/>
    <w:link w:val="BodyText2Char"/>
    <w:rsid w:val="00DB7F92"/>
    <w:pPr>
      <w:spacing w:before="200" w:after="60" w:line="480" w:lineRule="auto"/>
      <w:jc w:val="both"/>
    </w:pPr>
    <w:rPr>
      <w:bCs w:val="0"/>
      <w:sz w:val="20"/>
      <w:szCs w:val="20"/>
      <w:lang w:eastAsia="en-GB"/>
    </w:rPr>
  </w:style>
  <w:style w:type="character" w:customStyle="1" w:styleId="BodyText2Char">
    <w:name w:val="Body Text 2 Char"/>
    <w:basedOn w:val="DefaultParagraphFont"/>
    <w:link w:val="BodyText2"/>
    <w:rsid w:val="00DB7F92"/>
    <w:rPr>
      <w:rFonts w:eastAsia="Times New Roman"/>
      <w:sz w:val="20"/>
      <w:szCs w:val="20"/>
    </w:rPr>
  </w:style>
  <w:style w:type="paragraph" w:styleId="BodyText3">
    <w:name w:val="Body Text 3"/>
    <w:basedOn w:val="Normal"/>
    <w:link w:val="BodyText3Char"/>
    <w:rsid w:val="00DB7F92"/>
    <w:pPr>
      <w:spacing w:before="200" w:after="60"/>
      <w:jc w:val="both"/>
    </w:pPr>
    <w:rPr>
      <w:bCs w:val="0"/>
      <w:sz w:val="16"/>
      <w:szCs w:val="16"/>
      <w:lang w:eastAsia="en-GB"/>
    </w:rPr>
  </w:style>
  <w:style w:type="character" w:customStyle="1" w:styleId="BodyText3Char">
    <w:name w:val="Body Text 3 Char"/>
    <w:basedOn w:val="DefaultParagraphFont"/>
    <w:link w:val="BodyText3"/>
    <w:rsid w:val="00DB7F92"/>
    <w:rPr>
      <w:rFonts w:eastAsia="Times New Roman"/>
      <w:sz w:val="16"/>
      <w:szCs w:val="16"/>
    </w:rPr>
  </w:style>
  <w:style w:type="paragraph" w:styleId="BodyTextFirstIndent">
    <w:name w:val="Body Text First Indent"/>
    <w:basedOn w:val="BodyText"/>
    <w:link w:val="BodyTextFirstIndentChar"/>
    <w:rsid w:val="00DB7F92"/>
    <w:pPr>
      <w:widowControl/>
      <w:spacing w:before="200" w:after="60"/>
      <w:ind w:firstLine="210"/>
    </w:pPr>
  </w:style>
  <w:style w:type="character" w:customStyle="1" w:styleId="BodyTextFirstIndentChar">
    <w:name w:val="Body Text First Indent Char"/>
    <w:basedOn w:val="BodyTextChar"/>
    <w:link w:val="BodyTextFirstIndent"/>
    <w:rsid w:val="00DB7F92"/>
    <w:rPr>
      <w:rFonts w:eastAsia="Times New Roman"/>
      <w:bCs w:val="0"/>
      <w:sz w:val="20"/>
      <w:szCs w:val="20"/>
      <w:lang w:eastAsia="en-US"/>
    </w:rPr>
  </w:style>
  <w:style w:type="character" w:customStyle="1" w:styleId="BodyTextChar1">
    <w:name w:val="Body Text Char1"/>
    <w:basedOn w:val="DefaultParagraphFont"/>
    <w:link w:val="BodyText"/>
    <w:uiPriority w:val="1"/>
    <w:rsid w:val="00DB7F92"/>
    <w:rPr>
      <w:rFonts w:eastAsia="Times New Roman"/>
      <w:sz w:val="20"/>
      <w:szCs w:val="20"/>
    </w:rPr>
  </w:style>
  <w:style w:type="paragraph" w:styleId="BodyTextFirstIndent2">
    <w:name w:val="Body Text First Indent 2"/>
    <w:basedOn w:val="BodyTextIndent"/>
    <w:link w:val="BodyTextFirstIndent2Char"/>
    <w:rsid w:val="00DB7F92"/>
    <w:pPr>
      <w:widowControl/>
      <w:spacing w:before="200" w:after="60"/>
      <w:ind w:left="284" w:firstLine="210"/>
    </w:pPr>
  </w:style>
  <w:style w:type="character" w:customStyle="1" w:styleId="BodyTextFirstIndent2Char">
    <w:name w:val="Body Text First Indent 2 Char"/>
    <w:basedOn w:val="BodyTextIndentChar"/>
    <w:link w:val="BodyTextFirstIndent2"/>
    <w:rsid w:val="00DB7F92"/>
    <w:rPr>
      <w:rFonts w:eastAsia="Times New Roman"/>
      <w:bCs w:val="0"/>
      <w:sz w:val="20"/>
      <w:szCs w:val="20"/>
      <w:lang w:eastAsia="en-US"/>
    </w:rPr>
  </w:style>
  <w:style w:type="character" w:customStyle="1" w:styleId="BodyTextIndentChar1">
    <w:name w:val="Body Text Indent Char1"/>
    <w:basedOn w:val="DefaultParagraphFont"/>
    <w:link w:val="BodyTextIndent"/>
    <w:rsid w:val="00DB7F92"/>
    <w:rPr>
      <w:rFonts w:eastAsia="Times New Roman"/>
      <w:sz w:val="20"/>
      <w:szCs w:val="20"/>
    </w:rPr>
  </w:style>
  <w:style w:type="paragraph" w:styleId="BodyTextIndent2">
    <w:name w:val="Body Text Indent 2"/>
    <w:basedOn w:val="Normal"/>
    <w:link w:val="BodyTextIndent2Char"/>
    <w:rsid w:val="00DB7F92"/>
    <w:pPr>
      <w:spacing w:before="200" w:after="60" w:line="480" w:lineRule="auto"/>
      <w:ind w:left="284"/>
      <w:jc w:val="both"/>
    </w:pPr>
    <w:rPr>
      <w:bCs w:val="0"/>
      <w:sz w:val="20"/>
      <w:szCs w:val="20"/>
      <w:lang w:eastAsia="en-GB"/>
    </w:rPr>
  </w:style>
  <w:style w:type="character" w:customStyle="1" w:styleId="BodyTextIndent2Char">
    <w:name w:val="Body Text Indent 2 Char"/>
    <w:basedOn w:val="DefaultParagraphFont"/>
    <w:link w:val="BodyTextIndent2"/>
    <w:rsid w:val="00DB7F92"/>
    <w:rPr>
      <w:rFonts w:eastAsia="Times New Roman"/>
      <w:sz w:val="20"/>
      <w:szCs w:val="20"/>
    </w:rPr>
  </w:style>
  <w:style w:type="paragraph" w:styleId="BodyTextIndent3">
    <w:name w:val="Body Text Indent 3"/>
    <w:basedOn w:val="Normal"/>
    <w:link w:val="BodyTextIndent3Char"/>
    <w:rsid w:val="00DB7F92"/>
    <w:pPr>
      <w:spacing w:before="200" w:after="60"/>
      <w:ind w:left="284"/>
      <w:jc w:val="both"/>
    </w:pPr>
    <w:rPr>
      <w:bCs w:val="0"/>
      <w:sz w:val="16"/>
      <w:szCs w:val="16"/>
      <w:lang w:eastAsia="en-GB"/>
    </w:rPr>
  </w:style>
  <w:style w:type="character" w:customStyle="1" w:styleId="BodyTextIndent3Char">
    <w:name w:val="Body Text Indent 3 Char"/>
    <w:basedOn w:val="DefaultParagraphFont"/>
    <w:link w:val="BodyTextIndent3"/>
    <w:rsid w:val="00DB7F92"/>
    <w:rPr>
      <w:rFonts w:eastAsia="Times New Roman"/>
      <w:sz w:val="16"/>
      <w:szCs w:val="16"/>
    </w:rPr>
  </w:style>
  <w:style w:type="paragraph" w:customStyle="1" w:styleId="DHSecondaryHeadingOne">
    <w:name w:val="DH Secondary Heading One"/>
    <w:basedOn w:val="Normal"/>
    <w:rsid w:val="00DB7F92"/>
    <w:pPr>
      <w:numPr>
        <w:numId w:val="52"/>
      </w:numPr>
      <w:spacing w:line="360" w:lineRule="exact"/>
      <w:ind w:left="0" w:firstLine="0"/>
      <w:jc w:val="both"/>
    </w:pPr>
    <w:rPr>
      <w:rFonts w:cs="Arial"/>
      <w:bCs w:val="0"/>
      <w:color w:val="009966"/>
      <w:sz w:val="28"/>
      <w:szCs w:val="20"/>
    </w:rPr>
  </w:style>
  <w:style w:type="character" w:customStyle="1" w:styleId="DHTitleChar">
    <w:name w:val="DH Title Char"/>
    <w:link w:val="DHTitle"/>
    <w:locked/>
    <w:rsid w:val="00DB7F92"/>
    <w:rPr>
      <w:rFonts w:cs="Arial"/>
      <w:b/>
      <w:color w:val="009966"/>
      <w:sz w:val="60"/>
      <w:lang w:eastAsia="en-US"/>
    </w:rPr>
  </w:style>
  <w:style w:type="paragraph" w:customStyle="1" w:styleId="DHTitle">
    <w:name w:val="DH Title"/>
    <w:basedOn w:val="Normal"/>
    <w:link w:val="DHTitleChar"/>
    <w:rsid w:val="00DB7F92"/>
    <w:pPr>
      <w:spacing w:line="660" w:lineRule="exact"/>
      <w:jc w:val="both"/>
    </w:pPr>
    <w:rPr>
      <w:rFonts w:eastAsia="HGSMinchoE" w:cs="Arial"/>
      <w:b/>
      <w:bCs w:val="0"/>
      <w:color w:val="009966"/>
      <w:sz w:val="60"/>
      <w:szCs w:val="24"/>
    </w:rPr>
  </w:style>
  <w:style w:type="paragraph" w:customStyle="1" w:styleId="DHBulletlist">
    <w:name w:val="DH Bullet list"/>
    <w:basedOn w:val="Normal"/>
    <w:rsid w:val="00DB7F92"/>
    <w:pPr>
      <w:tabs>
        <w:tab w:val="num" w:pos="360"/>
      </w:tabs>
      <w:spacing w:line="320" w:lineRule="exact"/>
      <w:jc w:val="both"/>
    </w:pPr>
    <w:rPr>
      <w:bCs w:val="0"/>
      <w:sz w:val="20"/>
      <w:szCs w:val="20"/>
    </w:rPr>
  </w:style>
  <w:style w:type="paragraph" w:customStyle="1" w:styleId="DHSubtitle">
    <w:name w:val="DH Subtitle"/>
    <w:basedOn w:val="Normal"/>
    <w:rsid w:val="00DB7F92"/>
    <w:pPr>
      <w:spacing w:line="500" w:lineRule="exact"/>
      <w:jc w:val="both"/>
    </w:pPr>
    <w:rPr>
      <w:rFonts w:ascii="Times New Roman" w:hAnsi="Times New Roman"/>
      <w:bCs w:val="0"/>
      <w:i/>
      <w:sz w:val="46"/>
      <w:szCs w:val="20"/>
    </w:rPr>
  </w:style>
  <w:style w:type="paragraph" w:customStyle="1" w:styleId="DHChapterHead">
    <w:name w:val="DH Chapter Head"/>
    <w:basedOn w:val="DHTitle"/>
    <w:uiPriority w:val="99"/>
    <w:rsid w:val="00DB7F92"/>
    <w:rPr>
      <w:b w:val="0"/>
    </w:rPr>
  </w:style>
  <w:style w:type="paragraph" w:customStyle="1" w:styleId="NHSCBContents">
    <w:name w:val="NHS CB Contents"/>
    <w:basedOn w:val="Normal"/>
    <w:qFormat/>
    <w:rsid w:val="00DB7F92"/>
    <w:pPr>
      <w:spacing w:after="240" w:line="360" w:lineRule="auto"/>
      <w:jc w:val="both"/>
    </w:pPr>
    <w:rPr>
      <w:b/>
      <w:bCs w:val="0"/>
      <w:sz w:val="28"/>
      <w:szCs w:val="28"/>
      <w:lang w:eastAsia="en-GB"/>
    </w:rPr>
  </w:style>
  <w:style w:type="paragraph" w:customStyle="1" w:styleId="NHSCBTableSideHeader">
    <w:name w:val="NHS CB Table Side Header"/>
    <w:basedOn w:val="Normal"/>
    <w:rsid w:val="00DB7F92"/>
    <w:pPr>
      <w:spacing w:before="120" w:line="360" w:lineRule="auto"/>
      <w:jc w:val="both"/>
    </w:pPr>
    <w:rPr>
      <w:bCs w:val="0"/>
      <w:sz w:val="20"/>
      <w:szCs w:val="20"/>
      <w:lang w:val="x-none"/>
    </w:rPr>
  </w:style>
  <w:style w:type="paragraph" w:customStyle="1" w:styleId="NHSCBTableText">
    <w:name w:val="NHS CB Table Text"/>
    <w:basedOn w:val="Normal"/>
    <w:rsid w:val="00DB7F92"/>
    <w:pPr>
      <w:spacing w:before="120" w:line="360" w:lineRule="auto"/>
      <w:jc w:val="both"/>
    </w:pPr>
    <w:rPr>
      <w:bCs w:val="0"/>
      <w:sz w:val="20"/>
      <w:szCs w:val="20"/>
      <w:lang w:val="x-none"/>
    </w:rPr>
  </w:style>
  <w:style w:type="paragraph" w:customStyle="1" w:styleId="NHSCBTableHeaderBlankLine">
    <w:name w:val="NHS CB Table Header Blank Line"/>
    <w:basedOn w:val="Normal"/>
    <w:rsid w:val="00DB7F92"/>
    <w:pPr>
      <w:spacing w:before="120" w:line="360" w:lineRule="auto"/>
      <w:jc w:val="both"/>
    </w:pPr>
    <w:rPr>
      <w:bCs w:val="0"/>
      <w:sz w:val="2"/>
      <w:szCs w:val="2"/>
    </w:rPr>
  </w:style>
  <w:style w:type="paragraph" w:customStyle="1" w:styleId="NHSCBLevel5">
    <w:name w:val="NHS CB Level 5"/>
    <w:basedOn w:val="Normal"/>
    <w:rsid w:val="00DB7F92"/>
    <w:pPr>
      <w:numPr>
        <w:ilvl w:val="4"/>
        <w:numId w:val="53"/>
      </w:numPr>
      <w:tabs>
        <w:tab w:val="clear" w:pos="5387"/>
        <w:tab w:val="num" w:pos="1440"/>
      </w:tabs>
      <w:spacing w:after="120" w:line="360" w:lineRule="auto"/>
      <w:ind w:left="1440" w:hanging="1440"/>
      <w:jc w:val="both"/>
    </w:pPr>
    <w:rPr>
      <w:bCs w:val="0"/>
      <w:sz w:val="20"/>
      <w:szCs w:val="24"/>
    </w:rPr>
  </w:style>
  <w:style w:type="paragraph" w:customStyle="1" w:styleId="NHSCBLevel1">
    <w:name w:val="NHS CB Level 1"/>
    <w:basedOn w:val="Normal"/>
    <w:next w:val="NHSCBLevel2"/>
    <w:qFormat/>
    <w:rsid w:val="00DB7F92"/>
    <w:pPr>
      <w:numPr>
        <w:numId w:val="53"/>
      </w:numPr>
      <w:tabs>
        <w:tab w:val="clear" w:pos="680"/>
        <w:tab w:val="left" w:pos="1440"/>
      </w:tabs>
      <w:spacing w:after="240" w:line="360" w:lineRule="auto"/>
      <w:ind w:left="1440" w:hanging="1440"/>
      <w:jc w:val="both"/>
    </w:pPr>
    <w:rPr>
      <w:b/>
      <w:bCs w:val="0"/>
      <w:sz w:val="28"/>
      <w:szCs w:val="28"/>
    </w:rPr>
  </w:style>
  <w:style w:type="paragraph" w:customStyle="1" w:styleId="NHSCBLevel2-incontents">
    <w:name w:val="NHS CB Level 2 - in contents"/>
    <w:basedOn w:val="Normal"/>
    <w:next w:val="NHSCBLevel3"/>
    <w:qFormat/>
    <w:rsid w:val="00DB7F92"/>
    <w:pPr>
      <w:numPr>
        <w:ilvl w:val="1"/>
        <w:numId w:val="53"/>
      </w:numPr>
      <w:tabs>
        <w:tab w:val="clear" w:pos="1418"/>
        <w:tab w:val="num" w:pos="1440"/>
      </w:tabs>
      <w:spacing w:after="120" w:line="360" w:lineRule="auto"/>
      <w:ind w:left="1440" w:hanging="1440"/>
      <w:jc w:val="both"/>
    </w:pPr>
    <w:rPr>
      <w:b/>
      <w:bCs w:val="0"/>
      <w:sz w:val="20"/>
      <w:szCs w:val="24"/>
    </w:rPr>
  </w:style>
  <w:style w:type="paragraph" w:customStyle="1" w:styleId="NHSCBLevel3">
    <w:name w:val="NHS CB Level 3"/>
    <w:basedOn w:val="Normal"/>
    <w:rsid w:val="00DB7F92"/>
    <w:pPr>
      <w:numPr>
        <w:ilvl w:val="2"/>
        <w:numId w:val="53"/>
      </w:numPr>
      <w:tabs>
        <w:tab w:val="clear" w:pos="2957"/>
        <w:tab w:val="num" w:pos="1440"/>
      </w:tabs>
      <w:spacing w:after="120" w:line="360" w:lineRule="auto"/>
      <w:ind w:left="1440" w:hanging="1440"/>
      <w:jc w:val="both"/>
    </w:pPr>
    <w:rPr>
      <w:bCs w:val="0"/>
      <w:sz w:val="20"/>
      <w:szCs w:val="24"/>
    </w:rPr>
  </w:style>
  <w:style w:type="paragraph" w:customStyle="1" w:styleId="NHSCBLevel4">
    <w:name w:val="NHS CB Level 4"/>
    <w:basedOn w:val="Normal"/>
    <w:rsid w:val="00DB7F92"/>
    <w:pPr>
      <w:numPr>
        <w:ilvl w:val="3"/>
        <w:numId w:val="53"/>
      </w:numPr>
      <w:tabs>
        <w:tab w:val="clear" w:pos="1664"/>
        <w:tab w:val="num" w:pos="1440"/>
      </w:tabs>
      <w:spacing w:after="120" w:line="360" w:lineRule="auto"/>
      <w:ind w:left="1440" w:hanging="1440"/>
      <w:jc w:val="both"/>
    </w:pPr>
    <w:rPr>
      <w:bCs w:val="0"/>
      <w:sz w:val="20"/>
      <w:szCs w:val="24"/>
    </w:rPr>
  </w:style>
  <w:style w:type="paragraph" w:customStyle="1" w:styleId="NHSCBLevel2">
    <w:name w:val="NHS CB Level 2"/>
    <w:basedOn w:val="NHSCBLevel2-incontents"/>
    <w:qFormat/>
    <w:rsid w:val="00DB7F92"/>
    <w:pPr>
      <w:tabs>
        <w:tab w:val="clear" w:pos="1440"/>
      </w:tabs>
    </w:pPr>
    <w:rPr>
      <w:rFonts w:cs="Arial"/>
      <w:b w:val="0"/>
    </w:rPr>
  </w:style>
  <w:style w:type="paragraph" w:customStyle="1" w:styleId="Heading11">
    <w:name w:val="Heading 11"/>
    <w:basedOn w:val="Heading1"/>
    <w:rsid w:val="00DB7F92"/>
    <w:pPr>
      <w:keepNext/>
      <w:keepLines/>
      <w:numPr>
        <w:numId w:val="54"/>
      </w:numPr>
      <w:tabs>
        <w:tab w:val="left" w:pos="720"/>
      </w:tabs>
      <w:spacing w:before="200" w:after="240" w:line="276" w:lineRule="auto"/>
      <w:ind w:left="1080"/>
      <w:jc w:val="both"/>
    </w:pPr>
    <w:rPr>
      <w:rFonts w:eastAsia="MS Gothic" w:cs="Times New Roman"/>
      <w:caps/>
      <w:color w:val="auto"/>
      <w:kern w:val="0"/>
      <w:sz w:val="24"/>
      <w:szCs w:val="20"/>
      <w:lang w:eastAsia="en-GB"/>
    </w:rPr>
  </w:style>
  <w:style w:type="paragraph" w:customStyle="1" w:styleId="subtitle">
    <w:name w:val="sub title"/>
    <w:basedOn w:val="Heading1"/>
    <w:qFormat/>
    <w:rsid w:val="00DB7F92"/>
    <w:pPr>
      <w:keepNext/>
      <w:keepLines/>
      <w:numPr>
        <w:ilvl w:val="1"/>
        <w:numId w:val="54"/>
      </w:numPr>
      <w:tabs>
        <w:tab w:val="left" w:pos="720"/>
      </w:tabs>
      <w:spacing w:before="240" w:after="240" w:line="276" w:lineRule="auto"/>
      <w:ind w:left="1800"/>
      <w:jc w:val="both"/>
    </w:pPr>
    <w:rPr>
      <w:rFonts w:eastAsia="MS Gothic" w:cs="Times New Roman"/>
      <w:caps/>
      <w:color w:val="auto"/>
      <w:kern w:val="0"/>
      <w:sz w:val="24"/>
      <w:szCs w:val="20"/>
      <w:lang w:eastAsia="en-GB"/>
    </w:rPr>
  </w:style>
  <w:style w:type="paragraph" w:customStyle="1" w:styleId="NHSCBTableHeader">
    <w:name w:val="NHS CB Table Header"/>
    <w:basedOn w:val="Normal"/>
    <w:rsid w:val="00DB7F92"/>
    <w:pPr>
      <w:spacing w:before="120" w:line="360" w:lineRule="auto"/>
      <w:jc w:val="center"/>
    </w:pPr>
    <w:rPr>
      <w:rFonts w:cs="Arial"/>
      <w:bCs w:val="0"/>
      <w:sz w:val="20"/>
      <w:szCs w:val="20"/>
      <w:lang w:eastAsia="en-GB"/>
    </w:rPr>
  </w:style>
  <w:style w:type="paragraph" w:customStyle="1" w:styleId="NHSCBAppendixHeader">
    <w:name w:val="NHS CB Appendix Header"/>
    <w:rsid w:val="00DB7F92"/>
    <w:pPr>
      <w:numPr>
        <w:numId w:val="55"/>
      </w:numPr>
      <w:spacing w:after="240" w:line="360" w:lineRule="auto"/>
      <w:ind w:left="2160" w:hanging="2160"/>
    </w:pPr>
    <w:rPr>
      <w:rFonts w:ascii="Arial Bold" w:eastAsia="Times New Roman" w:hAnsi="Arial Bold"/>
      <w:b/>
      <w:sz w:val="28"/>
      <w:szCs w:val="32"/>
      <w:lang w:eastAsia="en-US"/>
    </w:rPr>
  </w:style>
  <w:style w:type="character" w:customStyle="1" w:styleId="DHBodycopyChar">
    <w:name w:val="DH Body copy Char"/>
    <w:link w:val="DHBodycopy"/>
    <w:uiPriority w:val="99"/>
    <w:locked/>
    <w:rsid w:val="00DB7F92"/>
    <w:rPr>
      <w:rFonts w:eastAsia="Times New Roman"/>
      <w:bCs/>
      <w:szCs w:val="20"/>
      <w:lang w:eastAsia="en-US"/>
    </w:rPr>
  </w:style>
  <w:style w:type="table" w:customStyle="1" w:styleId="TableGrid111">
    <w:name w:val="Table Grid111"/>
    <w:basedOn w:val="TableNormal"/>
    <w:next w:val="TableGrid"/>
    <w:uiPriority w:val="59"/>
    <w:rsid w:val="00DB7F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DB7F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DB7F9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DB7F9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DB7F92"/>
  </w:style>
  <w:style w:type="table" w:customStyle="1" w:styleId="TableGrid5">
    <w:name w:val="Table Grid5"/>
    <w:basedOn w:val="TableNormal"/>
    <w:next w:val="TableGrid"/>
    <w:rsid w:val="00DB7F92"/>
    <w:rPr>
      <w:rFonts w:ascii="Times New Roman" w:eastAsia="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DB7F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DB7F9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mailSignature">
    <w:name w:val="E-mail Signature"/>
    <w:basedOn w:val="Normal"/>
    <w:link w:val="E-mailSignatureChar"/>
    <w:uiPriority w:val="99"/>
    <w:rsid w:val="00DB7F92"/>
    <w:rPr>
      <w:rFonts w:ascii="Times New Roman" w:hAnsi="Times New Roman"/>
      <w:bCs w:val="0"/>
      <w:szCs w:val="24"/>
      <w:lang w:eastAsia="en-GB"/>
    </w:rPr>
  </w:style>
  <w:style w:type="character" w:customStyle="1" w:styleId="E-mailSignatureChar">
    <w:name w:val="E-mail Signature Char"/>
    <w:basedOn w:val="DefaultParagraphFont"/>
    <w:link w:val="E-mailSignature"/>
    <w:uiPriority w:val="99"/>
    <w:rsid w:val="00DB7F92"/>
    <w:rPr>
      <w:rFonts w:ascii="Times New Roman" w:eastAsia="Times New Roman" w:hAnsi="Times New Roman"/>
    </w:rPr>
  </w:style>
  <w:style w:type="paragraph" w:customStyle="1" w:styleId="TableParagraph">
    <w:name w:val="Table Paragraph"/>
    <w:basedOn w:val="Normal"/>
    <w:uiPriority w:val="1"/>
    <w:qFormat/>
    <w:rsid w:val="00DB7F92"/>
    <w:pPr>
      <w:widowControl w:val="0"/>
    </w:pPr>
    <w:rPr>
      <w:rFonts w:asciiTheme="minorHAnsi" w:eastAsiaTheme="minorHAnsi" w:hAnsiTheme="minorHAnsi" w:cstheme="minorBidi"/>
      <w:bCs w:val="0"/>
      <w:sz w:val="22"/>
      <w:szCs w:val="22"/>
      <w:lang w:val="en-US"/>
    </w:rPr>
  </w:style>
  <w:style w:type="character" w:styleId="Strong">
    <w:name w:val="Strong"/>
    <w:basedOn w:val="DefaultParagraphFont"/>
    <w:uiPriority w:val="22"/>
    <w:qFormat/>
    <w:rsid w:val="00161D27"/>
    <w:rPr>
      <w:b/>
      <w:bCs/>
    </w:rPr>
  </w:style>
  <w:style w:type="character" w:styleId="BookTitle">
    <w:name w:val="Book Title"/>
    <w:basedOn w:val="DefaultParagraphFont"/>
    <w:uiPriority w:val="33"/>
    <w:qFormat/>
    <w:rsid w:val="00E962CD"/>
    <w:rPr>
      <w:b/>
      <w:bCs/>
      <w:smallCaps/>
      <w:spacing w:val="5"/>
    </w:rPr>
  </w:style>
  <w:style w:type="paragraph" w:customStyle="1" w:styleId="E477CFE5C6AE40B6BED58EC133349D5A">
    <w:name w:val="E477CFE5C6AE40B6BED58EC133349D5A"/>
    <w:rsid w:val="00E962CD"/>
    <w:pPr>
      <w:spacing w:after="200" w:line="276" w:lineRule="auto"/>
    </w:pPr>
    <w:rPr>
      <w:rFonts w:asciiTheme="minorHAnsi" w:eastAsiaTheme="minorEastAsia" w:hAnsiTheme="minorHAnsi" w:cstheme="minorBidi"/>
      <w:sz w:val="22"/>
      <w:szCs w:val="22"/>
      <w:lang w:val="en-US" w:eastAsia="ja-JP"/>
    </w:rPr>
  </w:style>
  <w:style w:type="paragraph" w:customStyle="1" w:styleId="legp1paratext">
    <w:name w:val="legp1paratext"/>
    <w:basedOn w:val="Normal"/>
    <w:rsid w:val="00B5759F"/>
    <w:pPr>
      <w:spacing w:before="100" w:beforeAutospacing="1" w:after="100" w:afterAutospacing="1"/>
    </w:pPr>
    <w:rPr>
      <w:rFonts w:ascii="Times New Roman" w:hAnsi="Times New Roman"/>
      <w:bCs w:val="0"/>
      <w:szCs w:val="24"/>
      <w:lang w:eastAsia="en-GB"/>
    </w:rPr>
  </w:style>
  <w:style w:type="paragraph" w:customStyle="1" w:styleId="legclearfix">
    <w:name w:val="legclearfix"/>
    <w:basedOn w:val="Normal"/>
    <w:rsid w:val="00B5759F"/>
    <w:pPr>
      <w:spacing w:before="100" w:beforeAutospacing="1" w:after="100" w:afterAutospacing="1"/>
    </w:pPr>
    <w:rPr>
      <w:rFonts w:ascii="Times New Roman" w:hAnsi="Times New Roman"/>
      <w:bCs w:val="0"/>
      <w:szCs w:val="24"/>
      <w:lang w:eastAsia="en-GB"/>
    </w:rPr>
  </w:style>
  <w:style w:type="character" w:customStyle="1" w:styleId="legds">
    <w:name w:val="legds"/>
    <w:basedOn w:val="DefaultParagraphFont"/>
    <w:rsid w:val="00B5759F"/>
  </w:style>
  <w:style w:type="character" w:customStyle="1" w:styleId="apple-converted-space">
    <w:name w:val="apple-converted-space"/>
    <w:basedOn w:val="DefaultParagraphFont"/>
    <w:rsid w:val="00B575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031842">
      <w:bodyDiv w:val="1"/>
      <w:marLeft w:val="0"/>
      <w:marRight w:val="0"/>
      <w:marTop w:val="0"/>
      <w:marBottom w:val="0"/>
      <w:divBdr>
        <w:top w:val="none" w:sz="0" w:space="0" w:color="auto"/>
        <w:left w:val="none" w:sz="0" w:space="0" w:color="auto"/>
        <w:bottom w:val="none" w:sz="0" w:space="0" w:color="auto"/>
        <w:right w:val="none" w:sz="0" w:space="0" w:color="auto"/>
      </w:divBdr>
    </w:div>
    <w:div w:id="245261165">
      <w:bodyDiv w:val="1"/>
      <w:marLeft w:val="0"/>
      <w:marRight w:val="0"/>
      <w:marTop w:val="0"/>
      <w:marBottom w:val="0"/>
      <w:divBdr>
        <w:top w:val="none" w:sz="0" w:space="0" w:color="auto"/>
        <w:left w:val="none" w:sz="0" w:space="0" w:color="auto"/>
        <w:bottom w:val="none" w:sz="0" w:space="0" w:color="auto"/>
        <w:right w:val="none" w:sz="0" w:space="0" w:color="auto"/>
      </w:divBdr>
    </w:div>
    <w:div w:id="713388221">
      <w:bodyDiv w:val="1"/>
      <w:marLeft w:val="0"/>
      <w:marRight w:val="0"/>
      <w:marTop w:val="0"/>
      <w:marBottom w:val="0"/>
      <w:divBdr>
        <w:top w:val="none" w:sz="0" w:space="0" w:color="auto"/>
        <w:left w:val="none" w:sz="0" w:space="0" w:color="auto"/>
        <w:bottom w:val="none" w:sz="0" w:space="0" w:color="auto"/>
        <w:right w:val="none" w:sz="0" w:space="0" w:color="auto"/>
      </w:divBdr>
    </w:div>
    <w:div w:id="816801870">
      <w:bodyDiv w:val="1"/>
      <w:marLeft w:val="0"/>
      <w:marRight w:val="0"/>
      <w:marTop w:val="0"/>
      <w:marBottom w:val="0"/>
      <w:divBdr>
        <w:top w:val="none" w:sz="0" w:space="0" w:color="auto"/>
        <w:left w:val="none" w:sz="0" w:space="0" w:color="auto"/>
        <w:bottom w:val="none" w:sz="0" w:space="0" w:color="auto"/>
        <w:right w:val="none" w:sz="0" w:space="0" w:color="auto"/>
      </w:divBdr>
    </w:div>
    <w:div w:id="1034037203">
      <w:bodyDiv w:val="1"/>
      <w:marLeft w:val="0"/>
      <w:marRight w:val="0"/>
      <w:marTop w:val="0"/>
      <w:marBottom w:val="0"/>
      <w:divBdr>
        <w:top w:val="none" w:sz="0" w:space="0" w:color="auto"/>
        <w:left w:val="none" w:sz="0" w:space="0" w:color="auto"/>
        <w:bottom w:val="none" w:sz="0" w:space="0" w:color="auto"/>
        <w:right w:val="none" w:sz="0" w:space="0" w:color="auto"/>
      </w:divBdr>
    </w:div>
    <w:div w:id="1565944897">
      <w:bodyDiv w:val="1"/>
      <w:marLeft w:val="0"/>
      <w:marRight w:val="0"/>
      <w:marTop w:val="0"/>
      <w:marBottom w:val="0"/>
      <w:divBdr>
        <w:top w:val="none" w:sz="0" w:space="0" w:color="auto"/>
        <w:left w:val="none" w:sz="0" w:space="0" w:color="auto"/>
        <w:bottom w:val="none" w:sz="0" w:space="0" w:color="auto"/>
        <w:right w:val="none" w:sz="0" w:space="0" w:color="auto"/>
      </w:divBdr>
    </w:div>
    <w:div w:id="1847599217">
      <w:bodyDiv w:val="1"/>
      <w:marLeft w:val="0"/>
      <w:marRight w:val="0"/>
      <w:marTop w:val="0"/>
      <w:marBottom w:val="0"/>
      <w:divBdr>
        <w:top w:val="none" w:sz="0" w:space="0" w:color="auto"/>
        <w:left w:val="none" w:sz="0" w:space="0" w:color="auto"/>
        <w:bottom w:val="none" w:sz="0" w:space="0" w:color="auto"/>
        <w:right w:val="none" w:sz="0" w:space="0" w:color="auto"/>
      </w:divBdr>
    </w:div>
    <w:div w:id="2002468334">
      <w:bodyDiv w:val="1"/>
      <w:marLeft w:val="0"/>
      <w:marRight w:val="0"/>
      <w:marTop w:val="0"/>
      <w:marBottom w:val="0"/>
      <w:divBdr>
        <w:top w:val="none" w:sz="0" w:space="0" w:color="auto"/>
        <w:left w:val="none" w:sz="0" w:space="0" w:color="auto"/>
        <w:bottom w:val="none" w:sz="0" w:space="0" w:color="auto"/>
        <w:right w:val="none" w:sz="0" w:space="0" w:color="auto"/>
      </w:divBdr>
    </w:div>
    <w:div w:id="206093364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equalityhumanrights.com/en/advice-and-guidance/public-sector-equality-duty" TargetMode="External"/><Relationship Id="rId117" Type="http://schemas.openxmlformats.org/officeDocument/2006/relationships/hyperlink" Target="mailto:https://www.gov.uk/government/publications/review-of-data-security-consent-and-opt-outs" TargetMode="External"/><Relationship Id="rId329" Type="http://schemas.microsoft.com/office/2011/relationships/commentsExtended" Target="commentsExtended.xml"/><Relationship Id="rId21" Type="http://schemas.openxmlformats.org/officeDocument/2006/relationships/hyperlink" Target="https://www.england.nhs.uk/wp-content/uploads/2015/12/hlth-inqual-guid-comms-dec15.pdf" TargetMode="External"/><Relationship Id="rId42" Type="http://schemas.openxmlformats.org/officeDocument/2006/relationships/hyperlink" Target="http://www.primarycare.nhs.uk/" TargetMode="External"/><Relationship Id="rId47" Type="http://schemas.openxmlformats.org/officeDocument/2006/relationships/hyperlink" Target="http://content.digital.nhs.uk/datacollections/ko41b" TargetMode="External"/><Relationship Id="rId63" Type="http://schemas.openxmlformats.org/officeDocument/2006/relationships/hyperlink" Target="https://www.bma.org.uk/advice/employment/gp-practices/service-provision/patient-registration-for-gp-practices" TargetMode="External"/><Relationship Id="rId68" Type="http://schemas.openxmlformats.org/officeDocument/2006/relationships/hyperlink" Target="http://www.nhs.uk/NHSEngland/Militaryhealthcare/Pages/Militaryhealthcare.aspx" TargetMode="External"/><Relationship Id="rId84" Type="http://schemas.openxmlformats.org/officeDocument/2006/relationships/header" Target="header2.xml"/><Relationship Id="rId89" Type="http://schemas.openxmlformats.org/officeDocument/2006/relationships/footer" Target="footer7.xml"/><Relationship Id="rId112" Type="http://schemas.openxmlformats.org/officeDocument/2006/relationships/hyperlink" Target="https://www.england.nhs.uk/publication/primary-medical-care-policy-and-guidance-manual-practical-issues-arising-from-death-of-a-contractor-annexes/" TargetMode="External"/><Relationship Id="rId133" Type="http://schemas.openxmlformats.org/officeDocument/2006/relationships/hyperlink" Target="http://digital.nhs.uk/article/2021/Website-Search?productid=21528&amp;q=payments+to+gp+practices&amp;sort=Relevance&amp;size=10&amp;page=1&amp;area=both" TargetMode="External"/><Relationship Id="rId138" Type="http://schemas.openxmlformats.org/officeDocument/2006/relationships/hyperlink" Target="http://www.dorsetcommunityaction.org.uk/health-wellbeing" TargetMode="External"/><Relationship Id="rId154" Type="http://schemas.openxmlformats.org/officeDocument/2006/relationships/hyperlink" Target="mailto:england.primarycareops@nhs.net" TargetMode="External"/><Relationship Id="rId159" Type="http://schemas.openxmlformats.org/officeDocument/2006/relationships/footer" Target="footer9.xml"/><Relationship Id="rId16" Type="http://schemas.openxmlformats.org/officeDocument/2006/relationships/hyperlink" Target="mailto:england.primarycareops@nhs.net" TargetMode="External"/><Relationship Id="rId107" Type="http://schemas.openxmlformats.org/officeDocument/2006/relationships/hyperlink" Target="mailto:england.primarycareops@nhs.net" TargetMode="External"/><Relationship Id="rId11" Type="http://schemas.openxmlformats.org/officeDocument/2006/relationships/footnotes" Target="footnotes.xml"/><Relationship Id="rId32" Type="http://schemas.openxmlformats.org/officeDocument/2006/relationships/footer" Target="footer3.xml"/><Relationship Id="rId37" Type="http://schemas.openxmlformats.org/officeDocument/2006/relationships/hyperlink" Target="https://www.legislation.gov.uk/uksi/2015/1862/contents/made" TargetMode="External"/><Relationship Id="rId53" Type="http://schemas.openxmlformats.org/officeDocument/2006/relationships/hyperlink" Target="https://www.england.nhs.uk/publication/primary-medical-care-policy-and-guidance-manual-practice-visit-best-practice-annexes/" TargetMode="External"/><Relationship Id="rId58" Type="http://schemas.openxmlformats.org/officeDocument/2006/relationships/hyperlink" Target="http://content.digital.nhs.uk/gppatientsregistered" TargetMode="External"/><Relationship Id="rId74" Type="http://schemas.openxmlformats.org/officeDocument/2006/relationships/hyperlink" Target="https://www.england.nhs.uk/publication/primary-medical-care-policy-and-guidance-manual-police-incident-reporting-the-home-office-counting-rules-annexes/" TargetMode="External"/><Relationship Id="rId79" Type="http://schemas.openxmlformats.org/officeDocument/2006/relationships/hyperlink" Target="https://www.england.nhs.uk/contact-us/complaint/" TargetMode="External"/><Relationship Id="rId102" Type="http://schemas.openxmlformats.org/officeDocument/2006/relationships/footer" Target="footer8.xml"/><Relationship Id="rId123" Type="http://schemas.openxmlformats.org/officeDocument/2006/relationships/hyperlink" Target="https://www.learnenv.england.nhs.uk/" TargetMode="External"/><Relationship Id="rId128" Type="http://schemas.openxmlformats.org/officeDocument/2006/relationships/hyperlink" Target="http://digital.nhs.uk/searchcatalogue?productid=21459&amp;topics=1%2fPrimary+care+services%2fGeneral+practice&amp;sort=Relevance&amp;size=10&amp;page=1" TargetMode="External"/><Relationship Id="rId144" Type="http://schemas.openxmlformats.org/officeDocument/2006/relationships/hyperlink" Target="http://www.communityfirst.org.uk/community-first-services/access-and-well-being/link" TargetMode="External"/><Relationship Id="rId149" Type="http://schemas.openxmlformats.org/officeDocument/2006/relationships/hyperlink" Target="http://www.sheffield.ac.uk/health/uhshomepage" TargetMode="External"/><Relationship Id="rId330" Type="http://schemas.microsoft.com/office/2016/09/relationships/commentsIds" Target="commentsIds.xml"/><Relationship Id="rId5" Type="http://schemas.openxmlformats.org/officeDocument/2006/relationships/customXml" Target="../customXml/item5.xml"/><Relationship Id="rId90" Type="http://schemas.openxmlformats.org/officeDocument/2006/relationships/hyperlink" Target="https://www.england.nhs.uk/wp-content/uploads/2017/04/ppp-policy.pdf" TargetMode="External"/><Relationship Id="rId95" Type="http://schemas.openxmlformats.org/officeDocument/2006/relationships/hyperlink" Target="mailto:england.legal@nhs.net" TargetMode="External"/><Relationship Id="rId160" Type="http://schemas.openxmlformats.org/officeDocument/2006/relationships/footer" Target="footer10.xml"/><Relationship Id="rId22" Type="http://schemas.openxmlformats.org/officeDocument/2006/relationships/hyperlink" Target="https://www.gov.uk/guidance/phe-data-and-analysis-tools" TargetMode="External"/><Relationship Id="rId27" Type="http://schemas.openxmlformats.org/officeDocument/2006/relationships/hyperlink" Target="https://www.england.nhs.uk/about/equality/equality-hub/" TargetMode="External"/><Relationship Id="rId43" Type="http://schemas.openxmlformats.org/officeDocument/2006/relationships/hyperlink" Target="http://www.cqc.org.uk/publications/major-report/state-care-general-practice-2014-2017" TargetMode="External"/><Relationship Id="rId48" Type="http://schemas.openxmlformats.org/officeDocument/2006/relationships/hyperlink" Target="https://www.england.nhs.uk/ourwork/pe/fft/friends-and-family-test-data/" TargetMode="External"/><Relationship Id="rId64" Type="http://schemas.openxmlformats.org/officeDocument/2006/relationships/hyperlink" Target="https://reportfraud.cfa.nhs.uk/reportFraud" TargetMode="External"/><Relationship Id="rId69" Type="http://schemas.openxmlformats.org/officeDocument/2006/relationships/hyperlink" Target="http://legislation.data.gov.uk/uksi/2015/1862/made/data.htm?wrap=true" TargetMode="External"/><Relationship Id="rId113" Type="http://schemas.openxmlformats.org/officeDocument/2006/relationships/hyperlink" Target="https://www.england.nhs.uk/publication/primary-medical-care-policy-and-guidance-manual-assignment-of-patients-to-lists-annexes/" TargetMode="External"/><Relationship Id="rId118" Type="http://schemas.openxmlformats.org/officeDocument/2006/relationships/hyperlink" Target="mailto:http://www.cqc.org.uk/publications/themed-work/safe-data-safe-care" TargetMode="External"/><Relationship Id="rId134" Type="http://schemas.openxmlformats.org/officeDocument/2006/relationships/hyperlink" Target="http://www.communityactionisleofwight.org.uk/what-we-do/services/health-wellbeing/" TargetMode="External"/><Relationship Id="rId139" Type="http://schemas.openxmlformats.org/officeDocument/2006/relationships/hyperlink" Target="http://somersetrcc.org.uk/somerset-village-agents-project/" TargetMode="External"/><Relationship Id="rId80" Type="http://schemas.openxmlformats.org/officeDocument/2006/relationships/hyperlink" Target="mailto:pcse.immediateremovals@nhs.net" TargetMode="External"/><Relationship Id="rId85" Type="http://schemas.openxmlformats.org/officeDocument/2006/relationships/header" Target="header3.xml"/><Relationship Id="rId150" Type="http://schemas.openxmlformats.org/officeDocument/2006/relationships/hyperlink" Target="http://www.sheffield.ac.uk/health/uhshomepage" TargetMode="External"/><Relationship Id="rId155" Type="http://schemas.openxmlformats.org/officeDocument/2006/relationships/hyperlink" Target="https://www.learnenv.england.nhs.uk/" TargetMode="External"/><Relationship Id="rId12" Type="http://schemas.openxmlformats.org/officeDocument/2006/relationships/endnotes" Target="endnotes.xml"/><Relationship Id="rId17" Type="http://schemas.openxmlformats.org/officeDocument/2006/relationships/footer" Target="footer1.xml"/><Relationship Id="rId33" Type="http://schemas.openxmlformats.org/officeDocument/2006/relationships/hyperlink" Target="https://www.england.nhs.uk/wp-content/uploads/2017/01/annx-e-drft-delgtn-nhse.pdf" TargetMode="External"/><Relationship Id="rId38" Type="http://schemas.openxmlformats.org/officeDocument/2006/relationships/hyperlink" Target="http://www.legislation.gov.uk/uksi/2015/1879/contents/made" TargetMode="External"/><Relationship Id="rId59" Type="http://schemas.openxmlformats.org/officeDocument/2006/relationships/hyperlink" Target="https://www.digital.nhs.uk/gp-data-hub" TargetMode="External"/><Relationship Id="rId103" Type="http://schemas.openxmlformats.org/officeDocument/2006/relationships/hyperlink" Target="https://www.england.nhs.uk/publication/primary-medical-care-policy-and-guidance-manual-maintaining-records-annexes/" TargetMode="External"/><Relationship Id="rId108" Type="http://schemas.openxmlformats.org/officeDocument/2006/relationships/hyperlink" Target="https://www.england.nhs.uk/wp-content/uploads/2017/04/ppp-policy.pdf" TargetMode="External"/><Relationship Id="rId124" Type="http://schemas.openxmlformats.org/officeDocument/2006/relationships/hyperlink" Target="https://www.learnenv.england.nhs.uk/" TargetMode="External"/><Relationship Id="rId129" Type="http://schemas.openxmlformats.org/officeDocument/2006/relationships/hyperlink" Target="http://digital.nhs.uk/searchcatalogue?productid=21459&amp;topics=1%2fPrimary+care+services%2fGeneral+practice&amp;sort=Relevance&amp;size=10&amp;page=1" TargetMode="External"/><Relationship Id="rId54" Type="http://schemas.openxmlformats.org/officeDocument/2006/relationships/hyperlink" Target="https://www.england.nhs.uk/ourwork/patients/accessibleinfo-2/" TargetMode="External"/><Relationship Id="rId70" Type="http://schemas.openxmlformats.org/officeDocument/2006/relationships/hyperlink" Target="http://legislation.data.gov.uk/uksi/2015/1862/made/data.htm?wrap=true" TargetMode="External"/><Relationship Id="rId75" Type="http://schemas.openxmlformats.org/officeDocument/2006/relationships/hyperlink" Target="https://www.england.nhs.uk/publication/primary-medical-care-policy-and-guidance-manual-police-incident-reporting-the-home-office-counting-rules-annexes/" TargetMode="External"/><Relationship Id="rId91" Type="http://schemas.openxmlformats.org/officeDocument/2006/relationships/hyperlink" Target="https://www.engage.england.nhs.uk/survey/strengthening-ppp/supporting_documents/ppppolicystatement.pdf-1" TargetMode="External"/><Relationship Id="rId96" Type="http://schemas.openxmlformats.org/officeDocument/2006/relationships/hyperlink" Target="https://www.england.nhs.uk/publication/primary-medical-care-policy-and-guidance-manual-disputes-annexes/" TargetMode="External"/><Relationship Id="rId140" Type="http://schemas.openxmlformats.org/officeDocument/2006/relationships/hyperlink" Target="http://bedsrcc.org.uk/village-agents/" TargetMode="External"/><Relationship Id="rId145" Type="http://schemas.openxmlformats.org/officeDocument/2006/relationships/hyperlink" Target="http://www.dorsetcommunityaction.org.uk/health-wellbeing" TargetMode="External"/><Relationship Id="rId161" Type="http://schemas.openxmlformats.org/officeDocument/2006/relationships/fontTable" Target="fontTable.xml"/><Relationship Id="rId331" Type="http://schemas.microsoft.com/office/2011/relationships/people" Target="peop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hyperlink" Target="https://www.england.nhs.uk/about/equality/equality-hub/" TargetMode="External"/><Relationship Id="rId28" Type="http://schemas.openxmlformats.org/officeDocument/2006/relationships/hyperlink" Target="https://www.england.nhs.uk/about/equality/equality-hub/resources/" TargetMode="External"/><Relationship Id="rId36" Type="http://schemas.openxmlformats.org/officeDocument/2006/relationships/footer" Target="footer4.xml"/><Relationship Id="rId49" Type="http://schemas.openxmlformats.org/officeDocument/2006/relationships/hyperlink" Target="https://gp-patient.co.uk/" TargetMode="External"/><Relationship Id="rId57" Type="http://schemas.openxmlformats.org/officeDocument/2006/relationships/hyperlink" Target="https://www.ons.gov.uk/peoplepopulationandcommunity/populationandmigration/populationestimates/datasets/lowersuperoutputareamidyearpopulationestimates" TargetMode="External"/><Relationship Id="rId106" Type="http://schemas.openxmlformats.org/officeDocument/2006/relationships/hyperlink" Target="mailto:england.primarycareops@nhs.net" TargetMode="External"/><Relationship Id="rId114" Type="http://schemas.openxmlformats.org/officeDocument/2006/relationships/hyperlink" Target="https://www.england.nhs.uk/publication/primary-medical-care-policy-and-guidance-manual-assignment-of-patients-to-lists-annexes/" TargetMode="External"/><Relationship Id="rId119" Type="http://schemas.openxmlformats.org/officeDocument/2006/relationships/hyperlink" Target="mailto:https://www.gov.uk/government/news/government-responds-on-cyber-security-and-data" TargetMode="External"/><Relationship Id="rId127" Type="http://schemas.openxmlformats.org/officeDocument/2006/relationships/hyperlink" Target="file://///ims.gov.uk/data/dh/london/skh/nw098/NHS%20CB/Direct%20Commissioning%20Team/Primary%20Care%20Ops%20Team/Project%20-%20Translation%20and%20Interpreting" TargetMode="External"/><Relationship Id="rId10" Type="http://schemas.openxmlformats.org/officeDocument/2006/relationships/webSettings" Target="webSettings.xml"/><Relationship Id="rId31" Type="http://schemas.openxmlformats.org/officeDocument/2006/relationships/hyperlink" Target="https://www.england.nhs.uk/commissioning/wp-content/uploads/sites/12/2016/03/framwrk-public-partcptn-prim-care.pdf" TargetMode="External"/><Relationship Id="rId44" Type="http://schemas.openxmlformats.org/officeDocument/2006/relationships/hyperlink" Target="http://www.cqc.org.uk/guidance-providers/gps" TargetMode="External"/><Relationship Id="rId52" Type="http://schemas.openxmlformats.org/officeDocument/2006/relationships/hyperlink" Target="https://www.england.nhs.uk/publication/primary-medical-care-policy-and-guidance-manual-practice-visit-best-practice-annexes/" TargetMode="External"/><Relationship Id="rId60" Type="http://schemas.openxmlformats.org/officeDocument/2006/relationships/image" Target="media/image5.png"/><Relationship Id="rId65" Type="http://schemas.openxmlformats.org/officeDocument/2006/relationships/hyperlink" Target="mailto:generalenquiries@nhscfa.gsi.gov.uk" TargetMode="External"/><Relationship Id="rId73" Type="http://schemas.openxmlformats.org/officeDocument/2006/relationships/hyperlink" Target="https://www.england.nhs.uk/publication/primary-medical-care-policy-and-guidance-manual-police-incident-reporting-the-home-office-counting-rules-annexes/" TargetMode="External"/><Relationship Id="rId78" Type="http://schemas.openxmlformats.org/officeDocument/2006/relationships/hyperlink" Target="https://www.england.nhs.uk/publication/primary-medical-care-policy-and-guidance-manual-working-with-primary-care-support-england-pcse-annexes/" TargetMode="External"/><Relationship Id="rId81" Type="http://schemas.openxmlformats.org/officeDocument/2006/relationships/hyperlink" Target="https://www.england.nhs.uk/publication/primary-medical-care-policy-and-guidance-manual-working-with-primary-care-support-england-pcse-annexes/" TargetMode="External"/><Relationship Id="rId86" Type="http://schemas.openxmlformats.org/officeDocument/2006/relationships/footer" Target="footer5.xml"/><Relationship Id="rId94" Type="http://schemas.openxmlformats.org/officeDocument/2006/relationships/hyperlink" Target="https://www.england.nhs.uk/commissioning/wp-content/uploads/sites/12/2016/03/framwrk-public-partcptn-prim-care.pdf" TargetMode="External"/><Relationship Id="rId99" Type="http://schemas.openxmlformats.org/officeDocument/2006/relationships/hyperlink" Target="https://www.england.nhs.uk/gp/gpfv/workload/resilience/vulnerable-practices-programme/" TargetMode="External"/><Relationship Id="rId101" Type="http://schemas.openxmlformats.org/officeDocument/2006/relationships/header" Target="header5.xml"/><Relationship Id="rId122" Type="http://schemas.openxmlformats.org/officeDocument/2006/relationships/hyperlink" Target="mailto:cybersecurity@nhs.net" TargetMode="External"/><Relationship Id="rId130" Type="http://schemas.openxmlformats.org/officeDocument/2006/relationships/hyperlink" Target="http://www.nhsemployers.org/~/media/Employers/Documents/Primary%20care%20contracts/GMS/GMS%20Finance/Global%20Sum/fr92_deloitte_final_report_rurality_adjustment_cd_120209.pdf" TargetMode="External"/><Relationship Id="rId135" Type="http://schemas.openxmlformats.org/officeDocument/2006/relationships/hyperlink" Target="http://www.rural-responders.co.uk/index.htm" TargetMode="External"/><Relationship Id="rId143" Type="http://schemas.openxmlformats.org/officeDocument/2006/relationships/hyperlink" Target="http://www.grcc.org.uk/downloads/village---community-agent-map-may-2016.pdf" TargetMode="External"/><Relationship Id="rId148" Type="http://schemas.openxmlformats.org/officeDocument/2006/relationships/hyperlink" Target="http://www.nhsgo.uk/" TargetMode="External"/><Relationship Id="rId151" Type="http://schemas.openxmlformats.org/officeDocument/2006/relationships/hyperlink" Target="https://www.england.nhs.uk/2016/01/newham-diabetes-pilot-scheme/" TargetMode="External"/><Relationship Id="rId156" Type="http://schemas.openxmlformats.org/officeDocument/2006/relationships/hyperlink" Target="mailto:england.primarycareops@nhs.net"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footer" Target="footer2.xml"/><Relationship Id="rId39" Type="http://schemas.openxmlformats.org/officeDocument/2006/relationships/hyperlink" Target="https://www.england.nhs.uk/wp-content/uploads/2016/07/mcp-care-model-frmwrk.pdf" TargetMode="External"/><Relationship Id="rId109" Type="http://schemas.openxmlformats.org/officeDocument/2006/relationships/hyperlink" Target="https://www.engage.england.nhs.uk/survey/strengthening-ppp/supporting_documents/ppppolicystatement.pdf-1" TargetMode="External"/><Relationship Id="rId34" Type="http://schemas.openxmlformats.org/officeDocument/2006/relationships/hyperlink" Target="https://www.england.nhs.uk/wp-content/uploads/2016/04/gp-reduce-dup.pdf" TargetMode="External"/><Relationship Id="rId50" Type="http://schemas.openxmlformats.org/officeDocument/2006/relationships/hyperlink" Target="https://www.england.nhs.uk/rightcare/intel/" TargetMode="External"/><Relationship Id="rId55" Type="http://schemas.openxmlformats.org/officeDocument/2006/relationships/hyperlink" Target="https://www.ons.gov.uk/peoplepopulationandcommunity/populationandmigration/populationestimates/datasets/clinicalcommissioninggroupmidyearpopulationestimates" TargetMode="External"/><Relationship Id="rId76" Type="http://schemas.openxmlformats.org/officeDocument/2006/relationships/hyperlink" Target="mailto:Pcse.immediateremovals@nhs.net" TargetMode="External"/><Relationship Id="rId97" Type="http://schemas.openxmlformats.org/officeDocument/2006/relationships/hyperlink" Target="https://www.gov.uk/government/publications/managing-public-money" TargetMode="External"/><Relationship Id="rId104" Type="http://schemas.openxmlformats.org/officeDocument/2006/relationships/hyperlink" Target="mailto:england.primarycareops@nhs.net" TargetMode="External"/><Relationship Id="rId120" Type="http://schemas.openxmlformats.org/officeDocument/2006/relationships/hyperlink" Target="https://www.england.nhs.uk/digitaltechnology/info-revolution/digital-primary-care" TargetMode="External"/><Relationship Id="rId125" Type="http://schemas.openxmlformats.org/officeDocument/2006/relationships/hyperlink" Target="mailto:england.primarycareops@nhs.net" TargetMode="External"/><Relationship Id="rId141" Type="http://schemas.openxmlformats.org/officeDocument/2006/relationships/hyperlink" Target="http://www.grcc.org.uk/village-agents/village-agents" TargetMode="External"/><Relationship Id="rId146" Type="http://schemas.openxmlformats.org/officeDocument/2006/relationships/hyperlink" Target="http://www.communityactionisleofwight.org.uk/what-we-do/services/health-wellbeing/" TargetMode="External"/><Relationship Id="rId7" Type="http://schemas.openxmlformats.org/officeDocument/2006/relationships/styles" Target="styles.xml"/><Relationship Id="rId71" Type="http://schemas.openxmlformats.org/officeDocument/2006/relationships/hyperlink" Target="https://pcse.england.nhs.uk/contact-us/" TargetMode="External"/><Relationship Id="rId92" Type="http://schemas.openxmlformats.org/officeDocument/2006/relationships/hyperlink" Target="https://www.england.nhs.uk/commissioning/wp-content/uploads/sites/12/2016/03/framwrk-public-partcptn-prim-care.pdf" TargetMode="External"/><Relationship Id="rId162" Type="http://schemas.openxmlformats.org/officeDocument/2006/relationships/theme" Target="theme/theme1.xml"/><Relationship Id="rId2" Type="http://schemas.openxmlformats.org/officeDocument/2006/relationships/customXml" Target="../customXml/item2.xml"/><Relationship Id="rId29" Type="http://schemas.openxmlformats.org/officeDocument/2006/relationships/hyperlink" Target="https://www.england.nhs.uk/wp-content/uploads/2017/04/ppp-policy.pdf" TargetMode="External"/><Relationship Id="rId24" Type="http://schemas.openxmlformats.org/officeDocument/2006/relationships/hyperlink" Target="https://www.england.nhs.uk/about/equality/equality-hub/" TargetMode="External"/><Relationship Id="rId40" Type="http://schemas.openxmlformats.org/officeDocument/2006/relationships/hyperlink" Target="https://www.england.nhs.uk/wp-content/uploads/2016/09/pacs-framework.pdf" TargetMode="External"/><Relationship Id="rId45" Type="http://schemas.openxmlformats.org/officeDocument/2006/relationships/hyperlink" Target="http://www.primarycare.nhs.uk" TargetMode="External"/><Relationship Id="rId66" Type="http://schemas.openxmlformats.org/officeDocument/2006/relationships/hyperlink" Target="https://www.nspcc.org.uk/preventing-abuse/child-protection-system/legal-definition-child-rights-law/gillick-competency-fraser-guidelines/" TargetMode="External"/><Relationship Id="rId87" Type="http://schemas.openxmlformats.org/officeDocument/2006/relationships/footer" Target="footer6.xml"/><Relationship Id="rId110" Type="http://schemas.openxmlformats.org/officeDocument/2006/relationships/hyperlink" Target="https://www.england.nhs.uk/commissioning/wp-content/uploads/sites/12/2016/03/framwrk-public-partcptn-prim-care.pdf" TargetMode="External"/><Relationship Id="rId115" Type="http://schemas.openxmlformats.org/officeDocument/2006/relationships/hyperlink" Target="mailto:https://www.england.nhs.uk/digitaltechnology/info-revolution/digital-primary-care/" TargetMode="External"/><Relationship Id="rId131" Type="http://schemas.openxmlformats.org/officeDocument/2006/relationships/hyperlink" Target="http://www.nhsemployers.org/~/media/Employers/Documents/Primary%20care%20contracts/GMS/GMS%20Finance/Global%20Sum/fr92_deloitte_final_report_rurality_adjustment_cd_120209.pdf" TargetMode="External"/><Relationship Id="rId136" Type="http://schemas.openxmlformats.org/officeDocument/2006/relationships/hyperlink" Target="http://www.swast.nhs.uk/Working%20With%20Us/Community-First-Responders.htm" TargetMode="External"/><Relationship Id="rId157" Type="http://schemas.openxmlformats.org/officeDocument/2006/relationships/hyperlink" Target="file://///ims.gov.uk/data/dh/london/skh/nw098/NHS%20CB/Direct%20Commissioning%20Team/Primary%20Care%20Ops%20Team/Project%20-%20Atypical%20Practices/9.%20Guidance%20document" TargetMode="External"/><Relationship Id="rId61" Type="http://schemas.openxmlformats.org/officeDocument/2006/relationships/hyperlink" Target="https://www.england.nhs.uk/wp-content/uploads/2016/12/suspend-pat-reg-respns-guid.pdf" TargetMode="External"/><Relationship Id="rId82" Type="http://schemas.openxmlformats.org/officeDocument/2006/relationships/hyperlink" Target="https://www.england.nhs.uk/ourwork/new-care-models/" TargetMode="External"/><Relationship Id="rId152" Type="http://schemas.openxmlformats.org/officeDocument/2006/relationships/hyperlink" Target="https://www.england.nhs.uk/commissioning/primary-care-comm/interpreting/" TargetMode="External"/><Relationship Id="rId19" Type="http://schemas.openxmlformats.org/officeDocument/2006/relationships/hyperlink" Target="http://www.england.nhs.uk" TargetMode="External"/><Relationship Id="rId14" Type="http://schemas.openxmlformats.org/officeDocument/2006/relationships/image" Target="media/image2.png"/><Relationship Id="rId30" Type="http://schemas.openxmlformats.org/officeDocument/2006/relationships/hyperlink" Target="https://www.engage.england.nhs.uk/survey/strengthening-ppp/supporting_documents/ppppolicystatement.pdf-1" TargetMode="External"/><Relationship Id="rId35" Type="http://schemas.openxmlformats.org/officeDocument/2006/relationships/header" Target="header1.xml"/><Relationship Id="rId56" Type="http://schemas.openxmlformats.org/officeDocument/2006/relationships/hyperlink" Target="https://www.ons.gov.uk/peoplepopulationandcommunity/populationandmigration/populationestimates/datasets/middlesuperoutputareamidyearpopulationestimates" TargetMode="External"/><Relationship Id="rId77" Type="http://schemas.openxmlformats.org/officeDocument/2006/relationships/hyperlink" Target="http://www.cqc.org.uk/sites/default/files/documents/20130426_800715_v1_00_guidance_on_statutory_notifications_from_pms_for_reg_persons_for_publication.pdf" TargetMode="External"/><Relationship Id="rId100" Type="http://schemas.openxmlformats.org/officeDocument/2006/relationships/hyperlink" Target="https://www.england.nhs.uk/publication/primary-medical-care-policy-and-guidance-manual-maintaining-records-annexes/" TargetMode="External"/><Relationship Id="rId105" Type="http://schemas.openxmlformats.org/officeDocument/2006/relationships/hyperlink" Target="mailto:england.primarycareops@nhs.net" TargetMode="External"/><Relationship Id="rId126" Type="http://schemas.openxmlformats.org/officeDocument/2006/relationships/hyperlink" Target="file://///ims.gov.uk/data/dh/london/skh/nw098/NHS%20CB/Direct%20Commissioning%20Team/Primary%20Care%20Ops%20Team/Project%20-%20Translation%20and%20Interpreting" TargetMode="External"/><Relationship Id="rId147" Type="http://schemas.openxmlformats.org/officeDocument/2006/relationships/hyperlink" Target="http://www.youngpeopleshealth.org.uk/our-work/young-peoples-participation/gp-champions" TargetMode="External"/><Relationship Id="rId8" Type="http://schemas.microsoft.com/office/2007/relationships/stylesWithEffects" Target="stylesWithEffects.xml"/><Relationship Id="rId51" Type="http://schemas.openxmlformats.org/officeDocument/2006/relationships/hyperlink" Target="https://www.england.nhs.uk/medicines/medicines-optimisation/dashboard/" TargetMode="External"/><Relationship Id="rId72" Type="http://schemas.openxmlformats.org/officeDocument/2006/relationships/hyperlink" Target="mailto:pcse.immediateremovals@nhs.net" TargetMode="External"/><Relationship Id="rId93" Type="http://schemas.openxmlformats.org/officeDocument/2006/relationships/hyperlink" Target="https://www.engage.england.nhs.uk/survey/strengthening-ppp/supporting_documents/ppppolicystatement.pdf-1" TargetMode="External"/><Relationship Id="rId98" Type="http://schemas.openxmlformats.org/officeDocument/2006/relationships/hyperlink" Target="https://www.england.nhs.uk/gp/gpfv/workload/resilience/" TargetMode="External"/><Relationship Id="rId121" Type="http://schemas.openxmlformats.org/officeDocument/2006/relationships/hyperlink" Target="mailto:england.digitalprimarycare@nhs.net" TargetMode="External"/><Relationship Id="rId142" Type="http://schemas.openxmlformats.org/officeDocument/2006/relationships/hyperlink" Target="https://www.villageagents.org.uk/About_Us/Quarterly_and_Annual_Reports.aspx" TargetMode="External"/><Relationship Id="rId3" Type="http://schemas.openxmlformats.org/officeDocument/2006/relationships/customXml" Target="../customXml/item3.xml"/><Relationship Id="rId25" Type="http://schemas.openxmlformats.org/officeDocument/2006/relationships/hyperlink" Target="https://www.equalityhumanrights.com/en" TargetMode="External"/><Relationship Id="rId46" Type="http://schemas.openxmlformats.org/officeDocument/2006/relationships/hyperlink" Target="http://fingertips.phe.org.uk/profile/general-practice" TargetMode="External"/><Relationship Id="rId67" Type="http://schemas.openxmlformats.org/officeDocument/2006/relationships/hyperlink" Target="https://www.gov.uk/government/uploads/system/uploads/attachment_data/file/49469/the_armed_forces_covenant.pdf" TargetMode="External"/><Relationship Id="rId116" Type="http://schemas.openxmlformats.org/officeDocument/2006/relationships/hyperlink" Target="https://www.england.nhs.uk/digitaltechnology/info-revolution/digital-primary-care/" TargetMode="External"/><Relationship Id="rId137" Type="http://schemas.openxmlformats.org/officeDocument/2006/relationships/hyperlink" Target="http://www.dorsetcommunityaction.org.uk/single-post/2016/08/02/A-review-of-the-VCSE-Navigator-role-provided-by-Dorset-Community-Action-as-part-of-the-Better-Together-Programme" TargetMode="External"/><Relationship Id="rId158" Type="http://schemas.openxmlformats.org/officeDocument/2006/relationships/header" Target="header6.xml"/><Relationship Id="rId20" Type="http://schemas.openxmlformats.org/officeDocument/2006/relationships/hyperlink" Target="https://www.england.nhs.uk/wp-content/uploads/2016/09/NHS-operational-planning-guidance-201617-201819.pdf" TargetMode="External"/><Relationship Id="rId41" Type="http://schemas.openxmlformats.org/officeDocument/2006/relationships/image" Target="media/image4.emf"/><Relationship Id="rId62" Type="http://schemas.openxmlformats.org/officeDocument/2006/relationships/hyperlink" Target="http://www.homeless.org.uk/facts/our-research/homelessness-and-health-research" TargetMode="External"/><Relationship Id="rId83" Type="http://schemas.openxmlformats.org/officeDocument/2006/relationships/hyperlink" Target="mailto:england.legal@nhs.net" TargetMode="External"/><Relationship Id="rId88" Type="http://schemas.openxmlformats.org/officeDocument/2006/relationships/header" Target="header4.xml"/><Relationship Id="rId111" Type="http://schemas.openxmlformats.org/officeDocument/2006/relationships/hyperlink" Target="http://www.legislation.gov.uk/uksi/2015/1879/schedule/2/paragraph/39/made" TargetMode="External"/><Relationship Id="rId132" Type="http://schemas.openxmlformats.org/officeDocument/2006/relationships/hyperlink" Target="http://www.nhsemployers.org/~/media/Employers/Documents/Primary%20care%20contracts/GMS/GMS%20Finance/Global%20Sum/fr92_deloitte_final_report_rurality_adjustment_cd_120209.pdf" TargetMode="External"/><Relationship Id="rId153" Type="http://schemas.openxmlformats.org/officeDocument/2006/relationships/hyperlink" Target="https://www.learnenv.england.nhs.uk/"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gov.uk/government/publications/nhs-primary-medical-services-directions-2013" TargetMode="External"/><Relationship Id="rId2" Type="http://schemas.openxmlformats.org/officeDocument/2006/relationships/hyperlink" Target="https://www.ons.gov.uk/peoplepopulationandcommunity/populationandmigration/populationestimates/methodologies/patientregisterqualityassuranceofadministrativedatausedinpopulationstatisticsdec2016" TargetMode="External"/><Relationship Id="rId1" Type="http://schemas.openxmlformats.org/officeDocument/2006/relationships/hyperlink" Target="http://digital.nhs.uk/catalogue/PUB30089" TargetMode="External"/><Relationship Id="rId4" Type="http://schemas.openxmlformats.org/officeDocument/2006/relationships/hyperlink" Target="https://www.gov.uk/government/publications/nhs-primary-medical-services-directions-201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unter7\APPDATA\LOCAL\TEMP\wzb5cb\NHS%20England%20Word%20Templates\NHS%20England%20Report%20Template14.dot" TargetMode="External"/></Relationships>
</file>

<file path=word/theme/theme1.xml><?xml version="1.0" encoding="utf-8"?>
<a:theme xmlns:a="http://schemas.openxmlformats.org/drawingml/2006/main" name="NHS England Theme">
  <a:themeElements>
    <a:clrScheme name="Custom 1">
      <a:dk1>
        <a:srgbClr val="000000"/>
      </a:dk1>
      <a:lt1>
        <a:srgbClr val="FFFFFF"/>
      </a:lt1>
      <a:dk2>
        <a:srgbClr val="005EB8"/>
      </a:dk2>
      <a:lt2>
        <a:srgbClr val="7C2855"/>
      </a:lt2>
      <a:accent1>
        <a:srgbClr val="003087"/>
      </a:accent1>
      <a:accent2>
        <a:srgbClr val="0072CE"/>
      </a:accent2>
      <a:accent3>
        <a:srgbClr val="00A9CE"/>
      </a:accent3>
      <a:accent4>
        <a:srgbClr val="41B6E6"/>
      </a:accent4>
      <a:accent5>
        <a:srgbClr val="425563"/>
      </a:accent5>
      <a:accent6>
        <a:srgbClr val="768692"/>
      </a:accent6>
      <a:hlink>
        <a:srgbClr val="7C2855"/>
      </a:hlink>
      <a:folHlink>
        <a:srgbClr val="7C2855"/>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cccaf3ac-2de9-44d4-aa31-54302fceb5f7">K57F673QWXRZ-1160-182</_dlc_DocId>
    <_dlc_DocIdUrl xmlns="cccaf3ac-2de9-44d4-aa31-54302fceb5f7">
      <Url>https://nhsengland.sharepoint.com/TeamCentre/VisionandValues/_layouts/15/DocIdRedir.aspx?ID=K57F673QWXRZ-1160-182</Url>
      <Description>K57F673QWXRZ-1160-182</Description>
    </_dlc_DocIdUrl>
    <SharedWithUsers xmlns="51367701-27c8-403e-a234-85855c5cd73e">
      <UserInfo>
        <DisplayName/>
        <AccountId xsi:nil="true"/>
        <AccountType/>
      </UserInfo>
    </SharedWithUsers>
    <ReviewDate xmlns="51367701-27c8-403e-a234-85855c5cd73e" xsi:nil="true"/>
    <SubjectArea xmlns="51367701-27c8-403e-a234-85855c5cd73e"/>
    <sub_x0020_topic xmlns="ddfc0607-48e1-4f98-8c6f-3287da82a77f">Report Templates-insert image</sub_x0020_topic>
    <Topic xmlns="ddfc0607-48e1-4f98-8c6f-3287da82a77f">Report and Policy Templates </Topic>
    <FOIClass xmlns="51367701-27c8-403e-a234-85855c5cd73e"/>
    <Classification xmlns="51367701-27c8-403e-a234-85855c5cd73e" xsi:nil="true"/>
    <Directorate xmlns="51367701-27c8-403e-a234-85855c5cd73e" xsi:nil="true"/>
    <Dept xmlns="51367701-27c8-403e-a234-85855c5cd73e" xsi:nil="true"/>
    <NHSOutcomesFrameworkDomain xmlns="51367701-27c8-403e-a234-85855c5cd73e"/>
    <DocumentCategory xmlns="51367701-27c8-403e-a234-85855c5cd73e" xsi:nil="true"/>
    <TaxCatchAll xmlns="cccaf3ac-2de9-44d4-aa31-54302fceb5f7">
      <Value>3229</Value>
    </TaxCatchAll>
    <SecurityClassification xmlns="51367701-27c8-403e-a234-85855c5cd73e" xsi:nil="true"/>
    <Readership_x002f_Audience xmlns="51367701-27c8-403e-a234-85855c5cd73e">All Staff</Readership_x002f_Audience>
    <TaxKeywordTaxHTField xmlns="51367701-27c8-403e-a234-85855c5cd73e">
      <Terms xmlns="http://schemas.microsoft.com/office/infopath/2007/PartnerControls">
        <TermInfo xmlns="http://schemas.microsoft.com/office/infopath/2007/PartnerControls">
          <TermName xmlns="http://schemas.microsoft.com/office/infopath/2007/PartnerControls">report templates</TermName>
          <TermId xmlns="http://schemas.microsoft.com/office/infopath/2007/PartnerControls">e8632928-bb27-4f35-b740-ffb9cf87d4b2</TermId>
        </TermInfo>
      </Terms>
    </TaxKeywordTaxHTField>
    <DocumentStatus xmlns="51367701-27c8-403e-a234-85855c5cd73e">Final</DocumentStatus>
    <DocumentVersion xmlns="51367701-27c8-403e-a234-85855c5cd73e">0.1</DocumentVersion>
    <DocumentAuthor xmlns="51367701-27c8-403e-a234-85855c5cd73e">
      <UserInfo>
        <DisplayName>Sally McMillan</DisplayName>
        <AccountId>9242</AccountId>
        <AccountType/>
      </UserInfo>
    </DocumentAutho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Standard Document" ma:contentTypeID="0x0101009D2CD717CE7D2F4286D7A03A531D5A9C0200AE76E6465EBEB5438FF0151AFBA56FA9" ma:contentTypeVersion="39" ma:contentTypeDescription="Content Type for all the documents with a classification attached" ma:contentTypeScope="" ma:versionID="1c16e52bc33355676c77a00adbc6d230">
  <xsd:schema xmlns:xsd="http://www.w3.org/2001/XMLSchema" xmlns:xs="http://www.w3.org/2001/XMLSchema" xmlns:p="http://schemas.microsoft.com/office/2006/metadata/properties" xmlns:ns2="51367701-27c8-403e-a234-85855c5cd73e" xmlns:ns4="cccaf3ac-2de9-44d4-aa31-54302fceb5f7" xmlns:ns5="ddfc0607-48e1-4f98-8c6f-3287da82a77f" targetNamespace="http://schemas.microsoft.com/office/2006/metadata/properties" ma:root="true" ma:fieldsID="878608f0cadb484a640ca55c76b8bda4" ns2:_="" ns4:_="" ns5:_="">
    <xsd:import namespace="51367701-27c8-403e-a234-85855c5cd73e"/>
    <xsd:import namespace="cccaf3ac-2de9-44d4-aa31-54302fceb5f7"/>
    <xsd:import namespace="ddfc0607-48e1-4f98-8c6f-3287da82a77f"/>
    <xsd:element name="properties">
      <xsd:complexType>
        <xsd:sequence>
          <xsd:element name="documentManagement">
            <xsd:complexType>
              <xsd:all>
                <xsd:element ref="ns2:DocumentAuthor"/>
                <xsd:element ref="ns2:Classification" minOccurs="0"/>
                <xsd:element ref="ns2:DocumentCategory" minOccurs="0"/>
                <xsd:element ref="ns2:ReviewDate" minOccurs="0"/>
                <xsd:element ref="ns2:DocumentStatus"/>
                <xsd:element ref="ns2:DocumentVersion"/>
                <xsd:element ref="ns2:Directorate" minOccurs="0"/>
                <xsd:element ref="ns2:Dept" minOccurs="0"/>
                <xsd:element ref="ns2:SecurityClassification" minOccurs="0"/>
                <xsd:element ref="ns2:FOIClass" minOccurs="0"/>
                <xsd:element ref="ns2:Readership_x002f_Audience" minOccurs="0"/>
                <xsd:element ref="ns2:SubjectArea" minOccurs="0"/>
                <xsd:element ref="ns2:NHSOutcomesFrameworkDomain" minOccurs="0"/>
                <xsd:element ref="ns2:TaxKeywordTaxHTField" minOccurs="0"/>
                <xsd:element ref="ns4:TaxCatchAll" minOccurs="0"/>
                <xsd:element ref="ns4:TaxCatchAllLabel" minOccurs="0"/>
                <xsd:element ref="ns4:_dlc_DocId" minOccurs="0"/>
                <xsd:element ref="ns4:_dlc_DocIdUrl" minOccurs="0"/>
                <xsd:element ref="ns4:_dlc_DocIdPersistId" minOccurs="0"/>
                <xsd:element ref="ns2:SharedWithUsers" minOccurs="0"/>
                <xsd:element ref="ns2:SharedWithDetails" minOccurs="0"/>
                <xsd:element ref="ns5:Topic"/>
                <xsd:element ref="ns5:sub_x0020_topic" minOccurs="0"/>
                <xsd:element ref="ns2:LastSharedByUser" minOccurs="0"/>
                <xsd:element ref="ns2:LastSharedByTime" minOccurs="0"/>
                <xsd:element ref="ns5:MediaServiceMetadata" minOccurs="0"/>
                <xsd:element ref="ns5: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367701-27c8-403e-a234-85855c5cd73e" elementFormDefault="qualified">
    <xsd:import namespace="http://schemas.microsoft.com/office/2006/documentManagement/types"/>
    <xsd:import namespace="http://schemas.microsoft.com/office/infopath/2007/PartnerControls"/>
    <xsd:element name="DocumentAuthor" ma:index="1" ma:displayName="Document Author" ma:list="UserInfo" ma:SharePointGroup="0" ma:internalName="DocumentAuth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Classification" ma:index="2" nillable="true" ma:displayName="Classification" ma:description="Classification of the document type" ma:format="Dropdown" ma:internalName="Classification">
      <xsd:simpleType>
        <xsd:restriction base="dms:Choice">
          <xsd:enumeration value="Guidance"/>
          <xsd:enumeration value="Statutory guidance"/>
          <xsd:enumeration value="Standard operating procedure"/>
          <xsd:enumeration value="Case study"/>
          <xsd:enumeration value="Report"/>
          <xsd:enumeration value="Template"/>
          <xsd:enumeration value="Form"/>
          <xsd:enumeration value="Audio / podcast"/>
          <xsd:enumeration value="Video / webcaste event"/>
          <xsd:enumeration value="Webinar"/>
          <xsd:enumeration value="Leaflet"/>
          <xsd:enumeration value="Toolkit"/>
          <xsd:enumeration value="Presentation"/>
          <xsd:enumeration value="Board paper"/>
          <xsd:enumeration value="Minutes"/>
          <xsd:enumeration value="Strategy"/>
          <xsd:enumeration value="Letter"/>
          <xsd:enumeration value="FAQs"/>
          <xsd:enumeration value="Lists / directory"/>
          <xsd:enumeration value="Leaflet"/>
          <xsd:enumeration value="Bulletin / newsletter"/>
        </xsd:restriction>
      </xsd:simpleType>
    </xsd:element>
    <xsd:element name="DocumentCategory" ma:index="5" nillable="true" ma:displayName="Document Category" ma:description="Types of documents available in the organisation" ma:format="Dropdown" ma:internalName="DocumentCategory">
      <xsd:simpleType>
        <xsd:restriction base="dms:Choice">
          <xsd:enumeration value="Report"/>
          <xsd:enumeration value="Protocol"/>
          <xsd:enumeration value="Plan"/>
          <xsd:enumeration value="Strategy"/>
          <xsd:enumeration value="Minutes"/>
          <xsd:enumeration value="Contract"/>
          <xsd:enumeration value="Budget"/>
          <xsd:enumeration value="Project"/>
        </xsd:restriction>
      </xsd:simpleType>
    </xsd:element>
    <xsd:element name="ReviewDate" ma:index="6" nillable="true" ma:displayName="Review Date" ma:format="DateOnly" ma:internalName="ReviewDate">
      <xsd:simpleType>
        <xsd:restriction base="dms:DateTime"/>
      </xsd:simpleType>
    </xsd:element>
    <xsd:element name="DocumentStatus" ma:index="7" ma:displayName="Document Status" ma:default="Pre-draft" ma:description="Status of Document e.g. Draft, Reviewed, Scheduled, Published, Final, Expired and Archived" ma:format="Dropdown" ma:internalName="DocumentStatus" ma:readOnly="false">
      <xsd:simpleType>
        <xsd:restriction base="dms:Choice">
          <xsd:enumeration value="Pre-draft"/>
          <xsd:enumeration value="Draft"/>
          <xsd:enumeration value="Reviewed"/>
          <xsd:enumeration value="Scheduled"/>
          <xsd:enumeration value="Published"/>
          <xsd:enumeration value="Final"/>
          <xsd:enumeration value="Expired"/>
          <xsd:enumeration value="Archived"/>
        </xsd:restriction>
      </xsd:simpleType>
    </xsd:element>
    <xsd:element name="DocumentVersion" ma:index="8" ma:displayName="Document Version" ma:default="0.1" ma:description="Version number of the current document" ma:internalName="DocumentVersion" ma:percentage="FALSE">
      <xsd:simpleType>
        <xsd:restriction base="dms:Number"/>
      </xsd:simpleType>
    </xsd:element>
    <xsd:element name="Directorate" ma:index="9" nillable="true" ma:displayName="Directorate" ma:description="List of all NHS England Directorates" ma:format="Dropdown" ma:internalName="Directorate" ma:readOnly="false">
      <xsd:simpleType>
        <xsd:restriction base="dms:Choice">
          <xsd:enumeration value="Policy"/>
          <xsd:enumeration value="Transformation &amp; Corporate Operations"/>
          <xsd:enumeration value="Patients and Information"/>
          <xsd:enumeration value="Operations"/>
          <xsd:enumeration value="Nursing"/>
          <xsd:enumeration value="Medical"/>
          <xsd:enumeration value="Human Resources"/>
          <xsd:enumeration value="Finance"/>
          <xsd:enumeration value="Commissioning Development"/>
          <xsd:enumeration value="CCG Submitted"/>
          <xsd:enumeration value="CSU Submitted"/>
          <xsd:enumeration value="None NHS England"/>
        </xsd:restriction>
      </xsd:simpleType>
    </xsd:element>
    <xsd:element name="Dept" ma:index="10" nillable="true" ma:displayName="Department/Team" ma:description="Select the originating directorate or department" ma:format="Dropdown" ma:internalName="Dept">
      <xsd:simpleType>
        <xsd:restriction base="dms:Choice">
          <xsd:enumeration value="Clinical Governance Support Unit"/>
          <xsd:enumeration value="Marketing &amp; Communications"/>
          <xsd:enumeration value="Education &amp; Training"/>
          <xsd:enumeration value="Estates"/>
          <xsd:enumeration value="Executive"/>
          <xsd:enumeration value="Facilities"/>
          <xsd:enumeration value="Finance"/>
          <xsd:enumeration value="Health &amp; Safety"/>
          <xsd:enumeration value="Health Records"/>
          <xsd:enumeration value="Human Resources"/>
          <xsd:enumeration value="IM&amp;T"/>
          <xsd:enumeration value="Procurement"/>
          <xsd:enumeration value="Security"/>
        </xsd:restriction>
      </xsd:simpleType>
    </xsd:element>
    <xsd:element name="SecurityClassification" ma:index="12" nillable="true" ma:displayName="Security Classification" ma:internalName="SecurityClassification">
      <xsd:simpleType>
        <xsd:restriction base="dms:Text">
          <xsd:maxLength value="255"/>
        </xsd:restriction>
      </xsd:simpleType>
    </xsd:element>
    <xsd:element name="FOIClass" ma:index="13" nillable="true" ma:displayName="FOI Class" ma:description="List of the seven FOI Classes" ma:internalName="FOIClass">
      <xsd:complexType>
        <xsd:complexContent>
          <xsd:extension base="dms:MultiChoice">
            <xsd:sequence>
              <xsd:element name="Value" maxOccurs="unbounded" minOccurs="0" nillable="true">
                <xsd:simpleType>
                  <xsd:restriction base="dms:Choice">
                    <xsd:enumeration value="Who we are and what we do"/>
                    <xsd:enumeration value="What we spend and how we spend it"/>
                    <xsd:enumeration value="What our priorities are and how we are doing"/>
                    <xsd:enumeration value="How we make decisions"/>
                    <xsd:enumeration value="Our policies and procedures"/>
                    <xsd:enumeration value="Lists and registers"/>
                    <xsd:enumeration value="The services we offer"/>
                    <xsd:enumeration value="No"/>
                    <xsd:enumeration value="Yes TBC"/>
                  </xsd:restriction>
                </xsd:simpleType>
              </xsd:element>
            </xsd:sequence>
          </xsd:extension>
        </xsd:complexContent>
      </xsd:complexType>
    </xsd:element>
    <xsd:element name="Readership_x002f_Audience" ma:index="14" nillable="true" ma:displayName="Suggested Readership/Audience" ma:default="All Staff" ma:description="Intended audience for the document" ma:format="Dropdown" ma:internalName="Readership_x002F_Audience" ma:readOnly="false">
      <xsd:simpleType>
        <xsd:restriction base="dms:Choice">
          <xsd:enumeration value="All Staff"/>
          <xsd:enumeration value="Consultants and Doctors"/>
          <xsd:enumeration value="Clinical staff"/>
          <xsd:enumeration value="Nursing staff"/>
          <xsd:enumeration value="Support staff"/>
          <xsd:enumeration value="External"/>
          <xsd:enumeration value="CCG Clinical Leaders"/>
          <xsd:enumeration value="CCG Chief Officers"/>
          <xsd:enumeration value="Other CCG members/staff"/>
          <xsd:enumeration value="CSU Managing Directors"/>
          <xsd:enumeration value="Care Trust CEs"/>
          <xsd:enumeration value="Foundation Trust CEs"/>
          <xsd:enumeration value="Medical Directors"/>
          <xsd:enumeration value="Directors of PH"/>
          <xsd:enumeration value="Directors of Nursing"/>
          <xsd:enumeration value="Local Authority CEs"/>
          <xsd:enumeration value="Directors of Adult social services"/>
          <xsd:enumeration value="Clinical reference groups"/>
          <xsd:enumeration value="Patients/public"/>
          <xsd:enumeration value="GPs"/>
          <xsd:enumeration value="Dentists"/>
          <xsd:enumeration value="Optometrists"/>
          <xsd:enumeration value="Nurses"/>
          <xsd:enumeration value="Allied health professionals"/>
          <xsd:enumeration value="NHS Trust Board Chairs"/>
          <xsd:enumeration value="NHS England Area Directors"/>
          <xsd:enumeration value="NHS England Regional Directors"/>
          <xsd:enumeration value="NHS Trust CEs"/>
          <xsd:enumeration value="All NHS England Employees"/>
          <xsd:enumeration value="Other"/>
        </xsd:restriction>
      </xsd:simpleType>
    </xsd:element>
    <xsd:element name="SubjectArea" ma:index="15" nillable="true" ma:displayName="Subject Area" ma:description="Which subjct area is the document relevant to" ma:internalName="SubjectArea">
      <xsd:complexType>
        <xsd:complexContent>
          <xsd:extension base="dms:MultiChoice">
            <xsd:sequence>
              <xsd:element name="Value" maxOccurs="unbounded" minOccurs="0" nillable="true">
                <xsd:simpleType>
                  <xsd:restriction base="dms:Choice">
                    <xsd:enumeration value="Developing CCGs"/>
                    <xsd:enumeration value="Leadership"/>
                    <xsd:enumeration value="Clinical Leadership"/>
                    <xsd:enumeration value="Specialised Commissioning"/>
                    <xsd:enumeration value="Primary Care Commissioning"/>
                    <xsd:enumeration value="Health and Justice Commissioning"/>
                    <xsd:enumeration value="Armed Forces and their Families Commissioning"/>
                    <xsd:enumeration value="Public Health Commissioning"/>
                    <xsd:enumeration value="Finance"/>
                    <xsd:enumeration value="Pricing and incentives"/>
                    <xsd:enumeration value="Choice, competition and procurement"/>
                    <xsd:enumeration value="Technology"/>
                    <xsd:enumeration value="Innovation"/>
                    <xsd:enumeration value="Information and Data"/>
                    <xsd:enumeration value="Public and patient involvement"/>
                    <xsd:enumeration value="Medicines and prescribing"/>
                    <xsd:enumeration value="Quality Improvement"/>
                    <xsd:enumeration value="Patient Safety"/>
                    <xsd:enumeration value="Screening and immunisation"/>
                    <xsd:enumeration value="Long term conditions"/>
                    <xsd:enumeration value="Maternity, children and young people"/>
                    <xsd:enumeration value="Integrated care"/>
                    <xsd:enumeration value="Emergency and Unplanned care"/>
                    <xsd:enumeration value="End Of Life care"/>
                    <xsd:enumeration value="Older People"/>
                    <xsd:enumeration value="Mental health"/>
                    <xsd:enumeration value="Planned care"/>
                    <xsd:enumeration value="Health inequalities"/>
                    <xsd:enumeration value="Governance / governance structures"/>
                    <xsd:enumeration value="Organisational development"/>
                  </xsd:restriction>
                </xsd:simpleType>
              </xsd:element>
            </xsd:sequence>
          </xsd:extension>
        </xsd:complexContent>
      </xsd:complexType>
    </xsd:element>
    <xsd:element name="NHSOutcomesFrameworkDomain" ma:index="16" nillable="true" ma:displayName="NHS Outcomes Framework Domain" ma:description="Which outcomes framework does the document relate to" ma:internalName="NHSOutcomesFrameworkDomain">
      <xsd:complexType>
        <xsd:complexContent>
          <xsd:extension base="dms:MultiChoice">
            <xsd:sequence>
              <xsd:element name="Value" maxOccurs="unbounded" minOccurs="0" nillable="true">
                <xsd:simpleType>
                  <xsd:restriction base="dms:Choice">
                    <xsd:enumeration value="1. Preventing people from dying prematurely"/>
                    <xsd:enumeration value="2. Enhancing quality of life for people with long term conditions"/>
                    <xsd:enumeration value="3. Helping people to recover from episodes of ill health or injury"/>
                    <xsd:enumeration value="4. Ensuring that people have a positive experience of care"/>
                    <xsd:enumeration value="5. Treating and caring for people in a safe environment and protecting them from avoidable harm"/>
                  </xsd:restriction>
                </xsd:simpleType>
              </xsd:element>
            </xsd:sequence>
          </xsd:extension>
        </xsd:complexContent>
      </xsd:complexType>
    </xsd:element>
    <xsd:element name="TaxKeywordTaxHTField" ma:index="19" ma:taxonomy="true" ma:internalName="TaxKeywordTaxHTField" ma:taxonomyFieldName="TaxKeyword" ma:displayName="Enterprise Keywords" ma:readOnly="false" ma:fieldId="{23f27201-bee3-471e-b2e7-b64fd8b7ca38}" ma:taxonomyMulti="true" ma:sspId="443b0bdb-28a8-4814-9fb9-624c17c095fc" ma:termSetId="00000000-0000-0000-0000-000000000000" ma:anchorId="00000000-0000-0000-0000-000000000000" ma:open="true" ma:isKeyword="true">
      <xsd:complexType>
        <xsd:sequence>
          <xsd:element ref="pc:Terms" minOccurs="0" maxOccurs="1"/>
        </xsd:sequence>
      </xsd:complexType>
    </xsd:element>
    <xsd:element name="SharedWithUsers" ma:index="2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description="" ma:internalName="SharedWithDetails" ma:readOnly="true">
      <xsd:simpleType>
        <xsd:restriction base="dms:Note">
          <xsd:maxLength value="255"/>
        </xsd:restriction>
      </xsd:simpleType>
    </xsd:element>
    <xsd:element name="LastSharedByUser" ma:index="33" nillable="true" ma:displayName="Last Shared By User" ma:description="" ma:internalName="LastSharedByUser" ma:readOnly="true">
      <xsd:simpleType>
        <xsd:restriction base="dms:Note">
          <xsd:maxLength value="255"/>
        </xsd:restriction>
      </xsd:simpleType>
    </xsd:element>
    <xsd:element name="LastSharedByTime" ma:index="34"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ccaf3ac-2de9-44d4-aa31-54302fceb5f7"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0e57bc44-36d8-4ce3-968d-20dac5a927c3}" ma:internalName="TaxCatchAll" ma:showField="CatchAllData" ma:web="51367701-27c8-403e-a234-85855c5cd73e">
      <xsd:complexType>
        <xsd:complexContent>
          <xsd:extension base="dms:MultiChoiceLookup">
            <xsd:sequence>
              <xsd:element name="Value" type="dms:Lookup" maxOccurs="unbounded" minOccurs="0" nillable="true"/>
            </xsd:sequence>
          </xsd:extension>
        </xsd:complexContent>
      </xsd:complexType>
    </xsd:element>
    <xsd:element name="TaxCatchAllLabel" ma:index="21" nillable="true" ma:displayName="Taxonomy Catch All Column1" ma:hidden="true" ma:list="{0e57bc44-36d8-4ce3-968d-20dac5a927c3}" ma:internalName="TaxCatchAllLabel" ma:readOnly="true" ma:showField="CatchAllDataLabel" ma:web="51367701-27c8-403e-a234-85855c5cd73e">
      <xsd:complexType>
        <xsd:complexContent>
          <xsd:extension base="dms:MultiChoiceLookup">
            <xsd:sequence>
              <xsd:element name="Value" type="dms:Lookup" maxOccurs="unbounded" minOccurs="0" nillable="true"/>
            </xsd:sequence>
          </xsd:extension>
        </xsd:complexContent>
      </xsd:complexType>
    </xsd:element>
    <xsd:element name="_dlc_DocId" ma:index="26" nillable="true" ma:displayName="Document ID Value" ma:description="The value of the document ID assigned to this item." ma:internalName="_dlc_DocId" ma:readOnly="true">
      <xsd:simpleType>
        <xsd:restriction base="dms:Text"/>
      </xsd:simpleType>
    </xsd:element>
    <xsd:element name="_dlc_DocIdUrl" ma:index="2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ddfc0607-48e1-4f98-8c6f-3287da82a77f" elementFormDefault="qualified">
    <xsd:import namespace="http://schemas.microsoft.com/office/2006/documentManagement/types"/>
    <xsd:import namespace="http://schemas.microsoft.com/office/infopath/2007/PartnerControls"/>
    <xsd:element name="Topic" ma:index="31" ma:displayName="Topic" ma:internalName="Topic">
      <xsd:simpleType>
        <xsd:restriction base="dms:Text">
          <xsd:maxLength value="100"/>
        </xsd:restriction>
      </xsd:simpleType>
    </xsd:element>
    <xsd:element name="sub_x0020_topic" ma:index="32" nillable="true" ma:displayName="sub topic" ma:internalName="sub_x0020_topic">
      <xsd:simpleType>
        <xsd:restriction base="dms:Text">
          <xsd:maxLength value="100"/>
        </xsd:restriction>
      </xsd:simpleType>
    </xsd:element>
    <xsd:element name="MediaServiceMetadata" ma:index="35" nillable="true" ma:displayName="MediaServiceMetadata" ma:description="" ma:hidden="true" ma:internalName="MediaServiceMetadata" ma:readOnly="true">
      <xsd:simpleType>
        <xsd:restriction base="dms:Note"/>
      </xsd:simpleType>
    </xsd:element>
    <xsd:element name="MediaServiceFastMetadata" ma:index="36"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7" ma:displayName="Content Type"/>
        <xsd:element ref="dc:title" minOccurs="0" maxOccurs="1" ma:index="3" ma:displayName="Title"/>
        <xsd:element ref="dc:subject" minOccurs="0" maxOccurs="1" ma:index="4"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B418279F-D5BA-4F5A-9186-363E2DC5E7DB}">
  <ds:schemaRefs>
    <ds:schemaRef ds:uri="http://schemas.microsoft.com/office/2006/metadata/properties"/>
    <ds:schemaRef ds:uri="http://schemas.microsoft.com/office/infopath/2007/PartnerControls"/>
    <ds:schemaRef ds:uri="cccaf3ac-2de9-44d4-aa31-54302fceb5f7"/>
    <ds:schemaRef ds:uri="51367701-27c8-403e-a234-85855c5cd73e"/>
    <ds:schemaRef ds:uri="ddfc0607-48e1-4f98-8c6f-3287da82a77f"/>
  </ds:schemaRefs>
</ds:datastoreItem>
</file>

<file path=customXml/itemProps2.xml><?xml version="1.0" encoding="utf-8"?>
<ds:datastoreItem xmlns:ds="http://schemas.openxmlformats.org/officeDocument/2006/customXml" ds:itemID="{501D4C03-4B1B-4B4F-9344-EA6E033FF912}">
  <ds:schemaRefs>
    <ds:schemaRef ds:uri="http://schemas.microsoft.com/sharepoint/v3/contenttype/forms"/>
  </ds:schemaRefs>
</ds:datastoreItem>
</file>

<file path=customXml/itemProps3.xml><?xml version="1.0" encoding="utf-8"?>
<ds:datastoreItem xmlns:ds="http://schemas.openxmlformats.org/officeDocument/2006/customXml" ds:itemID="{9E4ED79C-DA7E-40A1-AA80-A6016D4AD11E}">
  <ds:schemaRefs>
    <ds:schemaRef ds:uri="http://schemas.microsoft.com/sharepoint/events"/>
  </ds:schemaRefs>
</ds:datastoreItem>
</file>

<file path=customXml/itemProps4.xml><?xml version="1.0" encoding="utf-8"?>
<ds:datastoreItem xmlns:ds="http://schemas.openxmlformats.org/officeDocument/2006/customXml" ds:itemID="{BE0524F6-6C64-4DF7-B12C-A41C736408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367701-27c8-403e-a234-85855c5cd73e"/>
    <ds:schemaRef ds:uri="cccaf3ac-2de9-44d4-aa31-54302fceb5f7"/>
    <ds:schemaRef ds:uri="ddfc0607-48e1-4f98-8c6f-3287da82a7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7C5B334-6E28-471F-9042-84A6168A3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NHS England Report Template14</Template>
  <TotalTime>0</TotalTime>
  <Pages>203</Pages>
  <Words>92924</Words>
  <Characters>529669</Characters>
  <Application>Microsoft Office Word</Application>
  <DocSecurity>0</DocSecurity>
  <Lines>4413</Lines>
  <Paragraphs>1242</Paragraphs>
  <ScaleCrop>false</ScaleCrop>
  <HeadingPairs>
    <vt:vector size="2" baseType="variant">
      <vt:variant>
        <vt:lpstr>Title</vt:lpstr>
      </vt:variant>
      <vt:variant>
        <vt:i4>1</vt:i4>
      </vt:variant>
    </vt:vector>
  </HeadingPairs>
  <TitlesOfParts>
    <vt:vector size="1" baseType="lpstr">
      <vt:lpstr>NHS England report template-add image</vt:lpstr>
    </vt:vector>
  </TitlesOfParts>
  <Company>Smith &amp; Milton</Company>
  <LinksUpToDate>false</LinksUpToDate>
  <CharactersWithSpaces>621351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NHS England report template-add image</dc:title>
  <dc:creator>gary.williams3@nhs.net</dc:creator>
  <cp:keywords>report templates</cp:keywords>
  <cp:lastModifiedBy>Tim</cp:lastModifiedBy>
  <cp:revision>2</cp:revision>
  <cp:lastPrinted>2017-11-15T07:47:00Z</cp:lastPrinted>
  <dcterms:created xsi:type="dcterms:W3CDTF">2017-11-18T08:37:00Z</dcterms:created>
  <dcterms:modified xsi:type="dcterms:W3CDTF">2017-11-18T08:37:00Z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0x0101009D2CD717CE7D2F4286D7A03A531D5A9C0200AE76E6465EBEB5438FF0151AFBA56FA9</vt:lpwstr>
  </property>
  <property fmtid="{D5CDD505-2E9C-101B-9397-08002B2CF9AE}" pid="3" name="_dlc_DocIdItemGuid">
    <vt:lpwstr>248490f9-fa1e-4572-b0ce-c48ab611a2ac</vt:lpwstr>
  </property>
  <property fmtid="{D5CDD505-2E9C-101B-9397-08002B2CF9AE}" pid="4" name="TaxKeyword">
    <vt:lpwstr>3229;#report templates|e8632928-bb27-4f35-b740-ffb9cf87d4b2</vt:lpwstr>
  </property>
</Properties>
</file>